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4339C" w14:textId="77777777" w:rsidR="0055375A" w:rsidRPr="00BB6E67" w:rsidRDefault="0055375A" w:rsidP="0055375A">
      <w:pPr>
        <w:spacing w:line="276" w:lineRule="auto"/>
        <w:jc w:val="center"/>
        <w:rPr>
          <w:rFonts w:ascii="Times New Roman" w:hAnsi="Times New Roman" w:cs="Times New Roman"/>
          <w:b/>
          <w:sz w:val="24"/>
          <w:szCs w:val="24"/>
        </w:rPr>
      </w:pPr>
      <w:r w:rsidRPr="00BB6E67">
        <w:rPr>
          <w:rFonts w:ascii="Times New Roman" w:hAnsi="Times New Roman" w:cs="Times New Roman"/>
          <w:b/>
          <w:sz w:val="24"/>
          <w:szCs w:val="24"/>
        </w:rPr>
        <w:t>Journal of Housing Law</w:t>
      </w:r>
    </w:p>
    <w:p w14:paraId="4901E8FE" w14:textId="44129475" w:rsidR="0055375A" w:rsidRPr="0055375A" w:rsidRDefault="0055375A" w:rsidP="0055375A">
      <w:pPr>
        <w:spacing w:line="276" w:lineRule="auto"/>
        <w:jc w:val="center"/>
        <w:rPr>
          <w:rFonts w:ascii="Times New Roman" w:hAnsi="Times New Roman" w:cs="Times New Roman"/>
          <w:sz w:val="24"/>
          <w:szCs w:val="24"/>
        </w:rPr>
      </w:pPr>
      <w:r w:rsidRPr="00BB6E67">
        <w:rPr>
          <w:rFonts w:ascii="Times New Roman" w:hAnsi="Times New Roman" w:cs="Times New Roman"/>
          <w:sz w:val="24"/>
          <w:szCs w:val="24"/>
        </w:rPr>
        <w:t>2019</w:t>
      </w:r>
      <w:bookmarkStart w:id="0" w:name="_GoBack"/>
      <w:bookmarkEnd w:id="0"/>
    </w:p>
    <w:p w14:paraId="44BAD38C" w14:textId="77777777" w:rsidR="009E3231" w:rsidRDefault="00424ED4" w:rsidP="009E3231">
      <w:pPr>
        <w:spacing w:after="0"/>
        <w:jc w:val="center"/>
        <w:rPr>
          <w:rFonts w:ascii="Times New Roman" w:hAnsi="Times New Roman" w:cs="Times New Roman"/>
          <w:b/>
          <w:sz w:val="28"/>
          <w:szCs w:val="28"/>
        </w:rPr>
      </w:pPr>
      <w:r>
        <w:rPr>
          <w:rFonts w:ascii="Times New Roman" w:hAnsi="Times New Roman" w:cs="Times New Roman"/>
          <w:b/>
          <w:sz w:val="28"/>
          <w:szCs w:val="28"/>
        </w:rPr>
        <w:t>The Resistible Rise of Discretionary Housing Pay</w:t>
      </w:r>
      <w:r w:rsidRPr="009E3231">
        <w:rPr>
          <w:rFonts w:ascii="Times New Roman" w:hAnsi="Times New Roman" w:cs="Times New Roman"/>
          <w:b/>
          <w:sz w:val="28"/>
          <w:szCs w:val="28"/>
        </w:rPr>
        <w:t>ments</w:t>
      </w:r>
      <w:r w:rsidR="009E3231" w:rsidRPr="009E3231">
        <w:rPr>
          <w:rFonts w:ascii="Times New Roman" w:hAnsi="Times New Roman" w:cs="Times New Roman"/>
          <w:b/>
          <w:sz w:val="28"/>
          <w:szCs w:val="28"/>
        </w:rPr>
        <w:t xml:space="preserve">: </w:t>
      </w:r>
    </w:p>
    <w:p w14:paraId="38E8A960" w14:textId="124A3AB4" w:rsidR="00800D15" w:rsidRDefault="009E3231" w:rsidP="00800D15">
      <w:pPr>
        <w:jc w:val="center"/>
        <w:rPr>
          <w:rFonts w:ascii="Times New Roman" w:hAnsi="Times New Roman" w:cs="Times New Roman"/>
          <w:b/>
          <w:sz w:val="28"/>
          <w:szCs w:val="28"/>
        </w:rPr>
      </w:pPr>
      <w:proofErr w:type="spellStart"/>
      <w:r w:rsidRPr="009E3231">
        <w:rPr>
          <w:rFonts w:ascii="Times New Roman" w:hAnsi="Times New Roman" w:cs="Times New Roman"/>
          <w:b/>
          <w:sz w:val="28"/>
          <w:szCs w:val="28"/>
        </w:rPr>
        <w:t>Rehoune</w:t>
      </w:r>
      <w:proofErr w:type="spellEnd"/>
      <w:r w:rsidRPr="009E3231">
        <w:rPr>
          <w:rFonts w:ascii="Times New Roman" w:hAnsi="Times New Roman" w:cs="Times New Roman"/>
          <w:b/>
          <w:sz w:val="28"/>
          <w:szCs w:val="28"/>
        </w:rPr>
        <w:t xml:space="preserve"> v London Borough of Islington [2019] EWHC 371 (Admin)</w:t>
      </w:r>
    </w:p>
    <w:p w14:paraId="3FE2570E" w14:textId="5612ECAA" w:rsidR="0055375A" w:rsidRDefault="0055375A" w:rsidP="0055375A">
      <w:pPr>
        <w:pStyle w:val="NormalWeb"/>
        <w:shd w:val="clear" w:color="auto" w:fill="FFFFFF"/>
        <w:spacing w:before="0" w:beforeAutospacing="0" w:after="0" w:afterAutospacing="0"/>
        <w:jc w:val="both"/>
        <w:rPr>
          <w:rStyle w:val="Strong"/>
          <w:color w:val="000000"/>
          <w:sz w:val="22"/>
          <w:szCs w:val="22"/>
        </w:rPr>
      </w:pPr>
    </w:p>
    <w:p w14:paraId="2F0E1E95" w14:textId="6FDA97D6" w:rsidR="005A2122" w:rsidRPr="005A2122" w:rsidRDefault="005A2122" w:rsidP="005A2122">
      <w:pPr>
        <w:pStyle w:val="NormalWeb"/>
        <w:shd w:val="clear" w:color="auto" w:fill="FFFFFF"/>
        <w:spacing w:before="0" w:beforeAutospacing="0" w:after="0" w:afterAutospacing="0"/>
        <w:jc w:val="center"/>
        <w:rPr>
          <w:rStyle w:val="Strong"/>
          <w:b w:val="0"/>
          <w:color w:val="000000"/>
        </w:rPr>
      </w:pPr>
      <w:r w:rsidRPr="005A2122">
        <w:rPr>
          <w:rStyle w:val="Strong"/>
          <w:b w:val="0"/>
          <w:color w:val="000000"/>
        </w:rPr>
        <w:t>Dr Jed Meers</w:t>
      </w:r>
      <w:r>
        <w:rPr>
          <w:rStyle w:val="Strong"/>
          <w:b w:val="0"/>
          <w:color w:val="000000"/>
        </w:rPr>
        <w:t>*</w:t>
      </w:r>
    </w:p>
    <w:p w14:paraId="708C7B22" w14:textId="77777777" w:rsidR="005A2122" w:rsidRDefault="005A2122" w:rsidP="0055375A">
      <w:pPr>
        <w:pStyle w:val="NormalWeb"/>
        <w:shd w:val="clear" w:color="auto" w:fill="FFFFFF"/>
        <w:spacing w:before="0" w:beforeAutospacing="0" w:after="0" w:afterAutospacing="0"/>
        <w:jc w:val="both"/>
        <w:rPr>
          <w:rStyle w:val="Strong"/>
          <w:color w:val="000000"/>
          <w:sz w:val="22"/>
          <w:szCs w:val="22"/>
        </w:rPr>
      </w:pPr>
    </w:p>
    <w:p w14:paraId="5E13516C" w14:textId="77777777" w:rsidR="0055375A" w:rsidRPr="00BB6E67" w:rsidRDefault="0055375A" w:rsidP="0055375A">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Subject: </w:t>
      </w:r>
      <w:r w:rsidRPr="00BB6E67">
        <w:rPr>
          <w:color w:val="000000"/>
          <w:sz w:val="22"/>
          <w:szCs w:val="22"/>
        </w:rPr>
        <w:t>Housing</w:t>
      </w:r>
    </w:p>
    <w:p w14:paraId="2627898F" w14:textId="77777777" w:rsidR="0055375A" w:rsidRPr="00BB6E67" w:rsidRDefault="0055375A" w:rsidP="0055375A">
      <w:pPr>
        <w:pStyle w:val="NormalWeb"/>
        <w:shd w:val="clear" w:color="auto" w:fill="FFFFFF"/>
        <w:spacing w:before="0" w:beforeAutospacing="0" w:after="0" w:afterAutospacing="0"/>
        <w:jc w:val="both"/>
        <w:rPr>
          <w:color w:val="000000"/>
          <w:sz w:val="22"/>
          <w:szCs w:val="22"/>
        </w:rPr>
      </w:pPr>
    </w:p>
    <w:p w14:paraId="55D4E6F3" w14:textId="169BFBD0" w:rsidR="0055375A" w:rsidRPr="00BB6E67" w:rsidRDefault="0055375A" w:rsidP="0055375A">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Keywords: </w:t>
      </w:r>
      <w:r w:rsidRPr="0055375A">
        <w:rPr>
          <w:rStyle w:val="Strong"/>
          <w:b w:val="0"/>
          <w:color w:val="000000"/>
          <w:sz w:val="22"/>
          <w:szCs w:val="22"/>
        </w:rPr>
        <w:t>Discretionary housing payments, housing benefit,</w:t>
      </w:r>
      <w:r>
        <w:rPr>
          <w:rStyle w:val="Strong"/>
          <w:color w:val="000000"/>
          <w:sz w:val="22"/>
          <w:szCs w:val="22"/>
        </w:rPr>
        <w:t xml:space="preserve"> </w:t>
      </w:r>
      <w:r w:rsidRPr="00BB6E67">
        <w:rPr>
          <w:color w:val="000000"/>
          <w:sz w:val="22"/>
          <w:szCs w:val="22"/>
        </w:rPr>
        <w:t>Local housing authorities' powers and duties; Reasonable living expenses.</w:t>
      </w:r>
    </w:p>
    <w:p w14:paraId="63ACD45D" w14:textId="77777777" w:rsidR="0055375A" w:rsidRPr="00BB6E67" w:rsidRDefault="0055375A" w:rsidP="0055375A">
      <w:pPr>
        <w:spacing w:after="0" w:line="276" w:lineRule="auto"/>
        <w:jc w:val="both"/>
        <w:rPr>
          <w:rFonts w:ascii="Times New Roman" w:hAnsi="Times New Roman" w:cs="Times New Roman"/>
        </w:rPr>
      </w:pPr>
    </w:p>
    <w:p w14:paraId="785BD6B0" w14:textId="77777777" w:rsidR="0055375A" w:rsidRPr="00BB6E67" w:rsidRDefault="0055375A" w:rsidP="0055375A">
      <w:pPr>
        <w:spacing w:after="0" w:line="276" w:lineRule="auto"/>
        <w:jc w:val="both"/>
        <w:rPr>
          <w:rFonts w:ascii="Times New Roman" w:hAnsi="Times New Roman" w:cs="Times New Roman"/>
        </w:rPr>
      </w:pPr>
      <w:r w:rsidRPr="00BB6E67">
        <w:rPr>
          <w:rStyle w:val="Strong"/>
          <w:rFonts w:ascii="Times New Roman" w:hAnsi="Times New Roman" w:cs="Times New Roman"/>
          <w:color w:val="000000"/>
        </w:rPr>
        <w:t>Legislation: </w:t>
      </w:r>
    </w:p>
    <w:p w14:paraId="76481525" w14:textId="2BFEDA60" w:rsidR="0055375A" w:rsidRPr="00BB6E67" w:rsidRDefault="0055375A" w:rsidP="0055375A">
      <w:pPr>
        <w:spacing w:after="0" w:line="276" w:lineRule="auto"/>
        <w:jc w:val="both"/>
        <w:rPr>
          <w:rFonts w:ascii="Times New Roman" w:hAnsi="Times New Roman" w:cs="Times New Roman"/>
        </w:rPr>
      </w:pPr>
      <w:r>
        <w:rPr>
          <w:rFonts w:ascii="Times New Roman" w:hAnsi="Times New Roman" w:cs="Times New Roman"/>
        </w:rPr>
        <w:t>Discretionary Financial Assistance Regulations 2001</w:t>
      </w:r>
    </w:p>
    <w:p w14:paraId="72920834" w14:textId="77777777" w:rsidR="0055375A" w:rsidRPr="00BB6E67" w:rsidRDefault="0055375A" w:rsidP="0055375A">
      <w:pPr>
        <w:spacing w:after="0" w:line="276" w:lineRule="auto"/>
        <w:jc w:val="both"/>
        <w:rPr>
          <w:rFonts w:ascii="Times New Roman" w:hAnsi="Times New Roman" w:cs="Times New Roman"/>
        </w:rPr>
      </w:pPr>
    </w:p>
    <w:p w14:paraId="6751A3BB" w14:textId="77777777" w:rsidR="0055375A" w:rsidRPr="00BB6E67" w:rsidRDefault="0055375A" w:rsidP="0055375A">
      <w:pPr>
        <w:spacing w:after="0" w:line="276" w:lineRule="auto"/>
        <w:jc w:val="both"/>
        <w:rPr>
          <w:rStyle w:val="Strong"/>
          <w:rFonts w:ascii="Times New Roman" w:hAnsi="Times New Roman" w:cs="Times New Roman"/>
          <w:color w:val="000000"/>
          <w:shd w:val="clear" w:color="auto" w:fill="FFFFFF"/>
        </w:rPr>
      </w:pPr>
      <w:r w:rsidRPr="00BB6E67">
        <w:rPr>
          <w:rStyle w:val="Strong"/>
          <w:rFonts w:ascii="Times New Roman" w:hAnsi="Times New Roman" w:cs="Times New Roman"/>
          <w:color w:val="000000"/>
          <w:shd w:val="clear" w:color="auto" w:fill="FFFFFF"/>
        </w:rPr>
        <w:t>Cases: </w:t>
      </w:r>
    </w:p>
    <w:p w14:paraId="07B2AD35" w14:textId="77777777" w:rsidR="00814AC7" w:rsidRDefault="00814AC7" w:rsidP="0055375A">
      <w:pPr>
        <w:spacing w:after="0" w:line="276" w:lineRule="auto"/>
        <w:jc w:val="both"/>
        <w:rPr>
          <w:rFonts w:ascii="Times New Roman" w:hAnsi="Times New Roman" w:cs="Times New Roman"/>
          <w:i/>
        </w:rPr>
      </w:pPr>
      <w:r w:rsidRPr="00814AC7">
        <w:rPr>
          <w:rFonts w:ascii="Times New Roman" w:hAnsi="Times New Roman" w:cs="Times New Roman"/>
          <w:i/>
        </w:rPr>
        <w:t xml:space="preserve">R (on the Application of </w:t>
      </w:r>
      <w:proofErr w:type="spellStart"/>
      <w:r w:rsidRPr="00814AC7">
        <w:rPr>
          <w:rFonts w:ascii="Times New Roman" w:hAnsi="Times New Roman" w:cs="Times New Roman"/>
          <w:i/>
        </w:rPr>
        <w:t>Rehoune</w:t>
      </w:r>
      <w:proofErr w:type="spellEnd"/>
      <w:r w:rsidRPr="00814AC7">
        <w:rPr>
          <w:rFonts w:ascii="Times New Roman" w:hAnsi="Times New Roman" w:cs="Times New Roman"/>
          <w:i/>
        </w:rPr>
        <w:t xml:space="preserve">) v London Borough of Islington </w:t>
      </w:r>
      <w:r w:rsidRPr="00814AC7">
        <w:rPr>
          <w:rFonts w:ascii="Times New Roman" w:hAnsi="Times New Roman" w:cs="Times New Roman"/>
        </w:rPr>
        <w:t>[2019] EWHC 371 (Admin)</w:t>
      </w:r>
    </w:p>
    <w:p w14:paraId="50B69F3E" w14:textId="45975BEE" w:rsidR="000E2333" w:rsidRDefault="00814AC7" w:rsidP="00814AC7">
      <w:pPr>
        <w:rPr>
          <w:rFonts w:ascii="Times New Roman" w:hAnsi="Times New Roman" w:cs="Times New Roman"/>
          <w:sz w:val="28"/>
          <w:szCs w:val="28"/>
        </w:rPr>
      </w:pPr>
      <w:r w:rsidRPr="00814AC7">
        <w:rPr>
          <w:rFonts w:ascii="Times New Roman" w:hAnsi="Times New Roman" w:cs="Times New Roman"/>
          <w:i/>
        </w:rPr>
        <w:t xml:space="preserve">Samuels v Birmingham City Council </w:t>
      </w:r>
      <w:r w:rsidRPr="00814AC7">
        <w:rPr>
          <w:rFonts w:ascii="Times New Roman" w:hAnsi="Times New Roman" w:cs="Times New Roman"/>
        </w:rPr>
        <w:t>[2019] UKSC 28</w:t>
      </w:r>
    </w:p>
    <w:p w14:paraId="39DDDE3E" w14:textId="77777777" w:rsidR="009E3231" w:rsidRDefault="009E3231" w:rsidP="0032700B">
      <w:pPr>
        <w:jc w:val="both"/>
        <w:rPr>
          <w:rFonts w:ascii="Times New Roman" w:hAnsi="Times New Roman" w:cs="Times New Roman"/>
          <w:sz w:val="24"/>
          <w:szCs w:val="24"/>
        </w:rPr>
      </w:pPr>
    </w:p>
    <w:p w14:paraId="0907DF6C" w14:textId="67F1AF00" w:rsidR="00800D15" w:rsidRDefault="000E2333" w:rsidP="0032700B">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Chancellor’s</w:t>
      </w:r>
      <w:proofErr w:type="gramEnd"/>
      <w:r>
        <w:rPr>
          <w:rFonts w:ascii="Times New Roman" w:hAnsi="Times New Roman" w:cs="Times New Roman"/>
          <w:sz w:val="24"/>
          <w:szCs w:val="24"/>
        </w:rPr>
        <w:t xml:space="preserve"> purported “Spending Round”, delivered to a preoccupied Parliament on the 4</w:t>
      </w:r>
      <w:r w:rsidRPr="000E233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 contained £106 million of funding for the “Plan for DWP Excellence”</w:t>
      </w:r>
      <w:r w:rsidR="002904FB">
        <w:rPr>
          <w:rFonts w:ascii="Times New Roman" w:hAnsi="Times New Roman" w:cs="Times New Roman"/>
          <w:sz w:val="24"/>
          <w:szCs w:val="24"/>
        </w:rPr>
        <w:t>:</w:t>
      </w:r>
      <w:r>
        <w:rPr>
          <w:rFonts w:ascii="Times New Roman" w:hAnsi="Times New Roman" w:cs="Times New Roman"/>
          <w:sz w:val="24"/>
          <w:szCs w:val="24"/>
        </w:rPr>
        <w:t xml:space="preserve"> a package designed to “deliver reform to support the most vulnerable in society”.</w:t>
      </w:r>
      <w:r>
        <w:rPr>
          <w:rStyle w:val="FootnoteReference"/>
          <w:rFonts w:ascii="Times New Roman" w:hAnsi="Times New Roman" w:cs="Times New Roman"/>
          <w:sz w:val="24"/>
          <w:szCs w:val="24"/>
        </w:rPr>
        <w:footnoteReference w:id="1"/>
      </w:r>
      <w:r w:rsidR="0032700B">
        <w:rPr>
          <w:rFonts w:ascii="Times New Roman" w:hAnsi="Times New Roman" w:cs="Times New Roman"/>
          <w:sz w:val="24"/>
          <w:szCs w:val="24"/>
        </w:rPr>
        <w:t xml:space="preserve"> The largest component </w:t>
      </w:r>
      <w:r w:rsidR="002904FB">
        <w:rPr>
          <w:rFonts w:ascii="Times New Roman" w:hAnsi="Times New Roman" w:cs="Times New Roman"/>
          <w:sz w:val="24"/>
          <w:szCs w:val="24"/>
        </w:rPr>
        <w:t>of</w:t>
      </w:r>
      <w:r w:rsidR="009E3231">
        <w:rPr>
          <w:rFonts w:ascii="Times New Roman" w:hAnsi="Times New Roman" w:cs="Times New Roman"/>
          <w:sz w:val="24"/>
          <w:szCs w:val="24"/>
        </w:rPr>
        <w:t xml:space="preserve"> this intervention –</w:t>
      </w:r>
      <w:r w:rsidR="0032700B">
        <w:rPr>
          <w:rFonts w:ascii="Times New Roman" w:hAnsi="Times New Roman" w:cs="Times New Roman"/>
          <w:sz w:val="24"/>
          <w:szCs w:val="24"/>
        </w:rPr>
        <w:t xml:space="preserve"> £40 million – is </w:t>
      </w:r>
      <w:r w:rsidR="00977FB8">
        <w:rPr>
          <w:rFonts w:ascii="Times New Roman" w:hAnsi="Times New Roman" w:cs="Times New Roman"/>
          <w:sz w:val="24"/>
          <w:szCs w:val="24"/>
        </w:rPr>
        <w:t>extra</w:t>
      </w:r>
      <w:r w:rsidR="0032700B">
        <w:rPr>
          <w:rFonts w:ascii="Times New Roman" w:hAnsi="Times New Roman" w:cs="Times New Roman"/>
          <w:sz w:val="24"/>
          <w:szCs w:val="24"/>
        </w:rPr>
        <w:t xml:space="preserve"> funding for the Discretionary Housing Payment</w:t>
      </w:r>
      <w:r w:rsidR="00A67542">
        <w:rPr>
          <w:rFonts w:ascii="Times New Roman" w:hAnsi="Times New Roman" w:cs="Times New Roman"/>
          <w:sz w:val="24"/>
          <w:szCs w:val="24"/>
        </w:rPr>
        <w:t xml:space="preserve"> (DHP)</w:t>
      </w:r>
      <w:r w:rsidR="0032700B">
        <w:rPr>
          <w:rFonts w:ascii="Times New Roman" w:hAnsi="Times New Roman" w:cs="Times New Roman"/>
          <w:sz w:val="24"/>
          <w:szCs w:val="24"/>
        </w:rPr>
        <w:t xml:space="preserve"> scheme. </w:t>
      </w:r>
      <w:r w:rsidR="00AE21A1">
        <w:rPr>
          <w:rFonts w:ascii="Times New Roman" w:hAnsi="Times New Roman" w:cs="Times New Roman"/>
          <w:sz w:val="24"/>
          <w:szCs w:val="24"/>
        </w:rPr>
        <w:t>This</w:t>
      </w:r>
      <w:r w:rsidR="00C763E6">
        <w:rPr>
          <w:rFonts w:ascii="Times New Roman" w:hAnsi="Times New Roman" w:cs="Times New Roman"/>
          <w:sz w:val="24"/>
          <w:szCs w:val="24"/>
        </w:rPr>
        <w:t xml:space="preserve"> additional cash</w:t>
      </w:r>
      <w:r w:rsidR="00AE21A1">
        <w:rPr>
          <w:rFonts w:ascii="Times New Roman" w:hAnsi="Times New Roman" w:cs="Times New Roman"/>
          <w:sz w:val="24"/>
          <w:szCs w:val="24"/>
        </w:rPr>
        <w:t xml:space="preserve"> is, according to the treasury’s supporting documentation, designed to “tackle affordability pressures in the private rented sector in England and Wales”.</w:t>
      </w:r>
      <w:r w:rsidR="00702617">
        <w:rPr>
          <w:rStyle w:val="FootnoteReference"/>
          <w:rFonts w:ascii="Times New Roman" w:hAnsi="Times New Roman" w:cs="Times New Roman"/>
          <w:sz w:val="24"/>
          <w:szCs w:val="24"/>
        </w:rPr>
        <w:footnoteReference w:id="2"/>
      </w:r>
    </w:p>
    <w:p w14:paraId="0E12FA2B" w14:textId="08A691C5" w:rsidR="00A0222B" w:rsidRDefault="00714394" w:rsidP="0032700B">
      <w:pPr>
        <w:jc w:val="both"/>
        <w:rPr>
          <w:rFonts w:ascii="Times New Roman" w:hAnsi="Times New Roman" w:cs="Times New Roman"/>
          <w:sz w:val="24"/>
          <w:szCs w:val="24"/>
        </w:rPr>
      </w:pPr>
      <w:r>
        <w:rPr>
          <w:rFonts w:ascii="Times New Roman" w:hAnsi="Times New Roman" w:cs="Times New Roman"/>
          <w:sz w:val="24"/>
          <w:szCs w:val="24"/>
        </w:rPr>
        <w:t>Readers of this journal are likely</w:t>
      </w:r>
      <w:r w:rsidR="00B3758F">
        <w:rPr>
          <w:rFonts w:ascii="Times New Roman" w:hAnsi="Times New Roman" w:cs="Times New Roman"/>
          <w:sz w:val="24"/>
          <w:szCs w:val="24"/>
        </w:rPr>
        <w:t xml:space="preserve"> already</w:t>
      </w:r>
      <w:r>
        <w:rPr>
          <w:rFonts w:ascii="Times New Roman" w:hAnsi="Times New Roman" w:cs="Times New Roman"/>
          <w:sz w:val="24"/>
          <w:szCs w:val="24"/>
        </w:rPr>
        <w:t xml:space="preserve"> familiar with the</w:t>
      </w:r>
      <w:r w:rsidR="00C763E6">
        <w:rPr>
          <w:rFonts w:ascii="Times New Roman" w:hAnsi="Times New Roman" w:cs="Times New Roman"/>
          <w:sz w:val="24"/>
          <w:szCs w:val="24"/>
        </w:rPr>
        <w:t xml:space="preserve"> DHP</w:t>
      </w:r>
      <w:r>
        <w:rPr>
          <w:rFonts w:ascii="Times New Roman" w:hAnsi="Times New Roman" w:cs="Times New Roman"/>
          <w:sz w:val="24"/>
          <w:szCs w:val="24"/>
        </w:rPr>
        <w:t xml:space="preserve"> scheme. </w:t>
      </w:r>
      <w:r w:rsidR="00A67542">
        <w:rPr>
          <w:rFonts w:ascii="Times New Roman" w:hAnsi="Times New Roman" w:cs="Times New Roman"/>
          <w:sz w:val="24"/>
          <w:szCs w:val="24"/>
        </w:rPr>
        <w:t xml:space="preserve">Underpinned by the Discretionary Financial Assistance Regulations 2001, the payment of DHPs are made at the discretion of Local Authorities to those in receipt of housing benefit who require assistance with their housing costs. </w:t>
      </w:r>
      <w:r w:rsidR="00F65F05">
        <w:rPr>
          <w:rFonts w:ascii="Times New Roman" w:hAnsi="Times New Roman" w:cs="Times New Roman"/>
          <w:sz w:val="24"/>
          <w:szCs w:val="24"/>
        </w:rPr>
        <w:t>Th</w:t>
      </w:r>
      <w:r w:rsidR="00D556DE">
        <w:rPr>
          <w:rFonts w:ascii="Times New Roman" w:hAnsi="Times New Roman" w:cs="Times New Roman"/>
          <w:sz w:val="24"/>
          <w:szCs w:val="24"/>
        </w:rPr>
        <w:t>is historically small</w:t>
      </w:r>
      <w:r w:rsidR="00F65F05">
        <w:rPr>
          <w:rFonts w:ascii="Times New Roman" w:hAnsi="Times New Roman" w:cs="Times New Roman"/>
          <w:sz w:val="24"/>
          <w:szCs w:val="24"/>
        </w:rPr>
        <w:t xml:space="preserve"> fund has </w:t>
      </w:r>
      <w:r w:rsidR="00D556DE">
        <w:rPr>
          <w:rFonts w:ascii="Times New Roman" w:hAnsi="Times New Roman" w:cs="Times New Roman"/>
          <w:sz w:val="24"/>
          <w:szCs w:val="24"/>
        </w:rPr>
        <w:t>evolved into a £140 million per annum</w:t>
      </w:r>
      <w:r w:rsidR="00F65F05">
        <w:rPr>
          <w:rFonts w:ascii="Times New Roman" w:hAnsi="Times New Roman" w:cs="Times New Roman"/>
          <w:sz w:val="24"/>
          <w:szCs w:val="24"/>
        </w:rPr>
        <w:t xml:space="preserve"> sticking plaster in the wake of the Welfare Reform Act 2012 and Welfare Reform and Work Act 2016 reforms</w:t>
      </w:r>
      <w:r w:rsidR="00D556DE">
        <w:rPr>
          <w:rFonts w:ascii="Times New Roman" w:hAnsi="Times New Roman" w:cs="Times New Roman"/>
          <w:sz w:val="24"/>
          <w:szCs w:val="24"/>
        </w:rPr>
        <w:t>. Their availability is referred to routinely by Government ministers and by their lawyers in the courts as a means of off-setting high profile cuts to housing benefit, such as the “benefit cap,” “bedroom tax” and freezes/reductions to Local Housing Allowance.</w:t>
      </w:r>
    </w:p>
    <w:p w14:paraId="0914057D" w14:textId="192DACEE" w:rsidR="00977FB8" w:rsidRPr="00977FB8" w:rsidRDefault="00D556DE" w:rsidP="0032700B">
      <w:pPr>
        <w:jc w:val="both"/>
        <w:rPr>
          <w:rFonts w:ascii="Times New Roman" w:hAnsi="Times New Roman" w:cs="Times New Roman"/>
          <w:sz w:val="24"/>
          <w:szCs w:val="24"/>
        </w:rPr>
      </w:pPr>
      <w:r>
        <w:rPr>
          <w:rFonts w:ascii="Times New Roman" w:hAnsi="Times New Roman" w:cs="Times New Roman"/>
          <w:sz w:val="24"/>
          <w:szCs w:val="24"/>
        </w:rPr>
        <w:t>Their central role in this “Plan for DWP Excellence” demonstrates the Government’s continued faith in these payments’ “</w:t>
      </w:r>
      <w:proofErr w:type="spellStart"/>
      <w:r>
        <w:rPr>
          <w:rFonts w:ascii="Times New Roman" w:hAnsi="Times New Roman" w:cs="Times New Roman"/>
          <w:sz w:val="24"/>
          <w:szCs w:val="24"/>
        </w:rPr>
        <w:t>panacean</w:t>
      </w:r>
      <w:proofErr w:type="spellEnd"/>
      <w:r>
        <w:rPr>
          <w:rFonts w:ascii="Times New Roman" w:hAnsi="Times New Roman" w:cs="Times New Roman"/>
          <w:sz w:val="24"/>
          <w:szCs w:val="24"/>
        </w:rPr>
        <w:t>” status.</w:t>
      </w:r>
      <w:r>
        <w:rPr>
          <w:rStyle w:val="FootnoteReference"/>
          <w:rFonts w:ascii="Times New Roman" w:hAnsi="Times New Roman" w:cs="Times New Roman"/>
          <w:sz w:val="24"/>
          <w:szCs w:val="24"/>
        </w:rPr>
        <w:footnoteReference w:id="3"/>
      </w:r>
      <w:r w:rsidR="00C763E6">
        <w:rPr>
          <w:rFonts w:ascii="Times New Roman" w:hAnsi="Times New Roman" w:cs="Times New Roman"/>
          <w:sz w:val="24"/>
          <w:szCs w:val="24"/>
        </w:rPr>
        <w:t xml:space="preserve"> </w:t>
      </w:r>
      <w:r w:rsidR="002A25D0">
        <w:rPr>
          <w:rFonts w:ascii="Times New Roman" w:hAnsi="Times New Roman" w:cs="Times New Roman"/>
          <w:sz w:val="24"/>
          <w:szCs w:val="24"/>
        </w:rPr>
        <w:t xml:space="preserve">However, as indicated in a series of recent </w:t>
      </w:r>
      <w:r w:rsidR="002A25D0">
        <w:rPr>
          <w:rFonts w:ascii="Times New Roman" w:hAnsi="Times New Roman" w:cs="Times New Roman"/>
          <w:sz w:val="24"/>
          <w:szCs w:val="24"/>
        </w:rPr>
        <w:lastRenderedPageBreak/>
        <w:t>judgments, the administ</w:t>
      </w:r>
      <w:r w:rsidR="00977FB8">
        <w:rPr>
          <w:rFonts w:ascii="Times New Roman" w:hAnsi="Times New Roman" w:cs="Times New Roman"/>
          <w:sz w:val="24"/>
          <w:szCs w:val="24"/>
        </w:rPr>
        <w:t>ration of these payments by local authorities poses a</w:t>
      </w:r>
      <w:r w:rsidR="002A25D0">
        <w:rPr>
          <w:rFonts w:ascii="Times New Roman" w:hAnsi="Times New Roman" w:cs="Times New Roman"/>
          <w:sz w:val="24"/>
          <w:szCs w:val="24"/>
        </w:rPr>
        <w:t xml:space="preserve"> series of problems. This article focuses on one such case, </w:t>
      </w:r>
      <w:r w:rsidR="002A25D0" w:rsidRPr="002A25D0">
        <w:rPr>
          <w:rFonts w:ascii="Times New Roman" w:hAnsi="Times New Roman" w:cs="Times New Roman"/>
          <w:i/>
          <w:sz w:val="24"/>
          <w:szCs w:val="24"/>
        </w:rPr>
        <w:t xml:space="preserve">R (on the Application of </w:t>
      </w:r>
      <w:proofErr w:type="spellStart"/>
      <w:r w:rsidR="002A25D0" w:rsidRPr="002A25D0">
        <w:rPr>
          <w:rFonts w:ascii="Times New Roman" w:hAnsi="Times New Roman" w:cs="Times New Roman"/>
          <w:i/>
          <w:sz w:val="24"/>
          <w:szCs w:val="24"/>
        </w:rPr>
        <w:t>Rehoune</w:t>
      </w:r>
      <w:proofErr w:type="spellEnd"/>
      <w:r w:rsidR="002A25D0" w:rsidRPr="002A25D0">
        <w:rPr>
          <w:rFonts w:ascii="Times New Roman" w:hAnsi="Times New Roman" w:cs="Times New Roman"/>
          <w:i/>
          <w:sz w:val="24"/>
          <w:szCs w:val="24"/>
        </w:rPr>
        <w:t>) v London Borough of Islington</w:t>
      </w:r>
      <w:r w:rsidR="002A25D0">
        <w:rPr>
          <w:rFonts w:ascii="Times New Roman" w:hAnsi="Times New Roman" w:cs="Times New Roman"/>
          <w:sz w:val="24"/>
          <w:szCs w:val="24"/>
        </w:rPr>
        <w:t xml:space="preserve"> </w:t>
      </w:r>
      <w:r w:rsidR="002A25D0" w:rsidRPr="002A25D0">
        <w:rPr>
          <w:rFonts w:ascii="Times New Roman" w:hAnsi="Times New Roman" w:cs="Times New Roman"/>
          <w:sz w:val="24"/>
          <w:szCs w:val="24"/>
        </w:rPr>
        <w:t>[2019] EWHC 371 (Admin)</w:t>
      </w:r>
      <w:r w:rsidR="002A25D0">
        <w:rPr>
          <w:rFonts w:ascii="Times New Roman" w:hAnsi="Times New Roman" w:cs="Times New Roman"/>
          <w:sz w:val="24"/>
          <w:szCs w:val="24"/>
        </w:rPr>
        <w:t xml:space="preserve">, to illustrate </w:t>
      </w:r>
      <w:r w:rsidR="00977FB8">
        <w:rPr>
          <w:rFonts w:ascii="Times New Roman" w:hAnsi="Times New Roman" w:cs="Times New Roman"/>
          <w:sz w:val="24"/>
          <w:szCs w:val="24"/>
        </w:rPr>
        <w:t>key</w:t>
      </w:r>
      <w:r w:rsidR="003E1D41">
        <w:rPr>
          <w:rFonts w:ascii="Times New Roman" w:hAnsi="Times New Roman" w:cs="Times New Roman"/>
          <w:sz w:val="24"/>
          <w:szCs w:val="24"/>
        </w:rPr>
        <w:t xml:space="preserve"> issues in the administration of the DHP scheme.</w:t>
      </w:r>
      <w:r w:rsidR="00977FB8">
        <w:rPr>
          <w:rFonts w:ascii="Times New Roman" w:hAnsi="Times New Roman" w:cs="Times New Roman"/>
          <w:b/>
          <w:sz w:val="24"/>
          <w:szCs w:val="24"/>
        </w:rPr>
        <w:t xml:space="preserve"> </w:t>
      </w:r>
      <w:r w:rsidR="00977FB8">
        <w:rPr>
          <w:rFonts w:ascii="Times New Roman" w:hAnsi="Times New Roman" w:cs="Times New Roman"/>
          <w:sz w:val="24"/>
          <w:szCs w:val="24"/>
        </w:rPr>
        <w:t xml:space="preserve">First, the widespread expectation that applicants will contribute to a deficiency in housing benefit by diverting income from other social security payments. Second, the laborious and </w:t>
      </w:r>
      <w:r w:rsidR="009E3231">
        <w:rPr>
          <w:rFonts w:ascii="Times New Roman" w:hAnsi="Times New Roman" w:cs="Times New Roman"/>
          <w:sz w:val="24"/>
          <w:szCs w:val="24"/>
        </w:rPr>
        <w:t>sometimes</w:t>
      </w:r>
      <w:r w:rsidR="00977FB8">
        <w:rPr>
          <w:rFonts w:ascii="Times New Roman" w:hAnsi="Times New Roman" w:cs="Times New Roman"/>
          <w:sz w:val="24"/>
          <w:szCs w:val="24"/>
        </w:rPr>
        <w:t xml:space="preserve"> unwarranted administrative processes and evidential requirements tied to applications. Third, the ongoing deficit between the scale of housing benefit reductions, and available funding under the DHP scheme. After an outline of the decision in </w:t>
      </w:r>
      <w:proofErr w:type="spellStart"/>
      <w:r w:rsidR="00977FB8">
        <w:rPr>
          <w:rFonts w:ascii="Times New Roman" w:hAnsi="Times New Roman" w:cs="Times New Roman"/>
          <w:i/>
          <w:sz w:val="24"/>
          <w:szCs w:val="24"/>
        </w:rPr>
        <w:t>Rehoune</w:t>
      </w:r>
      <w:proofErr w:type="spellEnd"/>
      <w:r w:rsidR="00977FB8">
        <w:rPr>
          <w:rFonts w:ascii="Times New Roman" w:hAnsi="Times New Roman" w:cs="Times New Roman"/>
          <w:sz w:val="24"/>
          <w:szCs w:val="24"/>
        </w:rPr>
        <w:t>, each of these broader issues stemming from the case will be dealt with in turn.</w:t>
      </w:r>
    </w:p>
    <w:p w14:paraId="602332EC" w14:textId="77777777" w:rsidR="003E1D41" w:rsidRDefault="003E1D41" w:rsidP="0032700B">
      <w:pPr>
        <w:jc w:val="both"/>
        <w:rPr>
          <w:rFonts w:ascii="Times New Roman" w:hAnsi="Times New Roman" w:cs="Times New Roman"/>
          <w:b/>
          <w:sz w:val="24"/>
          <w:szCs w:val="24"/>
        </w:rPr>
      </w:pPr>
      <w:r>
        <w:rPr>
          <w:rFonts w:ascii="Times New Roman" w:hAnsi="Times New Roman" w:cs="Times New Roman"/>
          <w:b/>
          <w:sz w:val="24"/>
          <w:szCs w:val="24"/>
        </w:rPr>
        <w:t>The facts</w:t>
      </w:r>
    </w:p>
    <w:p w14:paraId="41656F83" w14:textId="77777777" w:rsidR="003E1D41" w:rsidRDefault="0056149F" w:rsidP="0032700B">
      <w:pPr>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Pr="0056149F">
        <w:rPr>
          <w:rFonts w:ascii="Times New Roman" w:hAnsi="Times New Roman" w:cs="Times New Roman"/>
          <w:sz w:val="24"/>
          <w:szCs w:val="24"/>
        </w:rPr>
        <w:t>Rehoune</w:t>
      </w:r>
      <w:proofErr w:type="spellEnd"/>
      <w:r>
        <w:rPr>
          <w:rFonts w:ascii="Times New Roman" w:hAnsi="Times New Roman" w:cs="Times New Roman"/>
          <w:sz w:val="24"/>
          <w:szCs w:val="24"/>
        </w:rPr>
        <w:t xml:space="preserve"> </w:t>
      </w:r>
      <w:r w:rsidR="00FF6EEE">
        <w:rPr>
          <w:rFonts w:ascii="Times New Roman" w:hAnsi="Times New Roman" w:cs="Times New Roman"/>
          <w:sz w:val="24"/>
          <w:szCs w:val="24"/>
        </w:rPr>
        <w:t xml:space="preserve">is a single parent of three children living in </w:t>
      </w:r>
      <w:r w:rsidR="001B7079">
        <w:rPr>
          <w:rFonts w:ascii="Times New Roman" w:hAnsi="Times New Roman" w:cs="Times New Roman"/>
          <w:sz w:val="24"/>
          <w:szCs w:val="24"/>
        </w:rPr>
        <w:t>a former council house, now leased back to her by a private landlord, in central London.</w:t>
      </w:r>
      <w:r w:rsidR="00FF6EEE">
        <w:rPr>
          <w:rFonts w:ascii="Times New Roman" w:hAnsi="Times New Roman" w:cs="Times New Roman"/>
          <w:sz w:val="24"/>
          <w:szCs w:val="24"/>
        </w:rPr>
        <w:t xml:space="preserve"> </w:t>
      </w:r>
      <w:r w:rsidR="001B7079">
        <w:rPr>
          <w:rFonts w:ascii="Times New Roman" w:hAnsi="Times New Roman" w:cs="Times New Roman"/>
          <w:sz w:val="24"/>
          <w:szCs w:val="24"/>
        </w:rPr>
        <w:t>Her rent is £405 per week. She is affected by both the two-child limit for child-tax credit and the benefit cap, receiving £232.72 per week in non-housing benefit and – as a result of the imposition of the benefit cap through her housing benefit award – £209.51 in housing benefit.</w:t>
      </w:r>
      <w:r w:rsidR="001B7079">
        <w:rPr>
          <w:rStyle w:val="FootnoteReference"/>
          <w:rFonts w:ascii="Times New Roman" w:hAnsi="Times New Roman" w:cs="Times New Roman"/>
          <w:sz w:val="24"/>
          <w:szCs w:val="24"/>
        </w:rPr>
        <w:footnoteReference w:id="4"/>
      </w:r>
      <w:r w:rsidR="00004C4A">
        <w:rPr>
          <w:rFonts w:ascii="Times New Roman" w:hAnsi="Times New Roman" w:cs="Times New Roman"/>
          <w:sz w:val="24"/>
          <w:szCs w:val="24"/>
        </w:rPr>
        <w:t xml:space="preserve"> What emerges, therefore, is a familiar picture throughout many cities across the country: a very significant shortfall between housing benefit and rental liability, in this case to the tune of £195 per week.</w:t>
      </w:r>
    </w:p>
    <w:p w14:paraId="6B73BE04" w14:textId="3551D59B" w:rsidR="00004C4A" w:rsidRDefault="00520D87" w:rsidP="0032700B">
      <w:pPr>
        <w:jc w:val="both"/>
        <w:rPr>
          <w:rFonts w:ascii="Times New Roman" w:hAnsi="Times New Roman" w:cs="Times New Roman"/>
          <w:sz w:val="24"/>
          <w:szCs w:val="24"/>
        </w:rPr>
      </w:pPr>
      <w:r>
        <w:rPr>
          <w:rFonts w:ascii="Times New Roman" w:hAnsi="Times New Roman" w:cs="Times New Roman"/>
          <w:sz w:val="24"/>
          <w:szCs w:val="24"/>
        </w:rPr>
        <w:t>The Local Authority considered that the majority of this shortfall could be met by way of DHPs, but they would require the claimant to meet £15 a week of herself from her other income (</w:t>
      </w:r>
      <w:r w:rsidR="00C542C6">
        <w:rPr>
          <w:rFonts w:ascii="Times New Roman" w:hAnsi="Times New Roman" w:cs="Times New Roman"/>
          <w:sz w:val="24"/>
          <w:szCs w:val="24"/>
        </w:rPr>
        <w:t>ostensibly</w:t>
      </w:r>
      <w:r>
        <w:rPr>
          <w:rFonts w:ascii="Times New Roman" w:hAnsi="Times New Roman" w:cs="Times New Roman"/>
          <w:sz w:val="24"/>
          <w:szCs w:val="24"/>
        </w:rPr>
        <w:t xml:space="preserve">, from </w:t>
      </w:r>
      <w:r w:rsidR="00C542C6">
        <w:rPr>
          <w:rFonts w:ascii="Times New Roman" w:hAnsi="Times New Roman" w:cs="Times New Roman"/>
          <w:sz w:val="24"/>
          <w:szCs w:val="24"/>
        </w:rPr>
        <w:t>her weekly subsistence payments of non-housing benefits)</w:t>
      </w:r>
      <w:r w:rsidR="00E60C89">
        <w:rPr>
          <w:rFonts w:ascii="Times New Roman" w:hAnsi="Times New Roman" w:cs="Times New Roman"/>
          <w:sz w:val="24"/>
          <w:szCs w:val="24"/>
        </w:rPr>
        <w:t>. Following</w:t>
      </w:r>
      <w:r w:rsidR="00A31574">
        <w:rPr>
          <w:rFonts w:ascii="Times New Roman" w:hAnsi="Times New Roman" w:cs="Times New Roman"/>
          <w:sz w:val="24"/>
          <w:szCs w:val="24"/>
        </w:rPr>
        <w:t xml:space="preserve"> her initial application for DHP support and</w:t>
      </w:r>
      <w:r w:rsidR="00E60C89">
        <w:rPr>
          <w:rFonts w:ascii="Times New Roman" w:hAnsi="Times New Roman" w:cs="Times New Roman"/>
          <w:sz w:val="24"/>
          <w:szCs w:val="24"/>
        </w:rPr>
        <w:t xml:space="preserve"> representations by the claimant’s representatives, the Local Authority’s “Income Maximisation Team” (IMAX)</w:t>
      </w:r>
      <w:r w:rsidR="009E3231">
        <w:rPr>
          <w:rFonts w:ascii="Times New Roman" w:hAnsi="Times New Roman" w:cs="Times New Roman"/>
          <w:sz w:val="24"/>
          <w:szCs w:val="24"/>
        </w:rPr>
        <w:t xml:space="preserve"> that handles the administration of DHPs</w:t>
      </w:r>
      <w:r w:rsidR="00E60C89">
        <w:rPr>
          <w:rFonts w:ascii="Times New Roman" w:hAnsi="Times New Roman" w:cs="Times New Roman"/>
          <w:sz w:val="24"/>
          <w:szCs w:val="24"/>
        </w:rPr>
        <w:t xml:space="preserve">, required the claimant to apply for any additional support by </w:t>
      </w:r>
      <w:r w:rsidR="00A31574">
        <w:rPr>
          <w:rFonts w:ascii="Times New Roman" w:hAnsi="Times New Roman" w:cs="Times New Roman"/>
          <w:sz w:val="24"/>
          <w:szCs w:val="24"/>
        </w:rPr>
        <w:t>providing</w:t>
      </w:r>
      <w:r w:rsidR="00E60C89">
        <w:rPr>
          <w:rFonts w:ascii="Times New Roman" w:hAnsi="Times New Roman" w:cs="Times New Roman"/>
          <w:sz w:val="24"/>
          <w:szCs w:val="24"/>
        </w:rPr>
        <w:t>:</w:t>
      </w:r>
    </w:p>
    <w:p w14:paraId="524D9FF4" w14:textId="77777777" w:rsidR="00E60C89" w:rsidRPr="00E60C89" w:rsidRDefault="00E60C89" w:rsidP="00E60C89">
      <w:pPr>
        <w:ind w:left="709"/>
        <w:jc w:val="both"/>
        <w:rPr>
          <w:rFonts w:ascii="Times New Roman" w:hAnsi="Times New Roman" w:cs="Times New Roman"/>
          <w:sz w:val="24"/>
          <w:szCs w:val="24"/>
        </w:rPr>
      </w:pPr>
      <w:proofErr w:type="spellStart"/>
      <w:r w:rsidRPr="00E60C89">
        <w:rPr>
          <w:rFonts w:ascii="Times New Roman" w:hAnsi="Times New Roman" w:cs="Times New Roman"/>
          <w:sz w:val="24"/>
          <w:szCs w:val="24"/>
        </w:rPr>
        <w:t>i</w:t>
      </w:r>
      <w:proofErr w:type="spellEnd"/>
      <w:r w:rsidRPr="00E60C89">
        <w:rPr>
          <w:rFonts w:ascii="Times New Roman" w:hAnsi="Times New Roman" w:cs="Times New Roman"/>
          <w:sz w:val="24"/>
          <w:szCs w:val="24"/>
        </w:rPr>
        <w:t xml:space="preserve">.  </w:t>
      </w:r>
      <w:r>
        <w:rPr>
          <w:rFonts w:ascii="Times New Roman" w:hAnsi="Times New Roman" w:cs="Times New Roman"/>
          <w:sz w:val="24"/>
          <w:szCs w:val="24"/>
        </w:rPr>
        <w:t>R</w:t>
      </w:r>
      <w:r w:rsidRPr="00E60C89">
        <w:rPr>
          <w:rFonts w:ascii="Times New Roman" w:hAnsi="Times New Roman" w:cs="Times New Roman"/>
          <w:sz w:val="24"/>
          <w:szCs w:val="24"/>
        </w:rPr>
        <w:t>eceipts for a six-week period to support her expenditure of £150 per week on grocery shopping.</w:t>
      </w:r>
    </w:p>
    <w:p w14:paraId="06FE4144" w14:textId="1F7C6E1B" w:rsidR="00E60C89" w:rsidRPr="00E60C89" w:rsidRDefault="00E60C89" w:rsidP="00E60C89">
      <w:pPr>
        <w:ind w:left="709"/>
        <w:jc w:val="both"/>
        <w:rPr>
          <w:rFonts w:ascii="Times New Roman" w:hAnsi="Times New Roman" w:cs="Times New Roman"/>
          <w:sz w:val="24"/>
          <w:szCs w:val="24"/>
        </w:rPr>
      </w:pPr>
      <w:r w:rsidRPr="00E60C89">
        <w:rPr>
          <w:rFonts w:ascii="Times New Roman" w:hAnsi="Times New Roman" w:cs="Times New Roman"/>
          <w:sz w:val="24"/>
          <w:szCs w:val="24"/>
        </w:rPr>
        <w:t xml:space="preserve">ii. </w:t>
      </w:r>
      <w:r>
        <w:rPr>
          <w:rFonts w:ascii="Times New Roman" w:hAnsi="Times New Roman" w:cs="Times New Roman"/>
          <w:sz w:val="24"/>
          <w:szCs w:val="24"/>
        </w:rPr>
        <w:t>R</w:t>
      </w:r>
      <w:r w:rsidRPr="00E60C89">
        <w:rPr>
          <w:rFonts w:ascii="Times New Roman" w:hAnsi="Times New Roman" w:cs="Times New Roman"/>
          <w:sz w:val="24"/>
          <w:szCs w:val="24"/>
        </w:rPr>
        <w:t>eceipts to support the expenditure of £30 per week for clothing and footwear; and</w:t>
      </w:r>
    </w:p>
    <w:p w14:paraId="631A7736" w14:textId="77777777" w:rsidR="00E60C89" w:rsidRPr="00E60C89" w:rsidRDefault="00E60C89" w:rsidP="00E60C89">
      <w:pPr>
        <w:ind w:left="709"/>
        <w:jc w:val="both"/>
        <w:rPr>
          <w:rFonts w:ascii="Times New Roman" w:hAnsi="Times New Roman" w:cs="Times New Roman"/>
          <w:sz w:val="24"/>
          <w:szCs w:val="24"/>
        </w:rPr>
      </w:pPr>
      <w:r w:rsidRPr="00E60C89">
        <w:rPr>
          <w:rFonts w:ascii="Times New Roman" w:hAnsi="Times New Roman" w:cs="Times New Roman"/>
          <w:sz w:val="24"/>
          <w:szCs w:val="24"/>
        </w:rPr>
        <w:t xml:space="preserve">iii.  </w:t>
      </w:r>
      <w:r>
        <w:rPr>
          <w:rFonts w:ascii="Times New Roman" w:hAnsi="Times New Roman" w:cs="Times New Roman"/>
          <w:sz w:val="24"/>
          <w:szCs w:val="24"/>
        </w:rPr>
        <w:t>F</w:t>
      </w:r>
      <w:r w:rsidRPr="00E60C89">
        <w:rPr>
          <w:rFonts w:ascii="Times New Roman" w:hAnsi="Times New Roman" w:cs="Times New Roman"/>
          <w:sz w:val="24"/>
          <w:szCs w:val="24"/>
        </w:rPr>
        <w:t>urther information about the sum of £10 per week spent on "children's expenses/childcare."</w:t>
      </w:r>
    </w:p>
    <w:p w14:paraId="095C4496" w14:textId="77777777" w:rsidR="00D84F09" w:rsidRDefault="00A31574" w:rsidP="0032700B">
      <w:pPr>
        <w:jc w:val="both"/>
        <w:rPr>
          <w:rFonts w:ascii="Times New Roman" w:hAnsi="Times New Roman" w:cs="Times New Roman"/>
          <w:sz w:val="24"/>
          <w:szCs w:val="24"/>
        </w:rPr>
      </w:pPr>
      <w:r>
        <w:rPr>
          <w:rFonts w:ascii="Times New Roman" w:hAnsi="Times New Roman" w:cs="Times New Roman"/>
          <w:sz w:val="24"/>
          <w:szCs w:val="24"/>
        </w:rPr>
        <w:t xml:space="preserve">The claimant’s representatives contended that these requirements were unnecessary given that Ms </w:t>
      </w:r>
      <w:proofErr w:type="spellStart"/>
      <w:r w:rsidRPr="00A31574">
        <w:rPr>
          <w:rFonts w:ascii="Times New Roman" w:hAnsi="Times New Roman" w:cs="Times New Roman"/>
          <w:sz w:val="24"/>
          <w:szCs w:val="24"/>
        </w:rPr>
        <w:t>Rehoune</w:t>
      </w:r>
      <w:r>
        <w:rPr>
          <w:rFonts w:ascii="Times New Roman" w:hAnsi="Times New Roman" w:cs="Times New Roman"/>
          <w:sz w:val="24"/>
          <w:szCs w:val="24"/>
        </w:rPr>
        <w:t>’s</w:t>
      </w:r>
      <w:proofErr w:type="spellEnd"/>
      <w:r>
        <w:rPr>
          <w:rFonts w:ascii="Times New Roman" w:hAnsi="Times New Roman" w:cs="Times New Roman"/>
          <w:sz w:val="24"/>
          <w:szCs w:val="24"/>
        </w:rPr>
        <w:t xml:space="preserve"> income</w:t>
      </w:r>
      <w:r w:rsidR="00BD1662">
        <w:rPr>
          <w:rFonts w:ascii="Times New Roman" w:hAnsi="Times New Roman" w:cs="Times New Roman"/>
          <w:sz w:val="24"/>
          <w:szCs w:val="24"/>
        </w:rPr>
        <w:t xml:space="preserve"> consisted entirely of subsistence benefits and – </w:t>
      </w:r>
      <w:proofErr w:type="gramStart"/>
      <w:r w:rsidR="00BD1662">
        <w:rPr>
          <w:rFonts w:ascii="Times New Roman" w:hAnsi="Times New Roman" w:cs="Times New Roman"/>
          <w:sz w:val="24"/>
          <w:szCs w:val="24"/>
        </w:rPr>
        <w:t>as a result</w:t>
      </w:r>
      <w:proofErr w:type="gramEnd"/>
      <w:r w:rsidR="00BD1662">
        <w:rPr>
          <w:rFonts w:ascii="Times New Roman" w:hAnsi="Times New Roman" w:cs="Times New Roman"/>
          <w:sz w:val="24"/>
          <w:szCs w:val="24"/>
        </w:rPr>
        <w:t xml:space="preserve"> of the two-child limit – was </w:t>
      </w:r>
      <w:r w:rsidR="00381863">
        <w:rPr>
          <w:rFonts w:ascii="Times New Roman" w:hAnsi="Times New Roman" w:cs="Times New Roman"/>
          <w:sz w:val="24"/>
          <w:szCs w:val="24"/>
        </w:rPr>
        <w:t>even below what would ordinarily be considered the minimum floor under Universal Credit</w:t>
      </w:r>
      <w:r w:rsidR="00BD1662">
        <w:rPr>
          <w:rFonts w:ascii="Times New Roman" w:hAnsi="Times New Roman" w:cs="Times New Roman"/>
          <w:sz w:val="24"/>
          <w:szCs w:val="24"/>
        </w:rPr>
        <w:t>.</w:t>
      </w:r>
      <w:r w:rsidR="00D84F09">
        <w:rPr>
          <w:rFonts w:ascii="Times New Roman" w:hAnsi="Times New Roman" w:cs="Times New Roman"/>
          <w:sz w:val="24"/>
          <w:szCs w:val="24"/>
        </w:rPr>
        <w:t xml:space="preserve"> After a substantial gap in correspondence, judicial review proceedings were then issued</w:t>
      </w:r>
      <w:r w:rsidR="00C23CCC">
        <w:rPr>
          <w:rFonts w:ascii="Times New Roman" w:hAnsi="Times New Roman" w:cs="Times New Roman"/>
          <w:sz w:val="24"/>
          <w:szCs w:val="24"/>
        </w:rPr>
        <w:t xml:space="preserve"> against the Local Authority.</w:t>
      </w:r>
    </w:p>
    <w:p w14:paraId="33BFEC89" w14:textId="77777777" w:rsidR="00C23CCC" w:rsidRDefault="00C23CCC" w:rsidP="0032700B">
      <w:pPr>
        <w:jc w:val="both"/>
        <w:rPr>
          <w:rFonts w:ascii="Times New Roman" w:hAnsi="Times New Roman" w:cs="Times New Roman"/>
          <w:b/>
          <w:sz w:val="24"/>
          <w:szCs w:val="24"/>
        </w:rPr>
      </w:pPr>
      <w:r>
        <w:rPr>
          <w:rFonts w:ascii="Times New Roman" w:hAnsi="Times New Roman" w:cs="Times New Roman"/>
          <w:b/>
          <w:sz w:val="24"/>
          <w:szCs w:val="24"/>
        </w:rPr>
        <w:t>The challenge</w:t>
      </w:r>
    </w:p>
    <w:p w14:paraId="64E20687" w14:textId="77777777" w:rsidR="00C23CCC" w:rsidRDefault="00C23CCC" w:rsidP="0032700B">
      <w:pPr>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Pr="00A31574">
        <w:rPr>
          <w:rFonts w:ascii="Times New Roman" w:hAnsi="Times New Roman" w:cs="Times New Roman"/>
          <w:sz w:val="24"/>
          <w:szCs w:val="24"/>
        </w:rPr>
        <w:t>Rehoune</w:t>
      </w:r>
      <w:r>
        <w:rPr>
          <w:rFonts w:ascii="Times New Roman" w:hAnsi="Times New Roman" w:cs="Times New Roman"/>
          <w:sz w:val="24"/>
          <w:szCs w:val="24"/>
        </w:rPr>
        <w:t>’s</w:t>
      </w:r>
      <w:proofErr w:type="spellEnd"/>
      <w:r>
        <w:rPr>
          <w:rFonts w:ascii="Times New Roman" w:hAnsi="Times New Roman" w:cs="Times New Roman"/>
          <w:sz w:val="24"/>
          <w:szCs w:val="24"/>
        </w:rPr>
        <w:t xml:space="preserve"> challenge was two-fold: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that the London Borough of Islington had an unlawful policy of requiring all DHP applicants to pay</w:t>
      </w:r>
      <w:r w:rsidR="00381863">
        <w:rPr>
          <w:rFonts w:ascii="Times New Roman" w:hAnsi="Times New Roman" w:cs="Times New Roman"/>
          <w:sz w:val="24"/>
          <w:szCs w:val="24"/>
        </w:rPr>
        <w:t xml:space="preserve"> the first £15 of any shortfall</w:t>
      </w:r>
      <w:r>
        <w:rPr>
          <w:rFonts w:ascii="Times New Roman" w:hAnsi="Times New Roman" w:cs="Times New Roman"/>
          <w:sz w:val="24"/>
          <w:szCs w:val="24"/>
        </w:rPr>
        <w:t xml:space="preserve"> and that (ii) the decision to require Ms </w:t>
      </w:r>
      <w:proofErr w:type="spellStart"/>
      <w:r>
        <w:rPr>
          <w:rFonts w:ascii="Times New Roman" w:hAnsi="Times New Roman" w:cs="Times New Roman"/>
          <w:sz w:val="24"/>
          <w:szCs w:val="24"/>
        </w:rPr>
        <w:t>Rehoune</w:t>
      </w:r>
      <w:proofErr w:type="spellEnd"/>
      <w:r>
        <w:rPr>
          <w:rFonts w:ascii="Times New Roman" w:hAnsi="Times New Roman" w:cs="Times New Roman"/>
          <w:sz w:val="24"/>
          <w:szCs w:val="24"/>
        </w:rPr>
        <w:t xml:space="preserve"> to pay £15 towards her shortfall is unlawful independent of the</w:t>
      </w:r>
      <w:r w:rsidR="00C04A8B">
        <w:rPr>
          <w:rFonts w:ascii="Times New Roman" w:hAnsi="Times New Roman" w:cs="Times New Roman"/>
          <w:sz w:val="24"/>
          <w:szCs w:val="24"/>
        </w:rPr>
        <w:t xml:space="preserve"> existence of any such</w:t>
      </w:r>
      <w:r>
        <w:rPr>
          <w:rFonts w:ascii="Times New Roman" w:hAnsi="Times New Roman" w:cs="Times New Roman"/>
          <w:sz w:val="24"/>
          <w:szCs w:val="24"/>
        </w:rPr>
        <w:t xml:space="preserve"> policy.</w:t>
      </w:r>
      <w:r w:rsidR="00E47EC8">
        <w:rPr>
          <w:rFonts w:ascii="Times New Roman" w:hAnsi="Times New Roman" w:cs="Times New Roman"/>
          <w:sz w:val="24"/>
          <w:szCs w:val="24"/>
        </w:rPr>
        <w:t xml:space="preserve"> On the former, the claimant argued that </w:t>
      </w:r>
      <w:r w:rsidR="00FE08DE">
        <w:rPr>
          <w:rFonts w:ascii="Times New Roman" w:hAnsi="Times New Roman" w:cs="Times New Roman"/>
          <w:sz w:val="24"/>
          <w:szCs w:val="24"/>
        </w:rPr>
        <w:t xml:space="preserve">imposing such a requirement would be an unlawful fetter on the operation of the DHP scheme, </w:t>
      </w:r>
      <w:r w:rsidR="00FE08DE">
        <w:rPr>
          <w:rFonts w:ascii="Times New Roman" w:hAnsi="Times New Roman" w:cs="Times New Roman"/>
          <w:sz w:val="24"/>
          <w:szCs w:val="24"/>
        </w:rPr>
        <w:lastRenderedPageBreak/>
        <w:t xml:space="preserve">and failed to have regard to relevant considerations – particularly the impact of the two-child policy for Child Tax Credit under the amended </w:t>
      </w:r>
      <w:r w:rsidR="00FE08DE" w:rsidRPr="00FE08DE">
        <w:rPr>
          <w:rFonts w:ascii="Times New Roman" w:hAnsi="Times New Roman" w:cs="Times New Roman"/>
          <w:sz w:val="24"/>
          <w:szCs w:val="24"/>
        </w:rPr>
        <w:t>s.11 Children Act 2004</w:t>
      </w:r>
      <w:r w:rsidR="00FE08DE">
        <w:rPr>
          <w:rFonts w:ascii="Times New Roman" w:hAnsi="Times New Roman" w:cs="Times New Roman"/>
          <w:sz w:val="24"/>
          <w:szCs w:val="24"/>
        </w:rPr>
        <w:t xml:space="preserve"> on applicants’ incomes.</w:t>
      </w:r>
      <w:r w:rsidR="00344C74">
        <w:rPr>
          <w:rFonts w:ascii="Times New Roman" w:hAnsi="Times New Roman" w:cs="Times New Roman"/>
          <w:sz w:val="24"/>
          <w:szCs w:val="24"/>
        </w:rPr>
        <w:t xml:space="preserve"> </w:t>
      </w:r>
    </w:p>
    <w:p w14:paraId="4E21632D" w14:textId="77777777" w:rsidR="00344C74" w:rsidRDefault="00A519E5" w:rsidP="0032700B">
      <w:pPr>
        <w:jc w:val="both"/>
        <w:rPr>
          <w:rFonts w:ascii="Times New Roman" w:hAnsi="Times New Roman" w:cs="Times New Roman"/>
          <w:sz w:val="24"/>
          <w:szCs w:val="24"/>
        </w:rPr>
      </w:pPr>
      <w:r>
        <w:rPr>
          <w:rFonts w:ascii="Times New Roman" w:hAnsi="Times New Roman" w:cs="Times New Roman"/>
          <w:sz w:val="24"/>
          <w:szCs w:val="24"/>
        </w:rPr>
        <w:t>The court considered that the Local Authority’s policy was not, in fact, a blanket require</w:t>
      </w:r>
      <w:r w:rsidR="00381863">
        <w:rPr>
          <w:rFonts w:ascii="Times New Roman" w:hAnsi="Times New Roman" w:cs="Times New Roman"/>
          <w:sz w:val="24"/>
          <w:szCs w:val="24"/>
        </w:rPr>
        <w:t>ment</w:t>
      </w:r>
      <w:r>
        <w:rPr>
          <w:rFonts w:ascii="Times New Roman" w:hAnsi="Times New Roman" w:cs="Times New Roman"/>
          <w:sz w:val="24"/>
          <w:szCs w:val="24"/>
        </w:rPr>
        <w:t xml:space="preserve"> to impose a £15 contribution on all DHP claimants. Rather, as indicated in paragraph 8.1 of th</w:t>
      </w:r>
      <w:r w:rsidR="00381863">
        <w:rPr>
          <w:rFonts w:ascii="Times New Roman" w:hAnsi="Times New Roman" w:cs="Times New Roman"/>
          <w:sz w:val="24"/>
          <w:szCs w:val="24"/>
        </w:rPr>
        <w:t>eir policy on the award of DHPs, it required a broader discretion to be exercised on a case-by-case basis that may absolve individual applicants from any contributions:</w:t>
      </w:r>
    </w:p>
    <w:p w14:paraId="71E69208" w14:textId="77777777" w:rsidR="00A519E5" w:rsidRDefault="00A519E5" w:rsidP="00A519E5">
      <w:pPr>
        <w:ind w:left="567"/>
        <w:jc w:val="both"/>
        <w:rPr>
          <w:rFonts w:ascii="Times New Roman" w:hAnsi="Times New Roman" w:cs="Times New Roman"/>
          <w:sz w:val="24"/>
          <w:szCs w:val="24"/>
        </w:rPr>
      </w:pPr>
      <w:r w:rsidRPr="00A519E5">
        <w:rPr>
          <w:rFonts w:ascii="Times New Roman" w:hAnsi="Times New Roman" w:cs="Times New Roman"/>
          <w:sz w:val="24"/>
          <w:szCs w:val="24"/>
        </w:rPr>
        <w:t>"For supplementing Housing Benefit (or its equivalent in Universal Credit), depending on the circumstances of the claimant, it may not be necessary in every case to cover the total shortfall. It could be decided to award a partial payment. Consideration will be given as to whether the claimant can afford to contribute to the shortfall including, for example, if they have a non-dependant who can afford to contribute."</w:t>
      </w:r>
      <w:r w:rsidR="00F55601">
        <w:rPr>
          <w:rStyle w:val="FootnoteReference"/>
          <w:rFonts w:ascii="Times New Roman" w:hAnsi="Times New Roman" w:cs="Times New Roman"/>
          <w:sz w:val="24"/>
          <w:szCs w:val="24"/>
        </w:rPr>
        <w:footnoteReference w:id="5"/>
      </w:r>
    </w:p>
    <w:p w14:paraId="357D3132" w14:textId="7E5897D9" w:rsidR="00723A88" w:rsidRDefault="00381863" w:rsidP="00723A88">
      <w:pPr>
        <w:jc w:val="both"/>
        <w:rPr>
          <w:rFonts w:ascii="Times New Roman" w:hAnsi="Times New Roman" w:cs="Times New Roman"/>
          <w:sz w:val="24"/>
          <w:szCs w:val="24"/>
        </w:rPr>
      </w:pPr>
      <w:r>
        <w:rPr>
          <w:rFonts w:ascii="Times New Roman" w:hAnsi="Times New Roman" w:cs="Times New Roman"/>
          <w:sz w:val="24"/>
          <w:szCs w:val="24"/>
        </w:rPr>
        <w:t xml:space="preserve">The exercise of this broader discretion </w:t>
      </w:r>
      <w:proofErr w:type="gramStart"/>
      <w:r>
        <w:rPr>
          <w:rFonts w:ascii="Times New Roman" w:hAnsi="Times New Roman" w:cs="Times New Roman"/>
          <w:sz w:val="24"/>
          <w:szCs w:val="24"/>
        </w:rPr>
        <w:t>was evidence</w:t>
      </w:r>
      <w:r w:rsidR="009E3231">
        <w:rPr>
          <w:rFonts w:ascii="Times New Roman" w:hAnsi="Times New Roman" w:cs="Times New Roman"/>
          <w:sz w:val="24"/>
          <w:szCs w:val="24"/>
        </w:rPr>
        <w:t>d</w:t>
      </w:r>
      <w:proofErr w:type="gramEnd"/>
      <w:r>
        <w:rPr>
          <w:rFonts w:ascii="Times New Roman" w:hAnsi="Times New Roman" w:cs="Times New Roman"/>
          <w:sz w:val="24"/>
          <w:szCs w:val="24"/>
        </w:rPr>
        <w:t xml:space="preserve"> in fact. Data</w:t>
      </w:r>
      <w:r w:rsidR="00A02C71">
        <w:rPr>
          <w:rFonts w:ascii="Times New Roman" w:hAnsi="Times New Roman" w:cs="Times New Roman"/>
          <w:sz w:val="24"/>
          <w:szCs w:val="24"/>
        </w:rPr>
        <w:t xml:space="preserve"> provide</w:t>
      </w:r>
      <w:r w:rsidR="009E3231">
        <w:rPr>
          <w:rFonts w:ascii="Times New Roman" w:hAnsi="Times New Roman" w:cs="Times New Roman"/>
          <w:sz w:val="24"/>
          <w:szCs w:val="24"/>
        </w:rPr>
        <w:t>d by the authority indicated they</w:t>
      </w:r>
      <w:r w:rsidR="00A02C71">
        <w:rPr>
          <w:rFonts w:ascii="Times New Roman" w:hAnsi="Times New Roman" w:cs="Times New Roman"/>
          <w:sz w:val="24"/>
          <w:szCs w:val="24"/>
        </w:rPr>
        <w:t xml:space="preserve"> </w:t>
      </w:r>
      <w:r w:rsidR="009E3231">
        <w:rPr>
          <w:rFonts w:ascii="Times New Roman" w:hAnsi="Times New Roman" w:cs="Times New Roman"/>
          <w:sz w:val="24"/>
          <w:szCs w:val="24"/>
        </w:rPr>
        <w:t xml:space="preserve">met a “full” shortfall </w:t>
      </w:r>
      <w:r w:rsidR="00A02C71">
        <w:rPr>
          <w:rFonts w:ascii="Times New Roman" w:hAnsi="Times New Roman" w:cs="Times New Roman"/>
          <w:sz w:val="24"/>
          <w:szCs w:val="24"/>
        </w:rPr>
        <w:t>in 181 cases, with 156 paying £15 a week, and 141 paying less than £15 per week</w:t>
      </w:r>
      <w:r w:rsidR="00E63832">
        <w:rPr>
          <w:rFonts w:ascii="Times New Roman" w:hAnsi="Times New Roman" w:cs="Times New Roman"/>
          <w:sz w:val="24"/>
          <w:szCs w:val="24"/>
        </w:rPr>
        <w:t>.</w:t>
      </w:r>
      <w:r w:rsidR="00E63832">
        <w:rPr>
          <w:rStyle w:val="FootnoteReference"/>
          <w:rFonts w:ascii="Times New Roman" w:hAnsi="Times New Roman" w:cs="Times New Roman"/>
          <w:sz w:val="24"/>
          <w:szCs w:val="24"/>
        </w:rPr>
        <w:footnoteReference w:id="6"/>
      </w:r>
      <w:r w:rsidR="007118A9">
        <w:rPr>
          <w:rFonts w:ascii="Times New Roman" w:hAnsi="Times New Roman" w:cs="Times New Roman"/>
          <w:sz w:val="24"/>
          <w:szCs w:val="24"/>
        </w:rPr>
        <w:t xml:space="preserve"> </w:t>
      </w:r>
      <w:proofErr w:type="gramStart"/>
      <w:r w:rsidR="00FA7CDB">
        <w:rPr>
          <w:rFonts w:ascii="Times New Roman" w:hAnsi="Times New Roman" w:cs="Times New Roman"/>
          <w:sz w:val="24"/>
          <w:szCs w:val="24"/>
        </w:rPr>
        <w:t>As a result</w:t>
      </w:r>
      <w:proofErr w:type="gramEnd"/>
      <w:r w:rsidR="00FA7CDB">
        <w:rPr>
          <w:rFonts w:ascii="Times New Roman" w:hAnsi="Times New Roman" w:cs="Times New Roman"/>
          <w:sz w:val="24"/>
          <w:szCs w:val="24"/>
        </w:rPr>
        <w:t xml:space="preserve"> of this evidence, the court determined that the</w:t>
      </w:r>
      <w:r w:rsidR="00861C7D">
        <w:rPr>
          <w:rFonts w:ascii="Times New Roman" w:hAnsi="Times New Roman" w:cs="Times New Roman"/>
          <w:sz w:val="24"/>
          <w:szCs w:val="24"/>
        </w:rPr>
        <w:t>re was a “</w:t>
      </w:r>
      <w:r w:rsidR="004F014B" w:rsidRPr="004F014B">
        <w:rPr>
          <w:rFonts w:ascii="Times New Roman" w:hAnsi="Times New Roman" w:cs="Times New Roman"/>
          <w:sz w:val="24"/>
          <w:szCs w:val="24"/>
        </w:rPr>
        <w:t>genuine willingness to depart from this "starting point" when the circumstances justify</w:t>
      </w:r>
      <w:r w:rsidR="004F014B">
        <w:rPr>
          <w:rFonts w:ascii="Times New Roman" w:hAnsi="Times New Roman" w:cs="Times New Roman"/>
          <w:sz w:val="24"/>
          <w:szCs w:val="24"/>
        </w:rPr>
        <w:t xml:space="preserve"> [it]” and the</w:t>
      </w:r>
      <w:r w:rsidR="00FA7CDB">
        <w:rPr>
          <w:rFonts w:ascii="Times New Roman" w:hAnsi="Times New Roman" w:cs="Times New Roman"/>
          <w:sz w:val="24"/>
          <w:szCs w:val="24"/>
        </w:rPr>
        <w:t xml:space="preserve"> policy did not operate as a blanket requirement</w:t>
      </w:r>
      <w:r w:rsidR="004F014B">
        <w:rPr>
          <w:rFonts w:ascii="Times New Roman" w:hAnsi="Times New Roman" w:cs="Times New Roman"/>
          <w:sz w:val="24"/>
          <w:szCs w:val="24"/>
        </w:rPr>
        <w:t>. C</w:t>
      </w:r>
      <w:r w:rsidR="00FA7CDB">
        <w:rPr>
          <w:rFonts w:ascii="Times New Roman" w:hAnsi="Times New Roman" w:cs="Times New Roman"/>
          <w:sz w:val="24"/>
          <w:szCs w:val="24"/>
        </w:rPr>
        <w:t>onsequently</w:t>
      </w:r>
      <w:r w:rsidR="004F014B">
        <w:rPr>
          <w:rFonts w:ascii="Times New Roman" w:hAnsi="Times New Roman" w:cs="Times New Roman"/>
          <w:sz w:val="24"/>
          <w:szCs w:val="24"/>
        </w:rPr>
        <w:t xml:space="preserve">, </w:t>
      </w:r>
      <w:r w:rsidR="00FA7CDB">
        <w:rPr>
          <w:rFonts w:ascii="Times New Roman" w:hAnsi="Times New Roman" w:cs="Times New Roman"/>
          <w:sz w:val="24"/>
          <w:szCs w:val="24"/>
        </w:rPr>
        <w:t>there was no fetter on the exercise of discretion under the DHP scheme.</w:t>
      </w:r>
      <w:r w:rsidR="00F10A41">
        <w:rPr>
          <w:rFonts w:ascii="Times New Roman" w:hAnsi="Times New Roman" w:cs="Times New Roman"/>
          <w:sz w:val="24"/>
          <w:szCs w:val="24"/>
        </w:rPr>
        <w:t xml:space="preserve"> The claimant’s arguments that using a £15 con</w:t>
      </w:r>
      <w:r>
        <w:rPr>
          <w:rFonts w:ascii="Times New Roman" w:hAnsi="Times New Roman" w:cs="Times New Roman"/>
          <w:sz w:val="24"/>
          <w:szCs w:val="24"/>
        </w:rPr>
        <w:t>tribution as starting point was</w:t>
      </w:r>
      <w:r w:rsidR="00F10A41">
        <w:rPr>
          <w:rFonts w:ascii="Times New Roman" w:hAnsi="Times New Roman" w:cs="Times New Roman"/>
          <w:sz w:val="24"/>
          <w:szCs w:val="24"/>
        </w:rPr>
        <w:t xml:space="preserve"> itself a fetter</w:t>
      </w:r>
      <w:r>
        <w:rPr>
          <w:rFonts w:ascii="Times New Roman" w:hAnsi="Times New Roman" w:cs="Times New Roman"/>
          <w:sz w:val="24"/>
          <w:szCs w:val="24"/>
        </w:rPr>
        <w:t xml:space="preserve"> on the exercise of discretion</w:t>
      </w:r>
      <w:r w:rsidR="00F10A41">
        <w:rPr>
          <w:rFonts w:ascii="Times New Roman" w:hAnsi="Times New Roman" w:cs="Times New Roman"/>
          <w:sz w:val="24"/>
          <w:szCs w:val="24"/>
        </w:rPr>
        <w:t xml:space="preserve"> were also dismissed by the court.</w:t>
      </w:r>
    </w:p>
    <w:p w14:paraId="1ED52169" w14:textId="77777777" w:rsidR="00DD3EE0" w:rsidRDefault="00F10A41" w:rsidP="00723A88">
      <w:pPr>
        <w:jc w:val="both"/>
        <w:rPr>
          <w:rFonts w:ascii="Times New Roman" w:hAnsi="Times New Roman" w:cs="Times New Roman"/>
          <w:sz w:val="24"/>
          <w:szCs w:val="24"/>
        </w:rPr>
      </w:pPr>
      <w:r>
        <w:rPr>
          <w:rFonts w:ascii="Times New Roman" w:hAnsi="Times New Roman" w:cs="Times New Roman"/>
          <w:sz w:val="24"/>
          <w:szCs w:val="24"/>
        </w:rPr>
        <w:t xml:space="preserve">Having dealt with this issue, the court halted its analysis of </w:t>
      </w:r>
      <w:r w:rsidR="00381863">
        <w:rPr>
          <w:rFonts w:ascii="Times New Roman" w:hAnsi="Times New Roman" w:cs="Times New Roman"/>
          <w:sz w:val="24"/>
          <w:szCs w:val="24"/>
        </w:rPr>
        <w:t>the remaining complaints</w:t>
      </w:r>
      <w:r>
        <w:rPr>
          <w:rFonts w:ascii="Times New Roman" w:hAnsi="Times New Roman" w:cs="Times New Roman"/>
          <w:sz w:val="24"/>
          <w:szCs w:val="24"/>
        </w:rPr>
        <w:t xml:space="preserve">, declining to </w:t>
      </w:r>
      <w:r w:rsidR="00DD3EE0">
        <w:rPr>
          <w:rFonts w:ascii="Times New Roman" w:hAnsi="Times New Roman" w:cs="Times New Roman"/>
          <w:sz w:val="24"/>
          <w:szCs w:val="24"/>
        </w:rPr>
        <w:t>deal with arguments on the failure to have regard to material considerations (such as the two-child limit) and the lawfulness of requiring the</w:t>
      </w:r>
      <w:r w:rsidR="00381863">
        <w:rPr>
          <w:rFonts w:ascii="Times New Roman" w:hAnsi="Times New Roman" w:cs="Times New Roman"/>
          <w:sz w:val="24"/>
          <w:szCs w:val="24"/>
        </w:rPr>
        <w:t xml:space="preserve"> applicant to pay the first £15 and/or the</w:t>
      </w:r>
      <w:r w:rsidR="00DD3EE0">
        <w:rPr>
          <w:rFonts w:ascii="Times New Roman" w:hAnsi="Times New Roman" w:cs="Times New Roman"/>
          <w:sz w:val="24"/>
          <w:szCs w:val="24"/>
        </w:rPr>
        <w:t xml:space="preserve"> DHP policy </w:t>
      </w:r>
      <w:r w:rsidR="00381863">
        <w:rPr>
          <w:rFonts w:ascii="Times New Roman" w:hAnsi="Times New Roman" w:cs="Times New Roman"/>
          <w:sz w:val="24"/>
          <w:szCs w:val="24"/>
        </w:rPr>
        <w:t xml:space="preserve">detailed </w:t>
      </w:r>
      <w:r w:rsidR="00DD3EE0">
        <w:rPr>
          <w:rFonts w:ascii="Times New Roman" w:hAnsi="Times New Roman" w:cs="Times New Roman"/>
          <w:sz w:val="24"/>
          <w:szCs w:val="24"/>
        </w:rPr>
        <w:t>by Islington Borough Council in general.</w:t>
      </w:r>
      <w:r w:rsidR="00F415D3">
        <w:rPr>
          <w:rFonts w:ascii="Times New Roman" w:hAnsi="Times New Roman" w:cs="Times New Roman"/>
          <w:sz w:val="24"/>
          <w:szCs w:val="24"/>
        </w:rPr>
        <w:t xml:space="preserve"> As the claimant had not completed the submission of her income and expenditure evidence and </w:t>
      </w:r>
      <w:r w:rsidR="00381863">
        <w:rPr>
          <w:rFonts w:ascii="Times New Roman" w:hAnsi="Times New Roman" w:cs="Times New Roman"/>
          <w:sz w:val="24"/>
          <w:szCs w:val="24"/>
        </w:rPr>
        <w:t xml:space="preserve">– as a result – had not </w:t>
      </w:r>
      <w:r w:rsidR="00F415D3">
        <w:rPr>
          <w:rFonts w:ascii="Times New Roman" w:hAnsi="Times New Roman" w:cs="Times New Roman"/>
          <w:sz w:val="24"/>
          <w:szCs w:val="24"/>
        </w:rPr>
        <w:t>exhausted her options internal to the authority, there was not “</w:t>
      </w:r>
      <w:r w:rsidR="00F415D3" w:rsidRPr="00F415D3">
        <w:rPr>
          <w:rFonts w:ascii="Times New Roman" w:hAnsi="Times New Roman" w:cs="Times New Roman"/>
          <w:sz w:val="24"/>
          <w:szCs w:val="24"/>
        </w:rPr>
        <w:t>a final adverse decision made in relation to her claim for DHP that is susceptible to challenge by judicial review on the alternative grounds advanced in this claim</w:t>
      </w:r>
      <w:r w:rsidR="00F415D3">
        <w:rPr>
          <w:rFonts w:ascii="Times New Roman" w:hAnsi="Times New Roman" w:cs="Times New Roman"/>
          <w:sz w:val="24"/>
          <w:szCs w:val="24"/>
        </w:rPr>
        <w:t>”.</w:t>
      </w:r>
      <w:r w:rsidR="00F415D3">
        <w:rPr>
          <w:rStyle w:val="FootnoteReference"/>
          <w:rFonts w:ascii="Times New Roman" w:hAnsi="Times New Roman" w:cs="Times New Roman"/>
          <w:sz w:val="24"/>
          <w:szCs w:val="24"/>
        </w:rPr>
        <w:footnoteReference w:id="7"/>
      </w:r>
      <w:r w:rsidR="00381863">
        <w:rPr>
          <w:rFonts w:ascii="Times New Roman" w:hAnsi="Times New Roman" w:cs="Times New Roman"/>
          <w:sz w:val="24"/>
          <w:szCs w:val="24"/>
        </w:rPr>
        <w:t xml:space="preserve"> Consequently, her appeal was dismissed.</w:t>
      </w:r>
    </w:p>
    <w:p w14:paraId="716F6F3D" w14:textId="77777777" w:rsidR="00DD3EE0" w:rsidRDefault="002E5402" w:rsidP="00723A88">
      <w:pPr>
        <w:jc w:val="both"/>
        <w:rPr>
          <w:rFonts w:ascii="Times New Roman" w:hAnsi="Times New Roman" w:cs="Times New Roman"/>
          <w:b/>
          <w:sz w:val="24"/>
          <w:szCs w:val="24"/>
        </w:rPr>
      </w:pPr>
      <w:r>
        <w:rPr>
          <w:rFonts w:ascii="Times New Roman" w:hAnsi="Times New Roman" w:cs="Times New Roman"/>
          <w:b/>
          <w:sz w:val="24"/>
          <w:szCs w:val="24"/>
        </w:rPr>
        <w:t>Discussion</w:t>
      </w:r>
    </w:p>
    <w:p w14:paraId="5B0B7CE8" w14:textId="387C11E9" w:rsidR="002E5402" w:rsidRDefault="00C30CAA" w:rsidP="00723A88">
      <w:pPr>
        <w:jc w:val="both"/>
        <w:rPr>
          <w:rFonts w:ascii="Times New Roman" w:hAnsi="Times New Roman" w:cs="Times New Roman"/>
          <w:sz w:val="24"/>
          <w:szCs w:val="24"/>
        </w:rPr>
      </w:pPr>
      <w:r>
        <w:rPr>
          <w:rFonts w:ascii="Times New Roman" w:hAnsi="Times New Roman" w:cs="Times New Roman"/>
          <w:sz w:val="24"/>
          <w:szCs w:val="24"/>
        </w:rPr>
        <w:t xml:space="preserve">At the heart of </w:t>
      </w:r>
      <w:r w:rsidR="003403D7">
        <w:rPr>
          <w:rFonts w:ascii="Times New Roman" w:hAnsi="Times New Roman" w:cs="Times New Roman"/>
          <w:sz w:val="24"/>
          <w:szCs w:val="24"/>
        </w:rPr>
        <w:t xml:space="preserve">Ms </w:t>
      </w:r>
      <w:proofErr w:type="spellStart"/>
      <w:r w:rsidR="003403D7" w:rsidRPr="00A31574">
        <w:rPr>
          <w:rFonts w:ascii="Times New Roman" w:hAnsi="Times New Roman" w:cs="Times New Roman"/>
          <w:sz w:val="24"/>
          <w:szCs w:val="24"/>
        </w:rPr>
        <w:t>Rehoune</w:t>
      </w:r>
      <w:r w:rsidR="003403D7">
        <w:rPr>
          <w:rFonts w:ascii="Times New Roman" w:hAnsi="Times New Roman" w:cs="Times New Roman"/>
          <w:sz w:val="24"/>
          <w:szCs w:val="24"/>
        </w:rPr>
        <w:t>’s</w:t>
      </w:r>
      <w:proofErr w:type="spellEnd"/>
      <w:r w:rsidR="003403D7">
        <w:rPr>
          <w:rFonts w:ascii="Times New Roman" w:hAnsi="Times New Roman" w:cs="Times New Roman"/>
          <w:sz w:val="24"/>
          <w:szCs w:val="24"/>
        </w:rPr>
        <w:t xml:space="preserve"> case and her submissions to the court is the perverse default position faced by thousands of benefi</w:t>
      </w:r>
      <w:r w:rsidR="00EC5029">
        <w:rPr>
          <w:rFonts w:ascii="Times New Roman" w:hAnsi="Times New Roman" w:cs="Times New Roman"/>
          <w:sz w:val="24"/>
          <w:szCs w:val="24"/>
        </w:rPr>
        <w:t>t recipients across the country: if you have a shortfall between your housing benefit and your rent, you are expected to resolve it using income from social security payments designed to meet your subsistence needs</w:t>
      </w:r>
      <w:r w:rsidR="003403D7">
        <w:rPr>
          <w:rFonts w:ascii="Times New Roman" w:hAnsi="Times New Roman" w:cs="Times New Roman"/>
          <w:sz w:val="24"/>
          <w:szCs w:val="24"/>
        </w:rPr>
        <w:t>.</w:t>
      </w:r>
      <w:r w:rsidR="00DF7810">
        <w:rPr>
          <w:rFonts w:ascii="Times New Roman" w:hAnsi="Times New Roman" w:cs="Times New Roman"/>
          <w:sz w:val="24"/>
          <w:szCs w:val="24"/>
        </w:rPr>
        <w:t xml:space="preserve"> For Ms </w:t>
      </w:r>
      <w:proofErr w:type="spellStart"/>
      <w:r w:rsidR="00DF7810">
        <w:rPr>
          <w:rFonts w:ascii="Times New Roman" w:hAnsi="Times New Roman" w:cs="Times New Roman"/>
          <w:sz w:val="24"/>
          <w:szCs w:val="24"/>
        </w:rPr>
        <w:t>Rehoune</w:t>
      </w:r>
      <w:proofErr w:type="spellEnd"/>
      <w:r w:rsidR="00DF7810">
        <w:rPr>
          <w:rFonts w:ascii="Times New Roman" w:hAnsi="Times New Roman" w:cs="Times New Roman"/>
          <w:sz w:val="24"/>
          <w:szCs w:val="24"/>
        </w:rPr>
        <w:t xml:space="preserve">, the imposition of the two-child limit in Child Tax Credit renders this starting point even more acute. Her total benefit award – pegged to subsistence only expenditure – would have been at approximately </w:t>
      </w:r>
      <w:r w:rsidR="00DF7810" w:rsidRPr="00DF7810">
        <w:rPr>
          <w:rFonts w:ascii="Times New Roman" w:hAnsi="Times New Roman" w:cs="Times New Roman"/>
          <w:sz w:val="24"/>
          <w:szCs w:val="24"/>
        </w:rPr>
        <w:t>£290</w:t>
      </w:r>
      <w:r w:rsidR="00DF7810">
        <w:rPr>
          <w:rFonts w:ascii="Times New Roman" w:hAnsi="Times New Roman" w:cs="Times New Roman"/>
          <w:sz w:val="24"/>
          <w:szCs w:val="24"/>
        </w:rPr>
        <w:t xml:space="preserve"> per week, but is reduced by the limit to £232.72. Put another way, she is receiving substantially </w:t>
      </w:r>
      <w:r w:rsidR="00DF7810">
        <w:rPr>
          <w:rFonts w:ascii="Times New Roman" w:hAnsi="Times New Roman" w:cs="Times New Roman"/>
          <w:i/>
          <w:sz w:val="24"/>
          <w:szCs w:val="24"/>
        </w:rPr>
        <w:t>less</w:t>
      </w:r>
      <w:r w:rsidR="00DF7810">
        <w:rPr>
          <w:rFonts w:ascii="Times New Roman" w:hAnsi="Times New Roman" w:cs="Times New Roman"/>
          <w:sz w:val="24"/>
          <w:szCs w:val="24"/>
        </w:rPr>
        <w:t xml:space="preserve"> than subsistence level benefits yet is still expected </w:t>
      </w:r>
      <w:r w:rsidR="004369C9">
        <w:rPr>
          <w:rFonts w:ascii="Times New Roman" w:hAnsi="Times New Roman" w:cs="Times New Roman"/>
          <w:sz w:val="24"/>
          <w:szCs w:val="24"/>
        </w:rPr>
        <w:t>by default</w:t>
      </w:r>
      <w:r w:rsidR="00DF7810">
        <w:rPr>
          <w:rFonts w:ascii="Times New Roman" w:hAnsi="Times New Roman" w:cs="Times New Roman"/>
          <w:sz w:val="24"/>
          <w:szCs w:val="24"/>
        </w:rPr>
        <w:t xml:space="preserve"> to find funds</w:t>
      </w:r>
      <w:r w:rsidR="00EC5029">
        <w:rPr>
          <w:rFonts w:ascii="Times New Roman" w:hAnsi="Times New Roman" w:cs="Times New Roman"/>
          <w:sz w:val="24"/>
          <w:szCs w:val="24"/>
        </w:rPr>
        <w:t xml:space="preserve"> from her benefit awards to resolve</w:t>
      </w:r>
      <w:r w:rsidR="00DF7810">
        <w:rPr>
          <w:rFonts w:ascii="Times New Roman" w:hAnsi="Times New Roman" w:cs="Times New Roman"/>
          <w:sz w:val="24"/>
          <w:szCs w:val="24"/>
        </w:rPr>
        <w:t xml:space="preserve"> the insufficiency of her housing benefit award.</w:t>
      </w:r>
      <w:r w:rsidR="006437DF">
        <w:rPr>
          <w:rFonts w:ascii="Times New Roman" w:hAnsi="Times New Roman" w:cs="Times New Roman"/>
          <w:sz w:val="24"/>
          <w:szCs w:val="24"/>
        </w:rPr>
        <w:t xml:space="preserve"> </w:t>
      </w:r>
      <w:r w:rsidR="004369C9">
        <w:rPr>
          <w:rFonts w:ascii="Times New Roman" w:hAnsi="Times New Roman" w:cs="Times New Roman"/>
          <w:sz w:val="24"/>
          <w:szCs w:val="24"/>
        </w:rPr>
        <w:lastRenderedPageBreak/>
        <w:t>O’Brien’s analysis of the two-child policy indicates ably the perversities of the policy;</w:t>
      </w:r>
      <w:r w:rsidR="00AA2619">
        <w:rPr>
          <w:rStyle w:val="FootnoteReference"/>
          <w:rFonts w:ascii="Times New Roman" w:hAnsi="Times New Roman" w:cs="Times New Roman"/>
          <w:sz w:val="24"/>
          <w:szCs w:val="24"/>
        </w:rPr>
        <w:footnoteReference w:id="8"/>
      </w:r>
      <w:r w:rsidR="004369C9">
        <w:rPr>
          <w:rFonts w:ascii="Times New Roman" w:hAnsi="Times New Roman" w:cs="Times New Roman"/>
          <w:sz w:val="24"/>
          <w:szCs w:val="24"/>
        </w:rPr>
        <w:t xml:space="preserve"> those in Ms </w:t>
      </w:r>
      <w:proofErr w:type="spellStart"/>
      <w:r w:rsidR="004369C9">
        <w:rPr>
          <w:rFonts w:ascii="Times New Roman" w:hAnsi="Times New Roman" w:cs="Times New Roman"/>
          <w:sz w:val="24"/>
          <w:szCs w:val="24"/>
        </w:rPr>
        <w:t>Rehoune’s</w:t>
      </w:r>
      <w:proofErr w:type="spellEnd"/>
      <w:r w:rsidR="004369C9">
        <w:rPr>
          <w:rFonts w:ascii="Times New Roman" w:hAnsi="Times New Roman" w:cs="Times New Roman"/>
          <w:sz w:val="24"/>
          <w:szCs w:val="24"/>
        </w:rPr>
        <w:t xml:space="preserve"> </w:t>
      </w:r>
      <w:r w:rsidR="005670F3">
        <w:rPr>
          <w:rFonts w:ascii="Times New Roman" w:hAnsi="Times New Roman" w:cs="Times New Roman"/>
          <w:sz w:val="24"/>
          <w:szCs w:val="24"/>
        </w:rPr>
        <w:t xml:space="preserve">predicament </w:t>
      </w:r>
      <w:r w:rsidR="004369C9">
        <w:rPr>
          <w:rFonts w:ascii="Times New Roman" w:hAnsi="Times New Roman" w:cs="Times New Roman"/>
          <w:sz w:val="24"/>
          <w:szCs w:val="24"/>
        </w:rPr>
        <w:t>indicate how its effects reach into the ambit of the DHP scheme.</w:t>
      </w:r>
    </w:p>
    <w:p w14:paraId="62C3B2F6" w14:textId="77777777" w:rsidR="002B28FD" w:rsidRDefault="007365CA" w:rsidP="009D4F63">
      <w:pPr>
        <w:jc w:val="both"/>
        <w:rPr>
          <w:rFonts w:ascii="Times New Roman" w:hAnsi="Times New Roman" w:cs="Times New Roman"/>
          <w:sz w:val="24"/>
          <w:szCs w:val="24"/>
        </w:rPr>
      </w:pPr>
      <w:r>
        <w:rPr>
          <w:rFonts w:ascii="Times New Roman" w:hAnsi="Times New Roman" w:cs="Times New Roman"/>
          <w:sz w:val="24"/>
          <w:szCs w:val="24"/>
        </w:rPr>
        <w:t xml:space="preserve">In a separate context, the </w:t>
      </w:r>
      <w:r w:rsidR="009D4F63">
        <w:rPr>
          <w:rFonts w:ascii="Times New Roman" w:hAnsi="Times New Roman" w:cs="Times New Roman"/>
          <w:sz w:val="24"/>
          <w:szCs w:val="24"/>
        </w:rPr>
        <w:t>UK Supreme Court</w:t>
      </w:r>
      <w:r>
        <w:rPr>
          <w:rFonts w:ascii="Times New Roman" w:hAnsi="Times New Roman" w:cs="Times New Roman"/>
          <w:sz w:val="24"/>
          <w:szCs w:val="24"/>
        </w:rPr>
        <w:t xml:space="preserve"> has</w:t>
      </w:r>
      <w:r w:rsidR="00DB19AB">
        <w:rPr>
          <w:rFonts w:ascii="Times New Roman" w:hAnsi="Times New Roman" w:cs="Times New Roman"/>
          <w:sz w:val="24"/>
          <w:szCs w:val="24"/>
        </w:rPr>
        <w:t xml:space="preserve"> recently considered this same problem in the course of an affordability assessment of accommodation to inform the determination of intentional homelessness under s.191 Housing Act 1996. </w:t>
      </w:r>
      <w:r w:rsidR="009D4F63">
        <w:rPr>
          <w:rFonts w:ascii="Times New Roman" w:hAnsi="Times New Roman" w:cs="Times New Roman"/>
          <w:sz w:val="24"/>
          <w:szCs w:val="24"/>
        </w:rPr>
        <w:t xml:space="preserve">In </w:t>
      </w:r>
      <w:r w:rsidR="009D4F63">
        <w:rPr>
          <w:rFonts w:ascii="Times New Roman" w:hAnsi="Times New Roman" w:cs="Times New Roman"/>
          <w:i/>
          <w:sz w:val="24"/>
          <w:szCs w:val="24"/>
        </w:rPr>
        <w:t xml:space="preserve">Samuels v </w:t>
      </w:r>
      <w:r w:rsidR="009D4F63" w:rsidRPr="009D4F63">
        <w:rPr>
          <w:rFonts w:ascii="Times New Roman" w:hAnsi="Times New Roman" w:cs="Times New Roman"/>
          <w:i/>
          <w:sz w:val="24"/>
          <w:szCs w:val="24"/>
        </w:rPr>
        <w:t>Birmingham</w:t>
      </w:r>
      <w:r w:rsidR="009D4F63">
        <w:rPr>
          <w:rFonts w:ascii="Times New Roman" w:hAnsi="Times New Roman" w:cs="Times New Roman"/>
          <w:i/>
          <w:sz w:val="24"/>
          <w:szCs w:val="24"/>
        </w:rPr>
        <w:t xml:space="preserve"> </w:t>
      </w:r>
      <w:r w:rsidR="009D4F63" w:rsidRPr="009D4F63">
        <w:rPr>
          <w:rFonts w:ascii="Times New Roman" w:hAnsi="Times New Roman" w:cs="Times New Roman"/>
          <w:i/>
          <w:sz w:val="24"/>
          <w:szCs w:val="24"/>
        </w:rPr>
        <w:t xml:space="preserve">City Council </w:t>
      </w:r>
      <w:r w:rsidR="009D4F63" w:rsidRPr="009D4F63">
        <w:rPr>
          <w:rFonts w:ascii="Times New Roman" w:hAnsi="Times New Roman" w:cs="Times New Roman"/>
          <w:sz w:val="24"/>
          <w:szCs w:val="24"/>
        </w:rPr>
        <w:t>[2019] UKSC 28</w:t>
      </w:r>
      <w:r w:rsidR="009D4F63">
        <w:rPr>
          <w:rFonts w:ascii="Times New Roman" w:hAnsi="Times New Roman" w:cs="Times New Roman"/>
          <w:sz w:val="24"/>
          <w:szCs w:val="24"/>
        </w:rPr>
        <w:t xml:space="preserve"> the Court determined that accommodation cannot be considered affordable </w:t>
      </w:r>
      <w:r w:rsidR="001D0C2B">
        <w:rPr>
          <w:rFonts w:ascii="Times New Roman" w:hAnsi="Times New Roman" w:cs="Times New Roman"/>
          <w:sz w:val="24"/>
          <w:szCs w:val="24"/>
        </w:rPr>
        <w:t>if applicants have to draw on subsistence benefits to meet shortfalls in their rent</w:t>
      </w:r>
      <w:r w:rsidR="00F9631D">
        <w:rPr>
          <w:rFonts w:ascii="Times New Roman" w:hAnsi="Times New Roman" w:cs="Times New Roman"/>
          <w:sz w:val="24"/>
          <w:szCs w:val="24"/>
        </w:rPr>
        <w:t xml:space="preserve">. </w:t>
      </w:r>
      <w:r w:rsidR="00664654">
        <w:rPr>
          <w:rFonts w:ascii="Times New Roman" w:hAnsi="Times New Roman" w:cs="Times New Roman"/>
          <w:sz w:val="24"/>
          <w:szCs w:val="24"/>
        </w:rPr>
        <w:t xml:space="preserve">It is difficult to see how this same logic does not </w:t>
      </w:r>
      <w:r w:rsidR="003A50C6">
        <w:rPr>
          <w:rFonts w:ascii="Times New Roman" w:hAnsi="Times New Roman" w:cs="Times New Roman"/>
          <w:sz w:val="24"/>
          <w:szCs w:val="24"/>
        </w:rPr>
        <w:t>hold</w:t>
      </w:r>
      <w:r w:rsidR="00664654">
        <w:rPr>
          <w:rFonts w:ascii="Times New Roman" w:hAnsi="Times New Roman" w:cs="Times New Roman"/>
          <w:sz w:val="24"/>
          <w:szCs w:val="24"/>
        </w:rPr>
        <w:t xml:space="preserve"> to the assessment of the need for assistance in meeting one’s housing costs under the DHP regime.</w:t>
      </w:r>
      <w:r w:rsidR="00664654">
        <w:rPr>
          <w:rStyle w:val="FootnoteReference"/>
          <w:rFonts w:ascii="Times New Roman" w:hAnsi="Times New Roman" w:cs="Times New Roman"/>
          <w:sz w:val="24"/>
          <w:szCs w:val="24"/>
        </w:rPr>
        <w:footnoteReference w:id="9"/>
      </w:r>
    </w:p>
    <w:p w14:paraId="08B569AD" w14:textId="77777777" w:rsidR="00BE1C13" w:rsidRDefault="007C46B4" w:rsidP="009D4F63">
      <w:pPr>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Rehoune’s</w:t>
      </w:r>
      <w:proofErr w:type="spellEnd"/>
      <w:r>
        <w:rPr>
          <w:rFonts w:ascii="Times New Roman" w:hAnsi="Times New Roman" w:cs="Times New Roman"/>
          <w:sz w:val="24"/>
          <w:szCs w:val="24"/>
        </w:rPr>
        <w:t xml:space="preserve"> case also demonstrates ably the problems caused for applicants </w:t>
      </w:r>
      <w:r w:rsidR="00603632">
        <w:rPr>
          <w:rFonts w:ascii="Times New Roman" w:hAnsi="Times New Roman" w:cs="Times New Roman"/>
          <w:sz w:val="24"/>
          <w:szCs w:val="24"/>
        </w:rPr>
        <w:t>by overbearing application processes</w:t>
      </w:r>
      <w:r w:rsidR="00DD5119">
        <w:rPr>
          <w:rFonts w:ascii="Times New Roman" w:hAnsi="Times New Roman" w:cs="Times New Roman"/>
          <w:sz w:val="24"/>
          <w:szCs w:val="24"/>
        </w:rPr>
        <w:t xml:space="preserve"> and evidential requirements.</w:t>
      </w:r>
      <w:r w:rsidR="00BE1C13">
        <w:rPr>
          <w:rFonts w:ascii="Times New Roman" w:hAnsi="Times New Roman" w:cs="Times New Roman"/>
          <w:sz w:val="24"/>
          <w:szCs w:val="24"/>
        </w:rPr>
        <w:t xml:space="preserve"> In this instance, notwithstanding the clear lack of affordability of a £15 contribution, she was required to provide: (</w:t>
      </w:r>
      <w:proofErr w:type="spellStart"/>
      <w:r w:rsidR="00BE1C13">
        <w:rPr>
          <w:rFonts w:ascii="Times New Roman" w:hAnsi="Times New Roman" w:cs="Times New Roman"/>
          <w:sz w:val="24"/>
          <w:szCs w:val="24"/>
        </w:rPr>
        <w:t>i</w:t>
      </w:r>
      <w:proofErr w:type="spellEnd"/>
      <w:r w:rsidR="00BE1C13">
        <w:rPr>
          <w:rFonts w:ascii="Times New Roman" w:hAnsi="Times New Roman" w:cs="Times New Roman"/>
          <w:sz w:val="24"/>
          <w:szCs w:val="24"/>
        </w:rPr>
        <w:t>) receipts for all grocery shopping over a six-week period, (ii) receipts to substantiate expenditure on clothing and footwear, and (iii) additional information about the detailed £10 per week on “children’s expenses and child care.</w:t>
      </w:r>
    </w:p>
    <w:p w14:paraId="32A3D150" w14:textId="3D90557D" w:rsidR="00BE1C13" w:rsidRDefault="00BE1C13" w:rsidP="009D4F63">
      <w:pPr>
        <w:jc w:val="both"/>
        <w:rPr>
          <w:rFonts w:ascii="Times New Roman" w:hAnsi="Times New Roman" w:cs="Times New Roman"/>
          <w:sz w:val="24"/>
          <w:szCs w:val="24"/>
        </w:rPr>
      </w:pPr>
      <w:r>
        <w:rPr>
          <w:rFonts w:ascii="Times New Roman" w:hAnsi="Times New Roman" w:cs="Times New Roman"/>
          <w:sz w:val="24"/>
          <w:szCs w:val="24"/>
        </w:rPr>
        <w:t xml:space="preserve">There are two connected problems with these evidential requirements. First, expenditure – particularly that on food and clothing – is rarely linear, especially for households on low incomes. </w:t>
      </w:r>
      <w:r w:rsidR="0016241D">
        <w:rPr>
          <w:rFonts w:ascii="Times New Roman" w:hAnsi="Times New Roman" w:cs="Times New Roman"/>
          <w:sz w:val="24"/>
          <w:szCs w:val="24"/>
        </w:rPr>
        <w:t>Such h</w:t>
      </w:r>
      <w:r w:rsidR="00925FD0">
        <w:rPr>
          <w:rFonts w:ascii="Times New Roman" w:hAnsi="Times New Roman" w:cs="Times New Roman"/>
          <w:sz w:val="24"/>
          <w:szCs w:val="24"/>
        </w:rPr>
        <w:t>ouseholds are more likely to have higher levels of cash</w:t>
      </w:r>
      <w:r w:rsidR="00645E78">
        <w:rPr>
          <w:rFonts w:ascii="Times New Roman" w:hAnsi="Times New Roman" w:cs="Times New Roman"/>
          <w:sz w:val="24"/>
          <w:szCs w:val="24"/>
        </w:rPr>
        <w:t xml:space="preserve"> (</w:t>
      </w:r>
      <w:r w:rsidR="00925FD0">
        <w:rPr>
          <w:rFonts w:ascii="Times New Roman" w:hAnsi="Times New Roman" w:cs="Times New Roman"/>
          <w:sz w:val="24"/>
          <w:szCs w:val="24"/>
        </w:rPr>
        <w:t xml:space="preserve">rather </w:t>
      </w:r>
      <w:r w:rsidR="00EC5029">
        <w:rPr>
          <w:rFonts w:ascii="Times New Roman" w:hAnsi="Times New Roman" w:cs="Times New Roman"/>
          <w:sz w:val="24"/>
          <w:szCs w:val="24"/>
        </w:rPr>
        <w:t xml:space="preserve">than </w:t>
      </w:r>
      <w:r w:rsidR="00925FD0">
        <w:rPr>
          <w:rFonts w:ascii="Times New Roman" w:hAnsi="Times New Roman" w:cs="Times New Roman"/>
          <w:sz w:val="24"/>
          <w:szCs w:val="24"/>
        </w:rPr>
        <w:t>easier to evidence card-based</w:t>
      </w:r>
      <w:r w:rsidR="00645E78">
        <w:rPr>
          <w:rFonts w:ascii="Times New Roman" w:hAnsi="Times New Roman" w:cs="Times New Roman"/>
          <w:sz w:val="24"/>
          <w:szCs w:val="24"/>
        </w:rPr>
        <w:t>)</w:t>
      </w:r>
      <w:r w:rsidR="00925FD0">
        <w:rPr>
          <w:rFonts w:ascii="Times New Roman" w:hAnsi="Times New Roman" w:cs="Times New Roman"/>
          <w:sz w:val="24"/>
          <w:szCs w:val="24"/>
        </w:rPr>
        <w:t xml:space="preserve"> transactions and to engage in lump</w:t>
      </w:r>
      <w:r w:rsidR="00645E78">
        <w:rPr>
          <w:rFonts w:ascii="Times New Roman" w:hAnsi="Times New Roman" w:cs="Times New Roman"/>
          <w:sz w:val="24"/>
          <w:szCs w:val="24"/>
        </w:rPr>
        <w:t>y</w:t>
      </w:r>
      <w:r w:rsidR="00925FD0">
        <w:rPr>
          <w:rFonts w:ascii="Times New Roman" w:hAnsi="Times New Roman" w:cs="Times New Roman"/>
          <w:sz w:val="24"/>
          <w:szCs w:val="24"/>
        </w:rPr>
        <w:t xml:space="preserve"> expenditure</w:t>
      </w:r>
      <w:r w:rsidR="00645E78">
        <w:rPr>
          <w:rFonts w:ascii="Times New Roman" w:hAnsi="Times New Roman" w:cs="Times New Roman"/>
          <w:sz w:val="24"/>
          <w:szCs w:val="24"/>
        </w:rPr>
        <w:t>, stocking up on items one week and not the next.</w:t>
      </w:r>
      <w:r w:rsidR="00645E78">
        <w:rPr>
          <w:rStyle w:val="FootnoteReference"/>
          <w:rFonts w:ascii="Times New Roman" w:hAnsi="Times New Roman" w:cs="Times New Roman"/>
          <w:sz w:val="24"/>
          <w:szCs w:val="24"/>
        </w:rPr>
        <w:footnoteReference w:id="10"/>
      </w:r>
      <w:r w:rsidR="00200CFF">
        <w:rPr>
          <w:rFonts w:ascii="Times New Roman" w:hAnsi="Times New Roman" w:cs="Times New Roman"/>
          <w:sz w:val="24"/>
          <w:szCs w:val="24"/>
        </w:rPr>
        <w:t xml:space="preserve"> Receipts may not be available to substantiate all expenditure, and even where receipts are available, DHP income/expenditure based assessments will only ever capture a snap-shot of true expenditure. </w:t>
      </w:r>
    </w:p>
    <w:p w14:paraId="6AA797CE" w14:textId="237C5B1E" w:rsidR="004633D2" w:rsidRDefault="00200CFF" w:rsidP="00723A88">
      <w:pPr>
        <w:jc w:val="both"/>
        <w:rPr>
          <w:rFonts w:ascii="Times New Roman" w:hAnsi="Times New Roman" w:cs="Times New Roman"/>
          <w:sz w:val="24"/>
          <w:szCs w:val="24"/>
        </w:rPr>
      </w:pPr>
      <w:r>
        <w:rPr>
          <w:rFonts w:ascii="Times New Roman" w:hAnsi="Times New Roman" w:cs="Times New Roman"/>
          <w:sz w:val="24"/>
          <w:szCs w:val="24"/>
        </w:rPr>
        <w:t xml:space="preserve">Second, and more fundamentally, the requirement for detailed receipts and itemised assessments of expenditure raises the question of </w:t>
      </w:r>
      <w:r>
        <w:rPr>
          <w:rFonts w:ascii="Times New Roman" w:hAnsi="Times New Roman" w:cs="Times New Roman"/>
          <w:i/>
          <w:sz w:val="24"/>
          <w:szCs w:val="24"/>
        </w:rPr>
        <w:t>how</w:t>
      </w:r>
      <w:r>
        <w:rPr>
          <w:rFonts w:ascii="Times New Roman" w:hAnsi="Times New Roman" w:cs="Times New Roman"/>
          <w:sz w:val="24"/>
          <w:szCs w:val="24"/>
        </w:rPr>
        <w:t xml:space="preserve"> this information </w:t>
      </w:r>
      <w:proofErr w:type="gramStart"/>
      <w:r>
        <w:rPr>
          <w:rFonts w:ascii="Times New Roman" w:hAnsi="Times New Roman" w:cs="Times New Roman"/>
          <w:sz w:val="24"/>
          <w:szCs w:val="24"/>
        </w:rPr>
        <w:t>can lawfully be used</w:t>
      </w:r>
      <w:proofErr w:type="gramEnd"/>
      <w:r>
        <w:rPr>
          <w:rFonts w:ascii="Times New Roman" w:hAnsi="Times New Roman" w:cs="Times New Roman"/>
          <w:sz w:val="24"/>
          <w:szCs w:val="24"/>
        </w:rPr>
        <w:t xml:space="preserve"> in determining a DHP award</w:t>
      </w:r>
      <w:r w:rsidR="0016241D">
        <w:rPr>
          <w:rFonts w:ascii="Times New Roman" w:hAnsi="Times New Roman" w:cs="Times New Roman"/>
          <w:sz w:val="24"/>
          <w:szCs w:val="24"/>
        </w:rPr>
        <w:t xml:space="preserve"> where a claimant has no other income</w:t>
      </w:r>
      <w:r>
        <w:rPr>
          <w:rFonts w:ascii="Times New Roman" w:hAnsi="Times New Roman" w:cs="Times New Roman"/>
          <w:sz w:val="24"/>
          <w:szCs w:val="24"/>
        </w:rPr>
        <w:t xml:space="preserve">. </w:t>
      </w:r>
      <w:r w:rsidR="001038D4">
        <w:rPr>
          <w:rFonts w:ascii="Times New Roman" w:hAnsi="Times New Roman" w:cs="Times New Roman"/>
          <w:sz w:val="24"/>
          <w:szCs w:val="24"/>
        </w:rPr>
        <w:t xml:space="preserve">If, as is clear in this case, the claimant’s income is limited to subsistence benefits (or in the event of the two-child limit, </w:t>
      </w:r>
      <w:r w:rsidR="001038D4">
        <w:rPr>
          <w:rFonts w:ascii="Times New Roman" w:hAnsi="Times New Roman" w:cs="Times New Roman"/>
          <w:i/>
          <w:sz w:val="24"/>
          <w:szCs w:val="24"/>
        </w:rPr>
        <w:t>below</w:t>
      </w:r>
      <w:r w:rsidR="001038D4">
        <w:rPr>
          <w:rFonts w:ascii="Times New Roman" w:hAnsi="Times New Roman" w:cs="Times New Roman"/>
          <w:sz w:val="24"/>
          <w:szCs w:val="24"/>
        </w:rPr>
        <w:t xml:space="preserve"> what would be considered subsistence), what function is this evidential hurdle serving? </w:t>
      </w:r>
      <w:r w:rsidR="008C2D3F">
        <w:rPr>
          <w:rFonts w:ascii="Times New Roman" w:hAnsi="Times New Roman" w:cs="Times New Roman"/>
          <w:sz w:val="24"/>
          <w:szCs w:val="24"/>
        </w:rPr>
        <w:t xml:space="preserve">A Local Authority that queried levels of expenditure on food or other essentials would </w:t>
      </w:r>
      <w:r w:rsidR="004633D2">
        <w:rPr>
          <w:rFonts w:ascii="Times New Roman" w:hAnsi="Times New Roman" w:cs="Times New Roman"/>
          <w:sz w:val="24"/>
          <w:szCs w:val="24"/>
        </w:rPr>
        <w:t>be taking a decision based on</w:t>
      </w:r>
      <w:r w:rsidR="008C2D3F">
        <w:rPr>
          <w:rFonts w:ascii="Times New Roman" w:hAnsi="Times New Roman" w:cs="Times New Roman"/>
          <w:sz w:val="24"/>
          <w:szCs w:val="24"/>
        </w:rPr>
        <w:t xml:space="preserve"> the limited evidential envelope of a DH</w:t>
      </w:r>
      <w:r w:rsidR="004633D2">
        <w:rPr>
          <w:rFonts w:ascii="Times New Roman" w:hAnsi="Times New Roman" w:cs="Times New Roman"/>
          <w:sz w:val="24"/>
          <w:szCs w:val="24"/>
        </w:rPr>
        <w:t xml:space="preserve">P income/expenditure assessment, even where total expenditure is lower than subsistence benefit rates. Any assessment </w:t>
      </w:r>
      <w:r w:rsidR="0016241D">
        <w:rPr>
          <w:rFonts w:ascii="Times New Roman" w:hAnsi="Times New Roman" w:cs="Times New Roman"/>
          <w:sz w:val="24"/>
          <w:szCs w:val="24"/>
        </w:rPr>
        <w:t xml:space="preserve">where the use of such welfare benefits </w:t>
      </w:r>
      <w:proofErr w:type="gramStart"/>
      <w:r w:rsidR="0016241D">
        <w:rPr>
          <w:rFonts w:ascii="Times New Roman" w:hAnsi="Times New Roman" w:cs="Times New Roman"/>
          <w:sz w:val="24"/>
          <w:szCs w:val="24"/>
        </w:rPr>
        <w:t>is queried</w:t>
      </w:r>
      <w:proofErr w:type="gramEnd"/>
      <w:r w:rsidR="004633D2">
        <w:rPr>
          <w:rFonts w:ascii="Times New Roman" w:hAnsi="Times New Roman" w:cs="Times New Roman"/>
          <w:sz w:val="24"/>
          <w:szCs w:val="24"/>
        </w:rPr>
        <w:t xml:space="preserve"> is reminiscent of drawing distinctions between the deserving and undeserving poor.</w:t>
      </w:r>
    </w:p>
    <w:p w14:paraId="5CA40EAA" w14:textId="422558EF" w:rsidR="00FA7CDB" w:rsidRDefault="00812E00" w:rsidP="00723A88">
      <w:pPr>
        <w:jc w:val="both"/>
        <w:rPr>
          <w:rFonts w:ascii="Times New Roman" w:hAnsi="Times New Roman" w:cs="Times New Roman"/>
          <w:sz w:val="24"/>
          <w:szCs w:val="24"/>
        </w:rPr>
      </w:pPr>
      <w:r>
        <w:rPr>
          <w:rFonts w:ascii="Times New Roman" w:hAnsi="Times New Roman" w:cs="Times New Roman"/>
          <w:sz w:val="24"/>
          <w:szCs w:val="24"/>
        </w:rPr>
        <w:t xml:space="preserve">Finally, it is worth underscoring the vast deficiency between the total DHP </w:t>
      </w:r>
      <w:r w:rsidR="00F5067E">
        <w:rPr>
          <w:rFonts w:ascii="Times New Roman" w:hAnsi="Times New Roman" w:cs="Times New Roman"/>
          <w:sz w:val="24"/>
          <w:szCs w:val="24"/>
        </w:rPr>
        <w:t>budget</w:t>
      </w:r>
      <w:r>
        <w:rPr>
          <w:rFonts w:ascii="Times New Roman" w:hAnsi="Times New Roman" w:cs="Times New Roman"/>
          <w:sz w:val="24"/>
          <w:szCs w:val="24"/>
        </w:rPr>
        <w:t xml:space="preserve"> provided to Local Authorities and the extent of the reduction</w:t>
      </w:r>
      <w:r w:rsidR="00F5067E">
        <w:rPr>
          <w:rFonts w:ascii="Times New Roman" w:hAnsi="Times New Roman" w:cs="Times New Roman"/>
          <w:sz w:val="24"/>
          <w:szCs w:val="24"/>
        </w:rPr>
        <w:t>s to housing benefit. Local Authorities continue to be placed in a very difficult position under the DHP scheme.</w:t>
      </w:r>
      <w:r w:rsidR="00453F45">
        <w:rPr>
          <w:rFonts w:ascii="Times New Roman" w:hAnsi="Times New Roman" w:cs="Times New Roman"/>
          <w:sz w:val="24"/>
          <w:szCs w:val="24"/>
        </w:rPr>
        <w:t xml:space="preserve"> The total impact on </w:t>
      </w:r>
      <w:r w:rsidR="00453F45">
        <w:rPr>
          <w:rFonts w:ascii="Times New Roman" w:hAnsi="Times New Roman" w:cs="Times New Roman"/>
          <w:sz w:val="24"/>
          <w:szCs w:val="24"/>
        </w:rPr>
        <w:lastRenderedPageBreak/>
        <w:t>their residents of the benefit cap, the bedroom tax, and freezes or reductions to Local Housing Allowance far outstretch the funds provided to them by the Department for Work and Pensions.</w:t>
      </w:r>
      <w:r w:rsidR="00B57C8E">
        <w:rPr>
          <w:rFonts w:ascii="Times New Roman" w:hAnsi="Times New Roman" w:cs="Times New Roman"/>
          <w:sz w:val="24"/>
          <w:szCs w:val="24"/>
        </w:rPr>
        <w:t xml:space="preserve"> The lowered benefit cap alone strips more than £190 million </w:t>
      </w:r>
      <w:r w:rsidR="00BD2956">
        <w:rPr>
          <w:rFonts w:ascii="Times New Roman" w:hAnsi="Times New Roman" w:cs="Times New Roman"/>
          <w:sz w:val="24"/>
          <w:szCs w:val="24"/>
        </w:rPr>
        <w:t>per annum o</w:t>
      </w:r>
      <w:r w:rsidR="006D1E9C">
        <w:rPr>
          <w:rFonts w:ascii="Times New Roman" w:hAnsi="Times New Roman" w:cs="Times New Roman"/>
          <w:sz w:val="24"/>
          <w:szCs w:val="24"/>
        </w:rPr>
        <w:t>ut of the benefit system</w:t>
      </w:r>
      <w:proofErr w:type="gramStart"/>
      <w:r w:rsidR="00BD2956">
        <w:rPr>
          <w:rFonts w:ascii="Times New Roman" w:hAnsi="Times New Roman" w:cs="Times New Roman"/>
          <w:sz w:val="24"/>
          <w:szCs w:val="24"/>
        </w:rPr>
        <w:t>;</w:t>
      </w:r>
      <w:proofErr w:type="gramEnd"/>
      <w:r w:rsidR="00BD2956">
        <w:rPr>
          <w:rStyle w:val="FootnoteReference"/>
          <w:rFonts w:ascii="Times New Roman" w:hAnsi="Times New Roman" w:cs="Times New Roman"/>
          <w:sz w:val="24"/>
          <w:szCs w:val="24"/>
        </w:rPr>
        <w:footnoteReference w:id="11"/>
      </w:r>
      <w:r w:rsidR="006D1E9C">
        <w:rPr>
          <w:rFonts w:ascii="Times New Roman" w:hAnsi="Times New Roman" w:cs="Times New Roman"/>
          <w:sz w:val="24"/>
          <w:szCs w:val="24"/>
        </w:rPr>
        <w:t xml:space="preserve"> the bedroom tax</w:t>
      </w:r>
      <w:r w:rsidR="0016241D">
        <w:rPr>
          <w:rFonts w:ascii="Times New Roman" w:hAnsi="Times New Roman" w:cs="Times New Roman"/>
          <w:sz w:val="24"/>
          <w:szCs w:val="24"/>
        </w:rPr>
        <w:t xml:space="preserve"> alone</w:t>
      </w:r>
      <w:r w:rsidR="006D1E9C">
        <w:rPr>
          <w:rFonts w:ascii="Times New Roman" w:hAnsi="Times New Roman" w:cs="Times New Roman"/>
          <w:sz w:val="24"/>
          <w:szCs w:val="24"/>
        </w:rPr>
        <w:t xml:space="preserve"> over £300 million per annum.</w:t>
      </w:r>
      <w:r w:rsidR="006D1E9C">
        <w:rPr>
          <w:rStyle w:val="FootnoteReference"/>
          <w:rFonts w:ascii="Times New Roman" w:hAnsi="Times New Roman" w:cs="Times New Roman"/>
          <w:sz w:val="24"/>
          <w:szCs w:val="24"/>
        </w:rPr>
        <w:footnoteReference w:id="12"/>
      </w:r>
      <w:r w:rsidR="006D1E9C">
        <w:rPr>
          <w:rFonts w:ascii="Times New Roman" w:hAnsi="Times New Roman" w:cs="Times New Roman"/>
          <w:sz w:val="24"/>
          <w:szCs w:val="24"/>
        </w:rPr>
        <w:t xml:space="preserve"> With a DHP budget of £140 million per annum – even with additional funding of £40 million - these reforms taken together far outstrip the resources available to Local Authorities. Although they have the discretion to </w:t>
      </w:r>
      <w:r w:rsidR="0087553C">
        <w:rPr>
          <w:rFonts w:ascii="Times New Roman" w:hAnsi="Times New Roman" w:cs="Times New Roman"/>
          <w:sz w:val="24"/>
          <w:szCs w:val="24"/>
        </w:rPr>
        <w:t>supplement the central funding from their own resources, for a local government sector facing funding shortfalls from across their budgets, this is not a viable prospect for most.</w:t>
      </w:r>
    </w:p>
    <w:p w14:paraId="56756525" w14:textId="3BE1C2AE" w:rsidR="000E2333" w:rsidRPr="00800D15" w:rsidRDefault="00B3758F" w:rsidP="00CB0FD9">
      <w:pPr>
        <w:jc w:val="both"/>
        <w:rPr>
          <w:rFonts w:ascii="Times New Roman" w:hAnsi="Times New Roman" w:cs="Times New Roman"/>
          <w:sz w:val="24"/>
          <w:szCs w:val="24"/>
        </w:rPr>
      </w:pPr>
      <w:r>
        <w:rPr>
          <w:rFonts w:ascii="Times New Roman" w:hAnsi="Times New Roman" w:cs="Times New Roman"/>
          <w:sz w:val="24"/>
          <w:szCs w:val="24"/>
        </w:rPr>
        <w:t xml:space="preserve">The decision in </w:t>
      </w:r>
      <w:proofErr w:type="spellStart"/>
      <w:r w:rsidRPr="00B3758F">
        <w:rPr>
          <w:rFonts w:ascii="Times New Roman" w:hAnsi="Times New Roman" w:cs="Times New Roman"/>
          <w:i/>
          <w:sz w:val="24"/>
          <w:szCs w:val="24"/>
        </w:rPr>
        <w:t>Rehoune</w:t>
      </w:r>
      <w:proofErr w:type="spellEnd"/>
      <w:r>
        <w:rPr>
          <w:rFonts w:ascii="Times New Roman" w:hAnsi="Times New Roman" w:cs="Times New Roman"/>
          <w:sz w:val="24"/>
          <w:szCs w:val="24"/>
        </w:rPr>
        <w:t xml:space="preserve"> is, therefore, a microcosm of </w:t>
      </w:r>
      <w:r w:rsidR="00563138">
        <w:rPr>
          <w:rFonts w:ascii="Times New Roman" w:hAnsi="Times New Roman" w:cs="Times New Roman"/>
          <w:sz w:val="24"/>
          <w:szCs w:val="24"/>
        </w:rPr>
        <w:t xml:space="preserve">the structural problems facing the DHP scheme and their implications for applicants in need of assistance with their housing costs. </w:t>
      </w:r>
      <w:r w:rsidR="00B641A3">
        <w:rPr>
          <w:rFonts w:ascii="Times New Roman" w:hAnsi="Times New Roman" w:cs="Times New Roman"/>
          <w:sz w:val="24"/>
          <w:szCs w:val="24"/>
        </w:rPr>
        <w:t xml:space="preserve">The default expectation that those facing a shortfall will resolve it with funds from other social security payments, the associated evidential requirements or additional means-testing, and – despite additional funding – the gulf between total reductions in housing benefit and the availability of DHPs, all point to a discretionary system that is straining under the pressure it is carrying. In taking a “cut and devolve” approach to mitigating the impact of </w:t>
      </w:r>
      <w:r w:rsidR="007A73A0">
        <w:rPr>
          <w:rFonts w:ascii="Times New Roman" w:hAnsi="Times New Roman" w:cs="Times New Roman"/>
          <w:sz w:val="24"/>
          <w:szCs w:val="24"/>
        </w:rPr>
        <w:t xml:space="preserve">its welfare benefit reductions, the Government has </w:t>
      </w:r>
      <w:r w:rsidR="00CB0FD9">
        <w:rPr>
          <w:rFonts w:ascii="Times New Roman" w:hAnsi="Times New Roman" w:cs="Times New Roman"/>
          <w:sz w:val="24"/>
          <w:szCs w:val="24"/>
        </w:rPr>
        <w:t xml:space="preserve">sought to push responsibility downwards to the Local Authority level. The effects of the deficiencies in the scheme are being felt keenly by applicants like Ms </w:t>
      </w:r>
      <w:proofErr w:type="spellStart"/>
      <w:r w:rsidR="00CB0FD9">
        <w:rPr>
          <w:rFonts w:ascii="Times New Roman" w:hAnsi="Times New Roman" w:cs="Times New Roman"/>
          <w:sz w:val="24"/>
          <w:szCs w:val="24"/>
        </w:rPr>
        <w:t>Rehoune</w:t>
      </w:r>
      <w:proofErr w:type="spellEnd"/>
      <w:r w:rsidR="00CB0FD9">
        <w:rPr>
          <w:rFonts w:ascii="Times New Roman" w:hAnsi="Times New Roman" w:cs="Times New Roman"/>
          <w:sz w:val="24"/>
          <w:szCs w:val="24"/>
        </w:rPr>
        <w:t xml:space="preserve"> who face substantial shortfalls in their housing benefit.</w:t>
      </w:r>
    </w:p>
    <w:sectPr w:rsidR="000E2333" w:rsidRPr="00800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A842" w14:textId="77777777" w:rsidR="000A7A50" w:rsidRDefault="000A7A50" w:rsidP="000E2333">
      <w:pPr>
        <w:spacing w:after="0" w:line="240" w:lineRule="auto"/>
      </w:pPr>
      <w:r>
        <w:separator/>
      </w:r>
    </w:p>
  </w:endnote>
  <w:endnote w:type="continuationSeparator" w:id="0">
    <w:p w14:paraId="38AB9288" w14:textId="77777777" w:rsidR="000A7A50" w:rsidRDefault="000A7A50" w:rsidP="000E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CC13" w14:textId="77777777" w:rsidR="000A7A50" w:rsidRDefault="000A7A50" w:rsidP="000E2333">
      <w:pPr>
        <w:spacing w:after="0" w:line="240" w:lineRule="auto"/>
      </w:pPr>
      <w:r>
        <w:separator/>
      </w:r>
    </w:p>
  </w:footnote>
  <w:footnote w:type="continuationSeparator" w:id="0">
    <w:p w14:paraId="33E7D1D7" w14:textId="77777777" w:rsidR="000A7A50" w:rsidRDefault="000A7A50" w:rsidP="000E2333">
      <w:pPr>
        <w:spacing w:after="0" w:line="240" w:lineRule="auto"/>
      </w:pPr>
      <w:r>
        <w:continuationSeparator/>
      </w:r>
    </w:p>
  </w:footnote>
  <w:footnote w:id="1">
    <w:p w14:paraId="06070AB3" w14:textId="1C143684" w:rsidR="005A2122" w:rsidRPr="00CD2758" w:rsidRDefault="005A2122">
      <w:pPr>
        <w:pStyle w:val="FootnoteText"/>
        <w:rPr>
          <w:rFonts w:ascii="Times New Roman" w:hAnsi="Times New Roman" w:cs="Times New Roman"/>
          <w:sz w:val="22"/>
          <w:szCs w:val="22"/>
        </w:rPr>
      </w:pPr>
      <w:r w:rsidRPr="00CD2758">
        <w:rPr>
          <w:rFonts w:ascii="Times New Roman" w:hAnsi="Times New Roman" w:cs="Times New Roman"/>
          <w:sz w:val="22"/>
          <w:szCs w:val="22"/>
        </w:rPr>
        <w:t>*Lecturer in Law, York Law School, University of York.</w:t>
      </w:r>
    </w:p>
    <w:p w14:paraId="4E7C1F7F" w14:textId="77777777" w:rsidR="00CD2758" w:rsidRPr="00CD2758" w:rsidRDefault="00CD2758">
      <w:pPr>
        <w:pStyle w:val="FootnoteText"/>
        <w:rPr>
          <w:rFonts w:ascii="Times New Roman" w:hAnsi="Times New Roman" w:cs="Times New Roman"/>
          <w:sz w:val="24"/>
          <w:szCs w:val="24"/>
        </w:rPr>
      </w:pPr>
    </w:p>
    <w:p w14:paraId="4A1F5D6A" w14:textId="2FFFDE7C" w:rsidR="000E2333" w:rsidRPr="003A3424" w:rsidRDefault="000E2333">
      <w:pPr>
        <w:pStyle w:val="FootnoteText"/>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w:t>
      </w:r>
      <w:r w:rsidR="009012B6" w:rsidRPr="003A3424">
        <w:rPr>
          <w:rFonts w:ascii="Times New Roman" w:hAnsi="Times New Roman" w:cs="Times New Roman"/>
        </w:rPr>
        <w:t xml:space="preserve">HM Treasury, </w:t>
      </w:r>
      <w:r w:rsidR="009012B6" w:rsidRPr="003A3424">
        <w:rPr>
          <w:rFonts w:ascii="Times New Roman" w:hAnsi="Times New Roman" w:cs="Times New Roman"/>
          <w:i/>
        </w:rPr>
        <w:t>Spending Round 2019</w:t>
      </w:r>
      <w:r w:rsidRPr="003A3424">
        <w:rPr>
          <w:rFonts w:ascii="Times New Roman" w:hAnsi="Times New Roman" w:cs="Times New Roman"/>
        </w:rPr>
        <w:t xml:space="preserve"> </w:t>
      </w:r>
      <w:r w:rsidR="009012B6" w:rsidRPr="003A3424">
        <w:rPr>
          <w:rFonts w:ascii="Times New Roman" w:hAnsi="Times New Roman" w:cs="Times New Roman"/>
        </w:rPr>
        <w:t xml:space="preserve">(2019) Available at: </w:t>
      </w:r>
      <w:hyperlink r:id="rId1" w:history="1">
        <w:r w:rsidR="009012B6" w:rsidRPr="003A3424">
          <w:rPr>
            <w:rStyle w:val="Hyperlink"/>
            <w:rFonts w:ascii="Times New Roman" w:hAnsi="Times New Roman" w:cs="Times New Roman"/>
          </w:rPr>
          <w:t>https://www.gov.uk/government/publications/spending-round-2019-document/spending-round-2019</w:t>
        </w:r>
      </w:hyperlink>
      <w:r w:rsidR="009012B6" w:rsidRPr="003A3424">
        <w:rPr>
          <w:rFonts w:ascii="Times New Roman" w:hAnsi="Times New Roman" w:cs="Times New Roman"/>
        </w:rPr>
        <w:t xml:space="preserve"> Accessed 21 September 2019.</w:t>
      </w:r>
    </w:p>
  </w:footnote>
  <w:footnote w:id="2">
    <w:p w14:paraId="304F8220" w14:textId="495CE33E" w:rsidR="00702617" w:rsidRPr="003A3424" w:rsidRDefault="00702617">
      <w:pPr>
        <w:pStyle w:val="FootnoteText"/>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w:t>
      </w:r>
      <w:r w:rsidR="009012B6" w:rsidRPr="003A3424">
        <w:rPr>
          <w:rFonts w:ascii="Times New Roman" w:hAnsi="Times New Roman" w:cs="Times New Roman"/>
        </w:rPr>
        <w:t>Ibid.</w:t>
      </w:r>
    </w:p>
  </w:footnote>
  <w:footnote w:id="3">
    <w:p w14:paraId="753FDE90" w14:textId="77777777" w:rsidR="00D556DE" w:rsidRPr="003A3424" w:rsidRDefault="00D556DE">
      <w:pPr>
        <w:pStyle w:val="FootnoteText"/>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Jed Meers, “</w:t>
      </w:r>
      <w:proofErr w:type="spellStart"/>
      <w:r w:rsidRPr="003A3424">
        <w:rPr>
          <w:rFonts w:ascii="Times New Roman" w:hAnsi="Times New Roman" w:cs="Times New Roman"/>
        </w:rPr>
        <w:t>Panacean</w:t>
      </w:r>
      <w:proofErr w:type="spellEnd"/>
      <w:r w:rsidRPr="003A3424">
        <w:rPr>
          <w:rFonts w:ascii="Times New Roman" w:hAnsi="Times New Roman" w:cs="Times New Roman"/>
        </w:rPr>
        <w:t xml:space="preserve"> Payments: The role of Discretionary Housing Payments in the welfare reform agenda” (2015) 22(3) </w:t>
      </w:r>
      <w:r w:rsidRPr="003A3424">
        <w:rPr>
          <w:rFonts w:ascii="Times New Roman" w:hAnsi="Times New Roman" w:cs="Times New Roman"/>
          <w:i/>
        </w:rPr>
        <w:t xml:space="preserve">Journal of Social Security Law </w:t>
      </w:r>
      <w:r w:rsidRPr="003A3424">
        <w:rPr>
          <w:rFonts w:ascii="Times New Roman" w:hAnsi="Times New Roman" w:cs="Times New Roman"/>
        </w:rPr>
        <w:t>115-129.</w:t>
      </w:r>
    </w:p>
  </w:footnote>
  <w:footnote w:id="4">
    <w:p w14:paraId="2E4A2B75" w14:textId="6EE95E0B" w:rsidR="001B7079" w:rsidRPr="003A3424" w:rsidRDefault="001B7079">
      <w:pPr>
        <w:pStyle w:val="FootnoteText"/>
        <w:rPr>
          <w:rFonts w:ascii="Times New Roman" w:hAnsi="Times New Roman" w:cs="Times New Roman"/>
        </w:rPr>
      </w:pPr>
      <w:r w:rsidRPr="003A3424">
        <w:rPr>
          <w:rStyle w:val="FootnoteReference"/>
          <w:rFonts w:ascii="Times New Roman" w:hAnsi="Times New Roman" w:cs="Times New Roman"/>
        </w:rPr>
        <w:footnoteRef/>
      </w:r>
      <w:r w:rsidR="005B05DB" w:rsidRPr="003A3424">
        <w:rPr>
          <w:rFonts w:ascii="Times New Roman" w:hAnsi="Times New Roman" w:cs="Times New Roman"/>
        </w:rPr>
        <w:t xml:space="preserve"> </w:t>
      </w:r>
      <w:proofErr w:type="spellStart"/>
      <w:r w:rsidR="005B05DB" w:rsidRPr="003A3424">
        <w:rPr>
          <w:rFonts w:ascii="Times New Roman" w:hAnsi="Times New Roman" w:cs="Times New Roman"/>
          <w:i/>
        </w:rPr>
        <w:t>Rehoune</w:t>
      </w:r>
      <w:proofErr w:type="spellEnd"/>
      <w:r w:rsidR="00C87D3D" w:rsidRPr="003A3424">
        <w:rPr>
          <w:rFonts w:ascii="Times New Roman" w:hAnsi="Times New Roman" w:cs="Times New Roman"/>
        </w:rPr>
        <w:t xml:space="preserve"> [</w:t>
      </w:r>
      <w:r w:rsidRPr="003A3424">
        <w:rPr>
          <w:rFonts w:ascii="Times New Roman" w:hAnsi="Times New Roman" w:cs="Times New Roman"/>
        </w:rPr>
        <w:t>3</w:t>
      </w:r>
      <w:r w:rsidR="00C87D3D" w:rsidRPr="003A3424">
        <w:rPr>
          <w:rFonts w:ascii="Times New Roman" w:hAnsi="Times New Roman" w:cs="Times New Roman"/>
        </w:rPr>
        <w:t xml:space="preserve">] (per </w:t>
      </w:r>
      <w:proofErr w:type="spellStart"/>
      <w:r w:rsidR="00C46F9A" w:rsidRPr="003A3424">
        <w:rPr>
          <w:rFonts w:ascii="Times New Roman" w:hAnsi="Times New Roman" w:cs="Times New Roman"/>
        </w:rPr>
        <w:t>Nicklin</w:t>
      </w:r>
      <w:proofErr w:type="spellEnd"/>
      <w:r w:rsidR="00C46F9A" w:rsidRPr="003A3424">
        <w:rPr>
          <w:rFonts w:ascii="Times New Roman" w:hAnsi="Times New Roman" w:cs="Times New Roman"/>
        </w:rPr>
        <w:t xml:space="preserve"> J).</w:t>
      </w:r>
    </w:p>
  </w:footnote>
  <w:footnote w:id="5">
    <w:p w14:paraId="6E71E5C4" w14:textId="1E3B4BCF" w:rsidR="00F55601" w:rsidRPr="003A3424" w:rsidRDefault="00F55601">
      <w:pPr>
        <w:pStyle w:val="FootnoteText"/>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w:t>
      </w:r>
      <w:r w:rsidR="005B05DB" w:rsidRPr="003A3424">
        <w:rPr>
          <w:rFonts w:ascii="Times New Roman" w:hAnsi="Times New Roman" w:cs="Times New Roman"/>
        </w:rPr>
        <w:t>Ibid.</w:t>
      </w:r>
    </w:p>
  </w:footnote>
  <w:footnote w:id="6">
    <w:p w14:paraId="22888E3C" w14:textId="2369F399" w:rsidR="00E63832" w:rsidRPr="003A3424" w:rsidRDefault="00E63832">
      <w:pPr>
        <w:pStyle w:val="FootnoteText"/>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w:t>
      </w:r>
      <w:proofErr w:type="spellStart"/>
      <w:r w:rsidR="005B05DB" w:rsidRPr="003A3424">
        <w:rPr>
          <w:rFonts w:ascii="Times New Roman" w:hAnsi="Times New Roman" w:cs="Times New Roman"/>
          <w:i/>
        </w:rPr>
        <w:t>Rehoune</w:t>
      </w:r>
      <w:proofErr w:type="spellEnd"/>
      <w:r w:rsidR="005B05DB" w:rsidRPr="003A3424">
        <w:rPr>
          <w:rFonts w:ascii="Times New Roman" w:hAnsi="Times New Roman" w:cs="Times New Roman"/>
        </w:rPr>
        <w:t xml:space="preserve"> [12] (per </w:t>
      </w:r>
      <w:proofErr w:type="spellStart"/>
      <w:r w:rsidR="005B05DB" w:rsidRPr="003A3424">
        <w:rPr>
          <w:rFonts w:ascii="Times New Roman" w:hAnsi="Times New Roman" w:cs="Times New Roman"/>
        </w:rPr>
        <w:t>Nicklin</w:t>
      </w:r>
      <w:proofErr w:type="spellEnd"/>
      <w:r w:rsidR="005B05DB" w:rsidRPr="003A3424">
        <w:rPr>
          <w:rFonts w:ascii="Times New Roman" w:hAnsi="Times New Roman" w:cs="Times New Roman"/>
        </w:rPr>
        <w:t xml:space="preserve"> J).</w:t>
      </w:r>
    </w:p>
  </w:footnote>
  <w:footnote w:id="7">
    <w:p w14:paraId="6BC55B5A" w14:textId="7D342959" w:rsidR="00F415D3" w:rsidRPr="003A3424" w:rsidRDefault="00F415D3">
      <w:pPr>
        <w:pStyle w:val="FootnoteText"/>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w:t>
      </w:r>
      <w:proofErr w:type="spellStart"/>
      <w:r w:rsidR="005B05DB" w:rsidRPr="003A3424">
        <w:rPr>
          <w:rFonts w:ascii="Times New Roman" w:hAnsi="Times New Roman" w:cs="Times New Roman"/>
          <w:i/>
        </w:rPr>
        <w:t>Rehoune</w:t>
      </w:r>
      <w:proofErr w:type="spellEnd"/>
      <w:r w:rsidR="005B05DB" w:rsidRPr="003A3424">
        <w:rPr>
          <w:rFonts w:ascii="Times New Roman" w:hAnsi="Times New Roman" w:cs="Times New Roman"/>
        </w:rPr>
        <w:t xml:space="preserve"> [25] (per </w:t>
      </w:r>
      <w:proofErr w:type="spellStart"/>
      <w:r w:rsidR="005B05DB" w:rsidRPr="003A3424">
        <w:rPr>
          <w:rFonts w:ascii="Times New Roman" w:hAnsi="Times New Roman" w:cs="Times New Roman"/>
        </w:rPr>
        <w:t>Nicklin</w:t>
      </w:r>
      <w:proofErr w:type="spellEnd"/>
      <w:r w:rsidR="005B05DB" w:rsidRPr="003A3424">
        <w:rPr>
          <w:rFonts w:ascii="Times New Roman" w:hAnsi="Times New Roman" w:cs="Times New Roman"/>
        </w:rPr>
        <w:t xml:space="preserve"> J).</w:t>
      </w:r>
    </w:p>
  </w:footnote>
  <w:footnote w:id="8">
    <w:p w14:paraId="0D4E7772" w14:textId="77777777" w:rsidR="00AA2619" w:rsidRPr="003A3424" w:rsidRDefault="00AA2619">
      <w:pPr>
        <w:pStyle w:val="FootnoteText"/>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Charlotte O’Brien, “‘Done because we are too </w:t>
      </w:r>
      <w:proofErr w:type="spellStart"/>
      <w:r w:rsidRPr="003A3424">
        <w:rPr>
          <w:rFonts w:ascii="Times New Roman" w:hAnsi="Times New Roman" w:cs="Times New Roman"/>
        </w:rPr>
        <w:t>menny</w:t>
      </w:r>
      <w:proofErr w:type="spellEnd"/>
      <w:r w:rsidRPr="003A3424">
        <w:rPr>
          <w:rFonts w:ascii="Times New Roman" w:hAnsi="Times New Roman" w:cs="Times New Roman"/>
        </w:rPr>
        <w:t xml:space="preserve">’: the two-child rule promotes poverty, invokes a narrative of welfare decadence, and abandons children's rights” (2018) 26(4) </w:t>
      </w:r>
      <w:r w:rsidRPr="003A3424">
        <w:rPr>
          <w:rFonts w:ascii="Times New Roman" w:hAnsi="Times New Roman" w:cs="Times New Roman"/>
          <w:i/>
        </w:rPr>
        <w:t xml:space="preserve">The International Journal of Children's </w:t>
      </w:r>
      <w:proofErr w:type="gramStart"/>
      <w:r w:rsidRPr="003A3424">
        <w:rPr>
          <w:rFonts w:ascii="Times New Roman" w:hAnsi="Times New Roman" w:cs="Times New Roman"/>
          <w:i/>
        </w:rPr>
        <w:t xml:space="preserve">Rights </w:t>
      </w:r>
      <w:r w:rsidR="00D33007" w:rsidRPr="003A3424">
        <w:rPr>
          <w:rFonts w:ascii="Times New Roman" w:hAnsi="Times New Roman" w:cs="Times New Roman"/>
          <w:i/>
        </w:rPr>
        <w:t>,</w:t>
      </w:r>
      <w:proofErr w:type="gramEnd"/>
      <w:r w:rsidR="00D33007" w:rsidRPr="003A3424">
        <w:rPr>
          <w:rFonts w:ascii="Times New Roman" w:hAnsi="Times New Roman" w:cs="Times New Roman"/>
          <w:i/>
        </w:rPr>
        <w:t xml:space="preserve"> </w:t>
      </w:r>
      <w:r w:rsidR="00D33007" w:rsidRPr="003A3424">
        <w:rPr>
          <w:rFonts w:ascii="Times New Roman" w:hAnsi="Times New Roman" w:cs="Times New Roman"/>
        </w:rPr>
        <w:t>700–739.</w:t>
      </w:r>
    </w:p>
  </w:footnote>
  <w:footnote w:id="9">
    <w:p w14:paraId="16490BAF" w14:textId="77777777" w:rsidR="00664654" w:rsidRPr="003A3424" w:rsidRDefault="00664654" w:rsidP="00664654">
      <w:pPr>
        <w:pStyle w:val="FootnoteText"/>
        <w:jc w:val="both"/>
        <w:rPr>
          <w:rFonts w:ascii="Times New Roman" w:hAnsi="Times New Roman" w:cs="Times New Roman"/>
        </w:rPr>
      </w:pPr>
      <w:r w:rsidRPr="003A3424">
        <w:rPr>
          <w:rStyle w:val="FootnoteReference"/>
          <w:rFonts w:ascii="Times New Roman" w:hAnsi="Times New Roman" w:cs="Times New Roman"/>
        </w:rPr>
        <w:footnoteRef/>
      </w:r>
      <w:r w:rsidRPr="003A3424">
        <w:rPr>
          <w:rFonts w:ascii="Times New Roman" w:hAnsi="Times New Roman" w:cs="Times New Roman"/>
        </w:rPr>
        <w:t xml:space="preserve"> See Carla </w:t>
      </w:r>
      <w:proofErr w:type="spellStart"/>
      <w:r w:rsidRPr="003A3424">
        <w:rPr>
          <w:rFonts w:ascii="Times New Roman" w:hAnsi="Times New Roman" w:cs="Times New Roman"/>
        </w:rPr>
        <w:t>Reeson</w:t>
      </w:r>
      <w:proofErr w:type="spellEnd"/>
      <w:r w:rsidRPr="003A3424">
        <w:rPr>
          <w:rFonts w:ascii="Times New Roman" w:hAnsi="Times New Roman" w:cs="Times New Roman"/>
        </w:rPr>
        <w:t xml:space="preserve">, ‘Intentional homelessness and affordability of accommodation’ (2019) 41(4) </w:t>
      </w:r>
      <w:r w:rsidRPr="003A3424">
        <w:rPr>
          <w:rFonts w:ascii="Times New Roman" w:hAnsi="Times New Roman" w:cs="Times New Roman"/>
          <w:i/>
        </w:rPr>
        <w:t>Journal of Social Welfare and Family Law</w:t>
      </w:r>
      <w:r w:rsidR="00F9351C" w:rsidRPr="003A3424">
        <w:rPr>
          <w:rFonts w:ascii="Times New Roman" w:hAnsi="Times New Roman" w:cs="Times New Roman"/>
        </w:rPr>
        <w:t xml:space="preserve">; and Jed Meers, ‘The housing benefit deficit and intentional homelessness’ (2019) 22(5) </w:t>
      </w:r>
      <w:r w:rsidR="00F9351C" w:rsidRPr="003A3424">
        <w:rPr>
          <w:rFonts w:ascii="Times New Roman" w:hAnsi="Times New Roman" w:cs="Times New Roman"/>
          <w:i/>
        </w:rPr>
        <w:t>Journal of Housing Law</w:t>
      </w:r>
      <w:r w:rsidR="00F9351C" w:rsidRPr="003A3424">
        <w:rPr>
          <w:rFonts w:ascii="Times New Roman" w:hAnsi="Times New Roman" w:cs="Times New Roman"/>
        </w:rPr>
        <w:t>, 98-102.</w:t>
      </w:r>
    </w:p>
  </w:footnote>
  <w:footnote w:id="10">
    <w:p w14:paraId="0B52060E" w14:textId="77777777" w:rsidR="00645E78" w:rsidRPr="003A3424" w:rsidRDefault="00645E78" w:rsidP="00645E78">
      <w:pPr>
        <w:pStyle w:val="FootnoteText"/>
        <w:rPr>
          <w:rFonts w:ascii="Times New Roman" w:hAnsi="Times New Roman" w:cs="Times New Roman"/>
          <w:i/>
        </w:rPr>
      </w:pPr>
      <w:r w:rsidRPr="003A3424">
        <w:rPr>
          <w:rStyle w:val="FootnoteReference"/>
          <w:rFonts w:ascii="Times New Roman" w:hAnsi="Times New Roman" w:cs="Times New Roman"/>
        </w:rPr>
        <w:footnoteRef/>
      </w:r>
      <w:r w:rsidRPr="003A3424">
        <w:rPr>
          <w:rFonts w:ascii="Times New Roman" w:hAnsi="Times New Roman" w:cs="Times New Roman"/>
        </w:rPr>
        <w:t xml:space="preserve"> See Glen Bramley, &amp; Kirsten </w:t>
      </w:r>
      <w:proofErr w:type="spellStart"/>
      <w:r w:rsidRPr="003A3424">
        <w:rPr>
          <w:rFonts w:ascii="Times New Roman" w:hAnsi="Times New Roman" w:cs="Times New Roman"/>
        </w:rPr>
        <w:t>Besemer</w:t>
      </w:r>
      <w:proofErr w:type="spellEnd"/>
      <w:r w:rsidRPr="003A3424">
        <w:rPr>
          <w:rFonts w:ascii="Times New Roman" w:hAnsi="Times New Roman" w:cs="Times New Roman"/>
        </w:rPr>
        <w:t xml:space="preserve">, Financial inclusion, financial stress and debt. In G. Bramley., &amp; N. Bailey (eds), </w:t>
      </w:r>
      <w:r w:rsidRPr="003A3424">
        <w:rPr>
          <w:rFonts w:ascii="Times New Roman" w:hAnsi="Times New Roman" w:cs="Times New Roman"/>
          <w:i/>
        </w:rPr>
        <w:t>Poverty and Social Exclusion in the UK: Volume 2 – The dimensions of disadvantage</w:t>
      </w:r>
      <w:r w:rsidRPr="003A3424">
        <w:rPr>
          <w:rFonts w:ascii="Times New Roman" w:hAnsi="Times New Roman" w:cs="Times New Roman"/>
        </w:rPr>
        <w:t xml:space="preserve"> (Policy Press, 2018), and Adam </w:t>
      </w:r>
      <w:proofErr w:type="spellStart"/>
      <w:r w:rsidRPr="003A3424">
        <w:rPr>
          <w:rFonts w:ascii="Times New Roman" w:hAnsi="Times New Roman" w:cs="Times New Roman"/>
        </w:rPr>
        <w:t>Tinson</w:t>
      </w:r>
      <w:proofErr w:type="spellEnd"/>
      <w:r w:rsidRPr="003A3424">
        <w:rPr>
          <w:rFonts w:ascii="Times New Roman" w:hAnsi="Times New Roman" w:cs="Times New Roman"/>
        </w:rPr>
        <w:t xml:space="preserve">, Peter </w:t>
      </w:r>
      <w:proofErr w:type="spellStart"/>
      <w:r w:rsidRPr="003A3424">
        <w:rPr>
          <w:rFonts w:ascii="Times New Roman" w:hAnsi="Times New Roman" w:cs="Times New Roman"/>
        </w:rPr>
        <w:t>Kenway</w:t>
      </w:r>
      <w:proofErr w:type="spellEnd"/>
      <w:r w:rsidRPr="003A3424">
        <w:rPr>
          <w:rFonts w:ascii="Times New Roman" w:hAnsi="Times New Roman" w:cs="Times New Roman"/>
        </w:rPr>
        <w:t xml:space="preserve">, Sabrina </w:t>
      </w:r>
      <w:proofErr w:type="spellStart"/>
      <w:r w:rsidRPr="003A3424">
        <w:rPr>
          <w:rFonts w:ascii="Times New Roman" w:hAnsi="Times New Roman" w:cs="Times New Roman"/>
        </w:rPr>
        <w:t>Bushe</w:t>
      </w:r>
      <w:proofErr w:type="spellEnd"/>
      <w:r w:rsidRPr="003A3424">
        <w:rPr>
          <w:rFonts w:ascii="Times New Roman" w:hAnsi="Times New Roman" w:cs="Times New Roman"/>
        </w:rPr>
        <w:t xml:space="preserve"> and Tom </w:t>
      </w:r>
      <w:proofErr w:type="spellStart"/>
      <w:r w:rsidRPr="003A3424">
        <w:rPr>
          <w:rFonts w:ascii="Times New Roman" w:hAnsi="Times New Roman" w:cs="Times New Roman"/>
        </w:rPr>
        <w:t>MacInnes</w:t>
      </w:r>
      <w:proofErr w:type="spellEnd"/>
      <w:r w:rsidRPr="003A3424">
        <w:rPr>
          <w:rFonts w:ascii="Times New Roman" w:hAnsi="Times New Roman" w:cs="Times New Roman"/>
        </w:rPr>
        <w:t xml:space="preserve">, </w:t>
      </w:r>
      <w:r w:rsidRPr="003A3424">
        <w:rPr>
          <w:rFonts w:ascii="Times New Roman" w:hAnsi="Times New Roman" w:cs="Times New Roman"/>
          <w:i/>
        </w:rPr>
        <w:t>Poverty and the cost of</w:t>
      </w:r>
    </w:p>
    <w:p w14:paraId="64BEF384" w14:textId="77777777" w:rsidR="00645E78" w:rsidRPr="003A3424" w:rsidRDefault="00645E78" w:rsidP="00645E78">
      <w:pPr>
        <w:pStyle w:val="FootnoteText"/>
        <w:rPr>
          <w:rFonts w:ascii="Times New Roman" w:hAnsi="Times New Roman" w:cs="Times New Roman"/>
        </w:rPr>
      </w:pPr>
      <w:r w:rsidRPr="003A3424">
        <w:rPr>
          <w:rFonts w:ascii="Times New Roman" w:hAnsi="Times New Roman" w:cs="Times New Roman"/>
          <w:i/>
        </w:rPr>
        <w:t>living: an evidence review</w:t>
      </w:r>
      <w:r w:rsidRPr="003A3424">
        <w:rPr>
          <w:rFonts w:ascii="Times New Roman" w:hAnsi="Times New Roman" w:cs="Times New Roman"/>
        </w:rPr>
        <w:t xml:space="preserve"> (Joseph Rowntree Foundation, 2014)</w:t>
      </w:r>
      <w:r w:rsidR="0033234D" w:rsidRPr="003A3424">
        <w:rPr>
          <w:rFonts w:ascii="Times New Roman" w:hAnsi="Times New Roman" w:cs="Times New Roman"/>
        </w:rPr>
        <w:t xml:space="preserve"> pg. 9.</w:t>
      </w:r>
    </w:p>
  </w:footnote>
  <w:footnote w:id="11">
    <w:p w14:paraId="0BE35EA3" w14:textId="026ED4CC" w:rsidR="00BD2956" w:rsidRPr="003A3424" w:rsidRDefault="00BD2956" w:rsidP="007C171A">
      <w:pPr>
        <w:spacing w:after="0"/>
        <w:rPr>
          <w:rFonts w:ascii="Times New Roman" w:eastAsia="Times New Roman" w:hAnsi="Times New Roman" w:cs="Times New Roman"/>
          <w:sz w:val="20"/>
          <w:szCs w:val="20"/>
          <w:lang w:val="en-US"/>
        </w:rPr>
      </w:pPr>
      <w:r w:rsidRPr="003A3424">
        <w:rPr>
          <w:rStyle w:val="FootnoteReference"/>
          <w:rFonts w:ascii="Times New Roman" w:hAnsi="Times New Roman" w:cs="Times New Roman"/>
          <w:sz w:val="20"/>
          <w:szCs w:val="20"/>
        </w:rPr>
        <w:footnoteRef/>
      </w:r>
      <w:r w:rsidR="005B05DB" w:rsidRPr="003A3424">
        <w:rPr>
          <w:rFonts w:ascii="Times New Roman" w:hAnsi="Times New Roman" w:cs="Times New Roman"/>
          <w:sz w:val="20"/>
          <w:szCs w:val="20"/>
        </w:rPr>
        <w:t xml:space="preserve"> House of Commons Work and Pensions Committee, ‘</w:t>
      </w:r>
      <w:r w:rsidR="005B05DB" w:rsidRPr="003A3424">
        <w:rPr>
          <w:rFonts w:ascii="Times New Roman" w:eastAsia="Times New Roman" w:hAnsi="Times New Roman" w:cs="Times New Roman"/>
          <w:sz w:val="20"/>
          <w:szCs w:val="20"/>
        </w:rPr>
        <w:t xml:space="preserve">The benefit cap Twenty-Fourth Report of Session 2017–19’ (2019) Available at: </w:t>
      </w:r>
      <w:r w:rsidR="003A3424" w:rsidRPr="003A3424">
        <w:rPr>
          <w:rFonts w:ascii="Times New Roman" w:eastAsia="Times New Roman" w:hAnsi="Times New Roman" w:cs="Times New Roman"/>
          <w:sz w:val="20"/>
          <w:szCs w:val="20"/>
        </w:rPr>
        <w:t>&lt;</w:t>
      </w:r>
      <w:hyperlink r:id="rId2" w:history="1">
        <w:r w:rsidRPr="003A3424">
          <w:rPr>
            <w:rStyle w:val="Hyperlink"/>
            <w:rFonts w:ascii="Times New Roman" w:eastAsia="Times New Roman" w:hAnsi="Times New Roman" w:cs="Times New Roman"/>
            <w:sz w:val="20"/>
            <w:szCs w:val="20"/>
          </w:rPr>
          <w:t>https://publications.parliament.uk/pa/cm201719/cmselect/cmworpen/1477/1477.pdf</w:t>
        </w:r>
      </w:hyperlink>
      <w:r w:rsidR="003A3424" w:rsidRPr="003A3424">
        <w:rPr>
          <w:rFonts w:ascii="Times New Roman" w:eastAsia="Times New Roman" w:hAnsi="Times New Roman" w:cs="Times New Roman"/>
          <w:sz w:val="20"/>
          <w:szCs w:val="20"/>
        </w:rPr>
        <w:t>&gt;</w:t>
      </w:r>
      <w:r w:rsidRPr="003A3424">
        <w:rPr>
          <w:rFonts w:ascii="Times New Roman" w:eastAsia="Times New Roman" w:hAnsi="Times New Roman" w:cs="Times New Roman"/>
          <w:sz w:val="20"/>
          <w:szCs w:val="20"/>
        </w:rPr>
        <w:t xml:space="preserve"> </w:t>
      </w:r>
      <w:r w:rsidR="005B05DB" w:rsidRPr="003A3424">
        <w:rPr>
          <w:rFonts w:ascii="Times New Roman" w:eastAsia="Times New Roman" w:hAnsi="Times New Roman" w:cs="Times New Roman"/>
          <w:sz w:val="20"/>
          <w:szCs w:val="20"/>
        </w:rPr>
        <w:t>accessed 21 September 2019.</w:t>
      </w:r>
    </w:p>
  </w:footnote>
  <w:footnote w:id="12">
    <w:p w14:paraId="18294BB3" w14:textId="26166B54" w:rsidR="006D1E9C" w:rsidRPr="003A3424" w:rsidRDefault="006D1E9C" w:rsidP="006D1E9C">
      <w:pPr>
        <w:rPr>
          <w:rFonts w:ascii="Times New Roman" w:eastAsia="Times New Roman" w:hAnsi="Times New Roman" w:cs="Times New Roman"/>
          <w:sz w:val="20"/>
          <w:szCs w:val="20"/>
          <w:lang w:val="en-US"/>
        </w:rPr>
      </w:pPr>
      <w:r w:rsidRPr="003A3424">
        <w:rPr>
          <w:rStyle w:val="FootnoteReference"/>
          <w:rFonts w:ascii="Times New Roman" w:hAnsi="Times New Roman" w:cs="Times New Roman"/>
          <w:sz w:val="20"/>
          <w:szCs w:val="20"/>
        </w:rPr>
        <w:footnoteRef/>
      </w:r>
      <w:r w:rsidR="003A3424" w:rsidRPr="003A3424">
        <w:rPr>
          <w:rFonts w:ascii="Times New Roman" w:hAnsi="Times New Roman" w:cs="Times New Roman"/>
          <w:sz w:val="20"/>
          <w:szCs w:val="20"/>
        </w:rPr>
        <w:t xml:space="preserve"> Steve Wilcox, ‘Housing benefit size criteria: impacts for social sector tenants and options for reform’ (JRF, 2014) Available at: &lt;</w:t>
      </w:r>
      <w:hyperlink r:id="rId3" w:history="1">
        <w:r w:rsidRPr="003A3424">
          <w:rPr>
            <w:rStyle w:val="Hyperlink"/>
            <w:rFonts w:ascii="Times New Roman" w:eastAsia="Times New Roman" w:hAnsi="Times New Roman" w:cs="Times New Roman"/>
            <w:sz w:val="20"/>
            <w:szCs w:val="20"/>
          </w:rPr>
          <w:t>https://www.jrf.org.uk/report/housing-benefit-size-criteria-impacts-social-sector-tenants-and-options-reform</w:t>
        </w:r>
      </w:hyperlink>
      <w:r w:rsidR="003A3424" w:rsidRPr="003A3424">
        <w:rPr>
          <w:rFonts w:ascii="Times New Roman" w:eastAsia="Times New Roman" w:hAnsi="Times New Roman" w:cs="Times New Roman"/>
          <w:sz w:val="20"/>
          <w:szCs w:val="20"/>
        </w:rPr>
        <w:t>&gt; accessed 21 September.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25BA9"/>
    <w:multiLevelType w:val="multilevel"/>
    <w:tmpl w:val="3B0E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15"/>
    <w:rsid w:val="00000341"/>
    <w:rsid w:val="00004C4A"/>
    <w:rsid w:val="000A7A50"/>
    <w:rsid w:val="000E2333"/>
    <w:rsid w:val="001038D4"/>
    <w:rsid w:val="0016241D"/>
    <w:rsid w:val="00187E33"/>
    <w:rsid w:val="001B7079"/>
    <w:rsid w:val="001D0C2B"/>
    <w:rsid w:val="00200CFF"/>
    <w:rsid w:val="002419D5"/>
    <w:rsid w:val="002904FB"/>
    <w:rsid w:val="002A25D0"/>
    <w:rsid w:val="002B28FD"/>
    <w:rsid w:val="002E5402"/>
    <w:rsid w:val="003115D8"/>
    <w:rsid w:val="003260A2"/>
    <w:rsid w:val="0032700B"/>
    <w:rsid w:val="0033234D"/>
    <w:rsid w:val="003403D7"/>
    <w:rsid w:val="00344C74"/>
    <w:rsid w:val="00381863"/>
    <w:rsid w:val="003A3424"/>
    <w:rsid w:val="003A50C6"/>
    <w:rsid w:val="003D5795"/>
    <w:rsid w:val="003E1D41"/>
    <w:rsid w:val="00424ED4"/>
    <w:rsid w:val="004369C9"/>
    <w:rsid w:val="004370F1"/>
    <w:rsid w:val="00453F45"/>
    <w:rsid w:val="00456386"/>
    <w:rsid w:val="004633D2"/>
    <w:rsid w:val="004F014B"/>
    <w:rsid w:val="00506408"/>
    <w:rsid w:val="00520D87"/>
    <w:rsid w:val="0055375A"/>
    <w:rsid w:val="0056149F"/>
    <w:rsid w:val="00563138"/>
    <w:rsid w:val="005670F3"/>
    <w:rsid w:val="005858AD"/>
    <w:rsid w:val="005A2122"/>
    <w:rsid w:val="005B05DB"/>
    <w:rsid w:val="00603632"/>
    <w:rsid w:val="006437DF"/>
    <w:rsid w:val="00645E78"/>
    <w:rsid w:val="00662BFD"/>
    <w:rsid w:val="00664654"/>
    <w:rsid w:val="0067489C"/>
    <w:rsid w:val="006D1E9C"/>
    <w:rsid w:val="006E6FC7"/>
    <w:rsid w:val="00702617"/>
    <w:rsid w:val="0070446B"/>
    <w:rsid w:val="007118A9"/>
    <w:rsid w:val="00714394"/>
    <w:rsid w:val="00723A88"/>
    <w:rsid w:val="007365CA"/>
    <w:rsid w:val="007A034C"/>
    <w:rsid w:val="007A73A0"/>
    <w:rsid w:val="007C171A"/>
    <w:rsid w:val="007C46B4"/>
    <w:rsid w:val="00800D15"/>
    <w:rsid w:val="00812E00"/>
    <w:rsid w:val="00814AC7"/>
    <w:rsid w:val="00861C7D"/>
    <w:rsid w:val="0087553C"/>
    <w:rsid w:val="008C2D3F"/>
    <w:rsid w:val="009012B6"/>
    <w:rsid w:val="00925FD0"/>
    <w:rsid w:val="00964AA7"/>
    <w:rsid w:val="00977FB8"/>
    <w:rsid w:val="009934F0"/>
    <w:rsid w:val="009B53F6"/>
    <w:rsid w:val="009B5EBE"/>
    <w:rsid w:val="009D4F63"/>
    <w:rsid w:val="009E3231"/>
    <w:rsid w:val="009F5878"/>
    <w:rsid w:val="00A0222B"/>
    <w:rsid w:val="00A02C71"/>
    <w:rsid w:val="00A31574"/>
    <w:rsid w:val="00A500AA"/>
    <w:rsid w:val="00A519E5"/>
    <w:rsid w:val="00A67542"/>
    <w:rsid w:val="00AA2619"/>
    <w:rsid w:val="00AE21A1"/>
    <w:rsid w:val="00B3758F"/>
    <w:rsid w:val="00B57C8E"/>
    <w:rsid w:val="00B641A3"/>
    <w:rsid w:val="00B75D0D"/>
    <w:rsid w:val="00B83161"/>
    <w:rsid w:val="00BC5726"/>
    <w:rsid w:val="00BD1662"/>
    <w:rsid w:val="00BD2956"/>
    <w:rsid w:val="00BE1C13"/>
    <w:rsid w:val="00C04A8B"/>
    <w:rsid w:val="00C23CCC"/>
    <w:rsid w:val="00C30CAA"/>
    <w:rsid w:val="00C46F9A"/>
    <w:rsid w:val="00C542C6"/>
    <w:rsid w:val="00C763E6"/>
    <w:rsid w:val="00C85F8F"/>
    <w:rsid w:val="00C87D3D"/>
    <w:rsid w:val="00CB0FD9"/>
    <w:rsid w:val="00CD2758"/>
    <w:rsid w:val="00D33007"/>
    <w:rsid w:val="00D556DE"/>
    <w:rsid w:val="00D84F09"/>
    <w:rsid w:val="00DB19AB"/>
    <w:rsid w:val="00DD3EE0"/>
    <w:rsid w:val="00DD5119"/>
    <w:rsid w:val="00DF7810"/>
    <w:rsid w:val="00E14363"/>
    <w:rsid w:val="00E30242"/>
    <w:rsid w:val="00E47EC8"/>
    <w:rsid w:val="00E60C89"/>
    <w:rsid w:val="00E63832"/>
    <w:rsid w:val="00E64385"/>
    <w:rsid w:val="00EC5029"/>
    <w:rsid w:val="00F10A41"/>
    <w:rsid w:val="00F415D3"/>
    <w:rsid w:val="00F5067E"/>
    <w:rsid w:val="00F55601"/>
    <w:rsid w:val="00F65F05"/>
    <w:rsid w:val="00F9351C"/>
    <w:rsid w:val="00F9631D"/>
    <w:rsid w:val="00FA7CDB"/>
    <w:rsid w:val="00FE00AB"/>
    <w:rsid w:val="00FE08DE"/>
    <w:rsid w:val="00FE397F"/>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32D5B"/>
  <w15:chartTrackingRefBased/>
  <w15:docId w15:val="{3E1399DD-558F-4926-9BCA-18D00D29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0E2333"/>
    <w:pPr>
      <w:spacing w:after="0" w:line="240" w:lineRule="auto"/>
    </w:pPr>
    <w:rPr>
      <w:sz w:val="20"/>
      <w:szCs w:val="20"/>
    </w:rPr>
  </w:style>
  <w:style w:type="character" w:customStyle="1" w:styleId="FootnoteTextChar">
    <w:name w:val="Footnote Text Char"/>
    <w:basedOn w:val="DefaultParagraphFont"/>
    <w:link w:val="FootnoteText"/>
    <w:uiPriority w:val="99"/>
    <w:rsid w:val="000E2333"/>
    <w:rPr>
      <w:sz w:val="20"/>
      <w:szCs w:val="20"/>
    </w:rPr>
  </w:style>
  <w:style w:type="character" w:styleId="FootnoteReference">
    <w:name w:val="footnote reference"/>
    <w:basedOn w:val="DefaultParagraphFont"/>
    <w:uiPriority w:val="99"/>
    <w:unhideWhenUsed/>
    <w:rsid w:val="000E2333"/>
    <w:rPr>
      <w:vertAlign w:val="superscript"/>
    </w:rPr>
  </w:style>
  <w:style w:type="character" w:styleId="Hyperlink">
    <w:name w:val="Hyperlink"/>
    <w:basedOn w:val="DefaultParagraphFont"/>
    <w:uiPriority w:val="99"/>
    <w:unhideWhenUsed/>
    <w:rsid w:val="000E2333"/>
    <w:rPr>
      <w:color w:val="0000FF"/>
      <w:u w:val="single"/>
    </w:rPr>
  </w:style>
  <w:style w:type="character" w:styleId="Strong">
    <w:name w:val="Strong"/>
    <w:basedOn w:val="DefaultParagraphFont"/>
    <w:uiPriority w:val="22"/>
    <w:qFormat/>
    <w:rsid w:val="0055375A"/>
    <w:rPr>
      <w:b/>
      <w:bCs/>
    </w:rPr>
  </w:style>
  <w:style w:type="character" w:styleId="FollowedHyperlink">
    <w:name w:val="FollowedHyperlink"/>
    <w:basedOn w:val="DefaultParagraphFont"/>
    <w:uiPriority w:val="99"/>
    <w:semiHidden/>
    <w:unhideWhenUsed/>
    <w:rsid w:val="00901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136">
      <w:bodyDiv w:val="1"/>
      <w:marLeft w:val="0"/>
      <w:marRight w:val="0"/>
      <w:marTop w:val="0"/>
      <w:marBottom w:val="0"/>
      <w:divBdr>
        <w:top w:val="none" w:sz="0" w:space="0" w:color="auto"/>
        <w:left w:val="none" w:sz="0" w:space="0" w:color="auto"/>
        <w:bottom w:val="none" w:sz="0" w:space="0" w:color="auto"/>
        <w:right w:val="none" w:sz="0" w:space="0" w:color="auto"/>
      </w:divBdr>
    </w:div>
    <w:div w:id="191386595">
      <w:bodyDiv w:val="1"/>
      <w:marLeft w:val="0"/>
      <w:marRight w:val="0"/>
      <w:marTop w:val="0"/>
      <w:marBottom w:val="0"/>
      <w:divBdr>
        <w:top w:val="none" w:sz="0" w:space="0" w:color="auto"/>
        <w:left w:val="none" w:sz="0" w:space="0" w:color="auto"/>
        <w:bottom w:val="none" w:sz="0" w:space="0" w:color="auto"/>
        <w:right w:val="none" w:sz="0" w:space="0" w:color="auto"/>
      </w:divBdr>
    </w:div>
    <w:div w:id="399133385">
      <w:bodyDiv w:val="1"/>
      <w:marLeft w:val="0"/>
      <w:marRight w:val="0"/>
      <w:marTop w:val="0"/>
      <w:marBottom w:val="0"/>
      <w:divBdr>
        <w:top w:val="none" w:sz="0" w:space="0" w:color="auto"/>
        <w:left w:val="none" w:sz="0" w:space="0" w:color="auto"/>
        <w:bottom w:val="none" w:sz="0" w:space="0" w:color="auto"/>
        <w:right w:val="none" w:sz="0" w:space="0" w:color="auto"/>
      </w:divBdr>
    </w:div>
    <w:div w:id="809981642">
      <w:bodyDiv w:val="1"/>
      <w:marLeft w:val="0"/>
      <w:marRight w:val="0"/>
      <w:marTop w:val="0"/>
      <w:marBottom w:val="0"/>
      <w:divBdr>
        <w:top w:val="none" w:sz="0" w:space="0" w:color="auto"/>
        <w:left w:val="none" w:sz="0" w:space="0" w:color="auto"/>
        <w:bottom w:val="none" w:sz="0" w:space="0" w:color="auto"/>
        <w:right w:val="none" w:sz="0" w:space="0" w:color="auto"/>
      </w:divBdr>
    </w:div>
    <w:div w:id="988481233">
      <w:bodyDiv w:val="1"/>
      <w:marLeft w:val="0"/>
      <w:marRight w:val="0"/>
      <w:marTop w:val="0"/>
      <w:marBottom w:val="0"/>
      <w:divBdr>
        <w:top w:val="none" w:sz="0" w:space="0" w:color="auto"/>
        <w:left w:val="none" w:sz="0" w:space="0" w:color="auto"/>
        <w:bottom w:val="none" w:sz="0" w:space="0" w:color="auto"/>
        <w:right w:val="none" w:sz="0" w:space="0" w:color="auto"/>
      </w:divBdr>
    </w:div>
    <w:div w:id="1034574927">
      <w:bodyDiv w:val="1"/>
      <w:marLeft w:val="0"/>
      <w:marRight w:val="0"/>
      <w:marTop w:val="0"/>
      <w:marBottom w:val="0"/>
      <w:divBdr>
        <w:top w:val="none" w:sz="0" w:space="0" w:color="auto"/>
        <w:left w:val="none" w:sz="0" w:space="0" w:color="auto"/>
        <w:bottom w:val="none" w:sz="0" w:space="0" w:color="auto"/>
        <w:right w:val="none" w:sz="0" w:space="0" w:color="auto"/>
      </w:divBdr>
    </w:div>
    <w:div w:id="130936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rf.org.uk/report/housing-benefit-size-criteria-impacts-social-sector-tenants-and-options-reform" TargetMode="External"/><Relationship Id="rId2" Type="http://schemas.openxmlformats.org/officeDocument/2006/relationships/hyperlink" Target="https://publications.parliament.uk/pa/cm201719/cmselect/cmworpen/1477/1477.pdf" TargetMode="External"/><Relationship Id="rId1" Type="http://schemas.openxmlformats.org/officeDocument/2006/relationships/hyperlink" Target="https://www.gov.uk/government/publications/spending-round-2019-document/spending-roun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61C0-D8B4-4127-9B48-2BABF543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5</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195</cp:revision>
  <dcterms:created xsi:type="dcterms:W3CDTF">2019-09-21T09:17:00Z</dcterms:created>
  <dcterms:modified xsi:type="dcterms:W3CDTF">2019-09-23T07:32:00Z</dcterms:modified>
</cp:coreProperties>
</file>