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00D0E" w14:textId="77777777" w:rsidR="001678DA" w:rsidRDefault="001678DA" w:rsidP="00463521">
      <w:pPr>
        <w:pBdr>
          <w:top w:val="nil"/>
          <w:left w:val="nil"/>
          <w:bottom w:val="nil"/>
          <w:right w:val="nil"/>
          <w:between w:val="nil"/>
        </w:pBdr>
        <w:spacing w:line="360" w:lineRule="auto"/>
        <w:rPr>
          <w:b/>
          <w:lang w:val="en-GB"/>
        </w:rPr>
      </w:pPr>
    </w:p>
    <w:p w14:paraId="55F1A09C" w14:textId="77777777" w:rsidR="00463521" w:rsidRDefault="00463521" w:rsidP="00463521">
      <w:pPr>
        <w:pBdr>
          <w:top w:val="nil"/>
          <w:left w:val="nil"/>
          <w:bottom w:val="nil"/>
          <w:right w:val="nil"/>
          <w:between w:val="nil"/>
        </w:pBdr>
        <w:spacing w:line="360" w:lineRule="auto"/>
        <w:rPr>
          <w:b/>
          <w:lang w:val="en-GB"/>
        </w:rPr>
      </w:pPr>
      <w:r>
        <w:rPr>
          <w:b/>
          <w:lang w:val="en-GB"/>
        </w:rPr>
        <w:t xml:space="preserve">[For </w:t>
      </w:r>
      <w:r w:rsidRPr="001678DA">
        <w:rPr>
          <w:b/>
          <w:highlight w:val="none"/>
          <w:lang w:val="en-GB"/>
        </w:rPr>
        <w:t xml:space="preserve">RESEARCH </w:t>
      </w:r>
      <w:r>
        <w:rPr>
          <w:b/>
          <w:lang w:val="en-GB"/>
        </w:rPr>
        <w:t>section]</w:t>
      </w:r>
    </w:p>
    <w:p w14:paraId="31AB684D" w14:textId="77777777" w:rsidR="00C2191D" w:rsidRPr="00463521" w:rsidRDefault="00715C63" w:rsidP="00463521">
      <w:pPr>
        <w:pBdr>
          <w:top w:val="nil"/>
          <w:left w:val="nil"/>
          <w:bottom w:val="nil"/>
          <w:right w:val="nil"/>
          <w:between w:val="nil"/>
        </w:pBdr>
        <w:spacing w:line="360" w:lineRule="auto"/>
        <w:rPr>
          <w:b/>
          <w:lang w:val="en-GB"/>
        </w:rPr>
      </w:pPr>
      <w:r w:rsidRPr="00463521">
        <w:rPr>
          <w:b/>
          <w:lang w:val="en-GB"/>
        </w:rPr>
        <w:t xml:space="preserve">Something fishy in the Great Lakes? A reappraisal of early pottery use in north-eastern North America. </w:t>
      </w:r>
    </w:p>
    <w:p w14:paraId="17CD0D78" w14:textId="77777777" w:rsidR="00C2191D" w:rsidRPr="001E6C9B" w:rsidRDefault="00463521" w:rsidP="00463521">
      <w:pPr>
        <w:spacing w:line="360" w:lineRule="auto"/>
        <w:rPr>
          <w:lang w:val="fr-CA"/>
        </w:rPr>
      </w:pPr>
      <w:r w:rsidRPr="001E6C9B">
        <w:rPr>
          <w:lang w:val="fr-CA"/>
        </w:rPr>
        <w:t>Karine Taché</w:t>
      </w:r>
      <w:r w:rsidRPr="001E6C9B">
        <w:rPr>
          <w:vertAlign w:val="superscript"/>
          <w:lang w:val="fr-CA"/>
        </w:rPr>
        <w:t>1,*</w:t>
      </w:r>
      <w:r w:rsidRPr="001E6C9B">
        <w:rPr>
          <w:lang w:val="fr-CA"/>
        </w:rPr>
        <w:t>,</w:t>
      </w:r>
      <w:r w:rsidR="00715C63" w:rsidRPr="001E6C9B">
        <w:rPr>
          <w:lang w:val="fr-CA"/>
        </w:rPr>
        <w:t xml:space="preserve"> </w:t>
      </w:r>
      <w:r w:rsidRPr="001E6C9B">
        <w:rPr>
          <w:lang w:val="fr-CA"/>
        </w:rPr>
        <w:t>Manon Bondetti</w:t>
      </w:r>
      <w:r w:rsidR="00715C63" w:rsidRPr="001E6C9B">
        <w:rPr>
          <w:vertAlign w:val="superscript"/>
          <w:lang w:val="fr-CA"/>
        </w:rPr>
        <w:t>2,3</w:t>
      </w:r>
      <w:r w:rsidRPr="001E6C9B">
        <w:rPr>
          <w:lang w:val="fr-CA"/>
        </w:rPr>
        <w:t>,</w:t>
      </w:r>
      <w:r w:rsidR="00715C63" w:rsidRPr="001E6C9B">
        <w:rPr>
          <w:vertAlign w:val="superscript"/>
          <w:lang w:val="fr-CA"/>
        </w:rPr>
        <w:t xml:space="preserve"> </w:t>
      </w:r>
      <w:r w:rsidRPr="001E6C9B">
        <w:rPr>
          <w:lang w:val="fr-CA"/>
        </w:rPr>
        <w:t>Alexandre Lucquin</w:t>
      </w:r>
      <w:r w:rsidR="00715C63" w:rsidRPr="001E6C9B">
        <w:rPr>
          <w:vertAlign w:val="superscript"/>
          <w:lang w:val="fr-CA"/>
        </w:rPr>
        <w:t>2</w:t>
      </w:r>
      <w:r w:rsidR="00715C63" w:rsidRPr="001E6C9B">
        <w:rPr>
          <w:lang w:val="fr-CA"/>
        </w:rPr>
        <w:t xml:space="preserve">, </w:t>
      </w:r>
      <w:proofErr w:type="spellStart"/>
      <w:r w:rsidRPr="001E6C9B">
        <w:rPr>
          <w:lang w:val="fr-CA"/>
        </w:rPr>
        <w:t>Marjolein</w:t>
      </w:r>
      <w:proofErr w:type="spellEnd"/>
      <w:r w:rsidRPr="001E6C9B">
        <w:rPr>
          <w:lang w:val="fr-CA"/>
        </w:rPr>
        <w:t xml:space="preserve"> Admiraal</w:t>
      </w:r>
      <w:r w:rsidR="00715C63" w:rsidRPr="001E6C9B">
        <w:rPr>
          <w:vertAlign w:val="superscript"/>
          <w:lang w:val="fr-CA"/>
        </w:rPr>
        <w:t>2,3</w:t>
      </w:r>
      <w:r w:rsidRPr="001E6C9B">
        <w:rPr>
          <w:lang w:val="fr-CA"/>
        </w:rPr>
        <w:t>&amp;</w:t>
      </w:r>
      <w:r w:rsidR="00715C63" w:rsidRPr="001E6C9B">
        <w:rPr>
          <w:lang w:val="fr-CA"/>
        </w:rPr>
        <w:t xml:space="preserve"> </w:t>
      </w:r>
      <w:r w:rsidRPr="001E6C9B">
        <w:rPr>
          <w:lang w:val="fr-CA"/>
        </w:rPr>
        <w:t>Oliver E. Craig</w:t>
      </w:r>
      <w:r w:rsidR="00715C63" w:rsidRPr="001E6C9B">
        <w:rPr>
          <w:vertAlign w:val="superscript"/>
          <w:lang w:val="fr-CA"/>
        </w:rPr>
        <w:t>2</w:t>
      </w:r>
    </w:p>
    <w:p w14:paraId="308A709D" w14:textId="1B28637A" w:rsidR="00C2191D" w:rsidRPr="00463521" w:rsidRDefault="00715C63" w:rsidP="00463521">
      <w:pPr>
        <w:spacing w:line="360" w:lineRule="auto"/>
        <w:rPr>
          <w:i/>
          <w:lang w:val="en-GB"/>
        </w:rPr>
      </w:pPr>
      <w:r w:rsidRPr="00463521">
        <w:rPr>
          <w:i/>
          <w:vertAlign w:val="superscript"/>
          <w:lang w:val="en-GB"/>
        </w:rPr>
        <w:t>1</w:t>
      </w:r>
      <w:r w:rsidR="00463521" w:rsidRPr="00463521">
        <w:rPr>
          <w:i/>
          <w:vertAlign w:val="superscript"/>
          <w:lang w:val="en-GB"/>
        </w:rPr>
        <w:t xml:space="preserve"> </w:t>
      </w:r>
      <w:r w:rsidRPr="00463521">
        <w:rPr>
          <w:i/>
          <w:lang w:val="en-GB"/>
        </w:rPr>
        <w:t xml:space="preserve">Department of Anthropology, CUNY Queens College, 65-30 </w:t>
      </w:r>
      <w:proofErr w:type="spellStart"/>
      <w:r w:rsidRPr="00463521">
        <w:rPr>
          <w:i/>
          <w:lang w:val="en-GB"/>
        </w:rPr>
        <w:t>Kissena</w:t>
      </w:r>
      <w:proofErr w:type="spellEnd"/>
      <w:r w:rsidRPr="00463521">
        <w:rPr>
          <w:i/>
          <w:lang w:val="en-GB"/>
        </w:rPr>
        <w:t xml:space="preserve"> B</w:t>
      </w:r>
      <w:r w:rsidR="00811925">
        <w:rPr>
          <w:i/>
          <w:lang w:val="en-GB"/>
        </w:rPr>
        <w:t>oulevard</w:t>
      </w:r>
      <w:r w:rsidRPr="00463521">
        <w:rPr>
          <w:i/>
          <w:lang w:val="en-GB"/>
        </w:rPr>
        <w:t>, Queens, NY 11367, USA</w:t>
      </w:r>
    </w:p>
    <w:p w14:paraId="4A0EFD78" w14:textId="299B5D5F" w:rsidR="00C2191D" w:rsidRPr="00463521" w:rsidRDefault="00715C63" w:rsidP="00463521">
      <w:pPr>
        <w:spacing w:line="360" w:lineRule="auto"/>
        <w:rPr>
          <w:i/>
          <w:lang w:val="en-GB"/>
        </w:rPr>
      </w:pPr>
      <w:r w:rsidRPr="00463521">
        <w:rPr>
          <w:i/>
          <w:vertAlign w:val="superscript"/>
          <w:lang w:val="en-GB"/>
        </w:rPr>
        <w:t>2</w:t>
      </w:r>
      <w:r w:rsidR="00463521">
        <w:rPr>
          <w:i/>
          <w:vertAlign w:val="superscript"/>
          <w:lang w:val="en-GB"/>
        </w:rPr>
        <w:t xml:space="preserve"> </w:t>
      </w:r>
      <w:proofErr w:type="spellStart"/>
      <w:r w:rsidRPr="00463521">
        <w:rPr>
          <w:i/>
          <w:lang w:val="en-GB"/>
        </w:rPr>
        <w:t>BioArCh</w:t>
      </w:r>
      <w:proofErr w:type="spellEnd"/>
      <w:r w:rsidRPr="00463521">
        <w:rPr>
          <w:i/>
          <w:lang w:val="en-GB"/>
        </w:rPr>
        <w:t>, University of York</w:t>
      </w:r>
      <w:r w:rsidR="00463521" w:rsidRPr="00463521">
        <w:rPr>
          <w:i/>
          <w:lang w:val="en-GB"/>
        </w:rPr>
        <w:t xml:space="preserve">, </w:t>
      </w:r>
      <w:r w:rsidR="00811925" w:rsidRPr="00811925">
        <w:rPr>
          <w:i/>
          <w:lang w:val="en-GB"/>
        </w:rPr>
        <w:t>Environment Building</w:t>
      </w:r>
      <w:r w:rsidR="00811925">
        <w:rPr>
          <w:i/>
          <w:lang w:val="en-GB"/>
        </w:rPr>
        <w:t>,</w:t>
      </w:r>
      <w:r w:rsidR="00811925" w:rsidRPr="00811925">
        <w:rPr>
          <w:i/>
          <w:lang w:val="en-GB"/>
        </w:rPr>
        <w:t xml:space="preserve"> Wentworth Way</w:t>
      </w:r>
      <w:r w:rsidR="00811925">
        <w:rPr>
          <w:i/>
          <w:lang w:val="en-GB"/>
        </w:rPr>
        <w:t>,</w:t>
      </w:r>
      <w:r w:rsidR="00811925" w:rsidRPr="00811925">
        <w:rPr>
          <w:i/>
          <w:lang w:val="en-GB"/>
        </w:rPr>
        <w:t xml:space="preserve"> </w:t>
      </w:r>
      <w:r w:rsidR="00463521" w:rsidRPr="00463521">
        <w:rPr>
          <w:i/>
          <w:lang w:val="en-GB"/>
        </w:rPr>
        <w:t>Heslington, York YO10 5DD, UK</w:t>
      </w:r>
    </w:p>
    <w:p w14:paraId="3C1EB48B" w14:textId="77777777" w:rsidR="00C2191D" w:rsidRPr="00463521" w:rsidRDefault="00715C63" w:rsidP="00463521">
      <w:pPr>
        <w:spacing w:line="360" w:lineRule="auto"/>
        <w:rPr>
          <w:i/>
          <w:lang w:val="en-GB"/>
        </w:rPr>
      </w:pPr>
      <w:r w:rsidRPr="00463521">
        <w:rPr>
          <w:i/>
          <w:vertAlign w:val="superscript"/>
          <w:lang w:val="en-GB"/>
        </w:rPr>
        <w:t>3</w:t>
      </w:r>
      <w:r w:rsidR="00463521" w:rsidRPr="00463521">
        <w:rPr>
          <w:i/>
          <w:vertAlign w:val="superscript"/>
          <w:lang w:val="en-GB"/>
        </w:rPr>
        <w:t xml:space="preserve"> </w:t>
      </w:r>
      <w:r w:rsidRPr="00463521">
        <w:rPr>
          <w:i/>
          <w:lang w:val="en-GB"/>
        </w:rPr>
        <w:t xml:space="preserve">Arctic Centre, University of Groningen, </w:t>
      </w:r>
      <w:proofErr w:type="spellStart"/>
      <w:r w:rsidRPr="00463521">
        <w:rPr>
          <w:i/>
          <w:lang w:val="en-GB"/>
        </w:rPr>
        <w:t>Aweg</w:t>
      </w:r>
      <w:proofErr w:type="spellEnd"/>
      <w:r w:rsidRPr="00463521">
        <w:rPr>
          <w:i/>
          <w:lang w:val="en-GB"/>
        </w:rPr>
        <w:t xml:space="preserve"> 30, 97</w:t>
      </w:r>
      <w:r w:rsidR="00463521" w:rsidRPr="00463521">
        <w:rPr>
          <w:i/>
          <w:lang w:val="en-GB"/>
        </w:rPr>
        <w:t>18CW Groningen, the Netherlands</w:t>
      </w:r>
    </w:p>
    <w:p w14:paraId="01010B12" w14:textId="77777777" w:rsidR="00C2191D" w:rsidRDefault="00463521" w:rsidP="00463521">
      <w:pPr>
        <w:spacing w:line="360" w:lineRule="auto"/>
        <w:rPr>
          <w:i/>
          <w:color w:val="auto"/>
          <w:lang w:val="en-GB"/>
        </w:rPr>
      </w:pPr>
      <w:r w:rsidRPr="00463521">
        <w:rPr>
          <w:i/>
          <w:color w:val="auto"/>
          <w:vertAlign w:val="superscript"/>
          <w:lang w:val="en-GB"/>
        </w:rPr>
        <w:t>*</w:t>
      </w:r>
      <w:r w:rsidRPr="00463521">
        <w:rPr>
          <w:i/>
          <w:color w:val="auto"/>
          <w:lang w:val="en-GB"/>
        </w:rPr>
        <w:t xml:space="preserve"> Author for correspondence (Email: karine.tache@qc.cuny.edu)</w:t>
      </w:r>
    </w:p>
    <w:p w14:paraId="20126B76" w14:textId="77777777" w:rsidR="00463521" w:rsidRDefault="00463521" w:rsidP="00463521">
      <w:pPr>
        <w:spacing w:line="360" w:lineRule="auto"/>
        <w:rPr>
          <w:i/>
          <w:color w:val="auto"/>
          <w:lang w:val="en-GB"/>
        </w:rPr>
      </w:pPr>
      <w:r>
        <w:rPr>
          <w:i/>
          <w:color w:val="auto"/>
          <w:lang w:val="en-GB"/>
        </w:rPr>
        <w:t>Received: Revised: Accepted:</w:t>
      </w:r>
    </w:p>
    <w:p w14:paraId="7DB15100" w14:textId="77777777" w:rsidR="00463521" w:rsidRDefault="00463521" w:rsidP="00463521">
      <w:pPr>
        <w:spacing w:line="360" w:lineRule="auto"/>
        <w:rPr>
          <w:i/>
          <w:color w:val="auto"/>
          <w:lang w:val="en-GB"/>
        </w:rPr>
      </w:pPr>
    </w:p>
    <w:p w14:paraId="167D6F1E" w14:textId="77777777" w:rsidR="00463521" w:rsidRPr="00463521" w:rsidRDefault="00463521" w:rsidP="00463521">
      <w:pPr>
        <w:spacing w:line="360" w:lineRule="auto"/>
        <w:rPr>
          <w:color w:val="auto"/>
          <w:lang w:val="en-GB"/>
        </w:rPr>
      </w:pPr>
      <w:r>
        <w:rPr>
          <w:color w:val="auto"/>
          <w:lang w:val="en-GB"/>
        </w:rPr>
        <w:t>&lt;</w:t>
      </w:r>
      <w:r w:rsidRPr="009947E5">
        <w:rPr>
          <w:color w:val="auto"/>
          <w:lang w:val="en-GB"/>
        </w:rPr>
        <w:t xml:space="preserve">LOCATION MAP, </w:t>
      </w:r>
      <w:r>
        <w:rPr>
          <w:color w:val="auto"/>
          <w:lang w:val="en-GB"/>
        </w:rPr>
        <w:t>6.5cm colour, place to left of abstract and wrap around&gt;</w:t>
      </w:r>
    </w:p>
    <w:p w14:paraId="651C8260" w14:textId="77777777" w:rsidR="00C2191D" w:rsidRPr="00463521" w:rsidRDefault="00C2191D" w:rsidP="00463521">
      <w:pPr>
        <w:pStyle w:val="Heading2"/>
        <w:spacing w:before="0" w:after="0" w:line="360" w:lineRule="auto"/>
        <w:rPr>
          <w:sz w:val="24"/>
          <w:szCs w:val="24"/>
          <w:lang w:val="en-GB"/>
        </w:rPr>
      </w:pPr>
    </w:p>
    <w:p w14:paraId="11C28AB9" w14:textId="51737CFE" w:rsidR="00C2191D" w:rsidRPr="00132F88" w:rsidRDefault="00132F88" w:rsidP="00463521">
      <w:pPr>
        <w:spacing w:line="360" w:lineRule="auto"/>
        <w:rPr>
          <w:i/>
          <w:color w:val="auto"/>
          <w:lang w:val="en-GB"/>
        </w:rPr>
      </w:pPr>
      <w:r w:rsidRPr="00132F88">
        <w:rPr>
          <w:i/>
          <w:color w:val="auto"/>
          <w:lang w:val="en-GB"/>
        </w:rPr>
        <w:t xml:space="preserve">Lipid residue analysis has recently been applied to investigate the adoption of </w:t>
      </w:r>
      <w:r w:rsidR="00715C63" w:rsidRPr="00132F88">
        <w:rPr>
          <w:i/>
          <w:color w:val="auto"/>
          <w:lang w:val="en-GB"/>
        </w:rPr>
        <w:t>pottery</w:t>
      </w:r>
      <w:r w:rsidRPr="00132F88">
        <w:rPr>
          <w:i/>
          <w:color w:val="auto"/>
          <w:lang w:val="en-GB"/>
        </w:rPr>
        <w:t xml:space="preserve"> by Early Woodland hunter-gatherers </w:t>
      </w:r>
      <w:r w:rsidR="00715C63" w:rsidRPr="00132F88">
        <w:rPr>
          <w:i/>
          <w:color w:val="auto"/>
          <w:lang w:val="en-GB"/>
        </w:rPr>
        <w:t>in north-eastern North America</w:t>
      </w:r>
      <w:r w:rsidRPr="00132F88">
        <w:rPr>
          <w:i/>
          <w:color w:val="auto"/>
          <w:lang w:val="en-GB"/>
        </w:rPr>
        <w:t>. Results, however, have proven contradictory</w:t>
      </w:r>
      <w:r w:rsidR="00715C63" w:rsidRPr="00132F88">
        <w:rPr>
          <w:i/>
          <w:color w:val="auto"/>
          <w:lang w:val="en-GB"/>
        </w:rPr>
        <w:t xml:space="preserve">, especially regarding the extent </w:t>
      </w:r>
      <w:r w:rsidR="004533C0" w:rsidRPr="00132F88">
        <w:rPr>
          <w:i/>
          <w:color w:val="auto"/>
          <w:lang w:val="en-GB"/>
        </w:rPr>
        <w:t xml:space="preserve">to which </w:t>
      </w:r>
      <w:r w:rsidR="00715C63" w:rsidRPr="00132F88">
        <w:rPr>
          <w:i/>
          <w:color w:val="auto"/>
          <w:lang w:val="en-GB"/>
        </w:rPr>
        <w:t xml:space="preserve">early ceramics were used for processing aquatic resources. </w:t>
      </w:r>
      <w:r w:rsidR="00AE186F">
        <w:rPr>
          <w:i/>
          <w:color w:val="auto"/>
          <w:lang w:val="en-GB"/>
        </w:rPr>
        <w:t>Here, w</w:t>
      </w:r>
      <w:r w:rsidR="00715C63" w:rsidRPr="00132F88">
        <w:rPr>
          <w:i/>
          <w:color w:val="auto"/>
          <w:lang w:val="en-GB"/>
        </w:rPr>
        <w:t>e argue that this</w:t>
      </w:r>
      <w:r w:rsidRPr="00132F88">
        <w:rPr>
          <w:i/>
          <w:color w:val="auto"/>
          <w:lang w:val="en-GB"/>
        </w:rPr>
        <w:t xml:space="preserve"> inconsistency</w:t>
      </w:r>
      <w:r w:rsidR="00715C63" w:rsidRPr="00132F88">
        <w:rPr>
          <w:i/>
          <w:color w:val="auto"/>
          <w:lang w:val="en-GB"/>
        </w:rPr>
        <w:t xml:space="preserve"> is due to the use of different analytical procedures and criteria for identifying aquatic organisms</w:t>
      </w:r>
      <w:r w:rsidR="004533C0" w:rsidRPr="00132F88">
        <w:rPr>
          <w:i/>
          <w:color w:val="auto"/>
          <w:lang w:val="en-GB"/>
        </w:rPr>
        <w:t>,</w:t>
      </w:r>
      <w:r w:rsidR="00715C63" w:rsidRPr="00132F88">
        <w:rPr>
          <w:i/>
          <w:color w:val="auto"/>
          <w:lang w:val="en-GB"/>
        </w:rPr>
        <w:t xml:space="preserve"> rather than any </w:t>
      </w:r>
      <w:r w:rsidRPr="00132F88">
        <w:rPr>
          <w:i/>
          <w:color w:val="auto"/>
          <w:lang w:val="en-GB"/>
        </w:rPr>
        <w:t>actual</w:t>
      </w:r>
      <w:r w:rsidR="00715C63" w:rsidRPr="00132F88">
        <w:rPr>
          <w:i/>
          <w:color w:val="auto"/>
          <w:lang w:val="en-GB"/>
        </w:rPr>
        <w:t xml:space="preserve"> </w:t>
      </w:r>
      <w:r w:rsidRPr="00132F88">
        <w:rPr>
          <w:i/>
          <w:color w:val="auto"/>
          <w:lang w:val="en-GB"/>
        </w:rPr>
        <w:t>variations</w:t>
      </w:r>
      <w:r w:rsidR="00715C63" w:rsidRPr="00132F88">
        <w:rPr>
          <w:i/>
          <w:color w:val="auto"/>
          <w:lang w:val="en-GB"/>
        </w:rPr>
        <w:t xml:space="preserve"> in pottery use. By applying robust </w:t>
      </w:r>
      <w:r w:rsidR="004533C0" w:rsidRPr="00132F88">
        <w:rPr>
          <w:i/>
          <w:color w:val="auto"/>
          <w:lang w:val="en-GB"/>
        </w:rPr>
        <w:t xml:space="preserve">analytical </w:t>
      </w:r>
      <w:r w:rsidR="00715C63" w:rsidRPr="00132F88">
        <w:rPr>
          <w:i/>
          <w:color w:val="auto"/>
          <w:lang w:val="en-GB"/>
        </w:rPr>
        <w:t>criteria and methods to</w:t>
      </w:r>
      <w:r w:rsidR="004533C0" w:rsidRPr="00132F88">
        <w:rPr>
          <w:i/>
          <w:color w:val="auto"/>
          <w:lang w:val="en-GB"/>
        </w:rPr>
        <w:t xml:space="preserve"> </w:t>
      </w:r>
      <w:r w:rsidR="00715C63" w:rsidRPr="00132F88">
        <w:rPr>
          <w:i/>
          <w:color w:val="auto"/>
          <w:lang w:val="en-GB"/>
        </w:rPr>
        <w:t>Early Woodland pottery from</w:t>
      </w:r>
      <w:r w:rsidR="004533C0" w:rsidRPr="00132F88">
        <w:rPr>
          <w:i/>
          <w:color w:val="auto"/>
          <w:lang w:val="en-GB"/>
        </w:rPr>
        <w:t xml:space="preserve"> the Great Lakes</w:t>
      </w:r>
      <w:r w:rsidRPr="00132F88">
        <w:rPr>
          <w:i/>
          <w:color w:val="auto"/>
          <w:lang w:val="en-GB"/>
        </w:rPr>
        <w:t xml:space="preserve"> region</w:t>
      </w:r>
      <w:r w:rsidR="004533C0" w:rsidRPr="00132F88">
        <w:rPr>
          <w:i/>
          <w:color w:val="auto"/>
          <w:lang w:val="en-GB"/>
        </w:rPr>
        <w:t>, we present</w:t>
      </w:r>
      <w:r w:rsidR="00715C63" w:rsidRPr="00132F88">
        <w:rPr>
          <w:i/>
          <w:color w:val="auto"/>
          <w:lang w:val="en-GB"/>
        </w:rPr>
        <w:t xml:space="preserve"> evidence supporting our hypothesis that </w:t>
      </w:r>
      <w:r w:rsidRPr="00132F88">
        <w:rPr>
          <w:i/>
          <w:color w:val="auto"/>
          <w:lang w:val="en-GB"/>
        </w:rPr>
        <w:t>such</w:t>
      </w:r>
      <w:r w:rsidR="00715C63" w:rsidRPr="00132F88">
        <w:rPr>
          <w:i/>
          <w:color w:val="auto"/>
          <w:lang w:val="en-GB"/>
        </w:rPr>
        <w:t xml:space="preserve"> pottery was i</w:t>
      </w:r>
      <w:r w:rsidR="004533C0" w:rsidRPr="00132F88">
        <w:rPr>
          <w:i/>
          <w:color w:val="auto"/>
          <w:lang w:val="en-GB"/>
        </w:rPr>
        <w:t xml:space="preserve">ndeed used for </w:t>
      </w:r>
      <w:r w:rsidRPr="00132F88">
        <w:rPr>
          <w:i/>
          <w:color w:val="auto"/>
          <w:lang w:val="en-GB"/>
        </w:rPr>
        <w:t xml:space="preserve">processing </w:t>
      </w:r>
      <w:r w:rsidR="004533C0" w:rsidRPr="00132F88">
        <w:rPr>
          <w:i/>
          <w:color w:val="auto"/>
          <w:lang w:val="en-GB"/>
        </w:rPr>
        <w:t>aquatic resource</w:t>
      </w:r>
      <w:r w:rsidRPr="00132F88">
        <w:rPr>
          <w:i/>
          <w:color w:val="auto"/>
          <w:lang w:val="en-GB"/>
        </w:rPr>
        <w:t>s</w:t>
      </w:r>
      <w:r w:rsidR="00715C63" w:rsidRPr="00132F88">
        <w:rPr>
          <w:i/>
          <w:color w:val="auto"/>
          <w:lang w:val="en-GB"/>
        </w:rPr>
        <w:t>.</w:t>
      </w:r>
    </w:p>
    <w:p w14:paraId="6F50999F" w14:textId="77777777" w:rsidR="00C2191D" w:rsidRPr="00463521" w:rsidRDefault="00C2191D" w:rsidP="00463521">
      <w:pPr>
        <w:spacing w:line="360" w:lineRule="auto"/>
        <w:rPr>
          <w:lang w:val="en-GB"/>
        </w:rPr>
      </w:pPr>
    </w:p>
    <w:p w14:paraId="02224E5E" w14:textId="647D0961" w:rsidR="00C2191D" w:rsidRPr="00132F88" w:rsidRDefault="00715C63" w:rsidP="00463521">
      <w:pPr>
        <w:spacing w:line="360" w:lineRule="auto"/>
        <w:rPr>
          <w:i/>
          <w:color w:val="auto"/>
          <w:lang w:val="en-GB"/>
        </w:rPr>
      </w:pPr>
      <w:r w:rsidRPr="00132F88">
        <w:rPr>
          <w:i/>
          <w:color w:val="auto"/>
          <w:lang w:val="en-GB"/>
        </w:rPr>
        <w:t xml:space="preserve">Keywords: </w:t>
      </w:r>
      <w:r w:rsidRPr="00132F88">
        <w:rPr>
          <w:color w:val="auto"/>
          <w:lang w:val="en-GB"/>
        </w:rPr>
        <w:t>North America, Early Woodland Period, pottery</w:t>
      </w:r>
      <w:r w:rsidR="00463521" w:rsidRPr="00132F88">
        <w:rPr>
          <w:color w:val="auto"/>
          <w:lang w:val="en-GB"/>
        </w:rPr>
        <w:t xml:space="preserve">, residue analysis, </w:t>
      </w:r>
      <w:r w:rsidR="00132F88" w:rsidRPr="00132F88">
        <w:rPr>
          <w:color w:val="auto"/>
          <w:lang w:val="en-GB"/>
        </w:rPr>
        <w:t xml:space="preserve">lipid </w:t>
      </w:r>
      <w:r w:rsidR="00463521" w:rsidRPr="00132F88">
        <w:rPr>
          <w:color w:val="auto"/>
          <w:lang w:val="en-GB"/>
        </w:rPr>
        <w:t>biomarkers</w:t>
      </w:r>
    </w:p>
    <w:p w14:paraId="79252B4F" w14:textId="77777777" w:rsidR="00C2191D" w:rsidRPr="00463521" w:rsidRDefault="00C2191D" w:rsidP="00463521">
      <w:pPr>
        <w:spacing w:line="360" w:lineRule="auto"/>
        <w:rPr>
          <w:lang w:val="en-GB"/>
        </w:rPr>
      </w:pPr>
    </w:p>
    <w:p w14:paraId="21FB7AA0" w14:textId="77777777" w:rsidR="00C2191D" w:rsidRPr="00463521" w:rsidRDefault="00715C63" w:rsidP="00463521">
      <w:pPr>
        <w:spacing w:line="360" w:lineRule="auto"/>
        <w:rPr>
          <w:b/>
          <w:lang w:val="en-GB"/>
        </w:rPr>
      </w:pPr>
      <w:r w:rsidRPr="00463521">
        <w:rPr>
          <w:b/>
          <w:lang w:val="en-GB"/>
        </w:rPr>
        <w:t>Introduction</w:t>
      </w:r>
    </w:p>
    <w:p w14:paraId="479C1F85" w14:textId="139D825A" w:rsidR="00C2191D" w:rsidRPr="00463521" w:rsidRDefault="00715C63" w:rsidP="00463521">
      <w:pPr>
        <w:spacing w:line="360" w:lineRule="auto"/>
        <w:rPr>
          <w:lang w:val="en-GB"/>
        </w:rPr>
      </w:pPr>
      <w:r w:rsidRPr="00463521">
        <w:rPr>
          <w:lang w:val="en-GB"/>
        </w:rPr>
        <w:t xml:space="preserve">How and why pottery became such a common and widespread </w:t>
      </w:r>
      <w:r w:rsidR="00E66934">
        <w:rPr>
          <w:lang w:val="en-GB"/>
        </w:rPr>
        <w:t>form of material culture</w:t>
      </w:r>
      <w:r w:rsidR="00E66934" w:rsidRPr="00463521">
        <w:rPr>
          <w:lang w:val="en-GB"/>
        </w:rPr>
        <w:t xml:space="preserve"> </w:t>
      </w:r>
      <w:r w:rsidRPr="00463521">
        <w:rPr>
          <w:lang w:val="en-GB"/>
        </w:rPr>
        <w:t xml:space="preserve">is a key question </w:t>
      </w:r>
      <w:r w:rsidR="00E66934">
        <w:rPr>
          <w:lang w:val="en-GB"/>
        </w:rPr>
        <w:t xml:space="preserve">for </w:t>
      </w:r>
      <w:r w:rsidRPr="00463521">
        <w:rPr>
          <w:lang w:val="en-GB"/>
        </w:rPr>
        <w:t>archaeologists</w:t>
      </w:r>
      <w:r w:rsidR="00E66934">
        <w:rPr>
          <w:lang w:val="en-GB"/>
        </w:rPr>
        <w:t xml:space="preserve"> around the world</w:t>
      </w:r>
      <w:r w:rsidRPr="00463521">
        <w:rPr>
          <w:lang w:val="en-GB"/>
        </w:rPr>
        <w:t>. In north-eastern North America</w:t>
      </w:r>
      <w:r w:rsidR="004533C0">
        <w:rPr>
          <w:lang w:val="en-GB"/>
        </w:rPr>
        <w:t>,</w:t>
      </w:r>
      <w:r w:rsidRPr="00463521">
        <w:rPr>
          <w:lang w:val="en-GB"/>
        </w:rPr>
        <w:t xml:space="preserve"> early pottery was first used by hun</w:t>
      </w:r>
      <w:r w:rsidR="005B3EF4">
        <w:rPr>
          <w:lang w:val="en-GB"/>
        </w:rPr>
        <w:t>ter-gatherers slightly before 3</w:t>
      </w:r>
      <w:r w:rsidRPr="00463521">
        <w:rPr>
          <w:lang w:val="en-GB"/>
        </w:rPr>
        <w:t>000 BP</w:t>
      </w:r>
      <w:r w:rsidR="00E66934">
        <w:rPr>
          <w:lang w:val="en-GB"/>
        </w:rPr>
        <w:t>,</w:t>
      </w:r>
      <w:r w:rsidRPr="00463521">
        <w:rPr>
          <w:lang w:val="en-GB"/>
        </w:rPr>
        <w:t xml:space="preserve"> at the start of the Early Woodland </w:t>
      </w:r>
      <w:r w:rsidR="004533C0">
        <w:rPr>
          <w:lang w:val="en-GB"/>
        </w:rPr>
        <w:t>P</w:t>
      </w:r>
      <w:r w:rsidRPr="00463521">
        <w:rPr>
          <w:lang w:val="en-GB"/>
        </w:rPr>
        <w:t>eriod (</w:t>
      </w:r>
      <w:proofErr w:type="spellStart"/>
      <w:r w:rsidRPr="005B3EF4">
        <w:rPr>
          <w:lang w:val="en-GB"/>
        </w:rPr>
        <w:t>Taché</w:t>
      </w:r>
      <w:proofErr w:type="spellEnd"/>
      <w:r w:rsidRPr="005B3EF4">
        <w:rPr>
          <w:lang w:val="en-GB"/>
        </w:rPr>
        <w:t xml:space="preserve"> &amp; Hart 2013</w:t>
      </w:r>
      <w:r w:rsidRPr="00463521">
        <w:rPr>
          <w:lang w:val="en-GB"/>
        </w:rPr>
        <w:t xml:space="preserve">). Based on </w:t>
      </w:r>
      <w:r w:rsidR="006E6D3B">
        <w:rPr>
          <w:lang w:val="en-GB"/>
        </w:rPr>
        <w:t xml:space="preserve">our previous </w:t>
      </w:r>
      <w:r w:rsidRPr="00463521">
        <w:rPr>
          <w:lang w:val="en-GB"/>
        </w:rPr>
        <w:t xml:space="preserve">lipid analysis of the contents of over 130 Early Woodland </w:t>
      </w:r>
      <w:proofErr w:type="spellStart"/>
      <w:r w:rsidRPr="00463521">
        <w:rPr>
          <w:lang w:val="en-GB"/>
        </w:rPr>
        <w:t>Vinette</w:t>
      </w:r>
      <w:proofErr w:type="spellEnd"/>
      <w:r w:rsidRPr="00463521">
        <w:rPr>
          <w:lang w:val="en-GB"/>
        </w:rPr>
        <w:t xml:space="preserve"> 1 pottery vessels from north-eastern North America</w:t>
      </w:r>
      <w:r w:rsidR="006E6D3B">
        <w:rPr>
          <w:lang w:val="en-GB"/>
        </w:rPr>
        <w:t xml:space="preserve"> (</w:t>
      </w:r>
      <w:proofErr w:type="spellStart"/>
      <w:r w:rsidR="006E6D3B" w:rsidRPr="005B3EF4">
        <w:rPr>
          <w:color w:val="000000"/>
          <w:lang w:val="en-GB"/>
        </w:rPr>
        <w:t>Taché</w:t>
      </w:r>
      <w:proofErr w:type="spellEnd"/>
      <w:r w:rsidR="006E6D3B" w:rsidRPr="005B3EF4">
        <w:rPr>
          <w:color w:val="000000"/>
          <w:lang w:val="en-GB"/>
        </w:rPr>
        <w:t xml:space="preserve"> &amp; Craig 2015</w:t>
      </w:r>
      <w:r w:rsidR="006E6D3B">
        <w:rPr>
          <w:color w:val="000000"/>
          <w:lang w:val="en-GB"/>
        </w:rPr>
        <w:t>)</w:t>
      </w:r>
      <w:r w:rsidRPr="00463521">
        <w:rPr>
          <w:lang w:val="en-GB"/>
        </w:rPr>
        <w:t xml:space="preserve">, we suggested that pottery initially developed in this region </w:t>
      </w:r>
      <w:r w:rsidR="000A1125">
        <w:rPr>
          <w:lang w:val="en-GB"/>
        </w:rPr>
        <w:t>for use in the</w:t>
      </w:r>
      <w:r w:rsidRPr="00463521">
        <w:rPr>
          <w:lang w:val="en-GB"/>
        </w:rPr>
        <w:t xml:space="preserve"> process</w:t>
      </w:r>
      <w:r w:rsidR="000A1125">
        <w:rPr>
          <w:lang w:val="en-GB"/>
        </w:rPr>
        <w:t>ing of</w:t>
      </w:r>
      <w:r w:rsidRPr="00463521">
        <w:rPr>
          <w:lang w:val="en-GB"/>
        </w:rPr>
        <w:t xml:space="preserve"> freshwater and marine organisms at episodic social gatherings during periods of high resource abundance </w:t>
      </w:r>
      <w:r w:rsidRPr="00463521">
        <w:rPr>
          <w:color w:val="000000"/>
          <w:lang w:val="en-GB"/>
        </w:rPr>
        <w:t>(</w:t>
      </w:r>
      <w:proofErr w:type="spellStart"/>
      <w:r w:rsidRPr="005B3EF4">
        <w:rPr>
          <w:color w:val="000000"/>
          <w:lang w:val="en-GB"/>
        </w:rPr>
        <w:t>Taché</w:t>
      </w:r>
      <w:proofErr w:type="spellEnd"/>
      <w:r w:rsidRPr="005B3EF4">
        <w:rPr>
          <w:color w:val="000000"/>
          <w:lang w:val="en-GB"/>
        </w:rPr>
        <w:t xml:space="preserve"> &amp; Craig 2015</w:t>
      </w:r>
      <w:r w:rsidRPr="00463521">
        <w:rPr>
          <w:color w:val="000000"/>
          <w:lang w:val="en-GB"/>
        </w:rPr>
        <w:t>)</w:t>
      </w:r>
      <w:r w:rsidRPr="00463521">
        <w:rPr>
          <w:lang w:val="en-GB"/>
        </w:rPr>
        <w:t>. Recently</w:t>
      </w:r>
      <w:r w:rsidR="005B3EF4">
        <w:rPr>
          <w:lang w:val="en-GB"/>
        </w:rPr>
        <w:t>,</w:t>
      </w:r>
      <w:r w:rsidRPr="00463521">
        <w:rPr>
          <w:lang w:val="en-GB"/>
        </w:rPr>
        <w:t xml:space="preserve"> </w:t>
      </w:r>
      <w:proofErr w:type="spellStart"/>
      <w:r w:rsidRPr="00463521">
        <w:rPr>
          <w:lang w:val="en-GB"/>
        </w:rPr>
        <w:t>Skibo</w:t>
      </w:r>
      <w:proofErr w:type="spellEnd"/>
      <w:r w:rsidRPr="00463521">
        <w:rPr>
          <w:lang w:val="en-GB"/>
        </w:rPr>
        <w:t xml:space="preserve"> </w:t>
      </w:r>
      <w:r w:rsidRPr="00463521">
        <w:rPr>
          <w:i/>
          <w:lang w:val="en-GB"/>
        </w:rPr>
        <w:t xml:space="preserve">et al. </w:t>
      </w:r>
      <w:r w:rsidRPr="00463521">
        <w:rPr>
          <w:lang w:val="en-GB"/>
        </w:rPr>
        <w:t>(</w:t>
      </w:r>
      <w:r w:rsidRPr="005B3EF4">
        <w:rPr>
          <w:lang w:val="en-GB"/>
        </w:rPr>
        <w:t>2016</w:t>
      </w:r>
      <w:r w:rsidRPr="00463521">
        <w:rPr>
          <w:lang w:val="en-GB"/>
        </w:rPr>
        <w:t xml:space="preserve">) have challenged this </w:t>
      </w:r>
      <w:r w:rsidR="00E33F27">
        <w:rPr>
          <w:lang w:val="en-GB"/>
        </w:rPr>
        <w:t xml:space="preserve">hypothesis, reporting </w:t>
      </w:r>
      <w:r w:rsidR="00E33F27" w:rsidRPr="00463521">
        <w:rPr>
          <w:lang w:val="en-GB"/>
        </w:rPr>
        <w:t>an absence of aquatic</w:t>
      </w:r>
      <w:r w:rsidR="00261D82">
        <w:rPr>
          <w:lang w:val="en-GB"/>
        </w:rPr>
        <w:t>-</w:t>
      </w:r>
      <w:r w:rsidR="00E33F27" w:rsidRPr="00463521">
        <w:rPr>
          <w:lang w:val="en-GB"/>
        </w:rPr>
        <w:t xml:space="preserve">derived lipids </w:t>
      </w:r>
      <w:r w:rsidR="00E33F27">
        <w:rPr>
          <w:lang w:val="en-GB"/>
        </w:rPr>
        <w:t xml:space="preserve">in </w:t>
      </w:r>
      <w:r w:rsidRPr="00463521">
        <w:rPr>
          <w:lang w:val="en-GB"/>
        </w:rPr>
        <w:t xml:space="preserve">12 sherds from </w:t>
      </w:r>
      <w:r w:rsidR="005B3EF4">
        <w:rPr>
          <w:lang w:val="en-GB"/>
        </w:rPr>
        <w:t>three</w:t>
      </w:r>
      <w:r w:rsidRPr="00463521">
        <w:rPr>
          <w:lang w:val="en-GB"/>
        </w:rPr>
        <w:t xml:space="preserve"> sites in the Great Lakes</w:t>
      </w:r>
      <w:r w:rsidR="00E66934">
        <w:rPr>
          <w:lang w:val="en-GB"/>
        </w:rPr>
        <w:t xml:space="preserve"> region</w:t>
      </w:r>
      <w:r w:rsidR="00E33F27">
        <w:rPr>
          <w:lang w:val="en-GB"/>
        </w:rPr>
        <w:t>.</w:t>
      </w:r>
      <w:r w:rsidR="00E33F27" w:rsidRPr="00463521">
        <w:rPr>
          <w:lang w:val="en-GB"/>
        </w:rPr>
        <w:t xml:space="preserve"> </w:t>
      </w:r>
      <w:r w:rsidR="009947E5">
        <w:rPr>
          <w:lang w:val="en-GB"/>
        </w:rPr>
        <w:t>T</w:t>
      </w:r>
      <w:r w:rsidRPr="00463521">
        <w:rPr>
          <w:lang w:val="en-GB"/>
        </w:rPr>
        <w:t xml:space="preserve">he authors </w:t>
      </w:r>
      <w:r w:rsidR="00E66934">
        <w:rPr>
          <w:lang w:val="en-GB"/>
        </w:rPr>
        <w:t xml:space="preserve">consequently </w:t>
      </w:r>
      <w:r w:rsidRPr="00463521">
        <w:rPr>
          <w:lang w:val="en-GB"/>
        </w:rPr>
        <w:t xml:space="preserve">argue that our proposed model for early pottery use cannot be applied to the </w:t>
      </w:r>
      <w:r w:rsidR="00E66934">
        <w:rPr>
          <w:lang w:val="en-GB"/>
        </w:rPr>
        <w:t>wider</w:t>
      </w:r>
      <w:r w:rsidR="00E66934" w:rsidRPr="00463521">
        <w:rPr>
          <w:lang w:val="en-GB"/>
        </w:rPr>
        <w:t xml:space="preserve"> </w:t>
      </w:r>
      <w:r w:rsidRPr="00463521">
        <w:rPr>
          <w:lang w:val="en-GB"/>
        </w:rPr>
        <w:t xml:space="preserve">north-eastern part of North America, including the Great Lakes. While this may be true, the purpose of </w:t>
      </w:r>
      <w:r w:rsidR="006E6D3B">
        <w:rPr>
          <w:lang w:val="en-GB"/>
        </w:rPr>
        <w:t xml:space="preserve">the present </w:t>
      </w:r>
      <w:r w:rsidRPr="00463521">
        <w:rPr>
          <w:lang w:val="en-GB"/>
        </w:rPr>
        <w:t xml:space="preserve">article is to </w:t>
      </w:r>
      <w:r w:rsidR="00E66934">
        <w:rPr>
          <w:lang w:val="en-GB"/>
        </w:rPr>
        <w:t>demonstrate</w:t>
      </w:r>
      <w:r w:rsidRPr="00463521">
        <w:rPr>
          <w:lang w:val="en-GB"/>
        </w:rPr>
        <w:t xml:space="preserve"> that the discrepancies between these studies </w:t>
      </w:r>
      <w:r w:rsidR="00E66934">
        <w:rPr>
          <w:lang w:val="en-GB"/>
        </w:rPr>
        <w:t xml:space="preserve">are </w:t>
      </w:r>
      <w:r w:rsidR="006E6D3B">
        <w:rPr>
          <w:lang w:val="en-GB"/>
        </w:rPr>
        <w:t>probably</w:t>
      </w:r>
      <w:r w:rsidRPr="00463521">
        <w:rPr>
          <w:lang w:val="en-GB"/>
        </w:rPr>
        <w:t xml:space="preserve"> due to the use of different analytical procedures and criteria for residue identification</w:t>
      </w:r>
      <w:r w:rsidR="006E6D3B">
        <w:rPr>
          <w:lang w:val="en-GB"/>
        </w:rPr>
        <w:t>,</w:t>
      </w:r>
      <w:r w:rsidRPr="00463521">
        <w:rPr>
          <w:lang w:val="en-GB"/>
        </w:rPr>
        <w:t xml:space="preserve"> rather than any real differences in</w:t>
      </w:r>
      <w:r w:rsidR="006E6D3B">
        <w:rPr>
          <w:lang w:val="en-GB"/>
        </w:rPr>
        <w:t xml:space="preserve"> how</w:t>
      </w:r>
      <w:r w:rsidRPr="00463521">
        <w:rPr>
          <w:lang w:val="en-GB"/>
        </w:rPr>
        <w:t xml:space="preserve"> pottery </w:t>
      </w:r>
      <w:r w:rsidR="006E6D3B">
        <w:rPr>
          <w:lang w:val="en-GB"/>
        </w:rPr>
        <w:t xml:space="preserve">was </w:t>
      </w:r>
      <w:r w:rsidRPr="00463521">
        <w:rPr>
          <w:lang w:val="en-GB"/>
        </w:rPr>
        <w:t>use</w:t>
      </w:r>
      <w:r w:rsidR="006E6D3B">
        <w:rPr>
          <w:lang w:val="en-GB"/>
        </w:rPr>
        <w:t>d</w:t>
      </w:r>
      <w:r w:rsidRPr="00463521">
        <w:rPr>
          <w:lang w:val="en-GB"/>
        </w:rPr>
        <w:t xml:space="preserve"> across the region. </w:t>
      </w:r>
    </w:p>
    <w:p w14:paraId="4B721186" w14:textId="77777777" w:rsidR="00C2191D" w:rsidRPr="00463521" w:rsidRDefault="00C2191D" w:rsidP="00463521">
      <w:pPr>
        <w:pStyle w:val="Heading2"/>
        <w:spacing w:before="0" w:after="0" w:line="360" w:lineRule="auto"/>
        <w:rPr>
          <w:sz w:val="24"/>
          <w:szCs w:val="24"/>
          <w:lang w:val="en-GB"/>
        </w:rPr>
      </w:pPr>
    </w:p>
    <w:p w14:paraId="72172435" w14:textId="77777777" w:rsidR="00C2191D" w:rsidRPr="00463521" w:rsidRDefault="00715C63" w:rsidP="00463521">
      <w:pPr>
        <w:pStyle w:val="Heading2"/>
        <w:spacing w:before="0" w:after="0" w:line="360" w:lineRule="auto"/>
        <w:rPr>
          <w:sz w:val="24"/>
          <w:szCs w:val="24"/>
          <w:lang w:val="en-GB"/>
        </w:rPr>
      </w:pPr>
      <w:r w:rsidRPr="00463521">
        <w:rPr>
          <w:sz w:val="24"/>
          <w:szCs w:val="24"/>
          <w:lang w:val="en-GB"/>
        </w:rPr>
        <w:t>Why fatty acid distributions are inappropriate for categori</w:t>
      </w:r>
      <w:r w:rsidR="005B3EF4">
        <w:rPr>
          <w:sz w:val="24"/>
          <w:szCs w:val="24"/>
          <w:lang w:val="en-GB"/>
        </w:rPr>
        <w:t>s</w:t>
      </w:r>
      <w:r w:rsidRPr="00463521">
        <w:rPr>
          <w:sz w:val="24"/>
          <w:szCs w:val="24"/>
          <w:lang w:val="en-GB"/>
        </w:rPr>
        <w:t>ing archaeological residues</w:t>
      </w:r>
    </w:p>
    <w:p w14:paraId="7CD4FFFC" w14:textId="22A10FED" w:rsidR="00C2191D" w:rsidRPr="00463521" w:rsidRDefault="00715C63" w:rsidP="00463521">
      <w:pPr>
        <w:spacing w:line="360" w:lineRule="auto"/>
        <w:rPr>
          <w:lang w:val="en-GB"/>
        </w:rPr>
      </w:pPr>
      <w:r w:rsidRPr="00463521">
        <w:rPr>
          <w:lang w:val="en-GB"/>
        </w:rPr>
        <w:t xml:space="preserve">The argument presented in </w:t>
      </w:r>
      <w:proofErr w:type="spellStart"/>
      <w:r w:rsidRPr="00463521">
        <w:rPr>
          <w:lang w:val="en-GB"/>
        </w:rPr>
        <w:t>Skibo</w:t>
      </w:r>
      <w:proofErr w:type="spellEnd"/>
      <w:r w:rsidRPr="00463521">
        <w:rPr>
          <w:lang w:val="en-GB"/>
        </w:rPr>
        <w:t xml:space="preserve"> </w:t>
      </w:r>
      <w:r w:rsidRPr="00463521">
        <w:rPr>
          <w:i/>
          <w:lang w:val="en-GB"/>
        </w:rPr>
        <w:t>et al</w:t>
      </w:r>
      <w:r w:rsidRPr="00463521">
        <w:rPr>
          <w:lang w:val="en-GB"/>
        </w:rPr>
        <w:t xml:space="preserve">. (2016) is based on the analysis </w:t>
      </w:r>
      <w:r w:rsidR="000363EF" w:rsidRPr="00463521">
        <w:rPr>
          <w:lang w:val="en-GB"/>
        </w:rPr>
        <w:t xml:space="preserve">of a small sample of sherds from the Schultz (n=5), </w:t>
      </w:r>
      <w:proofErr w:type="spellStart"/>
      <w:r w:rsidR="000363EF" w:rsidRPr="00463521">
        <w:rPr>
          <w:lang w:val="en-GB"/>
        </w:rPr>
        <w:t>Naomikong</w:t>
      </w:r>
      <w:proofErr w:type="spellEnd"/>
      <w:r w:rsidR="000363EF" w:rsidRPr="00463521">
        <w:rPr>
          <w:lang w:val="en-GB"/>
        </w:rPr>
        <w:t xml:space="preserve"> Point (n=4) and Grand Island (n=3) sites in the G</w:t>
      </w:r>
      <w:bookmarkStart w:id="0" w:name="_GoBack"/>
      <w:bookmarkEnd w:id="0"/>
      <w:r w:rsidR="000363EF" w:rsidRPr="00463521">
        <w:rPr>
          <w:lang w:val="en-GB"/>
        </w:rPr>
        <w:t xml:space="preserve">reat Lakes region </w:t>
      </w:r>
      <w:r w:rsidR="000363EF">
        <w:rPr>
          <w:lang w:val="en-GB"/>
        </w:rPr>
        <w:t>using</w:t>
      </w:r>
      <w:r w:rsidR="000363EF" w:rsidRPr="00463521">
        <w:rPr>
          <w:lang w:val="en-GB"/>
        </w:rPr>
        <w:t xml:space="preserve"> </w:t>
      </w:r>
      <w:r w:rsidRPr="00463521">
        <w:rPr>
          <w:lang w:val="en-GB"/>
        </w:rPr>
        <w:t>Gas Chromatography (GC) and Gas Chromatography Mass Spectrometry (GCMS).</w:t>
      </w:r>
      <w:r w:rsidR="007B2A82">
        <w:rPr>
          <w:lang w:val="en-GB"/>
        </w:rPr>
        <w:t xml:space="preserve"> The approach taken was to match</w:t>
      </w:r>
      <w:r w:rsidRPr="00463521">
        <w:rPr>
          <w:lang w:val="en-GB"/>
        </w:rPr>
        <w:t xml:space="preserve"> </w:t>
      </w:r>
      <w:r w:rsidR="007B2A82">
        <w:rPr>
          <w:lang w:val="en-GB"/>
        </w:rPr>
        <w:t>relative proportions</w:t>
      </w:r>
      <w:commentRangeStart w:id="1"/>
      <w:commentRangeStart w:id="2"/>
      <w:r w:rsidRPr="00463521">
        <w:rPr>
          <w:lang w:val="en-GB"/>
        </w:rPr>
        <w:t xml:space="preserve"> of fatty </w:t>
      </w:r>
      <w:commentRangeEnd w:id="1"/>
      <w:r w:rsidR="00415296">
        <w:rPr>
          <w:rStyle w:val="CommentReference"/>
        </w:rPr>
        <w:commentReference w:id="1"/>
      </w:r>
      <w:commentRangeEnd w:id="2"/>
      <w:r w:rsidR="007B2A82">
        <w:rPr>
          <w:rStyle w:val="CommentReference"/>
        </w:rPr>
        <w:commentReference w:id="2"/>
      </w:r>
      <w:r w:rsidRPr="00463521">
        <w:rPr>
          <w:lang w:val="en-GB"/>
        </w:rPr>
        <w:t>acids</w:t>
      </w:r>
      <w:r w:rsidR="007B2A82">
        <w:rPr>
          <w:lang w:val="en-GB"/>
        </w:rPr>
        <w:t>, one of the most common lipid classes preserved in archaeological pottery, with</w:t>
      </w:r>
      <w:r w:rsidRPr="00463521">
        <w:rPr>
          <w:lang w:val="en-GB"/>
        </w:rPr>
        <w:t xml:space="preserve"> ‘reference ranges’ from modern samples</w:t>
      </w:r>
      <w:r w:rsidR="00220716">
        <w:rPr>
          <w:lang w:val="en-GB"/>
        </w:rPr>
        <w:t xml:space="preserve">, which </w:t>
      </w:r>
      <w:r w:rsidR="007B2A82">
        <w:rPr>
          <w:lang w:val="en-GB"/>
        </w:rPr>
        <w:t>had been subjected to</w:t>
      </w:r>
      <w:r w:rsidRPr="00463521">
        <w:rPr>
          <w:lang w:val="en-GB"/>
        </w:rPr>
        <w:t xml:space="preserve"> heating</w:t>
      </w:r>
      <w:r w:rsidR="00220716">
        <w:rPr>
          <w:lang w:val="en-GB"/>
        </w:rPr>
        <w:t xml:space="preserve"> in order</w:t>
      </w:r>
      <w:r w:rsidRPr="00463521">
        <w:rPr>
          <w:lang w:val="en-GB"/>
        </w:rPr>
        <w:t xml:space="preserve"> to simulate the effects of oxidative degradation over time (</w:t>
      </w:r>
      <w:commentRangeStart w:id="3"/>
      <w:commentRangeStart w:id="4"/>
      <w:proofErr w:type="spellStart"/>
      <w:r w:rsidRPr="005B3EF4">
        <w:rPr>
          <w:lang w:val="en-GB"/>
        </w:rPr>
        <w:t>Malainey</w:t>
      </w:r>
      <w:proofErr w:type="spellEnd"/>
      <w:r w:rsidRPr="005B3EF4">
        <w:rPr>
          <w:lang w:val="en-GB"/>
        </w:rPr>
        <w:t xml:space="preserve"> </w:t>
      </w:r>
      <w:r w:rsidRPr="005B3EF4">
        <w:rPr>
          <w:i/>
          <w:lang w:val="en-GB"/>
        </w:rPr>
        <w:t xml:space="preserve">et al. </w:t>
      </w:r>
      <w:r w:rsidRPr="005B3EF4">
        <w:rPr>
          <w:lang w:val="en-GB"/>
        </w:rPr>
        <w:t>1999</w:t>
      </w:r>
      <w:commentRangeEnd w:id="3"/>
      <w:r w:rsidR="00220716">
        <w:rPr>
          <w:rStyle w:val="CommentReference"/>
        </w:rPr>
        <w:commentReference w:id="3"/>
      </w:r>
      <w:commentRangeEnd w:id="4"/>
      <w:r w:rsidR="00A736BA">
        <w:rPr>
          <w:rStyle w:val="CommentReference"/>
        </w:rPr>
        <w:commentReference w:id="4"/>
      </w:r>
      <w:r w:rsidRPr="00463521">
        <w:rPr>
          <w:lang w:val="en-GB"/>
        </w:rPr>
        <w:t>). The authors conclude that the absence of long-chain fatty acids and the ratio of C</w:t>
      </w:r>
      <w:r w:rsidRPr="00463521">
        <w:rPr>
          <w:vertAlign w:val="subscript"/>
          <w:lang w:val="en-GB"/>
        </w:rPr>
        <w:t>18:1</w:t>
      </w:r>
      <w:r w:rsidRPr="00463521">
        <w:rPr>
          <w:lang w:val="en-GB"/>
        </w:rPr>
        <w:t xml:space="preserve"> to C</w:t>
      </w:r>
      <w:r w:rsidRPr="00463521">
        <w:rPr>
          <w:vertAlign w:val="subscript"/>
          <w:lang w:val="en-GB"/>
        </w:rPr>
        <w:t>18:0</w:t>
      </w:r>
      <w:r w:rsidRPr="00463521">
        <w:rPr>
          <w:lang w:val="en-GB"/>
        </w:rPr>
        <w:t xml:space="preserve"> fatty acids are typical of plants and terrestrial animals</w:t>
      </w:r>
      <w:r w:rsidR="00220716">
        <w:rPr>
          <w:lang w:val="en-GB"/>
        </w:rPr>
        <w:t>. N</w:t>
      </w:r>
      <w:r w:rsidRPr="00463521">
        <w:rPr>
          <w:lang w:val="en-GB"/>
        </w:rPr>
        <w:t>one of the samples appear to be derived from fish which, according to their criteria, have 15</w:t>
      </w:r>
      <w:r w:rsidR="005B3EF4">
        <w:rPr>
          <w:lang w:val="en-GB"/>
        </w:rPr>
        <w:t>–</w:t>
      </w:r>
      <w:r w:rsidRPr="00463521">
        <w:rPr>
          <w:lang w:val="en-GB"/>
        </w:rPr>
        <w:t>27.5</w:t>
      </w:r>
      <w:r w:rsidR="005B3EF4">
        <w:rPr>
          <w:lang w:val="en-GB"/>
        </w:rPr>
        <w:t xml:space="preserve"> </w:t>
      </w:r>
      <w:commentRangeStart w:id="5"/>
      <w:r w:rsidR="005B3EF4">
        <w:rPr>
          <w:lang w:val="en-GB"/>
        </w:rPr>
        <w:t>per cent</w:t>
      </w:r>
      <w:r w:rsidRPr="00463521">
        <w:rPr>
          <w:lang w:val="en-GB"/>
        </w:rPr>
        <w:t xml:space="preserve"> </w:t>
      </w:r>
      <w:commentRangeEnd w:id="5"/>
      <w:r w:rsidR="00A736BA">
        <w:rPr>
          <w:rStyle w:val="CommentReference"/>
        </w:rPr>
        <w:commentReference w:id="5"/>
      </w:r>
      <w:r w:rsidRPr="00463521">
        <w:rPr>
          <w:lang w:val="en-GB"/>
        </w:rPr>
        <w:t xml:space="preserve">of the total fatty acid content </w:t>
      </w:r>
      <w:commentRangeStart w:id="6"/>
      <w:commentRangeStart w:id="7"/>
      <w:r w:rsidRPr="00463521">
        <w:rPr>
          <w:lang w:val="en-GB"/>
        </w:rPr>
        <w:t>comprising of C</w:t>
      </w:r>
      <w:r w:rsidRPr="00463521">
        <w:rPr>
          <w:vertAlign w:val="subscript"/>
          <w:lang w:val="en-GB"/>
        </w:rPr>
        <w:t>18:1</w:t>
      </w:r>
      <w:r w:rsidRPr="00463521">
        <w:rPr>
          <w:lang w:val="en-GB"/>
        </w:rPr>
        <w:t xml:space="preserve">. </w:t>
      </w:r>
      <w:commentRangeEnd w:id="6"/>
      <w:r w:rsidR="00220716">
        <w:rPr>
          <w:rStyle w:val="CommentReference"/>
        </w:rPr>
        <w:commentReference w:id="6"/>
      </w:r>
      <w:commentRangeEnd w:id="7"/>
      <w:r w:rsidR="00A736BA">
        <w:rPr>
          <w:rStyle w:val="CommentReference"/>
        </w:rPr>
        <w:commentReference w:id="7"/>
      </w:r>
    </w:p>
    <w:p w14:paraId="126D54C5" w14:textId="693A457C" w:rsidR="00C2191D" w:rsidRPr="00463521" w:rsidRDefault="00715C63" w:rsidP="005B3EF4">
      <w:pPr>
        <w:spacing w:line="360" w:lineRule="auto"/>
        <w:ind w:firstLine="720"/>
        <w:rPr>
          <w:lang w:val="en-GB"/>
        </w:rPr>
      </w:pPr>
      <w:r w:rsidRPr="00463521">
        <w:rPr>
          <w:lang w:val="en-GB"/>
        </w:rPr>
        <w:t xml:space="preserve">We argue </w:t>
      </w:r>
      <w:r w:rsidR="00DD5504">
        <w:rPr>
          <w:lang w:val="en-GB"/>
        </w:rPr>
        <w:t xml:space="preserve">that </w:t>
      </w:r>
      <w:r w:rsidRPr="00463521">
        <w:rPr>
          <w:lang w:val="en-GB"/>
        </w:rPr>
        <w:t xml:space="preserve">the approach used </w:t>
      </w:r>
      <w:r w:rsidR="00DD5504">
        <w:rPr>
          <w:lang w:val="en-GB"/>
        </w:rPr>
        <w:t>by</w:t>
      </w:r>
      <w:r w:rsidR="00DD5504" w:rsidRPr="00463521">
        <w:rPr>
          <w:lang w:val="en-GB"/>
        </w:rPr>
        <w:t xml:space="preserve"> </w:t>
      </w:r>
      <w:proofErr w:type="spellStart"/>
      <w:r w:rsidRPr="00463521">
        <w:rPr>
          <w:lang w:val="en-GB"/>
        </w:rPr>
        <w:t>Skibo</w:t>
      </w:r>
      <w:proofErr w:type="spellEnd"/>
      <w:r w:rsidRPr="00463521">
        <w:rPr>
          <w:lang w:val="en-GB"/>
        </w:rPr>
        <w:t xml:space="preserve"> </w:t>
      </w:r>
      <w:r w:rsidRPr="00463521">
        <w:rPr>
          <w:i/>
          <w:lang w:val="en-GB"/>
        </w:rPr>
        <w:t>et al.</w:t>
      </w:r>
      <w:r w:rsidRPr="00463521">
        <w:rPr>
          <w:lang w:val="en-GB"/>
        </w:rPr>
        <w:t xml:space="preserve"> (2016) for categori</w:t>
      </w:r>
      <w:r w:rsidR="005B3EF4">
        <w:rPr>
          <w:lang w:val="en-GB"/>
        </w:rPr>
        <w:t>s</w:t>
      </w:r>
      <w:r w:rsidRPr="00463521">
        <w:rPr>
          <w:lang w:val="en-GB"/>
        </w:rPr>
        <w:t>ing residues is inadequate, because it relies on the assumption that laboratory degradation (30 days at 75</w:t>
      </w:r>
      <w:r w:rsidRPr="00463521">
        <w:rPr>
          <w:rFonts w:eastAsia="Cambria"/>
          <w:lang w:val="en-GB"/>
        </w:rPr>
        <w:t>℃</w:t>
      </w:r>
      <w:r w:rsidRPr="00463521">
        <w:rPr>
          <w:lang w:val="en-GB"/>
        </w:rPr>
        <w:t xml:space="preserve">) accurately simulates degradation in different depositional environments over millennial timescales. The alteration of lipids in pottery following use and </w:t>
      </w:r>
      <w:r w:rsidR="00DD5504">
        <w:rPr>
          <w:lang w:val="en-GB"/>
        </w:rPr>
        <w:t>deposition</w:t>
      </w:r>
      <w:r w:rsidR="00DD5504" w:rsidRPr="00463521">
        <w:rPr>
          <w:lang w:val="en-GB"/>
        </w:rPr>
        <w:t xml:space="preserve"> </w:t>
      </w:r>
      <w:r w:rsidRPr="00463521">
        <w:rPr>
          <w:lang w:val="en-GB"/>
        </w:rPr>
        <w:t xml:space="preserve">is a complex process, as </w:t>
      </w:r>
      <w:r w:rsidR="00DD5504">
        <w:rPr>
          <w:lang w:val="en-GB"/>
        </w:rPr>
        <w:t>demonstrated</w:t>
      </w:r>
      <w:r w:rsidR="00DD5504" w:rsidRPr="00463521">
        <w:rPr>
          <w:lang w:val="en-GB"/>
        </w:rPr>
        <w:t xml:space="preserve"> </w:t>
      </w:r>
      <w:r w:rsidRPr="00463521">
        <w:rPr>
          <w:lang w:val="en-GB"/>
        </w:rPr>
        <w:t>by degradation experiments and analysis of archaeological potsherds from different archaeological contexts. While lipids absorbed during use can be trace</w:t>
      </w:r>
      <w:r w:rsidR="007C3746">
        <w:rPr>
          <w:lang w:val="en-GB"/>
        </w:rPr>
        <w:t>d</w:t>
      </w:r>
      <w:r w:rsidRPr="00463521">
        <w:rPr>
          <w:lang w:val="en-GB"/>
        </w:rPr>
        <w:t xml:space="preserve"> </w:t>
      </w:r>
      <w:r w:rsidR="007C3746">
        <w:rPr>
          <w:lang w:val="en-GB"/>
        </w:rPr>
        <w:t xml:space="preserve">back </w:t>
      </w:r>
      <w:r w:rsidRPr="00463521">
        <w:rPr>
          <w:lang w:val="en-GB"/>
        </w:rPr>
        <w:t xml:space="preserve">to </w:t>
      </w:r>
      <w:r w:rsidR="007C3746">
        <w:rPr>
          <w:lang w:val="en-GB"/>
        </w:rPr>
        <w:t xml:space="preserve">the </w:t>
      </w:r>
      <w:r w:rsidRPr="00463521">
        <w:rPr>
          <w:lang w:val="en-GB"/>
        </w:rPr>
        <w:t>original contents</w:t>
      </w:r>
      <w:r w:rsidR="00D73E0B">
        <w:rPr>
          <w:lang w:val="en-GB"/>
        </w:rPr>
        <w:t xml:space="preserve"> of a vessel</w:t>
      </w:r>
      <w:r w:rsidRPr="00463521">
        <w:rPr>
          <w:lang w:val="en-GB"/>
        </w:rPr>
        <w:t>, variation in the mode</w:t>
      </w:r>
      <w:r w:rsidR="007C3746">
        <w:rPr>
          <w:lang w:val="en-GB"/>
        </w:rPr>
        <w:t>s</w:t>
      </w:r>
      <w:r w:rsidRPr="00463521">
        <w:rPr>
          <w:lang w:val="en-GB"/>
        </w:rPr>
        <w:t xml:space="preserve"> of use (</w:t>
      </w:r>
      <w:r w:rsidR="007C3746">
        <w:rPr>
          <w:lang w:val="en-GB"/>
        </w:rPr>
        <w:t xml:space="preserve">e.g. </w:t>
      </w:r>
      <w:r w:rsidRPr="00463521">
        <w:rPr>
          <w:lang w:val="en-GB"/>
        </w:rPr>
        <w:t>time, temperature, oxidative conditions), the nature of the ceramics (</w:t>
      </w:r>
      <w:r w:rsidR="00DD5504">
        <w:rPr>
          <w:lang w:val="en-GB"/>
        </w:rPr>
        <w:t xml:space="preserve">e.g. </w:t>
      </w:r>
      <w:r w:rsidRPr="00463521">
        <w:rPr>
          <w:lang w:val="en-GB"/>
        </w:rPr>
        <w:t xml:space="preserve">porosity, clay matrix) and a range of reactions in the burial environment </w:t>
      </w:r>
      <w:r w:rsidR="00D73E0B">
        <w:rPr>
          <w:lang w:val="en-GB"/>
        </w:rPr>
        <w:t xml:space="preserve">alter </w:t>
      </w:r>
      <w:r w:rsidRPr="00463521">
        <w:rPr>
          <w:lang w:val="en-GB"/>
        </w:rPr>
        <w:t>structure and distributions</w:t>
      </w:r>
      <w:r w:rsidR="002E2440">
        <w:rPr>
          <w:lang w:val="en-GB"/>
        </w:rPr>
        <w:t xml:space="preserve"> of lipids,</w:t>
      </w:r>
      <w:r w:rsidRPr="00463521">
        <w:rPr>
          <w:lang w:val="en-GB"/>
        </w:rPr>
        <w:t xml:space="preserve"> complicat</w:t>
      </w:r>
      <w:r w:rsidR="00D73E0B">
        <w:rPr>
          <w:lang w:val="en-GB"/>
        </w:rPr>
        <w:t>ing</w:t>
      </w:r>
      <w:r w:rsidRPr="00463521">
        <w:rPr>
          <w:lang w:val="en-GB"/>
        </w:rPr>
        <w:t xml:space="preserve"> direct comparison with experimental analogues (</w:t>
      </w:r>
      <w:proofErr w:type="spellStart"/>
      <w:r w:rsidR="005B3EF4" w:rsidRPr="005B3EF4">
        <w:rPr>
          <w:color w:val="000000"/>
          <w:lang w:val="en-GB"/>
        </w:rPr>
        <w:t>Regert</w:t>
      </w:r>
      <w:proofErr w:type="spellEnd"/>
      <w:r w:rsidR="005B3EF4" w:rsidRPr="005B3EF4">
        <w:rPr>
          <w:color w:val="000000"/>
          <w:lang w:val="en-GB"/>
        </w:rPr>
        <w:t xml:space="preserve"> </w:t>
      </w:r>
      <w:r w:rsidR="005B3EF4" w:rsidRPr="005B3EF4">
        <w:rPr>
          <w:i/>
          <w:color w:val="000000"/>
          <w:lang w:val="en-GB"/>
        </w:rPr>
        <w:t>et al.</w:t>
      </w:r>
      <w:r w:rsidR="005B3EF4" w:rsidRPr="005B3EF4">
        <w:rPr>
          <w:color w:val="000000"/>
          <w:lang w:val="en-GB"/>
        </w:rPr>
        <w:t xml:space="preserve"> 1998; </w:t>
      </w:r>
      <w:proofErr w:type="spellStart"/>
      <w:r w:rsidR="005B3EF4" w:rsidRPr="005B3EF4">
        <w:rPr>
          <w:color w:val="000000"/>
          <w:lang w:val="en-GB"/>
        </w:rPr>
        <w:t>Evershed</w:t>
      </w:r>
      <w:proofErr w:type="spellEnd"/>
      <w:r w:rsidR="005B3EF4" w:rsidRPr="005B3EF4">
        <w:rPr>
          <w:color w:val="000000"/>
          <w:lang w:val="en-GB"/>
        </w:rPr>
        <w:t xml:space="preserve"> </w:t>
      </w:r>
      <w:r w:rsidR="005B3EF4" w:rsidRPr="005B3EF4">
        <w:rPr>
          <w:i/>
          <w:color w:val="000000"/>
          <w:lang w:val="en-GB"/>
        </w:rPr>
        <w:t xml:space="preserve">et al. </w:t>
      </w:r>
      <w:r w:rsidR="005B3EF4" w:rsidRPr="005B3EF4">
        <w:rPr>
          <w:color w:val="000000"/>
          <w:lang w:val="en-GB"/>
        </w:rPr>
        <w:t xml:space="preserve">1995, 2008; </w:t>
      </w:r>
      <w:proofErr w:type="spellStart"/>
      <w:r w:rsidRPr="005B3EF4">
        <w:rPr>
          <w:lang w:val="en-GB"/>
        </w:rPr>
        <w:t>Evershed</w:t>
      </w:r>
      <w:proofErr w:type="spellEnd"/>
      <w:r w:rsidRPr="005B3EF4">
        <w:rPr>
          <w:lang w:val="en-GB"/>
        </w:rPr>
        <w:t xml:space="preserve"> 2008</w:t>
      </w:r>
      <w:r w:rsidRPr="00463521">
        <w:rPr>
          <w:color w:val="000000"/>
          <w:lang w:val="en-GB"/>
        </w:rPr>
        <w:t>)</w:t>
      </w:r>
      <w:r w:rsidRPr="00463521">
        <w:rPr>
          <w:lang w:val="en-GB"/>
        </w:rPr>
        <w:t>.</w:t>
      </w:r>
    </w:p>
    <w:p w14:paraId="0759C48A" w14:textId="546FA1A6" w:rsidR="00C2191D" w:rsidRPr="00463521" w:rsidRDefault="00715C63" w:rsidP="005B3EF4">
      <w:pPr>
        <w:spacing w:line="360" w:lineRule="auto"/>
        <w:ind w:firstLine="720"/>
        <w:rPr>
          <w:lang w:val="en-GB"/>
        </w:rPr>
      </w:pPr>
      <w:r w:rsidRPr="00463521">
        <w:rPr>
          <w:lang w:val="en-GB"/>
        </w:rPr>
        <w:t xml:space="preserve">Generally, (poly)unsaturated fatty acids are more liable to oxidative degradation than saturated compounds and </w:t>
      </w:r>
      <w:r w:rsidR="002E6A09">
        <w:rPr>
          <w:lang w:val="en-GB"/>
        </w:rPr>
        <w:t xml:space="preserve">are </w:t>
      </w:r>
      <w:r w:rsidRPr="00463521">
        <w:rPr>
          <w:lang w:val="en-GB"/>
        </w:rPr>
        <w:t xml:space="preserve">therefore preferentially lost </w:t>
      </w:r>
      <w:r w:rsidRPr="00463521">
        <w:rPr>
          <w:color w:val="000000"/>
          <w:lang w:val="en-GB"/>
        </w:rPr>
        <w:t>(</w:t>
      </w:r>
      <w:proofErr w:type="spellStart"/>
      <w:r w:rsidRPr="00463521">
        <w:rPr>
          <w:color w:val="000000"/>
          <w:lang w:val="en-GB"/>
        </w:rPr>
        <w:t>Regert</w:t>
      </w:r>
      <w:proofErr w:type="spellEnd"/>
      <w:r w:rsidRPr="00463521">
        <w:rPr>
          <w:color w:val="000000"/>
          <w:lang w:val="en-GB"/>
        </w:rPr>
        <w:t xml:space="preserve"> </w:t>
      </w:r>
      <w:r w:rsidRPr="00463521">
        <w:rPr>
          <w:i/>
          <w:color w:val="000000"/>
          <w:lang w:val="en-GB"/>
        </w:rPr>
        <w:t xml:space="preserve">et al. </w:t>
      </w:r>
      <w:r w:rsidRPr="00463521">
        <w:rPr>
          <w:color w:val="000000"/>
          <w:lang w:val="en-GB"/>
        </w:rPr>
        <w:t>1998)</w:t>
      </w:r>
      <w:r w:rsidRPr="00463521">
        <w:rPr>
          <w:lang w:val="en-GB"/>
        </w:rPr>
        <w:t>. Shorter chain fatty acids are more soluble that longer-chain compounds and will be preferentially lost to percolating groundwater. Triacylglycerol distributions are also altered through hydrolysis</w:t>
      </w:r>
      <w:r w:rsidR="002E6A09">
        <w:rPr>
          <w:lang w:val="en-GB"/>
        </w:rPr>
        <w:t>,</w:t>
      </w:r>
      <w:r w:rsidRPr="00463521">
        <w:rPr>
          <w:lang w:val="en-GB"/>
        </w:rPr>
        <w:t xml:space="preserve"> with the preferential loss of lower molecular weight components </w:t>
      </w:r>
      <w:r w:rsidRPr="00463521">
        <w:rPr>
          <w:color w:val="000000"/>
          <w:lang w:val="en-GB"/>
        </w:rPr>
        <w:t>(</w:t>
      </w:r>
      <w:proofErr w:type="spellStart"/>
      <w:r w:rsidRPr="005B3EF4">
        <w:rPr>
          <w:color w:val="000000"/>
          <w:lang w:val="en-GB"/>
        </w:rPr>
        <w:t>Dudd</w:t>
      </w:r>
      <w:proofErr w:type="spellEnd"/>
      <w:r w:rsidRPr="005B3EF4">
        <w:rPr>
          <w:color w:val="000000"/>
          <w:lang w:val="en-GB"/>
        </w:rPr>
        <w:t xml:space="preserve"> </w:t>
      </w:r>
      <w:r w:rsidRPr="005B3EF4">
        <w:rPr>
          <w:i/>
          <w:color w:val="000000"/>
          <w:lang w:val="en-GB"/>
        </w:rPr>
        <w:t xml:space="preserve">et al. </w:t>
      </w:r>
      <w:r w:rsidRPr="005B3EF4">
        <w:rPr>
          <w:color w:val="000000"/>
          <w:lang w:val="en-GB"/>
        </w:rPr>
        <w:t>1998</w:t>
      </w:r>
      <w:r w:rsidRPr="00463521">
        <w:rPr>
          <w:color w:val="000000"/>
          <w:lang w:val="en-GB"/>
        </w:rPr>
        <w:t>)</w:t>
      </w:r>
      <w:r w:rsidRPr="00463521">
        <w:rPr>
          <w:lang w:val="en-GB"/>
        </w:rPr>
        <w:t xml:space="preserve">. Fatty acids derived from the soil bacteria can also make a contribution to the overall distribution in the potsherd </w:t>
      </w:r>
      <w:r w:rsidRPr="00463521">
        <w:rPr>
          <w:color w:val="000000"/>
          <w:lang w:val="en-GB"/>
        </w:rPr>
        <w:t>(</w:t>
      </w:r>
      <w:proofErr w:type="spellStart"/>
      <w:r w:rsidRPr="00463521">
        <w:rPr>
          <w:color w:val="000000"/>
          <w:lang w:val="en-GB"/>
        </w:rPr>
        <w:t>Dudd</w:t>
      </w:r>
      <w:proofErr w:type="spellEnd"/>
      <w:r w:rsidRPr="00463521">
        <w:rPr>
          <w:color w:val="000000"/>
          <w:lang w:val="en-GB"/>
        </w:rPr>
        <w:t xml:space="preserve"> </w:t>
      </w:r>
      <w:r w:rsidRPr="00463521">
        <w:rPr>
          <w:i/>
          <w:color w:val="000000"/>
          <w:lang w:val="en-GB"/>
        </w:rPr>
        <w:t xml:space="preserve">et al. </w:t>
      </w:r>
      <w:r w:rsidRPr="00463521">
        <w:rPr>
          <w:color w:val="000000"/>
          <w:lang w:val="en-GB"/>
        </w:rPr>
        <w:t>1998)</w:t>
      </w:r>
      <w:r w:rsidRPr="00463521">
        <w:rPr>
          <w:lang w:val="en-GB"/>
        </w:rPr>
        <w:t xml:space="preserve">. Without knowing the extent of these complex and varied post-depositional degradation processes, it is wholly unrealistic to expect that organic residues can be reliably classified on </w:t>
      </w:r>
      <w:r w:rsidR="00415296">
        <w:rPr>
          <w:lang w:val="en-GB"/>
        </w:rPr>
        <w:t xml:space="preserve">the basis of </w:t>
      </w:r>
      <w:r w:rsidRPr="00463521">
        <w:rPr>
          <w:lang w:val="en-GB"/>
        </w:rPr>
        <w:t xml:space="preserve">their fatty acid distributions. The method of extraction may also affect </w:t>
      </w:r>
      <w:r w:rsidR="002E6A09">
        <w:rPr>
          <w:lang w:val="en-GB"/>
        </w:rPr>
        <w:t xml:space="preserve">the </w:t>
      </w:r>
      <w:r w:rsidRPr="00463521">
        <w:rPr>
          <w:lang w:val="en-GB"/>
        </w:rPr>
        <w:t>distribution of fatty acid liberated from the sample (</w:t>
      </w:r>
      <w:proofErr w:type="spellStart"/>
      <w:r w:rsidR="005B3EF4" w:rsidRPr="005B3EF4">
        <w:rPr>
          <w:lang w:val="en-GB"/>
        </w:rPr>
        <w:t>Regert</w:t>
      </w:r>
      <w:proofErr w:type="spellEnd"/>
      <w:r w:rsidR="005B3EF4" w:rsidRPr="005B3EF4">
        <w:rPr>
          <w:lang w:val="en-GB"/>
        </w:rPr>
        <w:t xml:space="preserve"> </w:t>
      </w:r>
      <w:r w:rsidR="005B3EF4" w:rsidRPr="005B3EF4">
        <w:rPr>
          <w:i/>
          <w:lang w:val="en-GB"/>
        </w:rPr>
        <w:t>et al.</w:t>
      </w:r>
      <w:r w:rsidR="005B3EF4" w:rsidRPr="005B3EF4">
        <w:rPr>
          <w:lang w:val="en-GB"/>
        </w:rPr>
        <w:t xml:space="preserve"> 2008; </w:t>
      </w:r>
      <w:r w:rsidRPr="005B3EF4">
        <w:rPr>
          <w:lang w:val="en-GB"/>
        </w:rPr>
        <w:t>Correa-</w:t>
      </w:r>
      <w:proofErr w:type="spellStart"/>
      <w:r w:rsidRPr="005B3EF4">
        <w:rPr>
          <w:lang w:val="en-GB"/>
        </w:rPr>
        <w:t>Ascencio</w:t>
      </w:r>
      <w:proofErr w:type="spellEnd"/>
      <w:r w:rsidRPr="005B3EF4">
        <w:rPr>
          <w:lang w:val="en-GB"/>
        </w:rPr>
        <w:t xml:space="preserve"> &amp; </w:t>
      </w:r>
      <w:proofErr w:type="spellStart"/>
      <w:r w:rsidRPr="005B3EF4">
        <w:rPr>
          <w:lang w:val="en-GB"/>
        </w:rPr>
        <w:t>Evershed</w:t>
      </w:r>
      <w:proofErr w:type="spellEnd"/>
      <w:r w:rsidRPr="005B3EF4">
        <w:rPr>
          <w:lang w:val="en-GB"/>
        </w:rPr>
        <w:t xml:space="preserve"> 2014; </w:t>
      </w:r>
      <w:proofErr w:type="spellStart"/>
      <w:r w:rsidRPr="005B3EF4">
        <w:rPr>
          <w:lang w:val="en-GB"/>
        </w:rPr>
        <w:t>Deviese</w:t>
      </w:r>
      <w:proofErr w:type="spellEnd"/>
      <w:r w:rsidRPr="005B3EF4">
        <w:rPr>
          <w:lang w:val="en-GB"/>
        </w:rPr>
        <w:t xml:space="preserve"> </w:t>
      </w:r>
      <w:r w:rsidRPr="005B3EF4">
        <w:rPr>
          <w:i/>
          <w:lang w:val="en-GB"/>
        </w:rPr>
        <w:t xml:space="preserve">et al. </w:t>
      </w:r>
      <w:r w:rsidRPr="005B3EF4">
        <w:rPr>
          <w:lang w:val="en-GB"/>
        </w:rPr>
        <w:t>2018</w:t>
      </w:r>
      <w:r w:rsidRPr="00463521">
        <w:rPr>
          <w:lang w:val="en-GB"/>
        </w:rPr>
        <w:t>).</w:t>
      </w:r>
    </w:p>
    <w:p w14:paraId="19D593BD" w14:textId="37E1B6A4" w:rsidR="00C2191D" w:rsidRPr="00463521" w:rsidRDefault="00715C63" w:rsidP="005B3EF4">
      <w:pPr>
        <w:spacing w:line="360" w:lineRule="auto"/>
        <w:ind w:firstLine="720"/>
        <w:rPr>
          <w:lang w:val="en-GB"/>
        </w:rPr>
      </w:pPr>
      <w:r w:rsidRPr="00463521">
        <w:rPr>
          <w:lang w:val="en-GB"/>
        </w:rPr>
        <w:t xml:space="preserve">To circumvent the issues, </w:t>
      </w:r>
      <w:proofErr w:type="spellStart"/>
      <w:r w:rsidRPr="00463521">
        <w:rPr>
          <w:lang w:val="en-GB"/>
        </w:rPr>
        <w:t>Taché</w:t>
      </w:r>
      <w:proofErr w:type="spellEnd"/>
      <w:r w:rsidRPr="00463521">
        <w:rPr>
          <w:lang w:val="en-GB"/>
        </w:rPr>
        <w:t xml:space="preserve"> &amp; Craig (2015) adopted two strategies that have been widely applied over the last 20 years</w:t>
      </w:r>
      <w:r w:rsidR="00415296">
        <w:rPr>
          <w:lang w:val="en-GB"/>
        </w:rPr>
        <w:t>,</w:t>
      </w:r>
      <w:r w:rsidRPr="00463521">
        <w:rPr>
          <w:lang w:val="en-GB"/>
        </w:rPr>
        <w:t xml:space="preserve"> and </w:t>
      </w:r>
      <w:r w:rsidR="00415296">
        <w:rPr>
          <w:lang w:val="en-GB"/>
        </w:rPr>
        <w:t xml:space="preserve">which </w:t>
      </w:r>
      <w:r w:rsidR="003B3F7D">
        <w:rPr>
          <w:lang w:val="en-GB"/>
        </w:rPr>
        <w:t xml:space="preserve">have </w:t>
      </w:r>
      <w:r w:rsidRPr="00463521">
        <w:rPr>
          <w:lang w:val="en-GB"/>
        </w:rPr>
        <w:t>arguably transformed the field of archaeological residue analysis. The first is to identify chemical biomarkers</w:t>
      </w:r>
      <w:r w:rsidR="003B3F7D">
        <w:rPr>
          <w:lang w:val="en-GB"/>
        </w:rPr>
        <w:t>—</w:t>
      </w:r>
      <w:r w:rsidRPr="00463521">
        <w:rPr>
          <w:lang w:val="en-GB"/>
        </w:rPr>
        <w:t xml:space="preserve"> molecules or suites of molecules that can be traced to their source with a high degree of confidence</w:t>
      </w:r>
      <w:r w:rsidR="003B3F7D">
        <w:rPr>
          <w:lang w:val="en-GB"/>
        </w:rPr>
        <w:t>,</w:t>
      </w:r>
      <w:r w:rsidRPr="00463521">
        <w:rPr>
          <w:lang w:val="en-GB"/>
        </w:rPr>
        <w:t xml:space="preserve"> taking into account degradation. For example, ω-(o-</w:t>
      </w:r>
      <w:proofErr w:type="spellStart"/>
      <w:r w:rsidRPr="00463521">
        <w:rPr>
          <w:lang w:val="en-GB"/>
        </w:rPr>
        <w:t>alkylphenyl</w:t>
      </w:r>
      <w:proofErr w:type="spellEnd"/>
      <w:r w:rsidRPr="00463521">
        <w:rPr>
          <w:lang w:val="en-GB"/>
        </w:rPr>
        <w:t xml:space="preserve">)alkanoic acids (APAAs) formed during </w:t>
      </w:r>
      <w:r w:rsidR="003B3F7D">
        <w:rPr>
          <w:lang w:val="en-GB"/>
        </w:rPr>
        <w:t xml:space="preserve">the </w:t>
      </w:r>
      <w:r w:rsidRPr="00463521">
        <w:rPr>
          <w:lang w:val="en-GB"/>
        </w:rPr>
        <w:t>protracted heating of unsaturated fatty acids are stable in the burial environment and their distribution can be used to identify broad</w:t>
      </w:r>
      <w:r w:rsidR="003B3F7D">
        <w:rPr>
          <w:lang w:val="en-GB"/>
        </w:rPr>
        <w:t>,</w:t>
      </w:r>
      <w:r w:rsidRPr="00463521">
        <w:rPr>
          <w:lang w:val="en-GB"/>
        </w:rPr>
        <w:t xml:space="preserve"> precursor foodstuffs, such as aquatic and plant oils </w:t>
      </w:r>
      <w:r w:rsidRPr="00463521">
        <w:rPr>
          <w:color w:val="000000"/>
          <w:lang w:val="en-GB"/>
        </w:rPr>
        <w:t>(</w:t>
      </w:r>
      <w:r w:rsidR="005B3EF4" w:rsidRPr="005B3EF4">
        <w:rPr>
          <w:color w:val="000000"/>
          <w:lang w:val="en-GB"/>
        </w:rPr>
        <w:t xml:space="preserve">Hansel </w:t>
      </w:r>
      <w:r w:rsidR="005B3EF4" w:rsidRPr="005B3EF4">
        <w:rPr>
          <w:i/>
          <w:color w:val="000000"/>
          <w:lang w:val="en-GB"/>
        </w:rPr>
        <w:t>et al.</w:t>
      </w:r>
      <w:r w:rsidR="005B3EF4" w:rsidRPr="005B3EF4">
        <w:rPr>
          <w:color w:val="000000"/>
          <w:lang w:val="en-GB"/>
        </w:rPr>
        <w:t xml:space="preserve"> 2004; </w:t>
      </w:r>
      <w:proofErr w:type="spellStart"/>
      <w:r w:rsidR="005B3EF4" w:rsidRPr="005B3EF4">
        <w:rPr>
          <w:color w:val="000000"/>
          <w:lang w:val="en-GB"/>
        </w:rPr>
        <w:t>Evershed</w:t>
      </w:r>
      <w:proofErr w:type="spellEnd"/>
      <w:r w:rsidR="005B3EF4" w:rsidRPr="005B3EF4">
        <w:rPr>
          <w:color w:val="000000"/>
          <w:lang w:val="en-GB"/>
        </w:rPr>
        <w:t xml:space="preserve"> </w:t>
      </w:r>
      <w:r w:rsidR="005B3EF4" w:rsidRPr="005B3EF4">
        <w:rPr>
          <w:i/>
          <w:color w:val="000000"/>
          <w:lang w:val="en-GB"/>
        </w:rPr>
        <w:t xml:space="preserve">et al. </w:t>
      </w:r>
      <w:r w:rsidR="005B3EF4" w:rsidRPr="005B3EF4">
        <w:rPr>
          <w:color w:val="000000"/>
          <w:lang w:val="en-GB"/>
        </w:rPr>
        <w:t xml:space="preserve">2008; </w:t>
      </w:r>
      <w:r w:rsidRPr="005B3EF4">
        <w:rPr>
          <w:color w:val="000000"/>
          <w:lang w:val="en-GB"/>
        </w:rPr>
        <w:t xml:space="preserve">Cramp &amp; </w:t>
      </w:r>
      <w:proofErr w:type="spellStart"/>
      <w:r w:rsidRPr="005B3EF4">
        <w:rPr>
          <w:color w:val="000000"/>
          <w:lang w:val="en-GB"/>
        </w:rPr>
        <w:t>Evershed</w:t>
      </w:r>
      <w:proofErr w:type="spellEnd"/>
      <w:r w:rsidRPr="005B3EF4">
        <w:rPr>
          <w:color w:val="000000"/>
          <w:lang w:val="en-GB"/>
        </w:rPr>
        <w:t xml:space="preserve"> 2014</w:t>
      </w:r>
      <w:r w:rsidRPr="00463521">
        <w:rPr>
          <w:color w:val="000000"/>
          <w:lang w:val="en-GB"/>
        </w:rPr>
        <w:t>)</w:t>
      </w:r>
      <w:r w:rsidRPr="00463521">
        <w:rPr>
          <w:lang w:val="en-GB"/>
        </w:rPr>
        <w:t>. As the isomeri</w:t>
      </w:r>
      <w:r w:rsidR="003B3F7D">
        <w:rPr>
          <w:lang w:val="en-GB"/>
        </w:rPr>
        <w:t>s</w:t>
      </w:r>
      <w:r w:rsidRPr="00463521">
        <w:rPr>
          <w:lang w:val="en-GB"/>
        </w:rPr>
        <w:t xml:space="preserve">ation reaction needed to form these unusual compounds only occurs at high temperature and is assisted by the presence of </w:t>
      </w:r>
      <w:r w:rsidR="003B3F7D">
        <w:rPr>
          <w:lang w:val="en-GB"/>
        </w:rPr>
        <w:t xml:space="preserve">a </w:t>
      </w:r>
      <w:r w:rsidRPr="00463521">
        <w:rPr>
          <w:lang w:val="en-GB"/>
        </w:rPr>
        <w:t>clay matrix, they can be reliably traced to foodstuffs heated during vessel use. Secondly, carbon isotopic values of individual fatty acids can be measured to identify the origins of the lipids</w:t>
      </w:r>
      <w:r w:rsidR="003B3F7D">
        <w:rPr>
          <w:lang w:val="en-GB"/>
        </w:rPr>
        <w:t>;</w:t>
      </w:r>
      <w:r w:rsidRPr="00463521">
        <w:rPr>
          <w:lang w:val="en-GB"/>
        </w:rPr>
        <w:t xml:space="preserve"> these values are maintained</w:t>
      </w:r>
      <w:r w:rsidR="003B3F7D">
        <w:rPr>
          <w:lang w:val="en-GB"/>
        </w:rPr>
        <w:t>,</w:t>
      </w:r>
      <w:r w:rsidRPr="00463521">
        <w:rPr>
          <w:lang w:val="en-GB"/>
        </w:rPr>
        <w:t xml:space="preserve"> despite extensive exposure to the burial environment </w:t>
      </w:r>
      <w:r w:rsidRPr="00463521">
        <w:rPr>
          <w:color w:val="000000"/>
          <w:lang w:val="en-GB"/>
        </w:rPr>
        <w:t>(</w:t>
      </w:r>
      <w:proofErr w:type="spellStart"/>
      <w:r w:rsidRPr="00AA6583">
        <w:rPr>
          <w:color w:val="000000"/>
          <w:lang w:val="en-GB"/>
        </w:rPr>
        <w:t>Evershed</w:t>
      </w:r>
      <w:proofErr w:type="spellEnd"/>
      <w:r w:rsidRPr="00AA6583">
        <w:rPr>
          <w:color w:val="000000"/>
          <w:lang w:val="en-GB"/>
        </w:rPr>
        <w:t xml:space="preserve"> </w:t>
      </w:r>
      <w:r w:rsidRPr="00AA6583">
        <w:rPr>
          <w:i/>
          <w:color w:val="000000"/>
          <w:lang w:val="en-GB"/>
        </w:rPr>
        <w:t>et al.</w:t>
      </w:r>
      <w:r w:rsidRPr="00AA6583">
        <w:rPr>
          <w:color w:val="000000"/>
          <w:lang w:val="en-GB"/>
        </w:rPr>
        <w:t xml:space="preserve"> 1997; </w:t>
      </w:r>
      <w:proofErr w:type="spellStart"/>
      <w:r w:rsidRPr="00AA6583">
        <w:rPr>
          <w:color w:val="000000"/>
          <w:lang w:val="en-GB"/>
        </w:rPr>
        <w:t>Evershed</w:t>
      </w:r>
      <w:proofErr w:type="spellEnd"/>
      <w:r w:rsidRPr="00AA6583">
        <w:rPr>
          <w:color w:val="000000"/>
          <w:lang w:val="en-GB"/>
        </w:rPr>
        <w:t xml:space="preserve"> 2008</w:t>
      </w:r>
      <w:r w:rsidRPr="00463521">
        <w:rPr>
          <w:color w:val="000000"/>
          <w:lang w:val="en-GB"/>
        </w:rPr>
        <w:t>)</w:t>
      </w:r>
      <w:r w:rsidRPr="00463521">
        <w:rPr>
          <w:lang w:val="en-GB"/>
        </w:rPr>
        <w:t xml:space="preserve">. This approach </w:t>
      </w:r>
      <w:r w:rsidR="003B3F7D">
        <w:rPr>
          <w:lang w:val="en-GB"/>
        </w:rPr>
        <w:t>has been</w:t>
      </w:r>
      <w:r w:rsidR="003B3F7D" w:rsidRPr="00463521">
        <w:rPr>
          <w:lang w:val="en-GB"/>
        </w:rPr>
        <w:t xml:space="preserve"> </w:t>
      </w:r>
      <w:r w:rsidRPr="00463521">
        <w:rPr>
          <w:lang w:val="en-GB"/>
        </w:rPr>
        <w:t>widely used to identify marine foods in pottery</w:t>
      </w:r>
      <w:r w:rsidR="003B3F7D">
        <w:rPr>
          <w:lang w:val="en-GB"/>
        </w:rPr>
        <w:t>,</w:t>
      </w:r>
      <w:r w:rsidRPr="00463521">
        <w:rPr>
          <w:lang w:val="en-GB"/>
        </w:rPr>
        <w:t xml:space="preserve"> which generally have fatty acids enriched in the heavier carbon isotope (</w:t>
      </w:r>
      <w:r w:rsidRPr="00463521">
        <w:rPr>
          <w:vertAlign w:val="superscript"/>
          <w:lang w:val="en-GB"/>
        </w:rPr>
        <w:t>13</w:t>
      </w:r>
      <w:r w:rsidRPr="00463521">
        <w:rPr>
          <w:lang w:val="en-GB"/>
        </w:rPr>
        <w:t xml:space="preserve">C) compared </w:t>
      </w:r>
      <w:r w:rsidR="007C4568">
        <w:rPr>
          <w:lang w:val="en-GB"/>
        </w:rPr>
        <w:t>with</w:t>
      </w:r>
      <w:r w:rsidR="007C4568" w:rsidRPr="00463521">
        <w:rPr>
          <w:lang w:val="en-GB"/>
        </w:rPr>
        <w:t xml:space="preserve"> </w:t>
      </w:r>
      <w:r w:rsidRPr="00463521">
        <w:rPr>
          <w:lang w:val="en-GB"/>
        </w:rPr>
        <w:t>terrestrial and freshwater products</w:t>
      </w:r>
      <w:r w:rsidR="003B3F7D">
        <w:rPr>
          <w:lang w:val="en-GB"/>
        </w:rPr>
        <w:t xml:space="preserve"> </w:t>
      </w:r>
      <w:r w:rsidR="003B3F7D" w:rsidRPr="00463521">
        <w:rPr>
          <w:lang w:val="en-GB"/>
        </w:rPr>
        <w:t>(</w:t>
      </w:r>
      <w:r w:rsidR="003B3F7D">
        <w:rPr>
          <w:lang w:val="en-GB"/>
        </w:rPr>
        <w:t xml:space="preserve">e.g. </w:t>
      </w:r>
      <w:r w:rsidR="003B3F7D" w:rsidRPr="00AA6583">
        <w:rPr>
          <w:lang w:val="en-GB"/>
        </w:rPr>
        <w:t xml:space="preserve">Copley </w:t>
      </w:r>
      <w:r w:rsidR="003B3F7D" w:rsidRPr="00AA6583">
        <w:rPr>
          <w:i/>
          <w:lang w:val="en-GB"/>
        </w:rPr>
        <w:t>et al.</w:t>
      </w:r>
      <w:r w:rsidR="003B3F7D" w:rsidRPr="00AA6583">
        <w:rPr>
          <w:lang w:val="en-GB"/>
        </w:rPr>
        <w:t xml:space="preserve"> 2004; Craig </w:t>
      </w:r>
      <w:r w:rsidR="003B3F7D" w:rsidRPr="00AA6583">
        <w:rPr>
          <w:i/>
          <w:lang w:val="en-GB"/>
        </w:rPr>
        <w:t xml:space="preserve">et al. </w:t>
      </w:r>
      <w:r w:rsidR="003B3F7D" w:rsidRPr="00AA6583">
        <w:rPr>
          <w:lang w:val="en-GB"/>
        </w:rPr>
        <w:t xml:space="preserve">2011; Cramp </w:t>
      </w:r>
      <w:r w:rsidR="003B3F7D" w:rsidRPr="00AA6583">
        <w:rPr>
          <w:i/>
          <w:lang w:val="en-GB"/>
        </w:rPr>
        <w:t xml:space="preserve">et al. </w:t>
      </w:r>
      <w:r w:rsidR="003B3F7D" w:rsidRPr="00AA6583">
        <w:rPr>
          <w:lang w:val="en-GB"/>
        </w:rPr>
        <w:t xml:space="preserve">2014; Lucquin </w:t>
      </w:r>
      <w:r w:rsidR="003B3F7D" w:rsidRPr="00AA6583">
        <w:rPr>
          <w:i/>
          <w:lang w:val="en-GB"/>
        </w:rPr>
        <w:t xml:space="preserve">et al. </w:t>
      </w:r>
      <w:r w:rsidR="003B3F7D" w:rsidRPr="00AA6583">
        <w:rPr>
          <w:lang w:val="en-GB"/>
        </w:rPr>
        <w:t>2016</w:t>
      </w:r>
      <w:r w:rsidR="003B3F7D">
        <w:rPr>
          <w:lang w:val="en-GB"/>
        </w:rPr>
        <w:t>b</w:t>
      </w:r>
      <w:r w:rsidR="003B3F7D" w:rsidRPr="00AA6583">
        <w:rPr>
          <w:lang w:val="en-GB"/>
        </w:rPr>
        <w:t xml:space="preserve">; </w:t>
      </w:r>
      <w:proofErr w:type="spellStart"/>
      <w:r w:rsidR="003B3F7D" w:rsidRPr="00AA6583">
        <w:rPr>
          <w:lang w:val="en-GB"/>
        </w:rPr>
        <w:t>Oras</w:t>
      </w:r>
      <w:proofErr w:type="spellEnd"/>
      <w:r w:rsidR="003B3F7D" w:rsidRPr="00AA6583">
        <w:rPr>
          <w:lang w:val="en-GB"/>
        </w:rPr>
        <w:t xml:space="preserve"> </w:t>
      </w:r>
      <w:r w:rsidR="003B3F7D" w:rsidRPr="00AA6583">
        <w:rPr>
          <w:i/>
          <w:lang w:val="en-GB"/>
        </w:rPr>
        <w:t xml:space="preserve">et al. </w:t>
      </w:r>
      <w:r w:rsidR="003B3F7D" w:rsidRPr="00AA6583">
        <w:rPr>
          <w:lang w:val="en-GB"/>
        </w:rPr>
        <w:t>2017</w:t>
      </w:r>
      <w:r w:rsidR="003B3F7D" w:rsidRPr="00463521">
        <w:rPr>
          <w:lang w:val="en-GB"/>
        </w:rPr>
        <w:t>)</w:t>
      </w:r>
      <w:r w:rsidR="003B3F7D">
        <w:rPr>
          <w:lang w:val="en-GB"/>
        </w:rPr>
        <w:t>. It is also</w:t>
      </w:r>
      <w:r w:rsidRPr="00463521">
        <w:rPr>
          <w:lang w:val="en-GB"/>
        </w:rPr>
        <w:t xml:space="preserve"> </w:t>
      </w:r>
      <w:r w:rsidR="003B3F7D">
        <w:rPr>
          <w:lang w:val="en-GB"/>
        </w:rPr>
        <w:t>used</w:t>
      </w:r>
      <w:r w:rsidRPr="00463521">
        <w:rPr>
          <w:lang w:val="en-GB"/>
        </w:rPr>
        <w:t xml:space="preserve"> to distinguish between ruminant and non-ruminant fats (</w:t>
      </w:r>
      <w:r w:rsidRPr="00AA6583">
        <w:rPr>
          <w:lang w:val="en-GB"/>
        </w:rPr>
        <w:t xml:space="preserve">Craig </w:t>
      </w:r>
      <w:r w:rsidRPr="00AA6583">
        <w:rPr>
          <w:i/>
          <w:lang w:val="en-GB"/>
        </w:rPr>
        <w:t>et al</w:t>
      </w:r>
      <w:r w:rsidRPr="00AA6583">
        <w:rPr>
          <w:lang w:val="en-GB"/>
        </w:rPr>
        <w:t>. 2012</w:t>
      </w:r>
      <w:r w:rsidRPr="00463521">
        <w:rPr>
          <w:lang w:val="en-GB"/>
        </w:rPr>
        <w:t xml:space="preserve">). </w:t>
      </w:r>
      <w:proofErr w:type="spellStart"/>
      <w:r w:rsidRPr="00463521">
        <w:rPr>
          <w:lang w:val="en-GB"/>
        </w:rPr>
        <w:t>Skibo</w:t>
      </w:r>
      <w:proofErr w:type="spellEnd"/>
      <w:r w:rsidRPr="00463521">
        <w:rPr>
          <w:lang w:val="en-GB"/>
        </w:rPr>
        <w:t xml:space="preserve"> </w:t>
      </w:r>
      <w:r w:rsidRPr="00463521">
        <w:rPr>
          <w:i/>
          <w:lang w:val="en-GB"/>
        </w:rPr>
        <w:t xml:space="preserve">et al. </w:t>
      </w:r>
      <w:r w:rsidRPr="00463521">
        <w:rPr>
          <w:lang w:val="en-GB"/>
        </w:rPr>
        <w:t>(2016) did not report the presence</w:t>
      </w:r>
      <w:r w:rsidR="003B3F7D">
        <w:rPr>
          <w:lang w:val="en-GB"/>
        </w:rPr>
        <w:t xml:space="preserve"> or </w:t>
      </w:r>
      <w:r w:rsidRPr="00463521">
        <w:rPr>
          <w:lang w:val="en-GB"/>
        </w:rPr>
        <w:t>absence of aquatic biomarkers</w:t>
      </w:r>
      <w:r w:rsidR="003B3F7D">
        <w:rPr>
          <w:lang w:val="en-GB"/>
        </w:rPr>
        <w:t>,</w:t>
      </w:r>
      <w:r w:rsidRPr="00463521">
        <w:rPr>
          <w:lang w:val="en-GB"/>
        </w:rPr>
        <w:t xml:space="preserve"> or </w:t>
      </w:r>
      <w:r w:rsidR="003B3F7D">
        <w:rPr>
          <w:lang w:val="en-GB"/>
        </w:rPr>
        <w:t>employ</w:t>
      </w:r>
      <w:r w:rsidR="003B3F7D" w:rsidRPr="00463521">
        <w:rPr>
          <w:lang w:val="en-GB"/>
        </w:rPr>
        <w:t xml:space="preserve"> </w:t>
      </w:r>
      <w:r w:rsidRPr="00463521">
        <w:rPr>
          <w:lang w:val="en-GB"/>
        </w:rPr>
        <w:t>compound specific isotope analysis. As the former are best identified as methyl esters on a polar chromatography column and with the mass spectrometer in single ion monitoring mode for increa</w:t>
      </w:r>
      <w:r w:rsidR="00494458" w:rsidRPr="00463521">
        <w:rPr>
          <w:lang w:val="en-GB"/>
        </w:rPr>
        <w:t xml:space="preserve">sed sensitivity (see </w:t>
      </w:r>
      <w:r w:rsidR="00494458" w:rsidRPr="00AA6583">
        <w:rPr>
          <w:lang w:val="en-GB"/>
        </w:rPr>
        <w:t>Cramp &amp;</w:t>
      </w:r>
      <w:r w:rsidRPr="00AA6583">
        <w:rPr>
          <w:lang w:val="en-GB"/>
        </w:rPr>
        <w:t xml:space="preserve"> </w:t>
      </w:r>
      <w:proofErr w:type="spellStart"/>
      <w:r w:rsidRPr="00AA6583">
        <w:rPr>
          <w:lang w:val="en-GB"/>
        </w:rPr>
        <w:t>Evershed</w:t>
      </w:r>
      <w:proofErr w:type="spellEnd"/>
      <w:r w:rsidRPr="00AA6583">
        <w:rPr>
          <w:lang w:val="en-GB"/>
        </w:rPr>
        <w:t xml:space="preserve"> 2014</w:t>
      </w:r>
      <w:r w:rsidRPr="00463521">
        <w:rPr>
          <w:lang w:val="en-GB"/>
        </w:rPr>
        <w:t xml:space="preserve">), it is unlikely that these would be observable in the experimental conditions used </w:t>
      </w:r>
      <w:r w:rsidR="003B3F7D">
        <w:rPr>
          <w:lang w:val="en-GB"/>
        </w:rPr>
        <w:t xml:space="preserve">by </w:t>
      </w:r>
      <w:proofErr w:type="spellStart"/>
      <w:r w:rsidRPr="00463521">
        <w:rPr>
          <w:lang w:val="en-GB"/>
        </w:rPr>
        <w:t>Skibo</w:t>
      </w:r>
      <w:proofErr w:type="spellEnd"/>
      <w:r w:rsidRPr="00463521">
        <w:rPr>
          <w:lang w:val="en-GB"/>
        </w:rPr>
        <w:t xml:space="preserve"> </w:t>
      </w:r>
      <w:r w:rsidRPr="00463521">
        <w:rPr>
          <w:i/>
          <w:lang w:val="en-GB"/>
        </w:rPr>
        <w:t xml:space="preserve">et al. </w:t>
      </w:r>
      <w:r w:rsidRPr="00463521">
        <w:rPr>
          <w:lang w:val="en-GB"/>
        </w:rPr>
        <w:t>(2016)</w:t>
      </w:r>
      <w:r w:rsidRPr="00463521">
        <w:rPr>
          <w:i/>
          <w:lang w:val="en-GB"/>
        </w:rPr>
        <w:t>.</w:t>
      </w:r>
    </w:p>
    <w:p w14:paraId="31917694" w14:textId="77777777" w:rsidR="00C2191D" w:rsidRPr="00463521" w:rsidRDefault="00C2191D" w:rsidP="00463521">
      <w:pPr>
        <w:spacing w:line="360" w:lineRule="auto"/>
        <w:rPr>
          <w:lang w:val="en-GB"/>
        </w:rPr>
      </w:pPr>
    </w:p>
    <w:p w14:paraId="347ED918" w14:textId="77777777" w:rsidR="00C2191D" w:rsidRPr="00463521" w:rsidRDefault="00715C63" w:rsidP="00463521">
      <w:pPr>
        <w:pStyle w:val="Heading2"/>
        <w:spacing w:before="0" w:after="0" w:line="360" w:lineRule="auto"/>
        <w:rPr>
          <w:sz w:val="24"/>
          <w:szCs w:val="24"/>
          <w:lang w:val="en-GB"/>
        </w:rPr>
      </w:pPr>
      <w:r w:rsidRPr="00463521">
        <w:rPr>
          <w:sz w:val="24"/>
          <w:szCs w:val="24"/>
          <w:lang w:val="en-GB"/>
        </w:rPr>
        <w:t>Applying fatty acid distribution criteria to vessels with aquatic biomarkers</w:t>
      </w:r>
    </w:p>
    <w:p w14:paraId="015B3295" w14:textId="7B53C5C6" w:rsidR="00C2191D" w:rsidRPr="00463521" w:rsidRDefault="00715C63" w:rsidP="00463521">
      <w:pPr>
        <w:spacing w:line="360" w:lineRule="auto"/>
        <w:rPr>
          <w:lang w:val="en-GB"/>
        </w:rPr>
      </w:pPr>
      <w:r w:rsidRPr="00463521">
        <w:rPr>
          <w:lang w:val="en-GB"/>
        </w:rPr>
        <w:t xml:space="preserve">The discrepancy between </w:t>
      </w:r>
      <w:proofErr w:type="spellStart"/>
      <w:r w:rsidRPr="00463521">
        <w:rPr>
          <w:lang w:val="en-GB"/>
        </w:rPr>
        <w:t>Skibo</w:t>
      </w:r>
      <w:proofErr w:type="spellEnd"/>
      <w:r w:rsidRPr="00463521">
        <w:rPr>
          <w:lang w:val="en-GB"/>
        </w:rPr>
        <w:t xml:space="preserve"> </w:t>
      </w:r>
      <w:r w:rsidRPr="00463521">
        <w:rPr>
          <w:i/>
          <w:lang w:val="en-GB"/>
        </w:rPr>
        <w:t xml:space="preserve">et al.’s </w:t>
      </w:r>
      <w:r w:rsidRPr="00463521">
        <w:rPr>
          <w:lang w:val="en-GB"/>
        </w:rPr>
        <w:t xml:space="preserve">(2016) and </w:t>
      </w:r>
      <w:proofErr w:type="spellStart"/>
      <w:r w:rsidRPr="00463521">
        <w:rPr>
          <w:lang w:val="en-GB"/>
        </w:rPr>
        <w:t>Taché</w:t>
      </w:r>
      <w:proofErr w:type="spellEnd"/>
      <w:r w:rsidRPr="00463521">
        <w:rPr>
          <w:lang w:val="en-GB"/>
        </w:rPr>
        <w:t xml:space="preserve"> &amp; Craig’s (2015) approaches is exemplified if we apply </w:t>
      </w:r>
      <w:proofErr w:type="spellStart"/>
      <w:r w:rsidRPr="00463521">
        <w:rPr>
          <w:lang w:val="en-GB"/>
        </w:rPr>
        <w:t>Malainey</w:t>
      </w:r>
      <w:proofErr w:type="spellEnd"/>
      <w:r w:rsidRPr="00463521">
        <w:rPr>
          <w:lang w:val="en-GB"/>
        </w:rPr>
        <w:t xml:space="preserve"> </w:t>
      </w:r>
      <w:r w:rsidRPr="00463521">
        <w:rPr>
          <w:i/>
          <w:lang w:val="en-GB"/>
        </w:rPr>
        <w:t>et al.</w:t>
      </w:r>
      <w:r w:rsidRPr="00463521">
        <w:rPr>
          <w:lang w:val="en-GB"/>
        </w:rPr>
        <w:t xml:space="preserve">’s (1999) criteria to </w:t>
      </w:r>
      <w:r w:rsidR="004E3983">
        <w:rPr>
          <w:lang w:val="en-GB"/>
        </w:rPr>
        <w:t xml:space="preserve">the </w:t>
      </w:r>
      <w:proofErr w:type="spellStart"/>
      <w:r w:rsidRPr="00463521">
        <w:rPr>
          <w:lang w:val="en-GB"/>
        </w:rPr>
        <w:t>Vinette</w:t>
      </w:r>
      <w:proofErr w:type="spellEnd"/>
      <w:r w:rsidRPr="00463521">
        <w:rPr>
          <w:lang w:val="en-GB"/>
        </w:rPr>
        <w:t xml:space="preserve"> 1 vessels</w:t>
      </w:r>
      <w:r w:rsidR="00BE332E">
        <w:rPr>
          <w:lang w:val="en-GB"/>
        </w:rPr>
        <w:t xml:space="preserve"> that produced the full set of </w:t>
      </w:r>
      <w:r w:rsidRPr="00463521">
        <w:rPr>
          <w:lang w:val="en-GB"/>
        </w:rPr>
        <w:t>aquatic biomarkers (</w:t>
      </w:r>
      <w:r w:rsidR="00BE332E">
        <w:rPr>
          <w:lang w:val="en-GB"/>
        </w:rPr>
        <w:t>see the Online Supplementary Materials (OSM)</w:t>
      </w:r>
      <w:r w:rsidRPr="00463521">
        <w:rPr>
          <w:lang w:val="en-GB"/>
        </w:rPr>
        <w:t xml:space="preserve">). </w:t>
      </w:r>
      <w:r w:rsidR="00FD7786">
        <w:rPr>
          <w:lang w:val="en-GB"/>
        </w:rPr>
        <w:t xml:space="preserve">When using </w:t>
      </w:r>
      <w:proofErr w:type="spellStart"/>
      <w:r w:rsidR="00FD7786">
        <w:rPr>
          <w:lang w:val="en-GB"/>
        </w:rPr>
        <w:t>Malainey</w:t>
      </w:r>
      <w:proofErr w:type="spellEnd"/>
      <w:r w:rsidR="00FD7786">
        <w:rPr>
          <w:lang w:val="en-GB"/>
        </w:rPr>
        <w:t xml:space="preserve"> </w:t>
      </w:r>
      <w:r w:rsidR="00FD7786">
        <w:rPr>
          <w:i/>
          <w:lang w:val="en-GB"/>
        </w:rPr>
        <w:t>et al.</w:t>
      </w:r>
      <w:r w:rsidR="00FD7786">
        <w:rPr>
          <w:lang w:val="en-GB"/>
        </w:rPr>
        <w:t>’s (1999) criteria,</w:t>
      </w:r>
      <w:r w:rsidR="00FD7786" w:rsidRPr="00463521">
        <w:rPr>
          <w:lang w:val="en-GB"/>
        </w:rPr>
        <w:t xml:space="preserve"> </w:t>
      </w:r>
      <w:r w:rsidR="00FD7786">
        <w:rPr>
          <w:lang w:val="en-GB"/>
        </w:rPr>
        <w:t>o</w:t>
      </w:r>
      <w:r w:rsidR="00FD7786" w:rsidRPr="00463521">
        <w:rPr>
          <w:lang w:val="en-GB"/>
        </w:rPr>
        <w:t xml:space="preserve">f </w:t>
      </w:r>
      <w:r w:rsidR="00FD7786">
        <w:rPr>
          <w:lang w:val="en-GB"/>
        </w:rPr>
        <w:t xml:space="preserve">the </w:t>
      </w:r>
      <w:r w:rsidRPr="00463521">
        <w:rPr>
          <w:lang w:val="en-GB"/>
        </w:rPr>
        <w:t>47 ‘aquatic’ samples, 68</w:t>
      </w:r>
      <w:r w:rsidR="00BE332E">
        <w:rPr>
          <w:lang w:val="en-GB"/>
        </w:rPr>
        <w:t xml:space="preserve"> per cent</w:t>
      </w:r>
      <w:r w:rsidRPr="00463521">
        <w:rPr>
          <w:lang w:val="en-GB"/>
        </w:rPr>
        <w:t xml:space="preserve"> (n=32) would have been interpreted as </w:t>
      </w:r>
      <w:r w:rsidR="00FD7786">
        <w:rPr>
          <w:lang w:val="en-GB"/>
        </w:rPr>
        <w:t xml:space="preserve">being from </w:t>
      </w:r>
      <w:r w:rsidR="005D3F87">
        <w:rPr>
          <w:lang w:val="en-GB"/>
        </w:rPr>
        <w:t>‘</w:t>
      </w:r>
      <w:r w:rsidRPr="00463521">
        <w:rPr>
          <w:lang w:val="en-GB"/>
        </w:rPr>
        <w:t>large herbivores</w:t>
      </w:r>
      <w:r w:rsidR="005D3F87">
        <w:rPr>
          <w:lang w:val="en-GB"/>
        </w:rPr>
        <w:t>’</w:t>
      </w:r>
      <w:r w:rsidRPr="00463521">
        <w:rPr>
          <w:lang w:val="en-GB"/>
        </w:rPr>
        <w:t>, 21</w:t>
      </w:r>
      <w:r w:rsidR="00BE332E">
        <w:rPr>
          <w:lang w:val="en-GB"/>
        </w:rPr>
        <w:t xml:space="preserve"> per cent</w:t>
      </w:r>
      <w:r w:rsidRPr="00463521">
        <w:rPr>
          <w:lang w:val="en-GB"/>
        </w:rPr>
        <w:t xml:space="preserve"> (n=10) </w:t>
      </w:r>
      <w:r w:rsidR="00FD7786">
        <w:rPr>
          <w:lang w:val="en-GB"/>
        </w:rPr>
        <w:t xml:space="preserve">from </w:t>
      </w:r>
      <w:r w:rsidR="005D3F87">
        <w:rPr>
          <w:lang w:val="en-GB"/>
        </w:rPr>
        <w:t>‘</w:t>
      </w:r>
      <w:r w:rsidRPr="00463521">
        <w:rPr>
          <w:lang w:val="en-GB"/>
        </w:rPr>
        <w:t>plant</w:t>
      </w:r>
      <w:r w:rsidR="0015207F">
        <w:rPr>
          <w:lang w:val="en-GB"/>
        </w:rPr>
        <w:t>s</w:t>
      </w:r>
      <w:r w:rsidRPr="00463521">
        <w:rPr>
          <w:lang w:val="en-GB"/>
        </w:rPr>
        <w:t xml:space="preserve"> (except </w:t>
      </w:r>
      <w:commentRangeStart w:id="8"/>
      <w:commentRangeStart w:id="9"/>
      <w:r w:rsidRPr="00463521">
        <w:rPr>
          <w:lang w:val="en-GB"/>
        </w:rPr>
        <w:t>corn</w:t>
      </w:r>
      <w:commentRangeEnd w:id="8"/>
      <w:r w:rsidR="0015207F">
        <w:rPr>
          <w:rStyle w:val="CommentReference"/>
        </w:rPr>
        <w:commentReference w:id="8"/>
      </w:r>
      <w:commentRangeEnd w:id="9"/>
      <w:r w:rsidR="009D68AC">
        <w:rPr>
          <w:rStyle w:val="CommentReference"/>
        </w:rPr>
        <w:commentReference w:id="9"/>
      </w:r>
      <w:r w:rsidRPr="00463521">
        <w:rPr>
          <w:lang w:val="en-GB"/>
        </w:rPr>
        <w:t>)</w:t>
      </w:r>
      <w:r w:rsidR="005D3F87">
        <w:rPr>
          <w:lang w:val="en-GB"/>
        </w:rPr>
        <w:t>’</w:t>
      </w:r>
      <w:r w:rsidRPr="00463521">
        <w:rPr>
          <w:lang w:val="en-GB"/>
        </w:rPr>
        <w:t xml:space="preserve"> and </w:t>
      </w:r>
      <w:r w:rsidR="00FD7786">
        <w:rPr>
          <w:lang w:val="en-GB"/>
        </w:rPr>
        <w:t xml:space="preserve">six </w:t>
      </w:r>
      <w:r w:rsidR="00BE332E">
        <w:rPr>
          <w:lang w:val="en-GB"/>
        </w:rPr>
        <w:t>per cent</w:t>
      </w:r>
      <w:r w:rsidRPr="00463521">
        <w:rPr>
          <w:lang w:val="en-GB"/>
        </w:rPr>
        <w:t xml:space="preserve"> (n=3) </w:t>
      </w:r>
      <w:r w:rsidR="00FD7786">
        <w:rPr>
          <w:lang w:val="en-GB"/>
        </w:rPr>
        <w:t xml:space="preserve">from </w:t>
      </w:r>
      <w:r w:rsidR="005D3F87">
        <w:rPr>
          <w:lang w:val="en-GB"/>
        </w:rPr>
        <w:t>‘</w:t>
      </w:r>
      <w:commentRangeStart w:id="10"/>
      <w:commentRangeStart w:id="11"/>
      <w:commentRangeStart w:id="12"/>
      <w:r w:rsidRPr="00463521">
        <w:rPr>
          <w:lang w:val="en-GB"/>
        </w:rPr>
        <w:t>plant with large herbivores</w:t>
      </w:r>
      <w:commentRangeEnd w:id="10"/>
      <w:r w:rsidR="005D3F87">
        <w:rPr>
          <w:lang w:val="en-GB"/>
        </w:rPr>
        <w:t>’</w:t>
      </w:r>
      <w:r w:rsidR="00FD7786">
        <w:rPr>
          <w:rStyle w:val="CommentReference"/>
        </w:rPr>
        <w:commentReference w:id="10"/>
      </w:r>
      <w:commentRangeEnd w:id="11"/>
      <w:r w:rsidR="009D68AC">
        <w:rPr>
          <w:rStyle w:val="CommentReference"/>
        </w:rPr>
        <w:commentReference w:id="11"/>
      </w:r>
      <w:commentRangeEnd w:id="12"/>
      <w:r w:rsidR="0092102A">
        <w:rPr>
          <w:rStyle w:val="CommentReference"/>
        </w:rPr>
        <w:commentReference w:id="12"/>
      </w:r>
      <w:r w:rsidR="00FD7786">
        <w:rPr>
          <w:lang w:val="en-GB"/>
        </w:rPr>
        <w:t xml:space="preserve">; </w:t>
      </w:r>
      <w:r w:rsidRPr="00463521">
        <w:rPr>
          <w:lang w:val="en-GB"/>
        </w:rPr>
        <w:t>two samples d</w:t>
      </w:r>
      <w:r w:rsidR="0015207F">
        <w:rPr>
          <w:lang w:val="en-GB"/>
        </w:rPr>
        <w:t>o</w:t>
      </w:r>
      <w:r w:rsidRPr="00463521">
        <w:rPr>
          <w:lang w:val="en-GB"/>
        </w:rPr>
        <w:t xml:space="preserve"> not fit any of the criteria. Importantly, the highest relative concentration of C</w:t>
      </w:r>
      <w:r w:rsidRPr="00463521">
        <w:rPr>
          <w:vertAlign w:val="subscript"/>
          <w:lang w:val="en-GB"/>
        </w:rPr>
        <w:t>18:1</w:t>
      </w:r>
      <w:r w:rsidRPr="00463521">
        <w:rPr>
          <w:lang w:val="en-GB"/>
        </w:rPr>
        <w:t xml:space="preserve"> detected in the 110 interpretable </w:t>
      </w:r>
      <w:proofErr w:type="spellStart"/>
      <w:r w:rsidRPr="00463521">
        <w:rPr>
          <w:lang w:val="en-GB"/>
        </w:rPr>
        <w:t>Vinette</w:t>
      </w:r>
      <w:proofErr w:type="spellEnd"/>
      <w:r w:rsidRPr="00463521">
        <w:rPr>
          <w:lang w:val="en-GB"/>
        </w:rPr>
        <w:t xml:space="preserve"> 1 vessels is 10.27</w:t>
      </w:r>
      <w:r w:rsidR="00BE332E" w:rsidRPr="00BE332E">
        <w:rPr>
          <w:lang w:val="en-GB"/>
        </w:rPr>
        <w:t xml:space="preserve"> </w:t>
      </w:r>
      <w:r w:rsidR="00BE332E">
        <w:rPr>
          <w:lang w:val="en-GB"/>
        </w:rPr>
        <w:t>per cent</w:t>
      </w:r>
      <w:r w:rsidRPr="00463521">
        <w:rPr>
          <w:lang w:val="en-GB"/>
        </w:rPr>
        <w:t>, significantly less than the 15</w:t>
      </w:r>
      <w:r w:rsidR="00BE332E">
        <w:rPr>
          <w:lang w:val="en-GB"/>
        </w:rPr>
        <w:t>–</w:t>
      </w:r>
      <w:r w:rsidRPr="00463521">
        <w:rPr>
          <w:lang w:val="en-GB"/>
        </w:rPr>
        <w:t>27.5</w:t>
      </w:r>
      <w:r w:rsidR="00BE332E" w:rsidRPr="00BE332E">
        <w:rPr>
          <w:lang w:val="en-GB"/>
        </w:rPr>
        <w:t xml:space="preserve"> </w:t>
      </w:r>
      <w:r w:rsidR="00BE332E">
        <w:rPr>
          <w:lang w:val="en-GB"/>
        </w:rPr>
        <w:t>per cent</w:t>
      </w:r>
      <w:r w:rsidRPr="00463521">
        <w:rPr>
          <w:lang w:val="en-GB"/>
        </w:rPr>
        <w:t xml:space="preserve"> interval ascribed to aquatic resources (</w:t>
      </w:r>
      <w:proofErr w:type="spellStart"/>
      <w:r w:rsidRPr="00BE332E">
        <w:rPr>
          <w:lang w:val="en-GB"/>
        </w:rPr>
        <w:t>Malainey</w:t>
      </w:r>
      <w:proofErr w:type="spellEnd"/>
      <w:r w:rsidRPr="00BE332E">
        <w:rPr>
          <w:lang w:val="en-GB"/>
        </w:rPr>
        <w:t xml:space="preserve"> </w:t>
      </w:r>
      <w:r w:rsidRPr="00BE332E">
        <w:rPr>
          <w:i/>
          <w:lang w:val="en-GB"/>
        </w:rPr>
        <w:t>et al.</w:t>
      </w:r>
      <w:r w:rsidRPr="00BE332E">
        <w:rPr>
          <w:lang w:val="en-GB"/>
        </w:rPr>
        <w:t xml:space="preserve"> 1999</w:t>
      </w:r>
      <w:r w:rsidRPr="00463521">
        <w:rPr>
          <w:lang w:val="en-GB"/>
        </w:rPr>
        <w:t>)</w:t>
      </w:r>
      <w:r w:rsidR="005C2584">
        <w:rPr>
          <w:lang w:val="en-GB"/>
        </w:rPr>
        <w:t>,</w:t>
      </w:r>
      <w:r w:rsidRPr="00463521">
        <w:rPr>
          <w:lang w:val="en-GB"/>
        </w:rPr>
        <w:t xml:space="preserve"> and without any relationship with the position of the residue on the vessel (</w:t>
      </w:r>
      <w:r w:rsidRPr="0015207F">
        <w:rPr>
          <w:lang w:val="en-GB"/>
        </w:rPr>
        <w:t>contra</w:t>
      </w:r>
      <w:r w:rsidR="0015207F">
        <w:rPr>
          <w:lang w:val="en-GB"/>
        </w:rPr>
        <w:t>ry</w:t>
      </w:r>
      <w:r w:rsidRPr="00463521">
        <w:rPr>
          <w:lang w:val="en-GB"/>
        </w:rPr>
        <w:t xml:space="preserve"> to suggestion in </w:t>
      </w:r>
      <w:proofErr w:type="spellStart"/>
      <w:r w:rsidRPr="00BE332E">
        <w:rPr>
          <w:lang w:val="en-GB"/>
        </w:rPr>
        <w:t>Malainey</w:t>
      </w:r>
      <w:proofErr w:type="spellEnd"/>
      <w:r w:rsidRPr="00BE332E">
        <w:rPr>
          <w:lang w:val="en-GB"/>
        </w:rPr>
        <w:t xml:space="preserve"> 2007</w:t>
      </w:r>
      <w:r w:rsidRPr="00463521">
        <w:rPr>
          <w:lang w:val="en-GB"/>
        </w:rPr>
        <w:t>). Setting such a high relative concentration of C</w:t>
      </w:r>
      <w:r w:rsidRPr="00463521">
        <w:rPr>
          <w:vertAlign w:val="subscript"/>
          <w:lang w:val="en-GB"/>
        </w:rPr>
        <w:t xml:space="preserve">18:1 </w:t>
      </w:r>
      <w:r w:rsidRPr="00463521">
        <w:rPr>
          <w:lang w:val="en-GB"/>
        </w:rPr>
        <w:t xml:space="preserve">as the criterion for identifying aquatic </w:t>
      </w:r>
      <w:r w:rsidR="00AC7D45">
        <w:rPr>
          <w:lang w:val="en-GB"/>
        </w:rPr>
        <w:t>lipids</w:t>
      </w:r>
      <w:r w:rsidR="00AC7D45" w:rsidRPr="00463521">
        <w:rPr>
          <w:lang w:val="en-GB"/>
        </w:rPr>
        <w:t xml:space="preserve"> </w:t>
      </w:r>
      <w:r w:rsidRPr="00463521">
        <w:rPr>
          <w:lang w:val="en-GB"/>
        </w:rPr>
        <w:t>in archaeological vessels inevitably lead</w:t>
      </w:r>
      <w:r w:rsidR="00AC7D45">
        <w:rPr>
          <w:lang w:val="en-GB"/>
        </w:rPr>
        <w:t>s</w:t>
      </w:r>
      <w:r w:rsidRPr="00463521">
        <w:rPr>
          <w:lang w:val="en-GB"/>
        </w:rPr>
        <w:t xml:space="preserve"> to erroneous conclusions</w:t>
      </w:r>
      <w:commentRangeStart w:id="13"/>
      <w:commentRangeStart w:id="14"/>
      <w:r w:rsidR="00AC7D45">
        <w:rPr>
          <w:lang w:val="en-GB"/>
        </w:rPr>
        <w:t xml:space="preserve">. </w:t>
      </w:r>
      <w:commentRangeEnd w:id="13"/>
      <w:r w:rsidR="00B70901">
        <w:rPr>
          <w:rStyle w:val="CommentReference"/>
        </w:rPr>
        <w:commentReference w:id="13"/>
      </w:r>
      <w:commentRangeEnd w:id="14"/>
      <w:r w:rsidR="006A6877">
        <w:rPr>
          <w:rStyle w:val="CommentReference"/>
        </w:rPr>
        <w:commentReference w:id="14"/>
      </w:r>
      <w:r w:rsidR="00AC7D45">
        <w:rPr>
          <w:lang w:val="en-GB"/>
        </w:rPr>
        <w:t xml:space="preserve">These include </w:t>
      </w:r>
      <w:proofErr w:type="spellStart"/>
      <w:r w:rsidR="00AC7D45">
        <w:rPr>
          <w:lang w:val="en-GB"/>
        </w:rPr>
        <w:t>Skibo</w:t>
      </w:r>
      <w:proofErr w:type="spellEnd"/>
      <w:r w:rsidR="00AC7D45">
        <w:rPr>
          <w:lang w:val="en-GB"/>
        </w:rPr>
        <w:t xml:space="preserve"> </w:t>
      </w:r>
      <w:r w:rsidR="00AC7D45">
        <w:rPr>
          <w:i/>
          <w:lang w:val="en-GB"/>
        </w:rPr>
        <w:t>et al</w:t>
      </w:r>
      <w:r w:rsidR="00AC7D45">
        <w:rPr>
          <w:lang w:val="en-GB"/>
        </w:rPr>
        <w:t>.’s (2016: 1235) interpretation</w:t>
      </w:r>
      <w:r w:rsidRPr="00463521">
        <w:rPr>
          <w:lang w:val="en-GB"/>
        </w:rPr>
        <w:t xml:space="preserve"> that Woodland ceramics were </w:t>
      </w:r>
      <w:r w:rsidR="0015207F" w:rsidRPr="00463521">
        <w:rPr>
          <w:lang w:val="en-GB"/>
        </w:rPr>
        <w:t xml:space="preserve">seldom or </w:t>
      </w:r>
      <w:r w:rsidRPr="00463521">
        <w:rPr>
          <w:lang w:val="en-GB"/>
        </w:rPr>
        <w:t xml:space="preserve">never used to prepare aquatic resources, or </w:t>
      </w:r>
      <w:proofErr w:type="spellStart"/>
      <w:r w:rsidR="00B70901" w:rsidRPr="00BE332E">
        <w:rPr>
          <w:lang w:val="en-GB"/>
        </w:rPr>
        <w:t>Malainey</w:t>
      </w:r>
      <w:proofErr w:type="spellEnd"/>
      <w:r w:rsidR="00B70901" w:rsidRPr="00BE332E">
        <w:rPr>
          <w:lang w:val="en-GB"/>
        </w:rPr>
        <w:t xml:space="preserve"> </w:t>
      </w:r>
      <w:r w:rsidR="00B70901" w:rsidRPr="00BE332E">
        <w:rPr>
          <w:i/>
          <w:lang w:val="en-GB"/>
        </w:rPr>
        <w:t>et al.</w:t>
      </w:r>
      <w:r w:rsidR="00B70901">
        <w:rPr>
          <w:lang w:val="en-GB"/>
        </w:rPr>
        <w:t>’s</w:t>
      </w:r>
      <w:r w:rsidR="00B70901" w:rsidRPr="00BE332E">
        <w:rPr>
          <w:lang w:val="en-GB"/>
        </w:rPr>
        <w:t xml:space="preserve"> </w:t>
      </w:r>
      <w:r w:rsidR="00B70901">
        <w:rPr>
          <w:lang w:val="en-GB"/>
        </w:rPr>
        <w:t>(</w:t>
      </w:r>
      <w:r w:rsidR="00B70901" w:rsidRPr="00BE332E">
        <w:rPr>
          <w:lang w:val="en-GB"/>
        </w:rPr>
        <w:t>2001</w:t>
      </w:r>
      <w:r w:rsidR="00B70901">
        <w:rPr>
          <w:lang w:val="en-GB"/>
        </w:rPr>
        <w:t xml:space="preserve">) proposal </w:t>
      </w:r>
      <w:r w:rsidRPr="00463521">
        <w:rPr>
          <w:lang w:val="en-GB"/>
        </w:rPr>
        <w:t xml:space="preserve">that </w:t>
      </w:r>
      <w:commentRangeStart w:id="15"/>
      <w:commentRangeStart w:id="16"/>
      <w:r w:rsidRPr="00463521">
        <w:rPr>
          <w:lang w:val="en-GB"/>
        </w:rPr>
        <w:t xml:space="preserve">fish avoidance </w:t>
      </w:r>
      <w:commentRangeEnd w:id="15"/>
      <w:r w:rsidR="00AC7D45">
        <w:rPr>
          <w:rStyle w:val="CommentReference"/>
        </w:rPr>
        <w:commentReference w:id="15"/>
      </w:r>
      <w:commentRangeEnd w:id="16"/>
      <w:r w:rsidR="009D68AC">
        <w:rPr>
          <w:rStyle w:val="CommentReference"/>
        </w:rPr>
        <w:commentReference w:id="16"/>
      </w:r>
      <w:r w:rsidRPr="00463521">
        <w:rPr>
          <w:lang w:val="en-GB"/>
        </w:rPr>
        <w:t>characteri</w:t>
      </w:r>
      <w:r w:rsidR="00AC7D45">
        <w:rPr>
          <w:lang w:val="en-GB"/>
        </w:rPr>
        <w:t>s</w:t>
      </w:r>
      <w:r w:rsidRPr="00463521">
        <w:rPr>
          <w:lang w:val="en-GB"/>
        </w:rPr>
        <w:t>ed hunter-gatherer populations of the Northern Plains of North America.</w:t>
      </w:r>
    </w:p>
    <w:p w14:paraId="22B02ED6" w14:textId="59DCF308" w:rsidR="00C2191D" w:rsidRPr="00463521" w:rsidRDefault="006E383B" w:rsidP="00BE332E">
      <w:pPr>
        <w:spacing w:line="360" w:lineRule="auto"/>
        <w:ind w:firstLine="720"/>
        <w:rPr>
          <w:lang w:val="en-GB"/>
        </w:rPr>
      </w:pPr>
      <w:r>
        <w:rPr>
          <w:lang w:val="en-GB"/>
        </w:rPr>
        <w:t xml:space="preserve">The </w:t>
      </w:r>
      <w:r w:rsidR="006A6877">
        <w:rPr>
          <w:lang w:val="en-GB"/>
        </w:rPr>
        <w:t xml:space="preserve">higher </w:t>
      </w:r>
      <w:r>
        <w:rPr>
          <w:lang w:val="en-GB"/>
        </w:rPr>
        <w:t xml:space="preserve">susceptibility of </w:t>
      </w:r>
      <w:r w:rsidR="00715C63" w:rsidRPr="00463521">
        <w:rPr>
          <w:lang w:val="en-GB"/>
        </w:rPr>
        <w:t>C</w:t>
      </w:r>
      <w:r w:rsidR="00715C63" w:rsidRPr="00463521">
        <w:rPr>
          <w:vertAlign w:val="subscript"/>
          <w:lang w:val="en-GB"/>
        </w:rPr>
        <w:t xml:space="preserve">18:1 </w:t>
      </w:r>
      <w:r w:rsidR="00715C63" w:rsidRPr="00463521">
        <w:rPr>
          <w:lang w:val="en-GB"/>
        </w:rPr>
        <w:t>to</w:t>
      </w:r>
      <w:r>
        <w:rPr>
          <w:lang w:val="en-GB"/>
        </w:rPr>
        <w:t xml:space="preserve"> post-depositional</w:t>
      </w:r>
      <w:r w:rsidR="00715C63" w:rsidRPr="00463521">
        <w:rPr>
          <w:lang w:val="en-GB"/>
        </w:rPr>
        <w:t xml:space="preserve"> oxidation </w:t>
      </w:r>
      <w:r w:rsidR="00715C63" w:rsidRPr="00463521">
        <w:rPr>
          <w:color w:val="000000"/>
          <w:lang w:val="en-GB"/>
        </w:rPr>
        <w:t>(</w:t>
      </w:r>
      <w:proofErr w:type="spellStart"/>
      <w:r w:rsidR="00715C63" w:rsidRPr="00463521">
        <w:rPr>
          <w:color w:val="000000"/>
          <w:lang w:val="en-GB"/>
        </w:rPr>
        <w:t>Regert</w:t>
      </w:r>
      <w:proofErr w:type="spellEnd"/>
      <w:r w:rsidR="00715C63" w:rsidRPr="00463521">
        <w:rPr>
          <w:color w:val="000000"/>
          <w:lang w:val="en-GB"/>
        </w:rPr>
        <w:t xml:space="preserve"> </w:t>
      </w:r>
      <w:r w:rsidR="00715C63" w:rsidRPr="00463521">
        <w:rPr>
          <w:i/>
          <w:color w:val="000000"/>
          <w:lang w:val="en-GB"/>
        </w:rPr>
        <w:t xml:space="preserve">et al. </w:t>
      </w:r>
      <w:r w:rsidR="00715C63" w:rsidRPr="00463521">
        <w:rPr>
          <w:color w:val="000000"/>
          <w:lang w:val="en-GB"/>
        </w:rPr>
        <w:t>1998)</w:t>
      </w:r>
      <w:r w:rsidR="00715C63" w:rsidRPr="00463521">
        <w:rPr>
          <w:lang w:val="en-GB"/>
        </w:rPr>
        <w:t xml:space="preserve"> </w:t>
      </w:r>
      <w:r>
        <w:rPr>
          <w:lang w:val="en-GB"/>
        </w:rPr>
        <w:t xml:space="preserve">probably </w:t>
      </w:r>
      <w:r w:rsidR="00715C63" w:rsidRPr="00463521">
        <w:rPr>
          <w:lang w:val="en-GB"/>
        </w:rPr>
        <w:t>explains its diminished abundance in residues derived from aquatic sources. Even exceptionally well-preserved archaeological residues contain much lower proportions of mono- and polyunsaturated fatty acids than expected</w:t>
      </w:r>
      <w:r w:rsidR="006A6877">
        <w:rPr>
          <w:lang w:val="en-GB"/>
        </w:rPr>
        <w:t xml:space="preserve"> based on extrapolations</w:t>
      </w:r>
      <w:r w:rsidR="00715C63" w:rsidRPr="00463521">
        <w:rPr>
          <w:lang w:val="en-GB"/>
        </w:rPr>
        <w:t xml:space="preserve"> from modern reference samples artificially ‘aged’ by heating (</w:t>
      </w:r>
      <w:proofErr w:type="spellStart"/>
      <w:r w:rsidR="00715C63" w:rsidRPr="00463521">
        <w:rPr>
          <w:lang w:val="en-GB"/>
        </w:rPr>
        <w:t>Malainey</w:t>
      </w:r>
      <w:proofErr w:type="spellEnd"/>
      <w:r w:rsidR="00715C63" w:rsidRPr="00463521">
        <w:rPr>
          <w:lang w:val="en-GB"/>
        </w:rPr>
        <w:t xml:space="preserve"> 2007). </w:t>
      </w:r>
      <w:r w:rsidR="00165E11">
        <w:rPr>
          <w:lang w:val="en-GB"/>
        </w:rPr>
        <w:t>A</w:t>
      </w:r>
      <w:r w:rsidR="00165E11" w:rsidRPr="00463521">
        <w:rPr>
          <w:lang w:val="en-GB"/>
        </w:rPr>
        <w:t xml:space="preserve"> </w:t>
      </w:r>
      <w:r w:rsidR="00715C63" w:rsidRPr="00463521">
        <w:rPr>
          <w:lang w:val="en-GB"/>
        </w:rPr>
        <w:t>350</w:t>
      </w:r>
      <w:r w:rsidR="00165E11">
        <w:rPr>
          <w:lang w:val="en-GB"/>
        </w:rPr>
        <w:t>-</w:t>
      </w:r>
      <w:r w:rsidR="00715C63" w:rsidRPr="00463521">
        <w:rPr>
          <w:lang w:val="en-GB"/>
        </w:rPr>
        <w:t>year</w:t>
      </w:r>
      <w:r w:rsidR="00165E11">
        <w:rPr>
          <w:lang w:val="en-GB"/>
        </w:rPr>
        <w:t>-</w:t>
      </w:r>
      <w:r w:rsidR="00715C63" w:rsidRPr="00463521">
        <w:rPr>
          <w:lang w:val="en-GB"/>
        </w:rPr>
        <w:t>old Late Thule rim sherd with excellent lipid preservation (7</w:t>
      </w:r>
      <w:r w:rsidR="00BE332E">
        <w:rPr>
          <w:lang w:val="en-GB"/>
        </w:rPr>
        <w:t>362</w:t>
      </w:r>
      <w:r w:rsidR="00715C63" w:rsidRPr="00463521">
        <w:rPr>
          <w:lang w:val="en-GB"/>
        </w:rPr>
        <w:t>μg g</w:t>
      </w:r>
      <w:r w:rsidR="00715C63" w:rsidRPr="00463521">
        <w:rPr>
          <w:vertAlign w:val="superscript"/>
          <w:lang w:val="en-GB"/>
        </w:rPr>
        <w:t>-1</w:t>
      </w:r>
      <w:r w:rsidR="00715C63" w:rsidRPr="00463521">
        <w:rPr>
          <w:lang w:val="en-GB"/>
        </w:rPr>
        <w:t xml:space="preserve">) and clear </w:t>
      </w:r>
      <w:r w:rsidR="00165E11" w:rsidRPr="00463521">
        <w:rPr>
          <w:lang w:val="en-GB"/>
        </w:rPr>
        <w:t>associat</w:t>
      </w:r>
      <w:r w:rsidR="00165E11">
        <w:rPr>
          <w:lang w:val="en-GB"/>
        </w:rPr>
        <w:t>ion</w:t>
      </w:r>
      <w:r w:rsidR="00165E11" w:rsidRPr="00463521">
        <w:rPr>
          <w:lang w:val="en-GB"/>
        </w:rPr>
        <w:t xml:space="preserve"> </w:t>
      </w:r>
      <w:r w:rsidR="00715C63" w:rsidRPr="00463521">
        <w:rPr>
          <w:lang w:val="en-GB"/>
        </w:rPr>
        <w:t>with a maritime economy on the Alaska Peninsula (</w:t>
      </w:r>
      <w:proofErr w:type="spellStart"/>
      <w:r w:rsidR="00715C63" w:rsidRPr="00BE332E">
        <w:rPr>
          <w:lang w:val="en-GB"/>
        </w:rPr>
        <w:t>Dumond</w:t>
      </w:r>
      <w:proofErr w:type="spellEnd"/>
      <w:r w:rsidR="00715C63" w:rsidRPr="00BE332E">
        <w:rPr>
          <w:lang w:val="en-GB"/>
        </w:rPr>
        <w:t xml:space="preserve"> 2003</w:t>
      </w:r>
      <w:r w:rsidR="00715C63" w:rsidRPr="00463521">
        <w:rPr>
          <w:lang w:val="en-GB"/>
        </w:rPr>
        <w:t>)</w:t>
      </w:r>
      <w:r w:rsidR="00165E11">
        <w:rPr>
          <w:lang w:val="en-GB"/>
        </w:rPr>
        <w:t>, for example,</w:t>
      </w:r>
      <w:r w:rsidR="00715C63" w:rsidRPr="00463521">
        <w:rPr>
          <w:lang w:val="en-GB"/>
        </w:rPr>
        <w:t xml:space="preserve"> produced a relative </w:t>
      </w:r>
      <w:r w:rsidR="00165E11" w:rsidRPr="00463521">
        <w:rPr>
          <w:lang w:val="en-GB"/>
        </w:rPr>
        <w:t>C</w:t>
      </w:r>
      <w:r w:rsidR="00165E11" w:rsidRPr="00463521">
        <w:rPr>
          <w:vertAlign w:val="subscript"/>
          <w:lang w:val="en-GB"/>
        </w:rPr>
        <w:t>18:1</w:t>
      </w:r>
      <w:r w:rsidR="00165E11" w:rsidRPr="00463521">
        <w:rPr>
          <w:lang w:val="en-GB"/>
        </w:rPr>
        <w:t xml:space="preserve"> </w:t>
      </w:r>
      <w:r w:rsidR="00715C63" w:rsidRPr="00463521">
        <w:rPr>
          <w:lang w:val="en-GB"/>
        </w:rPr>
        <w:t>concentration of 15.41</w:t>
      </w:r>
      <w:r w:rsidR="00BE332E" w:rsidRPr="00BE332E">
        <w:rPr>
          <w:lang w:val="en-GB"/>
        </w:rPr>
        <w:t xml:space="preserve"> </w:t>
      </w:r>
      <w:r w:rsidR="00BE332E">
        <w:rPr>
          <w:lang w:val="en-GB"/>
        </w:rPr>
        <w:t>per cent</w:t>
      </w:r>
      <w:r w:rsidR="00165E11">
        <w:rPr>
          <w:lang w:val="en-GB"/>
        </w:rPr>
        <w:t>—barely</w:t>
      </w:r>
      <w:r w:rsidR="00715C63" w:rsidRPr="00463521">
        <w:rPr>
          <w:lang w:val="en-GB"/>
        </w:rPr>
        <w:t xml:space="preserve"> above the minimum</w:t>
      </w:r>
      <w:r w:rsidR="006A6877">
        <w:rPr>
          <w:lang w:val="en-GB"/>
        </w:rPr>
        <w:t xml:space="preserve"> threshold</w:t>
      </w:r>
      <w:r w:rsidR="00715C63" w:rsidRPr="00463521">
        <w:rPr>
          <w:lang w:val="en-GB"/>
        </w:rPr>
        <w:t xml:space="preserve"> </w:t>
      </w:r>
      <w:r w:rsidR="006A6877">
        <w:rPr>
          <w:lang w:val="en-GB"/>
        </w:rPr>
        <w:t>f</w:t>
      </w:r>
      <w:r w:rsidR="00715C63" w:rsidRPr="00463521">
        <w:rPr>
          <w:lang w:val="en-GB"/>
        </w:rPr>
        <w:t xml:space="preserve">or fish outlined by </w:t>
      </w:r>
      <w:proofErr w:type="spellStart"/>
      <w:r w:rsidR="00715C63" w:rsidRPr="00463521">
        <w:rPr>
          <w:lang w:val="en-GB"/>
        </w:rPr>
        <w:t>Malainey</w:t>
      </w:r>
      <w:proofErr w:type="spellEnd"/>
      <w:r w:rsidR="00715C63" w:rsidRPr="00463521">
        <w:rPr>
          <w:lang w:val="en-GB"/>
        </w:rPr>
        <w:t xml:space="preserve"> </w:t>
      </w:r>
      <w:r w:rsidR="00715C63" w:rsidRPr="00463521">
        <w:rPr>
          <w:i/>
          <w:lang w:val="en-GB"/>
        </w:rPr>
        <w:t>et al.</w:t>
      </w:r>
      <w:r w:rsidR="00715C63" w:rsidRPr="00463521">
        <w:rPr>
          <w:lang w:val="en-GB"/>
        </w:rPr>
        <w:t xml:space="preserve"> (1999). Yet, the </w:t>
      </w:r>
      <w:r w:rsidR="00390CAD">
        <w:rPr>
          <w:lang w:val="en-GB"/>
        </w:rPr>
        <w:t xml:space="preserve">enrichment of </w:t>
      </w:r>
      <w:r w:rsidR="00390CAD" w:rsidRPr="00463521">
        <w:rPr>
          <w:vertAlign w:val="superscript"/>
          <w:lang w:val="en-GB"/>
        </w:rPr>
        <w:t>13</w:t>
      </w:r>
      <w:r w:rsidR="00390CAD" w:rsidRPr="00463521">
        <w:rPr>
          <w:lang w:val="en-GB"/>
        </w:rPr>
        <w:t xml:space="preserve">C </w:t>
      </w:r>
      <w:r w:rsidR="00390CAD">
        <w:rPr>
          <w:lang w:val="en-GB"/>
        </w:rPr>
        <w:t xml:space="preserve">in the </w:t>
      </w:r>
      <w:r w:rsidR="00715C63" w:rsidRPr="00463521">
        <w:rPr>
          <w:lang w:val="en-GB"/>
        </w:rPr>
        <w:t>fatty acids</w:t>
      </w:r>
      <w:r w:rsidR="00390CAD">
        <w:rPr>
          <w:lang w:val="en-GB"/>
        </w:rPr>
        <w:t>, along with</w:t>
      </w:r>
      <w:r w:rsidR="00715C63" w:rsidRPr="00463521">
        <w:rPr>
          <w:lang w:val="en-GB"/>
        </w:rPr>
        <w:t xml:space="preserve"> the presence of three isoprenoid acids and</w:t>
      </w:r>
      <w:r w:rsidR="00390CAD">
        <w:rPr>
          <w:lang w:val="en-GB"/>
        </w:rPr>
        <w:t xml:space="preserve"> the</w:t>
      </w:r>
      <w:r w:rsidR="00715C63" w:rsidRPr="00463521">
        <w:rPr>
          <w:lang w:val="en-GB"/>
        </w:rPr>
        <w:t xml:space="preserve"> full range of APAAs C</w:t>
      </w:r>
      <w:r w:rsidR="00715C63" w:rsidRPr="00463521">
        <w:rPr>
          <w:vertAlign w:val="subscript"/>
          <w:lang w:val="en-GB"/>
        </w:rPr>
        <w:t>18-22</w:t>
      </w:r>
      <w:r w:rsidR="00390CAD" w:rsidRPr="00390CAD">
        <w:rPr>
          <w:lang w:val="en-GB"/>
        </w:rPr>
        <w:t>,</w:t>
      </w:r>
      <w:r w:rsidR="00715C63" w:rsidRPr="00463521">
        <w:rPr>
          <w:lang w:val="en-GB"/>
        </w:rPr>
        <w:t xml:space="preserve"> leave no doubt that the vessel was used</w:t>
      </w:r>
      <w:r w:rsidR="00390CAD" w:rsidRPr="00390CAD">
        <w:rPr>
          <w:lang w:val="en-GB"/>
        </w:rPr>
        <w:t xml:space="preserve"> </w:t>
      </w:r>
      <w:r w:rsidR="00390CAD" w:rsidRPr="00463521">
        <w:rPr>
          <w:lang w:val="en-GB"/>
        </w:rPr>
        <w:t>exclusively</w:t>
      </w:r>
      <w:r w:rsidR="00715C63" w:rsidRPr="00463521">
        <w:rPr>
          <w:lang w:val="en-GB"/>
        </w:rPr>
        <w:t xml:space="preserve"> </w:t>
      </w:r>
      <w:r w:rsidR="0015207F">
        <w:rPr>
          <w:lang w:val="en-GB"/>
        </w:rPr>
        <w:t>for the</w:t>
      </w:r>
      <w:r w:rsidR="00715C63" w:rsidRPr="00463521">
        <w:rPr>
          <w:lang w:val="en-GB"/>
        </w:rPr>
        <w:t xml:space="preserve"> process</w:t>
      </w:r>
      <w:r w:rsidR="00390CAD">
        <w:rPr>
          <w:lang w:val="en-GB"/>
        </w:rPr>
        <w:t>ing</w:t>
      </w:r>
      <w:r w:rsidR="00715C63" w:rsidRPr="00463521">
        <w:rPr>
          <w:lang w:val="en-GB"/>
        </w:rPr>
        <w:t xml:space="preserve"> </w:t>
      </w:r>
      <w:r w:rsidR="0015207F">
        <w:rPr>
          <w:lang w:val="en-GB"/>
        </w:rPr>
        <w:t xml:space="preserve">of </w:t>
      </w:r>
      <w:r w:rsidR="00715C63" w:rsidRPr="00463521">
        <w:rPr>
          <w:lang w:val="en-GB"/>
        </w:rPr>
        <w:t>marine resources (</w:t>
      </w:r>
      <w:r w:rsidR="00F83E51">
        <w:rPr>
          <w:lang w:val="en-GB"/>
        </w:rPr>
        <w:t xml:space="preserve">see the </w:t>
      </w:r>
      <w:r w:rsidR="00BE332E">
        <w:rPr>
          <w:lang w:val="en-GB"/>
        </w:rPr>
        <w:t>OSM</w:t>
      </w:r>
      <w:r w:rsidR="00715C63" w:rsidRPr="00463521">
        <w:rPr>
          <w:lang w:val="en-GB"/>
        </w:rPr>
        <w:t>: NAK-8).</w:t>
      </w:r>
    </w:p>
    <w:p w14:paraId="5C017DC4" w14:textId="4C4CA92B" w:rsidR="00C2191D" w:rsidRDefault="00715C63" w:rsidP="00BE332E">
      <w:pPr>
        <w:spacing w:line="360" w:lineRule="auto"/>
        <w:ind w:firstLine="720"/>
        <w:rPr>
          <w:lang w:val="en-GB"/>
        </w:rPr>
      </w:pPr>
      <w:r w:rsidRPr="00463521">
        <w:rPr>
          <w:lang w:val="en-GB"/>
        </w:rPr>
        <w:t xml:space="preserve">Differences in the overall distributions of </w:t>
      </w:r>
      <w:r w:rsidR="0015207F">
        <w:rPr>
          <w:lang w:val="en-GB"/>
        </w:rPr>
        <w:t>12</w:t>
      </w:r>
      <w:r w:rsidR="0015207F" w:rsidRPr="00463521">
        <w:rPr>
          <w:lang w:val="en-GB"/>
        </w:rPr>
        <w:t xml:space="preserve"> </w:t>
      </w:r>
      <w:r w:rsidRPr="00463521">
        <w:rPr>
          <w:lang w:val="en-GB"/>
        </w:rPr>
        <w:t>fatty acids (</w:t>
      </w:r>
      <w:r w:rsidRPr="00463521">
        <w:rPr>
          <w:color w:val="000000"/>
          <w:lang w:val="en-GB"/>
        </w:rPr>
        <w:t>C</w:t>
      </w:r>
      <w:r w:rsidRPr="00463521">
        <w:rPr>
          <w:color w:val="000000"/>
          <w:vertAlign w:val="subscript"/>
          <w:lang w:val="en-GB"/>
        </w:rPr>
        <w:t>12:0</w:t>
      </w:r>
      <w:r w:rsidRPr="00463521">
        <w:rPr>
          <w:color w:val="000000"/>
          <w:lang w:val="en-GB"/>
        </w:rPr>
        <w:t>,</w:t>
      </w:r>
      <w:r w:rsidRPr="00463521">
        <w:rPr>
          <w:color w:val="000000"/>
          <w:vertAlign w:val="subscript"/>
          <w:lang w:val="en-GB"/>
        </w:rPr>
        <w:t xml:space="preserve"> </w:t>
      </w:r>
      <w:r w:rsidRPr="00463521">
        <w:rPr>
          <w:color w:val="000000"/>
          <w:lang w:val="en-GB"/>
        </w:rPr>
        <w:t>C</w:t>
      </w:r>
      <w:r w:rsidRPr="00463521">
        <w:rPr>
          <w:color w:val="000000"/>
          <w:vertAlign w:val="subscript"/>
          <w:lang w:val="en-GB"/>
        </w:rPr>
        <w:t>14:0</w:t>
      </w:r>
      <w:r w:rsidRPr="00463521">
        <w:rPr>
          <w:color w:val="000000"/>
          <w:lang w:val="en-GB"/>
        </w:rPr>
        <w:t>,</w:t>
      </w:r>
      <w:r w:rsidRPr="00463521">
        <w:rPr>
          <w:color w:val="000000"/>
          <w:vertAlign w:val="subscript"/>
          <w:lang w:val="en-GB"/>
        </w:rPr>
        <w:t xml:space="preserve"> </w:t>
      </w:r>
      <w:r w:rsidRPr="00463521">
        <w:rPr>
          <w:color w:val="000000"/>
          <w:lang w:val="en-GB"/>
        </w:rPr>
        <w:t>C</w:t>
      </w:r>
      <w:r w:rsidRPr="00463521">
        <w:rPr>
          <w:color w:val="000000"/>
          <w:vertAlign w:val="subscript"/>
          <w:lang w:val="en-GB"/>
        </w:rPr>
        <w:t>15:0</w:t>
      </w:r>
      <w:r w:rsidRPr="00463521">
        <w:rPr>
          <w:color w:val="000000"/>
          <w:lang w:val="en-GB"/>
        </w:rPr>
        <w:t>,</w:t>
      </w:r>
      <w:r w:rsidRPr="00463521">
        <w:rPr>
          <w:color w:val="000000"/>
          <w:vertAlign w:val="subscript"/>
          <w:lang w:val="en-GB"/>
        </w:rPr>
        <w:t xml:space="preserve"> </w:t>
      </w:r>
      <w:r w:rsidRPr="00463521">
        <w:rPr>
          <w:color w:val="000000"/>
          <w:lang w:val="en-GB"/>
        </w:rPr>
        <w:t>C</w:t>
      </w:r>
      <w:r w:rsidRPr="00463521">
        <w:rPr>
          <w:color w:val="000000"/>
          <w:vertAlign w:val="subscript"/>
          <w:lang w:val="en-GB"/>
        </w:rPr>
        <w:t>16:1</w:t>
      </w:r>
      <w:r w:rsidRPr="00463521">
        <w:rPr>
          <w:color w:val="000000"/>
          <w:lang w:val="en-GB"/>
        </w:rPr>
        <w:t>,</w:t>
      </w:r>
      <w:r w:rsidRPr="00463521">
        <w:rPr>
          <w:color w:val="000000"/>
          <w:vertAlign w:val="subscript"/>
          <w:lang w:val="en-GB"/>
        </w:rPr>
        <w:t xml:space="preserve"> </w:t>
      </w:r>
      <w:r w:rsidRPr="00463521">
        <w:rPr>
          <w:color w:val="000000"/>
          <w:lang w:val="en-GB"/>
        </w:rPr>
        <w:t>C</w:t>
      </w:r>
      <w:r w:rsidRPr="00463521">
        <w:rPr>
          <w:color w:val="000000"/>
          <w:vertAlign w:val="subscript"/>
          <w:lang w:val="en-GB"/>
        </w:rPr>
        <w:t>16:0</w:t>
      </w:r>
      <w:r w:rsidRPr="00463521">
        <w:rPr>
          <w:color w:val="000000"/>
          <w:lang w:val="en-GB"/>
        </w:rPr>
        <w:t>,</w:t>
      </w:r>
      <w:r w:rsidRPr="00463521">
        <w:rPr>
          <w:color w:val="000000"/>
          <w:vertAlign w:val="subscript"/>
          <w:lang w:val="en-GB"/>
        </w:rPr>
        <w:t xml:space="preserve"> </w:t>
      </w:r>
      <w:r w:rsidRPr="00463521">
        <w:rPr>
          <w:color w:val="000000"/>
          <w:lang w:val="en-GB"/>
        </w:rPr>
        <w:t>C</w:t>
      </w:r>
      <w:r w:rsidRPr="00463521">
        <w:rPr>
          <w:color w:val="000000"/>
          <w:vertAlign w:val="subscript"/>
          <w:lang w:val="en-GB"/>
        </w:rPr>
        <w:t>17:0</w:t>
      </w:r>
      <w:r w:rsidRPr="00463521">
        <w:rPr>
          <w:color w:val="000000"/>
          <w:lang w:val="en-GB"/>
        </w:rPr>
        <w:t>,</w:t>
      </w:r>
      <w:r w:rsidRPr="00463521">
        <w:rPr>
          <w:color w:val="000000"/>
          <w:vertAlign w:val="subscript"/>
          <w:lang w:val="en-GB"/>
        </w:rPr>
        <w:t xml:space="preserve"> </w:t>
      </w:r>
      <w:r w:rsidRPr="00463521">
        <w:rPr>
          <w:color w:val="000000"/>
          <w:lang w:val="en-GB"/>
        </w:rPr>
        <w:t>C</w:t>
      </w:r>
      <w:r w:rsidRPr="00463521">
        <w:rPr>
          <w:color w:val="000000"/>
          <w:vertAlign w:val="subscript"/>
          <w:lang w:val="en-GB"/>
        </w:rPr>
        <w:t>18:1</w:t>
      </w:r>
      <w:r w:rsidRPr="00463521">
        <w:rPr>
          <w:color w:val="000000"/>
          <w:lang w:val="en-GB"/>
        </w:rPr>
        <w:t>,</w:t>
      </w:r>
      <w:r w:rsidRPr="00463521">
        <w:rPr>
          <w:color w:val="000000"/>
          <w:vertAlign w:val="subscript"/>
          <w:lang w:val="en-GB"/>
        </w:rPr>
        <w:t xml:space="preserve"> </w:t>
      </w:r>
      <w:r w:rsidRPr="00463521">
        <w:rPr>
          <w:color w:val="000000"/>
          <w:lang w:val="en-GB"/>
        </w:rPr>
        <w:t>C</w:t>
      </w:r>
      <w:r w:rsidRPr="00463521">
        <w:rPr>
          <w:color w:val="000000"/>
          <w:vertAlign w:val="subscript"/>
          <w:lang w:val="en-GB"/>
        </w:rPr>
        <w:t>18:0</w:t>
      </w:r>
      <w:r w:rsidRPr="00463521">
        <w:rPr>
          <w:color w:val="000000"/>
          <w:lang w:val="en-GB"/>
        </w:rPr>
        <w:t>,</w:t>
      </w:r>
      <w:r w:rsidRPr="00463521">
        <w:rPr>
          <w:color w:val="000000"/>
          <w:vertAlign w:val="subscript"/>
          <w:lang w:val="en-GB"/>
        </w:rPr>
        <w:t xml:space="preserve"> </w:t>
      </w:r>
      <w:r w:rsidRPr="00463521">
        <w:rPr>
          <w:color w:val="000000"/>
          <w:lang w:val="en-GB"/>
        </w:rPr>
        <w:t>C</w:t>
      </w:r>
      <w:r w:rsidRPr="00463521">
        <w:rPr>
          <w:color w:val="000000"/>
          <w:vertAlign w:val="subscript"/>
          <w:lang w:val="en-GB"/>
        </w:rPr>
        <w:t>20:1</w:t>
      </w:r>
      <w:r w:rsidRPr="00463521">
        <w:rPr>
          <w:color w:val="000000"/>
          <w:lang w:val="en-GB"/>
        </w:rPr>
        <w:t>,</w:t>
      </w:r>
      <w:r w:rsidRPr="00463521">
        <w:rPr>
          <w:color w:val="000000"/>
          <w:vertAlign w:val="subscript"/>
          <w:lang w:val="en-GB"/>
        </w:rPr>
        <w:t xml:space="preserve"> </w:t>
      </w:r>
      <w:r w:rsidRPr="00463521">
        <w:rPr>
          <w:color w:val="000000"/>
          <w:lang w:val="en-GB"/>
        </w:rPr>
        <w:t>C</w:t>
      </w:r>
      <w:r w:rsidRPr="00463521">
        <w:rPr>
          <w:color w:val="000000"/>
          <w:vertAlign w:val="subscript"/>
          <w:lang w:val="en-GB"/>
        </w:rPr>
        <w:t>20:0</w:t>
      </w:r>
      <w:r w:rsidRPr="00463521">
        <w:rPr>
          <w:color w:val="000000"/>
          <w:lang w:val="en-GB"/>
        </w:rPr>
        <w:t>,</w:t>
      </w:r>
      <w:r w:rsidRPr="00463521">
        <w:rPr>
          <w:color w:val="000000"/>
          <w:vertAlign w:val="subscript"/>
          <w:lang w:val="en-GB"/>
        </w:rPr>
        <w:t xml:space="preserve"> </w:t>
      </w:r>
      <w:r w:rsidRPr="00463521">
        <w:rPr>
          <w:color w:val="000000"/>
          <w:lang w:val="en-GB"/>
        </w:rPr>
        <w:t>C</w:t>
      </w:r>
      <w:r w:rsidRPr="00463521">
        <w:rPr>
          <w:color w:val="000000"/>
          <w:vertAlign w:val="subscript"/>
          <w:lang w:val="en-GB"/>
        </w:rPr>
        <w:t>24:1</w:t>
      </w:r>
      <w:r w:rsidRPr="00463521">
        <w:rPr>
          <w:color w:val="000000"/>
          <w:lang w:val="en-GB"/>
        </w:rPr>
        <w:t>, C</w:t>
      </w:r>
      <w:r w:rsidRPr="00463521">
        <w:rPr>
          <w:color w:val="000000"/>
          <w:vertAlign w:val="subscript"/>
          <w:lang w:val="en-GB"/>
        </w:rPr>
        <w:t>24:0</w:t>
      </w:r>
      <w:r w:rsidRPr="00463521">
        <w:rPr>
          <w:color w:val="000000"/>
          <w:lang w:val="en-GB"/>
        </w:rPr>
        <w:t xml:space="preserve">) </w:t>
      </w:r>
      <w:r w:rsidRPr="00463521">
        <w:rPr>
          <w:lang w:val="en-GB"/>
        </w:rPr>
        <w:t xml:space="preserve">in samples with and without aquatic biomarkers from north-eastern North America (n=110) and Alaska (NAK-8, above) were investigated </w:t>
      </w:r>
      <w:r w:rsidR="005B157B">
        <w:rPr>
          <w:lang w:val="en-GB"/>
        </w:rPr>
        <w:t xml:space="preserve">using both </w:t>
      </w:r>
      <w:r w:rsidRPr="00463521">
        <w:rPr>
          <w:lang w:val="en-GB"/>
        </w:rPr>
        <w:t xml:space="preserve">principal components analysis </w:t>
      </w:r>
      <w:r w:rsidR="00163CF0">
        <w:rPr>
          <w:lang w:val="en-GB"/>
        </w:rPr>
        <w:t xml:space="preserve">(PCA) </w:t>
      </w:r>
      <w:r w:rsidRPr="00463521">
        <w:rPr>
          <w:lang w:val="en-GB"/>
        </w:rPr>
        <w:t xml:space="preserve">based on a variance–covariance matrix and the PAST3 software package (version 3.16 for Windows) (Figure </w:t>
      </w:r>
      <w:r w:rsidR="00BE332E">
        <w:rPr>
          <w:lang w:val="en-GB"/>
        </w:rPr>
        <w:t xml:space="preserve">1; </w:t>
      </w:r>
      <w:r w:rsidR="005B157B">
        <w:rPr>
          <w:lang w:val="en-GB"/>
        </w:rPr>
        <w:t xml:space="preserve">also </w:t>
      </w:r>
      <w:r w:rsidR="00BE332E">
        <w:rPr>
          <w:lang w:val="en-GB"/>
        </w:rPr>
        <w:t>see the OSM</w:t>
      </w:r>
      <w:r w:rsidRPr="00463521">
        <w:rPr>
          <w:lang w:val="en-GB"/>
        </w:rPr>
        <w:t xml:space="preserve">). Analysis </w:t>
      </w:r>
      <w:r w:rsidR="006A6877">
        <w:rPr>
          <w:lang w:val="en-GB"/>
        </w:rPr>
        <w:t>of</w:t>
      </w:r>
      <w:r w:rsidRPr="00463521">
        <w:rPr>
          <w:lang w:val="en-GB"/>
        </w:rPr>
        <w:t xml:space="preserve"> the 111 × 12 data matrix shows that the first two principal components </w:t>
      </w:r>
      <w:r w:rsidR="00163CF0">
        <w:rPr>
          <w:lang w:val="en-GB"/>
        </w:rPr>
        <w:t xml:space="preserve">(PC) </w:t>
      </w:r>
      <w:r w:rsidRPr="00463521">
        <w:rPr>
          <w:lang w:val="en-GB"/>
        </w:rPr>
        <w:t>account for 73.9</w:t>
      </w:r>
      <w:r w:rsidR="00BE332E" w:rsidRPr="00BE332E">
        <w:rPr>
          <w:lang w:val="en-GB"/>
        </w:rPr>
        <w:t xml:space="preserve"> </w:t>
      </w:r>
      <w:r w:rsidR="00BE332E">
        <w:rPr>
          <w:lang w:val="en-GB"/>
        </w:rPr>
        <w:t>per cent</w:t>
      </w:r>
      <w:r w:rsidRPr="00463521">
        <w:rPr>
          <w:lang w:val="en-GB"/>
        </w:rPr>
        <w:t xml:space="preserve"> and 18.4</w:t>
      </w:r>
      <w:r w:rsidR="00BE332E" w:rsidRPr="00BE332E">
        <w:rPr>
          <w:lang w:val="en-GB"/>
        </w:rPr>
        <w:t xml:space="preserve"> </w:t>
      </w:r>
      <w:r w:rsidR="00BE332E">
        <w:rPr>
          <w:lang w:val="en-GB"/>
        </w:rPr>
        <w:t>per cent</w:t>
      </w:r>
      <w:r w:rsidRPr="00463521">
        <w:rPr>
          <w:lang w:val="en-GB"/>
        </w:rPr>
        <w:t xml:space="preserve"> of the total variance in the dataset</w:t>
      </w:r>
      <w:r w:rsidR="005B157B">
        <w:rPr>
          <w:lang w:val="en-GB"/>
        </w:rPr>
        <w:t>, respectively</w:t>
      </w:r>
      <w:r w:rsidRPr="00463521">
        <w:rPr>
          <w:lang w:val="en-GB"/>
        </w:rPr>
        <w:t>. Despite slight differences between groups in relative concentrations of C</w:t>
      </w:r>
      <w:r w:rsidRPr="00463521">
        <w:rPr>
          <w:vertAlign w:val="subscript"/>
          <w:lang w:val="en-GB"/>
        </w:rPr>
        <w:t>18:0</w:t>
      </w:r>
      <w:r w:rsidRPr="00463521">
        <w:rPr>
          <w:lang w:val="en-GB"/>
        </w:rPr>
        <w:t>, C</w:t>
      </w:r>
      <w:r w:rsidRPr="00463521">
        <w:rPr>
          <w:vertAlign w:val="subscript"/>
          <w:lang w:val="en-GB"/>
        </w:rPr>
        <w:t xml:space="preserve">12:0 </w:t>
      </w:r>
      <w:r w:rsidRPr="00463521">
        <w:rPr>
          <w:lang w:val="en-GB"/>
        </w:rPr>
        <w:t>and C</w:t>
      </w:r>
      <w:r w:rsidRPr="00463521">
        <w:rPr>
          <w:vertAlign w:val="subscript"/>
          <w:lang w:val="en-GB"/>
        </w:rPr>
        <w:t xml:space="preserve">14:0 </w:t>
      </w:r>
      <w:r w:rsidRPr="00463521">
        <w:rPr>
          <w:lang w:val="en-GB"/>
        </w:rPr>
        <w:t xml:space="preserve">fatty acids, there is little </w:t>
      </w:r>
      <w:r w:rsidR="00DD651F">
        <w:rPr>
          <w:lang w:val="en-GB"/>
        </w:rPr>
        <w:t xml:space="preserve">overall </w:t>
      </w:r>
      <w:r w:rsidRPr="00463521">
        <w:rPr>
          <w:lang w:val="en-GB"/>
        </w:rPr>
        <w:t xml:space="preserve">correspondence between fatty distributions and </w:t>
      </w:r>
      <w:r w:rsidR="0015207F">
        <w:rPr>
          <w:lang w:val="en-GB"/>
        </w:rPr>
        <w:t xml:space="preserve">the </w:t>
      </w:r>
      <w:r w:rsidRPr="00463521">
        <w:rPr>
          <w:lang w:val="en-GB"/>
        </w:rPr>
        <w:t>presence</w:t>
      </w:r>
      <w:r w:rsidR="00DD651F">
        <w:rPr>
          <w:lang w:val="en-GB"/>
        </w:rPr>
        <w:t xml:space="preserve"> or </w:t>
      </w:r>
      <w:r w:rsidRPr="00463521">
        <w:rPr>
          <w:lang w:val="en-GB"/>
        </w:rPr>
        <w:t>absence of aquatic biomarkers</w:t>
      </w:r>
      <w:r w:rsidR="00DD651F">
        <w:rPr>
          <w:lang w:val="en-GB"/>
        </w:rPr>
        <w:t>. Thus</w:t>
      </w:r>
      <w:r w:rsidRPr="00463521">
        <w:rPr>
          <w:lang w:val="en-GB"/>
        </w:rPr>
        <w:t>, the claim that fatty acid distributions are inappropriate for categori</w:t>
      </w:r>
      <w:r w:rsidR="00DD651F">
        <w:rPr>
          <w:lang w:val="en-GB"/>
        </w:rPr>
        <w:t>s</w:t>
      </w:r>
      <w:r w:rsidRPr="00463521">
        <w:rPr>
          <w:lang w:val="en-GB"/>
        </w:rPr>
        <w:t>ing archaeological residues</w:t>
      </w:r>
      <w:r w:rsidR="00DD651F">
        <w:rPr>
          <w:lang w:val="en-GB"/>
        </w:rPr>
        <w:t xml:space="preserve"> is further supported</w:t>
      </w:r>
      <w:r w:rsidRPr="00463521">
        <w:rPr>
          <w:lang w:val="en-GB"/>
        </w:rPr>
        <w:t>.</w:t>
      </w:r>
    </w:p>
    <w:p w14:paraId="4042AC1F" w14:textId="77777777" w:rsidR="00BE332E" w:rsidRPr="00463521" w:rsidRDefault="00BE332E" w:rsidP="00BE332E">
      <w:pPr>
        <w:spacing w:line="360" w:lineRule="auto"/>
        <w:rPr>
          <w:lang w:val="en-GB"/>
        </w:rPr>
      </w:pPr>
      <w:r>
        <w:rPr>
          <w:lang w:val="en-GB"/>
        </w:rPr>
        <w:t>&lt;FIGURE 1,</w:t>
      </w:r>
      <w:r w:rsidR="007B23BA">
        <w:rPr>
          <w:lang w:val="en-GB"/>
        </w:rPr>
        <w:t xml:space="preserve"> 13.5cm greyscale&gt;</w:t>
      </w:r>
    </w:p>
    <w:p w14:paraId="58D1F03C" w14:textId="77777777" w:rsidR="00C2191D" w:rsidRPr="00463521" w:rsidRDefault="00C2191D" w:rsidP="00463521">
      <w:pPr>
        <w:spacing w:line="360" w:lineRule="auto"/>
        <w:rPr>
          <w:lang w:val="en-GB"/>
        </w:rPr>
      </w:pPr>
    </w:p>
    <w:p w14:paraId="08FA18E0" w14:textId="77777777" w:rsidR="00C2191D" w:rsidRPr="00463521" w:rsidRDefault="00715C63" w:rsidP="00463521">
      <w:pPr>
        <w:pStyle w:val="Heading2"/>
        <w:spacing w:before="0" w:after="0" w:line="360" w:lineRule="auto"/>
        <w:rPr>
          <w:sz w:val="24"/>
          <w:szCs w:val="24"/>
          <w:lang w:val="en-GB"/>
        </w:rPr>
      </w:pPr>
      <w:r w:rsidRPr="00463521">
        <w:rPr>
          <w:sz w:val="24"/>
          <w:szCs w:val="24"/>
          <w:lang w:val="en-GB"/>
        </w:rPr>
        <w:t xml:space="preserve">Applying the isotope and lipid biomarker approach to pottery from the Great Lakes </w:t>
      </w:r>
    </w:p>
    <w:p w14:paraId="7D98EC23" w14:textId="4B4622F4" w:rsidR="00C2191D" w:rsidRDefault="003E6744" w:rsidP="00463521">
      <w:pPr>
        <w:spacing w:line="360" w:lineRule="auto"/>
        <w:rPr>
          <w:lang w:val="en-GB"/>
        </w:rPr>
      </w:pPr>
      <w:proofErr w:type="spellStart"/>
      <w:r w:rsidRPr="00463521">
        <w:rPr>
          <w:lang w:val="en-GB"/>
        </w:rPr>
        <w:t>Taché</w:t>
      </w:r>
      <w:proofErr w:type="spellEnd"/>
      <w:r w:rsidRPr="00463521">
        <w:rPr>
          <w:lang w:val="en-GB"/>
        </w:rPr>
        <w:t xml:space="preserve"> &amp; Craig (2015) used the protocols described in Cramp &amp; </w:t>
      </w:r>
      <w:proofErr w:type="spellStart"/>
      <w:r w:rsidRPr="00463521">
        <w:rPr>
          <w:lang w:val="en-GB"/>
        </w:rPr>
        <w:t>Evershed</w:t>
      </w:r>
      <w:proofErr w:type="spellEnd"/>
      <w:r w:rsidRPr="00463521">
        <w:rPr>
          <w:lang w:val="en-GB"/>
        </w:rPr>
        <w:t xml:space="preserve"> (2014</w:t>
      </w:r>
      <w:r w:rsidR="00715C63" w:rsidRPr="00463521">
        <w:rPr>
          <w:lang w:val="en-GB"/>
        </w:rPr>
        <w:t xml:space="preserve">) </w:t>
      </w:r>
      <w:r>
        <w:rPr>
          <w:lang w:val="en-GB"/>
        </w:rPr>
        <w:t>to analyse lipids in</w:t>
      </w:r>
      <w:r w:rsidR="00715C63" w:rsidRPr="00463521">
        <w:rPr>
          <w:lang w:val="en-GB"/>
        </w:rPr>
        <w:t xml:space="preserve"> eight ceramic samples from the Schultz site. These were different potsherds to those reported </w:t>
      </w:r>
      <w:r>
        <w:rPr>
          <w:lang w:val="en-GB"/>
        </w:rPr>
        <w:t>by</w:t>
      </w:r>
      <w:r w:rsidRPr="00463521">
        <w:rPr>
          <w:lang w:val="en-GB"/>
        </w:rPr>
        <w:t xml:space="preserve"> </w:t>
      </w:r>
      <w:proofErr w:type="spellStart"/>
      <w:r w:rsidR="00715C63" w:rsidRPr="00463521">
        <w:rPr>
          <w:lang w:val="en-GB"/>
        </w:rPr>
        <w:t>Skibo</w:t>
      </w:r>
      <w:proofErr w:type="spellEnd"/>
      <w:r w:rsidR="00715C63" w:rsidRPr="00463521">
        <w:rPr>
          <w:lang w:val="en-GB"/>
        </w:rPr>
        <w:t xml:space="preserve"> </w:t>
      </w:r>
      <w:r w:rsidR="00715C63" w:rsidRPr="00463521">
        <w:rPr>
          <w:i/>
          <w:lang w:val="en-GB"/>
        </w:rPr>
        <w:t xml:space="preserve">et al. </w:t>
      </w:r>
      <w:r w:rsidR="00715C63" w:rsidRPr="00463521">
        <w:rPr>
          <w:lang w:val="en-GB"/>
        </w:rPr>
        <w:t>(2016). Lipids were generally poorly preserved</w:t>
      </w:r>
      <w:r>
        <w:rPr>
          <w:lang w:val="en-GB"/>
        </w:rPr>
        <w:t>,</w:t>
      </w:r>
      <w:r w:rsidR="00715C63" w:rsidRPr="00463521">
        <w:rPr>
          <w:lang w:val="en-GB"/>
        </w:rPr>
        <w:t xml:space="preserve"> with only three samples producing in</w:t>
      </w:r>
      <w:r w:rsidR="00BE332E">
        <w:rPr>
          <w:lang w:val="en-GB"/>
        </w:rPr>
        <w:t>terpretable quantities (i.e. &gt;5</w:t>
      </w:r>
      <w:r w:rsidR="00715C63" w:rsidRPr="00463521">
        <w:rPr>
          <w:lang w:val="en-GB"/>
        </w:rPr>
        <w:t>μg g</w:t>
      </w:r>
      <w:r w:rsidR="00715C63" w:rsidRPr="00463521">
        <w:rPr>
          <w:vertAlign w:val="superscript"/>
          <w:lang w:val="en-GB"/>
        </w:rPr>
        <w:t>-1</w:t>
      </w:r>
      <w:r w:rsidR="00715C63" w:rsidRPr="00463521">
        <w:rPr>
          <w:lang w:val="en-GB"/>
        </w:rPr>
        <w:t xml:space="preserve"> ceramic). Significantly, we found that the sample with the highest lipid concentration yielded APAAs C</w:t>
      </w:r>
      <w:r w:rsidR="00715C63" w:rsidRPr="00463521">
        <w:rPr>
          <w:vertAlign w:val="subscript"/>
          <w:lang w:val="en-GB"/>
        </w:rPr>
        <w:t>18-22</w:t>
      </w:r>
      <w:r w:rsidR="00715C63" w:rsidRPr="00463521">
        <w:rPr>
          <w:lang w:val="en-GB"/>
        </w:rPr>
        <w:t xml:space="preserve"> and three isoprenoid fatty acids (TMTD, phytanic acid and </w:t>
      </w:r>
      <w:proofErr w:type="spellStart"/>
      <w:r w:rsidR="00715C63" w:rsidRPr="00463521">
        <w:rPr>
          <w:lang w:val="en-GB"/>
        </w:rPr>
        <w:t>pristanic</w:t>
      </w:r>
      <w:proofErr w:type="spellEnd"/>
      <w:r w:rsidR="00715C63" w:rsidRPr="00463521">
        <w:rPr>
          <w:lang w:val="en-GB"/>
        </w:rPr>
        <w:t xml:space="preserve"> acid; Figure 2, Table 1</w:t>
      </w:r>
      <w:r w:rsidR="000912FD" w:rsidRPr="00463521">
        <w:rPr>
          <w:lang w:val="en-GB"/>
        </w:rPr>
        <w:t>)</w:t>
      </w:r>
      <w:r w:rsidR="000912FD">
        <w:rPr>
          <w:lang w:val="en-GB"/>
        </w:rPr>
        <w:t>—</w:t>
      </w:r>
      <w:r w:rsidR="00715C63" w:rsidRPr="00463521">
        <w:rPr>
          <w:lang w:val="en-GB"/>
        </w:rPr>
        <w:t xml:space="preserve">satisfying the criteria for aquatic lipid identification </w:t>
      </w:r>
      <w:r w:rsidR="00715C63" w:rsidRPr="00463521">
        <w:rPr>
          <w:color w:val="000000"/>
          <w:lang w:val="en-GB"/>
        </w:rPr>
        <w:t>(</w:t>
      </w:r>
      <w:proofErr w:type="spellStart"/>
      <w:r w:rsidR="00BE332E" w:rsidRPr="00BE332E">
        <w:rPr>
          <w:color w:val="000000"/>
          <w:lang w:val="en-GB"/>
        </w:rPr>
        <w:t>Evershed</w:t>
      </w:r>
      <w:proofErr w:type="spellEnd"/>
      <w:r w:rsidR="00BE332E" w:rsidRPr="00BE332E">
        <w:rPr>
          <w:color w:val="000000"/>
          <w:lang w:val="en-GB"/>
        </w:rPr>
        <w:t xml:space="preserve"> </w:t>
      </w:r>
      <w:r w:rsidR="00BE332E" w:rsidRPr="00BE332E">
        <w:rPr>
          <w:i/>
          <w:color w:val="000000"/>
          <w:lang w:val="en-GB"/>
        </w:rPr>
        <w:t>et al</w:t>
      </w:r>
      <w:r w:rsidR="00BE332E" w:rsidRPr="00BE332E">
        <w:rPr>
          <w:color w:val="000000"/>
          <w:lang w:val="en-GB"/>
        </w:rPr>
        <w:t xml:space="preserve">. 2008; </w:t>
      </w:r>
      <w:r w:rsidR="00715C63" w:rsidRPr="00BE332E">
        <w:rPr>
          <w:color w:val="000000"/>
          <w:lang w:val="en-GB"/>
        </w:rPr>
        <w:t xml:space="preserve">Cramp &amp; </w:t>
      </w:r>
      <w:proofErr w:type="spellStart"/>
      <w:r w:rsidR="00715C63" w:rsidRPr="00BE332E">
        <w:rPr>
          <w:color w:val="000000"/>
          <w:lang w:val="en-GB"/>
        </w:rPr>
        <w:t>Evershed</w:t>
      </w:r>
      <w:proofErr w:type="spellEnd"/>
      <w:r w:rsidR="00715C63" w:rsidRPr="00BE332E">
        <w:rPr>
          <w:color w:val="000000"/>
          <w:lang w:val="en-GB"/>
        </w:rPr>
        <w:t xml:space="preserve"> 2014</w:t>
      </w:r>
      <w:r w:rsidR="00715C63" w:rsidRPr="00463521">
        <w:rPr>
          <w:color w:val="000000"/>
          <w:lang w:val="en-GB"/>
        </w:rPr>
        <w:t>)</w:t>
      </w:r>
      <w:r w:rsidR="00BE332E">
        <w:rPr>
          <w:lang w:val="en-GB"/>
        </w:rPr>
        <w:t xml:space="preserve">. </w:t>
      </w:r>
      <w:r w:rsidR="00715C63" w:rsidRPr="00463521">
        <w:rPr>
          <w:lang w:val="en-GB"/>
        </w:rPr>
        <w:t xml:space="preserve">Dihydroxy fatty acids, </w:t>
      </w:r>
      <w:r w:rsidR="000912FD">
        <w:rPr>
          <w:lang w:val="en-GB"/>
        </w:rPr>
        <w:t xml:space="preserve">which are </w:t>
      </w:r>
      <w:r w:rsidR="00715C63" w:rsidRPr="00463521">
        <w:rPr>
          <w:lang w:val="en-GB"/>
        </w:rPr>
        <w:t>also used to identify aquatic resources (</w:t>
      </w:r>
      <w:r w:rsidR="00715C63" w:rsidRPr="00BE332E">
        <w:rPr>
          <w:lang w:val="en-GB"/>
        </w:rPr>
        <w:t xml:space="preserve">Cramp &amp; </w:t>
      </w:r>
      <w:proofErr w:type="spellStart"/>
      <w:r w:rsidR="00715C63" w:rsidRPr="00BE332E">
        <w:rPr>
          <w:lang w:val="en-GB"/>
        </w:rPr>
        <w:t>Ever</w:t>
      </w:r>
      <w:r w:rsidR="000912FD">
        <w:rPr>
          <w:lang w:val="en-GB"/>
        </w:rPr>
        <w:t>sh</w:t>
      </w:r>
      <w:r w:rsidR="00715C63" w:rsidRPr="00BE332E">
        <w:rPr>
          <w:lang w:val="en-GB"/>
        </w:rPr>
        <w:t>ed</w:t>
      </w:r>
      <w:proofErr w:type="spellEnd"/>
      <w:r w:rsidR="00715C63" w:rsidRPr="00BE332E">
        <w:rPr>
          <w:lang w:val="en-GB"/>
        </w:rPr>
        <w:t xml:space="preserve"> 2014</w:t>
      </w:r>
      <w:r w:rsidR="00715C63" w:rsidRPr="00463521">
        <w:rPr>
          <w:lang w:val="en-GB"/>
        </w:rPr>
        <w:t>), could not be detected</w:t>
      </w:r>
      <w:r w:rsidR="000912FD">
        <w:rPr>
          <w:lang w:val="en-GB"/>
        </w:rPr>
        <w:t xml:space="preserve">, probably </w:t>
      </w:r>
      <w:r w:rsidR="00715C63" w:rsidRPr="00463521">
        <w:rPr>
          <w:lang w:val="en-GB"/>
        </w:rPr>
        <w:t>due to the overall poor lipid preservation. In contrast, diastereomers of phytanic acid in two of the Schultz samples showed a clear dominance of the SSR isomer (&gt;75</w:t>
      </w:r>
      <w:r w:rsidR="00BE332E">
        <w:rPr>
          <w:lang w:val="en-GB"/>
        </w:rPr>
        <w:t xml:space="preserve"> per cent</w:t>
      </w:r>
      <w:r w:rsidR="00715C63" w:rsidRPr="00463521">
        <w:rPr>
          <w:lang w:val="en-GB"/>
        </w:rPr>
        <w:t>; Table 1)</w:t>
      </w:r>
      <w:r w:rsidR="000912FD">
        <w:rPr>
          <w:lang w:val="en-GB"/>
        </w:rPr>
        <w:t>. This is</w:t>
      </w:r>
      <w:r w:rsidR="00715C63" w:rsidRPr="00463521">
        <w:rPr>
          <w:lang w:val="en-GB"/>
        </w:rPr>
        <w:t xml:space="preserve"> typical of an aquatic</w:t>
      </w:r>
      <w:r w:rsidR="000912FD">
        <w:rPr>
          <w:lang w:val="en-GB"/>
        </w:rPr>
        <w:t>,</w:t>
      </w:r>
      <w:r w:rsidR="00715C63" w:rsidRPr="00463521">
        <w:rPr>
          <w:lang w:val="en-GB"/>
        </w:rPr>
        <w:t xml:space="preserve"> rather than a terrestrial source </w:t>
      </w:r>
      <w:r w:rsidR="00715C63" w:rsidRPr="00463521">
        <w:rPr>
          <w:color w:val="000000"/>
          <w:lang w:val="en-GB"/>
        </w:rPr>
        <w:t>(</w:t>
      </w:r>
      <w:r w:rsidR="00715C63" w:rsidRPr="00BE332E">
        <w:rPr>
          <w:color w:val="000000"/>
          <w:lang w:val="en-GB"/>
        </w:rPr>
        <w:t xml:space="preserve">Lucquin </w:t>
      </w:r>
      <w:r w:rsidR="00715C63" w:rsidRPr="00BE332E">
        <w:rPr>
          <w:i/>
          <w:color w:val="000000"/>
          <w:lang w:val="en-GB"/>
        </w:rPr>
        <w:t xml:space="preserve">et al. </w:t>
      </w:r>
      <w:r w:rsidR="00715C63" w:rsidRPr="00BE332E">
        <w:rPr>
          <w:color w:val="000000"/>
          <w:lang w:val="en-GB"/>
        </w:rPr>
        <w:t>2016</w:t>
      </w:r>
      <w:r w:rsidR="009F2DFC">
        <w:rPr>
          <w:color w:val="000000"/>
          <w:lang w:val="en-GB"/>
        </w:rPr>
        <w:t>a</w:t>
      </w:r>
      <w:r w:rsidR="00715C63" w:rsidRPr="00463521">
        <w:rPr>
          <w:color w:val="000000"/>
          <w:lang w:val="en-GB"/>
        </w:rPr>
        <w:t>)</w:t>
      </w:r>
      <w:r w:rsidR="00715C63" w:rsidRPr="00463521">
        <w:rPr>
          <w:lang w:val="en-GB"/>
        </w:rPr>
        <w:t xml:space="preserve">. Finally, carbon isotope analysis of fatty acids from the three samples produced values consistent with freshwater fish (Table 1; Figure 3; Cramp &amp; </w:t>
      </w:r>
      <w:proofErr w:type="spellStart"/>
      <w:r w:rsidR="00715C63" w:rsidRPr="00463521">
        <w:rPr>
          <w:lang w:val="en-GB"/>
        </w:rPr>
        <w:t>Evershed</w:t>
      </w:r>
      <w:proofErr w:type="spellEnd"/>
      <w:r w:rsidR="00715C63" w:rsidRPr="00463521">
        <w:rPr>
          <w:lang w:val="en-GB"/>
        </w:rPr>
        <w:t xml:space="preserve"> 2014; </w:t>
      </w:r>
      <w:proofErr w:type="spellStart"/>
      <w:r w:rsidR="00715C63" w:rsidRPr="00463521">
        <w:rPr>
          <w:color w:val="000000"/>
          <w:lang w:val="en-GB"/>
        </w:rPr>
        <w:t>Taché</w:t>
      </w:r>
      <w:proofErr w:type="spellEnd"/>
      <w:r w:rsidR="00715C63" w:rsidRPr="00463521">
        <w:rPr>
          <w:color w:val="000000"/>
          <w:lang w:val="en-GB"/>
        </w:rPr>
        <w:t xml:space="preserve"> &amp; Craig 2015)</w:t>
      </w:r>
      <w:r w:rsidR="00715C63" w:rsidRPr="00463521">
        <w:rPr>
          <w:lang w:val="en-GB"/>
        </w:rPr>
        <w:t xml:space="preserve">. </w:t>
      </w:r>
      <w:commentRangeStart w:id="17"/>
      <w:commentRangeStart w:id="18"/>
      <w:r w:rsidR="002566DE">
        <w:rPr>
          <w:lang w:val="en-GB"/>
        </w:rPr>
        <w:t>In th</w:t>
      </w:r>
      <w:commentRangeEnd w:id="17"/>
      <w:commentRangeEnd w:id="18"/>
      <w:r w:rsidR="0069484C">
        <w:rPr>
          <w:lang w:val="en-GB"/>
        </w:rPr>
        <w:t>e present study</w:t>
      </w:r>
      <w:r w:rsidR="002566DE">
        <w:rPr>
          <w:rStyle w:val="CommentReference"/>
        </w:rPr>
        <w:commentReference w:id="17"/>
      </w:r>
      <w:r w:rsidR="0069484C">
        <w:rPr>
          <w:rStyle w:val="CommentReference"/>
        </w:rPr>
        <w:commentReference w:id="18"/>
      </w:r>
      <w:r w:rsidR="002566DE">
        <w:rPr>
          <w:lang w:val="en-GB"/>
        </w:rPr>
        <w:t>, i</w:t>
      </w:r>
      <w:r w:rsidR="00715C63" w:rsidRPr="00463521">
        <w:rPr>
          <w:lang w:val="en-GB"/>
        </w:rPr>
        <w:t xml:space="preserve">sotope values </w:t>
      </w:r>
      <w:r w:rsidR="002566DE">
        <w:rPr>
          <w:lang w:val="en-GB"/>
        </w:rPr>
        <w:t>alone</w:t>
      </w:r>
      <w:r w:rsidR="00715C63" w:rsidRPr="00463521">
        <w:rPr>
          <w:lang w:val="en-GB"/>
        </w:rPr>
        <w:t xml:space="preserve"> cannot be used to identify aquatic resources, given that they are also consistent with a range of other non-ruminant terrestrial products. </w:t>
      </w:r>
      <w:r w:rsidR="002566DE">
        <w:rPr>
          <w:lang w:val="en-GB"/>
        </w:rPr>
        <w:t>T</w:t>
      </w:r>
      <w:r w:rsidR="00715C63" w:rsidRPr="00463521">
        <w:rPr>
          <w:lang w:val="en-GB"/>
        </w:rPr>
        <w:t>hese three samples</w:t>
      </w:r>
      <w:r w:rsidR="002566DE">
        <w:rPr>
          <w:lang w:val="en-GB"/>
        </w:rPr>
        <w:t>, however,</w:t>
      </w:r>
      <w:r w:rsidR="00715C63" w:rsidRPr="00463521">
        <w:rPr>
          <w:lang w:val="en-GB"/>
        </w:rPr>
        <w:t xml:space="preserve"> are clearly outside the range of isotope values obtained from ruminant animals, despite levels of C</w:t>
      </w:r>
      <w:r w:rsidR="00715C63" w:rsidRPr="0077123A">
        <w:rPr>
          <w:color w:val="000000"/>
          <w:vertAlign w:val="subscript"/>
          <w:lang w:val="en-GB"/>
        </w:rPr>
        <w:t>18:0</w:t>
      </w:r>
      <w:r w:rsidR="00715C63" w:rsidRPr="00463521">
        <w:rPr>
          <w:lang w:val="en-GB"/>
        </w:rPr>
        <w:t xml:space="preserve"> exceeding 27.50</w:t>
      </w:r>
      <w:r w:rsidR="00BE332E">
        <w:rPr>
          <w:lang w:val="en-GB"/>
        </w:rPr>
        <w:t xml:space="preserve"> per cent</w:t>
      </w:r>
      <w:r w:rsidR="00715C63" w:rsidRPr="00463521">
        <w:rPr>
          <w:lang w:val="en-GB"/>
        </w:rPr>
        <w:t xml:space="preserve"> in two samples</w:t>
      </w:r>
      <w:r w:rsidR="002566DE">
        <w:rPr>
          <w:lang w:val="en-GB"/>
        </w:rPr>
        <w:t>.</w:t>
      </w:r>
      <w:r w:rsidR="002566DE" w:rsidRPr="00463521">
        <w:rPr>
          <w:lang w:val="en-GB"/>
        </w:rPr>
        <w:t xml:space="preserve"> </w:t>
      </w:r>
      <w:r w:rsidR="002566DE">
        <w:rPr>
          <w:lang w:val="en-GB"/>
        </w:rPr>
        <w:t>A</w:t>
      </w:r>
      <w:r w:rsidR="00715C63" w:rsidRPr="00463521">
        <w:rPr>
          <w:lang w:val="en-GB"/>
        </w:rPr>
        <w:t xml:space="preserve">ccording to </w:t>
      </w:r>
      <w:proofErr w:type="spellStart"/>
      <w:r w:rsidR="00715C63" w:rsidRPr="00463521">
        <w:rPr>
          <w:lang w:val="en-GB"/>
        </w:rPr>
        <w:t>Malainey’s</w:t>
      </w:r>
      <w:proofErr w:type="spellEnd"/>
      <w:r w:rsidR="00715C63" w:rsidRPr="00463521">
        <w:rPr>
          <w:lang w:val="en-GB"/>
        </w:rPr>
        <w:t xml:space="preserve"> (1999) criteria</w:t>
      </w:r>
      <w:r w:rsidR="002566DE">
        <w:rPr>
          <w:lang w:val="en-GB"/>
        </w:rPr>
        <w:t>, these levels</w:t>
      </w:r>
      <w:r w:rsidR="00715C63" w:rsidRPr="00463521">
        <w:rPr>
          <w:lang w:val="en-GB"/>
        </w:rPr>
        <w:t xml:space="preserve"> should result from the preparation of </w:t>
      </w:r>
      <w:r w:rsidR="00163CF0">
        <w:rPr>
          <w:lang w:val="en-GB"/>
        </w:rPr>
        <w:t>‘</w:t>
      </w:r>
      <w:r w:rsidR="00715C63" w:rsidRPr="00463521">
        <w:rPr>
          <w:lang w:val="en-GB"/>
        </w:rPr>
        <w:t>large herbivores</w:t>
      </w:r>
      <w:r w:rsidR="00163CF0">
        <w:rPr>
          <w:lang w:val="en-GB"/>
        </w:rPr>
        <w:t>’</w:t>
      </w:r>
      <w:r w:rsidR="00464E65">
        <w:rPr>
          <w:lang w:val="en-GB"/>
        </w:rPr>
        <w:t xml:space="preserve">, </w:t>
      </w:r>
      <w:r w:rsidR="0069484C">
        <w:rPr>
          <w:lang w:val="en-GB"/>
        </w:rPr>
        <w:t xml:space="preserve">which in the case of Early Woodland </w:t>
      </w:r>
      <w:r w:rsidR="00464E65">
        <w:rPr>
          <w:lang w:val="en-GB"/>
        </w:rPr>
        <w:t xml:space="preserve">north-eastern North </w:t>
      </w:r>
      <w:proofErr w:type="spellStart"/>
      <w:r w:rsidR="00464E65">
        <w:rPr>
          <w:lang w:val="en-GB"/>
        </w:rPr>
        <w:t>Amercia</w:t>
      </w:r>
      <w:proofErr w:type="spellEnd"/>
      <w:r w:rsidR="00464E65">
        <w:rPr>
          <w:lang w:val="en-GB"/>
        </w:rPr>
        <w:t xml:space="preserve"> can only be ruminants such </w:t>
      </w:r>
      <w:proofErr w:type="spellStart"/>
      <w:r w:rsidR="00715C63" w:rsidRPr="00463521">
        <w:rPr>
          <w:lang w:val="en-GB"/>
        </w:rPr>
        <w:t>such</w:t>
      </w:r>
      <w:proofErr w:type="spellEnd"/>
      <w:r w:rsidR="00715C63" w:rsidRPr="00463521">
        <w:rPr>
          <w:lang w:val="en-GB"/>
        </w:rPr>
        <w:t xml:space="preserve"> as deer, moose, woodland caribou, or wapiti/North American elk. </w:t>
      </w:r>
      <w:proofErr w:type="spellStart"/>
      <w:r w:rsidR="00715C63" w:rsidRPr="00463521">
        <w:rPr>
          <w:lang w:val="en-GB"/>
        </w:rPr>
        <w:t>Taché</w:t>
      </w:r>
      <w:proofErr w:type="spellEnd"/>
      <w:r w:rsidR="00715C63" w:rsidRPr="00463521">
        <w:rPr>
          <w:lang w:val="en-GB"/>
        </w:rPr>
        <w:t xml:space="preserve"> and Craig (2015) also reported low proportions of ruminant fats in their </w:t>
      </w:r>
      <w:commentRangeStart w:id="19"/>
      <w:commentRangeStart w:id="20"/>
      <w:r w:rsidR="00715C63" w:rsidRPr="00463521">
        <w:rPr>
          <w:lang w:val="en-GB"/>
        </w:rPr>
        <w:t>sample</w:t>
      </w:r>
      <w:commentRangeEnd w:id="19"/>
      <w:r w:rsidR="002566DE">
        <w:rPr>
          <w:rStyle w:val="CommentReference"/>
        </w:rPr>
        <w:commentReference w:id="19"/>
      </w:r>
      <w:commentRangeEnd w:id="20"/>
      <w:r w:rsidR="00464E65">
        <w:rPr>
          <w:rStyle w:val="CommentReference"/>
        </w:rPr>
        <w:commentReference w:id="20"/>
      </w:r>
      <w:r w:rsidR="00715C63" w:rsidRPr="00463521">
        <w:rPr>
          <w:lang w:val="en-GB"/>
        </w:rPr>
        <w:t xml:space="preserve"> of </w:t>
      </w:r>
      <w:proofErr w:type="spellStart"/>
      <w:r w:rsidR="00715C63" w:rsidRPr="00463521">
        <w:rPr>
          <w:lang w:val="en-GB"/>
        </w:rPr>
        <w:t>Vinette</w:t>
      </w:r>
      <w:proofErr w:type="spellEnd"/>
      <w:r w:rsidR="00715C63" w:rsidRPr="00463521">
        <w:rPr>
          <w:lang w:val="en-GB"/>
        </w:rPr>
        <w:t xml:space="preserve"> 1 pottery</w:t>
      </w:r>
      <w:r w:rsidR="001B32DE">
        <w:rPr>
          <w:lang w:val="en-GB"/>
        </w:rPr>
        <w:t>, with</w:t>
      </w:r>
      <w:r w:rsidR="00464E65">
        <w:rPr>
          <w:lang w:val="en-GB"/>
        </w:rPr>
        <w:t xml:space="preserve"> only two of the </w:t>
      </w:r>
      <w:r w:rsidR="001B32DE">
        <w:rPr>
          <w:lang w:val="en-GB"/>
        </w:rPr>
        <w:t>52 vessels</w:t>
      </w:r>
      <w:r w:rsidR="00464E65">
        <w:rPr>
          <w:lang w:val="en-GB"/>
        </w:rPr>
        <w:t xml:space="preserve"> submitted to </w:t>
      </w:r>
      <w:r w:rsidR="00464E65" w:rsidRPr="00464E65">
        <w:rPr>
          <w:lang w:val="en-GB"/>
        </w:rPr>
        <w:t>GC-combustion-isotope ratio MS(GC-C-IRMS)</w:t>
      </w:r>
      <w:r w:rsidR="00464E65">
        <w:rPr>
          <w:lang w:val="en-GB"/>
        </w:rPr>
        <w:t xml:space="preserve"> </w:t>
      </w:r>
      <w:r w:rsidR="00464E65" w:rsidRPr="00464E65">
        <w:rPr>
          <w:lang w:val="en-GB"/>
        </w:rPr>
        <w:t>analysis hav</w:t>
      </w:r>
      <w:r w:rsidR="001B32DE">
        <w:rPr>
          <w:lang w:val="en-GB"/>
        </w:rPr>
        <w:t xml:space="preserve">ing </w:t>
      </w:r>
      <w:r w:rsidR="00464E65" w:rsidRPr="00464E65">
        <w:rPr>
          <w:lang w:val="en-GB"/>
        </w:rPr>
        <w:t>fatty acid δ13C values comparable with wild ruminant fat</w:t>
      </w:r>
      <w:r w:rsidR="00464E65">
        <w:rPr>
          <w:lang w:val="en-GB"/>
        </w:rPr>
        <w:t>.</w:t>
      </w:r>
    </w:p>
    <w:p w14:paraId="6EA805B4" w14:textId="77777777" w:rsidR="00BE332E" w:rsidRPr="001E6C9B" w:rsidRDefault="00BE332E" w:rsidP="00463521">
      <w:pPr>
        <w:spacing w:line="360" w:lineRule="auto"/>
        <w:rPr>
          <w:lang w:val="fr-CA"/>
        </w:rPr>
      </w:pPr>
      <w:r w:rsidRPr="001E6C9B">
        <w:rPr>
          <w:lang w:val="fr-CA"/>
        </w:rPr>
        <w:t>&lt;FIGURE 2,</w:t>
      </w:r>
      <w:r w:rsidR="007B23BA" w:rsidRPr="001E6C9B">
        <w:rPr>
          <w:lang w:val="fr-CA"/>
        </w:rPr>
        <w:t xml:space="preserve"> 13.5cm </w:t>
      </w:r>
      <w:proofErr w:type="spellStart"/>
      <w:r w:rsidR="007B23BA" w:rsidRPr="001E6C9B">
        <w:rPr>
          <w:lang w:val="fr-CA"/>
        </w:rPr>
        <w:t>greyscale</w:t>
      </w:r>
      <w:proofErr w:type="spellEnd"/>
      <w:r w:rsidR="007B23BA" w:rsidRPr="001E6C9B">
        <w:rPr>
          <w:lang w:val="fr-CA"/>
        </w:rPr>
        <w:t>&gt;</w:t>
      </w:r>
    </w:p>
    <w:p w14:paraId="3EEFC87F" w14:textId="77777777" w:rsidR="00BE332E" w:rsidRPr="001E6C9B" w:rsidRDefault="00BE332E" w:rsidP="00463521">
      <w:pPr>
        <w:spacing w:line="360" w:lineRule="auto"/>
        <w:rPr>
          <w:lang w:val="fr-CA"/>
        </w:rPr>
      </w:pPr>
      <w:r w:rsidRPr="001E6C9B">
        <w:rPr>
          <w:lang w:val="fr-CA"/>
        </w:rPr>
        <w:t>&lt;TABLE 1&gt;</w:t>
      </w:r>
    </w:p>
    <w:p w14:paraId="0FEB7E97" w14:textId="77777777" w:rsidR="00BE332E" w:rsidRPr="001E6C9B" w:rsidRDefault="007B23BA" w:rsidP="00463521">
      <w:pPr>
        <w:spacing w:line="360" w:lineRule="auto"/>
        <w:rPr>
          <w:lang w:val="fr-CA"/>
        </w:rPr>
      </w:pPr>
      <w:r w:rsidRPr="001E6C9B">
        <w:rPr>
          <w:lang w:val="fr-CA"/>
        </w:rPr>
        <w:t xml:space="preserve">&lt;FIGURE 3, 13.5cm </w:t>
      </w:r>
      <w:proofErr w:type="spellStart"/>
      <w:r w:rsidRPr="001E6C9B">
        <w:rPr>
          <w:lang w:val="fr-CA"/>
        </w:rPr>
        <w:t>colour</w:t>
      </w:r>
      <w:proofErr w:type="spellEnd"/>
      <w:r w:rsidRPr="001E6C9B">
        <w:rPr>
          <w:lang w:val="fr-CA"/>
        </w:rPr>
        <w:t>&gt;</w:t>
      </w:r>
    </w:p>
    <w:p w14:paraId="58642126" w14:textId="77777777" w:rsidR="00C2191D" w:rsidRPr="001E6C9B" w:rsidRDefault="00C2191D" w:rsidP="00463521">
      <w:pPr>
        <w:spacing w:line="360" w:lineRule="auto"/>
        <w:rPr>
          <w:lang w:val="fr-CA"/>
        </w:rPr>
      </w:pPr>
    </w:p>
    <w:p w14:paraId="145894C9" w14:textId="77777777" w:rsidR="00C2191D" w:rsidRPr="00463521" w:rsidRDefault="00715C63" w:rsidP="00463521">
      <w:pPr>
        <w:pStyle w:val="Heading2"/>
        <w:spacing w:before="0" w:after="0" w:line="360" w:lineRule="auto"/>
        <w:rPr>
          <w:sz w:val="24"/>
          <w:szCs w:val="24"/>
          <w:lang w:val="en-GB"/>
        </w:rPr>
      </w:pPr>
      <w:r w:rsidRPr="00463521">
        <w:rPr>
          <w:sz w:val="24"/>
          <w:szCs w:val="24"/>
          <w:lang w:val="en-GB"/>
        </w:rPr>
        <w:t>Conclusion</w:t>
      </w:r>
    </w:p>
    <w:p w14:paraId="25509EAA" w14:textId="6039D54C" w:rsidR="00C2191D" w:rsidRPr="00463521" w:rsidRDefault="00715C63" w:rsidP="00463521">
      <w:pPr>
        <w:spacing w:line="360" w:lineRule="auto"/>
        <w:rPr>
          <w:lang w:val="en-GB"/>
        </w:rPr>
      </w:pPr>
      <w:r w:rsidRPr="00463521">
        <w:rPr>
          <w:lang w:val="en-GB"/>
        </w:rPr>
        <w:t xml:space="preserve">We argue on </w:t>
      </w:r>
      <w:r w:rsidR="0077123A">
        <w:rPr>
          <w:lang w:val="en-GB"/>
        </w:rPr>
        <w:t xml:space="preserve">both </w:t>
      </w:r>
      <w:r w:rsidRPr="00463521">
        <w:rPr>
          <w:lang w:val="en-GB"/>
        </w:rPr>
        <w:t xml:space="preserve">theoretical and empirical grounds that the </w:t>
      </w:r>
      <w:r w:rsidR="002566DE">
        <w:rPr>
          <w:lang w:val="en-GB"/>
        </w:rPr>
        <w:t xml:space="preserve">analytical </w:t>
      </w:r>
      <w:r w:rsidRPr="00463521">
        <w:rPr>
          <w:lang w:val="en-GB"/>
        </w:rPr>
        <w:t xml:space="preserve">approach used </w:t>
      </w:r>
      <w:r w:rsidR="002566DE">
        <w:rPr>
          <w:lang w:val="en-GB"/>
        </w:rPr>
        <w:t xml:space="preserve">by </w:t>
      </w:r>
      <w:proofErr w:type="spellStart"/>
      <w:r w:rsidRPr="00463521">
        <w:rPr>
          <w:lang w:val="en-GB"/>
        </w:rPr>
        <w:t>Skibo</w:t>
      </w:r>
      <w:proofErr w:type="spellEnd"/>
      <w:r w:rsidRPr="00463521">
        <w:rPr>
          <w:lang w:val="en-GB"/>
        </w:rPr>
        <w:t xml:space="preserve"> </w:t>
      </w:r>
      <w:r w:rsidRPr="00463521">
        <w:rPr>
          <w:i/>
          <w:lang w:val="en-GB"/>
        </w:rPr>
        <w:t xml:space="preserve">et al. </w:t>
      </w:r>
      <w:r w:rsidRPr="00463521">
        <w:rPr>
          <w:lang w:val="en-GB"/>
        </w:rPr>
        <w:t xml:space="preserve">(2016) is unsuitable for </w:t>
      </w:r>
      <w:r w:rsidR="0077123A">
        <w:rPr>
          <w:lang w:val="en-GB"/>
        </w:rPr>
        <w:t xml:space="preserve">the </w:t>
      </w:r>
      <w:r w:rsidRPr="00463521">
        <w:rPr>
          <w:lang w:val="en-GB"/>
        </w:rPr>
        <w:t>identif</w:t>
      </w:r>
      <w:r w:rsidR="0077123A">
        <w:rPr>
          <w:lang w:val="en-GB"/>
        </w:rPr>
        <w:t>ication of</w:t>
      </w:r>
      <w:r w:rsidRPr="00463521">
        <w:rPr>
          <w:lang w:val="en-GB"/>
        </w:rPr>
        <w:t xml:space="preserve"> aquatic derived </w:t>
      </w:r>
      <w:r w:rsidR="0077123A">
        <w:rPr>
          <w:lang w:val="en-GB"/>
        </w:rPr>
        <w:t xml:space="preserve">lipids </w:t>
      </w:r>
      <w:r w:rsidRPr="00463521">
        <w:rPr>
          <w:lang w:val="en-GB"/>
        </w:rPr>
        <w:t>due to the variable preservation of fatty acids in archaeological residues</w:t>
      </w:r>
      <w:r w:rsidR="002566DE">
        <w:rPr>
          <w:lang w:val="en-GB"/>
        </w:rPr>
        <w:t>,</w:t>
      </w:r>
      <w:r w:rsidRPr="00463521">
        <w:rPr>
          <w:lang w:val="en-GB"/>
        </w:rPr>
        <w:t xml:space="preserve"> which prevents comparison with modern reference</w:t>
      </w:r>
      <w:r w:rsidR="0077123A">
        <w:rPr>
          <w:lang w:val="en-GB"/>
        </w:rPr>
        <w:t xml:space="preserve"> data</w:t>
      </w:r>
      <w:r w:rsidRPr="00463521">
        <w:rPr>
          <w:lang w:val="en-GB"/>
        </w:rPr>
        <w:t xml:space="preserve">. Instead, we contend that the criteria outlined by </w:t>
      </w:r>
      <w:proofErr w:type="spellStart"/>
      <w:r w:rsidRPr="00463521">
        <w:rPr>
          <w:lang w:val="en-GB"/>
        </w:rPr>
        <w:t>Evershed</w:t>
      </w:r>
      <w:proofErr w:type="spellEnd"/>
      <w:r w:rsidRPr="00463521">
        <w:rPr>
          <w:lang w:val="en-GB"/>
        </w:rPr>
        <w:t xml:space="preserve"> </w:t>
      </w:r>
      <w:r w:rsidRPr="00463521">
        <w:rPr>
          <w:i/>
          <w:lang w:val="en-GB"/>
        </w:rPr>
        <w:t xml:space="preserve">et al. </w:t>
      </w:r>
      <w:r w:rsidRPr="00463521">
        <w:rPr>
          <w:lang w:val="en-GB"/>
        </w:rPr>
        <w:t xml:space="preserve">(2008), Cramp &amp; </w:t>
      </w:r>
      <w:proofErr w:type="spellStart"/>
      <w:r w:rsidRPr="00463521">
        <w:rPr>
          <w:lang w:val="en-GB"/>
        </w:rPr>
        <w:t>Evershed</w:t>
      </w:r>
      <w:proofErr w:type="spellEnd"/>
      <w:r w:rsidRPr="00463521">
        <w:rPr>
          <w:lang w:val="en-GB"/>
        </w:rPr>
        <w:t xml:space="preserve"> (2014) and </w:t>
      </w:r>
      <w:proofErr w:type="spellStart"/>
      <w:r w:rsidRPr="00463521">
        <w:rPr>
          <w:color w:val="000000"/>
          <w:lang w:val="en-GB"/>
        </w:rPr>
        <w:t>Lucquin</w:t>
      </w:r>
      <w:proofErr w:type="spellEnd"/>
      <w:r w:rsidRPr="00463521">
        <w:rPr>
          <w:color w:val="000000"/>
          <w:lang w:val="en-GB"/>
        </w:rPr>
        <w:t xml:space="preserve"> </w:t>
      </w:r>
      <w:r w:rsidRPr="00463521">
        <w:rPr>
          <w:i/>
          <w:color w:val="000000"/>
          <w:lang w:val="en-GB"/>
        </w:rPr>
        <w:t xml:space="preserve">et al. </w:t>
      </w:r>
      <w:r w:rsidRPr="00463521">
        <w:rPr>
          <w:color w:val="000000"/>
          <w:lang w:val="en-GB"/>
        </w:rPr>
        <w:t>(</w:t>
      </w:r>
      <w:r w:rsidRPr="00BE332E">
        <w:rPr>
          <w:color w:val="000000"/>
          <w:lang w:val="en-GB"/>
        </w:rPr>
        <w:t>2016</w:t>
      </w:r>
      <w:r w:rsidR="009F2DFC">
        <w:rPr>
          <w:color w:val="000000"/>
          <w:lang w:val="en-GB"/>
        </w:rPr>
        <w:t>a</w:t>
      </w:r>
      <w:r w:rsidRPr="00463521">
        <w:rPr>
          <w:color w:val="000000"/>
          <w:lang w:val="en-GB"/>
        </w:rPr>
        <w:t>)</w:t>
      </w:r>
      <w:r w:rsidRPr="00463521">
        <w:rPr>
          <w:lang w:val="en-GB"/>
        </w:rPr>
        <w:t xml:space="preserve"> provide the only robust approach for identification </w:t>
      </w:r>
      <w:r w:rsidR="002566DE">
        <w:rPr>
          <w:lang w:val="en-GB"/>
        </w:rPr>
        <w:t xml:space="preserve">of aquatic lipids </w:t>
      </w:r>
      <w:r w:rsidRPr="00463521">
        <w:rPr>
          <w:lang w:val="en-GB"/>
        </w:rPr>
        <w:t>in archaeological pottery</w:t>
      </w:r>
      <w:r w:rsidR="002566DE">
        <w:rPr>
          <w:lang w:val="en-GB"/>
        </w:rPr>
        <w:t>—</w:t>
      </w:r>
      <w:r w:rsidRPr="00463521">
        <w:rPr>
          <w:lang w:val="en-GB"/>
        </w:rPr>
        <w:t>supplemented</w:t>
      </w:r>
      <w:r w:rsidR="002566DE">
        <w:rPr>
          <w:lang w:val="en-GB"/>
        </w:rPr>
        <w:t>,</w:t>
      </w:r>
      <w:r w:rsidRPr="00463521">
        <w:rPr>
          <w:lang w:val="en-GB"/>
        </w:rPr>
        <w:t xml:space="preserve"> where possible</w:t>
      </w:r>
      <w:r w:rsidR="002566DE">
        <w:rPr>
          <w:lang w:val="en-GB"/>
        </w:rPr>
        <w:t>,</w:t>
      </w:r>
      <w:r w:rsidRPr="00463521">
        <w:rPr>
          <w:lang w:val="en-GB"/>
        </w:rPr>
        <w:t xml:space="preserve"> by carbon isotope measurements of individual fatty acids. By applying these criteria to a small sample from the Schultz site, we show that</w:t>
      </w:r>
      <w:r w:rsidR="002566DE">
        <w:rPr>
          <w:lang w:val="en-GB"/>
        </w:rPr>
        <w:t xml:space="preserve">, </w:t>
      </w:r>
      <w:r w:rsidR="002566DE" w:rsidRPr="00463521">
        <w:rPr>
          <w:lang w:val="en-GB"/>
        </w:rPr>
        <w:t>contra</w:t>
      </w:r>
      <w:r w:rsidR="0077123A">
        <w:rPr>
          <w:lang w:val="en-GB"/>
        </w:rPr>
        <w:t>ry</w:t>
      </w:r>
      <w:r w:rsidR="002566DE" w:rsidRPr="00463521">
        <w:rPr>
          <w:lang w:val="en-GB"/>
        </w:rPr>
        <w:t xml:space="preserve"> to the findings of </w:t>
      </w:r>
      <w:proofErr w:type="spellStart"/>
      <w:r w:rsidR="002566DE" w:rsidRPr="00463521">
        <w:rPr>
          <w:lang w:val="en-GB"/>
        </w:rPr>
        <w:t>Skibo</w:t>
      </w:r>
      <w:proofErr w:type="spellEnd"/>
      <w:r w:rsidR="002566DE" w:rsidRPr="00463521">
        <w:rPr>
          <w:lang w:val="en-GB"/>
        </w:rPr>
        <w:t xml:space="preserve"> </w:t>
      </w:r>
      <w:r w:rsidR="002566DE" w:rsidRPr="00463521">
        <w:rPr>
          <w:i/>
          <w:lang w:val="en-GB"/>
        </w:rPr>
        <w:t xml:space="preserve">et al. </w:t>
      </w:r>
      <w:r w:rsidR="002566DE">
        <w:rPr>
          <w:lang w:val="en-GB"/>
        </w:rPr>
        <w:t>(2016),</w:t>
      </w:r>
      <w:r w:rsidRPr="00463521">
        <w:rPr>
          <w:lang w:val="en-GB"/>
        </w:rPr>
        <w:t xml:space="preserve"> aquatic resources were indeed processed in early pottery (2500 BP) in the Great Lakes region. </w:t>
      </w:r>
      <w:r w:rsidR="002566DE">
        <w:rPr>
          <w:lang w:val="en-GB"/>
        </w:rPr>
        <w:t>W</w:t>
      </w:r>
      <w:r w:rsidRPr="00463521">
        <w:rPr>
          <w:lang w:val="en-GB"/>
        </w:rPr>
        <w:t>hil</w:t>
      </w:r>
      <w:r w:rsidR="002566DE">
        <w:rPr>
          <w:lang w:val="en-GB"/>
        </w:rPr>
        <w:t>e</w:t>
      </w:r>
      <w:r w:rsidRPr="00463521">
        <w:rPr>
          <w:lang w:val="en-GB"/>
        </w:rPr>
        <w:t xml:space="preserve"> we accept that the production of ceramic vessels by early pottery</w:t>
      </w:r>
      <w:r w:rsidR="0077123A">
        <w:rPr>
          <w:lang w:val="en-GB"/>
        </w:rPr>
        <w:t>-</w:t>
      </w:r>
      <w:r w:rsidRPr="00463521">
        <w:rPr>
          <w:lang w:val="en-GB"/>
        </w:rPr>
        <w:t>using hunter-gatherers of north-eastern North America and the Great Lakes region</w:t>
      </w:r>
      <w:r w:rsidR="002566DE" w:rsidRPr="002566DE">
        <w:rPr>
          <w:lang w:val="en-GB"/>
        </w:rPr>
        <w:t xml:space="preserve"> </w:t>
      </w:r>
      <w:r w:rsidR="002566DE" w:rsidRPr="00463521">
        <w:rPr>
          <w:lang w:val="en-GB"/>
        </w:rPr>
        <w:t>for processing fish</w:t>
      </w:r>
      <w:r w:rsidR="002566DE" w:rsidRPr="002566DE">
        <w:rPr>
          <w:lang w:val="en-GB"/>
        </w:rPr>
        <w:t xml:space="preserve"> </w:t>
      </w:r>
      <w:r w:rsidR="002566DE" w:rsidRPr="00463521">
        <w:rPr>
          <w:lang w:val="en-GB"/>
        </w:rPr>
        <w:t>may not have been ubiquitous</w:t>
      </w:r>
      <w:r w:rsidR="002566DE">
        <w:rPr>
          <w:lang w:val="en-GB"/>
        </w:rPr>
        <w:t>—</w:t>
      </w:r>
      <w:r w:rsidRPr="00463521">
        <w:rPr>
          <w:lang w:val="en-GB"/>
        </w:rPr>
        <w:t xml:space="preserve">the sample size </w:t>
      </w:r>
      <w:r w:rsidR="0077123A">
        <w:rPr>
          <w:lang w:val="en-GB"/>
        </w:rPr>
        <w:t xml:space="preserve">currently </w:t>
      </w:r>
      <w:r w:rsidRPr="00463521">
        <w:rPr>
          <w:lang w:val="en-GB"/>
        </w:rPr>
        <w:t xml:space="preserve">is too small to </w:t>
      </w:r>
      <w:r w:rsidR="002566DE">
        <w:rPr>
          <w:lang w:val="en-GB"/>
        </w:rPr>
        <w:t>confirm</w:t>
      </w:r>
      <w:r w:rsidR="002566DE" w:rsidRPr="00463521">
        <w:rPr>
          <w:lang w:val="en-GB"/>
        </w:rPr>
        <w:t xml:space="preserve"> </w:t>
      </w:r>
      <w:r w:rsidRPr="00463521">
        <w:rPr>
          <w:lang w:val="en-GB"/>
        </w:rPr>
        <w:t>this</w:t>
      </w:r>
      <w:r w:rsidR="002566DE">
        <w:rPr>
          <w:lang w:val="en-GB"/>
        </w:rPr>
        <w:t>—</w:t>
      </w:r>
      <w:r w:rsidRPr="00463521">
        <w:rPr>
          <w:lang w:val="en-GB"/>
        </w:rPr>
        <w:t>the two activities do seem to be closely related</w:t>
      </w:r>
      <w:r w:rsidR="002566DE">
        <w:rPr>
          <w:lang w:val="en-GB"/>
        </w:rPr>
        <w:t>,</w:t>
      </w:r>
      <w:r w:rsidRPr="00463521">
        <w:rPr>
          <w:lang w:val="en-GB"/>
        </w:rPr>
        <w:t xml:space="preserve"> when the empirical evidence is examined with due scientific rigo</w:t>
      </w:r>
      <w:r w:rsidR="0077123A">
        <w:rPr>
          <w:lang w:val="en-GB"/>
        </w:rPr>
        <w:t>u</w:t>
      </w:r>
      <w:r w:rsidRPr="00463521">
        <w:rPr>
          <w:lang w:val="en-GB"/>
        </w:rPr>
        <w:t>r. On a wider point, we recommend that any conclusions regarding pottery use based on distributions of fatty acids are carefully scrutini</w:t>
      </w:r>
      <w:r w:rsidR="002566DE">
        <w:rPr>
          <w:lang w:val="en-GB"/>
        </w:rPr>
        <w:t>s</w:t>
      </w:r>
      <w:r w:rsidRPr="00463521">
        <w:rPr>
          <w:lang w:val="en-GB"/>
        </w:rPr>
        <w:t>ed and</w:t>
      </w:r>
      <w:r w:rsidR="002566DE">
        <w:rPr>
          <w:lang w:val="en-GB"/>
        </w:rPr>
        <w:t>,</w:t>
      </w:r>
      <w:r w:rsidRPr="00463521">
        <w:rPr>
          <w:lang w:val="en-GB"/>
        </w:rPr>
        <w:t xml:space="preserve"> where possible</w:t>
      </w:r>
      <w:r w:rsidR="002566DE">
        <w:rPr>
          <w:lang w:val="en-GB"/>
        </w:rPr>
        <w:t>,</w:t>
      </w:r>
      <w:r w:rsidRPr="00463521">
        <w:rPr>
          <w:lang w:val="en-GB"/>
        </w:rPr>
        <w:t xml:space="preserve"> verified using other</w:t>
      </w:r>
      <w:r w:rsidR="002566DE">
        <w:rPr>
          <w:lang w:val="en-GB"/>
        </w:rPr>
        <w:t>,</w:t>
      </w:r>
      <w:r w:rsidRPr="00463521">
        <w:rPr>
          <w:lang w:val="en-GB"/>
        </w:rPr>
        <w:t xml:space="preserve"> more robust criteria. Experiments to simulate degradation</w:t>
      </w:r>
      <w:r w:rsidR="002566DE">
        <w:rPr>
          <w:lang w:val="en-GB"/>
        </w:rPr>
        <w:t>,</w:t>
      </w:r>
      <w:r w:rsidRPr="00463521">
        <w:rPr>
          <w:lang w:val="en-GB"/>
        </w:rPr>
        <w:t xml:space="preserve"> of course</w:t>
      </w:r>
      <w:r w:rsidR="002566DE">
        <w:rPr>
          <w:lang w:val="en-GB"/>
        </w:rPr>
        <w:t>,</w:t>
      </w:r>
      <w:r w:rsidRPr="00463521">
        <w:rPr>
          <w:lang w:val="en-GB"/>
        </w:rPr>
        <w:t xml:space="preserve"> can be very useful</w:t>
      </w:r>
      <w:r w:rsidR="002566DE">
        <w:rPr>
          <w:lang w:val="en-GB"/>
        </w:rPr>
        <w:t>,</w:t>
      </w:r>
      <w:r w:rsidRPr="00463521">
        <w:rPr>
          <w:lang w:val="en-GB"/>
        </w:rPr>
        <w:t xml:space="preserve"> but such lines of evidence are at best illustrative and should be used to assist and enhance</w:t>
      </w:r>
      <w:r w:rsidR="002566DE">
        <w:rPr>
          <w:lang w:val="en-GB"/>
        </w:rPr>
        <w:t>,</w:t>
      </w:r>
      <w:r w:rsidRPr="00463521">
        <w:rPr>
          <w:lang w:val="en-GB"/>
        </w:rPr>
        <w:t xml:space="preserve"> rather than reduce and limit interpretations. </w:t>
      </w:r>
    </w:p>
    <w:p w14:paraId="20E3A9B7" w14:textId="77777777" w:rsidR="00C2191D" w:rsidRPr="00463521" w:rsidRDefault="00C2191D" w:rsidP="00463521">
      <w:pPr>
        <w:spacing w:line="360" w:lineRule="auto"/>
        <w:rPr>
          <w:lang w:val="en-GB"/>
        </w:rPr>
      </w:pPr>
    </w:p>
    <w:p w14:paraId="58F28FAB" w14:textId="77777777" w:rsidR="00C2191D" w:rsidRPr="00463521" w:rsidRDefault="00715C63" w:rsidP="00463521">
      <w:pPr>
        <w:pStyle w:val="Heading2"/>
        <w:spacing w:before="0" w:after="0" w:line="360" w:lineRule="auto"/>
        <w:rPr>
          <w:sz w:val="24"/>
          <w:szCs w:val="24"/>
          <w:lang w:val="en-GB"/>
        </w:rPr>
      </w:pPr>
      <w:r w:rsidRPr="00463521">
        <w:rPr>
          <w:sz w:val="24"/>
          <w:szCs w:val="24"/>
          <w:lang w:val="en-GB"/>
        </w:rPr>
        <w:t>Acknowledgements</w:t>
      </w:r>
    </w:p>
    <w:p w14:paraId="6C7E8A2E" w14:textId="25B8B049" w:rsidR="00C2191D" w:rsidRPr="00463521" w:rsidRDefault="00715C63" w:rsidP="00463521">
      <w:pPr>
        <w:spacing w:line="360" w:lineRule="auto"/>
        <w:rPr>
          <w:lang w:val="en-GB"/>
        </w:rPr>
      </w:pPr>
      <w:r w:rsidRPr="00463521">
        <w:rPr>
          <w:lang w:val="en-GB"/>
        </w:rPr>
        <w:t xml:space="preserve">We thank the Museum of Natural and Cultural History in Eugene, Oregon, for providing access to the NAK8 sample and the Laboratory of Anthropology at the University of Michigan for providing access to the Schultz site samples. We would also like to thank Mary E. </w:t>
      </w:r>
      <w:proofErr w:type="spellStart"/>
      <w:r w:rsidRPr="00463521">
        <w:rPr>
          <w:lang w:val="en-GB"/>
        </w:rPr>
        <w:t>Malainey</w:t>
      </w:r>
      <w:proofErr w:type="spellEnd"/>
      <w:r w:rsidRPr="00463521">
        <w:rPr>
          <w:lang w:val="en-GB"/>
        </w:rPr>
        <w:t xml:space="preserve"> for her comments and suggestions on an earlier draft. This work was supported by a Marie Curie Incoming International Fellowship (grant#273392), the Social Sciences and Humanities Council of Canada (grant#756-2011-0321), the Arts and Humanities Research Council (AH/L00691X/1) and EU Horizon 2020 (Marie Curie Actions Grant Agreement No 676154). </w:t>
      </w:r>
    </w:p>
    <w:p w14:paraId="4D87F89A" w14:textId="77777777" w:rsidR="00C2191D" w:rsidRDefault="00C2191D" w:rsidP="004E20F3">
      <w:pPr>
        <w:spacing w:line="360" w:lineRule="auto"/>
        <w:rPr>
          <w:lang w:val="en-GB"/>
        </w:rPr>
      </w:pPr>
    </w:p>
    <w:p w14:paraId="74590961" w14:textId="77777777" w:rsidR="004E20F3" w:rsidRPr="00D25F2A" w:rsidRDefault="004E20F3" w:rsidP="004E20F3">
      <w:pPr>
        <w:tabs>
          <w:tab w:val="right" w:pos="8640"/>
        </w:tabs>
        <w:autoSpaceDE w:val="0"/>
        <w:autoSpaceDN w:val="0"/>
        <w:adjustRightInd w:val="0"/>
        <w:spacing w:line="360" w:lineRule="auto"/>
        <w:rPr>
          <w:b/>
          <w:color w:val="000000"/>
          <w:kern w:val="1"/>
          <w:lang w:eastAsia="fr-FR"/>
        </w:rPr>
      </w:pPr>
      <w:r w:rsidRPr="00D25F2A">
        <w:rPr>
          <w:b/>
          <w:color w:val="000000"/>
          <w:kern w:val="1"/>
          <w:lang w:eastAsia="fr-FR"/>
        </w:rPr>
        <w:t>Supplementary material</w:t>
      </w:r>
    </w:p>
    <w:p w14:paraId="16C9BB7D" w14:textId="77777777" w:rsidR="004E20F3" w:rsidRDefault="004E20F3" w:rsidP="004E20F3">
      <w:pPr>
        <w:spacing w:line="360" w:lineRule="auto"/>
        <w:rPr>
          <w:lang w:eastAsia="fr-FR"/>
        </w:rPr>
      </w:pPr>
      <w:r w:rsidRPr="00D25F2A">
        <w:rPr>
          <w:color w:val="000000"/>
          <w:kern w:val="1"/>
          <w:lang w:eastAsia="fr-FR"/>
        </w:rPr>
        <w:t>To view supplementary material for this article, please visit XXXX</w:t>
      </w:r>
    </w:p>
    <w:p w14:paraId="542A5797" w14:textId="77777777" w:rsidR="004E20F3" w:rsidRPr="004E20F3" w:rsidRDefault="004E20F3" w:rsidP="004E20F3">
      <w:pPr>
        <w:spacing w:line="360" w:lineRule="auto"/>
        <w:rPr>
          <w:lang w:eastAsia="fr-FR"/>
        </w:rPr>
      </w:pPr>
    </w:p>
    <w:p w14:paraId="776F29FF" w14:textId="77777777" w:rsidR="00C2191D" w:rsidRPr="00463521" w:rsidRDefault="00715C63" w:rsidP="004E20F3">
      <w:pPr>
        <w:pStyle w:val="Heading2"/>
        <w:spacing w:before="0" w:after="0" w:line="360" w:lineRule="auto"/>
        <w:rPr>
          <w:sz w:val="24"/>
          <w:szCs w:val="24"/>
          <w:lang w:val="en-GB"/>
        </w:rPr>
      </w:pPr>
      <w:r w:rsidRPr="00463521">
        <w:rPr>
          <w:sz w:val="24"/>
          <w:szCs w:val="24"/>
          <w:lang w:val="en-GB"/>
        </w:rPr>
        <w:t>References</w:t>
      </w:r>
    </w:p>
    <w:p w14:paraId="7EAB1C49" w14:textId="77777777" w:rsidR="00C2191D" w:rsidRPr="00463521" w:rsidRDefault="00715C63" w:rsidP="00463521">
      <w:pPr>
        <w:spacing w:line="360" w:lineRule="auto"/>
        <w:rPr>
          <w:lang w:val="en-GB"/>
        </w:rPr>
      </w:pPr>
      <w:bookmarkStart w:id="21" w:name="_gjdgxs" w:colFirst="0" w:colLast="0"/>
      <w:bookmarkEnd w:id="21"/>
      <w:r w:rsidRPr="00463521">
        <w:rPr>
          <w:lang w:val="en-GB"/>
        </w:rPr>
        <w:t>C</w:t>
      </w:r>
      <w:r w:rsidRPr="00463521">
        <w:rPr>
          <w:smallCaps/>
          <w:lang w:val="en-GB"/>
        </w:rPr>
        <w:t>opley</w:t>
      </w:r>
      <w:r w:rsidRPr="00463521">
        <w:rPr>
          <w:lang w:val="en-GB"/>
        </w:rPr>
        <w:t xml:space="preserve">, M.S., </w:t>
      </w:r>
      <w:r w:rsidR="0075748A">
        <w:rPr>
          <w:lang w:val="en-GB"/>
        </w:rPr>
        <w:t xml:space="preserve">F.A. </w:t>
      </w:r>
      <w:r w:rsidRPr="00463521">
        <w:rPr>
          <w:lang w:val="en-GB"/>
        </w:rPr>
        <w:t>H</w:t>
      </w:r>
      <w:r w:rsidRPr="00463521">
        <w:rPr>
          <w:smallCaps/>
          <w:lang w:val="en-GB"/>
        </w:rPr>
        <w:t>ansel</w:t>
      </w:r>
      <w:r w:rsidR="0075748A">
        <w:rPr>
          <w:lang w:val="en-GB"/>
        </w:rPr>
        <w:t>, K.</w:t>
      </w:r>
      <w:r w:rsidRPr="00463521">
        <w:rPr>
          <w:lang w:val="en-GB"/>
        </w:rPr>
        <w:t xml:space="preserve"> S</w:t>
      </w:r>
      <w:r w:rsidRPr="00463521">
        <w:rPr>
          <w:smallCaps/>
          <w:lang w:val="en-GB"/>
        </w:rPr>
        <w:t>adr</w:t>
      </w:r>
      <w:r w:rsidRPr="00463521">
        <w:rPr>
          <w:lang w:val="en-GB"/>
        </w:rPr>
        <w:t xml:space="preserve"> &amp; R.P. </w:t>
      </w:r>
      <w:proofErr w:type="spellStart"/>
      <w:r w:rsidRPr="00463521">
        <w:rPr>
          <w:lang w:val="en-GB"/>
        </w:rPr>
        <w:t>E</w:t>
      </w:r>
      <w:r w:rsidRPr="00463521">
        <w:rPr>
          <w:smallCaps/>
          <w:lang w:val="en-GB"/>
        </w:rPr>
        <w:t>vershed</w:t>
      </w:r>
      <w:proofErr w:type="spellEnd"/>
      <w:r w:rsidRPr="00463521">
        <w:rPr>
          <w:lang w:val="en-GB"/>
        </w:rPr>
        <w:t xml:space="preserve">. 2004. Organic residue evidence for the processing of marine animal products in pottery vessels from the pre-colonial archaeological site of </w:t>
      </w:r>
      <w:proofErr w:type="spellStart"/>
      <w:r w:rsidRPr="00463521">
        <w:rPr>
          <w:lang w:val="en-GB"/>
        </w:rPr>
        <w:t>Kasteelberg</w:t>
      </w:r>
      <w:proofErr w:type="spellEnd"/>
      <w:r w:rsidRPr="00463521">
        <w:rPr>
          <w:lang w:val="en-GB"/>
        </w:rPr>
        <w:t xml:space="preserve"> D east, South Africa. </w:t>
      </w:r>
      <w:r w:rsidRPr="00463521">
        <w:rPr>
          <w:i/>
          <w:lang w:val="en-GB"/>
        </w:rPr>
        <w:t>South African Journal of Science</w:t>
      </w:r>
      <w:r w:rsidRPr="00463521">
        <w:rPr>
          <w:lang w:val="en-GB"/>
        </w:rPr>
        <w:t xml:space="preserve"> </w:t>
      </w:r>
      <w:r w:rsidRPr="0075748A">
        <w:rPr>
          <w:lang w:val="en-GB"/>
        </w:rPr>
        <w:t>100</w:t>
      </w:r>
      <w:r w:rsidR="0075748A">
        <w:rPr>
          <w:lang w:val="en-GB"/>
        </w:rPr>
        <w:t>(5): 279–</w:t>
      </w:r>
      <w:r w:rsidRPr="00463521">
        <w:rPr>
          <w:lang w:val="en-GB"/>
        </w:rPr>
        <w:t>83.</w:t>
      </w:r>
    </w:p>
    <w:p w14:paraId="05691815" w14:textId="724833BE" w:rsidR="00C2191D" w:rsidRPr="00463521" w:rsidRDefault="00715C63" w:rsidP="00463521">
      <w:pPr>
        <w:spacing w:line="360" w:lineRule="auto"/>
        <w:rPr>
          <w:lang w:val="en-GB"/>
        </w:rPr>
      </w:pPr>
      <w:r w:rsidRPr="00463521">
        <w:rPr>
          <w:lang w:val="en-GB"/>
        </w:rPr>
        <w:t>C</w:t>
      </w:r>
      <w:r w:rsidRPr="00463521">
        <w:rPr>
          <w:smallCaps/>
          <w:lang w:val="en-GB"/>
        </w:rPr>
        <w:t>orrea</w:t>
      </w:r>
      <w:r w:rsidRPr="00463521">
        <w:rPr>
          <w:lang w:val="en-GB"/>
        </w:rPr>
        <w:t>-</w:t>
      </w:r>
      <w:proofErr w:type="spellStart"/>
      <w:r w:rsidRPr="00463521">
        <w:rPr>
          <w:lang w:val="en-GB"/>
        </w:rPr>
        <w:t>A</w:t>
      </w:r>
      <w:r w:rsidRPr="00463521">
        <w:rPr>
          <w:smallCaps/>
          <w:lang w:val="en-GB"/>
        </w:rPr>
        <w:t>scencio</w:t>
      </w:r>
      <w:proofErr w:type="spellEnd"/>
      <w:r w:rsidRPr="00463521">
        <w:rPr>
          <w:lang w:val="en-GB"/>
        </w:rPr>
        <w:t xml:space="preserve">, M. &amp; R.P. </w:t>
      </w:r>
      <w:proofErr w:type="spellStart"/>
      <w:r w:rsidRPr="00463521">
        <w:rPr>
          <w:lang w:val="en-GB"/>
        </w:rPr>
        <w:t>E</w:t>
      </w:r>
      <w:r w:rsidRPr="00463521">
        <w:rPr>
          <w:smallCaps/>
          <w:lang w:val="en-GB"/>
        </w:rPr>
        <w:t>vershed</w:t>
      </w:r>
      <w:proofErr w:type="spellEnd"/>
      <w:r w:rsidRPr="00463521">
        <w:rPr>
          <w:lang w:val="en-GB"/>
        </w:rPr>
        <w:t xml:space="preserve">. 2014. High throughput screening of organic residues in archaeological potsherds using direct acidified methanol extraction. </w:t>
      </w:r>
      <w:r w:rsidRPr="00463521">
        <w:rPr>
          <w:i/>
          <w:lang w:val="en-GB"/>
        </w:rPr>
        <w:t>Analytical Methods</w:t>
      </w:r>
      <w:r w:rsidR="00854174">
        <w:rPr>
          <w:lang w:val="en-GB"/>
        </w:rPr>
        <w:t xml:space="preserve"> 6</w:t>
      </w:r>
      <w:r w:rsidR="0075748A">
        <w:rPr>
          <w:lang w:val="en-GB"/>
        </w:rPr>
        <w:t>: 1330–</w:t>
      </w:r>
      <w:r w:rsidRPr="00463521">
        <w:rPr>
          <w:lang w:val="en-GB"/>
        </w:rPr>
        <w:t>40.</w:t>
      </w:r>
      <w:r w:rsidR="00E530DD">
        <w:rPr>
          <w:lang w:val="en-GB"/>
        </w:rPr>
        <w:t xml:space="preserve"> </w:t>
      </w:r>
      <w:r w:rsidR="00E530DD" w:rsidRPr="00E530DD">
        <w:rPr>
          <w:lang w:val="en-GB"/>
        </w:rPr>
        <w:t>https://doi.org/10.1039/c3ay41678j</w:t>
      </w:r>
    </w:p>
    <w:p w14:paraId="2BCD7EF9" w14:textId="2578847C" w:rsidR="00C2191D" w:rsidRPr="00463521" w:rsidRDefault="00715C63" w:rsidP="00463521">
      <w:pPr>
        <w:spacing w:line="360" w:lineRule="auto"/>
        <w:rPr>
          <w:lang w:val="en-GB"/>
        </w:rPr>
      </w:pPr>
      <w:r w:rsidRPr="00463521">
        <w:rPr>
          <w:lang w:val="en-GB"/>
        </w:rPr>
        <w:t>C</w:t>
      </w:r>
      <w:r w:rsidRPr="00463521">
        <w:rPr>
          <w:smallCaps/>
          <w:lang w:val="en-GB"/>
        </w:rPr>
        <w:t>raig</w:t>
      </w:r>
      <w:r w:rsidRPr="00463521">
        <w:rPr>
          <w:lang w:val="en-GB"/>
        </w:rPr>
        <w:t>, O.E. V.J. S</w:t>
      </w:r>
      <w:r w:rsidRPr="00463521">
        <w:rPr>
          <w:smallCaps/>
          <w:lang w:val="en-GB"/>
        </w:rPr>
        <w:t>teele</w:t>
      </w:r>
      <w:r w:rsidRPr="00463521">
        <w:rPr>
          <w:lang w:val="en-GB"/>
        </w:rPr>
        <w:t>, A. F</w:t>
      </w:r>
      <w:r w:rsidRPr="00463521">
        <w:rPr>
          <w:smallCaps/>
          <w:lang w:val="en-GB"/>
        </w:rPr>
        <w:t>ischer</w:t>
      </w:r>
      <w:r w:rsidRPr="00463521">
        <w:rPr>
          <w:lang w:val="en-GB"/>
        </w:rPr>
        <w:t>, S. H</w:t>
      </w:r>
      <w:r w:rsidRPr="00463521">
        <w:rPr>
          <w:smallCaps/>
          <w:lang w:val="en-GB"/>
        </w:rPr>
        <w:t>artz</w:t>
      </w:r>
      <w:r w:rsidRPr="00463521">
        <w:rPr>
          <w:lang w:val="en-GB"/>
        </w:rPr>
        <w:t>, S.H. A</w:t>
      </w:r>
      <w:r w:rsidRPr="00463521">
        <w:rPr>
          <w:smallCaps/>
          <w:lang w:val="en-GB"/>
        </w:rPr>
        <w:t>ndersen</w:t>
      </w:r>
      <w:r w:rsidRPr="00463521">
        <w:rPr>
          <w:lang w:val="en-GB"/>
        </w:rPr>
        <w:t>, P. D</w:t>
      </w:r>
      <w:r w:rsidRPr="00463521">
        <w:rPr>
          <w:smallCaps/>
          <w:lang w:val="en-GB"/>
        </w:rPr>
        <w:t>onohoe</w:t>
      </w:r>
      <w:r w:rsidRPr="00463521">
        <w:rPr>
          <w:lang w:val="en-GB"/>
        </w:rPr>
        <w:t xml:space="preserve">, A. </w:t>
      </w:r>
      <w:proofErr w:type="spellStart"/>
      <w:r w:rsidRPr="00463521">
        <w:rPr>
          <w:lang w:val="en-GB"/>
        </w:rPr>
        <w:t>G</w:t>
      </w:r>
      <w:r w:rsidRPr="00463521">
        <w:rPr>
          <w:smallCaps/>
          <w:lang w:val="en-GB"/>
        </w:rPr>
        <w:t>lykou</w:t>
      </w:r>
      <w:proofErr w:type="spellEnd"/>
      <w:r w:rsidRPr="00463521">
        <w:rPr>
          <w:lang w:val="en-GB"/>
        </w:rPr>
        <w:t>, H. S</w:t>
      </w:r>
      <w:r w:rsidRPr="00463521">
        <w:rPr>
          <w:smallCaps/>
          <w:lang w:val="en-GB"/>
        </w:rPr>
        <w:t>aul</w:t>
      </w:r>
      <w:r w:rsidRPr="00463521">
        <w:rPr>
          <w:lang w:val="en-GB"/>
        </w:rPr>
        <w:t>, D.M. J</w:t>
      </w:r>
      <w:r w:rsidRPr="00463521">
        <w:rPr>
          <w:smallCaps/>
          <w:lang w:val="en-GB"/>
        </w:rPr>
        <w:t>ones</w:t>
      </w:r>
      <w:r w:rsidRPr="00463521">
        <w:rPr>
          <w:lang w:val="en-GB"/>
        </w:rPr>
        <w:t>, E. K</w:t>
      </w:r>
      <w:r w:rsidRPr="00463521">
        <w:rPr>
          <w:smallCaps/>
          <w:lang w:val="en-GB"/>
        </w:rPr>
        <w:t>och</w:t>
      </w:r>
      <w:r w:rsidRPr="00463521">
        <w:rPr>
          <w:lang w:val="en-GB"/>
        </w:rPr>
        <w:t xml:space="preserve"> &amp; C.P. Heron. 2011. Ancient lipids reveal continuity in culinary practices across the transition to agriculture in Northern Europe. </w:t>
      </w:r>
      <w:r w:rsidRPr="00463521">
        <w:rPr>
          <w:i/>
          <w:lang w:val="en-GB"/>
        </w:rPr>
        <w:t xml:space="preserve">Proceedings of the National Academy of Sciences of the </w:t>
      </w:r>
      <w:r w:rsidR="0075748A">
        <w:rPr>
          <w:i/>
          <w:lang w:val="en-GB"/>
        </w:rPr>
        <w:t>USA</w:t>
      </w:r>
      <w:r w:rsidR="00854174">
        <w:rPr>
          <w:lang w:val="en-GB"/>
        </w:rPr>
        <w:t xml:space="preserve"> 108</w:t>
      </w:r>
      <w:r w:rsidR="0075748A">
        <w:rPr>
          <w:lang w:val="en-GB"/>
        </w:rPr>
        <w:t>: 17910–</w:t>
      </w:r>
      <w:r w:rsidRPr="00463521">
        <w:rPr>
          <w:lang w:val="en-GB"/>
        </w:rPr>
        <w:t>15.</w:t>
      </w:r>
      <w:r w:rsidR="00E530DD">
        <w:rPr>
          <w:lang w:val="en-GB"/>
        </w:rPr>
        <w:t xml:space="preserve"> </w:t>
      </w:r>
      <w:r w:rsidR="00E530DD" w:rsidRPr="00E530DD">
        <w:rPr>
          <w:lang w:val="en-GB"/>
        </w:rPr>
        <w:t>ttps://doi.org/10.1073/pnas.1107202108</w:t>
      </w:r>
    </w:p>
    <w:p w14:paraId="058CE9C8" w14:textId="77C5B538" w:rsidR="00C2191D" w:rsidRPr="00463521" w:rsidRDefault="00715C63" w:rsidP="00463521">
      <w:pPr>
        <w:spacing w:line="360" w:lineRule="auto"/>
        <w:rPr>
          <w:lang w:val="en-GB"/>
        </w:rPr>
      </w:pPr>
      <w:r w:rsidRPr="00463521">
        <w:rPr>
          <w:lang w:val="en-GB"/>
        </w:rPr>
        <w:t>C</w:t>
      </w:r>
      <w:r w:rsidRPr="00463521">
        <w:rPr>
          <w:smallCaps/>
          <w:lang w:val="en-GB"/>
        </w:rPr>
        <w:t>raig</w:t>
      </w:r>
      <w:r w:rsidRPr="00463521">
        <w:rPr>
          <w:lang w:val="en-GB"/>
        </w:rPr>
        <w:t>, O.E., R.B. A</w:t>
      </w:r>
      <w:r w:rsidRPr="00463521">
        <w:rPr>
          <w:smallCaps/>
          <w:lang w:val="en-GB"/>
        </w:rPr>
        <w:t>llen</w:t>
      </w:r>
      <w:r w:rsidRPr="00463521">
        <w:rPr>
          <w:lang w:val="en-GB"/>
        </w:rPr>
        <w:t>, A. T</w:t>
      </w:r>
      <w:r w:rsidRPr="00463521">
        <w:rPr>
          <w:smallCaps/>
          <w:lang w:val="en-GB"/>
        </w:rPr>
        <w:t>hompson</w:t>
      </w:r>
      <w:r w:rsidRPr="00463521">
        <w:rPr>
          <w:lang w:val="en-GB"/>
        </w:rPr>
        <w:t>, R.E. S</w:t>
      </w:r>
      <w:r w:rsidRPr="00463521">
        <w:rPr>
          <w:smallCaps/>
          <w:lang w:val="en-GB"/>
        </w:rPr>
        <w:t>tevens</w:t>
      </w:r>
      <w:r w:rsidRPr="00463521">
        <w:rPr>
          <w:lang w:val="en-GB"/>
        </w:rPr>
        <w:t>, V.J. S</w:t>
      </w:r>
      <w:r w:rsidRPr="00463521">
        <w:rPr>
          <w:smallCaps/>
          <w:lang w:val="en-GB"/>
        </w:rPr>
        <w:t>teele</w:t>
      </w:r>
      <w:r w:rsidRPr="00463521">
        <w:rPr>
          <w:lang w:val="en-GB"/>
        </w:rPr>
        <w:t xml:space="preserve"> &amp; C. H</w:t>
      </w:r>
      <w:r w:rsidRPr="00463521">
        <w:rPr>
          <w:smallCaps/>
          <w:lang w:val="en-GB"/>
        </w:rPr>
        <w:t>eron</w:t>
      </w:r>
      <w:r w:rsidRPr="00463521">
        <w:rPr>
          <w:lang w:val="en-GB"/>
        </w:rPr>
        <w:t xml:space="preserve">. 2012. Distinguishing wild ruminant lipids by gas chromatography/combustion/isotope ratio mass spectrometry. </w:t>
      </w:r>
      <w:r w:rsidRPr="00463521">
        <w:rPr>
          <w:i/>
          <w:lang w:val="en-GB"/>
        </w:rPr>
        <w:t xml:space="preserve">Rapid </w:t>
      </w:r>
      <w:r w:rsidR="00E530DD">
        <w:rPr>
          <w:i/>
          <w:lang w:val="en-GB"/>
        </w:rPr>
        <w:t>C</w:t>
      </w:r>
      <w:r w:rsidRPr="00463521">
        <w:rPr>
          <w:i/>
          <w:lang w:val="en-GB"/>
        </w:rPr>
        <w:t xml:space="preserve">ommunications in </w:t>
      </w:r>
      <w:r w:rsidR="00E530DD">
        <w:rPr>
          <w:i/>
          <w:lang w:val="en-GB"/>
        </w:rPr>
        <w:t>M</w:t>
      </w:r>
      <w:r w:rsidRPr="00463521">
        <w:rPr>
          <w:i/>
          <w:lang w:val="en-GB"/>
        </w:rPr>
        <w:t xml:space="preserve">ass </w:t>
      </w:r>
      <w:r w:rsidR="00E530DD">
        <w:rPr>
          <w:i/>
          <w:lang w:val="en-GB"/>
        </w:rPr>
        <w:t>S</w:t>
      </w:r>
      <w:r w:rsidRPr="00463521">
        <w:rPr>
          <w:i/>
          <w:lang w:val="en-GB"/>
        </w:rPr>
        <w:t>pectrometry</w:t>
      </w:r>
      <w:r w:rsidR="00854174">
        <w:rPr>
          <w:lang w:val="en-GB"/>
        </w:rPr>
        <w:t xml:space="preserve"> 26</w:t>
      </w:r>
      <w:r w:rsidR="0075748A">
        <w:rPr>
          <w:lang w:val="en-GB"/>
        </w:rPr>
        <w:t>: 2359–</w:t>
      </w:r>
      <w:r w:rsidRPr="00463521">
        <w:rPr>
          <w:lang w:val="en-GB"/>
        </w:rPr>
        <w:t>64.</w:t>
      </w:r>
      <w:r w:rsidR="00E530DD">
        <w:rPr>
          <w:lang w:val="en-GB"/>
        </w:rPr>
        <w:t xml:space="preserve"> </w:t>
      </w:r>
      <w:r w:rsidR="00E530DD" w:rsidRPr="00E530DD">
        <w:rPr>
          <w:lang w:val="en-GB"/>
        </w:rPr>
        <w:t>https://doi.org/10.1002/rcm.6349</w:t>
      </w:r>
    </w:p>
    <w:p w14:paraId="09F15089" w14:textId="77777777" w:rsidR="00C2191D" w:rsidRPr="00463521" w:rsidRDefault="00715C63" w:rsidP="00463521">
      <w:pPr>
        <w:spacing w:line="360" w:lineRule="auto"/>
        <w:rPr>
          <w:lang w:val="en-GB"/>
        </w:rPr>
      </w:pPr>
      <w:r w:rsidRPr="00463521">
        <w:rPr>
          <w:lang w:val="en-GB"/>
        </w:rPr>
        <w:t>C</w:t>
      </w:r>
      <w:r w:rsidRPr="00463521">
        <w:rPr>
          <w:smallCaps/>
          <w:lang w:val="en-GB"/>
        </w:rPr>
        <w:t>ramp</w:t>
      </w:r>
      <w:r w:rsidRPr="00463521">
        <w:rPr>
          <w:lang w:val="en-GB"/>
        </w:rPr>
        <w:t xml:space="preserve">, L. &amp; R.P. </w:t>
      </w:r>
      <w:proofErr w:type="spellStart"/>
      <w:r w:rsidRPr="00463521">
        <w:rPr>
          <w:lang w:val="en-GB"/>
        </w:rPr>
        <w:t>E</w:t>
      </w:r>
      <w:r w:rsidRPr="00463521">
        <w:rPr>
          <w:smallCaps/>
          <w:lang w:val="en-GB"/>
        </w:rPr>
        <w:t>vershed</w:t>
      </w:r>
      <w:proofErr w:type="spellEnd"/>
      <w:r w:rsidRPr="00463521">
        <w:rPr>
          <w:lang w:val="en-GB"/>
        </w:rPr>
        <w:t>. 2014. Reconstructing aquatic resource exploitation in human prehistory using lipid biomarkers</w:t>
      </w:r>
      <w:r w:rsidR="00E530DD">
        <w:rPr>
          <w:lang w:val="en-GB"/>
        </w:rPr>
        <w:t xml:space="preserve"> and stable isotopes, in H.D.H.</w:t>
      </w:r>
      <w:r w:rsidRPr="00463521">
        <w:rPr>
          <w:lang w:val="en-GB"/>
        </w:rPr>
        <w:t xml:space="preserve">K. </w:t>
      </w:r>
      <w:proofErr w:type="spellStart"/>
      <w:r w:rsidRPr="00463521">
        <w:rPr>
          <w:lang w:val="en-GB"/>
        </w:rPr>
        <w:t>Turekian</w:t>
      </w:r>
      <w:proofErr w:type="spellEnd"/>
      <w:r w:rsidRPr="00463521">
        <w:rPr>
          <w:lang w:val="en-GB"/>
        </w:rPr>
        <w:t xml:space="preserve"> (ed.) </w:t>
      </w:r>
      <w:r w:rsidRPr="00463521">
        <w:rPr>
          <w:i/>
          <w:lang w:val="en-GB"/>
        </w:rPr>
        <w:t xml:space="preserve">Treatise on </w:t>
      </w:r>
      <w:r w:rsidR="00E530DD">
        <w:rPr>
          <w:i/>
          <w:lang w:val="en-GB"/>
        </w:rPr>
        <w:t>g</w:t>
      </w:r>
      <w:r w:rsidRPr="00463521">
        <w:rPr>
          <w:i/>
          <w:lang w:val="en-GB"/>
        </w:rPr>
        <w:t>eochemistry (</w:t>
      </w:r>
      <w:r w:rsidR="00E530DD">
        <w:rPr>
          <w:i/>
          <w:lang w:val="en-GB"/>
        </w:rPr>
        <w:t>s</w:t>
      </w:r>
      <w:r w:rsidRPr="00463521">
        <w:rPr>
          <w:i/>
          <w:lang w:val="en-GB"/>
        </w:rPr>
        <w:t xml:space="preserve">econd </w:t>
      </w:r>
      <w:r w:rsidR="00E530DD">
        <w:rPr>
          <w:i/>
          <w:lang w:val="en-GB"/>
        </w:rPr>
        <w:t>e</w:t>
      </w:r>
      <w:r w:rsidRPr="00463521">
        <w:rPr>
          <w:i/>
          <w:lang w:val="en-GB"/>
        </w:rPr>
        <w:t>dition)</w:t>
      </w:r>
      <w:r w:rsidRPr="00463521">
        <w:rPr>
          <w:lang w:val="en-GB"/>
        </w:rPr>
        <w:t>: 319</w:t>
      </w:r>
      <w:r w:rsidR="00E530DD">
        <w:rPr>
          <w:lang w:val="en-GB"/>
        </w:rPr>
        <w:t>–</w:t>
      </w:r>
      <w:r w:rsidRPr="00463521">
        <w:rPr>
          <w:lang w:val="en-GB"/>
        </w:rPr>
        <w:t>39. Oxford: Elsevier.</w:t>
      </w:r>
      <w:r w:rsidR="00E530DD">
        <w:rPr>
          <w:lang w:val="en-GB"/>
        </w:rPr>
        <w:t xml:space="preserve"> </w:t>
      </w:r>
      <w:r w:rsidR="00E530DD" w:rsidRPr="00E530DD">
        <w:rPr>
          <w:lang w:val="en-GB"/>
        </w:rPr>
        <w:t>https://doi.org/10.1016/B978-0-08-095975-7.01225-0</w:t>
      </w:r>
    </w:p>
    <w:p w14:paraId="09AB5810" w14:textId="6004FF4A" w:rsidR="00C2191D" w:rsidRPr="00463521" w:rsidRDefault="00715C63" w:rsidP="00463521">
      <w:pPr>
        <w:spacing w:line="360" w:lineRule="auto"/>
        <w:rPr>
          <w:lang w:val="en-GB"/>
        </w:rPr>
      </w:pPr>
      <w:r w:rsidRPr="00463521">
        <w:rPr>
          <w:lang w:val="en-GB"/>
        </w:rPr>
        <w:t>C</w:t>
      </w:r>
      <w:r w:rsidRPr="00463521">
        <w:rPr>
          <w:smallCaps/>
          <w:lang w:val="en-GB"/>
        </w:rPr>
        <w:t>ramp</w:t>
      </w:r>
      <w:r w:rsidRPr="00463521">
        <w:rPr>
          <w:lang w:val="en-GB"/>
        </w:rPr>
        <w:t xml:space="preserve">, L.J., R.P. </w:t>
      </w:r>
      <w:proofErr w:type="spellStart"/>
      <w:r w:rsidRPr="00463521">
        <w:rPr>
          <w:lang w:val="en-GB"/>
        </w:rPr>
        <w:t>E</w:t>
      </w:r>
      <w:r w:rsidRPr="00463521">
        <w:rPr>
          <w:smallCaps/>
          <w:lang w:val="en-GB"/>
        </w:rPr>
        <w:t>vershed</w:t>
      </w:r>
      <w:proofErr w:type="spellEnd"/>
      <w:r w:rsidRPr="00463521">
        <w:rPr>
          <w:lang w:val="en-GB"/>
        </w:rPr>
        <w:t xml:space="preserve">, M. </w:t>
      </w:r>
      <w:proofErr w:type="spellStart"/>
      <w:r w:rsidRPr="00463521">
        <w:rPr>
          <w:lang w:val="en-GB"/>
        </w:rPr>
        <w:t>L</w:t>
      </w:r>
      <w:r w:rsidRPr="00463521">
        <w:rPr>
          <w:smallCaps/>
          <w:lang w:val="en-GB"/>
        </w:rPr>
        <w:t>avento</w:t>
      </w:r>
      <w:proofErr w:type="spellEnd"/>
      <w:r w:rsidRPr="00463521">
        <w:rPr>
          <w:lang w:val="en-GB"/>
        </w:rPr>
        <w:t xml:space="preserve">, P. </w:t>
      </w:r>
      <w:proofErr w:type="spellStart"/>
      <w:r w:rsidRPr="00463521">
        <w:rPr>
          <w:lang w:val="en-GB"/>
        </w:rPr>
        <w:t>H</w:t>
      </w:r>
      <w:r w:rsidRPr="00463521">
        <w:rPr>
          <w:smallCaps/>
          <w:lang w:val="en-GB"/>
        </w:rPr>
        <w:t>alinen</w:t>
      </w:r>
      <w:proofErr w:type="spellEnd"/>
      <w:r w:rsidRPr="00463521">
        <w:rPr>
          <w:lang w:val="en-GB"/>
        </w:rPr>
        <w:t xml:space="preserve">, K. </w:t>
      </w:r>
      <w:proofErr w:type="spellStart"/>
      <w:r w:rsidRPr="00463521">
        <w:rPr>
          <w:lang w:val="en-GB"/>
        </w:rPr>
        <w:t>M</w:t>
      </w:r>
      <w:r w:rsidRPr="00463521">
        <w:rPr>
          <w:smallCaps/>
          <w:lang w:val="en-GB"/>
        </w:rPr>
        <w:t>annermaa</w:t>
      </w:r>
      <w:proofErr w:type="spellEnd"/>
      <w:r w:rsidRPr="00463521">
        <w:rPr>
          <w:lang w:val="en-GB"/>
        </w:rPr>
        <w:t xml:space="preserve">, M. </w:t>
      </w:r>
      <w:proofErr w:type="spellStart"/>
      <w:r w:rsidRPr="00463521">
        <w:rPr>
          <w:lang w:val="en-GB"/>
        </w:rPr>
        <w:t>O</w:t>
      </w:r>
      <w:r w:rsidRPr="00463521">
        <w:rPr>
          <w:smallCaps/>
          <w:lang w:val="en-GB"/>
        </w:rPr>
        <w:t>inonen</w:t>
      </w:r>
      <w:proofErr w:type="spellEnd"/>
      <w:r w:rsidRPr="00463521">
        <w:rPr>
          <w:lang w:val="en-GB"/>
        </w:rPr>
        <w:t xml:space="preserve">, J. </w:t>
      </w:r>
      <w:proofErr w:type="spellStart"/>
      <w:r w:rsidRPr="00463521">
        <w:rPr>
          <w:lang w:val="en-GB"/>
        </w:rPr>
        <w:t>K</w:t>
      </w:r>
      <w:r w:rsidRPr="00463521">
        <w:rPr>
          <w:smallCaps/>
          <w:lang w:val="en-GB"/>
        </w:rPr>
        <w:t>ettunen</w:t>
      </w:r>
      <w:proofErr w:type="spellEnd"/>
      <w:r w:rsidRPr="00463521">
        <w:rPr>
          <w:lang w:val="en-GB"/>
        </w:rPr>
        <w:t xml:space="preserve">, M </w:t>
      </w:r>
      <w:proofErr w:type="spellStart"/>
      <w:r w:rsidRPr="00463521">
        <w:rPr>
          <w:lang w:val="en-GB"/>
        </w:rPr>
        <w:t>P</w:t>
      </w:r>
      <w:r w:rsidRPr="00463521">
        <w:rPr>
          <w:smallCaps/>
          <w:lang w:val="en-GB"/>
        </w:rPr>
        <w:t>erola</w:t>
      </w:r>
      <w:proofErr w:type="spellEnd"/>
      <w:r w:rsidRPr="00463521">
        <w:rPr>
          <w:lang w:val="en-GB"/>
        </w:rPr>
        <w:t xml:space="preserve">, P. </w:t>
      </w:r>
      <w:proofErr w:type="spellStart"/>
      <w:r w:rsidRPr="00463521">
        <w:rPr>
          <w:lang w:val="en-GB"/>
        </w:rPr>
        <w:t>O</w:t>
      </w:r>
      <w:r w:rsidRPr="00463521">
        <w:rPr>
          <w:smallCaps/>
          <w:lang w:val="en-GB"/>
        </w:rPr>
        <w:t>nkamo</w:t>
      </w:r>
      <w:proofErr w:type="spellEnd"/>
      <w:r w:rsidRPr="00463521">
        <w:rPr>
          <w:lang w:val="en-GB"/>
        </w:rPr>
        <w:t xml:space="preserve"> &amp; V. </w:t>
      </w:r>
      <w:proofErr w:type="spellStart"/>
      <w:r w:rsidRPr="00463521">
        <w:rPr>
          <w:lang w:val="en-GB"/>
        </w:rPr>
        <w:t>Heyd</w:t>
      </w:r>
      <w:proofErr w:type="spellEnd"/>
      <w:r w:rsidRPr="00463521">
        <w:rPr>
          <w:lang w:val="en-GB"/>
        </w:rPr>
        <w:t xml:space="preserve">. 2014. Neolithic dairy farming at the extreme of agriculture in northern Europe. </w:t>
      </w:r>
      <w:r w:rsidRPr="00463521">
        <w:rPr>
          <w:i/>
          <w:lang w:val="en-GB"/>
        </w:rPr>
        <w:t>Proceedings of the Royal Society of London B: Biological Sciences</w:t>
      </w:r>
      <w:r w:rsidR="00854174">
        <w:rPr>
          <w:lang w:val="en-GB"/>
        </w:rPr>
        <w:t xml:space="preserve"> 281</w:t>
      </w:r>
      <w:r w:rsidRPr="00463521">
        <w:rPr>
          <w:lang w:val="en-GB"/>
        </w:rPr>
        <w:t>: 20140819.</w:t>
      </w:r>
      <w:r w:rsidR="009F2DFC">
        <w:rPr>
          <w:lang w:val="en-GB"/>
        </w:rPr>
        <w:t xml:space="preserve"> </w:t>
      </w:r>
      <w:r w:rsidR="009F2DFC" w:rsidRPr="009F2DFC">
        <w:rPr>
          <w:lang w:val="en-GB"/>
        </w:rPr>
        <w:t>https://doi.org/10.1098/rspb.2014.0819</w:t>
      </w:r>
    </w:p>
    <w:p w14:paraId="0D5E0B72" w14:textId="742BC5A8" w:rsidR="00C2191D" w:rsidRPr="00463521" w:rsidRDefault="00715C63" w:rsidP="00463521">
      <w:pPr>
        <w:spacing w:line="360" w:lineRule="auto"/>
        <w:rPr>
          <w:lang w:val="en-GB"/>
        </w:rPr>
      </w:pPr>
      <w:proofErr w:type="spellStart"/>
      <w:r w:rsidRPr="00463521">
        <w:rPr>
          <w:lang w:val="en-GB"/>
        </w:rPr>
        <w:t>D</w:t>
      </w:r>
      <w:r w:rsidRPr="00463521">
        <w:rPr>
          <w:smallCaps/>
          <w:lang w:val="en-GB"/>
        </w:rPr>
        <w:t>eviese</w:t>
      </w:r>
      <w:proofErr w:type="spellEnd"/>
      <w:r w:rsidRPr="00463521">
        <w:rPr>
          <w:lang w:val="en-GB"/>
        </w:rPr>
        <w:t>, T., A. V</w:t>
      </w:r>
      <w:r w:rsidRPr="00463521">
        <w:rPr>
          <w:smallCaps/>
          <w:lang w:val="en-GB"/>
        </w:rPr>
        <w:t>an Ham-</w:t>
      </w:r>
      <w:proofErr w:type="spellStart"/>
      <w:r w:rsidRPr="00463521">
        <w:rPr>
          <w:smallCaps/>
          <w:lang w:val="en-GB"/>
        </w:rPr>
        <w:t>Meert</w:t>
      </w:r>
      <w:proofErr w:type="spellEnd"/>
      <w:r w:rsidRPr="00463521">
        <w:rPr>
          <w:lang w:val="en-GB"/>
        </w:rPr>
        <w:t>, V.J. H</w:t>
      </w:r>
      <w:r w:rsidRPr="00463521">
        <w:rPr>
          <w:smallCaps/>
          <w:lang w:val="en-GB"/>
        </w:rPr>
        <w:t>are</w:t>
      </w:r>
      <w:r w:rsidRPr="00463521">
        <w:rPr>
          <w:lang w:val="en-GB"/>
        </w:rPr>
        <w:t>, J. L</w:t>
      </w:r>
      <w:r w:rsidRPr="00463521">
        <w:rPr>
          <w:smallCaps/>
          <w:lang w:val="en-GB"/>
        </w:rPr>
        <w:t>undy</w:t>
      </w:r>
      <w:r w:rsidRPr="00463521">
        <w:rPr>
          <w:lang w:val="en-GB"/>
        </w:rPr>
        <w:t xml:space="preserve">, P. </w:t>
      </w:r>
      <w:proofErr w:type="spellStart"/>
      <w:r w:rsidRPr="00463521">
        <w:rPr>
          <w:lang w:val="en-GB"/>
        </w:rPr>
        <w:t>H</w:t>
      </w:r>
      <w:r w:rsidRPr="00463521">
        <w:rPr>
          <w:smallCaps/>
          <w:lang w:val="en-GB"/>
        </w:rPr>
        <w:t>ommel</w:t>
      </w:r>
      <w:proofErr w:type="spellEnd"/>
      <w:r w:rsidRPr="00463521">
        <w:rPr>
          <w:lang w:val="en-GB"/>
        </w:rPr>
        <w:t xml:space="preserve">, V. </w:t>
      </w:r>
      <w:proofErr w:type="spellStart"/>
      <w:r w:rsidRPr="00463521">
        <w:rPr>
          <w:lang w:val="en-GB"/>
        </w:rPr>
        <w:t>I</w:t>
      </w:r>
      <w:r w:rsidRPr="00463521">
        <w:rPr>
          <w:smallCaps/>
          <w:lang w:val="en-GB"/>
        </w:rPr>
        <w:t>vanovich</w:t>
      </w:r>
      <w:proofErr w:type="spellEnd"/>
      <w:r w:rsidRPr="00463521">
        <w:rPr>
          <w:smallCaps/>
          <w:lang w:val="en-GB"/>
        </w:rPr>
        <w:t xml:space="preserve"> </w:t>
      </w:r>
      <w:proofErr w:type="spellStart"/>
      <w:r w:rsidRPr="00463521">
        <w:rPr>
          <w:smallCaps/>
          <w:lang w:val="en-GB"/>
        </w:rPr>
        <w:t>Bazaliiskii</w:t>
      </w:r>
      <w:proofErr w:type="spellEnd"/>
      <w:r w:rsidRPr="00463521">
        <w:rPr>
          <w:smallCaps/>
          <w:lang w:val="en-GB"/>
        </w:rPr>
        <w:t xml:space="preserve"> </w:t>
      </w:r>
      <w:r w:rsidRPr="00463521">
        <w:rPr>
          <w:lang w:val="en-GB"/>
        </w:rPr>
        <w:t>&amp; J. O</w:t>
      </w:r>
      <w:r w:rsidRPr="00463521">
        <w:rPr>
          <w:smallCaps/>
          <w:lang w:val="en-GB"/>
        </w:rPr>
        <w:t>rton</w:t>
      </w:r>
      <w:r w:rsidRPr="00463521">
        <w:rPr>
          <w:lang w:val="en-GB"/>
        </w:rPr>
        <w:t xml:space="preserve">. 2018. Supercritical fluids for higher extraction yields of lipids from archaeological ceramics. </w:t>
      </w:r>
      <w:r w:rsidRPr="00463521">
        <w:rPr>
          <w:i/>
          <w:lang w:val="en-GB"/>
        </w:rPr>
        <w:t xml:space="preserve">Analytical </w:t>
      </w:r>
      <w:r w:rsidR="0075748A">
        <w:rPr>
          <w:i/>
          <w:lang w:val="en-GB"/>
        </w:rPr>
        <w:t>C</w:t>
      </w:r>
      <w:r w:rsidRPr="00463521">
        <w:rPr>
          <w:i/>
          <w:lang w:val="en-GB"/>
        </w:rPr>
        <w:t>hemistry</w:t>
      </w:r>
      <w:r w:rsidR="0075748A">
        <w:rPr>
          <w:lang w:val="en-GB"/>
        </w:rPr>
        <w:t xml:space="preserve"> 90:</w:t>
      </w:r>
      <w:r w:rsidR="009F2DFC">
        <w:rPr>
          <w:lang w:val="en-GB"/>
        </w:rPr>
        <w:t xml:space="preserve"> 2420–</w:t>
      </w:r>
      <w:r w:rsidR="0075748A" w:rsidRPr="0075748A">
        <w:rPr>
          <w:lang w:val="en-GB"/>
        </w:rPr>
        <w:t>24</w:t>
      </w:r>
      <w:r w:rsidR="009F2DFC">
        <w:rPr>
          <w:lang w:val="en-GB"/>
        </w:rPr>
        <w:t xml:space="preserve">. </w:t>
      </w:r>
      <w:r w:rsidR="009F2DFC" w:rsidRPr="009F2DFC">
        <w:rPr>
          <w:lang w:val="en-GB"/>
        </w:rPr>
        <w:t>https://doi.org/10.1021/acs.analchem.7b04913</w:t>
      </w:r>
    </w:p>
    <w:p w14:paraId="6BE9DFA4" w14:textId="74F73CDA" w:rsidR="00C2191D" w:rsidRPr="00463521" w:rsidRDefault="00715C63" w:rsidP="00463521">
      <w:pPr>
        <w:spacing w:line="360" w:lineRule="auto"/>
        <w:rPr>
          <w:lang w:val="en-GB"/>
        </w:rPr>
      </w:pPr>
      <w:proofErr w:type="spellStart"/>
      <w:r w:rsidRPr="00463521">
        <w:rPr>
          <w:lang w:val="en-GB"/>
        </w:rPr>
        <w:t>D</w:t>
      </w:r>
      <w:r w:rsidRPr="00463521">
        <w:rPr>
          <w:smallCaps/>
          <w:lang w:val="en-GB"/>
        </w:rPr>
        <w:t>udd</w:t>
      </w:r>
      <w:proofErr w:type="spellEnd"/>
      <w:r w:rsidRPr="00463521">
        <w:rPr>
          <w:lang w:val="en-GB"/>
        </w:rPr>
        <w:t xml:space="preserve">, S.N., M. </w:t>
      </w:r>
      <w:proofErr w:type="spellStart"/>
      <w:r w:rsidRPr="00463521">
        <w:rPr>
          <w:lang w:val="en-GB"/>
        </w:rPr>
        <w:t>R</w:t>
      </w:r>
      <w:r w:rsidRPr="00463521">
        <w:rPr>
          <w:smallCaps/>
          <w:lang w:val="en-GB"/>
        </w:rPr>
        <w:t>egert</w:t>
      </w:r>
      <w:proofErr w:type="spellEnd"/>
      <w:r w:rsidRPr="00463521">
        <w:rPr>
          <w:lang w:val="en-GB"/>
        </w:rPr>
        <w:t xml:space="preserve"> &amp; R.P. </w:t>
      </w:r>
      <w:proofErr w:type="spellStart"/>
      <w:r w:rsidRPr="00463521">
        <w:rPr>
          <w:lang w:val="en-GB"/>
        </w:rPr>
        <w:t>Evershed</w:t>
      </w:r>
      <w:proofErr w:type="spellEnd"/>
      <w:r w:rsidRPr="00463521">
        <w:rPr>
          <w:lang w:val="en-GB"/>
        </w:rPr>
        <w:t xml:space="preserve">. 1998. Assessing microbial lipid contributions during laboratory degradations of fats and oils and pure triacylglycerols absorbed in ceramic potsherds. </w:t>
      </w:r>
      <w:r w:rsidRPr="00463521">
        <w:rPr>
          <w:i/>
          <w:lang w:val="en-GB"/>
        </w:rPr>
        <w:t>Organic Geochemistry</w:t>
      </w:r>
      <w:r w:rsidR="00854174">
        <w:rPr>
          <w:lang w:val="en-GB"/>
        </w:rPr>
        <w:t xml:space="preserve"> 29</w:t>
      </w:r>
      <w:r w:rsidR="009F2DFC">
        <w:rPr>
          <w:lang w:val="en-GB"/>
        </w:rPr>
        <w:t>: 1345–</w:t>
      </w:r>
      <w:r w:rsidRPr="00463521">
        <w:rPr>
          <w:lang w:val="en-GB"/>
        </w:rPr>
        <w:t>54.</w:t>
      </w:r>
      <w:r w:rsidR="009F2DFC">
        <w:rPr>
          <w:lang w:val="en-GB"/>
        </w:rPr>
        <w:t xml:space="preserve"> </w:t>
      </w:r>
      <w:r w:rsidR="009F2DFC" w:rsidRPr="009F2DFC">
        <w:rPr>
          <w:lang w:val="en-GB"/>
        </w:rPr>
        <w:t>https://doi.org/10.1016/S0146-6380(98)00093-X</w:t>
      </w:r>
    </w:p>
    <w:p w14:paraId="06357E82" w14:textId="77777777" w:rsidR="00C2191D" w:rsidRPr="00463521" w:rsidRDefault="00715C63" w:rsidP="00463521">
      <w:pPr>
        <w:spacing w:line="360" w:lineRule="auto"/>
        <w:rPr>
          <w:lang w:val="en-GB"/>
        </w:rPr>
      </w:pPr>
      <w:proofErr w:type="spellStart"/>
      <w:r w:rsidRPr="00463521">
        <w:rPr>
          <w:lang w:val="en-GB"/>
        </w:rPr>
        <w:t>D</w:t>
      </w:r>
      <w:r w:rsidRPr="00463521">
        <w:rPr>
          <w:smallCaps/>
          <w:lang w:val="en-GB"/>
        </w:rPr>
        <w:t>umond</w:t>
      </w:r>
      <w:proofErr w:type="spellEnd"/>
      <w:r w:rsidRPr="00463521">
        <w:rPr>
          <w:lang w:val="en-GB"/>
        </w:rPr>
        <w:t xml:space="preserve">, D.E. 2003. </w:t>
      </w:r>
      <w:r w:rsidRPr="00463521">
        <w:rPr>
          <w:i/>
          <w:lang w:val="en-GB"/>
        </w:rPr>
        <w:t xml:space="preserve">Archaeology on the Alaska Peninsula: </w:t>
      </w:r>
      <w:r w:rsidR="009F2DFC">
        <w:rPr>
          <w:i/>
          <w:lang w:val="en-GB"/>
        </w:rPr>
        <w:t>t</w:t>
      </w:r>
      <w:r w:rsidRPr="00463521">
        <w:rPr>
          <w:i/>
          <w:lang w:val="en-GB"/>
        </w:rPr>
        <w:t xml:space="preserve">he Leader Creek </w:t>
      </w:r>
      <w:r w:rsidR="009F2DFC">
        <w:rPr>
          <w:i/>
          <w:lang w:val="en-GB"/>
        </w:rPr>
        <w:t>s</w:t>
      </w:r>
      <w:r w:rsidRPr="00463521">
        <w:rPr>
          <w:i/>
          <w:lang w:val="en-GB"/>
        </w:rPr>
        <w:t xml:space="preserve">ite and </w:t>
      </w:r>
      <w:r w:rsidR="009F2DFC">
        <w:rPr>
          <w:i/>
          <w:lang w:val="en-GB"/>
        </w:rPr>
        <w:t>i</w:t>
      </w:r>
      <w:r w:rsidRPr="00463521">
        <w:rPr>
          <w:i/>
          <w:lang w:val="en-GB"/>
        </w:rPr>
        <w:t xml:space="preserve">ts </w:t>
      </w:r>
      <w:r w:rsidR="009F2DFC">
        <w:rPr>
          <w:i/>
          <w:lang w:val="en-GB"/>
        </w:rPr>
        <w:t>c</w:t>
      </w:r>
      <w:r w:rsidRPr="00463521">
        <w:rPr>
          <w:i/>
          <w:lang w:val="en-GB"/>
        </w:rPr>
        <w:t>ontext</w:t>
      </w:r>
      <w:r w:rsidRPr="00463521">
        <w:rPr>
          <w:lang w:val="en-GB"/>
        </w:rPr>
        <w:t xml:space="preserve"> (No. 60). </w:t>
      </w:r>
      <w:r w:rsidR="009F2DFC">
        <w:rPr>
          <w:lang w:val="en-GB"/>
        </w:rPr>
        <w:t xml:space="preserve">Eugene: </w:t>
      </w:r>
      <w:r w:rsidRPr="00463521">
        <w:rPr>
          <w:lang w:val="en-GB"/>
        </w:rPr>
        <w:t>Department of Anthropology and Museum of Natural History, University of Oregon.</w:t>
      </w:r>
    </w:p>
    <w:p w14:paraId="4D42F24E" w14:textId="77777777" w:rsidR="00C2191D" w:rsidRPr="00463521" w:rsidRDefault="00715C63" w:rsidP="00463521">
      <w:pPr>
        <w:spacing w:line="360" w:lineRule="auto"/>
        <w:rPr>
          <w:lang w:val="en-GB"/>
        </w:rPr>
      </w:pPr>
      <w:proofErr w:type="spellStart"/>
      <w:r w:rsidRPr="00463521">
        <w:rPr>
          <w:lang w:val="en-GB"/>
        </w:rPr>
        <w:t>E</w:t>
      </w:r>
      <w:r w:rsidRPr="00463521">
        <w:rPr>
          <w:smallCaps/>
          <w:lang w:val="en-GB"/>
        </w:rPr>
        <w:t>vershed</w:t>
      </w:r>
      <w:proofErr w:type="spellEnd"/>
      <w:r w:rsidRPr="00463521">
        <w:rPr>
          <w:lang w:val="en-GB"/>
        </w:rPr>
        <w:t xml:space="preserve">, R.P. 2008. Experimental approaches to the interpretation of absorbed organic residues in archaeological ceramics. </w:t>
      </w:r>
      <w:r w:rsidRPr="00463521">
        <w:rPr>
          <w:i/>
          <w:lang w:val="en-GB"/>
        </w:rPr>
        <w:t xml:space="preserve">World Archaeology </w:t>
      </w:r>
      <w:r w:rsidR="009F2DFC">
        <w:rPr>
          <w:lang w:val="en-GB"/>
        </w:rPr>
        <w:t>40</w:t>
      </w:r>
      <w:r w:rsidRPr="00463521">
        <w:rPr>
          <w:lang w:val="en-GB"/>
        </w:rPr>
        <w:t>: 26</w:t>
      </w:r>
      <w:r w:rsidR="009F2DFC">
        <w:rPr>
          <w:lang w:val="en-GB"/>
        </w:rPr>
        <w:t>–</w:t>
      </w:r>
      <w:r w:rsidRPr="00463521">
        <w:rPr>
          <w:lang w:val="en-GB"/>
        </w:rPr>
        <w:t>47.</w:t>
      </w:r>
      <w:r w:rsidR="009F2DFC">
        <w:rPr>
          <w:lang w:val="en-GB"/>
        </w:rPr>
        <w:t xml:space="preserve"> </w:t>
      </w:r>
      <w:r w:rsidR="009F2DFC" w:rsidRPr="009F2DFC">
        <w:rPr>
          <w:lang w:val="en-GB"/>
        </w:rPr>
        <w:t>https://doi.org/10.1080/00438240801889373</w:t>
      </w:r>
    </w:p>
    <w:p w14:paraId="1C567334" w14:textId="568F2BF7" w:rsidR="00C2191D" w:rsidRPr="00463521" w:rsidRDefault="00715C63" w:rsidP="00463521">
      <w:pPr>
        <w:spacing w:line="360" w:lineRule="auto"/>
        <w:rPr>
          <w:lang w:val="en-GB"/>
        </w:rPr>
      </w:pPr>
      <w:proofErr w:type="spellStart"/>
      <w:r w:rsidRPr="00463521">
        <w:rPr>
          <w:lang w:val="en-GB"/>
        </w:rPr>
        <w:t>E</w:t>
      </w:r>
      <w:r w:rsidRPr="00463521">
        <w:rPr>
          <w:smallCaps/>
          <w:lang w:val="en-GB"/>
        </w:rPr>
        <w:t>vershed</w:t>
      </w:r>
      <w:proofErr w:type="spellEnd"/>
      <w:r w:rsidRPr="00463521">
        <w:rPr>
          <w:lang w:val="en-GB"/>
        </w:rPr>
        <w:t>, R.P., A.W. S</w:t>
      </w:r>
      <w:r w:rsidRPr="00463521">
        <w:rPr>
          <w:smallCaps/>
          <w:lang w:val="en-GB"/>
        </w:rPr>
        <w:t>tott</w:t>
      </w:r>
      <w:r w:rsidRPr="00463521">
        <w:rPr>
          <w:lang w:val="en-GB"/>
        </w:rPr>
        <w:t>, A. R</w:t>
      </w:r>
      <w:r w:rsidRPr="00463521">
        <w:rPr>
          <w:smallCaps/>
          <w:lang w:val="en-GB"/>
        </w:rPr>
        <w:t>aven</w:t>
      </w:r>
      <w:r w:rsidRPr="00463521">
        <w:rPr>
          <w:lang w:val="en-GB"/>
        </w:rPr>
        <w:t xml:space="preserve">, S.N. </w:t>
      </w:r>
      <w:proofErr w:type="spellStart"/>
      <w:r w:rsidRPr="00463521">
        <w:rPr>
          <w:lang w:val="en-GB"/>
        </w:rPr>
        <w:t>D</w:t>
      </w:r>
      <w:r w:rsidRPr="00463521">
        <w:rPr>
          <w:smallCaps/>
          <w:lang w:val="en-GB"/>
        </w:rPr>
        <w:t>udd</w:t>
      </w:r>
      <w:proofErr w:type="spellEnd"/>
      <w:r w:rsidRPr="00463521">
        <w:rPr>
          <w:lang w:val="en-GB"/>
        </w:rPr>
        <w:t>, S. C</w:t>
      </w:r>
      <w:r w:rsidRPr="00463521">
        <w:rPr>
          <w:smallCaps/>
          <w:lang w:val="en-GB"/>
        </w:rPr>
        <w:t>harters</w:t>
      </w:r>
      <w:r w:rsidRPr="00463521">
        <w:rPr>
          <w:lang w:val="en-GB"/>
        </w:rPr>
        <w:t xml:space="preserve"> &amp; A. L</w:t>
      </w:r>
      <w:r w:rsidRPr="00463521">
        <w:rPr>
          <w:smallCaps/>
          <w:lang w:val="en-GB"/>
        </w:rPr>
        <w:t>eyden</w:t>
      </w:r>
      <w:r w:rsidRPr="00463521">
        <w:rPr>
          <w:lang w:val="en-GB"/>
        </w:rPr>
        <w:t xml:space="preserve">. 1995. Formation of long-chain ketones in ancient pottery vessels by pyrolysis of acyl lipids. </w:t>
      </w:r>
      <w:r w:rsidRPr="00463521">
        <w:rPr>
          <w:i/>
          <w:lang w:val="en-GB"/>
        </w:rPr>
        <w:t xml:space="preserve">Tetrahedron </w:t>
      </w:r>
      <w:r w:rsidR="009F2DFC">
        <w:rPr>
          <w:i/>
          <w:lang w:val="en-GB"/>
        </w:rPr>
        <w:t>L</w:t>
      </w:r>
      <w:r w:rsidRPr="00463521">
        <w:rPr>
          <w:i/>
          <w:lang w:val="en-GB"/>
        </w:rPr>
        <w:t>etters</w:t>
      </w:r>
      <w:r w:rsidR="00854174">
        <w:rPr>
          <w:lang w:val="en-GB"/>
        </w:rPr>
        <w:t xml:space="preserve"> 36</w:t>
      </w:r>
      <w:r w:rsidR="009F2DFC">
        <w:rPr>
          <w:lang w:val="en-GB"/>
        </w:rPr>
        <w:t>: 8875–</w:t>
      </w:r>
      <w:r w:rsidRPr="00463521">
        <w:rPr>
          <w:lang w:val="en-GB"/>
        </w:rPr>
        <w:t>78.</w:t>
      </w:r>
      <w:r w:rsidR="009F2DFC">
        <w:rPr>
          <w:lang w:val="en-GB"/>
        </w:rPr>
        <w:t xml:space="preserve"> </w:t>
      </w:r>
      <w:r w:rsidR="009F2DFC" w:rsidRPr="009F2DFC">
        <w:rPr>
          <w:lang w:val="en-GB"/>
        </w:rPr>
        <w:t>https://doi.org/10.1016/0040-4039(95)01844-8</w:t>
      </w:r>
    </w:p>
    <w:p w14:paraId="3B8E55B4" w14:textId="567AB8FF" w:rsidR="00C2191D" w:rsidRPr="00463521" w:rsidRDefault="00715C63" w:rsidP="00463521">
      <w:pPr>
        <w:spacing w:line="360" w:lineRule="auto"/>
        <w:rPr>
          <w:lang w:val="en-GB"/>
        </w:rPr>
      </w:pPr>
      <w:proofErr w:type="spellStart"/>
      <w:r w:rsidRPr="00463521">
        <w:rPr>
          <w:lang w:val="en-GB"/>
        </w:rPr>
        <w:t>E</w:t>
      </w:r>
      <w:r w:rsidRPr="00463521">
        <w:rPr>
          <w:smallCaps/>
          <w:lang w:val="en-GB"/>
        </w:rPr>
        <w:t>vershed</w:t>
      </w:r>
      <w:proofErr w:type="spellEnd"/>
      <w:r w:rsidRPr="00463521">
        <w:rPr>
          <w:lang w:val="en-GB"/>
        </w:rPr>
        <w:t>, R.P., H.R. M</w:t>
      </w:r>
      <w:r w:rsidRPr="00463521">
        <w:rPr>
          <w:smallCaps/>
          <w:lang w:val="en-GB"/>
        </w:rPr>
        <w:t>ottram</w:t>
      </w:r>
      <w:r w:rsidRPr="00463521">
        <w:rPr>
          <w:lang w:val="en-GB"/>
        </w:rPr>
        <w:t xml:space="preserve">, S.N. </w:t>
      </w:r>
      <w:proofErr w:type="spellStart"/>
      <w:r w:rsidRPr="00463521">
        <w:rPr>
          <w:lang w:val="en-GB"/>
        </w:rPr>
        <w:t>D</w:t>
      </w:r>
      <w:r w:rsidRPr="00463521">
        <w:rPr>
          <w:smallCaps/>
          <w:lang w:val="en-GB"/>
        </w:rPr>
        <w:t>udd</w:t>
      </w:r>
      <w:proofErr w:type="spellEnd"/>
      <w:r w:rsidRPr="00463521">
        <w:rPr>
          <w:lang w:val="en-GB"/>
        </w:rPr>
        <w:t>, S. C</w:t>
      </w:r>
      <w:r w:rsidRPr="00463521">
        <w:rPr>
          <w:smallCaps/>
          <w:lang w:val="en-GB"/>
        </w:rPr>
        <w:t>harters</w:t>
      </w:r>
      <w:r w:rsidRPr="00463521">
        <w:rPr>
          <w:lang w:val="en-GB"/>
        </w:rPr>
        <w:t>, A.W. S</w:t>
      </w:r>
      <w:r w:rsidRPr="00463521">
        <w:rPr>
          <w:smallCaps/>
          <w:lang w:val="en-GB"/>
        </w:rPr>
        <w:t>tott</w:t>
      </w:r>
      <w:r w:rsidRPr="00463521">
        <w:rPr>
          <w:lang w:val="en-GB"/>
        </w:rPr>
        <w:t>, G.J. L</w:t>
      </w:r>
      <w:r w:rsidRPr="00463521">
        <w:rPr>
          <w:smallCaps/>
          <w:lang w:val="en-GB"/>
        </w:rPr>
        <w:t>awrence</w:t>
      </w:r>
      <w:r w:rsidRPr="00463521">
        <w:rPr>
          <w:lang w:val="en-GB"/>
        </w:rPr>
        <w:t>, A.M. G</w:t>
      </w:r>
      <w:r w:rsidRPr="00463521">
        <w:rPr>
          <w:smallCaps/>
          <w:lang w:val="en-GB"/>
        </w:rPr>
        <w:t>ibson</w:t>
      </w:r>
      <w:r w:rsidRPr="00463521">
        <w:rPr>
          <w:lang w:val="en-GB"/>
        </w:rPr>
        <w:t>, A. C</w:t>
      </w:r>
      <w:r w:rsidRPr="00463521">
        <w:rPr>
          <w:smallCaps/>
          <w:lang w:val="en-GB"/>
        </w:rPr>
        <w:t>onner</w:t>
      </w:r>
      <w:r w:rsidRPr="00463521">
        <w:rPr>
          <w:lang w:val="en-GB"/>
        </w:rPr>
        <w:t xml:space="preserve">, P.W. </w:t>
      </w:r>
      <w:proofErr w:type="spellStart"/>
      <w:r w:rsidRPr="00463521">
        <w:rPr>
          <w:lang w:val="en-GB"/>
        </w:rPr>
        <w:t>B</w:t>
      </w:r>
      <w:r w:rsidRPr="00463521">
        <w:rPr>
          <w:smallCaps/>
          <w:lang w:val="en-GB"/>
        </w:rPr>
        <w:t>linkhorn</w:t>
      </w:r>
      <w:proofErr w:type="spellEnd"/>
      <w:r w:rsidRPr="00463521">
        <w:rPr>
          <w:lang w:val="en-GB"/>
        </w:rPr>
        <w:t xml:space="preserve"> &amp; V. R</w:t>
      </w:r>
      <w:r w:rsidRPr="00463521">
        <w:rPr>
          <w:smallCaps/>
          <w:lang w:val="en-GB"/>
        </w:rPr>
        <w:t>eeves</w:t>
      </w:r>
      <w:r w:rsidRPr="00463521">
        <w:rPr>
          <w:lang w:val="en-GB"/>
        </w:rPr>
        <w:t xml:space="preserve">. 1997. New criteria for the identification of animal fats preserved in archaeological pottery. </w:t>
      </w:r>
      <w:proofErr w:type="spellStart"/>
      <w:r w:rsidRPr="00463521">
        <w:rPr>
          <w:i/>
          <w:lang w:val="en-GB"/>
        </w:rPr>
        <w:t>Naturwissenschaften</w:t>
      </w:r>
      <w:proofErr w:type="spellEnd"/>
      <w:r w:rsidR="00854174">
        <w:rPr>
          <w:lang w:val="en-GB"/>
        </w:rPr>
        <w:t xml:space="preserve"> 84</w:t>
      </w:r>
      <w:r w:rsidRPr="00463521">
        <w:rPr>
          <w:lang w:val="en-GB"/>
        </w:rPr>
        <w:t>: 402</w:t>
      </w:r>
      <w:r w:rsidR="009F2DFC">
        <w:rPr>
          <w:lang w:val="en-GB"/>
        </w:rPr>
        <w:t>–</w:t>
      </w:r>
      <w:r w:rsidRPr="00463521">
        <w:rPr>
          <w:lang w:val="en-GB"/>
        </w:rPr>
        <w:t>406.</w:t>
      </w:r>
      <w:r w:rsidR="009F2DFC">
        <w:rPr>
          <w:lang w:val="en-GB"/>
        </w:rPr>
        <w:t xml:space="preserve"> </w:t>
      </w:r>
      <w:r w:rsidR="009F2DFC" w:rsidRPr="009F2DFC">
        <w:rPr>
          <w:lang w:val="en-GB"/>
        </w:rPr>
        <w:t>https://doi.org/10.1007/s001140050417</w:t>
      </w:r>
    </w:p>
    <w:p w14:paraId="5E7A9CA0" w14:textId="77777777" w:rsidR="00C2191D" w:rsidRPr="00463521" w:rsidRDefault="00715C63" w:rsidP="00463521">
      <w:pPr>
        <w:spacing w:line="360" w:lineRule="auto"/>
        <w:rPr>
          <w:lang w:val="en-GB"/>
        </w:rPr>
      </w:pPr>
      <w:proofErr w:type="spellStart"/>
      <w:r w:rsidRPr="00463521">
        <w:rPr>
          <w:lang w:val="en-GB"/>
        </w:rPr>
        <w:t>E</w:t>
      </w:r>
      <w:r w:rsidRPr="00463521">
        <w:rPr>
          <w:smallCaps/>
          <w:lang w:val="en-GB"/>
        </w:rPr>
        <w:t>vershed</w:t>
      </w:r>
      <w:proofErr w:type="spellEnd"/>
      <w:r w:rsidRPr="00463521">
        <w:rPr>
          <w:lang w:val="en-GB"/>
        </w:rPr>
        <w:t>, R.P., M.S. C</w:t>
      </w:r>
      <w:r w:rsidRPr="00463521">
        <w:rPr>
          <w:smallCaps/>
          <w:lang w:val="en-GB"/>
        </w:rPr>
        <w:t>opley</w:t>
      </w:r>
      <w:r w:rsidRPr="00463521">
        <w:rPr>
          <w:lang w:val="en-GB"/>
        </w:rPr>
        <w:t>, L. D</w:t>
      </w:r>
      <w:r w:rsidRPr="00463521">
        <w:rPr>
          <w:smallCaps/>
          <w:lang w:val="en-GB"/>
        </w:rPr>
        <w:t>ickson</w:t>
      </w:r>
      <w:r w:rsidRPr="00463521">
        <w:rPr>
          <w:lang w:val="en-GB"/>
        </w:rPr>
        <w:t xml:space="preserve"> &amp; F.A. H</w:t>
      </w:r>
      <w:r w:rsidRPr="00463521">
        <w:rPr>
          <w:smallCaps/>
          <w:lang w:val="en-GB"/>
        </w:rPr>
        <w:t>ansel</w:t>
      </w:r>
      <w:r w:rsidRPr="00463521">
        <w:rPr>
          <w:lang w:val="en-GB"/>
        </w:rPr>
        <w:t xml:space="preserve">. 2008. Experimental evidence for the processing of marine animal products and other commodities containing polyunsaturated fatty acids in pottery vessels. </w:t>
      </w:r>
      <w:r w:rsidRPr="00463521">
        <w:rPr>
          <w:i/>
          <w:lang w:val="en-GB"/>
        </w:rPr>
        <w:t>Archaeometry</w:t>
      </w:r>
      <w:r w:rsidR="009F2DFC">
        <w:rPr>
          <w:lang w:val="en-GB"/>
        </w:rPr>
        <w:t xml:space="preserve"> 50: 101–</w:t>
      </w:r>
      <w:r w:rsidRPr="00463521">
        <w:rPr>
          <w:lang w:val="en-GB"/>
        </w:rPr>
        <w:t>13.</w:t>
      </w:r>
      <w:r w:rsidR="009F2DFC">
        <w:rPr>
          <w:lang w:val="en-GB"/>
        </w:rPr>
        <w:t xml:space="preserve"> </w:t>
      </w:r>
      <w:r w:rsidR="009F2DFC" w:rsidRPr="009F2DFC">
        <w:rPr>
          <w:lang w:val="en-GB"/>
        </w:rPr>
        <w:t>https://doi.org/10.1111/j.1475-4754.2007.00368.x</w:t>
      </w:r>
    </w:p>
    <w:p w14:paraId="20D795D8" w14:textId="1B8DBF9F" w:rsidR="00C2191D" w:rsidRPr="00463521" w:rsidRDefault="00715C63" w:rsidP="00463521">
      <w:pPr>
        <w:pStyle w:val="Heading2"/>
        <w:spacing w:before="0" w:after="0" w:line="360" w:lineRule="auto"/>
        <w:rPr>
          <w:sz w:val="24"/>
          <w:szCs w:val="24"/>
          <w:lang w:val="en-GB"/>
        </w:rPr>
      </w:pPr>
      <w:r w:rsidRPr="00463521">
        <w:rPr>
          <w:b w:val="0"/>
          <w:sz w:val="24"/>
          <w:szCs w:val="24"/>
          <w:lang w:val="en-GB"/>
        </w:rPr>
        <w:t>H</w:t>
      </w:r>
      <w:r w:rsidRPr="00463521">
        <w:rPr>
          <w:b w:val="0"/>
          <w:smallCaps/>
          <w:sz w:val="24"/>
          <w:szCs w:val="24"/>
          <w:lang w:val="en-GB"/>
        </w:rPr>
        <w:t>ansel</w:t>
      </w:r>
      <w:r w:rsidRPr="00463521">
        <w:rPr>
          <w:b w:val="0"/>
          <w:sz w:val="24"/>
          <w:szCs w:val="24"/>
          <w:lang w:val="en-GB"/>
        </w:rPr>
        <w:t>, F.A., M.S. C</w:t>
      </w:r>
      <w:r w:rsidRPr="00463521">
        <w:rPr>
          <w:b w:val="0"/>
          <w:smallCaps/>
          <w:sz w:val="24"/>
          <w:szCs w:val="24"/>
          <w:lang w:val="en-GB"/>
        </w:rPr>
        <w:t>opley</w:t>
      </w:r>
      <w:r w:rsidRPr="00463521">
        <w:rPr>
          <w:b w:val="0"/>
          <w:sz w:val="24"/>
          <w:szCs w:val="24"/>
          <w:lang w:val="en-GB"/>
        </w:rPr>
        <w:t xml:space="preserve">, L.A. </w:t>
      </w:r>
      <w:proofErr w:type="spellStart"/>
      <w:r w:rsidRPr="00463521">
        <w:rPr>
          <w:b w:val="0"/>
          <w:sz w:val="24"/>
          <w:szCs w:val="24"/>
          <w:lang w:val="en-GB"/>
        </w:rPr>
        <w:t>M</w:t>
      </w:r>
      <w:r w:rsidRPr="00463521">
        <w:rPr>
          <w:b w:val="0"/>
          <w:smallCaps/>
          <w:sz w:val="24"/>
          <w:szCs w:val="24"/>
          <w:lang w:val="en-GB"/>
        </w:rPr>
        <w:t>adureira</w:t>
      </w:r>
      <w:proofErr w:type="spellEnd"/>
      <w:r w:rsidRPr="00463521">
        <w:rPr>
          <w:b w:val="0"/>
          <w:sz w:val="24"/>
          <w:szCs w:val="24"/>
          <w:lang w:val="en-GB"/>
        </w:rPr>
        <w:t xml:space="preserve"> &amp; R.P. </w:t>
      </w:r>
      <w:proofErr w:type="spellStart"/>
      <w:r w:rsidRPr="00463521">
        <w:rPr>
          <w:b w:val="0"/>
          <w:sz w:val="24"/>
          <w:szCs w:val="24"/>
          <w:lang w:val="en-GB"/>
        </w:rPr>
        <w:t>E</w:t>
      </w:r>
      <w:r w:rsidRPr="00463521">
        <w:rPr>
          <w:b w:val="0"/>
          <w:smallCaps/>
          <w:sz w:val="24"/>
          <w:szCs w:val="24"/>
          <w:lang w:val="en-GB"/>
        </w:rPr>
        <w:t>vershed</w:t>
      </w:r>
      <w:proofErr w:type="spellEnd"/>
      <w:r w:rsidR="009F2DFC">
        <w:rPr>
          <w:b w:val="0"/>
          <w:sz w:val="24"/>
          <w:szCs w:val="24"/>
          <w:lang w:val="en-GB"/>
        </w:rPr>
        <w:t>.</w:t>
      </w:r>
      <w:r w:rsidRPr="00463521">
        <w:rPr>
          <w:b w:val="0"/>
          <w:sz w:val="24"/>
          <w:szCs w:val="24"/>
          <w:lang w:val="en-GB"/>
        </w:rPr>
        <w:t xml:space="preserve"> 2004. Thermally produced ω-(o-</w:t>
      </w:r>
      <w:proofErr w:type="spellStart"/>
      <w:r w:rsidRPr="00463521">
        <w:rPr>
          <w:b w:val="0"/>
          <w:sz w:val="24"/>
          <w:szCs w:val="24"/>
          <w:lang w:val="en-GB"/>
        </w:rPr>
        <w:t>alkylphenyl</w:t>
      </w:r>
      <w:proofErr w:type="spellEnd"/>
      <w:r w:rsidRPr="00463521">
        <w:rPr>
          <w:b w:val="0"/>
          <w:sz w:val="24"/>
          <w:szCs w:val="24"/>
          <w:lang w:val="en-GB"/>
        </w:rPr>
        <w:t xml:space="preserve">) alkanoic acids provide evidence for the processing of marine products in archaeological pottery vessels. </w:t>
      </w:r>
      <w:r w:rsidRPr="00463521">
        <w:rPr>
          <w:b w:val="0"/>
          <w:i/>
          <w:sz w:val="24"/>
          <w:szCs w:val="24"/>
          <w:lang w:val="en-GB"/>
        </w:rPr>
        <w:t xml:space="preserve">Tetrahedron </w:t>
      </w:r>
      <w:r w:rsidR="009F2DFC">
        <w:rPr>
          <w:b w:val="0"/>
          <w:i/>
          <w:sz w:val="24"/>
          <w:szCs w:val="24"/>
          <w:lang w:val="en-GB"/>
        </w:rPr>
        <w:t>L</w:t>
      </w:r>
      <w:r w:rsidRPr="00463521">
        <w:rPr>
          <w:b w:val="0"/>
          <w:i/>
          <w:sz w:val="24"/>
          <w:szCs w:val="24"/>
          <w:lang w:val="en-GB"/>
        </w:rPr>
        <w:t>etters</w:t>
      </w:r>
      <w:r w:rsidRPr="00463521">
        <w:rPr>
          <w:b w:val="0"/>
          <w:sz w:val="24"/>
          <w:szCs w:val="24"/>
          <w:lang w:val="en-GB"/>
        </w:rPr>
        <w:t xml:space="preserve"> </w:t>
      </w:r>
      <w:r w:rsidRPr="009F2DFC">
        <w:rPr>
          <w:b w:val="0"/>
          <w:sz w:val="24"/>
          <w:szCs w:val="24"/>
          <w:lang w:val="en-GB"/>
        </w:rPr>
        <w:t>45</w:t>
      </w:r>
      <w:r w:rsidRPr="00463521">
        <w:rPr>
          <w:b w:val="0"/>
          <w:sz w:val="24"/>
          <w:szCs w:val="24"/>
          <w:lang w:val="en-GB"/>
        </w:rPr>
        <w:t>: 2999</w:t>
      </w:r>
      <w:r w:rsidR="009F2DFC">
        <w:rPr>
          <w:b w:val="0"/>
          <w:sz w:val="24"/>
          <w:szCs w:val="24"/>
          <w:lang w:val="en-GB"/>
        </w:rPr>
        <w:t>–</w:t>
      </w:r>
      <w:r w:rsidRPr="00463521">
        <w:rPr>
          <w:b w:val="0"/>
          <w:sz w:val="24"/>
          <w:szCs w:val="24"/>
          <w:lang w:val="en-GB"/>
        </w:rPr>
        <w:t>3002.</w:t>
      </w:r>
      <w:r w:rsidR="009F2DFC">
        <w:rPr>
          <w:b w:val="0"/>
          <w:sz w:val="24"/>
          <w:szCs w:val="24"/>
          <w:lang w:val="en-GB"/>
        </w:rPr>
        <w:t xml:space="preserve"> </w:t>
      </w:r>
      <w:r w:rsidR="009F2DFC" w:rsidRPr="009F2DFC">
        <w:rPr>
          <w:b w:val="0"/>
          <w:sz w:val="24"/>
          <w:szCs w:val="24"/>
          <w:lang w:val="en-GB"/>
        </w:rPr>
        <w:t>https://doi.org/10.1016/j.tetlet.2004.01.111</w:t>
      </w:r>
    </w:p>
    <w:p w14:paraId="099C52A5" w14:textId="4440408B" w:rsidR="009F2DFC" w:rsidRPr="00463521" w:rsidRDefault="009F2DFC" w:rsidP="009F2DFC">
      <w:pPr>
        <w:spacing w:line="360" w:lineRule="auto"/>
        <w:rPr>
          <w:lang w:val="en-GB"/>
        </w:rPr>
      </w:pPr>
      <w:r w:rsidRPr="00463521">
        <w:rPr>
          <w:lang w:val="en-GB"/>
        </w:rPr>
        <w:t>L</w:t>
      </w:r>
      <w:r w:rsidRPr="00463521">
        <w:rPr>
          <w:smallCaps/>
          <w:lang w:val="en-GB"/>
        </w:rPr>
        <w:t>ucquin</w:t>
      </w:r>
      <w:r w:rsidRPr="00463521">
        <w:rPr>
          <w:lang w:val="en-GB"/>
        </w:rPr>
        <w:t xml:space="preserve">, A., A.C. </w:t>
      </w:r>
      <w:proofErr w:type="spellStart"/>
      <w:r w:rsidRPr="00463521">
        <w:rPr>
          <w:lang w:val="en-GB"/>
        </w:rPr>
        <w:t>C</w:t>
      </w:r>
      <w:r w:rsidRPr="00463521">
        <w:rPr>
          <w:smallCaps/>
          <w:lang w:val="en-GB"/>
        </w:rPr>
        <w:t>olonese</w:t>
      </w:r>
      <w:proofErr w:type="spellEnd"/>
      <w:r w:rsidRPr="00463521">
        <w:rPr>
          <w:lang w:val="en-GB"/>
        </w:rPr>
        <w:t>, T.F. F</w:t>
      </w:r>
      <w:r w:rsidRPr="00463521">
        <w:rPr>
          <w:smallCaps/>
          <w:lang w:val="en-GB"/>
        </w:rPr>
        <w:t>arrell</w:t>
      </w:r>
      <w:r w:rsidRPr="00463521">
        <w:rPr>
          <w:lang w:val="en-GB"/>
        </w:rPr>
        <w:t xml:space="preserve"> &amp; O.E. C</w:t>
      </w:r>
      <w:r w:rsidRPr="00463521">
        <w:rPr>
          <w:smallCaps/>
          <w:lang w:val="en-GB"/>
        </w:rPr>
        <w:t>raig</w:t>
      </w:r>
      <w:r w:rsidRPr="00463521">
        <w:rPr>
          <w:lang w:val="en-GB"/>
        </w:rPr>
        <w:t>. 2016</w:t>
      </w:r>
      <w:r>
        <w:rPr>
          <w:lang w:val="en-GB"/>
        </w:rPr>
        <w:t>a</w:t>
      </w:r>
      <w:r w:rsidRPr="00463521">
        <w:rPr>
          <w:lang w:val="en-GB"/>
        </w:rPr>
        <w:t xml:space="preserve">. Utilising phytanic acid diastereomers for the characterisation of archaeological lipid residues in pottery samples. </w:t>
      </w:r>
      <w:r w:rsidRPr="00463521">
        <w:rPr>
          <w:i/>
          <w:lang w:val="en-GB"/>
        </w:rPr>
        <w:t>Tetrahedron Letters</w:t>
      </w:r>
      <w:r w:rsidR="00854174">
        <w:rPr>
          <w:lang w:val="en-GB"/>
        </w:rPr>
        <w:t xml:space="preserve"> 57</w:t>
      </w:r>
      <w:r w:rsidRPr="00463521">
        <w:rPr>
          <w:lang w:val="en-GB"/>
        </w:rPr>
        <w:t>: 703</w:t>
      </w:r>
      <w:r>
        <w:rPr>
          <w:lang w:val="en-GB"/>
        </w:rPr>
        <w:t>–</w:t>
      </w:r>
      <w:r w:rsidRPr="00463521">
        <w:rPr>
          <w:lang w:val="en-GB"/>
        </w:rPr>
        <w:t>707.</w:t>
      </w:r>
      <w:r>
        <w:rPr>
          <w:lang w:val="en-GB"/>
        </w:rPr>
        <w:t xml:space="preserve"> </w:t>
      </w:r>
      <w:r w:rsidRPr="009F2DFC">
        <w:rPr>
          <w:lang w:val="en-GB"/>
        </w:rPr>
        <w:t>https://doi.org/10.1016/j.tetlet.2016.01.011</w:t>
      </w:r>
    </w:p>
    <w:p w14:paraId="4D1B28E1" w14:textId="504EF700" w:rsidR="00C2191D" w:rsidRPr="00463521" w:rsidRDefault="00715C63" w:rsidP="00463521">
      <w:pPr>
        <w:spacing w:line="360" w:lineRule="auto"/>
        <w:rPr>
          <w:lang w:val="en-GB"/>
        </w:rPr>
      </w:pPr>
      <w:r w:rsidRPr="00463521">
        <w:rPr>
          <w:lang w:val="en-GB"/>
        </w:rPr>
        <w:t>L</w:t>
      </w:r>
      <w:r w:rsidRPr="00463521">
        <w:rPr>
          <w:smallCaps/>
          <w:lang w:val="en-GB"/>
        </w:rPr>
        <w:t>ucquin</w:t>
      </w:r>
      <w:r w:rsidRPr="00463521">
        <w:rPr>
          <w:lang w:val="en-GB"/>
        </w:rPr>
        <w:t>, A., K. G</w:t>
      </w:r>
      <w:r w:rsidRPr="00463521">
        <w:rPr>
          <w:smallCaps/>
          <w:lang w:val="en-GB"/>
        </w:rPr>
        <w:t>ibbs</w:t>
      </w:r>
      <w:r w:rsidRPr="00463521">
        <w:rPr>
          <w:lang w:val="en-GB"/>
        </w:rPr>
        <w:t>, J. U</w:t>
      </w:r>
      <w:r w:rsidRPr="00463521">
        <w:rPr>
          <w:smallCaps/>
          <w:lang w:val="en-GB"/>
        </w:rPr>
        <w:t>chiyama</w:t>
      </w:r>
      <w:r w:rsidRPr="00463521">
        <w:rPr>
          <w:lang w:val="en-GB"/>
        </w:rPr>
        <w:t>, H. S</w:t>
      </w:r>
      <w:r w:rsidRPr="00463521">
        <w:rPr>
          <w:smallCaps/>
          <w:lang w:val="en-GB"/>
        </w:rPr>
        <w:t>aul</w:t>
      </w:r>
      <w:r w:rsidRPr="00463521">
        <w:rPr>
          <w:lang w:val="en-GB"/>
        </w:rPr>
        <w:t xml:space="preserve">, M. </w:t>
      </w:r>
      <w:proofErr w:type="spellStart"/>
      <w:r w:rsidRPr="00463521">
        <w:rPr>
          <w:lang w:val="en-GB"/>
        </w:rPr>
        <w:t>A</w:t>
      </w:r>
      <w:r w:rsidRPr="00463521">
        <w:rPr>
          <w:smallCaps/>
          <w:lang w:val="en-GB"/>
        </w:rPr>
        <w:t>jimoto</w:t>
      </w:r>
      <w:proofErr w:type="spellEnd"/>
      <w:r w:rsidRPr="00463521">
        <w:rPr>
          <w:lang w:val="en-GB"/>
        </w:rPr>
        <w:t xml:space="preserve">, Y. </w:t>
      </w:r>
      <w:proofErr w:type="spellStart"/>
      <w:r w:rsidRPr="00463521">
        <w:rPr>
          <w:lang w:val="en-GB"/>
        </w:rPr>
        <w:t>E</w:t>
      </w:r>
      <w:r w:rsidRPr="00463521">
        <w:rPr>
          <w:smallCaps/>
          <w:lang w:val="en-GB"/>
        </w:rPr>
        <w:t>ley</w:t>
      </w:r>
      <w:proofErr w:type="spellEnd"/>
      <w:r w:rsidRPr="00463521">
        <w:rPr>
          <w:lang w:val="en-GB"/>
        </w:rPr>
        <w:t xml:space="preserve">, A. </w:t>
      </w:r>
      <w:proofErr w:type="spellStart"/>
      <w:r w:rsidRPr="00463521">
        <w:rPr>
          <w:lang w:val="en-GB"/>
        </w:rPr>
        <w:t>R</w:t>
      </w:r>
      <w:r w:rsidRPr="00463521">
        <w:rPr>
          <w:smallCaps/>
          <w:lang w:val="en-GB"/>
        </w:rPr>
        <w:t>adini</w:t>
      </w:r>
      <w:proofErr w:type="spellEnd"/>
      <w:r w:rsidRPr="00463521">
        <w:rPr>
          <w:lang w:val="en-GB"/>
        </w:rPr>
        <w:t>, C.P. H</w:t>
      </w:r>
      <w:r w:rsidRPr="00463521">
        <w:rPr>
          <w:smallCaps/>
          <w:lang w:val="en-GB"/>
        </w:rPr>
        <w:t>eron</w:t>
      </w:r>
      <w:r w:rsidRPr="00463521">
        <w:rPr>
          <w:lang w:val="en-GB"/>
        </w:rPr>
        <w:t xml:space="preserve">, S. </w:t>
      </w:r>
      <w:proofErr w:type="spellStart"/>
      <w:r w:rsidRPr="00463521">
        <w:rPr>
          <w:lang w:val="en-GB"/>
        </w:rPr>
        <w:t>S</w:t>
      </w:r>
      <w:r w:rsidRPr="00463521">
        <w:rPr>
          <w:smallCaps/>
          <w:lang w:val="en-GB"/>
        </w:rPr>
        <w:t>hoda</w:t>
      </w:r>
      <w:proofErr w:type="spellEnd"/>
      <w:r w:rsidRPr="00463521">
        <w:rPr>
          <w:lang w:val="en-GB"/>
        </w:rPr>
        <w:t>, Y. N</w:t>
      </w:r>
      <w:r w:rsidRPr="00463521">
        <w:rPr>
          <w:smallCaps/>
          <w:lang w:val="en-GB"/>
        </w:rPr>
        <w:t>ishida</w:t>
      </w:r>
      <w:r w:rsidRPr="00463521">
        <w:rPr>
          <w:lang w:val="en-GB"/>
        </w:rPr>
        <w:t xml:space="preserve"> &amp; J. L</w:t>
      </w:r>
      <w:r w:rsidRPr="00463521">
        <w:rPr>
          <w:smallCaps/>
          <w:lang w:val="en-GB"/>
        </w:rPr>
        <w:t>undy</w:t>
      </w:r>
      <w:r w:rsidRPr="00463521">
        <w:rPr>
          <w:lang w:val="en-GB"/>
        </w:rPr>
        <w:t>. 2016</w:t>
      </w:r>
      <w:r w:rsidR="009F2DFC">
        <w:rPr>
          <w:lang w:val="en-GB"/>
        </w:rPr>
        <w:t>b</w:t>
      </w:r>
      <w:r w:rsidRPr="00463521">
        <w:rPr>
          <w:lang w:val="en-GB"/>
        </w:rPr>
        <w:t xml:space="preserve">. Ancient lipids document continuity in the use of early hunter–gatherer pottery through 9000 years of Japanese prehistory. </w:t>
      </w:r>
      <w:r w:rsidRPr="00463521">
        <w:rPr>
          <w:i/>
          <w:lang w:val="en-GB"/>
        </w:rPr>
        <w:t>Proceedings of the National Academy of Sciences</w:t>
      </w:r>
      <w:r w:rsidR="009F2DFC">
        <w:rPr>
          <w:i/>
          <w:lang w:val="en-GB"/>
        </w:rPr>
        <w:t xml:space="preserve"> of the USA</w:t>
      </w:r>
      <w:r w:rsidR="00854174">
        <w:rPr>
          <w:lang w:val="en-GB"/>
        </w:rPr>
        <w:t xml:space="preserve"> 113</w:t>
      </w:r>
      <w:r w:rsidR="009F2DFC">
        <w:rPr>
          <w:lang w:val="en-GB"/>
        </w:rPr>
        <w:t>: 3991–</w:t>
      </w:r>
      <w:r w:rsidRPr="00463521">
        <w:rPr>
          <w:lang w:val="en-GB"/>
        </w:rPr>
        <w:t xml:space="preserve">96. </w:t>
      </w:r>
      <w:r w:rsidR="009F2DFC" w:rsidRPr="009F2DFC">
        <w:rPr>
          <w:lang w:val="en-GB"/>
        </w:rPr>
        <w:t>https://doi.org/10.1073/pnas.1522908113</w:t>
      </w:r>
      <w:r w:rsidR="001E6B7F">
        <w:rPr>
          <w:lang w:val="en-GB"/>
        </w:rPr>
        <w:t xml:space="preserve"> </w:t>
      </w:r>
    </w:p>
    <w:p w14:paraId="25FC2EA2" w14:textId="77777777" w:rsidR="00C2191D" w:rsidRPr="00463521" w:rsidRDefault="00715C63" w:rsidP="00463521">
      <w:pPr>
        <w:spacing w:line="360" w:lineRule="auto"/>
        <w:rPr>
          <w:lang w:val="en-GB"/>
        </w:rPr>
      </w:pPr>
      <w:proofErr w:type="spellStart"/>
      <w:r w:rsidRPr="00463521">
        <w:rPr>
          <w:lang w:val="en-GB"/>
        </w:rPr>
        <w:t>M</w:t>
      </w:r>
      <w:r w:rsidRPr="00463521">
        <w:rPr>
          <w:smallCaps/>
          <w:lang w:val="en-GB"/>
        </w:rPr>
        <w:t>alainey</w:t>
      </w:r>
      <w:proofErr w:type="spellEnd"/>
      <w:r w:rsidRPr="00463521">
        <w:rPr>
          <w:lang w:val="en-GB"/>
        </w:rPr>
        <w:t>, M.E. 2007. Fatty acid analysis of archaeological residues: procedures and possibilities</w:t>
      </w:r>
      <w:r w:rsidR="009F2DFC">
        <w:rPr>
          <w:lang w:val="en-GB"/>
        </w:rPr>
        <w:t>,</w:t>
      </w:r>
      <w:r w:rsidRPr="00463521">
        <w:rPr>
          <w:lang w:val="en-GB"/>
        </w:rPr>
        <w:t xml:space="preserve"> </w:t>
      </w:r>
      <w:r w:rsidR="009F2DFC">
        <w:rPr>
          <w:lang w:val="en-GB"/>
        </w:rPr>
        <w:t>i</w:t>
      </w:r>
      <w:r w:rsidRPr="00463521">
        <w:rPr>
          <w:lang w:val="en-GB"/>
        </w:rPr>
        <w:t xml:space="preserve">n H. Barnard </w:t>
      </w:r>
      <w:r w:rsidR="009F2DFC">
        <w:rPr>
          <w:lang w:val="en-GB"/>
        </w:rPr>
        <w:t>&amp;</w:t>
      </w:r>
      <w:r w:rsidRPr="00463521">
        <w:rPr>
          <w:lang w:val="en-GB"/>
        </w:rPr>
        <w:t xml:space="preserve"> J</w:t>
      </w:r>
      <w:r w:rsidR="009F2DFC">
        <w:rPr>
          <w:lang w:val="en-GB"/>
        </w:rPr>
        <w:t>.</w:t>
      </w:r>
      <w:r w:rsidRPr="00463521">
        <w:rPr>
          <w:lang w:val="en-GB"/>
        </w:rPr>
        <w:t xml:space="preserve"> </w:t>
      </w:r>
      <w:proofErr w:type="spellStart"/>
      <w:r w:rsidRPr="00463521">
        <w:rPr>
          <w:lang w:val="en-GB"/>
        </w:rPr>
        <w:t>Eerkens</w:t>
      </w:r>
      <w:proofErr w:type="spellEnd"/>
      <w:r w:rsidRPr="00463521">
        <w:rPr>
          <w:lang w:val="en-GB"/>
        </w:rPr>
        <w:t xml:space="preserve"> (ed</w:t>
      </w:r>
      <w:r w:rsidR="009F2DFC">
        <w:rPr>
          <w:lang w:val="en-GB"/>
        </w:rPr>
        <w:t>.</w:t>
      </w:r>
      <w:r w:rsidRPr="00463521">
        <w:rPr>
          <w:lang w:val="en-GB"/>
        </w:rPr>
        <w:t xml:space="preserve">) </w:t>
      </w:r>
      <w:r w:rsidRPr="00463521">
        <w:rPr>
          <w:i/>
          <w:lang w:val="en-GB"/>
        </w:rPr>
        <w:t xml:space="preserve">Theory and </w:t>
      </w:r>
      <w:r w:rsidR="009F2DFC">
        <w:rPr>
          <w:i/>
          <w:lang w:val="en-GB"/>
        </w:rPr>
        <w:t>p</w:t>
      </w:r>
      <w:r w:rsidRPr="00463521">
        <w:rPr>
          <w:i/>
          <w:lang w:val="en-GB"/>
        </w:rPr>
        <w:t xml:space="preserve">ractice of </w:t>
      </w:r>
      <w:r w:rsidR="009F2DFC">
        <w:rPr>
          <w:i/>
          <w:lang w:val="en-GB"/>
        </w:rPr>
        <w:t>a</w:t>
      </w:r>
      <w:r w:rsidRPr="00463521">
        <w:rPr>
          <w:i/>
          <w:lang w:val="en-GB"/>
        </w:rPr>
        <w:t xml:space="preserve">rchaeological </w:t>
      </w:r>
      <w:r w:rsidR="009F2DFC">
        <w:rPr>
          <w:i/>
          <w:lang w:val="en-GB"/>
        </w:rPr>
        <w:t>r</w:t>
      </w:r>
      <w:r w:rsidRPr="00463521">
        <w:rPr>
          <w:i/>
          <w:lang w:val="en-GB"/>
        </w:rPr>
        <w:t xml:space="preserve">esidue </w:t>
      </w:r>
      <w:r w:rsidR="009F2DFC">
        <w:rPr>
          <w:i/>
          <w:lang w:val="en-GB"/>
        </w:rPr>
        <w:t>a</w:t>
      </w:r>
      <w:r w:rsidRPr="00463521">
        <w:rPr>
          <w:i/>
          <w:lang w:val="en-GB"/>
        </w:rPr>
        <w:t>nalysis</w:t>
      </w:r>
      <w:r w:rsidR="009F2DFC">
        <w:rPr>
          <w:i/>
          <w:lang w:val="en-GB"/>
        </w:rPr>
        <w:t xml:space="preserve"> </w:t>
      </w:r>
      <w:r w:rsidR="009F2DFC">
        <w:rPr>
          <w:lang w:val="en-GB"/>
        </w:rPr>
        <w:t>(</w:t>
      </w:r>
      <w:r w:rsidR="009F2DFC" w:rsidRPr="00463521">
        <w:rPr>
          <w:lang w:val="en-GB"/>
        </w:rPr>
        <w:t>British Archaeological Reports International Series</w:t>
      </w:r>
      <w:r w:rsidR="009F2DFC" w:rsidRPr="00463521">
        <w:rPr>
          <w:i/>
          <w:lang w:val="en-GB"/>
        </w:rPr>
        <w:t xml:space="preserve"> </w:t>
      </w:r>
      <w:r w:rsidR="009F2DFC" w:rsidRPr="00463521">
        <w:rPr>
          <w:lang w:val="en-GB"/>
        </w:rPr>
        <w:t>1650</w:t>
      </w:r>
      <w:r w:rsidR="009F2DFC">
        <w:rPr>
          <w:lang w:val="en-GB"/>
        </w:rPr>
        <w:t>)</w:t>
      </w:r>
      <w:r w:rsidRPr="00463521">
        <w:rPr>
          <w:lang w:val="en-GB"/>
        </w:rPr>
        <w:t>: 77</w:t>
      </w:r>
      <w:r w:rsidR="009F2DFC">
        <w:rPr>
          <w:lang w:val="en-GB"/>
        </w:rPr>
        <w:t>–89. Oxford: BAR</w:t>
      </w:r>
      <w:r w:rsidRPr="00463521">
        <w:rPr>
          <w:lang w:val="en-GB"/>
        </w:rPr>
        <w:t>.</w:t>
      </w:r>
    </w:p>
    <w:p w14:paraId="5695D019" w14:textId="77777777" w:rsidR="00C2191D" w:rsidRPr="00463521" w:rsidRDefault="00715C63" w:rsidP="00463521">
      <w:pPr>
        <w:spacing w:line="360" w:lineRule="auto"/>
        <w:rPr>
          <w:lang w:val="en-GB"/>
        </w:rPr>
      </w:pPr>
      <w:proofErr w:type="spellStart"/>
      <w:r w:rsidRPr="00463521">
        <w:rPr>
          <w:lang w:val="en-GB"/>
        </w:rPr>
        <w:t>M</w:t>
      </w:r>
      <w:r w:rsidRPr="00463521">
        <w:rPr>
          <w:smallCaps/>
          <w:lang w:val="en-GB"/>
        </w:rPr>
        <w:t>alainey</w:t>
      </w:r>
      <w:proofErr w:type="spellEnd"/>
      <w:r w:rsidRPr="00463521">
        <w:rPr>
          <w:lang w:val="en-GB"/>
        </w:rPr>
        <w:t>, M.E., R. P</w:t>
      </w:r>
      <w:r w:rsidRPr="00463521">
        <w:rPr>
          <w:smallCaps/>
          <w:lang w:val="en-GB"/>
        </w:rPr>
        <w:t>rzybylski</w:t>
      </w:r>
      <w:r w:rsidRPr="00463521">
        <w:rPr>
          <w:lang w:val="en-GB"/>
        </w:rPr>
        <w:t xml:space="preserve"> &amp; B.L. S</w:t>
      </w:r>
      <w:r w:rsidRPr="00463521">
        <w:rPr>
          <w:smallCaps/>
          <w:lang w:val="en-GB"/>
        </w:rPr>
        <w:t>herriff</w:t>
      </w:r>
      <w:r w:rsidRPr="00463521">
        <w:rPr>
          <w:lang w:val="en-GB"/>
        </w:rPr>
        <w:t xml:space="preserve">. 1999. The effects of thermal and oxidative degradation on the fatty acid composition of food plants and animals of Western Canada: implications for the identification of archaeological vessel residues. </w:t>
      </w:r>
      <w:r w:rsidRPr="00463521">
        <w:rPr>
          <w:i/>
          <w:lang w:val="en-GB"/>
        </w:rPr>
        <w:t>Journal of Archaeological Science</w:t>
      </w:r>
      <w:r w:rsidR="009F2DFC">
        <w:rPr>
          <w:lang w:val="en-GB"/>
        </w:rPr>
        <w:t xml:space="preserve"> 26</w:t>
      </w:r>
      <w:r w:rsidRPr="00463521">
        <w:rPr>
          <w:lang w:val="en-GB"/>
        </w:rPr>
        <w:t>: 95</w:t>
      </w:r>
      <w:r w:rsidR="009F2DFC">
        <w:rPr>
          <w:lang w:val="en-GB"/>
        </w:rPr>
        <w:t>–</w:t>
      </w:r>
      <w:r w:rsidRPr="00463521">
        <w:rPr>
          <w:lang w:val="en-GB"/>
        </w:rPr>
        <w:t>103.</w:t>
      </w:r>
      <w:r w:rsidR="009F2DFC">
        <w:rPr>
          <w:lang w:val="en-GB"/>
        </w:rPr>
        <w:t xml:space="preserve"> </w:t>
      </w:r>
      <w:r w:rsidR="009F2DFC" w:rsidRPr="009F2DFC">
        <w:rPr>
          <w:lang w:val="en-GB"/>
        </w:rPr>
        <w:t>https://doi.org/10.1006/jasc.1998.0306</w:t>
      </w:r>
    </w:p>
    <w:p w14:paraId="4C5D215A" w14:textId="66F45BAD" w:rsidR="00C2191D" w:rsidRPr="00463521" w:rsidRDefault="009F2DFC" w:rsidP="00463521">
      <w:pPr>
        <w:spacing w:line="360" w:lineRule="auto"/>
        <w:rPr>
          <w:lang w:val="en-GB"/>
        </w:rPr>
      </w:pPr>
      <w:r>
        <w:rPr>
          <w:color w:val="000000"/>
          <w:lang w:val="en-GB"/>
        </w:rPr>
        <w:t>–</w:t>
      </w:r>
      <w:r w:rsidR="00715C63" w:rsidRPr="00463521">
        <w:rPr>
          <w:color w:val="000000"/>
          <w:lang w:val="en-GB"/>
        </w:rPr>
        <w:t xml:space="preserve"> 2001. One </w:t>
      </w:r>
      <w:r w:rsidRPr="00463521">
        <w:rPr>
          <w:color w:val="000000"/>
          <w:lang w:val="en-GB"/>
        </w:rPr>
        <w:t>person's food: how and why fish avoidance may affect the settlement and subsistence patterns of hunter-gatherers</w:t>
      </w:r>
      <w:r w:rsidR="00715C63" w:rsidRPr="00463521">
        <w:rPr>
          <w:color w:val="000000"/>
          <w:lang w:val="en-GB"/>
        </w:rPr>
        <w:t xml:space="preserve">. </w:t>
      </w:r>
      <w:r w:rsidR="00715C63" w:rsidRPr="00463521">
        <w:rPr>
          <w:i/>
          <w:color w:val="000000"/>
          <w:lang w:val="en-GB"/>
        </w:rPr>
        <w:t>American Antiquity</w:t>
      </w:r>
      <w:r w:rsidR="00854174">
        <w:rPr>
          <w:color w:val="000000"/>
          <w:lang w:val="en-GB"/>
        </w:rPr>
        <w:t xml:space="preserve"> 66</w:t>
      </w:r>
      <w:r w:rsidR="00715C63" w:rsidRPr="00463521">
        <w:rPr>
          <w:color w:val="000000"/>
          <w:lang w:val="en-GB"/>
        </w:rPr>
        <w:t>: 141</w:t>
      </w:r>
      <w:r>
        <w:rPr>
          <w:color w:val="000000"/>
          <w:lang w:val="en-GB"/>
        </w:rPr>
        <w:t>–</w:t>
      </w:r>
      <w:r w:rsidR="00715C63" w:rsidRPr="00463521">
        <w:rPr>
          <w:color w:val="000000"/>
          <w:lang w:val="en-GB"/>
        </w:rPr>
        <w:t>61.</w:t>
      </w:r>
      <w:r>
        <w:rPr>
          <w:color w:val="000000"/>
          <w:lang w:val="en-GB"/>
        </w:rPr>
        <w:t xml:space="preserve"> </w:t>
      </w:r>
      <w:r w:rsidRPr="009F2DFC">
        <w:rPr>
          <w:color w:val="000000"/>
          <w:lang w:val="en-GB"/>
        </w:rPr>
        <w:t>https://doi.org/10.2307/2694322</w:t>
      </w:r>
    </w:p>
    <w:p w14:paraId="2BD56478" w14:textId="77777777" w:rsidR="00C2191D" w:rsidRPr="00463521" w:rsidRDefault="00715C63" w:rsidP="00463521">
      <w:pPr>
        <w:spacing w:line="360" w:lineRule="auto"/>
        <w:rPr>
          <w:lang w:val="en-GB"/>
        </w:rPr>
      </w:pPr>
      <w:proofErr w:type="spellStart"/>
      <w:r w:rsidRPr="00463521">
        <w:rPr>
          <w:lang w:val="en-GB"/>
        </w:rPr>
        <w:t>O</w:t>
      </w:r>
      <w:r w:rsidRPr="00463521">
        <w:rPr>
          <w:smallCaps/>
          <w:lang w:val="en-GB"/>
        </w:rPr>
        <w:t>ras</w:t>
      </w:r>
      <w:proofErr w:type="spellEnd"/>
      <w:r w:rsidRPr="00463521">
        <w:rPr>
          <w:lang w:val="en-GB"/>
        </w:rPr>
        <w:t>, E. A. L</w:t>
      </w:r>
      <w:r w:rsidRPr="00463521">
        <w:rPr>
          <w:smallCaps/>
          <w:lang w:val="en-GB"/>
        </w:rPr>
        <w:t>ucquin</w:t>
      </w:r>
      <w:r w:rsidRPr="00463521">
        <w:rPr>
          <w:lang w:val="en-GB"/>
        </w:rPr>
        <w:t xml:space="preserve">, L. </w:t>
      </w:r>
      <w:proofErr w:type="spellStart"/>
      <w:r w:rsidRPr="00463521">
        <w:rPr>
          <w:lang w:val="en-GB"/>
        </w:rPr>
        <w:t>L</w:t>
      </w:r>
      <w:r w:rsidRPr="00463521">
        <w:rPr>
          <w:smallCaps/>
          <w:lang w:val="en-GB"/>
        </w:rPr>
        <w:t>õugas</w:t>
      </w:r>
      <w:proofErr w:type="spellEnd"/>
      <w:r w:rsidRPr="00463521">
        <w:rPr>
          <w:lang w:val="en-GB"/>
        </w:rPr>
        <w:t xml:space="preserve">, M. </w:t>
      </w:r>
      <w:proofErr w:type="spellStart"/>
      <w:r w:rsidRPr="00463521">
        <w:rPr>
          <w:lang w:val="en-GB"/>
        </w:rPr>
        <w:t>T</w:t>
      </w:r>
      <w:r w:rsidRPr="00463521">
        <w:rPr>
          <w:smallCaps/>
          <w:lang w:val="en-GB"/>
        </w:rPr>
        <w:t>õrv</w:t>
      </w:r>
      <w:proofErr w:type="spellEnd"/>
      <w:r w:rsidRPr="00463521">
        <w:rPr>
          <w:lang w:val="en-GB"/>
        </w:rPr>
        <w:t xml:space="preserve">, A. </w:t>
      </w:r>
      <w:proofErr w:type="spellStart"/>
      <w:r w:rsidRPr="00463521">
        <w:rPr>
          <w:lang w:val="en-GB"/>
        </w:rPr>
        <w:t>K</w:t>
      </w:r>
      <w:r w:rsidRPr="00463521">
        <w:rPr>
          <w:smallCaps/>
          <w:lang w:val="en-GB"/>
        </w:rPr>
        <w:t>riiska</w:t>
      </w:r>
      <w:proofErr w:type="spellEnd"/>
      <w:r w:rsidRPr="00463521">
        <w:rPr>
          <w:lang w:val="en-GB"/>
        </w:rPr>
        <w:t xml:space="preserve"> &amp; O.E. C</w:t>
      </w:r>
      <w:r w:rsidRPr="00463521">
        <w:rPr>
          <w:smallCaps/>
          <w:lang w:val="en-GB"/>
        </w:rPr>
        <w:t>raig</w:t>
      </w:r>
      <w:r w:rsidRPr="00463521">
        <w:rPr>
          <w:lang w:val="en-GB"/>
        </w:rPr>
        <w:t xml:space="preserve">. 2017. The adoption of pottery by north-east European hunter-gatherers: </w:t>
      </w:r>
      <w:r w:rsidR="009F2DFC">
        <w:rPr>
          <w:lang w:val="en-GB"/>
        </w:rPr>
        <w:t>e</w:t>
      </w:r>
      <w:r w:rsidRPr="00463521">
        <w:rPr>
          <w:lang w:val="en-GB"/>
        </w:rPr>
        <w:t xml:space="preserve">vidence from lipid residue analysis. </w:t>
      </w:r>
      <w:r w:rsidRPr="00463521">
        <w:rPr>
          <w:i/>
          <w:lang w:val="en-GB"/>
        </w:rPr>
        <w:t>Journal of Archaeological Science</w:t>
      </w:r>
      <w:r w:rsidR="009F2DFC">
        <w:rPr>
          <w:lang w:val="en-GB"/>
        </w:rPr>
        <w:t xml:space="preserve"> 78: 112–</w:t>
      </w:r>
      <w:r w:rsidRPr="00463521">
        <w:rPr>
          <w:lang w:val="en-GB"/>
        </w:rPr>
        <w:t>19.</w:t>
      </w:r>
      <w:r w:rsidR="009F2DFC">
        <w:rPr>
          <w:lang w:val="en-GB"/>
        </w:rPr>
        <w:t xml:space="preserve"> </w:t>
      </w:r>
      <w:r w:rsidR="009F2DFC" w:rsidRPr="009F2DFC">
        <w:rPr>
          <w:lang w:val="en-GB"/>
        </w:rPr>
        <w:t>https://doi.org/10.1016/j.jas.2016.11.010</w:t>
      </w:r>
    </w:p>
    <w:p w14:paraId="347C2337" w14:textId="2677D422" w:rsidR="00C2191D" w:rsidRPr="00463521" w:rsidRDefault="00715C63" w:rsidP="00463521">
      <w:pPr>
        <w:spacing w:line="360" w:lineRule="auto"/>
        <w:rPr>
          <w:lang w:val="en-GB"/>
        </w:rPr>
      </w:pPr>
      <w:proofErr w:type="spellStart"/>
      <w:r w:rsidRPr="00463521">
        <w:rPr>
          <w:lang w:val="en-GB"/>
        </w:rPr>
        <w:t>R</w:t>
      </w:r>
      <w:r w:rsidRPr="00463521">
        <w:rPr>
          <w:smallCaps/>
          <w:lang w:val="en-GB"/>
        </w:rPr>
        <w:t>egert</w:t>
      </w:r>
      <w:proofErr w:type="spellEnd"/>
      <w:r w:rsidRPr="00463521">
        <w:rPr>
          <w:lang w:val="en-GB"/>
        </w:rPr>
        <w:t>, M., H.A. B</w:t>
      </w:r>
      <w:r w:rsidRPr="00463521">
        <w:rPr>
          <w:smallCaps/>
          <w:lang w:val="en-GB"/>
        </w:rPr>
        <w:t>land</w:t>
      </w:r>
      <w:r w:rsidRPr="00463521">
        <w:rPr>
          <w:lang w:val="en-GB"/>
        </w:rPr>
        <w:t xml:space="preserve">, S.N. </w:t>
      </w:r>
      <w:proofErr w:type="spellStart"/>
      <w:r w:rsidRPr="00463521">
        <w:rPr>
          <w:lang w:val="en-GB"/>
        </w:rPr>
        <w:t>D</w:t>
      </w:r>
      <w:r w:rsidRPr="00463521">
        <w:rPr>
          <w:smallCaps/>
          <w:lang w:val="en-GB"/>
        </w:rPr>
        <w:t>udd</w:t>
      </w:r>
      <w:proofErr w:type="spellEnd"/>
      <w:r w:rsidRPr="00463521">
        <w:rPr>
          <w:lang w:val="en-GB"/>
        </w:rPr>
        <w:t>, P.V. B</w:t>
      </w:r>
      <w:r w:rsidRPr="00463521">
        <w:rPr>
          <w:smallCaps/>
          <w:lang w:val="en-GB"/>
        </w:rPr>
        <w:t>ergen</w:t>
      </w:r>
      <w:r w:rsidRPr="00463521">
        <w:rPr>
          <w:lang w:val="en-GB"/>
        </w:rPr>
        <w:t xml:space="preserve"> &amp; R.P. </w:t>
      </w:r>
      <w:proofErr w:type="spellStart"/>
      <w:r w:rsidRPr="00463521">
        <w:rPr>
          <w:lang w:val="en-GB"/>
        </w:rPr>
        <w:t>E</w:t>
      </w:r>
      <w:r w:rsidRPr="00463521">
        <w:rPr>
          <w:smallCaps/>
          <w:lang w:val="en-GB"/>
        </w:rPr>
        <w:t>vershed</w:t>
      </w:r>
      <w:proofErr w:type="spellEnd"/>
      <w:r w:rsidRPr="00463521">
        <w:rPr>
          <w:lang w:val="en-GB"/>
        </w:rPr>
        <w:t xml:space="preserve">. 1998. Free and bound fatty acid oxidation products in archaeological ceramic vessels. </w:t>
      </w:r>
      <w:r w:rsidRPr="00463521">
        <w:rPr>
          <w:i/>
          <w:lang w:val="en-GB"/>
        </w:rPr>
        <w:t>Proceedings of the Royal Society of London B: Biological Sciences</w:t>
      </w:r>
      <w:r w:rsidR="00854174">
        <w:rPr>
          <w:lang w:val="en-GB"/>
        </w:rPr>
        <w:t xml:space="preserve"> 265</w:t>
      </w:r>
      <w:r w:rsidR="009F2DFC">
        <w:rPr>
          <w:lang w:val="en-GB"/>
        </w:rPr>
        <w:t>: 2027–</w:t>
      </w:r>
      <w:r w:rsidRPr="00463521">
        <w:rPr>
          <w:lang w:val="en-GB"/>
        </w:rPr>
        <w:t>32.</w:t>
      </w:r>
      <w:r w:rsidR="009F2DFC">
        <w:rPr>
          <w:lang w:val="en-GB"/>
        </w:rPr>
        <w:t xml:space="preserve"> </w:t>
      </w:r>
      <w:r w:rsidR="009F2DFC" w:rsidRPr="009F2DFC">
        <w:rPr>
          <w:lang w:val="en-GB"/>
        </w:rPr>
        <w:t>https://doi.org/10.1098/rspb.1998.0536</w:t>
      </w:r>
    </w:p>
    <w:p w14:paraId="195FC3BC" w14:textId="77777777" w:rsidR="00C2191D" w:rsidRPr="00463521" w:rsidRDefault="00715C63" w:rsidP="00463521">
      <w:pPr>
        <w:spacing w:line="360" w:lineRule="auto"/>
        <w:rPr>
          <w:lang w:val="en-GB"/>
        </w:rPr>
      </w:pPr>
      <w:proofErr w:type="spellStart"/>
      <w:r w:rsidRPr="00463521">
        <w:rPr>
          <w:lang w:val="en-GB"/>
        </w:rPr>
        <w:t>S</w:t>
      </w:r>
      <w:r w:rsidRPr="00463521">
        <w:rPr>
          <w:smallCaps/>
          <w:lang w:val="en-GB"/>
        </w:rPr>
        <w:t>kibo</w:t>
      </w:r>
      <w:proofErr w:type="spellEnd"/>
      <w:r w:rsidRPr="00463521">
        <w:rPr>
          <w:lang w:val="en-GB"/>
        </w:rPr>
        <w:t xml:space="preserve">, J.M., M.E. </w:t>
      </w:r>
      <w:proofErr w:type="spellStart"/>
      <w:r w:rsidRPr="00463521">
        <w:rPr>
          <w:lang w:val="en-GB"/>
        </w:rPr>
        <w:t>M</w:t>
      </w:r>
      <w:r w:rsidRPr="00463521">
        <w:rPr>
          <w:smallCaps/>
          <w:lang w:val="en-GB"/>
        </w:rPr>
        <w:t>alainey</w:t>
      </w:r>
      <w:proofErr w:type="spellEnd"/>
      <w:r w:rsidRPr="00463521">
        <w:rPr>
          <w:lang w:val="en-GB"/>
        </w:rPr>
        <w:t xml:space="preserve"> &amp; S.M. </w:t>
      </w:r>
      <w:proofErr w:type="spellStart"/>
      <w:r w:rsidRPr="00463521">
        <w:rPr>
          <w:lang w:val="en-GB"/>
        </w:rPr>
        <w:t>K</w:t>
      </w:r>
      <w:r w:rsidRPr="00463521">
        <w:rPr>
          <w:smallCaps/>
          <w:lang w:val="en-GB"/>
        </w:rPr>
        <w:t>ooiman</w:t>
      </w:r>
      <w:proofErr w:type="spellEnd"/>
      <w:r w:rsidRPr="00463521">
        <w:rPr>
          <w:lang w:val="en-GB"/>
        </w:rPr>
        <w:t xml:space="preserve">. 2016. Early pottery in the North American Upper Great Lakes: exploring traces of use. </w:t>
      </w:r>
      <w:r w:rsidRPr="00463521">
        <w:rPr>
          <w:i/>
          <w:lang w:val="en-GB"/>
        </w:rPr>
        <w:t>Antiquity</w:t>
      </w:r>
      <w:r w:rsidR="009F2DFC">
        <w:rPr>
          <w:lang w:val="en-GB"/>
        </w:rPr>
        <w:t xml:space="preserve"> 90: 1226–</w:t>
      </w:r>
      <w:r w:rsidRPr="00463521">
        <w:rPr>
          <w:lang w:val="en-GB"/>
        </w:rPr>
        <w:t>37.</w:t>
      </w:r>
      <w:r w:rsidR="009F2DFC">
        <w:rPr>
          <w:lang w:val="en-GB"/>
        </w:rPr>
        <w:t xml:space="preserve"> </w:t>
      </w:r>
      <w:r w:rsidR="009F2DFC" w:rsidRPr="009F2DFC">
        <w:rPr>
          <w:lang w:val="en-GB"/>
        </w:rPr>
        <w:t>https://doi.org/10.15184/aqy.2016.169</w:t>
      </w:r>
    </w:p>
    <w:p w14:paraId="09E4B31B" w14:textId="4F286206" w:rsidR="00C2191D" w:rsidRPr="00463521" w:rsidRDefault="00715C63" w:rsidP="00463521">
      <w:pPr>
        <w:spacing w:line="360" w:lineRule="auto"/>
        <w:rPr>
          <w:lang w:val="en-GB"/>
        </w:rPr>
      </w:pPr>
      <w:proofErr w:type="spellStart"/>
      <w:r w:rsidRPr="00463521">
        <w:rPr>
          <w:lang w:val="en-GB"/>
        </w:rPr>
        <w:t>T</w:t>
      </w:r>
      <w:r w:rsidRPr="00463521">
        <w:rPr>
          <w:smallCaps/>
          <w:lang w:val="en-GB"/>
        </w:rPr>
        <w:t>aché</w:t>
      </w:r>
      <w:proofErr w:type="spellEnd"/>
      <w:r w:rsidRPr="00463521">
        <w:rPr>
          <w:lang w:val="en-GB"/>
        </w:rPr>
        <w:t>, K. &amp; J.P. H</w:t>
      </w:r>
      <w:r w:rsidRPr="00463521">
        <w:rPr>
          <w:smallCaps/>
          <w:lang w:val="en-GB"/>
        </w:rPr>
        <w:t>art</w:t>
      </w:r>
      <w:r w:rsidRPr="00463521">
        <w:rPr>
          <w:lang w:val="en-GB"/>
        </w:rPr>
        <w:t xml:space="preserve">. 2013. Chronometric hygiene of radiocarbon databases for early durable cooking vessel technologies in </w:t>
      </w:r>
      <w:proofErr w:type="spellStart"/>
      <w:r w:rsidRPr="00463521">
        <w:rPr>
          <w:lang w:val="en-GB"/>
        </w:rPr>
        <w:t>northeastern</w:t>
      </w:r>
      <w:proofErr w:type="spellEnd"/>
      <w:r w:rsidRPr="00463521">
        <w:rPr>
          <w:lang w:val="en-GB"/>
        </w:rPr>
        <w:t xml:space="preserve"> North America. </w:t>
      </w:r>
      <w:r w:rsidRPr="00463521">
        <w:rPr>
          <w:i/>
          <w:lang w:val="en-GB"/>
        </w:rPr>
        <w:t xml:space="preserve">American Antiquity </w:t>
      </w:r>
      <w:r w:rsidRPr="00463521">
        <w:rPr>
          <w:lang w:val="en-GB"/>
        </w:rPr>
        <w:t>78: 359–72.</w:t>
      </w:r>
      <w:r w:rsidR="009F2DFC">
        <w:rPr>
          <w:lang w:val="en-GB"/>
        </w:rPr>
        <w:t xml:space="preserve"> </w:t>
      </w:r>
      <w:r w:rsidR="009F2DFC" w:rsidRPr="009F2DFC">
        <w:rPr>
          <w:lang w:val="en-GB"/>
        </w:rPr>
        <w:t>https://doi.org/10.7183/0002-7316.78.2.359</w:t>
      </w:r>
    </w:p>
    <w:p w14:paraId="25B7C1F1" w14:textId="77777777" w:rsidR="00C2191D" w:rsidRDefault="00715C63" w:rsidP="00463521">
      <w:pPr>
        <w:spacing w:line="360" w:lineRule="auto"/>
        <w:rPr>
          <w:lang w:val="en-GB"/>
        </w:rPr>
      </w:pPr>
      <w:proofErr w:type="spellStart"/>
      <w:r w:rsidRPr="00463521">
        <w:rPr>
          <w:lang w:val="en-GB"/>
        </w:rPr>
        <w:t>T</w:t>
      </w:r>
      <w:r w:rsidRPr="00463521">
        <w:rPr>
          <w:smallCaps/>
          <w:lang w:val="en-GB"/>
        </w:rPr>
        <w:t>aché</w:t>
      </w:r>
      <w:proofErr w:type="spellEnd"/>
      <w:r w:rsidRPr="00463521">
        <w:rPr>
          <w:lang w:val="en-GB"/>
        </w:rPr>
        <w:t>, K. &amp; O.E. C</w:t>
      </w:r>
      <w:r w:rsidRPr="00463521">
        <w:rPr>
          <w:smallCaps/>
          <w:lang w:val="en-GB"/>
        </w:rPr>
        <w:t>raig</w:t>
      </w:r>
      <w:r w:rsidRPr="00463521">
        <w:rPr>
          <w:lang w:val="en-GB"/>
        </w:rPr>
        <w:t xml:space="preserve">. 2015. Cooperative harvesting of aquatic resources and the beginning of pottery production in north-eastern North America. </w:t>
      </w:r>
      <w:r w:rsidRPr="00463521">
        <w:rPr>
          <w:i/>
          <w:lang w:val="en-GB"/>
        </w:rPr>
        <w:t>Antiquity</w:t>
      </w:r>
      <w:r w:rsidR="009F2DFC">
        <w:rPr>
          <w:lang w:val="en-GB"/>
        </w:rPr>
        <w:t xml:space="preserve"> 89: 177–</w:t>
      </w:r>
      <w:r w:rsidRPr="00463521">
        <w:rPr>
          <w:lang w:val="en-GB"/>
        </w:rPr>
        <w:t>90.</w:t>
      </w:r>
      <w:r w:rsidR="009F2DFC">
        <w:rPr>
          <w:lang w:val="en-GB"/>
        </w:rPr>
        <w:t xml:space="preserve"> </w:t>
      </w:r>
      <w:r w:rsidR="00913049" w:rsidRPr="00913049">
        <w:rPr>
          <w:lang w:val="en-GB"/>
        </w:rPr>
        <w:t>https://doi.org/10.15184/aqy.2014.36</w:t>
      </w:r>
    </w:p>
    <w:p w14:paraId="1597F7B2" w14:textId="77777777" w:rsidR="00913049" w:rsidRDefault="00913049" w:rsidP="00463521">
      <w:pPr>
        <w:spacing w:line="360" w:lineRule="auto"/>
        <w:rPr>
          <w:lang w:val="en-GB"/>
        </w:rPr>
      </w:pPr>
    </w:p>
    <w:p w14:paraId="02062389" w14:textId="77777777" w:rsidR="00913049" w:rsidRPr="00913049" w:rsidRDefault="00913049" w:rsidP="00463521">
      <w:pPr>
        <w:spacing w:line="360" w:lineRule="auto"/>
        <w:rPr>
          <w:b/>
          <w:lang w:val="en-GB"/>
        </w:rPr>
      </w:pPr>
      <w:r w:rsidRPr="00913049">
        <w:rPr>
          <w:b/>
          <w:lang w:val="en-GB"/>
        </w:rPr>
        <w:t>Figure captions</w:t>
      </w:r>
    </w:p>
    <w:p w14:paraId="408DF744" w14:textId="55689699" w:rsidR="00913049" w:rsidRPr="00913049" w:rsidRDefault="00913049" w:rsidP="00913049">
      <w:pPr>
        <w:spacing w:line="360" w:lineRule="auto"/>
        <w:rPr>
          <w:i/>
          <w:lang w:val="en-GB"/>
        </w:rPr>
      </w:pPr>
      <w:r w:rsidRPr="00913049">
        <w:rPr>
          <w:i/>
          <w:lang w:val="en-GB"/>
        </w:rPr>
        <w:t xml:space="preserve">Figure 1. PCA scatter plot of the first two </w:t>
      </w:r>
      <w:commentRangeStart w:id="22"/>
      <w:commentRangeStart w:id="23"/>
      <w:r w:rsidRPr="00913049">
        <w:rPr>
          <w:i/>
          <w:lang w:val="en-GB"/>
        </w:rPr>
        <w:t>PC</w:t>
      </w:r>
      <w:commentRangeEnd w:id="22"/>
      <w:r w:rsidR="009D6DFB">
        <w:rPr>
          <w:rStyle w:val="CommentReference"/>
        </w:rPr>
        <w:commentReference w:id="22"/>
      </w:r>
      <w:commentRangeEnd w:id="23"/>
      <w:r w:rsidR="001E6C9B">
        <w:rPr>
          <w:rStyle w:val="CommentReference"/>
        </w:rPr>
        <w:commentReference w:id="23"/>
      </w:r>
      <w:r w:rsidRPr="00913049">
        <w:rPr>
          <w:i/>
          <w:lang w:val="en-GB"/>
        </w:rPr>
        <w:t>s for residues with the full set of aquatic biomarkers (filled triangles), the partial set of aquatic biomarkers (filled reverse triangles), and without aquatic biomarker (empty circles). The ellipses represent group membership</w:t>
      </w:r>
      <w:r w:rsidR="009B7C96">
        <w:rPr>
          <w:i/>
          <w:lang w:val="en-GB"/>
        </w:rPr>
        <w:t>,</w:t>
      </w:r>
      <w:r w:rsidRPr="00913049">
        <w:rPr>
          <w:i/>
          <w:lang w:val="en-GB"/>
        </w:rPr>
        <w:t xml:space="preserve"> assuming the 95 per cent confidence limit (2σ) as the cut-off distance.</w:t>
      </w:r>
    </w:p>
    <w:p w14:paraId="2153C3E6" w14:textId="77777777" w:rsidR="00913049" w:rsidRPr="00913049" w:rsidRDefault="00913049" w:rsidP="00913049">
      <w:pPr>
        <w:spacing w:line="360" w:lineRule="auto"/>
        <w:rPr>
          <w:i/>
          <w:lang w:val="en-GB"/>
        </w:rPr>
      </w:pPr>
      <w:r w:rsidRPr="00913049">
        <w:rPr>
          <w:i/>
          <w:lang w:val="en-GB"/>
        </w:rPr>
        <w:t>Figure 2. A</w:t>
      </w:r>
      <w:r>
        <w:rPr>
          <w:i/>
          <w:lang w:val="en-GB"/>
        </w:rPr>
        <w:t>)</w:t>
      </w:r>
      <w:r w:rsidRPr="00913049">
        <w:rPr>
          <w:i/>
          <w:lang w:val="en-GB"/>
        </w:rPr>
        <w:t xml:space="preserve"> Partial chromatogram of lipid extract 66628 from the Schultz site, containing degraded aquatic oil. </w:t>
      </w:r>
      <w:proofErr w:type="spellStart"/>
      <w:r w:rsidRPr="00913049">
        <w:rPr>
          <w:i/>
          <w:lang w:val="en-GB"/>
        </w:rPr>
        <w:t>Cn:x</w:t>
      </w:r>
      <w:proofErr w:type="spellEnd"/>
      <w:r w:rsidRPr="00913049">
        <w:rPr>
          <w:i/>
          <w:lang w:val="en-GB"/>
        </w:rPr>
        <w:t xml:space="preserve"> are fatty acids with carbon length n and number of </w:t>
      </w:r>
      <w:proofErr w:type="spellStart"/>
      <w:r w:rsidRPr="00913049">
        <w:rPr>
          <w:i/>
          <w:lang w:val="en-GB"/>
        </w:rPr>
        <w:t>unsaturations</w:t>
      </w:r>
      <w:proofErr w:type="spellEnd"/>
      <w:r w:rsidRPr="00913049">
        <w:rPr>
          <w:i/>
          <w:lang w:val="en-GB"/>
        </w:rPr>
        <w:t xml:space="preserve"> x; </w:t>
      </w:r>
      <w:proofErr w:type="spellStart"/>
      <w:r w:rsidRPr="00913049">
        <w:rPr>
          <w:i/>
          <w:lang w:val="en-GB"/>
        </w:rPr>
        <w:t>br</w:t>
      </w:r>
      <w:proofErr w:type="spellEnd"/>
      <w:r w:rsidRPr="00913049">
        <w:rPr>
          <w:i/>
          <w:lang w:val="en-GB"/>
        </w:rPr>
        <w:t xml:space="preserve"> are branched-chain acids; IS are the internal standards (n-tetratriacontane and n-hexatriacontane)</w:t>
      </w:r>
      <w:r>
        <w:rPr>
          <w:i/>
          <w:lang w:val="en-GB"/>
        </w:rPr>
        <w:t>;</w:t>
      </w:r>
      <w:r w:rsidRPr="00913049">
        <w:rPr>
          <w:i/>
          <w:lang w:val="en-GB"/>
        </w:rPr>
        <w:t xml:space="preserve"> B</w:t>
      </w:r>
      <w:r>
        <w:rPr>
          <w:i/>
          <w:lang w:val="en-GB"/>
        </w:rPr>
        <w:t>)</w:t>
      </w:r>
      <w:r w:rsidRPr="00913049">
        <w:rPr>
          <w:i/>
          <w:lang w:val="en-GB"/>
        </w:rPr>
        <w:t xml:space="preserve"> </w:t>
      </w:r>
      <w:r>
        <w:rPr>
          <w:i/>
          <w:lang w:val="en-GB"/>
        </w:rPr>
        <w:t>p</w:t>
      </w:r>
      <w:r w:rsidRPr="00913049">
        <w:rPr>
          <w:i/>
          <w:lang w:val="en-GB"/>
        </w:rPr>
        <w:t>artial m/z 105 ion chromatogram shows ω-(o-</w:t>
      </w:r>
      <w:proofErr w:type="spellStart"/>
      <w:r w:rsidRPr="00913049">
        <w:rPr>
          <w:i/>
          <w:lang w:val="en-GB"/>
        </w:rPr>
        <w:t>alkylphenyl</w:t>
      </w:r>
      <w:proofErr w:type="spellEnd"/>
      <w:r w:rsidRPr="00913049">
        <w:rPr>
          <w:i/>
          <w:lang w:val="en-GB"/>
        </w:rPr>
        <w:t xml:space="preserve">)alkanoic acids with 18 (+), 20 (*) and 22 (#) carbon atoms. </w:t>
      </w:r>
    </w:p>
    <w:p w14:paraId="258F1105" w14:textId="77777777" w:rsidR="00913049" w:rsidRPr="00913049" w:rsidRDefault="00913049" w:rsidP="00913049">
      <w:pPr>
        <w:spacing w:line="360" w:lineRule="auto"/>
        <w:rPr>
          <w:i/>
          <w:lang w:val="en-GB"/>
        </w:rPr>
      </w:pPr>
      <w:r w:rsidRPr="00913049">
        <w:rPr>
          <w:i/>
          <w:lang w:val="en-GB"/>
        </w:rPr>
        <w:t xml:space="preserve">Figure 3. Plot of the δ13C values of C16:0 and C18:0 fatty acids extracted from three Schultz site potsherds (red star symbols). These are compared with </w:t>
      </w:r>
      <w:proofErr w:type="spellStart"/>
      <w:r w:rsidRPr="00913049">
        <w:rPr>
          <w:i/>
          <w:lang w:val="en-GB"/>
        </w:rPr>
        <w:t>Vinette</w:t>
      </w:r>
      <w:proofErr w:type="spellEnd"/>
      <w:r w:rsidRPr="00913049">
        <w:rPr>
          <w:i/>
          <w:lang w:val="en-GB"/>
        </w:rPr>
        <w:t xml:space="preserve"> 1 pottery with (blue circles) and without (black circles) aquatic biomarkers, and with reference fats from wild ruminant (n=19), freshwater (n=24), and marine (n=22) organisms plotted as confidence ellipses (1; </w:t>
      </w:r>
      <w:proofErr w:type="spellStart"/>
      <w:r w:rsidRPr="00913049">
        <w:rPr>
          <w:i/>
          <w:lang w:val="en-GB"/>
        </w:rPr>
        <w:t>Stastica</w:t>
      </w:r>
      <w:proofErr w:type="spellEnd"/>
      <w:r w:rsidRPr="00913049">
        <w:rPr>
          <w:i/>
          <w:lang w:val="en-GB"/>
        </w:rPr>
        <w:t xml:space="preserve"> v.7). Additional North American authentic fat samples from wild herbivorous, omnivorous and piscivorous animals (n=8) are indicated separately (open diamonds).</w:t>
      </w:r>
    </w:p>
    <w:p w14:paraId="7C8CA4B6" w14:textId="77777777" w:rsidR="00C2191D" w:rsidRPr="00463521" w:rsidRDefault="00C2191D" w:rsidP="00463521">
      <w:pPr>
        <w:spacing w:line="360" w:lineRule="auto"/>
        <w:rPr>
          <w:lang w:val="en-GB"/>
        </w:rPr>
      </w:pPr>
    </w:p>
    <w:p w14:paraId="3A97C74A" w14:textId="77777777" w:rsidR="00C2191D" w:rsidRPr="00463521" w:rsidRDefault="00C2191D" w:rsidP="00463521">
      <w:pPr>
        <w:spacing w:line="360" w:lineRule="auto"/>
        <w:rPr>
          <w:lang w:val="en-GB"/>
        </w:rPr>
      </w:pPr>
    </w:p>
    <w:p w14:paraId="6BC52E62" w14:textId="77777777" w:rsidR="00C2191D" w:rsidRPr="00463521" w:rsidRDefault="00715C63" w:rsidP="00463521">
      <w:pPr>
        <w:widowControl w:val="0"/>
        <w:pBdr>
          <w:top w:val="nil"/>
          <w:left w:val="nil"/>
          <w:bottom w:val="nil"/>
          <w:right w:val="nil"/>
          <w:between w:val="nil"/>
        </w:pBdr>
        <w:spacing w:line="360" w:lineRule="auto"/>
        <w:rPr>
          <w:lang w:val="en-GB"/>
        </w:rPr>
        <w:sectPr w:rsidR="00C2191D" w:rsidRPr="00463521" w:rsidSect="00463521">
          <w:pgSz w:w="12240" w:h="15840"/>
          <w:pgMar w:top="1440" w:right="1440" w:bottom="1440" w:left="1440" w:header="720" w:footer="720" w:gutter="0"/>
          <w:pgNumType w:start="1"/>
          <w:cols w:space="720"/>
          <w:docGrid w:linePitch="326"/>
        </w:sectPr>
      </w:pPr>
      <w:r w:rsidRPr="00463521">
        <w:rPr>
          <w:lang w:val="en-GB"/>
        </w:rPr>
        <w:br w:type="page"/>
      </w:r>
    </w:p>
    <w:p w14:paraId="069150E7" w14:textId="32B89799" w:rsidR="00C2191D" w:rsidRPr="00913049" w:rsidRDefault="00715C63" w:rsidP="00463521">
      <w:pPr>
        <w:spacing w:line="360" w:lineRule="auto"/>
        <w:rPr>
          <w:b/>
          <w:lang w:val="en-GB"/>
        </w:rPr>
      </w:pPr>
      <w:r w:rsidRPr="00913049">
        <w:rPr>
          <w:b/>
          <w:lang w:val="en-GB"/>
        </w:rPr>
        <w:t>Table 1. Lipid analysis of ceramic samples from the Schultz site. (</w:t>
      </w:r>
      <w:proofErr w:type="spellStart"/>
      <w:r w:rsidRPr="00913049">
        <w:rPr>
          <w:b/>
          <w:lang w:val="en-GB"/>
        </w:rPr>
        <w:t>Cx:y</w:t>
      </w:r>
      <w:proofErr w:type="spellEnd"/>
      <w:r w:rsidRPr="00913049">
        <w:rPr>
          <w:b/>
          <w:lang w:val="en-GB"/>
        </w:rPr>
        <w:t xml:space="preserve">)=fatty acids with carbon length x and number of </w:t>
      </w:r>
      <w:proofErr w:type="spellStart"/>
      <w:r w:rsidRPr="00913049">
        <w:rPr>
          <w:b/>
          <w:lang w:val="en-GB"/>
        </w:rPr>
        <w:t>unsaturations</w:t>
      </w:r>
      <w:proofErr w:type="spellEnd"/>
      <w:r w:rsidRPr="00913049">
        <w:rPr>
          <w:b/>
          <w:lang w:val="en-GB"/>
        </w:rPr>
        <w:t xml:space="preserve"> y</w:t>
      </w:r>
      <w:r w:rsidR="00415063">
        <w:rPr>
          <w:b/>
          <w:lang w:val="en-GB"/>
        </w:rPr>
        <w:t>;</w:t>
      </w:r>
      <w:r w:rsidRPr="00913049">
        <w:rPr>
          <w:b/>
          <w:lang w:val="en-GB"/>
        </w:rPr>
        <w:t xml:space="preserve"> </w:t>
      </w:r>
      <w:proofErr w:type="spellStart"/>
      <w:r w:rsidRPr="00913049">
        <w:rPr>
          <w:b/>
          <w:lang w:val="en-GB"/>
        </w:rPr>
        <w:t>phy</w:t>
      </w:r>
      <w:proofErr w:type="spellEnd"/>
      <w:r w:rsidRPr="00913049">
        <w:rPr>
          <w:b/>
          <w:lang w:val="en-GB"/>
        </w:rPr>
        <w:t>=phytanic acid</w:t>
      </w:r>
      <w:r w:rsidR="00415063">
        <w:rPr>
          <w:b/>
          <w:lang w:val="en-GB"/>
        </w:rPr>
        <w:t xml:space="preserve">; APAA </w:t>
      </w:r>
      <w:proofErr w:type="spellStart"/>
      <w:r w:rsidR="00415063">
        <w:rPr>
          <w:b/>
          <w:lang w:val="en-GB"/>
        </w:rPr>
        <w:t>Cx</w:t>
      </w:r>
      <w:proofErr w:type="spellEnd"/>
      <w:r w:rsidR="00415063">
        <w:rPr>
          <w:b/>
          <w:lang w:val="en-GB"/>
        </w:rPr>
        <w:t>=</w:t>
      </w:r>
      <w:r w:rsidRPr="00913049">
        <w:rPr>
          <w:b/>
          <w:lang w:val="en-GB"/>
        </w:rPr>
        <w:t>ω</w:t>
      </w:r>
      <w:r w:rsidRPr="00913049">
        <w:rPr>
          <w:rFonts w:eastAsia="Cambria"/>
          <w:b/>
          <w:lang w:val="en-GB"/>
        </w:rPr>
        <w:t>‐</w:t>
      </w:r>
      <w:r w:rsidRPr="00913049">
        <w:rPr>
          <w:b/>
          <w:lang w:val="en-GB"/>
        </w:rPr>
        <w:t>(o</w:t>
      </w:r>
      <w:r w:rsidRPr="00913049">
        <w:rPr>
          <w:rFonts w:eastAsia="Cambria"/>
          <w:b/>
          <w:lang w:val="en-GB"/>
        </w:rPr>
        <w:t>‐</w:t>
      </w:r>
      <w:proofErr w:type="spellStart"/>
      <w:r w:rsidRPr="00913049">
        <w:rPr>
          <w:b/>
          <w:lang w:val="en-GB"/>
        </w:rPr>
        <w:t>alkylphenyl</w:t>
      </w:r>
      <w:proofErr w:type="spellEnd"/>
      <w:r w:rsidRPr="00913049">
        <w:rPr>
          <w:b/>
          <w:lang w:val="en-GB"/>
        </w:rPr>
        <w:t>) alkanoic acids with carbon length x</w:t>
      </w:r>
      <w:r w:rsidR="00415063">
        <w:rPr>
          <w:b/>
          <w:lang w:val="en-GB"/>
        </w:rPr>
        <w:t>;</w:t>
      </w:r>
      <w:r w:rsidRPr="00913049">
        <w:rPr>
          <w:b/>
          <w:lang w:val="en-GB"/>
        </w:rPr>
        <w:t xml:space="preserve"> %SSR</w:t>
      </w:r>
      <w:r w:rsidR="00415063">
        <w:rPr>
          <w:b/>
          <w:lang w:val="en-GB"/>
        </w:rPr>
        <w:t>=</w:t>
      </w:r>
      <w:r w:rsidRPr="00913049">
        <w:rPr>
          <w:b/>
          <w:lang w:val="en-GB"/>
        </w:rPr>
        <w:t>the contribution of the SRR isomer in total phytanic acid.</w:t>
      </w:r>
    </w:p>
    <w:tbl>
      <w:tblPr>
        <w:tblStyle w:val="1"/>
        <w:tblW w:w="12743" w:type="dxa"/>
        <w:jc w:val="center"/>
        <w:tblLook w:val="0400" w:firstRow="0" w:lastRow="0" w:firstColumn="0" w:lastColumn="0" w:noHBand="0" w:noVBand="1"/>
      </w:tblPr>
      <w:tblGrid>
        <w:gridCol w:w="839"/>
        <w:gridCol w:w="794"/>
        <w:gridCol w:w="667"/>
        <w:gridCol w:w="740"/>
        <w:gridCol w:w="667"/>
        <w:gridCol w:w="667"/>
        <w:gridCol w:w="740"/>
        <w:gridCol w:w="667"/>
        <w:gridCol w:w="729"/>
        <w:gridCol w:w="740"/>
        <w:gridCol w:w="667"/>
        <w:gridCol w:w="667"/>
        <w:gridCol w:w="952"/>
        <w:gridCol w:w="952"/>
        <w:gridCol w:w="1374"/>
        <w:gridCol w:w="881"/>
      </w:tblGrid>
      <w:tr w:rsidR="00C2191D" w:rsidRPr="00463521" w14:paraId="66B83184" w14:textId="77777777" w:rsidTr="00913049">
        <w:trPr>
          <w:trHeight w:val="1320"/>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FD96598" w14:textId="77777777" w:rsidR="00C2191D" w:rsidRPr="00913049" w:rsidRDefault="00715C63" w:rsidP="00463521">
            <w:pPr>
              <w:spacing w:line="360" w:lineRule="auto"/>
              <w:rPr>
                <w:b/>
                <w:lang w:val="en-GB"/>
              </w:rPr>
            </w:pPr>
            <w:r w:rsidRPr="00913049">
              <w:rPr>
                <w:b/>
                <w:lang w:val="en-GB"/>
              </w:rPr>
              <w:t>ID</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21B2A20" w14:textId="77777777" w:rsidR="00C2191D" w:rsidRPr="00913049" w:rsidRDefault="00715C63" w:rsidP="00913049">
            <w:pPr>
              <w:spacing w:line="360" w:lineRule="auto"/>
              <w:jc w:val="center"/>
              <w:rPr>
                <w:b/>
                <w:lang w:val="en-GB"/>
              </w:rPr>
            </w:pPr>
            <w:r w:rsidRPr="00913049">
              <w:rPr>
                <w:b/>
                <w:lang w:val="en-GB"/>
              </w:rPr>
              <w:t>yield (ug g</w:t>
            </w:r>
            <w:r w:rsidRPr="00913049">
              <w:rPr>
                <w:b/>
                <w:vertAlign w:val="superscript"/>
                <w:lang w:val="en-GB"/>
              </w:rPr>
              <w:t>-1</w:t>
            </w:r>
            <w:r w:rsidRPr="00913049">
              <w:rPr>
                <w:b/>
                <w:lang w:val="en-GB"/>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72BC00E" w14:textId="77777777" w:rsidR="00C2191D" w:rsidRPr="00913049" w:rsidRDefault="00715C63" w:rsidP="00913049">
            <w:pPr>
              <w:spacing w:line="360" w:lineRule="auto"/>
              <w:jc w:val="center"/>
              <w:rPr>
                <w:b/>
                <w:lang w:val="en-GB"/>
              </w:rPr>
            </w:pPr>
            <w:r w:rsidRPr="00913049">
              <w:rPr>
                <w:b/>
                <w:lang w:val="en-GB"/>
              </w:rPr>
              <w:t>C</w:t>
            </w:r>
            <w:r w:rsidRPr="00913049">
              <w:rPr>
                <w:b/>
                <w:vertAlign w:val="subscript"/>
                <w:lang w:val="en-GB"/>
              </w:rPr>
              <w:t>12:0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7395EE" w14:textId="77777777" w:rsidR="00C2191D" w:rsidRPr="00913049" w:rsidRDefault="00715C63" w:rsidP="00913049">
            <w:pPr>
              <w:spacing w:line="360" w:lineRule="auto"/>
              <w:jc w:val="center"/>
              <w:rPr>
                <w:b/>
                <w:lang w:val="en-GB"/>
              </w:rPr>
            </w:pPr>
            <w:r w:rsidRPr="00913049">
              <w:rPr>
                <w:b/>
                <w:lang w:val="en-GB"/>
              </w:rPr>
              <w:t>C</w:t>
            </w:r>
            <w:r w:rsidRPr="00913049">
              <w:rPr>
                <w:b/>
                <w:vertAlign w:val="subscript"/>
                <w:lang w:val="en-GB"/>
              </w:rPr>
              <w:t>14:0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14B91D1" w14:textId="77777777" w:rsidR="00C2191D" w:rsidRPr="00913049" w:rsidRDefault="00715C63" w:rsidP="00913049">
            <w:pPr>
              <w:spacing w:line="360" w:lineRule="auto"/>
              <w:jc w:val="center"/>
              <w:rPr>
                <w:b/>
                <w:lang w:val="en-GB"/>
              </w:rPr>
            </w:pPr>
            <w:r w:rsidRPr="00913049">
              <w:rPr>
                <w:b/>
                <w:lang w:val="en-GB"/>
              </w:rPr>
              <w:t>C</w:t>
            </w:r>
            <w:r w:rsidRPr="00913049">
              <w:rPr>
                <w:b/>
                <w:vertAlign w:val="subscript"/>
                <w:lang w:val="en-GB"/>
              </w:rPr>
              <w:t>15:0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B25EE45" w14:textId="77777777" w:rsidR="00C2191D" w:rsidRPr="00913049" w:rsidRDefault="00715C63" w:rsidP="00913049">
            <w:pPr>
              <w:spacing w:line="360" w:lineRule="auto"/>
              <w:jc w:val="center"/>
              <w:rPr>
                <w:b/>
                <w:lang w:val="en-GB"/>
              </w:rPr>
            </w:pPr>
            <w:r w:rsidRPr="00913049">
              <w:rPr>
                <w:b/>
                <w:lang w:val="en-GB"/>
              </w:rPr>
              <w:t>C</w:t>
            </w:r>
            <w:r w:rsidRPr="00913049">
              <w:rPr>
                <w:b/>
                <w:vertAlign w:val="subscript"/>
                <w:lang w:val="en-GB"/>
              </w:rPr>
              <w:t>16:1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32A3C2" w14:textId="77777777" w:rsidR="00C2191D" w:rsidRPr="00913049" w:rsidRDefault="00715C63" w:rsidP="00913049">
            <w:pPr>
              <w:spacing w:line="360" w:lineRule="auto"/>
              <w:jc w:val="center"/>
              <w:rPr>
                <w:b/>
                <w:lang w:val="en-GB"/>
              </w:rPr>
            </w:pPr>
            <w:r w:rsidRPr="00913049">
              <w:rPr>
                <w:b/>
                <w:lang w:val="en-GB"/>
              </w:rPr>
              <w:t>C</w:t>
            </w:r>
            <w:r w:rsidRPr="00913049">
              <w:rPr>
                <w:b/>
                <w:vertAlign w:val="subscript"/>
                <w:lang w:val="en-GB"/>
              </w:rPr>
              <w:t>16:0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C12963" w14:textId="77777777" w:rsidR="00C2191D" w:rsidRPr="00913049" w:rsidRDefault="00715C63" w:rsidP="00913049">
            <w:pPr>
              <w:spacing w:line="360" w:lineRule="auto"/>
              <w:jc w:val="center"/>
              <w:rPr>
                <w:b/>
                <w:lang w:val="en-GB"/>
              </w:rPr>
            </w:pPr>
            <w:r w:rsidRPr="00913049">
              <w:rPr>
                <w:b/>
                <w:lang w:val="en-GB"/>
              </w:rPr>
              <w:t>C</w:t>
            </w:r>
            <w:r w:rsidRPr="00913049">
              <w:rPr>
                <w:b/>
                <w:vertAlign w:val="subscript"/>
                <w:lang w:val="en-GB"/>
              </w:rPr>
              <w:t>17:0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5D819F" w14:textId="77777777" w:rsidR="00C2191D" w:rsidRPr="00913049" w:rsidRDefault="00715C63" w:rsidP="00913049">
            <w:pPr>
              <w:spacing w:line="360" w:lineRule="auto"/>
              <w:jc w:val="center"/>
              <w:rPr>
                <w:b/>
                <w:lang w:val="en-GB"/>
              </w:rPr>
            </w:pPr>
            <w:r w:rsidRPr="00913049">
              <w:rPr>
                <w:b/>
                <w:lang w:val="en-GB"/>
              </w:rPr>
              <w:t>C</w:t>
            </w:r>
            <w:r w:rsidRPr="00913049">
              <w:rPr>
                <w:b/>
                <w:vertAlign w:val="subscript"/>
                <w:lang w:val="en-GB"/>
              </w:rPr>
              <w:t>18:1s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42959E" w14:textId="77777777" w:rsidR="00C2191D" w:rsidRPr="00913049" w:rsidRDefault="00715C63" w:rsidP="00913049">
            <w:pPr>
              <w:spacing w:line="360" w:lineRule="auto"/>
              <w:jc w:val="center"/>
              <w:rPr>
                <w:b/>
                <w:lang w:val="en-GB"/>
              </w:rPr>
            </w:pPr>
            <w:r w:rsidRPr="00913049">
              <w:rPr>
                <w:b/>
                <w:lang w:val="en-GB"/>
              </w:rPr>
              <w:t>C</w:t>
            </w:r>
            <w:r w:rsidRPr="00913049">
              <w:rPr>
                <w:b/>
                <w:vertAlign w:val="subscript"/>
                <w:lang w:val="en-GB"/>
              </w:rPr>
              <w:t>18:0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72949B" w14:textId="77777777" w:rsidR="00C2191D" w:rsidRPr="00913049" w:rsidRDefault="00715C63" w:rsidP="00913049">
            <w:pPr>
              <w:spacing w:line="360" w:lineRule="auto"/>
              <w:jc w:val="center"/>
              <w:rPr>
                <w:b/>
                <w:lang w:val="en-GB"/>
              </w:rPr>
            </w:pPr>
            <w:r w:rsidRPr="00913049">
              <w:rPr>
                <w:b/>
                <w:lang w:val="en-GB"/>
              </w:rPr>
              <w:t>C</w:t>
            </w:r>
            <w:r w:rsidRPr="00913049">
              <w:rPr>
                <w:b/>
                <w:vertAlign w:val="subscript"/>
                <w:lang w:val="en-GB"/>
              </w:rPr>
              <w:t>20:0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BBDFB8" w14:textId="77777777" w:rsidR="00C2191D" w:rsidRPr="00913049" w:rsidRDefault="00715C63" w:rsidP="00913049">
            <w:pPr>
              <w:spacing w:line="360" w:lineRule="auto"/>
              <w:jc w:val="center"/>
              <w:rPr>
                <w:b/>
                <w:lang w:val="en-GB"/>
              </w:rPr>
            </w:pPr>
            <w:r w:rsidRPr="00913049">
              <w:rPr>
                <w:b/>
                <w:lang w:val="en-GB"/>
              </w:rPr>
              <w:t>C</w:t>
            </w:r>
            <w:r w:rsidRPr="00913049">
              <w:rPr>
                <w:b/>
                <w:vertAlign w:val="subscript"/>
                <w:lang w:val="en-GB"/>
              </w:rPr>
              <w:t>24:0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824E69" w14:textId="77777777" w:rsidR="00C2191D" w:rsidRPr="00913049" w:rsidRDefault="00715C63" w:rsidP="00913049">
            <w:pPr>
              <w:spacing w:line="360" w:lineRule="auto"/>
              <w:jc w:val="center"/>
              <w:rPr>
                <w:b/>
                <w:lang w:val="en-GB"/>
              </w:rPr>
            </w:pPr>
            <w:r w:rsidRPr="00913049">
              <w:rPr>
                <w:b/>
                <w:lang w:val="en-GB"/>
              </w:rPr>
              <w:t>δ</w:t>
            </w:r>
            <w:r w:rsidRPr="00913049">
              <w:rPr>
                <w:b/>
                <w:vertAlign w:val="superscript"/>
                <w:lang w:val="en-GB"/>
              </w:rPr>
              <w:t>13</w:t>
            </w:r>
            <w:r w:rsidRPr="00913049">
              <w:rPr>
                <w:b/>
                <w:lang w:val="en-GB"/>
              </w:rPr>
              <w:t>C</w:t>
            </w:r>
            <w:r w:rsidRPr="00913049">
              <w:rPr>
                <w:b/>
                <w:vertAlign w:val="subscript"/>
                <w:lang w:val="en-GB"/>
              </w:rPr>
              <w:t xml:space="preserve">16:0 </w:t>
            </w:r>
            <w:r w:rsidRPr="00913049">
              <w:rPr>
                <w:b/>
                <w:lang w:val="en-GB"/>
              </w:rPr>
              <w:t>(‰)</w:t>
            </w:r>
          </w:p>
        </w:tc>
        <w:tc>
          <w:tcPr>
            <w:tcW w:w="0" w:type="auto"/>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vAlign w:val="center"/>
          </w:tcPr>
          <w:p w14:paraId="180717AB" w14:textId="77777777" w:rsidR="00C2191D" w:rsidRPr="00913049" w:rsidRDefault="00715C63" w:rsidP="00913049">
            <w:pPr>
              <w:spacing w:line="360" w:lineRule="auto"/>
              <w:jc w:val="center"/>
              <w:rPr>
                <w:b/>
                <w:lang w:val="en-GB"/>
              </w:rPr>
            </w:pPr>
            <w:r w:rsidRPr="00913049">
              <w:rPr>
                <w:b/>
                <w:lang w:val="en-GB"/>
              </w:rPr>
              <w:t>δ</w:t>
            </w:r>
            <w:r w:rsidRPr="00913049">
              <w:rPr>
                <w:b/>
                <w:vertAlign w:val="superscript"/>
                <w:lang w:val="en-GB"/>
              </w:rPr>
              <w:t>13</w:t>
            </w:r>
            <w:r w:rsidRPr="00913049">
              <w:rPr>
                <w:b/>
                <w:lang w:val="en-GB"/>
              </w:rPr>
              <w:t>C</w:t>
            </w:r>
            <w:r w:rsidRPr="00913049">
              <w:rPr>
                <w:b/>
                <w:vertAlign w:val="subscript"/>
                <w:lang w:val="en-GB"/>
              </w:rPr>
              <w:t>18:0</w:t>
            </w:r>
            <w:r w:rsidRPr="00913049">
              <w:rPr>
                <w:b/>
                <w:lang w:val="en-GB"/>
              </w:rPr>
              <w:t xml:space="preserve"> (‰)</w:t>
            </w:r>
          </w:p>
        </w:tc>
        <w:tc>
          <w:tcPr>
            <w:tcW w:w="0" w:type="auto"/>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vAlign w:val="center"/>
          </w:tcPr>
          <w:p w14:paraId="6323C8F8" w14:textId="77777777" w:rsidR="00C2191D" w:rsidRPr="00913049" w:rsidRDefault="00715C63" w:rsidP="00CD129B">
            <w:pPr>
              <w:spacing w:line="360" w:lineRule="auto"/>
              <w:rPr>
                <w:b/>
                <w:lang w:val="en-GB"/>
              </w:rPr>
            </w:pPr>
            <w:r w:rsidRPr="00913049">
              <w:rPr>
                <w:b/>
                <w:lang w:val="en-GB"/>
              </w:rPr>
              <w:t>Other compounds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E1C7BB" w14:textId="77777777" w:rsidR="00C2191D" w:rsidRPr="00913049" w:rsidRDefault="00715C63" w:rsidP="00913049">
            <w:pPr>
              <w:spacing w:line="360" w:lineRule="auto"/>
              <w:jc w:val="center"/>
              <w:rPr>
                <w:b/>
                <w:lang w:val="en-GB"/>
              </w:rPr>
            </w:pPr>
            <w:r w:rsidRPr="00913049">
              <w:rPr>
                <w:b/>
                <w:lang w:val="en-GB"/>
              </w:rPr>
              <w:t>%SSR</w:t>
            </w:r>
          </w:p>
        </w:tc>
      </w:tr>
      <w:tr w:rsidR="00C2191D" w:rsidRPr="00463521" w14:paraId="0B23C4BF" w14:textId="77777777" w:rsidTr="00913049">
        <w:trPr>
          <w:trHeight w:val="540"/>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350740A" w14:textId="77777777" w:rsidR="00C2191D" w:rsidRPr="00463521" w:rsidRDefault="00715C63" w:rsidP="00463521">
            <w:pPr>
              <w:spacing w:line="360" w:lineRule="auto"/>
              <w:rPr>
                <w:lang w:val="en-GB"/>
              </w:rPr>
            </w:pPr>
            <w:r w:rsidRPr="00463521">
              <w:rPr>
                <w:lang w:val="en-GB"/>
              </w:rPr>
              <w:t>SCH-66045</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806A5F" w14:textId="77777777" w:rsidR="00C2191D" w:rsidRPr="00463521" w:rsidRDefault="00715C63" w:rsidP="00913049">
            <w:pPr>
              <w:spacing w:line="360" w:lineRule="auto"/>
              <w:jc w:val="center"/>
              <w:rPr>
                <w:lang w:val="en-GB"/>
              </w:rPr>
            </w:pPr>
            <w:r w:rsidRPr="00463521">
              <w:rPr>
                <w:lang w:val="en-GB"/>
              </w:rPr>
              <w:t>1.46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97D5D9B" w14:textId="77777777" w:rsidR="00C2191D" w:rsidRPr="00463521" w:rsidRDefault="00715C63" w:rsidP="00913049">
            <w:pPr>
              <w:spacing w:line="360" w:lineRule="auto"/>
              <w:jc w:val="center"/>
              <w:rPr>
                <w:lang w:val="en-GB"/>
              </w:rPr>
            </w:pPr>
            <w:r w:rsidRPr="00463521">
              <w:rPr>
                <w:lang w:val="en-GB"/>
              </w:rPr>
              <w:t>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7CEBC3" w14:textId="77777777" w:rsidR="00C2191D" w:rsidRPr="00463521" w:rsidRDefault="00715C63" w:rsidP="00913049">
            <w:pPr>
              <w:spacing w:line="360" w:lineRule="auto"/>
              <w:jc w:val="center"/>
              <w:rPr>
                <w:lang w:val="en-GB"/>
              </w:rPr>
            </w:pPr>
            <w:r w:rsidRPr="00463521">
              <w:rPr>
                <w:lang w:val="en-GB"/>
              </w:rPr>
              <w:t>3.43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6D5EBA" w14:textId="77777777" w:rsidR="00C2191D" w:rsidRPr="00463521" w:rsidRDefault="00715C63" w:rsidP="00913049">
            <w:pPr>
              <w:spacing w:line="360" w:lineRule="auto"/>
              <w:jc w:val="center"/>
              <w:rPr>
                <w:lang w:val="en-GB"/>
              </w:rPr>
            </w:pPr>
            <w:r w:rsidRPr="00463521">
              <w:rPr>
                <w:lang w:val="en-GB"/>
              </w:rPr>
              <w:t>3.32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D7B29A" w14:textId="77777777" w:rsidR="00C2191D" w:rsidRPr="00463521" w:rsidRDefault="00715C63" w:rsidP="00913049">
            <w:pPr>
              <w:spacing w:line="360" w:lineRule="auto"/>
              <w:jc w:val="center"/>
              <w:rPr>
                <w:lang w:val="en-GB"/>
              </w:rPr>
            </w:pPr>
            <w:r w:rsidRPr="00463521">
              <w:rPr>
                <w:lang w:val="en-GB"/>
              </w:rPr>
              <w:t>1.33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BEB9E26" w14:textId="77777777" w:rsidR="00C2191D" w:rsidRPr="00463521" w:rsidRDefault="00715C63" w:rsidP="00913049">
            <w:pPr>
              <w:spacing w:line="360" w:lineRule="auto"/>
              <w:jc w:val="center"/>
              <w:rPr>
                <w:lang w:val="en-GB"/>
              </w:rPr>
            </w:pPr>
            <w:r w:rsidRPr="00463521">
              <w:rPr>
                <w:lang w:val="en-GB"/>
              </w:rPr>
              <w:t>49.38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1F20B4" w14:textId="77777777" w:rsidR="00C2191D" w:rsidRPr="00463521" w:rsidRDefault="00715C63" w:rsidP="00913049">
            <w:pPr>
              <w:spacing w:line="360" w:lineRule="auto"/>
              <w:jc w:val="center"/>
              <w:rPr>
                <w:lang w:val="en-GB"/>
              </w:rPr>
            </w:pPr>
            <w:r w:rsidRPr="00463521">
              <w:rPr>
                <w:lang w:val="en-GB"/>
              </w:rPr>
              <w:t>3.60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364778" w14:textId="77777777" w:rsidR="00C2191D" w:rsidRPr="00463521" w:rsidRDefault="00715C63" w:rsidP="00913049">
            <w:pPr>
              <w:spacing w:line="360" w:lineRule="auto"/>
              <w:jc w:val="center"/>
              <w:rPr>
                <w:lang w:val="en-GB"/>
              </w:rPr>
            </w:pPr>
            <w:r w:rsidRPr="00463521">
              <w:rPr>
                <w:lang w:val="en-GB"/>
              </w:rPr>
              <w:t>2.87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F60BBA1" w14:textId="77777777" w:rsidR="00C2191D" w:rsidRPr="00463521" w:rsidRDefault="00715C63" w:rsidP="00913049">
            <w:pPr>
              <w:spacing w:line="360" w:lineRule="auto"/>
              <w:jc w:val="center"/>
              <w:rPr>
                <w:lang w:val="en-GB"/>
              </w:rPr>
            </w:pPr>
            <w:r w:rsidRPr="00463521">
              <w:rPr>
                <w:lang w:val="en-GB"/>
              </w:rPr>
              <w:t>30.37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0B050C" w14:textId="77777777" w:rsidR="00C2191D" w:rsidRPr="00463521" w:rsidRDefault="00715C63" w:rsidP="00913049">
            <w:pPr>
              <w:spacing w:line="360" w:lineRule="auto"/>
              <w:jc w:val="center"/>
              <w:rPr>
                <w:lang w:val="en-GB"/>
              </w:rPr>
            </w:pPr>
            <w:r w:rsidRPr="00463521">
              <w:rPr>
                <w:lang w:val="en-GB"/>
              </w:rPr>
              <w:t>2.74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ACD9D69" w14:textId="77777777" w:rsidR="00C2191D" w:rsidRPr="00463521" w:rsidRDefault="00715C63" w:rsidP="00913049">
            <w:pPr>
              <w:spacing w:line="360" w:lineRule="auto"/>
              <w:jc w:val="center"/>
              <w:rPr>
                <w:lang w:val="en-GB"/>
              </w:rPr>
            </w:pPr>
            <w:r w:rsidRPr="00463521">
              <w:rPr>
                <w:lang w:val="en-GB"/>
              </w:rPr>
              <w:t>2.96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D1CAF52" w14:textId="77777777" w:rsidR="00C2191D" w:rsidRPr="00463521" w:rsidRDefault="00EC24DE" w:rsidP="00913049">
            <w:pPr>
              <w:spacing w:line="360" w:lineRule="auto"/>
              <w:jc w:val="center"/>
              <w:rPr>
                <w:lang w:val="en-GB"/>
              </w:rPr>
            </w:pPr>
            <w:r w:rsidRPr="00463521">
              <w:rPr>
                <w:lang w:val="en-GB"/>
              </w:rPr>
              <w:t>-</w:t>
            </w:r>
            <w:r w:rsidR="00715C63" w:rsidRPr="00463521">
              <w:rPr>
                <w:lang w:val="en-GB"/>
              </w:rPr>
              <w:t>25.28</w:t>
            </w:r>
          </w:p>
        </w:tc>
        <w:tc>
          <w:tcPr>
            <w:tcW w:w="0" w:type="auto"/>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vAlign w:val="center"/>
          </w:tcPr>
          <w:p w14:paraId="707E9F06" w14:textId="77777777" w:rsidR="00C2191D" w:rsidRPr="00463521" w:rsidRDefault="00EC24DE" w:rsidP="00913049">
            <w:pPr>
              <w:spacing w:line="360" w:lineRule="auto"/>
              <w:jc w:val="center"/>
              <w:rPr>
                <w:lang w:val="en-GB"/>
              </w:rPr>
            </w:pPr>
            <w:r w:rsidRPr="00463521">
              <w:rPr>
                <w:lang w:val="en-GB"/>
              </w:rPr>
              <w:t>-</w:t>
            </w:r>
            <w:r w:rsidR="00715C63" w:rsidRPr="00463521">
              <w:rPr>
                <w:lang w:val="en-GB"/>
              </w:rPr>
              <w:t>26.91</w:t>
            </w:r>
          </w:p>
        </w:tc>
        <w:tc>
          <w:tcPr>
            <w:tcW w:w="0" w:type="auto"/>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vAlign w:val="center"/>
          </w:tcPr>
          <w:p w14:paraId="44A798E6" w14:textId="7678C960" w:rsidR="00C2191D" w:rsidRPr="00463521" w:rsidRDefault="00EC7AAB" w:rsidP="00CD129B">
            <w:pPr>
              <w:spacing w:line="360" w:lineRule="auto"/>
              <w:rPr>
                <w:lang w:val="en-GB"/>
              </w:rPr>
            </w:pPr>
            <w:proofErr w:type="spellStart"/>
            <w:r>
              <w:rPr>
                <w:lang w:val="en-GB"/>
              </w:rPr>
              <w:t>P</w:t>
            </w:r>
            <w:r w:rsidR="00715C63" w:rsidRPr="00463521">
              <w:rPr>
                <w:lang w:val="en-GB"/>
              </w:rPr>
              <w:t>ristanic</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CA182CC" w14:textId="77777777" w:rsidR="00C2191D" w:rsidRPr="00463521" w:rsidRDefault="00C2191D" w:rsidP="00913049">
            <w:pPr>
              <w:spacing w:line="360" w:lineRule="auto"/>
              <w:jc w:val="center"/>
              <w:rPr>
                <w:lang w:val="en-GB"/>
              </w:rPr>
            </w:pPr>
          </w:p>
        </w:tc>
      </w:tr>
      <w:tr w:rsidR="00C2191D" w:rsidRPr="00463521" w14:paraId="3F6D5107" w14:textId="77777777" w:rsidTr="00913049">
        <w:trPr>
          <w:trHeight w:val="780"/>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3F97F1" w14:textId="77777777" w:rsidR="00C2191D" w:rsidRPr="00463521" w:rsidRDefault="00715C63" w:rsidP="00463521">
            <w:pPr>
              <w:spacing w:line="360" w:lineRule="auto"/>
              <w:rPr>
                <w:lang w:val="en-GB"/>
              </w:rPr>
            </w:pPr>
            <w:r w:rsidRPr="00463521">
              <w:rPr>
                <w:lang w:val="en-GB"/>
              </w:rPr>
              <w:t>SCH-66628</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B5007A" w14:textId="77777777" w:rsidR="00C2191D" w:rsidRPr="00463521" w:rsidRDefault="00715C63" w:rsidP="00913049">
            <w:pPr>
              <w:spacing w:line="360" w:lineRule="auto"/>
              <w:jc w:val="center"/>
              <w:rPr>
                <w:lang w:val="en-GB"/>
              </w:rPr>
            </w:pPr>
            <w:r w:rsidRPr="00463521">
              <w:rPr>
                <w:lang w:val="en-GB"/>
              </w:rPr>
              <w:t>18.51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DFE89D" w14:textId="77777777" w:rsidR="00C2191D" w:rsidRPr="00463521" w:rsidRDefault="00715C63" w:rsidP="00913049">
            <w:pPr>
              <w:spacing w:line="360" w:lineRule="auto"/>
              <w:jc w:val="center"/>
              <w:rPr>
                <w:lang w:val="en-GB"/>
              </w:rPr>
            </w:pPr>
            <w:r w:rsidRPr="00463521">
              <w:rPr>
                <w:lang w:val="en-GB"/>
              </w:rPr>
              <w:t>0.55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EBB3E4" w14:textId="77777777" w:rsidR="00C2191D" w:rsidRPr="00463521" w:rsidRDefault="00715C63" w:rsidP="00913049">
            <w:pPr>
              <w:spacing w:line="360" w:lineRule="auto"/>
              <w:jc w:val="center"/>
              <w:rPr>
                <w:lang w:val="en-GB"/>
              </w:rPr>
            </w:pPr>
            <w:r w:rsidRPr="00463521">
              <w:rPr>
                <w:lang w:val="en-GB"/>
              </w:rPr>
              <w:t>8.03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F61037F" w14:textId="77777777" w:rsidR="00C2191D" w:rsidRPr="00463521" w:rsidRDefault="00715C63" w:rsidP="00913049">
            <w:pPr>
              <w:spacing w:line="360" w:lineRule="auto"/>
              <w:jc w:val="center"/>
              <w:rPr>
                <w:lang w:val="en-GB"/>
              </w:rPr>
            </w:pPr>
            <w:r w:rsidRPr="00463521">
              <w:rPr>
                <w:lang w:val="en-GB"/>
              </w:rPr>
              <w:t>3.10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D01EE4" w14:textId="77777777" w:rsidR="00C2191D" w:rsidRPr="00463521" w:rsidRDefault="00715C63" w:rsidP="00913049">
            <w:pPr>
              <w:spacing w:line="360" w:lineRule="auto"/>
              <w:jc w:val="center"/>
              <w:rPr>
                <w:lang w:val="en-GB"/>
              </w:rPr>
            </w:pPr>
            <w:r w:rsidRPr="00463521">
              <w:rPr>
                <w:lang w:val="en-GB"/>
              </w:rPr>
              <w:t>0.47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3DDF22" w14:textId="77777777" w:rsidR="00C2191D" w:rsidRPr="00463521" w:rsidRDefault="00715C63" w:rsidP="00913049">
            <w:pPr>
              <w:spacing w:line="360" w:lineRule="auto"/>
              <w:jc w:val="center"/>
              <w:rPr>
                <w:lang w:val="en-GB"/>
              </w:rPr>
            </w:pPr>
            <w:r w:rsidRPr="00463521">
              <w:rPr>
                <w:lang w:val="en-GB"/>
              </w:rPr>
              <w:t>47.76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A5C7B5" w14:textId="77777777" w:rsidR="00C2191D" w:rsidRPr="00463521" w:rsidRDefault="00715C63" w:rsidP="00913049">
            <w:pPr>
              <w:spacing w:line="360" w:lineRule="auto"/>
              <w:jc w:val="center"/>
              <w:rPr>
                <w:lang w:val="en-GB"/>
              </w:rPr>
            </w:pPr>
            <w:r w:rsidRPr="00463521">
              <w:rPr>
                <w:lang w:val="en-GB"/>
              </w:rPr>
              <w:t>2.78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EB58FA" w14:textId="77777777" w:rsidR="00C2191D" w:rsidRPr="00463521" w:rsidRDefault="00715C63" w:rsidP="00913049">
            <w:pPr>
              <w:spacing w:line="360" w:lineRule="auto"/>
              <w:jc w:val="center"/>
              <w:rPr>
                <w:lang w:val="en-GB"/>
              </w:rPr>
            </w:pPr>
            <w:r w:rsidRPr="00463521">
              <w:rPr>
                <w:lang w:val="en-GB"/>
              </w:rPr>
              <w:t>1.54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C129B7" w14:textId="77777777" w:rsidR="00C2191D" w:rsidRPr="00463521" w:rsidRDefault="00715C63" w:rsidP="00913049">
            <w:pPr>
              <w:spacing w:line="360" w:lineRule="auto"/>
              <w:jc w:val="center"/>
              <w:rPr>
                <w:lang w:val="en-GB"/>
              </w:rPr>
            </w:pPr>
            <w:r w:rsidRPr="00463521">
              <w:rPr>
                <w:lang w:val="en-GB"/>
              </w:rPr>
              <w:t>30.77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6A227A" w14:textId="77777777" w:rsidR="00C2191D" w:rsidRPr="00463521" w:rsidRDefault="00715C63" w:rsidP="00913049">
            <w:pPr>
              <w:spacing w:line="360" w:lineRule="auto"/>
              <w:jc w:val="center"/>
              <w:rPr>
                <w:lang w:val="en-GB"/>
              </w:rPr>
            </w:pPr>
            <w:r w:rsidRPr="00463521">
              <w:rPr>
                <w:lang w:val="en-GB"/>
              </w:rPr>
              <w:t>4.22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B989B9" w14:textId="77777777" w:rsidR="00C2191D" w:rsidRPr="00463521" w:rsidRDefault="00715C63" w:rsidP="00913049">
            <w:pPr>
              <w:spacing w:line="360" w:lineRule="auto"/>
              <w:jc w:val="center"/>
              <w:rPr>
                <w:lang w:val="en-GB"/>
              </w:rPr>
            </w:pPr>
            <w:r w:rsidRPr="00463521">
              <w:rPr>
                <w:lang w:val="en-GB"/>
              </w:rPr>
              <w:t>0.79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AE54B28" w14:textId="77777777" w:rsidR="00C2191D" w:rsidRPr="00463521" w:rsidRDefault="00EC24DE" w:rsidP="00913049">
            <w:pPr>
              <w:spacing w:line="360" w:lineRule="auto"/>
              <w:jc w:val="center"/>
              <w:rPr>
                <w:lang w:val="en-GB"/>
              </w:rPr>
            </w:pPr>
            <w:r w:rsidRPr="00463521">
              <w:rPr>
                <w:lang w:val="en-GB"/>
              </w:rPr>
              <w:t>-</w:t>
            </w:r>
            <w:r w:rsidR="00715C63" w:rsidRPr="00463521">
              <w:rPr>
                <w:lang w:val="en-GB"/>
              </w:rPr>
              <w:t>26.21</w:t>
            </w:r>
          </w:p>
        </w:tc>
        <w:tc>
          <w:tcPr>
            <w:tcW w:w="0" w:type="auto"/>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vAlign w:val="center"/>
          </w:tcPr>
          <w:p w14:paraId="59812C46" w14:textId="77777777" w:rsidR="00C2191D" w:rsidRPr="00463521" w:rsidRDefault="00EC24DE" w:rsidP="00913049">
            <w:pPr>
              <w:spacing w:line="360" w:lineRule="auto"/>
              <w:jc w:val="center"/>
              <w:rPr>
                <w:lang w:val="en-GB"/>
              </w:rPr>
            </w:pPr>
            <w:r w:rsidRPr="00463521">
              <w:rPr>
                <w:lang w:val="en-GB"/>
              </w:rPr>
              <w:t>-</w:t>
            </w:r>
            <w:r w:rsidR="00715C63" w:rsidRPr="00463521">
              <w:rPr>
                <w:lang w:val="en-GB"/>
              </w:rPr>
              <w:t>26.79</w:t>
            </w:r>
          </w:p>
        </w:tc>
        <w:tc>
          <w:tcPr>
            <w:tcW w:w="0" w:type="auto"/>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vAlign w:val="center"/>
          </w:tcPr>
          <w:p w14:paraId="4B8C651A" w14:textId="77777777" w:rsidR="00C2191D" w:rsidRPr="00463521" w:rsidRDefault="00715C63" w:rsidP="00CD129B">
            <w:pPr>
              <w:spacing w:line="360" w:lineRule="auto"/>
              <w:rPr>
                <w:lang w:val="en-GB"/>
              </w:rPr>
            </w:pPr>
            <w:r w:rsidRPr="00463521">
              <w:rPr>
                <w:lang w:val="en-GB"/>
              </w:rPr>
              <w:t xml:space="preserve">TMTD, </w:t>
            </w:r>
            <w:proofErr w:type="spellStart"/>
            <w:r w:rsidRPr="00463521">
              <w:rPr>
                <w:lang w:val="en-GB"/>
              </w:rPr>
              <w:t>pristanic</w:t>
            </w:r>
            <w:proofErr w:type="spellEnd"/>
            <w:r w:rsidRPr="00463521">
              <w:rPr>
                <w:lang w:val="en-GB"/>
              </w:rPr>
              <w:t>, phytanic, APAA 18/20/22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40F70F5" w14:textId="77777777" w:rsidR="00C2191D" w:rsidRPr="00463521" w:rsidRDefault="00715C63" w:rsidP="00913049">
            <w:pPr>
              <w:spacing w:line="360" w:lineRule="auto"/>
              <w:jc w:val="center"/>
              <w:rPr>
                <w:lang w:val="en-GB"/>
              </w:rPr>
            </w:pPr>
            <w:r w:rsidRPr="00463521">
              <w:rPr>
                <w:lang w:val="en-GB"/>
              </w:rPr>
              <w:t>83.6</w:t>
            </w:r>
          </w:p>
        </w:tc>
      </w:tr>
      <w:tr w:rsidR="00C2191D" w:rsidRPr="00463521" w14:paraId="54AD90BD" w14:textId="77777777" w:rsidTr="00913049">
        <w:trPr>
          <w:trHeight w:val="500"/>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FCA5434" w14:textId="77777777" w:rsidR="00C2191D" w:rsidRPr="00463521" w:rsidRDefault="00715C63" w:rsidP="00463521">
            <w:pPr>
              <w:spacing w:line="360" w:lineRule="auto"/>
              <w:rPr>
                <w:lang w:val="en-GB"/>
              </w:rPr>
            </w:pPr>
            <w:r w:rsidRPr="00463521">
              <w:rPr>
                <w:lang w:val="en-GB"/>
              </w:rPr>
              <w:t>SCH-66909</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00D46D9" w14:textId="77777777" w:rsidR="00C2191D" w:rsidRPr="00463521" w:rsidRDefault="00715C63" w:rsidP="00913049">
            <w:pPr>
              <w:spacing w:line="360" w:lineRule="auto"/>
              <w:jc w:val="center"/>
              <w:rPr>
                <w:lang w:val="en-GB"/>
              </w:rPr>
            </w:pPr>
            <w:r w:rsidRPr="00463521">
              <w:rPr>
                <w:lang w:val="en-GB"/>
              </w:rPr>
              <w:t>1.71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863EB9E" w14:textId="77777777" w:rsidR="00C2191D" w:rsidRPr="00463521" w:rsidRDefault="00715C63" w:rsidP="00913049">
            <w:pPr>
              <w:spacing w:line="360" w:lineRule="auto"/>
              <w:jc w:val="center"/>
              <w:rPr>
                <w:lang w:val="en-GB"/>
              </w:rPr>
            </w:pPr>
            <w:r w:rsidRPr="00463521">
              <w:rPr>
                <w:lang w:val="en-GB"/>
              </w:rPr>
              <w:t>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52DEBF" w14:textId="77777777" w:rsidR="00C2191D" w:rsidRPr="00463521" w:rsidRDefault="00715C63" w:rsidP="00913049">
            <w:pPr>
              <w:spacing w:line="360" w:lineRule="auto"/>
              <w:jc w:val="center"/>
              <w:rPr>
                <w:lang w:val="en-GB"/>
              </w:rPr>
            </w:pPr>
            <w:r w:rsidRPr="00463521">
              <w:rPr>
                <w:lang w:val="en-GB"/>
              </w:rPr>
              <w:t>6.72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3810C4" w14:textId="77777777" w:rsidR="00C2191D" w:rsidRPr="00463521" w:rsidRDefault="00715C63" w:rsidP="00913049">
            <w:pPr>
              <w:spacing w:line="360" w:lineRule="auto"/>
              <w:jc w:val="center"/>
              <w:rPr>
                <w:lang w:val="en-GB"/>
              </w:rPr>
            </w:pPr>
            <w:r w:rsidRPr="00463521">
              <w:rPr>
                <w:lang w:val="en-GB"/>
              </w:rPr>
              <w:t>4.35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BE7FEB4" w14:textId="77777777" w:rsidR="00C2191D" w:rsidRPr="00463521" w:rsidRDefault="00715C63" w:rsidP="00913049">
            <w:pPr>
              <w:spacing w:line="360" w:lineRule="auto"/>
              <w:jc w:val="center"/>
              <w:rPr>
                <w:lang w:val="en-GB"/>
              </w:rPr>
            </w:pPr>
            <w:r w:rsidRPr="00463521">
              <w:rPr>
                <w:lang w:val="en-GB"/>
              </w:rPr>
              <w:t>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230E84" w14:textId="77777777" w:rsidR="00C2191D" w:rsidRPr="00463521" w:rsidRDefault="00715C63" w:rsidP="00913049">
            <w:pPr>
              <w:spacing w:line="360" w:lineRule="auto"/>
              <w:jc w:val="center"/>
              <w:rPr>
                <w:lang w:val="en-GB"/>
              </w:rPr>
            </w:pPr>
            <w:r w:rsidRPr="00463521">
              <w:rPr>
                <w:lang w:val="en-GB"/>
              </w:rPr>
              <w:t>51.31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1F0B099" w14:textId="77777777" w:rsidR="00C2191D" w:rsidRPr="00463521" w:rsidRDefault="00715C63" w:rsidP="00913049">
            <w:pPr>
              <w:spacing w:line="360" w:lineRule="auto"/>
              <w:jc w:val="center"/>
              <w:rPr>
                <w:lang w:val="en-GB"/>
              </w:rPr>
            </w:pPr>
            <w:r w:rsidRPr="00463521">
              <w:rPr>
                <w:lang w:val="en-GB"/>
              </w:rPr>
              <w:t>2.74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9B3C4D5" w14:textId="77777777" w:rsidR="00C2191D" w:rsidRPr="00463521" w:rsidRDefault="00715C63" w:rsidP="00913049">
            <w:pPr>
              <w:spacing w:line="360" w:lineRule="auto"/>
              <w:jc w:val="center"/>
              <w:rPr>
                <w:lang w:val="en-GB"/>
              </w:rPr>
            </w:pPr>
            <w:r w:rsidRPr="00463521">
              <w:rPr>
                <w:lang w:val="en-GB"/>
              </w:rPr>
              <w:t>1.72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9304C3" w14:textId="77777777" w:rsidR="00C2191D" w:rsidRPr="00463521" w:rsidRDefault="00715C63" w:rsidP="00913049">
            <w:pPr>
              <w:spacing w:line="360" w:lineRule="auto"/>
              <w:jc w:val="center"/>
              <w:rPr>
                <w:lang w:val="en-GB"/>
              </w:rPr>
            </w:pPr>
            <w:r w:rsidRPr="00463521">
              <w:rPr>
                <w:lang w:val="en-GB"/>
              </w:rPr>
              <w:t>28.52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32A5719" w14:textId="77777777" w:rsidR="00C2191D" w:rsidRPr="00463521" w:rsidRDefault="00715C63" w:rsidP="00913049">
            <w:pPr>
              <w:spacing w:line="360" w:lineRule="auto"/>
              <w:jc w:val="center"/>
              <w:rPr>
                <w:lang w:val="en-GB"/>
              </w:rPr>
            </w:pPr>
            <w:r w:rsidRPr="00463521">
              <w:rPr>
                <w:lang w:val="en-GB"/>
              </w:rPr>
              <w:t>2.14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5C4501" w14:textId="77777777" w:rsidR="00C2191D" w:rsidRPr="00463521" w:rsidRDefault="00715C63" w:rsidP="00913049">
            <w:pPr>
              <w:spacing w:line="360" w:lineRule="auto"/>
              <w:jc w:val="center"/>
              <w:rPr>
                <w:lang w:val="en-GB"/>
              </w:rPr>
            </w:pPr>
            <w:r w:rsidRPr="00463521">
              <w:rPr>
                <w:lang w:val="en-GB"/>
              </w:rPr>
              <w:t>2.29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D01900" w14:textId="77777777" w:rsidR="00C2191D" w:rsidRPr="00463521" w:rsidRDefault="00EC24DE" w:rsidP="00913049">
            <w:pPr>
              <w:spacing w:line="360" w:lineRule="auto"/>
              <w:jc w:val="center"/>
              <w:rPr>
                <w:lang w:val="en-GB"/>
              </w:rPr>
            </w:pPr>
            <w:r w:rsidRPr="00463521">
              <w:rPr>
                <w:lang w:val="en-GB"/>
              </w:rPr>
              <w:t>-</w:t>
            </w:r>
            <w:r w:rsidR="00715C63" w:rsidRPr="00463521">
              <w:rPr>
                <w:lang w:val="en-GB"/>
              </w:rPr>
              <w:t>25.39</w:t>
            </w:r>
          </w:p>
        </w:tc>
        <w:tc>
          <w:tcPr>
            <w:tcW w:w="0" w:type="auto"/>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vAlign w:val="center"/>
          </w:tcPr>
          <w:p w14:paraId="4A5BBC1D" w14:textId="77777777" w:rsidR="00C2191D" w:rsidRPr="00463521" w:rsidRDefault="00EC24DE" w:rsidP="00913049">
            <w:pPr>
              <w:spacing w:line="360" w:lineRule="auto"/>
              <w:jc w:val="center"/>
              <w:rPr>
                <w:lang w:val="en-GB"/>
              </w:rPr>
            </w:pPr>
            <w:r w:rsidRPr="00463521">
              <w:rPr>
                <w:lang w:val="en-GB"/>
              </w:rPr>
              <w:t>-</w:t>
            </w:r>
            <w:r w:rsidR="00715C63" w:rsidRPr="00463521">
              <w:rPr>
                <w:lang w:val="en-GB"/>
              </w:rPr>
              <w:t>26.93</w:t>
            </w:r>
          </w:p>
        </w:tc>
        <w:tc>
          <w:tcPr>
            <w:tcW w:w="0" w:type="auto"/>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vAlign w:val="center"/>
          </w:tcPr>
          <w:p w14:paraId="3C4C7755" w14:textId="2C79BE64" w:rsidR="00C2191D" w:rsidRPr="00463521" w:rsidRDefault="00EC7AAB" w:rsidP="00CD129B">
            <w:pPr>
              <w:spacing w:line="360" w:lineRule="auto"/>
              <w:rPr>
                <w:lang w:val="en-GB"/>
              </w:rPr>
            </w:pPr>
            <w:proofErr w:type="spellStart"/>
            <w:r>
              <w:rPr>
                <w:lang w:val="en-GB"/>
              </w:rPr>
              <w:t>P</w:t>
            </w:r>
            <w:r w:rsidR="00715C63" w:rsidRPr="00463521">
              <w:rPr>
                <w:lang w:val="en-GB"/>
              </w:rPr>
              <w:t>ristanic</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C8AD22B" w14:textId="77777777" w:rsidR="00C2191D" w:rsidRPr="00463521" w:rsidRDefault="00C2191D" w:rsidP="00913049">
            <w:pPr>
              <w:spacing w:line="360" w:lineRule="auto"/>
              <w:jc w:val="center"/>
              <w:rPr>
                <w:lang w:val="en-GB"/>
              </w:rPr>
            </w:pPr>
          </w:p>
        </w:tc>
      </w:tr>
      <w:tr w:rsidR="00C2191D" w:rsidRPr="00463521" w14:paraId="585D265A" w14:textId="77777777" w:rsidTr="00913049">
        <w:trPr>
          <w:trHeight w:val="500"/>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9689B0" w14:textId="77777777" w:rsidR="00C2191D" w:rsidRPr="00463521" w:rsidRDefault="00715C63" w:rsidP="00463521">
            <w:pPr>
              <w:spacing w:line="360" w:lineRule="auto"/>
              <w:rPr>
                <w:lang w:val="en-GB"/>
              </w:rPr>
            </w:pPr>
            <w:r w:rsidRPr="00463521">
              <w:rPr>
                <w:lang w:val="en-GB"/>
              </w:rPr>
              <w:t>SCH-66912</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72CF56A" w14:textId="77777777" w:rsidR="00C2191D" w:rsidRPr="00463521" w:rsidRDefault="00715C63" w:rsidP="00913049">
            <w:pPr>
              <w:spacing w:line="360" w:lineRule="auto"/>
              <w:jc w:val="center"/>
              <w:rPr>
                <w:lang w:val="en-GB"/>
              </w:rPr>
            </w:pPr>
            <w:r w:rsidRPr="00463521">
              <w:rPr>
                <w:lang w:val="en-GB"/>
              </w:rPr>
              <w:t>2.40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2CF9A22" w14:textId="77777777" w:rsidR="00C2191D" w:rsidRPr="00463521" w:rsidRDefault="00715C63" w:rsidP="00913049">
            <w:pPr>
              <w:spacing w:line="360" w:lineRule="auto"/>
              <w:jc w:val="center"/>
              <w:rPr>
                <w:lang w:val="en-GB"/>
              </w:rPr>
            </w:pPr>
            <w:r w:rsidRPr="00463521">
              <w:rPr>
                <w:lang w:val="en-GB"/>
              </w:rPr>
              <w:t>0.33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58CDC9" w14:textId="77777777" w:rsidR="00C2191D" w:rsidRPr="00463521" w:rsidRDefault="00715C63" w:rsidP="00913049">
            <w:pPr>
              <w:spacing w:line="360" w:lineRule="auto"/>
              <w:jc w:val="center"/>
              <w:rPr>
                <w:lang w:val="en-GB"/>
              </w:rPr>
            </w:pPr>
            <w:r w:rsidRPr="00463521">
              <w:rPr>
                <w:lang w:val="en-GB"/>
              </w:rPr>
              <w:t>9.52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6DB8424" w14:textId="77777777" w:rsidR="00C2191D" w:rsidRPr="00463521" w:rsidRDefault="00715C63" w:rsidP="00913049">
            <w:pPr>
              <w:spacing w:line="360" w:lineRule="auto"/>
              <w:jc w:val="center"/>
              <w:rPr>
                <w:lang w:val="en-GB"/>
              </w:rPr>
            </w:pPr>
            <w:r w:rsidRPr="00463521">
              <w:rPr>
                <w:lang w:val="en-GB"/>
              </w:rPr>
              <w:t>4.68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E694E0A" w14:textId="77777777" w:rsidR="00C2191D" w:rsidRPr="00463521" w:rsidRDefault="00715C63" w:rsidP="00913049">
            <w:pPr>
              <w:spacing w:line="360" w:lineRule="auto"/>
              <w:jc w:val="center"/>
              <w:rPr>
                <w:lang w:val="en-GB"/>
              </w:rPr>
            </w:pPr>
            <w:r w:rsidRPr="00463521">
              <w:rPr>
                <w:lang w:val="en-GB"/>
              </w:rPr>
              <w:t>1.04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E3C44E" w14:textId="77777777" w:rsidR="00C2191D" w:rsidRPr="00463521" w:rsidRDefault="00715C63" w:rsidP="00913049">
            <w:pPr>
              <w:spacing w:line="360" w:lineRule="auto"/>
              <w:jc w:val="center"/>
              <w:rPr>
                <w:lang w:val="en-GB"/>
              </w:rPr>
            </w:pPr>
            <w:r w:rsidRPr="00463521">
              <w:rPr>
                <w:lang w:val="en-GB"/>
              </w:rPr>
              <w:t>51.34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EEA2AE" w14:textId="77777777" w:rsidR="00C2191D" w:rsidRPr="00463521" w:rsidRDefault="00715C63" w:rsidP="00913049">
            <w:pPr>
              <w:spacing w:line="360" w:lineRule="auto"/>
              <w:jc w:val="center"/>
              <w:rPr>
                <w:lang w:val="en-GB"/>
              </w:rPr>
            </w:pPr>
            <w:r w:rsidRPr="00463521">
              <w:rPr>
                <w:lang w:val="en-GB"/>
              </w:rPr>
              <w:t>2.69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1E3A57B" w14:textId="77777777" w:rsidR="00C2191D" w:rsidRPr="00463521" w:rsidRDefault="00715C63" w:rsidP="00913049">
            <w:pPr>
              <w:spacing w:line="360" w:lineRule="auto"/>
              <w:jc w:val="center"/>
              <w:rPr>
                <w:lang w:val="en-GB"/>
              </w:rPr>
            </w:pPr>
            <w:r w:rsidRPr="00463521">
              <w:rPr>
                <w:lang w:val="en-GB"/>
              </w:rPr>
              <w:t>2.59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5504955" w14:textId="77777777" w:rsidR="00C2191D" w:rsidRPr="00463521" w:rsidRDefault="00715C63" w:rsidP="00913049">
            <w:pPr>
              <w:spacing w:line="360" w:lineRule="auto"/>
              <w:jc w:val="center"/>
              <w:rPr>
                <w:lang w:val="en-GB"/>
              </w:rPr>
            </w:pPr>
            <w:r w:rsidRPr="00463521">
              <w:rPr>
                <w:lang w:val="en-GB"/>
              </w:rPr>
              <w:t>24.90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41A2037" w14:textId="77777777" w:rsidR="00C2191D" w:rsidRPr="00463521" w:rsidRDefault="00715C63" w:rsidP="00913049">
            <w:pPr>
              <w:spacing w:line="360" w:lineRule="auto"/>
              <w:jc w:val="center"/>
              <w:rPr>
                <w:lang w:val="en-GB"/>
              </w:rPr>
            </w:pPr>
            <w:r w:rsidRPr="00463521">
              <w:rPr>
                <w:lang w:val="en-GB"/>
              </w:rPr>
              <w:t>1.47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52ABC1" w14:textId="77777777" w:rsidR="00C2191D" w:rsidRPr="00463521" w:rsidRDefault="00715C63" w:rsidP="00913049">
            <w:pPr>
              <w:spacing w:line="360" w:lineRule="auto"/>
              <w:jc w:val="center"/>
              <w:rPr>
                <w:lang w:val="en-GB"/>
              </w:rPr>
            </w:pPr>
            <w:r w:rsidRPr="00463521">
              <w:rPr>
                <w:lang w:val="en-GB"/>
              </w:rPr>
              <w:t>1.45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93F9C9" w14:textId="77777777" w:rsidR="00C2191D" w:rsidRPr="00463521" w:rsidRDefault="00EC24DE" w:rsidP="00913049">
            <w:pPr>
              <w:spacing w:line="360" w:lineRule="auto"/>
              <w:jc w:val="center"/>
              <w:rPr>
                <w:lang w:val="en-GB"/>
              </w:rPr>
            </w:pPr>
            <w:r w:rsidRPr="00463521">
              <w:rPr>
                <w:lang w:val="en-GB"/>
              </w:rPr>
              <w:t>-</w:t>
            </w:r>
            <w:r w:rsidR="00715C63" w:rsidRPr="00463521">
              <w:rPr>
                <w:lang w:val="en-GB"/>
              </w:rPr>
              <w:t>23.73</w:t>
            </w:r>
          </w:p>
        </w:tc>
        <w:tc>
          <w:tcPr>
            <w:tcW w:w="0" w:type="auto"/>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vAlign w:val="center"/>
          </w:tcPr>
          <w:p w14:paraId="7EE2525B" w14:textId="77777777" w:rsidR="00C2191D" w:rsidRPr="00463521" w:rsidRDefault="00EC24DE" w:rsidP="00913049">
            <w:pPr>
              <w:spacing w:line="360" w:lineRule="auto"/>
              <w:jc w:val="center"/>
              <w:rPr>
                <w:lang w:val="en-GB"/>
              </w:rPr>
            </w:pPr>
            <w:r w:rsidRPr="00463521">
              <w:rPr>
                <w:lang w:val="en-GB"/>
              </w:rPr>
              <w:t>-</w:t>
            </w:r>
            <w:r w:rsidR="00715C63" w:rsidRPr="00463521">
              <w:rPr>
                <w:lang w:val="en-GB"/>
              </w:rPr>
              <w:t>25.53</w:t>
            </w:r>
          </w:p>
        </w:tc>
        <w:tc>
          <w:tcPr>
            <w:tcW w:w="0" w:type="auto"/>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vAlign w:val="center"/>
          </w:tcPr>
          <w:p w14:paraId="4B7E720E" w14:textId="2368DF76" w:rsidR="00C2191D" w:rsidRPr="00463521" w:rsidRDefault="00EC7AAB" w:rsidP="00CD129B">
            <w:pPr>
              <w:spacing w:line="360" w:lineRule="auto"/>
              <w:rPr>
                <w:lang w:val="en-GB"/>
              </w:rPr>
            </w:pPr>
            <w:proofErr w:type="spellStart"/>
            <w:r>
              <w:rPr>
                <w:lang w:val="en-GB"/>
              </w:rPr>
              <w:t>P</w:t>
            </w:r>
            <w:r w:rsidR="00715C63" w:rsidRPr="00463521">
              <w:rPr>
                <w:lang w:val="en-GB"/>
              </w:rPr>
              <w:t>ristanic</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CEA6CCF" w14:textId="77777777" w:rsidR="00C2191D" w:rsidRPr="00463521" w:rsidRDefault="00C2191D" w:rsidP="00913049">
            <w:pPr>
              <w:spacing w:line="360" w:lineRule="auto"/>
              <w:jc w:val="center"/>
              <w:rPr>
                <w:lang w:val="en-GB"/>
              </w:rPr>
            </w:pPr>
          </w:p>
        </w:tc>
      </w:tr>
      <w:tr w:rsidR="00C2191D" w:rsidRPr="00463521" w14:paraId="55897046" w14:textId="77777777" w:rsidTr="00913049">
        <w:trPr>
          <w:trHeight w:val="500"/>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952CC8" w14:textId="77777777" w:rsidR="00C2191D" w:rsidRPr="00463521" w:rsidRDefault="00715C63" w:rsidP="00463521">
            <w:pPr>
              <w:spacing w:line="360" w:lineRule="auto"/>
              <w:rPr>
                <w:lang w:val="en-GB"/>
              </w:rPr>
            </w:pPr>
            <w:r w:rsidRPr="00463521">
              <w:rPr>
                <w:lang w:val="en-GB"/>
              </w:rPr>
              <w:t>SCH-66972</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E39F37" w14:textId="77777777" w:rsidR="00C2191D" w:rsidRPr="00463521" w:rsidRDefault="00715C63" w:rsidP="00913049">
            <w:pPr>
              <w:spacing w:line="360" w:lineRule="auto"/>
              <w:jc w:val="center"/>
              <w:rPr>
                <w:lang w:val="en-GB"/>
              </w:rPr>
            </w:pPr>
            <w:r w:rsidRPr="00463521">
              <w:rPr>
                <w:lang w:val="en-GB"/>
              </w:rPr>
              <w:t>6.95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5FE16B" w14:textId="77777777" w:rsidR="00C2191D" w:rsidRPr="00463521" w:rsidRDefault="00715C63" w:rsidP="00913049">
            <w:pPr>
              <w:spacing w:line="360" w:lineRule="auto"/>
              <w:jc w:val="center"/>
              <w:rPr>
                <w:lang w:val="en-GB"/>
              </w:rPr>
            </w:pPr>
            <w:r w:rsidRPr="00463521">
              <w:rPr>
                <w:lang w:val="en-GB"/>
              </w:rPr>
              <w:t>1.40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577094" w14:textId="77777777" w:rsidR="00C2191D" w:rsidRPr="00463521" w:rsidRDefault="00715C63" w:rsidP="00913049">
            <w:pPr>
              <w:spacing w:line="360" w:lineRule="auto"/>
              <w:jc w:val="center"/>
              <w:rPr>
                <w:lang w:val="en-GB"/>
              </w:rPr>
            </w:pPr>
            <w:r w:rsidRPr="00463521">
              <w:rPr>
                <w:lang w:val="en-GB"/>
              </w:rPr>
              <w:t>11.02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A86CC23" w14:textId="77777777" w:rsidR="00C2191D" w:rsidRPr="00463521" w:rsidRDefault="00715C63" w:rsidP="00913049">
            <w:pPr>
              <w:spacing w:line="360" w:lineRule="auto"/>
              <w:jc w:val="center"/>
              <w:rPr>
                <w:lang w:val="en-GB"/>
              </w:rPr>
            </w:pPr>
            <w:r w:rsidRPr="00463521">
              <w:rPr>
                <w:lang w:val="en-GB"/>
              </w:rPr>
              <w:t>4.69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0523202" w14:textId="77777777" w:rsidR="00C2191D" w:rsidRPr="00463521" w:rsidRDefault="00715C63" w:rsidP="00913049">
            <w:pPr>
              <w:spacing w:line="360" w:lineRule="auto"/>
              <w:jc w:val="center"/>
              <w:rPr>
                <w:lang w:val="en-GB"/>
              </w:rPr>
            </w:pPr>
            <w:r w:rsidRPr="00463521">
              <w:rPr>
                <w:lang w:val="en-GB"/>
              </w:rPr>
              <w:t>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C5541A8" w14:textId="77777777" w:rsidR="00C2191D" w:rsidRPr="00463521" w:rsidRDefault="00715C63" w:rsidP="00913049">
            <w:pPr>
              <w:spacing w:line="360" w:lineRule="auto"/>
              <w:jc w:val="center"/>
              <w:rPr>
                <w:lang w:val="en-GB"/>
              </w:rPr>
            </w:pPr>
            <w:r w:rsidRPr="00463521">
              <w:rPr>
                <w:lang w:val="en-GB"/>
              </w:rPr>
              <w:t>54.17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DC49616" w14:textId="77777777" w:rsidR="00C2191D" w:rsidRPr="00463521" w:rsidRDefault="00715C63" w:rsidP="00913049">
            <w:pPr>
              <w:spacing w:line="360" w:lineRule="auto"/>
              <w:jc w:val="center"/>
              <w:rPr>
                <w:lang w:val="en-GB"/>
              </w:rPr>
            </w:pPr>
            <w:r w:rsidRPr="00463521">
              <w:rPr>
                <w:lang w:val="en-GB"/>
              </w:rPr>
              <w:t>1.84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BE8B7A" w14:textId="77777777" w:rsidR="00C2191D" w:rsidRPr="00463521" w:rsidRDefault="00715C63" w:rsidP="00913049">
            <w:pPr>
              <w:spacing w:line="360" w:lineRule="auto"/>
              <w:jc w:val="center"/>
              <w:rPr>
                <w:lang w:val="en-GB"/>
              </w:rPr>
            </w:pPr>
            <w:r w:rsidRPr="00463521">
              <w:rPr>
                <w:lang w:val="en-GB"/>
              </w:rPr>
              <w:t>0.56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F9BE15" w14:textId="77777777" w:rsidR="00C2191D" w:rsidRPr="00463521" w:rsidRDefault="00715C63" w:rsidP="00913049">
            <w:pPr>
              <w:spacing w:line="360" w:lineRule="auto"/>
              <w:jc w:val="center"/>
              <w:rPr>
                <w:lang w:val="en-GB"/>
              </w:rPr>
            </w:pPr>
            <w:r w:rsidRPr="00463521">
              <w:rPr>
                <w:lang w:val="en-GB"/>
              </w:rPr>
              <w:t>23.49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FE01A7" w14:textId="77777777" w:rsidR="00C2191D" w:rsidRPr="00463521" w:rsidRDefault="00715C63" w:rsidP="00913049">
            <w:pPr>
              <w:spacing w:line="360" w:lineRule="auto"/>
              <w:jc w:val="center"/>
              <w:rPr>
                <w:lang w:val="en-GB"/>
              </w:rPr>
            </w:pPr>
            <w:r w:rsidRPr="00463521">
              <w:rPr>
                <w:lang w:val="en-GB"/>
              </w:rPr>
              <w:t>1.77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9204DD" w14:textId="77777777" w:rsidR="00C2191D" w:rsidRPr="00463521" w:rsidRDefault="00715C63" w:rsidP="00913049">
            <w:pPr>
              <w:spacing w:line="360" w:lineRule="auto"/>
              <w:jc w:val="center"/>
              <w:rPr>
                <w:lang w:val="en-GB"/>
              </w:rPr>
            </w:pPr>
            <w:r w:rsidRPr="00463521">
              <w:rPr>
                <w:lang w:val="en-GB"/>
              </w:rPr>
              <w:t>1.07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BD157AC" w14:textId="77777777" w:rsidR="00C2191D" w:rsidRPr="00463521" w:rsidRDefault="00EC24DE" w:rsidP="00913049">
            <w:pPr>
              <w:spacing w:line="360" w:lineRule="auto"/>
              <w:jc w:val="center"/>
              <w:rPr>
                <w:lang w:val="en-GB"/>
              </w:rPr>
            </w:pPr>
            <w:r w:rsidRPr="00463521">
              <w:rPr>
                <w:lang w:val="en-GB"/>
              </w:rPr>
              <w:t>-</w:t>
            </w:r>
            <w:r w:rsidR="00715C63" w:rsidRPr="00463521">
              <w:rPr>
                <w:lang w:val="en-GB"/>
              </w:rPr>
              <w:t>26.01</w:t>
            </w:r>
          </w:p>
        </w:tc>
        <w:tc>
          <w:tcPr>
            <w:tcW w:w="0" w:type="auto"/>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vAlign w:val="center"/>
          </w:tcPr>
          <w:p w14:paraId="491D281B" w14:textId="77777777" w:rsidR="00C2191D" w:rsidRPr="00463521" w:rsidRDefault="00EC24DE" w:rsidP="00913049">
            <w:pPr>
              <w:spacing w:line="360" w:lineRule="auto"/>
              <w:jc w:val="center"/>
              <w:rPr>
                <w:lang w:val="en-GB"/>
              </w:rPr>
            </w:pPr>
            <w:r w:rsidRPr="00463521">
              <w:rPr>
                <w:lang w:val="en-GB"/>
              </w:rPr>
              <w:t>-</w:t>
            </w:r>
            <w:r w:rsidR="00715C63" w:rsidRPr="00463521">
              <w:rPr>
                <w:lang w:val="en-GB"/>
              </w:rPr>
              <w:t>27.63</w:t>
            </w:r>
          </w:p>
        </w:tc>
        <w:tc>
          <w:tcPr>
            <w:tcW w:w="0" w:type="auto"/>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vAlign w:val="center"/>
          </w:tcPr>
          <w:p w14:paraId="7E9861FE" w14:textId="77777777" w:rsidR="00C2191D" w:rsidRPr="00463521" w:rsidRDefault="00715C63" w:rsidP="00CD129B">
            <w:pPr>
              <w:spacing w:line="360" w:lineRule="auto"/>
              <w:rPr>
                <w:lang w:val="en-GB"/>
              </w:rPr>
            </w:pPr>
            <w:r w:rsidRPr="00463521">
              <w:rPr>
                <w:lang w:val="en-GB"/>
              </w:rPr>
              <w:t xml:space="preserve">TMTD, </w:t>
            </w:r>
            <w:proofErr w:type="spellStart"/>
            <w:r w:rsidRPr="00463521">
              <w:rPr>
                <w:lang w:val="en-GB"/>
              </w:rPr>
              <w:t>pristanic</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F44F0D" w14:textId="77777777" w:rsidR="00C2191D" w:rsidRPr="00463521" w:rsidRDefault="00C2191D" w:rsidP="00913049">
            <w:pPr>
              <w:spacing w:line="360" w:lineRule="auto"/>
              <w:jc w:val="center"/>
              <w:rPr>
                <w:lang w:val="en-GB"/>
              </w:rPr>
            </w:pPr>
          </w:p>
        </w:tc>
      </w:tr>
      <w:tr w:rsidR="00C2191D" w:rsidRPr="00463521" w14:paraId="4B100234" w14:textId="77777777" w:rsidTr="00913049">
        <w:trPr>
          <w:trHeight w:val="500"/>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4A5235F" w14:textId="77777777" w:rsidR="00C2191D" w:rsidRPr="00463521" w:rsidRDefault="00715C63" w:rsidP="00463521">
            <w:pPr>
              <w:spacing w:line="360" w:lineRule="auto"/>
              <w:rPr>
                <w:lang w:val="en-GB"/>
              </w:rPr>
            </w:pPr>
            <w:r w:rsidRPr="00463521">
              <w:rPr>
                <w:lang w:val="en-GB"/>
              </w:rPr>
              <w:t>SCH-67111</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E4AA33E" w14:textId="77777777" w:rsidR="00C2191D" w:rsidRPr="00463521" w:rsidRDefault="00715C63" w:rsidP="00913049">
            <w:pPr>
              <w:spacing w:line="360" w:lineRule="auto"/>
              <w:jc w:val="center"/>
              <w:rPr>
                <w:lang w:val="en-GB"/>
              </w:rPr>
            </w:pPr>
            <w:r w:rsidRPr="00463521">
              <w:rPr>
                <w:lang w:val="en-GB"/>
              </w:rPr>
              <w:t>2.96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65500D" w14:textId="77777777" w:rsidR="00C2191D" w:rsidRPr="00463521" w:rsidRDefault="00715C63" w:rsidP="00913049">
            <w:pPr>
              <w:spacing w:line="360" w:lineRule="auto"/>
              <w:jc w:val="center"/>
              <w:rPr>
                <w:lang w:val="en-GB"/>
              </w:rPr>
            </w:pPr>
            <w:r w:rsidRPr="00463521">
              <w:rPr>
                <w:lang w:val="en-GB"/>
              </w:rPr>
              <w:t>0.70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BCC3FC" w14:textId="77777777" w:rsidR="00C2191D" w:rsidRPr="00463521" w:rsidRDefault="00715C63" w:rsidP="00913049">
            <w:pPr>
              <w:spacing w:line="360" w:lineRule="auto"/>
              <w:jc w:val="center"/>
              <w:rPr>
                <w:lang w:val="en-GB"/>
              </w:rPr>
            </w:pPr>
            <w:r w:rsidRPr="00463521">
              <w:rPr>
                <w:lang w:val="en-GB"/>
              </w:rPr>
              <w:t>11.10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B77C68" w14:textId="77777777" w:rsidR="00C2191D" w:rsidRPr="00463521" w:rsidRDefault="00715C63" w:rsidP="00913049">
            <w:pPr>
              <w:spacing w:line="360" w:lineRule="auto"/>
              <w:jc w:val="center"/>
              <w:rPr>
                <w:lang w:val="en-GB"/>
              </w:rPr>
            </w:pPr>
            <w:r w:rsidRPr="00463521">
              <w:rPr>
                <w:lang w:val="en-GB"/>
              </w:rPr>
              <w:t>4.43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F2C5DCD" w14:textId="77777777" w:rsidR="00C2191D" w:rsidRPr="00463521" w:rsidRDefault="00715C63" w:rsidP="00913049">
            <w:pPr>
              <w:spacing w:line="360" w:lineRule="auto"/>
              <w:jc w:val="center"/>
              <w:rPr>
                <w:lang w:val="en-GB"/>
              </w:rPr>
            </w:pPr>
            <w:r w:rsidRPr="00463521">
              <w:rPr>
                <w:lang w:val="en-GB"/>
              </w:rPr>
              <w:t>1.52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1747E8" w14:textId="77777777" w:rsidR="00C2191D" w:rsidRPr="00463521" w:rsidRDefault="00715C63" w:rsidP="00913049">
            <w:pPr>
              <w:spacing w:line="360" w:lineRule="auto"/>
              <w:jc w:val="center"/>
              <w:rPr>
                <w:lang w:val="en-GB"/>
              </w:rPr>
            </w:pPr>
            <w:r w:rsidRPr="00463521">
              <w:rPr>
                <w:lang w:val="en-GB"/>
              </w:rPr>
              <w:t>48.92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2E5F3B" w14:textId="77777777" w:rsidR="00C2191D" w:rsidRPr="00463521" w:rsidRDefault="00715C63" w:rsidP="00913049">
            <w:pPr>
              <w:spacing w:line="360" w:lineRule="auto"/>
              <w:jc w:val="center"/>
              <w:rPr>
                <w:lang w:val="en-GB"/>
              </w:rPr>
            </w:pPr>
            <w:r w:rsidRPr="00463521">
              <w:rPr>
                <w:lang w:val="en-GB"/>
              </w:rPr>
              <w:t>2.83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082D01" w14:textId="77777777" w:rsidR="00C2191D" w:rsidRPr="00463521" w:rsidRDefault="00715C63" w:rsidP="00913049">
            <w:pPr>
              <w:spacing w:line="360" w:lineRule="auto"/>
              <w:jc w:val="center"/>
              <w:rPr>
                <w:lang w:val="en-GB"/>
              </w:rPr>
            </w:pPr>
            <w:r w:rsidRPr="00463521">
              <w:rPr>
                <w:lang w:val="en-GB"/>
              </w:rPr>
              <w:t>1.33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6B35FA5" w14:textId="77777777" w:rsidR="00C2191D" w:rsidRPr="00463521" w:rsidRDefault="00715C63" w:rsidP="00913049">
            <w:pPr>
              <w:spacing w:line="360" w:lineRule="auto"/>
              <w:jc w:val="center"/>
              <w:rPr>
                <w:lang w:val="en-GB"/>
              </w:rPr>
            </w:pPr>
            <w:r w:rsidRPr="00463521">
              <w:rPr>
                <w:lang w:val="en-GB"/>
              </w:rPr>
              <w:t>25.21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A692672" w14:textId="77777777" w:rsidR="00C2191D" w:rsidRPr="00463521" w:rsidRDefault="00715C63" w:rsidP="00913049">
            <w:pPr>
              <w:spacing w:line="360" w:lineRule="auto"/>
              <w:jc w:val="center"/>
              <w:rPr>
                <w:lang w:val="en-GB"/>
              </w:rPr>
            </w:pPr>
            <w:r w:rsidRPr="00463521">
              <w:rPr>
                <w:lang w:val="en-GB"/>
              </w:rPr>
              <w:t>2.10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EF48D4C" w14:textId="77777777" w:rsidR="00C2191D" w:rsidRPr="00463521" w:rsidRDefault="00715C63" w:rsidP="00913049">
            <w:pPr>
              <w:spacing w:line="360" w:lineRule="auto"/>
              <w:jc w:val="center"/>
              <w:rPr>
                <w:lang w:val="en-GB"/>
              </w:rPr>
            </w:pPr>
            <w:r w:rsidRPr="00463521">
              <w:rPr>
                <w:lang w:val="en-GB"/>
              </w:rPr>
              <w:t>1.86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6DD8B0F" w14:textId="77777777" w:rsidR="00C2191D" w:rsidRPr="00463521" w:rsidRDefault="00EC24DE" w:rsidP="00913049">
            <w:pPr>
              <w:spacing w:line="360" w:lineRule="auto"/>
              <w:jc w:val="center"/>
              <w:rPr>
                <w:lang w:val="en-GB"/>
              </w:rPr>
            </w:pPr>
            <w:r w:rsidRPr="00463521">
              <w:rPr>
                <w:lang w:val="en-GB"/>
              </w:rPr>
              <w:t>-</w:t>
            </w:r>
            <w:r w:rsidR="00715C63" w:rsidRPr="00463521">
              <w:rPr>
                <w:lang w:val="en-GB"/>
              </w:rPr>
              <w:t>25.47</w:t>
            </w:r>
          </w:p>
        </w:tc>
        <w:tc>
          <w:tcPr>
            <w:tcW w:w="0" w:type="auto"/>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vAlign w:val="center"/>
          </w:tcPr>
          <w:p w14:paraId="7C2C6808" w14:textId="77777777" w:rsidR="00C2191D" w:rsidRPr="00463521" w:rsidRDefault="00EC24DE" w:rsidP="00913049">
            <w:pPr>
              <w:spacing w:line="360" w:lineRule="auto"/>
              <w:jc w:val="center"/>
              <w:rPr>
                <w:lang w:val="en-GB"/>
              </w:rPr>
            </w:pPr>
            <w:r w:rsidRPr="00463521">
              <w:rPr>
                <w:lang w:val="en-GB"/>
              </w:rPr>
              <w:t>-</w:t>
            </w:r>
            <w:r w:rsidR="00715C63" w:rsidRPr="00463521">
              <w:rPr>
                <w:lang w:val="en-GB"/>
              </w:rPr>
              <w:t>26.75</w:t>
            </w:r>
          </w:p>
        </w:tc>
        <w:tc>
          <w:tcPr>
            <w:tcW w:w="0" w:type="auto"/>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vAlign w:val="center"/>
          </w:tcPr>
          <w:p w14:paraId="4E9FF3D7" w14:textId="77777777" w:rsidR="00C2191D" w:rsidRPr="00463521" w:rsidRDefault="00C2191D" w:rsidP="00CD129B">
            <w:pPr>
              <w:spacing w:line="360" w:lineRule="auto"/>
              <w:rPr>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95A5F89" w14:textId="77777777" w:rsidR="00C2191D" w:rsidRPr="00463521" w:rsidRDefault="00C2191D" w:rsidP="00913049">
            <w:pPr>
              <w:spacing w:line="360" w:lineRule="auto"/>
              <w:jc w:val="center"/>
              <w:rPr>
                <w:lang w:val="en-GB"/>
              </w:rPr>
            </w:pPr>
          </w:p>
        </w:tc>
      </w:tr>
      <w:tr w:rsidR="00C2191D" w:rsidRPr="00463521" w14:paraId="7CDBCF4A" w14:textId="77777777" w:rsidTr="00913049">
        <w:trPr>
          <w:trHeight w:val="580"/>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0317343" w14:textId="77777777" w:rsidR="00C2191D" w:rsidRPr="00463521" w:rsidRDefault="00715C63" w:rsidP="00463521">
            <w:pPr>
              <w:spacing w:line="360" w:lineRule="auto"/>
              <w:rPr>
                <w:lang w:val="en-GB"/>
              </w:rPr>
            </w:pPr>
            <w:r w:rsidRPr="00463521">
              <w:rPr>
                <w:lang w:val="en-GB"/>
              </w:rPr>
              <w:t>SCH-68990</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41F9A2C" w14:textId="77777777" w:rsidR="00C2191D" w:rsidRPr="00463521" w:rsidRDefault="00715C63" w:rsidP="00913049">
            <w:pPr>
              <w:spacing w:line="360" w:lineRule="auto"/>
              <w:jc w:val="center"/>
              <w:rPr>
                <w:lang w:val="en-GB"/>
              </w:rPr>
            </w:pPr>
            <w:r w:rsidRPr="00463521">
              <w:rPr>
                <w:lang w:val="en-GB"/>
              </w:rPr>
              <w:t>6.96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6A52BE" w14:textId="77777777" w:rsidR="00C2191D" w:rsidRPr="00463521" w:rsidRDefault="00715C63" w:rsidP="00913049">
            <w:pPr>
              <w:spacing w:line="360" w:lineRule="auto"/>
              <w:jc w:val="center"/>
              <w:rPr>
                <w:lang w:val="en-GB"/>
              </w:rPr>
            </w:pPr>
            <w:r w:rsidRPr="00463521">
              <w:rPr>
                <w:lang w:val="en-GB"/>
              </w:rPr>
              <w:t>0.45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8F504D0" w14:textId="77777777" w:rsidR="00C2191D" w:rsidRPr="00463521" w:rsidRDefault="00715C63" w:rsidP="00913049">
            <w:pPr>
              <w:spacing w:line="360" w:lineRule="auto"/>
              <w:jc w:val="center"/>
              <w:rPr>
                <w:lang w:val="en-GB"/>
              </w:rPr>
            </w:pPr>
            <w:r w:rsidRPr="00463521">
              <w:rPr>
                <w:lang w:val="en-GB"/>
              </w:rPr>
              <w:t>5.53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AC66579" w14:textId="77777777" w:rsidR="00C2191D" w:rsidRPr="00463521" w:rsidRDefault="00715C63" w:rsidP="00913049">
            <w:pPr>
              <w:spacing w:line="360" w:lineRule="auto"/>
              <w:jc w:val="center"/>
              <w:rPr>
                <w:lang w:val="en-GB"/>
              </w:rPr>
            </w:pPr>
            <w:r w:rsidRPr="00463521">
              <w:rPr>
                <w:lang w:val="en-GB"/>
              </w:rPr>
              <w:t>2.33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82F987D" w14:textId="77777777" w:rsidR="00C2191D" w:rsidRPr="00463521" w:rsidRDefault="00715C63" w:rsidP="00913049">
            <w:pPr>
              <w:spacing w:line="360" w:lineRule="auto"/>
              <w:jc w:val="center"/>
              <w:rPr>
                <w:lang w:val="en-GB"/>
              </w:rPr>
            </w:pPr>
            <w:r w:rsidRPr="00463521">
              <w:rPr>
                <w:lang w:val="en-GB"/>
              </w:rPr>
              <w:t>0.47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4F9E2D5" w14:textId="77777777" w:rsidR="00C2191D" w:rsidRPr="00463521" w:rsidRDefault="00715C63" w:rsidP="00913049">
            <w:pPr>
              <w:spacing w:line="360" w:lineRule="auto"/>
              <w:jc w:val="center"/>
              <w:rPr>
                <w:lang w:val="en-GB"/>
              </w:rPr>
            </w:pPr>
            <w:r w:rsidRPr="00463521">
              <w:rPr>
                <w:lang w:val="en-GB"/>
              </w:rPr>
              <w:t>44.71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17FBCAE" w14:textId="77777777" w:rsidR="00C2191D" w:rsidRPr="00463521" w:rsidRDefault="00715C63" w:rsidP="00913049">
            <w:pPr>
              <w:spacing w:line="360" w:lineRule="auto"/>
              <w:jc w:val="center"/>
              <w:rPr>
                <w:lang w:val="en-GB"/>
              </w:rPr>
            </w:pPr>
            <w:r w:rsidRPr="00463521">
              <w:rPr>
                <w:lang w:val="en-GB"/>
              </w:rPr>
              <w:t>2.89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7614A3" w14:textId="77777777" w:rsidR="00C2191D" w:rsidRPr="00463521" w:rsidRDefault="00715C63" w:rsidP="00913049">
            <w:pPr>
              <w:spacing w:line="360" w:lineRule="auto"/>
              <w:jc w:val="center"/>
              <w:rPr>
                <w:lang w:val="en-GB"/>
              </w:rPr>
            </w:pPr>
            <w:r w:rsidRPr="00463521">
              <w:rPr>
                <w:lang w:val="en-GB"/>
              </w:rPr>
              <w:t>1.25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02783F" w14:textId="77777777" w:rsidR="00C2191D" w:rsidRPr="00463521" w:rsidRDefault="00715C63" w:rsidP="00913049">
            <w:pPr>
              <w:spacing w:line="360" w:lineRule="auto"/>
              <w:jc w:val="center"/>
              <w:rPr>
                <w:lang w:val="en-GB"/>
              </w:rPr>
            </w:pPr>
            <w:r w:rsidRPr="00463521">
              <w:rPr>
                <w:lang w:val="en-GB"/>
              </w:rPr>
              <w:t>39.15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ECBF5B8" w14:textId="77777777" w:rsidR="00C2191D" w:rsidRPr="00463521" w:rsidRDefault="00715C63" w:rsidP="00913049">
            <w:pPr>
              <w:spacing w:line="360" w:lineRule="auto"/>
              <w:jc w:val="center"/>
              <w:rPr>
                <w:lang w:val="en-GB"/>
              </w:rPr>
            </w:pPr>
            <w:r w:rsidRPr="00463521">
              <w:rPr>
                <w:lang w:val="en-GB"/>
              </w:rPr>
              <w:t>1.52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9E7A93" w14:textId="77777777" w:rsidR="00C2191D" w:rsidRPr="00463521" w:rsidRDefault="00715C63" w:rsidP="00913049">
            <w:pPr>
              <w:spacing w:line="360" w:lineRule="auto"/>
              <w:jc w:val="center"/>
              <w:rPr>
                <w:lang w:val="en-GB"/>
              </w:rPr>
            </w:pPr>
            <w:r w:rsidRPr="00463521">
              <w:rPr>
                <w:lang w:val="en-GB"/>
              </w:rPr>
              <w:t>1.70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7D10E13" w14:textId="77777777" w:rsidR="00C2191D" w:rsidRPr="00463521" w:rsidRDefault="00EC24DE" w:rsidP="00913049">
            <w:pPr>
              <w:spacing w:line="360" w:lineRule="auto"/>
              <w:jc w:val="center"/>
              <w:rPr>
                <w:lang w:val="en-GB"/>
              </w:rPr>
            </w:pPr>
            <w:r w:rsidRPr="00463521">
              <w:rPr>
                <w:lang w:val="en-GB"/>
              </w:rPr>
              <w:t>-</w:t>
            </w:r>
            <w:r w:rsidR="00715C63" w:rsidRPr="00463521">
              <w:rPr>
                <w:lang w:val="en-GB"/>
              </w:rPr>
              <w:t>28.41</w:t>
            </w:r>
          </w:p>
        </w:tc>
        <w:tc>
          <w:tcPr>
            <w:tcW w:w="0" w:type="auto"/>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vAlign w:val="center"/>
          </w:tcPr>
          <w:p w14:paraId="0A15E358" w14:textId="77777777" w:rsidR="00C2191D" w:rsidRPr="00463521" w:rsidRDefault="00EC24DE" w:rsidP="00913049">
            <w:pPr>
              <w:spacing w:line="360" w:lineRule="auto"/>
              <w:jc w:val="center"/>
              <w:rPr>
                <w:lang w:val="en-GB"/>
              </w:rPr>
            </w:pPr>
            <w:r w:rsidRPr="00463521">
              <w:rPr>
                <w:lang w:val="en-GB"/>
              </w:rPr>
              <w:t>-</w:t>
            </w:r>
            <w:r w:rsidR="00715C63" w:rsidRPr="00463521">
              <w:rPr>
                <w:lang w:val="en-GB"/>
              </w:rPr>
              <w:t>30.24</w:t>
            </w:r>
          </w:p>
        </w:tc>
        <w:tc>
          <w:tcPr>
            <w:tcW w:w="0" w:type="auto"/>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vAlign w:val="center"/>
          </w:tcPr>
          <w:p w14:paraId="04BF64CA" w14:textId="77777777" w:rsidR="00C2191D" w:rsidRPr="00463521" w:rsidRDefault="00715C63" w:rsidP="00CD129B">
            <w:pPr>
              <w:spacing w:line="360" w:lineRule="auto"/>
              <w:rPr>
                <w:lang w:val="en-GB"/>
              </w:rPr>
            </w:pPr>
            <w:r w:rsidRPr="00463521">
              <w:rPr>
                <w:lang w:val="en-GB"/>
              </w:rPr>
              <w:t xml:space="preserve">TMTD, </w:t>
            </w:r>
            <w:proofErr w:type="spellStart"/>
            <w:r w:rsidRPr="00463521">
              <w:rPr>
                <w:lang w:val="en-GB"/>
              </w:rPr>
              <w:t>pristanic</w:t>
            </w:r>
            <w:proofErr w:type="spellEnd"/>
            <w:r w:rsidRPr="00463521">
              <w:rPr>
                <w:lang w:val="en-GB"/>
              </w:rPr>
              <w:t>, phytanic</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D8A473D" w14:textId="77777777" w:rsidR="00C2191D" w:rsidRPr="00463521" w:rsidRDefault="00715C63" w:rsidP="00913049">
            <w:pPr>
              <w:spacing w:line="360" w:lineRule="auto"/>
              <w:jc w:val="center"/>
              <w:rPr>
                <w:lang w:val="en-GB"/>
              </w:rPr>
            </w:pPr>
            <w:r w:rsidRPr="00463521">
              <w:rPr>
                <w:lang w:val="en-GB"/>
              </w:rPr>
              <w:t>76.8</w:t>
            </w:r>
          </w:p>
        </w:tc>
      </w:tr>
      <w:tr w:rsidR="00C2191D" w:rsidRPr="00463521" w14:paraId="725F8F29" w14:textId="77777777" w:rsidTr="00913049">
        <w:trPr>
          <w:trHeight w:val="500"/>
          <w:jc w:val="center"/>
        </w:trPr>
        <w:tc>
          <w:tcPr>
            <w:tcW w:w="9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7AC4BD0" w14:textId="77777777" w:rsidR="00C2191D" w:rsidRPr="00463521" w:rsidRDefault="00715C63" w:rsidP="00463521">
            <w:pPr>
              <w:spacing w:line="360" w:lineRule="auto"/>
              <w:rPr>
                <w:lang w:val="en-GB"/>
              </w:rPr>
            </w:pPr>
            <w:r w:rsidRPr="00463521">
              <w:rPr>
                <w:lang w:val="en-GB"/>
              </w:rPr>
              <w:t>SCH-69461</w:t>
            </w:r>
          </w:p>
        </w:tc>
        <w:tc>
          <w:tcPr>
            <w:tcW w:w="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7E51CD7" w14:textId="77777777" w:rsidR="00C2191D" w:rsidRPr="00463521" w:rsidRDefault="00715C63" w:rsidP="00913049">
            <w:pPr>
              <w:spacing w:line="360" w:lineRule="auto"/>
              <w:jc w:val="center"/>
              <w:rPr>
                <w:lang w:val="en-GB"/>
              </w:rPr>
            </w:pPr>
            <w:r w:rsidRPr="00463521">
              <w:rPr>
                <w:lang w:val="en-GB"/>
              </w:rPr>
              <w:t>2.91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903960" w14:textId="77777777" w:rsidR="00C2191D" w:rsidRPr="00463521" w:rsidRDefault="00715C63" w:rsidP="00913049">
            <w:pPr>
              <w:spacing w:line="360" w:lineRule="auto"/>
              <w:jc w:val="center"/>
              <w:rPr>
                <w:lang w:val="en-GB"/>
              </w:rPr>
            </w:pPr>
            <w:r w:rsidRPr="00463521">
              <w:rPr>
                <w:lang w:val="en-GB"/>
              </w:rPr>
              <w:t>0.59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6F5E67A" w14:textId="77777777" w:rsidR="00C2191D" w:rsidRPr="00463521" w:rsidRDefault="00715C63" w:rsidP="00913049">
            <w:pPr>
              <w:spacing w:line="360" w:lineRule="auto"/>
              <w:jc w:val="center"/>
              <w:rPr>
                <w:lang w:val="en-GB"/>
              </w:rPr>
            </w:pPr>
            <w:r w:rsidRPr="00463521">
              <w:rPr>
                <w:lang w:val="en-GB"/>
              </w:rPr>
              <w:t>12.94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979E8D" w14:textId="77777777" w:rsidR="00C2191D" w:rsidRPr="00463521" w:rsidRDefault="00715C63" w:rsidP="00913049">
            <w:pPr>
              <w:spacing w:line="360" w:lineRule="auto"/>
              <w:jc w:val="center"/>
              <w:rPr>
                <w:lang w:val="en-GB"/>
              </w:rPr>
            </w:pPr>
            <w:r w:rsidRPr="00463521">
              <w:rPr>
                <w:lang w:val="en-GB"/>
              </w:rPr>
              <w:t>6.55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AA64F5" w14:textId="77777777" w:rsidR="00C2191D" w:rsidRPr="00463521" w:rsidRDefault="00715C63" w:rsidP="00913049">
            <w:pPr>
              <w:spacing w:line="360" w:lineRule="auto"/>
              <w:jc w:val="center"/>
              <w:rPr>
                <w:lang w:val="en-GB"/>
              </w:rPr>
            </w:pPr>
            <w:r w:rsidRPr="00463521">
              <w:rPr>
                <w:lang w:val="en-GB"/>
              </w:rPr>
              <w:t>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EFEDC3" w14:textId="77777777" w:rsidR="00C2191D" w:rsidRPr="00463521" w:rsidRDefault="00715C63" w:rsidP="00913049">
            <w:pPr>
              <w:spacing w:line="360" w:lineRule="auto"/>
              <w:jc w:val="center"/>
              <w:rPr>
                <w:lang w:val="en-GB"/>
              </w:rPr>
            </w:pPr>
            <w:r w:rsidRPr="00463521">
              <w:rPr>
                <w:lang w:val="en-GB"/>
              </w:rPr>
              <w:t>47.24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B8114C0" w14:textId="77777777" w:rsidR="00C2191D" w:rsidRPr="00463521" w:rsidRDefault="00715C63" w:rsidP="00913049">
            <w:pPr>
              <w:spacing w:line="360" w:lineRule="auto"/>
              <w:jc w:val="center"/>
              <w:rPr>
                <w:lang w:val="en-GB"/>
              </w:rPr>
            </w:pPr>
            <w:r w:rsidRPr="00463521">
              <w:rPr>
                <w:lang w:val="en-GB"/>
              </w:rPr>
              <w:t>3.74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05EB74" w14:textId="77777777" w:rsidR="00C2191D" w:rsidRPr="00463521" w:rsidRDefault="00715C63" w:rsidP="00913049">
            <w:pPr>
              <w:spacing w:line="360" w:lineRule="auto"/>
              <w:jc w:val="center"/>
              <w:rPr>
                <w:lang w:val="en-GB"/>
              </w:rPr>
            </w:pPr>
            <w:r w:rsidRPr="00463521">
              <w:rPr>
                <w:lang w:val="en-GB"/>
              </w:rPr>
              <w:t>1.92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826BBF3" w14:textId="77777777" w:rsidR="00C2191D" w:rsidRPr="00463521" w:rsidRDefault="00715C63" w:rsidP="00913049">
            <w:pPr>
              <w:spacing w:line="360" w:lineRule="auto"/>
              <w:jc w:val="center"/>
              <w:rPr>
                <w:lang w:val="en-GB"/>
              </w:rPr>
            </w:pPr>
            <w:r w:rsidRPr="00463521">
              <w:rPr>
                <w:lang w:val="en-GB"/>
              </w:rPr>
              <w:t>21.38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10527F4" w14:textId="77777777" w:rsidR="00C2191D" w:rsidRPr="00463521" w:rsidRDefault="00715C63" w:rsidP="00913049">
            <w:pPr>
              <w:spacing w:line="360" w:lineRule="auto"/>
              <w:jc w:val="center"/>
              <w:rPr>
                <w:lang w:val="en-GB"/>
              </w:rPr>
            </w:pPr>
            <w:r w:rsidRPr="00463521">
              <w:rPr>
                <w:lang w:val="en-GB"/>
              </w:rPr>
              <w:t>2.63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DA8AD7" w14:textId="77777777" w:rsidR="00C2191D" w:rsidRPr="00463521" w:rsidRDefault="00715C63" w:rsidP="00913049">
            <w:pPr>
              <w:spacing w:line="360" w:lineRule="auto"/>
              <w:jc w:val="center"/>
              <w:rPr>
                <w:lang w:val="en-GB"/>
              </w:rPr>
            </w:pPr>
            <w:r w:rsidRPr="00463521">
              <w:rPr>
                <w:lang w:val="en-GB"/>
              </w:rPr>
              <w:t>3.02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40D33B9" w14:textId="77777777" w:rsidR="00C2191D" w:rsidRPr="00463521" w:rsidRDefault="00EC24DE" w:rsidP="00913049">
            <w:pPr>
              <w:spacing w:line="360" w:lineRule="auto"/>
              <w:jc w:val="center"/>
              <w:rPr>
                <w:lang w:val="en-GB"/>
              </w:rPr>
            </w:pPr>
            <w:r w:rsidRPr="00463521">
              <w:rPr>
                <w:lang w:val="en-GB"/>
              </w:rPr>
              <w:t>-</w:t>
            </w:r>
            <w:r w:rsidR="00715C63" w:rsidRPr="00463521">
              <w:rPr>
                <w:lang w:val="en-GB"/>
              </w:rPr>
              <w:t>23.83</w:t>
            </w:r>
          </w:p>
        </w:tc>
        <w:tc>
          <w:tcPr>
            <w:tcW w:w="0" w:type="auto"/>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vAlign w:val="center"/>
          </w:tcPr>
          <w:p w14:paraId="2985FCFA" w14:textId="77777777" w:rsidR="00C2191D" w:rsidRPr="00463521" w:rsidRDefault="00EC24DE" w:rsidP="00913049">
            <w:pPr>
              <w:spacing w:line="360" w:lineRule="auto"/>
              <w:jc w:val="center"/>
              <w:rPr>
                <w:lang w:val="en-GB"/>
              </w:rPr>
            </w:pPr>
            <w:r w:rsidRPr="00463521">
              <w:rPr>
                <w:lang w:val="en-GB"/>
              </w:rPr>
              <w:t>-</w:t>
            </w:r>
            <w:r w:rsidR="00715C63" w:rsidRPr="00463521">
              <w:rPr>
                <w:lang w:val="en-GB"/>
              </w:rPr>
              <w:t>25.65</w:t>
            </w:r>
          </w:p>
        </w:tc>
        <w:tc>
          <w:tcPr>
            <w:tcW w:w="0" w:type="auto"/>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vAlign w:val="center"/>
          </w:tcPr>
          <w:p w14:paraId="1446C236" w14:textId="150DF719" w:rsidR="00C2191D" w:rsidRPr="00463521" w:rsidRDefault="00EC7AAB" w:rsidP="00CD129B">
            <w:pPr>
              <w:spacing w:line="360" w:lineRule="auto"/>
              <w:rPr>
                <w:lang w:val="en-GB"/>
              </w:rPr>
            </w:pPr>
            <w:proofErr w:type="spellStart"/>
            <w:r>
              <w:rPr>
                <w:lang w:val="en-GB"/>
              </w:rPr>
              <w:t>P</w:t>
            </w:r>
            <w:r w:rsidR="00715C63" w:rsidRPr="00463521">
              <w:rPr>
                <w:lang w:val="en-GB"/>
              </w:rPr>
              <w:t>ristanic</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9955EB7" w14:textId="77777777" w:rsidR="00C2191D" w:rsidRPr="00463521" w:rsidRDefault="00C2191D" w:rsidP="00913049">
            <w:pPr>
              <w:spacing w:line="360" w:lineRule="auto"/>
              <w:jc w:val="center"/>
              <w:rPr>
                <w:lang w:val="en-GB"/>
              </w:rPr>
            </w:pPr>
          </w:p>
        </w:tc>
      </w:tr>
    </w:tbl>
    <w:p w14:paraId="5703FB53" w14:textId="77777777" w:rsidR="00913049" w:rsidRPr="00913049" w:rsidRDefault="00913049" w:rsidP="00463521">
      <w:pPr>
        <w:spacing w:line="360" w:lineRule="auto"/>
        <w:rPr>
          <w:lang w:val="en-GB"/>
        </w:rPr>
      </w:pPr>
    </w:p>
    <w:sectPr w:rsidR="00913049" w:rsidRPr="00913049" w:rsidSect="00913049">
      <w:pgSz w:w="15840" w:h="12240" w:orient="landscape"/>
      <w:pgMar w:top="1418" w:right="1418" w:bottom="1418" w:left="1418" w:header="720"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ntiquity1" w:date="2019-07-01T14:16:00Z" w:initials="R">
    <w:p w14:paraId="15B36C5E" w14:textId="4DC8824E" w:rsidR="00415296" w:rsidRDefault="00415296">
      <w:pPr>
        <w:pStyle w:val="CommentText"/>
      </w:pPr>
      <w:r>
        <w:rPr>
          <w:rStyle w:val="CommentReference"/>
        </w:rPr>
        <w:annotationRef/>
      </w:r>
      <w:r>
        <w:t xml:space="preserve">For the non-specialist reader, could you provide a very brief gloss for ‘distribution’? </w:t>
      </w:r>
    </w:p>
  </w:comment>
  <w:comment w:id="2" w:author="Karine" w:date="2019-07-06T11:54:00Z" w:initials="K">
    <w:p w14:paraId="3821AF21" w14:textId="24959A73" w:rsidR="007B2A82" w:rsidRDefault="007B2A82">
      <w:pPr>
        <w:pStyle w:val="CommentText"/>
      </w:pPr>
      <w:r>
        <w:rPr>
          <w:rStyle w:val="CommentReference"/>
        </w:rPr>
        <w:annotationRef/>
      </w:r>
      <w:r>
        <w:t xml:space="preserve">We have </w:t>
      </w:r>
      <w:r w:rsidR="00A736BA">
        <w:t>changed the formulation to clarify. Is this better?</w:t>
      </w:r>
    </w:p>
  </w:comment>
  <w:comment w:id="3" w:author="Antiquity" w:date="2019-04-25T13:06:00Z" w:initials="A">
    <w:p w14:paraId="2C302D02" w14:textId="717EA548" w:rsidR="00220716" w:rsidRDefault="00220716">
      <w:pPr>
        <w:pStyle w:val="CommentText"/>
      </w:pPr>
      <w:r>
        <w:rPr>
          <w:rStyle w:val="CommentReference"/>
        </w:rPr>
        <w:annotationRef/>
      </w:r>
      <w:r>
        <w:t>So the technique used by Skibo et a</w:t>
      </w:r>
      <w:r w:rsidR="002F1AD6">
        <w:t>l. was based on Malainey et al.</w:t>
      </w:r>
      <w:r>
        <w:t xml:space="preserve"> correct ?</w:t>
      </w:r>
    </w:p>
  </w:comment>
  <w:comment w:id="4" w:author="Karine" w:date="2019-07-06T11:56:00Z" w:initials="K">
    <w:p w14:paraId="1A52EF31" w14:textId="0500189B" w:rsidR="00A736BA" w:rsidRDefault="00A736BA">
      <w:pPr>
        <w:pStyle w:val="CommentText"/>
      </w:pPr>
      <w:r>
        <w:rPr>
          <w:rStyle w:val="CommentReference"/>
        </w:rPr>
        <w:annotationRef/>
      </w:r>
      <w:r>
        <w:t>This is correct</w:t>
      </w:r>
    </w:p>
  </w:comment>
  <w:comment w:id="5" w:author="Karine" w:date="2019-07-06T11:58:00Z" w:initials="K">
    <w:p w14:paraId="6F39300B" w14:textId="61DB3419" w:rsidR="00A736BA" w:rsidRDefault="00A736BA">
      <w:pPr>
        <w:pStyle w:val="CommentText"/>
      </w:pPr>
      <w:r>
        <w:rPr>
          <w:rStyle w:val="CommentReference"/>
        </w:rPr>
        <w:annotationRef/>
      </w:r>
      <w:r>
        <w:t>Could % not be used or is this journal convention?</w:t>
      </w:r>
    </w:p>
  </w:comment>
  <w:comment w:id="6" w:author="Antiquity" w:date="2019-04-25T13:10:00Z" w:initials="A">
    <w:p w14:paraId="789F0757" w14:textId="7C6DEFA2" w:rsidR="00220716" w:rsidRDefault="00220716">
      <w:pPr>
        <w:pStyle w:val="CommentText"/>
      </w:pPr>
      <w:r>
        <w:rPr>
          <w:rStyle w:val="CommentReference"/>
        </w:rPr>
        <w:annotationRef/>
      </w:r>
      <w:r>
        <w:t xml:space="preserve">This is a little confusing for the lay reader. Is there a word missing in here, perhaps? </w:t>
      </w:r>
      <w:r w:rsidR="007C3746">
        <w:t>(</w:t>
      </w:r>
      <w:r>
        <w:t>Also – and forgive my ignorance if not – isn’t the C18:1 the same as the fatty acid ratio typical of plants</w:t>
      </w:r>
      <w:r w:rsidR="007C3746">
        <w:t xml:space="preserve">, </w:t>
      </w:r>
      <w:r>
        <w:t>as stated in the previous sentence)?</w:t>
      </w:r>
    </w:p>
  </w:comment>
  <w:comment w:id="7" w:author="Karine" w:date="2019-07-06T11:58:00Z" w:initials="K">
    <w:p w14:paraId="19E3FB2C" w14:textId="5A76408A" w:rsidR="00A736BA" w:rsidRDefault="00A736BA">
      <w:pPr>
        <w:pStyle w:val="CommentText"/>
      </w:pPr>
      <w:r>
        <w:rPr>
          <w:rStyle w:val="CommentReference"/>
        </w:rPr>
        <w:annotationRef/>
      </w:r>
      <w:r>
        <w:t xml:space="preserve">There is no word missing. Malainey’s criteria identify fish fats as having C18:1 within this range. This </w:t>
      </w:r>
      <w:r w:rsidR="009D68AC">
        <w:t xml:space="preserve">proportion is relative to the total fatty acid content, and not just relative to C18:0, as stated in the previous sentence. </w:t>
      </w:r>
      <w:r>
        <w:t>I think it’s important to state this even though we don’t agree it is valid as we note later.</w:t>
      </w:r>
    </w:p>
  </w:comment>
  <w:comment w:id="8" w:author="Antiquity1" w:date="2019-07-01T14:25:00Z" w:initials="R">
    <w:p w14:paraId="392E1384" w14:textId="603A324B" w:rsidR="0015207F" w:rsidRDefault="0015207F">
      <w:pPr>
        <w:pStyle w:val="CommentText"/>
      </w:pPr>
      <w:r>
        <w:rPr>
          <w:rStyle w:val="CommentReference"/>
        </w:rPr>
        <w:annotationRef/>
      </w:r>
      <w:r>
        <w:t>Ambiguous: do you mean maize?</w:t>
      </w:r>
    </w:p>
  </w:comment>
  <w:comment w:id="9" w:author="Karine" w:date="2019-07-06T12:14:00Z" w:initials="K">
    <w:p w14:paraId="2115B3FB" w14:textId="6A0F7170" w:rsidR="009D68AC" w:rsidRDefault="009D68AC">
      <w:pPr>
        <w:pStyle w:val="CommentText"/>
      </w:pPr>
      <w:r>
        <w:rPr>
          <w:rStyle w:val="CommentReference"/>
        </w:rPr>
        <w:annotationRef/>
      </w:r>
      <w:r>
        <w:t>Yes it refers to maize. These are the words used by Malainey to define this category.</w:t>
      </w:r>
    </w:p>
  </w:comment>
  <w:comment w:id="10" w:author="Antiquity" w:date="2019-04-25T14:29:00Z" w:initials="A">
    <w:p w14:paraId="3086A3E8" w14:textId="70BCB36E" w:rsidR="00FD7786" w:rsidRDefault="00FD7786">
      <w:pPr>
        <w:pStyle w:val="CommentText"/>
      </w:pPr>
      <w:r>
        <w:rPr>
          <w:rStyle w:val="CommentReference"/>
        </w:rPr>
        <w:annotationRef/>
      </w:r>
      <w:r>
        <w:t>Is this correct? It doesn’t seem to make sense.</w:t>
      </w:r>
    </w:p>
  </w:comment>
  <w:comment w:id="11" w:author="Karine" w:date="2019-07-06T12:15:00Z" w:initials="K">
    <w:p w14:paraId="6D7FB345" w14:textId="2796390F" w:rsidR="009D68AC" w:rsidRDefault="009D68AC">
      <w:pPr>
        <w:pStyle w:val="CommentText"/>
      </w:pPr>
      <w:r>
        <w:rPr>
          <w:rStyle w:val="CommentReference"/>
        </w:rPr>
        <w:annotationRef/>
      </w:r>
      <w:r>
        <w:t>Yes this is correct</w:t>
      </w:r>
    </w:p>
  </w:comment>
  <w:comment w:id="12" w:author="Alexandre Lucquin" w:date="2019-07-07T10:50:00Z" w:initials="AL">
    <w:p w14:paraId="113391F7" w14:textId="6CCDFFAE" w:rsidR="0092102A" w:rsidRDefault="0092102A">
      <w:pPr>
        <w:pStyle w:val="CommentText"/>
      </w:pPr>
      <w:r>
        <w:rPr>
          <w:rStyle w:val="CommentReference"/>
        </w:rPr>
        <w:annotationRef/>
      </w:r>
      <w:r>
        <w:t>Maybe we could add quotation mark as it is the categories defined by Malainey</w:t>
      </w:r>
    </w:p>
  </w:comment>
  <w:comment w:id="13" w:author="Antiquity" w:date="2019-04-26T09:13:00Z" w:initials="A">
    <w:p w14:paraId="3F982F5F" w14:textId="52FC27DD" w:rsidR="00B70901" w:rsidRDefault="00B70901">
      <w:pPr>
        <w:pStyle w:val="CommentText"/>
      </w:pPr>
      <w:r>
        <w:rPr>
          <w:rStyle w:val="CommentReference"/>
        </w:rPr>
        <w:annotationRef/>
      </w:r>
      <w:r>
        <w:t>Changed to break up the long sentence</w:t>
      </w:r>
    </w:p>
  </w:comment>
  <w:comment w:id="14" w:author="Karine" w:date="2019-07-06T12:17:00Z" w:initials="K">
    <w:p w14:paraId="4DAEAF7E" w14:textId="3AD6C834" w:rsidR="006A6877" w:rsidRDefault="006A6877">
      <w:pPr>
        <w:pStyle w:val="CommentText"/>
      </w:pPr>
      <w:r>
        <w:rPr>
          <w:rStyle w:val="CommentReference"/>
        </w:rPr>
        <w:annotationRef/>
      </w:r>
      <w:r>
        <w:t>We like the suggestion</w:t>
      </w:r>
    </w:p>
  </w:comment>
  <w:comment w:id="15" w:author="Antiquity" w:date="2019-04-26T08:28:00Z" w:initials="A">
    <w:p w14:paraId="261F9E8D" w14:textId="0AAF8308" w:rsidR="00AC7D45" w:rsidRDefault="00AC7D45">
      <w:pPr>
        <w:pStyle w:val="CommentText"/>
      </w:pPr>
      <w:r>
        <w:rPr>
          <w:rStyle w:val="CommentReference"/>
        </w:rPr>
        <w:annotationRef/>
      </w:r>
      <w:r w:rsidR="0015207F">
        <w:t>Odd phrasing:</w:t>
      </w:r>
      <w:r>
        <w:t xml:space="preserve"> </w:t>
      </w:r>
      <w:r w:rsidR="0015207F">
        <w:t>“hunter-gatherer populations avoided fish consumption” ?</w:t>
      </w:r>
    </w:p>
  </w:comment>
  <w:comment w:id="16" w:author="Karine" w:date="2019-07-06T12:16:00Z" w:initials="K">
    <w:p w14:paraId="5D732384" w14:textId="0051657A" w:rsidR="009D68AC" w:rsidRDefault="009D68AC">
      <w:pPr>
        <w:pStyle w:val="CommentText"/>
      </w:pPr>
      <w:r>
        <w:rPr>
          <w:rStyle w:val="CommentReference"/>
        </w:rPr>
        <w:annotationRef/>
      </w:r>
      <w:r w:rsidR="006A6877">
        <w:t>The phrasing is a direct reference to Malainey’s 2001 article entitled “</w:t>
      </w:r>
      <w:r w:rsidR="006A6877" w:rsidRPr="00463521">
        <w:rPr>
          <w:color w:val="000000"/>
          <w:lang w:val="en-GB"/>
        </w:rPr>
        <w:t>One person's food: how and why fish avoidance may affect the settlement and subsistence patterns of hunter-gatherers</w:t>
      </w:r>
      <w:r w:rsidR="006A6877">
        <w:rPr>
          <w:color w:val="000000"/>
          <w:lang w:val="en-GB"/>
        </w:rPr>
        <w:t>”</w:t>
      </w:r>
    </w:p>
  </w:comment>
  <w:comment w:id="17" w:author="Antiquity" w:date="2019-04-26T10:54:00Z" w:initials="A">
    <w:p w14:paraId="7A89B206" w14:textId="29910B6B" w:rsidR="002566DE" w:rsidRDefault="002566DE">
      <w:pPr>
        <w:pStyle w:val="CommentText"/>
      </w:pPr>
      <w:r>
        <w:rPr>
          <w:rStyle w:val="CommentReference"/>
        </w:rPr>
        <w:annotationRef/>
      </w:r>
      <w:r>
        <w:t>To which case are you referring, specifically?</w:t>
      </w:r>
    </w:p>
  </w:comment>
  <w:comment w:id="18" w:author="Karine" w:date="2019-07-06T12:29:00Z" w:initials="K">
    <w:p w14:paraId="631037AB" w14:textId="04F44B1C" w:rsidR="0069484C" w:rsidRDefault="0069484C">
      <w:pPr>
        <w:pStyle w:val="CommentText"/>
      </w:pPr>
      <w:r>
        <w:rPr>
          <w:rStyle w:val="CommentReference"/>
        </w:rPr>
        <w:annotationRef/>
      </w:r>
      <w:r>
        <w:t xml:space="preserve">The present study. </w:t>
      </w:r>
    </w:p>
  </w:comment>
  <w:comment w:id="19" w:author="Antiquity" w:date="2019-04-26T10:56:00Z" w:initials="A">
    <w:p w14:paraId="0453C529" w14:textId="3DC723B4" w:rsidR="002566DE" w:rsidRDefault="002566DE">
      <w:pPr>
        <w:pStyle w:val="CommentText"/>
      </w:pPr>
      <w:r>
        <w:rPr>
          <w:rStyle w:val="CommentReference"/>
        </w:rPr>
        <w:annotationRef/>
      </w:r>
      <w:r w:rsidR="0077123A">
        <w:t>The Vinette 1 sample as a whole (i.e. 130)?</w:t>
      </w:r>
    </w:p>
  </w:comment>
  <w:comment w:id="20" w:author="Karine" w:date="2019-07-06T12:49:00Z" w:initials="K">
    <w:p w14:paraId="153822A7" w14:textId="3384E0F0" w:rsidR="00464E65" w:rsidRDefault="00464E65">
      <w:pPr>
        <w:pStyle w:val="CommentText"/>
      </w:pPr>
      <w:r>
        <w:rPr>
          <w:rStyle w:val="CommentReference"/>
        </w:rPr>
        <w:annotationRef/>
      </w:r>
      <w:r w:rsidR="001B32DE">
        <w:t>The Vinette 1 sample submitted to GCcIRMS analysis comprised 60 samples representing 52 vessels. I added a sentence to clarify</w:t>
      </w:r>
    </w:p>
  </w:comment>
  <w:comment w:id="22" w:author="Antiquity" w:date="2019-04-26T11:07:00Z" w:initials="A">
    <w:p w14:paraId="086E503D" w14:textId="505982C2" w:rsidR="009D6DFB" w:rsidRDefault="009D6DFB">
      <w:pPr>
        <w:pStyle w:val="CommentText"/>
      </w:pPr>
      <w:r>
        <w:rPr>
          <w:rStyle w:val="CommentReference"/>
        </w:rPr>
        <w:annotationRef/>
      </w:r>
      <w:r>
        <w:t>What does this stand for?</w:t>
      </w:r>
    </w:p>
  </w:comment>
  <w:comment w:id="23" w:author="Karine" w:date="2019-07-05T07:24:00Z" w:initials="K">
    <w:p w14:paraId="2E6CFA70" w14:textId="189BA8D3" w:rsidR="001E6C9B" w:rsidRDefault="001E6C9B">
      <w:pPr>
        <w:pStyle w:val="CommentText"/>
      </w:pPr>
      <w:r>
        <w:rPr>
          <w:rStyle w:val="CommentReference"/>
        </w:rPr>
        <w:annotationRef/>
      </w:r>
      <w:r>
        <w:t>PCA = Principal Component Analysis; PC = Principal Component</w:t>
      </w:r>
      <w:r w:rsidR="001B32DE">
        <w:t>. I added this abbreviations in parenthesis in the text, where references to these analysis are made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B36C5E" w15:done="1"/>
  <w15:commentEx w15:paraId="3821AF21" w15:paraIdParent="15B36C5E" w15:done="1"/>
  <w15:commentEx w15:paraId="2C302D02" w15:done="0"/>
  <w15:commentEx w15:paraId="1A52EF31" w15:paraIdParent="2C302D02" w15:done="0"/>
  <w15:commentEx w15:paraId="6F39300B" w15:done="0"/>
  <w15:commentEx w15:paraId="789F0757" w15:done="0"/>
  <w15:commentEx w15:paraId="19E3FB2C" w15:paraIdParent="789F0757" w15:done="0"/>
  <w15:commentEx w15:paraId="392E1384" w15:done="0"/>
  <w15:commentEx w15:paraId="2115B3FB" w15:paraIdParent="392E1384" w15:done="0"/>
  <w15:commentEx w15:paraId="3086A3E8" w15:done="0"/>
  <w15:commentEx w15:paraId="6D7FB345" w15:paraIdParent="3086A3E8" w15:done="0"/>
  <w15:commentEx w15:paraId="113391F7" w15:paraIdParent="3086A3E8" w15:done="0"/>
  <w15:commentEx w15:paraId="3F982F5F" w15:done="0"/>
  <w15:commentEx w15:paraId="4DAEAF7E" w15:paraIdParent="3F982F5F" w15:done="0"/>
  <w15:commentEx w15:paraId="261F9E8D" w15:done="0"/>
  <w15:commentEx w15:paraId="5D732384" w15:paraIdParent="261F9E8D" w15:done="0"/>
  <w15:commentEx w15:paraId="7A89B206" w15:done="0"/>
  <w15:commentEx w15:paraId="631037AB" w15:paraIdParent="7A89B206" w15:done="0"/>
  <w15:commentEx w15:paraId="0453C529" w15:done="0"/>
  <w15:commentEx w15:paraId="153822A7" w15:paraIdParent="0453C529" w15:done="0"/>
  <w15:commentEx w15:paraId="086E503D" w15:done="0"/>
  <w15:commentEx w15:paraId="2E6CFA70" w15:paraIdParent="086E503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B36C5E" w16cid:durableId="20C978E3"/>
  <w16cid:commentId w16cid:paraId="3821AF21" w16cid:durableId="20CB0A8E"/>
  <w16cid:commentId w16cid:paraId="2C302D02" w16cid:durableId="20C978E4"/>
  <w16cid:commentId w16cid:paraId="1A52EF31" w16cid:durableId="20CB0AF3"/>
  <w16cid:commentId w16cid:paraId="6F39300B" w16cid:durableId="20CB0B54"/>
  <w16cid:commentId w16cid:paraId="789F0757" w16cid:durableId="20C978E5"/>
  <w16cid:commentId w16cid:paraId="19E3FB2C" w16cid:durableId="20CB0B7B"/>
  <w16cid:commentId w16cid:paraId="392E1384" w16cid:durableId="20C978E6"/>
  <w16cid:commentId w16cid:paraId="2115B3FB" w16cid:durableId="20CB0F08"/>
  <w16cid:commentId w16cid:paraId="3086A3E8" w16cid:durableId="20C978E7"/>
  <w16cid:commentId w16cid:paraId="6D7FB345" w16cid:durableId="20CB0F5B"/>
  <w16cid:commentId w16cid:paraId="113391F7" w16cid:durableId="20CC4D0F"/>
  <w16cid:commentId w16cid:paraId="3F982F5F" w16cid:durableId="20C978E8"/>
  <w16cid:commentId w16cid:paraId="4DAEAF7E" w16cid:durableId="20CB0FEA"/>
  <w16cid:commentId w16cid:paraId="261F9E8D" w16cid:durableId="20C978E9"/>
  <w16cid:commentId w16cid:paraId="5D732384" w16cid:durableId="20CB0FA8"/>
  <w16cid:commentId w16cid:paraId="7A89B206" w16cid:durableId="20C978ED"/>
  <w16cid:commentId w16cid:paraId="631037AB" w16cid:durableId="20CB128E"/>
  <w16cid:commentId w16cid:paraId="0453C529" w16cid:durableId="20C978EE"/>
  <w16cid:commentId w16cid:paraId="153822A7" w16cid:durableId="20CB1746"/>
  <w16cid:commentId w16cid:paraId="086E503D" w16cid:durableId="20C978EF"/>
  <w16cid:commentId w16cid:paraId="2E6CFA70" w16cid:durableId="20C979C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tiquity1">
    <w15:presenceInfo w15:providerId="None" w15:userId="Antiquity1"/>
  </w15:person>
  <w15:person w15:author="Karine">
    <w15:presenceInfo w15:providerId="None" w15:userId="Karine"/>
  </w15:person>
  <w15:person w15:author="Antiquity">
    <w15:presenceInfo w15:providerId="None" w15:userId="Antiquity"/>
  </w15:person>
  <w15:person w15:author="Alexandre Lucquin">
    <w15:presenceInfo w15:providerId="None" w15:userId="Alexandre Lucqu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91D"/>
    <w:rsid w:val="000363EF"/>
    <w:rsid w:val="000912FD"/>
    <w:rsid w:val="000A1125"/>
    <w:rsid w:val="000D1B9C"/>
    <w:rsid w:val="00132F88"/>
    <w:rsid w:val="0015207F"/>
    <w:rsid w:val="00163CF0"/>
    <w:rsid w:val="00165E11"/>
    <w:rsid w:val="001678DA"/>
    <w:rsid w:val="001A6F7D"/>
    <w:rsid w:val="001B32DE"/>
    <w:rsid w:val="001E6B7F"/>
    <w:rsid w:val="001E6C9B"/>
    <w:rsid w:val="002116B9"/>
    <w:rsid w:val="00220716"/>
    <w:rsid w:val="002566DE"/>
    <w:rsid w:val="00261D82"/>
    <w:rsid w:val="002E2440"/>
    <w:rsid w:val="002E6A09"/>
    <w:rsid w:val="002F1AD6"/>
    <w:rsid w:val="0032070B"/>
    <w:rsid w:val="00390CAD"/>
    <w:rsid w:val="003B3F7D"/>
    <w:rsid w:val="003E35F7"/>
    <w:rsid w:val="003E6744"/>
    <w:rsid w:val="00415063"/>
    <w:rsid w:val="00415296"/>
    <w:rsid w:val="004533C0"/>
    <w:rsid w:val="00463521"/>
    <w:rsid w:val="00464E65"/>
    <w:rsid w:val="00477E5D"/>
    <w:rsid w:val="00494458"/>
    <w:rsid w:val="004E20F3"/>
    <w:rsid w:val="004E3983"/>
    <w:rsid w:val="005A14E9"/>
    <w:rsid w:val="005B157B"/>
    <w:rsid w:val="005B3EF4"/>
    <w:rsid w:val="005C2584"/>
    <w:rsid w:val="005D3F87"/>
    <w:rsid w:val="006177B8"/>
    <w:rsid w:val="0069484C"/>
    <w:rsid w:val="006A6877"/>
    <w:rsid w:val="006B58B2"/>
    <w:rsid w:val="006E383B"/>
    <w:rsid w:val="006E6D3B"/>
    <w:rsid w:val="00715C63"/>
    <w:rsid w:val="0075748A"/>
    <w:rsid w:val="0077123A"/>
    <w:rsid w:val="007B23BA"/>
    <w:rsid w:val="007B2A82"/>
    <w:rsid w:val="007C3746"/>
    <w:rsid w:val="007C4568"/>
    <w:rsid w:val="00811925"/>
    <w:rsid w:val="008334E6"/>
    <w:rsid w:val="008523BA"/>
    <w:rsid w:val="00854174"/>
    <w:rsid w:val="008B74BA"/>
    <w:rsid w:val="00901957"/>
    <w:rsid w:val="0090401A"/>
    <w:rsid w:val="00913049"/>
    <w:rsid w:val="0092102A"/>
    <w:rsid w:val="009262E1"/>
    <w:rsid w:val="009947E5"/>
    <w:rsid w:val="009B7C96"/>
    <w:rsid w:val="009D68AC"/>
    <w:rsid w:val="009D6DFB"/>
    <w:rsid w:val="009F2DFC"/>
    <w:rsid w:val="00A736BA"/>
    <w:rsid w:val="00AA6583"/>
    <w:rsid w:val="00AC7D45"/>
    <w:rsid w:val="00AE186F"/>
    <w:rsid w:val="00B70901"/>
    <w:rsid w:val="00BE332E"/>
    <w:rsid w:val="00C2191D"/>
    <w:rsid w:val="00C30D89"/>
    <w:rsid w:val="00CD129B"/>
    <w:rsid w:val="00D73E0B"/>
    <w:rsid w:val="00DB53EE"/>
    <w:rsid w:val="00DD5504"/>
    <w:rsid w:val="00DD651F"/>
    <w:rsid w:val="00E33F27"/>
    <w:rsid w:val="00E530DD"/>
    <w:rsid w:val="00E66934"/>
    <w:rsid w:val="00EC24DE"/>
    <w:rsid w:val="00EC3406"/>
    <w:rsid w:val="00EC7AAB"/>
    <w:rsid w:val="00F15AB4"/>
    <w:rsid w:val="00F56AE5"/>
    <w:rsid w:val="00F83E51"/>
    <w:rsid w:val="00FD7182"/>
    <w:rsid w:val="00FD7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31B73"/>
  <w15:docId w15:val="{B60DB41B-282C-49B4-AE5C-B35247790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222222"/>
        <w:sz w:val="24"/>
        <w:szCs w:val="24"/>
        <w:highlight w:val="white"/>
        <w:lang w:val="en-US" w:eastAsia="en-US" w:bidi="ar-SA"/>
      </w:rPr>
    </w:rPrDefault>
    <w:pPrDefault>
      <w:pPr>
        <w:spacing w:line="48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spacing w:before="100" w:after="100" w:line="240" w:lineRule="auto"/>
      <w:outlineLvl w:val="0"/>
    </w:pPr>
    <w:rPr>
      <w:b/>
      <w:sz w:val="32"/>
      <w:szCs w:val="32"/>
    </w:rPr>
  </w:style>
  <w:style w:type="paragraph" w:styleId="Heading2">
    <w:name w:val="heading 2"/>
    <w:basedOn w:val="Normal"/>
    <w:next w:val="Normal"/>
    <w:pPr>
      <w:spacing w:before="100" w:after="100" w:line="240" w:lineRule="auto"/>
      <w:outlineLvl w:val="1"/>
    </w:pPr>
    <w:rPr>
      <w:b/>
      <w:sz w:val="28"/>
      <w:szCs w:val="28"/>
    </w:rPr>
  </w:style>
  <w:style w:type="paragraph" w:styleId="Heading3">
    <w:name w:val="heading 3"/>
    <w:basedOn w:val="Normal"/>
    <w:next w:val="Normal"/>
    <w:pPr>
      <w:keepNext/>
      <w:keepLines/>
      <w:spacing w:before="40"/>
      <w:outlineLvl w:val="2"/>
    </w:pPr>
    <w:rPr>
      <w:i/>
      <w:color w:val="00000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15C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C63"/>
    <w:rPr>
      <w:rFonts w:ascii="Segoe UI" w:hAnsi="Segoe UI" w:cs="Segoe UI"/>
      <w:sz w:val="18"/>
      <w:szCs w:val="18"/>
    </w:rPr>
  </w:style>
  <w:style w:type="paragraph" w:styleId="ListParagraph">
    <w:name w:val="List Paragraph"/>
    <w:basedOn w:val="Normal"/>
    <w:uiPriority w:val="34"/>
    <w:qFormat/>
    <w:rsid w:val="00463521"/>
    <w:pPr>
      <w:ind w:left="720"/>
      <w:contextualSpacing/>
    </w:pPr>
  </w:style>
  <w:style w:type="character" w:styleId="Hyperlink">
    <w:name w:val="Hyperlink"/>
    <w:basedOn w:val="DefaultParagraphFont"/>
    <w:uiPriority w:val="99"/>
    <w:unhideWhenUsed/>
    <w:rsid w:val="00463521"/>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4533C0"/>
    <w:rPr>
      <w:b/>
      <w:bCs/>
    </w:rPr>
  </w:style>
  <w:style w:type="character" w:customStyle="1" w:styleId="CommentSubjectChar">
    <w:name w:val="Comment Subject Char"/>
    <w:basedOn w:val="CommentTextChar"/>
    <w:link w:val="CommentSubject"/>
    <w:uiPriority w:val="99"/>
    <w:semiHidden/>
    <w:rsid w:val="004533C0"/>
    <w:rPr>
      <w:b/>
      <w:bCs/>
      <w:sz w:val="20"/>
      <w:szCs w:val="20"/>
    </w:rPr>
  </w:style>
  <w:style w:type="paragraph" w:styleId="Revision">
    <w:name w:val="Revision"/>
    <w:hidden/>
    <w:uiPriority w:val="99"/>
    <w:semiHidden/>
    <w:rsid w:val="006B58B2"/>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5958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3690</Words>
  <Characters>21037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Karine Tache</dc:creator>
  <cp:keywords/>
  <dc:description/>
  <cp:lastModifiedBy>Oliver Craig</cp:lastModifiedBy>
  <cp:revision>2</cp:revision>
  <cp:lastPrinted>2019-04-17T13:19:00Z</cp:lastPrinted>
  <dcterms:created xsi:type="dcterms:W3CDTF">2019-10-24T20:48:00Z</dcterms:created>
  <dcterms:modified xsi:type="dcterms:W3CDTF">2019-10-24T20:48:00Z</dcterms:modified>
</cp:coreProperties>
</file>