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5D" w:rsidRDefault="00681FFC" w:rsidP="002E765D">
      <w:pPr>
        <w:spacing w:line="360" w:lineRule="auto"/>
        <w:ind w:left="-284" w:right="-330"/>
        <w:jc w:val="center"/>
        <w:rPr>
          <w:rFonts w:ascii="Garamond" w:hAnsi="Garamond"/>
          <w:b/>
          <w:sz w:val="24"/>
          <w:u w:val="single"/>
        </w:rPr>
      </w:pPr>
      <w:r>
        <w:rPr>
          <w:rFonts w:ascii="Garamond" w:hAnsi="Garamond"/>
          <w:b/>
          <w:sz w:val="24"/>
          <w:u w:val="single"/>
        </w:rPr>
        <w:t xml:space="preserve">Locke’s Cicero: </w:t>
      </w:r>
      <w:r w:rsidR="0038093E">
        <w:rPr>
          <w:rFonts w:ascii="Garamond" w:hAnsi="Garamond"/>
          <w:b/>
          <w:sz w:val="24"/>
          <w:u w:val="single"/>
        </w:rPr>
        <w:t xml:space="preserve">between Moral Knowledge and </w:t>
      </w:r>
      <w:r w:rsidR="00503A34">
        <w:rPr>
          <w:rFonts w:ascii="Garamond" w:hAnsi="Garamond"/>
          <w:b/>
          <w:sz w:val="24"/>
          <w:u w:val="single"/>
        </w:rPr>
        <w:t>Faith</w:t>
      </w:r>
    </w:p>
    <w:p w:rsidR="00C91213" w:rsidRDefault="002E765D" w:rsidP="00C91213">
      <w:pPr>
        <w:spacing w:line="360" w:lineRule="auto"/>
        <w:ind w:left="-284" w:right="-330"/>
        <w:jc w:val="center"/>
        <w:rPr>
          <w:rFonts w:ascii="Garamond" w:hAnsi="Garamond"/>
          <w:sz w:val="24"/>
        </w:rPr>
      </w:pPr>
      <w:r>
        <w:rPr>
          <w:rFonts w:ascii="Garamond" w:hAnsi="Garamond"/>
          <w:sz w:val="24"/>
        </w:rPr>
        <w:t>Tim Stuart-</w:t>
      </w:r>
      <w:proofErr w:type="spellStart"/>
      <w:r>
        <w:rPr>
          <w:rFonts w:ascii="Garamond" w:hAnsi="Garamond"/>
          <w:sz w:val="24"/>
        </w:rPr>
        <w:t>Buttle</w:t>
      </w:r>
      <w:proofErr w:type="spellEnd"/>
    </w:p>
    <w:p w:rsidR="00517604" w:rsidRDefault="00194D9A" w:rsidP="00E261A6">
      <w:pPr>
        <w:spacing w:line="360" w:lineRule="auto"/>
        <w:ind w:left="-284" w:right="-330"/>
        <w:jc w:val="both"/>
        <w:rPr>
          <w:rFonts w:ascii="Garamond" w:hAnsi="Garamond"/>
          <w:sz w:val="24"/>
        </w:rPr>
      </w:pPr>
      <w:r w:rsidRPr="00F676FF">
        <w:rPr>
          <w:rFonts w:ascii="Garamond" w:hAnsi="Garamond"/>
          <w:sz w:val="24"/>
        </w:rPr>
        <w:t>Like so many of his contemporaries, John Locke’s</w:t>
      </w:r>
      <w:r w:rsidR="00CB0C27">
        <w:rPr>
          <w:rFonts w:ascii="Garamond" w:hAnsi="Garamond"/>
          <w:sz w:val="24"/>
        </w:rPr>
        <w:t xml:space="preserve"> (1632-1704)</w:t>
      </w:r>
      <w:r w:rsidRPr="00F676FF">
        <w:rPr>
          <w:rFonts w:ascii="Garamond" w:hAnsi="Garamond"/>
          <w:sz w:val="24"/>
        </w:rPr>
        <w:t xml:space="preserve"> intellectual development was profoundly marked by his </w:t>
      </w:r>
      <w:r w:rsidR="00A54F7A">
        <w:rPr>
          <w:rFonts w:ascii="Garamond" w:hAnsi="Garamond"/>
          <w:sz w:val="24"/>
        </w:rPr>
        <w:t xml:space="preserve">youthful </w:t>
      </w:r>
      <w:r w:rsidR="00BF21C2">
        <w:rPr>
          <w:rFonts w:ascii="Garamond" w:hAnsi="Garamond"/>
          <w:sz w:val="24"/>
        </w:rPr>
        <w:t>witness</w:t>
      </w:r>
      <w:r w:rsidRPr="00F676FF">
        <w:rPr>
          <w:rFonts w:ascii="Garamond" w:hAnsi="Garamond"/>
          <w:sz w:val="24"/>
        </w:rPr>
        <w:t xml:space="preserve"> of the </w:t>
      </w:r>
      <w:r w:rsidR="009E5288">
        <w:rPr>
          <w:rFonts w:ascii="Garamond" w:hAnsi="Garamond"/>
          <w:sz w:val="24"/>
        </w:rPr>
        <w:t>tumultuous events of the civil w</w:t>
      </w:r>
      <w:r w:rsidR="00CB0C27">
        <w:rPr>
          <w:rFonts w:ascii="Garamond" w:hAnsi="Garamond"/>
          <w:sz w:val="24"/>
        </w:rPr>
        <w:t>ar</w:t>
      </w:r>
      <w:r w:rsidR="009E5288">
        <w:rPr>
          <w:rFonts w:ascii="Garamond" w:hAnsi="Garamond"/>
          <w:sz w:val="24"/>
        </w:rPr>
        <w:t>s</w:t>
      </w:r>
      <w:r w:rsidR="00CB0C27">
        <w:rPr>
          <w:rFonts w:ascii="Garamond" w:hAnsi="Garamond"/>
          <w:sz w:val="24"/>
        </w:rPr>
        <w:t>. For Locke, this</w:t>
      </w:r>
      <w:r w:rsidRPr="00F676FF">
        <w:rPr>
          <w:rFonts w:ascii="Garamond" w:hAnsi="Garamond"/>
          <w:sz w:val="24"/>
        </w:rPr>
        <w:t xml:space="preserve"> illustrated vividly the capacity of religion to undermine social peace and political order.</w:t>
      </w:r>
      <w:r w:rsidR="00F676FF" w:rsidRPr="00F676FF">
        <w:rPr>
          <w:rFonts w:ascii="Garamond" w:hAnsi="Garamond"/>
          <w:sz w:val="24"/>
        </w:rPr>
        <w:t xml:space="preserve"> </w:t>
      </w:r>
      <w:r w:rsidR="004124C6">
        <w:rPr>
          <w:rFonts w:ascii="Garamond" w:hAnsi="Garamond"/>
          <w:sz w:val="24"/>
        </w:rPr>
        <w:t xml:space="preserve">To pick up where Ethan </w:t>
      </w:r>
      <w:proofErr w:type="spellStart"/>
      <w:r w:rsidR="004124C6">
        <w:rPr>
          <w:rFonts w:ascii="Garamond" w:hAnsi="Garamond"/>
          <w:sz w:val="24"/>
        </w:rPr>
        <w:t>Shagan</w:t>
      </w:r>
      <w:proofErr w:type="spellEnd"/>
      <w:r w:rsidR="004124C6">
        <w:rPr>
          <w:rFonts w:ascii="Garamond" w:hAnsi="Garamond"/>
          <w:sz w:val="24"/>
        </w:rPr>
        <w:t xml:space="preserve"> </w:t>
      </w:r>
      <w:r w:rsidR="00AC30F1">
        <w:rPr>
          <w:rFonts w:ascii="Garamond" w:hAnsi="Garamond"/>
          <w:sz w:val="24"/>
        </w:rPr>
        <w:t>leaves</w:t>
      </w:r>
      <w:r w:rsidR="004124C6">
        <w:rPr>
          <w:rFonts w:ascii="Garamond" w:hAnsi="Garamond"/>
          <w:sz w:val="24"/>
        </w:rPr>
        <w:t xml:space="preserve"> off,</w:t>
      </w:r>
      <w:r w:rsidR="004124C6" w:rsidRPr="00070817">
        <w:rPr>
          <w:rFonts w:ascii="Garamond" w:hAnsi="Garamond"/>
          <w:sz w:val="24"/>
        </w:rPr>
        <w:t xml:space="preserve"> </w:t>
      </w:r>
      <w:r w:rsidR="004124C6" w:rsidRPr="00F676FF">
        <w:rPr>
          <w:rFonts w:ascii="Garamond" w:hAnsi="Garamond"/>
          <w:sz w:val="24"/>
        </w:rPr>
        <w:t xml:space="preserve">the </w:t>
      </w:r>
      <w:r w:rsidR="004124C6">
        <w:rPr>
          <w:rFonts w:ascii="Garamond" w:hAnsi="Garamond"/>
          <w:sz w:val="24"/>
        </w:rPr>
        <w:t>young Locke was all too aware</w:t>
      </w:r>
      <w:r w:rsidR="004124C6" w:rsidRPr="00F676FF">
        <w:rPr>
          <w:rFonts w:ascii="Garamond" w:hAnsi="Garamond"/>
          <w:sz w:val="24"/>
        </w:rPr>
        <w:t xml:space="preserve"> that religious belief</w:t>
      </w:r>
      <w:r w:rsidR="004124C6">
        <w:rPr>
          <w:rFonts w:ascii="Garamond" w:hAnsi="Garamond"/>
          <w:sz w:val="24"/>
        </w:rPr>
        <w:t xml:space="preserve"> of an extreme Reformed variety</w:t>
      </w:r>
      <w:r w:rsidR="004124C6" w:rsidRPr="00F676FF">
        <w:rPr>
          <w:rFonts w:ascii="Garamond" w:hAnsi="Garamond"/>
          <w:sz w:val="24"/>
        </w:rPr>
        <w:t xml:space="preserve"> </w:t>
      </w:r>
      <w:r w:rsidR="004124C6">
        <w:rPr>
          <w:rFonts w:ascii="Garamond" w:hAnsi="Garamond"/>
          <w:sz w:val="24"/>
        </w:rPr>
        <w:t>‘</w:t>
      </w:r>
      <w:r w:rsidR="004124C6" w:rsidRPr="00F676FF">
        <w:rPr>
          <w:rFonts w:ascii="Garamond" w:hAnsi="Garamond"/>
          <w:sz w:val="24"/>
        </w:rPr>
        <w:t>did things in the world</w:t>
      </w:r>
      <w:r w:rsidR="004124C6">
        <w:rPr>
          <w:rFonts w:ascii="Garamond" w:hAnsi="Garamond"/>
          <w:sz w:val="24"/>
        </w:rPr>
        <w:t>’</w:t>
      </w:r>
      <w:r w:rsidR="004124C6" w:rsidRPr="00F676FF">
        <w:rPr>
          <w:rFonts w:ascii="Garamond" w:hAnsi="Garamond"/>
          <w:sz w:val="24"/>
        </w:rPr>
        <w:t>: bad things</w:t>
      </w:r>
      <w:r w:rsidR="004124C6">
        <w:rPr>
          <w:rFonts w:ascii="Garamond" w:hAnsi="Garamond"/>
          <w:sz w:val="24"/>
        </w:rPr>
        <w:t>.</w:t>
      </w:r>
      <w:r w:rsidR="004124C6" w:rsidRPr="00412F04">
        <w:rPr>
          <w:rFonts w:ascii="Garamond" w:hAnsi="Garamond"/>
          <w:sz w:val="24"/>
        </w:rPr>
        <w:t xml:space="preserve"> </w:t>
      </w:r>
      <w:r w:rsidR="004124C6" w:rsidRPr="00F676FF">
        <w:rPr>
          <w:rFonts w:ascii="Garamond" w:hAnsi="Garamond"/>
          <w:sz w:val="24"/>
        </w:rPr>
        <w:t>Locke’s e</w:t>
      </w:r>
      <w:r w:rsidR="004124C6">
        <w:rPr>
          <w:rFonts w:ascii="Garamond" w:hAnsi="Garamond"/>
          <w:sz w:val="24"/>
        </w:rPr>
        <w:t>arly correspondence betrays a combination of bemusement and hostility towards the</w:t>
      </w:r>
      <w:r w:rsidR="004124C6" w:rsidRPr="00F676FF">
        <w:rPr>
          <w:rFonts w:ascii="Garamond" w:hAnsi="Garamond"/>
          <w:sz w:val="24"/>
        </w:rPr>
        <w:t xml:space="preserve"> </w:t>
      </w:r>
      <w:proofErr w:type="spellStart"/>
      <w:r w:rsidR="004124C6">
        <w:rPr>
          <w:rFonts w:ascii="Garamond" w:hAnsi="Garamond"/>
          <w:sz w:val="24"/>
        </w:rPr>
        <w:t>Ranters</w:t>
      </w:r>
      <w:proofErr w:type="spellEnd"/>
      <w:r w:rsidR="004124C6">
        <w:rPr>
          <w:rFonts w:ascii="Garamond" w:hAnsi="Garamond"/>
          <w:sz w:val="24"/>
        </w:rPr>
        <w:t xml:space="preserve"> and Quakers, who ‘with light in their breast and smoke in their mouth’ had ‘sett all most of the world in an </w:t>
      </w:r>
      <w:proofErr w:type="spellStart"/>
      <w:r w:rsidR="004124C6">
        <w:rPr>
          <w:rFonts w:ascii="Garamond" w:hAnsi="Garamond"/>
          <w:sz w:val="24"/>
        </w:rPr>
        <w:t>uprore</w:t>
      </w:r>
      <w:proofErr w:type="spellEnd"/>
      <w:r w:rsidR="004124C6">
        <w:rPr>
          <w:rFonts w:ascii="Garamond" w:hAnsi="Garamond"/>
          <w:sz w:val="24"/>
        </w:rPr>
        <w:t xml:space="preserve"> and at </w:t>
      </w:r>
      <w:proofErr w:type="spellStart"/>
      <w:r w:rsidR="004124C6">
        <w:rPr>
          <w:rFonts w:ascii="Garamond" w:hAnsi="Garamond"/>
          <w:sz w:val="24"/>
        </w:rPr>
        <w:t>varience</w:t>
      </w:r>
      <w:proofErr w:type="spellEnd"/>
      <w:r w:rsidR="004124C6">
        <w:rPr>
          <w:rFonts w:ascii="Garamond" w:hAnsi="Garamond"/>
          <w:sz w:val="24"/>
        </w:rPr>
        <w:t>’.</w:t>
      </w:r>
      <w:r w:rsidR="004124C6">
        <w:rPr>
          <w:rStyle w:val="FootnoteReference"/>
          <w:rFonts w:ascii="Garamond" w:hAnsi="Garamond"/>
          <w:sz w:val="24"/>
        </w:rPr>
        <w:footnoteReference w:id="1"/>
      </w:r>
      <w:r w:rsidR="004124C6">
        <w:rPr>
          <w:rFonts w:ascii="Garamond" w:hAnsi="Garamond"/>
          <w:sz w:val="24"/>
        </w:rPr>
        <w:t xml:space="preserve"> </w:t>
      </w:r>
      <w:r w:rsidR="00B27161">
        <w:rPr>
          <w:rFonts w:ascii="Garamond" w:hAnsi="Garamond"/>
          <w:sz w:val="24"/>
        </w:rPr>
        <w:t xml:space="preserve">This deep anxiety </w:t>
      </w:r>
      <w:r w:rsidR="00B92B01">
        <w:rPr>
          <w:rFonts w:ascii="Garamond" w:hAnsi="Garamond"/>
          <w:sz w:val="24"/>
        </w:rPr>
        <w:t>regarding</w:t>
      </w:r>
      <w:r w:rsidR="00B27161">
        <w:rPr>
          <w:rFonts w:ascii="Garamond" w:hAnsi="Garamond"/>
          <w:sz w:val="24"/>
        </w:rPr>
        <w:t xml:space="preserve"> </w:t>
      </w:r>
      <w:r w:rsidR="00B0187C">
        <w:rPr>
          <w:rFonts w:ascii="Garamond" w:hAnsi="Garamond"/>
          <w:sz w:val="24"/>
        </w:rPr>
        <w:t>religious fanaticism</w:t>
      </w:r>
      <w:r w:rsidR="00B27161">
        <w:rPr>
          <w:rFonts w:ascii="Garamond" w:hAnsi="Garamond"/>
          <w:sz w:val="24"/>
        </w:rPr>
        <w:t>, as Ross Lerner’s essay on Spenser</w:t>
      </w:r>
      <w:r w:rsidR="00A054CE">
        <w:rPr>
          <w:rFonts w:ascii="Garamond" w:hAnsi="Garamond"/>
          <w:sz w:val="24"/>
        </w:rPr>
        <w:t xml:space="preserve"> in this volume</w:t>
      </w:r>
      <w:r w:rsidR="00B27161">
        <w:rPr>
          <w:rFonts w:ascii="Garamond" w:hAnsi="Garamond"/>
          <w:sz w:val="24"/>
        </w:rPr>
        <w:t xml:space="preserve"> reminds us, was by no means new. It nonetheless acquired greater urgency in the British Isles following the</w:t>
      </w:r>
      <w:r w:rsidR="00A054CE">
        <w:rPr>
          <w:rFonts w:ascii="Garamond" w:hAnsi="Garamond"/>
          <w:sz w:val="24"/>
        </w:rPr>
        <w:t xml:space="preserve"> experience of the</w:t>
      </w:r>
      <w:r w:rsidR="00B27161">
        <w:rPr>
          <w:rFonts w:ascii="Garamond" w:hAnsi="Garamond"/>
          <w:sz w:val="24"/>
        </w:rPr>
        <w:t xml:space="preserve"> civil wars</w:t>
      </w:r>
      <w:r w:rsidR="00A054CE">
        <w:rPr>
          <w:rFonts w:ascii="Garamond" w:hAnsi="Garamond"/>
          <w:sz w:val="24"/>
        </w:rPr>
        <w:t>. B</w:t>
      </w:r>
      <w:r w:rsidR="00B27161">
        <w:rPr>
          <w:rFonts w:ascii="Garamond" w:hAnsi="Garamond"/>
          <w:sz w:val="24"/>
        </w:rPr>
        <w:t>y the mid-seventeenth century,</w:t>
      </w:r>
      <w:r w:rsidR="00A054CE">
        <w:rPr>
          <w:rFonts w:ascii="Garamond" w:hAnsi="Garamond"/>
          <w:sz w:val="24"/>
        </w:rPr>
        <w:t xml:space="preserve"> moreover,</w:t>
      </w:r>
      <w:r w:rsidR="00B27161">
        <w:rPr>
          <w:rFonts w:ascii="Garamond" w:hAnsi="Garamond"/>
          <w:sz w:val="24"/>
        </w:rPr>
        <w:t xml:space="preserve"> it was clear that religious plurality and di</w:t>
      </w:r>
      <w:r w:rsidR="00A054CE">
        <w:rPr>
          <w:rFonts w:ascii="Garamond" w:hAnsi="Garamond"/>
          <w:sz w:val="24"/>
        </w:rPr>
        <w:t>ssent were</w:t>
      </w:r>
      <w:r w:rsidR="00B27161">
        <w:rPr>
          <w:rFonts w:ascii="Garamond" w:hAnsi="Garamond"/>
          <w:sz w:val="24"/>
        </w:rPr>
        <w:t xml:space="preserve"> </w:t>
      </w:r>
      <w:r w:rsidR="00A054CE">
        <w:rPr>
          <w:rFonts w:ascii="Garamond" w:hAnsi="Garamond"/>
          <w:sz w:val="24"/>
        </w:rPr>
        <w:t>now</w:t>
      </w:r>
      <w:r w:rsidR="00B27161">
        <w:rPr>
          <w:rFonts w:ascii="Garamond" w:hAnsi="Garamond"/>
          <w:sz w:val="24"/>
        </w:rPr>
        <w:t xml:space="preserve"> permanent feature</w:t>
      </w:r>
      <w:r w:rsidR="00A054CE">
        <w:rPr>
          <w:rFonts w:ascii="Garamond" w:hAnsi="Garamond"/>
          <w:sz w:val="24"/>
        </w:rPr>
        <w:t>s</w:t>
      </w:r>
      <w:r w:rsidR="00B27161">
        <w:rPr>
          <w:rFonts w:ascii="Garamond" w:hAnsi="Garamond"/>
          <w:sz w:val="24"/>
        </w:rPr>
        <w:t xml:space="preserve"> on the political landscape, and had to be accommodated rather than eradicated. When placed in this context</w:t>
      </w:r>
      <w:r w:rsidR="00AC30F1">
        <w:rPr>
          <w:rFonts w:ascii="Garamond" w:hAnsi="Garamond"/>
          <w:sz w:val="24"/>
        </w:rPr>
        <w:t>,</w:t>
      </w:r>
      <w:r w:rsidR="00B27161">
        <w:rPr>
          <w:rFonts w:ascii="Garamond" w:hAnsi="Garamond"/>
          <w:sz w:val="24"/>
        </w:rPr>
        <w:t xml:space="preserve"> Locke’s lifelong objective to probe, and more accurately to define</w:t>
      </w:r>
      <w:r w:rsidR="00E6140A">
        <w:rPr>
          <w:rFonts w:ascii="Garamond" w:hAnsi="Garamond"/>
          <w:sz w:val="24"/>
        </w:rPr>
        <w:t>,</w:t>
      </w:r>
      <w:r w:rsidR="00B27161">
        <w:rPr>
          <w:rFonts w:ascii="Garamond" w:hAnsi="Garamond"/>
          <w:sz w:val="24"/>
        </w:rPr>
        <w:t xml:space="preserve"> the relationship between reason (philosophy) and </w:t>
      </w:r>
      <w:r w:rsidR="00E6140A">
        <w:rPr>
          <w:rFonts w:ascii="Garamond" w:hAnsi="Garamond"/>
          <w:sz w:val="24"/>
        </w:rPr>
        <w:t xml:space="preserve">the Christian </w:t>
      </w:r>
      <w:r w:rsidR="00B27161">
        <w:rPr>
          <w:rFonts w:ascii="Garamond" w:hAnsi="Garamond"/>
          <w:sz w:val="24"/>
        </w:rPr>
        <w:t xml:space="preserve">revelation </w:t>
      </w:r>
      <w:r w:rsidR="009E5288">
        <w:rPr>
          <w:rFonts w:ascii="Garamond" w:hAnsi="Garamond"/>
          <w:sz w:val="24"/>
        </w:rPr>
        <w:t xml:space="preserve">(Scripture) </w:t>
      </w:r>
      <w:r w:rsidR="00B27161">
        <w:rPr>
          <w:rFonts w:ascii="Garamond" w:hAnsi="Garamond"/>
          <w:sz w:val="24"/>
        </w:rPr>
        <w:t xml:space="preserve">as the two sources of </w:t>
      </w:r>
      <w:r w:rsidR="00B0187C">
        <w:rPr>
          <w:rFonts w:ascii="Garamond" w:hAnsi="Garamond"/>
          <w:sz w:val="24"/>
        </w:rPr>
        <w:t>mankind</w:t>
      </w:r>
      <w:r w:rsidR="00B27161">
        <w:rPr>
          <w:rFonts w:ascii="Garamond" w:hAnsi="Garamond"/>
          <w:sz w:val="24"/>
        </w:rPr>
        <w:t xml:space="preserve">’s knowledge is distinctly unsurprising. </w:t>
      </w:r>
      <w:r w:rsidR="00E261A6">
        <w:rPr>
          <w:rFonts w:ascii="Garamond" w:hAnsi="Garamond"/>
          <w:sz w:val="24"/>
        </w:rPr>
        <w:t xml:space="preserve">In one of his earliest surviving journal entries, dating from 1661-2, Locke touched upon </w:t>
      </w:r>
      <w:r w:rsidR="00AC30F1">
        <w:rPr>
          <w:rFonts w:ascii="Garamond" w:hAnsi="Garamond"/>
          <w:sz w:val="24"/>
        </w:rPr>
        <w:t xml:space="preserve">precisely </w:t>
      </w:r>
      <w:r w:rsidR="00E261A6">
        <w:rPr>
          <w:rFonts w:ascii="Garamond" w:hAnsi="Garamond"/>
          <w:sz w:val="24"/>
        </w:rPr>
        <w:t>this point. ‘T</w:t>
      </w:r>
      <w:r w:rsidR="00E261A6" w:rsidRPr="00BE5609">
        <w:rPr>
          <w:rFonts w:ascii="Garamond" w:hAnsi="Garamond"/>
          <w:sz w:val="24"/>
        </w:rPr>
        <w:t>he greatest caution</w:t>
      </w:r>
      <w:r w:rsidR="00E261A6">
        <w:rPr>
          <w:rFonts w:ascii="Garamond" w:hAnsi="Garamond"/>
          <w:sz w:val="24"/>
        </w:rPr>
        <w:t>’</w:t>
      </w:r>
      <w:r w:rsidR="00B0187C">
        <w:rPr>
          <w:rFonts w:ascii="Garamond" w:hAnsi="Garamond"/>
          <w:sz w:val="24"/>
        </w:rPr>
        <w:t>,</w:t>
      </w:r>
      <w:r w:rsidR="00E261A6">
        <w:rPr>
          <w:rFonts w:ascii="Garamond" w:hAnsi="Garamond"/>
          <w:sz w:val="24"/>
        </w:rPr>
        <w:t xml:space="preserve"> Locke declared,</w:t>
      </w:r>
      <w:r w:rsidR="00E261A6" w:rsidRPr="00BE5609">
        <w:rPr>
          <w:rFonts w:ascii="Garamond" w:hAnsi="Garamond"/>
          <w:sz w:val="24"/>
        </w:rPr>
        <w:t xml:space="preserve"> </w:t>
      </w:r>
      <w:r w:rsidR="00E261A6">
        <w:rPr>
          <w:rFonts w:ascii="Garamond" w:hAnsi="Garamond"/>
          <w:sz w:val="24"/>
        </w:rPr>
        <w:t>‘</w:t>
      </w:r>
      <w:r w:rsidR="00E261A6" w:rsidRPr="00BE5609">
        <w:rPr>
          <w:rFonts w:ascii="Garamond" w:hAnsi="Garamond"/>
          <w:sz w:val="24"/>
        </w:rPr>
        <w:t>should be taken lest, having trusted too much in our reason, we neglect faith, and, by not having given due regard to the mysteries of the gospel, we embrace philosophy instead of religion’</w:t>
      </w:r>
      <w:r w:rsidR="00E261A6">
        <w:rPr>
          <w:rFonts w:ascii="Garamond" w:hAnsi="Garamond"/>
          <w:sz w:val="24"/>
        </w:rPr>
        <w:t>.</w:t>
      </w:r>
      <w:r w:rsidR="00E261A6">
        <w:rPr>
          <w:rStyle w:val="FootnoteReference"/>
          <w:rFonts w:ascii="Garamond" w:hAnsi="Garamond"/>
          <w:sz w:val="24"/>
        </w:rPr>
        <w:footnoteReference w:id="2"/>
      </w:r>
      <w:r w:rsidR="00E261A6">
        <w:rPr>
          <w:rFonts w:ascii="Garamond" w:hAnsi="Garamond"/>
          <w:sz w:val="24"/>
        </w:rPr>
        <w:t xml:space="preserve"> </w:t>
      </w:r>
      <w:r w:rsidR="00E6140A">
        <w:rPr>
          <w:rFonts w:ascii="Garamond" w:hAnsi="Garamond"/>
          <w:sz w:val="24"/>
        </w:rPr>
        <w:t>Where did knowledge end and faith begin? How might the responsible individual, concerned to live well in this life and to secure salvation in a world to come, enjoy a tolerable degree of confidence that she had properly identified the boundary between them</w:t>
      </w:r>
      <w:r w:rsidR="00A054CE">
        <w:rPr>
          <w:rFonts w:ascii="Garamond" w:hAnsi="Garamond"/>
          <w:sz w:val="24"/>
        </w:rPr>
        <w:t>, and thereby lived as Christ demanded</w:t>
      </w:r>
      <w:r w:rsidR="00E6140A">
        <w:rPr>
          <w:rFonts w:ascii="Garamond" w:hAnsi="Garamond"/>
          <w:sz w:val="24"/>
        </w:rPr>
        <w:t>?</w:t>
      </w:r>
    </w:p>
    <w:p w:rsidR="00F6258E" w:rsidRPr="00F6258E" w:rsidRDefault="00AC30F1" w:rsidP="00F6258E">
      <w:pPr>
        <w:spacing w:line="360" w:lineRule="auto"/>
        <w:ind w:left="-284" w:right="-330"/>
        <w:jc w:val="both"/>
        <w:rPr>
          <w:rFonts w:ascii="Garamond" w:hAnsi="Garamond"/>
          <w:sz w:val="24"/>
        </w:rPr>
      </w:pPr>
      <w:r>
        <w:rPr>
          <w:rFonts w:ascii="Garamond" w:hAnsi="Garamond"/>
          <w:sz w:val="24"/>
        </w:rPr>
        <w:t>F</w:t>
      </w:r>
      <w:r w:rsidR="000B5495">
        <w:rPr>
          <w:rFonts w:ascii="Garamond" w:hAnsi="Garamond"/>
          <w:sz w:val="24"/>
        </w:rPr>
        <w:t>or Locke</w:t>
      </w:r>
      <w:r>
        <w:rPr>
          <w:rFonts w:ascii="Garamond" w:hAnsi="Garamond"/>
          <w:sz w:val="24"/>
        </w:rPr>
        <w:t>,</w:t>
      </w:r>
      <w:r w:rsidR="000B5495">
        <w:rPr>
          <w:rFonts w:ascii="Garamond" w:hAnsi="Garamond"/>
          <w:sz w:val="24"/>
        </w:rPr>
        <w:t xml:space="preserve"> the need to establish this </w:t>
      </w:r>
      <w:r w:rsidR="00934D07">
        <w:rPr>
          <w:rFonts w:ascii="Garamond" w:hAnsi="Garamond"/>
          <w:sz w:val="24"/>
        </w:rPr>
        <w:t>distinction</w:t>
      </w:r>
      <w:r w:rsidR="000B5495">
        <w:rPr>
          <w:rFonts w:ascii="Garamond" w:hAnsi="Garamond"/>
          <w:sz w:val="24"/>
        </w:rPr>
        <w:t xml:space="preserve"> was particularly pressing in the field of ethics</w:t>
      </w:r>
      <w:r w:rsidR="00F6258E">
        <w:rPr>
          <w:rFonts w:ascii="Garamond" w:hAnsi="Garamond"/>
          <w:sz w:val="24"/>
        </w:rPr>
        <w:t>: to what extent might scriptural warrant supersede, as sectarians had ar</w:t>
      </w:r>
      <w:r w:rsidR="00A54F7A">
        <w:rPr>
          <w:rFonts w:ascii="Garamond" w:hAnsi="Garamond"/>
          <w:sz w:val="24"/>
        </w:rPr>
        <w:t>gued to such devastating effect</w:t>
      </w:r>
      <w:r w:rsidR="00F6258E">
        <w:rPr>
          <w:rFonts w:ascii="Garamond" w:hAnsi="Garamond"/>
          <w:sz w:val="24"/>
        </w:rPr>
        <w:t xml:space="preserve">, the insights of </w:t>
      </w:r>
      <w:r w:rsidR="00915A3B">
        <w:rPr>
          <w:rFonts w:ascii="Garamond" w:hAnsi="Garamond"/>
          <w:sz w:val="24"/>
        </w:rPr>
        <w:t xml:space="preserve">custom or </w:t>
      </w:r>
      <w:r w:rsidR="00F6258E">
        <w:rPr>
          <w:rFonts w:ascii="Garamond" w:hAnsi="Garamond"/>
          <w:sz w:val="24"/>
        </w:rPr>
        <w:t>reason when it came to how individuals ought to live, and societies ought to be regulated?</w:t>
      </w:r>
      <w:r w:rsidR="000B5495">
        <w:rPr>
          <w:rFonts w:ascii="Garamond" w:hAnsi="Garamond"/>
          <w:sz w:val="24"/>
        </w:rPr>
        <w:t xml:space="preserve"> As his friend James </w:t>
      </w:r>
      <w:proofErr w:type="spellStart"/>
      <w:r w:rsidR="000B5495">
        <w:rPr>
          <w:rFonts w:ascii="Garamond" w:hAnsi="Garamond"/>
          <w:sz w:val="24"/>
        </w:rPr>
        <w:t>Tyrrell</w:t>
      </w:r>
      <w:proofErr w:type="spellEnd"/>
      <w:r w:rsidR="000B5495">
        <w:rPr>
          <w:rFonts w:ascii="Garamond" w:hAnsi="Garamond"/>
          <w:sz w:val="24"/>
        </w:rPr>
        <w:t xml:space="preserve"> later noted, Locke’s </w:t>
      </w:r>
      <w:r w:rsidR="000B5495">
        <w:rPr>
          <w:rFonts w:ascii="Garamond" w:hAnsi="Garamond"/>
          <w:i/>
          <w:sz w:val="24"/>
        </w:rPr>
        <w:t>Essay concerning Human Understanding</w:t>
      </w:r>
      <w:r w:rsidR="000B5495">
        <w:rPr>
          <w:rFonts w:ascii="Garamond" w:hAnsi="Garamond"/>
          <w:sz w:val="24"/>
        </w:rPr>
        <w:t xml:space="preserve"> (1689) was initially stimulated by discussions in the early 1670s at Lord Shaftesbury’s London residence, </w:t>
      </w:r>
      <w:r w:rsidR="000B5495">
        <w:rPr>
          <w:rFonts w:ascii="Garamond" w:hAnsi="Garamond"/>
          <w:sz w:val="24"/>
        </w:rPr>
        <w:lastRenderedPageBreak/>
        <w:t xml:space="preserve">Exeter House, regarding the relationship between ‘the Principles of morality and </w:t>
      </w:r>
      <w:proofErr w:type="spellStart"/>
      <w:r w:rsidR="000B5495">
        <w:rPr>
          <w:rFonts w:ascii="Garamond" w:hAnsi="Garamond"/>
          <w:sz w:val="24"/>
        </w:rPr>
        <w:t>reveal’d</w:t>
      </w:r>
      <w:proofErr w:type="spellEnd"/>
      <w:r w:rsidR="000B5495">
        <w:rPr>
          <w:rFonts w:ascii="Garamond" w:hAnsi="Garamond"/>
          <w:sz w:val="24"/>
        </w:rPr>
        <w:t xml:space="preserve"> Religion’.</w:t>
      </w:r>
      <w:r w:rsidR="000B5495">
        <w:rPr>
          <w:rStyle w:val="FootnoteReference"/>
          <w:rFonts w:ascii="Garamond" w:hAnsi="Garamond"/>
          <w:sz w:val="24"/>
        </w:rPr>
        <w:footnoteReference w:id="3"/>
      </w:r>
      <w:r w:rsidR="000B5495">
        <w:rPr>
          <w:rFonts w:ascii="Garamond" w:hAnsi="Garamond"/>
          <w:sz w:val="24"/>
        </w:rPr>
        <w:t xml:space="preserve"> </w:t>
      </w:r>
      <w:r w:rsidR="00F6258E" w:rsidRPr="00F6258E">
        <w:rPr>
          <w:rFonts w:ascii="Garamond" w:hAnsi="Garamond"/>
          <w:sz w:val="24"/>
        </w:rPr>
        <w:t xml:space="preserve">Was the relationship between philosophy and Christian theology </w:t>
      </w:r>
      <w:r w:rsidR="00F6258E">
        <w:rPr>
          <w:rFonts w:ascii="Garamond" w:hAnsi="Garamond"/>
          <w:sz w:val="24"/>
        </w:rPr>
        <w:t>one</w:t>
      </w:r>
      <w:r w:rsidR="00F6258E" w:rsidRPr="00F6258E">
        <w:rPr>
          <w:rFonts w:ascii="Garamond" w:hAnsi="Garamond"/>
          <w:sz w:val="24"/>
        </w:rPr>
        <w:t xml:space="preserve"> of radical discontinuity and rupture</w:t>
      </w:r>
      <w:r w:rsidR="00AD6104">
        <w:rPr>
          <w:rFonts w:ascii="Garamond" w:hAnsi="Garamond"/>
          <w:sz w:val="24"/>
        </w:rPr>
        <w:t>, as an extreme Augustinian view of post-</w:t>
      </w:r>
      <w:proofErr w:type="spellStart"/>
      <w:r w:rsidR="00AD6104">
        <w:rPr>
          <w:rFonts w:ascii="Garamond" w:hAnsi="Garamond"/>
          <w:sz w:val="24"/>
        </w:rPr>
        <w:t>lapsarian</w:t>
      </w:r>
      <w:proofErr w:type="spellEnd"/>
      <w:r w:rsidR="00AD6104">
        <w:rPr>
          <w:rFonts w:ascii="Garamond" w:hAnsi="Garamond"/>
          <w:sz w:val="24"/>
        </w:rPr>
        <w:t xml:space="preserve"> depravity suggested</w:t>
      </w:r>
      <w:r w:rsidR="00F6258E" w:rsidRPr="00F6258E">
        <w:rPr>
          <w:rFonts w:ascii="Garamond" w:hAnsi="Garamond"/>
          <w:sz w:val="24"/>
        </w:rPr>
        <w:t xml:space="preserve">? Alternatively, if </w:t>
      </w:r>
      <w:r w:rsidR="00C82560">
        <w:rPr>
          <w:rFonts w:ascii="Garamond" w:hAnsi="Garamond"/>
          <w:sz w:val="24"/>
        </w:rPr>
        <w:t>reason were able to</w:t>
      </w:r>
      <w:r w:rsidR="00F6258E" w:rsidRPr="00F6258E">
        <w:rPr>
          <w:rFonts w:ascii="Garamond" w:hAnsi="Garamond"/>
          <w:sz w:val="24"/>
        </w:rPr>
        <w:t xml:space="preserve"> establish with a tolerable degree of certainty everything that mankind was required to know, this would </w:t>
      </w:r>
      <w:r w:rsidR="00A54F7A">
        <w:rPr>
          <w:rFonts w:ascii="Garamond" w:hAnsi="Garamond"/>
          <w:sz w:val="24"/>
        </w:rPr>
        <w:t>imply</w:t>
      </w:r>
      <w:r w:rsidR="00F6258E" w:rsidRPr="00F6258E">
        <w:rPr>
          <w:rFonts w:ascii="Garamond" w:hAnsi="Garamond"/>
          <w:sz w:val="24"/>
        </w:rPr>
        <w:t xml:space="preserve"> that revealed </w:t>
      </w:r>
      <w:r w:rsidR="00AD6104">
        <w:rPr>
          <w:rFonts w:ascii="Garamond" w:hAnsi="Garamond"/>
          <w:sz w:val="24"/>
        </w:rPr>
        <w:t>Christianity merely reaffirmed,</w:t>
      </w:r>
      <w:r w:rsidR="00F6258E" w:rsidRPr="00F6258E">
        <w:rPr>
          <w:rFonts w:ascii="Garamond" w:hAnsi="Garamond"/>
          <w:sz w:val="24"/>
        </w:rPr>
        <w:t xml:space="preserve"> a</w:t>
      </w:r>
      <w:r w:rsidR="00AD6104">
        <w:rPr>
          <w:rFonts w:ascii="Garamond" w:hAnsi="Garamond"/>
          <w:sz w:val="24"/>
        </w:rPr>
        <w:t>lbeit perhaps in clearer terms,</w:t>
      </w:r>
      <w:r w:rsidR="00F6258E" w:rsidRPr="00F6258E">
        <w:rPr>
          <w:rFonts w:ascii="Garamond" w:hAnsi="Garamond"/>
          <w:sz w:val="24"/>
        </w:rPr>
        <w:t xml:space="preserve"> what had already been discovered without its assistance, thereby dissolving faith into reason. This implied a radically attenuated vision of human sinfulness, or even its rejection altogether; and it marginalised the expiatory significance of Christ’s sacrifice and denied the individual’s need for the assistance of regenerating grace. Such a conclusion was increasingly endorsed </w:t>
      </w:r>
      <w:r w:rsidR="00A54F7A">
        <w:rPr>
          <w:rFonts w:ascii="Garamond" w:hAnsi="Garamond"/>
          <w:sz w:val="24"/>
        </w:rPr>
        <w:t>from the 1690s</w:t>
      </w:r>
      <w:r>
        <w:rPr>
          <w:rFonts w:ascii="Garamond" w:hAnsi="Garamond"/>
          <w:sz w:val="24"/>
        </w:rPr>
        <w:t xml:space="preserve">, </w:t>
      </w:r>
      <w:r w:rsidRPr="00F6258E">
        <w:rPr>
          <w:rFonts w:ascii="Garamond" w:hAnsi="Garamond"/>
          <w:sz w:val="24"/>
        </w:rPr>
        <w:t xml:space="preserve">most explicitly by ‘deists’ such as John </w:t>
      </w:r>
      <w:proofErr w:type="spellStart"/>
      <w:r w:rsidRPr="00F6258E">
        <w:rPr>
          <w:rFonts w:ascii="Garamond" w:hAnsi="Garamond"/>
          <w:sz w:val="24"/>
        </w:rPr>
        <w:t>Toland</w:t>
      </w:r>
      <w:proofErr w:type="spellEnd"/>
      <w:r w:rsidRPr="00F6258E">
        <w:rPr>
          <w:rFonts w:ascii="Garamond" w:hAnsi="Garamond"/>
          <w:sz w:val="24"/>
        </w:rPr>
        <w:t xml:space="preserve">, for whom Christianity was a religion of reason. </w:t>
      </w:r>
      <w:r>
        <w:rPr>
          <w:rFonts w:ascii="Garamond" w:hAnsi="Garamond"/>
          <w:sz w:val="24"/>
        </w:rPr>
        <w:t>This was the period in which</w:t>
      </w:r>
      <w:r w:rsidR="00F6258E" w:rsidRPr="00F6258E">
        <w:rPr>
          <w:rFonts w:ascii="Garamond" w:hAnsi="Garamond"/>
          <w:sz w:val="24"/>
        </w:rPr>
        <w:t xml:space="preserve"> Locke dedicated himself to Christian apolo</w:t>
      </w:r>
      <w:r>
        <w:rPr>
          <w:rFonts w:ascii="Garamond" w:hAnsi="Garamond"/>
          <w:sz w:val="24"/>
        </w:rPr>
        <w:t>getic and biblical hermeneutics.</w:t>
      </w:r>
      <w:r w:rsidR="00F6258E" w:rsidRPr="00F6258E">
        <w:rPr>
          <w:rFonts w:ascii="Garamond" w:hAnsi="Garamond"/>
          <w:sz w:val="24"/>
        </w:rPr>
        <w:t xml:space="preserve"> </w:t>
      </w:r>
    </w:p>
    <w:p w:rsidR="009E2BE1" w:rsidRDefault="00AD6104" w:rsidP="009E2BE1">
      <w:pPr>
        <w:spacing w:line="360" w:lineRule="auto"/>
        <w:ind w:left="-284" w:right="-330"/>
        <w:jc w:val="both"/>
        <w:rPr>
          <w:rFonts w:ascii="Garamond" w:hAnsi="Garamond"/>
          <w:sz w:val="24"/>
        </w:rPr>
      </w:pPr>
      <w:r>
        <w:rPr>
          <w:rFonts w:ascii="Garamond" w:hAnsi="Garamond"/>
          <w:sz w:val="24"/>
        </w:rPr>
        <w:t xml:space="preserve">The aim of this essay is to explore </w:t>
      </w:r>
      <w:r w:rsidR="00A54F7A">
        <w:rPr>
          <w:rFonts w:ascii="Garamond" w:hAnsi="Garamond"/>
          <w:sz w:val="24"/>
        </w:rPr>
        <w:t>a</w:t>
      </w:r>
      <w:r>
        <w:rPr>
          <w:rFonts w:ascii="Garamond" w:hAnsi="Garamond"/>
          <w:sz w:val="24"/>
        </w:rPr>
        <w:t xml:space="preserve"> neglected strategy employed by Locke in order </w:t>
      </w:r>
      <w:r w:rsidR="00AC30F1">
        <w:rPr>
          <w:rFonts w:ascii="Garamond" w:hAnsi="Garamond"/>
          <w:sz w:val="24"/>
        </w:rPr>
        <w:t>to show</w:t>
      </w:r>
      <w:r w:rsidR="009E2BE1" w:rsidRPr="009E2BE1">
        <w:rPr>
          <w:rFonts w:ascii="Garamond" w:hAnsi="Garamond"/>
          <w:sz w:val="24"/>
        </w:rPr>
        <w:t xml:space="preserve"> how far </w:t>
      </w:r>
      <w:r w:rsidR="009E2BE1">
        <w:rPr>
          <w:rFonts w:ascii="Garamond" w:hAnsi="Garamond"/>
          <w:sz w:val="24"/>
        </w:rPr>
        <w:t>philosophy</w:t>
      </w:r>
      <w:r w:rsidR="009E2BE1" w:rsidRPr="009E2BE1">
        <w:rPr>
          <w:rFonts w:ascii="Garamond" w:hAnsi="Garamond"/>
          <w:sz w:val="24"/>
        </w:rPr>
        <w:t xml:space="preserve"> alone, without the assistance of revelation, could establish the </w:t>
      </w:r>
      <w:r w:rsidR="009E2BE1">
        <w:rPr>
          <w:rFonts w:ascii="Garamond" w:hAnsi="Garamond"/>
          <w:sz w:val="24"/>
        </w:rPr>
        <w:t>obligatory character and content of the moral (natural) law</w:t>
      </w:r>
      <w:r w:rsidR="00AC30F1">
        <w:rPr>
          <w:rFonts w:ascii="Garamond" w:hAnsi="Garamond"/>
          <w:sz w:val="24"/>
        </w:rPr>
        <w:t>.</w:t>
      </w:r>
      <w:r w:rsidR="009E2BE1" w:rsidRPr="009E2BE1">
        <w:rPr>
          <w:rFonts w:ascii="Garamond" w:hAnsi="Garamond"/>
          <w:sz w:val="24"/>
        </w:rPr>
        <w:t xml:space="preserve"> Locke endeavoured to show how far it had, in fact, done so prior to Christ’s ministry. This focused attention on the literary bequest of the classical, and especially the late Hellenistic world. To what extent, Locke asked, had the ancient Greek and Roman philosophers succeeded in identifying those truths according to which the individual ought to govern her conduct? </w:t>
      </w:r>
    </w:p>
    <w:p w:rsidR="009E2BE1" w:rsidRDefault="00AC30F1" w:rsidP="009E2BE1">
      <w:pPr>
        <w:spacing w:line="360" w:lineRule="auto"/>
        <w:ind w:left="-284" w:right="-330"/>
        <w:jc w:val="both"/>
        <w:rPr>
          <w:rFonts w:ascii="Garamond" w:hAnsi="Garamond"/>
          <w:sz w:val="24"/>
        </w:rPr>
      </w:pPr>
      <w:r>
        <w:rPr>
          <w:rFonts w:ascii="Garamond" w:hAnsi="Garamond"/>
          <w:sz w:val="24"/>
        </w:rPr>
        <w:t>Thi</w:t>
      </w:r>
      <w:r w:rsidR="009E2BE1">
        <w:rPr>
          <w:rFonts w:ascii="Garamond" w:hAnsi="Garamond"/>
          <w:sz w:val="24"/>
        </w:rPr>
        <w:t>s attentiveness to the historical relationship between classical moral philosophy and revealed Christianity was not new. It had preoccupied Christian apologists from the age of Augustine and Jerome onwards, and was intimately connected to the perennial question of whether the most virtuous of the ancients might potentially have secured salvation.</w:t>
      </w:r>
      <w:r w:rsidR="009E2BE1">
        <w:rPr>
          <w:rStyle w:val="FootnoteReference"/>
          <w:rFonts w:ascii="Garamond" w:hAnsi="Garamond"/>
          <w:sz w:val="24"/>
        </w:rPr>
        <w:footnoteReference w:id="4"/>
      </w:r>
      <w:r w:rsidR="009E2BE1">
        <w:rPr>
          <w:rFonts w:ascii="Garamond" w:hAnsi="Garamond"/>
          <w:sz w:val="24"/>
        </w:rPr>
        <w:t xml:space="preserve"> As Torrance Kirby’s e</w:t>
      </w:r>
      <w:r w:rsidR="00355265">
        <w:rPr>
          <w:rFonts w:ascii="Garamond" w:hAnsi="Garamond"/>
          <w:sz w:val="24"/>
        </w:rPr>
        <w:t xml:space="preserve">ssay in this volume illustrates, in the </w:t>
      </w:r>
      <w:r w:rsidR="00355265">
        <w:rPr>
          <w:rFonts w:ascii="Garamond" w:hAnsi="Garamond"/>
          <w:i/>
          <w:sz w:val="24"/>
        </w:rPr>
        <w:t>Lawes</w:t>
      </w:r>
      <w:r w:rsidR="009E2BE1">
        <w:rPr>
          <w:rFonts w:ascii="Garamond" w:hAnsi="Garamond"/>
          <w:sz w:val="24"/>
        </w:rPr>
        <w:t xml:space="preserve"> </w:t>
      </w:r>
      <w:r w:rsidR="00355265">
        <w:rPr>
          <w:rFonts w:ascii="Garamond" w:hAnsi="Garamond"/>
          <w:sz w:val="24"/>
        </w:rPr>
        <w:t xml:space="preserve">Hooker turned to </w:t>
      </w:r>
      <w:r w:rsidR="009E2BE1">
        <w:rPr>
          <w:rFonts w:ascii="Garamond" w:hAnsi="Garamond"/>
          <w:sz w:val="24"/>
        </w:rPr>
        <w:t xml:space="preserve">the Platonic tradition in order to vindicate his philosophical methodology and biblical hermeneutics, and indeed his substantive conclusions. Locke’s interest in the ancient world was, however, impelled by newer anxieties and excitements regarding knowledge, its reach and its limits which are distinctive of the seventeenth century, and which the ‘Crossroads of Knowledge’ project seeks to recover. </w:t>
      </w:r>
      <w:r>
        <w:rPr>
          <w:rFonts w:ascii="Garamond" w:hAnsi="Garamond"/>
          <w:sz w:val="24"/>
        </w:rPr>
        <w:t>T</w:t>
      </w:r>
      <w:r w:rsidR="009E2BE1">
        <w:rPr>
          <w:rFonts w:ascii="Garamond" w:hAnsi="Garamond"/>
          <w:sz w:val="24"/>
        </w:rPr>
        <w:t xml:space="preserve">he narrative Locke offered regarding the </w:t>
      </w:r>
      <w:r>
        <w:rPr>
          <w:rFonts w:ascii="Garamond" w:hAnsi="Garamond"/>
          <w:sz w:val="24"/>
        </w:rPr>
        <w:t xml:space="preserve">dynamic between heathen moral </w:t>
      </w:r>
      <w:r w:rsidR="009E2BE1">
        <w:rPr>
          <w:rFonts w:ascii="Garamond" w:hAnsi="Garamond"/>
          <w:sz w:val="24"/>
        </w:rPr>
        <w:t xml:space="preserve">philosophy and Christian theology needs to be understood both as testifying </w:t>
      </w:r>
      <w:r w:rsidR="009E2BE1" w:rsidRPr="00AC30F1">
        <w:rPr>
          <w:rFonts w:ascii="Garamond" w:hAnsi="Garamond"/>
          <w:sz w:val="24"/>
        </w:rPr>
        <w:t>and</w:t>
      </w:r>
      <w:r w:rsidR="009E2BE1">
        <w:rPr>
          <w:rFonts w:ascii="Garamond" w:hAnsi="Garamond"/>
          <w:sz w:val="24"/>
        </w:rPr>
        <w:t xml:space="preserve"> responding to the pressures to which older theories of knowledge</w:t>
      </w:r>
      <w:r>
        <w:rPr>
          <w:rFonts w:ascii="Garamond" w:hAnsi="Garamond"/>
          <w:sz w:val="24"/>
        </w:rPr>
        <w:t>,</w:t>
      </w:r>
      <w:r w:rsidR="009E2BE1">
        <w:rPr>
          <w:rFonts w:ascii="Garamond" w:hAnsi="Garamond"/>
          <w:sz w:val="24"/>
        </w:rPr>
        <w:t xml:space="preserve"> and the apologetic strategies they encouraged</w:t>
      </w:r>
      <w:r>
        <w:rPr>
          <w:rFonts w:ascii="Garamond" w:hAnsi="Garamond"/>
          <w:sz w:val="24"/>
        </w:rPr>
        <w:t>,</w:t>
      </w:r>
      <w:r w:rsidR="009E2BE1">
        <w:rPr>
          <w:rFonts w:ascii="Garamond" w:hAnsi="Garamond"/>
          <w:sz w:val="24"/>
        </w:rPr>
        <w:t xml:space="preserve"> had been subjected in recent decades. This point is succinctly borne out if we focus on the most distinctive aspect of the </w:t>
      </w:r>
      <w:r w:rsidR="00A54F7A">
        <w:rPr>
          <w:rFonts w:ascii="Garamond" w:hAnsi="Garamond"/>
          <w:sz w:val="24"/>
        </w:rPr>
        <w:t>interpretation</w:t>
      </w:r>
      <w:r w:rsidR="009E2BE1">
        <w:rPr>
          <w:rFonts w:ascii="Garamond" w:hAnsi="Garamond"/>
          <w:sz w:val="24"/>
        </w:rPr>
        <w:t xml:space="preserve"> Locke offered. In general, Locke argued that the ancient </w:t>
      </w:r>
      <w:r w:rsidR="009E2BE1">
        <w:rPr>
          <w:rFonts w:ascii="Garamond" w:hAnsi="Garamond"/>
          <w:sz w:val="24"/>
        </w:rPr>
        <w:lastRenderedPageBreak/>
        <w:t xml:space="preserve">philosophers had fallen into all kinds of </w:t>
      </w:r>
      <w:r>
        <w:rPr>
          <w:rFonts w:ascii="Garamond" w:hAnsi="Garamond"/>
          <w:sz w:val="24"/>
        </w:rPr>
        <w:t xml:space="preserve">avoidable </w:t>
      </w:r>
      <w:r w:rsidR="009E2BE1">
        <w:rPr>
          <w:rFonts w:ascii="Garamond" w:hAnsi="Garamond"/>
          <w:sz w:val="24"/>
        </w:rPr>
        <w:t xml:space="preserve">errors, largely on account of their methodological shortcomings. To the extent that there was a radical discontinuity between philosophy – in its ancient form, at least – and Christian theology, this was primarily due to the particular, personal and methodological failings of the ancients. There was, however, one striking exception to this rule, </w:t>
      </w:r>
      <w:r w:rsidR="005F3361">
        <w:rPr>
          <w:rFonts w:ascii="Garamond" w:hAnsi="Garamond"/>
          <w:sz w:val="24"/>
        </w:rPr>
        <w:t>which requires</w:t>
      </w:r>
      <w:r w:rsidR="009E2BE1">
        <w:rPr>
          <w:rFonts w:ascii="Garamond" w:hAnsi="Garamond"/>
          <w:sz w:val="24"/>
        </w:rPr>
        <w:t xml:space="preserve"> some explanation. This was Ma</w:t>
      </w:r>
      <w:r w:rsidR="005F3361">
        <w:rPr>
          <w:rFonts w:ascii="Garamond" w:hAnsi="Garamond"/>
          <w:sz w:val="24"/>
        </w:rPr>
        <w:t xml:space="preserve">rcus </w:t>
      </w:r>
      <w:proofErr w:type="spellStart"/>
      <w:r w:rsidR="005F3361">
        <w:rPr>
          <w:rFonts w:ascii="Garamond" w:hAnsi="Garamond"/>
          <w:sz w:val="24"/>
        </w:rPr>
        <w:t>Tullius</w:t>
      </w:r>
      <w:proofErr w:type="spellEnd"/>
      <w:r w:rsidR="005F3361">
        <w:rPr>
          <w:rFonts w:ascii="Garamond" w:hAnsi="Garamond"/>
          <w:sz w:val="24"/>
        </w:rPr>
        <w:t xml:space="preserve"> Cicero (106-43 BC).</w:t>
      </w:r>
      <w:r w:rsidR="009E2BE1">
        <w:rPr>
          <w:rFonts w:ascii="Garamond" w:hAnsi="Garamond"/>
          <w:sz w:val="24"/>
        </w:rPr>
        <w:t xml:space="preserve"> </w:t>
      </w:r>
      <w:r w:rsidR="005F3361">
        <w:rPr>
          <w:rFonts w:ascii="Garamond" w:hAnsi="Garamond"/>
          <w:sz w:val="24"/>
        </w:rPr>
        <w:t>Here Locke parted company from earlier Christian humanists such as Erasmus, whose marked admiration for Cicero’s ethics was not accompanied by a thoroughgoing rejection of the merit of every other heathen moral philosopher.</w:t>
      </w:r>
      <w:r w:rsidR="005F3361">
        <w:rPr>
          <w:rStyle w:val="FootnoteReference"/>
          <w:rFonts w:ascii="Garamond" w:hAnsi="Garamond"/>
          <w:sz w:val="24"/>
        </w:rPr>
        <w:footnoteReference w:id="5"/>
      </w:r>
      <w:r w:rsidR="009E2BE1">
        <w:rPr>
          <w:rFonts w:ascii="Garamond" w:hAnsi="Garamond"/>
          <w:sz w:val="24"/>
        </w:rPr>
        <w:t xml:space="preserve"> Locke presented </w:t>
      </w:r>
      <w:r w:rsidR="005F3361">
        <w:rPr>
          <w:rFonts w:ascii="Garamond" w:hAnsi="Garamond"/>
          <w:sz w:val="24"/>
        </w:rPr>
        <w:t xml:space="preserve">Cicero </w:t>
      </w:r>
      <w:r w:rsidR="009E2BE1">
        <w:rPr>
          <w:rFonts w:ascii="Garamond" w:hAnsi="Garamond"/>
          <w:sz w:val="24"/>
        </w:rPr>
        <w:t xml:space="preserve">as a pioneer of the empirical method advocated by the experimental natural philosophers of the Royal Society: a methodology which Locke adopted and sought to vindicate from its critics in his </w:t>
      </w:r>
      <w:r w:rsidR="009E2BE1">
        <w:rPr>
          <w:rFonts w:ascii="Garamond" w:hAnsi="Garamond"/>
          <w:i/>
          <w:sz w:val="24"/>
        </w:rPr>
        <w:t>Essay</w:t>
      </w:r>
      <w:r w:rsidR="009E2BE1">
        <w:rPr>
          <w:rFonts w:ascii="Garamond" w:hAnsi="Garamond"/>
          <w:sz w:val="24"/>
        </w:rPr>
        <w:t xml:space="preserve">. </w:t>
      </w:r>
    </w:p>
    <w:p w:rsidR="00F502D4" w:rsidRDefault="00052197" w:rsidP="00070817">
      <w:pPr>
        <w:spacing w:line="360" w:lineRule="auto"/>
        <w:ind w:left="-284" w:right="-330"/>
        <w:jc w:val="both"/>
        <w:rPr>
          <w:rFonts w:ascii="Garamond" w:hAnsi="Garamond"/>
          <w:sz w:val="24"/>
        </w:rPr>
      </w:pPr>
      <w:r>
        <w:rPr>
          <w:rFonts w:ascii="Garamond" w:hAnsi="Garamond"/>
          <w:sz w:val="24"/>
        </w:rPr>
        <w:t>Locke argued that Cicero’s philosophy was unique in identifying both the reac</w:t>
      </w:r>
      <w:r w:rsidR="00F502D4">
        <w:rPr>
          <w:rFonts w:ascii="Garamond" w:hAnsi="Garamond"/>
          <w:sz w:val="24"/>
        </w:rPr>
        <w:t xml:space="preserve">h and limits of reason. One of Locke’s fundamental objectives in his </w:t>
      </w:r>
      <w:r w:rsidR="00F502D4">
        <w:rPr>
          <w:rFonts w:ascii="Garamond" w:hAnsi="Garamond"/>
          <w:i/>
          <w:sz w:val="24"/>
        </w:rPr>
        <w:t>Essay</w:t>
      </w:r>
      <w:r w:rsidR="00F502D4">
        <w:rPr>
          <w:rFonts w:ascii="Garamond" w:hAnsi="Garamond"/>
          <w:sz w:val="24"/>
        </w:rPr>
        <w:t xml:space="preserve"> was to re-establish these limits: it was intended </w:t>
      </w:r>
      <w:r w:rsidR="00F502D4" w:rsidRPr="00F502D4">
        <w:rPr>
          <w:rFonts w:ascii="Garamond" w:hAnsi="Garamond"/>
          <w:sz w:val="24"/>
        </w:rPr>
        <w:t xml:space="preserve">‘to give some account of the </w:t>
      </w:r>
      <w:proofErr w:type="spellStart"/>
      <w:r w:rsidR="00F502D4" w:rsidRPr="00F502D4">
        <w:rPr>
          <w:rFonts w:ascii="Garamond" w:hAnsi="Garamond"/>
          <w:i/>
          <w:sz w:val="24"/>
        </w:rPr>
        <w:t>weaknesse</w:t>
      </w:r>
      <w:proofErr w:type="spellEnd"/>
      <w:r w:rsidR="00F502D4" w:rsidRPr="00F502D4">
        <w:rPr>
          <w:rFonts w:ascii="Garamond" w:hAnsi="Garamond"/>
          <w:sz w:val="24"/>
        </w:rPr>
        <w:t xml:space="preserve"> </w:t>
      </w:r>
      <w:r w:rsidR="00F502D4" w:rsidRPr="00F502D4">
        <w:rPr>
          <w:rFonts w:ascii="Garamond" w:hAnsi="Garamond"/>
          <w:i/>
          <w:sz w:val="24"/>
        </w:rPr>
        <w:t xml:space="preserve">and </w:t>
      </w:r>
      <w:proofErr w:type="spellStart"/>
      <w:r w:rsidR="00F502D4" w:rsidRPr="00F502D4">
        <w:rPr>
          <w:rFonts w:ascii="Garamond" w:hAnsi="Garamond"/>
          <w:i/>
          <w:sz w:val="24"/>
        </w:rPr>
        <w:t>shortnesse</w:t>
      </w:r>
      <w:proofErr w:type="spellEnd"/>
      <w:r w:rsidR="00F502D4" w:rsidRPr="00F502D4">
        <w:rPr>
          <w:rFonts w:ascii="Garamond" w:hAnsi="Garamond"/>
          <w:sz w:val="24"/>
        </w:rPr>
        <w:t xml:space="preserve"> of humane understanding’</w:t>
      </w:r>
      <w:r w:rsidR="00F502D4">
        <w:rPr>
          <w:rFonts w:ascii="Garamond" w:hAnsi="Garamond"/>
          <w:sz w:val="24"/>
        </w:rPr>
        <w:t>.</w:t>
      </w:r>
      <w:r w:rsidR="00F502D4">
        <w:rPr>
          <w:rStyle w:val="FootnoteReference"/>
          <w:rFonts w:ascii="Garamond" w:hAnsi="Garamond"/>
          <w:sz w:val="24"/>
        </w:rPr>
        <w:footnoteReference w:id="6"/>
      </w:r>
      <w:r w:rsidR="0058392A">
        <w:rPr>
          <w:rFonts w:ascii="Garamond" w:hAnsi="Garamond"/>
          <w:sz w:val="24"/>
        </w:rPr>
        <w:t xml:space="preserve"> </w:t>
      </w:r>
      <w:r w:rsidR="00F502D4">
        <w:rPr>
          <w:rFonts w:ascii="Garamond" w:hAnsi="Garamond"/>
          <w:sz w:val="24"/>
        </w:rPr>
        <w:t>This, in turn, had implications for Christian apologetic. Only by</w:t>
      </w:r>
      <w:r w:rsidR="0058392A">
        <w:rPr>
          <w:rFonts w:ascii="Garamond" w:hAnsi="Garamond"/>
          <w:sz w:val="24"/>
        </w:rPr>
        <w:t xml:space="preserve"> </w:t>
      </w:r>
      <w:r w:rsidR="00F502D4">
        <w:rPr>
          <w:rFonts w:ascii="Garamond" w:hAnsi="Garamond"/>
          <w:sz w:val="24"/>
        </w:rPr>
        <w:t>re-establishing those limits might</w:t>
      </w:r>
      <w:r>
        <w:rPr>
          <w:rFonts w:ascii="Garamond" w:hAnsi="Garamond"/>
          <w:sz w:val="24"/>
        </w:rPr>
        <w:t xml:space="preserve"> </w:t>
      </w:r>
      <w:r w:rsidR="005F3361">
        <w:rPr>
          <w:rFonts w:ascii="Garamond" w:hAnsi="Garamond"/>
          <w:sz w:val="24"/>
        </w:rPr>
        <w:t>it beco</w:t>
      </w:r>
      <w:r w:rsidR="00F502D4">
        <w:rPr>
          <w:rFonts w:ascii="Garamond" w:hAnsi="Garamond"/>
          <w:sz w:val="24"/>
        </w:rPr>
        <w:t>me clear</w:t>
      </w:r>
      <w:r w:rsidR="0058392A">
        <w:rPr>
          <w:rFonts w:ascii="Garamond" w:hAnsi="Garamond"/>
          <w:sz w:val="24"/>
        </w:rPr>
        <w:t xml:space="preserve"> precisely where, and how,</w:t>
      </w:r>
      <w:r>
        <w:rPr>
          <w:rFonts w:ascii="Garamond" w:hAnsi="Garamond"/>
          <w:sz w:val="24"/>
        </w:rPr>
        <w:t xml:space="preserve"> Christ’s revelation </w:t>
      </w:r>
      <w:r w:rsidR="0058392A">
        <w:rPr>
          <w:rFonts w:ascii="Garamond" w:hAnsi="Garamond"/>
          <w:sz w:val="24"/>
        </w:rPr>
        <w:t xml:space="preserve">had </w:t>
      </w:r>
      <w:r w:rsidR="00F502D4">
        <w:rPr>
          <w:rFonts w:ascii="Garamond" w:hAnsi="Garamond"/>
          <w:sz w:val="24"/>
        </w:rPr>
        <w:t>decisively enlarged upon what mankind was able to acquire by means of philosophy</w:t>
      </w:r>
      <w:r>
        <w:rPr>
          <w:rFonts w:ascii="Garamond" w:hAnsi="Garamond"/>
          <w:sz w:val="24"/>
        </w:rPr>
        <w:t xml:space="preserve">. </w:t>
      </w:r>
      <w:r w:rsidR="00F502D4">
        <w:rPr>
          <w:rFonts w:ascii="Garamond" w:hAnsi="Garamond"/>
          <w:sz w:val="24"/>
        </w:rPr>
        <w:t xml:space="preserve">It followed that, as these truths had been delivered by revelation rather than discovered by reason, so they ought to be defended upon this basis: they were more properly the objects of ‘faith’ rather than ‘knowledge’. </w:t>
      </w:r>
      <w:r w:rsidR="00BD6841">
        <w:rPr>
          <w:rFonts w:ascii="Garamond" w:hAnsi="Garamond"/>
          <w:sz w:val="24"/>
        </w:rPr>
        <w:t>In this regard, the relationship between Ciceronian moral philosophy and Christ’s teachings</w:t>
      </w:r>
      <w:r w:rsidR="001B1966">
        <w:rPr>
          <w:rFonts w:ascii="Garamond" w:hAnsi="Garamond"/>
          <w:sz w:val="24"/>
        </w:rPr>
        <w:t>, and so between reason (properly cultivated) and revelation (properly understood)</w:t>
      </w:r>
      <w:r w:rsidR="00BD6841">
        <w:rPr>
          <w:rFonts w:ascii="Garamond" w:hAnsi="Garamond"/>
          <w:sz w:val="24"/>
        </w:rPr>
        <w:t xml:space="preserve"> was one of harmonious continuity, even as the latter enlarged </w:t>
      </w:r>
      <w:r w:rsidR="009E2BE1">
        <w:rPr>
          <w:rFonts w:ascii="Garamond" w:hAnsi="Garamond"/>
          <w:sz w:val="24"/>
        </w:rPr>
        <w:t xml:space="preserve">decisively </w:t>
      </w:r>
      <w:r w:rsidR="00BD6841">
        <w:rPr>
          <w:rFonts w:ascii="Garamond" w:hAnsi="Garamond"/>
          <w:sz w:val="24"/>
        </w:rPr>
        <w:t xml:space="preserve">upon the former. </w:t>
      </w:r>
      <w:r w:rsidR="00F502D4">
        <w:rPr>
          <w:rFonts w:ascii="Garamond" w:hAnsi="Garamond"/>
          <w:sz w:val="24"/>
        </w:rPr>
        <w:t xml:space="preserve">Locke turned to Cicero to </w:t>
      </w:r>
      <w:r w:rsidR="009E2BE1">
        <w:rPr>
          <w:rFonts w:ascii="Garamond" w:hAnsi="Garamond"/>
          <w:sz w:val="24"/>
        </w:rPr>
        <w:t>identify</w:t>
      </w:r>
      <w:r w:rsidR="00F502D4">
        <w:rPr>
          <w:rFonts w:ascii="Garamond" w:hAnsi="Garamond"/>
          <w:sz w:val="24"/>
        </w:rPr>
        <w:t xml:space="preserve"> one, particularly important doctrine which fell into this category: the existence of a future state of rewards and punishments, which occupied a crucial position within Locke’s moral theory. </w:t>
      </w:r>
      <w:r w:rsidR="00BD6841">
        <w:rPr>
          <w:rFonts w:ascii="Garamond" w:hAnsi="Garamond"/>
          <w:sz w:val="24"/>
        </w:rPr>
        <w:t xml:space="preserve">Here, as elsewhere, Locke’s </w:t>
      </w:r>
      <w:r w:rsidR="00BD6841" w:rsidRPr="00BD6841">
        <w:rPr>
          <w:rFonts w:ascii="Garamond" w:hAnsi="Garamond"/>
          <w:sz w:val="24"/>
        </w:rPr>
        <w:t>aim was to show how ‘many are beholden to Revelation, who do not acknowledge it</w:t>
      </w:r>
      <w:r w:rsidR="00BD6841">
        <w:rPr>
          <w:rFonts w:ascii="Garamond" w:hAnsi="Garamond"/>
          <w:sz w:val="24"/>
        </w:rPr>
        <w:t>’.</w:t>
      </w:r>
      <w:r w:rsidR="005F3361" w:rsidRPr="00BD6841">
        <w:rPr>
          <w:rFonts w:ascii="Garamond" w:hAnsi="Garamond"/>
          <w:sz w:val="24"/>
          <w:vertAlign w:val="superscript"/>
        </w:rPr>
        <w:footnoteReference w:id="7"/>
      </w:r>
      <w:r w:rsidR="00BD6841">
        <w:rPr>
          <w:rFonts w:ascii="Garamond" w:hAnsi="Garamond"/>
          <w:sz w:val="24"/>
        </w:rPr>
        <w:t xml:space="preserve"> Christ, i</w:t>
      </w:r>
      <w:r w:rsidR="00BD6841" w:rsidRPr="00BD6841">
        <w:rPr>
          <w:rFonts w:ascii="Garamond" w:hAnsi="Garamond"/>
          <w:sz w:val="24"/>
        </w:rPr>
        <w:t xml:space="preserve">n a number of </w:t>
      </w:r>
      <w:r w:rsidR="00BD6841">
        <w:rPr>
          <w:rFonts w:ascii="Garamond" w:hAnsi="Garamond"/>
          <w:sz w:val="24"/>
        </w:rPr>
        <w:t>places</w:t>
      </w:r>
      <w:r w:rsidR="00BD6841" w:rsidRPr="00BD6841">
        <w:rPr>
          <w:rFonts w:ascii="Garamond" w:hAnsi="Garamond"/>
          <w:sz w:val="24"/>
        </w:rPr>
        <w:t>, had revealed what reason alone could not discover; and the cause of Christianity was not helped by dogmatic and intolerant scholastic metaphysicians who</w:t>
      </w:r>
      <w:r w:rsidR="00C8340E">
        <w:rPr>
          <w:rFonts w:ascii="Garamond" w:hAnsi="Garamond"/>
          <w:sz w:val="24"/>
        </w:rPr>
        <w:t>, like those ancients who believed their reason to be all-sufficient, failed to grasp mankind’s</w:t>
      </w:r>
      <w:r w:rsidR="00BD6841" w:rsidRPr="00BD6841">
        <w:rPr>
          <w:rFonts w:ascii="Garamond" w:hAnsi="Garamond"/>
          <w:sz w:val="24"/>
        </w:rPr>
        <w:t xml:space="preserve"> </w:t>
      </w:r>
      <w:r w:rsidR="00C8340E">
        <w:rPr>
          <w:rFonts w:ascii="Garamond" w:hAnsi="Garamond"/>
          <w:sz w:val="24"/>
        </w:rPr>
        <w:t>need for the assistance of revelation</w:t>
      </w:r>
      <w:r w:rsidR="00BD6841" w:rsidRPr="00BD6841">
        <w:rPr>
          <w:rFonts w:ascii="Garamond" w:hAnsi="Garamond"/>
          <w:sz w:val="24"/>
        </w:rPr>
        <w:t>.</w:t>
      </w:r>
      <w:r w:rsidR="00031017">
        <w:rPr>
          <w:rFonts w:ascii="Garamond" w:hAnsi="Garamond"/>
          <w:sz w:val="24"/>
        </w:rPr>
        <w:t xml:space="preserve"> In contrast to those who turned the world upside down in the name of revelation and inspiration, however, Locke was also concerned to show that the Christian revelation was only credible insofar as its teachings could be shown to build upon the insights of reason</w:t>
      </w:r>
      <w:r w:rsidR="00533BD9">
        <w:rPr>
          <w:rFonts w:ascii="Garamond" w:hAnsi="Garamond"/>
          <w:sz w:val="24"/>
        </w:rPr>
        <w:t>: insights the nature and limits of which had been most productively identified by Cicero</w:t>
      </w:r>
      <w:r w:rsidR="00031017">
        <w:rPr>
          <w:rFonts w:ascii="Garamond" w:hAnsi="Garamond"/>
          <w:sz w:val="24"/>
        </w:rPr>
        <w:t xml:space="preserve">. </w:t>
      </w:r>
    </w:p>
    <w:p w:rsidR="00B27161" w:rsidRPr="001D6FAC" w:rsidRDefault="001D6FAC" w:rsidP="004A1465">
      <w:pPr>
        <w:pStyle w:val="ListParagraph"/>
        <w:numPr>
          <w:ilvl w:val="0"/>
          <w:numId w:val="4"/>
        </w:numPr>
        <w:spacing w:after="240" w:line="360" w:lineRule="auto"/>
        <w:ind w:right="-329" w:hanging="436"/>
        <w:contextualSpacing w:val="0"/>
        <w:jc w:val="center"/>
        <w:rPr>
          <w:rFonts w:ascii="Garamond" w:hAnsi="Garamond"/>
          <w:i/>
          <w:sz w:val="24"/>
        </w:rPr>
      </w:pPr>
      <w:r w:rsidRPr="001D6FAC">
        <w:rPr>
          <w:rFonts w:ascii="Garamond" w:hAnsi="Garamond"/>
          <w:i/>
          <w:sz w:val="24"/>
        </w:rPr>
        <w:lastRenderedPageBreak/>
        <w:t xml:space="preserve">Ancient philosophy: in search of the </w:t>
      </w:r>
      <w:proofErr w:type="spellStart"/>
      <w:r w:rsidRPr="001D6FAC">
        <w:rPr>
          <w:rFonts w:ascii="Garamond" w:hAnsi="Garamond"/>
          <w:i/>
          <w:sz w:val="24"/>
        </w:rPr>
        <w:t>summum</w:t>
      </w:r>
      <w:proofErr w:type="spellEnd"/>
      <w:r w:rsidRPr="001D6FAC">
        <w:rPr>
          <w:rFonts w:ascii="Garamond" w:hAnsi="Garamond"/>
          <w:i/>
          <w:sz w:val="24"/>
        </w:rPr>
        <w:t xml:space="preserve"> </w:t>
      </w:r>
      <w:proofErr w:type="spellStart"/>
      <w:r w:rsidRPr="001D6FAC">
        <w:rPr>
          <w:rFonts w:ascii="Garamond" w:hAnsi="Garamond"/>
          <w:i/>
          <w:sz w:val="24"/>
        </w:rPr>
        <w:t>bonum</w:t>
      </w:r>
      <w:proofErr w:type="spellEnd"/>
    </w:p>
    <w:p w:rsidR="001D6FAC" w:rsidRDefault="00B520A0" w:rsidP="00F72527">
      <w:pPr>
        <w:pStyle w:val="ListParagraph"/>
        <w:spacing w:line="360" w:lineRule="auto"/>
        <w:ind w:left="-284" w:right="-329"/>
        <w:contextualSpacing w:val="0"/>
        <w:jc w:val="both"/>
        <w:rPr>
          <w:rFonts w:ascii="Garamond" w:hAnsi="Garamond"/>
          <w:sz w:val="24"/>
        </w:rPr>
      </w:pPr>
      <w:r>
        <w:rPr>
          <w:rFonts w:ascii="Garamond" w:hAnsi="Garamond"/>
          <w:sz w:val="24"/>
        </w:rPr>
        <w:t xml:space="preserve">Locke was witheringly, and insistently, critical of the ancient philosophers. In the early 1660s, Locke’s primary interests lay in </w:t>
      </w:r>
      <w:r w:rsidR="00E17306">
        <w:rPr>
          <w:rFonts w:ascii="Garamond" w:hAnsi="Garamond"/>
          <w:sz w:val="24"/>
        </w:rPr>
        <w:t>natural philosophy and medicine.</w:t>
      </w:r>
      <w:r>
        <w:rPr>
          <w:rFonts w:ascii="Garamond" w:hAnsi="Garamond"/>
          <w:sz w:val="24"/>
        </w:rPr>
        <w:t xml:space="preserve"> </w:t>
      </w:r>
      <w:r w:rsidR="00F72527">
        <w:rPr>
          <w:rFonts w:ascii="Garamond" w:hAnsi="Garamond"/>
          <w:sz w:val="24"/>
        </w:rPr>
        <w:t>A manuscript</w:t>
      </w:r>
      <w:r w:rsidR="00E17306">
        <w:rPr>
          <w:rFonts w:ascii="Garamond" w:hAnsi="Garamond"/>
          <w:sz w:val="24"/>
        </w:rPr>
        <w:t xml:space="preserve"> </w:t>
      </w:r>
      <w:r w:rsidR="00F72527">
        <w:rPr>
          <w:rFonts w:ascii="Garamond" w:hAnsi="Garamond"/>
          <w:sz w:val="24"/>
        </w:rPr>
        <w:t xml:space="preserve">of 1669, entitled ‘De Arte </w:t>
      </w:r>
      <w:proofErr w:type="spellStart"/>
      <w:r w:rsidR="00F72527">
        <w:rPr>
          <w:rFonts w:ascii="Garamond" w:hAnsi="Garamond"/>
          <w:sz w:val="24"/>
        </w:rPr>
        <w:t>Medica</w:t>
      </w:r>
      <w:proofErr w:type="spellEnd"/>
      <w:r w:rsidR="00F72527">
        <w:rPr>
          <w:rFonts w:ascii="Garamond" w:hAnsi="Garamond"/>
          <w:sz w:val="24"/>
        </w:rPr>
        <w:t>’,</w:t>
      </w:r>
      <w:r w:rsidR="00E17306">
        <w:rPr>
          <w:rFonts w:ascii="Garamond" w:hAnsi="Garamond"/>
          <w:sz w:val="24"/>
        </w:rPr>
        <w:t xml:space="preserve"> indicate</w:t>
      </w:r>
      <w:r w:rsidR="00CF7A21">
        <w:rPr>
          <w:rFonts w:ascii="Garamond" w:hAnsi="Garamond"/>
          <w:sz w:val="24"/>
        </w:rPr>
        <w:t>s</w:t>
      </w:r>
      <w:r w:rsidR="00E17306">
        <w:rPr>
          <w:rFonts w:ascii="Garamond" w:hAnsi="Garamond"/>
          <w:sz w:val="24"/>
        </w:rPr>
        <w:t xml:space="preserve"> Locke’s conviction that the ancient philosophers had contributed little of value to either field. Locke observed that ‘t</w:t>
      </w:r>
      <w:r w:rsidR="00E17306" w:rsidRPr="00E17306">
        <w:rPr>
          <w:rFonts w:ascii="Garamond" w:hAnsi="Garamond"/>
          <w:sz w:val="24"/>
        </w:rPr>
        <w:t xml:space="preserve">he beginning &amp; </w:t>
      </w:r>
      <w:proofErr w:type="spellStart"/>
      <w:r w:rsidR="00E17306" w:rsidRPr="00E17306">
        <w:rPr>
          <w:rFonts w:ascii="Garamond" w:hAnsi="Garamond"/>
          <w:sz w:val="24"/>
        </w:rPr>
        <w:t>improvemt</w:t>
      </w:r>
      <w:proofErr w:type="spellEnd"/>
      <w:r w:rsidR="00E17306" w:rsidRPr="00E17306">
        <w:rPr>
          <w:rFonts w:ascii="Garamond" w:hAnsi="Garamond"/>
          <w:sz w:val="24"/>
        </w:rPr>
        <w:t xml:space="preserve">, of useful arts, &amp; the assistances of human life have all sprung from industry &amp; </w:t>
      </w:r>
      <w:proofErr w:type="gramStart"/>
      <w:r w:rsidR="00E17306" w:rsidRPr="00E17306">
        <w:rPr>
          <w:rFonts w:ascii="Garamond" w:hAnsi="Garamond"/>
          <w:sz w:val="24"/>
        </w:rPr>
        <w:t>observation</w:t>
      </w:r>
      <w:r w:rsidR="00E17306">
        <w:rPr>
          <w:rFonts w:ascii="Garamond" w:hAnsi="Garamond"/>
          <w:sz w:val="24"/>
        </w:rPr>
        <w:t>[</w:t>
      </w:r>
      <w:proofErr w:type="gramEnd"/>
      <w:r w:rsidR="00E17306">
        <w:rPr>
          <w:rFonts w:ascii="Garamond" w:hAnsi="Garamond"/>
          <w:sz w:val="24"/>
        </w:rPr>
        <w:t>;]</w:t>
      </w:r>
      <w:r w:rsidR="00E17306" w:rsidRPr="00E17306">
        <w:rPr>
          <w:rFonts w:ascii="Garamond" w:hAnsi="Garamond"/>
          <w:sz w:val="24"/>
        </w:rPr>
        <w:t xml:space="preserve"> true </w:t>
      </w:r>
      <w:proofErr w:type="spellStart"/>
      <w:r w:rsidR="00E17306" w:rsidRPr="00E17306">
        <w:rPr>
          <w:rFonts w:ascii="Garamond" w:hAnsi="Garamond"/>
          <w:sz w:val="24"/>
        </w:rPr>
        <w:t>knowledg</w:t>
      </w:r>
      <w:proofErr w:type="spellEnd"/>
      <w:r w:rsidR="00E17306" w:rsidRPr="00E17306">
        <w:rPr>
          <w:rFonts w:ascii="Garamond" w:hAnsi="Garamond"/>
          <w:sz w:val="24"/>
        </w:rPr>
        <w:t xml:space="preserve"> grew first in the world, by experience &amp; </w:t>
      </w:r>
      <w:proofErr w:type="spellStart"/>
      <w:r w:rsidR="00E17306" w:rsidRPr="00E17306">
        <w:rPr>
          <w:rFonts w:ascii="Garamond" w:hAnsi="Garamond"/>
          <w:sz w:val="24"/>
        </w:rPr>
        <w:t>rationall</w:t>
      </w:r>
      <w:proofErr w:type="spellEnd"/>
      <w:r w:rsidR="00E17306" w:rsidRPr="00E17306">
        <w:rPr>
          <w:rFonts w:ascii="Garamond" w:hAnsi="Garamond"/>
          <w:sz w:val="24"/>
        </w:rPr>
        <w:t xml:space="preserve"> operations</w:t>
      </w:r>
      <w:r w:rsidR="00E17306">
        <w:rPr>
          <w:rFonts w:ascii="Garamond" w:hAnsi="Garamond"/>
          <w:sz w:val="24"/>
        </w:rPr>
        <w:t>’. Rather than rely on ‘</w:t>
      </w:r>
      <w:proofErr w:type="spellStart"/>
      <w:r w:rsidR="00E17306">
        <w:rPr>
          <w:rFonts w:ascii="Garamond" w:hAnsi="Garamond"/>
          <w:sz w:val="24"/>
        </w:rPr>
        <w:t>tryalls</w:t>
      </w:r>
      <w:proofErr w:type="spellEnd"/>
      <w:r w:rsidR="00E17306">
        <w:rPr>
          <w:rFonts w:ascii="Garamond" w:hAnsi="Garamond"/>
          <w:sz w:val="24"/>
        </w:rPr>
        <w:t>’ and ‘</w:t>
      </w:r>
      <w:r w:rsidR="00E17306" w:rsidRPr="00E17306">
        <w:rPr>
          <w:rFonts w:ascii="Garamond" w:hAnsi="Garamond"/>
          <w:sz w:val="24"/>
        </w:rPr>
        <w:t>observation</w:t>
      </w:r>
      <w:r w:rsidR="005747BA">
        <w:rPr>
          <w:rFonts w:ascii="Garamond" w:hAnsi="Garamond"/>
          <w:sz w:val="24"/>
        </w:rPr>
        <w:t>’, thereby</w:t>
      </w:r>
      <w:r w:rsidR="00E17306">
        <w:rPr>
          <w:rFonts w:ascii="Garamond" w:hAnsi="Garamond"/>
          <w:sz w:val="24"/>
        </w:rPr>
        <w:t xml:space="preserve"> restricting themselves to an investigation into secondary causes, the ancients were determined to ‘</w:t>
      </w:r>
      <w:r w:rsidR="00E17306" w:rsidRPr="00E17306">
        <w:rPr>
          <w:rFonts w:ascii="Garamond" w:hAnsi="Garamond"/>
          <w:sz w:val="24"/>
        </w:rPr>
        <w:t>penetrate into the hidden causes of things</w:t>
      </w:r>
      <w:r w:rsidR="00E17306">
        <w:rPr>
          <w:rFonts w:ascii="Garamond" w:hAnsi="Garamond"/>
          <w:sz w:val="24"/>
        </w:rPr>
        <w:t xml:space="preserve"> [and]</w:t>
      </w:r>
      <w:r w:rsidR="00E17306" w:rsidRPr="00E17306">
        <w:rPr>
          <w:rFonts w:ascii="Garamond" w:hAnsi="Garamond"/>
          <w:sz w:val="24"/>
        </w:rPr>
        <w:t xml:space="preserve"> lay </w:t>
      </w:r>
      <w:proofErr w:type="spellStart"/>
      <w:r w:rsidR="00E17306" w:rsidRPr="00E17306">
        <w:rPr>
          <w:rFonts w:ascii="Garamond" w:hAnsi="Garamond"/>
          <w:sz w:val="24"/>
        </w:rPr>
        <w:t>downe</w:t>
      </w:r>
      <w:proofErr w:type="spellEnd"/>
      <w:r w:rsidR="00E17306" w:rsidRPr="00E17306">
        <w:rPr>
          <w:rFonts w:ascii="Garamond" w:hAnsi="Garamond"/>
          <w:sz w:val="24"/>
        </w:rPr>
        <w:t xml:space="preserve"> principles &amp; establish </w:t>
      </w:r>
      <w:proofErr w:type="spellStart"/>
      <w:r w:rsidR="00E17306" w:rsidRPr="00E17306">
        <w:rPr>
          <w:rFonts w:ascii="Garamond" w:hAnsi="Garamond"/>
          <w:sz w:val="24"/>
        </w:rPr>
        <w:t>maximes</w:t>
      </w:r>
      <w:proofErr w:type="spellEnd"/>
      <w:r w:rsidR="00E17306" w:rsidRPr="00E17306">
        <w:rPr>
          <w:rFonts w:ascii="Garamond" w:hAnsi="Garamond"/>
          <w:sz w:val="24"/>
        </w:rPr>
        <w:t xml:space="preserve"> </w:t>
      </w:r>
      <w:r w:rsidR="00E17306">
        <w:rPr>
          <w:rFonts w:ascii="Garamond" w:hAnsi="Garamond"/>
          <w:sz w:val="24"/>
        </w:rPr>
        <w:t>[…]</w:t>
      </w:r>
      <w:r w:rsidR="00E17306" w:rsidRPr="00E17306">
        <w:rPr>
          <w:rFonts w:ascii="Garamond" w:hAnsi="Garamond"/>
          <w:sz w:val="24"/>
        </w:rPr>
        <w:t xml:space="preserve"> about the operations of nature</w:t>
      </w:r>
      <w:r w:rsidR="00E17306">
        <w:rPr>
          <w:rFonts w:ascii="Garamond" w:hAnsi="Garamond"/>
          <w:sz w:val="24"/>
        </w:rPr>
        <w:t xml:space="preserve">’. In short, the ancients were addicted to </w:t>
      </w:r>
      <w:r w:rsidR="00F72527">
        <w:rPr>
          <w:rFonts w:ascii="Garamond" w:hAnsi="Garamond"/>
          <w:sz w:val="24"/>
        </w:rPr>
        <w:t xml:space="preserve">ungrounded </w:t>
      </w:r>
      <w:r w:rsidR="00E17306" w:rsidRPr="00E17306">
        <w:rPr>
          <w:rFonts w:ascii="Garamond" w:hAnsi="Garamond"/>
          <w:sz w:val="24"/>
        </w:rPr>
        <w:t>‘systems &amp; hypotheses’</w:t>
      </w:r>
      <w:r w:rsidR="00F72527">
        <w:rPr>
          <w:rFonts w:ascii="Garamond" w:hAnsi="Garamond"/>
          <w:sz w:val="24"/>
        </w:rPr>
        <w:t>. T</w:t>
      </w:r>
      <w:r w:rsidR="00E17306">
        <w:rPr>
          <w:rFonts w:ascii="Garamond" w:hAnsi="Garamond"/>
          <w:sz w:val="24"/>
        </w:rPr>
        <w:t>heir authority had exercised a balefu</w:t>
      </w:r>
      <w:r w:rsidR="00F72527">
        <w:rPr>
          <w:rFonts w:ascii="Garamond" w:hAnsi="Garamond"/>
          <w:sz w:val="24"/>
        </w:rPr>
        <w:t>l influence o</w:t>
      </w:r>
      <w:r w:rsidR="00E17306">
        <w:rPr>
          <w:rFonts w:ascii="Garamond" w:hAnsi="Garamond"/>
          <w:sz w:val="24"/>
        </w:rPr>
        <w:t xml:space="preserve">n the </w:t>
      </w:r>
      <w:r w:rsidR="00F72527">
        <w:rPr>
          <w:rFonts w:ascii="Garamond" w:hAnsi="Garamond"/>
          <w:sz w:val="24"/>
        </w:rPr>
        <w:t xml:space="preserve">subsequent </w:t>
      </w:r>
      <w:r w:rsidR="00E17306">
        <w:rPr>
          <w:rFonts w:ascii="Garamond" w:hAnsi="Garamond"/>
          <w:sz w:val="24"/>
        </w:rPr>
        <w:t xml:space="preserve">study of medicine and the natural world, </w:t>
      </w:r>
      <w:r w:rsidR="00F72527">
        <w:rPr>
          <w:rFonts w:ascii="Garamond" w:hAnsi="Garamond"/>
          <w:sz w:val="24"/>
        </w:rPr>
        <w:t xml:space="preserve">at least </w:t>
      </w:r>
      <w:r w:rsidR="00E17306">
        <w:rPr>
          <w:rFonts w:ascii="Garamond" w:hAnsi="Garamond"/>
          <w:sz w:val="24"/>
        </w:rPr>
        <w:t>un</w:t>
      </w:r>
      <w:r w:rsidR="00F72527">
        <w:rPr>
          <w:rFonts w:ascii="Garamond" w:hAnsi="Garamond"/>
          <w:sz w:val="24"/>
        </w:rPr>
        <w:t>til the turn to an empirical,</w:t>
      </w:r>
      <w:r w:rsidR="00E17306">
        <w:rPr>
          <w:rFonts w:ascii="Garamond" w:hAnsi="Garamond"/>
          <w:sz w:val="24"/>
        </w:rPr>
        <w:t xml:space="preserve"> experimental method in recent decades.</w:t>
      </w:r>
      <w:r w:rsidR="00E17306" w:rsidRPr="00BD6841">
        <w:rPr>
          <w:rFonts w:ascii="Garamond" w:hAnsi="Garamond"/>
          <w:sz w:val="24"/>
          <w:vertAlign w:val="superscript"/>
        </w:rPr>
        <w:footnoteReference w:id="8"/>
      </w:r>
      <w:r w:rsidR="00E17306">
        <w:rPr>
          <w:rFonts w:ascii="Garamond" w:hAnsi="Garamond"/>
          <w:sz w:val="24"/>
        </w:rPr>
        <w:t xml:space="preserve"> </w:t>
      </w:r>
      <w:r w:rsidR="00F72527">
        <w:rPr>
          <w:rFonts w:ascii="Garamond" w:hAnsi="Garamond"/>
          <w:sz w:val="24"/>
        </w:rPr>
        <w:t xml:space="preserve">This contempt for the ancients was broadly shared by the pioneers of the experimental method, and was expressed particularly forcefully by Thomas Sprat in his </w:t>
      </w:r>
      <w:r w:rsidR="00F72527">
        <w:rPr>
          <w:rFonts w:ascii="Garamond" w:hAnsi="Garamond"/>
          <w:i/>
          <w:sz w:val="24"/>
        </w:rPr>
        <w:t>History of the Royal Society</w:t>
      </w:r>
      <w:r w:rsidR="00CF7A21">
        <w:rPr>
          <w:rFonts w:ascii="Garamond" w:hAnsi="Garamond"/>
          <w:sz w:val="24"/>
        </w:rPr>
        <w:t xml:space="preserve"> (1676)</w:t>
      </w:r>
      <w:r w:rsidR="00F72527">
        <w:rPr>
          <w:rFonts w:ascii="Garamond" w:hAnsi="Garamond"/>
          <w:sz w:val="24"/>
        </w:rPr>
        <w:t>.</w:t>
      </w:r>
      <w:r w:rsidR="00F72527" w:rsidRPr="00BD6841">
        <w:rPr>
          <w:rFonts w:ascii="Garamond" w:hAnsi="Garamond"/>
          <w:sz w:val="24"/>
          <w:vertAlign w:val="superscript"/>
        </w:rPr>
        <w:footnoteReference w:id="9"/>
      </w:r>
    </w:p>
    <w:p w:rsidR="008B1A92" w:rsidRDefault="00F4648F" w:rsidP="00F72527">
      <w:pPr>
        <w:pStyle w:val="ListParagraph"/>
        <w:spacing w:line="360" w:lineRule="auto"/>
        <w:ind w:left="-284" w:right="-329"/>
        <w:contextualSpacing w:val="0"/>
        <w:jc w:val="both"/>
        <w:rPr>
          <w:rFonts w:ascii="Garamond" w:hAnsi="Garamond"/>
          <w:sz w:val="24"/>
        </w:rPr>
      </w:pPr>
      <w:r>
        <w:rPr>
          <w:rFonts w:ascii="Garamond" w:hAnsi="Garamond"/>
          <w:sz w:val="24"/>
        </w:rPr>
        <w:t xml:space="preserve">For Bacon, Boyle, Sprat and many other experimental natural philosophers, </w:t>
      </w:r>
      <w:r w:rsidR="005747BA">
        <w:rPr>
          <w:rFonts w:ascii="Garamond" w:hAnsi="Garamond"/>
          <w:sz w:val="24"/>
        </w:rPr>
        <w:t>it was nonetheless the</w:t>
      </w:r>
      <w:r>
        <w:rPr>
          <w:rFonts w:ascii="Garamond" w:hAnsi="Garamond"/>
          <w:sz w:val="24"/>
        </w:rPr>
        <w:t xml:space="preserve"> desire to pry into </w:t>
      </w:r>
      <w:r w:rsidR="005747BA">
        <w:rPr>
          <w:rFonts w:ascii="Garamond" w:hAnsi="Garamond"/>
          <w:i/>
          <w:sz w:val="24"/>
        </w:rPr>
        <w:t xml:space="preserve">moral </w:t>
      </w:r>
      <w:r>
        <w:rPr>
          <w:rFonts w:ascii="Garamond" w:hAnsi="Garamond"/>
          <w:sz w:val="24"/>
        </w:rPr>
        <w:t xml:space="preserve">good and evil </w:t>
      </w:r>
      <w:r w:rsidR="005747BA">
        <w:rPr>
          <w:rFonts w:ascii="Garamond" w:hAnsi="Garamond"/>
          <w:sz w:val="24"/>
        </w:rPr>
        <w:t xml:space="preserve">which </w:t>
      </w:r>
      <w:r>
        <w:rPr>
          <w:rFonts w:ascii="Garamond" w:hAnsi="Garamond"/>
          <w:sz w:val="24"/>
        </w:rPr>
        <w:t xml:space="preserve">had precipitated man’s fall from grace; and </w:t>
      </w:r>
      <w:r w:rsidR="00CF7A21">
        <w:rPr>
          <w:rFonts w:ascii="Garamond" w:hAnsi="Garamond"/>
          <w:sz w:val="24"/>
        </w:rPr>
        <w:t>they vindicated their natural philosophical endeavours</w:t>
      </w:r>
      <w:r>
        <w:rPr>
          <w:rFonts w:ascii="Garamond" w:hAnsi="Garamond"/>
          <w:sz w:val="24"/>
        </w:rPr>
        <w:t xml:space="preserve"> </w:t>
      </w:r>
      <w:r w:rsidR="00CF7A21">
        <w:rPr>
          <w:rFonts w:ascii="Garamond" w:hAnsi="Garamond"/>
          <w:sz w:val="24"/>
        </w:rPr>
        <w:t>by</w:t>
      </w:r>
      <w:r>
        <w:rPr>
          <w:rFonts w:ascii="Garamond" w:hAnsi="Garamond"/>
          <w:sz w:val="24"/>
        </w:rPr>
        <w:t xml:space="preserve"> claim</w:t>
      </w:r>
      <w:r w:rsidR="00CF7A21">
        <w:rPr>
          <w:rFonts w:ascii="Garamond" w:hAnsi="Garamond"/>
          <w:sz w:val="24"/>
        </w:rPr>
        <w:t>ing</w:t>
      </w:r>
      <w:r>
        <w:rPr>
          <w:rFonts w:ascii="Garamond" w:hAnsi="Garamond"/>
          <w:sz w:val="24"/>
        </w:rPr>
        <w:t xml:space="preserve"> that the search for secondary causes in nature was benign in a way moral philosophising was not. The experimental natural philosopher</w:t>
      </w:r>
      <w:r w:rsidR="00AC4E4B">
        <w:rPr>
          <w:rFonts w:ascii="Garamond" w:hAnsi="Garamond"/>
          <w:sz w:val="24"/>
        </w:rPr>
        <w:t>, they maintained,</w:t>
      </w:r>
      <w:r>
        <w:rPr>
          <w:rFonts w:ascii="Garamond" w:hAnsi="Garamond"/>
          <w:sz w:val="24"/>
        </w:rPr>
        <w:t xml:space="preserve"> recognised the limits of reason in the face of God’s omnipotence. Locke shared their view that the</w:t>
      </w:r>
      <w:r w:rsidR="00E36C67">
        <w:rPr>
          <w:rFonts w:ascii="Garamond" w:hAnsi="Garamond"/>
          <w:sz w:val="24"/>
        </w:rPr>
        <w:t xml:space="preserve"> pathological </w:t>
      </w:r>
      <w:r w:rsidR="008B1A92">
        <w:rPr>
          <w:rFonts w:ascii="Garamond" w:hAnsi="Garamond"/>
          <w:sz w:val="24"/>
        </w:rPr>
        <w:t>attraction of the ancients to hypothetical theories which could ‘penetrate the hidden causes of things’ had also corrupted philosophical enquiry in the realm of ethics.</w:t>
      </w:r>
      <w:r>
        <w:rPr>
          <w:rFonts w:ascii="Garamond" w:hAnsi="Garamond"/>
          <w:sz w:val="24"/>
        </w:rPr>
        <w:t xml:space="preserve"> He nonetheless rejected their insinuation that it was not mankind’s business to seek to uncover the foundations of their moral duties</w:t>
      </w:r>
      <w:r w:rsidR="00345AE8">
        <w:rPr>
          <w:rFonts w:ascii="Garamond" w:hAnsi="Garamond"/>
          <w:sz w:val="24"/>
        </w:rPr>
        <w:t xml:space="preserve">: this, indeed, was their primary purpose as </w:t>
      </w:r>
      <w:r w:rsidR="00CF7A21">
        <w:rPr>
          <w:rFonts w:ascii="Garamond" w:hAnsi="Garamond"/>
          <w:sz w:val="24"/>
        </w:rPr>
        <w:t>rational</w:t>
      </w:r>
      <w:r w:rsidR="00345AE8">
        <w:rPr>
          <w:rFonts w:ascii="Garamond" w:hAnsi="Garamond"/>
          <w:sz w:val="24"/>
        </w:rPr>
        <w:t xml:space="preserve"> beings</w:t>
      </w:r>
      <w:r>
        <w:rPr>
          <w:rFonts w:ascii="Garamond" w:hAnsi="Garamond"/>
          <w:sz w:val="24"/>
        </w:rPr>
        <w:t xml:space="preserve">. In the </w:t>
      </w:r>
      <w:r>
        <w:rPr>
          <w:rFonts w:ascii="Garamond" w:hAnsi="Garamond"/>
          <w:i/>
          <w:sz w:val="24"/>
        </w:rPr>
        <w:t>Essay</w:t>
      </w:r>
      <w:r>
        <w:rPr>
          <w:rFonts w:ascii="Garamond" w:hAnsi="Garamond"/>
          <w:sz w:val="24"/>
        </w:rPr>
        <w:t>, Locke repeatedly emphasised that morality is, in fact,</w:t>
      </w:r>
      <w:r w:rsidR="008B1A92">
        <w:rPr>
          <w:rFonts w:ascii="Garamond" w:hAnsi="Garamond"/>
          <w:sz w:val="24"/>
        </w:rPr>
        <w:t xml:space="preserve"> </w:t>
      </w:r>
      <w:r w:rsidRPr="008B1A92">
        <w:rPr>
          <w:rFonts w:ascii="Garamond" w:hAnsi="Garamond"/>
          <w:sz w:val="24"/>
        </w:rPr>
        <w:t>‘</w:t>
      </w:r>
      <w:r w:rsidRPr="008B1A92">
        <w:rPr>
          <w:rFonts w:ascii="Garamond" w:hAnsi="Garamond"/>
          <w:i/>
          <w:sz w:val="24"/>
        </w:rPr>
        <w:t>the proper Science, and Business of Mankind in general</w:t>
      </w:r>
      <w:r w:rsidRPr="008B1A92">
        <w:rPr>
          <w:rFonts w:ascii="Garamond" w:hAnsi="Garamond"/>
          <w:sz w:val="24"/>
        </w:rPr>
        <w:t xml:space="preserve">; (who are both concerned, and fitted to search out their </w:t>
      </w:r>
      <w:proofErr w:type="spellStart"/>
      <w:r w:rsidRPr="008B1A92">
        <w:rPr>
          <w:rFonts w:ascii="Garamond" w:hAnsi="Garamond"/>
          <w:i/>
          <w:sz w:val="24"/>
        </w:rPr>
        <w:t>Summum</w:t>
      </w:r>
      <w:proofErr w:type="spellEnd"/>
      <w:r w:rsidRPr="008B1A92">
        <w:rPr>
          <w:rFonts w:ascii="Garamond" w:hAnsi="Garamond"/>
          <w:i/>
          <w:sz w:val="24"/>
        </w:rPr>
        <w:t xml:space="preserve"> </w:t>
      </w:r>
      <w:proofErr w:type="spellStart"/>
      <w:r w:rsidRPr="008B1A92">
        <w:rPr>
          <w:rFonts w:ascii="Garamond" w:hAnsi="Garamond"/>
          <w:i/>
          <w:sz w:val="24"/>
        </w:rPr>
        <w:t>Bonum</w:t>
      </w:r>
      <w:proofErr w:type="spellEnd"/>
      <w:r w:rsidRPr="008B1A92">
        <w:rPr>
          <w:rFonts w:ascii="Garamond" w:hAnsi="Garamond"/>
          <w:sz w:val="24"/>
        </w:rPr>
        <w:t>)’ (</w:t>
      </w:r>
      <w:r w:rsidRPr="008B1A92">
        <w:rPr>
          <w:rFonts w:ascii="Garamond" w:hAnsi="Garamond"/>
          <w:i/>
          <w:sz w:val="24"/>
        </w:rPr>
        <w:t>EHU</w:t>
      </w:r>
      <w:r w:rsidRPr="008B1A92">
        <w:rPr>
          <w:rFonts w:ascii="Garamond" w:hAnsi="Garamond"/>
          <w:sz w:val="24"/>
        </w:rPr>
        <w:t xml:space="preserve"> 4.12.11).</w:t>
      </w:r>
      <w:r>
        <w:rPr>
          <w:rFonts w:ascii="Garamond" w:hAnsi="Garamond"/>
          <w:sz w:val="24"/>
        </w:rPr>
        <w:t xml:space="preserve"> Mankind had a duty to employ their rational faculties for the purposes intended by their Creator: to understand the origins and nature of the duties they owed to Him and to one another. </w:t>
      </w:r>
      <w:r w:rsidR="005747BA">
        <w:rPr>
          <w:rFonts w:ascii="Garamond" w:hAnsi="Garamond"/>
          <w:sz w:val="24"/>
        </w:rPr>
        <w:t xml:space="preserve">In this regard, </w:t>
      </w:r>
      <w:r>
        <w:rPr>
          <w:rFonts w:ascii="Garamond" w:hAnsi="Garamond"/>
          <w:sz w:val="24"/>
        </w:rPr>
        <w:t xml:space="preserve">Locke observed that the ancient philosophers had been deeply, </w:t>
      </w:r>
      <w:r w:rsidRPr="004C324B">
        <w:rPr>
          <w:rFonts w:ascii="Garamond" w:hAnsi="Garamond"/>
          <w:sz w:val="24"/>
        </w:rPr>
        <w:t>and legitimately</w:t>
      </w:r>
      <w:r>
        <w:rPr>
          <w:rFonts w:ascii="Garamond" w:hAnsi="Garamond"/>
          <w:sz w:val="24"/>
        </w:rPr>
        <w:t>, committed to this task</w:t>
      </w:r>
      <w:r w:rsidR="00AC4E4B">
        <w:rPr>
          <w:rFonts w:ascii="Garamond" w:hAnsi="Garamond"/>
          <w:sz w:val="24"/>
        </w:rPr>
        <w:t>. A</w:t>
      </w:r>
      <w:r>
        <w:rPr>
          <w:rFonts w:ascii="Garamond" w:hAnsi="Garamond"/>
          <w:sz w:val="24"/>
        </w:rPr>
        <w:t xml:space="preserve">ll of the late Hellenistic sects had attempted to provide a definition of man’s </w:t>
      </w:r>
      <w:proofErr w:type="spellStart"/>
      <w:r>
        <w:rPr>
          <w:rFonts w:ascii="Garamond" w:hAnsi="Garamond"/>
          <w:i/>
          <w:sz w:val="24"/>
        </w:rPr>
        <w:t>summum</w:t>
      </w:r>
      <w:proofErr w:type="spellEnd"/>
      <w:r>
        <w:rPr>
          <w:rFonts w:ascii="Garamond" w:hAnsi="Garamond"/>
          <w:i/>
          <w:sz w:val="24"/>
        </w:rPr>
        <w:t xml:space="preserve"> </w:t>
      </w:r>
      <w:proofErr w:type="spellStart"/>
      <w:r>
        <w:rPr>
          <w:rFonts w:ascii="Garamond" w:hAnsi="Garamond"/>
          <w:i/>
          <w:sz w:val="24"/>
        </w:rPr>
        <w:t>bonum</w:t>
      </w:r>
      <w:proofErr w:type="spellEnd"/>
      <w:r>
        <w:rPr>
          <w:rFonts w:ascii="Garamond" w:hAnsi="Garamond"/>
          <w:sz w:val="24"/>
        </w:rPr>
        <w:t xml:space="preserve"> (true end and happiness), and to teach their disciples to exercise the self-discipline which was required in order to</w:t>
      </w:r>
      <w:r w:rsidR="0031393A">
        <w:rPr>
          <w:rFonts w:ascii="Garamond" w:hAnsi="Garamond"/>
          <w:sz w:val="24"/>
        </w:rPr>
        <w:t xml:space="preserve"> attain the goal of true virtue and tranquillity.</w:t>
      </w:r>
      <w:r w:rsidR="00345AE8">
        <w:rPr>
          <w:rFonts w:ascii="Garamond" w:hAnsi="Garamond"/>
          <w:sz w:val="24"/>
        </w:rPr>
        <w:t xml:space="preserve"> </w:t>
      </w:r>
      <w:r w:rsidR="00C57299">
        <w:rPr>
          <w:rFonts w:ascii="Garamond" w:hAnsi="Garamond"/>
          <w:sz w:val="24"/>
        </w:rPr>
        <w:t xml:space="preserve">The ancient philosophers were not wrong to seek such knowledge. Rather, they had looked for it in the </w:t>
      </w:r>
      <w:r w:rsidR="00C57299">
        <w:rPr>
          <w:rFonts w:ascii="Garamond" w:hAnsi="Garamond"/>
          <w:sz w:val="24"/>
        </w:rPr>
        <w:lastRenderedPageBreak/>
        <w:t>wrong place</w:t>
      </w:r>
      <w:r w:rsidR="005328AD">
        <w:rPr>
          <w:rFonts w:ascii="Garamond" w:hAnsi="Garamond"/>
          <w:sz w:val="24"/>
        </w:rPr>
        <w:t>, something their dogmatism and aversion to doubt and uncertainty had precluded them from recognising</w:t>
      </w:r>
      <w:r w:rsidR="00C57299">
        <w:rPr>
          <w:rFonts w:ascii="Garamond" w:hAnsi="Garamond"/>
          <w:sz w:val="24"/>
        </w:rPr>
        <w:t>.</w:t>
      </w:r>
    </w:p>
    <w:p w:rsidR="00345AE8" w:rsidRDefault="00432053" w:rsidP="00F72527">
      <w:pPr>
        <w:pStyle w:val="ListParagraph"/>
        <w:spacing w:line="360" w:lineRule="auto"/>
        <w:ind w:left="-284" w:right="-329"/>
        <w:contextualSpacing w:val="0"/>
        <w:jc w:val="both"/>
        <w:rPr>
          <w:rFonts w:ascii="Garamond" w:hAnsi="Garamond"/>
          <w:sz w:val="24"/>
        </w:rPr>
      </w:pPr>
      <w:r>
        <w:rPr>
          <w:rFonts w:ascii="Garamond" w:hAnsi="Garamond"/>
          <w:sz w:val="24"/>
        </w:rPr>
        <w:t xml:space="preserve">To understand why they had failed so dismally, it is necessary to grasp the normative </w:t>
      </w:r>
      <w:r w:rsidR="00DF3270">
        <w:rPr>
          <w:rFonts w:ascii="Garamond" w:hAnsi="Garamond"/>
          <w:sz w:val="24"/>
        </w:rPr>
        <w:t>character</w:t>
      </w:r>
      <w:r>
        <w:rPr>
          <w:rFonts w:ascii="Garamond" w:hAnsi="Garamond"/>
          <w:sz w:val="24"/>
        </w:rPr>
        <w:t xml:space="preserve"> of Locke’s moral theory</w:t>
      </w:r>
      <w:r w:rsidR="00DF3270">
        <w:rPr>
          <w:rFonts w:ascii="Garamond" w:hAnsi="Garamond"/>
          <w:sz w:val="24"/>
        </w:rPr>
        <w:t xml:space="preserve">, the most fundamental principles of which he expressed in his early lectures on the law of nature of 1663-4: </w:t>
      </w:r>
      <w:r w:rsidR="00DF3270" w:rsidRPr="00626275">
        <w:rPr>
          <w:rFonts w:ascii="Garamond" w:hAnsi="Garamond"/>
          <w:sz w:val="24"/>
        </w:rPr>
        <w:t>‘even if God and the soul’s immortality are not moral propositions and laws of nature, nevertheless they must necessarily be presupposed if natural law is to exist’.</w:t>
      </w:r>
      <w:r w:rsidR="00DF3270" w:rsidRPr="00626275">
        <w:rPr>
          <w:rFonts w:ascii="Garamond" w:hAnsi="Garamond"/>
          <w:iCs/>
          <w:sz w:val="24"/>
          <w:vertAlign w:val="superscript"/>
        </w:rPr>
        <w:footnoteReference w:id="10"/>
      </w:r>
      <w:r w:rsidR="00DF3270">
        <w:rPr>
          <w:rFonts w:ascii="Garamond" w:hAnsi="Garamond"/>
          <w:sz w:val="24"/>
        </w:rPr>
        <w:t xml:space="preserve"> The origins of all law and obligation lay, for Locke as for voluntarist natural law theorists such as William of Ockham, in the will of an external legislator; not, as for ‘intellectualist’ theorists such as Thomas Aquinas and (to an extent) Hooker, in human nature or reason.</w:t>
      </w:r>
      <w:r w:rsidR="00DF3270" w:rsidRPr="00AF2A37">
        <w:rPr>
          <w:rFonts w:ascii="Garamond" w:hAnsi="Garamond"/>
          <w:sz w:val="24"/>
          <w:vertAlign w:val="superscript"/>
        </w:rPr>
        <w:footnoteReference w:id="11"/>
      </w:r>
      <w:r w:rsidR="00DF3270">
        <w:rPr>
          <w:rFonts w:ascii="Garamond" w:hAnsi="Garamond"/>
          <w:sz w:val="24"/>
        </w:rPr>
        <w:t xml:space="preserve"> </w:t>
      </w:r>
      <w:r w:rsidR="00DF3270" w:rsidRPr="001275D2">
        <w:rPr>
          <w:rFonts w:ascii="Garamond" w:hAnsi="Garamond"/>
          <w:bCs/>
          <w:iCs/>
          <w:sz w:val="24"/>
        </w:rPr>
        <w:t xml:space="preserve">Actions only possessed a genuinely </w:t>
      </w:r>
      <w:r w:rsidR="00DF3270" w:rsidRPr="004C324B">
        <w:rPr>
          <w:rFonts w:ascii="Garamond" w:hAnsi="Garamond"/>
          <w:bCs/>
          <w:iCs/>
          <w:sz w:val="24"/>
        </w:rPr>
        <w:t>moral</w:t>
      </w:r>
      <w:r w:rsidR="00DF3270" w:rsidRPr="001275D2">
        <w:rPr>
          <w:rFonts w:ascii="Garamond" w:hAnsi="Garamond"/>
          <w:bCs/>
          <w:iCs/>
          <w:sz w:val="24"/>
        </w:rPr>
        <w:t xml:space="preserve"> quality insofar as they were recognised to represent the will and command of a divine legislator, whose attributes entitled him to govern his Creatures, and who would reward or punish them accordingly</w:t>
      </w:r>
      <w:r w:rsidR="00DF3270">
        <w:rPr>
          <w:rFonts w:ascii="Garamond" w:hAnsi="Garamond"/>
          <w:bCs/>
          <w:iCs/>
          <w:sz w:val="24"/>
        </w:rPr>
        <w:t xml:space="preserve">. Locke was, from an early stage, critical of a ‘modern’ tradition of natural law with which he has frequently been aligned by scholars, and whose most important </w:t>
      </w:r>
      <w:r w:rsidR="004C324B">
        <w:rPr>
          <w:rFonts w:ascii="Garamond" w:hAnsi="Garamond"/>
          <w:bCs/>
          <w:iCs/>
          <w:sz w:val="24"/>
        </w:rPr>
        <w:t>initial exponent was</w:t>
      </w:r>
      <w:r w:rsidR="00DF3270">
        <w:rPr>
          <w:rFonts w:ascii="Garamond" w:hAnsi="Garamond"/>
          <w:bCs/>
          <w:iCs/>
          <w:sz w:val="24"/>
        </w:rPr>
        <w:t xml:space="preserve"> Hugo Grotius (1583-1645).</w:t>
      </w:r>
      <w:r w:rsidR="00DF3270" w:rsidRPr="00626275">
        <w:rPr>
          <w:rFonts w:ascii="Garamond" w:hAnsi="Garamond"/>
          <w:bCs/>
          <w:iCs/>
          <w:sz w:val="24"/>
          <w:vertAlign w:val="superscript"/>
        </w:rPr>
        <w:footnoteReference w:id="12"/>
      </w:r>
      <w:r w:rsidR="00DF3270">
        <w:rPr>
          <w:rFonts w:ascii="Garamond" w:hAnsi="Garamond"/>
          <w:bCs/>
          <w:iCs/>
          <w:sz w:val="24"/>
        </w:rPr>
        <w:t xml:space="preserve"> Grotius denied any meaningful role for God or eternal san</w:t>
      </w:r>
      <w:r w:rsidR="004C324B">
        <w:rPr>
          <w:rFonts w:ascii="Garamond" w:hAnsi="Garamond"/>
          <w:bCs/>
          <w:iCs/>
          <w:sz w:val="24"/>
        </w:rPr>
        <w:t>ctions in his theory</w:t>
      </w:r>
      <w:r w:rsidR="00DF3270">
        <w:rPr>
          <w:rFonts w:ascii="Garamond" w:hAnsi="Garamond"/>
          <w:bCs/>
          <w:iCs/>
          <w:sz w:val="24"/>
        </w:rPr>
        <w:t xml:space="preserve"> of moral obligation. In the </w:t>
      </w:r>
      <w:r w:rsidR="00DF3270" w:rsidRPr="00626275">
        <w:rPr>
          <w:rFonts w:ascii="Garamond" w:hAnsi="Garamond"/>
          <w:bCs/>
          <w:iCs/>
          <w:sz w:val="24"/>
        </w:rPr>
        <w:t>Prolegomena to</w:t>
      </w:r>
      <w:r w:rsidR="00DF3270" w:rsidRPr="00626275">
        <w:rPr>
          <w:rFonts w:ascii="Garamond" w:hAnsi="Garamond"/>
          <w:bCs/>
          <w:i/>
          <w:iCs/>
          <w:sz w:val="24"/>
        </w:rPr>
        <w:t xml:space="preserve"> </w:t>
      </w:r>
      <w:r w:rsidR="00DF3270">
        <w:rPr>
          <w:rFonts w:ascii="Garamond" w:hAnsi="Garamond"/>
          <w:bCs/>
          <w:iCs/>
          <w:sz w:val="24"/>
        </w:rPr>
        <w:t xml:space="preserve">his immensely influential </w:t>
      </w:r>
      <w:r w:rsidR="00DF3270">
        <w:rPr>
          <w:rFonts w:ascii="Garamond" w:hAnsi="Garamond"/>
          <w:bCs/>
          <w:i/>
          <w:iCs/>
          <w:sz w:val="24"/>
        </w:rPr>
        <w:t xml:space="preserve">De Jure Belli ac </w:t>
      </w:r>
      <w:proofErr w:type="spellStart"/>
      <w:r w:rsidR="00DF3270">
        <w:rPr>
          <w:rFonts w:ascii="Garamond" w:hAnsi="Garamond"/>
          <w:bCs/>
          <w:i/>
          <w:iCs/>
          <w:sz w:val="24"/>
        </w:rPr>
        <w:t>Pacis</w:t>
      </w:r>
      <w:proofErr w:type="spellEnd"/>
      <w:r w:rsidR="00DF3270" w:rsidRPr="00626275">
        <w:rPr>
          <w:rFonts w:ascii="Garamond" w:hAnsi="Garamond"/>
          <w:bCs/>
          <w:iCs/>
          <w:sz w:val="24"/>
        </w:rPr>
        <w:t> (1625)</w:t>
      </w:r>
      <w:r w:rsidR="00DF3270">
        <w:rPr>
          <w:rFonts w:ascii="Garamond" w:hAnsi="Garamond"/>
          <w:bCs/>
          <w:iCs/>
          <w:sz w:val="24"/>
        </w:rPr>
        <w:t>, Grotius famously</w:t>
      </w:r>
      <w:r w:rsidR="00DF3270" w:rsidRPr="00626275">
        <w:rPr>
          <w:rFonts w:ascii="Garamond" w:hAnsi="Garamond"/>
          <w:bCs/>
          <w:iCs/>
          <w:sz w:val="24"/>
        </w:rPr>
        <w:t xml:space="preserve"> </w:t>
      </w:r>
      <w:r w:rsidR="00DF3270">
        <w:rPr>
          <w:rFonts w:ascii="Garamond" w:hAnsi="Garamond"/>
          <w:bCs/>
          <w:iCs/>
          <w:sz w:val="24"/>
        </w:rPr>
        <w:t>maintain</w:t>
      </w:r>
      <w:r w:rsidR="00DF3270" w:rsidRPr="00626275">
        <w:rPr>
          <w:rFonts w:ascii="Garamond" w:hAnsi="Garamond"/>
          <w:bCs/>
          <w:iCs/>
          <w:sz w:val="24"/>
        </w:rPr>
        <w:t>ed that his account of moral obligation would hold ‘even if we should grant, […] that there is no God, or that he takes no Care of human Affairs’.</w:t>
      </w:r>
      <w:r w:rsidR="00DF3270" w:rsidRPr="00626275">
        <w:rPr>
          <w:rFonts w:ascii="Garamond" w:hAnsi="Garamond"/>
          <w:bCs/>
          <w:iCs/>
          <w:sz w:val="24"/>
          <w:vertAlign w:val="superscript"/>
        </w:rPr>
        <w:footnoteReference w:id="13"/>
      </w:r>
      <w:r w:rsidR="00DF3270">
        <w:rPr>
          <w:rFonts w:ascii="Garamond" w:hAnsi="Garamond"/>
          <w:bCs/>
          <w:iCs/>
          <w:sz w:val="24"/>
        </w:rPr>
        <w:t xml:space="preserve"> In </w:t>
      </w:r>
      <w:r w:rsidR="00DF3270">
        <w:rPr>
          <w:rFonts w:ascii="Garamond" w:hAnsi="Garamond"/>
          <w:bCs/>
          <w:i/>
          <w:iCs/>
          <w:sz w:val="24"/>
        </w:rPr>
        <w:t xml:space="preserve">De Officio </w:t>
      </w:r>
      <w:proofErr w:type="spellStart"/>
      <w:r w:rsidR="00DF3270" w:rsidRPr="00230371">
        <w:rPr>
          <w:rFonts w:ascii="Garamond" w:hAnsi="Garamond"/>
          <w:bCs/>
          <w:i/>
          <w:iCs/>
          <w:sz w:val="24"/>
        </w:rPr>
        <w:t>Hominis</w:t>
      </w:r>
      <w:proofErr w:type="spellEnd"/>
      <w:r w:rsidR="00DF3270" w:rsidRPr="00230371">
        <w:rPr>
          <w:rFonts w:ascii="Garamond" w:hAnsi="Garamond"/>
          <w:bCs/>
          <w:i/>
          <w:iCs/>
          <w:sz w:val="24"/>
        </w:rPr>
        <w:t xml:space="preserve"> et </w:t>
      </w:r>
      <w:proofErr w:type="spellStart"/>
      <w:r w:rsidR="00DF3270" w:rsidRPr="00230371">
        <w:rPr>
          <w:rFonts w:ascii="Garamond" w:hAnsi="Garamond"/>
          <w:bCs/>
          <w:i/>
          <w:iCs/>
          <w:sz w:val="24"/>
        </w:rPr>
        <w:t>Civis</w:t>
      </w:r>
      <w:proofErr w:type="spellEnd"/>
      <w:r w:rsidR="00DF3270" w:rsidRPr="00230371">
        <w:rPr>
          <w:rFonts w:ascii="Garamond" w:hAnsi="Garamond"/>
          <w:bCs/>
          <w:i/>
          <w:iCs/>
          <w:sz w:val="24"/>
        </w:rPr>
        <w:t xml:space="preserve"> </w:t>
      </w:r>
      <w:r w:rsidR="00DF3270" w:rsidRPr="00230371">
        <w:rPr>
          <w:rFonts w:ascii="Garamond" w:hAnsi="Garamond"/>
          <w:bCs/>
          <w:iCs/>
          <w:sz w:val="24"/>
        </w:rPr>
        <w:t>(1673)</w:t>
      </w:r>
      <w:r w:rsidR="004C324B">
        <w:rPr>
          <w:rFonts w:ascii="Garamond" w:hAnsi="Garamond"/>
          <w:bCs/>
          <w:iCs/>
          <w:sz w:val="24"/>
        </w:rPr>
        <w:t xml:space="preserve">, Samuel </w:t>
      </w:r>
      <w:proofErr w:type="spellStart"/>
      <w:r w:rsidR="004C324B">
        <w:rPr>
          <w:rFonts w:ascii="Garamond" w:hAnsi="Garamond"/>
          <w:bCs/>
          <w:iCs/>
          <w:sz w:val="24"/>
        </w:rPr>
        <w:t>Pufendorf</w:t>
      </w:r>
      <w:proofErr w:type="spellEnd"/>
      <w:r w:rsidR="004C324B">
        <w:rPr>
          <w:rFonts w:ascii="Garamond" w:hAnsi="Garamond"/>
          <w:bCs/>
          <w:iCs/>
          <w:sz w:val="24"/>
        </w:rPr>
        <w:t xml:space="preserve"> (1632-94)</w:t>
      </w:r>
      <w:r w:rsidR="00DF3270">
        <w:rPr>
          <w:rFonts w:ascii="Garamond" w:hAnsi="Garamond"/>
          <w:bCs/>
          <w:iCs/>
          <w:sz w:val="24"/>
        </w:rPr>
        <w:t xml:space="preserve"> similarly declared that natural law (and so ethics) was </w:t>
      </w:r>
      <w:r w:rsidR="00DF3270" w:rsidRPr="00230371">
        <w:rPr>
          <w:rFonts w:ascii="Garamond" w:hAnsi="Garamond"/>
          <w:bCs/>
          <w:iCs/>
          <w:sz w:val="24"/>
        </w:rPr>
        <w:t xml:space="preserve">‘confined within the orbit of </w:t>
      </w:r>
      <w:r w:rsidR="00DF3270" w:rsidRPr="00230371">
        <w:rPr>
          <w:rFonts w:ascii="Garamond" w:hAnsi="Garamond"/>
          <w:bCs/>
          <w:i/>
          <w:iCs/>
          <w:sz w:val="24"/>
        </w:rPr>
        <w:t>this</w:t>
      </w:r>
      <w:r w:rsidR="00DF3270" w:rsidRPr="00230371">
        <w:rPr>
          <w:rFonts w:ascii="Garamond" w:hAnsi="Garamond"/>
          <w:bCs/>
          <w:iCs/>
          <w:sz w:val="24"/>
        </w:rPr>
        <w:t xml:space="preserve"> life’: knowledge of God’s attributes and the existence of a future state was delivered by revelation, not ascertained by reason, and might reinforce men’s sense of moral obligation but was not essential to it.</w:t>
      </w:r>
      <w:r w:rsidR="00DF3270" w:rsidRPr="00230371">
        <w:rPr>
          <w:rFonts w:ascii="Garamond" w:hAnsi="Garamond"/>
          <w:bCs/>
          <w:iCs/>
          <w:sz w:val="24"/>
          <w:vertAlign w:val="superscript"/>
        </w:rPr>
        <w:footnoteReference w:id="14"/>
      </w:r>
      <w:r w:rsidR="00D66440">
        <w:rPr>
          <w:rFonts w:ascii="Garamond" w:hAnsi="Garamond"/>
          <w:bCs/>
          <w:iCs/>
          <w:sz w:val="24"/>
        </w:rPr>
        <w:t xml:space="preserve"> </w:t>
      </w:r>
    </w:p>
    <w:p w:rsidR="00D66440" w:rsidRPr="00BF0C2A" w:rsidRDefault="00D66440" w:rsidP="00D66440">
      <w:pPr>
        <w:tabs>
          <w:tab w:val="left" w:pos="4962"/>
        </w:tabs>
        <w:spacing w:line="360" w:lineRule="auto"/>
        <w:ind w:left="-284" w:right="-330"/>
        <w:jc w:val="both"/>
        <w:rPr>
          <w:rFonts w:ascii="Garamond" w:hAnsi="Garamond"/>
          <w:bCs/>
          <w:iCs/>
          <w:sz w:val="24"/>
        </w:rPr>
      </w:pPr>
      <w:r>
        <w:rPr>
          <w:rFonts w:ascii="Garamond" w:hAnsi="Garamond"/>
          <w:sz w:val="24"/>
        </w:rPr>
        <w:t xml:space="preserve">Locke’s strident, lifelong opposition to non-theological ethical theories </w:t>
      </w:r>
      <w:r>
        <w:rPr>
          <w:rFonts w:ascii="Garamond" w:hAnsi="Garamond"/>
          <w:bCs/>
          <w:iCs/>
          <w:sz w:val="24"/>
        </w:rPr>
        <w:t xml:space="preserve">was articulated, in part, through his pronounced scepticism regarding the general value of ancient moral philosophy. Rather than locating the origins of moral duty in God’s will and </w:t>
      </w:r>
      <w:r w:rsidR="005747BA">
        <w:rPr>
          <w:rFonts w:ascii="Garamond" w:hAnsi="Garamond"/>
          <w:bCs/>
          <w:iCs/>
          <w:sz w:val="24"/>
        </w:rPr>
        <w:t>sanctions, the ancients</w:t>
      </w:r>
      <w:r>
        <w:rPr>
          <w:rFonts w:ascii="Garamond" w:hAnsi="Garamond"/>
          <w:bCs/>
          <w:iCs/>
          <w:sz w:val="24"/>
        </w:rPr>
        <w:t xml:space="preserve"> had sought it in human nature, thereby denyi</w:t>
      </w:r>
      <w:r w:rsidR="00FB5745">
        <w:rPr>
          <w:rFonts w:ascii="Garamond" w:hAnsi="Garamond"/>
          <w:bCs/>
          <w:iCs/>
          <w:sz w:val="24"/>
        </w:rPr>
        <w:t>ng mankind’s dependence upon their</w:t>
      </w:r>
      <w:r>
        <w:rPr>
          <w:rFonts w:ascii="Garamond" w:hAnsi="Garamond"/>
          <w:bCs/>
          <w:iCs/>
          <w:sz w:val="24"/>
        </w:rPr>
        <w:t xml:space="preserve"> creator. It followed that their ethical theories flatly contradicted the ethical and soteriological teachings of revealed Christianity. </w:t>
      </w:r>
      <w:r w:rsidRPr="001275D2">
        <w:rPr>
          <w:rFonts w:ascii="Garamond" w:hAnsi="Garamond"/>
          <w:bCs/>
          <w:iCs/>
          <w:sz w:val="24"/>
        </w:rPr>
        <w:t xml:space="preserve">Locke made this point </w:t>
      </w:r>
      <w:r>
        <w:rPr>
          <w:rFonts w:ascii="Garamond" w:hAnsi="Garamond"/>
          <w:bCs/>
          <w:iCs/>
          <w:sz w:val="24"/>
        </w:rPr>
        <w:t xml:space="preserve">particularly </w:t>
      </w:r>
      <w:r w:rsidRPr="001275D2">
        <w:rPr>
          <w:rFonts w:ascii="Garamond" w:hAnsi="Garamond"/>
          <w:bCs/>
          <w:iCs/>
          <w:sz w:val="24"/>
        </w:rPr>
        <w:t xml:space="preserve">strongly in </w:t>
      </w:r>
      <w:r w:rsidRPr="001275D2">
        <w:rPr>
          <w:rFonts w:ascii="Garamond" w:hAnsi="Garamond"/>
          <w:bCs/>
          <w:i/>
          <w:iCs/>
          <w:sz w:val="24"/>
        </w:rPr>
        <w:t>The Reasonableness of Christianity</w:t>
      </w:r>
      <w:r w:rsidR="005747BA">
        <w:rPr>
          <w:rFonts w:ascii="Garamond" w:hAnsi="Garamond"/>
          <w:bCs/>
          <w:iCs/>
          <w:sz w:val="24"/>
        </w:rPr>
        <w:t xml:space="preserve"> (1695)</w:t>
      </w:r>
      <w:r w:rsidRPr="001275D2">
        <w:rPr>
          <w:rFonts w:ascii="Garamond" w:hAnsi="Garamond"/>
          <w:bCs/>
          <w:iCs/>
          <w:sz w:val="24"/>
        </w:rPr>
        <w:t xml:space="preserve">: </w:t>
      </w:r>
      <w:proofErr w:type="gramStart"/>
      <w:r w:rsidRPr="001275D2">
        <w:rPr>
          <w:rFonts w:ascii="Garamond" w:hAnsi="Garamond"/>
          <w:bCs/>
          <w:iCs/>
          <w:sz w:val="24"/>
        </w:rPr>
        <w:t>‘’[</w:t>
      </w:r>
      <w:proofErr w:type="gramEnd"/>
      <w:r w:rsidRPr="001275D2">
        <w:rPr>
          <w:rFonts w:ascii="Garamond" w:hAnsi="Garamond"/>
          <w:bCs/>
          <w:iCs/>
          <w:sz w:val="24"/>
        </w:rPr>
        <w:t xml:space="preserve">t]is plain in fact, that humane reason unassisted, failed Men in its great and Proper business of </w:t>
      </w:r>
      <w:r w:rsidRPr="001275D2">
        <w:rPr>
          <w:rFonts w:ascii="Garamond" w:hAnsi="Garamond"/>
          <w:bCs/>
          <w:i/>
          <w:iCs/>
          <w:sz w:val="24"/>
        </w:rPr>
        <w:t>Morality</w:t>
      </w:r>
      <w:r w:rsidRPr="001275D2">
        <w:rPr>
          <w:rFonts w:ascii="Garamond" w:hAnsi="Garamond"/>
          <w:bCs/>
          <w:iCs/>
          <w:sz w:val="24"/>
        </w:rPr>
        <w:t xml:space="preserve">. It never from unquestionable Principles, by clear deductions, made out an entire Body of the </w:t>
      </w:r>
      <w:r w:rsidRPr="001275D2">
        <w:rPr>
          <w:rFonts w:ascii="Garamond" w:hAnsi="Garamond"/>
          <w:bCs/>
          <w:i/>
          <w:iCs/>
          <w:sz w:val="24"/>
        </w:rPr>
        <w:t>Law of Nature</w:t>
      </w:r>
      <w:r w:rsidRPr="001275D2">
        <w:rPr>
          <w:rFonts w:ascii="Garamond" w:hAnsi="Garamond"/>
          <w:bCs/>
          <w:iCs/>
          <w:sz w:val="24"/>
        </w:rPr>
        <w:t xml:space="preserve">’. </w:t>
      </w:r>
      <w:r>
        <w:rPr>
          <w:rFonts w:ascii="Garamond" w:hAnsi="Garamond"/>
          <w:sz w:val="24"/>
        </w:rPr>
        <w:t xml:space="preserve">The ‘true ground’ of </w:t>
      </w:r>
      <w:r>
        <w:rPr>
          <w:rFonts w:ascii="Garamond" w:hAnsi="Garamond"/>
          <w:sz w:val="24"/>
        </w:rPr>
        <w:lastRenderedPageBreak/>
        <w:t>morality lay in God’s will; He prescribed moral rules and would hold individuals accountable for their actions before this law on the Day of Judgment</w:t>
      </w:r>
      <w:r w:rsidRPr="001275D2">
        <w:rPr>
          <w:rFonts w:ascii="Garamond" w:hAnsi="Garamond"/>
          <w:bCs/>
          <w:iCs/>
          <w:sz w:val="24"/>
        </w:rPr>
        <w:t>: ‘Upon this foundation, and upon this only, Morality stands firm, and may defy all competition’. Yet the ancients had failed to locate the origins of obligation in God’s will, and ‘[t]</w:t>
      </w:r>
      <w:proofErr w:type="spellStart"/>
      <w:r w:rsidRPr="001275D2">
        <w:rPr>
          <w:rFonts w:ascii="Garamond" w:hAnsi="Garamond"/>
          <w:bCs/>
          <w:iCs/>
          <w:sz w:val="24"/>
        </w:rPr>
        <w:t>heir</w:t>
      </w:r>
      <w:proofErr w:type="spellEnd"/>
      <w:r w:rsidRPr="001275D2">
        <w:rPr>
          <w:rFonts w:ascii="Garamond" w:hAnsi="Garamond"/>
          <w:bCs/>
          <w:iCs/>
          <w:sz w:val="24"/>
        </w:rPr>
        <w:t xml:space="preserve"> thoughts of another life were at best obscure’.</w:t>
      </w:r>
      <w:r>
        <w:rPr>
          <w:rFonts w:ascii="Garamond" w:hAnsi="Garamond"/>
          <w:bCs/>
          <w:iCs/>
          <w:sz w:val="24"/>
        </w:rPr>
        <w:t xml:space="preserve"> Cicero, it is important to note, was included </w:t>
      </w:r>
      <w:r w:rsidR="005747BA">
        <w:rPr>
          <w:rFonts w:ascii="Garamond" w:hAnsi="Garamond"/>
          <w:bCs/>
          <w:iCs/>
          <w:sz w:val="24"/>
        </w:rPr>
        <w:t xml:space="preserve">by Locke </w:t>
      </w:r>
      <w:r>
        <w:rPr>
          <w:rFonts w:ascii="Garamond" w:hAnsi="Garamond"/>
          <w:bCs/>
          <w:iCs/>
          <w:sz w:val="24"/>
        </w:rPr>
        <w:t>among those who had failed to uncover the ‘true foundations’ of ethics and stood in need of enlightenment by Christ.</w:t>
      </w:r>
      <w:r w:rsidRPr="001275D2">
        <w:rPr>
          <w:rFonts w:ascii="Garamond" w:hAnsi="Garamond"/>
          <w:sz w:val="24"/>
          <w:vertAlign w:val="superscript"/>
        </w:rPr>
        <w:footnoteReference w:id="15"/>
      </w:r>
    </w:p>
    <w:p w:rsidR="00680525" w:rsidRDefault="00680525" w:rsidP="00680525">
      <w:pPr>
        <w:spacing w:line="360" w:lineRule="auto"/>
        <w:ind w:left="-284" w:right="-330"/>
        <w:jc w:val="both"/>
        <w:rPr>
          <w:rFonts w:ascii="Garamond" w:hAnsi="Garamond"/>
          <w:bCs/>
          <w:iCs/>
          <w:sz w:val="24"/>
        </w:rPr>
      </w:pPr>
      <w:r>
        <w:rPr>
          <w:rFonts w:ascii="Garamond" w:hAnsi="Garamond"/>
          <w:sz w:val="24"/>
        </w:rPr>
        <w:t xml:space="preserve">This explains why, in his lectures of 1663-4, </w:t>
      </w:r>
      <w:r>
        <w:rPr>
          <w:rFonts w:ascii="Garamond" w:hAnsi="Garamond"/>
          <w:bCs/>
          <w:iCs/>
          <w:sz w:val="24"/>
        </w:rPr>
        <w:t>Locke rejected unequivocally the doctrine of universal consent invoked by natural law theorists such as Hooker and Grotius: the claim that all the best and wisest of men had broadly identified and agreed upon the content and obligatory character of natural law.</w:t>
      </w:r>
      <w:r w:rsidR="00802A48" w:rsidRPr="001275D2">
        <w:rPr>
          <w:rFonts w:ascii="Garamond" w:hAnsi="Garamond"/>
          <w:sz w:val="24"/>
          <w:vertAlign w:val="superscript"/>
        </w:rPr>
        <w:footnoteReference w:id="16"/>
      </w:r>
      <w:r>
        <w:rPr>
          <w:rFonts w:ascii="Garamond" w:hAnsi="Garamond"/>
          <w:bCs/>
          <w:iCs/>
          <w:sz w:val="24"/>
        </w:rPr>
        <w:t xml:space="preserve"> Following Quintilian’s method of acquiring certainty, Grotius argued that this supposedly universal testimony of the philosophers – by whom he meant primarily the ancient Stoics and Cicero – was sufficient to establish the normative authority of natural law.</w:t>
      </w:r>
      <w:r w:rsidRPr="00230371">
        <w:rPr>
          <w:rFonts w:ascii="Garamond" w:hAnsi="Garamond"/>
          <w:bCs/>
          <w:iCs/>
          <w:sz w:val="24"/>
          <w:vertAlign w:val="superscript"/>
        </w:rPr>
        <w:footnoteReference w:id="17"/>
      </w:r>
      <w:r>
        <w:rPr>
          <w:rFonts w:ascii="Garamond" w:hAnsi="Garamond"/>
          <w:bCs/>
          <w:iCs/>
          <w:sz w:val="24"/>
        </w:rPr>
        <w:t xml:space="preserve"> Locke disagreed with this verdict, for three reasons. First, the ancient philosophers had </w:t>
      </w:r>
      <w:r w:rsidRPr="004C324B">
        <w:rPr>
          <w:rFonts w:ascii="Garamond" w:hAnsi="Garamond"/>
          <w:bCs/>
          <w:iCs/>
          <w:sz w:val="24"/>
        </w:rPr>
        <w:t>not</w:t>
      </w:r>
      <w:r>
        <w:rPr>
          <w:rFonts w:ascii="Garamond" w:hAnsi="Garamond"/>
          <w:bCs/>
          <w:iCs/>
          <w:sz w:val="24"/>
        </w:rPr>
        <w:t xml:space="preserve"> reached any agreement </w:t>
      </w:r>
      <w:r w:rsidR="00CF7A21">
        <w:rPr>
          <w:rFonts w:ascii="Garamond" w:hAnsi="Garamond"/>
          <w:bCs/>
          <w:iCs/>
          <w:sz w:val="24"/>
        </w:rPr>
        <w:t xml:space="preserve">as to the foundations of ethics. </w:t>
      </w:r>
      <w:r w:rsidR="004C324B">
        <w:rPr>
          <w:rFonts w:ascii="Garamond" w:hAnsi="Garamond"/>
          <w:bCs/>
          <w:iCs/>
          <w:sz w:val="24"/>
        </w:rPr>
        <w:t>Rather, they</w:t>
      </w:r>
      <w:r>
        <w:rPr>
          <w:rFonts w:ascii="Garamond" w:hAnsi="Garamond"/>
          <w:bCs/>
          <w:iCs/>
          <w:sz w:val="24"/>
        </w:rPr>
        <w:t xml:space="preserve"> had divided into sects, </w:t>
      </w:r>
      <w:proofErr w:type="gramStart"/>
      <w:r>
        <w:rPr>
          <w:rFonts w:ascii="Garamond" w:hAnsi="Garamond"/>
          <w:bCs/>
          <w:iCs/>
          <w:sz w:val="24"/>
        </w:rPr>
        <w:t>which</w:t>
      </w:r>
      <w:proofErr w:type="gramEnd"/>
      <w:r>
        <w:rPr>
          <w:rFonts w:ascii="Garamond" w:hAnsi="Garamond"/>
          <w:bCs/>
          <w:iCs/>
          <w:sz w:val="24"/>
        </w:rPr>
        <w:t xml:space="preserve"> offered contradictory definitions of the </w:t>
      </w:r>
      <w:proofErr w:type="spellStart"/>
      <w:r>
        <w:rPr>
          <w:rFonts w:ascii="Garamond" w:hAnsi="Garamond"/>
          <w:bCs/>
          <w:i/>
          <w:iCs/>
          <w:sz w:val="24"/>
        </w:rPr>
        <w:t>summum</w:t>
      </w:r>
      <w:proofErr w:type="spellEnd"/>
      <w:r>
        <w:rPr>
          <w:rFonts w:ascii="Garamond" w:hAnsi="Garamond"/>
          <w:bCs/>
          <w:i/>
          <w:iCs/>
          <w:sz w:val="24"/>
        </w:rPr>
        <w:t xml:space="preserve"> </w:t>
      </w:r>
      <w:proofErr w:type="spellStart"/>
      <w:r>
        <w:rPr>
          <w:rFonts w:ascii="Garamond" w:hAnsi="Garamond"/>
          <w:bCs/>
          <w:i/>
          <w:iCs/>
          <w:sz w:val="24"/>
        </w:rPr>
        <w:t>bonum</w:t>
      </w:r>
      <w:proofErr w:type="spellEnd"/>
      <w:r>
        <w:rPr>
          <w:rFonts w:ascii="Garamond" w:hAnsi="Garamond"/>
          <w:bCs/>
          <w:iCs/>
          <w:sz w:val="24"/>
        </w:rPr>
        <w:t>:</w:t>
      </w:r>
      <w:r w:rsidRPr="00C20255">
        <w:rPr>
          <w:rFonts w:ascii="Garamond" w:eastAsia="Calibri" w:hAnsi="Garamond" w:cs="Times New Roman"/>
          <w:color w:val="000000"/>
          <w:sz w:val="24"/>
          <w:szCs w:val="24"/>
        </w:rPr>
        <w:t xml:space="preserve"> </w:t>
      </w:r>
      <w:r w:rsidRPr="00C20255">
        <w:rPr>
          <w:rFonts w:ascii="Garamond" w:hAnsi="Garamond"/>
          <w:bCs/>
          <w:iCs/>
          <w:sz w:val="24"/>
        </w:rPr>
        <w:t>‘What use is it to turn to philosophers? For Varro produces more than two hundred of their notions about the highest good, and there can be no fewer opinions about how to reach happiness, that is, about the law of nature’</w:t>
      </w:r>
      <w:r>
        <w:rPr>
          <w:rFonts w:ascii="Garamond" w:hAnsi="Garamond"/>
          <w:bCs/>
          <w:iCs/>
          <w:sz w:val="24"/>
        </w:rPr>
        <w:t>.</w:t>
      </w:r>
      <w:r w:rsidRPr="00230371">
        <w:rPr>
          <w:rFonts w:ascii="Garamond" w:hAnsi="Garamond"/>
          <w:bCs/>
          <w:iCs/>
          <w:sz w:val="24"/>
          <w:vertAlign w:val="superscript"/>
        </w:rPr>
        <w:footnoteReference w:id="18"/>
      </w:r>
      <w:r>
        <w:rPr>
          <w:rFonts w:ascii="Garamond" w:hAnsi="Garamond"/>
          <w:bCs/>
          <w:iCs/>
          <w:sz w:val="24"/>
        </w:rPr>
        <w:t xml:space="preserve"> Second, and crucially, </w:t>
      </w:r>
      <w:r w:rsidRPr="004C324B">
        <w:rPr>
          <w:rFonts w:ascii="Garamond" w:hAnsi="Garamond"/>
          <w:bCs/>
          <w:iCs/>
          <w:sz w:val="24"/>
        </w:rPr>
        <w:t>even if</w:t>
      </w:r>
      <w:r>
        <w:rPr>
          <w:rFonts w:ascii="Garamond" w:hAnsi="Garamond"/>
          <w:bCs/>
          <w:i/>
          <w:iCs/>
          <w:sz w:val="24"/>
        </w:rPr>
        <w:t xml:space="preserve"> </w:t>
      </w:r>
      <w:r>
        <w:rPr>
          <w:rFonts w:ascii="Garamond" w:hAnsi="Garamond"/>
          <w:bCs/>
          <w:iCs/>
          <w:sz w:val="24"/>
        </w:rPr>
        <w:t>the ancients had been able to reach agreement, this would by no means attest to the truth of their ethical theories, for the simple reason that they lacked knowledge of a theistic God who created the world and would reward or punish His creatures for their conduct on the Day of Judgment: ‘</w:t>
      </w:r>
      <w:r w:rsidRPr="00390E7C">
        <w:rPr>
          <w:rFonts w:ascii="Garamond" w:hAnsi="Garamond"/>
          <w:bCs/>
          <w:iCs/>
          <w:sz w:val="24"/>
        </w:rPr>
        <w:t>What sort of thing is the opinion of the Greeks, the Romans, and the whole heathen world concerning the gods?</w:t>
      </w:r>
      <w:r>
        <w:rPr>
          <w:rFonts w:ascii="Garamond" w:hAnsi="Garamond"/>
          <w:bCs/>
          <w:iCs/>
          <w:sz w:val="24"/>
        </w:rPr>
        <w:t xml:space="preserve"> […] </w:t>
      </w:r>
      <w:r w:rsidRPr="00390E7C">
        <w:rPr>
          <w:rFonts w:ascii="Garamond" w:hAnsi="Garamond"/>
          <w:bCs/>
          <w:iCs/>
          <w:sz w:val="24"/>
        </w:rPr>
        <w:t>Is it surprising that such a general consent about gods on the part of men has contributed nothing at all to the proper foundation of morals? For what are these people, pray, if not disguised atheists?</w:t>
      </w:r>
      <w:r>
        <w:rPr>
          <w:rFonts w:ascii="Garamond" w:hAnsi="Garamond"/>
          <w:bCs/>
          <w:iCs/>
          <w:sz w:val="24"/>
        </w:rPr>
        <w:t>’</w:t>
      </w:r>
      <w:r w:rsidRPr="00230371">
        <w:rPr>
          <w:rFonts w:ascii="Garamond" w:hAnsi="Garamond"/>
          <w:bCs/>
          <w:iCs/>
          <w:sz w:val="24"/>
          <w:vertAlign w:val="superscript"/>
        </w:rPr>
        <w:footnoteReference w:id="19"/>
      </w:r>
      <w:r>
        <w:rPr>
          <w:rFonts w:ascii="Garamond" w:hAnsi="Garamond"/>
          <w:bCs/>
          <w:iCs/>
          <w:sz w:val="24"/>
        </w:rPr>
        <w:t xml:space="preserve"> In this regard, Locke indicated his thoroughgoing disdain for the kind of apologetic approach later adopted by Ralph </w:t>
      </w:r>
      <w:proofErr w:type="spellStart"/>
      <w:r>
        <w:rPr>
          <w:rFonts w:ascii="Garamond" w:hAnsi="Garamond"/>
          <w:bCs/>
          <w:iCs/>
          <w:sz w:val="24"/>
        </w:rPr>
        <w:t>Cudworth</w:t>
      </w:r>
      <w:proofErr w:type="spellEnd"/>
      <w:r>
        <w:rPr>
          <w:rFonts w:ascii="Garamond" w:hAnsi="Garamond"/>
          <w:bCs/>
          <w:iCs/>
          <w:sz w:val="24"/>
        </w:rPr>
        <w:t xml:space="preserve"> in his remarkable </w:t>
      </w:r>
      <w:r>
        <w:rPr>
          <w:rFonts w:ascii="Garamond" w:hAnsi="Garamond"/>
          <w:bCs/>
          <w:i/>
          <w:iCs/>
          <w:sz w:val="24"/>
        </w:rPr>
        <w:t>True Intellectual System of the Universe</w:t>
      </w:r>
      <w:r>
        <w:rPr>
          <w:rFonts w:ascii="Garamond" w:hAnsi="Garamond"/>
          <w:bCs/>
          <w:iCs/>
          <w:sz w:val="24"/>
        </w:rPr>
        <w:t xml:space="preserve"> (1676)</w:t>
      </w:r>
      <w:r w:rsidR="00FF31DB">
        <w:rPr>
          <w:rFonts w:ascii="Garamond" w:hAnsi="Garamond"/>
          <w:bCs/>
          <w:iCs/>
          <w:sz w:val="24"/>
        </w:rPr>
        <w:t xml:space="preserve">. </w:t>
      </w:r>
      <w:proofErr w:type="spellStart"/>
      <w:r w:rsidR="00FF31DB">
        <w:rPr>
          <w:rFonts w:ascii="Garamond" w:hAnsi="Garamond"/>
          <w:bCs/>
          <w:iCs/>
          <w:sz w:val="24"/>
        </w:rPr>
        <w:t>Cudworth’s</w:t>
      </w:r>
      <w:proofErr w:type="spellEnd"/>
      <w:r w:rsidR="00FF31DB">
        <w:rPr>
          <w:rFonts w:ascii="Garamond" w:hAnsi="Garamond"/>
          <w:bCs/>
          <w:iCs/>
          <w:sz w:val="24"/>
        </w:rPr>
        <w:t xml:space="preserve"> </w:t>
      </w:r>
      <w:r>
        <w:rPr>
          <w:rFonts w:ascii="Garamond" w:hAnsi="Garamond"/>
          <w:bCs/>
          <w:iCs/>
          <w:sz w:val="24"/>
        </w:rPr>
        <w:t>objective was</w:t>
      </w:r>
      <w:r w:rsidR="0055457E">
        <w:rPr>
          <w:rFonts w:ascii="Garamond" w:hAnsi="Garamond"/>
          <w:bCs/>
          <w:iCs/>
          <w:sz w:val="24"/>
        </w:rPr>
        <w:t>, in part,</w:t>
      </w:r>
      <w:r>
        <w:rPr>
          <w:rFonts w:ascii="Garamond" w:hAnsi="Garamond"/>
          <w:bCs/>
          <w:iCs/>
          <w:sz w:val="24"/>
        </w:rPr>
        <w:t xml:space="preserve"> to show </w:t>
      </w:r>
      <w:r w:rsidR="006000E5">
        <w:rPr>
          <w:rFonts w:ascii="Garamond" w:hAnsi="Garamond"/>
          <w:bCs/>
          <w:iCs/>
          <w:sz w:val="24"/>
        </w:rPr>
        <w:t>that</w:t>
      </w:r>
      <w:r>
        <w:rPr>
          <w:rFonts w:ascii="Garamond" w:hAnsi="Garamond"/>
          <w:bCs/>
          <w:iCs/>
          <w:sz w:val="24"/>
        </w:rPr>
        <w:t xml:space="preserve"> the fundamental tenets of Trinitarian Christianity had been identified by </w:t>
      </w:r>
      <w:proofErr w:type="gramStart"/>
      <w:r>
        <w:rPr>
          <w:rFonts w:ascii="Garamond" w:hAnsi="Garamond"/>
          <w:bCs/>
          <w:iCs/>
          <w:sz w:val="24"/>
        </w:rPr>
        <w:t>various</w:t>
      </w:r>
      <w:proofErr w:type="gramEnd"/>
      <w:r>
        <w:rPr>
          <w:rFonts w:ascii="Garamond" w:hAnsi="Garamond"/>
          <w:bCs/>
          <w:iCs/>
          <w:sz w:val="24"/>
        </w:rPr>
        <w:t xml:space="preserve"> of the heathen philosophers, and so might be defended upon the basis of philosophical reasoning.</w:t>
      </w:r>
      <w:r w:rsidR="005747BA" w:rsidRPr="00390E7C">
        <w:rPr>
          <w:rFonts w:ascii="Garamond" w:hAnsi="Garamond"/>
          <w:bCs/>
          <w:iCs/>
          <w:sz w:val="24"/>
          <w:vertAlign w:val="superscript"/>
        </w:rPr>
        <w:footnoteReference w:id="20"/>
      </w:r>
    </w:p>
    <w:p w:rsidR="00680525" w:rsidRDefault="00680525" w:rsidP="00680525">
      <w:pPr>
        <w:spacing w:line="360" w:lineRule="auto"/>
        <w:ind w:left="-284" w:right="-330"/>
        <w:jc w:val="both"/>
        <w:rPr>
          <w:rFonts w:ascii="Garamond" w:hAnsi="Garamond"/>
          <w:bCs/>
          <w:iCs/>
          <w:sz w:val="24"/>
        </w:rPr>
      </w:pPr>
      <w:r>
        <w:rPr>
          <w:rFonts w:ascii="Garamond" w:hAnsi="Garamond"/>
          <w:bCs/>
          <w:iCs/>
          <w:sz w:val="24"/>
        </w:rPr>
        <w:lastRenderedPageBreak/>
        <w:t xml:space="preserve">Locke’s third objection was methodological, and concerned how certainty might be acquired. </w:t>
      </w:r>
      <w:r w:rsidRPr="00390E7C">
        <w:rPr>
          <w:rFonts w:ascii="Garamond" w:hAnsi="Garamond"/>
          <w:bCs/>
          <w:iCs/>
          <w:sz w:val="24"/>
        </w:rPr>
        <w:t>The individual who would identify a true guide by which to live needed to investigate into ‘things themselves’ (</w:t>
      </w:r>
      <w:r w:rsidRPr="00390E7C">
        <w:rPr>
          <w:rFonts w:ascii="Garamond" w:hAnsi="Garamond"/>
          <w:bCs/>
          <w:i/>
          <w:iCs/>
          <w:sz w:val="24"/>
        </w:rPr>
        <w:t xml:space="preserve">rebus </w:t>
      </w:r>
      <w:proofErr w:type="spellStart"/>
      <w:r w:rsidRPr="00390E7C">
        <w:rPr>
          <w:rFonts w:ascii="Garamond" w:hAnsi="Garamond"/>
          <w:bCs/>
          <w:i/>
          <w:iCs/>
          <w:sz w:val="24"/>
        </w:rPr>
        <w:t>ipsis</w:t>
      </w:r>
      <w:proofErr w:type="spellEnd"/>
      <w:r w:rsidRPr="00390E7C">
        <w:rPr>
          <w:rFonts w:ascii="Garamond" w:hAnsi="Garamond"/>
          <w:bCs/>
          <w:iCs/>
          <w:sz w:val="24"/>
        </w:rPr>
        <w:t>): a refrain repeatedly sounded by Bacon and the experimental philosophers, but repurposed by Locke and applied in the sphere of religion and ethics.</w:t>
      </w:r>
      <w:r w:rsidRPr="00390E7C">
        <w:rPr>
          <w:rFonts w:ascii="Garamond" w:hAnsi="Garamond"/>
          <w:bCs/>
          <w:iCs/>
          <w:sz w:val="24"/>
          <w:vertAlign w:val="superscript"/>
        </w:rPr>
        <w:footnoteReference w:id="21"/>
      </w:r>
      <w:r>
        <w:rPr>
          <w:rFonts w:ascii="Garamond" w:hAnsi="Garamond"/>
          <w:bCs/>
          <w:iCs/>
          <w:sz w:val="24"/>
        </w:rPr>
        <w:t xml:space="preserve"> </w:t>
      </w:r>
      <w:r w:rsidRPr="00390E7C">
        <w:rPr>
          <w:rFonts w:ascii="Garamond" w:hAnsi="Garamond"/>
          <w:bCs/>
          <w:iCs/>
          <w:sz w:val="24"/>
        </w:rPr>
        <w:t>‘For surely’, Locke declared, ‘</w:t>
      </w:r>
      <w:r w:rsidRPr="00390E7C">
        <w:rPr>
          <w:rFonts w:ascii="Garamond" w:hAnsi="Garamond"/>
          <w:bCs/>
          <w:i/>
          <w:iCs/>
          <w:sz w:val="24"/>
        </w:rPr>
        <w:t>each single person</w:t>
      </w:r>
      <w:r w:rsidRPr="00390E7C">
        <w:rPr>
          <w:rFonts w:ascii="Garamond" w:hAnsi="Garamond"/>
          <w:bCs/>
          <w:iCs/>
          <w:sz w:val="24"/>
        </w:rPr>
        <w:t xml:space="preserve"> has to infer the law of nature from the first principles of nature, not from another person’s belief’</w:t>
      </w:r>
      <w:r>
        <w:rPr>
          <w:rFonts w:ascii="Garamond" w:hAnsi="Garamond"/>
          <w:bCs/>
          <w:iCs/>
          <w:sz w:val="24"/>
        </w:rPr>
        <w:t xml:space="preserve">. By natural law, Locke argued, </w:t>
      </w:r>
      <w:r w:rsidRPr="00390E7C">
        <w:rPr>
          <w:rFonts w:ascii="Garamond" w:hAnsi="Garamond"/>
          <w:bCs/>
          <w:iCs/>
          <w:sz w:val="24"/>
        </w:rPr>
        <w:t xml:space="preserve">‘we mean nothing else but that there is some sort of truth to the knowledge of which a man can attain </w:t>
      </w:r>
      <w:r w:rsidRPr="00390E7C">
        <w:rPr>
          <w:rFonts w:ascii="Garamond" w:hAnsi="Garamond"/>
          <w:bCs/>
          <w:i/>
          <w:iCs/>
          <w:sz w:val="24"/>
        </w:rPr>
        <w:t>by himself</w:t>
      </w:r>
      <w:r w:rsidRPr="00390E7C">
        <w:rPr>
          <w:rFonts w:ascii="Garamond" w:hAnsi="Garamond"/>
          <w:bCs/>
          <w:iCs/>
          <w:sz w:val="24"/>
        </w:rPr>
        <w:t xml:space="preserve"> </w:t>
      </w:r>
      <w:r w:rsidRPr="00390E7C">
        <w:rPr>
          <w:rFonts w:ascii="Garamond" w:hAnsi="Garamond"/>
          <w:bCs/>
          <w:i/>
          <w:iCs/>
          <w:sz w:val="24"/>
        </w:rPr>
        <w:t>and without the help of another</w:t>
      </w:r>
      <w:r w:rsidRPr="00390E7C">
        <w:rPr>
          <w:rFonts w:ascii="Garamond" w:hAnsi="Garamond"/>
          <w:bCs/>
          <w:iCs/>
          <w:sz w:val="24"/>
        </w:rPr>
        <w:t xml:space="preserve">, if he makes proper use of the faculties he is endowed with by nature’. Locke did not doubt that should he do so, ‘he can attain to the knowledge of this law </w:t>
      </w:r>
      <w:r w:rsidRPr="00390E7C">
        <w:rPr>
          <w:rFonts w:ascii="Garamond" w:hAnsi="Garamond"/>
          <w:bCs/>
          <w:i/>
          <w:iCs/>
          <w:sz w:val="24"/>
        </w:rPr>
        <w:t>without any teacher instructing him in his duties, any monitor reminding him of them</w:t>
      </w:r>
      <w:r w:rsidRPr="00390E7C">
        <w:rPr>
          <w:rFonts w:ascii="Garamond" w:hAnsi="Garamond"/>
          <w:bCs/>
          <w:iCs/>
          <w:sz w:val="24"/>
        </w:rPr>
        <w:t>’. To be guided by the teachings of others was ‘to be guided by belief and approval, not by the law of nature’, even as the two might potentially coincide.</w:t>
      </w:r>
      <w:r w:rsidRPr="00390E7C">
        <w:rPr>
          <w:rFonts w:ascii="Garamond" w:hAnsi="Garamond"/>
          <w:bCs/>
          <w:iCs/>
          <w:sz w:val="24"/>
          <w:vertAlign w:val="superscript"/>
        </w:rPr>
        <w:footnoteReference w:id="22"/>
      </w:r>
      <w:r>
        <w:rPr>
          <w:rFonts w:ascii="Garamond" w:hAnsi="Garamond"/>
          <w:bCs/>
          <w:iCs/>
          <w:sz w:val="24"/>
        </w:rPr>
        <w:t xml:space="preserve"> As Locke would later put this</w:t>
      </w:r>
      <w:r w:rsidRPr="00C14556">
        <w:rPr>
          <w:rFonts w:ascii="Garamond" w:hAnsi="Garamond"/>
          <w:bCs/>
          <w:iCs/>
          <w:sz w:val="24"/>
        </w:rPr>
        <w:t xml:space="preserve"> point in the </w:t>
      </w:r>
      <w:r w:rsidRPr="00C14556">
        <w:rPr>
          <w:rFonts w:ascii="Garamond" w:hAnsi="Garamond"/>
          <w:bCs/>
          <w:i/>
          <w:iCs/>
          <w:sz w:val="24"/>
        </w:rPr>
        <w:t>Essay</w:t>
      </w:r>
      <w:r w:rsidRPr="00C14556">
        <w:rPr>
          <w:rFonts w:ascii="Garamond" w:hAnsi="Garamond"/>
          <w:bCs/>
          <w:iCs/>
          <w:sz w:val="24"/>
        </w:rPr>
        <w:t xml:space="preserve">, ‘the floating of other </w:t>
      </w:r>
      <w:proofErr w:type="spellStart"/>
      <w:r w:rsidRPr="00C14556">
        <w:rPr>
          <w:rFonts w:ascii="Garamond" w:hAnsi="Garamond"/>
          <w:bCs/>
          <w:iCs/>
          <w:sz w:val="24"/>
        </w:rPr>
        <w:t>Mens</w:t>
      </w:r>
      <w:proofErr w:type="spellEnd"/>
      <w:r w:rsidRPr="00C14556">
        <w:rPr>
          <w:rFonts w:ascii="Garamond" w:hAnsi="Garamond"/>
          <w:bCs/>
          <w:iCs/>
          <w:sz w:val="24"/>
        </w:rPr>
        <w:t xml:space="preserve"> Opinions in our minds makes us not one jot more knowing, though they happen to be true’ (</w:t>
      </w:r>
      <w:r w:rsidRPr="00C14556">
        <w:rPr>
          <w:rFonts w:ascii="Garamond" w:hAnsi="Garamond"/>
          <w:bCs/>
          <w:i/>
          <w:iCs/>
          <w:sz w:val="24"/>
        </w:rPr>
        <w:t>EHU</w:t>
      </w:r>
      <w:r w:rsidRPr="00C14556">
        <w:rPr>
          <w:rFonts w:ascii="Garamond" w:hAnsi="Garamond"/>
          <w:bCs/>
          <w:iCs/>
          <w:sz w:val="24"/>
        </w:rPr>
        <w:t xml:space="preserve"> 1.4.23)</w:t>
      </w:r>
      <w:r>
        <w:rPr>
          <w:rFonts w:ascii="Garamond" w:hAnsi="Garamond"/>
          <w:bCs/>
          <w:iCs/>
          <w:sz w:val="24"/>
        </w:rPr>
        <w:t xml:space="preserve">. Clearly enough, however, the ethical teachings of the ancient philosophers did </w:t>
      </w:r>
      <w:r>
        <w:rPr>
          <w:rFonts w:ascii="Garamond" w:hAnsi="Garamond"/>
          <w:bCs/>
          <w:i/>
          <w:iCs/>
          <w:sz w:val="24"/>
        </w:rPr>
        <w:t>not</w:t>
      </w:r>
      <w:r>
        <w:rPr>
          <w:rFonts w:ascii="Garamond" w:hAnsi="Garamond"/>
          <w:bCs/>
          <w:iCs/>
          <w:sz w:val="24"/>
        </w:rPr>
        <w:t xml:space="preserve"> ‘happen to be true’, and to follow them was assuredly to be led into error: by failing to ‘ground’ moral obligation in God’s commands and sanctions, their theories lacked all foundation. It was for this reason that, in the </w:t>
      </w:r>
      <w:r>
        <w:rPr>
          <w:rFonts w:ascii="Garamond" w:hAnsi="Garamond"/>
          <w:bCs/>
          <w:i/>
          <w:iCs/>
          <w:sz w:val="24"/>
        </w:rPr>
        <w:t>Essay</w:t>
      </w:r>
      <w:r>
        <w:rPr>
          <w:rFonts w:ascii="Garamond" w:hAnsi="Garamond"/>
          <w:bCs/>
          <w:iCs/>
          <w:sz w:val="24"/>
        </w:rPr>
        <w:t>, Locke declared that ‘t</w:t>
      </w:r>
      <w:r w:rsidRPr="00C14556">
        <w:rPr>
          <w:rFonts w:ascii="Garamond" w:hAnsi="Garamond"/>
          <w:bCs/>
          <w:iCs/>
          <w:sz w:val="24"/>
        </w:rPr>
        <w:t>he philosophers of old</w:t>
      </w:r>
      <w:r>
        <w:rPr>
          <w:rFonts w:ascii="Garamond" w:hAnsi="Garamond"/>
          <w:bCs/>
          <w:iCs/>
          <w:sz w:val="24"/>
        </w:rPr>
        <w:t xml:space="preserve"> </w:t>
      </w:r>
      <w:r w:rsidRPr="00C14556">
        <w:rPr>
          <w:rFonts w:ascii="Garamond" w:hAnsi="Garamond"/>
          <w:bCs/>
          <w:iCs/>
          <w:sz w:val="24"/>
        </w:rPr>
        <w:t xml:space="preserve">did </w:t>
      </w:r>
      <w:r w:rsidRPr="00FF31DB">
        <w:rPr>
          <w:rFonts w:ascii="Garamond" w:hAnsi="Garamond"/>
          <w:bCs/>
          <w:iCs/>
          <w:sz w:val="24"/>
        </w:rPr>
        <w:t>in vain</w:t>
      </w:r>
      <w:r w:rsidRPr="00C14556">
        <w:rPr>
          <w:rFonts w:ascii="Garamond" w:hAnsi="Garamond"/>
          <w:bCs/>
          <w:iCs/>
          <w:sz w:val="24"/>
        </w:rPr>
        <w:t xml:space="preserve"> enquire, whether the </w:t>
      </w:r>
      <w:proofErr w:type="spellStart"/>
      <w:r w:rsidRPr="00C14556">
        <w:rPr>
          <w:rFonts w:ascii="Garamond" w:hAnsi="Garamond"/>
          <w:bCs/>
          <w:i/>
          <w:iCs/>
          <w:sz w:val="24"/>
        </w:rPr>
        <w:t>Summum</w:t>
      </w:r>
      <w:proofErr w:type="spellEnd"/>
      <w:r w:rsidRPr="00C14556">
        <w:rPr>
          <w:rFonts w:ascii="Garamond" w:hAnsi="Garamond"/>
          <w:bCs/>
          <w:i/>
          <w:iCs/>
          <w:sz w:val="24"/>
        </w:rPr>
        <w:t xml:space="preserve"> </w:t>
      </w:r>
      <w:proofErr w:type="spellStart"/>
      <w:r w:rsidRPr="00C14556">
        <w:rPr>
          <w:rFonts w:ascii="Garamond" w:hAnsi="Garamond"/>
          <w:bCs/>
          <w:i/>
          <w:iCs/>
          <w:sz w:val="24"/>
        </w:rPr>
        <w:t>bonum</w:t>
      </w:r>
      <w:proofErr w:type="spellEnd"/>
      <w:r w:rsidRPr="00C14556">
        <w:rPr>
          <w:rFonts w:ascii="Garamond" w:hAnsi="Garamond"/>
          <w:bCs/>
          <w:iCs/>
          <w:sz w:val="24"/>
        </w:rPr>
        <w:t xml:space="preserve"> consisted in Riches, or bodily Delights, or Virtue, or Contemplation: And they might have as reasonably disputed, whether the best Relish were to be found in Apples, Plumbs, or Nuts’ (</w:t>
      </w:r>
      <w:r w:rsidRPr="00C14556">
        <w:rPr>
          <w:rFonts w:ascii="Garamond" w:hAnsi="Garamond"/>
          <w:bCs/>
          <w:i/>
          <w:iCs/>
          <w:sz w:val="24"/>
        </w:rPr>
        <w:t>EHU</w:t>
      </w:r>
      <w:r w:rsidRPr="00C14556">
        <w:rPr>
          <w:rFonts w:ascii="Garamond" w:hAnsi="Garamond"/>
          <w:bCs/>
          <w:iCs/>
          <w:sz w:val="24"/>
        </w:rPr>
        <w:t>, 2.21.55).</w:t>
      </w:r>
    </w:p>
    <w:p w:rsidR="00337F31" w:rsidRDefault="00E60877" w:rsidP="00337F31">
      <w:pPr>
        <w:spacing w:line="360" w:lineRule="auto"/>
        <w:ind w:left="-284" w:right="-330"/>
        <w:jc w:val="both"/>
        <w:rPr>
          <w:rFonts w:ascii="Garamond" w:hAnsi="Garamond"/>
          <w:sz w:val="24"/>
        </w:rPr>
      </w:pPr>
      <w:r>
        <w:rPr>
          <w:rFonts w:ascii="Garamond" w:hAnsi="Garamond"/>
          <w:bCs/>
          <w:iCs/>
          <w:sz w:val="24"/>
        </w:rPr>
        <w:t xml:space="preserve">We have already seen that, on Locke’s account, Cicero was no exception to the rule that the ancient philosophers had signally failed to identify the true grounds of moral obligation in God’s will and sanctions. It is nonetheless clear that, in other regards, Cicero </w:t>
      </w:r>
      <w:r w:rsidRPr="00337F31">
        <w:rPr>
          <w:rFonts w:ascii="Garamond" w:hAnsi="Garamond"/>
          <w:bCs/>
          <w:i/>
          <w:iCs/>
          <w:sz w:val="24"/>
        </w:rPr>
        <w:t>was</w:t>
      </w:r>
      <w:r>
        <w:rPr>
          <w:rFonts w:ascii="Garamond" w:hAnsi="Garamond"/>
          <w:bCs/>
          <w:iCs/>
          <w:sz w:val="24"/>
        </w:rPr>
        <w:t xml:space="preserve"> an exception. He may not have established truth; but</w:t>
      </w:r>
      <w:r w:rsidR="00337F31">
        <w:rPr>
          <w:rFonts w:ascii="Garamond" w:hAnsi="Garamond"/>
          <w:bCs/>
          <w:iCs/>
          <w:sz w:val="24"/>
        </w:rPr>
        <w:t>,</w:t>
      </w:r>
      <w:r>
        <w:rPr>
          <w:rFonts w:ascii="Garamond" w:hAnsi="Garamond"/>
          <w:bCs/>
          <w:iCs/>
          <w:sz w:val="24"/>
        </w:rPr>
        <w:t xml:space="preserve"> on Locke’s reading</w:t>
      </w:r>
      <w:r w:rsidR="00337F31">
        <w:rPr>
          <w:rFonts w:ascii="Garamond" w:hAnsi="Garamond"/>
          <w:bCs/>
          <w:iCs/>
          <w:sz w:val="24"/>
        </w:rPr>
        <w:t>,</w:t>
      </w:r>
      <w:r>
        <w:rPr>
          <w:rFonts w:ascii="Garamond" w:hAnsi="Garamond"/>
          <w:bCs/>
          <w:iCs/>
          <w:sz w:val="24"/>
        </w:rPr>
        <w:t xml:space="preserve"> it is clear that </w:t>
      </w:r>
      <w:r w:rsidR="00337F31">
        <w:rPr>
          <w:rFonts w:ascii="Garamond" w:hAnsi="Garamond"/>
          <w:bCs/>
          <w:iCs/>
          <w:sz w:val="24"/>
        </w:rPr>
        <w:t>he</w:t>
      </w:r>
      <w:r>
        <w:rPr>
          <w:rFonts w:ascii="Garamond" w:hAnsi="Garamond"/>
          <w:bCs/>
          <w:iCs/>
          <w:sz w:val="24"/>
        </w:rPr>
        <w:t xml:space="preserve"> had </w:t>
      </w:r>
      <w:r w:rsidR="00337F31">
        <w:rPr>
          <w:rFonts w:ascii="Garamond" w:hAnsi="Garamond"/>
          <w:bCs/>
          <w:iCs/>
          <w:sz w:val="24"/>
        </w:rPr>
        <w:t>not embraced erroneous ‘systems &amp; hypotheses’</w:t>
      </w:r>
      <w:r>
        <w:rPr>
          <w:rFonts w:ascii="Garamond" w:hAnsi="Garamond"/>
          <w:bCs/>
          <w:iCs/>
          <w:sz w:val="24"/>
        </w:rPr>
        <w:t>.</w:t>
      </w:r>
      <w:r w:rsidR="00337F31">
        <w:rPr>
          <w:rFonts w:ascii="Garamond" w:hAnsi="Garamond"/>
          <w:bCs/>
          <w:iCs/>
          <w:sz w:val="24"/>
        </w:rPr>
        <w:t xml:space="preserve"> In short, it seems clear that Locke read Cicero not as a Stoic</w:t>
      </w:r>
      <w:r w:rsidR="0055457E">
        <w:rPr>
          <w:rFonts w:ascii="Garamond" w:hAnsi="Garamond"/>
          <w:bCs/>
          <w:iCs/>
          <w:sz w:val="24"/>
        </w:rPr>
        <w:t xml:space="preserve"> or Platonist</w:t>
      </w:r>
      <w:r w:rsidR="00337F31">
        <w:rPr>
          <w:rFonts w:ascii="Garamond" w:hAnsi="Garamond"/>
          <w:bCs/>
          <w:iCs/>
          <w:sz w:val="24"/>
        </w:rPr>
        <w:t>, as did many of his contemporaries, but as an academic sceptic: an approach to philosophy which probed the limits of reason but refused to push beyond them, thereby resting content with probability where certainty was unattainable.</w:t>
      </w:r>
      <w:r w:rsidR="00337F31" w:rsidRPr="00390E7C">
        <w:rPr>
          <w:rFonts w:ascii="Garamond" w:hAnsi="Garamond"/>
          <w:bCs/>
          <w:iCs/>
          <w:sz w:val="24"/>
          <w:vertAlign w:val="superscript"/>
        </w:rPr>
        <w:footnoteReference w:id="23"/>
      </w:r>
      <w:r w:rsidR="00337F31">
        <w:rPr>
          <w:rFonts w:ascii="Garamond" w:hAnsi="Garamond"/>
          <w:bCs/>
          <w:iCs/>
          <w:sz w:val="24"/>
        </w:rPr>
        <w:t xml:space="preserve"> I</w:t>
      </w:r>
      <w:r>
        <w:rPr>
          <w:rFonts w:ascii="Garamond" w:hAnsi="Garamond"/>
          <w:bCs/>
          <w:iCs/>
          <w:sz w:val="24"/>
        </w:rPr>
        <w:t xml:space="preserve">n his </w:t>
      </w:r>
      <w:r w:rsidR="00337F31">
        <w:rPr>
          <w:rFonts w:ascii="Garamond" w:hAnsi="Garamond"/>
          <w:bCs/>
          <w:iCs/>
          <w:sz w:val="24"/>
        </w:rPr>
        <w:t>philosophical dialogues, Cicero</w:t>
      </w:r>
      <w:r>
        <w:rPr>
          <w:rFonts w:ascii="Garamond" w:hAnsi="Garamond"/>
          <w:bCs/>
          <w:iCs/>
          <w:sz w:val="24"/>
        </w:rPr>
        <w:t xml:space="preserve"> subjected the ethical</w:t>
      </w:r>
      <w:r w:rsidR="00337F31">
        <w:rPr>
          <w:rFonts w:ascii="Garamond" w:hAnsi="Garamond"/>
          <w:bCs/>
          <w:iCs/>
          <w:sz w:val="24"/>
        </w:rPr>
        <w:t xml:space="preserve"> and religious</w:t>
      </w:r>
      <w:r>
        <w:rPr>
          <w:rFonts w:ascii="Garamond" w:hAnsi="Garamond"/>
          <w:bCs/>
          <w:iCs/>
          <w:sz w:val="24"/>
        </w:rPr>
        <w:t xml:space="preserve"> theories of his</w:t>
      </w:r>
      <w:r w:rsidR="00337F31">
        <w:rPr>
          <w:rFonts w:ascii="Garamond" w:hAnsi="Garamond"/>
          <w:bCs/>
          <w:iCs/>
          <w:sz w:val="24"/>
        </w:rPr>
        <w:t xml:space="preserve"> dogmatic contemporaries to sustained critique; and these writings unquestionably provided a source for Locke’s own criticisms of</w:t>
      </w:r>
      <w:r w:rsidR="00CF7A21">
        <w:rPr>
          <w:rFonts w:ascii="Garamond" w:hAnsi="Garamond"/>
          <w:bCs/>
          <w:iCs/>
          <w:sz w:val="24"/>
        </w:rPr>
        <w:t xml:space="preserve"> the ancient philosophers</w:t>
      </w:r>
      <w:r w:rsidR="00337F31">
        <w:rPr>
          <w:rFonts w:ascii="Garamond" w:hAnsi="Garamond"/>
          <w:bCs/>
          <w:iCs/>
          <w:sz w:val="24"/>
        </w:rPr>
        <w:t xml:space="preserve">. </w:t>
      </w:r>
      <w:r w:rsidR="00337F31">
        <w:rPr>
          <w:rFonts w:ascii="Garamond" w:hAnsi="Garamond"/>
          <w:sz w:val="24"/>
        </w:rPr>
        <w:t xml:space="preserve">In </w:t>
      </w:r>
      <w:proofErr w:type="spellStart"/>
      <w:r w:rsidR="00337F31">
        <w:rPr>
          <w:rFonts w:ascii="Garamond" w:hAnsi="Garamond"/>
          <w:i/>
          <w:sz w:val="24"/>
        </w:rPr>
        <w:t>Tusculan</w:t>
      </w:r>
      <w:proofErr w:type="spellEnd"/>
      <w:r w:rsidR="00337F31">
        <w:rPr>
          <w:rFonts w:ascii="Garamond" w:hAnsi="Garamond"/>
          <w:i/>
          <w:sz w:val="24"/>
        </w:rPr>
        <w:t xml:space="preserve"> Disputations</w:t>
      </w:r>
      <w:r w:rsidR="00337F31">
        <w:rPr>
          <w:rFonts w:ascii="Garamond" w:hAnsi="Garamond"/>
          <w:sz w:val="24"/>
        </w:rPr>
        <w:t xml:space="preserve">, Cicero drew attention to the profound disagreements between the various sects, and noted </w:t>
      </w:r>
      <w:r w:rsidR="00337F31" w:rsidRPr="00FB1F9C">
        <w:rPr>
          <w:rFonts w:ascii="Garamond" w:hAnsi="Garamond"/>
          <w:sz w:val="24"/>
        </w:rPr>
        <w:t xml:space="preserve">‘how few philosophers are found to </w:t>
      </w:r>
      <w:r w:rsidR="00337F31" w:rsidRPr="00FB1F9C">
        <w:rPr>
          <w:rFonts w:ascii="Garamond" w:hAnsi="Garamond"/>
          <w:sz w:val="24"/>
        </w:rPr>
        <w:lastRenderedPageBreak/>
        <w:t>be so constituted and to have principles and a rule of life’ that they were actually able to follow in practice</w:t>
      </w:r>
      <w:r w:rsidR="00337F31">
        <w:rPr>
          <w:rFonts w:ascii="Garamond" w:hAnsi="Garamond"/>
          <w:sz w:val="24"/>
        </w:rPr>
        <w:t>. Worse still, these false philosophers misled those who looked to them for ethical guidance: ‘</w:t>
      </w:r>
      <w:r w:rsidR="00337F31" w:rsidRPr="00FB1F9C">
        <w:rPr>
          <w:rFonts w:ascii="Garamond" w:hAnsi="Garamond"/>
          <w:sz w:val="24"/>
        </w:rPr>
        <w:t>he stumbles in the duty of which he aims at being the teacher and fails in the conduct of life though professing to give the rule of life’.</w:t>
      </w:r>
      <w:r w:rsidR="00337F31" w:rsidRPr="00390E7C">
        <w:rPr>
          <w:rFonts w:ascii="Garamond" w:hAnsi="Garamond"/>
          <w:bCs/>
          <w:iCs/>
          <w:sz w:val="24"/>
          <w:vertAlign w:val="superscript"/>
        </w:rPr>
        <w:footnoteReference w:id="24"/>
      </w:r>
      <w:r w:rsidR="00337F31">
        <w:rPr>
          <w:rFonts w:ascii="Garamond" w:hAnsi="Garamond"/>
          <w:sz w:val="24"/>
        </w:rPr>
        <w:t xml:space="preserve"> Partly as a consequence of the errors of the dogmatic philosophers, </w:t>
      </w:r>
      <w:r w:rsidR="00CF7A21">
        <w:rPr>
          <w:rFonts w:ascii="Garamond" w:hAnsi="Garamond"/>
          <w:sz w:val="24"/>
        </w:rPr>
        <w:t>Cicero empha</w:t>
      </w:r>
      <w:r w:rsidR="0055457E">
        <w:rPr>
          <w:rFonts w:ascii="Garamond" w:hAnsi="Garamond"/>
          <w:sz w:val="24"/>
        </w:rPr>
        <w:t>sised the need for, and duty of</w:t>
      </w:r>
      <w:r w:rsidR="00337F31">
        <w:rPr>
          <w:rFonts w:ascii="Garamond" w:hAnsi="Garamond"/>
          <w:sz w:val="24"/>
        </w:rPr>
        <w:t xml:space="preserve"> the individual to seek moral truth for himself, in a famous passage of the fragmentary </w:t>
      </w:r>
      <w:r w:rsidR="00337F31">
        <w:rPr>
          <w:rFonts w:ascii="Garamond" w:hAnsi="Garamond"/>
          <w:i/>
          <w:sz w:val="24"/>
        </w:rPr>
        <w:t xml:space="preserve">De </w:t>
      </w:r>
      <w:proofErr w:type="spellStart"/>
      <w:r w:rsidR="00337F31">
        <w:rPr>
          <w:rFonts w:ascii="Garamond" w:hAnsi="Garamond"/>
          <w:i/>
          <w:sz w:val="24"/>
        </w:rPr>
        <w:t>Republica</w:t>
      </w:r>
      <w:proofErr w:type="spellEnd"/>
      <w:r w:rsidR="00337F31">
        <w:rPr>
          <w:rFonts w:ascii="Garamond" w:hAnsi="Garamond"/>
          <w:sz w:val="24"/>
        </w:rPr>
        <w:t xml:space="preserve"> upon which Locke clearly drew in 1663-4:</w:t>
      </w:r>
    </w:p>
    <w:p w:rsidR="00337F31" w:rsidRPr="00A8127F" w:rsidRDefault="00337F31" w:rsidP="00337F31">
      <w:pPr>
        <w:ind w:left="284" w:right="-330"/>
        <w:jc w:val="both"/>
        <w:rPr>
          <w:rFonts w:ascii="Garamond" w:hAnsi="Garamond"/>
          <w:sz w:val="24"/>
        </w:rPr>
      </w:pPr>
      <w:r w:rsidRPr="00A8127F">
        <w:rPr>
          <w:rFonts w:ascii="Garamond" w:hAnsi="Garamond"/>
          <w:sz w:val="24"/>
        </w:rPr>
        <w:t>We cannot be freed from its</w:t>
      </w:r>
      <w:r>
        <w:rPr>
          <w:rFonts w:ascii="Garamond" w:hAnsi="Garamond"/>
          <w:sz w:val="24"/>
        </w:rPr>
        <w:t xml:space="preserve"> [natural law’s]</w:t>
      </w:r>
      <w:r w:rsidRPr="00A8127F">
        <w:rPr>
          <w:rFonts w:ascii="Garamond" w:hAnsi="Garamond"/>
          <w:sz w:val="24"/>
        </w:rPr>
        <w:t xml:space="preserve"> obligations by senate or people, and </w:t>
      </w:r>
      <w:r w:rsidRPr="00A8127F">
        <w:rPr>
          <w:rFonts w:ascii="Garamond" w:hAnsi="Garamond"/>
          <w:i/>
          <w:sz w:val="24"/>
        </w:rPr>
        <w:t>we need not look outside ourselves for an expounder or interpreter of it</w:t>
      </w:r>
      <w:r w:rsidRPr="00A8127F">
        <w:rPr>
          <w:rFonts w:ascii="Garamond" w:hAnsi="Garamond"/>
          <w:sz w:val="24"/>
        </w:rPr>
        <w:t>. And there will not be different laws now and in the future, but one eternal and unchangeable law will be valid for all nations and all times, and there will be one master and ruler, that is, God, over us all, for he is the author of this law, its promulgator, and its enforcing judge. Whoever is disobedient is fleeing from himself and denying his human nature, and by reason of this very fact he will suffer the worst penalties, even if he escapes what is commonly considered punishment.</w:t>
      </w:r>
      <w:r w:rsidRPr="00A8127F">
        <w:rPr>
          <w:rFonts w:ascii="Garamond" w:hAnsi="Garamond"/>
          <w:sz w:val="24"/>
          <w:vertAlign w:val="superscript"/>
        </w:rPr>
        <w:footnoteReference w:id="25"/>
      </w:r>
    </w:p>
    <w:p w:rsidR="00337F31" w:rsidRPr="004C2747" w:rsidRDefault="00337F31" w:rsidP="00337F31">
      <w:pPr>
        <w:spacing w:line="360" w:lineRule="auto"/>
        <w:ind w:left="-284" w:right="-330"/>
        <w:jc w:val="both"/>
        <w:rPr>
          <w:rFonts w:ascii="Garamond" w:hAnsi="Garamond"/>
          <w:sz w:val="24"/>
        </w:rPr>
      </w:pPr>
      <w:r>
        <w:rPr>
          <w:rFonts w:ascii="Garamond" w:hAnsi="Garamond"/>
          <w:sz w:val="24"/>
        </w:rPr>
        <w:t>In his lectures of 1663-4, Locke was already a committed empiricist: the only route to knowledge lay in the individual’s active use of his rational faculties to process and order the data derived from the senses.</w:t>
      </w:r>
      <w:r w:rsidRPr="00A8127F">
        <w:rPr>
          <w:rFonts w:ascii="Garamond" w:hAnsi="Garamond"/>
          <w:sz w:val="24"/>
          <w:vertAlign w:val="superscript"/>
        </w:rPr>
        <w:footnoteReference w:id="26"/>
      </w:r>
      <w:r>
        <w:rPr>
          <w:rFonts w:ascii="Garamond" w:hAnsi="Garamond"/>
          <w:sz w:val="24"/>
        </w:rPr>
        <w:t xml:space="preserve"> </w:t>
      </w:r>
      <w:r w:rsidRPr="00A8127F">
        <w:rPr>
          <w:rFonts w:ascii="Garamond" w:hAnsi="Garamond"/>
          <w:sz w:val="24"/>
        </w:rPr>
        <w:t>The task facing reason, for the moralist as for the physician or natural philosopher, was thus ‘to find a way from perceptible and obvious things into their hidden nature’, something which required ‘careful reflection, thought and attention by the mind’</w:t>
      </w:r>
      <w:r>
        <w:rPr>
          <w:rFonts w:ascii="Garamond" w:hAnsi="Garamond"/>
          <w:sz w:val="24"/>
        </w:rPr>
        <w:t>.</w:t>
      </w:r>
      <w:r w:rsidRPr="00A8127F">
        <w:rPr>
          <w:rFonts w:ascii="Garamond" w:hAnsi="Garamond"/>
          <w:sz w:val="24"/>
          <w:vertAlign w:val="superscript"/>
        </w:rPr>
        <w:footnoteReference w:id="27"/>
      </w:r>
      <w:r>
        <w:rPr>
          <w:rFonts w:ascii="Garamond" w:hAnsi="Garamond"/>
          <w:sz w:val="24"/>
        </w:rPr>
        <w:t xml:space="preserve"> Here again Locke echoed Cicero’s claim, in </w:t>
      </w:r>
      <w:r>
        <w:rPr>
          <w:rFonts w:ascii="Garamond" w:hAnsi="Garamond"/>
          <w:i/>
          <w:sz w:val="24"/>
        </w:rPr>
        <w:t xml:space="preserve">De </w:t>
      </w:r>
      <w:proofErr w:type="spellStart"/>
      <w:r>
        <w:rPr>
          <w:rFonts w:ascii="Garamond" w:hAnsi="Garamond"/>
          <w:i/>
          <w:sz w:val="24"/>
        </w:rPr>
        <w:t>Legibus</w:t>
      </w:r>
      <w:proofErr w:type="spellEnd"/>
      <w:r>
        <w:rPr>
          <w:rFonts w:ascii="Garamond" w:hAnsi="Garamond"/>
          <w:sz w:val="24"/>
        </w:rPr>
        <w:t xml:space="preserve"> </w:t>
      </w:r>
      <w:r w:rsidR="0055457E">
        <w:rPr>
          <w:rFonts w:ascii="Garamond" w:hAnsi="Garamond"/>
          <w:sz w:val="24"/>
        </w:rPr>
        <w:t>(</w:t>
      </w:r>
      <w:r>
        <w:rPr>
          <w:rFonts w:ascii="Garamond" w:hAnsi="Garamond"/>
          <w:sz w:val="24"/>
        </w:rPr>
        <w:t>a work much admired by Locke</w:t>
      </w:r>
      <w:r w:rsidR="0055457E">
        <w:rPr>
          <w:rFonts w:ascii="Garamond" w:hAnsi="Garamond"/>
          <w:sz w:val="24"/>
        </w:rPr>
        <w:t>)</w:t>
      </w:r>
      <w:r>
        <w:rPr>
          <w:rFonts w:ascii="Garamond" w:hAnsi="Garamond"/>
          <w:sz w:val="24"/>
        </w:rPr>
        <w:t xml:space="preserve">, that: </w:t>
      </w:r>
      <w:r w:rsidRPr="004C2747">
        <w:rPr>
          <w:rFonts w:ascii="Garamond" w:hAnsi="Garamond"/>
          <w:sz w:val="24"/>
        </w:rPr>
        <w:t>‘Nature has […] not only equipped man with nimbleness of thought, but has also given him the senses, to be as it were, his attendants and messengers; she has laid bare the obscure and none too obvious meanings of a great many things, to serve as the foundations of knowledge’.</w:t>
      </w:r>
      <w:r w:rsidRPr="004C2747">
        <w:rPr>
          <w:rFonts w:ascii="Garamond" w:hAnsi="Garamond"/>
          <w:sz w:val="24"/>
          <w:vertAlign w:val="superscript"/>
        </w:rPr>
        <w:footnoteReference w:id="28"/>
      </w:r>
      <w:r>
        <w:rPr>
          <w:rFonts w:ascii="Garamond" w:hAnsi="Garamond"/>
          <w:sz w:val="24"/>
        </w:rPr>
        <w:t xml:space="preserve"> Cicero nonetheless drew attention to the labo</w:t>
      </w:r>
      <w:r w:rsidR="004F3B22">
        <w:rPr>
          <w:rFonts w:ascii="Garamond" w:hAnsi="Garamond"/>
          <w:sz w:val="24"/>
        </w:rPr>
        <w:t>ur, pains and industry which were</w:t>
      </w:r>
      <w:r>
        <w:rPr>
          <w:rFonts w:ascii="Garamond" w:hAnsi="Garamond"/>
          <w:sz w:val="24"/>
        </w:rPr>
        <w:t xml:space="preserve"> required of the individual who would pursue truth</w:t>
      </w:r>
      <w:r w:rsidR="0055457E">
        <w:rPr>
          <w:rFonts w:ascii="Garamond" w:hAnsi="Garamond"/>
          <w:sz w:val="24"/>
        </w:rPr>
        <w:t>.</w:t>
      </w:r>
      <w:r>
        <w:rPr>
          <w:rFonts w:ascii="Garamond" w:hAnsi="Garamond"/>
          <w:sz w:val="24"/>
        </w:rPr>
        <w:t xml:space="preserve"> He also emphasised that in many areas, not least that of greatest importance (ethics), the individual might have to rest content with probability, rather than certainty – an insight which the dogmatic philosophical sects refused to acknowledge, but which the academic sceptic always bore in mind.</w:t>
      </w:r>
      <w:r w:rsidR="00231265" w:rsidRPr="004C2747">
        <w:rPr>
          <w:rFonts w:ascii="Garamond" w:hAnsi="Garamond"/>
          <w:sz w:val="24"/>
          <w:vertAlign w:val="superscript"/>
        </w:rPr>
        <w:footnoteReference w:id="29"/>
      </w:r>
      <w:r>
        <w:rPr>
          <w:rFonts w:ascii="Garamond" w:hAnsi="Garamond"/>
          <w:sz w:val="24"/>
        </w:rPr>
        <w:t xml:space="preserve"> In Cicero’s most comprehensive account of academic scepticism as a discrete philosophical approach (the </w:t>
      </w:r>
      <w:proofErr w:type="spellStart"/>
      <w:r>
        <w:rPr>
          <w:rFonts w:ascii="Garamond" w:hAnsi="Garamond"/>
          <w:i/>
          <w:sz w:val="24"/>
        </w:rPr>
        <w:t>Academica</w:t>
      </w:r>
      <w:proofErr w:type="spellEnd"/>
      <w:r>
        <w:rPr>
          <w:rFonts w:ascii="Garamond" w:hAnsi="Garamond"/>
          <w:sz w:val="24"/>
        </w:rPr>
        <w:t>), he noted that ‘e</w:t>
      </w:r>
      <w:r w:rsidRPr="004C2747">
        <w:rPr>
          <w:rFonts w:ascii="Garamond" w:hAnsi="Garamond"/>
          <w:sz w:val="24"/>
        </w:rPr>
        <w:t xml:space="preserve">ven though many difficulties hinder every branch of knowledge, and both the subjects themselves and our faculties </w:t>
      </w:r>
      <w:r w:rsidRPr="004C2747">
        <w:rPr>
          <w:rFonts w:ascii="Garamond" w:hAnsi="Garamond"/>
          <w:sz w:val="24"/>
        </w:rPr>
        <w:lastRenderedPageBreak/>
        <w:t>of judgement involve such a lack of certainty’, the academic sceptic refused to ‘abandon in exhaustion our zeal for study’. His aim was, instead, ‘by arguing on both sides [of a question] to draw out and give shape to some result that may be either true or the nearest possible approximation to the truth’.</w:t>
      </w:r>
      <w:r w:rsidRPr="004C2747">
        <w:rPr>
          <w:rFonts w:ascii="Garamond" w:hAnsi="Garamond"/>
          <w:sz w:val="24"/>
          <w:vertAlign w:val="superscript"/>
        </w:rPr>
        <w:footnoteReference w:id="30"/>
      </w:r>
      <w:r>
        <w:rPr>
          <w:rFonts w:ascii="Garamond" w:hAnsi="Garamond"/>
          <w:sz w:val="24"/>
        </w:rPr>
        <w:t xml:space="preserve"> Cicero also foreground</w:t>
      </w:r>
      <w:r w:rsidR="00CF7A21">
        <w:rPr>
          <w:rFonts w:ascii="Garamond" w:hAnsi="Garamond"/>
          <w:sz w:val="24"/>
        </w:rPr>
        <w:t>ed</w:t>
      </w:r>
      <w:r>
        <w:rPr>
          <w:rFonts w:ascii="Garamond" w:hAnsi="Garamond"/>
          <w:sz w:val="24"/>
        </w:rPr>
        <w:t xml:space="preserve"> the essential point that it was the pursuit, rather than necessarily the </w:t>
      </w:r>
      <w:r>
        <w:rPr>
          <w:rFonts w:ascii="Garamond" w:hAnsi="Garamond"/>
          <w:i/>
          <w:sz w:val="24"/>
        </w:rPr>
        <w:t>acquisition</w:t>
      </w:r>
      <w:r>
        <w:rPr>
          <w:rFonts w:ascii="Garamond" w:hAnsi="Garamond"/>
          <w:sz w:val="24"/>
        </w:rPr>
        <w:t xml:space="preserve"> of truth which defined </w:t>
      </w:r>
      <w:r w:rsidRPr="004C2747">
        <w:rPr>
          <w:rFonts w:ascii="Garamond" w:hAnsi="Garamond"/>
          <w:sz w:val="24"/>
        </w:rPr>
        <w:t>‘a blessed life’</w:t>
      </w:r>
      <w:r w:rsidR="0055457E">
        <w:rPr>
          <w:rFonts w:ascii="Garamond" w:hAnsi="Garamond"/>
          <w:sz w:val="24"/>
        </w:rPr>
        <w:t>: an insight perhaps echoed in Locke’s statement that the individual was ‘</w:t>
      </w:r>
      <w:r w:rsidR="0055457E" w:rsidRPr="008B1A92">
        <w:rPr>
          <w:rFonts w:ascii="Garamond" w:hAnsi="Garamond"/>
          <w:sz w:val="24"/>
        </w:rPr>
        <w:t xml:space="preserve">both concerned, and fitted to </w:t>
      </w:r>
      <w:r w:rsidR="0055457E" w:rsidRPr="004C324B">
        <w:rPr>
          <w:rFonts w:ascii="Garamond" w:hAnsi="Garamond"/>
          <w:sz w:val="24"/>
        </w:rPr>
        <w:t>search out</w:t>
      </w:r>
      <w:r w:rsidR="0055457E">
        <w:rPr>
          <w:rFonts w:ascii="Garamond" w:hAnsi="Garamond"/>
          <w:sz w:val="24"/>
        </w:rPr>
        <w:t xml:space="preserve">’, rather than necessarily to </w:t>
      </w:r>
      <w:r w:rsidR="0055457E" w:rsidRPr="004C324B">
        <w:rPr>
          <w:rFonts w:ascii="Garamond" w:hAnsi="Garamond"/>
          <w:sz w:val="24"/>
        </w:rPr>
        <w:t>identify</w:t>
      </w:r>
      <w:r w:rsidR="0055457E">
        <w:rPr>
          <w:rFonts w:ascii="Garamond" w:hAnsi="Garamond"/>
          <w:sz w:val="24"/>
        </w:rPr>
        <w:t>,</w:t>
      </w:r>
      <w:r w:rsidR="0055457E" w:rsidRPr="008B1A92">
        <w:rPr>
          <w:rFonts w:ascii="Garamond" w:hAnsi="Garamond"/>
          <w:sz w:val="24"/>
        </w:rPr>
        <w:t xml:space="preserve"> </w:t>
      </w:r>
      <w:r w:rsidR="0055457E">
        <w:rPr>
          <w:rFonts w:ascii="Garamond" w:hAnsi="Garamond"/>
          <w:sz w:val="24"/>
        </w:rPr>
        <w:t>‘</w:t>
      </w:r>
      <w:r w:rsidR="0055457E" w:rsidRPr="008B1A92">
        <w:rPr>
          <w:rFonts w:ascii="Garamond" w:hAnsi="Garamond"/>
          <w:sz w:val="24"/>
        </w:rPr>
        <w:t xml:space="preserve">their </w:t>
      </w:r>
      <w:proofErr w:type="spellStart"/>
      <w:r w:rsidR="0055457E" w:rsidRPr="008B1A92">
        <w:rPr>
          <w:rFonts w:ascii="Garamond" w:hAnsi="Garamond"/>
          <w:i/>
          <w:sz w:val="24"/>
        </w:rPr>
        <w:t>Summum</w:t>
      </w:r>
      <w:proofErr w:type="spellEnd"/>
      <w:r w:rsidR="0055457E" w:rsidRPr="008B1A92">
        <w:rPr>
          <w:rFonts w:ascii="Garamond" w:hAnsi="Garamond"/>
          <w:i/>
          <w:sz w:val="24"/>
        </w:rPr>
        <w:t xml:space="preserve"> </w:t>
      </w:r>
      <w:proofErr w:type="spellStart"/>
      <w:r w:rsidR="0055457E" w:rsidRPr="008B1A92">
        <w:rPr>
          <w:rFonts w:ascii="Garamond" w:hAnsi="Garamond"/>
          <w:i/>
          <w:sz w:val="24"/>
        </w:rPr>
        <w:t>Bonum</w:t>
      </w:r>
      <w:proofErr w:type="spellEnd"/>
      <w:r w:rsidR="0055457E">
        <w:rPr>
          <w:rFonts w:ascii="Garamond" w:hAnsi="Garamond"/>
          <w:sz w:val="24"/>
        </w:rPr>
        <w:t>’ (</w:t>
      </w:r>
      <w:r w:rsidR="0055457E">
        <w:rPr>
          <w:rFonts w:ascii="Garamond" w:hAnsi="Garamond"/>
          <w:i/>
          <w:sz w:val="24"/>
        </w:rPr>
        <w:t>EHU</w:t>
      </w:r>
      <w:r w:rsidR="0055457E">
        <w:rPr>
          <w:rFonts w:ascii="Garamond" w:hAnsi="Garamond"/>
          <w:sz w:val="24"/>
        </w:rPr>
        <w:t>, 4.12.11)</w:t>
      </w:r>
      <w:r w:rsidRPr="004C2747">
        <w:rPr>
          <w:rFonts w:ascii="Garamond" w:hAnsi="Garamond"/>
          <w:sz w:val="24"/>
        </w:rPr>
        <w:t>.</w:t>
      </w:r>
      <w:r w:rsidRPr="004C2747">
        <w:rPr>
          <w:rFonts w:ascii="Garamond" w:hAnsi="Garamond"/>
          <w:sz w:val="24"/>
          <w:vertAlign w:val="superscript"/>
        </w:rPr>
        <w:footnoteReference w:id="31"/>
      </w:r>
      <w:r>
        <w:rPr>
          <w:rFonts w:ascii="Garamond" w:hAnsi="Garamond"/>
          <w:sz w:val="24"/>
        </w:rPr>
        <w:t xml:space="preserve"> </w:t>
      </w:r>
      <w:r w:rsidRPr="004C2747">
        <w:rPr>
          <w:rFonts w:ascii="Garamond" w:hAnsi="Garamond"/>
          <w:sz w:val="24"/>
        </w:rPr>
        <w:t xml:space="preserve">The individual could not blindly follow others, nor profess to lead them: </w:t>
      </w:r>
      <w:r w:rsidR="0015692B">
        <w:rPr>
          <w:rFonts w:ascii="Garamond" w:hAnsi="Garamond"/>
          <w:sz w:val="24"/>
        </w:rPr>
        <w:t>everyone was</w:t>
      </w:r>
      <w:r w:rsidRPr="004C2747">
        <w:rPr>
          <w:rFonts w:ascii="Garamond" w:hAnsi="Garamond"/>
          <w:sz w:val="24"/>
        </w:rPr>
        <w:t xml:space="preserve"> fallible, and accountable for their own errors. This insight underpinned what, Cicero proclaimed, were the fundamental features of academic scepticism:</w:t>
      </w:r>
    </w:p>
    <w:p w:rsidR="00337F31" w:rsidRPr="004C2747" w:rsidRDefault="00337F31" w:rsidP="00337F31">
      <w:pPr>
        <w:ind w:left="284" w:right="-330"/>
        <w:jc w:val="both"/>
        <w:rPr>
          <w:rFonts w:ascii="Garamond" w:hAnsi="Garamond"/>
          <w:sz w:val="24"/>
        </w:rPr>
      </w:pPr>
      <w:r w:rsidRPr="004C2747">
        <w:rPr>
          <w:rFonts w:ascii="Garamond" w:hAnsi="Garamond"/>
          <w:sz w:val="24"/>
        </w:rPr>
        <w:t xml:space="preserve">Nor is there any difference between ourselves and those who think that they have positive knowledge except that they have no doubt that their tenets are true, whereas we hold many doctrines as probable, which we can easily act upon but scarcely advance as certain; yet we are more free and untrammelled in that we possess our power of judgement </w:t>
      </w:r>
      <w:proofErr w:type="spellStart"/>
      <w:r w:rsidRPr="004C2747">
        <w:rPr>
          <w:rFonts w:ascii="Garamond" w:hAnsi="Garamond"/>
          <w:sz w:val="24"/>
        </w:rPr>
        <w:t>uncurtailed</w:t>
      </w:r>
      <w:proofErr w:type="spellEnd"/>
      <w:r w:rsidRPr="004C2747">
        <w:rPr>
          <w:rFonts w:ascii="Garamond" w:hAnsi="Garamond"/>
          <w:sz w:val="24"/>
        </w:rPr>
        <w:t>, and are bound by no compulsion to support all the dogmas laid down for us almost as edicts by certain masters. For all other people in the first place are held in close bondage placed upon them before they were able to judge what doctrine was the best, and secondly they form judgments about matters as to which they know nothing at the most incompetent period of life, either under the guidance of some friend or under the influence of a single harangue from the first lecturer they attended, and cling as to a rock to whatever theory they are carried to by stress of weather.</w:t>
      </w:r>
      <w:r w:rsidRPr="004C2747">
        <w:rPr>
          <w:rFonts w:ascii="Garamond" w:hAnsi="Garamond"/>
          <w:sz w:val="24"/>
          <w:vertAlign w:val="superscript"/>
        </w:rPr>
        <w:footnoteReference w:id="32"/>
      </w:r>
    </w:p>
    <w:p w:rsidR="00337F31" w:rsidRDefault="00337F31" w:rsidP="00337F31">
      <w:pPr>
        <w:spacing w:line="360" w:lineRule="auto"/>
        <w:ind w:left="-284" w:right="-330"/>
        <w:jc w:val="both"/>
        <w:rPr>
          <w:rFonts w:ascii="Garamond" w:hAnsi="Garamond"/>
          <w:sz w:val="24"/>
        </w:rPr>
      </w:pPr>
      <w:r>
        <w:rPr>
          <w:rFonts w:ascii="Garamond" w:hAnsi="Garamond"/>
          <w:sz w:val="24"/>
        </w:rPr>
        <w:t>In 1663-4, Locke endorsed the academic sceptic’s emphasis on the importance of individual inquiry, most especially in ethical questions, in unmistakeably Ciceronian terms: ‘</w:t>
      </w:r>
      <w:r w:rsidRPr="002E608C">
        <w:rPr>
          <w:rFonts w:ascii="Garamond" w:hAnsi="Garamond"/>
          <w:sz w:val="24"/>
        </w:rPr>
        <w:t>For these opinions about moral rightness and goodness which we embrace so firmly are for the most part such as, in a still tender age, before we can as yet determine anything about them or observe how they insinuate themselves, stream into our unguarded minds and are inculcated by our parents or teach</w:t>
      </w:r>
      <w:r>
        <w:rPr>
          <w:rFonts w:ascii="Garamond" w:hAnsi="Garamond"/>
          <w:sz w:val="24"/>
        </w:rPr>
        <w:t>ers or others with whom we live’.</w:t>
      </w:r>
      <w:r w:rsidRPr="004C2747">
        <w:rPr>
          <w:rFonts w:ascii="Garamond" w:hAnsi="Garamond"/>
          <w:sz w:val="24"/>
          <w:vertAlign w:val="superscript"/>
        </w:rPr>
        <w:footnoteReference w:id="33"/>
      </w:r>
      <w:r>
        <w:rPr>
          <w:rFonts w:ascii="Garamond" w:hAnsi="Garamond"/>
          <w:sz w:val="24"/>
        </w:rPr>
        <w:t xml:space="preserve"> In the </w:t>
      </w:r>
      <w:r>
        <w:rPr>
          <w:rFonts w:ascii="Garamond" w:hAnsi="Garamond"/>
          <w:i/>
          <w:sz w:val="24"/>
        </w:rPr>
        <w:t>Essay</w:t>
      </w:r>
      <w:r>
        <w:rPr>
          <w:rFonts w:ascii="Garamond" w:hAnsi="Garamond"/>
          <w:sz w:val="24"/>
        </w:rPr>
        <w:t xml:space="preserve">, meanwhile, Locke placed Cicero’s insights within a Christian </w:t>
      </w:r>
      <w:proofErr w:type="spellStart"/>
      <w:r>
        <w:rPr>
          <w:rFonts w:ascii="Garamond" w:hAnsi="Garamond"/>
          <w:sz w:val="24"/>
        </w:rPr>
        <w:t>providentialist</w:t>
      </w:r>
      <w:proofErr w:type="spellEnd"/>
      <w:r>
        <w:rPr>
          <w:rFonts w:ascii="Garamond" w:hAnsi="Garamond"/>
          <w:sz w:val="24"/>
        </w:rPr>
        <w:t xml:space="preserve"> framework. So long as the individual laboured for truth, even if it did not lead </w:t>
      </w:r>
      <w:r w:rsidR="00096982">
        <w:rPr>
          <w:rFonts w:ascii="Garamond" w:hAnsi="Garamond"/>
          <w:sz w:val="24"/>
        </w:rPr>
        <w:t>them</w:t>
      </w:r>
      <w:r>
        <w:rPr>
          <w:rFonts w:ascii="Garamond" w:hAnsi="Garamond"/>
          <w:sz w:val="24"/>
        </w:rPr>
        <w:t xml:space="preserve"> to certainty, </w:t>
      </w:r>
      <w:r w:rsidR="00096982">
        <w:rPr>
          <w:rFonts w:ascii="Garamond" w:hAnsi="Garamond"/>
          <w:sz w:val="24"/>
        </w:rPr>
        <w:t>t</w:t>
      </w:r>
      <w:r>
        <w:rPr>
          <w:rFonts w:ascii="Garamond" w:hAnsi="Garamond"/>
          <w:sz w:val="24"/>
        </w:rPr>
        <w:t>he</w:t>
      </w:r>
      <w:r w:rsidR="00096982">
        <w:rPr>
          <w:rFonts w:ascii="Garamond" w:hAnsi="Garamond"/>
          <w:sz w:val="24"/>
        </w:rPr>
        <w:t>y</w:t>
      </w:r>
      <w:r>
        <w:rPr>
          <w:rFonts w:ascii="Garamond" w:hAnsi="Garamond"/>
          <w:sz w:val="24"/>
        </w:rPr>
        <w:t xml:space="preserve"> would assuredly receive God’s mercy and favour:</w:t>
      </w:r>
    </w:p>
    <w:p w:rsidR="00337F31" w:rsidRPr="002E608C" w:rsidRDefault="00337F31" w:rsidP="00337F31">
      <w:pPr>
        <w:ind w:left="284" w:right="-330"/>
        <w:jc w:val="both"/>
        <w:rPr>
          <w:rFonts w:ascii="Garamond" w:hAnsi="Garamond"/>
          <w:sz w:val="24"/>
        </w:rPr>
      </w:pPr>
      <w:r w:rsidRPr="002E608C">
        <w:rPr>
          <w:rFonts w:ascii="Garamond" w:hAnsi="Garamond"/>
          <w:sz w:val="24"/>
        </w:rPr>
        <w:t>So, in the grea</w:t>
      </w:r>
      <w:r>
        <w:rPr>
          <w:rFonts w:ascii="Garamond" w:hAnsi="Garamond"/>
          <w:sz w:val="24"/>
        </w:rPr>
        <w:t>test part of our Concernment, [God]</w:t>
      </w:r>
      <w:r w:rsidRPr="002E608C">
        <w:rPr>
          <w:rFonts w:ascii="Garamond" w:hAnsi="Garamond"/>
          <w:sz w:val="24"/>
        </w:rPr>
        <w:t xml:space="preserve"> has afforded us only the twilight, as I may so say, of </w:t>
      </w:r>
      <w:r w:rsidRPr="002E608C">
        <w:rPr>
          <w:rFonts w:ascii="Garamond" w:hAnsi="Garamond"/>
          <w:i/>
          <w:sz w:val="24"/>
        </w:rPr>
        <w:t>Probability</w:t>
      </w:r>
      <w:r w:rsidRPr="002E608C">
        <w:rPr>
          <w:rFonts w:ascii="Garamond" w:hAnsi="Garamond"/>
          <w:sz w:val="24"/>
        </w:rPr>
        <w:t xml:space="preserve">; suitable, I presume, to that State of Mediocrity and </w:t>
      </w:r>
      <w:proofErr w:type="spellStart"/>
      <w:r w:rsidRPr="002E608C">
        <w:rPr>
          <w:rFonts w:ascii="Garamond" w:hAnsi="Garamond"/>
          <w:sz w:val="24"/>
        </w:rPr>
        <w:t>Probationership</w:t>
      </w:r>
      <w:proofErr w:type="spellEnd"/>
      <w:r w:rsidRPr="002E608C">
        <w:rPr>
          <w:rFonts w:ascii="Garamond" w:hAnsi="Garamond"/>
          <w:sz w:val="24"/>
        </w:rPr>
        <w:t xml:space="preserve">, he has been pleased to place us in here; wherein to check our over-confidence and presumption, we might by every day’s Experience be made sensible of our short-sightedness and liableness to Error; the Sense whereof might be a constant Admonition to us, to spend the days of this our Pilgrimage with Industry and Care, in the search, and following of that way, which might lead us </w:t>
      </w:r>
      <w:r w:rsidRPr="002E608C">
        <w:rPr>
          <w:rFonts w:ascii="Garamond" w:hAnsi="Garamond"/>
          <w:sz w:val="24"/>
        </w:rPr>
        <w:lastRenderedPageBreak/>
        <w:t xml:space="preserve">to a State of greater Perfection. It being highly rational to </w:t>
      </w:r>
      <w:proofErr w:type="gramStart"/>
      <w:r w:rsidRPr="002E608C">
        <w:rPr>
          <w:rFonts w:ascii="Garamond" w:hAnsi="Garamond"/>
          <w:sz w:val="24"/>
        </w:rPr>
        <w:t>think,</w:t>
      </w:r>
      <w:proofErr w:type="gramEnd"/>
      <w:r w:rsidRPr="002E608C">
        <w:rPr>
          <w:rFonts w:ascii="Garamond" w:hAnsi="Garamond"/>
          <w:sz w:val="24"/>
        </w:rPr>
        <w:t xml:space="preserve"> even were Revelation silent in the Case, That as Men employ those Talents, God has given them here, they shall accordingly receive their Rewards at the close of the day, when their Sun shall set, and Night shall put an end to their Labours. (</w:t>
      </w:r>
      <w:r w:rsidRPr="002E608C">
        <w:rPr>
          <w:rFonts w:ascii="Garamond" w:hAnsi="Garamond"/>
          <w:i/>
          <w:sz w:val="24"/>
        </w:rPr>
        <w:t>EHU</w:t>
      </w:r>
      <w:r w:rsidRPr="002E608C">
        <w:rPr>
          <w:rFonts w:ascii="Garamond" w:hAnsi="Garamond"/>
          <w:sz w:val="24"/>
        </w:rPr>
        <w:t>, 4.14.2)</w:t>
      </w:r>
    </w:p>
    <w:p w:rsidR="00337F31" w:rsidRDefault="00337F31" w:rsidP="00337F31">
      <w:pPr>
        <w:spacing w:line="360" w:lineRule="auto"/>
        <w:ind w:left="-284" w:right="-330"/>
        <w:jc w:val="both"/>
        <w:rPr>
          <w:rFonts w:ascii="Garamond" w:hAnsi="Garamond"/>
          <w:sz w:val="24"/>
        </w:rPr>
      </w:pPr>
      <w:r>
        <w:rPr>
          <w:rFonts w:ascii="Garamond" w:hAnsi="Garamond"/>
          <w:sz w:val="24"/>
        </w:rPr>
        <w:t>As Locke’s warning that we must ‘check our over-confidence and presumption’ suggests, the greatest danger lay in refusing to rest content with the limited insights of philosophy, in order to seek certainty where it could not be had. The ancient moralists, with the notable exception of Cicero, had succumbed to an inherent frailty within human nature which compelled the individual to avoid at all costs the anxiety caused by doubt and uncertainty. This was why they had devised, and sought dogmatically to defend, their non-theological (and hence groundless) definitions of moral obligation.</w:t>
      </w:r>
    </w:p>
    <w:p w:rsidR="00337F31" w:rsidRDefault="00337F31" w:rsidP="00337F31">
      <w:pPr>
        <w:spacing w:line="360" w:lineRule="auto"/>
        <w:ind w:left="-284" w:right="-330"/>
        <w:jc w:val="both"/>
        <w:rPr>
          <w:rFonts w:ascii="Garamond" w:hAnsi="Garamond"/>
          <w:sz w:val="24"/>
        </w:rPr>
      </w:pPr>
      <w:r>
        <w:rPr>
          <w:rFonts w:ascii="Garamond" w:hAnsi="Garamond"/>
          <w:sz w:val="24"/>
        </w:rPr>
        <w:t>Locke’s pronounced admiration for Cicero’s</w:t>
      </w:r>
      <w:r w:rsidR="00CF2843">
        <w:rPr>
          <w:rFonts w:ascii="Garamond" w:hAnsi="Garamond"/>
          <w:sz w:val="24"/>
        </w:rPr>
        <w:t xml:space="preserve"> ethical handbook</w:t>
      </w:r>
      <w:r>
        <w:rPr>
          <w:rFonts w:ascii="Garamond" w:hAnsi="Garamond"/>
          <w:sz w:val="24"/>
        </w:rPr>
        <w:t xml:space="preserve"> </w:t>
      </w:r>
      <w:r>
        <w:rPr>
          <w:rFonts w:ascii="Garamond" w:hAnsi="Garamond"/>
          <w:i/>
          <w:sz w:val="24"/>
        </w:rPr>
        <w:t xml:space="preserve">De </w:t>
      </w:r>
      <w:proofErr w:type="spellStart"/>
      <w:r>
        <w:rPr>
          <w:rFonts w:ascii="Garamond" w:hAnsi="Garamond"/>
          <w:i/>
          <w:sz w:val="24"/>
        </w:rPr>
        <w:t>Officiis</w:t>
      </w:r>
      <w:proofErr w:type="spellEnd"/>
      <w:r>
        <w:rPr>
          <w:rFonts w:ascii="Garamond" w:hAnsi="Garamond"/>
          <w:sz w:val="24"/>
        </w:rPr>
        <w:t xml:space="preserve"> needs to be understood in this context.</w:t>
      </w:r>
      <w:r w:rsidR="00CF2843" w:rsidRPr="004C2747">
        <w:rPr>
          <w:rFonts w:ascii="Garamond" w:hAnsi="Garamond"/>
          <w:sz w:val="24"/>
          <w:vertAlign w:val="superscript"/>
        </w:rPr>
        <w:footnoteReference w:id="34"/>
      </w:r>
      <w:r>
        <w:rPr>
          <w:rFonts w:ascii="Garamond" w:hAnsi="Garamond"/>
          <w:sz w:val="24"/>
        </w:rPr>
        <w:t xml:space="preserve"> In the work, Cicero quite explicitly set to one side the intractable question of the true </w:t>
      </w:r>
      <w:r w:rsidR="00CF7A21">
        <w:rPr>
          <w:rFonts w:ascii="Garamond" w:hAnsi="Garamond"/>
          <w:sz w:val="24"/>
        </w:rPr>
        <w:t>foundations of moral obligation.</w:t>
      </w:r>
      <w:r>
        <w:rPr>
          <w:rFonts w:ascii="Garamond" w:hAnsi="Garamond"/>
          <w:sz w:val="24"/>
        </w:rPr>
        <w:t xml:space="preserve"> </w:t>
      </w:r>
      <w:r w:rsidR="00CF7A21" w:rsidRPr="00841883">
        <w:rPr>
          <w:rFonts w:ascii="Garamond" w:hAnsi="Garamond"/>
          <w:iCs/>
          <w:sz w:val="24"/>
        </w:rPr>
        <w:t>The ‘virtues’ discussed by Cicero relate</w:t>
      </w:r>
      <w:r w:rsidR="00CF7A21">
        <w:rPr>
          <w:rFonts w:ascii="Garamond" w:hAnsi="Garamond"/>
          <w:iCs/>
          <w:sz w:val="24"/>
        </w:rPr>
        <w:t>d directly and explicitly</w:t>
      </w:r>
      <w:r w:rsidR="00CF7A21" w:rsidRPr="00841883">
        <w:rPr>
          <w:rFonts w:ascii="Garamond" w:hAnsi="Garamond"/>
          <w:iCs/>
          <w:sz w:val="24"/>
        </w:rPr>
        <w:t xml:space="preserve"> </w:t>
      </w:r>
      <w:r w:rsidR="00CF7A21">
        <w:rPr>
          <w:rFonts w:ascii="Garamond" w:hAnsi="Garamond"/>
          <w:iCs/>
          <w:sz w:val="24"/>
        </w:rPr>
        <w:t>‘</w:t>
      </w:r>
      <w:r w:rsidR="00CF7A21" w:rsidRPr="00841883">
        <w:rPr>
          <w:rFonts w:ascii="Garamond" w:hAnsi="Garamond"/>
          <w:iCs/>
          <w:sz w:val="24"/>
        </w:rPr>
        <w:t>to considerateness and to the approbation of our fellow men’</w:t>
      </w:r>
      <w:r w:rsidR="00CF7A21">
        <w:rPr>
          <w:rFonts w:ascii="Garamond" w:hAnsi="Garamond"/>
          <w:iCs/>
          <w:sz w:val="24"/>
        </w:rPr>
        <w:t>, rather than to a normative standard of moral rectitude</w:t>
      </w:r>
      <w:r w:rsidR="00CF7A21" w:rsidRPr="00841883">
        <w:rPr>
          <w:rFonts w:ascii="Garamond" w:hAnsi="Garamond"/>
          <w:iCs/>
          <w:sz w:val="24"/>
        </w:rPr>
        <w:t>.</w:t>
      </w:r>
      <w:r w:rsidR="00CF7A21">
        <w:rPr>
          <w:rFonts w:ascii="Garamond" w:hAnsi="Garamond"/>
          <w:sz w:val="24"/>
        </w:rPr>
        <w:t xml:space="preserve"> Cicero</w:t>
      </w:r>
      <w:r>
        <w:rPr>
          <w:rFonts w:ascii="Garamond" w:hAnsi="Garamond"/>
          <w:sz w:val="24"/>
        </w:rPr>
        <w:t xml:space="preserve"> advocated virtue on account of the benefits and pleasure that accrued to the upstanding individual.</w:t>
      </w:r>
      <w:r w:rsidR="00161A9B">
        <w:rPr>
          <w:rFonts w:ascii="Garamond" w:hAnsi="Garamond"/>
          <w:sz w:val="24"/>
        </w:rPr>
        <w:t xml:space="preserve"> </w:t>
      </w:r>
      <w:r>
        <w:rPr>
          <w:rFonts w:ascii="Garamond" w:hAnsi="Garamond"/>
          <w:sz w:val="24"/>
        </w:rPr>
        <w:t>In particular, Cicero drew attention to the individual’s desire for esteem: that is, f</w:t>
      </w:r>
      <w:r w:rsidR="0055457E">
        <w:rPr>
          <w:rFonts w:ascii="Garamond" w:hAnsi="Garamond"/>
          <w:sz w:val="24"/>
        </w:rPr>
        <w:t>or the good opinion of one’s</w:t>
      </w:r>
      <w:r>
        <w:rPr>
          <w:rFonts w:ascii="Garamond" w:hAnsi="Garamond"/>
          <w:sz w:val="24"/>
        </w:rPr>
        <w:t xml:space="preserve"> neighbours. This, he argued, was the source of pleasure to every individual; and the enjoyment of a good reputation further empowered and incentivised individual</w:t>
      </w:r>
      <w:r w:rsidR="0055457E">
        <w:rPr>
          <w:rFonts w:ascii="Garamond" w:hAnsi="Garamond"/>
          <w:sz w:val="24"/>
        </w:rPr>
        <w:t>s</w:t>
      </w:r>
      <w:r>
        <w:rPr>
          <w:rFonts w:ascii="Garamond" w:hAnsi="Garamond"/>
          <w:sz w:val="24"/>
        </w:rPr>
        <w:t xml:space="preserve"> to exert </w:t>
      </w:r>
      <w:r w:rsidR="0055457E">
        <w:rPr>
          <w:rFonts w:ascii="Garamond" w:hAnsi="Garamond"/>
          <w:sz w:val="24"/>
        </w:rPr>
        <w:t>themselves</w:t>
      </w:r>
      <w:r>
        <w:rPr>
          <w:rFonts w:ascii="Garamond" w:hAnsi="Garamond"/>
          <w:sz w:val="24"/>
        </w:rPr>
        <w:t xml:space="preserve"> on behalf of the community of which </w:t>
      </w:r>
      <w:r w:rsidR="0055457E">
        <w:rPr>
          <w:rFonts w:ascii="Garamond" w:hAnsi="Garamond"/>
          <w:sz w:val="24"/>
        </w:rPr>
        <w:t>t</w:t>
      </w:r>
      <w:r>
        <w:rPr>
          <w:rFonts w:ascii="Garamond" w:hAnsi="Garamond"/>
          <w:sz w:val="24"/>
        </w:rPr>
        <w:t>he</w:t>
      </w:r>
      <w:r w:rsidR="0055457E">
        <w:rPr>
          <w:rFonts w:ascii="Garamond" w:hAnsi="Garamond"/>
          <w:sz w:val="24"/>
        </w:rPr>
        <w:t>y were</w:t>
      </w:r>
      <w:r>
        <w:rPr>
          <w:rFonts w:ascii="Garamond" w:hAnsi="Garamond"/>
          <w:sz w:val="24"/>
        </w:rPr>
        <w:t xml:space="preserve"> a part. </w:t>
      </w:r>
      <w:r w:rsidRPr="00841883">
        <w:rPr>
          <w:rFonts w:ascii="Garamond" w:hAnsi="Garamond"/>
          <w:iCs/>
          <w:sz w:val="24"/>
        </w:rPr>
        <w:t xml:space="preserve">Cicero actively </w:t>
      </w:r>
      <w:r>
        <w:rPr>
          <w:rFonts w:ascii="Garamond" w:hAnsi="Garamond"/>
          <w:iCs/>
          <w:sz w:val="24"/>
        </w:rPr>
        <w:t>encouraged his reader</w:t>
      </w:r>
      <w:r w:rsidRPr="00841883">
        <w:rPr>
          <w:rFonts w:ascii="Garamond" w:hAnsi="Garamond"/>
          <w:iCs/>
          <w:sz w:val="24"/>
        </w:rPr>
        <w:t xml:space="preserve"> to perfect the ‘art of winning and retaining the affections of our fellow-men’, because the ability to ‘glide into the affections of the many’ </w:t>
      </w:r>
      <w:r>
        <w:rPr>
          <w:rFonts w:ascii="Garamond" w:hAnsi="Garamond"/>
          <w:iCs/>
          <w:sz w:val="24"/>
        </w:rPr>
        <w:t>was advantageous both to</w:t>
      </w:r>
      <w:r w:rsidRPr="00841883">
        <w:rPr>
          <w:rFonts w:ascii="Garamond" w:hAnsi="Garamond"/>
          <w:iCs/>
          <w:sz w:val="24"/>
        </w:rPr>
        <w:t xml:space="preserve"> the individual and </w:t>
      </w:r>
      <w:r>
        <w:rPr>
          <w:rFonts w:ascii="Garamond" w:hAnsi="Garamond"/>
          <w:iCs/>
          <w:sz w:val="24"/>
        </w:rPr>
        <w:t>to the community</w:t>
      </w:r>
      <w:r w:rsidRPr="00841883">
        <w:rPr>
          <w:rFonts w:ascii="Garamond" w:hAnsi="Garamond"/>
          <w:iCs/>
          <w:sz w:val="24"/>
        </w:rPr>
        <w:t xml:space="preserve">. ‘It is chiefly and indispensably necessary’, Cicero </w:t>
      </w:r>
      <w:r>
        <w:rPr>
          <w:rFonts w:ascii="Garamond" w:hAnsi="Garamond"/>
          <w:iCs/>
          <w:sz w:val="24"/>
        </w:rPr>
        <w:t>insisted</w:t>
      </w:r>
      <w:r w:rsidRPr="00841883">
        <w:rPr>
          <w:rFonts w:ascii="Garamond" w:hAnsi="Garamond"/>
          <w:iCs/>
          <w:sz w:val="24"/>
        </w:rPr>
        <w:t>, ‘that we should possess the faithful affections of those friends who love our persons and admire our qualities’, because ‘we never find real advantage except in good report, honour [and] virtue; therefore we esteem these things first and chief’.</w:t>
      </w:r>
      <w:r w:rsidR="00CF7A21" w:rsidRPr="00841883">
        <w:rPr>
          <w:rFonts w:ascii="Garamond" w:hAnsi="Garamond"/>
          <w:iCs/>
          <w:sz w:val="24"/>
          <w:vertAlign w:val="superscript"/>
        </w:rPr>
        <w:footnoteReference w:id="35"/>
      </w:r>
      <w:r w:rsidRPr="00841883">
        <w:rPr>
          <w:rFonts w:ascii="Garamond" w:eastAsia="Calibri" w:hAnsi="Garamond" w:cs="Times New Roman"/>
          <w:color w:val="000000"/>
          <w:sz w:val="24"/>
          <w:szCs w:val="24"/>
        </w:rPr>
        <w:t xml:space="preserve"> </w:t>
      </w:r>
    </w:p>
    <w:p w:rsidR="00337F31" w:rsidRDefault="00337F31" w:rsidP="00337F31">
      <w:pPr>
        <w:spacing w:line="360" w:lineRule="auto"/>
        <w:ind w:left="-284" w:right="-330"/>
        <w:jc w:val="both"/>
        <w:rPr>
          <w:rFonts w:ascii="Garamond" w:hAnsi="Garamond"/>
          <w:sz w:val="24"/>
        </w:rPr>
      </w:pPr>
      <w:r>
        <w:rPr>
          <w:rFonts w:ascii="Garamond" w:hAnsi="Garamond"/>
          <w:sz w:val="24"/>
        </w:rPr>
        <w:t xml:space="preserve">For Aristotle and the Stoics, this separation between moral motivation and obligation was untenable: true virtue required the individual to do the right thing </w:t>
      </w:r>
      <w:r w:rsidRPr="004C324B">
        <w:rPr>
          <w:rFonts w:ascii="Garamond" w:hAnsi="Garamond"/>
          <w:sz w:val="24"/>
        </w:rPr>
        <w:t>for the right reason</w:t>
      </w:r>
      <w:r>
        <w:rPr>
          <w:rFonts w:ascii="Garamond" w:hAnsi="Garamond"/>
          <w:sz w:val="24"/>
        </w:rPr>
        <w:t xml:space="preserve"> – that is, for a rational love of virtue </w:t>
      </w:r>
      <w:r w:rsidR="00C50428">
        <w:rPr>
          <w:rFonts w:ascii="Garamond" w:hAnsi="Garamond"/>
          <w:sz w:val="24"/>
        </w:rPr>
        <w:t xml:space="preserve">(the </w:t>
      </w:r>
      <w:proofErr w:type="spellStart"/>
      <w:r w:rsidR="00C50428">
        <w:rPr>
          <w:rFonts w:ascii="Garamond" w:hAnsi="Garamond"/>
          <w:i/>
          <w:sz w:val="24"/>
        </w:rPr>
        <w:t>summum</w:t>
      </w:r>
      <w:proofErr w:type="spellEnd"/>
      <w:r w:rsidR="00C50428">
        <w:rPr>
          <w:rFonts w:ascii="Garamond" w:hAnsi="Garamond"/>
          <w:i/>
          <w:sz w:val="24"/>
        </w:rPr>
        <w:t xml:space="preserve"> </w:t>
      </w:r>
      <w:proofErr w:type="spellStart"/>
      <w:r w:rsidR="00C50428">
        <w:rPr>
          <w:rFonts w:ascii="Garamond" w:hAnsi="Garamond"/>
          <w:i/>
          <w:sz w:val="24"/>
        </w:rPr>
        <w:t>bonum</w:t>
      </w:r>
      <w:proofErr w:type="spellEnd"/>
      <w:r w:rsidR="00C50428">
        <w:rPr>
          <w:rFonts w:ascii="Garamond" w:hAnsi="Garamond"/>
          <w:sz w:val="24"/>
        </w:rPr>
        <w:t>)</w:t>
      </w:r>
      <w:r w:rsidR="00C50428">
        <w:rPr>
          <w:rFonts w:ascii="Garamond" w:hAnsi="Garamond"/>
          <w:i/>
          <w:sz w:val="24"/>
        </w:rPr>
        <w:t xml:space="preserve"> </w:t>
      </w:r>
      <w:r>
        <w:rPr>
          <w:rFonts w:ascii="Garamond" w:hAnsi="Garamond"/>
          <w:sz w:val="24"/>
        </w:rPr>
        <w:t xml:space="preserve">for its own sake, not out of a concern for the praise of others. This objection was made even more vociferously by early Christian apologists, most notably Augustine: the true foundations of all moral virtue lay in a love of God, not a desire for the esteem of other (inherently </w:t>
      </w:r>
      <w:r>
        <w:rPr>
          <w:rFonts w:ascii="Garamond" w:hAnsi="Garamond"/>
          <w:sz w:val="24"/>
        </w:rPr>
        <w:lastRenderedPageBreak/>
        <w:t xml:space="preserve">sinful) men. In making this point, Augustine took aim at precisely the passages from </w:t>
      </w:r>
      <w:r>
        <w:rPr>
          <w:rFonts w:ascii="Garamond" w:hAnsi="Garamond"/>
          <w:i/>
          <w:sz w:val="24"/>
        </w:rPr>
        <w:t xml:space="preserve">De </w:t>
      </w:r>
      <w:proofErr w:type="spellStart"/>
      <w:r>
        <w:rPr>
          <w:rFonts w:ascii="Garamond" w:hAnsi="Garamond"/>
          <w:i/>
          <w:sz w:val="24"/>
        </w:rPr>
        <w:t>Officiis</w:t>
      </w:r>
      <w:proofErr w:type="spellEnd"/>
      <w:r>
        <w:rPr>
          <w:rFonts w:ascii="Garamond" w:hAnsi="Garamond"/>
          <w:sz w:val="24"/>
        </w:rPr>
        <w:t xml:space="preserve"> quoted above:</w:t>
      </w:r>
    </w:p>
    <w:p w:rsidR="00337F31" w:rsidRPr="00FC395F" w:rsidRDefault="00337F31" w:rsidP="00337F31">
      <w:pPr>
        <w:ind w:left="284" w:right="-330"/>
        <w:jc w:val="both"/>
        <w:rPr>
          <w:rFonts w:ascii="Garamond" w:hAnsi="Garamond"/>
          <w:sz w:val="24"/>
          <w:lang w:val="es-ES_tradnl"/>
        </w:rPr>
      </w:pPr>
      <w:r w:rsidRPr="00FC395F">
        <w:rPr>
          <w:rFonts w:ascii="Garamond" w:hAnsi="Garamond"/>
          <w:sz w:val="24"/>
          <w:lang w:val="es-ES_tradnl"/>
        </w:rPr>
        <w:t>There are, then, those who bridle their baser desires by means of the desire for human praise and glory, and not with the faith of godliness and the love of intelligible beauty given by the Holy Spirit. These are not, therefore, yet holy; they are only less vile. [...] Cicero himself was not able to conceal this fact [...]. Not only, then, did the men of old not resist this vice: they even considered it worthy to be aroused and kindled, supposing that it would be of benefit to the commonwealth. Not even in his philosophical books does Cicero conceal this pestilential opinion. Indeed, his admission of it there is as clear as day.</w:t>
      </w:r>
      <w:r w:rsidRPr="00841883">
        <w:rPr>
          <w:rFonts w:ascii="Garamond" w:hAnsi="Garamond"/>
          <w:iCs/>
          <w:sz w:val="24"/>
          <w:vertAlign w:val="superscript"/>
        </w:rPr>
        <w:footnoteReference w:id="36"/>
      </w:r>
    </w:p>
    <w:p w:rsidR="00337F31" w:rsidRDefault="00337F31" w:rsidP="00337F31">
      <w:pPr>
        <w:spacing w:line="360" w:lineRule="auto"/>
        <w:ind w:left="-284" w:right="-330"/>
        <w:jc w:val="both"/>
        <w:rPr>
          <w:rFonts w:ascii="Garamond" w:hAnsi="Garamond"/>
          <w:iCs/>
          <w:sz w:val="24"/>
        </w:rPr>
      </w:pPr>
      <w:r>
        <w:rPr>
          <w:rFonts w:ascii="Garamond" w:hAnsi="Garamond"/>
          <w:sz w:val="24"/>
        </w:rPr>
        <w:t xml:space="preserve">In marked contrast, Locke followed Cicero in drawing attention to the beneficial consequences of the individual’s natural concern for </w:t>
      </w:r>
      <w:r w:rsidR="008459B8">
        <w:rPr>
          <w:rFonts w:ascii="Garamond" w:hAnsi="Garamond"/>
          <w:sz w:val="24"/>
        </w:rPr>
        <w:t>praise</w:t>
      </w:r>
      <w:r>
        <w:rPr>
          <w:rFonts w:ascii="Garamond" w:hAnsi="Garamond"/>
          <w:sz w:val="24"/>
        </w:rPr>
        <w:t xml:space="preserve"> – which, in the </w:t>
      </w:r>
      <w:r>
        <w:rPr>
          <w:rFonts w:ascii="Garamond" w:hAnsi="Garamond"/>
          <w:i/>
          <w:sz w:val="24"/>
        </w:rPr>
        <w:t>Essay</w:t>
      </w:r>
      <w:r>
        <w:rPr>
          <w:rFonts w:ascii="Garamond" w:hAnsi="Garamond"/>
          <w:sz w:val="24"/>
        </w:rPr>
        <w:t xml:space="preserve">, he argued in practice acted as the most powerful motive in encouraging them to adhere to the moral rules by which their communities were regulated. Men’s ideas of virtue and vice, Locke declared, denominated </w:t>
      </w:r>
      <w:r w:rsidRPr="00C163B5">
        <w:rPr>
          <w:rFonts w:ascii="Garamond" w:hAnsi="Garamond"/>
          <w:iCs/>
          <w:sz w:val="24"/>
        </w:rPr>
        <w:t xml:space="preserve">‘nothing else, but that, which has the allowance of </w:t>
      </w:r>
      <w:proofErr w:type="spellStart"/>
      <w:r w:rsidRPr="00C163B5">
        <w:rPr>
          <w:rFonts w:ascii="Garamond" w:hAnsi="Garamond"/>
          <w:iCs/>
          <w:sz w:val="24"/>
        </w:rPr>
        <w:t>publick</w:t>
      </w:r>
      <w:proofErr w:type="spellEnd"/>
      <w:r w:rsidRPr="00C163B5">
        <w:rPr>
          <w:rFonts w:ascii="Garamond" w:hAnsi="Garamond"/>
          <w:iCs/>
          <w:sz w:val="24"/>
        </w:rPr>
        <w:t xml:space="preserve"> Esteem’ (</w:t>
      </w:r>
      <w:r w:rsidRPr="00C163B5">
        <w:rPr>
          <w:rFonts w:ascii="Garamond" w:hAnsi="Garamond"/>
          <w:i/>
          <w:iCs/>
          <w:sz w:val="24"/>
        </w:rPr>
        <w:t>EHU</w:t>
      </w:r>
      <w:r w:rsidRPr="00C163B5">
        <w:rPr>
          <w:rFonts w:ascii="Garamond" w:hAnsi="Garamond"/>
          <w:iCs/>
          <w:sz w:val="24"/>
        </w:rPr>
        <w:t xml:space="preserve"> 2.28.10-11)</w:t>
      </w:r>
      <w:r>
        <w:rPr>
          <w:rFonts w:ascii="Garamond" w:hAnsi="Garamond"/>
          <w:iCs/>
          <w:sz w:val="24"/>
        </w:rPr>
        <w:t>. In Locke’s writings</w:t>
      </w:r>
      <w:r w:rsidRPr="00C163B5">
        <w:rPr>
          <w:rFonts w:ascii="Garamond" w:hAnsi="Garamond"/>
          <w:iCs/>
          <w:sz w:val="24"/>
        </w:rPr>
        <w:t xml:space="preserve"> the commonplace link between a craving for esteem and concupiscence was all but severed</w:t>
      </w:r>
      <w:r>
        <w:rPr>
          <w:rFonts w:ascii="Garamond" w:hAnsi="Garamond"/>
          <w:iCs/>
          <w:sz w:val="24"/>
        </w:rPr>
        <w:t>: the desire for reputation was an essential part of man’s divinely-created nature</w:t>
      </w:r>
      <w:r w:rsidR="00D460A4">
        <w:rPr>
          <w:rFonts w:ascii="Garamond" w:hAnsi="Garamond"/>
          <w:iCs/>
          <w:sz w:val="24"/>
        </w:rPr>
        <w:t>,</w:t>
      </w:r>
      <w:r>
        <w:rPr>
          <w:rFonts w:ascii="Garamond" w:hAnsi="Garamond"/>
          <w:iCs/>
          <w:sz w:val="24"/>
        </w:rPr>
        <w:t xml:space="preserve"> rather than a consequence of post-</w:t>
      </w:r>
      <w:proofErr w:type="spellStart"/>
      <w:r>
        <w:rPr>
          <w:rFonts w:ascii="Garamond" w:hAnsi="Garamond"/>
          <w:iCs/>
          <w:sz w:val="24"/>
        </w:rPr>
        <w:t>lapsarian</w:t>
      </w:r>
      <w:proofErr w:type="spellEnd"/>
      <w:r>
        <w:rPr>
          <w:rFonts w:ascii="Garamond" w:hAnsi="Garamond"/>
          <w:iCs/>
          <w:sz w:val="24"/>
        </w:rPr>
        <w:t xml:space="preserve"> sin and depravity. It served a beneficial purpose, ensuring that Hobbes’s inherently self-interested and asocial individual came to take pleasure in acting in ways which contr</w:t>
      </w:r>
      <w:r w:rsidR="001C15B7">
        <w:rPr>
          <w:rFonts w:ascii="Garamond" w:hAnsi="Garamond"/>
          <w:iCs/>
          <w:sz w:val="24"/>
        </w:rPr>
        <w:t>ibuted to the common good of their</w:t>
      </w:r>
      <w:r>
        <w:rPr>
          <w:rFonts w:ascii="Garamond" w:hAnsi="Garamond"/>
          <w:iCs/>
          <w:sz w:val="24"/>
        </w:rPr>
        <w:t xml:space="preserve"> community, without the need for coercion by an all-powerful sovereign. In </w:t>
      </w:r>
      <w:r>
        <w:rPr>
          <w:rFonts w:ascii="Garamond" w:hAnsi="Garamond"/>
          <w:i/>
          <w:iCs/>
          <w:sz w:val="24"/>
        </w:rPr>
        <w:t>Some Thoughts</w:t>
      </w:r>
      <w:r w:rsidR="00CF2843">
        <w:rPr>
          <w:rFonts w:ascii="Garamond" w:hAnsi="Garamond"/>
          <w:i/>
          <w:iCs/>
          <w:sz w:val="24"/>
        </w:rPr>
        <w:t xml:space="preserve"> concerning Education</w:t>
      </w:r>
      <w:r w:rsidR="00CF2843">
        <w:rPr>
          <w:rFonts w:ascii="Garamond" w:hAnsi="Garamond"/>
          <w:iCs/>
          <w:sz w:val="24"/>
        </w:rPr>
        <w:t xml:space="preserve"> (1693), </w:t>
      </w:r>
      <w:r w:rsidR="00CF2843">
        <w:rPr>
          <w:rFonts w:ascii="Garamond" w:hAnsi="Garamond"/>
          <w:i/>
          <w:iCs/>
          <w:sz w:val="24"/>
        </w:rPr>
        <w:t xml:space="preserve">De </w:t>
      </w:r>
      <w:proofErr w:type="spellStart"/>
      <w:r w:rsidR="00CF2843">
        <w:rPr>
          <w:rFonts w:ascii="Garamond" w:hAnsi="Garamond"/>
          <w:i/>
          <w:iCs/>
          <w:sz w:val="24"/>
        </w:rPr>
        <w:t>Officiis</w:t>
      </w:r>
      <w:proofErr w:type="spellEnd"/>
      <w:r w:rsidR="00CF2843">
        <w:rPr>
          <w:rFonts w:ascii="Garamond" w:hAnsi="Garamond"/>
          <w:iCs/>
          <w:sz w:val="24"/>
        </w:rPr>
        <w:t xml:space="preserve"> was the only work of moral philosophy recommended by Locke, seemingly complementing rather than competing with the New Testament (the ultimate source of moral guidance).</w:t>
      </w:r>
      <w:r>
        <w:rPr>
          <w:rFonts w:ascii="Garamond" w:hAnsi="Garamond"/>
          <w:iCs/>
          <w:sz w:val="24"/>
        </w:rPr>
        <w:t xml:space="preserve"> Locke </w:t>
      </w:r>
      <w:r w:rsidR="00D460A4">
        <w:rPr>
          <w:rFonts w:ascii="Garamond" w:hAnsi="Garamond"/>
          <w:iCs/>
          <w:sz w:val="24"/>
        </w:rPr>
        <w:t>re</w:t>
      </w:r>
      <w:r w:rsidR="00CF2843">
        <w:rPr>
          <w:rFonts w:ascii="Garamond" w:hAnsi="Garamond"/>
          <w:iCs/>
          <w:sz w:val="24"/>
        </w:rPr>
        <w:t>commended</w:t>
      </w:r>
      <w:r>
        <w:rPr>
          <w:rFonts w:ascii="Garamond" w:hAnsi="Garamond"/>
          <w:iCs/>
          <w:sz w:val="24"/>
        </w:rPr>
        <w:t xml:space="preserve"> </w:t>
      </w:r>
      <w:r>
        <w:rPr>
          <w:rFonts w:ascii="Garamond" w:hAnsi="Garamond"/>
          <w:i/>
          <w:iCs/>
          <w:sz w:val="24"/>
        </w:rPr>
        <w:t xml:space="preserve">De </w:t>
      </w:r>
      <w:proofErr w:type="spellStart"/>
      <w:r>
        <w:rPr>
          <w:rFonts w:ascii="Garamond" w:hAnsi="Garamond"/>
          <w:i/>
          <w:iCs/>
          <w:sz w:val="24"/>
        </w:rPr>
        <w:t>Officiis</w:t>
      </w:r>
      <w:proofErr w:type="spellEnd"/>
      <w:r>
        <w:rPr>
          <w:rFonts w:ascii="Garamond" w:hAnsi="Garamond"/>
          <w:iCs/>
          <w:sz w:val="24"/>
        </w:rPr>
        <w:t xml:space="preserve"> for precisely the reason that Augustine rejected it:</w:t>
      </w:r>
    </w:p>
    <w:p w:rsidR="00337F31" w:rsidRPr="00C163B5" w:rsidRDefault="00337F31" w:rsidP="00337F31">
      <w:pPr>
        <w:ind w:left="284" w:right="-330"/>
        <w:jc w:val="both"/>
        <w:rPr>
          <w:rFonts w:ascii="Garamond" w:hAnsi="Garamond"/>
          <w:sz w:val="24"/>
          <w:lang w:val="es-ES_tradnl"/>
        </w:rPr>
      </w:pPr>
      <w:r w:rsidRPr="00C163B5">
        <w:rPr>
          <w:rFonts w:ascii="Garamond" w:hAnsi="Garamond"/>
          <w:sz w:val="24"/>
        </w:rPr>
        <w:t xml:space="preserve">The Knowledge of </w:t>
      </w:r>
      <w:proofErr w:type="spellStart"/>
      <w:r w:rsidRPr="00C163B5">
        <w:rPr>
          <w:rFonts w:ascii="Garamond" w:hAnsi="Garamond"/>
          <w:i/>
          <w:sz w:val="24"/>
        </w:rPr>
        <w:t>Vertue</w:t>
      </w:r>
      <w:proofErr w:type="spellEnd"/>
      <w:r w:rsidRPr="00C163B5">
        <w:rPr>
          <w:rFonts w:ascii="Garamond" w:hAnsi="Garamond"/>
          <w:sz w:val="24"/>
        </w:rPr>
        <w:t xml:space="preserve">, all along from the beginning, in all the Instances of which he is capable of, being taught him, more by Practice than Rules; and the love of Reputation instead of satisfying his Appetite, being made habitual in him, I know not whether he should read any other Discourses of Morality, but what he finds in the Bible; or have any System of </w:t>
      </w:r>
      <w:proofErr w:type="spellStart"/>
      <w:r w:rsidRPr="00C163B5">
        <w:rPr>
          <w:rFonts w:ascii="Garamond" w:hAnsi="Garamond"/>
          <w:i/>
          <w:sz w:val="24"/>
        </w:rPr>
        <w:t>Ethicks</w:t>
      </w:r>
      <w:proofErr w:type="spellEnd"/>
      <w:r w:rsidRPr="00C163B5">
        <w:rPr>
          <w:rFonts w:ascii="Garamond" w:hAnsi="Garamond"/>
          <w:sz w:val="24"/>
        </w:rPr>
        <w:t xml:space="preserve"> put into his Hand, till he can read </w:t>
      </w:r>
      <w:r w:rsidRPr="00C163B5">
        <w:rPr>
          <w:rFonts w:ascii="Garamond" w:hAnsi="Garamond"/>
          <w:i/>
          <w:sz w:val="24"/>
        </w:rPr>
        <w:t>Tully’s Offices</w:t>
      </w:r>
      <w:r w:rsidRPr="00C163B5">
        <w:rPr>
          <w:rFonts w:ascii="Garamond" w:hAnsi="Garamond"/>
          <w:sz w:val="24"/>
        </w:rPr>
        <w:t>.</w:t>
      </w:r>
      <w:r w:rsidRPr="00841883">
        <w:rPr>
          <w:rFonts w:ascii="Garamond" w:hAnsi="Garamond"/>
          <w:iCs/>
          <w:sz w:val="24"/>
          <w:vertAlign w:val="superscript"/>
        </w:rPr>
        <w:footnoteReference w:id="37"/>
      </w:r>
    </w:p>
    <w:p w:rsidR="00CF2843" w:rsidRPr="00C764D6" w:rsidRDefault="00337F31" w:rsidP="00CF2843">
      <w:pPr>
        <w:spacing w:line="360" w:lineRule="auto"/>
        <w:ind w:left="-284" w:right="-330"/>
        <w:jc w:val="both"/>
        <w:rPr>
          <w:rFonts w:ascii="Garamond" w:hAnsi="Garamond"/>
          <w:sz w:val="24"/>
        </w:rPr>
      </w:pPr>
      <w:r>
        <w:rPr>
          <w:rFonts w:ascii="Garamond" w:hAnsi="Garamond"/>
          <w:sz w:val="24"/>
        </w:rPr>
        <w:t xml:space="preserve">This brings us to the two, most fundamental reasons why Locke identified Cicero’s moral philosophy as </w:t>
      </w:r>
      <w:r>
        <w:rPr>
          <w:rFonts w:ascii="Garamond" w:hAnsi="Garamond"/>
          <w:i/>
          <w:sz w:val="24"/>
        </w:rPr>
        <w:t>uniquely</w:t>
      </w:r>
      <w:r>
        <w:rPr>
          <w:rFonts w:ascii="Garamond" w:hAnsi="Garamond"/>
          <w:sz w:val="24"/>
        </w:rPr>
        <w:t xml:space="preserve"> valuable. </w:t>
      </w:r>
      <w:r w:rsidR="00CF2843">
        <w:rPr>
          <w:rFonts w:ascii="Garamond" w:hAnsi="Garamond"/>
          <w:sz w:val="24"/>
        </w:rPr>
        <w:t xml:space="preserve">The first relates to the vexed relationship between reason and revelation, with which we began. When it came to ethics, Christ’s revelation had provided what philosophy (and the ancient moralists) had not: </w:t>
      </w:r>
      <w:r w:rsidR="001C15B7">
        <w:rPr>
          <w:rFonts w:ascii="Garamond" w:hAnsi="Garamond"/>
          <w:bCs/>
          <w:iCs/>
          <w:sz w:val="24"/>
        </w:rPr>
        <w:t>a comprehensive</w:t>
      </w:r>
      <w:r w:rsidR="00CF2843" w:rsidRPr="00086A26">
        <w:rPr>
          <w:rFonts w:ascii="Garamond" w:hAnsi="Garamond"/>
          <w:bCs/>
          <w:iCs/>
          <w:sz w:val="24"/>
        </w:rPr>
        <w:t xml:space="preserve"> account of men’s moral duties; an explanation of why they were obligatory; and a description of the sanctions enforcing them.</w:t>
      </w:r>
      <w:r w:rsidR="00CF2843">
        <w:rPr>
          <w:rFonts w:ascii="Garamond" w:hAnsi="Garamond"/>
          <w:bCs/>
          <w:iCs/>
          <w:sz w:val="24"/>
        </w:rPr>
        <w:t xml:space="preserve"> Cicero’s marginalisation of the question of moral obligation in </w:t>
      </w:r>
      <w:r w:rsidR="00CF2843">
        <w:rPr>
          <w:rFonts w:ascii="Garamond" w:hAnsi="Garamond"/>
          <w:bCs/>
          <w:i/>
          <w:iCs/>
          <w:sz w:val="24"/>
        </w:rPr>
        <w:t xml:space="preserve">De </w:t>
      </w:r>
      <w:proofErr w:type="spellStart"/>
      <w:r w:rsidR="00CF2843">
        <w:rPr>
          <w:rFonts w:ascii="Garamond" w:hAnsi="Garamond"/>
          <w:bCs/>
          <w:i/>
          <w:iCs/>
          <w:sz w:val="24"/>
        </w:rPr>
        <w:t>Officiis</w:t>
      </w:r>
      <w:proofErr w:type="spellEnd"/>
      <w:r w:rsidR="00CF2843">
        <w:rPr>
          <w:rFonts w:ascii="Garamond" w:hAnsi="Garamond"/>
          <w:bCs/>
          <w:iCs/>
          <w:sz w:val="24"/>
        </w:rPr>
        <w:t xml:space="preserve"> reflected, for Locke, the extent to which his methodological </w:t>
      </w:r>
      <w:r w:rsidR="00CF2843">
        <w:rPr>
          <w:rFonts w:ascii="Garamond" w:hAnsi="Garamond"/>
          <w:bCs/>
          <w:iCs/>
          <w:sz w:val="24"/>
        </w:rPr>
        <w:lastRenderedPageBreak/>
        <w:t xml:space="preserve">approach (academic scepticism) allowed him to identify the </w:t>
      </w:r>
      <w:r w:rsidR="00CF2843" w:rsidRPr="002F572E">
        <w:rPr>
          <w:rFonts w:ascii="Garamond" w:hAnsi="Garamond"/>
          <w:bCs/>
          <w:i/>
          <w:iCs/>
          <w:sz w:val="24"/>
        </w:rPr>
        <w:t>limits</w:t>
      </w:r>
      <w:r w:rsidR="00CF2843">
        <w:rPr>
          <w:rFonts w:ascii="Garamond" w:hAnsi="Garamond"/>
          <w:bCs/>
          <w:iCs/>
          <w:sz w:val="24"/>
        </w:rPr>
        <w:t xml:space="preserve"> of reason and philosophy</w:t>
      </w:r>
      <w:r w:rsidR="001C15B7">
        <w:rPr>
          <w:rFonts w:ascii="Garamond" w:hAnsi="Garamond"/>
          <w:bCs/>
          <w:iCs/>
          <w:sz w:val="24"/>
        </w:rPr>
        <w:t xml:space="preserve"> in the ethical realm</w:t>
      </w:r>
      <w:r w:rsidR="00CF2843">
        <w:rPr>
          <w:rFonts w:ascii="Garamond" w:hAnsi="Garamond"/>
          <w:bCs/>
          <w:iCs/>
          <w:sz w:val="24"/>
        </w:rPr>
        <w:t xml:space="preserve">. Locke quite nakedly identified his methodological approach in his ‘epistemological’ works, the </w:t>
      </w:r>
      <w:r w:rsidR="00CF2843">
        <w:rPr>
          <w:rFonts w:ascii="Garamond" w:hAnsi="Garamond"/>
          <w:bCs/>
          <w:i/>
          <w:iCs/>
          <w:sz w:val="24"/>
        </w:rPr>
        <w:t>Essay</w:t>
      </w:r>
      <w:r w:rsidR="00CF2843">
        <w:rPr>
          <w:rFonts w:ascii="Garamond" w:hAnsi="Garamond"/>
          <w:bCs/>
          <w:iCs/>
          <w:sz w:val="24"/>
        </w:rPr>
        <w:t xml:space="preserve"> and </w:t>
      </w:r>
      <w:r w:rsidR="001C15B7">
        <w:rPr>
          <w:rFonts w:ascii="Garamond" w:hAnsi="Garamond"/>
          <w:bCs/>
          <w:i/>
          <w:iCs/>
          <w:sz w:val="24"/>
        </w:rPr>
        <w:t xml:space="preserve">Of the </w:t>
      </w:r>
      <w:r w:rsidR="00CF2843">
        <w:rPr>
          <w:rFonts w:ascii="Garamond" w:hAnsi="Garamond"/>
          <w:bCs/>
          <w:i/>
          <w:iCs/>
          <w:sz w:val="24"/>
        </w:rPr>
        <w:t>Conduct of the Understanding</w:t>
      </w:r>
      <w:r w:rsidR="001C15B7">
        <w:rPr>
          <w:rFonts w:ascii="Garamond" w:hAnsi="Garamond"/>
          <w:bCs/>
          <w:iCs/>
          <w:sz w:val="24"/>
        </w:rPr>
        <w:t xml:space="preserve"> (1707)</w:t>
      </w:r>
      <w:r w:rsidR="00CF2843">
        <w:rPr>
          <w:rFonts w:ascii="Garamond" w:hAnsi="Garamond"/>
          <w:bCs/>
          <w:iCs/>
          <w:sz w:val="24"/>
        </w:rPr>
        <w:t>, with Cicero’s own: both carried epigraphs from Cicero’s writings, which emphasised the importance of recognising the limits of human understanding.</w:t>
      </w:r>
      <w:r w:rsidR="00D460A4" w:rsidRPr="0062140D">
        <w:rPr>
          <w:rFonts w:ascii="Garamond" w:hAnsi="Garamond"/>
          <w:sz w:val="24"/>
          <w:vertAlign w:val="superscript"/>
        </w:rPr>
        <w:footnoteReference w:id="38"/>
      </w:r>
      <w:r w:rsidR="00CF2843">
        <w:rPr>
          <w:rFonts w:ascii="Garamond" w:hAnsi="Garamond"/>
          <w:bCs/>
          <w:iCs/>
          <w:sz w:val="24"/>
        </w:rPr>
        <w:t xml:space="preserve"> Precisely because of his willingness to accept the limits of reason, Cicero advocated virtue with reference to the pleasure all men derived from a good reputation, rather than on the basis of its normative character, which remained unknown prior to Christ. </w:t>
      </w:r>
      <w:r w:rsidR="00D82A07">
        <w:rPr>
          <w:rFonts w:ascii="Garamond" w:hAnsi="Garamond"/>
          <w:sz w:val="24"/>
        </w:rPr>
        <w:t xml:space="preserve">From Locke’s perspective, Cicero focused on ‘secondary’ rather than ‘primary’ causes in the moral world, recognising the latter to remain hidden from view. </w:t>
      </w:r>
      <w:r w:rsidR="00CF2843">
        <w:rPr>
          <w:rFonts w:ascii="Garamond" w:hAnsi="Garamond"/>
          <w:bCs/>
          <w:iCs/>
          <w:sz w:val="24"/>
        </w:rPr>
        <w:t xml:space="preserve">Here, once again, Locke placed Cicero’s distinctively positive appraisal of a desire for recognition within a Christian </w:t>
      </w:r>
      <w:proofErr w:type="spellStart"/>
      <w:r w:rsidR="00CF2843">
        <w:rPr>
          <w:rFonts w:ascii="Garamond" w:hAnsi="Garamond"/>
          <w:bCs/>
          <w:iCs/>
          <w:sz w:val="24"/>
        </w:rPr>
        <w:t>providentialist</w:t>
      </w:r>
      <w:proofErr w:type="spellEnd"/>
      <w:r w:rsidR="00CF2843">
        <w:rPr>
          <w:rFonts w:ascii="Garamond" w:hAnsi="Garamond"/>
          <w:bCs/>
          <w:iCs/>
          <w:sz w:val="24"/>
        </w:rPr>
        <w:t xml:space="preserve"> framework. Due to God’s goodness and concern for the well-being of His creatures, </w:t>
      </w:r>
      <w:r w:rsidR="00CF2843" w:rsidRPr="00C764D6">
        <w:rPr>
          <w:rFonts w:ascii="Garamond" w:hAnsi="Garamond"/>
          <w:bCs/>
          <w:iCs/>
          <w:sz w:val="24"/>
        </w:rPr>
        <w:t xml:space="preserve">there was a harmony between those ideas of ‘virtue’ generated </w:t>
      </w:r>
      <w:r w:rsidR="00BD332D">
        <w:rPr>
          <w:rFonts w:ascii="Garamond" w:hAnsi="Garamond"/>
          <w:bCs/>
          <w:iCs/>
          <w:sz w:val="24"/>
        </w:rPr>
        <w:t xml:space="preserve">endogenously </w:t>
      </w:r>
      <w:r w:rsidR="00CF2843" w:rsidRPr="00C764D6">
        <w:rPr>
          <w:rFonts w:ascii="Garamond" w:hAnsi="Garamond"/>
          <w:bCs/>
          <w:iCs/>
          <w:sz w:val="24"/>
        </w:rPr>
        <w:t>within societies on account of their communal utility, and the normative commands embedded in natural law.</w:t>
      </w:r>
      <w:r w:rsidR="00CF2843">
        <w:rPr>
          <w:rFonts w:ascii="Garamond" w:hAnsi="Garamond"/>
          <w:bCs/>
          <w:iCs/>
          <w:sz w:val="24"/>
        </w:rPr>
        <w:t xml:space="preserve"> God had, </w:t>
      </w:r>
      <w:r w:rsidR="00CF2843" w:rsidRPr="00C764D6">
        <w:rPr>
          <w:rFonts w:ascii="Garamond" w:hAnsi="Garamond"/>
          <w:bCs/>
          <w:iCs/>
          <w:sz w:val="24"/>
        </w:rPr>
        <w:t xml:space="preserve">‘by an inseparable connexion, joined </w:t>
      </w:r>
      <w:r w:rsidR="00CF2843" w:rsidRPr="00C764D6">
        <w:rPr>
          <w:rFonts w:ascii="Garamond" w:hAnsi="Garamond"/>
          <w:bCs/>
          <w:i/>
          <w:iCs/>
          <w:sz w:val="24"/>
        </w:rPr>
        <w:t>Virtue</w:t>
      </w:r>
      <w:r w:rsidR="00CF2843" w:rsidRPr="00C764D6">
        <w:rPr>
          <w:rFonts w:ascii="Garamond" w:hAnsi="Garamond"/>
          <w:bCs/>
          <w:iCs/>
          <w:sz w:val="24"/>
        </w:rPr>
        <w:t xml:space="preserve"> and </w:t>
      </w:r>
      <w:proofErr w:type="spellStart"/>
      <w:r w:rsidR="00CF2843" w:rsidRPr="00C764D6">
        <w:rPr>
          <w:rFonts w:ascii="Garamond" w:hAnsi="Garamond"/>
          <w:bCs/>
          <w:iCs/>
          <w:sz w:val="24"/>
        </w:rPr>
        <w:t>publick</w:t>
      </w:r>
      <w:proofErr w:type="spellEnd"/>
      <w:r w:rsidR="00CF2843" w:rsidRPr="00C764D6">
        <w:rPr>
          <w:rFonts w:ascii="Garamond" w:hAnsi="Garamond"/>
          <w:bCs/>
          <w:iCs/>
          <w:sz w:val="24"/>
        </w:rPr>
        <w:t xml:space="preserve"> Happiness together; and made the Practice thereof, necessary to the preservation of Society, and visibly </w:t>
      </w:r>
      <w:r w:rsidR="00CF2843" w:rsidRPr="00C764D6">
        <w:rPr>
          <w:rFonts w:ascii="Garamond" w:hAnsi="Garamond"/>
          <w:bCs/>
          <w:i/>
          <w:iCs/>
          <w:sz w:val="24"/>
        </w:rPr>
        <w:t>beneficial</w:t>
      </w:r>
      <w:r w:rsidR="00CF2843" w:rsidRPr="00C764D6">
        <w:rPr>
          <w:rFonts w:ascii="Garamond" w:hAnsi="Garamond"/>
          <w:bCs/>
          <w:iCs/>
          <w:sz w:val="24"/>
        </w:rPr>
        <w:t xml:space="preserve"> to all, with whom the Virtuous Man has to do’ (</w:t>
      </w:r>
      <w:r w:rsidR="00CF2843" w:rsidRPr="00C764D6">
        <w:rPr>
          <w:rFonts w:ascii="Garamond" w:hAnsi="Garamond"/>
          <w:bCs/>
          <w:i/>
          <w:iCs/>
          <w:sz w:val="24"/>
        </w:rPr>
        <w:t xml:space="preserve">EHU </w:t>
      </w:r>
      <w:r w:rsidR="00CF2843" w:rsidRPr="00C764D6">
        <w:rPr>
          <w:rFonts w:ascii="Garamond" w:hAnsi="Garamond"/>
          <w:bCs/>
          <w:iCs/>
          <w:sz w:val="24"/>
        </w:rPr>
        <w:t>1.3.6).</w:t>
      </w:r>
      <w:r w:rsidR="00CF2843">
        <w:rPr>
          <w:rFonts w:ascii="Garamond" w:hAnsi="Garamond"/>
          <w:bCs/>
          <w:iCs/>
          <w:sz w:val="24"/>
        </w:rPr>
        <w:t xml:space="preserve"> A concern for reputation, it followed, allowed the socialised individual to be habituated to virtue, even as </w:t>
      </w:r>
      <w:r w:rsidR="001C15B7">
        <w:rPr>
          <w:rFonts w:ascii="Garamond" w:hAnsi="Garamond"/>
          <w:bCs/>
          <w:iCs/>
          <w:sz w:val="24"/>
        </w:rPr>
        <w:t>t</w:t>
      </w:r>
      <w:r w:rsidR="00CF2843">
        <w:rPr>
          <w:rFonts w:ascii="Garamond" w:hAnsi="Garamond"/>
          <w:bCs/>
          <w:iCs/>
          <w:sz w:val="24"/>
        </w:rPr>
        <w:t>he</w:t>
      </w:r>
      <w:r w:rsidR="001C15B7">
        <w:rPr>
          <w:rFonts w:ascii="Garamond" w:hAnsi="Garamond"/>
          <w:bCs/>
          <w:iCs/>
          <w:sz w:val="24"/>
        </w:rPr>
        <w:t>y</w:t>
      </w:r>
      <w:r w:rsidR="00CF2843">
        <w:rPr>
          <w:rFonts w:ascii="Garamond" w:hAnsi="Garamond"/>
          <w:bCs/>
          <w:iCs/>
          <w:sz w:val="24"/>
        </w:rPr>
        <w:t xml:space="preserve"> failed to understand the true reasons why </w:t>
      </w:r>
      <w:r w:rsidR="001C15B7">
        <w:rPr>
          <w:rFonts w:ascii="Garamond" w:hAnsi="Garamond"/>
          <w:bCs/>
          <w:iCs/>
          <w:sz w:val="24"/>
        </w:rPr>
        <w:t>t</w:t>
      </w:r>
      <w:r w:rsidR="00CF2843">
        <w:rPr>
          <w:rFonts w:ascii="Garamond" w:hAnsi="Garamond"/>
          <w:bCs/>
          <w:iCs/>
          <w:sz w:val="24"/>
        </w:rPr>
        <w:t>he</w:t>
      </w:r>
      <w:r w:rsidR="001C15B7">
        <w:rPr>
          <w:rFonts w:ascii="Garamond" w:hAnsi="Garamond"/>
          <w:bCs/>
          <w:iCs/>
          <w:sz w:val="24"/>
        </w:rPr>
        <w:t>y were obligated to lead</w:t>
      </w:r>
      <w:r w:rsidR="00CF2843">
        <w:rPr>
          <w:rFonts w:ascii="Garamond" w:hAnsi="Garamond"/>
          <w:bCs/>
          <w:iCs/>
          <w:sz w:val="24"/>
        </w:rPr>
        <w:t xml:space="preserve"> an ethical life. In the </w:t>
      </w:r>
      <w:r w:rsidR="00CF2843">
        <w:rPr>
          <w:rFonts w:ascii="Garamond" w:hAnsi="Garamond"/>
          <w:bCs/>
          <w:i/>
          <w:iCs/>
          <w:sz w:val="24"/>
        </w:rPr>
        <w:t>Essay</w:t>
      </w:r>
      <w:r w:rsidR="00CF2843">
        <w:rPr>
          <w:rFonts w:ascii="Garamond" w:hAnsi="Garamond"/>
          <w:bCs/>
          <w:iCs/>
          <w:sz w:val="24"/>
        </w:rPr>
        <w:t xml:space="preserve">, Locke touched upon this point quite explicitly: </w:t>
      </w:r>
      <w:r w:rsidR="00CF2843" w:rsidRPr="002F572E">
        <w:rPr>
          <w:rFonts w:ascii="Garamond" w:hAnsi="Garamond"/>
          <w:bCs/>
          <w:iCs/>
          <w:sz w:val="24"/>
        </w:rPr>
        <w:t xml:space="preserve">‘It must be allowed that several Moral Rules, may receive, from Mankind, a very general Approbation, </w:t>
      </w:r>
      <w:r w:rsidR="00CF2843" w:rsidRPr="002F572E">
        <w:rPr>
          <w:rFonts w:ascii="Garamond" w:hAnsi="Garamond"/>
          <w:bCs/>
          <w:i/>
          <w:iCs/>
          <w:sz w:val="24"/>
        </w:rPr>
        <w:t>without either knowing, or admitting the true ground of Morality</w:t>
      </w:r>
      <w:r w:rsidR="00CF2843" w:rsidRPr="002F572E">
        <w:rPr>
          <w:rFonts w:ascii="Garamond" w:hAnsi="Garamond"/>
          <w:bCs/>
          <w:iCs/>
          <w:sz w:val="24"/>
        </w:rPr>
        <w:t>’ (</w:t>
      </w:r>
      <w:r w:rsidR="00CF2843" w:rsidRPr="002F572E">
        <w:rPr>
          <w:rFonts w:ascii="Garamond" w:hAnsi="Garamond"/>
          <w:bCs/>
          <w:i/>
          <w:iCs/>
          <w:sz w:val="24"/>
        </w:rPr>
        <w:t>EHU</w:t>
      </w:r>
      <w:r w:rsidR="00CF2843" w:rsidRPr="002F572E">
        <w:rPr>
          <w:rFonts w:ascii="Garamond" w:hAnsi="Garamond"/>
          <w:bCs/>
          <w:iCs/>
          <w:sz w:val="24"/>
        </w:rPr>
        <w:t xml:space="preserve"> 1.3.6</w:t>
      </w:r>
      <w:r w:rsidR="00CF2843">
        <w:rPr>
          <w:rFonts w:ascii="Garamond" w:hAnsi="Garamond"/>
          <w:bCs/>
          <w:iCs/>
          <w:sz w:val="24"/>
        </w:rPr>
        <w:t>: italics added</w:t>
      </w:r>
      <w:r w:rsidR="00CF2843" w:rsidRPr="002F572E">
        <w:rPr>
          <w:rFonts w:ascii="Garamond" w:hAnsi="Garamond"/>
          <w:bCs/>
          <w:iCs/>
          <w:sz w:val="24"/>
        </w:rPr>
        <w:t>).</w:t>
      </w:r>
      <w:r w:rsidR="00CF2843" w:rsidRPr="002F572E">
        <w:rPr>
          <w:rFonts w:ascii="Garamond" w:hAnsi="Garamond"/>
          <w:bCs/>
          <w:iCs/>
          <w:sz w:val="24"/>
          <w:vertAlign w:val="superscript"/>
        </w:rPr>
        <w:footnoteReference w:id="39"/>
      </w:r>
      <w:r w:rsidR="00CF2843" w:rsidRPr="002F572E">
        <w:rPr>
          <w:rFonts w:ascii="Garamond" w:hAnsi="Garamond"/>
          <w:bCs/>
          <w:iCs/>
          <w:sz w:val="24"/>
        </w:rPr>
        <w:t xml:space="preserve"> </w:t>
      </w:r>
      <w:r w:rsidR="00CF2843">
        <w:rPr>
          <w:rFonts w:ascii="Garamond" w:hAnsi="Garamond"/>
          <w:bCs/>
          <w:iCs/>
          <w:sz w:val="24"/>
        </w:rPr>
        <w:t>Moral practice was possible in the absence of moral knowledge</w:t>
      </w:r>
      <w:r w:rsidR="00CC0542">
        <w:rPr>
          <w:rFonts w:ascii="Garamond" w:hAnsi="Garamond"/>
          <w:bCs/>
          <w:iCs/>
          <w:sz w:val="24"/>
        </w:rPr>
        <w:t xml:space="preserve">, </w:t>
      </w:r>
      <w:r w:rsidR="001C15B7">
        <w:rPr>
          <w:rFonts w:ascii="Garamond" w:hAnsi="Garamond"/>
          <w:bCs/>
          <w:iCs/>
          <w:sz w:val="24"/>
        </w:rPr>
        <w:t xml:space="preserve">which relied upon the correct identification of the </w:t>
      </w:r>
      <w:proofErr w:type="spellStart"/>
      <w:r w:rsidR="001C15B7">
        <w:rPr>
          <w:rFonts w:ascii="Garamond" w:hAnsi="Garamond"/>
          <w:bCs/>
          <w:i/>
          <w:iCs/>
          <w:sz w:val="24"/>
        </w:rPr>
        <w:t>summum</w:t>
      </w:r>
      <w:proofErr w:type="spellEnd"/>
      <w:r w:rsidR="001C15B7">
        <w:rPr>
          <w:rFonts w:ascii="Garamond" w:hAnsi="Garamond"/>
          <w:bCs/>
          <w:i/>
          <w:iCs/>
          <w:sz w:val="24"/>
        </w:rPr>
        <w:t xml:space="preserve"> </w:t>
      </w:r>
      <w:proofErr w:type="spellStart"/>
      <w:r w:rsidR="001C15B7">
        <w:rPr>
          <w:rFonts w:ascii="Garamond" w:hAnsi="Garamond"/>
          <w:bCs/>
          <w:i/>
          <w:iCs/>
          <w:sz w:val="24"/>
        </w:rPr>
        <w:t>bonum</w:t>
      </w:r>
      <w:proofErr w:type="spellEnd"/>
      <w:r w:rsidR="00CF2843">
        <w:rPr>
          <w:rFonts w:ascii="Garamond" w:hAnsi="Garamond"/>
          <w:bCs/>
          <w:iCs/>
          <w:sz w:val="24"/>
        </w:rPr>
        <w:t xml:space="preserve">. As </w:t>
      </w:r>
      <w:r w:rsidR="00CF2843">
        <w:rPr>
          <w:rFonts w:ascii="Garamond" w:hAnsi="Garamond"/>
          <w:bCs/>
          <w:i/>
          <w:iCs/>
          <w:sz w:val="24"/>
        </w:rPr>
        <w:t>Some Thoughts</w:t>
      </w:r>
      <w:r w:rsidR="00CF2843">
        <w:rPr>
          <w:rFonts w:ascii="Garamond" w:hAnsi="Garamond"/>
          <w:bCs/>
          <w:iCs/>
          <w:sz w:val="24"/>
        </w:rPr>
        <w:t xml:space="preserve"> suggests, in a Christian age such an individual might (and should) </w:t>
      </w:r>
      <w:r w:rsidR="00D460A4">
        <w:rPr>
          <w:rFonts w:ascii="Garamond" w:hAnsi="Garamond"/>
          <w:bCs/>
          <w:iCs/>
          <w:sz w:val="24"/>
        </w:rPr>
        <w:t>then turn to the Gospels</w:t>
      </w:r>
      <w:r w:rsidR="00CF2843">
        <w:rPr>
          <w:rFonts w:ascii="Garamond" w:hAnsi="Garamond"/>
          <w:bCs/>
          <w:iCs/>
          <w:sz w:val="24"/>
        </w:rPr>
        <w:t xml:space="preserve"> which, when read in the manner advocated by Locke, explained in the most comprehensive and comprehensible manner what the ancient moralists had not</w:t>
      </w:r>
      <w:r w:rsidR="00D460A4">
        <w:rPr>
          <w:rFonts w:ascii="Garamond" w:hAnsi="Garamond"/>
          <w:bCs/>
          <w:iCs/>
          <w:sz w:val="24"/>
        </w:rPr>
        <w:t xml:space="preserve">: </w:t>
      </w:r>
      <w:r w:rsidR="00CF2843">
        <w:rPr>
          <w:rFonts w:ascii="Garamond" w:hAnsi="Garamond"/>
          <w:bCs/>
          <w:iCs/>
          <w:sz w:val="24"/>
        </w:rPr>
        <w:t xml:space="preserve">the true reason why the individual </w:t>
      </w:r>
      <w:r w:rsidR="00CF2843">
        <w:rPr>
          <w:rFonts w:ascii="Garamond" w:hAnsi="Garamond"/>
          <w:bCs/>
          <w:i/>
          <w:iCs/>
          <w:sz w:val="24"/>
        </w:rPr>
        <w:t>ought</w:t>
      </w:r>
      <w:r w:rsidR="00CF2843">
        <w:rPr>
          <w:rFonts w:ascii="Garamond" w:hAnsi="Garamond"/>
          <w:bCs/>
          <w:iCs/>
          <w:sz w:val="24"/>
        </w:rPr>
        <w:t xml:space="preserve"> to live virtuously, as God’s creatures concerned for righteousness and salvation. </w:t>
      </w:r>
    </w:p>
    <w:p w:rsidR="001D6FAC" w:rsidRPr="00CF2843" w:rsidRDefault="00CF2843" w:rsidP="00CF2843">
      <w:pPr>
        <w:spacing w:line="360" w:lineRule="auto"/>
        <w:ind w:left="-284" w:right="-330"/>
        <w:jc w:val="both"/>
        <w:rPr>
          <w:rFonts w:ascii="Garamond" w:hAnsi="Garamond"/>
          <w:sz w:val="24"/>
        </w:rPr>
      </w:pPr>
      <w:r>
        <w:rPr>
          <w:rFonts w:ascii="Garamond" w:hAnsi="Garamond"/>
          <w:sz w:val="24"/>
        </w:rPr>
        <w:t xml:space="preserve">Second, and relatedly, Locke intimated that by pushing reason as far as it could go, but no further, Cicero would have recognised both the reasonableness and the necessity of the Christian revelation. From the perspective of practically every other ancient moralist, Locke suggested, Christ’s moral teaching would have appeared flatly to contradict reason, by locating the origins of moral duty in an external law of divine authorship rather than in human nature and reason. Their trenchant commitment to their erroneous moral theories would thereby have precluded them from appreciating the extent to </w:t>
      </w:r>
      <w:r>
        <w:rPr>
          <w:rFonts w:ascii="Garamond" w:hAnsi="Garamond"/>
          <w:sz w:val="24"/>
        </w:rPr>
        <w:lastRenderedPageBreak/>
        <w:t>which the Christian revelation enlarged upon – but did not contradict – the insights of true philosophy. As an academic sceptic, committed to a cautious, empirical and insistently self-critical philosophical approach, Cicero alone among the ancient moralists would have been receptive to the delivery of divine truth by Christ.</w:t>
      </w:r>
    </w:p>
    <w:p w:rsidR="001D6FAC" w:rsidRPr="006A18C8" w:rsidRDefault="00432053" w:rsidP="004A1465">
      <w:pPr>
        <w:pStyle w:val="ListParagraph"/>
        <w:numPr>
          <w:ilvl w:val="0"/>
          <w:numId w:val="4"/>
        </w:numPr>
        <w:spacing w:line="360" w:lineRule="auto"/>
        <w:ind w:right="-330" w:hanging="436"/>
        <w:jc w:val="center"/>
        <w:rPr>
          <w:rFonts w:ascii="Garamond" w:hAnsi="Garamond"/>
          <w:i/>
          <w:sz w:val="24"/>
        </w:rPr>
      </w:pPr>
      <w:r w:rsidRPr="006A18C8">
        <w:rPr>
          <w:rFonts w:ascii="Garamond" w:hAnsi="Garamond"/>
          <w:i/>
          <w:sz w:val="24"/>
        </w:rPr>
        <w:t>Christian apologetic in a philosophical age</w:t>
      </w:r>
      <w:r w:rsidR="001D6FAC" w:rsidRPr="006A18C8">
        <w:rPr>
          <w:rFonts w:ascii="Garamond" w:hAnsi="Garamond"/>
          <w:i/>
          <w:sz w:val="24"/>
        </w:rPr>
        <w:t>: doubt and faith</w:t>
      </w:r>
    </w:p>
    <w:p w:rsidR="00CF2843" w:rsidRPr="004D5A6F" w:rsidRDefault="00CF2843" w:rsidP="00CF2843">
      <w:pPr>
        <w:spacing w:line="360" w:lineRule="auto"/>
        <w:ind w:left="-284" w:right="-330"/>
        <w:jc w:val="both"/>
        <w:rPr>
          <w:rFonts w:ascii="Garamond" w:hAnsi="Garamond"/>
          <w:sz w:val="24"/>
        </w:rPr>
      </w:pPr>
      <w:r>
        <w:rPr>
          <w:rFonts w:ascii="Garamond" w:hAnsi="Garamond"/>
          <w:sz w:val="24"/>
        </w:rPr>
        <w:t xml:space="preserve">This point is well brought out if we examine Locke’s polemical exchanges with the most prestigious of his many contemporary critics: the Bishop of Worcester and renowned classical scholar, Edward </w:t>
      </w:r>
      <w:proofErr w:type="spellStart"/>
      <w:r>
        <w:rPr>
          <w:rFonts w:ascii="Garamond" w:hAnsi="Garamond"/>
          <w:sz w:val="24"/>
        </w:rPr>
        <w:t>Stillingfleet</w:t>
      </w:r>
      <w:proofErr w:type="spellEnd"/>
      <w:r>
        <w:rPr>
          <w:rFonts w:ascii="Garamond" w:hAnsi="Garamond"/>
          <w:sz w:val="24"/>
        </w:rPr>
        <w:t xml:space="preserve"> (1635-99).</w:t>
      </w:r>
      <w:r w:rsidR="00A21924" w:rsidRPr="002F572E">
        <w:rPr>
          <w:rFonts w:ascii="Garamond" w:hAnsi="Garamond"/>
          <w:bCs/>
          <w:iCs/>
          <w:sz w:val="24"/>
          <w:vertAlign w:val="superscript"/>
        </w:rPr>
        <w:footnoteReference w:id="40"/>
      </w:r>
      <w:r>
        <w:rPr>
          <w:rFonts w:ascii="Garamond" w:hAnsi="Garamond"/>
          <w:sz w:val="24"/>
        </w:rPr>
        <w:t xml:space="preserve"> </w:t>
      </w:r>
      <w:proofErr w:type="spellStart"/>
      <w:r>
        <w:rPr>
          <w:rFonts w:ascii="Garamond" w:hAnsi="Garamond"/>
          <w:sz w:val="24"/>
        </w:rPr>
        <w:t>Stillingfleet</w:t>
      </w:r>
      <w:proofErr w:type="spellEnd"/>
      <w:r>
        <w:rPr>
          <w:rFonts w:ascii="Garamond" w:hAnsi="Garamond"/>
          <w:sz w:val="24"/>
        </w:rPr>
        <w:t xml:space="preserve"> drew attention to what Locke’s contemporaries immediately recognised to be a deeply troubling aspect of his philosophy. We have seen that the existence of a divine legislator and a future state of rewards and punishments were essential to Locke’s moral theory. In 1663-4, Locke appears to have been supremely confident that these fundamental tenets could be established by ‘the light of nature alone’: that is, through empirical reasoning, and on the basis of </w:t>
      </w:r>
      <w:r w:rsidRPr="004C324B">
        <w:rPr>
          <w:rFonts w:ascii="Garamond" w:hAnsi="Garamond"/>
          <w:sz w:val="24"/>
        </w:rPr>
        <w:t>natural</w:t>
      </w:r>
      <w:r>
        <w:rPr>
          <w:rFonts w:ascii="Garamond" w:hAnsi="Garamond"/>
          <w:sz w:val="24"/>
        </w:rPr>
        <w:t xml:space="preserve"> theology.</w:t>
      </w:r>
      <w:r w:rsidRPr="002F572E">
        <w:rPr>
          <w:rFonts w:ascii="Garamond" w:hAnsi="Garamond"/>
          <w:bCs/>
          <w:iCs/>
          <w:sz w:val="24"/>
          <w:vertAlign w:val="superscript"/>
        </w:rPr>
        <w:footnoteReference w:id="41"/>
      </w:r>
      <w:r>
        <w:rPr>
          <w:rFonts w:ascii="Garamond" w:hAnsi="Garamond"/>
          <w:sz w:val="24"/>
        </w:rPr>
        <w:t xml:space="preserve"> The </w:t>
      </w:r>
      <w:r>
        <w:rPr>
          <w:rFonts w:ascii="Garamond" w:hAnsi="Garamond"/>
          <w:i/>
          <w:sz w:val="24"/>
        </w:rPr>
        <w:t>Essay</w:t>
      </w:r>
      <w:r>
        <w:rPr>
          <w:rFonts w:ascii="Garamond" w:hAnsi="Garamond"/>
          <w:sz w:val="24"/>
        </w:rPr>
        <w:t>, however, signally</w:t>
      </w:r>
      <w:r w:rsidR="00D460A4">
        <w:rPr>
          <w:rFonts w:ascii="Garamond" w:hAnsi="Garamond"/>
          <w:sz w:val="24"/>
        </w:rPr>
        <w:t xml:space="preserve"> failed to bear out this claim,</w:t>
      </w:r>
      <w:r>
        <w:rPr>
          <w:rFonts w:ascii="Garamond" w:hAnsi="Garamond"/>
          <w:sz w:val="24"/>
        </w:rPr>
        <w:t xml:space="preserve"> despite Locke’s continual insistence that such knowledge </w:t>
      </w:r>
      <w:r w:rsidRPr="004C324B">
        <w:rPr>
          <w:rFonts w:ascii="Garamond" w:hAnsi="Garamond"/>
          <w:sz w:val="24"/>
        </w:rPr>
        <w:t>might</w:t>
      </w:r>
      <w:r>
        <w:rPr>
          <w:rFonts w:ascii="Garamond" w:hAnsi="Garamond"/>
          <w:sz w:val="24"/>
        </w:rPr>
        <w:t xml:space="preserve"> be possible by this means.</w:t>
      </w:r>
      <w:r w:rsidRPr="002F572E">
        <w:rPr>
          <w:rFonts w:ascii="Garamond" w:hAnsi="Garamond"/>
          <w:bCs/>
          <w:iCs/>
          <w:sz w:val="24"/>
          <w:vertAlign w:val="superscript"/>
        </w:rPr>
        <w:footnoteReference w:id="42"/>
      </w:r>
      <w:r>
        <w:rPr>
          <w:rFonts w:ascii="Garamond" w:hAnsi="Garamond"/>
          <w:sz w:val="24"/>
        </w:rPr>
        <w:t xml:space="preserve"> This indicates how the development of Locke’s thinking on human psychology, language and epistemology complicated </w:t>
      </w:r>
      <w:r w:rsidR="0035280B">
        <w:rPr>
          <w:rFonts w:ascii="Garamond" w:hAnsi="Garamond"/>
          <w:sz w:val="24"/>
        </w:rPr>
        <w:t xml:space="preserve">and circumscribed </w:t>
      </w:r>
      <w:r>
        <w:rPr>
          <w:rFonts w:ascii="Garamond" w:hAnsi="Garamond"/>
          <w:sz w:val="24"/>
        </w:rPr>
        <w:t>his account of the reach and limits of reason</w:t>
      </w:r>
      <w:r w:rsidR="00712211">
        <w:rPr>
          <w:rFonts w:ascii="Garamond" w:hAnsi="Garamond"/>
          <w:sz w:val="24"/>
        </w:rPr>
        <w:t xml:space="preserve"> in the ethical sphere</w:t>
      </w:r>
      <w:r>
        <w:rPr>
          <w:rFonts w:ascii="Garamond" w:hAnsi="Garamond"/>
          <w:sz w:val="24"/>
        </w:rPr>
        <w:t>.</w:t>
      </w:r>
      <w:r w:rsidR="001C15B7" w:rsidRPr="002F572E">
        <w:rPr>
          <w:rFonts w:ascii="Garamond" w:hAnsi="Garamond"/>
          <w:bCs/>
          <w:iCs/>
          <w:sz w:val="24"/>
          <w:vertAlign w:val="superscript"/>
        </w:rPr>
        <w:footnoteReference w:id="43"/>
      </w:r>
      <w:r>
        <w:rPr>
          <w:rFonts w:ascii="Garamond" w:hAnsi="Garamond"/>
          <w:sz w:val="24"/>
        </w:rPr>
        <w:t xml:space="preserve"> Instead, in the </w:t>
      </w:r>
      <w:r>
        <w:rPr>
          <w:rFonts w:ascii="Garamond" w:hAnsi="Garamond"/>
          <w:i/>
          <w:sz w:val="24"/>
        </w:rPr>
        <w:t xml:space="preserve">Essay </w:t>
      </w:r>
      <w:r>
        <w:rPr>
          <w:rFonts w:ascii="Garamond" w:hAnsi="Garamond"/>
          <w:sz w:val="24"/>
        </w:rPr>
        <w:t>Locke offered proofs for the existenc</w:t>
      </w:r>
      <w:r w:rsidR="00D460A4">
        <w:rPr>
          <w:rFonts w:ascii="Garamond" w:hAnsi="Garamond"/>
          <w:sz w:val="24"/>
        </w:rPr>
        <w:t>e of God which were considered, quite understandably,</w:t>
      </w:r>
      <w:r>
        <w:rPr>
          <w:rFonts w:ascii="Garamond" w:hAnsi="Garamond"/>
          <w:sz w:val="24"/>
        </w:rPr>
        <w:t xml:space="preserve"> by his critics to be </w:t>
      </w:r>
      <w:r w:rsidR="001A1596">
        <w:rPr>
          <w:rFonts w:ascii="Garamond" w:hAnsi="Garamond"/>
          <w:sz w:val="24"/>
        </w:rPr>
        <w:t>inconclusive and</w:t>
      </w:r>
      <w:r>
        <w:rPr>
          <w:rFonts w:ascii="Garamond" w:hAnsi="Garamond"/>
          <w:sz w:val="24"/>
        </w:rPr>
        <w:t xml:space="preserve"> </w:t>
      </w:r>
      <w:proofErr w:type="gramStart"/>
      <w:r>
        <w:rPr>
          <w:rFonts w:ascii="Garamond" w:hAnsi="Garamond"/>
          <w:sz w:val="24"/>
        </w:rPr>
        <w:t>inadequate.</w:t>
      </w:r>
      <w:proofErr w:type="gramEnd"/>
      <w:r>
        <w:rPr>
          <w:rFonts w:ascii="Garamond" w:hAnsi="Garamond"/>
          <w:sz w:val="24"/>
        </w:rPr>
        <w:t xml:space="preserve"> Similarly, and perhaps more troublingly still, Locke launched a withering critique of the doctrine which was conventionally deployed in order to establish the existence of a future state: the immateriality of the soul. He did not offer anything like a philosophically-robust alternative in its place: something which does not appear to have troubled him unduly, despite the continual admonishment of his friends that this was a shortcoming which </w:t>
      </w:r>
      <w:r w:rsidRPr="004C324B">
        <w:rPr>
          <w:rFonts w:ascii="Garamond" w:hAnsi="Garamond"/>
          <w:sz w:val="24"/>
        </w:rPr>
        <w:t>had</w:t>
      </w:r>
      <w:r>
        <w:rPr>
          <w:rFonts w:ascii="Garamond" w:hAnsi="Garamond"/>
          <w:sz w:val="24"/>
        </w:rPr>
        <w:t xml:space="preserve"> to be rectified.</w:t>
      </w:r>
    </w:p>
    <w:p w:rsidR="00CF2843" w:rsidRPr="008B4318" w:rsidRDefault="00CF2843" w:rsidP="00CF2843">
      <w:pPr>
        <w:spacing w:line="360" w:lineRule="auto"/>
        <w:ind w:left="-284" w:right="-330"/>
        <w:jc w:val="both"/>
        <w:rPr>
          <w:rFonts w:ascii="Garamond" w:hAnsi="Garamond"/>
          <w:sz w:val="24"/>
        </w:rPr>
      </w:pPr>
      <w:r>
        <w:rPr>
          <w:rFonts w:ascii="Garamond" w:hAnsi="Garamond"/>
          <w:sz w:val="24"/>
        </w:rPr>
        <w:t xml:space="preserve">What was Locke up to? </w:t>
      </w:r>
      <w:r w:rsidR="004C324B">
        <w:rPr>
          <w:rFonts w:ascii="Garamond" w:hAnsi="Garamond"/>
          <w:sz w:val="24"/>
        </w:rPr>
        <w:t>I</w:t>
      </w:r>
      <w:r>
        <w:rPr>
          <w:rFonts w:ascii="Garamond" w:hAnsi="Garamond"/>
          <w:sz w:val="24"/>
        </w:rPr>
        <w:t xml:space="preserve">t is revealing to note that Locke’s proofs for the existence of God, </w:t>
      </w:r>
      <w:r w:rsidRPr="00D460A4">
        <w:rPr>
          <w:rFonts w:ascii="Garamond" w:hAnsi="Garamond"/>
          <w:sz w:val="24"/>
        </w:rPr>
        <w:t>and</w:t>
      </w:r>
      <w:r>
        <w:rPr>
          <w:rFonts w:ascii="Garamond" w:hAnsi="Garamond"/>
          <w:i/>
          <w:sz w:val="24"/>
        </w:rPr>
        <w:t xml:space="preserve"> </w:t>
      </w:r>
      <w:r>
        <w:rPr>
          <w:rFonts w:ascii="Garamond" w:hAnsi="Garamond"/>
          <w:sz w:val="24"/>
        </w:rPr>
        <w:t>his treatment of the immortality of the soul, were quite explicitly modelled on Cicero’s discussion of these issue</w:t>
      </w:r>
      <w:r w:rsidR="00E82FDD">
        <w:rPr>
          <w:rFonts w:ascii="Garamond" w:hAnsi="Garamond"/>
          <w:sz w:val="24"/>
        </w:rPr>
        <w:t>s in his philosophical writings. This debt</w:t>
      </w:r>
      <w:r>
        <w:rPr>
          <w:rFonts w:ascii="Garamond" w:hAnsi="Garamond"/>
          <w:sz w:val="24"/>
        </w:rPr>
        <w:t xml:space="preserve"> has, to my knowledge, escaped the attention of scholars. </w:t>
      </w:r>
      <w:r w:rsidR="004C324B">
        <w:rPr>
          <w:rFonts w:ascii="Garamond" w:hAnsi="Garamond"/>
          <w:sz w:val="24"/>
        </w:rPr>
        <w:t xml:space="preserve">In his rehearsal of philosophical arguments establishing </w:t>
      </w:r>
      <w:r>
        <w:rPr>
          <w:rFonts w:ascii="Garamond" w:hAnsi="Garamond"/>
          <w:sz w:val="24"/>
        </w:rPr>
        <w:t>God</w:t>
      </w:r>
      <w:r w:rsidR="004C324B">
        <w:rPr>
          <w:rFonts w:ascii="Garamond" w:hAnsi="Garamond"/>
          <w:sz w:val="24"/>
        </w:rPr>
        <w:t>’s existence, Locke</w:t>
      </w:r>
      <w:r>
        <w:rPr>
          <w:rFonts w:ascii="Garamond" w:hAnsi="Garamond"/>
          <w:sz w:val="24"/>
        </w:rPr>
        <w:t xml:space="preserve"> drew directly from </w:t>
      </w:r>
      <w:r>
        <w:rPr>
          <w:rFonts w:ascii="Garamond" w:hAnsi="Garamond"/>
          <w:i/>
          <w:sz w:val="24"/>
        </w:rPr>
        <w:t xml:space="preserve">De </w:t>
      </w:r>
      <w:proofErr w:type="spellStart"/>
      <w:r>
        <w:rPr>
          <w:rFonts w:ascii="Garamond" w:hAnsi="Garamond"/>
          <w:i/>
          <w:sz w:val="24"/>
        </w:rPr>
        <w:t>Legibus</w:t>
      </w:r>
      <w:proofErr w:type="spellEnd"/>
      <w:r>
        <w:rPr>
          <w:rFonts w:ascii="Garamond" w:hAnsi="Garamond"/>
          <w:sz w:val="24"/>
        </w:rPr>
        <w:t xml:space="preserve"> (</w:t>
      </w:r>
      <w:r>
        <w:rPr>
          <w:rFonts w:ascii="Garamond" w:hAnsi="Garamond"/>
          <w:i/>
          <w:sz w:val="24"/>
        </w:rPr>
        <w:t>EHU</w:t>
      </w:r>
      <w:r>
        <w:rPr>
          <w:rFonts w:ascii="Garamond" w:hAnsi="Garamond"/>
          <w:sz w:val="24"/>
        </w:rPr>
        <w:t xml:space="preserve"> 4.10.6). Meanwhile his discussion of immortality, upon which I focus, followed </w:t>
      </w:r>
      <w:proofErr w:type="spellStart"/>
      <w:r>
        <w:rPr>
          <w:rFonts w:ascii="Garamond" w:hAnsi="Garamond"/>
          <w:i/>
          <w:sz w:val="24"/>
        </w:rPr>
        <w:t>Tusculan</w:t>
      </w:r>
      <w:proofErr w:type="spellEnd"/>
      <w:r>
        <w:rPr>
          <w:rFonts w:ascii="Garamond" w:hAnsi="Garamond"/>
          <w:i/>
          <w:sz w:val="24"/>
        </w:rPr>
        <w:t xml:space="preserve"> </w:t>
      </w:r>
      <w:r>
        <w:rPr>
          <w:rFonts w:ascii="Garamond" w:hAnsi="Garamond"/>
          <w:i/>
          <w:sz w:val="24"/>
        </w:rPr>
        <w:lastRenderedPageBreak/>
        <w:t>Disputations</w:t>
      </w:r>
      <w:r>
        <w:rPr>
          <w:rFonts w:ascii="Garamond" w:hAnsi="Garamond"/>
          <w:sz w:val="24"/>
        </w:rPr>
        <w:t xml:space="preserve"> closely. </w:t>
      </w:r>
      <w:r w:rsidRPr="008B4318">
        <w:rPr>
          <w:rFonts w:ascii="Garamond" w:hAnsi="Garamond"/>
          <w:sz w:val="24"/>
        </w:rPr>
        <w:t xml:space="preserve">In the </w:t>
      </w:r>
      <w:r w:rsidRPr="008B4318">
        <w:rPr>
          <w:rFonts w:ascii="Garamond" w:hAnsi="Garamond"/>
          <w:i/>
          <w:sz w:val="24"/>
        </w:rPr>
        <w:t xml:space="preserve">Essay </w:t>
      </w:r>
      <w:r w:rsidRPr="008B4318">
        <w:rPr>
          <w:rFonts w:ascii="Garamond" w:hAnsi="Garamond"/>
          <w:sz w:val="24"/>
        </w:rPr>
        <w:t xml:space="preserve">Locke </w:t>
      </w:r>
      <w:r>
        <w:rPr>
          <w:rFonts w:ascii="Garamond" w:hAnsi="Garamond"/>
          <w:sz w:val="24"/>
        </w:rPr>
        <w:t>declared</w:t>
      </w:r>
      <w:r w:rsidRPr="008B4318">
        <w:rPr>
          <w:rFonts w:ascii="Garamond" w:hAnsi="Garamond"/>
          <w:sz w:val="24"/>
        </w:rPr>
        <w:t xml:space="preserve"> that the question of the immateriality of the soul ‘seems to me to be out of the reach of our Knowledge: And he who would give himself leave to consider freely, and look into the dark and intricate part of each Hypothesis, will scarce find his Reason able to determine fixedly’ one way or the other. Locke emphasised that he did not intend ‘to lessen the belief of the Soul’s immateriality’. He merely sought to show ‘how far our knowledge does reach’, since ‘the state we are at present in, not being that of Vision, we must, in many Things, content </w:t>
      </w:r>
      <w:proofErr w:type="spellStart"/>
      <w:r w:rsidRPr="008B4318">
        <w:rPr>
          <w:rFonts w:ascii="Garamond" w:hAnsi="Garamond"/>
          <w:sz w:val="24"/>
        </w:rPr>
        <w:t>our selves</w:t>
      </w:r>
      <w:proofErr w:type="spellEnd"/>
      <w:r w:rsidRPr="008B4318">
        <w:rPr>
          <w:rFonts w:ascii="Garamond" w:hAnsi="Garamond"/>
          <w:sz w:val="24"/>
        </w:rPr>
        <w:t xml:space="preserve"> with Faith and Probability’ (</w:t>
      </w:r>
      <w:r w:rsidRPr="008B4318">
        <w:rPr>
          <w:rFonts w:ascii="Garamond" w:hAnsi="Garamond"/>
          <w:i/>
          <w:sz w:val="24"/>
        </w:rPr>
        <w:t>EHU</w:t>
      </w:r>
      <w:r w:rsidRPr="008B4318">
        <w:rPr>
          <w:rFonts w:ascii="Garamond" w:hAnsi="Garamond"/>
          <w:sz w:val="24"/>
        </w:rPr>
        <w:t xml:space="preserve"> 4.3.6). In his treatment of the soul, Cicero’s </w:t>
      </w:r>
      <w:proofErr w:type="spellStart"/>
      <w:r w:rsidRPr="008B4318">
        <w:rPr>
          <w:rFonts w:ascii="Garamond" w:hAnsi="Garamond"/>
          <w:i/>
          <w:sz w:val="24"/>
        </w:rPr>
        <w:t>Tusculan</w:t>
      </w:r>
      <w:proofErr w:type="spellEnd"/>
      <w:r w:rsidRPr="008B4318">
        <w:rPr>
          <w:rFonts w:ascii="Garamond" w:hAnsi="Garamond"/>
          <w:i/>
          <w:sz w:val="24"/>
        </w:rPr>
        <w:t xml:space="preserve"> Disputations</w:t>
      </w:r>
      <w:r w:rsidRPr="008B4318">
        <w:rPr>
          <w:rFonts w:ascii="Garamond" w:hAnsi="Garamond"/>
          <w:sz w:val="24"/>
        </w:rPr>
        <w:t xml:space="preserve"> was Locke’s prime source in establishing ‘how far our knowledge does reach’. The fundamental point Locke sought to make was identical to Cicero’s own in that work: ‘we ought not to be over-confident in </w:t>
      </w:r>
      <w:proofErr w:type="spellStart"/>
      <w:r w:rsidRPr="008B4318">
        <w:rPr>
          <w:rFonts w:ascii="Garamond" w:hAnsi="Garamond"/>
          <w:sz w:val="24"/>
        </w:rPr>
        <w:t>any thing</w:t>
      </w:r>
      <w:proofErr w:type="spellEnd"/>
      <w:r w:rsidRPr="008B4318">
        <w:rPr>
          <w:rFonts w:ascii="Garamond" w:hAnsi="Garamond"/>
          <w:sz w:val="24"/>
        </w:rPr>
        <w:t>, for we are often influenced by some cleverly-drawn conclusion, we waver and change our opinion even in questions that are comparatively clear: much more in this question, for it has an element of obscurity’.</w:t>
      </w:r>
      <w:r w:rsidRPr="008B4318">
        <w:rPr>
          <w:rFonts w:ascii="Garamond" w:hAnsi="Garamond"/>
          <w:sz w:val="24"/>
          <w:vertAlign w:val="superscript"/>
        </w:rPr>
        <w:footnoteReference w:id="44"/>
      </w:r>
      <w:r w:rsidRPr="008B4318">
        <w:rPr>
          <w:rFonts w:ascii="Garamond" w:hAnsi="Garamond"/>
          <w:sz w:val="24"/>
        </w:rPr>
        <w:t xml:space="preserve"> Immortality could not seriously be doubted; immateriality, however, </w:t>
      </w:r>
      <w:r w:rsidR="00D460A4">
        <w:rPr>
          <w:rFonts w:ascii="Garamond" w:hAnsi="Garamond"/>
          <w:sz w:val="24"/>
        </w:rPr>
        <w:t>invit</w:t>
      </w:r>
      <w:r w:rsidRPr="008B4318">
        <w:rPr>
          <w:rFonts w:ascii="Garamond" w:hAnsi="Garamond"/>
          <w:sz w:val="24"/>
        </w:rPr>
        <w:t>ed precisely such doubt.</w:t>
      </w:r>
    </w:p>
    <w:p w:rsidR="00CF2843" w:rsidRPr="008B4318" w:rsidRDefault="00CF2843" w:rsidP="00CF2843">
      <w:pPr>
        <w:spacing w:line="360" w:lineRule="auto"/>
        <w:ind w:left="-284" w:right="-330"/>
        <w:jc w:val="both"/>
        <w:rPr>
          <w:rFonts w:ascii="Garamond" w:hAnsi="Garamond"/>
          <w:sz w:val="24"/>
        </w:rPr>
      </w:pPr>
      <w:r>
        <w:rPr>
          <w:rFonts w:ascii="Garamond" w:hAnsi="Garamond"/>
          <w:sz w:val="24"/>
        </w:rPr>
        <w:t xml:space="preserve">In his response to </w:t>
      </w:r>
      <w:proofErr w:type="spellStart"/>
      <w:r>
        <w:rPr>
          <w:rFonts w:ascii="Garamond" w:hAnsi="Garamond"/>
          <w:sz w:val="24"/>
        </w:rPr>
        <w:t>Stillingfleet’s</w:t>
      </w:r>
      <w:proofErr w:type="spellEnd"/>
      <w:r>
        <w:rPr>
          <w:rFonts w:ascii="Garamond" w:hAnsi="Garamond"/>
          <w:sz w:val="24"/>
        </w:rPr>
        <w:t xml:space="preserve"> criticisms, </w:t>
      </w:r>
      <w:r w:rsidRPr="008B4318">
        <w:rPr>
          <w:rFonts w:ascii="Garamond" w:hAnsi="Garamond"/>
          <w:sz w:val="24"/>
        </w:rPr>
        <w:t xml:space="preserve">Locke </w:t>
      </w:r>
      <w:r>
        <w:rPr>
          <w:rFonts w:ascii="Garamond" w:hAnsi="Garamond"/>
          <w:sz w:val="24"/>
        </w:rPr>
        <w:t>drew attention to this debt to Cicero</w:t>
      </w:r>
      <w:r w:rsidRPr="008B4318">
        <w:rPr>
          <w:rFonts w:ascii="Garamond" w:hAnsi="Garamond"/>
          <w:sz w:val="24"/>
        </w:rPr>
        <w:t>. Cicero had ‘examined all the arguments his vast reading and great parts could furnish him with’</w:t>
      </w:r>
      <w:r>
        <w:rPr>
          <w:rFonts w:ascii="Garamond" w:hAnsi="Garamond"/>
          <w:sz w:val="24"/>
        </w:rPr>
        <w:t xml:space="preserve"> regarding the nature of the soul</w:t>
      </w:r>
      <w:r w:rsidRPr="008B4318">
        <w:rPr>
          <w:rFonts w:ascii="Garamond" w:hAnsi="Garamond"/>
          <w:sz w:val="24"/>
        </w:rPr>
        <w:t xml:space="preserve">. Yet he remained ‘so far from being certain, so far from any thought he had, or could prove it, that he over and over again professes his ignorance and doubt of it’. </w:t>
      </w:r>
      <w:r>
        <w:rPr>
          <w:rFonts w:ascii="Garamond" w:hAnsi="Garamond"/>
          <w:sz w:val="24"/>
        </w:rPr>
        <w:t>Subjecting the</w:t>
      </w:r>
      <w:r w:rsidRPr="008B4318">
        <w:rPr>
          <w:rFonts w:ascii="Garamond" w:hAnsi="Garamond"/>
          <w:sz w:val="24"/>
        </w:rPr>
        <w:t xml:space="preserve"> arguments</w:t>
      </w:r>
      <w:r>
        <w:rPr>
          <w:rFonts w:ascii="Garamond" w:hAnsi="Garamond"/>
          <w:sz w:val="24"/>
        </w:rPr>
        <w:t xml:space="preserve"> of others to critical interrogation</w:t>
      </w:r>
      <w:r w:rsidRPr="008B4318">
        <w:rPr>
          <w:rFonts w:ascii="Garamond" w:hAnsi="Garamond"/>
          <w:sz w:val="24"/>
        </w:rPr>
        <w:t>, Cicero was content only to exclude the two gross elements of earth and water from the soul’s nature: ‘so far he is clear and positive: but beyond this he is uncertain; beyond this he could not get’.</w:t>
      </w:r>
      <w:r w:rsidRPr="008B4318">
        <w:rPr>
          <w:rFonts w:ascii="Garamond" w:hAnsi="Garamond"/>
          <w:sz w:val="24"/>
          <w:vertAlign w:val="superscript"/>
        </w:rPr>
        <w:footnoteReference w:id="45"/>
      </w:r>
      <w:r w:rsidRPr="008B4318">
        <w:rPr>
          <w:rFonts w:ascii="Garamond" w:hAnsi="Garamond"/>
          <w:sz w:val="24"/>
        </w:rPr>
        <w:t xml:space="preserve"> </w:t>
      </w:r>
      <w:proofErr w:type="spellStart"/>
      <w:r w:rsidRPr="008B4318">
        <w:rPr>
          <w:rFonts w:ascii="Garamond" w:hAnsi="Garamond"/>
          <w:sz w:val="24"/>
        </w:rPr>
        <w:t>Stillingfleet’s</w:t>
      </w:r>
      <w:proofErr w:type="spellEnd"/>
      <w:r w:rsidRPr="008B4318">
        <w:rPr>
          <w:rFonts w:ascii="Garamond" w:hAnsi="Garamond"/>
          <w:sz w:val="24"/>
        </w:rPr>
        <w:t xml:space="preserve"> </w:t>
      </w:r>
      <w:r>
        <w:rPr>
          <w:rFonts w:ascii="Garamond" w:hAnsi="Garamond"/>
          <w:sz w:val="24"/>
        </w:rPr>
        <w:t>insistence</w:t>
      </w:r>
      <w:r w:rsidRPr="008B4318">
        <w:rPr>
          <w:rFonts w:ascii="Garamond" w:hAnsi="Garamond"/>
          <w:sz w:val="24"/>
        </w:rPr>
        <w:t xml:space="preserve"> that Cicero had </w:t>
      </w:r>
      <w:r>
        <w:rPr>
          <w:rFonts w:ascii="Garamond" w:hAnsi="Garamond"/>
          <w:sz w:val="24"/>
        </w:rPr>
        <w:t>affirmed</w:t>
      </w:r>
      <w:r w:rsidRPr="008B4318">
        <w:rPr>
          <w:rFonts w:ascii="Garamond" w:hAnsi="Garamond"/>
          <w:sz w:val="24"/>
        </w:rPr>
        <w:t xml:space="preserve"> the metaphysical arguments in favour of immateriality </w:t>
      </w:r>
      <w:r>
        <w:rPr>
          <w:rFonts w:ascii="Garamond" w:hAnsi="Garamond"/>
          <w:sz w:val="24"/>
        </w:rPr>
        <w:t>advanced</w:t>
      </w:r>
      <w:r w:rsidRPr="008B4318">
        <w:rPr>
          <w:rFonts w:ascii="Garamond" w:hAnsi="Garamond"/>
          <w:sz w:val="24"/>
        </w:rPr>
        <w:t xml:space="preserve"> by his ‘Master’, Plato, in </w:t>
      </w:r>
      <w:proofErr w:type="spellStart"/>
      <w:r w:rsidRPr="008B4318">
        <w:rPr>
          <w:rFonts w:ascii="Garamond" w:hAnsi="Garamond"/>
          <w:i/>
          <w:sz w:val="24"/>
        </w:rPr>
        <w:t>Phaedo</w:t>
      </w:r>
      <w:proofErr w:type="spellEnd"/>
      <w:r w:rsidRPr="008B4318">
        <w:rPr>
          <w:rFonts w:ascii="Garamond" w:hAnsi="Garamond"/>
          <w:sz w:val="24"/>
        </w:rPr>
        <w:t xml:space="preserve"> was quite mistaken. ‘Cicero’, Locke replied, ‘was willing to believe the soul immortal, but when he sought in the nature of the soul itself something to establish </w:t>
      </w:r>
      <w:proofErr w:type="gramStart"/>
      <w:r w:rsidRPr="008B4318">
        <w:rPr>
          <w:rFonts w:ascii="Garamond" w:hAnsi="Garamond"/>
          <w:sz w:val="24"/>
        </w:rPr>
        <w:t>this his</w:t>
      </w:r>
      <w:proofErr w:type="gramEnd"/>
      <w:r w:rsidRPr="008B4318">
        <w:rPr>
          <w:rFonts w:ascii="Garamond" w:hAnsi="Garamond"/>
          <w:sz w:val="24"/>
        </w:rPr>
        <w:t xml:space="preserve"> belief into a certainty of it, he found himself at a loss’. Plato’s faith in his ‘all-sufficient reason’, as Cicero noted, led him to assert the pre-existence as well as immortality of the soul. This precluded the possibility of Creation, the Day of Judgment, and a future state.</w:t>
      </w:r>
      <w:r w:rsidRPr="008B4318">
        <w:rPr>
          <w:rFonts w:ascii="Garamond" w:hAnsi="Garamond"/>
          <w:sz w:val="24"/>
          <w:vertAlign w:val="superscript"/>
        </w:rPr>
        <w:footnoteReference w:id="46"/>
      </w:r>
      <w:r w:rsidRPr="008B4318">
        <w:rPr>
          <w:rFonts w:ascii="Garamond" w:hAnsi="Garamond"/>
          <w:sz w:val="24"/>
        </w:rPr>
        <w:t xml:space="preserve"> Metaphysical arguments led to true atheism. Physical arguments (an analogy with the natural world) encouraged, as Epicurean materialists showed, a denial of immortality and even of a God possessed of moral attributes who governed the world.</w:t>
      </w:r>
      <w:r>
        <w:rPr>
          <w:rFonts w:ascii="Garamond" w:hAnsi="Garamond"/>
          <w:sz w:val="24"/>
        </w:rPr>
        <w:t xml:space="preserve"> Only Cicero was able to identify – even as he probed – the limits of reason on this point; and it followed that, unlike the Platonists, Epicureans and Stoics, he had not embraced errors which flatly contradicted revealed Christian truth. He would, as a consequence, have recognised how Christ had revealed what philosophy could not discover:   </w:t>
      </w:r>
    </w:p>
    <w:p w:rsidR="00CF2843" w:rsidRDefault="00CF2843" w:rsidP="00CF2843">
      <w:pPr>
        <w:ind w:left="284" w:right="-330"/>
        <w:jc w:val="both"/>
        <w:rPr>
          <w:rFonts w:ascii="Garamond" w:hAnsi="Garamond"/>
          <w:sz w:val="24"/>
        </w:rPr>
      </w:pPr>
      <w:r w:rsidRPr="00957EFA">
        <w:rPr>
          <w:rFonts w:ascii="Garamond" w:hAnsi="Garamond"/>
          <w:sz w:val="24"/>
        </w:rPr>
        <w:lastRenderedPageBreak/>
        <w:t>So unmoveable is that truth delivered by the spirit of truth, that though the light of nature gave [Cicero] some obscure glimmering, some uncertain hopes of a future state; yet human reason could attain no clearness, no certainty about it, but that it was “JESUS CHRIST alone who brought life and immortality to light through the gospel”. Though we are now told, that to own the inability of natural reason to bring immortality to light, or, which passes for the same, to own principles upon which the immateriality of the soul (and, as it is urged, consequently its immortality) cannot be demonstratively proved; does lessen the belief in this article of revelation, which JESUS CHRIST alone has brought to light, and which consequently the scripture assures us is established and made certain only by revelation.</w:t>
      </w:r>
      <w:r w:rsidRPr="00957EFA">
        <w:rPr>
          <w:rFonts w:ascii="Garamond" w:hAnsi="Garamond"/>
          <w:sz w:val="24"/>
          <w:vertAlign w:val="superscript"/>
        </w:rPr>
        <w:footnoteReference w:id="47"/>
      </w:r>
    </w:p>
    <w:p w:rsidR="00CF2843" w:rsidRDefault="00CF2843" w:rsidP="00CF2843">
      <w:pPr>
        <w:spacing w:line="360" w:lineRule="auto"/>
        <w:ind w:left="-284" w:right="-330"/>
        <w:jc w:val="both"/>
        <w:rPr>
          <w:rFonts w:ascii="Garamond" w:hAnsi="Garamond"/>
          <w:sz w:val="24"/>
        </w:rPr>
      </w:pPr>
      <w:r>
        <w:rPr>
          <w:rFonts w:ascii="Garamond" w:hAnsi="Garamond"/>
          <w:sz w:val="24"/>
        </w:rPr>
        <w:t xml:space="preserve">In the </w:t>
      </w:r>
      <w:r>
        <w:rPr>
          <w:rFonts w:ascii="Garamond" w:hAnsi="Garamond"/>
          <w:i/>
          <w:sz w:val="24"/>
        </w:rPr>
        <w:t>Essay</w:t>
      </w:r>
      <w:r>
        <w:rPr>
          <w:rFonts w:ascii="Garamond" w:hAnsi="Garamond"/>
          <w:sz w:val="24"/>
        </w:rPr>
        <w:t xml:space="preserve">, Locke famously declared that his aim was to serve as </w:t>
      </w:r>
      <w:r w:rsidRPr="00167E19">
        <w:rPr>
          <w:rFonts w:ascii="Garamond" w:hAnsi="Garamond"/>
          <w:sz w:val="24"/>
        </w:rPr>
        <w:t>‘</w:t>
      </w:r>
      <w:r w:rsidRPr="00167E19">
        <w:rPr>
          <w:rFonts w:ascii="Garamond" w:hAnsi="Garamond"/>
          <w:i/>
          <w:sz w:val="24"/>
        </w:rPr>
        <w:t xml:space="preserve">under-Labourer </w:t>
      </w:r>
      <w:r w:rsidRPr="00167E19">
        <w:rPr>
          <w:rFonts w:ascii="Garamond" w:hAnsi="Garamond"/>
          <w:sz w:val="24"/>
        </w:rPr>
        <w:t>[…]</w:t>
      </w:r>
      <w:r w:rsidRPr="00167E19">
        <w:rPr>
          <w:rFonts w:ascii="Garamond" w:hAnsi="Garamond"/>
          <w:i/>
          <w:sz w:val="24"/>
        </w:rPr>
        <w:t>, removing some of the Rubbish, that lies in the way to Knowledge</w:t>
      </w:r>
      <w:r>
        <w:rPr>
          <w:rFonts w:ascii="Garamond" w:hAnsi="Garamond"/>
          <w:sz w:val="24"/>
        </w:rPr>
        <w:t>’ (</w:t>
      </w:r>
      <w:r>
        <w:rPr>
          <w:rFonts w:ascii="Garamond" w:hAnsi="Garamond"/>
          <w:i/>
          <w:sz w:val="24"/>
        </w:rPr>
        <w:t>EHU</w:t>
      </w:r>
      <w:r>
        <w:rPr>
          <w:rFonts w:ascii="Garamond" w:hAnsi="Garamond"/>
          <w:sz w:val="24"/>
        </w:rPr>
        <w:t xml:space="preserve">, ‘Epistle to the Reader’, p. 10). Much of this detritus had been foisted upon men’s minds by scholastic metaphysicians. Their erroneous defence of Christianity on the basis of philosophical arguments which were incapable of supporting the weight placed upon them had concealed the strongest evidence for the truth of Christianity: that it delivered what reason alone had, and could, not. Locke turned to Cicero in order to show how far ‘our knowledge </w:t>
      </w:r>
      <w:r w:rsidRPr="00C618FB">
        <w:rPr>
          <w:rFonts w:ascii="Garamond" w:hAnsi="Garamond"/>
          <w:sz w:val="24"/>
        </w:rPr>
        <w:t>does</w:t>
      </w:r>
      <w:r>
        <w:rPr>
          <w:rFonts w:ascii="Garamond" w:hAnsi="Garamond"/>
          <w:sz w:val="24"/>
        </w:rPr>
        <w:t xml:space="preserve"> reach’ – and </w:t>
      </w:r>
      <w:r>
        <w:rPr>
          <w:rFonts w:ascii="Garamond" w:hAnsi="Garamond"/>
          <w:i/>
          <w:sz w:val="24"/>
        </w:rPr>
        <w:t>had reached</w:t>
      </w:r>
      <w:r>
        <w:rPr>
          <w:rFonts w:ascii="Garamond" w:hAnsi="Garamond"/>
          <w:sz w:val="24"/>
        </w:rPr>
        <w:t xml:space="preserve"> – in the absence of revelation. Only thus might </w:t>
      </w:r>
      <w:r w:rsidRPr="00C618FB">
        <w:rPr>
          <w:rFonts w:ascii="Garamond" w:hAnsi="Garamond"/>
          <w:sz w:val="24"/>
        </w:rPr>
        <w:t>the necessity of Christ’s teachings and the harmony between true philosophy and revealed theology once again come into view</w:t>
      </w:r>
      <w:r>
        <w:rPr>
          <w:rFonts w:ascii="Garamond" w:hAnsi="Garamond"/>
          <w:sz w:val="24"/>
        </w:rPr>
        <w:t xml:space="preserve">, a contention which similarly informed Locke’s endeavour in the </w:t>
      </w:r>
      <w:r>
        <w:rPr>
          <w:rFonts w:ascii="Garamond" w:hAnsi="Garamond"/>
          <w:i/>
          <w:sz w:val="24"/>
        </w:rPr>
        <w:t>Reasonableness</w:t>
      </w:r>
      <w:r>
        <w:rPr>
          <w:rFonts w:ascii="Garamond" w:hAnsi="Garamond"/>
          <w:sz w:val="24"/>
        </w:rPr>
        <w:t>:</w:t>
      </w:r>
    </w:p>
    <w:p w:rsidR="00D56210" w:rsidRDefault="00CF2843" w:rsidP="00D56210">
      <w:pPr>
        <w:spacing w:after="360"/>
        <w:ind w:left="284" w:right="-329"/>
        <w:jc w:val="both"/>
        <w:rPr>
          <w:rFonts w:ascii="Garamond" w:hAnsi="Garamond"/>
          <w:sz w:val="24"/>
        </w:rPr>
      </w:pPr>
      <w:r w:rsidRPr="00C618FB">
        <w:rPr>
          <w:rFonts w:ascii="Garamond" w:hAnsi="Garamond"/>
          <w:sz w:val="24"/>
        </w:rPr>
        <w:t xml:space="preserve">[…] many are beholden to Revelation, who </w:t>
      </w:r>
      <w:proofErr w:type="gramStart"/>
      <w:r w:rsidRPr="00C618FB">
        <w:rPr>
          <w:rFonts w:ascii="Garamond" w:hAnsi="Garamond"/>
          <w:sz w:val="24"/>
        </w:rPr>
        <w:t>do</w:t>
      </w:r>
      <w:proofErr w:type="gramEnd"/>
      <w:r w:rsidRPr="00C618FB">
        <w:rPr>
          <w:rFonts w:ascii="Garamond" w:hAnsi="Garamond"/>
          <w:sz w:val="24"/>
        </w:rPr>
        <w:t xml:space="preserve"> not acknowledge it. </w:t>
      </w:r>
      <w:proofErr w:type="spellStart"/>
      <w:r w:rsidRPr="00C618FB">
        <w:rPr>
          <w:rFonts w:ascii="Garamond" w:hAnsi="Garamond"/>
          <w:sz w:val="24"/>
        </w:rPr>
        <w:t>’Tis</w:t>
      </w:r>
      <w:proofErr w:type="spellEnd"/>
      <w:r w:rsidRPr="00C618FB">
        <w:rPr>
          <w:rFonts w:ascii="Garamond" w:hAnsi="Garamond"/>
          <w:sz w:val="24"/>
        </w:rPr>
        <w:t xml:space="preserve"> no diminishing to Revelation, that Reason gives its Suffrage too to the Truths Revelation has discovered. But ’tis our mistake to think, that because Reason confirms them to us, we had the first certain knowledge of them from thence, and in that clear Evidence we now possess them. The contrary is manifest, in the </w:t>
      </w:r>
      <w:r w:rsidRPr="00C618FB">
        <w:rPr>
          <w:rFonts w:ascii="Garamond" w:hAnsi="Garamond"/>
          <w:i/>
          <w:sz w:val="24"/>
        </w:rPr>
        <w:t>defective morality of the Gentiles</w:t>
      </w:r>
      <w:r>
        <w:rPr>
          <w:rFonts w:ascii="Garamond" w:hAnsi="Garamond"/>
          <w:sz w:val="24"/>
        </w:rPr>
        <w:t xml:space="preserve"> before our Saviour’s time […]</w:t>
      </w:r>
      <w:r w:rsidRPr="00C618FB">
        <w:rPr>
          <w:rFonts w:ascii="Garamond" w:hAnsi="Garamond"/>
          <w:sz w:val="24"/>
        </w:rPr>
        <w:t>.</w:t>
      </w:r>
      <w:r w:rsidRPr="00957EFA">
        <w:rPr>
          <w:rFonts w:ascii="Garamond" w:hAnsi="Garamond"/>
          <w:sz w:val="24"/>
          <w:vertAlign w:val="superscript"/>
        </w:rPr>
        <w:footnoteReference w:id="48"/>
      </w:r>
    </w:p>
    <w:p w:rsidR="00FB695E" w:rsidRPr="00AA42B3" w:rsidRDefault="00AA42B3" w:rsidP="004A1465">
      <w:pPr>
        <w:pStyle w:val="ListParagraph"/>
        <w:numPr>
          <w:ilvl w:val="0"/>
          <w:numId w:val="4"/>
        </w:numPr>
        <w:spacing w:line="360" w:lineRule="auto"/>
        <w:ind w:right="-330" w:hanging="436"/>
        <w:jc w:val="center"/>
        <w:rPr>
          <w:rFonts w:ascii="Garamond" w:hAnsi="Garamond"/>
          <w:sz w:val="24"/>
        </w:rPr>
      </w:pPr>
      <w:r>
        <w:rPr>
          <w:rFonts w:ascii="Garamond" w:hAnsi="Garamond"/>
          <w:i/>
          <w:sz w:val="24"/>
        </w:rPr>
        <w:t>Conclusion</w:t>
      </w:r>
    </w:p>
    <w:p w:rsidR="00BA1B2C" w:rsidRDefault="00AA42B3" w:rsidP="00AA42B3">
      <w:pPr>
        <w:spacing w:line="360" w:lineRule="auto"/>
        <w:ind w:left="-284" w:right="-330"/>
        <w:jc w:val="both"/>
        <w:rPr>
          <w:rFonts w:ascii="Garamond" w:hAnsi="Garamond"/>
          <w:sz w:val="24"/>
        </w:rPr>
      </w:pPr>
      <w:r w:rsidRPr="00AA42B3">
        <w:rPr>
          <w:rFonts w:ascii="Garamond" w:hAnsi="Garamond"/>
          <w:sz w:val="24"/>
        </w:rPr>
        <w:t xml:space="preserve">This essay has focused upon Locke’s </w:t>
      </w:r>
      <w:r w:rsidR="001C15B7">
        <w:rPr>
          <w:rFonts w:ascii="Garamond" w:hAnsi="Garamond"/>
          <w:sz w:val="24"/>
        </w:rPr>
        <w:t>interest in the relationship between heathen moral philosophy and revealed Christian moral theology: an aspect of his thinking which has</w:t>
      </w:r>
      <w:r w:rsidRPr="00AA42B3">
        <w:rPr>
          <w:rFonts w:ascii="Garamond" w:hAnsi="Garamond"/>
          <w:sz w:val="24"/>
        </w:rPr>
        <w:t xml:space="preserve"> received </w:t>
      </w:r>
      <w:r w:rsidR="001C15B7">
        <w:rPr>
          <w:rFonts w:ascii="Garamond" w:hAnsi="Garamond"/>
          <w:sz w:val="24"/>
        </w:rPr>
        <w:t>relatively</w:t>
      </w:r>
      <w:r w:rsidRPr="00AA42B3">
        <w:rPr>
          <w:rFonts w:ascii="Garamond" w:hAnsi="Garamond"/>
          <w:sz w:val="24"/>
        </w:rPr>
        <w:t xml:space="preserve"> little scholarly attention, but which </w:t>
      </w:r>
      <w:r w:rsidR="001C15B7">
        <w:rPr>
          <w:rFonts w:ascii="Garamond" w:hAnsi="Garamond"/>
          <w:sz w:val="24"/>
        </w:rPr>
        <w:t>reflects</w:t>
      </w:r>
      <w:r w:rsidRPr="00AA42B3">
        <w:rPr>
          <w:rFonts w:ascii="Garamond" w:hAnsi="Garamond"/>
          <w:sz w:val="24"/>
        </w:rPr>
        <w:t xml:space="preserve"> his close engagement with questions which deeply preoccupied his contemporaries. The most important concerned the relationship between reason and revelation as the two sources of man’s knowledge. Locke offered a narrative of richness and complexity, which indicated how man’s natural desire for certainty, in both the classical and Christian worlds, had corrupted their ability to read both the book of nature </w:t>
      </w:r>
      <w:r w:rsidRPr="00AA42B3">
        <w:rPr>
          <w:rFonts w:ascii="Garamond" w:hAnsi="Garamond"/>
          <w:i/>
          <w:sz w:val="24"/>
        </w:rPr>
        <w:t>and</w:t>
      </w:r>
      <w:r w:rsidRPr="00AA42B3">
        <w:rPr>
          <w:rFonts w:ascii="Garamond" w:hAnsi="Garamond"/>
          <w:sz w:val="24"/>
        </w:rPr>
        <w:t xml:space="preserve"> the book of Scripture aright. If Locke offered Cicero as a proxy for the extent and scope of mankind’s cognitive faculties, then he also appreciated the importance attached by the heathen philosopher to the heuristic value of doubt. Locke argued that, at </w:t>
      </w:r>
      <w:r w:rsidRPr="00AA42B3">
        <w:rPr>
          <w:rFonts w:ascii="Garamond" w:hAnsi="Garamond"/>
          <w:sz w:val="24"/>
        </w:rPr>
        <w:lastRenderedPageBreak/>
        <w:t>every step, th</w:t>
      </w:r>
      <w:bookmarkStart w:id="0" w:name="_GoBack"/>
      <w:bookmarkEnd w:id="0"/>
      <w:r w:rsidRPr="00AA42B3">
        <w:rPr>
          <w:rFonts w:ascii="Garamond" w:hAnsi="Garamond"/>
          <w:sz w:val="24"/>
        </w:rPr>
        <w:t xml:space="preserve">e individual had to guard against their ineradicable, even pathological desire to know </w:t>
      </w:r>
      <w:r w:rsidRPr="00AA42B3">
        <w:rPr>
          <w:rFonts w:ascii="Garamond" w:hAnsi="Garamond"/>
          <w:i/>
          <w:sz w:val="24"/>
        </w:rPr>
        <w:t>too much</w:t>
      </w:r>
      <w:r w:rsidRPr="00AA42B3">
        <w:rPr>
          <w:rFonts w:ascii="Garamond" w:hAnsi="Garamond"/>
          <w:sz w:val="24"/>
        </w:rPr>
        <w:t xml:space="preserve">, whilst nonetheless committing themselves to an unceasing search for truth and meaning. For Locke, doubt had to be accommodated into the very fabric of </w:t>
      </w:r>
      <w:r w:rsidR="00095F4F">
        <w:rPr>
          <w:rFonts w:ascii="Garamond" w:hAnsi="Garamond"/>
          <w:sz w:val="24"/>
        </w:rPr>
        <w:t xml:space="preserve">both philosophy and religious </w:t>
      </w:r>
      <w:r w:rsidR="00EC2C34">
        <w:rPr>
          <w:rFonts w:ascii="Garamond" w:hAnsi="Garamond"/>
          <w:sz w:val="24"/>
        </w:rPr>
        <w:t>belief</w:t>
      </w:r>
      <w:r w:rsidR="00615639">
        <w:rPr>
          <w:rFonts w:ascii="Garamond" w:hAnsi="Garamond"/>
          <w:sz w:val="24"/>
        </w:rPr>
        <w:t>. O</w:t>
      </w:r>
      <w:r w:rsidRPr="00AA42B3">
        <w:rPr>
          <w:rFonts w:ascii="Garamond" w:hAnsi="Garamond"/>
          <w:sz w:val="24"/>
        </w:rPr>
        <w:t>nly thus might the word of God, to which men had access through both reason and revelation, be distinguished from the teachings of those men who sought to usurp His authority.</w:t>
      </w:r>
    </w:p>
    <w:p w:rsidR="00E40AFE" w:rsidRDefault="00E40AFE">
      <w:pPr>
        <w:rPr>
          <w:rFonts w:ascii="Garamond" w:hAnsi="Garamond"/>
          <w:sz w:val="24"/>
        </w:rPr>
      </w:pPr>
      <w:r>
        <w:rPr>
          <w:rFonts w:ascii="Garamond" w:hAnsi="Garamond"/>
          <w:sz w:val="24"/>
        </w:rPr>
        <w:br w:type="page"/>
      </w:r>
    </w:p>
    <w:p w:rsidR="00E40AFE" w:rsidRDefault="00E40AFE" w:rsidP="00E40AFE">
      <w:pPr>
        <w:spacing w:line="360" w:lineRule="auto"/>
        <w:ind w:left="-284" w:right="-330"/>
        <w:jc w:val="center"/>
        <w:rPr>
          <w:rFonts w:ascii="Garamond" w:hAnsi="Garamond"/>
          <w:sz w:val="24"/>
          <w:u w:val="single"/>
        </w:rPr>
      </w:pPr>
      <w:r>
        <w:rPr>
          <w:rFonts w:ascii="Garamond" w:hAnsi="Garamond"/>
          <w:sz w:val="24"/>
          <w:u w:val="single"/>
        </w:rPr>
        <w:lastRenderedPageBreak/>
        <w:t>Bibliography of works cited</w:t>
      </w:r>
    </w:p>
    <w:p w:rsidR="00E40AFE" w:rsidRDefault="00E40AFE" w:rsidP="00E40AFE">
      <w:pPr>
        <w:spacing w:line="240" w:lineRule="auto"/>
        <w:ind w:left="2161" w:right="-330" w:hanging="2445"/>
        <w:jc w:val="both"/>
        <w:rPr>
          <w:rFonts w:ascii="Garamond" w:hAnsi="Garamond"/>
          <w:sz w:val="24"/>
        </w:rPr>
      </w:pPr>
      <w:r w:rsidRPr="009C54AD">
        <w:rPr>
          <w:rFonts w:ascii="Garamond" w:hAnsi="Garamond"/>
          <w:sz w:val="24"/>
        </w:rPr>
        <w:t>Augustine</w:t>
      </w:r>
      <w:r>
        <w:rPr>
          <w:rFonts w:ascii="Garamond" w:hAnsi="Garamond"/>
          <w:sz w:val="24"/>
        </w:rPr>
        <w:tab/>
      </w:r>
      <w:proofErr w:type="gramStart"/>
      <w:r w:rsidRPr="009C54AD">
        <w:rPr>
          <w:rFonts w:ascii="Garamond" w:hAnsi="Garamond"/>
          <w:i/>
          <w:sz w:val="24"/>
        </w:rPr>
        <w:t>The</w:t>
      </w:r>
      <w:proofErr w:type="gramEnd"/>
      <w:r w:rsidRPr="009C54AD">
        <w:rPr>
          <w:rFonts w:ascii="Garamond" w:hAnsi="Garamond"/>
          <w:i/>
          <w:sz w:val="24"/>
        </w:rPr>
        <w:t xml:space="preserve"> City of God against the Pagans</w:t>
      </w:r>
      <w:r w:rsidR="0037024E">
        <w:rPr>
          <w:rFonts w:ascii="Garamond" w:hAnsi="Garamond"/>
          <w:sz w:val="24"/>
        </w:rPr>
        <w:t>, ed. R.W. Dyson (Cambridge: Cambridge University Press,</w:t>
      </w:r>
      <w:r w:rsidRPr="009C54AD">
        <w:rPr>
          <w:rFonts w:ascii="Garamond" w:hAnsi="Garamond"/>
          <w:sz w:val="24"/>
        </w:rPr>
        <w:t xml:space="preserve"> 1998).</w:t>
      </w:r>
    </w:p>
    <w:p w:rsidR="00231265" w:rsidRDefault="00231265" w:rsidP="00231265">
      <w:pPr>
        <w:spacing w:after="0" w:line="240" w:lineRule="auto"/>
        <w:ind w:left="2161" w:right="-330" w:hanging="2445"/>
        <w:jc w:val="both"/>
        <w:rPr>
          <w:rFonts w:ascii="Garamond" w:hAnsi="Garamond"/>
          <w:sz w:val="24"/>
        </w:rPr>
      </w:pPr>
      <w:proofErr w:type="spellStart"/>
      <w:r w:rsidRPr="00231265">
        <w:rPr>
          <w:rFonts w:ascii="Garamond" w:hAnsi="Garamond"/>
          <w:sz w:val="24"/>
        </w:rPr>
        <w:t>Batsaki</w:t>
      </w:r>
      <w:proofErr w:type="spellEnd"/>
      <w:r w:rsidRPr="00231265">
        <w:rPr>
          <w:rFonts w:ascii="Garamond" w:hAnsi="Garamond"/>
          <w:sz w:val="24"/>
        </w:rPr>
        <w:t xml:space="preserve">, Y, </w:t>
      </w:r>
      <w:proofErr w:type="spellStart"/>
      <w:r w:rsidRPr="00231265">
        <w:rPr>
          <w:rFonts w:ascii="Garamond" w:hAnsi="Garamond"/>
          <w:sz w:val="24"/>
        </w:rPr>
        <w:t>Mukherji</w:t>
      </w:r>
      <w:proofErr w:type="spellEnd"/>
      <w:r w:rsidRPr="00231265">
        <w:rPr>
          <w:rFonts w:ascii="Garamond" w:hAnsi="Garamond"/>
          <w:sz w:val="24"/>
        </w:rPr>
        <w:t>, S., &amp; Schramm, J.-M.</w:t>
      </w:r>
      <w:r>
        <w:rPr>
          <w:rFonts w:ascii="Garamond" w:hAnsi="Garamond"/>
          <w:sz w:val="24"/>
        </w:rPr>
        <w:t xml:space="preserve"> (</w:t>
      </w:r>
      <w:proofErr w:type="gramStart"/>
      <w:r>
        <w:rPr>
          <w:rFonts w:ascii="Garamond" w:hAnsi="Garamond"/>
          <w:sz w:val="24"/>
        </w:rPr>
        <w:t>eds</w:t>
      </w:r>
      <w:proofErr w:type="gramEnd"/>
      <w:r>
        <w:rPr>
          <w:rFonts w:ascii="Garamond" w:hAnsi="Garamond"/>
          <w:sz w:val="24"/>
        </w:rPr>
        <w:t>.)</w:t>
      </w:r>
    </w:p>
    <w:p w:rsidR="00231265" w:rsidRDefault="00231265" w:rsidP="00231265">
      <w:pPr>
        <w:spacing w:line="240" w:lineRule="auto"/>
        <w:ind w:left="2161" w:right="-330" w:hanging="2445"/>
        <w:jc w:val="both"/>
        <w:rPr>
          <w:rFonts w:ascii="Garamond" w:hAnsi="Garamond"/>
          <w:sz w:val="24"/>
        </w:rPr>
      </w:pPr>
      <w:r>
        <w:rPr>
          <w:rFonts w:ascii="Garamond" w:hAnsi="Garamond"/>
          <w:sz w:val="24"/>
        </w:rPr>
        <w:tab/>
      </w:r>
      <w:r w:rsidRPr="00231265">
        <w:rPr>
          <w:rFonts w:ascii="Garamond" w:hAnsi="Garamond"/>
          <w:i/>
          <w:sz w:val="24"/>
        </w:rPr>
        <w:t xml:space="preserve">Fictions of Knowledge: Fact, Evidence, </w:t>
      </w:r>
      <w:proofErr w:type="gramStart"/>
      <w:r w:rsidRPr="00231265">
        <w:rPr>
          <w:rFonts w:ascii="Garamond" w:hAnsi="Garamond"/>
          <w:i/>
          <w:sz w:val="24"/>
        </w:rPr>
        <w:t>Doubt</w:t>
      </w:r>
      <w:proofErr w:type="gramEnd"/>
      <w:r w:rsidR="0037024E">
        <w:rPr>
          <w:rFonts w:ascii="Garamond" w:hAnsi="Garamond"/>
          <w:sz w:val="24"/>
        </w:rPr>
        <w:t xml:space="preserve"> (Basingstoke: Palgrave Macmillan,</w:t>
      </w:r>
      <w:r w:rsidRPr="00231265">
        <w:rPr>
          <w:rFonts w:ascii="Garamond" w:hAnsi="Garamond"/>
          <w:sz w:val="24"/>
        </w:rPr>
        <w:t xml:space="preserve"> 2011).</w:t>
      </w:r>
    </w:p>
    <w:p w:rsidR="00E40AFE" w:rsidRDefault="00E40AFE" w:rsidP="00E40AFE">
      <w:pPr>
        <w:spacing w:line="240" w:lineRule="auto"/>
        <w:ind w:left="2161" w:right="-330" w:hanging="2445"/>
        <w:jc w:val="both"/>
        <w:rPr>
          <w:rFonts w:ascii="Garamond" w:hAnsi="Garamond"/>
          <w:sz w:val="24"/>
        </w:rPr>
      </w:pPr>
      <w:proofErr w:type="spellStart"/>
      <w:r w:rsidRPr="00483CF9">
        <w:rPr>
          <w:rFonts w:ascii="Garamond" w:hAnsi="Garamond"/>
          <w:sz w:val="24"/>
        </w:rPr>
        <w:t>Bouwsma</w:t>
      </w:r>
      <w:proofErr w:type="spellEnd"/>
      <w:r w:rsidRPr="00483CF9">
        <w:rPr>
          <w:rFonts w:ascii="Garamond" w:hAnsi="Garamond"/>
          <w:sz w:val="24"/>
        </w:rPr>
        <w:t>, William J.</w:t>
      </w:r>
      <w:r w:rsidRPr="00483CF9">
        <w:rPr>
          <w:rFonts w:ascii="Garamond" w:hAnsi="Garamond"/>
          <w:sz w:val="24"/>
        </w:rPr>
        <w:tab/>
        <w:t>‘</w:t>
      </w:r>
      <w:proofErr w:type="gramStart"/>
      <w:r w:rsidRPr="00483CF9">
        <w:rPr>
          <w:rFonts w:ascii="Garamond" w:hAnsi="Garamond"/>
          <w:sz w:val="24"/>
        </w:rPr>
        <w:t>The</w:t>
      </w:r>
      <w:proofErr w:type="gramEnd"/>
      <w:r w:rsidRPr="00483CF9">
        <w:rPr>
          <w:rFonts w:ascii="Garamond" w:hAnsi="Garamond"/>
          <w:sz w:val="24"/>
        </w:rPr>
        <w:t xml:space="preserve"> Two Faces of Humanism: Stoicism and Augustinianism in Renaissance Thought’, in T.A. Brady, P.O. </w:t>
      </w:r>
      <w:proofErr w:type="spellStart"/>
      <w:r w:rsidRPr="00483CF9">
        <w:rPr>
          <w:rFonts w:ascii="Garamond" w:hAnsi="Garamond"/>
          <w:sz w:val="24"/>
        </w:rPr>
        <w:t>Kristeller</w:t>
      </w:r>
      <w:proofErr w:type="spellEnd"/>
      <w:r w:rsidRPr="00483CF9">
        <w:rPr>
          <w:rFonts w:ascii="Garamond" w:hAnsi="Garamond"/>
          <w:sz w:val="24"/>
        </w:rPr>
        <w:t xml:space="preserve"> &amp; H.A. </w:t>
      </w:r>
      <w:proofErr w:type="spellStart"/>
      <w:r w:rsidRPr="00483CF9">
        <w:rPr>
          <w:rFonts w:ascii="Garamond" w:hAnsi="Garamond"/>
          <w:sz w:val="24"/>
        </w:rPr>
        <w:t>Oberman</w:t>
      </w:r>
      <w:proofErr w:type="spellEnd"/>
      <w:r w:rsidRPr="00483CF9">
        <w:rPr>
          <w:rFonts w:ascii="Garamond" w:hAnsi="Garamond"/>
          <w:sz w:val="24"/>
        </w:rPr>
        <w:t xml:space="preserve"> (eds.), </w:t>
      </w:r>
      <w:proofErr w:type="spellStart"/>
      <w:r w:rsidRPr="00483CF9">
        <w:rPr>
          <w:rFonts w:ascii="Garamond" w:hAnsi="Garamond"/>
          <w:i/>
          <w:sz w:val="24"/>
        </w:rPr>
        <w:t>Itinerarium</w:t>
      </w:r>
      <w:proofErr w:type="spellEnd"/>
      <w:r w:rsidRPr="00483CF9">
        <w:rPr>
          <w:rFonts w:ascii="Garamond" w:hAnsi="Garamond"/>
          <w:i/>
          <w:sz w:val="24"/>
        </w:rPr>
        <w:t xml:space="preserve"> </w:t>
      </w:r>
      <w:proofErr w:type="spellStart"/>
      <w:r w:rsidRPr="00483CF9">
        <w:rPr>
          <w:rFonts w:ascii="Garamond" w:hAnsi="Garamond"/>
          <w:i/>
          <w:sz w:val="24"/>
        </w:rPr>
        <w:t>Italicum</w:t>
      </w:r>
      <w:proofErr w:type="spellEnd"/>
      <w:r w:rsidRPr="00483CF9">
        <w:rPr>
          <w:rFonts w:ascii="Garamond" w:hAnsi="Garamond"/>
          <w:i/>
          <w:sz w:val="24"/>
        </w:rPr>
        <w:t>: The Profile of the Italian Renaissance in the Mirror of its European Transformations</w:t>
      </w:r>
      <w:r w:rsidR="0037024E">
        <w:rPr>
          <w:rFonts w:ascii="Garamond" w:hAnsi="Garamond"/>
          <w:sz w:val="24"/>
        </w:rPr>
        <w:t xml:space="preserve"> (Leiden: Brill,</w:t>
      </w:r>
      <w:r w:rsidRPr="00483CF9">
        <w:rPr>
          <w:rFonts w:ascii="Garamond" w:hAnsi="Garamond"/>
          <w:sz w:val="24"/>
        </w:rPr>
        <w:t xml:space="preserve"> 1975), pp. 3-60.</w:t>
      </w:r>
    </w:p>
    <w:p w:rsidR="00E40AFE" w:rsidRPr="009C54AD" w:rsidRDefault="00E40AFE" w:rsidP="00E40AFE">
      <w:pPr>
        <w:spacing w:after="0"/>
        <w:ind w:left="2161" w:right="-330" w:hanging="2445"/>
        <w:jc w:val="both"/>
        <w:rPr>
          <w:rFonts w:ascii="Garamond" w:hAnsi="Garamond"/>
          <w:sz w:val="24"/>
          <w:lang w:val="pt-PT"/>
        </w:rPr>
      </w:pPr>
      <w:proofErr w:type="gramStart"/>
      <w:r>
        <w:rPr>
          <w:rFonts w:ascii="Garamond" w:hAnsi="Garamond"/>
          <w:sz w:val="24"/>
        </w:rPr>
        <w:t>Cicero</w:t>
      </w:r>
      <w:r>
        <w:rPr>
          <w:rFonts w:ascii="Garamond" w:hAnsi="Garamond"/>
          <w:sz w:val="24"/>
        </w:rPr>
        <w:tab/>
      </w:r>
      <w:r w:rsidRPr="009C54AD">
        <w:rPr>
          <w:rFonts w:ascii="Garamond" w:hAnsi="Garamond"/>
          <w:i/>
          <w:sz w:val="24"/>
          <w:lang w:val="pt-PT"/>
        </w:rPr>
        <w:t>Academica</w:t>
      </w:r>
      <w:r w:rsidRPr="009C54AD">
        <w:rPr>
          <w:rFonts w:ascii="Garamond" w:hAnsi="Garamond"/>
          <w:sz w:val="24"/>
          <w:lang w:val="pt-PT"/>
        </w:rPr>
        <w:t>, t</w:t>
      </w:r>
      <w:r w:rsidR="0037024E">
        <w:rPr>
          <w:rFonts w:ascii="Garamond" w:hAnsi="Garamond"/>
          <w:sz w:val="24"/>
          <w:lang w:val="pt-PT"/>
        </w:rPr>
        <w:t>rans. H. Rackham (Cambridge, MA: Harvard University Press,</w:t>
      </w:r>
      <w:r w:rsidRPr="009C54AD">
        <w:rPr>
          <w:rFonts w:ascii="Garamond" w:hAnsi="Garamond"/>
          <w:sz w:val="24"/>
          <w:lang w:val="pt-PT"/>
        </w:rPr>
        <w:t xml:space="preserve"> 1933).</w:t>
      </w:r>
      <w:proofErr w:type="gramEnd"/>
    </w:p>
    <w:p w:rsidR="00E40AFE" w:rsidRPr="009C54AD" w:rsidRDefault="00E40AFE" w:rsidP="00E40AFE">
      <w:pPr>
        <w:spacing w:after="0"/>
        <w:ind w:left="2161" w:right="-330" w:hanging="1"/>
        <w:jc w:val="both"/>
        <w:rPr>
          <w:rFonts w:ascii="Garamond" w:hAnsi="Garamond"/>
          <w:sz w:val="24"/>
        </w:rPr>
      </w:pPr>
      <w:r w:rsidRPr="009C54AD">
        <w:rPr>
          <w:rFonts w:ascii="Garamond" w:hAnsi="Garamond"/>
          <w:i/>
          <w:sz w:val="24"/>
          <w:lang w:val="pt-PT"/>
        </w:rPr>
        <w:t>De Legibus</w:t>
      </w:r>
      <w:r w:rsidRPr="009C54AD">
        <w:rPr>
          <w:rFonts w:ascii="Garamond" w:hAnsi="Garamond"/>
          <w:sz w:val="24"/>
          <w:lang w:val="pt-PT"/>
        </w:rPr>
        <w:t xml:space="preserve">, trans. </w:t>
      </w:r>
      <w:r w:rsidR="0037024E">
        <w:rPr>
          <w:rFonts w:ascii="Garamond" w:hAnsi="Garamond"/>
          <w:sz w:val="24"/>
        </w:rPr>
        <w:t>C.W. Keyes (Cambridge, MA</w:t>
      </w:r>
      <w:r w:rsidR="0037024E">
        <w:rPr>
          <w:rFonts w:ascii="Garamond" w:hAnsi="Garamond"/>
          <w:sz w:val="24"/>
          <w:lang w:val="pt-PT"/>
        </w:rPr>
        <w:t>: Harvard University Press,</w:t>
      </w:r>
      <w:r w:rsidRPr="009C54AD">
        <w:rPr>
          <w:rFonts w:ascii="Garamond" w:hAnsi="Garamond"/>
          <w:sz w:val="24"/>
        </w:rPr>
        <w:t xml:space="preserve"> 1928).</w:t>
      </w:r>
    </w:p>
    <w:p w:rsidR="00E40AFE" w:rsidRPr="0037024E" w:rsidRDefault="00E40AFE" w:rsidP="00E40AFE">
      <w:pPr>
        <w:spacing w:after="0"/>
        <w:ind w:left="2161" w:right="-330" w:hanging="2445"/>
        <w:jc w:val="both"/>
        <w:rPr>
          <w:rFonts w:ascii="Garamond" w:hAnsi="Garamond"/>
          <w:sz w:val="24"/>
          <w:lang w:val="pt-PT"/>
        </w:rPr>
      </w:pPr>
      <w:r w:rsidRPr="009C54AD">
        <w:rPr>
          <w:rFonts w:ascii="Garamond" w:hAnsi="Garamond"/>
          <w:i/>
          <w:sz w:val="24"/>
        </w:rPr>
        <w:tab/>
      </w:r>
      <w:r w:rsidRPr="009C54AD">
        <w:rPr>
          <w:rFonts w:ascii="Garamond" w:hAnsi="Garamond"/>
          <w:i/>
          <w:sz w:val="24"/>
          <w:lang w:val="pt-PT"/>
        </w:rPr>
        <w:t>De Natura Deorum</w:t>
      </w:r>
      <w:r w:rsidRPr="0037024E">
        <w:rPr>
          <w:rFonts w:ascii="Garamond" w:hAnsi="Garamond"/>
          <w:sz w:val="24"/>
          <w:lang w:val="pt-PT"/>
        </w:rPr>
        <w:t>, trans. H.</w:t>
      </w:r>
      <w:r w:rsidR="0037024E">
        <w:rPr>
          <w:rFonts w:ascii="Garamond" w:hAnsi="Garamond"/>
          <w:sz w:val="24"/>
          <w:lang w:val="pt-PT"/>
        </w:rPr>
        <w:t xml:space="preserve"> Rackham (Cambridge, MA: : Harvard University Press,</w:t>
      </w:r>
      <w:r w:rsidRPr="0037024E">
        <w:rPr>
          <w:rFonts w:ascii="Garamond" w:hAnsi="Garamond"/>
          <w:sz w:val="24"/>
          <w:lang w:val="pt-PT"/>
        </w:rPr>
        <w:t xml:space="preserve"> 1933).</w:t>
      </w:r>
    </w:p>
    <w:p w:rsidR="00E40AFE" w:rsidRPr="009C54AD" w:rsidRDefault="00E40AFE" w:rsidP="00E40AFE">
      <w:pPr>
        <w:spacing w:after="0"/>
        <w:ind w:left="2161" w:right="-330" w:hanging="1"/>
        <w:jc w:val="both"/>
        <w:rPr>
          <w:rFonts w:ascii="Garamond" w:hAnsi="Garamond"/>
          <w:i/>
          <w:sz w:val="24"/>
          <w:lang w:val="fr-FR"/>
        </w:rPr>
      </w:pPr>
      <w:r w:rsidRPr="009C54AD">
        <w:rPr>
          <w:rFonts w:ascii="Garamond" w:hAnsi="Garamond"/>
          <w:i/>
          <w:sz w:val="24"/>
          <w:lang w:val="fr-FR"/>
        </w:rPr>
        <w:t xml:space="preserve">De </w:t>
      </w:r>
      <w:proofErr w:type="spellStart"/>
      <w:r w:rsidRPr="009C54AD">
        <w:rPr>
          <w:rFonts w:ascii="Garamond" w:hAnsi="Garamond"/>
          <w:i/>
          <w:sz w:val="24"/>
          <w:lang w:val="fr-FR"/>
        </w:rPr>
        <w:t>Officiis</w:t>
      </w:r>
      <w:proofErr w:type="spellEnd"/>
      <w:r w:rsidRPr="009C54AD">
        <w:rPr>
          <w:rFonts w:ascii="Garamond" w:hAnsi="Garamond"/>
          <w:sz w:val="24"/>
          <w:lang w:val="fr-FR"/>
        </w:rPr>
        <w:t xml:space="preserve">, </w:t>
      </w:r>
      <w:r w:rsidR="0037024E">
        <w:rPr>
          <w:rFonts w:ascii="Garamond" w:hAnsi="Garamond"/>
          <w:sz w:val="24"/>
        </w:rPr>
        <w:t>trans. W. Miller (Cambridge, MA</w:t>
      </w:r>
      <w:r w:rsidR="0037024E">
        <w:rPr>
          <w:rFonts w:ascii="Garamond" w:hAnsi="Garamond"/>
          <w:sz w:val="24"/>
          <w:lang w:val="pt-PT"/>
        </w:rPr>
        <w:t>: Harvard University Press,</w:t>
      </w:r>
      <w:r w:rsidRPr="009C54AD">
        <w:rPr>
          <w:rFonts w:ascii="Garamond" w:hAnsi="Garamond"/>
          <w:sz w:val="24"/>
        </w:rPr>
        <w:t xml:space="preserve"> 1913).</w:t>
      </w:r>
    </w:p>
    <w:p w:rsidR="00E40AFE" w:rsidRPr="009C54AD" w:rsidRDefault="00E40AFE" w:rsidP="00E40AFE">
      <w:pPr>
        <w:spacing w:after="0"/>
        <w:ind w:left="2161" w:right="-330" w:hanging="2445"/>
        <w:jc w:val="both"/>
        <w:rPr>
          <w:rFonts w:ascii="Garamond" w:hAnsi="Garamond"/>
          <w:sz w:val="24"/>
          <w:lang w:val="fr-FR"/>
        </w:rPr>
      </w:pPr>
      <w:r w:rsidRPr="009C54AD">
        <w:rPr>
          <w:rFonts w:ascii="Garamond" w:hAnsi="Garamond"/>
          <w:i/>
          <w:sz w:val="24"/>
          <w:lang w:val="fr-FR"/>
        </w:rPr>
        <w:tab/>
        <w:t xml:space="preserve">De </w:t>
      </w:r>
      <w:proofErr w:type="spellStart"/>
      <w:r w:rsidRPr="009C54AD">
        <w:rPr>
          <w:rFonts w:ascii="Garamond" w:hAnsi="Garamond"/>
          <w:i/>
          <w:sz w:val="24"/>
          <w:lang w:val="fr-FR"/>
        </w:rPr>
        <w:t>Republica</w:t>
      </w:r>
      <w:proofErr w:type="spellEnd"/>
      <w:r w:rsidRPr="009C54AD">
        <w:rPr>
          <w:rFonts w:ascii="Garamond" w:hAnsi="Garamond"/>
          <w:sz w:val="24"/>
          <w:lang w:val="fr-FR"/>
        </w:rPr>
        <w:t xml:space="preserve">, </w:t>
      </w:r>
      <w:proofErr w:type="spellStart"/>
      <w:r w:rsidRPr="009C54AD">
        <w:rPr>
          <w:rFonts w:ascii="Garamond" w:hAnsi="Garamond"/>
          <w:sz w:val="24"/>
          <w:lang w:val="fr-FR"/>
        </w:rPr>
        <w:t>trans</w:t>
      </w:r>
      <w:proofErr w:type="spellEnd"/>
      <w:r w:rsidR="0037024E">
        <w:rPr>
          <w:rFonts w:ascii="Garamond" w:hAnsi="Garamond"/>
          <w:sz w:val="24"/>
          <w:lang w:val="fr-FR"/>
        </w:rPr>
        <w:t xml:space="preserve">. C.W. </w:t>
      </w:r>
      <w:proofErr w:type="spellStart"/>
      <w:r w:rsidR="0037024E">
        <w:rPr>
          <w:rFonts w:ascii="Garamond" w:hAnsi="Garamond"/>
          <w:sz w:val="24"/>
          <w:lang w:val="fr-FR"/>
        </w:rPr>
        <w:t>Keyes</w:t>
      </w:r>
      <w:proofErr w:type="spellEnd"/>
      <w:r w:rsidR="0037024E">
        <w:rPr>
          <w:rFonts w:ascii="Garamond" w:hAnsi="Garamond"/>
          <w:sz w:val="24"/>
          <w:lang w:val="fr-FR"/>
        </w:rPr>
        <w:t xml:space="preserve"> (Cambridge, MA </w:t>
      </w:r>
      <w:r w:rsidR="0037024E">
        <w:rPr>
          <w:rFonts w:ascii="Garamond" w:hAnsi="Garamond"/>
          <w:sz w:val="24"/>
          <w:lang w:val="pt-PT"/>
        </w:rPr>
        <w:t>: Harvard University Press,</w:t>
      </w:r>
      <w:r w:rsidRPr="009C54AD">
        <w:rPr>
          <w:rFonts w:ascii="Garamond" w:hAnsi="Garamond"/>
          <w:sz w:val="24"/>
          <w:lang w:val="fr-FR"/>
        </w:rPr>
        <w:t xml:space="preserve"> 1928).</w:t>
      </w:r>
    </w:p>
    <w:p w:rsidR="00E40AFE" w:rsidRDefault="00E40AFE" w:rsidP="00E40AFE">
      <w:pPr>
        <w:spacing w:line="240" w:lineRule="auto"/>
        <w:ind w:left="2161" w:right="-330" w:hanging="2445"/>
        <w:jc w:val="both"/>
        <w:rPr>
          <w:rFonts w:ascii="Garamond" w:hAnsi="Garamond"/>
          <w:sz w:val="24"/>
        </w:rPr>
      </w:pPr>
      <w:r>
        <w:rPr>
          <w:rFonts w:ascii="Garamond" w:hAnsi="Garamond"/>
          <w:sz w:val="24"/>
        </w:rPr>
        <w:tab/>
      </w:r>
      <w:proofErr w:type="spellStart"/>
      <w:r w:rsidRPr="009C54AD">
        <w:rPr>
          <w:rFonts w:ascii="Garamond" w:hAnsi="Garamond"/>
          <w:i/>
          <w:sz w:val="24"/>
          <w:lang w:val="fr-FR"/>
        </w:rPr>
        <w:t>Tusculan</w:t>
      </w:r>
      <w:proofErr w:type="spellEnd"/>
      <w:r w:rsidRPr="009C54AD">
        <w:rPr>
          <w:rFonts w:ascii="Garamond" w:hAnsi="Garamond"/>
          <w:i/>
          <w:sz w:val="24"/>
          <w:lang w:val="fr-FR"/>
        </w:rPr>
        <w:t xml:space="preserve"> Disputations</w:t>
      </w:r>
      <w:r w:rsidRPr="009C54AD">
        <w:rPr>
          <w:rFonts w:ascii="Garamond" w:hAnsi="Garamond"/>
          <w:sz w:val="24"/>
          <w:lang w:val="fr-FR"/>
        </w:rPr>
        <w:t xml:space="preserve">, </w:t>
      </w:r>
      <w:proofErr w:type="spellStart"/>
      <w:r w:rsidRPr="009C54AD">
        <w:rPr>
          <w:rFonts w:ascii="Garamond" w:hAnsi="Garamond"/>
          <w:sz w:val="24"/>
          <w:lang w:val="fr-FR"/>
        </w:rPr>
        <w:t>tra</w:t>
      </w:r>
      <w:r w:rsidR="0037024E">
        <w:rPr>
          <w:rFonts w:ascii="Garamond" w:hAnsi="Garamond"/>
          <w:sz w:val="24"/>
          <w:lang w:val="fr-FR"/>
        </w:rPr>
        <w:t>ns</w:t>
      </w:r>
      <w:proofErr w:type="spellEnd"/>
      <w:r w:rsidR="0037024E">
        <w:rPr>
          <w:rFonts w:ascii="Garamond" w:hAnsi="Garamond"/>
          <w:sz w:val="24"/>
          <w:lang w:val="fr-FR"/>
        </w:rPr>
        <w:t>. J.E. King (Cambridge, MA</w:t>
      </w:r>
      <w:r w:rsidR="0037024E">
        <w:rPr>
          <w:rFonts w:ascii="Garamond" w:hAnsi="Garamond"/>
          <w:sz w:val="24"/>
          <w:lang w:val="pt-PT"/>
        </w:rPr>
        <w:t>: Harvard University Press,</w:t>
      </w:r>
      <w:r w:rsidRPr="009C54AD">
        <w:rPr>
          <w:rFonts w:ascii="Garamond" w:hAnsi="Garamond"/>
          <w:sz w:val="24"/>
          <w:lang w:val="fr-FR"/>
        </w:rPr>
        <w:t xml:space="preserve"> 1945).</w:t>
      </w:r>
    </w:p>
    <w:p w:rsidR="00E40AFE" w:rsidRDefault="00E40AFE" w:rsidP="00E40AFE">
      <w:pPr>
        <w:spacing w:line="240" w:lineRule="auto"/>
        <w:ind w:left="2161" w:right="-330" w:hanging="2445"/>
        <w:jc w:val="both"/>
        <w:rPr>
          <w:rFonts w:ascii="Garamond" w:hAnsi="Garamond"/>
          <w:sz w:val="24"/>
        </w:rPr>
      </w:pPr>
      <w:r>
        <w:rPr>
          <w:rFonts w:ascii="Garamond" w:hAnsi="Garamond"/>
          <w:sz w:val="24"/>
        </w:rPr>
        <w:t>Colman, John</w:t>
      </w:r>
      <w:r>
        <w:rPr>
          <w:rFonts w:ascii="Garamond" w:hAnsi="Garamond"/>
          <w:sz w:val="24"/>
        </w:rPr>
        <w:tab/>
      </w:r>
      <w:r w:rsidRPr="009C54AD">
        <w:rPr>
          <w:rFonts w:ascii="Garamond" w:hAnsi="Garamond"/>
          <w:sz w:val="24"/>
        </w:rPr>
        <w:t xml:space="preserve">‘Locke’s Empiricist Theory of the Law of Nature’, in P.R. Anstey (ed.), </w:t>
      </w:r>
      <w:r w:rsidRPr="009C54AD">
        <w:rPr>
          <w:rFonts w:ascii="Garamond" w:hAnsi="Garamond"/>
          <w:i/>
          <w:sz w:val="24"/>
        </w:rPr>
        <w:t>The Philosophy of John Locke: New Perspectives</w:t>
      </w:r>
      <w:r w:rsidR="0037024E">
        <w:rPr>
          <w:rFonts w:ascii="Garamond" w:hAnsi="Garamond"/>
          <w:sz w:val="24"/>
        </w:rPr>
        <w:t xml:space="preserve"> (London: Routledge,</w:t>
      </w:r>
      <w:r>
        <w:rPr>
          <w:rFonts w:ascii="Garamond" w:hAnsi="Garamond"/>
          <w:sz w:val="24"/>
        </w:rPr>
        <w:t xml:space="preserve"> 2003), pp. 106-26.</w:t>
      </w:r>
    </w:p>
    <w:p w:rsidR="00231265" w:rsidRDefault="00231265" w:rsidP="00231265">
      <w:pPr>
        <w:spacing w:line="240" w:lineRule="auto"/>
        <w:ind w:left="2161" w:right="-330" w:hanging="2445"/>
        <w:jc w:val="both"/>
        <w:rPr>
          <w:rFonts w:ascii="Garamond" w:hAnsi="Garamond"/>
          <w:sz w:val="24"/>
        </w:rPr>
      </w:pPr>
      <w:proofErr w:type="spellStart"/>
      <w:proofErr w:type="gramStart"/>
      <w:r>
        <w:rPr>
          <w:rFonts w:ascii="Garamond" w:hAnsi="Garamond"/>
          <w:sz w:val="24"/>
        </w:rPr>
        <w:t>Daston</w:t>
      </w:r>
      <w:proofErr w:type="spellEnd"/>
      <w:r>
        <w:rPr>
          <w:rFonts w:ascii="Garamond" w:hAnsi="Garamond"/>
          <w:sz w:val="24"/>
        </w:rPr>
        <w:t>, Lorraine</w:t>
      </w:r>
      <w:r>
        <w:rPr>
          <w:rFonts w:ascii="Garamond" w:hAnsi="Garamond"/>
          <w:sz w:val="24"/>
        </w:rPr>
        <w:tab/>
      </w:r>
      <w:r w:rsidRPr="00231265">
        <w:rPr>
          <w:rFonts w:ascii="Garamond" w:hAnsi="Garamond"/>
          <w:i/>
          <w:sz w:val="24"/>
        </w:rPr>
        <w:t>Classical Probability in the Enlightenment</w:t>
      </w:r>
      <w:r w:rsidR="0037024E">
        <w:rPr>
          <w:rFonts w:ascii="Garamond" w:hAnsi="Garamond"/>
          <w:sz w:val="24"/>
        </w:rPr>
        <w:t xml:space="preserve"> (Princeton, N.J.: Princeton University Press,</w:t>
      </w:r>
      <w:r>
        <w:rPr>
          <w:rFonts w:ascii="Garamond" w:hAnsi="Garamond"/>
          <w:sz w:val="24"/>
        </w:rPr>
        <w:t xml:space="preserve"> 1988).</w:t>
      </w:r>
      <w:proofErr w:type="gramEnd"/>
    </w:p>
    <w:p w:rsidR="00E40AFE" w:rsidRDefault="00E40AFE" w:rsidP="00E40AFE">
      <w:pPr>
        <w:spacing w:line="240" w:lineRule="auto"/>
        <w:ind w:left="2161" w:right="-330" w:hanging="2445"/>
        <w:jc w:val="both"/>
        <w:rPr>
          <w:rFonts w:ascii="Garamond" w:hAnsi="Garamond"/>
          <w:sz w:val="24"/>
        </w:rPr>
      </w:pPr>
      <w:r w:rsidRPr="00483CF9">
        <w:rPr>
          <w:rFonts w:ascii="Garamond" w:hAnsi="Garamond"/>
          <w:sz w:val="24"/>
        </w:rPr>
        <w:t>Grotius, Hugo</w:t>
      </w:r>
      <w:r w:rsidRPr="00483CF9">
        <w:rPr>
          <w:rFonts w:ascii="Garamond" w:hAnsi="Garamond"/>
          <w:sz w:val="24"/>
        </w:rPr>
        <w:tab/>
      </w:r>
      <w:r w:rsidRPr="00483CF9">
        <w:rPr>
          <w:rFonts w:ascii="Garamond" w:hAnsi="Garamond"/>
          <w:i/>
          <w:sz w:val="24"/>
        </w:rPr>
        <w:t xml:space="preserve">The Rights of War and Peace; […] from the Edition by Jean </w:t>
      </w:r>
      <w:proofErr w:type="spellStart"/>
      <w:r w:rsidRPr="00483CF9">
        <w:rPr>
          <w:rFonts w:ascii="Garamond" w:hAnsi="Garamond"/>
          <w:i/>
          <w:sz w:val="24"/>
        </w:rPr>
        <w:t>Barbeyrac</w:t>
      </w:r>
      <w:proofErr w:type="spellEnd"/>
      <w:r w:rsidRPr="00483CF9">
        <w:rPr>
          <w:rFonts w:ascii="Garamond" w:hAnsi="Garamond"/>
          <w:sz w:val="24"/>
        </w:rPr>
        <w:t>, ed. R. Tuck</w:t>
      </w:r>
      <w:r w:rsidR="0037024E">
        <w:rPr>
          <w:rFonts w:ascii="Garamond" w:hAnsi="Garamond"/>
          <w:sz w:val="24"/>
        </w:rPr>
        <w:t xml:space="preserve"> (3 </w:t>
      </w:r>
      <w:proofErr w:type="gramStart"/>
      <w:r w:rsidR="0037024E">
        <w:rPr>
          <w:rFonts w:ascii="Garamond" w:hAnsi="Garamond"/>
          <w:sz w:val="24"/>
        </w:rPr>
        <w:t>vols.,</w:t>
      </w:r>
      <w:proofErr w:type="gramEnd"/>
      <w:r w:rsidR="0037024E">
        <w:rPr>
          <w:rFonts w:ascii="Garamond" w:hAnsi="Garamond"/>
          <w:sz w:val="24"/>
        </w:rPr>
        <w:t xml:space="preserve"> Indianapolis: Liberty Fund,</w:t>
      </w:r>
      <w:r>
        <w:rPr>
          <w:rFonts w:ascii="Garamond" w:hAnsi="Garamond"/>
          <w:sz w:val="24"/>
        </w:rPr>
        <w:t xml:space="preserve"> 2005).</w:t>
      </w:r>
    </w:p>
    <w:p w:rsidR="00231265" w:rsidRDefault="00231265" w:rsidP="00E40AFE">
      <w:pPr>
        <w:spacing w:line="240" w:lineRule="auto"/>
        <w:ind w:left="2160" w:right="-330" w:hanging="2444"/>
        <w:jc w:val="both"/>
        <w:rPr>
          <w:rFonts w:ascii="Garamond" w:hAnsi="Garamond"/>
          <w:sz w:val="24"/>
        </w:rPr>
      </w:pPr>
      <w:r>
        <w:rPr>
          <w:rFonts w:ascii="Garamond" w:hAnsi="Garamond"/>
          <w:sz w:val="24"/>
        </w:rPr>
        <w:t>Hacking, Ian</w:t>
      </w:r>
      <w:r>
        <w:rPr>
          <w:rFonts w:ascii="Garamond" w:hAnsi="Garamond"/>
          <w:sz w:val="24"/>
        </w:rPr>
        <w:tab/>
      </w:r>
      <w:r w:rsidRPr="00231265">
        <w:rPr>
          <w:rFonts w:ascii="Garamond" w:hAnsi="Garamond"/>
          <w:i/>
          <w:sz w:val="24"/>
        </w:rPr>
        <w:t>The Emergence of Probability: A Philosophical Study of Early Ideas about Probability, Induction and Statistical Inference</w:t>
      </w:r>
      <w:r w:rsidRPr="00231265">
        <w:rPr>
          <w:rFonts w:ascii="Garamond" w:hAnsi="Garamond"/>
          <w:sz w:val="24"/>
        </w:rPr>
        <w:t>, 2</w:t>
      </w:r>
      <w:r w:rsidRPr="00231265">
        <w:rPr>
          <w:rFonts w:ascii="Garamond" w:hAnsi="Garamond"/>
          <w:sz w:val="24"/>
          <w:vertAlign w:val="superscript"/>
        </w:rPr>
        <w:t>nd</w:t>
      </w:r>
      <w:r w:rsidRPr="00231265">
        <w:rPr>
          <w:rFonts w:ascii="Garamond" w:hAnsi="Garamond"/>
          <w:sz w:val="24"/>
        </w:rPr>
        <w:t xml:space="preserve"> </w:t>
      </w:r>
      <w:proofErr w:type="spellStart"/>
      <w:r w:rsidRPr="00231265">
        <w:rPr>
          <w:rFonts w:ascii="Garamond" w:hAnsi="Garamond"/>
          <w:sz w:val="24"/>
        </w:rPr>
        <w:t>edn</w:t>
      </w:r>
      <w:proofErr w:type="spellEnd"/>
      <w:r w:rsidRPr="00231265">
        <w:rPr>
          <w:rFonts w:ascii="Garamond" w:hAnsi="Garamond"/>
          <w:sz w:val="24"/>
        </w:rPr>
        <w:t xml:space="preserve"> (</w:t>
      </w:r>
      <w:r w:rsidR="00F85BD2">
        <w:rPr>
          <w:rFonts w:ascii="Garamond" w:hAnsi="Garamond"/>
          <w:sz w:val="24"/>
        </w:rPr>
        <w:t>Cambridge: Cambridge University Press,</w:t>
      </w:r>
      <w:r w:rsidRPr="00231265">
        <w:rPr>
          <w:rFonts w:ascii="Garamond" w:hAnsi="Garamond"/>
          <w:sz w:val="24"/>
        </w:rPr>
        <w:t xml:space="preserve"> 2006).</w:t>
      </w:r>
    </w:p>
    <w:p w:rsidR="00E40AFE" w:rsidRDefault="00E40AFE" w:rsidP="00E40AFE">
      <w:pPr>
        <w:spacing w:line="240" w:lineRule="auto"/>
        <w:ind w:left="2160" w:right="-330" w:hanging="2444"/>
        <w:jc w:val="both"/>
        <w:rPr>
          <w:rFonts w:ascii="Garamond" w:hAnsi="Garamond"/>
          <w:sz w:val="24"/>
        </w:rPr>
      </w:pPr>
      <w:proofErr w:type="spellStart"/>
      <w:r w:rsidRPr="001832FC">
        <w:rPr>
          <w:rFonts w:ascii="Garamond" w:hAnsi="Garamond"/>
          <w:sz w:val="24"/>
        </w:rPr>
        <w:t>Kraye</w:t>
      </w:r>
      <w:proofErr w:type="spellEnd"/>
      <w:r w:rsidRPr="001832FC">
        <w:rPr>
          <w:rFonts w:ascii="Garamond" w:hAnsi="Garamond"/>
          <w:sz w:val="24"/>
        </w:rPr>
        <w:t>, Jill</w:t>
      </w:r>
      <w:r w:rsidRPr="001832FC">
        <w:rPr>
          <w:rFonts w:ascii="Garamond" w:hAnsi="Garamond"/>
          <w:sz w:val="24"/>
        </w:rPr>
        <w:tab/>
        <w:t xml:space="preserve">‘Moral Philosophy’, in E. Kessler, J. </w:t>
      </w:r>
      <w:proofErr w:type="spellStart"/>
      <w:r w:rsidRPr="001832FC">
        <w:rPr>
          <w:rFonts w:ascii="Garamond" w:hAnsi="Garamond"/>
          <w:sz w:val="24"/>
        </w:rPr>
        <w:t>Kraye</w:t>
      </w:r>
      <w:proofErr w:type="spellEnd"/>
      <w:r w:rsidRPr="001832FC">
        <w:rPr>
          <w:rFonts w:ascii="Garamond" w:hAnsi="Garamond"/>
          <w:sz w:val="24"/>
        </w:rPr>
        <w:t xml:space="preserve">, C.B. Schmitt &amp; Q. Skinner (eds.), </w:t>
      </w:r>
      <w:r w:rsidRPr="001832FC">
        <w:rPr>
          <w:rFonts w:ascii="Garamond" w:hAnsi="Garamond"/>
          <w:i/>
          <w:sz w:val="24"/>
        </w:rPr>
        <w:t>The Cambridge History of Renaissance Philosophy</w:t>
      </w:r>
      <w:r w:rsidR="00F85BD2">
        <w:rPr>
          <w:rFonts w:ascii="Garamond" w:hAnsi="Garamond"/>
          <w:sz w:val="24"/>
        </w:rPr>
        <w:t xml:space="preserve"> (Cambridge: Cambridge University Press,</w:t>
      </w:r>
      <w:r w:rsidRPr="001832FC">
        <w:rPr>
          <w:rFonts w:ascii="Garamond" w:hAnsi="Garamond"/>
          <w:sz w:val="24"/>
        </w:rPr>
        <w:t xml:space="preserve"> 1988), pp. 301-86.</w:t>
      </w:r>
    </w:p>
    <w:p w:rsidR="00E40AFE" w:rsidRDefault="00E40AFE" w:rsidP="00E40AFE">
      <w:pPr>
        <w:spacing w:line="240" w:lineRule="auto"/>
        <w:ind w:left="2160" w:right="-330" w:hanging="2444"/>
        <w:jc w:val="both"/>
        <w:rPr>
          <w:rFonts w:ascii="Garamond" w:hAnsi="Garamond"/>
          <w:sz w:val="24"/>
        </w:rPr>
      </w:pPr>
      <w:r w:rsidRPr="001832FC">
        <w:rPr>
          <w:rFonts w:ascii="Garamond" w:hAnsi="Garamond"/>
          <w:sz w:val="24"/>
        </w:rPr>
        <w:t>Levitin, Dmitri</w:t>
      </w:r>
      <w:r w:rsidRPr="001832FC">
        <w:rPr>
          <w:rFonts w:ascii="Garamond" w:hAnsi="Garamond"/>
          <w:sz w:val="24"/>
        </w:rPr>
        <w:tab/>
      </w:r>
      <w:r w:rsidRPr="001832FC">
        <w:rPr>
          <w:rFonts w:ascii="Garamond" w:hAnsi="Garamond"/>
          <w:i/>
          <w:sz w:val="24"/>
        </w:rPr>
        <w:t>Ancient Wisdom in the Age of the New Science: Histories of Philosophy in England, c. 1640-1700</w:t>
      </w:r>
      <w:r w:rsidR="00F85BD2">
        <w:rPr>
          <w:rFonts w:ascii="Garamond" w:hAnsi="Garamond"/>
          <w:sz w:val="24"/>
        </w:rPr>
        <w:t xml:space="preserve"> (Cambridge: Cambridge University Press,</w:t>
      </w:r>
      <w:r w:rsidRPr="001832FC">
        <w:rPr>
          <w:rFonts w:ascii="Garamond" w:hAnsi="Garamond"/>
          <w:sz w:val="24"/>
        </w:rPr>
        <w:t xml:space="preserve"> 2015).</w:t>
      </w:r>
    </w:p>
    <w:p w:rsidR="00E40AFE" w:rsidRPr="001832FC" w:rsidRDefault="00E40AFE" w:rsidP="00E40AFE">
      <w:pPr>
        <w:spacing w:after="0"/>
        <w:ind w:left="2160" w:right="-329" w:hanging="2444"/>
        <w:jc w:val="both"/>
        <w:rPr>
          <w:rFonts w:ascii="Garamond" w:hAnsi="Garamond"/>
          <w:sz w:val="24"/>
        </w:rPr>
      </w:pPr>
      <w:r>
        <w:rPr>
          <w:rFonts w:ascii="Garamond" w:hAnsi="Garamond"/>
          <w:sz w:val="24"/>
        </w:rPr>
        <w:t>Locke, John</w:t>
      </w:r>
      <w:r>
        <w:rPr>
          <w:rFonts w:ascii="Garamond" w:hAnsi="Garamond"/>
          <w:sz w:val="24"/>
        </w:rPr>
        <w:tab/>
      </w:r>
      <w:r w:rsidRPr="001832FC">
        <w:rPr>
          <w:rFonts w:ascii="Garamond" w:hAnsi="Garamond"/>
          <w:i/>
          <w:sz w:val="24"/>
        </w:rPr>
        <w:t>The Correspondence of John Locke</w:t>
      </w:r>
      <w:r w:rsidRPr="001832FC">
        <w:rPr>
          <w:rFonts w:ascii="Garamond" w:hAnsi="Garamond"/>
          <w:sz w:val="24"/>
        </w:rPr>
        <w:t>, ed</w:t>
      </w:r>
      <w:r w:rsidR="00F85BD2">
        <w:rPr>
          <w:rFonts w:ascii="Garamond" w:hAnsi="Garamond"/>
          <w:sz w:val="24"/>
        </w:rPr>
        <w:t xml:space="preserve">. E.S. de Beer (8 </w:t>
      </w:r>
      <w:proofErr w:type="gramStart"/>
      <w:r w:rsidR="00F85BD2">
        <w:rPr>
          <w:rFonts w:ascii="Garamond" w:hAnsi="Garamond"/>
          <w:sz w:val="24"/>
        </w:rPr>
        <w:t>vols.,</w:t>
      </w:r>
      <w:proofErr w:type="gramEnd"/>
      <w:r w:rsidR="00F85BD2">
        <w:rPr>
          <w:rFonts w:ascii="Garamond" w:hAnsi="Garamond"/>
          <w:sz w:val="24"/>
        </w:rPr>
        <w:t xml:space="preserve"> Oxford: Clarendon Press,</w:t>
      </w:r>
      <w:r w:rsidRPr="001832FC">
        <w:rPr>
          <w:rFonts w:ascii="Garamond" w:hAnsi="Garamond"/>
          <w:sz w:val="24"/>
        </w:rPr>
        <w:t xml:space="preserve"> 1976-89).</w:t>
      </w:r>
    </w:p>
    <w:p w:rsidR="00E40AFE" w:rsidRPr="001832FC" w:rsidRDefault="00E40AFE" w:rsidP="00E40AFE">
      <w:pPr>
        <w:spacing w:after="0"/>
        <w:ind w:left="2160" w:right="-329" w:hanging="2444"/>
        <w:jc w:val="both"/>
        <w:rPr>
          <w:rFonts w:ascii="Garamond" w:hAnsi="Garamond"/>
          <w:sz w:val="24"/>
        </w:rPr>
      </w:pPr>
      <w:r>
        <w:rPr>
          <w:rFonts w:ascii="Garamond" w:hAnsi="Garamond"/>
          <w:sz w:val="24"/>
        </w:rPr>
        <w:tab/>
      </w:r>
      <w:proofErr w:type="gramStart"/>
      <w:r w:rsidRPr="001832FC">
        <w:rPr>
          <w:rFonts w:ascii="Garamond" w:hAnsi="Garamond"/>
          <w:i/>
          <w:sz w:val="24"/>
        </w:rPr>
        <w:t>The Educational Writings of John Locke</w:t>
      </w:r>
      <w:r w:rsidR="00F85BD2">
        <w:rPr>
          <w:rFonts w:ascii="Garamond" w:hAnsi="Garamond"/>
          <w:sz w:val="24"/>
        </w:rPr>
        <w:t>, ed. J. L. Axtell (Cambridge: Cambridge University Press,</w:t>
      </w:r>
      <w:r w:rsidRPr="001832FC">
        <w:rPr>
          <w:rFonts w:ascii="Garamond" w:hAnsi="Garamond"/>
          <w:sz w:val="24"/>
        </w:rPr>
        <w:t xml:space="preserve"> 1968).</w:t>
      </w:r>
      <w:proofErr w:type="gramEnd"/>
    </w:p>
    <w:p w:rsidR="00E40AFE" w:rsidRPr="001832FC" w:rsidRDefault="00E40AFE" w:rsidP="00E40AFE">
      <w:pPr>
        <w:spacing w:after="0"/>
        <w:ind w:left="2160" w:right="-329" w:hanging="2444"/>
        <w:jc w:val="both"/>
        <w:rPr>
          <w:rFonts w:ascii="Garamond" w:hAnsi="Garamond"/>
          <w:sz w:val="24"/>
        </w:rPr>
      </w:pPr>
      <w:r>
        <w:rPr>
          <w:rFonts w:ascii="Garamond" w:hAnsi="Garamond"/>
          <w:sz w:val="24"/>
        </w:rPr>
        <w:lastRenderedPageBreak/>
        <w:tab/>
      </w:r>
      <w:proofErr w:type="gramStart"/>
      <w:r w:rsidRPr="001832FC">
        <w:rPr>
          <w:rFonts w:ascii="Garamond" w:hAnsi="Garamond"/>
          <w:i/>
          <w:sz w:val="24"/>
        </w:rPr>
        <w:t>An Essay concerning Human Understanding</w:t>
      </w:r>
      <w:r w:rsidRPr="001832FC">
        <w:rPr>
          <w:rFonts w:ascii="Garamond" w:hAnsi="Garamond"/>
          <w:sz w:val="24"/>
        </w:rPr>
        <w:t xml:space="preserve">, ed. P.H. </w:t>
      </w:r>
      <w:proofErr w:type="spellStart"/>
      <w:r w:rsidRPr="001832FC">
        <w:rPr>
          <w:rFonts w:ascii="Garamond" w:hAnsi="Garamond"/>
          <w:sz w:val="24"/>
        </w:rPr>
        <w:t>Nidditch</w:t>
      </w:r>
      <w:proofErr w:type="spellEnd"/>
      <w:r w:rsidRPr="001832FC">
        <w:rPr>
          <w:rFonts w:ascii="Garamond" w:hAnsi="Garamond"/>
          <w:sz w:val="24"/>
        </w:rPr>
        <w:t xml:space="preserve"> (Oxford</w:t>
      </w:r>
      <w:r w:rsidR="00F85BD2">
        <w:rPr>
          <w:rFonts w:ascii="Garamond" w:hAnsi="Garamond"/>
          <w:sz w:val="24"/>
        </w:rPr>
        <w:t>: Clarendon Press</w:t>
      </w:r>
      <w:r w:rsidRPr="001832FC">
        <w:rPr>
          <w:rFonts w:ascii="Garamond" w:hAnsi="Garamond"/>
          <w:sz w:val="24"/>
        </w:rPr>
        <w:t>, 1975).</w:t>
      </w:r>
      <w:proofErr w:type="gramEnd"/>
    </w:p>
    <w:p w:rsidR="00E40AFE" w:rsidRPr="001832FC" w:rsidRDefault="00E40AFE" w:rsidP="00E40AFE">
      <w:pPr>
        <w:spacing w:after="0"/>
        <w:ind w:left="2160" w:right="-329" w:hanging="2444"/>
        <w:jc w:val="both"/>
        <w:rPr>
          <w:rFonts w:ascii="Garamond" w:hAnsi="Garamond"/>
          <w:sz w:val="24"/>
        </w:rPr>
      </w:pPr>
      <w:r w:rsidRPr="001832FC">
        <w:rPr>
          <w:rFonts w:ascii="Garamond" w:hAnsi="Garamond"/>
          <w:sz w:val="24"/>
        </w:rPr>
        <w:tab/>
      </w:r>
      <w:proofErr w:type="gramStart"/>
      <w:r w:rsidRPr="001832FC">
        <w:rPr>
          <w:rFonts w:ascii="Garamond" w:hAnsi="Garamond"/>
          <w:i/>
          <w:sz w:val="24"/>
        </w:rPr>
        <w:t>Essays on the Law of Nature</w:t>
      </w:r>
      <w:r w:rsidR="00F85BD2">
        <w:rPr>
          <w:rFonts w:ascii="Garamond" w:hAnsi="Garamond"/>
          <w:sz w:val="24"/>
        </w:rPr>
        <w:t>, ed. W. von Leyden (Oxford: Clarendon Press,</w:t>
      </w:r>
      <w:r w:rsidRPr="001832FC">
        <w:rPr>
          <w:rFonts w:ascii="Garamond" w:hAnsi="Garamond"/>
          <w:sz w:val="24"/>
        </w:rPr>
        <w:t xml:space="preserve"> 1954).</w:t>
      </w:r>
      <w:proofErr w:type="gramEnd"/>
    </w:p>
    <w:p w:rsidR="00E40AFE" w:rsidRPr="001832FC" w:rsidRDefault="00E40AFE" w:rsidP="00E40AFE">
      <w:pPr>
        <w:spacing w:after="0"/>
        <w:ind w:left="2160" w:right="-329" w:hanging="2444"/>
        <w:jc w:val="both"/>
        <w:rPr>
          <w:rFonts w:ascii="Garamond" w:hAnsi="Garamond"/>
          <w:sz w:val="24"/>
        </w:rPr>
      </w:pPr>
      <w:r>
        <w:rPr>
          <w:rFonts w:ascii="Garamond" w:hAnsi="Garamond"/>
          <w:sz w:val="24"/>
        </w:rPr>
        <w:tab/>
      </w:r>
      <w:r w:rsidRPr="001832FC">
        <w:rPr>
          <w:rFonts w:ascii="Garamond" w:hAnsi="Garamond"/>
          <w:i/>
          <w:sz w:val="24"/>
        </w:rPr>
        <w:t>The Library of John Locke</w:t>
      </w:r>
      <w:r w:rsidRPr="001832FC">
        <w:rPr>
          <w:rFonts w:ascii="Garamond" w:hAnsi="Garamond"/>
          <w:sz w:val="24"/>
        </w:rPr>
        <w:t xml:space="preserve">, ed. J. Harrison &amp; P. </w:t>
      </w:r>
      <w:proofErr w:type="spellStart"/>
      <w:r w:rsidRPr="001832FC">
        <w:rPr>
          <w:rFonts w:ascii="Garamond" w:hAnsi="Garamond"/>
          <w:sz w:val="24"/>
        </w:rPr>
        <w:t>Laslett</w:t>
      </w:r>
      <w:proofErr w:type="spellEnd"/>
      <w:r w:rsidRPr="001832FC">
        <w:rPr>
          <w:rFonts w:ascii="Garamond" w:hAnsi="Garamond"/>
          <w:sz w:val="24"/>
        </w:rPr>
        <w:t>, 2</w:t>
      </w:r>
      <w:r w:rsidRPr="001832FC">
        <w:rPr>
          <w:rFonts w:ascii="Garamond" w:hAnsi="Garamond"/>
          <w:sz w:val="24"/>
          <w:vertAlign w:val="superscript"/>
        </w:rPr>
        <w:t>nd</w:t>
      </w:r>
      <w:r w:rsidR="00F85BD2">
        <w:rPr>
          <w:rFonts w:ascii="Garamond" w:hAnsi="Garamond"/>
          <w:sz w:val="24"/>
        </w:rPr>
        <w:t xml:space="preserve"> </w:t>
      </w:r>
      <w:proofErr w:type="spellStart"/>
      <w:r w:rsidR="00F85BD2">
        <w:rPr>
          <w:rFonts w:ascii="Garamond" w:hAnsi="Garamond"/>
          <w:sz w:val="24"/>
        </w:rPr>
        <w:t>edn</w:t>
      </w:r>
      <w:proofErr w:type="spellEnd"/>
      <w:r w:rsidR="00F85BD2">
        <w:rPr>
          <w:rFonts w:ascii="Garamond" w:hAnsi="Garamond"/>
          <w:sz w:val="24"/>
        </w:rPr>
        <w:t xml:space="preserve"> (Oxford: Clarendon Press,</w:t>
      </w:r>
      <w:r w:rsidRPr="001832FC">
        <w:rPr>
          <w:rFonts w:ascii="Garamond" w:hAnsi="Garamond"/>
          <w:sz w:val="24"/>
        </w:rPr>
        <w:t xml:space="preserve"> 1971).</w:t>
      </w:r>
    </w:p>
    <w:p w:rsidR="00E40AFE" w:rsidRPr="00B53C22" w:rsidRDefault="00E40AFE" w:rsidP="00E40AFE">
      <w:pPr>
        <w:spacing w:after="0"/>
        <w:ind w:left="2160" w:right="-329" w:hanging="2444"/>
        <w:jc w:val="both"/>
        <w:rPr>
          <w:rFonts w:ascii="Garamond" w:hAnsi="Garamond"/>
          <w:sz w:val="24"/>
        </w:rPr>
      </w:pPr>
      <w:r>
        <w:rPr>
          <w:rFonts w:ascii="Garamond" w:hAnsi="Garamond"/>
          <w:sz w:val="24"/>
        </w:rPr>
        <w:tab/>
      </w:r>
      <w:proofErr w:type="gramStart"/>
      <w:r>
        <w:rPr>
          <w:rFonts w:ascii="Garamond" w:hAnsi="Garamond"/>
          <w:i/>
          <w:sz w:val="24"/>
        </w:rPr>
        <w:t>Political Essays</w:t>
      </w:r>
      <w:r w:rsidR="00F85BD2">
        <w:rPr>
          <w:rFonts w:ascii="Garamond" w:hAnsi="Garamond"/>
          <w:sz w:val="24"/>
        </w:rPr>
        <w:t>, ed. M. Goldie (Cambridge: Cambridge University Press,</w:t>
      </w:r>
      <w:r>
        <w:rPr>
          <w:rFonts w:ascii="Garamond" w:hAnsi="Garamond"/>
          <w:sz w:val="24"/>
        </w:rPr>
        <w:t xml:space="preserve"> 1997).</w:t>
      </w:r>
      <w:proofErr w:type="gramEnd"/>
    </w:p>
    <w:p w:rsidR="00E40AFE" w:rsidRPr="001832FC" w:rsidRDefault="00E40AFE" w:rsidP="00E40AFE">
      <w:pPr>
        <w:spacing w:after="0"/>
        <w:ind w:left="2160" w:right="-329"/>
        <w:jc w:val="both"/>
        <w:rPr>
          <w:rFonts w:ascii="Garamond" w:hAnsi="Garamond"/>
          <w:sz w:val="24"/>
        </w:rPr>
      </w:pPr>
      <w:proofErr w:type="gramStart"/>
      <w:r w:rsidRPr="001832FC">
        <w:rPr>
          <w:rFonts w:ascii="Garamond" w:hAnsi="Garamond"/>
          <w:i/>
          <w:sz w:val="24"/>
        </w:rPr>
        <w:t>Some Thoughts concerning Education</w:t>
      </w:r>
      <w:r w:rsidRPr="001832FC">
        <w:rPr>
          <w:rFonts w:ascii="Garamond" w:hAnsi="Garamond"/>
          <w:sz w:val="24"/>
        </w:rPr>
        <w:t xml:space="preserve">, ed. J.W. </w:t>
      </w:r>
      <w:proofErr w:type="spellStart"/>
      <w:r w:rsidRPr="001832FC">
        <w:rPr>
          <w:rFonts w:ascii="Garamond" w:hAnsi="Garamond"/>
          <w:sz w:val="24"/>
        </w:rPr>
        <w:t>Yolton</w:t>
      </w:r>
      <w:proofErr w:type="spellEnd"/>
      <w:r w:rsidRPr="001832FC">
        <w:rPr>
          <w:rFonts w:ascii="Garamond" w:hAnsi="Garamond"/>
          <w:sz w:val="24"/>
        </w:rPr>
        <w:t xml:space="preserve"> &amp; J.S. </w:t>
      </w:r>
      <w:proofErr w:type="spellStart"/>
      <w:r w:rsidRPr="001832FC">
        <w:rPr>
          <w:rFonts w:ascii="Garamond" w:hAnsi="Garamond"/>
          <w:sz w:val="24"/>
        </w:rPr>
        <w:t>Yolton</w:t>
      </w:r>
      <w:proofErr w:type="spellEnd"/>
      <w:r w:rsidRPr="001832FC">
        <w:rPr>
          <w:rFonts w:ascii="Garamond" w:hAnsi="Garamond"/>
          <w:sz w:val="24"/>
        </w:rPr>
        <w:t xml:space="preserve"> (Oxford</w:t>
      </w:r>
      <w:r w:rsidR="00F85BD2">
        <w:rPr>
          <w:rFonts w:ascii="Garamond" w:hAnsi="Garamond"/>
          <w:sz w:val="24"/>
        </w:rPr>
        <w:t>: Clarendon Press</w:t>
      </w:r>
      <w:r w:rsidRPr="001832FC">
        <w:rPr>
          <w:rFonts w:ascii="Garamond" w:hAnsi="Garamond"/>
          <w:sz w:val="24"/>
        </w:rPr>
        <w:t>, 1989).</w:t>
      </w:r>
      <w:proofErr w:type="gramEnd"/>
    </w:p>
    <w:p w:rsidR="00E40AFE" w:rsidRPr="001832FC" w:rsidRDefault="00E40AFE" w:rsidP="00E40AFE">
      <w:pPr>
        <w:spacing w:after="0"/>
        <w:ind w:left="2160" w:right="-329" w:hanging="2444"/>
        <w:jc w:val="both"/>
        <w:rPr>
          <w:rFonts w:ascii="Garamond" w:hAnsi="Garamond"/>
          <w:sz w:val="24"/>
        </w:rPr>
      </w:pPr>
      <w:r>
        <w:rPr>
          <w:rFonts w:ascii="Garamond" w:hAnsi="Garamond"/>
          <w:sz w:val="24"/>
        </w:rPr>
        <w:tab/>
      </w:r>
      <w:r w:rsidRPr="001832FC">
        <w:rPr>
          <w:rFonts w:ascii="Garamond" w:hAnsi="Garamond"/>
          <w:i/>
          <w:sz w:val="24"/>
        </w:rPr>
        <w:t>The Works of John Locke</w:t>
      </w:r>
      <w:r w:rsidR="00F85BD2">
        <w:rPr>
          <w:rFonts w:ascii="Garamond" w:hAnsi="Garamond"/>
          <w:sz w:val="24"/>
        </w:rPr>
        <w:t>, 9 vols. (London: T. Longman,</w:t>
      </w:r>
      <w:r w:rsidRPr="001832FC">
        <w:rPr>
          <w:rFonts w:ascii="Garamond" w:hAnsi="Garamond"/>
          <w:sz w:val="24"/>
        </w:rPr>
        <w:t xml:space="preserve"> 1794; </w:t>
      </w:r>
      <w:proofErr w:type="spellStart"/>
      <w:r w:rsidRPr="001832FC">
        <w:rPr>
          <w:rFonts w:ascii="Garamond" w:hAnsi="Garamond"/>
          <w:sz w:val="24"/>
        </w:rPr>
        <w:t>repr</w:t>
      </w:r>
      <w:proofErr w:type="spellEnd"/>
      <w:r w:rsidRPr="001832FC">
        <w:rPr>
          <w:rFonts w:ascii="Garamond" w:hAnsi="Garamond"/>
          <w:sz w:val="24"/>
        </w:rPr>
        <w:t>. London</w:t>
      </w:r>
      <w:r w:rsidR="00F85BD2">
        <w:rPr>
          <w:rFonts w:ascii="Garamond" w:hAnsi="Garamond"/>
          <w:sz w:val="24"/>
        </w:rPr>
        <w:t>: Routledge/ Thoemmes</w:t>
      </w:r>
      <w:r w:rsidRPr="001832FC">
        <w:rPr>
          <w:rFonts w:ascii="Garamond" w:hAnsi="Garamond"/>
          <w:sz w:val="24"/>
        </w:rPr>
        <w:t>, 1997).</w:t>
      </w:r>
    </w:p>
    <w:p w:rsidR="00E40AFE" w:rsidRDefault="00E40AFE" w:rsidP="00E40AFE">
      <w:pPr>
        <w:spacing w:line="240" w:lineRule="auto"/>
        <w:ind w:left="2160" w:right="-330" w:hanging="2444"/>
        <w:jc w:val="both"/>
        <w:rPr>
          <w:rFonts w:ascii="Garamond" w:hAnsi="Garamond"/>
          <w:sz w:val="24"/>
        </w:rPr>
      </w:pPr>
      <w:r w:rsidRPr="001832FC">
        <w:rPr>
          <w:rFonts w:ascii="Garamond" w:hAnsi="Garamond"/>
          <w:sz w:val="24"/>
        </w:rPr>
        <w:tab/>
      </w:r>
      <w:r w:rsidRPr="001832FC">
        <w:rPr>
          <w:rFonts w:ascii="Garamond" w:hAnsi="Garamond"/>
          <w:i/>
          <w:sz w:val="24"/>
        </w:rPr>
        <w:t>Writings on Religion</w:t>
      </w:r>
      <w:r w:rsidRPr="001832FC">
        <w:rPr>
          <w:rFonts w:ascii="Garamond" w:hAnsi="Garamond"/>
          <w:sz w:val="24"/>
        </w:rPr>
        <w:t xml:space="preserve">, ed. V. </w:t>
      </w:r>
      <w:proofErr w:type="spellStart"/>
      <w:r w:rsidRPr="001832FC">
        <w:rPr>
          <w:rFonts w:ascii="Garamond" w:hAnsi="Garamond"/>
          <w:sz w:val="24"/>
        </w:rPr>
        <w:t>Nuovo</w:t>
      </w:r>
      <w:proofErr w:type="spellEnd"/>
      <w:r w:rsidRPr="001832FC">
        <w:rPr>
          <w:rFonts w:ascii="Garamond" w:hAnsi="Garamond"/>
          <w:sz w:val="24"/>
        </w:rPr>
        <w:t xml:space="preserve"> (Oxford</w:t>
      </w:r>
      <w:r w:rsidR="00F85BD2">
        <w:rPr>
          <w:rFonts w:ascii="Garamond" w:hAnsi="Garamond"/>
          <w:sz w:val="24"/>
        </w:rPr>
        <w:t>: Oxford University Press</w:t>
      </w:r>
      <w:r w:rsidRPr="001832FC">
        <w:rPr>
          <w:rFonts w:ascii="Garamond" w:hAnsi="Garamond"/>
          <w:sz w:val="24"/>
        </w:rPr>
        <w:t>, 2002).</w:t>
      </w:r>
    </w:p>
    <w:p w:rsidR="002710FB" w:rsidRPr="002710FB" w:rsidRDefault="002710FB" w:rsidP="00E40AFE">
      <w:pPr>
        <w:spacing w:line="240" w:lineRule="auto"/>
        <w:ind w:left="2160" w:right="-330" w:hanging="2444"/>
        <w:jc w:val="both"/>
        <w:rPr>
          <w:rFonts w:ascii="Garamond" w:hAnsi="Garamond"/>
          <w:sz w:val="24"/>
        </w:rPr>
      </w:pPr>
      <w:r>
        <w:rPr>
          <w:rFonts w:ascii="Garamond" w:hAnsi="Garamond"/>
          <w:sz w:val="24"/>
        </w:rPr>
        <w:t>Long, Anthony A.</w:t>
      </w:r>
      <w:r>
        <w:rPr>
          <w:rFonts w:ascii="Garamond" w:hAnsi="Garamond"/>
          <w:sz w:val="24"/>
        </w:rPr>
        <w:tab/>
      </w:r>
      <w:r>
        <w:rPr>
          <w:rFonts w:ascii="Garamond" w:hAnsi="Garamond"/>
          <w:i/>
          <w:sz w:val="24"/>
        </w:rPr>
        <w:t>Hellenistic Philosophy: Stoics, Epicureans, Sceptics</w:t>
      </w:r>
      <w:r>
        <w:rPr>
          <w:rFonts w:ascii="Garamond" w:hAnsi="Garamond"/>
          <w:sz w:val="24"/>
        </w:rPr>
        <w:t xml:space="preserve"> (London</w:t>
      </w:r>
      <w:r w:rsidR="00F85BD2">
        <w:rPr>
          <w:rFonts w:ascii="Garamond" w:hAnsi="Garamond"/>
          <w:sz w:val="24"/>
        </w:rPr>
        <w:t>: Duckworth</w:t>
      </w:r>
      <w:r>
        <w:rPr>
          <w:rFonts w:ascii="Garamond" w:hAnsi="Garamond"/>
          <w:sz w:val="24"/>
        </w:rPr>
        <w:t>, 1974).</w:t>
      </w:r>
    </w:p>
    <w:p w:rsidR="00161A61" w:rsidRPr="00161A61" w:rsidRDefault="00161A61" w:rsidP="00615639">
      <w:pPr>
        <w:spacing w:line="240" w:lineRule="auto"/>
        <w:ind w:left="2160" w:right="-330" w:hanging="2444"/>
        <w:jc w:val="both"/>
        <w:rPr>
          <w:rFonts w:ascii="Garamond" w:hAnsi="Garamond"/>
          <w:sz w:val="24"/>
        </w:rPr>
      </w:pPr>
      <w:proofErr w:type="spellStart"/>
      <w:r>
        <w:rPr>
          <w:rFonts w:ascii="Garamond" w:hAnsi="Garamond"/>
          <w:sz w:val="24"/>
        </w:rPr>
        <w:t>Marenbon</w:t>
      </w:r>
      <w:proofErr w:type="spellEnd"/>
      <w:r>
        <w:rPr>
          <w:rFonts w:ascii="Garamond" w:hAnsi="Garamond"/>
          <w:sz w:val="24"/>
        </w:rPr>
        <w:t>, John</w:t>
      </w:r>
      <w:r>
        <w:rPr>
          <w:rFonts w:ascii="Garamond" w:hAnsi="Garamond"/>
          <w:sz w:val="24"/>
        </w:rPr>
        <w:tab/>
      </w:r>
      <w:r>
        <w:rPr>
          <w:rFonts w:ascii="Garamond" w:hAnsi="Garamond"/>
          <w:i/>
          <w:sz w:val="24"/>
        </w:rPr>
        <w:t xml:space="preserve">Pagans and Philosophers: The Problem of Paganism from Augustine to Leibniz </w:t>
      </w:r>
      <w:r>
        <w:rPr>
          <w:rFonts w:ascii="Garamond" w:hAnsi="Garamond"/>
          <w:sz w:val="24"/>
        </w:rPr>
        <w:t>(Princeton,</w:t>
      </w:r>
      <w:r w:rsidR="00F85BD2">
        <w:rPr>
          <w:rFonts w:ascii="Garamond" w:hAnsi="Garamond"/>
          <w:sz w:val="24"/>
        </w:rPr>
        <w:t xml:space="preserve"> N.J.: Princeton University Press,</w:t>
      </w:r>
      <w:r>
        <w:rPr>
          <w:rFonts w:ascii="Garamond" w:hAnsi="Garamond"/>
          <w:sz w:val="24"/>
        </w:rPr>
        <w:t xml:space="preserve"> 2015).</w:t>
      </w:r>
    </w:p>
    <w:p w:rsidR="00615639" w:rsidRDefault="00615639" w:rsidP="00615639">
      <w:pPr>
        <w:spacing w:line="240" w:lineRule="auto"/>
        <w:ind w:left="2160" w:right="-330" w:hanging="2444"/>
        <w:jc w:val="both"/>
        <w:rPr>
          <w:rFonts w:ascii="Garamond" w:hAnsi="Garamond"/>
          <w:sz w:val="24"/>
        </w:rPr>
      </w:pPr>
      <w:r>
        <w:rPr>
          <w:rFonts w:ascii="Garamond" w:hAnsi="Garamond"/>
          <w:sz w:val="24"/>
        </w:rPr>
        <w:t>Marshall, John</w:t>
      </w:r>
      <w:r>
        <w:rPr>
          <w:rFonts w:ascii="Garamond" w:hAnsi="Garamond"/>
          <w:sz w:val="24"/>
        </w:rPr>
        <w:tab/>
      </w:r>
      <w:proofErr w:type="spellStart"/>
      <w:r w:rsidRPr="00615639">
        <w:rPr>
          <w:rFonts w:ascii="Garamond" w:hAnsi="Garamond"/>
          <w:i/>
          <w:sz w:val="24"/>
        </w:rPr>
        <w:t>John</w:t>
      </w:r>
      <w:proofErr w:type="spellEnd"/>
      <w:r w:rsidRPr="00615639">
        <w:rPr>
          <w:rFonts w:ascii="Garamond" w:hAnsi="Garamond"/>
          <w:i/>
          <w:sz w:val="24"/>
        </w:rPr>
        <w:t xml:space="preserve"> Locke: Resistance, Religion and Responsibility</w:t>
      </w:r>
      <w:r>
        <w:rPr>
          <w:rFonts w:ascii="Garamond" w:hAnsi="Garamond"/>
          <w:sz w:val="24"/>
        </w:rPr>
        <w:t xml:space="preserve"> (Cambridge</w:t>
      </w:r>
      <w:r w:rsidR="00CD5642">
        <w:rPr>
          <w:rFonts w:ascii="Garamond" w:hAnsi="Garamond"/>
          <w:sz w:val="24"/>
        </w:rPr>
        <w:t>: Cambridge University Press</w:t>
      </w:r>
      <w:r>
        <w:rPr>
          <w:rFonts w:ascii="Garamond" w:hAnsi="Garamond"/>
          <w:sz w:val="24"/>
        </w:rPr>
        <w:t>, 1994).</w:t>
      </w:r>
    </w:p>
    <w:p w:rsidR="00E40AFE" w:rsidRDefault="00FA5E78" w:rsidP="00E40AFE">
      <w:pPr>
        <w:spacing w:line="240" w:lineRule="auto"/>
        <w:ind w:left="2160" w:right="-330" w:hanging="2444"/>
        <w:jc w:val="both"/>
        <w:rPr>
          <w:rFonts w:ascii="Garamond" w:hAnsi="Garamond"/>
          <w:sz w:val="24"/>
        </w:rPr>
      </w:pPr>
      <w:proofErr w:type="spellStart"/>
      <w:r>
        <w:rPr>
          <w:rFonts w:ascii="Garamond" w:hAnsi="Garamond"/>
          <w:sz w:val="24"/>
        </w:rPr>
        <w:t>Mitsis</w:t>
      </w:r>
      <w:proofErr w:type="spellEnd"/>
      <w:r>
        <w:rPr>
          <w:rFonts w:ascii="Garamond" w:hAnsi="Garamond"/>
          <w:sz w:val="24"/>
        </w:rPr>
        <w:t>, Phillip</w:t>
      </w:r>
      <w:r>
        <w:rPr>
          <w:rFonts w:ascii="Garamond" w:hAnsi="Garamond"/>
          <w:sz w:val="24"/>
        </w:rPr>
        <w:tab/>
        <w:t>‘Locke’s o</w:t>
      </w:r>
      <w:r w:rsidR="00E40AFE" w:rsidRPr="00483CF9">
        <w:rPr>
          <w:rFonts w:ascii="Garamond" w:hAnsi="Garamond"/>
          <w:sz w:val="24"/>
        </w:rPr>
        <w:t xml:space="preserve">ffices’, in J. Miller &amp; B. Inwood (eds.), </w:t>
      </w:r>
      <w:r w:rsidR="00E40AFE" w:rsidRPr="00483CF9">
        <w:rPr>
          <w:rFonts w:ascii="Garamond" w:hAnsi="Garamond"/>
          <w:i/>
          <w:sz w:val="24"/>
        </w:rPr>
        <w:t>Hellenistic and Early Modern Philosophy</w:t>
      </w:r>
      <w:r w:rsidR="00CD5642">
        <w:rPr>
          <w:rFonts w:ascii="Garamond" w:hAnsi="Garamond"/>
          <w:sz w:val="24"/>
        </w:rPr>
        <w:t xml:space="preserve"> (Cambridge: Cambridge University Press,</w:t>
      </w:r>
      <w:r w:rsidR="00E40AFE" w:rsidRPr="00483CF9">
        <w:rPr>
          <w:rFonts w:ascii="Garamond" w:hAnsi="Garamond"/>
          <w:sz w:val="24"/>
        </w:rPr>
        <w:t xml:space="preserve"> 2003), pp. 45-61.</w:t>
      </w:r>
    </w:p>
    <w:p w:rsidR="00E40AFE" w:rsidRDefault="00E40AFE" w:rsidP="00E40AFE">
      <w:pPr>
        <w:spacing w:line="240" w:lineRule="auto"/>
        <w:ind w:left="2160" w:right="-330" w:hanging="2444"/>
        <w:jc w:val="both"/>
        <w:rPr>
          <w:rFonts w:ascii="Garamond" w:hAnsi="Garamond"/>
          <w:sz w:val="24"/>
        </w:rPr>
      </w:pPr>
      <w:r w:rsidRPr="00483CF9">
        <w:rPr>
          <w:rFonts w:ascii="Garamond" w:hAnsi="Garamond"/>
          <w:sz w:val="24"/>
        </w:rPr>
        <w:t>Oakley, Francis</w:t>
      </w:r>
      <w:r>
        <w:rPr>
          <w:rFonts w:ascii="Garamond" w:hAnsi="Garamond"/>
          <w:sz w:val="24"/>
        </w:rPr>
        <w:tab/>
      </w:r>
      <w:r w:rsidRPr="00483CF9">
        <w:rPr>
          <w:rFonts w:ascii="Garamond" w:hAnsi="Garamond"/>
          <w:i/>
          <w:sz w:val="24"/>
        </w:rPr>
        <w:t>Natural Law, Laws of Nature, Natural Rights</w:t>
      </w:r>
      <w:r w:rsidR="00CD5642">
        <w:rPr>
          <w:rFonts w:ascii="Garamond" w:hAnsi="Garamond"/>
          <w:i/>
          <w:sz w:val="24"/>
        </w:rPr>
        <w:t>: Continuity and Discontinuity in the History of Ideas</w:t>
      </w:r>
      <w:r>
        <w:rPr>
          <w:rFonts w:ascii="Garamond" w:hAnsi="Garamond"/>
          <w:sz w:val="24"/>
        </w:rPr>
        <w:t xml:space="preserve"> (New York</w:t>
      </w:r>
      <w:r w:rsidR="00CD5642">
        <w:rPr>
          <w:rFonts w:ascii="Garamond" w:hAnsi="Garamond"/>
          <w:sz w:val="24"/>
        </w:rPr>
        <w:t>: Continuum</w:t>
      </w:r>
      <w:r>
        <w:rPr>
          <w:rFonts w:ascii="Garamond" w:hAnsi="Garamond"/>
          <w:sz w:val="24"/>
        </w:rPr>
        <w:t>, 2005).</w:t>
      </w:r>
    </w:p>
    <w:p w:rsidR="00802A48" w:rsidRPr="00802A48" w:rsidRDefault="00CD5642" w:rsidP="00802A48">
      <w:pPr>
        <w:ind w:left="2160" w:right="-330" w:hanging="2444"/>
        <w:jc w:val="both"/>
        <w:rPr>
          <w:rFonts w:ascii="Garamond" w:hAnsi="Garamond"/>
          <w:iCs/>
          <w:sz w:val="24"/>
        </w:rPr>
      </w:pPr>
      <w:proofErr w:type="spellStart"/>
      <w:r>
        <w:rPr>
          <w:rFonts w:ascii="Garamond" w:hAnsi="Garamond"/>
          <w:iCs/>
          <w:sz w:val="24"/>
        </w:rPr>
        <w:t>Obbink</w:t>
      </w:r>
      <w:proofErr w:type="spellEnd"/>
      <w:r>
        <w:rPr>
          <w:rFonts w:ascii="Garamond" w:hAnsi="Garamond"/>
          <w:iCs/>
          <w:sz w:val="24"/>
        </w:rPr>
        <w:t>, Dirk</w:t>
      </w:r>
      <w:r>
        <w:rPr>
          <w:rFonts w:ascii="Garamond" w:hAnsi="Garamond"/>
          <w:iCs/>
          <w:sz w:val="24"/>
        </w:rPr>
        <w:tab/>
        <w:t>‘“What all men believe – must be true”: common c</w:t>
      </w:r>
      <w:r w:rsidR="00802A48">
        <w:rPr>
          <w:rFonts w:ascii="Garamond" w:hAnsi="Garamond"/>
          <w:iCs/>
          <w:sz w:val="24"/>
        </w:rPr>
        <w:t xml:space="preserve">onceptions and </w:t>
      </w:r>
      <w:proofErr w:type="spellStart"/>
      <w:r>
        <w:rPr>
          <w:rFonts w:ascii="Garamond" w:hAnsi="Garamond"/>
          <w:i/>
          <w:iCs/>
          <w:sz w:val="24"/>
        </w:rPr>
        <w:t>consensio</w:t>
      </w:r>
      <w:proofErr w:type="spellEnd"/>
      <w:r>
        <w:rPr>
          <w:rFonts w:ascii="Garamond" w:hAnsi="Garamond"/>
          <w:i/>
          <w:iCs/>
          <w:sz w:val="24"/>
        </w:rPr>
        <w:t xml:space="preserve"> o</w:t>
      </w:r>
      <w:r w:rsidR="00802A48">
        <w:rPr>
          <w:rFonts w:ascii="Garamond" w:hAnsi="Garamond"/>
          <w:i/>
          <w:iCs/>
          <w:sz w:val="24"/>
        </w:rPr>
        <w:t xml:space="preserve">mnium </w:t>
      </w:r>
      <w:r>
        <w:rPr>
          <w:rFonts w:ascii="Garamond" w:hAnsi="Garamond"/>
          <w:iCs/>
          <w:sz w:val="24"/>
        </w:rPr>
        <w:t>in Aristotle and Hellenistic p</w:t>
      </w:r>
      <w:r w:rsidR="00802A48">
        <w:rPr>
          <w:rFonts w:ascii="Garamond" w:hAnsi="Garamond"/>
          <w:iCs/>
          <w:sz w:val="24"/>
        </w:rPr>
        <w:t xml:space="preserve">hilosophy’, </w:t>
      </w:r>
      <w:r w:rsidR="00802A48">
        <w:rPr>
          <w:rFonts w:ascii="Garamond" w:hAnsi="Garamond"/>
          <w:i/>
          <w:iCs/>
          <w:sz w:val="24"/>
        </w:rPr>
        <w:t>Oxford Studies in Ancient Philosophy</w:t>
      </w:r>
      <w:r w:rsidR="00802A48">
        <w:rPr>
          <w:rFonts w:ascii="Garamond" w:hAnsi="Garamond"/>
          <w:iCs/>
          <w:sz w:val="24"/>
        </w:rPr>
        <w:t>, 10 (1992), pp. 193-231.</w:t>
      </w:r>
    </w:p>
    <w:p w:rsidR="00E40AFE" w:rsidRPr="009C54AD" w:rsidRDefault="00E40AFE" w:rsidP="00E40AFE">
      <w:pPr>
        <w:spacing w:after="0"/>
        <w:ind w:left="2160" w:right="-330" w:hanging="2444"/>
        <w:jc w:val="both"/>
        <w:rPr>
          <w:rFonts w:ascii="Garamond" w:hAnsi="Garamond"/>
          <w:i/>
          <w:iCs/>
          <w:sz w:val="24"/>
        </w:rPr>
      </w:pPr>
      <w:proofErr w:type="spellStart"/>
      <w:r w:rsidRPr="009C54AD">
        <w:rPr>
          <w:rFonts w:ascii="Garamond" w:hAnsi="Garamond"/>
          <w:iCs/>
          <w:sz w:val="24"/>
        </w:rPr>
        <w:t>Pufendorf</w:t>
      </w:r>
      <w:proofErr w:type="spellEnd"/>
      <w:r w:rsidRPr="009C54AD">
        <w:rPr>
          <w:rFonts w:ascii="Garamond" w:hAnsi="Garamond"/>
          <w:iCs/>
          <w:sz w:val="24"/>
        </w:rPr>
        <w:t>, Samuel</w:t>
      </w:r>
      <w:r w:rsidRPr="009C54AD">
        <w:rPr>
          <w:rFonts w:ascii="Garamond" w:hAnsi="Garamond"/>
          <w:iCs/>
          <w:sz w:val="24"/>
        </w:rPr>
        <w:tab/>
      </w:r>
      <w:r w:rsidRPr="009C54AD">
        <w:rPr>
          <w:rFonts w:ascii="Garamond" w:hAnsi="Garamond"/>
          <w:i/>
          <w:iCs/>
          <w:sz w:val="24"/>
        </w:rPr>
        <w:t xml:space="preserve">De Jure </w:t>
      </w:r>
      <w:proofErr w:type="spellStart"/>
      <w:r w:rsidRPr="009C54AD">
        <w:rPr>
          <w:rFonts w:ascii="Garamond" w:hAnsi="Garamond"/>
          <w:i/>
          <w:iCs/>
          <w:sz w:val="24"/>
        </w:rPr>
        <w:t>Naturae</w:t>
      </w:r>
      <w:proofErr w:type="spellEnd"/>
      <w:r w:rsidRPr="009C54AD">
        <w:rPr>
          <w:rFonts w:ascii="Garamond" w:hAnsi="Garamond"/>
          <w:i/>
          <w:iCs/>
          <w:sz w:val="24"/>
        </w:rPr>
        <w:t xml:space="preserve"> </w:t>
      </w:r>
      <w:proofErr w:type="gramStart"/>
      <w:r w:rsidRPr="009C54AD">
        <w:rPr>
          <w:rFonts w:ascii="Garamond" w:hAnsi="Garamond"/>
          <w:i/>
          <w:iCs/>
          <w:sz w:val="24"/>
        </w:rPr>
        <w:t>et</w:t>
      </w:r>
      <w:proofErr w:type="gramEnd"/>
      <w:r w:rsidRPr="009C54AD">
        <w:rPr>
          <w:rFonts w:ascii="Garamond" w:hAnsi="Garamond"/>
          <w:i/>
          <w:iCs/>
          <w:sz w:val="24"/>
        </w:rPr>
        <w:t xml:space="preserve"> </w:t>
      </w:r>
      <w:proofErr w:type="spellStart"/>
      <w:r w:rsidRPr="009C54AD">
        <w:rPr>
          <w:rFonts w:ascii="Garamond" w:hAnsi="Garamond"/>
          <w:i/>
          <w:iCs/>
          <w:sz w:val="24"/>
        </w:rPr>
        <w:t>Gentium</w:t>
      </w:r>
      <w:proofErr w:type="spellEnd"/>
      <w:r w:rsidRPr="009C54AD">
        <w:rPr>
          <w:rFonts w:ascii="Garamond" w:hAnsi="Garamond"/>
          <w:i/>
          <w:iCs/>
          <w:sz w:val="24"/>
        </w:rPr>
        <w:t xml:space="preserve"> </w:t>
      </w:r>
      <w:proofErr w:type="spellStart"/>
      <w:r w:rsidRPr="009C54AD">
        <w:rPr>
          <w:rFonts w:ascii="Garamond" w:hAnsi="Garamond"/>
          <w:i/>
          <w:iCs/>
          <w:sz w:val="24"/>
        </w:rPr>
        <w:t>Libri</w:t>
      </w:r>
      <w:proofErr w:type="spellEnd"/>
      <w:r w:rsidRPr="009C54AD">
        <w:rPr>
          <w:rFonts w:ascii="Garamond" w:hAnsi="Garamond"/>
          <w:i/>
          <w:iCs/>
          <w:sz w:val="24"/>
        </w:rPr>
        <w:t xml:space="preserve"> Octo</w:t>
      </w:r>
      <w:r w:rsidRPr="009C54AD">
        <w:rPr>
          <w:rFonts w:ascii="Garamond" w:hAnsi="Garamond"/>
          <w:iCs/>
          <w:sz w:val="24"/>
        </w:rPr>
        <w:t xml:space="preserve">, ed. C.H. &amp; </w:t>
      </w:r>
      <w:r w:rsidR="00CD5642">
        <w:rPr>
          <w:rFonts w:ascii="Garamond" w:hAnsi="Garamond"/>
          <w:iCs/>
          <w:sz w:val="24"/>
        </w:rPr>
        <w:t xml:space="preserve">W.A. </w:t>
      </w:r>
      <w:proofErr w:type="spellStart"/>
      <w:r w:rsidR="00CD5642">
        <w:rPr>
          <w:rFonts w:ascii="Garamond" w:hAnsi="Garamond"/>
          <w:iCs/>
          <w:sz w:val="24"/>
        </w:rPr>
        <w:t>Oldfather</w:t>
      </w:r>
      <w:proofErr w:type="spellEnd"/>
      <w:r w:rsidR="00CD5642">
        <w:rPr>
          <w:rFonts w:ascii="Garamond" w:hAnsi="Garamond"/>
          <w:iCs/>
          <w:sz w:val="24"/>
        </w:rPr>
        <w:t>, 2 vols. (Oxford: Clarendon Press,</w:t>
      </w:r>
      <w:r w:rsidRPr="009C54AD">
        <w:rPr>
          <w:rFonts w:ascii="Garamond" w:hAnsi="Garamond"/>
          <w:iCs/>
          <w:sz w:val="24"/>
        </w:rPr>
        <w:t xml:space="preserve"> 1934).</w:t>
      </w:r>
      <w:r w:rsidRPr="009C54AD">
        <w:rPr>
          <w:rFonts w:ascii="Garamond" w:hAnsi="Garamond"/>
          <w:i/>
          <w:iCs/>
          <w:sz w:val="24"/>
        </w:rPr>
        <w:t xml:space="preserve"> </w:t>
      </w:r>
    </w:p>
    <w:p w:rsidR="00E40AFE" w:rsidRPr="009C54AD" w:rsidRDefault="00E40AFE" w:rsidP="00E40AFE">
      <w:pPr>
        <w:ind w:left="2160" w:right="-330" w:hanging="2444"/>
        <w:jc w:val="both"/>
        <w:rPr>
          <w:rFonts w:ascii="Garamond" w:hAnsi="Garamond"/>
          <w:iCs/>
          <w:sz w:val="24"/>
        </w:rPr>
      </w:pPr>
      <w:r>
        <w:rPr>
          <w:rFonts w:ascii="Garamond" w:hAnsi="Garamond"/>
          <w:sz w:val="24"/>
        </w:rPr>
        <w:tab/>
      </w:r>
      <w:proofErr w:type="gramStart"/>
      <w:r w:rsidR="00615639">
        <w:rPr>
          <w:rFonts w:ascii="Garamond" w:hAnsi="Garamond"/>
          <w:i/>
          <w:sz w:val="24"/>
        </w:rPr>
        <w:t>On the Duty of Man and Citizen a</w:t>
      </w:r>
      <w:r w:rsidRPr="009C54AD">
        <w:rPr>
          <w:rFonts w:ascii="Garamond" w:hAnsi="Garamond"/>
          <w:i/>
          <w:sz w:val="24"/>
        </w:rPr>
        <w:t>ccording to Natural Law</w:t>
      </w:r>
      <w:r w:rsidRPr="009C54AD">
        <w:rPr>
          <w:rFonts w:ascii="Garamond" w:hAnsi="Garamond"/>
          <w:sz w:val="24"/>
        </w:rPr>
        <w:t>, ed. J. Tully (Cambridge</w:t>
      </w:r>
      <w:r w:rsidR="00CD5642">
        <w:rPr>
          <w:rFonts w:ascii="Garamond" w:hAnsi="Garamond"/>
          <w:sz w:val="24"/>
        </w:rPr>
        <w:t>: Cambridge University Press</w:t>
      </w:r>
      <w:r w:rsidRPr="009C54AD">
        <w:rPr>
          <w:rFonts w:ascii="Garamond" w:hAnsi="Garamond"/>
          <w:sz w:val="24"/>
        </w:rPr>
        <w:t>, 1991).</w:t>
      </w:r>
      <w:proofErr w:type="gramEnd"/>
    </w:p>
    <w:p w:rsidR="00E40AFE" w:rsidRDefault="00E40AFE" w:rsidP="00E40AFE">
      <w:pPr>
        <w:spacing w:line="240" w:lineRule="auto"/>
        <w:ind w:left="2160" w:right="-330" w:hanging="2444"/>
        <w:jc w:val="both"/>
        <w:rPr>
          <w:rFonts w:ascii="Garamond" w:hAnsi="Garamond"/>
          <w:sz w:val="24"/>
        </w:rPr>
      </w:pPr>
      <w:r w:rsidRPr="009C54AD">
        <w:rPr>
          <w:rFonts w:ascii="Garamond" w:hAnsi="Garamond"/>
          <w:sz w:val="24"/>
        </w:rPr>
        <w:t>Rivers, Isabel</w:t>
      </w:r>
      <w:r>
        <w:rPr>
          <w:rFonts w:ascii="Garamond" w:hAnsi="Garamond"/>
          <w:sz w:val="24"/>
        </w:rPr>
        <w:tab/>
      </w:r>
      <w:r w:rsidRPr="009C54AD">
        <w:rPr>
          <w:rFonts w:ascii="Garamond" w:hAnsi="Garamond"/>
          <w:i/>
          <w:sz w:val="24"/>
        </w:rPr>
        <w:t>Reason, Grace and Sentiment: A Study of the Language of Religion and Ethics in England, 1660-1780</w:t>
      </w:r>
      <w:r w:rsidR="008A7A75">
        <w:rPr>
          <w:rFonts w:ascii="Garamond" w:hAnsi="Garamond"/>
          <w:i/>
          <w:sz w:val="24"/>
        </w:rPr>
        <w:t>,</w:t>
      </w:r>
      <w:r w:rsidR="008A7A75">
        <w:rPr>
          <w:rFonts w:ascii="Garamond" w:hAnsi="Garamond"/>
          <w:sz w:val="24"/>
        </w:rPr>
        <w:t xml:space="preserve"> 2 vols.</w:t>
      </w:r>
      <w:r>
        <w:rPr>
          <w:rFonts w:ascii="Garamond" w:hAnsi="Garamond"/>
          <w:sz w:val="24"/>
        </w:rPr>
        <w:t xml:space="preserve"> </w:t>
      </w:r>
      <w:r w:rsidR="008A7A75">
        <w:rPr>
          <w:rFonts w:ascii="Garamond" w:hAnsi="Garamond"/>
          <w:sz w:val="24"/>
        </w:rPr>
        <w:t>(</w:t>
      </w:r>
      <w:r>
        <w:rPr>
          <w:rFonts w:ascii="Garamond" w:hAnsi="Garamond"/>
          <w:sz w:val="24"/>
        </w:rPr>
        <w:t>Cambridge</w:t>
      </w:r>
      <w:r w:rsidR="008A7A75">
        <w:rPr>
          <w:rFonts w:ascii="Garamond" w:hAnsi="Garamond"/>
          <w:sz w:val="24"/>
        </w:rPr>
        <w:t>: Cambridge University Press</w:t>
      </w:r>
      <w:r>
        <w:rPr>
          <w:rFonts w:ascii="Garamond" w:hAnsi="Garamond"/>
          <w:sz w:val="24"/>
        </w:rPr>
        <w:t>, 1991-2000).</w:t>
      </w:r>
    </w:p>
    <w:p w:rsidR="00E40AFE" w:rsidRPr="00483CF9" w:rsidRDefault="00E40AFE" w:rsidP="00E40AFE">
      <w:pPr>
        <w:spacing w:line="240" w:lineRule="auto"/>
        <w:ind w:left="2160" w:right="-330" w:hanging="2444"/>
        <w:jc w:val="both"/>
        <w:rPr>
          <w:rFonts w:ascii="Garamond" w:hAnsi="Garamond"/>
          <w:iCs/>
          <w:sz w:val="24"/>
        </w:rPr>
      </w:pPr>
      <w:proofErr w:type="spellStart"/>
      <w:proofErr w:type="gramStart"/>
      <w:r w:rsidRPr="00483CF9">
        <w:rPr>
          <w:rFonts w:ascii="Garamond" w:hAnsi="Garamond"/>
          <w:iCs/>
          <w:sz w:val="24"/>
        </w:rPr>
        <w:t>Rabil</w:t>
      </w:r>
      <w:proofErr w:type="spellEnd"/>
      <w:r w:rsidRPr="00483CF9">
        <w:rPr>
          <w:rFonts w:ascii="Garamond" w:hAnsi="Garamond"/>
          <w:iCs/>
          <w:sz w:val="24"/>
        </w:rPr>
        <w:t>, Al</w:t>
      </w:r>
      <w:r w:rsidR="008A7A75">
        <w:rPr>
          <w:rFonts w:ascii="Garamond" w:hAnsi="Garamond"/>
          <w:iCs/>
          <w:sz w:val="24"/>
        </w:rPr>
        <w:t>bert Jr.</w:t>
      </w:r>
      <w:r w:rsidR="008A7A75">
        <w:rPr>
          <w:rFonts w:ascii="Garamond" w:hAnsi="Garamond"/>
          <w:iCs/>
          <w:sz w:val="24"/>
        </w:rPr>
        <w:tab/>
        <w:t>‘Cicero and Erasmus’s moral p</w:t>
      </w:r>
      <w:r w:rsidRPr="00483CF9">
        <w:rPr>
          <w:rFonts w:ascii="Garamond" w:hAnsi="Garamond"/>
          <w:iCs/>
          <w:sz w:val="24"/>
        </w:rPr>
        <w:t xml:space="preserve">hilosophy’, </w:t>
      </w:r>
      <w:r w:rsidRPr="00483CF9">
        <w:rPr>
          <w:rFonts w:ascii="Garamond" w:hAnsi="Garamond"/>
          <w:i/>
          <w:iCs/>
          <w:sz w:val="24"/>
        </w:rPr>
        <w:t>Erasmus of Rotterdam Society Yearbook</w:t>
      </w:r>
      <w:r w:rsidRPr="00483CF9">
        <w:rPr>
          <w:rFonts w:ascii="Garamond" w:hAnsi="Garamond"/>
          <w:iCs/>
          <w:sz w:val="24"/>
        </w:rPr>
        <w:t>, 8 (1988), pp. 70-90.</w:t>
      </w:r>
      <w:proofErr w:type="gramEnd"/>
    </w:p>
    <w:p w:rsidR="002710FB" w:rsidRDefault="002710FB" w:rsidP="002710FB">
      <w:pPr>
        <w:spacing w:line="240" w:lineRule="auto"/>
        <w:ind w:left="2160" w:right="-330" w:hanging="2444"/>
        <w:jc w:val="both"/>
        <w:rPr>
          <w:rFonts w:ascii="Garamond" w:hAnsi="Garamond"/>
          <w:sz w:val="24"/>
        </w:rPr>
      </w:pPr>
      <w:r>
        <w:rPr>
          <w:rFonts w:ascii="Garamond" w:hAnsi="Garamond"/>
          <w:sz w:val="24"/>
        </w:rPr>
        <w:t>Schmidt, Charles B.</w:t>
      </w:r>
      <w:r>
        <w:rPr>
          <w:rFonts w:ascii="Garamond" w:hAnsi="Garamond"/>
          <w:sz w:val="24"/>
        </w:rPr>
        <w:tab/>
      </w:r>
      <w:r w:rsidRPr="002710FB">
        <w:rPr>
          <w:rFonts w:ascii="Garamond" w:hAnsi="Garamond"/>
          <w:i/>
          <w:sz w:val="24"/>
        </w:rPr>
        <w:t xml:space="preserve">Cicero </w:t>
      </w:r>
      <w:proofErr w:type="spellStart"/>
      <w:r w:rsidRPr="002710FB">
        <w:rPr>
          <w:rFonts w:ascii="Garamond" w:hAnsi="Garamond"/>
          <w:i/>
          <w:sz w:val="24"/>
        </w:rPr>
        <w:t>Scepticus</w:t>
      </w:r>
      <w:proofErr w:type="spellEnd"/>
      <w:r w:rsidRPr="002710FB">
        <w:rPr>
          <w:rFonts w:ascii="Garamond" w:hAnsi="Garamond"/>
          <w:i/>
          <w:sz w:val="24"/>
        </w:rPr>
        <w:t xml:space="preserve">: A Study of the Influence of the </w:t>
      </w:r>
      <w:proofErr w:type="spellStart"/>
      <w:r w:rsidRPr="002710FB">
        <w:rPr>
          <w:rFonts w:ascii="Garamond" w:hAnsi="Garamond"/>
          <w:i/>
          <w:sz w:val="24"/>
        </w:rPr>
        <w:t>Academica</w:t>
      </w:r>
      <w:proofErr w:type="spellEnd"/>
      <w:r w:rsidRPr="002710FB">
        <w:rPr>
          <w:rFonts w:ascii="Garamond" w:hAnsi="Garamond"/>
          <w:i/>
          <w:sz w:val="24"/>
        </w:rPr>
        <w:t xml:space="preserve"> in the Renaissance</w:t>
      </w:r>
      <w:r>
        <w:rPr>
          <w:rFonts w:ascii="Garamond" w:hAnsi="Garamond"/>
          <w:sz w:val="24"/>
        </w:rPr>
        <w:t xml:space="preserve"> (The Hague</w:t>
      </w:r>
      <w:r w:rsidR="008A7A75">
        <w:rPr>
          <w:rFonts w:ascii="Garamond" w:hAnsi="Garamond"/>
          <w:sz w:val="24"/>
        </w:rPr>
        <w:t xml:space="preserve">: </w:t>
      </w:r>
      <w:proofErr w:type="spellStart"/>
      <w:r w:rsidR="008A7A75">
        <w:rPr>
          <w:rFonts w:ascii="Garamond" w:hAnsi="Garamond"/>
          <w:sz w:val="24"/>
        </w:rPr>
        <w:t>Martinus</w:t>
      </w:r>
      <w:proofErr w:type="spellEnd"/>
      <w:r w:rsidR="008A7A75">
        <w:rPr>
          <w:rFonts w:ascii="Garamond" w:hAnsi="Garamond"/>
          <w:sz w:val="24"/>
        </w:rPr>
        <w:t xml:space="preserve"> </w:t>
      </w:r>
      <w:proofErr w:type="spellStart"/>
      <w:r w:rsidR="008A7A75">
        <w:rPr>
          <w:rFonts w:ascii="Garamond" w:hAnsi="Garamond"/>
          <w:sz w:val="24"/>
        </w:rPr>
        <w:t>Nijhoff</w:t>
      </w:r>
      <w:proofErr w:type="spellEnd"/>
      <w:r>
        <w:rPr>
          <w:rFonts w:ascii="Garamond" w:hAnsi="Garamond"/>
          <w:sz w:val="24"/>
        </w:rPr>
        <w:t>, 1972).</w:t>
      </w:r>
    </w:p>
    <w:p w:rsidR="00E40AFE" w:rsidRDefault="00E40AFE" w:rsidP="00E40AFE">
      <w:pPr>
        <w:spacing w:line="240" w:lineRule="auto"/>
        <w:ind w:left="2160" w:right="-330" w:hanging="2444"/>
        <w:jc w:val="both"/>
        <w:rPr>
          <w:rFonts w:ascii="Garamond" w:hAnsi="Garamond"/>
          <w:sz w:val="24"/>
        </w:rPr>
      </w:pPr>
      <w:proofErr w:type="spellStart"/>
      <w:proofErr w:type="gramStart"/>
      <w:r w:rsidRPr="001832FC">
        <w:rPr>
          <w:rFonts w:ascii="Garamond" w:hAnsi="Garamond"/>
          <w:sz w:val="24"/>
        </w:rPr>
        <w:t>Serjeantson</w:t>
      </w:r>
      <w:proofErr w:type="spellEnd"/>
      <w:r w:rsidRPr="001832FC">
        <w:rPr>
          <w:rFonts w:ascii="Garamond" w:hAnsi="Garamond"/>
          <w:sz w:val="24"/>
        </w:rPr>
        <w:t>, Richard</w:t>
      </w:r>
      <w:r>
        <w:rPr>
          <w:rFonts w:ascii="Garamond" w:hAnsi="Garamond"/>
          <w:sz w:val="24"/>
        </w:rPr>
        <w:tab/>
      </w:r>
      <w:r w:rsidR="008A7A75">
        <w:rPr>
          <w:rFonts w:ascii="Garamond" w:hAnsi="Garamond"/>
          <w:sz w:val="24"/>
        </w:rPr>
        <w:t>‘“Human understanding” and the g</w:t>
      </w:r>
      <w:r w:rsidRPr="001832FC">
        <w:rPr>
          <w:rFonts w:ascii="Garamond" w:hAnsi="Garamond"/>
          <w:sz w:val="24"/>
        </w:rPr>
        <w:t xml:space="preserve">enre of Locke’s </w:t>
      </w:r>
      <w:r w:rsidRPr="001832FC">
        <w:rPr>
          <w:rFonts w:ascii="Garamond" w:hAnsi="Garamond"/>
          <w:i/>
          <w:sz w:val="24"/>
        </w:rPr>
        <w:t>Essay</w:t>
      </w:r>
      <w:r w:rsidRPr="001832FC">
        <w:rPr>
          <w:rFonts w:ascii="Garamond" w:hAnsi="Garamond"/>
          <w:sz w:val="24"/>
        </w:rPr>
        <w:t xml:space="preserve">’, </w:t>
      </w:r>
      <w:r w:rsidRPr="001832FC">
        <w:rPr>
          <w:rFonts w:ascii="Garamond" w:hAnsi="Garamond"/>
          <w:i/>
          <w:sz w:val="24"/>
        </w:rPr>
        <w:t>Intellectual History Review</w:t>
      </w:r>
      <w:r>
        <w:rPr>
          <w:rFonts w:ascii="Garamond" w:hAnsi="Garamond"/>
          <w:sz w:val="24"/>
        </w:rPr>
        <w:t>, 18:2 (2008), pp. 157-71.</w:t>
      </w:r>
      <w:proofErr w:type="gramEnd"/>
    </w:p>
    <w:p w:rsidR="00231265" w:rsidRDefault="00231265" w:rsidP="00E40AFE">
      <w:pPr>
        <w:ind w:left="2160" w:right="-329" w:hanging="2444"/>
        <w:jc w:val="both"/>
        <w:rPr>
          <w:rFonts w:ascii="Garamond" w:hAnsi="Garamond"/>
          <w:sz w:val="24"/>
        </w:rPr>
      </w:pPr>
      <w:r>
        <w:rPr>
          <w:rFonts w:ascii="Garamond" w:hAnsi="Garamond"/>
          <w:sz w:val="24"/>
        </w:rPr>
        <w:lastRenderedPageBreak/>
        <w:t>Shapiro, Barbara</w:t>
      </w:r>
      <w:r>
        <w:rPr>
          <w:rFonts w:ascii="Garamond" w:hAnsi="Garamond"/>
          <w:sz w:val="24"/>
        </w:rPr>
        <w:tab/>
      </w:r>
      <w:r w:rsidRPr="00231265">
        <w:rPr>
          <w:rFonts w:ascii="Garamond" w:hAnsi="Garamond"/>
          <w:i/>
          <w:sz w:val="24"/>
        </w:rPr>
        <w:t>Probability and Certainty in Seventeenth-Century England: A Study of the Relationships between Natural Science, Religion, History, Law, and Literature</w:t>
      </w:r>
      <w:r w:rsidRPr="00231265">
        <w:rPr>
          <w:rFonts w:ascii="Garamond" w:hAnsi="Garamond"/>
          <w:sz w:val="24"/>
        </w:rPr>
        <w:t xml:space="preserve"> (Princeton,</w:t>
      </w:r>
      <w:r w:rsidR="008A7A75">
        <w:rPr>
          <w:rFonts w:ascii="Garamond" w:hAnsi="Garamond"/>
          <w:sz w:val="24"/>
        </w:rPr>
        <w:t xml:space="preserve"> N.J.: Princeton University Press,</w:t>
      </w:r>
      <w:r w:rsidRPr="00231265">
        <w:rPr>
          <w:rFonts w:ascii="Garamond" w:hAnsi="Garamond"/>
          <w:sz w:val="24"/>
        </w:rPr>
        <w:t xml:space="preserve"> 1983).</w:t>
      </w:r>
    </w:p>
    <w:p w:rsidR="005E2D3E" w:rsidRDefault="005E2D3E" w:rsidP="005E2D3E">
      <w:pPr>
        <w:ind w:left="2160" w:right="-329" w:hanging="2444"/>
        <w:jc w:val="both"/>
        <w:rPr>
          <w:rFonts w:ascii="Garamond" w:hAnsi="Garamond"/>
          <w:sz w:val="24"/>
        </w:rPr>
      </w:pPr>
      <w:proofErr w:type="gramStart"/>
      <w:r>
        <w:rPr>
          <w:rFonts w:ascii="Garamond" w:hAnsi="Garamond"/>
          <w:sz w:val="24"/>
        </w:rPr>
        <w:t>Stewart, M.A.</w:t>
      </w:r>
      <w:r>
        <w:rPr>
          <w:rFonts w:ascii="Garamond" w:hAnsi="Garamond"/>
          <w:sz w:val="24"/>
        </w:rPr>
        <w:tab/>
      </w:r>
      <w:r w:rsidR="008A7A75">
        <w:rPr>
          <w:rFonts w:ascii="Garamond" w:hAnsi="Garamond"/>
          <w:sz w:val="24"/>
        </w:rPr>
        <w:t>‘</w:t>
      </w:r>
      <w:proofErr w:type="spellStart"/>
      <w:r w:rsidR="008A7A75">
        <w:rPr>
          <w:rFonts w:ascii="Garamond" w:hAnsi="Garamond"/>
          <w:sz w:val="24"/>
        </w:rPr>
        <w:t>Stillingfleet</w:t>
      </w:r>
      <w:proofErr w:type="spellEnd"/>
      <w:r w:rsidR="008A7A75">
        <w:rPr>
          <w:rFonts w:ascii="Garamond" w:hAnsi="Garamond"/>
          <w:sz w:val="24"/>
        </w:rPr>
        <w:t xml:space="preserve"> and the way of i</w:t>
      </w:r>
      <w:r w:rsidRPr="005E2D3E">
        <w:rPr>
          <w:rFonts w:ascii="Garamond" w:hAnsi="Garamond"/>
          <w:sz w:val="24"/>
        </w:rPr>
        <w:t xml:space="preserve">deas’, in idem (ed.), </w:t>
      </w:r>
      <w:r w:rsidRPr="005E2D3E">
        <w:rPr>
          <w:rFonts w:ascii="Garamond" w:hAnsi="Garamond"/>
          <w:i/>
          <w:sz w:val="24"/>
        </w:rPr>
        <w:t>English Philosophy in the Age of Locke</w:t>
      </w:r>
      <w:r>
        <w:rPr>
          <w:rFonts w:ascii="Garamond" w:hAnsi="Garamond"/>
          <w:sz w:val="24"/>
        </w:rPr>
        <w:t xml:space="preserve"> (Oxford, 2000), pp. 245-80.</w:t>
      </w:r>
      <w:proofErr w:type="gramEnd"/>
    </w:p>
    <w:p w:rsidR="00E40AFE" w:rsidRDefault="00E40AFE" w:rsidP="00E40AFE">
      <w:pPr>
        <w:ind w:left="2160" w:right="-329" w:hanging="2444"/>
        <w:jc w:val="both"/>
        <w:rPr>
          <w:rFonts w:ascii="Garamond" w:hAnsi="Garamond"/>
          <w:sz w:val="24"/>
        </w:rPr>
      </w:pPr>
      <w:proofErr w:type="spellStart"/>
      <w:r>
        <w:rPr>
          <w:rFonts w:ascii="Garamond" w:hAnsi="Garamond"/>
          <w:sz w:val="24"/>
        </w:rPr>
        <w:t>Straumann</w:t>
      </w:r>
      <w:proofErr w:type="spellEnd"/>
      <w:r>
        <w:rPr>
          <w:rFonts w:ascii="Garamond" w:hAnsi="Garamond"/>
          <w:sz w:val="24"/>
        </w:rPr>
        <w:t>, Benjamin</w:t>
      </w:r>
      <w:r>
        <w:rPr>
          <w:rFonts w:ascii="Garamond" w:hAnsi="Garamond"/>
          <w:sz w:val="24"/>
        </w:rPr>
        <w:tab/>
      </w:r>
      <w:r w:rsidRPr="009C54AD">
        <w:rPr>
          <w:rFonts w:ascii="Garamond" w:hAnsi="Garamond"/>
          <w:i/>
          <w:sz w:val="24"/>
        </w:rPr>
        <w:t xml:space="preserve">Roman </w:t>
      </w:r>
      <w:proofErr w:type="gramStart"/>
      <w:r w:rsidRPr="009C54AD">
        <w:rPr>
          <w:rFonts w:ascii="Garamond" w:hAnsi="Garamond"/>
          <w:i/>
          <w:sz w:val="24"/>
        </w:rPr>
        <w:t>Law</w:t>
      </w:r>
      <w:proofErr w:type="gramEnd"/>
      <w:r w:rsidRPr="009C54AD">
        <w:rPr>
          <w:rFonts w:ascii="Garamond" w:hAnsi="Garamond"/>
          <w:i/>
          <w:sz w:val="24"/>
        </w:rPr>
        <w:t xml:space="preserve"> in the State of Nature: The Classical Foundations of Hugo Grotius’ Natural Law</w:t>
      </w:r>
      <w:r w:rsidRPr="009C54AD">
        <w:rPr>
          <w:rFonts w:ascii="Garamond" w:hAnsi="Garamond"/>
          <w:sz w:val="24"/>
        </w:rPr>
        <w:t xml:space="preserve"> (Cambridge</w:t>
      </w:r>
      <w:r w:rsidR="008A7A75">
        <w:rPr>
          <w:rFonts w:ascii="Garamond" w:hAnsi="Garamond"/>
          <w:sz w:val="24"/>
        </w:rPr>
        <w:t>: Cambridge University Press</w:t>
      </w:r>
      <w:r w:rsidRPr="009C54AD">
        <w:rPr>
          <w:rFonts w:ascii="Garamond" w:hAnsi="Garamond"/>
          <w:sz w:val="24"/>
        </w:rPr>
        <w:t>, 2015).</w:t>
      </w:r>
    </w:p>
    <w:p w:rsidR="00E40AFE" w:rsidRPr="00483CF9" w:rsidRDefault="00E40AFE" w:rsidP="00E40AFE">
      <w:pPr>
        <w:spacing w:after="0"/>
        <w:ind w:left="2160" w:right="-330" w:hanging="2444"/>
        <w:jc w:val="both"/>
        <w:rPr>
          <w:rFonts w:ascii="Garamond" w:hAnsi="Garamond"/>
          <w:sz w:val="24"/>
        </w:rPr>
      </w:pPr>
      <w:r w:rsidRPr="00483CF9">
        <w:rPr>
          <w:rFonts w:ascii="Garamond" w:hAnsi="Garamond"/>
          <w:sz w:val="24"/>
        </w:rPr>
        <w:t>Tuck, Richard</w:t>
      </w:r>
      <w:r>
        <w:rPr>
          <w:rFonts w:ascii="Garamond" w:hAnsi="Garamond"/>
          <w:sz w:val="24"/>
        </w:rPr>
        <w:tab/>
      </w:r>
      <w:r w:rsidRPr="00483CF9">
        <w:rPr>
          <w:rFonts w:ascii="Garamond" w:hAnsi="Garamond"/>
          <w:sz w:val="24"/>
        </w:rPr>
        <w:t>‘The “</w:t>
      </w:r>
      <w:r w:rsidR="008A7A75">
        <w:rPr>
          <w:rFonts w:ascii="Garamond" w:hAnsi="Garamond"/>
          <w:sz w:val="24"/>
        </w:rPr>
        <w:t>m</w:t>
      </w:r>
      <w:r w:rsidRPr="00483CF9">
        <w:rPr>
          <w:rFonts w:ascii="Garamond" w:hAnsi="Garamond"/>
          <w:sz w:val="24"/>
        </w:rPr>
        <w:t xml:space="preserve">odern” </w:t>
      </w:r>
      <w:r w:rsidR="008A7A75">
        <w:rPr>
          <w:rFonts w:ascii="Garamond" w:hAnsi="Garamond"/>
          <w:sz w:val="24"/>
        </w:rPr>
        <w:t>t</w:t>
      </w:r>
      <w:r w:rsidRPr="00483CF9">
        <w:rPr>
          <w:rFonts w:ascii="Garamond" w:hAnsi="Garamond"/>
          <w:sz w:val="24"/>
        </w:rPr>
        <w:t xml:space="preserve">heory </w:t>
      </w:r>
      <w:r w:rsidR="008A7A75">
        <w:rPr>
          <w:rFonts w:ascii="Garamond" w:hAnsi="Garamond"/>
          <w:sz w:val="24"/>
        </w:rPr>
        <w:t>of natural l</w:t>
      </w:r>
      <w:r w:rsidRPr="00483CF9">
        <w:rPr>
          <w:rFonts w:ascii="Garamond" w:hAnsi="Garamond"/>
          <w:sz w:val="24"/>
        </w:rPr>
        <w:t xml:space="preserve">aw’, in A. </w:t>
      </w:r>
      <w:proofErr w:type="spellStart"/>
      <w:r w:rsidRPr="00483CF9">
        <w:rPr>
          <w:rFonts w:ascii="Garamond" w:hAnsi="Garamond"/>
          <w:sz w:val="24"/>
        </w:rPr>
        <w:t>Pagden</w:t>
      </w:r>
      <w:proofErr w:type="spellEnd"/>
      <w:r w:rsidRPr="00483CF9">
        <w:rPr>
          <w:rFonts w:ascii="Garamond" w:hAnsi="Garamond"/>
          <w:sz w:val="24"/>
        </w:rPr>
        <w:t xml:space="preserve"> (ed.), </w:t>
      </w:r>
      <w:r w:rsidRPr="00483CF9">
        <w:rPr>
          <w:rFonts w:ascii="Garamond" w:hAnsi="Garamond"/>
          <w:i/>
          <w:sz w:val="24"/>
        </w:rPr>
        <w:t>The Languages of Political Theory in Early-Modern Europe</w:t>
      </w:r>
      <w:r w:rsidRPr="00483CF9">
        <w:rPr>
          <w:rFonts w:ascii="Garamond" w:hAnsi="Garamond"/>
          <w:sz w:val="24"/>
        </w:rPr>
        <w:t xml:space="preserve"> (Cambridge</w:t>
      </w:r>
      <w:r w:rsidR="008A7A75">
        <w:rPr>
          <w:rFonts w:ascii="Garamond" w:hAnsi="Garamond"/>
          <w:sz w:val="24"/>
        </w:rPr>
        <w:t>: Cambridge University Press</w:t>
      </w:r>
      <w:r w:rsidRPr="00483CF9">
        <w:rPr>
          <w:rFonts w:ascii="Garamond" w:hAnsi="Garamond"/>
          <w:sz w:val="24"/>
        </w:rPr>
        <w:t>, 1987), pp. 99-122.</w:t>
      </w:r>
    </w:p>
    <w:p w:rsidR="00E40AFE" w:rsidRDefault="00E40AFE" w:rsidP="00E40AFE">
      <w:pPr>
        <w:ind w:left="2160" w:right="-330" w:hanging="2444"/>
        <w:jc w:val="both"/>
        <w:rPr>
          <w:rFonts w:ascii="Garamond" w:hAnsi="Garamond"/>
          <w:sz w:val="24"/>
        </w:rPr>
      </w:pPr>
      <w:r w:rsidRPr="00483CF9">
        <w:rPr>
          <w:rFonts w:ascii="Garamond" w:hAnsi="Garamond"/>
          <w:sz w:val="24"/>
        </w:rPr>
        <w:tab/>
      </w:r>
      <w:r w:rsidRPr="00483CF9">
        <w:rPr>
          <w:rFonts w:ascii="Garamond" w:hAnsi="Garamond"/>
          <w:i/>
          <w:sz w:val="24"/>
        </w:rPr>
        <w:t>Natural Rights Theories: Their Origin and Development</w:t>
      </w:r>
      <w:r w:rsidRPr="00483CF9">
        <w:rPr>
          <w:rFonts w:ascii="Garamond" w:hAnsi="Garamond"/>
          <w:sz w:val="24"/>
        </w:rPr>
        <w:t xml:space="preserve"> (Cambridge</w:t>
      </w:r>
      <w:r w:rsidR="008A7A75">
        <w:rPr>
          <w:rFonts w:ascii="Garamond" w:hAnsi="Garamond"/>
          <w:sz w:val="24"/>
        </w:rPr>
        <w:t>: Cambridge University Press</w:t>
      </w:r>
      <w:r w:rsidRPr="00483CF9">
        <w:rPr>
          <w:rFonts w:ascii="Garamond" w:hAnsi="Garamond"/>
          <w:sz w:val="24"/>
        </w:rPr>
        <w:t>, 1979).</w:t>
      </w:r>
    </w:p>
    <w:p w:rsidR="00161A61" w:rsidRPr="00161A61" w:rsidRDefault="00161A61" w:rsidP="00E40AFE">
      <w:pPr>
        <w:ind w:left="2160" w:right="-330" w:hanging="2444"/>
        <w:jc w:val="both"/>
        <w:rPr>
          <w:rFonts w:ascii="Garamond" w:hAnsi="Garamond"/>
          <w:sz w:val="24"/>
        </w:rPr>
      </w:pPr>
      <w:proofErr w:type="gramStart"/>
      <w:r>
        <w:rPr>
          <w:rFonts w:ascii="Garamond" w:hAnsi="Garamond"/>
          <w:sz w:val="24"/>
        </w:rPr>
        <w:t xml:space="preserve">Walmsley, </w:t>
      </w:r>
      <w:r w:rsidRPr="00161A61">
        <w:rPr>
          <w:rFonts w:ascii="Garamond" w:hAnsi="Garamond"/>
          <w:sz w:val="24"/>
        </w:rPr>
        <w:t>Jonathan C.</w:t>
      </w:r>
      <w:r>
        <w:rPr>
          <w:rFonts w:ascii="Garamond" w:hAnsi="Garamond"/>
          <w:sz w:val="24"/>
        </w:rPr>
        <w:tab/>
      </w:r>
      <w:r w:rsidRPr="00161A61">
        <w:rPr>
          <w:rFonts w:ascii="Garamond" w:hAnsi="Garamond"/>
          <w:sz w:val="24"/>
        </w:rPr>
        <w:t>‘John Locke’s Natural Philosophy’ (King’s College London</w:t>
      </w:r>
      <w:r>
        <w:rPr>
          <w:rFonts w:ascii="Garamond" w:hAnsi="Garamond"/>
          <w:sz w:val="24"/>
        </w:rPr>
        <w:t>,</w:t>
      </w:r>
      <w:r w:rsidRPr="00161A61">
        <w:rPr>
          <w:rFonts w:ascii="Garamond" w:hAnsi="Garamond"/>
          <w:sz w:val="24"/>
        </w:rPr>
        <w:t xml:space="preserve"> Ph.D. thesis, 1998).</w:t>
      </w:r>
      <w:proofErr w:type="gramEnd"/>
    </w:p>
    <w:p w:rsidR="00E40AFE" w:rsidRPr="00187EAC" w:rsidRDefault="00E40AFE" w:rsidP="00AA42B3">
      <w:pPr>
        <w:spacing w:line="360" w:lineRule="auto"/>
        <w:ind w:left="-284" w:right="-330"/>
        <w:jc w:val="both"/>
        <w:rPr>
          <w:rFonts w:ascii="Garamond" w:hAnsi="Garamond"/>
          <w:sz w:val="24"/>
        </w:rPr>
      </w:pPr>
    </w:p>
    <w:sectPr w:rsidR="00E40AFE" w:rsidRPr="00187EA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271" w:rsidRDefault="003A3271" w:rsidP="00F676FF">
      <w:pPr>
        <w:spacing w:after="0" w:line="240" w:lineRule="auto"/>
      </w:pPr>
      <w:r>
        <w:separator/>
      </w:r>
    </w:p>
  </w:endnote>
  <w:endnote w:type="continuationSeparator" w:id="0">
    <w:p w:rsidR="003A3271" w:rsidRDefault="003A3271" w:rsidP="00F6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480259"/>
      <w:docPartObj>
        <w:docPartGallery w:val="Page Numbers (Bottom of Page)"/>
        <w:docPartUnique/>
      </w:docPartObj>
    </w:sdtPr>
    <w:sdtEndPr>
      <w:rPr>
        <w:rFonts w:ascii="Garamond" w:hAnsi="Garamond"/>
        <w:noProof/>
        <w:sz w:val="24"/>
      </w:rPr>
    </w:sdtEndPr>
    <w:sdtContent>
      <w:p w:rsidR="004A1465" w:rsidRPr="004A1465" w:rsidRDefault="004A1465" w:rsidP="004A1465">
        <w:pPr>
          <w:pStyle w:val="Footer"/>
          <w:tabs>
            <w:tab w:val="clear" w:pos="9026"/>
            <w:tab w:val="right" w:pos="9356"/>
          </w:tabs>
          <w:ind w:right="-330"/>
          <w:jc w:val="right"/>
          <w:rPr>
            <w:rFonts w:ascii="Garamond" w:hAnsi="Garamond"/>
            <w:sz w:val="24"/>
          </w:rPr>
        </w:pPr>
        <w:r w:rsidRPr="004A1465">
          <w:rPr>
            <w:rFonts w:ascii="Garamond" w:hAnsi="Garamond"/>
            <w:sz w:val="24"/>
          </w:rPr>
          <w:fldChar w:fldCharType="begin"/>
        </w:r>
        <w:r w:rsidRPr="004A1465">
          <w:rPr>
            <w:rFonts w:ascii="Garamond" w:hAnsi="Garamond"/>
            <w:sz w:val="24"/>
          </w:rPr>
          <w:instrText xml:space="preserve"> PAGE   \* MERGEFORMAT </w:instrText>
        </w:r>
        <w:r w:rsidRPr="004A1465">
          <w:rPr>
            <w:rFonts w:ascii="Garamond" w:hAnsi="Garamond"/>
            <w:sz w:val="24"/>
          </w:rPr>
          <w:fldChar w:fldCharType="separate"/>
        </w:r>
        <w:r w:rsidR="00BD332D">
          <w:rPr>
            <w:rFonts w:ascii="Garamond" w:hAnsi="Garamond"/>
            <w:noProof/>
            <w:sz w:val="24"/>
          </w:rPr>
          <w:t>12</w:t>
        </w:r>
        <w:r w:rsidRPr="004A1465">
          <w:rPr>
            <w:rFonts w:ascii="Garamond" w:hAnsi="Garamond"/>
            <w:noProof/>
            <w:sz w:val="24"/>
          </w:rPr>
          <w:fldChar w:fldCharType="end"/>
        </w:r>
      </w:p>
    </w:sdtContent>
  </w:sdt>
  <w:p w:rsidR="004A1465" w:rsidRDefault="004A1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271" w:rsidRDefault="003A3271" w:rsidP="00F676FF">
      <w:pPr>
        <w:spacing w:after="0" w:line="240" w:lineRule="auto"/>
      </w:pPr>
      <w:r>
        <w:separator/>
      </w:r>
    </w:p>
  </w:footnote>
  <w:footnote w:type="continuationSeparator" w:id="0">
    <w:p w:rsidR="003A3271" w:rsidRDefault="003A3271" w:rsidP="00F676FF">
      <w:pPr>
        <w:spacing w:after="0" w:line="240" w:lineRule="auto"/>
      </w:pPr>
      <w:r>
        <w:continuationSeparator/>
      </w:r>
    </w:p>
  </w:footnote>
  <w:footnote w:id="1">
    <w:p w:rsidR="00337F31" w:rsidRPr="00D22826" w:rsidRDefault="00337F31" w:rsidP="004124C6">
      <w:pPr>
        <w:pStyle w:val="FootnoteText"/>
        <w:ind w:left="-284" w:right="-330"/>
        <w:jc w:val="both"/>
        <w:rPr>
          <w:rFonts w:ascii="Garamond" w:hAnsi="Garamond"/>
        </w:rPr>
      </w:pPr>
      <w:r w:rsidRPr="00D22826">
        <w:rPr>
          <w:rStyle w:val="FootnoteReference"/>
          <w:rFonts w:ascii="Garamond" w:hAnsi="Garamond"/>
        </w:rPr>
        <w:footnoteRef/>
      </w:r>
      <w:r w:rsidRPr="00D22826">
        <w:rPr>
          <w:rFonts w:ascii="Garamond" w:hAnsi="Garamond"/>
        </w:rPr>
        <w:t xml:space="preserve"> </w:t>
      </w:r>
      <w:r>
        <w:rPr>
          <w:rFonts w:ascii="Garamond" w:hAnsi="Garamond"/>
        </w:rPr>
        <w:tab/>
      </w:r>
      <w:r w:rsidRPr="00D22826">
        <w:rPr>
          <w:rFonts w:ascii="Garamond" w:hAnsi="Garamond"/>
        </w:rPr>
        <w:t xml:space="preserve">Locke to (Isaiah Ward?), Aug. 1659; and to (Samuel Tilly?), Sept. 1659, in </w:t>
      </w:r>
      <w:r w:rsidRPr="00D22826">
        <w:rPr>
          <w:rFonts w:ascii="Garamond" w:hAnsi="Garamond"/>
          <w:i/>
        </w:rPr>
        <w:t>Correspondence of Locke</w:t>
      </w:r>
      <w:r w:rsidRPr="00D22826">
        <w:rPr>
          <w:rFonts w:ascii="Garamond" w:hAnsi="Garamond"/>
        </w:rPr>
        <w:t xml:space="preserve">, </w:t>
      </w:r>
      <w:proofErr w:type="spellStart"/>
      <w:r w:rsidRPr="00D22826">
        <w:rPr>
          <w:rFonts w:ascii="Garamond" w:hAnsi="Garamond"/>
        </w:rPr>
        <w:t>i</w:t>
      </w:r>
      <w:proofErr w:type="spellEnd"/>
      <w:r>
        <w:rPr>
          <w:rFonts w:ascii="Garamond" w:hAnsi="Garamond"/>
        </w:rPr>
        <w:t>, pp. 28-9. 98-9</w:t>
      </w:r>
      <w:r w:rsidRPr="00D22826">
        <w:rPr>
          <w:rFonts w:ascii="Garamond" w:hAnsi="Garamond"/>
        </w:rPr>
        <w:t>.</w:t>
      </w:r>
    </w:p>
  </w:footnote>
  <w:footnote w:id="2">
    <w:p w:rsidR="00337F31" w:rsidRPr="003C19F5" w:rsidRDefault="00337F31" w:rsidP="00E261A6">
      <w:pPr>
        <w:pStyle w:val="FootnoteText"/>
        <w:ind w:right="-330" w:hanging="284"/>
        <w:jc w:val="both"/>
        <w:rPr>
          <w:rFonts w:ascii="Garamond" w:hAnsi="Garamond"/>
        </w:rPr>
      </w:pPr>
      <w:r w:rsidRPr="00D22826">
        <w:rPr>
          <w:rStyle w:val="FootnoteReference"/>
          <w:rFonts w:ascii="Garamond" w:hAnsi="Garamond"/>
        </w:rPr>
        <w:footnoteRef/>
      </w:r>
      <w:r w:rsidRPr="00D22826">
        <w:rPr>
          <w:rFonts w:ascii="Garamond" w:hAnsi="Garamond"/>
        </w:rPr>
        <w:t xml:space="preserve"> </w:t>
      </w:r>
      <w:r>
        <w:rPr>
          <w:rFonts w:ascii="Garamond" w:hAnsi="Garamond"/>
        </w:rPr>
        <w:tab/>
      </w:r>
      <w:proofErr w:type="gramStart"/>
      <w:r>
        <w:rPr>
          <w:rFonts w:ascii="Garamond" w:hAnsi="Garamond"/>
        </w:rPr>
        <w:t>The National Archives, Shaftesbury Papers, 30/24/47/33 (</w:t>
      </w:r>
      <w:r>
        <w:rPr>
          <w:rFonts w:ascii="Garamond" w:hAnsi="Garamond"/>
          <w:i/>
        </w:rPr>
        <w:t>c</w:t>
      </w:r>
      <w:r>
        <w:rPr>
          <w:rFonts w:ascii="Garamond" w:hAnsi="Garamond"/>
        </w:rPr>
        <w:t>. 1661-2).</w:t>
      </w:r>
      <w:proofErr w:type="gramEnd"/>
      <w:r>
        <w:rPr>
          <w:rFonts w:ascii="Garamond" w:hAnsi="Garamond"/>
        </w:rPr>
        <w:t xml:space="preserve"> The entry is in Latin; the translation is Goldie’s (</w:t>
      </w:r>
      <w:r>
        <w:rPr>
          <w:rFonts w:ascii="Garamond" w:hAnsi="Garamond"/>
          <w:i/>
        </w:rPr>
        <w:t>Locke: Political Essays</w:t>
      </w:r>
      <w:r>
        <w:rPr>
          <w:rFonts w:ascii="Garamond" w:hAnsi="Garamond"/>
        </w:rPr>
        <w:t xml:space="preserve">, p. 209). </w:t>
      </w:r>
    </w:p>
  </w:footnote>
  <w:footnote w:id="3">
    <w:p w:rsidR="000B5495" w:rsidRPr="00F6258E" w:rsidRDefault="000B5495" w:rsidP="000B5495">
      <w:pPr>
        <w:pStyle w:val="FootnoteText"/>
        <w:ind w:right="-330" w:hanging="284"/>
        <w:jc w:val="both"/>
        <w:rPr>
          <w:rFonts w:ascii="Garamond" w:hAnsi="Garamond"/>
        </w:rPr>
      </w:pPr>
      <w:r w:rsidRPr="00D22826">
        <w:rPr>
          <w:rStyle w:val="FootnoteReference"/>
          <w:rFonts w:ascii="Garamond" w:hAnsi="Garamond"/>
        </w:rPr>
        <w:footnoteRef/>
      </w:r>
      <w:r w:rsidRPr="00D22826">
        <w:rPr>
          <w:rFonts w:ascii="Garamond" w:hAnsi="Garamond"/>
        </w:rPr>
        <w:t xml:space="preserve"> </w:t>
      </w:r>
      <w:r>
        <w:rPr>
          <w:rFonts w:ascii="Garamond" w:hAnsi="Garamond"/>
        </w:rPr>
        <w:tab/>
      </w:r>
      <w:proofErr w:type="gramStart"/>
      <w:r w:rsidR="00F6258E">
        <w:rPr>
          <w:rFonts w:ascii="Garamond" w:hAnsi="Garamond"/>
        </w:rPr>
        <w:t xml:space="preserve">Cited in the editor’s foreword to </w:t>
      </w:r>
      <w:r w:rsidR="00F6258E">
        <w:rPr>
          <w:rFonts w:ascii="Garamond" w:hAnsi="Garamond"/>
          <w:i/>
        </w:rPr>
        <w:t>An Essay concerning Human Understanding</w:t>
      </w:r>
      <w:r w:rsidR="00F6258E">
        <w:rPr>
          <w:rFonts w:ascii="Garamond" w:hAnsi="Garamond"/>
        </w:rPr>
        <w:t xml:space="preserve">, p. xix; and see, too, Locke’s comments </w:t>
      </w:r>
      <w:r w:rsidR="00F6258E" w:rsidRPr="00F6258E">
        <w:rPr>
          <w:rFonts w:ascii="Garamond" w:hAnsi="Garamond"/>
        </w:rPr>
        <w:t xml:space="preserve">regarding ‘the History of this Essay’ in </w:t>
      </w:r>
      <w:r w:rsidR="00F6258E" w:rsidRPr="00F6258E">
        <w:rPr>
          <w:rFonts w:ascii="Garamond" w:hAnsi="Garamond"/>
          <w:i/>
        </w:rPr>
        <w:t>EHU</w:t>
      </w:r>
      <w:r w:rsidR="00F6258E" w:rsidRPr="00F6258E">
        <w:rPr>
          <w:rFonts w:ascii="Garamond" w:hAnsi="Garamond"/>
        </w:rPr>
        <w:t>, ‘Epistle to the Reader’, p. 7.</w:t>
      </w:r>
      <w:proofErr w:type="gramEnd"/>
      <w:r w:rsidR="00F6258E">
        <w:rPr>
          <w:rFonts w:ascii="Garamond" w:hAnsi="Garamond"/>
        </w:rPr>
        <w:t xml:space="preserve"> All citations from the </w:t>
      </w:r>
      <w:r w:rsidR="00F6258E">
        <w:rPr>
          <w:rFonts w:ascii="Garamond" w:hAnsi="Garamond"/>
          <w:i/>
        </w:rPr>
        <w:t>Essay</w:t>
      </w:r>
      <w:r w:rsidR="00F6258E">
        <w:rPr>
          <w:rFonts w:ascii="Garamond" w:hAnsi="Garamond"/>
        </w:rPr>
        <w:t xml:space="preserve"> will be provided in parentheses in the text, in the following format: (Bk. Ch. Para.).</w:t>
      </w:r>
    </w:p>
  </w:footnote>
  <w:footnote w:id="4">
    <w:p w:rsidR="009E2BE1" w:rsidRPr="003C19F5" w:rsidRDefault="009E2BE1" w:rsidP="009E2BE1">
      <w:pPr>
        <w:pStyle w:val="FootnoteText"/>
        <w:ind w:right="-330" w:hanging="284"/>
        <w:jc w:val="both"/>
        <w:rPr>
          <w:rFonts w:ascii="Garamond" w:hAnsi="Garamond"/>
        </w:rPr>
      </w:pPr>
      <w:r w:rsidRPr="00D22826">
        <w:rPr>
          <w:rStyle w:val="FootnoteReference"/>
          <w:rFonts w:ascii="Garamond" w:hAnsi="Garamond"/>
        </w:rPr>
        <w:footnoteRef/>
      </w:r>
      <w:r w:rsidRPr="00D22826">
        <w:rPr>
          <w:rFonts w:ascii="Garamond" w:hAnsi="Garamond"/>
        </w:rPr>
        <w:t xml:space="preserve"> </w:t>
      </w:r>
      <w:r>
        <w:rPr>
          <w:rFonts w:ascii="Garamond" w:hAnsi="Garamond"/>
        </w:rPr>
        <w:tab/>
      </w:r>
      <w:r w:rsidR="005F3361">
        <w:rPr>
          <w:rFonts w:ascii="Garamond" w:hAnsi="Garamond"/>
        </w:rPr>
        <w:t>A question which continued to preoccupy theologians and philosophers throughout the seventeenth century, as the example of Leibniz indicates:</w:t>
      </w:r>
      <w:r w:rsidR="00A54F7A">
        <w:rPr>
          <w:rFonts w:ascii="Garamond" w:hAnsi="Garamond"/>
        </w:rPr>
        <w:t xml:space="preserve"> </w:t>
      </w:r>
      <w:proofErr w:type="spellStart"/>
      <w:r>
        <w:rPr>
          <w:rFonts w:ascii="Garamond" w:hAnsi="Garamond"/>
        </w:rPr>
        <w:t>Marenbon</w:t>
      </w:r>
      <w:proofErr w:type="spellEnd"/>
      <w:r w:rsidR="00A54F7A">
        <w:rPr>
          <w:rFonts w:ascii="Garamond" w:hAnsi="Garamond"/>
        </w:rPr>
        <w:t xml:space="preserve">, </w:t>
      </w:r>
      <w:r w:rsidR="00161A61">
        <w:rPr>
          <w:rFonts w:ascii="Garamond" w:hAnsi="Garamond"/>
          <w:i/>
        </w:rPr>
        <w:t>Pagans and Philosophers</w:t>
      </w:r>
      <w:r w:rsidR="00A54F7A">
        <w:rPr>
          <w:rFonts w:ascii="Garamond" w:hAnsi="Garamond"/>
        </w:rPr>
        <w:t>.</w:t>
      </w:r>
      <w:r>
        <w:rPr>
          <w:rFonts w:ascii="Garamond" w:hAnsi="Garamond"/>
        </w:rPr>
        <w:t xml:space="preserve">  </w:t>
      </w:r>
    </w:p>
  </w:footnote>
  <w:footnote w:id="5">
    <w:p w:rsidR="005F3361" w:rsidRPr="003C19F5" w:rsidRDefault="005F3361" w:rsidP="005F3361">
      <w:pPr>
        <w:pStyle w:val="FootnoteText"/>
        <w:ind w:right="-330" w:hanging="284"/>
        <w:jc w:val="both"/>
        <w:rPr>
          <w:rFonts w:ascii="Garamond" w:hAnsi="Garamond"/>
        </w:rPr>
      </w:pPr>
      <w:r w:rsidRPr="00D22826">
        <w:rPr>
          <w:rStyle w:val="FootnoteReference"/>
          <w:rFonts w:ascii="Garamond" w:hAnsi="Garamond"/>
        </w:rPr>
        <w:footnoteRef/>
      </w:r>
      <w:r w:rsidRPr="00D22826">
        <w:rPr>
          <w:rFonts w:ascii="Garamond" w:hAnsi="Garamond"/>
        </w:rPr>
        <w:t xml:space="preserve"> </w:t>
      </w:r>
      <w:r>
        <w:rPr>
          <w:rFonts w:ascii="Garamond" w:hAnsi="Garamond"/>
        </w:rPr>
        <w:tab/>
        <w:t xml:space="preserve">For Erasmus’s particular veneration for Cicero’s moral philosophy, see </w:t>
      </w:r>
      <w:proofErr w:type="spellStart"/>
      <w:r>
        <w:rPr>
          <w:rFonts w:ascii="Garamond" w:hAnsi="Garamond"/>
        </w:rPr>
        <w:t>Rabil</w:t>
      </w:r>
      <w:proofErr w:type="spellEnd"/>
      <w:r>
        <w:rPr>
          <w:rFonts w:ascii="Garamond" w:hAnsi="Garamond"/>
        </w:rPr>
        <w:t>, ‘Cicero and Erasmus’.</w:t>
      </w:r>
      <w:r w:rsidR="0037024E">
        <w:rPr>
          <w:rFonts w:ascii="Garamond" w:hAnsi="Garamond"/>
        </w:rPr>
        <w:t xml:space="preserve"> Erasmus is the subject of Ch. 1</w:t>
      </w:r>
      <w:r w:rsidR="00CD1036">
        <w:rPr>
          <w:rFonts w:ascii="Garamond" w:hAnsi="Garamond"/>
        </w:rPr>
        <w:t xml:space="preserve"> in this volume, by Brian Cummings.</w:t>
      </w:r>
    </w:p>
  </w:footnote>
  <w:footnote w:id="6">
    <w:p w:rsidR="00337F31" w:rsidRPr="003C19F5" w:rsidRDefault="00337F31" w:rsidP="00F502D4">
      <w:pPr>
        <w:pStyle w:val="FootnoteText"/>
        <w:ind w:right="-330" w:hanging="284"/>
        <w:jc w:val="both"/>
        <w:rPr>
          <w:rFonts w:ascii="Garamond" w:hAnsi="Garamond"/>
        </w:rPr>
      </w:pPr>
      <w:r w:rsidRPr="00D22826">
        <w:rPr>
          <w:rStyle w:val="FootnoteReference"/>
          <w:rFonts w:ascii="Garamond" w:hAnsi="Garamond"/>
        </w:rPr>
        <w:footnoteRef/>
      </w:r>
      <w:r w:rsidRPr="00D22826">
        <w:rPr>
          <w:rFonts w:ascii="Garamond" w:hAnsi="Garamond"/>
        </w:rPr>
        <w:t xml:space="preserve"> </w:t>
      </w:r>
      <w:r>
        <w:rPr>
          <w:rFonts w:ascii="Garamond" w:hAnsi="Garamond"/>
        </w:rPr>
        <w:tab/>
      </w:r>
      <w:r w:rsidRPr="00F502D4">
        <w:rPr>
          <w:rFonts w:ascii="Garamond" w:hAnsi="Garamond"/>
        </w:rPr>
        <w:t xml:space="preserve">Locke to Thomas Herbert, earl of Pembroke, 28 Nov. 1684, in </w:t>
      </w:r>
      <w:r w:rsidRPr="00F502D4">
        <w:rPr>
          <w:rFonts w:ascii="Garamond" w:hAnsi="Garamond"/>
          <w:i/>
        </w:rPr>
        <w:t>Correspondence of Locke</w:t>
      </w:r>
      <w:r w:rsidRPr="00F502D4">
        <w:rPr>
          <w:rFonts w:ascii="Garamond" w:hAnsi="Garamond"/>
        </w:rPr>
        <w:t>, ii, pp. 661-6 (italics added).</w:t>
      </w:r>
    </w:p>
  </w:footnote>
  <w:footnote w:id="7">
    <w:p w:rsidR="005F3361" w:rsidRPr="008C24E1" w:rsidRDefault="005F3361" w:rsidP="005F3361">
      <w:pPr>
        <w:pStyle w:val="FootnoteText"/>
        <w:ind w:right="-330" w:hanging="284"/>
        <w:jc w:val="both"/>
        <w:rPr>
          <w:rFonts w:ascii="Garamond" w:hAnsi="Garamond"/>
        </w:rPr>
      </w:pPr>
      <w:r w:rsidRPr="00360B5E">
        <w:rPr>
          <w:rStyle w:val="FootnoteReference"/>
          <w:rFonts w:ascii="Garamond" w:hAnsi="Garamond"/>
        </w:rPr>
        <w:footnoteRef/>
      </w:r>
      <w:r>
        <w:rPr>
          <w:rFonts w:ascii="Garamond" w:hAnsi="Garamond"/>
        </w:rPr>
        <w:t xml:space="preserve"> </w:t>
      </w:r>
      <w:r>
        <w:rPr>
          <w:rFonts w:ascii="Garamond" w:hAnsi="Garamond"/>
        </w:rPr>
        <w:tab/>
        <w:t xml:space="preserve">Locke, </w:t>
      </w:r>
      <w:r>
        <w:rPr>
          <w:rFonts w:ascii="Garamond" w:hAnsi="Garamond"/>
          <w:i/>
        </w:rPr>
        <w:t>Reasonableness of Christianity</w:t>
      </w:r>
      <w:r>
        <w:rPr>
          <w:rFonts w:ascii="Garamond" w:hAnsi="Garamond"/>
        </w:rPr>
        <w:t xml:space="preserve"> </w:t>
      </w:r>
      <w:r w:rsidR="0037024E">
        <w:rPr>
          <w:rFonts w:ascii="Garamond" w:hAnsi="Garamond"/>
        </w:rPr>
        <w:t>[1695]</w:t>
      </w:r>
      <w:r w:rsidR="0037024E" w:rsidRPr="0037024E">
        <w:rPr>
          <w:rFonts w:ascii="Garamond" w:hAnsi="Garamond"/>
        </w:rPr>
        <w:t xml:space="preserve">, in </w:t>
      </w:r>
      <w:proofErr w:type="spellStart"/>
      <w:r w:rsidR="0037024E" w:rsidRPr="0037024E">
        <w:rPr>
          <w:rFonts w:ascii="Garamond" w:hAnsi="Garamond"/>
        </w:rPr>
        <w:t>Nuovo</w:t>
      </w:r>
      <w:proofErr w:type="spellEnd"/>
      <w:r w:rsidR="0037024E" w:rsidRPr="0037024E">
        <w:rPr>
          <w:rFonts w:ascii="Garamond" w:hAnsi="Garamond"/>
        </w:rPr>
        <w:t xml:space="preserve"> (ed.), </w:t>
      </w:r>
      <w:r w:rsidR="0037024E" w:rsidRPr="0037024E">
        <w:rPr>
          <w:rFonts w:ascii="Garamond" w:hAnsi="Garamond"/>
          <w:i/>
        </w:rPr>
        <w:t>Writings on Religion</w:t>
      </w:r>
      <w:r w:rsidR="0037024E">
        <w:rPr>
          <w:rFonts w:ascii="Garamond" w:hAnsi="Garamond"/>
        </w:rPr>
        <w:t>,</w:t>
      </w:r>
      <w:r w:rsidR="0037024E" w:rsidRPr="0037024E">
        <w:rPr>
          <w:rFonts w:ascii="Garamond" w:hAnsi="Garamond"/>
        </w:rPr>
        <w:t xml:space="preserve"> </w:t>
      </w:r>
      <w:r>
        <w:rPr>
          <w:rFonts w:ascii="Garamond" w:hAnsi="Garamond"/>
        </w:rPr>
        <w:t>p. 200.</w:t>
      </w:r>
    </w:p>
  </w:footnote>
  <w:footnote w:id="8">
    <w:p w:rsidR="00337F31" w:rsidRPr="00E17306" w:rsidRDefault="00337F31" w:rsidP="00E17306">
      <w:pPr>
        <w:pStyle w:val="FootnoteText"/>
        <w:ind w:right="-330" w:hanging="284"/>
        <w:jc w:val="both"/>
        <w:rPr>
          <w:rFonts w:ascii="Garamond" w:hAnsi="Garamond"/>
        </w:rPr>
      </w:pPr>
      <w:r w:rsidRPr="00360B5E">
        <w:rPr>
          <w:rStyle w:val="FootnoteReference"/>
          <w:rFonts w:ascii="Garamond" w:hAnsi="Garamond"/>
        </w:rPr>
        <w:footnoteRef/>
      </w:r>
      <w:r>
        <w:rPr>
          <w:rFonts w:ascii="Garamond" w:hAnsi="Garamond"/>
        </w:rPr>
        <w:t xml:space="preserve"> </w:t>
      </w:r>
      <w:r>
        <w:rPr>
          <w:rFonts w:ascii="Garamond" w:hAnsi="Garamond"/>
        </w:rPr>
        <w:tab/>
      </w:r>
      <w:proofErr w:type="gramStart"/>
      <w:r>
        <w:rPr>
          <w:rFonts w:ascii="Garamond" w:hAnsi="Garamond"/>
        </w:rPr>
        <w:t xml:space="preserve">TNA 30/24/47/2, f. 49v (‘De Arte </w:t>
      </w:r>
      <w:proofErr w:type="spellStart"/>
      <w:r>
        <w:rPr>
          <w:rFonts w:ascii="Garamond" w:hAnsi="Garamond"/>
        </w:rPr>
        <w:t>Medica</w:t>
      </w:r>
      <w:proofErr w:type="spellEnd"/>
      <w:r>
        <w:rPr>
          <w:rFonts w:ascii="Garamond" w:hAnsi="Garamond"/>
        </w:rPr>
        <w:t>’).</w:t>
      </w:r>
      <w:proofErr w:type="gramEnd"/>
      <w:r w:rsidRPr="00E17306">
        <w:rPr>
          <w:rFonts w:ascii="Garamond" w:hAnsi="Garamond"/>
        </w:rPr>
        <w:t xml:space="preserve"> An accurate transcription can be found in Walmsley, ‘Locke’s Natural Philosophy’, </w:t>
      </w:r>
      <w:proofErr w:type="gramStart"/>
      <w:r w:rsidRPr="00E17306">
        <w:rPr>
          <w:rFonts w:ascii="Garamond" w:hAnsi="Garamond"/>
        </w:rPr>
        <w:t>pp</w:t>
      </w:r>
      <w:proofErr w:type="gramEnd"/>
      <w:r w:rsidRPr="00E17306">
        <w:rPr>
          <w:rFonts w:ascii="Garamond" w:hAnsi="Garamond"/>
        </w:rPr>
        <w:t>. 232-9.</w:t>
      </w:r>
    </w:p>
  </w:footnote>
  <w:footnote w:id="9">
    <w:p w:rsidR="00337F31" w:rsidRPr="00345AE8" w:rsidRDefault="00337F31" w:rsidP="00F72527">
      <w:pPr>
        <w:pStyle w:val="FootnoteText"/>
        <w:ind w:right="-330" w:hanging="284"/>
        <w:jc w:val="both"/>
        <w:rPr>
          <w:rFonts w:ascii="Garamond" w:hAnsi="Garamond"/>
        </w:rPr>
      </w:pPr>
      <w:r w:rsidRPr="00360B5E">
        <w:rPr>
          <w:rStyle w:val="FootnoteReference"/>
          <w:rFonts w:ascii="Garamond" w:hAnsi="Garamond"/>
        </w:rPr>
        <w:footnoteRef/>
      </w:r>
      <w:r>
        <w:rPr>
          <w:rFonts w:ascii="Garamond" w:hAnsi="Garamond"/>
        </w:rPr>
        <w:t xml:space="preserve"> </w:t>
      </w:r>
      <w:r>
        <w:rPr>
          <w:rFonts w:ascii="Garamond" w:hAnsi="Garamond"/>
        </w:rPr>
        <w:tab/>
        <w:t xml:space="preserve">For discussion, see Levitin, </w:t>
      </w:r>
      <w:r>
        <w:rPr>
          <w:rFonts w:ascii="Garamond" w:hAnsi="Garamond"/>
          <w:i/>
        </w:rPr>
        <w:t>Ancient Wisdom</w:t>
      </w:r>
      <w:r>
        <w:rPr>
          <w:rFonts w:ascii="Garamond" w:hAnsi="Garamond"/>
        </w:rPr>
        <w:t>.</w:t>
      </w:r>
    </w:p>
  </w:footnote>
  <w:footnote w:id="10">
    <w:p w:rsidR="00337F31" w:rsidRPr="004C5CC0" w:rsidRDefault="00337F31" w:rsidP="00DF3270">
      <w:pPr>
        <w:pStyle w:val="FootnoteText"/>
        <w:ind w:right="-330" w:hanging="284"/>
        <w:contextualSpacing/>
        <w:jc w:val="both"/>
        <w:rPr>
          <w:rStyle w:val="FootnoteReference"/>
          <w:rFonts w:ascii="Garamond" w:hAnsi="Garamond"/>
        </w:rPr>
      </w:pPr>
      <w:r w:rsidRPr="004C5CC0">
        <w:rPr>
          <w:rStyle w:val="FootnoteReference"/>
          <w:rFonts w:ascii="Garamond" w:hAnsi="Garamond"/>
        </w:rPr>
        <w:footnoteRef/>
      </w:r>
      <w:r w:rsidRPr="004C5CC0">
        <w:rPr>
          <w:rStyle w:val="FootnoteReference"/>
          <w:rFonts w:ascii="Garamond" w:hAnsi="Garamond"/>
        </w:rPr>
        <w:tab/>
      </w:r>
      <w:r w:rsidRPr="004C5CC0">
        <w:rPr>
          <w:rFonts w:ascii="Garamond" w:hAnsi="Garamond"/>
          <w:i/>
        </w:rPr>
        <w:t>Essays on the Law of Nature</w:t>
      </w:r>
      <w:r w:rsidRPr="004C5CC0">
        <w:rPr>
          <w:rFonts w:ascii="Garamond" w:hAnsi="Garamond"/>
        </w:rPr>
        <w:t xml:space="preserve"> [1663-4]</w:t>
      </w:r>
      <w:r>
        <w:rPr>
          <w:rFonts w:ascii="Garamond" w:hAnsi="Garamond"/>
        </w:rPr>
        <w:t>, [lect.] V: p.</w:t>
      </w:r>
      <w:r w:rsidRPr="004C5CC0">
        <w:rPr>
          <w:rFonts w:ascii="Garamond" w:hAnsi="Garamond"/>
        </w:rPr>
        <w:t xml:space="preserve"> 173; cf.</w:t>
      </w:r>
      <w:r>
        <w:rPr>
          <w:rFonts w:ascii="Garamond" w:hAnsi="Garamond"/>
        </w:rPr>
        <w:t xml:space="preserve"> </w:t>
      </w:r>
      <w:r w:rsidRPr="004C5CC0">
        <w:rPr>
          <w:rFonts w:ascii="Garamond" w:hAnsi="Garamond"/>
        </w:rPr>
        <w:t xml:space="preserve">III: </w:t>
      </w:r>
      <w:r>
        <w:rPr>
          <w:rFonts w:ascii="Garamond" w:hAnsi="Garamond"/>
        </w:rPr>
        <w:t xml:space="preserve">p. </w:t>
      </w:r>
      <w:r w:rsidRPr="004C5CC0">
        <w:rPr>
          <w:rFonts w:ascii="Garamond" w:hAnsi="Garamond"/>
        </w:rPr>
        <w:t>151.</w:t>
      </w:r>
      <w:r w:rsidR="00161A61">
        <w:rPr>
          <w:rFonts w:ascii="Garamond" w:hAnsi="Garamond"/>
        </w:rPr>
        <w:t xml:space="preserve"> Locke’s lectures were delivered in his capacity as Censor of Moral Philosophy at Christ Church, Oxford.</w:t>
      </w:r>
    </w:p>
  </w:footnote>
  <w:footnote w:id="11">
    <w:p w:rsidR="00337F31" w:rsidRPr="00626275" w:rsidRDefault="00337F31" w:rsidP="00DF3270">
      <w:pPr>
        <w:pStyle w:val="FootnoteText"/>
        <w:ind w:right="-330" w:hanging="284"/>
        <w:jc w:val="both"/>
        <w:rPr>
          <w:rFonts w:ascii="Garamond" w:hAnsi="Garamond"/>
        </w:rPr>
      </w:pPr>
      <w:r w:rsidRPr="00360B5E">
        <w:rPr>
          <w:rStyle w:val="FootnoteReference"/>
          <w:rFonts w:ascii="Garamond" w:hAnsi="Garamond"/>
        </w:rPr>
        <w:footnoteRef/>
      </w:r>
      <w:r>
        <w:rPr>
          <w:rFonts w:ascii="Garamond" w:hAnsi="Garamond"/>
        </w:rPr>
        <w:t xml:space="preserve"> </w:t>
      </w:r>
      <w:r>
        <w:rPr>
          <w:rFonts w:ascii="Garamond" w:hAnsi="Garamond"/>
        </w:rPr>
        <w:tab/>
        <w:t xml:space="preserve">On the divisions in the Christian natural law tradition between these two explanations of the origins of law, see </w:t>
      </w:r>
      <w:proofErr w:type="spellStart"/>
      <w:r w:rsidR="00FA5E78">
        <w:rPr>
          <w:rFonts w:ascii="Garamond" w:hAnsi="Garamond"/>
        </w:rPr>
        <w:t>Bouwsma</w:t>
      </w:r>
      <w:proofErr w:type="spellEnd"/>
      <w:r w:rsidR="00FA5E78">
        <w:rPr>
          <w:rFonts w:ascii="Garamond" w:hAnsi="Garamond"/>
        </w:rPr>
        <w:t>, ‘Two f</w:t>
      </w:r>
      <w:r w:rsidR="00161A61">
        <w:rPr>
          <w:rFonts w:ascii="Garamond" w:hAnsi="Garamond"/>
        </w:rPr>
        <w:t>aces</w:t>
      </w:r>
      <w:r w:rsidR="00FA5E78">
        <w:rPr>
          <w:rFonts w:ascii="Garamond" w:hAnsi="Garamond"/>
        </w:rPr>
        <w:t xml:space="preserve">’; </w:t>
      </w:r>
      <w:proofErr w:type="spellStart"/>
      <w:r w:rsidR="00FA5E78">
        <w:rPr>
          <w:rFonts w:ascii="Garamond" w:hAnsi="Garamond"/>
        </w:rPr>
        <w:t>Kraye</w:t>
      </w:r>
      <w:proofErr w:type="spellEnd"/>
      <w:r w:rsidR="00FA5E78">
        <w:rPr>
          <w:rFonts w:ascii="Garamond" w:hAnsi="Garamond"/>
        </w:rPr>
        <w:t>, ‘Moral p</w:t>
      </w:r>
      <w:r w:rsidR="00D34ECA">
        <w:rPr>
          <w:rFonts w:ascii="Garamond" w:hAnsi="Garamond"/>
        </w:rPr>
        <w:t xml:space="preserve">hilosophy’; and </w:t>
      </w:r>
      <w:r w:rsidRPr="00626275">
        <w:rPr>
          <w:rFonts w:ascii="Garamond" w:hAnsi="Garamond"/>
        </w:rPr>
        <w:t xml:space="preserve">Oakley, </w:t>
      </w:r>
      <w:r w:rsidRPr="00626275">
        <w:rPr>
          <w:rFonts w:ascii="Garamond" w:hAnsi="Garamond"/>
          <w:i/>
        </w:rPr>
        <w:t>Natural Law</w:t>
      </w:r>
      <w:r>
        <w:rPr>
          <w:rFonts w:ascii="Garamond" w:hAnsi="Garamond"/>
        </w:rPr>
        <w:t>.</w:t>
      </w:r>
    </w:p>
  </w:footnote>
  <w:footnote w:id="12">
    <w:p w:rsidR="00337F31" w:rsidRPr="004C5CC0" w:rsidRDefault="00337F31" w:rsidP="00DF3270">
      <w:pPr>
        <w:pStyle w:val="FootnoteText"/>
        <w:ind w:right="-330" w:hanging="284"/>
        <w:contextualSpacing/>
        <w:jc w:val="both"/>
        <w:rPr>
          <w:rFonts w:ascii="Garamond" w:hAnsi="Garamond"/>
        </w:rPr>
      </w:pPr>
      <w:r w:rsidRPr="004C5CC0">
        <w:rPr>
          <w:rStyle w:val="FootnoteReference"/>
          <w:rFonts w:ascii="Garamond" w:hAnsi="Garamond"/>
        </w:rPr>
        <w:footnoteRef/>
      </w:r>
      <w:r w:rsidRPr="004C5CC0">
        <w:rPr>
          <w:rStyle w:val="FootnoteReference"/>
          <w:rFonts w:ascii="Garamond" w:hAnsi="Garamond"/>
        </w:rPr>
        <w:t xml:space="preserve"> </w:t>
      </w:r>
      <w:r w:rsidRPr="004C5CC0">
        <w:rPr>
          <w:rStyle w:val="FootnoteReference"/>
          <w:rFonts w:ascii="Garamond" w:hAnsi="Garamond"/>
        </w:rPr>
        <w:tab/>
      </w:r>
      <w:r w:rsidR="00FA5E78">
        <w:rPr>
          <w:rStyle w:val="FootnoteReference"/>
          <w:rFonts w:ascii="Garamond" w:hAnsi="Garamond"/>
          <w:vertAlign w:val="baseline"/>
        </w:rPr>
        <w:t>Tuck, ‘“Modern” t</w:t>
      </w:r>
      <w:r>
        <w:rPr>
          <w:rStyle w:val="FootnoteReference"/>
          <w:rFonts w:ascii="Garamond" w:hAnsi="Garamond"/>
          <w:vertAlign w:val="baseline"/>
        </w:rPr>
        <w:t xml:space="preserve">radition’; and idem, </w:t>
      </w:r>
      <w:r>
        <w:rPr>
          <w:rStyle w:val="FootnoteReference"/>
          <w:rFonts w:ascii="Garamond" w:hAnsi="Garamond"/>
          <w:i/>
          <w:vertAlign w:val="baseline"/>
        </w:rPr>
        <w:t>Natural Rights Theories</w:t>
      </w:r>
      <w:r>
        <w:rPr>
          <w:rStyle w:val="FootnoteReference"/>
          <w:rFonts w:ascii="Garamond" w:hAnsi="Garamond"/>
          <w:vertAlign w:val="baseline"/>
        </w:rPr>
        <w:t xml:space="preserve">. </w:t>
      </w:r>
      <w:r w:rsidRPr="004C5CC0">
        <w:rPr>
          <w:rStyle w:val="FootnoteReference"/>
          <w:rFonts w:ascii="Garamond" w:hAnsi="Garamond"/>
        </w:rPr>
        <w:t xml:space="preserve"> </w:t>
      </w:r>
    </w:p>
  </w:footnote>
  <w:footnote w:id="13">
    <w:p w:rsidR="00337F31" w:rsidRPr="004C5CC0" w:rsidRDefault="00337F31" w:rsidP="00DF3270">
      <w:pPr>
        <w:pStyle w:val="FootnoteText"/>
        <w:ind w:right="-330" w:hanging="284"/>
        <w:contextualSpacing/>
        <w:jc w:val="both"/>
        <w:rPr>
          <w:rFonts w:ascii="Garamond" w:hAnsi="Garamond"/>
        </w:rPr>
      </w:pPr>
      <w:r w:rsidRPr="004C5CC0">
        <w:rPr>
          <w:rStyle w:val="FootnoteReference"/>
          <w:rFonts w:ascii="Garamond" w:hAnsi="Garamond"/>
        </w:rPr>
        <w:footnoteRef/>
      </w:r>
      <w:r w:rsidRPr="004C5CC0">
        <w:rPr>
          <w:rStyle w:val="FootnoteReference"/>
          <w:rFonts w:ascii="Garamond" w:hAnsi="Garamond"/>
        </w:rPr>
        <w:t xml:space="preserve"> </w:t>
      </w:r>
      <w:r w:rsidRPr="004C5CC0">
        <w:rPr>
          <w:rStyle w:val="FootnoteReference"/>
          <w:rFonts w:ascii="Garamond" w:hAnsi="Garamond"/>
        </w:rPr>
        <w:tab/>
      </w:r>
      <w:r w:rsidRPr="00626275">
        <w:rPr>
          <w:rStyle w:val="FootnoteReference"/>
          <w:rFonts w:ascii="Garamond" w:hAnsi="Garamond"/>
          <w:vertAlign w:val="baseline"/>
        </w:rPr>
        <w:t xml:space="preserve">Grotius, </w:t>
      </w:r>
      <w:r w:rsidRPr="00626275">
        <w:rPr>
          <w:rStyle w:val="FootnoteReference"/>
          <w:rFonts w:ascii="Garamond" w:hAnsi="Garamond"/>
          <w:i/>
          <w:vertAlign w:val="baseline"/>
        </w:rPr>
        <w:t>Rights of War and Peace</w:t>
      </w:r>
      <w:r>
        <w:rPr>
          <w:rStyle w:val="FootnoteReference"/>
          <w:rFonts w:ascii="Garamond" w:hAnsi="Garamond"/>
          <w:vertAlign w:val="baseline"/>
        </w:rPr>
        <w:t xml:space="preserve"> [1625]</w:t>
      </w:r>
      <w:r w:rsidRPr="00626275">
        <w:rPr>
          <w:rStyle w:val="FootnoteReference"/>
          <w:rFonts w:ascii="Garamond" w:hAnsi="Garamond"/>
          <w:vertAlign w:val="baseline"/>
        </w:rPr>
        <w:t xml:space="preserve">, </w:t>
      </w:r>
      <w:proofErr w:type="spellStart"/>
      <w:r w:rsidRPr="00626275">
        <w:rPr>
          <w:rStyle w:val="FootnoteReference"/>
          <w:rFonts w:ascii="Garamond" w:hAnsi="Garamond"/>
          <w:vertAlign w:val="baseline"/>
        </w:rPr>
        <w:t>i</w:t>
      </w:r>
      <w:proofErr w:type="spellEnd"/>
      <w:r w:rsidRPr="00626275">
        <w:rPr>
          <w:rStyle w:val="FootnoteReference"/>
          <w:rFonts w:ascii="Garamond" w:hAnsi="Garamond"/>
          <w:vertAlign w:val="baseline"/>
        </w:rPr>
        <w:t xml:space="preserve">, ‘Preliminary Discourse’, §XI, p. 89. </w:t>
      </w:r>
    </w:p>
  </w:footnote>
  <w:footnote w:id="14">
    <w:p w:rsidR="00337F31" w:rsidRPr="00230371" w:rsidRDefault="00337F31" w:rsidP="00DF3270">
      <w:pPr>
        <w:pStyle w:val="FootnoteText"/>
        <w:ind w:right="-330" w:hanging="284"/>
        <w:contextualSpacing/>
        <w:jc w:val="both"/>
        <w:rPr>
          <w:rStyle w:val="FootnoteReference"/>
          <w:vertAlign w:val="baseline"/>
        </w:rPr>
      </w:pPr>
      <w:r w:rsidRPr="004C5CC0">
        <w:rPr>
          <w:rStyle w:val="FootnoteReference"/>
          <w:rFonts w:ascii="Garamond" w:hAnsi="Garamond"/>
        </w:rPr>
        <w:footnoteRef/>
      </w:r>
      <w:r w:rsidRPr="004C5CC0">
        <w:rPr>
          <w:rStyle w:val="FootnoteReference"/>
          <w:rFonts w:ascii="Garamond" w:hAnsi="Garamond"/>
        </w:rPr>
        <w:t xml:space="preserve"> </w:t>
      </w:r>
      <w:r w:rsidRPr="004C5CC0">
        <w:rPr>
          <w:rStyle w:val="FootnoteReference"/>
          <w:rFonts w:ascii="Garamond" w:hAnsi="Garamond"/>
        </w:rPr>
        <w:tab/>
      </w:r>
      <w:proofErr w:type="spellStart"/>
      <w:r w:rsidRPr="00230371">
        <w:rPr>
          <w:rStyle w:val="FootnoteReference"/>
          <w:rFonts w:ascii="Garamond" w:hAnsi="Garamond"/>
          <w:vertAlign w:val="baseline"/>
        </w:rPr>
        <w:t>Pufendorf</w:t>
      </w:r>
      <w:proofErr w:type="spellEnd"/>
      <w:r w:rsidRPr="00230371">
        <w:rPr>
          <w:rStyle w:val="FootnoteReference"/>
          <w:rFonts w:ascii="Garamond" w:hAnsi="Garamond"/>
          <w:vertAlign w:val="baseline"/>
        </w:rPr>
        <w:t xml:space="preserve">, </w:t>
      </w:r>
      <w:r w:rsidRPr="00230371">
        <w:rPr>
          <w:rStyle w:val="FootnoteReference"/>
          <w:rFonts w:ascii="Garamond" w:hAnsi="Garamond"/>
          <w:i/>
          <w:vertAlign w:val="baseline"/>
        </w:rPr>
        <w:t>On the Duty of Man and Citizen</w:t>
      </w:r>
      <w:r w:rsidRPr="00230371">
        <w:rPr>
          <w:rStyle w:val="FootnoteReference"/>
          <w:rFonts w:ascii="Garamond" w:hAnsi="Garamond"/>
          <w:vertAlign w:val="baseline"/>
        </w:rPr>
        <w:t xml:space="preserve"> [1673</w:t>
      </w:r>
      <w:r w:rsidR="00FF4CF7">
        <w:rPr>
          <w:rFonts w:ascii="Garamond" w:hAnsi="Garamond"/>
        </w:rPr>
        <w:t>]</w:t>
      </w:r>
      <w:r w:rsidRPr="00230371">
        <w:rPr>
          <w:rStyle w:val="FootnoteReference"/>
          <w:rFonts w:ascii="Garamond" w:hAnsi="Garamond"/>
          <w:vertAlign w:val="baseline"/>
        </w:rPr>
        <w:t xml:space="preserve">, p. 8 (italics added); cf. </w:t>
      </w:r>
      <w:r w:rsidRPr="00230371">
        <w:rPr>
          <w:rStyle w:val="FootnoteReference"/>
          <w:rFonts w:ascii="Garamond" w:hAnsi="Garamond"/>
          <w:i/>
          <w:vertAlign w:val="baseline"/>
        </w:rPr>
        <w:t xml:space="preserve">De Jure </w:t>
      </w:r>
      <w:proofErr w:type="spellStart"/>
      <w:r w:rsidRPr="00230371">
        <w:rPr>
          <w:rStyle w:val="FootnoteReference"/>
          <w:rFonts w:ascii="Garamond" w:hAnsi="Garamond"/>
          <w:i/>
          <w:vertAlign w:val="baseline"/>
        </w:rPr>
        <w:t>Naturae</w:t>
      </w:r>
      <w:proofErr w:type="spellEnd"/>
      <w:r>
        <w:rPr>
          <w:rStyle w:val="FootnoteReference"/>
          <w:rFonts w:ascii="Garamond" w:hAnsi="Garamond"/>
          <w:vertAlign w:val="baseline"/>
        </w:rPr>
        <w:t xml:space="preserve"> [1672]</w:t>
      </w:r>
      <w:r w:rsidRPr="00230371">
        <w:rPr>
          <w:rStyle w:val="FootnoteReference"/>
          <w:rFonts w:ascii="Garamond" w:hAnsi="Garamond"/>
          <w:vertAlign w:val="baseline"/>
        </w:rPr>
        <w:t>, p. 224.</w:t>
      </w:r>
    </w:p>
  </w:footnote>
  <w:footnote w:id="15">
    <w:p w:rsidR="00337F31" w:rsidRPr="002458D9" w:rsidRDefault="00337F31" w:rsidP="00D66440">
      <w:pPr>
        <w:pStyle w:val="FootnoteText"/>
        <w:ind w:right="-330" w:hanging="284"/>
        <w:jc w:val="both"/>
        <w:rPr>
          <w:rFonts w:ascii="Garamond" w:hAnsi="Garamond"/>
        </w:rPr>
      </w:pPr>
      <w:r w:rsidRPr="00360B5E">
        <w:rPr>
          <w:rStyle w:val="FootnoteReference"/>
          <w:rFonts w:ascii="Garamond" w:hAnsi="Garamond"/>
        </w:rPr>
        <w:footnoteRef/>
      </w:r>
      <w:r>
        <w:rPr>
          <w:rFonts w:ascii="Garamond" w:hAnsi="Garamond"/>
        </w:rPr>
        <w:t xml:space="preserve"> </w:t>
      </w:r>
      <w:r>
        <w:rPr>
          <w:rFonts w:ascii="Garamond" w:hAnsi="Garamond"/>
        </w:rPr>
        <w:tab/>
      </w:r>
      <w:proofErr w:type="gramStart"/>
      <w:r>
        <w:rPr>
          <w:rFonts w:ascii="Garamond" w:hAnsi="Garamond"/>
          <w:i/>
        </w:rPr>
        <w:t>Reasonableness of Christianity</w:t>
      </w:r>
      <w:r>
        <w:rPr>
          <w:rFonts w:ascii="Garamond" w:hAnsi="Garamond"/>
        </w:rPr>
        <w:t>, pp. 195-6; 203-4; 196.</w:t>
      </w:r>
      <w:proofErr w:type="gramEnd"/>
      <w:r>
        <w:rPr>
          <w:rFonts w:ascii="Garamond" w:hAnsi="Garamond"/>
        </w:rPr>
        <w:t xml:space="preserve"> </w:t>
      </w:r>
    </w:p>
  </w:footnote>
  <w:footnote w:id="16">
    <w:p w:rsidR="00802A48" w:rsidRPr="00802A48" w:rsidRDefault="00802A48" w:rsidP="00802A48">
      <w:pPr>
        <w:pStyle w:val="FootnoteText"/>
        <w:ind w:right="-330" w:hanging="284"/>
        <w:jc w:val="both"/>
        <w:rPr>
          <w:rFonts w:ascii="Garamond" w:hAnsi="Garamond"/>
        </w:rPr>
      </w:pPr>
      <w:r w:rsidRPr="00360B5E">
        <w:rPr>
          <w:rStyle w:val="FootnoteReference"/>
          <w:rFonts w:ascii="Garamond" w:hAnsi="Garamond"/>
        </w:rPr>
        <w:footnoteRef/>
      </w:r>
      <w:r>
        <w:rPr>
          <w:rFonts w:ascii="Garamond" w:hAnsi="Garamond"/>
        </w:rPr>
        <w:t xml:space="preserve"> </w:t>
      </w:r>
      <w:r>
        <w:rPr>
          <w:rFonts w:ascii="Garamond" w:hAnsi="Garamond"/>
        </w:rPr>
        <w:tab/>
        <w:t xml:space="preserve">For the ancient origins of this philosophical doctrine, see </w:t>
      </w:r>
      <w:proofErr w:type="spellStart"/>
      <w:r>
        <w:rPr>
          <w:rFonts w:ascii="Garamond" w:hAnsi="Garamond"/>
        </w:rPr>
        <w:t>Obbink</w:t>
      </w:r>
      <w:proofErr w:type="spellEnd"/>
      <w:r>
        <w:rPr>
          <w:rFonts w:ascii="Garamond" w:hAnsi="Garamond"/>
        </w:rPr>
        <w:t>, ‘“What all men believe”’.</w:t>
      </w:r>
    </w:p>
  </w:footnote>
  <w:footnote w:id="17">
    <w:p w:rsidR="00337F31" w:rsidRPr="00C20255" w:rsidRDefault="00337F31" w:rsidP="00680525">
      <w:pPr>
        <w:pStyle w:val="FootnoteText"/>
        <w:ind w:right="-330" w:hanging="284"/>
        <w:contextualSpacing/>
        <w:jc w:val="both"/>
        <w:rPr>
          <w:rStyle w:val="FootnoteReference"/>
          <w:vertAlign w:val="baseline"/>
        </w:rPr>
      </w:pPr>
      <w:r w:rsidRPr="004C5CC0">
        <w:rPr>
          <w:rStyle w:val="FootnoteReference"/>
          <w:rFonts w:ascii="Garamond" w:hAnsi="Garamond"/>
        </w:rPr>
        <w:footnoteRef/>
      </w:r>
      <w:r w:rsidRPr="004C5CC0">
        <w:rPr>
          <w:rStyle w:val="FootnoteReference"/>
          <w:rFonts w:ascii="Garamond" w:hAnsi="Garamond"/>
        </w:rPr>
        <w:t xml:space="preserve"> </w:t>
      </w:r>
      <w:r w:rsidRPr="004C5CC0">
        <w:rPr>
          <w:rStyle w:val="FootnoteReference"/>
          <w:rFonts w:ascii="Garamond" w:hAnsi="Garamond"/>
        </w:rPr>
        <w:tab/>
      </w:r>
      <w:r>
        <w:rPr>
          <w:rStyle w:val="FootnoteReference"/>
          <w:rFonts w:ascii="Garamond" w:hAnsi="Garamond"/>
          <w:vertAlign w:val="baseline"/>
        </w:rPr>
        <w:t>For Grotius’</w:t>
      </w:r>
      <w:proofErr w:type="gramStart"/>
      <w:r>
        <w:rPr>
          <w:rFonts w:ascii="Garamond" w:hAnsi="Garamond"/>
        </w:rPr>
        <w:t>s</w:t>
      </w:r>
      <w:proofErr w:type="gramEnd"/>
      <w:r>
        <w:rPr>
          <w:rFonts w:ascii="Garamond" w:hAnsi="Garamond"/>
        </w:rPr>
        <w:t xml:space="preserve"> debt to Quintilian’s rhetorical method in </w:t>
      </w:r>
      <w:r>
        <w:rPr>
          <w:rFonts w:ascii="Garamond" w:hAnsi="Garamond"/>
          <w:i/>
        </w:rPr>
        <w:t xml:space="preserve">De </w:t>
      </w:r>
      <w:proofErr w:type="spellStart"/>
      <w:r>
        <w:rPr>
          <w:rFonts w:ascii="Garamond" w:hAnsi="Garamond"/>
          <w:i/>
        </w:rPr>
        <w:t>Inventione</w:t>
      </w:r>
      <w:proofErr w:type="spellEnd"/>
      <w:r>
        <w:rPr>
          <w:rFonts w:ascii="Garamond" w:hAnsi="Garamond"/>
        </w:rPr>
        <w:t xml:space="preserve">, see </w:t>
      </w:r>
      <w:proofErr w:type="spellStart"/>
      <w:r>
        <w:rPr>
          <w:rFonts w:ascii="Garamond" w:hAnsi="Garamond"/>
        </w:rPr>
        <w:t>Straumann</w:t>
      </w:r>
      <w:proofErr w:type="spellEnd"/>
      <w:r>
        <w:rPr>
          <w:rFonts w:ascii="Garamond" w:hAnsi="Garamond"/>
        </w:rPr>
        <w:t xml:space="preserve">, </w:t>
      </w:r>
      <w:r>
        <w:rPr>
          <w:rFonts w:ascii="Garamond" w:hAnsi="Garamond"/>
          <w:i/>
        </w:rPr>
        <w:t>Roman Law</w:t>
      </w:r>
      <w:r>
        <w:rPr>
          <w:rFonts w:ascii="Garamond" w:hAnsi="Garamond"/>
        </w:rPr>
        <w:t>, Ch. 3.</w:t>
      </w:r>
    </w:p>
  </w:footnote>
  <w:footnote w:id="18">
    <w:p w:rsidR="00337F31" w:rsidRPr="00C20255" w:rsidRDefault="00337F31" w:rsidP="00680525">
      <w:pPr>
        <w:pStyle w:val="FootnoteText"/>
        <w:ind w:right="-330" w:hanging="284"/>
        <w:contextualSpacing/>
        <w:jc w:val="both"/>
        <w:rPr>
          <w:rStyle w:val="FootnoteReference"/>
          <w:rFonts w:ascii="Garamond" w:hAnsi="Garamond"/>
          <w:vertAlign w:val="baseline"/>
        </w:rPr>
      </w:pPr>
      <w:r w:rsidRPr="004C5CC0">
        <w:rPr>
          <w:rStyle w:val="FootnoteReference"/>
          <w:rFonts w:ascii="Garamond" w:hAnsi="Garamond"/>
        </w:rPr>
        <w:footnoteRef/>
      </w:r>
      <w:r w:rsidRPr="004C5CC0">
        <w:rPr>
          <w:rStyle w:val="FootnoteReference"/>
          <w:rFonts w:ascii="Garamond" w:hAnsi="Garamond"/>
        </w:rPr>
        <w:t xml:space="preserve"> </w:t>
      </w:r>
      <w:r w:rsidRPr="004C5CC0">
        <w:rPr>
          <w:rStyle w:val="FootnoteReference"/>
          <w:rFonts w:ascii="Garamond" w:hAnsi="Garamond"/>
        </w:rPr>
        <w:tab/>
      </w:r>
      <w:r>
        <w:rPr>
          <w:rStyle w:val="FootnoteReference"/>
          <w:rFonts w:ascii="Garamond" w:hAnsi="Garamond"/>
          <w:vertAlign w:val="baseline"/>
        </w:rPr>
        <w:t xml:space="preserve">Locke, </w:t>
      </w:r>
      <w:r>
        <w:rPr>
          <w:rFonts w:ascii="Garamond" w:hAnsi="Garamond"/>
          <w:i/>
        </w:rPr>
        <w:t>ELN</w:t>
      </w:r>
      <w:r>
        <w:rPr>
          <w:rFonts w:ascii="Garamond" w:hAnsi="Garamond"/>
        </w:rPr>
        <w:t xml:space="preserve">, V: p. 175. </w:t>
      </w:r>
      <w:r w:rsidRPr="00C20255">
        <w:rPr>
          <w:rFonts w:ascii="Garamond" w:hAnsi="Garamond"/>
          <w:lang w:val="x-none"/>
        </w:rPr>
        <w:t xml:space="preserve">The reference to Varro is drawn  from Augustine’s discussion in </w:t>
      </w:r>
      <w:r w:rsidRPr="00C20255">
        <w:rPr>
          <w:rFonts w:ascii="Garamond" w:hAnsi="Garamond"/>
          <w:i/>
          <w:lang w:val="x-none"/>
        </w:rPr>
        <w:t>City of God</w:t>
      </w:r>
      <w:r w:rsidRPr="00C20255">
        <w:rPr>
          <w:rFonts w:ascii="Garamond" w:hAnsi="Garamond"/>
          <w:lang w:val="x-none"/>
        </w:rPr>
        <w:t>,</w:t>
      </w:r>
      <w:r w:rsidRPr="00C20255">
        <w:rPr>
          <w:rFonts w:ascii="Garamond" w:hAnsi="Garamond"/>
        </w:rPr>
        <w:t xml:space="preserve"> 19.1, pp. 909-14. (Augustine </w:t>
      </w:r>
      <w:r>
        <w:rPr>
          <w:rFonts w:ascii="Garamond" w:hAnsi="Garamond"/>
        </w:rPr>
        <w:t xml:space="preserve">actually </w:t>
      </w:r>
      <w:r w:rsidRPr="00C20255">
        <w:rPr>
          <w:rFonts w:ascii="Garamond" w:hAnsi="Garamond"/>
        </w:rPr>
        <w:t xml:space="preserve">specified that Varro had </w:t>
      </w:r>
      <w:r>
        <w:rPr>
          <w:rFonts w:ascii="Garamond" w:hAnsi="Garamond"/>
        </w:rPr>
        <w:t>identified two hundred and eighty-eight</w:t>
      </w:r>
      <w:r w:rsidRPr="00C20255">
        <w:rPr>
          <w:rFonts w:ascii="Garamond" w:hAnsi="Garamond"/>
        </w:rPr>
        <w:t xml:space="preserve"> different theories regarding the supreme good.)</w:t>
      </w:r>
    </w:p>
  </w:footnote>
  <w:footnote w:id="19">
    <w:p w:rsidR="00337F31" w:rsidRPr="00C20255" w:rsidRDefault="00337F31" w:rsidP="00680525">
      <w:pPr>
        <w:pStyle w:val="FootnoteText"/>
        <w:ind w:right="-330" w:hanging="284"/>
        <w:contextualSpacing/>
        <w:jc w:val="both"/>
        <w:rPr>
          <w:rStyle w:val="FootnoteReference"/>
          <w:rFonts w:ascii="Garamond" w:hAnsi="Garamond"/>
          <w:vertAlign w:val="baseline"/>
        </w:rPr>
      </w:pPr>
      <w:r w:rsidRPr="004C5CC0">
        <w:rPr>
          <w:rStyle w:val="FootnoteReference"/>
          <w:rFonts w:ascii="Garamond" w:hAnsi="Garamond"/>
        </w:rPr>
        <w:footnoteRef/>
      </w:r>
      <w:r w:rsidRPr="004C5CC0">
        <w:rPr>
          <w:rStyle w:val="FootnoteReference"/>
          <w:rFonts w:ascii="Garamond" w:hAnsi="Garamond"/>
        </w:rPr>
        <w:t xml:space="preserve"> </w:t>
      </w:r>
      <w:r w:rsidRPr="004C5CC0">
        <w:rPr>
          <w:rStyle w:val="FootnoteReference"/>
          <w:rFonts w:ascii="Garamond" w:hAnsi="Garamond"/>
        </w:rPr>
        <w:tab/>
      </w:r>
      <w:r>
        <w:rPr>
          <w:rStyle w:val="FootnoteReference"/>
          <w:rFonts w:ascii="Garamond" w:hAnsi="Garamond"/>
          <w:vertAlign w:val="baseline"/>
        </w:rPr>
        <w:t>Ibid.</w:t>
      </w:r>
    </w:p>
  </w:footnote>
  <w:footnote w:id="20">
    <w:p w:rsidR="005747BA" w:rsidRPr="005747BA" w:rsidRDefault="005747BA" w:rsidP="0055457E">
      <w:pPr>
        <w:pStyle w:val="FootnoteText"/>
        <w:ind w:right="-330" w:hanging="284"/>
        <w:contextualSpacing/>
        <w:jc w:val="both"/>
        <w:rPr>
          <w:rStyle w:val="FootnoteReference"/>
          <w:rFonts w:ascii="Garamond" w:hAnsi="Garamond"/>
          <w:vertAlign w:val="baseline"/>
        </w:rPr>
      </w:pPr>
      <w:r w:rsidRPr="00390E7C">
        <w:rPr>
          <w:rStyle w:val="FootnoteReference"/>
          <w:rFonts w:ascii="Garamond" w:hAnsi="Garamond"/>
        </w:rPr>
        <w:footnoteRef/>
      </w:r>
      <w:r w:rsidRPr="00390E7C">
        <w:rPr>
          <w:rStyle w:val="FootnoteReference"/>
          <w:rFonts w:ascii="Garamond" w:hAnsi="Garamond"/>
          <w:vertAlign w:val="baseline"/>
        </w:rPr>
        <w:tab/>
      </w:r>
      <w:r>
        <w:rPr>
          <w:rFonts w:ascii="Garamond" w:hAnsi="Garamond"/>
        </w:rPr>
        <w:t xml:space="preserve">For the full complexity and ambition of </w:t>
      </w:r>
      <w:proofErr w:type="spellStart"/>
      <w:r>
        <w:rPr>
          <w:rFonts w:ascii="Garamond" w:hAnsi="Garamond"/>
        </w:rPr>
        <w:t>Cudworth’s</w:t>
      </w:r>
      <w:proofErr w:type="spellEnd"/>
      <w:r>
        <w:rPr>
          <w:rFonts w:ascii="Garamond" w:hAnsi="Garamond"/>
        </w:rPr>
        <w:t xml:space="preserve"> undertaking, see </w:t>
      </w:r>
      <w:r>
        <w:rPr>
          <w:rStyle w:val="FootnoteReference"/>
          <w:rFonts w:ascii="Garamond" w:hAnsi="Garamond"/>
          <w:vertAlign w:val="baseline"/>
        </w:rPr>
        <w:t xml:space="preserve">Levitin, </w:t>
      </w:r>
      <w:r>
        <w:rPr>
          <w:rFonts w:ascii="Garamond" w:hAnsi="Garamond"/>
          <w:i/>
        </w:rPr>
        <w:t>Ancient Wisdom</w:t>
      </w:r>
      <w:r>
        <w:rPr>
          <w:rFonts w:ascii="Garamond" w:hAnsi="Garamond"/>
        </w:rPr>
        <w:t>, pp. 86-90, 171-80, 355-68, 418-27</w:t>
      </w:r>
      <w:r w:rsidR="0055457E">
        <w:rPr>
          <w:rFonts w:ascii="Garamond" w:hAnsi="Garamond"/>
        </w:rPr>
        <w:t>, 509-13.</w:t>
      </w:r>
    </w:p>
  </w:footnote>
  <w:footnote w:id="21">
    <w:p w:rsidR="00337F31" w:rsidRPr="00390E7C" w:rsidRDefault="00337F31" w:rsidP="00680525">
      <w:pPr>
        <w:pStyle w:val="FootnoteText"/>
        <w:ind w:right="-31" w:hanging="284"/>
        <w:contextualSpacing/>
        <w:rPr>
          <w:rStyle w:val="FootnoteReference"/>
          <w:rFonts w:ascii="Garamond" w:hAnsi="Garamond"/>
          <w:vertAlign w:val="baseline"/>
        </w:rPr>
      </w:pPr>
      <w:r w:rsidRPr="00390E7C">
        <w:rPr>
          <w:rStyle w:val="FootnoteReference"/>
          <w:rFonts w:ascii="Garamond" w:hAnsi="Garamond"/>
        </w:rPr>
        <w:footnoteRef/>
      </w:r>
      <w:r w:rsidRPr="00390E7C">
        <w:rPr>
          <w:rStyle w:val="FootnoteReference"/>
          <w:rFonts w:ascii="Garamond" w:hAnsi="Garamond"/>
          <w:vertAlign w:val="baseline"/>
        </w:rPr>
        <w:tab/>
        <w:t xml:space="preserve">The motto of the Royal Society was, after all, </w:t>
      </w:r>
      <w:r w:rsidRPr="00390E7C">
        <w:rPr>
          <w:rStyle w:val="FootnoteReference"/>
          <w:rFonts w:ascii="Garamond" w:hAnsi="Garamond"/>
          <w:i/>
          <w:vertAlign w:val="baseline"/>
        </w:rPr>
        <w:t xml:space="preserve">nullius in </w:t>
      </w:r>
      <w:proofErr w:type="spellStart"/>
      <w:r w:rsidRPr="00390E7C">
        <w:rPr>
          <w:rStyle w:val="FootnoteReference"/>
          <w:rFonts w:ascii="Garamond" w:hAnsi="Garamond"/>
          <w:i/>
          <w:vertAlign w:val="baseline"/>
        </w:rPr>
        <w:t>verba</w:t>
      </w:r>
      <w:proofErr w:type="spellEnd"/>
      <w:r w:rsidRPr="00390E7C">
        <w:rPr>
          <w:rStyle w:val="FootnoteReference"/>
          <w:rFonts w:ascii="Garamond" w:hAnsi="Garamond"/>
          <w:vertAlign w:val="baseline"/>
        </w:rPr>
        <w:t>.</w:t>
      </w:r>
    </w:p>
  </w:footnote>
  <w:footnote w:id="22">
    <w:p w:rsidR="00337F31" w:rsidRPr="00390E7C" w:rsidRDefault="00337F31" w:rsidP="00680525">
      <w:pPr>
        <w:pStyle w:val="FootnoteText"/>
        <w:ind w:right="-31" w:hanging="284"/>
        <w:contextualSpacing/>
        <w:rPr>
          <w:rStyle w:val="FootnoteReference"/>
          <w:rFonts w:ascii="Garamond" w:hAnsi="Garamond"/>
          <w:vertAlign w:val="baseline"/>
        </w:rPr>
      </w:pPr>
      <w:r w:rsidRPr="00390E7C">
        <w:rPr>
          <w:rStyle w:val="FootnoteReference"/>
          <w:rFonts w:ascii="Garamond" w:hAnsi="Garamond"/>
        </w:rPr>
        <w:footnoteRef/>
      </w:r>
      <w:r w:rsidRPr="00390E7C">
        <w:rPr>
          <w:rStyle w:val="FootnoteReference"/>
          <w:rFonts w:ascii="Garamond" w:hAnsi="Garamond"/>
          <w:vertAlign w:val="baseline"/>
        </w:rPr>
        <w:tab/>
      </w:r>
      <w:r>
        <w:rPr>
          <w:rStyle w:val="FootnoteReference"/>
          <w:rFonts w:ascii="Garamond" w:hAnsi="Garamond"/>
          <w:vertAlign w:val="baseline"/>
        </w:rPr>
        <w:t xml:space="preserve">Locke, </w:t>
      </w:r>
      <w:r>
        <w:rPr>
          <w:rFonts w:ascii="Garamond" w:hAnsi="Garamond"/>
          <w:i/>
        </w:rPr>
        <w:t>ELN</w:t>
      </w:r>
      <w:r>
        <w:rPr>
          <w:rFonts w:ascii="Garamond" w:hAnsi="Garamond"/>
        </w:rPr>
        <w:t>, VI: p. 177; II: pp. 123, 127, 129 (italics added).</w:t>
      </w:r>
    </w:p>
  </w:footnote>
  <w:footnote w:id="23">
    <w:p w:rsidR="00337F31" w:rsidRPr="0055457E" w:rsidRDefault="00337F31" w:rsidP="00337F31">
      <w:pPr>
        <w:pStyle w:val="FootnoteText"/>
        <w:ind w:right="-330" w:hanging="284"/>
        <w:contextualSpacing/>
        <w:jc w:val="both"/>
        <w:rPr>
          <w:rStyle w:val="FootnoteReference"/>
          <w:rFonts w:ascii="Garamond" w:hAnsi="Garamond"/>
          <w:vertAlign w:val="baseline"/>
        </w:rPr>
      </w:pPr>
      <w:r w:rsidRPr="00A8127F">
        <w:rPr>
          <w:rStyle w:val="FootnoteReference"/>
          <w:rFonts w:ascii="Garamond" w:hAnsi="Garamond"/>
        </w:rPr>
        <w:footnoteRef/>
      </w:r>
      <w:r w:rsidRPr="00A8127F">
        <w:rPr>
          <w:rStyle w:val="FootnoteReference"/>
          <w:rFonts w:ascii="Garamond" w:hAnsi="Garamond"/>
          <w:vertAlign w:val="baseline"/>
        </w:rPr>
        <w:tab/>
      </w:r>
      <w:r>
        <w:rPr>
          <w:rStyle w:val="FootnoteReference"/>
          <w:rFonts w:ascii="Garamond" w:hAnsi="Garamond"/>
          <w:vertAlign w:val="baseline"/>
        </w:rPr>
        <w:t>For the productive</w:t>
      </w:r>
      <w:r>
        <w:rPr>
          <w:rFonts w:ascii="Garamond" w:hAnsi="Garamond"/>
        </w:rPr>
        <w:t xml:space="preserve"> </w:t>
      </w:r>
      <w:proofErr w:type="gramStart"/>
      <w:r>
        <w:rPr>
          <w:rFonts w:ascii="Garamond" w:hAnsi="Garamond"/>
        </w:rPr>
        <w:t>intellectual</w:t>
      </w:r>
      <w:proofErr w:type="gramEnd"/>
      <w:r>
        <w:rPr>
          <w:rStyle w:val="FootnoteReference"/>
          <w:rFonts w:ascii="Garamond" w:hAnsi="Garamond"/>
          <w:vertAlign w:val="baseline"/>
        </w:rPr>
        <w:t xml:space="preserve"> consequences of earlier readings</w:t>
      </w:r>
      <w:r>
        <w:rPr>
          <w:rFonts w:ascii="Garamond" w:hAnsi="Garamond"/>
        </w:rPr>
        <w:t xml:space="preserve"> of Cicero as an academic sceptic, see Schmidt, </w:t>
      </w:r>
      <w:r>
        <w:rPr>
          <w:rFonts w:ascii="Garamond" w:hAnsi="Garamond"/>
          <w:i/>
        </w:rPr>
        <w:t xml:space="preserve">Cicero </w:t>
      </w:r>
      <w:proofErr w:type="spellStart"/>
      <w:r>
        <w:rPr>
          <w:rFonts w:ascii="Garamond" w:hAnsi="Garamond"/>
          <w:i/>
        </w:rPr>
        <w:t>Scepticus</w:t>
      </w:r>
      <w:proofErr w:type="spellEnd"/>
      <w:r>
        <w:rPr>
          <w:rFonts w:ascii="Garamond" w:hAnsi="Garamond"/>
        </w:rPr>
        <w:t>.</w:t>
      </w:r>
      <w:r w:rsidR="0055457E">
        <w:rPr>
          <w:rFonts w:ascii="Garamond" w:hAnsi="Garamond"/>
        </w:rPr>
        <w:t xml:space="preserve"> For the development of academic scepticism in the Hellenistic world, see Long, </w:t>
      </w:r>
      <w:r w:rsidR="0055457E">
        <w:rPr>
          <w:rFonts w:ascii="Garamond" w:hAnsi="Garamond"/>
          <w:i/>
        </w:rPr>
        <w:t>Hellenistic Philosophy</w:t>
      </w:r>
      <w:r w:rsidR="0055457E">
        <w:rPr>
          <w:rFonts w:ascii="Garamond" w:hAnsi="Garamond"/>
        </w:rPr>
        <w:t>, pp. 88-106, 229-31.</w:t>
      </w:r>
    </w:p>
  </w:footnote>
  <w:footnote w:id="24">
    <w:p w:rsidR="00337F31" w:rsidRPr="00A8127F" w:rsidRDefault="00337F31" w:rsidP="00337F31">
      <w:pPr>
        <w:pStyle w:val="FootnoteText"/>
        <w:ind w:right="-330" w:hanging="284"/>
        <w:contextualSpacing/>
        <w:jc w:val="both"/>
        <w:rPr>
          <w:rStyle w:val="FootnoteReference"/>
          <w:rFonts w:ascii="Garamond" w:hAnsi="Garamond"/>
          <w:vertAlign w:val="baseline"/>
        </w:rPr>
      </w:pPr>
      <w:r w:rsidRPr="00A8127F">
        <w:rPr>
          <w:rStyle w:val="FootnoteReference"/>
          <w:rFonts w:ascii="Garamond" w:hAnsi="Garamond"/>
        </w:rPr>
        <w:footnoteRef/>
      </w:r>
      <w:r w:rsidRPr="00A8127F">
        <w:rPr>
          <w:rStyle w:val="FootnoteReference"/>
          <w:rFonts w:ascii="Garamond" w:hAnsi="Garamond"/>
          <w:vertAlign w:val="baseline"/>
        </w:rPr>
        <w:tab/>
        <w:t xml:space="preserve">Cicero, </w:t>
      </w:r>
      <w:proofErr w:type="spellStart"/>
      <w:proofErr w:type="gramStart"/>
      <w:r w:rsidRPr="00A8127F">
        <w:rPr>
          <w:rFonts w:ascii="Garamond" w:hAnsi="Garamond"/>
          <w:i/>
        </w:rPr>
        <w:t>Tusculan</w:t>
      </w:r>
      <w:proofErr w:type="spellEnd"/>
      <w:r w:rsidRPr="00A8127F">
        <w:rPr>
          <w:rFonts w:ascii="Garamond" w:hAnsi="Garamond"/>
          <w:i/>
        </w:rPr>
        <w:t xml:space="preserve"> Disputations</w:t>
      </w:r>
      <w:r w:rsidRPr="00A8127F">
        <w:rPr>
          <w:rFonts w:ascii="Garamond" w:hAnsi="Garamond"/>
        </w:rPr>
        <w:t>, 1.4.11-13.</w:t>
      </w:r>
      <w:proofErr w:type="gramEnd"/>
      <w:r w:rsidRPr="00A8127F">
        <w:rPr>
          <w:rFonts w:ascii="Garamond" w:hAnsi="Garamond"/>
        </w:rPr>
        <w:t xml:space="preserve"> Locke later transcribed this passage into his journal: </w:t>
      </w:r>
      <w:r w:rsidR="000F2498">
        <w:rPr>
          <w:rFonts w:ascii="Garamond" w:hAnsi="Garamond"/>
        </w:rPr>
        <w:t xml:space="preserve">Bodleian Library, </w:t>
      </w:r>
      <w:r w:rsidRPr="00A8127F">
        <w:rPr>
          <w:rFonts w:ascii="Garamond" w:hAnsi="Garamond"/>
        </w:rPr>
        <w:t>MS Locke Film 77, p. 93 (1698).</w:t>
      </w:r>
    </w:p>
  </w:footnote>
  <w:footnote w:id="25">
    <w:p w:rsidR="00337F31" w:rsidRPr="00A8127F" w:rsidRDefault="00337F31" w:rsidP="00337F31">
      <w:pPr>
        <w:pStyle w:val="FootnoteText"/>
        <w:ind w:right="-330" w:hanging="284"/>
        <w:contextualSpacing/>
        <w:jc w:val="both"/>
        <w:rPr>
          <w:rStyle w:val="FootnoteReference"/>
          <w:rFonts w:ascii="Garamond" w:hAnsi="Garamond"/>
          <w:vertAlign w:val="baseline"/>
        </w:rPr>
      </w:pPr>
      <w:r w:rsidRPr="00A8127F">
        <w:rPr>
          <w:rStyle w:val="FootnoteReference"/>
          <w:rFonts w:ascii="Garamond" w:hAnsi="Garamond"/>
        </w:rPr>
        <w:footnoteRef/>
      </w:r>
      <w:r w:rsidRPr="00A8127F">
        <w:rPr>
          <w:rStyle w:val="FootnoteReference"/>
          <w:rFonts w:ascii="Garamond" w:hAnsi="Garamond"/>
        </w:rPr>
        <w:tab/>
      </w:r>
      <w:r w:rsidRPr="00A8127F">
        <w:rPr>
          <w:rStyle w:val="FootnoteReference"/>
          <w:rFonts w:ascii="Garamond" w:hAnsi="Garamond"/>
          <w:vertAlign w:val="baseline"/>
        </w:rPr>
        <w:t xml:space="preserve">Cicero, </w:t>
      </w:r>
      <w:r w:rsidRPr="00A8127F">
        <w:rPr>
          <w:rStyle w:val="FootnoteReference"/>
          <w:rFonts w:ascii="Garamond" w:hAnsi="Garamond"/>
          <w:i/>
          <w:vertAlign w:val="baseline"/>
        </w:rPr>
        <w:t xml:space="preserve">De </w:t>
      </w:r>
      <w:proofErr w:type="spellStart"/>
      <w:r w:rsidRPr="00A8127F">
        <w:rPr>
          <w:rStyle w:val="FootnoteReference"/>
          <w:rFonts w:ascii="Garamond" w:hAnsi="Garamond"/>
          <w:i/>
          <w:vertAlign w:val="baseline"/>
        </w:rPr>
        <w:t>Republica</w:t>
      </w:r>
      <w:proofErr w:type="spellEnd"/>
      <w:r w:rsidRPr="00A8127F">
        <w:rPr>
          <w:rStyle w:val="FootnoteReference"/>
          <w:rFonts w:ascii="Garamond" w:hAnsi="Garamond"/>
          <w:vertAlign w:val="baseline"/>
        </w:rPr>
        <w:t>, 3.22</w:t>
      </w:r>
      <w:r>
        <w:rPr>
          <w:rFonts w:ascii="Garamond" w:hAnsi="Garamond"/>
        </w:rPr>
        <w:t xml:space="preserve"> (italics added)</w:t>
      </w:r>
      <w:r w:rsidRPr="00A8127F">
        <w:rPr>
          <w:rStyle w:val="FootnoteReference"/>
          <w:rFonts w:ascii="Garamond" w:hAnsi="Garamond"/>
          <w:vertAlign w:val="baseline"/>
        </w:rPr>
        <w:t xml:space="preserve">. </w:t>
      </w:r>
      <w:r>
        <w:rPr>
          <w:rStyle w:val="FootnoteReference"/>
          <w:rFonts w:ascii="Garamond" w:hAnsi="Garamond"/>
          <w:vertAlign w:val="baseline"/>
        </w:rPr>
        <w:t xml:space="preserve">Von Leyden notes Locke’s debt </w:t>
      </w:r>
      <w:r>
        <w:rPr>
          <w:rFonts w:ascii="Garamond" w:hAnsi="Garamond"/>
        </w:rPr>
        <w:t xml:space="preserve">to </w:t>
      </w:r>
      <w:r>
        <w:rPr>
          <w:rFonts w:ascii="Garamond" w:hAnsi="Garamond"/>
          <w:i/>
        </w:rPr>
        <w:t>De</w:t>
      </w:r>
      <w:r w:rsidRPr="00A8127F">
        <w:rPr>
          <w:rStyle w:val="FootnoteReference"/>
          <w:rFonts w:ascii="Garamond" w:hAnsi="Garamond"/>
          <w:i/>
          <w:vertAlign w:val="baseline"/>
        </w:rPr>
        <w:t xml:space="preserve"> </w:t>
      </w:r>
      <w:proofErr w:type="spellStart"/>
      <w:r w:rsidRPr="00A8127F">
        <w:rPr>
          <w:rStyle w:val="FootnoteReference"/>
          <w:rFonts w:ascii="Garamond" w:hAnsi="Garamond"/>
          <w:i/>
          <w:vertAlign w:val="baseline"/>
        </w:rPr>
        <w:t>Republica</w:t>
      </w:r>
      <w:proofErr w:type="spellEnd"/>
      <w:r>
        <w:rPr>
          <w:rStyle w:val="FootnoteReference"/>
          <w:rFonts w:ascii="Garamond" w:hAnsi="Garamond"/>
          <w:vertAlign w:val="baseline"/>
        </w:rPr>
        <w:t xml:space="preserve"> in</w:t>
      </w:r>
      <w:r w:rsidRPr="00A8127F">
        <w:rPr>
          <w:rStyle w:val="FootnoteReference"/>
          <w:rFonts w:ascii="Garamond" w:hAnsi="Garamond"/>
          <w:vertAlign w:val="baseline"/>
        </w:rPr>
        <w:t xml:space="preserve"> </w:t>
      </w:r>
      <w:r w:rsidRPr="00A8127F">
        <w:rPr>
          <w:rStyle w:val="FootnoteReference"/>
          <w:rFonts w:ascii="Garamond" w:hAnsi="Garamond"/>
          <w:i/>
          <w:vertAlign w:val="baseline"/>
        </w:rPr>
        <w:t>ELN</w:t>
      </w:r>
      <w:r>
        <w:rPr>
          <w:rStyle w:val="FootnoteReference"/>
          <w:rFonts w:ascii="Garamond" w:hAnsi="Garamond"/>
          <w:vertAlign w:val="baseline"/>
        </w:rPr>
        <w:t>, p. 127 n. 4.</w:t>
      </w:r>
      <w:r w:rsidRPr="00A8127F">
        <w:rPr>
          <w:rStyle w:val="FootnoteReference"/>
          <w:rFonts w:ascii="Garamond" w:hAnsi="Garamond"/>
          <w:vertAlign w:val="baseline"/>
        </w:rPr>
        <w:t xml:space="preserve"> Rivers observes how commonly this </w:t>
      </w:r>
      <w:r w:rsidR="000D24FB">
        <w:rPr>
          <w:rStyle w:val="FootnoteReference"/>
          <w:rFonts w:ascii="Garamond" w:hAnsi="Garamond"/>
          <w:vertAlign w:val="baseline"/>
        </w:rPr>
        <w:t xml:space="preserve">passage was drawn upon in early </w:t>
      </w:r>
      <w:r w:rsidRPr="00A8127F">
        <w:rPr>
          <w:rStyle w:val="FootnoteReference"/>
          <w:rFonts w:ascii="Garamond" w:hAnsi="Garamond"/>
          <w:vertAlign w:val="baseline"/>
        </w:rPr>
        <w:t xml:space="preserve">modern theological and moral discussion: </w:t>
      </w:r>
      <w:r w:rsidRPr="00A8127F">
        <w:rPr>
          <w:rStyle w:val="FootnoteReference"/>
          <w:rFonts w:ascii="Garamond" w:hAnsi="Garamond"/>
          <w:i/>
          <w:vertAlign w:val="baseline"/>
        </w:rPr>
        <w:t>Reason, Grace and Sentiment</w:t>
      </w:r>
      <w:r w:rsidRPr="00A8127F">
        <w:rPr>
          <w:rStyle w:val="FootnoteReference"/>
          <w:rFonts w:ascii="Garamond" w:hAnsi="Garamond"/>
          <w:vertAlign w:val="baseline"/>
        </w:rPr>
        <w:t xml:space="preserve">, </w:t>
      </w:r>
      <w:proofErr w:type="spellStart"/>
      <w:r w:rsidRPr="00A8127F">
        <w:rPr>
          <w:rStyle w:val="FootnoteReference"/>
          <w:rFonts w:ascii="Garamond" w:hAnsi="Garamond"/>
          <w:vertAlign w:val="baseline"/>
        </w:rPr>
        <w:t>i</w:t>
      </w:r>
      <w:proofErr w:type="spellEnd"/>
      <w:r>
        <w:rPr>
          <w:rStyle w:val="FootnoteReference"/>
          <w:rFonts w:ascii="Garamond" w:hAnsi="Garamond"/>
          <w:vertAlign w:val="baseline"/>
        </w:rPr>
        <w:t>, pp. 60-61.</w:t>
      </w:r>
    </w:p>
  </w:footnote>
  <w:footnote w:id="26">
    <w:p w:rsidR="00337F31" w:rsidRPr="00A8127F" w:rsidRDefault="00337F31" w:rsidP="00337F31">
      <w:pPr>
        <w:pStyle w:val="FootnoteText"/>
        <w:ind w:right="-330" w:hanging="284"/>
        <w:contextualSpacing/>
        <w:jc w:val="both"/>
        <w:rPr>
          <w:rStyle w:val="FootnoteReference"/>
          <w:rFonts w:ascii="Garamond" w:hAnsi="Garamond"/>
          <w:vertAlign w:val="baseline"/>
        </w:rPr>
      </w:pPr>
      <w:r w:rsidRPr="00A8127F">
        <w:rPr>
          <w:rStyle w:val="FootnoteReference"/>
          <w:rFonts w:ascii="Garamond" w:hAnsi="Garamond"/>
        </w:rPr>
        <w:footnoteRef/>
      </w:r>
      <w:r w:rsidRPr="00A8127F">
        <w:rPr>
          <w:rStyle w:val="FootnoteReference"/>
          <w:rFonts w:ascii="Garamond" w:hAnsi="Garamond"/>
        </w:rPr>
        <w:tab/>
      </w:r>
      <w:r>
        <w:rPr>
          <w:rStyle w:val="FootnoteReference"/>
          <w:rFonts w:ascii="Garamond" w:hAnsi="Garamond"/>
          <w:vertAlign w:val="baseline"/>
        </w:rPr>
        <w:t xml:space="preserve">As noted by Colman, </w:t>
      </w:r>
      <w:proofErr w:type="gramStart"/>
      <w:r w:rsidR="00FA5E78">
        <w:rPr>
          <w:rFonts w:ascii="Garamond" w:hAnsi="Garamond"/>
        </w:rPr>
        <w:t>‘Locke’s empiricist t</w:t>
      </w:r>
      <w:r w:rsidRPr="00A8127F">
        <w:rPr>
          <w:rFonts w:ascii="Garamond" w:hAnsi="Garamond"/>
        </w:rPr>
        <w:t>heory</w:t>
      </w:r>
      <w:r>
        <w:rPr>
          <w:rFonts w:ascii="Garamond" w:hAnsi="Garamond"/>
        </w:rPr>
        <w:t>’, p. 119.</w:t>
      </w:r>
      <w:proofErr w:type="gramEnd"/>
    </w:p>
  </w:footnote>
  <w:footnote w:id="27">
    <w:p w:rsidR="00337F31" w:rsidRPr="00A8127F" w:rsidRDefault="00337F31" w:rsidP="00337F31">
      <w:pPr>
        <w:pStyle w:val="FootnoteText"/>
        <w:ind w:right="-330" w:hanging="284"/>
        <w:contextualSpacing/>
        <w:jc w:val="both"/>
        <w:rPr>
          <w:rStyle w:val="FootnoteReference"/>
          <w:rFonts w:ascii="Garamond" w:hAnsi="Garamond"/>
          <w:vertAlign w:val="baseline"/>
        </w:rPr>
      </w:pPr>
      <w:r w:rsidRPr="00A8127F">
        <w:rPr>
          <w:rStyle w:val="FootnoteReference"/>
          <w:rFonts w:ascii="Garamond" w:hAnsi="Garamond"/>
        </w:rPr>
        <w:footnoteRef/>
      </w:r>
      <w:r w:rsidRPr="00A8127F">
        <w:rPr>
          <w:rStyle w:val="FootnoteReference"/>
          <w:rFonts w:ascii="Garamond" w:hAnsi="Garamond"/>
        </w:rPr>
        <w:tab/>
      </w:r>
      <w:r>
        <w:rPr>
          <w:rStyle w:val="FootnoteReference"/>
          <w:rFonts w:ascii="Garamond" w:hAnsi="Garamond"/>
          <w:vertAlign w:val="baseline"/>
        </w:rPr>
        <w:t xml:space="preserve">Locke, </w:t>
      </w:r>
      <w:r>
        <w:rPr>
          <w:rFonts w:ascii="Garamond" w:hAnsi="Garamond"/>
          <w:i/>
        </w:rPr>
        <w:t>ELN</w:t>
      </w:r>
      <w:r>
        <w:rPr>
          <w:rFonts w:ascii="Garamond" w:hAnsi="Garamond"/>
        </w:rPr>
        <w:t>, II: pp. 133-5; cf. IV: pp. 155-7.</w:t>
      </w:r>
    </w:p>
  </w:footnote>
  <w:footnote w:id="28">
    <w:p w:rsidR="00337F31" w:rsidRPr="004C2747" w:rsidRDefault="00337F31" w:rsidP="00337F31">
      <w:pPr>
        <w:pStyle w:val="FootnoteText"/>
        <w:ind w:right="-330" w:hanging="284"/>
        <w:contextualSpacing/>
        <w:jc w:val="both"/>
        <w:rPr>
          <w:rStyle w:val="FootnoteReference"/>
          <w:rFonts w:ascii="Garamond" w:hAnsi="Garamond"/>
          <w:vertAlign w:val="baseline"/>
        </w:rPr>
      </w:pPr>
      <w:r w:rsidRPr="004C2747">
        <w:rPr>
          <w:rStyle w:val="FootnoteReference"/>
          <w:rFonts w:ascii="Garamond" w:hAnsi="Garamond"/>
        </w:rPr>
        <w:footnoteRef/>
      </w:r>
      <w:r w:rsidRPr="004C2747">
        <w:rPr>
          <w:rStyle w:val="FootnoteReference"/>
          <w:rFonts w:ascii="Garamond" w:hAnsi="Garamond"/>
        </w:rPr>
        <w:tab/>
      </w:r>
      <w:r w:rsidRPr="004C2747">
        <w:rPr>
          <w:rFonts w:ascii="Garamond" w:hAnsi="Garamond"/>
        </w:rPr>
        <w:t>Cicero,</w:t>
      </w:r>
      <w:r w:rsidRPr="004C2747">
        <w:rPr>
          <w:rFonts w:ascii="Garamond" w:hAnsi="Garamond"/>
          <w:i/>
        </w:rPr>
        <w:t xml:space="preserve"> </w:t>
      </w:r>
      <w:r w:rsidRPr="004C2747">
        <w:rPr>
          <w:rStyle w:val="FootnoteReference"/>
          <w:rFonts w:ascii="Garamond" w:hAnsi="Garamond"/>
          <w:i/>
          <w:vertAlign w:val="baseline"/>
        </w:rPr>
        <w:t xml:space="preserve">De </w:t>
      </w:r>
      <w:proofErr w:type="spellStart"/>
      <w:r w:rsidRPr="004C2747">
        <w:rPr>
          <w:rStyle w:val="FootnoteReference"/>
          <w:rFonts w:ascii="Garamond" w:hAnsi="Garamond"/>
          <w:i/>
          <w:vertAlign w:val="baseline"/>
        </w:rPr>
        <w:t>Legibus</w:t>
      </w:r>
      <w:proofErr w:type="spellEnd"/>
      <w:r w:rsidRPr="004C2747">
        <w:rPr>
          <w:rStyle w:val="FootnoteReference"/>
          <w:rFonts w:ascii="Garamond" w:hAnsi="Garamond"/>
          <w:vertAlign w:val="baseline"/>
        </w:rPr>
        <w:t>, 1.9.26.</w:t>
      </w:r>
    </w:p>
  </w:footnote>
  <w:footnote w:id="29">
    <w:p w:rsidR="00231265" w:rsidRPr="00231265" w:rsidRDefault="00231265" w:rsidP="00231265">
      <w:pPr>
        <w:pStyle w:val="FootnoteText"/>
        <w:ind w:right="-330" w:hanging="284"/>
        <w:contextualSpacing/>
        <w:jc w:val="both"/>
        <w:rPr>
          <w:rStyle w:val="FootnoteReference"/>
          <w:rFonts w:ascii="Garamond" w:hAnsi="Garamond"/>
          <w:vertAlign w:val="baseline"/>
        </w:rPr>
      </w:pPr>
      <w:r w:rsidRPr="004C2747">
        <w:rPr>
          <w:rStyle w:val="FootnoteReference"/>
          <w:rFonts w:ascii="Garamond" w:hAnsi="Garamond"/>
        </w:rPr>
        <w:footnoteRef/>
      </w:r>
      <w:r w:rsidRPr="004C2747">
        <w:rPr>
          <w:rStyle w:val="FootnoteReference"/>
          <w:rFonts w:ascii="Garamond" w:hAnsi="Garamond"/>
        </w:rPr>
        <w:tab/>
      </w:r>
      <w:proofErr w:type="spellStart"/>
      <w:r w:rsidRPr="004C2747">
        <w:rPr>
          <w:rStyle w:val="FootnoteReference"/>
          <w:rFonts w:ascii="Garamond" w:hAnsi="Garamond"/>
          <w:i/>
          <w:vertAlign w:val="baseline"/>
        </w:rPr>
        <w:t>Academica</w:t>
      </w:r>
      <w:proofErr w:type="spellEnd"/>
      <w:r w:rsidRPr="004C2747">
        <w:rPr>
          <w:rStyle w:val="FootnoteReference"/>
          <w:rFonts w:ascii="Garamond" w:hAnsi="Garamond"/>
          <w:vertAlign w:val="baseline"/>
        </w:rPr>
        <w:t>, 2.3.7-8.</w:t>
      </w:r>
      <w:r w:rsidRPr="00231265">
        <w:rPr>
          <w:rFonts w:ascii="Garamond" w:eastAsia="Calibri" w:hAnsi="Garamond" w:cs="Times New Roman"/>
          <w:lang w:val="x-none" w:eastAsia="x-none"/>
        </w:rPr>
        <w:t xml:space="preserve"> </w:t>
      </w:r>
      <w:proofErr w:type="spellStart"/>
      <w:r w:rsidR="00161A61">
        <w:rPr>
          <w:rFonts w:ascii="Garamond" w:hAnsi="Garamond"/>
        </w:rPr>
        <w:t>F</w:t>
      </w:r>
      <w:r w:rsidRPr="00231265">
        <w:rPr>
          <w:rFonts w:ascii="Garamond" w:hAnsi="Garamond"/>
          <w:lang w:val="x-none"/>
        </w:rPr>
        <w:t>rom</w:t>
      </w:r>
      <w:proofErr w:type="spellEnd"/>
      <w:r w:rsidRPr="00231265">
        <w:rPr>
          <w:rFonts w:ascii="Garamond" w:hAnsi="Garamond"/>
          <w:lang w:val="x-none"/>
        </w:rPr>
        <w:t xml:space="preserve"> the mid-seventeenth century </w:t>
      </w:r>
      <w:r w:rsidR="00161A61">
        <w:rPr>
          <w:rFonts w:ascii="Garamond" w:hAnsi="Garamond"/>
        </w:rPr>
        <w:t xml:space="preserve">an interest in probable reasoning </w:t>
      </w:r>
      <w:r w:rsidRPr="00231265">
        <w:rPr>
          <w:rFonts w:ascii="Garamond" w:hAnsi="Garamond"/>
          <w:lang w:val="x-none"/>
        </w:rPr>
        <w:t>occupies an increasingly central place across a range of disciplinary discourses</w:t>
      </w:r>
      <w:r w:rsidR="00161A61">
        <w:rPr>
          <w:rFonts w:ascii="Garamond" w:hAnsi="Garamond"/>
        </w:rPr>
        <w:t>:</w:t>
      </w:r>
      <w:r w:rsidRPr="00231265">
        <w:rPr>
          <w:rFonts w:ascii="Garamond" w:hAnsi="Garamond"/>
          <w:lang w:val="x-none"/>
        </w:rPr>
        <w:t xml:space="preserve"> see </w:t>
      </w:r>
      <w:proofErr w:type="spellStart"/>
      <w:r w:rsidRPr="00231265">
        <w:rPr>
          <w:rFonts w:ascii="Garamond" w:hAnsi="Garamond"/>
          <w:lang w:val="x-none"/>
        </w:rPr>
        <w:t>Batsaki</w:t>
      </w:r>
      <w:proofErr w:type="spellEnd"/>
      <w:r w:rsidRPr="00231265">
        <w:rPr>
          <w:rFonts w:ascii="Garamond" w:hAnsi="Garamond"/>
          <w:lang w:val="x-none"/>
        </w:rPr>
        <w:t xml:space="preserve">, </w:t>
      </w:r>
      <w:proofErr w:type="spellStart"/>
      <w:r w:rsidRPr="00231265">
        <w:rPr>
          <w:rFonts w:ascii="Garamond" w:hAnsi="Garamond"/>
          <w:lang w:val="x-none"/>
        </w:rPr>
        <w:t>Mukherji</w:t>
      </w:r>
      <w:proofErr w:type="spellEnd"/>
      <w:r w:rsidRPr="00231265">
        <w:rPr>
          <w:rFonts w:ascii="Garamond" w:hAnsi="Garamond"/>
          <w:lang w:val="x-none"/>
        </w:rPr>
        <w:t xml:space="preserve"> &amp; Schramm (eds.), </w:t>
      </w:r>
      <w:r w:rsidRPr="00231265">
        <w:rPr>
          <w:rFonts w:ascii="Garamond" w:hAnsi="Garamond"/>
          <w:i/>
          <w:lang w:val="x-none"/>
        </w:rPr>
        <w:t>Fictions of Knowledge</w:t>
      </w:r>
      <w:r w:rsidRPr="00231265">
        <w:rPr>
          <w:rFonts w:ascii="Garamond" w:hAnsi="Garamond"/>
          <w:lang w:val="x-none"/>
        </w:rPr>
        <w:t xml:space="preserve">; </w:t>
      </w:r>
      <w:proofErr w:type="spellStart"/>
      <w:r w:rsidRPr="00231265">
        <w:rPr>
          <w:rFonts w:ascii="Garamond" w:hAnsi="Garamond"/>
          <w:lang w:val="x-none"/>
        </w:rPr>
        <w:t>Daston</w:t>
      </w:r>
      <w:proofErr w:type="spellEnd"/>
      <w:r w:rsidRPr="00231265">
        <w:rPr>
          <w:rFonts w:ascii="Garamond" w:hAnsi="Garamond"/>
          <w:lang w:val="x-none"/>
        </w:rPr>
        <w:t xml:space="preserve">, </w:t>
      </w:r>
      <w:r w:rsidRPr="00231265">
        <w:rPr>
          <w:rFonts w:ascii="Garamond" w:hAnsi="Garamond"/>
          <w:i/>
          <w:lang w:val="x-none"/>
        </w:rPr>
        <w:t>Classical Probability</w:t>
      </w:r>
      <w:r w:rsidRPr="00231265">
        <w:rPr>
          <w:rFonts w:ascii="Garamond" w:hAnsi="Garamond"/>
          <w:lang w:val="x-none"/>
        </w:rPr>
        <w:t xml:space="preserve">; Hacking, </w:t>
      </w:r>
      <w:r w:rsidRPr="00231265">
        <w:rPr>
          <w:rFonts w:ascii="Garamond" w:hAnsi="Garamond"/>
          <w:i/>
          <w:lang w:val="x-none"/>
        </w:rPr>
        <w:t>Emergence</w:t>
      </w:r>
      <w:r w:rsidRPr="00231265">
        <w:rPr>
          <w:rFonts w:ascii="Garamond" w:hAnsi="Garamond"/>
          <w:lang w:val="x-none"/>
        </w:rPr>
        <w:t xml:space="preserve">; Shapiro, </w:t>
      </w:r>
      <w:r w:rsidRPr="00231265">
        <w:rPr>
          <w:rFonts w:ascii="Garamond" w:hAnsi="Garamond"/>
          <w:i/>
          <w:lang w:val="x-none"/>
        </w:rPr>
        <w:t>Probability and Certainty</w:t>
      </w:r>
      <w:r w:rsidRPr="00231265">
        <w:rPr>
          <w:rFonts w:ascii="Garamond" w:hAnsi="Garamond"/>
          <w:lang w:val="x-none"/>
        </w:rPr>
        <w:t xml:space="preserve">; and Tuck, </w:t>
      </w:r>
      <w:r w:rsidRPr="00231265">
        <w:rPr>
          <w:rFonts w:ascii="Garamond" w:hAnsi="Garamond"/>
          <w:i/>
          <w:lang w:val="x-none"/>
        </w:rPr>
        <w:t>Natural Rights Theories</w:t>
      </w:r>
      <w:r w:rsidRPr="00231265">
        <w:rPr>
          <w:rFonts w:ascii="Garamond" w:hAnsi="Garamond"/>
          <w:lang w:val="x-none"/>
        </w:rPr>
        <w:t>, p</w:t>
      </w:r>
      <w:r>
        <w:rPr>
          <w:rFonts w:ascii="Garamond" w:hAnsi="Garamond"/>
          <w:lang w:val="x-none"/>
        </w:rPr>
        <w:t>p. 101-18.</w:t>
      </w:r>
    </w:p>
  </w:footnote>
  <w:footnote w:id="30">
    <w:p w:rsidR="00337F31" w:rsidRPr="004C2747" w:rsidRDefault="00337F31" w:rsidP="00337F31">
      <w:pPr>
        <w:pStyle w:val="FootnoteText"/>
        <w:ind w:right="-330" w:hanging="284"/>
        <w:contextualSpacing/>
        <w:jc w:val="both"/>
        <w:rPr>
          <w:rStyle w:val="FootnoteReference"/>
          <w:rFonts w:ascii="Garamond" w:hAnsi="Garamond"/>
          <w:vertAlign w:val="baseline"/>
        </w:rPr>
      </w:pPr>
      <w:r w:rsidRPr="004C2747">
        <w:rPr>
          <w:rStyle w:val="FootnoteReference"/>
          <w:rFonts w:ascii="Garamond" w:hAnsi="Garamond"/>
        </w:rPr>
        <w:footnoteRef/>
      </w:r>
      <w:r w:rsidRPr="004C2747">
        <w:rPr>
          <w:rStyle w:val="FootnoteReference"/>
          <w:rFonts w:ascii="Garamond" w:hAnsi="Garamond"/>
        </w:rPr>
        <w:tab/>
      </w:r>
      <w:proofErr w:type="spellStart"/>
      <w:r w:rsidRPr="004C2747">
        <w:rPr>
          <w:rStyle w:val="FootnoteReference"/>
          <w:rFonts w:ascii="Garamond" w:hAnsi="Garamond"/>
          <w:i/>
          <w:vertAlign w:val="baseline"/>
        </w:rPr>
        <w:t>Academica</w:t>
      </w:r>
      <w:proofErr w:type="spellEnd"/>
      <w:r w:rsidRPr="004C2747">
        <w:rPr>
          <w:rStyle w:val="FootnoteReference"/>
          <w:rFonts w:ascii="Garamond" w:hAnsi="Garamond"/>
          <w:vertAlign w:val="baseline"/>
        </w:rPr>
        <w:t>, 2.3.7-8.</w:t>
      </w:r>
    </w:p>
  </w:footnote>
  <w:footnote w:id="31">
    <w:p w:rsidR="00337F31" w:rsidRPr="004C2747" w:rsidRDefault="00337F31" w:rsidP="00337F31">
      <w:pPr>
        <w:pStyle w:val="FootnoteText"/>
        <w:ind w:right="-330" w:hanging="284"/>
        <w:contextualSpacing/>
        <w:jc w:val="both"/>
        <w:rPr>
          <w:rStyle w:val="FootnoteReference"/>
          <w:rFonts w:ascii="Garamond" w:hAnsi="Garamond"/>
          <w:vertAlign w:val="baseline"/>
        </w:rPr>
      </w:pPr>
      <w:r w:rsidRPr="004C2747">
        <w:rPr>
          <w:rStyle w:val="FootnoteReference"/>
          <w:rFonts w:ascii="Garamond" w:hAnsi="Garamond"/>
        </w:rPr>
        <w:footnoteRef/>
      </w:r>
      <w:r w:rsidRPr="004C2747">
        <w:rPr>
          <w:rStyle w:val="FootnoteReference"/>
          <w:rFonts w:ascii="Garamond" w:hAnsi="Garamond"/>
        </w:rPr>
        <w:tab/>
      </w:r>
      <w:r w:rsidRPr="004C2747">
        <w:rPr>
          <w:rStyle w:val="FootnoteReference"/>
          <w:rFonts w:ascii="Garamond" w:hAnsi="Garamond"/>
          <w:i/>
          <w:vertAlign w:val="baseline"/>
        </w:rPr>
        <w:t xml:space="preserve">De </w:t>
      </w:r>
      <w:proofErr w:type="spellStart"/>
      <w:r w:rsidRPr="004C2747">
        <w:rPr>
          <w:rStyle w:val="FootnoteReference"/>
          <w:rFonts w:ascii="Garamond" w:hAnsi="Garamond"/>
          <w:i/>
          <w:vertAlign w:val="baseline"/>
        </w:rPr>
        <w:t>Officiis</w:t>
      </w:r>
      <w:proofErr w:type="spellEnd"/>
      <w:r w:rsidRPr="004C2747">
        <w:rPr>
          <w:rStyle w:val="FootnoteReference"/>
          <w:rFonts w:ascii="Garamond" w:hAnsi="Garamond"/>
          <w:vertAlign w:val="baseline"/>
        </w:rPr>
        <w:t>, 1.4.13.</w:t>
      </w:r>
    </w:p>
  </w:footnote>
  <w:footnote w:id="32">
    <w:p w:rsidR="00337F31" w:rsidRPr="002E608C" w:rsidRDefault="00337F31" w:rsidP="00337F31">
      <w:pPr>
        <w:pStyle w:val="FootnoteText"/>
        <w:ind w:right="-330" w:hanging="284"/>
        <w:contextualSpacing/>
        <w:jc w:val="both"/>
        <w:rPr>
          <w:rStyle w:val="FootnoteReference"/>
          <w:rFonts w:ascii="Garamond" w:hAnsi="Garamond"/>
        </w:rPr>
      </w:pPr>
      <w:r w:rsidRPr="002E608C">
        <w:rPr>
          <w:rStyle w:val="FootnoteReference"/>
          <w:rFonts w:ascii="Garamond" w:hAnsi="Garamond"/>
        </w:rPr>
        <w:footnoteRef/>
      </w:r>
      <w:r w:rsidRPr="002E608C">
        <w:rPr>
          <w:rStyle w:val="FootnoteReference"/>
          <w:rFonts w:ascii="Garamond" w:hAnsi="Garamond"/>
        </w:rPr>
        <w:tab/>
      </w:r>
      <w:proofErr w:type="spellStart"/>
      <w:r w:rsidRPr="002E608C">
        <w:rPr>
          <w:rStyle w:val="FootnoteReference"/>
          <w:rFonts w:ascii="Garamond" w:hAnsi="Garamond"/>
          <w:i/>
          <w:vertAlign w:val="baseline"/>
        </w:rPr>
        <w:t>Academica</w:t>
      </w:r>
      <w:proofErr w:type="spellEnd"/>
      <w:r w:rsidRPr="002E608C">
        <w:rPr>
          <w:rStyle w:val="FootnoteReference"/>
          <w:rFonts w:ascii="Garamond" w:hAnsi="Garamond"/>
          <w:vertAlign w:val="baseline"/>
        </w:rPr>
        <w:t xml:space="preserve">, 2.3.8. For a similar statement of probability as sufficient to guide ‘the wise man’ in all his actions, see </w:t>
      </w:r>
      <w:r w:rsidRPr="002E608C">
        <w:rPr>
          <w:rStyle w:val="FootnoteReference"/>
          <w:rFonts w:ascii="Garamond" w:hAnsi="Garamond"/>
          <w:i/>
          <w:vertAlign w:val="baseline"/>
        </w:rPr>
        <w:t xml:space="preserve">De Natura </w:t>
      </w:r>
      <w:proofErr w:type="spellStart"/>
      <w:r w:rsidRPr="002E608C">
        <w:rPr>
          <w:rStyle w:val="FootnoteReference"/>
          <w:rFonts w:ascii="Garamond" w:hAnsi="Garamond"/>
          <w:i/>
          <w:vertAlign w:val="baseline"/>
        </w:rPr>
        <w:t>Deorum</w:t>
      </w:r>
      <w:proofErr w:type="spellEnd"/>
      <w:r w:rsidRPr="002E608C">
        <w:rPr>
          <w:rStyle w:val="FootnoteReference"/>
          <w:rFonts w:ascii="Garamond" w:hAnsi="Garamond"/>
          <w:vertAlign w:val="baseline"/>
        </w:rPr>
        <w:t>, 1.5.12.</w:t>
      </w:r>
    </w:p>
  </w:footnote>
  <w:footnote w:id="33">
    <w:p w:rsidR="00337F31" w:rsidRPr="003E6FB1" w:rsidRDefault="00337F31" w:rsidP="00337F31">
      <w:pPr>
        <w:pStyle w:val="FootnoteText"/>
        <w:ind w:right="-330" w:hanging="284"/>
        <w:contextualSpacing/>
        <w:jc w:val="both"/>
        <w:rPr>
          <w:rStyle w:val="FootnoteReference"/>
          <w:rFonts w:ascii="Garamond" w:hAnsi="Garamond"/>
        </w:rPr>
      </w:pPr>
      <w:r w:rsidRPr="002E608C">
        <w:rPr>
          <w:rStyle w:val="FootnoteReference"/>
          <w:rFonts w:ascii="Garamond" w:hAnsi="Garamond"/>
        </w:rPr>
        <w:footnoteRef/>
      </w:r>
      <w:r w:rsidRPr="002E608C">
        <w:rPr>
          <w:rStyle w:val="FootnoteReference"/>
          <w:rFonts w:ascii="Garamond" w:hAnsi="Garamond"/>
        </w:rPr>
        <w:tab/>
      </w:r>
      <w:r>
        <w:rPr>
          <w:rStyle w:val="FootnoteReference"/>
          <w:rFonts w:ascii="Garamond" w:hAnsi="Garamond"/>
          <w:vertAlign w:val="baseline"/>
        </w:rPr>
        <w:t xml:space="preserve">Locke, </w:t>
      </w:r>
      <w:r>
        <w:rPr>
          <w:rFonts w:ascii="Garamond" w:hAnsi="Garamond"/>
          <w:i/>
        </w:rPr>
        <w:t>ELN</w:t>
      </w:r>
      <w:r>
        <w:rPr>
          <w:rFonts w:ascii="Garamond" w:hAnsi="Garamond"/>
        </w:rPr>
        <w:t>, III: p. 142.</w:t>
      </w:r>
    </w:p>
  </w:footnote>
  <w:footnote w:id="34">
    <w:p w:rsidR="00CF2843" w:rsidRPr="00CF2843" w:rsidRDefault="00CF2843" w:rsidP="00CF2843">
      <w:pPr>
        <w:pStyle w:val="FootnoteText"/>
        <w:ind w:right="-330" w:hanging="284"/>
        <w:contextualSpacing/>
        <w:jc w:val="both"/>
        <w:rPr>
          <w:rStyle w:val="FootnoteReference"/>
          <w:rFonts w:ascii="Garamond" w:hAnsi="Garamond"/>
        </w:rPr>
      </w:pPr>
      <w:r w:rsidRPr="002E608C">
        <w:rPr>
          <w:rStyle w:val="FootnoteReference"/>
          <w:rFonts w:ascii="Garamond" w:hAnsi="Garamond"/>
        </w:rPr>
        <w:footnoteRef/>
      </w:r>
      <w:r w:rsidRPr="002E608C">
        <w:rPr>
          <w:rStyle w:val="FootnoteReference"/>
          <w:rFonts w:ascii="Garamond" w:hAnsi="Garamond"/>
        </w:rPr>
        <w:tab/>
      </w:r>
      <w:r>
        <w:rPr>
          <w:rStyle w:val="FootnoteReference"/>
          <w:rFonts w:ascii="Garamond" w:hAnsi="Garamond"/>
          <w:vertAlign w:val="baseline"/>
        </w:rPr>
        <w:t>For Locke’</w:t>
      </w:r>
      <w:proofErr w:type="gramStart"/>
      <w:r>
        <w:rPr>
          <w:rFonts w:ascii="Garamond" w:hAnsi="Garamond"/>
        </w:rPr>
        <w:t>s</w:t>
      </w:r>
      <w:proofErr w:type="gramEnd"/>
      <w:r>
        <w:rPr>
          <w:rFonts w:ascii="Garamond" w:hAnsi="Garamond"/>
        </w:rPr>
        <w:t xml:space="preserve"> reverence for this work, see Marshall, </w:t>
      </w:r>
      <w:r>
        <w:rPr>
          <w:rFonts w:ascii="Garamond" w:hAnsi="Garamond"/>
          <w:i/>
        </w:rPr>
        <w:t>Religion and Responsibility</w:t>
      </w:r>
      <w:r>
        <w:rPr>
          <w:rFonts w:ascii="Garamond" w:hAnsi="Garamond"/>
        </w:rPr>
        <w:t xml:space="preserve">, pp. </w:t>
      </w:r>
      <w:r w:rsidR="0055457E" w:rsidRPr="0055457E">
        <w:rPr>
          <w:rFonts w:ascii="Garamond" w:hAnsi="Garamond"/>
        </w:rPr>
        <w:t>157-204, 292-326</w:t>
      </w:r>
      <w:r w:rsidR="00FA5E78">
        <w:rPr>
          <w:rFonts w:ascii="Garamond" w:hAnsi="Garamond"/>
        </w:rPr>
        <w:t xml:space="preserve">; and </w:t>
      </w:r>
      <w:proofErr w:type="spellStart"/>
      <w:r w:rsidR="00FA5E78">
        <w:rPr>
          <w:rFonts w:ascii="Garamond" w:hAnsi="Garamond"/>
        </w:rPr>
        <w:t>Mitsis</w:t>
      </w:r>
      <w:proofErr w:type="spellEnd"/>
      <w:r w:rsidR="00FA5E78">
        <w:rPr>
          <w:rFonts w:ascii="Garamond" w:hAnsi="Garamond"/>
        </w:rPr>
        <w:t>, ‘Locke’s o</w:t>
      </w:r>
      <w:r>
        <w:rPr>
          <w:rFonts w:ascii="Garamond" w:hAnsi="Garamond"/>
        </w:rPr>
        <w:t>ffices’.</w:t>
      </w:r>
    </w:p>
  </w:footnote>
  <w:footnote w:id="35">
    <w:p w:rsidR="00CF7A21" w:rsidRPr="00841883" w:rsidRDefault="00CF7A21" w:rsidP="00CF7A21">
      <w:pPr>
        <w:pStyle w:val="FootnoteText"/>
        <w:ind w:right="-31" w:hanging="284"/>
        <w:contextualSpacing/>
        <w:rPr>
          <w:rStyle w:val="FootnoteReference"/>
          <w:rFonts w:ascii="Garamond" w:hAnsi="Garamond"/>
          <w:vertAlign w:val="baseline"/>
        </w:rPr>
      </w:pPr>
      <w:r w:rsidRPr="00841883">
        <w:rPr>
          <w:rStyle w:val="FootnoteReference"/>
          <w:rFonts w:ascii="Garamond" w:hAnsi="Garamond"/>
        </w:rPr>
        <w:footnoteRef/>
      </w:r>
      <w:r w:rsidRPr="00841883">
        <w:rPr>
          <w:rStyle w:val="FootnoteReference"/>
          <w:rFonts w:ascii="Garamond" w:hAnsi="Garamond"/>
        </w:rPr>
        <w:tab/>
      </w:r>
      <w:r w:rsidRPr="00841883">
        <w:rPr>
          <w:rStyle w:val="FootnoteReference"/>
          <w:rFonts w:ascii="Garamond" w:hAnsi="Garamond"/>
          <w:i/>
          <w:vertAlign w:val="baseline"/>
        </w:rPr>
        <w:t xml:space="preserve">De </w:t>
      </w:r>
      <w:proofErr w:type="spellStart"/>
      <w:r w:rsidRPr="00841883">
        <w:rPr>
          <w:rStyle w:val="FootnoteReference"/>
          <w:rFonts w:ascii="Garamond" w:hAnsi="Garamond"/>
          <w:i/>
          <w:vertAlign w:val="baseline"/>
        </w:rPr>
        <w:t>Officiis</w:t>
      </w:r>
      <w:proofErr w:type="spellEnd"/>
      <w:r w:rsidRPr="00841883">
        <w:rPr>
          <w:rStyle w:val="FootnoteReference"/>
          <w:rFonts w:ascii="Garamond" w:hAnsi="Garamond"/>
          <w:vertAlign w:val="baseline"/>
        </w:rPr>
        <w:t>, 1.4.12-13; 1.35.126-8; 1.40.143; 2.6.19-31; 2.8.30; 3.28.101.</w:t>
      </w:r>
    </w:p>
  </w:footnote>
  <w:footnote w:id="36">
    <w:p w:rsidR="00337F31" w:rsidRPr="00FC395F" w:rsidRDefault="00337F31" w:rsidP="00337F31">
      <w:pPr>
        <w:pStyle w:val="FootnoteText"/>
        <w:ind w:right="-31" w:hanging="284"/>
        <w:contextualSpacing/>
        <w:rPr>
          <w:rStyle w:val="FootnoteReference"/>
          <w:rFonts w:ascii="Garamond" w:hAnsi="Garamond"/>
          <w:vertAlign w:val="baseline"/>
        </w:rPr>
      </w:pPr>
      <w:r w:rsidRPr="00841883">
        <w:rPr>
          <w:rStyle w:val="FootnoteReference"/>
          <w:rFonts w:ascii="Garamond" w:hAnsi="Garamond"/>
        </w:rPr>
        <w:footnoteRef/>
      </w:r>
      <w:r w:rsidRPr="00841883">
        <w:rPr>
          <w:rStyle w:val="FootnoteReference"/>
          <w:rFonts w:ascii="Garamond" w:hAnsi="Garamond"/>
        </w:rPr>
        <w:tab/>
      </w:r>
      <w:r>
        <w:rPr>
          <w:rFonts w:ascii="Garamond" w:hAnsi="Garamond"/>
        </w:rPr>
        <w:t xml:space="preserve">Augustine, </w:t>
      </w:r>
      <w:r>
        <w:rPr>
          <w:rFonts w:ascii="Garamond" w:hAnsi="Garamond"/>
          <w:i/>
        </w:rPr>
        <w:t>City of God</w:t>
      </w:r>
      <w:r>
        <w:rPr>
          <w:rFonts w:ascii="Garamond" w:hAnsi="Garamond"/>
        </w:rPr>
        <w:t>, 5.14, p. 213.</w:t>
      </w:r>
    </w:p>
  </w:footnote>
  <w:footnote w:id="37">
    <w:p w:rsidR="00337F31" w:rsidRPr="00C163B5" w:rsidRDefault="00337F31" w:rsidP="00337F31">
      <w:pPr>
        <w:pStyle w:val="FootnoteText"/>
        <w:ind w:right="-31" w:hanging="284"/>
        <w:contextualSpacing/>
        <w:rPr>
          <w:rStyle w:val="FootnoteReference"/>
          <w:rFonts w:ascii="Garamond" w:hAnsi="Garamond"/>
          <w:vertAlign w:val="baseline"/>
        </w:rPr>
      </w:pPr>
      <w:r w:rsidRPr="00841883">
        <w:rPr>
          <w:rStyle w:val="FootnoteReference"/>
          <w:rFonts w:ascii="Garamond" w:hAnsi="Garamond"/>
        </w:rPr>
        <w:footnoteRef/>
      </w:r>
      <w:r w:rsidRPr="00841883">
        <w:rPr>
          <w:rStyle w:val="FootnoteReference"/>
          <w:rFonts w:ascii="Garamond" w:hAnsi="Garamond"/>
        </w:rPr>
        <w:tab/>
      </w:r>
      <w:r>
        <w:rPr>
          <w:rFonts w:ascii="Garamond" w:hAnsi="Garamond"/>
        </w:rPr>
        <w:t xml:space="preserve">Locke, </w:t>
      </w:r>
      <w:r>
        <w:rPr>
          <w:rFonts w:ascii="Garamond" w:hAnsi="Garamond"/>
          <w:i/>
        </w:rPr>
        <w:t>Some Thoughts</w:t>
      </w:r>
      <w:r>
        <w:rPr>
          <w:rFonts w:ascii="Garamond" w:hAnsi="Garamond"/>
        </w:rPr>
        <w:t xml:space="preserve">, </w:t>
      </w:r>
      <w:r w:rsidRPr="00C163B5">
        <w:rPr>
          <w:rFonts w:ascii="Garamond" w:hAnsi="Garamond"/>
        </w:rPr>
        <w:t>§ 185, p. 239</w:t>
      </w:r>
      <w:r>
        <w:rPr>
          <w:rFonts w:ascii="Garamond" w:hAnsi="Garamond"/>
        </w:rPr>
        <w:t>.</w:t>
      </w:r>
    </w:p>
  </w:footnote>
  <w:footnote w:id="38">
    <w:p w:rsidR="00D460A4" w:rsidRPr="00AB4D50" w:rsidRDefault="00D460A4" w:rsidP="00D460A4">
      <w:pPr>
        <w:pStyle w:val="FootnoteText"/>
        <w:ind w:right="-330" w:hanging="284"/>
        <w:contextualSpacing/>
        <w:jc w:val="both"/>
        <w:rPr>
          <w:rStyle w:val="FootnoteReference"/>
          <w:rFonts w:ascii="Garamond" w:hAnsi="Garamond"/>
          <w:vertAlign w:val="baseline"/>
        </w:rPr>
      </w:pPr>
      <w:r w:rsidRPr="0062140D">
        <w:rPr>
          <w:rStyle w:val="FootnoteReference"/>
          <w:rFonts w:ascii="Garamond" w:hAnsi="Garamond"/>
        </w:rPr>
        <w:footnoteRef/>
      </w:r>
      <w:r w:rsidRPr="0062140D">
        <w:rPr>
          <w:rStyle w:val="FootnoteReference"/>
          <w:rFonts w:ascii="Garamond" w:hAnsi="Garamond"/>
        </w:rPr>
        <w:t xml:space="preserve"> </w:t>
      </w:r>
      <w:r w:rsidRPr="0062140D">
        <w:rPr>
          <w:rStyle w:val="FootnoteReference"/>
          <w:rFonts w:ascii="Garamond" w:hAnsi="Garamond"/>
        </w:rPr>
        <w:tab/>
      </w:r>
      <w:r>
        <w:rPr>
          <w:rFonts w:ascii="Garamond" w:hAnsi="Garamond"/>
        </w:rPr>
        <w:t xml:space="preserve">The inverted commas indicate an acceptance of Richard </w:t>
      </w:r>
      <w:proofErr w:type="spellStart"/>
      <w:r>
        <w:rPr>
          <w:rFonts w:ascii="Garamond" w:hAnsi="Garamond"/>
        </w:rPr>
        <w:t>Serjeantson’s</w:t>
      </w:r>
      <w:proofErr w:type="spellEnd"/>
      <w:r>
        <w:rPr>
          <w:rFonts w:ascii="Garamond" w:hAnsi="Garamond"/>
        </w:rPr>
        <w:t xml:space="preserve"> insight that ‘epistemology’ is an anachronistic category, and that Locke’s </w:t>
      </w:r>
      <w:r>
        <w:rPr>
          <w:rFonts w:ascii="Garamond" w:hAnsi="Garamond"/>
          <w:i/>
        </w:rPr>
        <w:t>Essay</w:t>
      </w:r>
      <w:r>
        <w:rPr>
          <w:rFonts w:ascii="Garamond" w:hAnsi="Garamond"/>
        </w:rPr>
        <w:t xml:space="preserve"> most clearly sits within the field of semiotics: ‘Genre of Locke’s </w:t>
      </w:r>
      <w:r>
        <w:rPr>
          <w:rFonts w:ascii="Garamond" w:hAnsi="Garamond"/>
          <w:i/>
        </w:rPr>
        <w:t>Essay</w:t>
      </w:r>
      <w:r>
        <w:rPr>
          <w:rFonts w:ascii="Garamond" w:hAnsi="Garamond"/>
        </w:rPr>
        <w:t>’.</w:t>
      </w:r>
    </w:p>
  </w:footnote>
  <w:footnote w:id="39">
    <w:p w:rsidR="00CF2843" w:rsidRPr="00562F10" w:rsidRDefault="00CF2843" w:rsidP="00CF2843">
      <w:pPr>
        <w:pStyle w:val="FootnoteText"/>
        <w:ind w:left="-284" w:right="-330"/>
        <w:jc w:val="both"/>
        <w:rPr>
          <w:rFonts w:ascii="Garamond" w:hAnsi="Garamond"/>
        </w:rPr>
      </w:pPr>
      <w:r w:rsidRPr="00130418">
        <w:rPr>
          <w:rStyle w:val="FootnoteReference"/>
          <w:rFonts w:ascii="Garamond" w:hAnsi="Garamond"/>
        </w:rPr>
        <w:footnoteRef/>
      </w:r>
      <w:r w:rsidRPr="00130418">
        <w:rPr>
          <w:rFonts w:ascii="Garamond" w:hAnsi="Garamond"/>
        </w:rPr>
        <w:t xml:space="preserve"> </w:t>
      </w:r>
      <w:r>
        <w:rPr>
          <w:rFonts w:ascii="Garamond" w:hAnsi="Garamond"/>
        </w:rPr>
        <w:tab/>
        <w:t>For a very similar statement, see MS Locke c.28, f. 113</w:t>
      </w:r>
      <w:r>
        <w:rPr>
          <w:rFonts w:ascii="Garamond" w:hAnsi="Garamond"/>
          <w:vertAlign w:val="superscript"/>
        </w:rPr>
        <w:t>r</w:t>
      </w:r>
      <w:r>
        <w:rPr>
          <w:rFonts w:ascii="Garamond" w:hAnsi="Garamond"/>
        </w:rPr>
        <w:t xml:space="preserve"> (1693).</w:t>
      </w:r>
    </w:p>
  </w:footnote>
  <w:footnote w:id="40">
    <w:p w:rsidR="00A21924" w:rsidRPr="004B05D7" w:rsidRDefault="00A21924" w:rsidP="00A21924">
      <w:pPr>
        <w:pStyle w:val="FootnoteText"/>
        <w:ind w:right="-330" w:hanging="284"/>
        <w:jc w:val="both"/>
        <w:rPr>
          <w:rFonts w:ascii="Garamond" w:hAnsi="Garamond"/>
        </w:rPr>
      </w:pPr>
      <w:r w:rsidRPr="00130418">
        <w:rPr>
          <w:rStyle w:val="FootnoteReference"/>
          <w:rFonts w:ascii="Garamond" w:hAnsi="Garamond"/>
        </w:rPr>
        <w:footnoteRef/>
      </w:r>
      <w:r w:rsidRPr="00130418">
        <w:rPr>
          <w:rFonts w:ascii="Garamond" w:hAnsi="Garamond"/>
        </w:rPr>
        <w:t xml:space="preserve"> </w:t>
      </w:r>
      <w:r>
        <w:rPr>
          <w:rFonts w:ascii="Garamond" w:hAnsi="Garamond"/>
        </w:rPr>
        <w:tab/>
        <w:t>For this exchange, see Stewart, ‘</w:t>
      </w:r>
      <w:proofErr w:type="spellStart"/>
      <w:r>
        <w:rPr>
          <w:rFonts w:ascii="Garamond" w:hAnsi="Garamond"/>
        </w:rPr>
        <w:t>Stillingfleet</w:t>
      </w:r>
      <w:proofErr w:type="spellEnd"/>
      <w:r>
        <w:rPr>
          <w:rFonts w:ascii="Garamond" w:hAnsi="Garamond"/>
        </w:rPr>
        <w:t>’.</w:t>
      </w:r>
    </w:p>
  </w:footnote>
  <w:footnote w:id="41">
    <w:p w:rsidR="00CF2843" w:rsidRPr="001D7E6C" w:rsidRDefault="00CF2843" w:rsidP="00CF2843">
      <w:pPr>
        <w:pStyle w:val="FootnoteText"/>
        <w:ind w:left="-284" w:right="-330"/>
        <w:jc w:val="both"/>
        <w:rPr>
          <w:rFonts w:ascii="Garamond" w:hAnsi="Garamond"/>
        </w:rPr>
      </w:pPr>
      <w:r w:rsidRPr="00130418">
        <w:rPr>
          <w:rStyle w:val="FootnoteReference"/>
          <w:rFonts w:ascii="Garamond" w:hAnsi="Garamond"/>
        </w:rPr>
        <w:footnoteRef/>
      </w:r>
      <w:r w:rsidRPr="00130418">
        <w:rPr>
          <w:rFonts w:ascii="Garamond" w:hAnsi="Garamond"/>
        </w:rPr>
        <w:t xml:space="preserve"> </w:t>
      </w:r>
      <w:r>
        <w:rPr>
          <w:rFonts w:ascii="Garamond" w:hAnsi="Garamond"/>
        </w:rPr>
        <w:tab/>
        <w:t xml:space="preserve">Locke, </w:t>
      </w:r>
      <w:r>
        <w:rPr>
          <w:rFonts w:ascii="Garamond" w:hAnsi="Garamond"/>
          <w:i/>
        </w:rPr>
        <w:t>ELN</w:t>
      </w:r>
      <w:r>
        <w:rPr>
          <w:rFonts w:ascii="Garamond" w:hAnsi="Garamond"/>
        </w:rPr>
        <w:t>, I: pp. 111-12; cf. II: p. 123.</w:t>
      </w:r>
    </w:p>
  </w:footnote>
  <w:footnote w:id="42">
    <w:p w:rsidR="00CF2843" w:rsidRPr="004B05D7" w:rsidRDefault="00CF2843" w:rsidP="00CF2843">
      <w:pPr>
        <w:pStyle w:val="FootnoteText"/>
        <w:ind w:right="-330" w:hanging="284"/>
        <w:jc w:val="both"/>
        <w:rPr>
          <w:rFonts w:ascii="Garamond" w:hAnsi="Garamond"/>
        </w:rPr>
      </w:pPr>
      <w:r w:rsidRPr="00130418">
        <w:rPr>
          <w:rStyle w:val="FootnoteReference"/>
          <w:rFonts w:ascii="Garamond" w:hAnsi="Garamond"/>
        </w:rPr>
        <w:footnoteRef/>
      </w:r>
      <w:r w:rsidRPr="00130418">
        <w:rPr>
          <w:rFonts w:ascii="Garamond" w:hAnsi="Garamond"/>
        </w:rPr>
        <w:t xml:space="preserve"> </w:t>
      </w:r>
      <w:r>
        <w:rPr>
          <w:rFonts w:ascii="Garamond" w:hAnsi="Garamond"/>
        </w:rPr>
        <w:tab/>
        <w:t xml:space="preserve">See, for example, </w:t>
      </w:r>
      <w:r w:rsidRPr="001D7E6C">
        <w:rPr>
          <w:rFonts w:ascii="Garamond" w:hAnsi="Garamond"/>
        </w:rPr>
        <w:t xml:space="preserve">Locke to </w:t>
      </w:r>
      <w:proofErr w:type="spellStart"/>
      <w:r w:rsidRPr="001D7E6C">
        <w:rPr>
          <w:rFonts w:ascii="Garamond" w:hAnsi="Garamond"/>
        </w:rPr>
        <w:t>Molyneux</w:t>
      </w:r>
      <w:proofErr w:type="spellEnd"/>
      <w:r w:rsidRPr="001D7E6C">
        <w:rPr>
          <w:rFonts w:ascii="Garamond" w:hAnsi="Garamond"/>
        </w:rPr>
        <w:t xml:space="preserve">, 20 Sept. 1692, in </w:t>
      </w:r>
      <w:r w:rsidRPr="001D7E6C">
        <w:rPr>
          <w:rFonts w:ascii="Garamond" w:hAnsi="Garamond"/>
          <w:i/>
        </w:rPr>
        <w:t>Correspondence of Locke</w:t>
      </w:r>
      <w:r w:rsidRPr="001D7E6C">
        <w:rPr>
          <w:rFonts w:ascii="Garamond" w:hAnsi="Garamond"/>
        </w:rPr>
        <w:t xml:space="preserve">, </w:t>
      </w:r>
      <w:r>
        <w:rPr>
          <w:rFonts w:ascii="Garamond" w:hAnsi="Garamond"/>
        </w:rPr>
        <w:t xml:space="preserve">iv, </w:t>
      </w:r>
      <w:r w:rsidRPr="001D7E6C">
        <w:rPr>
          <w:rFonts w:ascii="Garamond" w:hAnsi="Garamond"/>
        </w:rPr>
        <w:t>pp. 522-5</w:t>
      </w:r>
      <w:r w:rsidR="00A21924">
        <w:rPr>
          <w:rFonts w:ascii="Garamond" w:hAnsi="Garamond"/>
        </w:rPr>
        <w:t xml:space="preserve"> (italics added)</w:t>
      </w:r>
      <w:r w:rsidRPr="001D7E6C">
        <w:rPr>
          <w:rFonts w:ascii="Garamond" w:hAnsi="Garamond"/>
        </w:rPr>
        <w:t xml:space="preserve">: ‘Though by the view I had of moral ideas, whilst I was considering that subject, I </w:t>
      </w:r>
      <w:r w:rsidRPr="004B05D7">
        <w:rPr>
          <w:rFonts w:ascii="Garamond" w:hAnsi="Garamond"/>
          <w:i/>
        </w:rPr>
        <w:t>thought</w:t>
      </w:r>
      <w:r w:rsidRPr="001D7E6C">
        <w:rPr>
          <w:rFonts w:ascii="Garamond" w:hAnsi="Garamond"/>
        </w:rPr>
        <w:t xml:space="preserve"> I saw morality might be demonstratively made out, yet </w:t>
      </w:r>
      <w:r w:rsidRPr="004B05D7">
        <w:rPr>
          <w:rFonts w:ascii="Garamond" w:hAnsi="Garamond"/>
          <w:i/>
        </w:rPr>
        <w:t>whether I am able so to make it out is another question</w:t>
      </w:r>
      <w:r w:rsidRPr="001D7E6C">
        <w:rPr>
          <w:rFonts w:ascii="Garamond" w:hAnsi="Garamond"/>
        </w:rPr>
        <w:t xml:space="preserve">. </w:t>
      </w:r>
      <w:proofErr w:type="spellStart"/>
      <w:r w:rsidRPr="001D7E6C">
        <w:rPr>
          <w:rFonts w:ascii="Garamond" w:hAnsi="Garamond"/>
        </w:rPr>
        <w:t>Every one</w:t>
      </w:r>
      <w:proofErr w:type="spellEnd"/>
      <w:r w:rsidRPr="001D7E6C">
        <w:rPr>
          <w:rFonts w:ascii="Garamond" w:hAnsi="Garamond"/>
        </w:rPr>
        <w:t xml:space="preserve"> could not have demonstrated what Mr. Newton’s book hath shewn to be demonstrable […].’</w:t>
      </w:r>
      <w:r>
        <w:rPr>
          <w:rFonts w:ascii="Garamond" w:hAnsi="Garamond"/>
        </w:rPr>
        <w:t xml:space="preserve"> This is, of course, a tacit admission by Locke that he had failed to do so in the </w:t>
      </w:r>
      <w:r>
        <w:rPr>
          <w:rFonts w:ascii="Garamond" w:hAnsi="Garamond"/>
          <w:i/>
        </w:rPr>
        <w:t>Essay</w:t>
      </w:r>
      <w:r>
        <w:rPr>
          <w:rFonts w:ascii="Garamond" w:hAnsi="Garamond"/>
        </w:rPr>
        <w:t xml:space="preserve">, published three years previously. Newton himself later accused Locke of a dangerous ethical relativism on account of precisely this failure: </w:t>
      </w:r>
      <w:r w:rsidRPr="004B05D7">
        <w:rPr>
          <w:rFonts w:ascii="Garamond" w:hAnsi="Garamond"/>
        </w:rPr>
        <w:t xml:space="preserve">Newton to Locke, 16 Sept. 1693, in </w:t>
      </w:r>
      <w:r w:rsidRPr="004B05D7">
        <w:rPr>
          <w:rFonts w:ascii="Garamond" w:hAnsi="Garamond"/>
          <w:i/>
        </w:rPr>
        <w:t>Correspondence of Locke</w:t>
      </w:r>
      <w:r w:rsidRPr="004B05D7">
        <w:rPr>
          <w:rFonts w:ascii="Garamond" w:hAnsi="Garamond"/>
        </w:rPr>
        <w:t>, iv, pp. 727-8</w:t>
      </w:r>
    </w:p>
  </w:footnote>
  <w:footnote w:id="43">
    <w:p w:rsidR="001C15B7" w:rsidRPr="001C15B7" w:rsidRDefault="001C15B7" w:rsidP="001C15B7">
      <w:pPr>
        <w:pStyle w:val="FootnoteText"/>
        <w:ind w:left="-284" w:right="-330"/>
        <w:jc w:val="both"/>
        <w:rPr>
          <w:rFonts w:ascii="Garamond" w:hAnsi="Garamond"/>
        </w:rPr>
      </w:pPr>
      <w:r w:rsidRPr="00130418">
        <w:rPr>
          <w:rStyle w:val="FootnoteReference"/>
          <w:rFonts w:ascii="Garamond" w:hAnsi="Garamond"/>
        </w:rPr>
        <w:footnoteRef/>
      </w:r>
      <w:r w:rsidRPr="00130418">
        <w:rPr>
          <w:rFonts w:ascii="Garamond" w:hAnsi="Garamond"/>
        </w:rPr>
        <w:t xml:space="preserve"> </w:t>
      </w:r>
      <w:r>
        <w:rPr>
          <w:rFonts w:ascii="Garamond" w:hAnsi="Garamond"/>
        </w:rPr>
        <w:tab/>
        <w:t xml:space="preserve">This point is well treated by Dawson, </w:t>
      </w:r>
      <w:r>
        <w:rPr>
          <w:rFonts w:ascii="Garamond" w:hAnsi="Garamond"/>
          <w:i/>
        </w:rPr>
        <w:t>Locke and Language</w:t>
      </w:r>
      <w:r>
        <w:rPr>
          <w:rFonts w:ascii="Garamond" w:hAnsi="Garamond"/>
        </w:rPr>
        <w:t>.</w:t>
      </w:r>
    </w:p>
  </w:footnote>
  <w:footnote w:id="44">
    <w:p w:rsidR="00CF2843" w:rsidRPr="008B4318" w:rsidRDefault="00CF2843" w:rsidP="00CF2843">
      <w:pPr>
        <w:pStyle w:val="FootnoteText"/>
        <w:ind w:right="-31" w:hanging="284"/>
        <w:contextualSpacing/>
        <w:rPr>
          <w:rStyle w:val="FootnoteReference"/>
          <w:rFonts w:ascii="Garamond" w:hAnsi="Garamond"/>
          <w:vertAlign w:val="baseline"/>
        </w:rPr>
      </w:pPr>
      <w:r w:rsidRPr="008B4318">
        <w:rPr>
          <w:rStyle w:val="FootnoteReference"/>
          <w:rFonts w:ascii="Garamond" w:hAnsi="Garamond"/>
        </w:rPr>
        <w:footnoteRef/>
      </w:r>
      <w:r w:rsidRPr="008B4318">
        <w:rPr>
          <w:rStyle w:val="FootnoteReference"/>
          <w:rFonts w:ascii="Garamond" w:hAnsi="Garamond"/>
        </w:rPr>
        <w:tab/>
      </w:r>
      <w:proofErr w:type="spellStart"/>
      <w:r w:rsidRPr="008B4318">
        <w:rPr>
          <w:rStyle w:val="FootnoteReference"/>
          <w:rFonts w:ascii="Garamond" w:hAnsi="Garamond"/>
          <w:i/>
          <w:vertAlign w:val="baseline"/>
        </w:rPr>
        <w:t>Tusculan</w:t>
      </w:r>
      <w:proofErr w:type="spellEnd"/>
      <w:r w:rsidRPr="008B4318">
        <w:rPr>
          <w:rStyle w:val="FootnoteReference"/>
          <w:rFonts w:ascii="Garamond" w:hAnsi="Garamond"/>
          <w:i/>
          <w:vertAlign w:val="baseline"/>
        </w:rPr>
        <w:t xml:space="preserve"> Disputations</w:t>
      </w:r>
      <w:r w:rsidRPr="008B4318">
        <w:rPr>
          <w:rStyle w:val="FootnoteReference"/>
          <w:rFonts w:ascii="Garamond" w:hAnsi="Garamond"/>
          <w:vertAlign w:val="baseline"/>
        </w:rPr>
        <w:t xml:space="preserve">, 1.32.78. </w:t>
      </w:r>
    </w:p>
  </w:footnote>
  <w:footnote w:id="45">
    <w:p w:rsidR="00CF2843" w:rsidRPr="00957EFA" w:rsidRDefault="00CF2843" w:rsidP="00CF2843">
      <w:pPr>
        <w:pStyle w:val="FootnoteText"/>
        <w:ind w:right="-330" w:hanging="284"/>
        <w:contextualSpacing/>
        <w:jc w:val="both"/>
        <w:rPr>
          <w:rStyle w:val="FootnoteReference"/>
          <w:rFonts w:ascii="Garamond" w:hAnsi="Garamond"/>
          <w:vertAlign w:val="baseline"/>
        </w:rPr>
      </w:pPr>
      <w:r w:rsidRPr="00957EFA">
        <w:rPr>
          <w:rStyle w:val="FootnoteReference"/>
          <w:rFonts w:ascii="Garamond" w:hAnsi="Garamond"/>
        </w:rPr>
        <w:footnoteRef/>
      </w:r>
      <w:r w:rsidRPr="00957EFA">
        <w:rPr>
          <w:rStyle w:val="FootnoteReference"/>
          <w:rFonts w:ascii="Garamond" w:hAnsi="Garamond"/>
        </w:rPr>
        <w:tab/>
      </w:r>
      <w:r w:rsidRPr="00957EFA">
        <w:rPr>
          <w:rStyle w:val="FootnoteReference"/>
          <w:rFonts w:ascii="Garamond" w:hAnsi="Garamond"/>
          <w:vertAlign w:val="baseline"/>
        </w:rPr>
        <w:t xml:space="preserve">Here Locke is paraphrasing Cicero, </w:t>
      </w:r>
      <w:proofErr w:type="spellStart"/>
      <w:r w:rsidRPr="00957EFA">
        <w:rPr>
          <w:rStyle w:val="FootnoteReference"/>
          <w:rFonts w:ascii="Garamond" w:hAnsi="Garamond"/>
          <w:i/>
          <w:vertAlign w:val="baseline"/>
        </w:rPr>
        <w:t>Tusculan</w:t>
      </w:r>
      <w:proofErr w:type="spellEnd"/>
      <w:r w:rsidRPr="00957EFA">
        <w:rPr>
          <w:rStyle w:val="FootnoteReference"/>
          <w:rFonts w:ascii="Garamond" w:hAnsi="Garamond"/>
          <w:i/>
          <w:vertAlign w:val="baseline"/>
        </w:rPr>
        <w:t xml:space="preserve"> Disputations</w:t>
      </w:r>
      <w:r w:rsidRPr="00957EFA">
        <w:rPr>
          <w:rStyle w:val="FootnoteReference"/>
          <w:rFonts w:ascii="Garamond" w:hAnsi="Garamond"/>
          <w:vertAlign w:val="baseline"/>
        </w:rPr>
        <w:t>, 1.9.17: ‘further than likelihood as I see it I cannot get […]. Certainty will be for those who say such things can be known and who claim wisdom for themselves’.</w:t>
      </w:r>
    </w:p>
  </w:footnote>
  <w:footnote w:id="46">
    <w:p w:rsidR="00CF2843" w:rsidRPr="00FD7569" w:rsidRDefault="00CF2843" w:rsidP="00CF2843">
      <w:pPr>
        <w:pStyle w:val="FootnoteText"/>
        <w:ind w:right="-330" w:hanging="284"/>
        <w:contextualSpacing/>
        <w:jc w:val="both"/>
        <w:rPr>
          <w:rStyle w:val="FootnoteReference"/>
          <w:vertAlign w:val="baseline"/>
        </w:rPr>
      </w:pPr>
      <w:r w:rsidRPr="00957EFA">
        <w:rPr>
          <w:rStyle w:val="FootnoteReference"/>
          <w:rFonts w:ascii="Garamond" w:hAnsi="Garamond"/>
        </w:rPr>
        <w:footnoteRef/>
      </w:r>
      <w:r w:rsidRPr="00957EFA">
        <w:rPr>
          <w:rStyle w:val="FootnoteReference"/>
          <w:rFonts w:ascii="Garamond" w:hAnsi="Garamond"/>
        </w:rPr>
        <w:tab/>
      </w:r>
      <w:r>
        <w:rPr>
          <w:rFonts w:ascii="Garamond" w:hAnsi="Garamond"/>
        </w:rPr>
        <w:t xml:space="preserve">Locke, </w:t>
      </w:r>
      <w:r w:rsidRPr="00957EFA">
        <w:rPr>
          <w:rStyle w:val="FootnoteReference"/>
          <w:rFonts w:ascii="Garamond" w:hAnsi="Garamond"/>
          <w:i/>
          <w:vertAlign w:val="baseline"/>
        </w:rPr>
        <w:t>Second Reply</w:t>
      </w:r>
      <w:r>
        <w:rPr>
          <w:rStyle w:val="FootnoteReference"/>
          <w:rFonts w:ascii="Garamond" w:hAnsi="Garamond"/>
          <w:vertAlign w:val="baseline"/>
        </w:rPr>
        <w:t xml:space="preserve"> (1697)</w:t>
      </w:r>
      <w:r w:rsidRPr="00957EFA">
        <w:rPr>
          <w:rStyle w:val="FootnoteReference"/>
          <w:rFonts w:ascii="Garamond" w:hAnsi="Garamond"/>
          <w:vertAlign w:val="baseline"/>
        </w:rPr>
        <w:t>,</w:t>
      </w:r>
      <w:r>
        <w:rPr>
          <w:rFonts w:ascii="Garamond" w:hAnsi="Garamond"/>
        </w:rPr>
        <w:t xml:space="preserve"> in </w:t>
      </w:r>
      <w:r>
        <w:rPr>
          <w:rFonts w:ascii="Garamond" w:hAnsi="Garamond"/>
          <w:i/>
        </w:rPr>
        <w:t>Works of Locke</w:t>
      </w:r>
      <w:r>
        <w:rPr>
          <w:rFonts w:ascii="Garamond" w:hAnsi="Garamond"/>
        </w:rPr>
        <w:t>, iii,</w:t>
      </w:r>
      <w:r w:rsidRPr="00957EFA">
        <w:rPr>
          <w:rStyle w:val="FootnoteReference"/>
          <w:rFonts w:ascii="Garamond" w:hAnsi="Garamond"/>
          <w:vertAlign w:val="baseline"/>
        </w:rPr>
        <w:t xml:space="preserve"> pp. 488-9.</w:t>
      </w:r>
    </w:p>
  </w:footnote>
  <w:footnote w:id="47">
    <w:p w:rsidR="00CF2843" w:rsidRPr="00957EFA" w:rsidRDefault="00CF2843" w:rsidP="00CF2843">
      <w:pPr>
        <w:pStyle w:val="FootnoteText"/>
        <w:ind w:right="-330" w:hanging="284"/>
        <w:contextualSpacing/>
        <w:jc w:val="both"/>
        <w:rPr>
          <w:rStyle w:val="FootnoteReference"/>
          <w:rFonts w:ascii="Garamond" w:hAnsi="Garamond"/>
          <w:vertAlign w:val="baseline"/>
        </w:rPr>
      </w:pPr>
      <w:r w:rsidRPr="00957EFA">
        <w:rPr>
          <w:rStyle w:val="FootnoteReference"/>
          <w:rFonts w:ascii="Garamond" w:hAnsi="Garamond"/>
        </w:rPr>
        <w:footnoteRef/>
      </w:r>
      <w:r w:rsidRPr="00957EFA">
        <w:rPr>
          <w:rStyle w:val="FootnoteReference"/>
          <w:rFonts w:ascii="Garamond" w:hAnsi="Garamond"/>
        </w:rPr>
        <w:tab/>
      </w:r>
      <w:r w:rsidRPr="00957EFA">
        <w:rPr>
          <w:rStyle w:val="FootnoteReference"/>
          <w:rFonts w:ascii="Garamond" w:hAnsi="Garamond"/>
          <w:vertAlign w:val="baseline"/>
        </w:rPr>
        <w:t>Ibid., p. 489 (Locke cites 2 Tim. 1:10).</w:t>
      </w:r>
    </w:p>
  </w:footnote>
  <w:footnote w:id="48">
    <w:p w:rsidR="00CF2843" w:rsidRPr="00C618FB" w:rsidRDefault="00CF2843" w:rsidP="00CF2843">
      <w:pPr>
        <w:pStyle w:val="FootnoteText"/>
        <w:ind w:right="-330" w:hanging="284"/>
        <w:contextualSpacing/>
        <w:jc w:val="both"/>
        <w:rPr>
          <w:rStyle w:val="FootnoteReference"/>
          <w:rFonts w:ascii="Garamond" w:hAnsi="Garamond"/>
          <w:vertAlign w:val="baseline"/>
        </w:rPr>
      </w:pPr>
      <w:r w:rsidRPr="00957EFA">
        <w:rPr>
          <w:rStyle w:val="FootnoteReference"/>
          <w:rFonts w:ascii="Garamond" w:hAnsi="Garamond"/>
        </w:rPr>
        <w:footnoteRef/>
      </w:r>
      <w:r w:rsidRPr="00957EFA">
        <w:rPr>
          <w:rStyle w:val="FootnoteReference"/>
          <w:rFonts w:ascii="Garamond" w:hAnsi="Garamond"/>
        </w:rPr>
        <w:tab/>
      </w:r>
      <w:r>
        <w:rPr>
          <w:rStyle w:val="FootnoteReference"/>
          <w:rFonts w:ascii="Garamond" w:hAnsi="Garamond"/>
          <w:vertAlign w:val="baseline"/>
        </w:rPr>
        <w:t xml:space="preserve">Locke, </w:t>
      </w:r>
      <w:r>
        <w:rPr>
          <w:rFonts w:ascii="Garamond" w:hAnsi="Garamond"/>
          <w:i/>
        </w:rPr>
        <w:t>Reasonableness</w:t>
      </w:r>
      <w:r>
        <w:rPr>
          <w:rFonts w:ascii="Garamond" w:hAnsi="Garamond"/>
        </w:rPr>
        <w:t>, p. 200.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6132"/>
    <w:multiLevelType w:val="hybridMultilevel"/>
    <w:tmpl w:val="F4420CE2"/>
    <w:lvl w:ilvl="0" w:tplc="1140019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nsid w:val="31E5658B"/>
    <w:multiLevelType w:val="hybridMultilevel"/>
    <w:tmpl w:val="A60A3B06"/>
    <w:lvl w:ilvl="0" w:tplc="C09C9D4C">
      <w:start w:val="1"/>
      <w:numFmt w:val="lowerRoman"/>
      <w:lvlText w:val="%1."/>
      <w:lvlJc w:val="left"/>
      <w:pPr>
        <w:ind w:left="436" w:hanging="720"/>
      </w:pPr>
      <w:rPr>
        <w:rFonts w:hint="default"/>
        <w:i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nsid w:val="3B7C5280"/>
    <w:multiLevelType w:val="hybridMultilevel"/>
    <w:tmpl w:val="C3EE1558"/>
    <w:lvl w:ilvl="0" w:tplc="479EFB42">
      <w:start w:val="1"/>
      <w:numFmt w:val="decimal"/>
      <w:lvlText w:val="(%1)"/>
      <w:lvlJc w:val="left"/>
      <w:pPr>
        <w:ind w:left="76" w:hanging="360"/>
      </w:pPr>
      <w:rPr>
        <w:rFonts w:hint="default"/>
        <w:b/>
        <w:i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nsid w:val="42BC579F"/>
    <w:multiLevelType w:val="hybridMultilevel"/>
    <w:tmpl w:val="D1C02C3E"/>
    <w:lvl w:ilvl="0" w:tplc="CF70969C">
      <w:start w:val="1"/>
      <w:numFmt w:val="lowerRoman"/>
      <w:lvlText w:val="%1."/>
      <w:lvlJc w:val="left"/>
      <w:pPr>
        <w:ind w:left="436" w:hanging="720"/>
      </w:pPr>
      <w:rPr>
        <w:rFonts w:hint="default"/>
        <w:i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9A"/>
    <w:rsid w:val="00031017"/>
    <w:rsid w:val="0004631C"/>
    <w:rsid w:val="00052197"/>
    <w:rsid w:val="00061B95"/>
    <w:rsid w:val="0007063E"/>
    <w:rsid w:val="00070817"/>
    <w:rsid w:val="0007142B"/>
    <w:rsid w:val="00095F4F"/>
    <w:rsid w:val="00096982"/>
    <w:rsid w:val="000B5495"/>
    <w:rsid w:val="000D24FB"/>
    <w:rsid w:val="000D3EA9"/>
    <w:rsid w:val="000D3F4B"/>
    <w:rsid w:val="000F2498"/>
    <w:rsid w:val="000F5C73"/>
    <w:rsid w:val="0011553E"/>
    <w:rsid w:val="00120A87"/>
    <w:rsid w:val="0015692B"/>
    <w:rsid w:val="00161A61"/>
    <w:rsid w:val="00161A9B"/>
    <w:rsid w:val="001635C5"/>
    <w:rsid w:val="00177E53"/>
    <w:rsid w:val="00182344"/>
    <w:rsid w:val="00187EAC"/>
    <w:rsid w:val="00194CED"/>
    <w:rsid w:val="00194D9A"/>
    <w:rsid w:val="001A1596"/>
    <w:rsid w:val="001B1966"/>
    <w:rsid w:val="001B34BE"/>
    <w:rsid w:val="001C15B7"/>
    <w:rsid w:val="001C2CD6"/>
    <w:rsid w:val="001D1B55"/>
    <w:rsid w:val="001D6FAC"/>
    <w:rsid w:val="001E5104"/>
    <w:rsid w:val="001F3961"/>
    <w:rsid w:val="00231265"/>
    <w:rsid w:val="002710FB"/>
    <w:rsid w:val="00271AA5"/>
    <w:rsid w:val="002A6029"/>
    <w:rsid w:val="002B7C4F"/>
    <w:rsid w:val="002C59FA"/>
    <w:rsid w:val="002E765D"/>
    <w:rsid w:val="0031393A"/>
    <w:rsid w:val="00324490"/>
    <w:rsid w:val="00333BF3"/>
    <w:rsid w:val="00337F31"/>
    <w:rsid w:val="003405F9"/>
    <w:rsid w:val="00345AE8"/>
    <w:rsid w:val="0035280B"/>
    <w:rsid w:val="00355265"/>
    <w:rsid w:val="0037024E"/>
    <w:rsid w:val="0038093E"/>
    <w:rsid w:val="00397D2C"/>
    <w:rsid w:val="003A3271"/>
    <w:rsid w:val="003B4072"/>
    <w:rsid w:val="003C19F5"/>
    <w:rsid w:val="004116BF"/>
    <w:rsid w:val="004124C6"/>
    <w:rsid w:val="00412F04"/>
    <w:rsid w:val="00414615"/>
    <w:rsid w:val="00430BAF"/>
    <w:rsid w:val="00432053"/>
    <w:rsid w:val="00443444"/>
    <w:rsid w:val="00456609"/>
    <w:rsid w:val="004646A7"/>
    <w:rsid w:val="00471E8D"/>
    <w:rsid w:val="00485ABD"/>
    <w:rsid w:val="00497CC5"/>
    <w:rsid w:val="004A1465"/>
    <w:rsid w:val="004B1725"/>
    <w:rsid w:val="004B50F1"/>
    <w:rsid w:val="004C324B"/>
    <w:rsid w:val="004E1BBE"/>
    <w:rsid w:val="004E3AA7"/>
    <w:rsid w:val="004F3B22"/>
    <w:rsid w:val="00502604"/>
    <w:rsid w:val="00503A34"/>
    <w:rsid w:val="005056B9"/>
    <w:rsid w:val="00517604"/>
    <w:rsid w:val="00524C66"/>
    <w:rsid w:val="005328AD"/>
    <w:rsid w:val="00533BD9"/>
    <w:rsid w:val="00542FD8"/>
    <w:rsid w:val="0055457E"/>
    <w:rsid w:val="005747BA"/>
    <w:rsid w:val="0058392A"/>
    <w:rsid w:val="00585995"/>
    <w:rsid w:val="00587270"/>
    <w:rsid w:val="00592672"/>
    <w:rsid w:val="005C1BEF"/>
    <w:rsid w:val="005C2008"/>
    <w:rsid w:val="005E2D3E"/>
    <w:rsid w:val="005E3EDB"/>
    <w:rsid w:val="005F3361"/>
    <w:rsid w:val="006000E5"/>
    <w:rsid w:val="006075F2"/>
    <w:rsid w:val="00615639"/>
    <w:rsid w:val="00630E59"/>
    <w:rsid w:val="00680525"/>
    <w:rsid w:val="00681FFC"/>
    <w:rsid w:val="00690051"/>
    <w:rsid w:val="00692A41"/>
    <w:rsid w:val="006A18C8"/>
    <w:rsid w:val="006A6DA4"/>
    <w:rsid w:val="006C786D"/>
    <w:rsid w:val="006F31A9"/>
    <w:rsid w:val="00712211"/>
    <w:rsid w:val="007173F9"/>
    <w:rsid w:val="00735827"/>
    <w:rsid w:val="00752841"/>
    <w:rsid w:val="00796E11"/>
    <w:rsid w:val="007A5313"/>
    <w:rsid w:val="007A7F92"/>
    <w:rsid w:val="007E696E"/>
    <w:rsid w:val="007F08D9"/>
    <w:rsid w:val="00802A48"/>
    <w:rsid w:val="0081015D"/>
    <w:rsid w:val="008459B8"/>
    <w:rsid w:val="00854730"/>
    <w:rsid w:val="00864CEF"/>
    <w:rsid w:val="00875D87"/>
    <w:rsid w:val="008A7A75"/>
    <w:rsid w:val="008B1A92"/>
    <w:rsid w:val="008C467C"/>
    <w:rsid w:val="008C7608"/>
    <w:rsid w:val="008D6902"/>
    <w:rsid w:val="00915A3B"/>
    <w:rsid w:val="009251AB"/>
    <w:rsid w:val="00934D07"/>
    <w:rsid w:val="00940C08"/>
    <w:rsid w:val="00951382"/>
    <w:rsid w:val="00954BCB"/>
    <w:rsid w:val="00997F89"/>
    <w:rsid w:val="009E2BE1"/>
    <w:rsid w:val="009E5288"/>
    <w:rsid w:val="00A054CE"/>
    <w:rsid w:val="00A21924"/>
    <w:rsid w:val="00A54F7A"/>
    <w:rsid w:val="00A90DB9"/>
    <w:rsid w:val="00AA3CC0"/>
    <w:rsid w:val="00AA42B3"/>
    <w:rsid w:val="00AB12CC"/>
    <w:rsid w:val="00AC30F1"/>
    <w:rsid w:val="00AC4E4B"/>
    <w:rsid w:val="00AD6104"/>
    <w:rsid w:val="00AF7767"/>
    <w:rsid w:val="00B0187C"/>
    <w:rsid w:val="00B27161"/>
    <w:rsid w:val="00B30566"/>
    <w:rsid w:val="00B50A43"/>
    <w:rsid w:val="00B520A0"/>
    <w:rsid w:val="00B5535E"/>
    <w:rsid w:val="00B60748"/>
    <w:rsid w:val="00B62727"/>
    <w:rsid w:val="00B664DF"/>
    <w:rsid w:val="00B84E46"/>
    <w:rsid w:val="00B92B01"/>
    <w:rsid w:val="00BA1B2C"/>
    <w:rsid w:val="00BA6B09"/>
    <w:rsid w:val="00BB555E"/>
    <w:rsid w:val="00BD332D"/>
    <w:rsid w:val="00BD5109"/>
    <w:rsid w:val="00BD611B"/>
    <w:rsid w:val="00BD6841"/>
    <w:rsid w:val="00BD757E"/>
    <w:rsid w:val="00BE2383"/>
    <w:rsid w:val="00BE5609"/>
    <w:rsid w:val="00BF21C2"/>
    <w:rsid w:val="00C05DDC"/>
    <w:rsid w:val="00C50428"/>
    <w:rsid w:val="00C56173"/>
    <w:rsid w:val="00C57299"/>
    <w:rsid w:val="00C64B35"/>
    <w:rsid w:val="00C80066"/>
    <w:rsid w:val="00C82560"/>
    <w:rsid w:val="00C8340E"/>
    <w:rsid w:val="00C90833"/>
    <w:rsid w:val="00C91213"/>
    <w:rsid w:val="00CB0C27"/>
    <w:rsid w:val="00CB3DA6"/>
    <w:rsid w:val="00CC0542"/>
    <w:rsid w:val="00CD1036"/>
    <w:rsid w:val="00CD38C6"/>
    <w:rsid w:val="00CD5642"/>
    <w:rsid w:val="00CF2843"/>
    <w:rsid w:val="00CF7A21"/>
    <w:rsid w:val="00D12E16"/>
    <w:rsid w:val="00D13AEA"/>
    <w:rsid w:val="00D22826"/>
    <w:rsid w:val="00D34ECA"/>
    <w:rsid w:val="00D35CA1"/>
    <w:rsid w:val="00D460A4"/>
    <w:rsid w:val="00D56210"/>
    <w:rsid w:val="00D62588"/>
    <w:rsid w:val="00D66440"/>
    <w:rsid w:val="00D7240F"/>
    <w:rsid w:val="00D82A07"/>
    <w:rsid w:val="00DA097F"/>
    <w:rsid w:val="00DA1AB0"/>
    <w:rsid w:val="00DB47F6"/>
    <w:rsid w:val="00DC1CE6"/>
    <w:rsid w:val="00DD150F"/>
    <w:rsid w:val="00DD4C21"/>
    <w:rsid w:val="00DD72C4"/>
    <w:rsid w:val="00DE4C77"/>
    <w:rsid w:val="00DF3270"/>
    <w:rsid w:val="00E17306"/>
    <w:rsid w:val="00E261A6"/>
    <w:rsid w:val="00E2625A"/>
    <w:rsid w:val="00E36C67"/>
    <w:rsid w:val="00E40AFE"/>
    <w:rsid w:val="00E60877"/>
    <w:rsid w:val="00E6140A"/>
    <w:rsid w:val="00E82FDD"/>
    <w:rsid w:val="00E86E29"/>
    <w:rsid w:val="00E94C47"/>
    <w:rsid w:val="00E97701"/>
    <w:rsid w:val="00EA0414"/>
    <w:rsid w:val="00EB790D"/>
    <w:rsid w:val="00EC2C34"/>
    <w:rsid w:val="00EC7CA6"/>
    <w:rsid w:val="00ED0E8A"/>
    <w:rsid w:val="00F03EC5"/>
    <w:rsid w:val="00F329A1"/>
    <w:rsid w:val="00F359AC"/>
    <w:rsid w:val="00F370F2"/>
    <w:rsid w:val="00F4648F"/>
    <w:rsid w:val="00F502D4"/>
    <w:rsid w:val="00F6258E"/>
    <w:rsid w:val="00F676FF"/>
    <w:rsid w:val="00F72527"/>
    <w:rsid w:val="00F85BD2"/>
    <w:rsid w:val="00FA5E78"/>
    <w:rsid w:val="00FB35BF"/>
    <w:rsid w:val="00FB5745"/>
    <w:rsid w:val="00FB695E"/>
    <w:rsid w:val="00FD4F2B"/>
    <w:rsid w:val="00FE7C67"/>
    <w:rsid w:val="00FF31DB"/>
    <w:rsid w:val="00FF36CF"/>
    <w:rsid w:val="00FF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F676FF"/>
    <w:pPr>
      <w:spacing w:after="0" w:line="240" w:lineRule="auto"/>
    </w:pPr>
    <w:rPr>
      <w:sz w:val="20"/>
      <w:szCs w:val="20"/>
    </w:rPr>
  </w:style>
  <w:style w:type="character" w:customStyle="1" w:styleId="FootnoteTextChar">
    <w:name w:val="Footnote Text Char"/>
    <w:basedOn w:val="DefaultParagraphFont"/>
    <w:link w:val="FootnoteText"/>
    <w:uiPriority w:val="99"/>
    <w:rsid w:val="00F676FF"/>
    <w:rPr>
      <w:sz w:val="20"/>
      <w:szCs w:val="20"/>
    </w:rPr>
  </w:style>
  <w:style w:type="character" w:styleId="FootnoteReference">
    <w:name w:val="footnote reference"/>
    <w:basedOn w:val="DefaultParagraphFont"/>
    <w:uiPriority w:val="99"/>
    <w:semiHidden/>
    <w:unhideWhenUsed/>
    <w:rsid w:val="00F676FF"/>
    <w:rPr>
      <w:vertAlign w:val="superscript"/>
    </w:rPr>
  </w:style>
  <w:style w:type="paragraph" w:styleId="ListParagraph">
    <w:name w:val="List Paragraph"/>
    <w:basedOn w:val="Normal"/>
    <w:uiPriority w:val="34"/>
    <w:qFormat/>
    <w:rsid w:val="004646A7"/>
    <w:pPr>
      <w:ind w:left="720"/>
      <w:contextualSpacing/>
    </w:pPr>
  </w:style>
  <w:style w:type="paragraph" w:styleId="BalloonText">
    <w:name w:val="Balloon Text"/>
    <w:basedOn w:val="Normal"/>
    <w:link w:val="BalloonTextChar"/>
    <w:uiPriority w:val="99"/>
    <w:semiHidden/>
    <w:unhideWhenUsed/>
    <w:rsid w:val="00D3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CA1"/>
    <w:rPr>
      <w:rFonts w:ascii="Tahoma" w:hAnsi="Tahoma" w:cs="Tahoma"/>
      <w:sz w:val="16"/>
      <w:szCs w:val="16"/>
    </w:rPr>
  </w:style>
  <w:style w:type="paragraph" w:styleId="Header">
    <w:name w:val="header"/>
    <w:basedOn w:val="Normal"/>
    <w:link w:val="HeaderChar"/>
    <w:uiPriority w:val="99"/>
    <w:unhideWhenUsed/>
    <w:rsid w:val="004A1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465"/>
  </w:style>
  <w:style w:type="paragraph" w:styleId="Footer">
    <w:name w:val="footer"/>
    <w:basedOn w:val="Normal"/>
    <w:link w:val="FooterChar"/>
    <w:uiPriority w:val="99"/>
    <w:unhideWhenUsed/>
    <w:rsid w:val="004A1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F676FF"/>
    <w:pPr>
      <w:spacing w:after="0" w:line="240" w:lineRule="auto"/>
    </w:pPr>
    <w:rPr>
      <w:sz w:val="20"/>
      <w:szCs w:val="20"/>
    </w:rPr>
  </w:style>
  <w:style w:type="character" w:customStyle="1" w:styleId="FootnoteTextChar">
    <w:name w:val="Footnote Text Char"/>
    <w:basedOn w:val="DefaultParagraphFont"/>
    <w:link w:val="FootnoteText"/>
    <w:uiPriority w:val="99"/>
    <w:rsid w:val="00F676FF"/>
    <w:rPr>
      <w:sz w:val="20"/>
      <w:szCs w:val="20"/>
    </w:rPr>
  </w:style>
  <w:style w:type="character" w:styleId="FootnoteReference">
    <w:name w:val="footnote reference"/>
    <w:basedOn w:val="DefaultParagraphFont"/>
    <w:uiPriority w:val="99"/>
    <w:semiHidden/>
    <w:unhideWhenUsed/>
    <w:rsid w:val="00F676FF"/>
    <w:rPr>
      <w:vertAlign w:val="superscript"/>
    </w:rPr>
  </w:style>
  <w:style w:type="paragraph" w:styleId="ListParagraph">
    <w:name w:val="List Paragraph"/>
    <w:basedOn w:val="Normal"/>
    <w:uiPriority w:val="34"/>
    <w:qFormat/>
    <w:rsid w:val="004646A7"/>
    <w:pPr>
      <w:ind w:left="720"/>
      <w:contextualSpacing/>
    </w:pPr>
  </w:style>
  <w:style w:type="paragraph" w:styleId="BalloonText">
    <w:name w:val="Balloon Text"/>
    <w:basedOn w:val="Normal"/>
    <w:link w:val="BalloonTextChar"/>
    <w:uiPriority w:val="99"/>
    <w:semiHidden/>
    <w:unhideWhenUsed/>
    <w:rsid w:val="00D3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CA1"/>
    <w:rPr>
      <w:rFonts w:ascii="Tahoma" w:hAnsi="Tahoma" w:cs="Tahoma"/>
      <w:sz w:val="16"/>
      <w:szCs w:val="16"/>
    </w:rPr>
  </w:style>
  <w:style w:type="paragraph" w:styleId="Header">
    <w:name w:val="header"/>
    <w:basedOn w:val="Normal"/>
    <w:link w:val="HeaderChar"/>
    <w:uiPriority w:val="99"/>
    <w:unhideWhenUsed/>
    <w:rsid w:val="004A1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465"/>
  </w:style>
  <w:style w:type="paragraph" w:styleId="Footer">
    <w:name w:val="footer"/>
    <w:basedOn w:val="Normal"/>
    <w:link w:val="FooterChar"/>
    <w:uiPriority w:val="99"/>
    <w:unhideWhenUsed/>
    <w:rsid w:val="004A1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AE03-3DC4-41C5-90A6-3536123E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7410</Words>
  <Characters>42243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Stuart-Buttle</dc:creator>
  <cp:lastModifiedBy>Tim Stuart-Buttle</cp:lastModifiedBy>
  <cp:revision>8</cp:revision>
  <cp:lastPrinted>2017-06-30T15:00:00Z</cp:lastPrinted>
  <dcterms:created xsi:type="dcterms:W3CDTF">2017-06-20T12:48:00Z</dcterms:created>
  <dcterms:modified xsi:type="dcterms:W3CDTF">2017-08-01T15:01:00Z</dcterms:modified>
</cp:coreProperties>
</file>