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686" w:rsidRPr="00807F2B" w:rsidRDefault="00655686" w:rsidP="00655686">
      <w:pPr>
        <w:spacing w:afterLines="160" w:after="384" w:line="360" w:lineRule="auto"/>
        <w:jc w:val="center"/>
        <w:rPr>
          <w:rFonts w:ascii="Times New Roman" w:hAnsi="Times New Roman" w:cs="Times New Roman"/>
          <w:b/>
        </w:rPr>
      </w:pPr>
      <w:r w:rsidRPr="00807F2B">
        <w:rPr>
          <w:rFonts w:ascii="Times New Roman" w:hAnsi="Times New Roman" w:cs="Times New Roman"/>
          <w:b/>
        </w:rPr>
        <w:t>Supplementary Materials</w:t>
      </w:r>
    </w:p>
    <w:p w:rsidR="00655686" w:rsidRPr="00807F2B" w:rsidRDefault="00655686" w:rsidP="00655686">
      <w:pPr>
        <w:spacing w:afterLines="160" w:after="384" w:line="360" w:lineRule="auto"/>
        <w:rPr>
          <w:rFonts w:ascii="Times New Roman" w:hAnsi="Times New Roman" w:cs="Times New Roman"/>
          <w:b/>
        </w:rPr>
      </w:pPr>
      <w:r w:rsidRPr="00807F2B">
        <w:rPr>
          <w:rFonts w:ascii="Times New Roman" w:hAnsi="Times New Roman" w:cs="Times New Roman"/>
          <w:b/>
        </w:rPr>
        <w:t>Supplementary Analysis 1. ATL analyses based on coordinates from Rice et al., 2018</w:t>
      </w:r>
      <w:r>
        <w:rPr>
          <w:rFonts w:ascii="Times New Roman" w:hAnsi="Times New Roman" w:cs="Times New Roman"/>
          <w:b/>
        </w:rPr>
        <w:t>b</w:t>
      </w:r>
      <w:r w:rsidRPr="00807F2B">
        <w:rPr>
          <w:rFonts w:ascii="Times New Roman" w:hAnsi="Times New Roman" w:cs="Times New Roman"/>
          <w:b/>
        </w:rPr>
        <w:t>.</w:t>
      </w: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t>We used spatially identical LH and RH seeds in our main analysis, derived by flipping left-lateralised semantic sites into the RH. This method allowed for consistency across sites, since not all RH regions show a semantic response. However, a RH region important for semantic processing has been identified for the ATL (Rice et al., 2018</w:t>
      </w:r>
      <w:r>
        <w:rPr>
          <w:rFonts w:ascii="Times New Roman" w:hAnsi="Times New Roman" w:cs="Times New Roman"/>
        </w:rPr>
        <w:t>b</w:t>
      </w:r>
      <w:r w:rsidRPr="00807F2B">
        <w:rPr>
          <w:rFonts w:ascii="Times New Roman" w:hAnsi="Times New Roman" w:cs="Times New Roman"/>
        </w:rPr>
        <w:t>), consistent with the putative bilateral nature of this semantic component (Rice et al., 2015a, 2015b, Lambon Ralph et al., 2017), and this RH ATL (MNI: 44, -11, -36) peak is in a slightly different location from the one in our main analysis (MNI coordinates: 41, -15, -31). We therefore replicated our analysis using the task-based right ATL co-ordinates reported by Rice et al. Figure S1 below shows a comparison of the connectivity patterns for these two right ATL sites.</w:t>
      </w:r>
    </w:p>
    <w:p w:rsidR="00655686" w:rsidRPr="00807F2B" w:rsidRDefault="00655686" w:rsidP="00655686">
      <w:pPr>
        <w:spacing w:afterLines="160" w:after="384" w:line="360" w:lineRule="auto"/>
        <w:rPr>
          <w:rFonts w:ascii="Times New Roman" w:hAnsi="Times New Roman" w:cs="Times New Roman"/>
        </w:rPr>
      </w:pPr>
      <w:bookmarkStart w:id="0" w:name="_GoBack"/>
      <w:bookmarkEnd w:id="0"/>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noProof/>
          <w:lang w:eastAsia="en-GB"/>
        </w:rPr>
        <w:drawing>
          <wp:inline distT="0" distB="0" distL="0" distR="0" wp14:anchorId="7DB3A1AA" wp14:editId="6F4E038C">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rsidR="00655686" w:rsidRPr="00807F2B" w:rsidRDefault="00655686" w:rsidP="00655686">
      <w:pPr>
        <w:spacing w:afterLines="160" w:after="384" w:line="240" w:lineRule="auto"/>
        <w:rPr>
          <w:rFonts w:ascii="Times New Roman" w:hAnsi="Times New Roman" w:cs="Times New Roman"/>
        </w:rPr>
      </w:pPr>
      <w:r w:rsidRPr="00807F2B">
        <w:rPr>
          <w:rFonts w:ascii="Times New Roman" w:hAnsi="Times New Roman" w:cs="Times New Roman"/>
        </w:rPr>
        <w:t>Figure S1. Connectivity for right ATL comparing two seed locations. Top row: data from our main analysis, using a seed derived by sign-flipping the ventral ATL peak in LH to RH. Bottom row: alternative RH site localising the semantic peak in right ATL using task activation data reported by Rice et al. (2018</w:t>
      </w:r>
      <w:r>
        <w:rPr>
          <w:rFonts w:ascii="Times New Roman" w:hAnsi="Times New Roman" w:cs="Times New Roman"/>
        </w:rPr>
        <w:t>b</w:t>
      </w:r>
      <w:r w:rsidRPr="00807F2B">
        <w:rPr>
          <w:rFonts w:ascii="Times New Roman" w:hAnsi="Times New Roman" w:cs="Times New Roman"/>
        </w:rPr>
        <w:t xml:space="preserve">). </w:t>
      </w:r>
    </w:p>
    <w:p w:rsidR="00655686" w:rsidRPr="00807F2B" w:rsidRDefault="00655686" w:rsidP="00655686">
      <w:pPr>
        <w:spacing w:afterLines="160" w:after="384" w:line="360" w:lineRule="auto"/>
        <w:rPr>
          <w:rFonts w:ascii="Times New Roman" w:hAnsi="Times New Roman" w:cs="Times New Roman"/>
        </w:rPr>
      </w:pP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lastRenderedPageBreak/>
        <w:t>A comparison of the connectivity of our sign-flipped homotope with Rice et al.’s alternative site reveals a high similarity. The maps are highly correlated (r = .7). Both seeds show intrinsic connectivity with bilateral ATL, inferior parietal, bilateral medial temporal and ventromedial prefrontal cortex. The seed functionally localised by Rice et al. (2018</w:t>
      </w:r>
      <w:r>
        <w:rPr>
          <w:rFonts w:ascii="Times New Roman" w:hAnsi="Times New Roman" w:cs="Times New Roman"/>
        </w:rPr>
        <w:t>b</w:t>
      </w:r>
      <w:r w:rsidRPr="00807F2B">
        <w:rPr>
          <w:rFonts w:ascii="Times New Roman" w:hAnsi="Times New Roman" w:cs="Times New Roman"/>
        </w:rPr>
        <w:t xml:space="preserve">), unlike our sign-flipped homotope, also shows connectivity with dorsomedial prefrontal cortex, in line with the results reported by </w:t>
      </w:r>
      <w:r w:rsidRPr="002069D6">
        <w:rPr>
          <w:rFonts w:ascii="Times New Roman" w:hAnsi="Times New Roman" w:cs="Times New Roman"/>
        </w:rPr>
        <w:t>Jackson et al. (2016).</w:t>
      </w: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t>Next, we examined the effects of seed selection on the difference analysis comparing the connectivity of left and right ATL presented in Figure 5 (Supplementary Figure S2 below). There were more extensive differences in connectivity when left ATL was compared with the functional peak for right ATL (taken from Rice et al., 2018</w:t>
      </w:r>
      <w:r>
        <w:rPr>
          <w:rFonts w:ascii="Times New Roman" w:hAnsi="Times New Roman" w:cs="Times New Roman"/>
        </w:rPr>
        <w:t>b</w:t>
      </w:r>
      <w:r w:rsidRPr="00807F2B">
        <w:rPr>
          <w:rFonts w:ascii="Times New Roman" w:hAnsi="Times New Roman" w:cs="Times New Roman"/>
        </w:rPr>
        <w:t>), compared with the sign-flipped homotope used in the main analysis. However, this may have reflected differences in the spatial localisation of these seeds, since the connectivity of ATL changes from medial to lateral and from anterior to posterior regions. For our RH (flipped) &gt; LH contrast, we observe greater involvement of the contralateral hemisphere (where RH&gt;LH connectivity differences were absent for our sign-flipped homotope), as well as more anterior frontal and medial connectivity differences across hemispheres.</w:t>
      </w: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noProof/>
          <w:lang w:eastAsia="en-GB"/>
        </w:rPr>
        <w:lastRenderedPageBreak/>
        <w:drawing>
          <wp:inline distT="0" distB="0" distL="0" distR="0" wp14:anchorId="1EEAF764" wp14:editId="37216F9A">
            <wp:extent cx="5731510" cy="5731510"/>
            <wp:effectExtent l="0" t="0" r="2540" b="2540"/>
            <wp:docPr id="5" name="Picture 5" descr="C:\Users\trga500\Google Drive\Publications\Laterality_Cohort_RS\Submission_Final\Reviewers\Figures\Figure 5\Figure_5_Rev_Comp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ga500\Google Drive\Publications\Laterality_Cohort_RS\Submission_Final\Reviewers\Figures\Figure 5\Figure_5_Rev_Compa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655686" w:rsidRPr="00807F2B" w:rsidRDefault="00655686" w:rsidP="00655686">
      <w:pPr>
        <w:spacing w:afterLines="160" w:after="384" w:line="240" w:lineRule="auto"/>
        <w:rPr>
          <w:rFonts w:ascii="Times New Roman" w:hAnsi="Times New Roman" w:cs="Times New Roman"/>
        </w:rPr>
      </w:pPr>
      <w:r w:rsidRPr="00807F2B">
        <w:rPr>
          <w:rFonts w:ascii="Times New Roman" w:hAnsi="Times New Roman" w:cs="Times New Roman"/>
        </w:rPr>
        <w:t>Figure S2. Comparison of intrinsic connectivity difference maps for our sign-flipped homotope and Rice’s (2018) right ATL coordinate.</w:t>
      </w:r>
    </w:p>
    <w:p w:rsidR="00655686" w:rsidRPr="00807F2B" w:rsidRDefault="00655686" w:rsidP="00655686">
      <w:pPr>
        <w:spacing w:afterLines="160" w:after="384" w:line="360" w:lineRule="auto"/>
        <w:rPr>
          <w:rFonts w:ascii="Times New Roman" w:hAnsi="Times New Roman" w:cs="Times New Roman"/>
        </w:rPr>
      </w:pP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t>We examined the effect that our selection of the ATL seed had on the correlations and equivalence testing reported in Table 2 (main analysis). We recomputed the relevant correlations and equivalence tests for the pairs involving the ATL seed (namely, IFG, pMTG and AG to ATL, as well as L-ATL to R-ATL). The results, shown in Table S1 reveal greater similarity between IFG and ATL for Rice’s RH ATL seed, and greater differences between ATL and AG, and ATL and pMTG. A new finding was that connectivity between left pMTG and left ATL was significantly higher than between right pMTG and right ATL using the seed from Rice et al. (2018</w:t>
      </w:r>
      <w:r>
        <w:rPr>
          <w:rFonts w:ascii="Times New Roman" w:hAnsi="Times New Roman" w:cs="Times New Roman"/>
        </w:rPr>
        <w:t>b</w:t>
      </w:r>
      <w:r w:rsidRPr="00807F2B">
        <w:rPr>
          <w:rFonts w:ascii="Times New Roman" w:hAnsi="Times New Roman" w:cs="Times New Roman"/>
        </w:rPr>
        <w:t xml:space="preserve">) – this finding was not observed with the </w:t>
      </w:r>
      <w:r w:rsidRPr="00807F2B">
        <w:rPr>
          <w:rFonts w:ascii="Times New Roman" w:hAnsi="Times New Roman" w:cs="Times New Roman"/>
        </w:rPr>
        <w:lastRenderedPageBreak/>
        <w:t>RH homotope seed. Unsurprisingly, there was stronger similarity between the connectivity patterns of left and right ATL using the sign-flipped homotope (Pearson’s r = 0.85) than for Rice’s alternative ROI (r = 0.61).</w:t>
      </w:r>
    </w:p>
    <w:p w:rsidR="00655686" w:rsidRPr="00807F2B" w:rsidRDefault="00655686" w:rsidP="00655686">
      <w:pPr>
        <w:spacing w:afterLines="160" w:after="384" w:line="360" w:lineRule="auto"/>
        <w:rPr>
          <w:rFonts w:ascii="Times New Roman" w:hAnsi="Times New Roman" w:cs="Times New Roman"/>
        </w:rPr>
      </w:pPr>
    </w:p>
    <w:tbl>
      <w:tblPr>
        <w:tblStyle w:val="PlainTable22"/>
        <w:tblW w:w="9180" w:type="dxa"/>
        <w:tblLook w:val="04A0" w:firstRow="1" w:lastRow="0" w:firstColumn="1" w:lastColumn="0" w:noHBand="0" w:noVBand="1"/>
      </w:tblPr>
      <w:tblGrid>
        <w:gridCol w:w="3663"/>
        <w:gridCol w:w="160"/>
        <w:gridCol w:w="541"/>
        <w:gridCol w:w="167"/>
        <w:gridCol w:w="779"/>
        <w:gridCol w:w="106"/>
        <w:gridCol w:w="1514"/>
        <w:gridCol w:w="58"/>
        <w:gridCol w:w="2192"/>
      </w:tblGrid>
      <w:tr w:rsidR="00655686" w:rsidRPr="00807F2B" w:rsidTr="00675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gridSpan w:val="2"/>
          </w:tcPr>
          <w:p w:rsidR="00655686" w:rsidRPr="00807F2B" w:rsidRDefault="00655686" w:rsidP="00675FBD">
            <w:pPr>
              <w:spacing w:afterLines="50" w:after="120"/>
              <w:rPr>
                <w:rFonts w:ascii="Times New Roman" w:hAnsi="Times New Roman" w:cs="Times New Roman"/>
                <w:b w:val="0"/>
                <w:bCs w:val="0"/>
              </w:rPr>
            </w:pPr>
          </w:p>
        </w:tc>
        <w:tc>
          <w:tcPr>
            <w:tcW w:w="708" w:type="dxa"/>
            <w:gridSpan w:val="2"/>
          </w:tcPr>
          <w:p w:rsidR="00655686" w:rsidRPr="00807F2B" w:rsidRDefault="00655686" w:rsidP="00675FBD">
            <w:pPr>
              <w:spacing w:afterLines="5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07F2B">
              <w:rPr>
                <w:rFonts w:ascii="Times New Roman" w:hAnsi="Times New Roman" w:cs="Times New Roman"/>
                <w:b w:val="0"/>
                <w:bCs w:val="0"/>
              </w:rPr>
              <w:t>LH</w:t>
            </w:r>
          </w:p>
        </w:tc>
        <w:tc>
          <w:tcPr>
            <w:tcW w:w="779" w:type="dxa"/>
          </w:tcPr>
          <w:p w:rsidR="00655686" w:rsidRPr="00807F2B" w:rsidRDefault="00655686" w:rsidP="00675FBD">
            <w:pPr>
              <w:spacing w:afterLines="5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07F2B">
              <w:rPr>
                <w:rFonts w:ascii="Times New Roman" w:hAnsi="Times New Roman" w:cs="Times New Roman"/>
                <w:b w:val="0"/>
                <w:bCs w:val="0"/>
              </w:rPr>
              <w:t>RH</w:t>
            </w:r>
          </w:p>
        </w:tc>
        <w:tc>
          <w:tcPr>
            <w:tcW w:w="1620" w:type="dxa"/>
            <w:gridSpan w:val="2"/>
          </w:tcPr>
          <w:p w:rsidR="00655686" w:rsidRPr="00807F2B" w:rsidRDefault="00655686" w:rsidP="00675FBD">
            <w:pPr>
              <w:spacing w:afterLines="5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07F2B">
              <w:rPr>
                <w:rFonts w:ascii="Times New Roman" w:hAnsi="Times New Roman" w:cs="Times New Roman"/>
                <w:b w:val="0"/>
                <w:bCs w:val="0"/>
              </w:rPr>
              <w:t>LH vs. RH: Fisher r to z</w:t>
            </w:r>
          </w:p>
        </w:tc>
        <w:tc>
          <w:tcPr>
            <w:tcW w:w="2250" w:type="dxa"/>
            <w:gridSpan w:val="2"/>
          </w:tcPr>
          <w:p w:rsidR="00655686" w:rsidRPr="00807F2B" w:rsidRDefault="00655686" w:rsidP="00675FBD">
            <w:pPr>
              <w:spacing w:afterLines="50"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07F2B">
              <w:rPr>
                <w:rFonts w:ascii="Times New Roman" w:hAnsi="Times New Roman" w:cs="Times New Roman"/>
                <w:b w:val="0"/>
                <w:bCs w:val="0"/>
              </w:rPr>
              <w:t>Equivalence test for difference in r (TOST)</w:t>
            </w:r>
          </w:p>
        </w:tc>
      </w:tr>
      <w:tr w:rsidR="00655686" w:rsidRPr="00807F2B" w:rsidTr="0067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655686" w:rsidRPr="00807F2B" w:rsidRDefault="00655686" w:rsidP="00675FBD">
            <w:pPr>
              <w:spacing w:afterLines="50" w:after="120"/>
              <w:rPr>
                <w:rFonts w:ascii="Times New Roman" w:hAnsi="Times New Roman" w:cs="Times New Roman"/>
                <w:b w:val="0"/>
                <w:bCs w:val="0"/>
              </w:rPr>
            </w:pPr>
            <w:r w:rsidRPr="00807F2B">
              <w:rPr>
                <w:rFonts w:ascii="Times New Roman" w:hAnsi="Times New Roman" w:cs="Times New Roman"/>
                <w:b w:val="0"/>
                <w:bCs w:val="0"/>
              </w:rPr>
              <w:t>IFG to ATL</w:t>
            </w:r>
          </w:p>
        </w:tc>
        <w:tc>
          <w:tcPr>
            <w:tcW w:w="701" w:type="dxa"/>
            <w:gridSpan w:val="2"/>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.129</w:t>
            </w:r>
          </w:p>
        </w:tc>
        <w:tc>
          <w:tcPr>
            <w:tcW w:w="1052" w:type="dxa"/>
            <w:gridSpan w:val="3"/>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.107</w:t>
            </w:r>
          </w:p>
        </w:tc>
        <w:tc>
          <w:tcPr>
            <w:tcW w:w="1572" w:type="dxa"/>
            <w:gridSpan w:val="2"/>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z=0.22, p&gt;.1</w:t>
            </w:r>
          </w:p>
        </w:tc>
        <w:tc>
          <w:tcPr>
            <w:tcW w:w="2192" w:type="dxa"/>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r(194)=0.02, p=.004</w:t>
            </w:r>
          </w:p>
        </w:tc>
      </w:tr>
      <w:tr w:rsidR="00655686" w:rsidRPr="00807F2B" w:rsidTr="00675FBD">
        <w:tc>
          <w:tcPr>
            <w:cnfStyle w:val="001000000000" w:firstRow="0" w:lastRow="0" w:firstColumn="1" w:lastColumn="0" w:oddVBand="0" w:evenVBand="0" w:oddHBand="0" w:evenHBand="0" w:firstRowFirstColumn="0" w:firstRowLastColumn="0" w:lastRowFirstColumn="0" w:lastRowLastColumn="0"/>
            <w:tcW w:w="3663" w:type="dxa"/>
          </w:tcPr>
          <w:p w:rsidR="00655686" w:rsidRPr="00807F2B" w:rsidRDefault="00655686" w:rsidP="00675FBD">
            <w:pPr>
              <w:spacing w:afterLines="50" w:after="120"/>
              <w:rPr>
                <w:rFonts w:ascii="Times New Roman" w:hAnsi="Times New Roman" w:cs="Times New Roman"/>
                <w:b w:val="0"/>
                <w:bCs w:val="0"/>
              </w:rPr>
            </w:pPr>
            <w:r w:rsidRPr="00807F2B">
              <w:rPr>
                <w:rFonts w:ascii="Times New Roman" w:hAnsi="Times New Roman" w:cs="Times New Roman"/>
                <w:b w:val="0"/>
                <w:bCs w:val="0"/>
              </w:rPr>
              <w:t>pMTG to ATL</w:t>
            </w:r>
          </w:p>
        </w:tc>
        <w:tc>
          <w:tcPr>
            <w:tcW w:w="701" w:type="dxa"/>
            <w:gridSpan w:val="2"/>
          </w:tcPr>
          <w:p w:rsidR="00655686" w:rsidRPr="00807F2B" w:rsidRDefault="00655686" w:rsidP="00675FBD">
            <w:pPr>
              <w:spacing w:afterLines="5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.298</w:t>
            </w:r>
          </w:p>
        </w:tc>
        <w:tc>
          <w:tcPr>
            <w:tcW w:w="1052" w:type="dxa"/>
            <w:gridSpan w:val="3"/>
          </w:tcPr>
          <w:p w:rsidR="00655686" w:rsidRPr="00807F2B" w:rsidRDefault="00655686" w:rsidP="00675FBD">
            <w:pPr>
              <w:spacing w:afterLines="5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.092</w:t>
            </w:r>
          </w:p>
        </w:tc>
        <w:tc>
          <w:tcPr>
            <w:tcW w:w="1572" w:type="dxa"/>
            <w:gridSpan w:val="2"/>
          </w:tcPr>
          <w:p w:rsidR="00655686" w:rsidRPr="00807F2B" w:rsidRDefault="00655686" w:rsidP="00675FBD">
            <w:pPr>
              <w:spacing w:afterLines="5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7F2B">
              <w:rPr>
                <w:rFonts w:ascii="Times New Roman" w:hAnsi="Times New Roman" w:cs="Times New Roman"/>
                <w:b/>
              </w:rPr>
              <w:t>z=2.11, p&lt;.05</w:t>
            </w:r>
          </w:p>
        </w:tc>
        <w:tc>
          <w:tcPr>
            <w:tcW w:w="2192" w:type="dxa"/>
          </w:tcPr>
          <w:p w:rsidR="00655686" w:rsidRPr="00807F2B" w:rsidRDefault="00655686" w:rsidP="00675FBD">
            <w:pPr>
              <w:spacing w:afterLines="5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07F2B">
              <w:rPr>
                <w:rFonts w:ascii="Times New Roman" w:hAnsi="Times New Roman" w:cs="Times New Roman"/>
                <w:b/>
              </w:rPr>
              <w:t>r(194)=0.21, p=.491</w:t>
            </w:r>
          </w:p>
        </w:tc>
      </w:tr>
      <w:tr w:rsidR="00655686" w:rsidRPr="00807F2B" w:rsidTr="00675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655686" w:rsidRPr="00807F2B" w:rsidRDefault="00655686" w:rsidP="00675FBD">
            <w:pPr>
              <w:spacing w:afterLines="50" w:after="120"/>
              <w:rPr>
                <w:rFonts w:ascii="Times New Roman" w:hAnsi="Times New Roman" w:cs="Times New Roman"/>
                <w:b w:val="0"/>
                <w:bCs w:val="0"/>
              </w:rPr>
            </w:pPr>
            <w:r w:rsidRPr="00807F2B">
              <w:rPr>
                <w:rFonts w:ascii="Times New Roman" w:hAnsi="Times New Roman" w:cs="Times New Roman"/>
                <w:b w:val="0"/>
                <w:bCs w:val="0"/>
              </w:rPr>
              <w:t>ATL to AG</w:t>
            </w:r>
          </w:p>
        </w:tc>
        <w:tc>
          <w:tcPr>
            <w:tcW w:w="701" w:type="dxa"/>
            <w:gridSpan w:val="2"/>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.141</w:t>
            </w:r>
          </w:p>
        </w:tc>
        <w:tc>
          <w:tcPr>
            <w:tcW w:w="1052" w:type="dxa"/>
            <w:gridSpan w:val="3"/>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.055</w:t>
            </w:r>
          </w:p>
        </w:tc>
        <w:tc>
          <w:tcPr>
            <w:tcW w:w="1572" w:type="dxa"/>
            <w:gridSpan w:val="2"/>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z=0.85, p&gt;.1</w:t>
            </w:r>
          </w:p>
        </w:tc>
        <w:tc>
          <w:tcPr>
            <w:tcW w:w="2192" w:type="dxa"/>
          </w:tcPr>
          <w:p w:rsidR="00655686" w:rsidRPr="00807F2B" w:rsidRDefault="00655686" w:rsidP="00675FBD">
            <w:pPr>
              <w:spacing w:afterLines="5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07F2B">
              <w:rPr>
                <w:rFonts w:ascii="Times New Roman" w:hAnsi="Times New Roman" w:cs="Times New Roman"/>
              </w:rPr>
              <w:t>r(194)=0.09, p=.042</w:t>
            </w:r>
          </w:p>
        </w:tc>
      </w:tr>
    </w:tbl>
    <w:p w:rsidR="00655686" w:rsidRPr="00807F2B" w:rsidRDefault="00655686" w:rsidP="00655686">
      <w:pPr>
        <w:spacing w:afterLines="160" w:after="384" w:line="240" w:lineRule="auto"/>
        <w:rPr>
          <w:rFonts w:ascii="Times New Roman" w:hAnsi="Times New Roman" w:cs="Times New Roman"/>
        </w:rPr>
      </w:pPr>
      <w:r w:rsidRPr="00807F2B">
        <w:rPr>
          <w:rFonts w:ascii="Times New Roman" w:hAnsi="Times New Roman" w:cs="Times New Roman"/>
        </w:rPr>
        <w:t xml:space="preserve">Table S1. Within-hemisphere correlations for the new ATL group mean connectivity maps derived from </w:t>
      </w:r>
      <w:r w:rsidRPr="00807F2B">
        <w:rPr>
          <w:rFonts w:ascii="Times New Roman" w:hAnsi="Times New Roman" w:cs="Times New Roman"/>
        </w:rPr>
        <w:fldChar w:fldCharType="begin" w:fldLock="1"/>
      </w:r>
      <w:r>
        <w:rPr>
          <w:rFonts w:ascii="Times New Roman" w:hAnsi="Times New Roman" w:cs="Times New Roman"/>
        </w:rPr>
        <w:instrText>ADDIN CSL_CITATION {"citationItems":[{"id":"ITEM-1","itemData":{"DOI":"10.1098/rstb.2017.0136","ISBN":"0000000159","ISSN":"1471-2970","abstract":"The anterior temporal lobes (ATLs) play a key role in conceptual knowledge representation. The hub-and-spoke theory suggests that the contribution of the ATLs to semantic representation is (a) transmodal, i.e. integrating information from multiple sensorimotor and verbal modalities, and (b) pancategorical, representing concepts from all categories. Another literature, however, suggests that this region’s responses are modality- and categoryselective; prominent examples include category selectivity for socially relevant concepts and face recognition. The predictions of each approach have never been directly compared. We used data from three studies to compare category-selective responses within the ATLs. Study 1 compared ATL responses to famous people versus another conceptual category (landmarks) from visual versus auditory inputs. Study 2 compared ATL responses to famous people from pictorial and written word inputs. Study 3 compared ATL responses to a different kind of socially relevant stimuli, namely abstract non-person-related words, in order to ascertain whether ATL subregions are engaged for social concepts more generally or only for personrelated knowledge. Across all three studies a dominant bilateral ventral ATL cluster responded to all categories in all modalities. Anterior to this ‘pan-category’ transmodal region, a second cluster responded more weakly overall yet selectively for people, but did so equally for spoken names and faces (Study 1). A third region in the anterior superior temporal gyrus responded selectively to abstract socially relevant words (Study 3), but did not respond to concrete socially relevant words (i.e. written names; Study 2). These findings can be accommodated by the graded hub-and-spoke model of concept representation. On this view, the ventral ATL is the centre point of a bilateral ATL hub, which contributes to conceptual representation through transmodal distillation of information arising from multiple modality-specific association cortices. Partial specialization occurs across the graded ATL hub as a consequence of gradedly differential connectivity across the region. This article is part of the theme issue ‘Varieties of abstract concepts: development, use and representation in the brain’","author":[{"dropping-particle":"","family":"Rice","given":"Grace E","non-dropping-particle":"","parse-names":false,"suffix":""},{"dropping-particle":"","family":"Hoffman","given":"Paul","non-dropping-particle":"","parse-names":false,"suffix":""},{"dropping-particle":"","family":"Binney","given":"Richard J","non-dropping-particle":"","parse-names":false,"suffix":""},{"dropping-particle":"","family":"Lambon Ralph","given":"Matthew A","non-dropping-particle":"","parse-names":false,"suffix":""}],"container-title":"Philos Trans R Soc Lond B Biol Sci","edition":"2018/06/18","id":"ITEM-1","issue":"1752","issued":{"date-parts":[["2018","8","5"]]},"language":"eng","page":"20170136","publisher":"The Royal Society","title":"Concrete versus abstract forms of social concept: an fMRI comparison of knowledge about people versus social terms","type":"article-journal","volume":"373"},"uris":["http://www.mendeley.com/documents/?uuid=7345185b-873f-4ca2-96cf-9e0c22339652"]}],"mendeley":{"formattedCitation":"(Rice et al., 2018b)","manualFormatting":"Rice et al. (2018b)","plainTextFormattedCitation":"(Rice et al., 2018b)","previouslyFormattedCitation":"(Rice et al., 2018b)"},"properties":{"noteIndex":0},"schema":"https://github.com/citation-style-language/schema/raw/master/csl-citation.json"}</w:instrText>
      </w:r>
      <w:r w:rsidRPr="00807F2B">
        <w:rPr>
          <w:rFonts w:ascii="Times New Roman" w:hAnsi="Times New Roman" w:cs="Times New Roman"/>
        </w:rPr>
        <w:fldChar w:fldCharType="separate"/>
      </w:r>
      <w:r w:rsidRPr="00807F2B">
        <w:rPr>
          <w:rFonts w:ascii="Times New Roman" w:hAnsi="Times New Roman" w:cs="Times New Roman"/>
          <w:noProof/>
        </w:rPr>
        <w:t>Rice et al. (2018b)</w:t>
      </w:r>
      <w:r w:rsidRPr="00807F2B">
        <w:rPr>
          <w:rFonts w:ascii="Times New Roman" w:hAnsi="Times New Roman" w:cs="Times New Roman"/>
        </w:rPr>
        <w:fldChar w:fldCharType="end"/>
      </w:r>
      <w:r w:rsidRPr="00807F2B">
        <w:rPr>
          <w:rFonts w:ascii="Times New Roman" w:hAnsi="Times New Roman" w:cs="Times New Roman"/>
        </w:rPr>
        <w:t xml:space="preserve"> compared to our three other seeds. All correlations are significant at p &lt; .001. Correlations that are different between LH and RH, and those that are not statistically equivalent across hemispheres, are highlighted in bold.</w:t>
      </w:r>
    </w:p>
    <w:p w:rsidR="00655686" w:rsidRPr="00807F2B" w:rsidRDefault="00655686" w:rsidP="00655686">
      <w:pPr>
        <w:spacing w:afterLines="160" w:after="384" w:line="360" w:lineRule="auto"/>
        <w:rPr>
          <w:rFonts w:ascii="Times New Roman" w:hAnsi="Times New Roman" w:cs="Times New Roman"/>
        </w:rPr>
      </w:pP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t>Finally, we examined the relationship between individual differences in connectivity from the alternative right ATL seed provided by Rice et al. (2018b) and behavioural performance but there were no significant results.</w:t>
      </w:r>
    </w:p>
    <w:p w:rsidR="00655686" w:rsidRPr="00807F2B" w:rsidRDefault="00655686" w:rsidP="00655686">
      <w:pPr>
        <w:spacing w:afterLines="160" w:after="384" w:line="360" w:lineRule="auto"/>
        <w:rPr>
          <w:rFonts w:ascii="Times New Roman" w:hAnsi="Times New Roman" w:cs="Times New Roman"/>
        </w:rPr>
      </w:pPr>
    </w:p>
    <w:p w:rsidR="00655686" w:rsidRPr="00807F2B" w:rsidRDefault="00655686" w:rsidP="00655686">
      <w:pPr>
        <w:spacing w:afterLines="160" w:after="384" w:line="360" w:lineRule="auto"/>
        <w:rPr>
          <w:rFonts w:ascii="Times New Roman" w:hAnsi="Times New Roman" w:cs="Times New Roman"/>
        </w:rPr>
      </w:pPr>
    </w:p>
    <w:p w:rsidR="00655686" w:rsidRPr="00807F2B" w:rsidRDefault="00655686" w:rsidP="00655686">
      <w:pPr>
        <w:spacing w:afterLines="160" w:after="384" w:line="360" w:lineRule="auto"/>
        <w:rPr>
          <w:rFonts w:ascii="Times New Roman" w:hAnsi="Times New Roman" w:cs="Times New Roman"/>
          <w:b/>
          <w:highlight w:val="red"/>
        </w:rPr>
      </w:pPr>
      <w:r w:rsidRPr="00807F2B">
        <w:rPr>
          <w:rFonts w:ascii="Times New Roman" w:hAnsi="Times New Roman" w:cs="Times New Roman"/>
          <w:b/>
          <w:highlight w:val="red"/>
        </w:rPr>
        <w:br w:type="page"/>
      </w:r>
    </w:p>
    <w:p w:rsidR="00655686" w:rsidRPr="00807F2B" w:rsidRDefault="00655686" w:rsidP="00655686">
      <w:pPr>
        <w:spacing w:afterLines="160" w:after="384" w:line="360" w:lineRule="auto"/>
        <w:rPr>
          <w:rFonts w:ascii="Times New Roman" w:hAnsi="Times New Roman" w:cs="Times New Roman"/>
          <w:b/>
        </w:rPr>
      </w:pPr>
      <w:r w:rsidRPr="00807F2B">
        <w:rPr>
          <w:rFonts w:ascii="Times New Roman" w:hAnsi="Times New Roman" w:cs="Times New Roman"/>
          <w:b/>
        </w:rPr>
        <w:lastRenderedPageBreak/>
        <w:t>Supplementary Analysis S2: Direct comparison of differential connectivity</w:t>
      </w:r>
    </w:p>
    <w:p w:rsidR="00655686" w:rsidRPr="00807F2B" w:rsidRDefault="00655686" w:rsidP="00655686">
      <w:pPr>
        <w:spacing w:afterLines="160" w:after="384" w:line="360" w:lineRule="auto"/>
        <w:rPr>
          <w:rFonts w:ascii="Times New Roman" w:hAnsi="Times New Roman" w:cs="Times New Roman"/>
          <w:b/>
        </w:rPr>
      </w:pP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noProof/>
          <w:lang w:eastAsia="en-GB"/>
        </w:rPr>
        <w:drawing>
          <wp:inline distT="0" distB="0" distL="0" distR="0" wp14:anchorId="18C32A3C" wp14:editId="1237F79F">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655686" w:rsidRPr="00807F2B" w:rsidRDefault="00655686" w:rsidP="00655686">
      <w:pPr>
        <w:keepNext/>
        <w:keepLines/>
        <w:spacing w:afterLines="160" w:after="384" w:line="240" w:lineRule="auto"/>
        <w:rPr>
          <w:rFonts w:ascii="Times New Roman" w:hAnsi="Times New Roman" w:cs="Times New Roman"/>
        </w:rPr>
      </w:pPr>
      <w:r w:rsidRPr="00807F2B">
        <w:rPr>
          <w:rFonts w:ascii="Times New Roman" w:hAnsi="Times New Roman" w:cs="Times New Roman"/>
        </w:rPr>
        <w:t xml:space="preserve">Figure S3. Intrinsic connectivity group maps showing the difference in connectivity between our semantic seeds of interest (left hemisphere) and their homotopes (right hemisphere). Each panel shows a direct comparison of left and right hemisphere seeds for a specific brain region (z = 3.1, p &lt; .05). The results of cognitive decoding using Neurosynth </w:t>
      </w:r>
      <w:r w:rsidRPr="00807F2B">
        <w:rPr>
          <w:rFonts w:ascii="Times New Roman" w:hAnsi="Times New Roman" w:cs="Times New Roman"/>
        </w:rPr>
        <w:fldChar w:fldCharType="begin" w:fldLock="1"/>
      </w:r>
      <w:r w:rsidRPr="00807F2B">
        <w:rPr>
          <w:rFonts w:ascii="Times New Roman" w:hAnsi="Times New Roman" w:cs="Times New Roman"/>
        </w:rPr>
        <w:instrText>ADDIN CSL_CITATION {"citationItems":[{"id":"ITEM-1","itemData":{"DOI":"10.1038/nmeth.1635","ISBN":"1548-7105 (Electronic)$\\$r1548-7091 (Linking)","ISSN":"1548-7105","PMID":"21706013","abstract":"The rapid growth of the literature on neuroimaging in humans has led to major advances in our understanding of human brain function but has also made it increasingly difficult to aggregate and synthesize neuroimaging findings. Here we describe and validate an automated brain-mapping framework that uses text-mining, meta-analysis and machine-learning techniques to generate a large database of mappings between neural and cognitive states. We show that our approach can be used to automatically conduct large-scale, high-quality neuroimaging meta-analyses, address long-standing inferential problems in the neuroimaging literature and support accurate 'decoding' of broad cognitive states from brain activity in both entire studies and individual human subjects. Collectively, our results have validated a powerful and generative framework for synthesizing human neuroimaging data on an unprecedented scale.","author":[{"dropping-particle":"","family":"Yarkoni","given":"Tal","non-dropping-particle":"","parse-names":false,"suffix":""},{"dropping-particle":"","family":"Poldrack","given":"Russell A","non-dropping-particle":"","parse-names":false,"suffix":""},{"dropping-particle":"","family":"Nichols","given":"Thomas E","non-dropping-particle":"","parse-names":false,"suffix":""},{"dropping-particle":"","family":"Essen","given":"David C","non-dropping-particle":"Van","parse-names":false,"suffix":""},{"dropping-particle":"","family":"Wager","given":"Tor D","non-dropping-particle":"","parse-names":false,"suffix":""}],"container-title":"Nat. Methods","id":"ITEM-1","issue":"8","issued":{"date-parts":[["2011"]]},"page":"665-670","title":"Large-scale automated synthesis of human functional neuroimaging data.","type":"article-journal","volume":"8"},"uris":["http://www.mendeley.com/documents/?uuid=c4e23555-ec22-4112-b1a5-49bf9d874bbc"]}],"mendeley":{"formattedCitation":"(Yarkoni et al., 2011)","manualFormatting":"(Yarkoni et al., 2011)","plainTextFormattedCitation":"(Yarkoni et al., 2011)","previouslyFormattedCitation":"(Yarkoni et al., 2011)"},"properties":{"noteIndex":0},"schema":"https://github.com/citation-style-language/schema/raw/master/csl-citation.json"}</w:instrText>
      </w:r>
      <w:r w:rsidRPr="00807F2B">
        <w:rPr>
          <w:rFonts w:ascii="Times New Roman" w:hAnsi="Times New Roman" w:cs="Times New Roman"/>
        </w:rPr>
        <w:fldChar w:fldCharType="separate"/>
      </w:r>
      <w:r w:rsidRPr="00807F2B">
        <w:rPr>
          <w:rFonts w:ascii="Times New Roman" w:hAnsi="Times New Roman" w:cs="Times New Roman"/>
          <w:noProof/>
        </w:rPr>
        <w:t>(Yarkoni et al., 2011)</w:t>
      </w:r>
      <w:r w:rsidRPr="00807F2B">
        <w:rPr>
          <w:rFonts w:ascii="Times New Roman" w:hAnsi="Times New Roman" w:cs="Times New Roman"/>
        </w:rPr>
        <w:fldChar w:fldCharType="end"/>
      </w:r>
      <w:r w:rsidRPr="00807F2B">
        <w:rPr>
          <w:rFonts w:ascii="Times New Roman" w:hAnsi="Times New Roman" w:cs="Times New Roman"/>
        </w:rPr>
        <w:t xml:space="preserve"> are shown in the word clouds.</w:t>
      </w:r>
    </w:p>
    <w:p w:rsidR="00655686" w:rsidRPr="00807F2B" w:rsidRDefault="00655686" w:rsidP="00655686">
      <w:pPr>
        <w:spacing w:afterLines="160" w:after="384" w:line="360" w:lineRule="auto"/>
        <w:rPr>
          <w:rFonts w:ascii="Times New Roman" w:hAnsi="Times New Roman" w:cs="Times New Roman"/>
        </w:rPr>
      </w:pPr>
      <w:r w:rsidRPr="00807F2B">
        <w:rPr>
          <w:rFonts w:ascii="Times New Roman" w:hAnsi="Times New Roman" w:cs="Times New Roman"/>
        </w:rPr>
        <w:br w:type="page"/>
      </w:r>
    </w:p>
    <w:p w:rsidR="00655686" w:rsidRPr="00807F2B" w:rsidRDefault="00655686" w:rsidP="00655686">
      <w:pPr>
        <w:keepNext/>
        <w:keepLines/>
        <w:spacing w:afterLines="160" w:after="384" w:line="360" w:lineRule="auto"/>
        <w:rPr>
          <w:rFonts w:ascii="Times New Roman" w:hAnsi="Times New Roman" w:cs="Times New Roman"/>
          <w:b/>
        </w:rPr>
      </w:pPr>
      <w:r w:rsidRPr="00807F2B">
        <w:rPr>
          <w:rFonts w:ascii="Times New Roman" w:hAnsi="Times New Roman" w:cs="Times New Roman"/>
          <w:b/>
        </w:rPr>
        <w:lastRenderedPageBreak/>
        <w:t>Supplementary Analysis S3: Conjunctions of homotopes</w:t>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 xml:space="preserve">In this supplementary analysis, we repeated our conjunction analysis (see Methods for details: we used easythresh_conj.sh with p = .05 and a cluster-forming threshold of Z=3.1) but focussing on the common connectivity shared by each LH seed and its RH homotope this time. </w:t>
      </w:r>
    </w:p>
    <w:p w:rsidR="00655686" w:rsidRPr="00807F2B" w:rsidRDefault="00655686" w:rsidP="00655686">
      <w:pPr>
        <w:keepNext/>
        <w:keepLines/>
        <w:spacing w:afterLines="160" w:after="384" w:line="360" w:lineRule="auto"/>
        <w:rPr>
          <w:rFonts w:ascii="Times New Roman" w:hAnsi="Times New Roman" w:cs="Times New Roman"/>
        </w:rPr>
      </w:pP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noProof/>
          <w:lang w:eastAsia="en-GB"/>
        </w:rPr>
        <w:drawing>
          <wp:inline distT="0" distB="0" distL="0" distR="0" wp14:anchorId="08234E9B" wp14:editId="4D8B3A7E">
            <wp:extent cx="5004000" cy="3754516"/>
            <wp:effectExtent l="0" t="0" r="6350" b="0"/>
            <wp:docPr id="18" name="Picture 18" descr="H_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_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4000" cy="3754516"/>
                    </a:xfrm>
                    <a:prstGeom prst="rect">
                      <a:avLst/>
                    </a:prstGeom>
                    <a:noFill/>
                    <a:ln>
                      <a:noFill/>
                    </a:ln>
                  </pic:spPr>
                </pic:pic>
              </a:graphicData>
            </a:graphic>
          </wp:inline>
        </w:drawing>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Figure S4. Common connectivity for left and right Angular Gyrus.</w:t>
      </w:r>
    </w:p>
    <w:p w:rsidR="00655686" w:rsidRPr="00807F2B" w:rsidRDefault="00655686" w:rsidP="00655686">
      <w:pPr>
        <w:keepNext/>
        <w:keepLines/>
        <w:spacing w:afterLines="160" w:after="384" w:line="360" w:lineRule="auto"/>
        <w:rPr>
          <w:rFonts w:ascii="Times New Roman" w:hAnsi="Times New Roman" w:cs="Times New Roman"/>
        </w:rPr>
      </w:pP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noProof/>
          <w:lang w:eastAsia="en-GB"/>
        </w:rPr>
        <w:lastRenderedPageBreak/>
        <w:drawing>
          <wp:inline distT="0" distB="0" distL="0" distR="0" wp14:anchorId="714FD7BA" wp14:editId="1F13E040">
            <wp:extent cx="5004000" cy="3768218"/>
            <wp:effectExtent l="0" t="0" r="6350" b="3810"/>
            <wp:docPr id="17" name="Picture 17" descr="H_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_AT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4000" cy="3768218"/>
                    </a:xfrm>
                    <a:prstGeom prst="rect">
                      <a:avLst/>
                    </a:prstGeom>
                    <a:noFill/>
                    <a:ln>
                      <a:noFill/>
                    </a:ln>
                  </pic:spPr>
                </pic:pic>
              </a:graphicData>
            </a:graphic>
          </wp:inline>
        </w:drawing>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 xml:space="preserve">Figure S5. Common connectivity for left and right Anterior Temporal Lobe. </w:t>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noProof/>
          <w:lang w:eastAsia="en-GB"/>
        </w:rPr>
        <w:drawing>
          <wp:inline distT="0" distB="0" distL="0" distR="0" wp14:anchorId="588EBD75" wp14:editId="770712E8">
            <wp:extent cx="5004000" cy="3754516"/>
            <wp:effectExtent l="0" t="0" r="6350" b="0"/>
            <wp:docPr id="16" name="Picture 16" descr="H_I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_IF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4000" cy="3754516"/>
                    </a:xfrm>
                    <a:prstGeom prst="rect">
                      <a:avLst/>
                    </a:prstGeom>
                    <a:noFill/>
                    <a:ln>
                      <a:noFill/>
                    </a:ln>
                  </pic:spPr>
                </pic:pic>
              </a:graphicData>
            </a:graphic>
          </wp:inline>
        </w:drawing>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Figure S6. Common connectivity for left and right Inferior Frontal Gyrus</w:t>
      </w:r>
    </w:p>
    <w:p w:rsidR="00655686" w:rsidRPr="00807F2B" w:rsidRDefault="00655686" w:rsidP="00655686">
      <w:pPr>
        <w:keepNext/>
        <w:keepLines/>
        <w:spacing w:afterLines="160" w:after="384" w:line="360" w:lineRule="auto"/>
        <w:rPr>
          <w:rFonts w:ascii="Times New Roman" w:hAnsi="Times New Roman" w:cs="Times New Roman"/>
        </w:rPr>
      </w:pP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noProof/>
          <w:lang w:eastAsia="en-GB"/>
        </w:rPr>
        <w:drawing>
          <wp:inline distT="0" distB="0" distL="0" distR="0" wp14:anchorId="656D5394" wp14:editId="2E2C3400">
            <wp:extent cx="5004000" cy="3754516"/>
            <wp:effectExtent l="0" t="0" r="6350" b="0"/>
            <wp:docPr id="15" name="Picture 15" descr="H_pM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_pMT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4000" cy="3754516"/>
                    </a:xfrm>
                    <a:prstGeom prst="rect">
                      <a:avLst/>
                    </a:prstGeom>
                    <a:noFill/>
                    <a:ln>
                      <a:noFill/>
                    </a:ln>
                  </pic:spPr>
                </pic:pic>
              </a:graphicData>
            </a:graphic>
          </wp:inline>
        </w:drawing>
      </w: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Figure S7. Common connectivity for left and right posterior Middle Temporal Gyrus</w:t>
      </w:r>
    </w:p>
    <w:p w:rsidR="006664E2" w:rsidRDefault="006664E2" w:rsidP="00655686">
      <w:pPr>
        <w:keepNext/>
        <w:keepLines/>
        <w:spacing w:afterLines="160" w:after="384" w:line="360" w:lineRule="auto"/>
        <w:rPr>
          <w:rFonts w:ascii="Times New Roman" w:hAnsi="Times New Roman" w:cs="Times New Roman"/>
        </w:rPr>
      </w:pPr>
    </w:p>
    <w:p w:rsidR="00655686" w:rsidRPr="00807F2B" w:rsidRDefault="00655686" w:rsidP="00655686">
      <w:pPr>
        <w:keepNext/>
        <w:keepLines/>
        <w:spacing w:afterLines="160" w:after="384" w:line="360" w:lineRule="auto"/>
        <w:rPr>
          <w:rFonts w:ascii="Times New Roman" w:hAnsi="Times New Roman" w:cs="Times New Roman"/>
        </w:rPr>
      </w:pPr>
      <w:r w:rsidRPr="00807F2B">
        <w:rPr>
          <w:rFonts w:ascii="Times New Roman" w:hAnsi="Times New Roman" w:cs="Times New Roman"/>
        </w:rPr>
        <w:t>The results show that both left AG and its homotope show a pattern of common connectivity with regions in the DMN, including bilateral AG, lateral temporal cortex, anterior and posterior cingulate, and dorsolateral prefrontal cortex (Fig S4). The common connectivity for both ATLs covers lateral and medial aspects of the temporal lobe, more extended in the left than right hemisphere, as well as bilateral medial orbitofrontal cortex (Fig S5). Common connectivity for left and right IFG includes inferior and middle frontal gyri, pre-supplementary motor area/paracingulate cortex, pMTG and parietal regions that are close to AG, more extended in the left than right hemisphere (Fig S6). Lastly, pMTG’s common connectivity included bilateral pMTG, IFG and superior frontal sulcus, and intraparietal sulcus, more extended in left than right hemisphere (Fig S7).</w:t>
      </w:r>
    </w:p>
    <w:p w:rsidR="000962B4" w:rsidRDefault="00655686" w:rsidP="006664E2">
      <w:pPr>
        <w:keepNext/>
        <w:keepLines/>
        <w:spacing w:afterLines="160" w:after="384" w:line="360" w:lineRule="auto"/>
      </w:pPr>
      <w:r w:rsidRPr="00807F2B">
        <w:rPr>
          <w:rFonts w:ascii="Times New Roman" w:hAnsi="Times New Roman" w:cs="Times New Roman"/>
        </w:rPr>
        <w:lastRenderedPageBreak/>
        <w:t xml:space="preserve">The findings reported here are consistent with the connectivity of the seeds reported in the literature and in the main body of our manuscript: both AG seeds are allied to all core regions of the DMN (Bellana et al., 2016) while both ATLs show common connectivity to DMN and memory regions, as would be expected for the storage of semantic representations (Rice et al., 2015a, 2015b). IFG and pMTG showed similar common connectivity across LH and RH, including to each other and other control regions, adding further evidence that both these seeds form part of </w:t>
      </w:r>
      <w:r>
        <w:rPr>
          <w:rFonts w:ascii="Times New Roman" w:hAnsi="Times New Roman" w:cs="Times New Roman"/>
        </w:rPr>
        <w:t xml:space="preserve">a </w:t>
      </w:r>
      <w:r w:rsidRPr="00807F2B">
        <w:rPr>
          <w:rFonts w:ascii="Times New Roman" w:hAnsi="Times New Roman" w:cs="Times New Roman"/>
        </w:rPr>
        <w:t xml:space="preserve">network supporting controlled aspects of semantic cognition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{"citationItems":[{"id":"ITEM-1","itemData":{"DOI":"10.1016/j.neuroimage.2016.05.051","ISSN":"10959572","PMID":"27236083","abstract":"Making sense of the world around us depends upon selectively retrieving information relevant to our current goal or context. However, it is unclear whether selective semantic retrieval relies exclusively on general control mechanisms recruited in demanding non-semantic tasks, or instead on systems specialised for the control of meaning. One hypothesis is that the left posterior middle temporal gyrus (pMTG) is important in the controlled retrieval of semantic (not non-semantic) information; however this view remains controversial since a parallel literature links this site to event and relational semantics. In a functional neuroimaging study, we demonstrated that an area of pMTG implicated in semantic control by a recent meta-analysis was activated in a conjunction of (i) semantic association over size judgements and (ii) action over colour feature matching. Under these circumstances the same region showed functional coupling with the inferior frontal gyrus - another crucial site for semantic control. Structural and functional connectivity analyses demonstrated that this site is at the nexus of networks recruited in automatic semantic processing (the default mode network) and executively demanding tasks (the multiple-demand network). Moreover, in both task and task-free contexts, pMTG exhibited functional properties that were more similar to ventral parts of inferior frontal cortex, implicated in controlled semantic retrieval, than more dorsal inferior frontal sulcus, implicated in domain-general control. Finally, the pMTG region was functionally correlated at rest with other regions implicated in control-demanding semantic tasks, including inferior frontal gyrus and intraparietal sulcus. We suggest that pMTG may play a crucial role within a large-scale network that allows the integration of automatic retrieval in the default mode network with executively-demanding goal-oriented cognition, and that this could support our ability to understand actions and non-dominant semantic associations, allowing semantic retrieval to be 'shaped' to suit a task or context.","author":[{"dropping-particle":"","family":"Davey","given":"James","non-dropping-particle":"","parse-names":false,"suffix":""},{"dropping-particle":"","family":"Thompson","given":"Hannah E.","non-dropping-particle":"","parse-names":false,"suffix":""},{"dropping-particle":"","family":"Hallam","given":"Glyn","non-dropping-particle":"","parse-names":false,"suffix":""},{"dropping-particle":"","family":"Karapanagiotidis","given":"Theodoros","non-dropping-particle":"","parse-names":false,"suffix":""},{"dropping-particle":"","family":"Murphy","given":"Charlotte","non-dropping-particle":"","parse-names":false,"suffix":""},{"dropping-particle":"","family":"Caso","given":"Irene","non-dropping-particle":"De","parse-names":false,"suffix":""},{"dropping-particle":"","family":"Krieger-Redwood","given":"Katya","non-dropping-particle":"","parse-names":false,"suffix":""},{"dropping-particle":"","family":"Bernhardt","given":"Boris C.","non-dropping-particle":"","parse-names":false,"suffix":""},{"dropping-particle":"","family":"Smallwood","given":"Jonathan","non-dropping-particle":"","parse-names":false,"suffix":""},{"dropping-particle":"","family":"Jefferies","given":"Elizabeth","non-dropping-particle":"","parse-names":false,"suffix":""}],"container-title":"NeuroImage","id":"ITEM-1","issued":{"date-parts":[["2016"]]},"page":"165-177","publisher":"The Authors","title":"Exploring the role of the posterior middle temporal gyrus in semantic cognition: Integration of anterior temporal lobe with executive processes","type":"article-journal","volume":"137"},"uris":["http://www.mendeley.com/documents/?uuid=9e53ba0b-097a-4b9d-bd73-0a81c2a24447"]},{"id":"ITEM-2","itemData":{"DOI":"10.1016/j.neuropsychologia.2016.09.012","ISSN":"18733514","PMID":"27650816","abstract":"Semantic memory comprises our knowledge of the meanings of words and objects but only some of this knowledge is relevant at any given time. Thus, semantic control processes are needed to focus retrieval on relevant information. Research on the neural basis of semantic control has strongly implicated left inferior frontal gyrus (LIFG) but recent work suggests that a wider network supports semantic control, including left posterior middle temporal gyrus (pMTG), right inferior frontal gyrus (RIFG) and pre-supplementary motor area (pre-SMA). In the current study, we used repetitive transcranial magnetic stimulation (1??Hz offline TMS) over LIFG, immediately followed by fMRI, to examine modulation of the semantic network. We compared the effect of stimulation on judgements about strongly-associated words (dog-bone) and weaker associations (dog-beach), since previous studies have found that dominant links can be recovered largely automatically with little engagement of LIFG, while more distant connections require greater control. Even though behavioural performance was maintained in response to TMS, LIFG stimulation increased the effect of semantic control demands in pMTG and pre-SMA, relative to stimulation of a control site (occipital pole). These changes were accompanied by reduced recruitment of both the stimulated region (LIFG) and its right hemisphere homologue (RIFG), particularly for strong associations with low control requirements. Thus repetitive TMS to LIFG modulated the contribution of distributed regions to semantic judgements in two distinct ways.","author":[{"dropping-particle":"","family":"Hallam","given":"Glyn P.","non-dropping-particle":"","parse-names":false,"suffix":""},{"dropping-particle":"","family":"Whitney","given":"Carin","non-dropping-particle":"","parse-names":false,"suffix":""},{"dropping-particle":"","family":"Hymers","given":"Mark","non-dropping-particle":"","parse-names":false,"suffix":""},{"dropping-particle":"","family":"Gouws","given":"Andre D.","non-dropping-particle":"","parse-names":false,"suffix":""},{"dropping-particle":"","family":"Jefferies","given":"Elizabeth","non-dropping-particle":"","parse-names":false,"suffix":""}],"container-title":"Neuropsychologia","id":"ITEM-2","issue":"September","issued":{"date-parts":[["2016"]]},"page":"40-52","title":"Charting the effects of TMS with fMRI: Modulation of cortical recruitment within the distributed network supporting semantic control","type":"article-journal","volume":"93"},"uris":["http://www.mendeley.com/documents/?uuid=937a6674-3a52-4dd2-986f-038761c3d978"]}],"mendeley":{"formattedCitation":"(Davey et al., 2016; Hallam et al., 2016)","plainTextFormattedCitation":"(Davey et al., 2016; Hallam et al., 2016)","previouslyFormattedCitation":"(Davey et al., 2016; Hallam et al., 2016)"},"properties":{"noteIndex":0},"schema":"https://github.com/citation-style-language/schema/raw/master/csl-citation.json"}</w:instrText>
      </w:r>
      <w:r>
        <w:rPr>
          <w:rFonts w:ascii="Times New Roman" w:hAnsi="Times New Roman" w:cs="Times New Roman"/>
        </w:rPr>
        <w:fldChar w:fldCharType="separate"/>
      </w:r>
      <w:r w:rsidRPr="00461F4E">
        <w:rPr>
          <w:rFonts w:ascii="Times New Roman" w:hAnsi="Times New Roman" w:cs="Times New Roman"/>
          <w:noProof/>
        </w:rPr>
        <w:t>(Davey et al., 2016; Hallam et al., 2016)</w:t>
      </w:r>
      <w:r>
        <w:rPr>
          <w:rFonts w:ascii="Times New Roman" w:hAnsi="Times New Roman" w:cs="Times New Roman"/>
        </w:rPr>
        <w:fldChar w:fldCharType="end"/>
      </w:r>
      <w:r>
        <w:rPr>
          <w:rFonts w:ascii="Times New Roman" w:hAnsi="Times New Roman" w:cs="Times New Roman"/>
        </w:rPr>
        <w:t>.</w:t>
      </w:r>
    </w:p>
    <w:sectPr w:rsidR="000962B4">
      <w:headerReference w:type="default" r:id="rI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81" w:rsidRPr="0081291D" w:rsidRDefault="004A1013" w:rsidP="0081291D">
    <w:pPr>
      <w:pStyle w:val="Header"/>
      <w:rPr>
        <w:lang w:val="en-US"/>
      </w:rPr>
    </w:pPr>
    <w:r>
      <w:t>Lateralisation in Semantic Cognition</w:t>
    </w:r>
    <w:r>
      <w:tab/>
      <w:t xml:space="preserve">                                                              </w:t>
    </w:r>
    <w:r>
      <w:t xml:space="preserve">                                                  </w:t>
    </w:r>
    <w:r>
      <w:fldChar w:fldCharType="begin"/>
    </w:r>
    <w:r>
      <w:instrText xml:space="preserve"> PAGE   \* MERGEFORMAT </w:instrText>
    </w:r>
    <w:r>
      <w:fldChar w:fldCharType="separate"/>
    </w:r>
    <w:r>
      <w:rPr>
        <w:noProof/>
      </w:rPr>
      <w:t>4</w:t>
    </w:r>
    <w:r>
      <w:rPr>
        <w:noProof/>
      </w:rPr>
      <w:fldChar w:fldCharType="end"/>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86"/>
    <w:rsid w:val="00171AD2"/>
    <w:rsid w:val="003B6ACB"/>
    <w:rsid w:val="004A1013"/>
    <w:rsid w:val="00655686"/>
    <w:rsid w:val="006664E2"/>
    <w:rsid w:val="00950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FF01E"/>
  <w15:chartTrackingRefBased/>
  <w15:docId w15:val="{0FB5D2AB-5A57-47E1-A7D1-7E43FA0C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6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686"/>
  </w:style>
  <w:style w:type="table" w:customStyle="1" w:styleId="PlainTable22">
    <w:name w:val="Plain Table 22"/>
    <w:basedOn w:val="TableNormal"/>
    <w:next w:val="PlainTable2"/>
    <w:uiPriority w:val="42"/>
    <w:rsid w:val="006556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42"/>
    <w:rsid w:val="006556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1.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Tirso González Alam</dc:creator>
  <cp:keywords/>
  <dc:description/>
  <cp:lastModifiedBy>Tirso González Alam</cp:lastModifiedBy>
  <cp:revision>1</cp:revision>
  <dcterms:created xsi:type="dcterms:W3CDTF">2019-08-09T21:49:00Z</dcterms:created>
  <dcterms:modified xsi:type="dcterms:W3CDTF">2019-08-10T00:02:00Z</dcterms:modified>
</cp:coreProperties>
</file>