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EFB" w:rsidRDefault="00721EFB" w:rsidP="00721EFB">
      <w:pPr>
        <w:rPr>
          <w:rFonts w:ascii="Times New Roman" w:hAnsi="Times New Roman" w:cs="Times New Roman"/>
          <w:b/>
          <w:bCs/>
          <w:lang w:val="en-US" w:eastAsia="de-DE" w:bidi="en-US"/>
        </w:rPr>
      </w:pPr>
    </w:p>
    <w:p w:rsidR="00721EFB" w:rsidRPr="00721EFB" w:rsidRDefault="00721EFB" w:rsidP="00721EFB">
      <w:pPr>
        <w:rPr>
          <w:rFonts w:ascii="Times New Roman" w:hAnsi="Times New Roman" w:cs="Times New Roman"/>
          <w:b/>
          <w:bCs/>
          <w:lang w:val="en-US" w:eastAsia="de-DE" w:bidi="en-US"/>
        </w:rPr>
      </w:pPr>
      <w:r w:rsidRPr="00721EFB">
        <w:rPr>
          <w:rFonts w:ascii="Times New Roman" w:hAnsi="Times New Roman" w:cs="Times New Roman"/>
          <w:b/>
          <w:bCs/>
          <w:lang w:val="en-US" w:eastAsia="de-DE" w:bidi="en-US"/>
        </w:rPr>
        <w:t>Abstract</w:t>
      </w:r>
    </w:p>
    <w:p w:rsidR="00721EFB" w:rsidRPr="00721EFB" w:rsidRDefault="00721EFB" w:rsidP="00721EFB">
      <w:pPr>
        <w:rPr>
          <w:rFonts w:ascii="Times New Roman" w:hAnsi="Times New Roman" w:cs="Times New Roman"/>
          <w:b/>
          <w:bCs/>
          <w:lang w:val="en-US" w:eastAsia="de-DE" w:bidi="en-US"/>
        </w:rPr>
      </w:pPr>
      <w:r w:rsidRPr="00721EFB">
        <w:rPr>
          <w:rFonts w:ascii="Times New Roman" w:hAnsi="Times New Roman" w:cs="Times New Roman"/>
          <w:b/>
          <w:bCs/>
          <w:lang w:val="en-US" w:eastAsia="de-DE" w:bidi="en-US"/>
        </w:rPr>
        <w:t>Background</w:t>
      </w:r>
    </w:p>
    <w:p w:rsidR="00721EFB" w:rsidRPr="00721EFB" w:rsidRDefault="00721EFB" w:rsidP="00721EFB">
      <w:pPr>
        <w:rPr>
          <w:rFonts w:ascii="Times New Roman" w:hAnsi="Times New Roman" w:cs="Times New Roman"/>
          <w:lang w:val="en-US" w:eastAsia="de-DE" w:bidi="en-US"/>
        </w:rPr>
      </w:pPr>
      <w:r w:rsidRPr="00721EFB">
        <w:rPr>
          <w:rFonts w:ascii="Times New Roman" w:hAnsi="Times New Roman" w:cs="Times New Roman"/>
          <w:lang w:val="en-US" w:eastAsia="de-DE" w:bidi="en-US"/>
        </w:rPr>
        <w:t>The aim of this study is to explore the variation in the provision of care for people with RMDs and foot &amp; ankle problems between European healthcare systems.</w:t>
      </w:r>
    </w:p>
    <w:p w:rsidR="00721EFB" w:rsidRPr="00721EFB" w:rsidRDefault="00721EFB" w:rsidP="00721EFB">
      <w:pPr>
        <w:rPr>
          <w:rFonts w:ascii="Times New Roman" w:hAnsi="Times New Roman" w:cs="Times New Roman"/>
          <w:b/>
          <w:bCs/>
          <w:lang w:val="en-US" w:eastAsia="de-DE" w:bidi="en-US"/>
        </w:rPr>
      </w:pPr>
      <w:r w:rsidRPr="00721EFB">
        <w:rPr>
          <w:rFonts w:ascii="Times New Roman" w:hAnsi="Times New Roman" w:cs="Times New Roman"/>
          <w:b/>
          <w:bCs/>
          <w:lang w:val="en-US" w:eastAsia="de-DE" w:bidi="en-US"/>
        </w:rPr>
        <w:t>Methods</w:t>
      </w:r>
    </w:p>
    <w:p w:rsidR="00721EFB" w:rsidRDefault="00721EFB" w:rsidP="00721EFB">
      <w:pPr>
        <w:rPr>
          <w:rFonts w:ascii="Times New Roman" w:hAnsi="Times New Roman" w:cs="Times New Roman"/>
          <w:lang w:val="en-US" w:eastAsia="de-DE" w:bidi="en-US"/>
        </w:rPr>
      </w:pPr>
      <w:r w:rsidRPr="00721EFB">
        <w:rPr>
          <w:rFonts w:ascii="Times New Roman" w:hAnsi="Times New Roman" w:cs="Times New Roman"/>
          <w:lang w:val="en-US" w:eastAsia="de-DE" w:bidi="en-US"/>
        </w:rPr>
        <w:t xml:space="preserve">An electronic questionnaire was developed and piloted in seven countries prior to being distributed to the presidents of all 23 national Health Professionals in Rheumatology associations within EULAR. Summary data were obtained using SPSS V22. </w:t>
      </w:r>
    </w:p>
    <w:p w:rsidR="00E46A00" w:rsidRDefault="00E46A00" w:rsidP="00721EFB">
      <w:pPr>
        <w:rPr>
          <w:rFonts w:ascii="Times New Roman" w:hAnsi="Times New Roman" w:cs="Times New Roman"/>
          <w:b/>
          <w:bCs/>
          <w:lang w:val="en-US" w:eastAsia="de-DE" w:bidi="en-US"/>
        </w:rPr>
      </w:pPr>
      <w:r w:rsidRPr="00E46A00">
        <w:rPr>
          <w:rFonts w:ascii="Times New Roman" w:hAnsi="Times New Roman" w:cs="Times New Roman"/>
          <w:b/>
          <w:bCs/>
          <w:lang w:val="en-US" w:eastAsia="de-DE" w:bidi="en-US"/>
        </w:rPr>
        <w:t>Ethical approval</w:t>
      </w:r>
      <w:r>
        <w:rPr>
          <w:rFonts w:ascii="Times New Roman" w:hAnsi="Times New Roman" w:cs="Times New Roman"/>
          <w:b/>
          <w:bCs/>
          <w:lang w:val="en-US" w:eastAsia="de-DE" w:bidi="en-US"/>
        </w:rPr>
        <w:t xml:space="preserve"> </w:t>
      </w:r>
    </w:p>
    <w:p w:rsidR="00E46A00" w:rsidRPr="00E46A00" w:rsidRDefault="00E46A00" w:rsidP="00721EFB">
      <w:pPr>
        <w:rPr>
          <w:rFonts w:ascii="Times New Roman" w:hAnsi="Times New Roman" w:cs="Times New Roman"/>
          <w:b/>
          <w:bCs/>
          <w:lang w:val="en-US" w:eastAsia="de-DE" w:bidi="en-US"/>
        </w:rPr>
      </w:pPr>
      <w:r w:rsidRPr="00D51D4F">
        <w:rPr>
          <w:rFonts w:ascii="Times New Roman" w:hAnsi="Times New Roman" w:cs="Times New Roman"/>
          <w:color w:val="000000"/>
          <w:lang w:val="en-GB"/>
        </w:rPr>
        <w:t>Medical Research Ethics Committee of University of Malaga (CEUMA-91-2015-H)</w:t>
      </w:r>
    </w:p>
    <w:p w:rsidR="00721EFB" w:rsidRPr="00721EFB" w:rsidRDefault="00721EFB" w:rsidP="00721EFB">
      <w:pPr>
        <w:rPr>
          <w:rFonts w:ascii="Times New Roman" w:hAnsi="Times New Roman" w:cs="Times New Roman"/>
          <w:b/>
          <w:bCs/>
          <w:lang w:val="en-US" w:eastAsia="de-DE" w:bidi="en-US"/>
        </w:rPr>
      </w:pPr>
      <w:r w:rsidRPr="00721EFB">
        <w:rPr>
          <w:rFonts w:ascii="Times New Roman" w:hAnsi="Times New Roman" w:cs="Times New Roman"/>
          <w:b/>
          <w:bCs/>
          <w:lang w:val="en-US" w:eastAsia="de-DE" w:bidi="en-US"/>
        </w:rPr>
        <w:t>Results</w:t>
      </w:r>
      <w:bookmarkStart w:id="0" w:name="_GoBack"/>
      <w:bookmarkEnd w:id="0"/>
    </w:p>
    <w:p w:rsidR="00721EFB" w:rsidRPr="00721EFB" w:rsidRDefault="00721EFB" w:rsidP="00721EFB">
      <w:pPr>
        <w:rPr>
          <w:rFonts w:ascii="Times New Roman" w:hAnsi="Times New Roman" w:cs="Times New Roman"/>
          <w:lang w:val="en-US" w:eastAsia="de-DE" w:bidi="en-US"/>
        </w:rPr>
      </w:pPr>
      <w:r w:rsidRPr="00721EFB">
        <w:rPr>
          <w:rFonts w:ascii="Times New Roman" w:hAnsi="Times New Roman" w:cs="Times New Roman"/>
          <w:lang w:val="en-US" w:eastAsia="de-DE" w:bidi="en-US"/>
        </w:rPr>
        <w:t xml:space="preserve">Sixteen questionnaires (73% response rate) were completed (Austria, Belgium, Czech Republic, Denmark, France, Hungary, Ireland, Italy, Malta, Netherlands, Norway, Portugal, Spain, Sweden, Switzerland and United Kingdom). All 16 respondents indicated that foot and ankle healthcare services were provided in their country, but only three countries had services </w:t>
      </w:r>
      <w:proofErr w:type="spellStart"/>
      <w:r w:rsidRPr="00721EFB">
        <w:rPr>
          <w:rFonts w:ascii="Times New Roman" w:hAnsi="Times New Roman" w:cs="Times New Roman"/>
          <w:lang w:val="en-US" w:eastAsia="de-DE" w:bidi="en-US"/>
        </w:rPr>
        <w:t>specialising</w:t>
      </w:r>
      <w:proofErr w:type="spellEnd"/>
      <w:r w:rsidRPr="00721EFB">
        <w:rPr>
          <w:rFonts w:ascii="Times New Roman" w:hAnsi="Times New Roman" w:cs="Times New Roman"/>
          <w:lang w:val="en-US" w:eastAsia="de-DE" w:bidi="en-US"/>
        </w:rPr>
        <w:t xml:space="preserve"> in RMD-related foot and ankle problems (Netherlands, UK, Malta). The professions providing care varied depending on the pathology and the country. Foot and ankle pain was mostly treated by rheumatologists and physiotherapists; foot and ankle deformities, by </w:t>
      </w:r>
      <w:proofErr w:type="spellStart"/>
      <w:r w:rsidRPr="00721EFB">
        <w:rPr>
          <w:rFonts w:ascii="Times New Roman" w:hAnsi="Times New Roman" w:cs="Times New Roman"/>
          <w:lang w:val="en-US" w:eastAsia="de-DE" w:bidi="en-US"/>
        </w:rPr>
        <w:t>orthopaedic</w:t>
      </w:r>
      <w:proofErr w:type="spellEnd"/>
      <w:r w:rsidRPr="00721EFB">
        <w:rPr>
          <w:rFonts w:ascii="Times New Roman" w:hAnsi="Times New Roman" w:cs="Times New Roman"/>
          <w:lang w:val="en-US" w:eastAsia="de-DE" w:bidi="en-US"/>
        </w:rPr>
        <w:t xml:space="preserve"> surgeons and </w:t>
      </w:r>
      <w:proofErr w:type="spellStart"/>
      <w:r w:rsidRPr="00721EFB">
        <w:rPr>
          <w:rFonts w:ascii="Times New Roman" w:hAnsi="Times New Roman" w:cs="Times New Roman"/>
          <w:lang w:val="en-US" w:eastAsia="de-DE" w:bidi="en-US"/>
        </w:rPr>
        <w:t>orthotist</w:t>
      </w:r>
      <w:proofErr w:type="spellEnd"/>
      <w:r w:rsidRPr="00721EFB">
        <w:rPr>
          <w:rFonts w:ascii="Times New Roman" w:hAnsi="Times New Roman" w:cs="Times New Roman"/>
          <w:lang w:val="en-US" w:eastAsia="de-DE" w:bidi="en-US"/>
        </w:rPr>
        <w:t>/</w:t>
      </w:r>
      <w:proofErr w:type="spellStart"/>
      <w:r w:rsidRPr="00721EFB">
        <w:rPr>
          <w:rFonts w:ascii="Times New Roman" w:hAnsi="Times New Roman" w:cs="Times New Roman"/>
          <w:lang w:val="en-US" w:eastAsia="de-DE" w:bidi="en-US"/>
        </w:rPr>
        <w:t>prosthetists</w:t>
      </w:r>
      <w:proofErr w:type="spellEnd"/>
      <w:r w:rsidRPr="00721EFB">
        <w:rPr>
          <w:rFonts w:ascii="Times New Roman" w:hAnsi="Times New Roman" w:cs="Times New Roman"/>
          <w:lang w:val="en-US" w:eastAsia="de-DE" w:bidi="en-US"/>
        </w:rPr>
        <w:t xml:space="preserve">; whereas foot and ankle ulcers were mainly treated by nurses. </w:t>
      </w:r>
    </w:p>
    <w:p w:rsidR="00E46A00" w:rsidRDefault="00721EFB" w:rsidP="00721EFB">
      <w:pPr>
        <w:rPr>
          <w:rFonts w:ascii="Times New Roman" w:hAnsi="Times New Roman" w:cs="Times New Roman"/>
          <w:lang w:val="en-US" w:eastAsia="de-DE" w:bidi="en-US"/>
        </w:rPr>
      </w:pPr>
      <w:r w:rsidRPr="00721EFB">
        <w:rPr>
          <w:rFonts w:ascii="Times New Roman" w:hAnsi="Times New Roman" w:cs="Times New Roman"/>
          <w:lang w:val="en-US" w:eastAsia="de-DE" w:bidi="en-US"/>
        </w:rPr>
        <w:t xml:space="preserve">Services were predominantly delivered through the public sector, and in secondary care (hospital) settings. </w:t>
      </w:r>
    </w:p>
    <w:p w:rsidR="00721EFB" w:rsidRPr="00721EFB" w:rsidRDefault="008E5119" w:rsidP="00721EFB">
      <w:pPr>
        <w:rPr>
          <w:rFonts w:ascii="Times New Roman" w:hAnsi="Times New Roman" w:cs="Times New Roman"/>
          <w:b/>
          <w:bCs/>
          <w:lang w:val="en-US" w:eastAsia="de-DE" w:bidi="en-US"/>
        </w:rPr>
      </w:pPr>
      <w:r>
        <w:rPr>
          <w:rFonts w:ascii="Times New Roman" w:hAnsi="Times New Roman" w:cs="Times New Roman"/>
          <w:b/>
          <w:bCs/>
          <w:lang w:val="en-US" w:eastAsia="de-DE" w:bidi="en-US"/>
        </w:rPr>
        <w:t>Discussion</w:t>
      </w:r>
      <w:r w:rsidR="00E46A00">
        <w:rPr>
          <w:rFonts w:ascii="Times New Roman" w:hAnsi="Times New Roman" w:cs="Times New Roman"/>
          <w:b/>
          <w:bCs/>
          <w:lang w:val="en-US" w:eastAsia="de-DE" w:bidi="en-US"/>
        </w:rPr>
        <w:t xml:space="preserve"> </w:t>
      </w:r>
      <w:r>
        <w:rPr>
          <w:rFonts w:ascii="Times New Roman" w:hAnsi="Times New Roman" w:cs="Times New Roman"/>
          <w:b/>
          <w:bCs/>
          <w:lang w:val="en-US" w:eastAsia="de-DE" w:bidi="en-US"/>
        </w:rPr>
        <w:t xml:space="preserve">and </w:t>
      </w:r>
      <w:r w:rsidR="00721EFB" w:rsidRPr="00721EFB">
        <w:rPr>
          <w:rFonts w:ascii="Times New Roman" w:hAnsi="Times New Roman" w:cs="Times New Roman"/>
          <w:b/>
          <w:bCs/>
          <w:lang w:val="en-US" w:eastAsia="de-DE" w:bidi="en-US"/>
        </w:rPr>
        <w:t>Conclusions</w:t>
      </w:r>
    </w:p>
    <w:p w:rsidR="00721EFB" w:rsidRPr="00721EFB" w:rsidRDefault="00721EFB" w:rsidP="00721EFB">
      <w:pPr>
        <w:rPr>
          <w:rFonts w:ascii="Times New Roman" w:hAnsi="Times New Roman" w:cs="Times New Roman"/>
          <w:lang w:val="en-US" w:eastAsia="de-DE" w:bidi="en-US"/>
        </w:rPr>
      </w:pPr>
      <w:r w:rsidRPr="00721EFB">
        <w:rPr>
          <w:rFonts w:ascii="Times New Roman" w:hAnsi="Times New Roman" w:cs="Times New Roman"/>
          <w:lang w:val="en-US" w:eastAsia="de-DE" w:bidi="en-US"/>
        </w:rPr>
        <w:t xml:space="preserve">Only three countries reported having specialist foot and ankle services addressing the needs of people with RMDs.  Variation was seen in which professions provided care between countries, and also between foot and ankle pathologies cared for. There is a lack of clinical pathways and guidelines for the management of patients with RMD-related foot and ankle problems. </w:t>
      </w:r>
    </w:p>
    <w:p w:rsidR="00721EFB" w:rsidRPr="00721EFB" w:rsidRDefault="00721EFB" w:rsidP="00721EFB">
      <w:pPr>
        <w:rPr>
          <w:rFonts w:ascii="Times New Roman" w:hAnsi="Times New Roman" w:cs="Times New Roman"/>
          <w:b/>
          <w:bCs/>
          <w:lang w:val="en-US" w:eastAsia="de-DE" w:bidi="en-US"/>
        </w:rPr>
      </w:pPr>
      <w:r w:rsidRPr="00721EFB">
        <w:rPr>
          <w:rFonts w:ascii="Times New Roman" w:hAnsi="Times New Roman" w:cs="Times New Roman"/>
          <w:b/>
          <w:bCs/>
          <w:lang w:val="en-US" w:eastAsia="de-DE" w:bidi="en-US"/>
        </w:rPr>
        <w:t>Keywords</w:t>
      </w:r>
    </w:p>
    <w:p w:rsidR="00721EFB" w:rsidRPr="00721EFB" w:rsidRDefault="00721EFB" w:rsidP="00721EFB">
      <w:pPr>
        <w:rPr>
          <w:rFonts w:ascii="Times New Roman" w:hAnsi="Times New Roman" w:cs="Times New Roman"/>
          <w:lang w:val="en-US" w:eastAsia="de-DE" w:bidi="en-US"/>
        </w:rPr>
      </w:pPr>
      <w:r w:rsidRPr="00721EFB">
        <w:rPr>
          <w:rFonts w:ascii="Times New Roman" w:hAnsi="Times New Roman" w:cs="Times New Roman"/>
          <w:lang w:val="en-US" w:eastAsia="de-DE" w:bidi="en-US"/>
        </w:rPr>
        <w:t>Foot and ankle, service variation, Rheumatic and Musculoskeletal diseases, Europe, clinical pathways and guidelines.</w:t>
      </w:r>
    </w:p>
    <w:p w:rsidR="00721EFB" w:rsidRDefault="00721EFB" w:rsidP="00721EFB">
      <w:pPr>
        <w:jc w:val="both"/>
        <w:rPr>
          <w:rFonts w:ascii="Times New Roman" w:hAnsi="Times New Roman" w:cs="Times New Roman"/>
          <w:b/>
          <w:bCs/>
          <w:lang w:val="en-US"/>
        </w:rPr>
      </w:pPr>
    </w:p>
    <w:p w:rsidR="00721EFB" w:rsidRDefault="00721EFB" w:rsidP="00721EFB">
      <w:pPr>
        <w:jc w:val="both"/>
        <w:rPr>
          <w:rFonts w:ascii="Times New Roman" w:hAnsi="Times New Roman" w:cs="Times New Roman"/>
          <w:b/>
          <w:bCs/>
          <w:lang w:val="en-US"/>
        </w:rPr>
      </w:pPr>
    </w:p>
    <w:p w:rsidR="00721EFB" w:rsidRDefault="00721EFB" w:rsidP="00721EFB">
      <w:pPr>
        <w:jc w:val="both"/>
        <w:rPr>
          <w:rFonts w:ascii="Times New Roman" w:hAnsi="Times New Roman" w:cs="Times New Roman"/>
          <w:b/>
          <w:bCs/>
          <w:lang w:val="en-US"/>
        </w:rPr>
      </w:pPr>
    </w:p>
    <w:p w:rsidR="00721EFB" w:rsidRDefault="00721EFB" w:rsidP="00721EFB">
      <w:pPr>
        <w:jc w:val="both"/>
        <w:rPr>
          <w:rFonts w:ascii="Times New Roman" w:hAnsi="Times New Roman" w:cs="Times New Roman"/>
          <w:b/>
          <w:bCs/>
          <w:lang w:val="en-US"/>
        </w:rPr>
      </w:pPr>
    </w:p>
    <w:p w:rsidR="00721EFB" w:rsidRPr="00721EFB" w:rsidRDefault="00721EFB" w:rsidP="00721EFB">
      <w:pPr>
        <w:jc w:val="both"/>
        <w:rPr>
          <w:rFonts w:ascii="Times New Roman" w:hAnsi="Times New Roman" w:cs="Times New Roman"/>
          <w:b/>
          <w:bCs/>
          <w:lang w:val="en-US"/>
        </w:rPr>
      </w:pPr>
      <w:r w:rsidRPr="00721EFB">
        <w:rPr>
          <w:rFonts w:ascii="Times New Roman" w:hAnsi="Times New Roman" w:cs="Times New Roman"/>
          <w:b/>
          <w:bCs/>
          <w:lang w:val="en-US"/>
        </w:rPr>
        <w:lastRenderedPageBreak/>
        <w:t>1. Introduction</w:t>
      </w:r>
    </w:p>
    <w:p w:rsidR="00721EFB" w:rsidRPr="00D51D4F" w:rsidRDefault="00721EFB" w:rsidP="00721EFB">
      <w:pPr>
        <w:jc w:val="both"/>
        <w:rPr>
          <w:rFonts w:ascii="Times New Roman" w:hAnsi="Times New Roman" w:cs="Times New Roman"/>
          <w:lang w:val="en-US"/>
        </w:rPr>
      </w:pPr>
      <w:r w:rsidRPr="00D51D4F">
        <w:rPr>
          <w:rFonts w:ascii="Times New Roman" w:hAnsi="Times New Roman" w:cs="Times New Roman"/>
          <w:lang w:val="en-US"/>
        </w:rPr>
        <w:t>The high increased prevalence of foot and ankle pathologies in Rheumatic and Musculoskeletal diseases (RMDs)</w:t>
      </w:r>
      <w:r w:rsidRPr="00D51D4F">
        <w:rPr>
          <w:rFonts w:ascii="Times New Roman" w:hAnsi="Times New Roman" w:cs="Times New Roman"/>
          <w:noProof/>
          <w:lang w:val="en-US"/>
        </w:rPr>
        <w:t xml:space="preserve"> </w:t>
      </w:r>
      <w:r w:rsidRPr="00D51D4F">
        <w:rPr>
          <w:rFonts w:ascii="Times New Roman" w:hAnsi="Times New Roman" w:cs="Times New Roman"/>
          <w:lang w:val="en-US"/>
        </w:rPr>
        <w:t>is well documented</w:t>
      </w:r>
      <w:r w:rsidRPr="00D51D4F">
        <w:rPr>
          <w:rFonts w:ascii="Times New Roman" w:hAnsi="Times New Roman" w:cs="Times New Roman"/>
        </w:rPr>
        <w:fldChar w:fldCharType="begin" w:fldLock="1"/>
      </w:r>
      <w:r w:rsidRPr="00D51D4F">
        <w:rPr>
          <w:rFonts w:ascii="Times New Roman" w:hAnsi="Times New Roman" w:cs="Times New Roman"/>
          <w:lang w:val="en-US"/>
        </w:rPr>
        <w:instrText>ADDIN CSL_CITATION {"citationItems":[{"id":"ITEM-1","itemData":{"author":[{"dropping-particle":"","family":"Woodburn J","given":"Helliwell PS.","non-dropping-particle":"","parse-names":false,"suffix":""}],"container-title":"Br J Rheumatol.","id":"ITEM-1","issue":"9","issued":{"date-parts":[["1997"]]},"page":"932-4","title":"Foot problems in rheumatology","type":"article-journal","volume":"36"},"uris":["http://www.mendeley.com/documents/?uuid=482cb451-8287-42fd-8ff1-0b60e667012a"]},{"id":"ITEM-2","itemData":{"DOI":"10.1177/0961203316670730","ISSN":"14770962","abstract":"Objective The main aim of this survey was to determine the frequency of self-reported lower limb or foot and ankle complications experienced by participants with systemic lupus erythematosus (SLE). A secondary aim was to determine the frequency of treatments that have been received or that participants with SLE may like to receive if offered. Method A quantitative, cross-sectional, self-reported survey design was utilized. The developed survey was checked for face and content validity prior to patient partner cognitive debriefing in order to ensure usability, understanding of the process of completion and of the questions posed. The full protocol for survey development has been published previously. Results This is the first comprehensive national UK survey of lower limb and foot health problems reported by participants with SLE. A high prevalence of vascular, dermatological and musculoskeletal complications was reported by survey respondents. Additionally, whilst the relative prevalence of sensory loss was low, a quarter of people reported having had a fall related to changes in foot sensation demonstrating a previously unknown rate and cause of falls. Conclusion Complications related to vascular, dermatological and musculoskeletal health are identified as particularly prevalent in participants with SLE. Further, there is a suggestion that the provision of interventions to maintain lower limb health is highly varied and lacks national standardization, despite there being a strong indication of participant reported need. The findings of this work can be used to inform care guideline development in addition to identifying areas for future research.","author":[{"dropping-particle":"","family":"Cherry","given":"L.","non-dropping-particle":"","parse-names":false,"suffix":""},{"dropping-particle":"","family":"Alcacer-Pitarch","given":"B.","non-dropping-particle":"","parse-names":false,"suffix":""},{"dropping-particle":"","family":"Hopkinson","given":"N.","non-dropping-particle":"","parse-names":false,"suffix":""},{"dropping-particle":"","family":"Teh","given":"L. S.","non-dropping-particle":"","parse-names":false,"suffix":""},{"dropping-particle":"","family":"Vital","given":"E. M.","non-dropping-particle":"","parse-names":false,"suffix":""},{"dropping-particle":"","family":"Edwards","given":"C. J.","non-dropping-particle":"","parse-names":false,"suffix":""},{"dropping-particle":"","family":"Blake","given":"A.","non-dropping-particle":"","parse-names":false,"suffix":""},{"dropping-particle":"","family":"Williams","given":"A. E.","non-dropping-particle":"","parse-names":false,"suffix":""}],"container-title":"Lupus","id":"ITEM-2","issue":"4","issued":{"date-parts":[["2017"]]},"page":"410-416","title":"The prevalence of self-reported lower limb and foot health problems experienced by participants with systemic lupus erythematosus: Results of a UK national survey","type":"article-journal","volume":"26"},"uris":["http://www.mendeley.com/documents/?uuid=dc32673b-bc7a-4697-9a54-52598c7cf191"]},{"id":"ITEM-3","itemData":{"DOI":"10.1007/s10067-009-1312-y","ISSN":"1434-9949","PMID":"19997766","abstract":"Foot involvement is a major feature of rheumatoid arthritis (RA). Most epidemiological studies of the RA foot report radiological changes and results of clinical examination. This study aimed to determine the prevalence of foot symptoms, frequency of foot assessment and access to foot care from the perspective of people with RA. A questionnaire was sent to 1,040 people with RA throughout the UK enquiring about foot symptoms, their anatomical distribution (via validated mannequins) availability of podiatry services and perceived usefulness of interventions for alleviating foot symptoms. Altogether 585 useable replies were received; 93.5% of respondents reported having experienced foot pain, and 35.4% reported current foot pain as the presenting symptom. Most (68.2%) reported moderate or severe foot pain daily. Pain was most prevalent in the forefoot and/or ankle. The main predictive factors for reporting current foot pain were longer disease duration (mean 13 vs 10.3 years, p = 0.009), higher BMI (25.6 vs 24.1 p = 0.001) and the prevalent foot symptoms foot stiffness and numbness (both p &lt; 0.0001). Age, gender and current treatment were not significantly associated. Most (82%) had discussed foot symptoms with their rheumatologist, and only 64% had seen a podiatrist. Reported current adherence to prescribed orthoses was 55.8% and to prescribed shoes was 29.5%. Foot symptoms are ubiquitous in RA and frequently severe. Most patients had discussed their symptoms with their rheumatologist, and only 64% had specifically seen a podiatrist. Despite the remarkable progress in development of new treatment modalities for RA, foot pain remains a common and disabling symptom. Our findings support the need for wider access to specific foot care services and evidence-based, patient-centred interventions.","author":[{"dropping-particle":"","family":"Otter","given":"Simon J","non-dropping-particle":"","parse-names":false,"suffix":""},{"dropping-particle":"","family":"Lucas","given":"Kevin","non-dropping-particle":"","parse-names":false,"suffix":""},{"dropping-particle":"","family":"Springett","given":"Kate","non-dropping-particle":"","parse-names":false,"suffix":""},{"dropping-particle":"","family":"Moore","given":"Ann","non-dropping-particle":"","parse-names":false,"suffix":""},{"dropping-particle":"","family":"Davies","given":"Kevin","non-dropping-particle":"","parse-names":false,"suffix":""},{"dropping-particle":"","family":"Cheek","given":"Liz","non-dropping-particle":"","parse-names":false,"suffix":""},{"dropping-particle":"","family":"Young","given":"Adam","non-dropping-particle":"","parse-names":false,"suffix":""},{"dropping-particle":"","family":"Walker-Bone","given":"Karen","non-dropping-particle":"","parse-names":false,"suffix":""}],"container-title":"Clinical rheumatology","id":"ITEM-3","issue":"3","issued":{"date-parts":[["2010","3"]]},"page":"255-71","title":"Foot pain in rheumatoid arthritis prevalence, risk factors and management: an epidemiological study.","type":"article-journal","volume":"29"},"uris":["http://www.mendeley.com/documents/?uuid=ec64a256-6e03-4b94-b4c0-cfd26eb4b9b1"]},{"id":"ITEM-4","itemData":{"ISSN":"1462-0324","PMID":"11312379","abstract":"To assess the nature of the foot problems experienced in patients with systemic sclerosis (SSc) and patient awareness of such problems.","author":[{"dropping-particle":"","family":"Sari-Kouzel","given":"H","non-dropping-particle":"","parse-names":false,"suffix":""},{"dropping-particle":"","family":"Hutchinson","given":"C E","non-dropping-particle":"","parse-names":false,"suffix":""},{"dropping-particle":"","family":"Middleton","given":"a","non-dropping-particle":"","parse-names":false,"suffix":""},{"dropping-particle":"","family":"Webb","given":"F","non-dropping-particle":"","parse-names":false,"suffix":""},{"dropping-particle":"","family":"Moore","given":"T","non-dropping-particle":"","parse-names":false,"suffix":""},{"dropping-particle":"","family":"Griffin","given":"K","non-dropping-particle":"","parse-names":false,"suffix":""},{"dropping-particle":"","family":"Herrick","given":"a L","non-dropping-particle":"","parse-names":false,"suffix":""}],"container-title":"Rheumatology (Oxford, England)","id":"ITEM-4","issue":"4","issued":{"date-parts":[["2001"]]},"page":"410-3","title":"Foot problems in patients with systemic sclerosis.","type":"article-journal","volume":"40"},"uris":["http://www.mendeley.com/documents/?uuid=36c3a57e-16a0-492e-9d2c-b7a7854de357"]},{"id":"ITEM-5","itemData":{"DOI":"10.1080/17453670710015067","ISBN":"1745367071001","ISSN":"1745-3682","PMID":"18484253","abstract":"BACKGROUND AND PURPOSE: Our knowledge of frequency of foot involvement in rheumatoid arthritis (RA) is still often based on a study from Finland in 1956. Great changes in the treatment of RA may have led to a different situation. We investigated the distribution of joint involvement in RA patients today, with special attention given to the feet and subjective walking ability.\\n\\nMETHODS: 1,000 RA patients answered a questionnaire concerning joints affected, joint surgery, foot problems, and subjectively experienced reasons for walking incapacity.\\n\\nRESULTS: In 45% of the patients, the forefoot was involved at the start of the disease. In 17%, the hindfoot/ankle was involved at the start. Only hand symptoms were commoner. 80% of patients reported current foot problems, 86% in the forefoot and 52% in the hindfoot/ankle. Difficulty in walking due to the feet was reported by 71%. For 41% of patients, the foot was the most important part of the lower extremity causing reduced walking capacity, and for 32% it was the only part.\\n\\nINTERPRETATION: After the hand, the foot was the most frequently symptomatic joint complex at the start of the disease, but also during active medical treatment. The foot caused walking disability in three-quarters of the cases and-4 times as often as the knee or the hip-it was the only joint to subjectively impair gait.","author":[{"dropping-particle":"","family":"Grondal","given":"Lollo","non-dropping-particle":"","parse-names":false,"suffix":""},{"dropping-particle":"","family":"Tengstrand","given":"Birgitta","non-dropping-particle":"","parse-names":false,"suffix":""},{"dropping-particle":"","family":"Nordmark","given":"Birgitta","non-dropping-particle":"","parse-names":false,"suffix":""},{"dropping-particle":"","family":"Wretenberg","given":"Per","non-dropping-particle":"","parse-names":false,"suffix":""},{"dropping-particle":"","family":"Stark","given":"Andre","non-dropping-particle":"","parse-names":false,"suffix":""}],"container-title":"Acta orthopaedica","id":"ITEM-5","issue":"2","issued":{"date-parts":[["2008"]]},"page":"257-61","title":"The foot: still the most important reason for walking incapacity in rheumatoid arthritis: distribution of symptomatic joints in 1,000 RA patients.","type":"article-journal","volume":"79"},"uris":["http://www.mendeley.com/documents/?uuid=2f3cb557-bd4f-4efc-b658-68e5b5d69b81"]}],"mendeley":{"formattedCitation":"(Cherry et al., 2017; Grondal, Tengstrand, Nordmark, Wretenberg, &amp; Stark, 2008; Otter et al., 2010; Sari-Kouzel et al., 2001; Woodburn J, 1997)","plainTextFormattedCitation":"(Cherry et al., 2017; Grondal, Tengstrand, Nordmark, Wretenberg, &amp; Stark, 2008; Otter et al., 2010; Sari-Kouzel et al., 2001; Woodburn J, 1997)","previouslyFormattedCitation":"[1–5]"},"properties":{"noteIndex":0},"schema":"https://github.com/citation-style-language/schema/raw/master/csl-citation.json"}</w:instrText>
      </w:r>
      <w:r w:rsidRPr="00D51D4F">
        <w:rPr>
          <w:rFonts w:ascii="Times New Roman" w:hAnsi="Times New Roman" w:cs="Times New Roman"/>
        </w:rPr>
        <w:fldChar w:fldCharType="separate"/>
      </w:r>
      <w:r w:rsidRPr="00D51D4F">
        <w:rPr>
          <w:rFonts w:ascii="Times New Roman" w:hAnsi="Times New Roman" w:cs="Times New Roman"/>
          <w:noProof/>
          <w:lang w:val="en-US"/>
        </w:rPr>
        <w:t>(Cherry et al., 2017; Grondal, Tengstrand, Nordmark, Wretenberg, &amp; Stark, 2008; Otter et al., 2010; Sari-Kouzel et al., 2001; Woodburn J, 1997)</w:t>
      </w:r>
      <w:r w:rsidRPr="00D51D4F">
        <w:rPr>
          <w:rFonts w:ascii="Times New Roman" w:hAnsi="Times New Roman" w:cs="Times New Roman"/>
        </w:rPr>
        <w:fldChar w:fldCharType="end"/>
      </w:r>
      <w:r w:rsidRPr="00D51D4F">
        <w:rPr>
          <w:rFonts w:ascii="Times New Roman" w:hAnsi="Times New Roman" w:cs="Times New Roman"/>
          <w:lang w:val="en-US"/>
        </w:rPr>
        <w:t xml:space="preserve"> with studies suggesting that up to 90% of patients are effected in conditions such as rheumatoid arthritis</w:t>
      </w:r>
      <w:r w:rsidRPr="00D51D4F">
        <w:rPr>
          <w:rFonts w:ascii="Times New Roman" w:hAnsi="Times New Roman" w:cs="Times New Roman"/>
        </w:rPr>
        <w:fldChar w:fldCharType="begin" w:fldLock="1"/>
      </w:r>
      <w:r w:rsidRPr="00D51D4F">
        <w:rPr>
          <w:rFonts w:ascii="Times New Roman" w:hAnsi="Times New Roman" w:cs="Times New Roman"/>
          <w:lang w:val="en-US"/>
        </w:rPr>
        <w:instrText>ADDIN CSL_CITATION {"citationItems":[{"id":"ITEM-1","itemData":{"DOI":"10.1007/s10067-009-1312-y","ISSN":"1434-9949","PMID":"19997766","abstract":"Foot involvement is a major feature of rheumatoid arthritis (RA). Most epidemiological studies of the RA foot report radiological changes and results of clinical examination. This study aimed to determine the prevalence of foot symptoms, frequency of foot assessment and access to foot care from the perspective of people with RA. A questionnaire was sent to 1,040 people with RA throughout the UK enquiring about foot symptoms, their anatomical distribution (via validated mannequins) availability of podiatry services and perceived usefulness of interventions for alleviating foot symptoms. Altogether 585 useable replies were received; 93.5% of respondents reported having experienced foot pain, and 35.4% reported current foot pain as the presenting symptom. Most (68.2%) reported moderate or severe foot pain daily. Pain was most prevalent in the forefoot and/or ankle. The main predictive factors for reporting current foot pain were longer disease duration (mean 13 vs 10.3 years, p = 0.009), higher BMI (25.6 vs 24.1 p = 0.001) and the prevalent foot symptoms foot stiffness and numbness (both p &lt; 0.0001). Age, gender and current treatment were not significantly associated. Most (82%) had discussed foot symptoms with their rheumatologist, and only 64% had seen a podiatrist. Reported current adherence to prescribed orthoses was 55.8% and to prescribed shoes was 29.5%. Foot symptoms are ubiquitous in RA and frequently severe. Most patients had discussed their symptoms with their rheumatologist, and only 64% had specifically seen a podiatrist. Despite the remarkable progress in development of new treatment modalities for RA, foot pain remains a common and disabling symptom. Our findings support the need for wider access to specific foot care services and evidence-based, patient-centred interventions.","author":[{"dropping-particle":"","family":"Otter","given":"Simon J","non-dropping-particle":"","parse-names":false,"suffix":""},{"dropping-particle":"","family":"Lucas","given":"Kevin","non-dropping-particle":"","parse-names":false,"suffix":""},{"dropping-particle":"","family":"Springett","given":"Kate","non-dropping-particle":"","parse-names":false,"suffix":""},{"dropping-particle":"","family":"Moore","given":"Ann","non-dropping-particle":"","parse-names":false,"suffix":""},{"dropping-particle":"","family":"Davies","given":"Kevin","non-dropping-particle":"","parse-names":false,"suffix":""},{"dropping-particle":"","family":"Cheek","given":"Liz","non-dropping-particle":"","parse-names":false,"suffix":""},{"dropping-particle":"","family":"Young","given":"Adam","non-dropping-particle":"","parse-names":false,"suffix":""},{"dropping-particle":"","family":"Walker-Bone","given":"Karen","non-dropping-particle":"","parse-names":false,"suffix":""}],"container-title":"Clinical rheumatology","id":"ITEM-1","issue":"3","issued":{"date-parts":[["2010","3"]]},"page":"255-71","title":"Foot pain in rheumatoid arthritis prevalence, risk factors and management: an epidemiological study.","type":"article-journal","volume":"29"},"uris":["http://www.mendeley.com/documents/?uuid=ec64a256-6e03-4b94-b4c0-cfd26eb4b9b1"]}],"mendeley":{"formattedCitation":"(Otter et al., 2010)","plainTextFormattedCitation":"(Otter et al., 2010)","previouslyFormattedCitation":"[3]"},"properties":{"noteIndex":0},"schema":"https://github.com/citation-style-language/schema/raw/master/csl-citation.json"}</w:instrText>
      </w:r>
      <w:r w:rsidRPr="00D51D4F">
        <w:rPr>
          <w:rFonts w:ascii="Times New Roman" w:hAnsi="Times New Roman" w:cs="Times New Roman"/>
        </w:rPr>
        <w:fldChar w:fldCharType="separate"/>
      </w:r>
      <w:r w:rsidRPr="00D51D4F">
        <w:rPr>
          <w:rFonts w:ascii="Times New Roman" w:hAnsi="Times New Roman" w:cs="Times New Roman"/>
          <w:noProof/>
          <w:lang w:val="en-US"/>
        </w:rPr>
        <w:t>(Otter et al., 2010)</w:t>
      </w:r>
      <w:r w:rsidRPr="00D51D4F">
        <w:rPr>
          <w:rFonts w:ascii="Times New Roman" w:hAnsi="Times New Roman" w:cs="Times New Roman"/>
        </w:rPr>
        <w:fldChar w:fldCharType="end"/>
      </w:r>
      <w:r w:rsidRPr="00D51D4F">
        <w:rPr>
          <w:rFonts w:ascii="Times New Roman" w:hAnsi="Times New Roman" w:cs="Times New Roman"/>
          <w:noProof/>
          <w:lang w:val="en-US"/>
        </w:rPr>
        <w:t>.</w:t>
      </w:r>
      <w:r w:rsidRPr="00D51D4F">
        <w:rPr>
          <w:rFonts w:ascii="Times New Roman" w:hAnsi="Times New Roman" w:cs="Times New Roman"/>
          <w:lang w:val="en-US"/>
        </w:rPr>
        <w:t xml:space="preserve"> Research is now confirming the profound impact that foot and ankle conditions have on patients across the spectrum of RMDs</w:t>
      </w:r>
      <w:r w:rsidRPr="00D51D4F">
        <w:rPr>
          <w:rFonts w:ascii="Times New Roman" w:hAnsi="Times New Roman" w:cs="Times New Roman"/>
        </w:rPr>
        <w:fldChar w:fldCharType="begin" w:fldLock="1"/>
      </w:r>
      <w:r w:rsidRPr="00D51D4F">
        <w:rPr>
          <w:rFonts w:ascii="Times New Roman" w:hAnsi="Times New Roman" w:cs="Times New Roman"/>
          <w:lang w:val="en-US"/>
        </w:rPr>
        <w:instrText>ADDIN CSL_CITATION {"citationItems":[{"id":"ITEM-1","itemData":{"DOI":"10.1002/art.21176","ISBN":"0004-3591 (Print)","ISSN":"21514658","PMID":"15934122","abstract":"OBJECTIVE: To develop a new foot impact scale to assess foot status in rheumatoid arthritis (RA) using established qualitative methodology and the latest item response techniques (Rasch analysis). METHODS: Foot problems in RA were explored by conducting qualitative interviews that were then used to generate items for a new foot impact scale. Further validation was undertaken following postal surveys and Rasch analysis. RESULTS: Analysis of the first postal survey (n = 192 responses) produced a 63-item binary response, 4-subscale instrument. The 4 subscales covered the domains impairment, activities, participation, and footwear. Following test-retest postal surveys and additional analysis, the instrument was reduced to a 2 subscale, 51-item questionnaire covering the domains of impairments/shoes and activities/participation. Initial results of these subscales indicate good psychometric properties, external validity, and test-retest reliability. CONCLUSION: A foot impact scale to assess the impact of RA and to measure the effect of interventions has been developed. The 2 scales comprising the instrument demonstrate good psychometric properties.","author":[{"dropping-particle":"","family":"Helliwell","given":"Philip","non-dropping-particle":"","parse-names":false,"suffix":""},{"dropping-particle":"","family":"Reay","given":"Naomi","non-dropping-particle":"","parse-names":false,"suffix":""},{"dropping-particle":"","family":"Gilworth","given":"Gill","non-dropping-particle":"","parse-names":false,"suffix":""},{"dropping-particle":"","family":"Redmond","given":"Anthony","non-dropping-particle":"","parse-names":false,"suffix":""},{"dropping-particle":"","family":"Slade","given":"Anita","non-dropping-particle":"","parse-names":false,"suffix":""},{"dropping-particle":"","family":"Tennant","given":"Alan","non-dropping-particle":"","parse-names":false,"suffix":""},{"dropping-particle":"","family":"Woodburn","given":"James","non-dropping-particle":"","parse-names":false,"suffix":""}],"container-title":"Arthritis Care and Research","id":"ITEM-1","issue":"3","issued":{"date-parts":[["2005"]]},"page":"418-422","title":"Development of a foot impact scale for rheumatoid arthritis","type":"article-journal","volume":"53"},"uris":["http://www.mendeley.com/documents/?uuid=af28e800-97e3-4669-9737-32f61c1b7ba1"]},{"id":"ITEM-2","itemData":{"DOI":"10.1093/rheumatology/kep307","ISSN":"14620332","author":[{"dropping-particle":"","family":"Bowen","given":"Catherine J.","non-dropping-particle":"","parse-names":false,"suffix":""},{"dropping-particle":"","family":"Culliford","given":"David","non-dropping-particle":"","parse-names":false,"suffix":""},{"dropping-particle":"","family":"Dewbury","given":"Keith","non-dropping-particle":"","parse-names":false,"suffix":""},{"dropping-particle":"","family":"Sampson","given":"Madeleine","non-dropping-particle":"","parse-names":false,"suffix":""},{"dropping-particle":"","family":"Burridge","given":"Jane","non-dropping-particle":"","parse-names":false,"suffix":""},{"dropping-particle":"","family":"Hooper","given":"Lindsey","non-dropping-particle":"","parse-names":false,"suffix":""},{"dropping-particle":"","family":"Edwards","given":"Christopher J.","non-dropping-particle":"","parse-names":false,"suffix":""},{"dropping-particle":"","family":"Arden","given":"Nigel K.","non-dropping-particle":"","parse-names":false,"suffix":""}],"container-title":"Rheumatology (Oxford, England)","id":"ITEM-2","issue":"1","issued":{"date-parts":[["2010"]]},"page":"191-192","title":"The clinical importance of ultrasound detectable forefoot bursae in rheumatoid arthritis.","type":"article","volume":"49"},"uris":["http://www.mendeley.com/documents/?uuid=c51fc7b2-af98-4bac-b065-f9a44429ed24"]}],"mendeley":{"formattedCitation":"(Bowen et al., 2010; Helliwell et al., 2005)","plainTextFormattedCitation":"(Bowen et al., 2010; Helliwell et al., 2005)","previouslyFormattedCitation":"[6,7]"},"properties":{"noteIndex":0},"schema":"https://github.com/citation-style-language/schema/raw/master/csl-citation.json"}</w:instrText>
      </w:r>
      <w:r w:rsidRPr="00D51D4F">
        <w:rPr>
          <w:rFonts w:ascii="Times New Roman" w:hAnsi="Times New Roman" w:cs="Times New Roman"/>
        </w:rPr>
        <w:fldChar w:fldCharType="separate"/>
      </w:r>
      <w:r w:rsidRPr="00D51D4F">
        <w:rPr>
          <w:rFonts w:ascii="Times New Roman" w:hAnsi="Times New Roman" w:cs="Times New Roman"/>
          <w:noProof/>
          <w:lang w:val="en-US"/>
        </w:rPr>
        <w:t>(Bowen et al., 2010; Helliwell et al., 2005)</w:t>
      </w:r>
      <w:r w:rsidRPr="00D51D4F">
        <w:rPr>
          <w:rFonts w:ascii="Times New Roman" w:hAnsi="Times New Roman" w:cs="Times New Roman"/>
        </w:rPr>
        <w:fldChar w:fldCharType="end"/>
      </w:r>
      <w:r w:rsidRPr="00D51D4F">
        <w:rPr>
          <w:rFonts w:ascii="Times New Roman" w:hAnsi="Times New Roman" w:cs="Times New Roman"/>
          <w:lang w:val="en-US"/>
        </w:rPr>
        <w:t>.  Despite this, very little is known about the provision of services to address the foot health needs of people with RMDs in Europe. Limited evidence from the UK shows that provision of foot care is inconsistent and the majority of rheumatology departments do not have access to specialist foot health services</w:t>
      </w:r>
      <w:r w:rsidRPr="00D51D4F">
        <w:rPr>
          <w:rFonts w:ascii="Times New Roman" w:hAnsi="Times New Roman" w:cs="Times New Roman"/>
        </w:rPr>
        <w:fldChar w:fldCharType="begin" w:fldLock="1"/>
      </w:r>
      <w:r w:rsidRPr="00D51D4F">
        <w:rPr>
          <w:rFonts w:ascii="Times New Roman" w:hAnsi="Times New Roman" w:cs="Times New Roman"/>
          <w:lang w:val="en-US"/>
        </w:rPr>
        <w:instrText>ADDIN CSL_CITATION {"citationItems":[{"id":"ITEM-1","itemData":{"DOI":"10.1007/s00296-017-3751-0","ISSN":"1437160X","abstract":"The objective of this study is to describe the composition of multidisciplinary teams (MDT) working within rheumatology departments across the UK. All rheumatology departments in the United Kingdom (UK) were invited to participate in a national electronic survey between February 2014 and April 2015 as a part of a national audit for the management of rheumatoid and early inflammatory arthritis commissioned by Healthcare Quality Improvement Partnership. Rheumatology departments were asked to report their MDT composition; defined as a rheumatologist (consultant or specialist trainee), specialist nurse, occupational therapist physiotherapist, and podiatrist. The data were collected as Whole Time Equivalent (WTE) of each professional group at each department adjusted to 100,000 population. The data were grouped according to British Society for Rheumatology regions to study regional variations. The survey was completed by 164/167 departments (98% response rate). All departments reported an MDT comprising a rheumatologist (consultant or specialist trainee) and almost all included a specialist nurse but only 28 (17%) of the departments had MDTs comprising all the professional groups. There was a high degree of regional variation in the provision of Allied Health Professionals (physiotherapists, occupational therapists, and podiatrists) in the UK. MDT care is recommended for the management of inflammatory arthritis, but few UK rheumatology departments have a full complement of healthcare professionals within their MDT. There is a high degree of regional variation in the composition and staffing levels of the rheumatology MDT across the UK; the impact of which warrants further investigation.","author":[{"dropping-particle":"","family":"Ndosi","given":"Mwidimi","non-dropping-particle":"","parse-names":false,"suffix":""},{"dropping-particle":"","family":"Ferguson","given":"Rachel","non-dropping-particle":"","parse-names":false,"suffix":""},{"dropping-particle":"","family":"Backhouse","given":"Michael R.","non-dropping-particle":"","parse-names":false,"suffix":""},{"dropping-particle":"","family":"Bearne","given":"Lindsay","non-dropping-particle":"","parse-names":false,"suffix":""},{"dropping-particle":"","family":"Ainsworth","given":"Phillip","non-dropping-particle":"","parse-names":false,"suffix":""},{"dropping-particle":"","family":"Roach","given":"Alan","non-dropping-particle":"","parse-names":false,"suffix":""},{"dropping-particle":"","family":"Dennison","given":"Elaine","non-dropping-particle":"","parse-names":false,"suffix":""},{"dropping-particle":"","family":"Cherry","given":"Lindsey","non-dropping-particle":"","parse-names":false,"suffix":""}],"container-title":"Rheumatology International","id":"ITEM-1","issue":"9","issued":{"date-parts":[["2017"]]},"page":"1453-1459","title":"National variation in the composition of rheumatology multidisciplinary teams: a cross-sectional study","type":"article-journal","volume":"37"},"uris":["http://www.mendeley.com/documents/?uuid=2027c0f6-9a7c-409a-a152-77a3a12cd5ec"]},{"id":"ITEM-2","itemData":{"DOI":"10.1093/rheumatology/kei205","ISSN":"14620324","abstract":"OBJECTIVES To determine the provision of foot health services in rheumatology for the UK and Northern Ireland. METHODS Two hundred and sixteen rheumatology departments were surveyed by postal questionnaire. Questions covered the contribution of various disciplines to rheumatology out-patient clinics, and opinions on existing and potential services, with emphasis on foot health provision. Inter-regional variations were explored for eight UK regions. RESULTS Valid responses were received from 170 respondents (78.7% response rate). More than 80% of out-patient departments reported having rheumatology nurse specialists included in the staff mix but fewer than half used other allied health professionals, such as podiatrists. One quarter of the departments had access to a podiatrist and in 18% there was a foot health service dedicated to rheumatology. Awareness of guidelines for referral or of standards of foot care provision was very low (6%). There was high satisfaction with the adequacy of provision of footwear and insoles (81-87%) but low satisfaction with the adequacy of basic foot care (48-52%). Regional variation was extremely high for the provision of basic foot care (0-73%), the non-English regions reporting poorer provision of service. CONCLUSIONS Regional variation in the adequacy of foot health services was high and the non-English regions especially are failing to meet the foot health needs of rheumatology patients. Multidisciplinary care is generally well developed despite the composition of teams being highly variable. Fewer than half of rheumatologists reported that basic foot care needs were being met, although adequacy of provision of more advanced foot services is perceived to be better. The absence of nationally agreed standards and poor awareness of local standards may be detrimental to care in this patient group.","author":[{"dropping-particle":"","family":"Redmond","given":"A. C.","non-dropping-particle":"","parse-names":false,"suffix":""},{"dropping-particle":"","family":"Waxman","given":"R.","non-dropping-particle":"","parse-names":false,"suffix":""},{"dropping-particle":"","family":"Helliwell","given":"P. S.","non-dropping-particle":"","parse-names":false,"suffix":""}],"container-title":"Rheumatology","id":"ITEM-2","issue":"5","issued":{"date-parts":[["2006"]]},"page":"571-576","title":"Provision of foot health services in rheumatology in the UK","type":"article-journal","volume":"45"},"uris":["http://www.mendeley.com/documents/?uuid=b0bb6160-ed03-413c-b8e3-3741ac1a9017"]}],"mendeley":{"formattedCitation":"(Ndosi et al., 2017; Redmond, Waxman, &amp; Helliwell, 2006)","plainTextFormattedCitation":"(Ndosi et al., 2017; Redmond, Waxman, &amp; Helliwell, 2006)","previouslyFormattedCitation":"[8,9]"},"properties":{"noteIndex":0},"schema":"https://github.com/citation-style-language/schema/raw/master/csl-citation.json"}</w:instrText>
      </w:r>
      <w:r w:rsidRPr="00D51D4F">
        <w:rPr>
          <w:rFonts w:ascii="Times New Roman" w:hAnsi="Times New Roman" w:cs="Times New Roman"/>
        </w:rPr>
        <w:fldChar w:fldCharType="separate"/>
      </w:r>
      <w:r w:rsidRPr="00D51D4F">
        <w:rPr>
          <w:rFonts w:ascii="Times New Roman" w:hAnsi="Times New Roman" w:cs="Times New Roman"/>
          <w:noProof/>
          <w:lang w:val="en-US"/>
        </w:rPr>
        <w:t>(Ndosi et al., 2017; Redmond, Waxman, &amp; Helliwell, 2006)</w:t>
      </w:r>
      <w:r w:rsidRPr="00D51D4F">
        <w:rPr>
          <w:rFonts w:ascii="Times New Roman" w:hAnsi="Times New Roman" w:cs="Times New Roman"/>
        </w:rPr>
        <w:fldChar w:fldCharType="end"/>
      </w:r>
      <w:r w:rsidRPr="00D51D4F">
        <w:rPr>
          <w:rFonts w:ascii="Times New Roman" w:hAnsi="Times New Roman" w:cs="Times New Roman"/>
          <w:lang w:val="en-US"/>
        </w:rPr>
        <w:t>. Even where services are available they often fail to meet the clinical demand</w:t>
      </w:r>
      <w:r w:rsidRPr="00D51D4F">
        <w:rPr>
          <w:rFonts w:ascii="Times New Roman" w:hAnsi="Times New Roman" w:cs="Times New Roman"/>
        </w:rPr>
        <w:fldChar w:fldCharType="begin" w:fldLock="1"/>
      </w:r>
      <w:r w:rsidRPr="00D51D4F">
        <w:rPr>
          <w:rFonts w:ascii="Times New Roman" w:hAnsi="Times New Roman" w:cs="Times New Roman"/>
          <w:lang w:val="en-US"/>
        </w:rPr>
        <w:instrText>ADDIN CSL_CITATION {"citationItems":[{"id":"ITEM-1","itemData":{"DOI":"10.1093/rheumatology/ker130","ISSN":"14620324","abstract":"Objectives: To describe conservative and surgical foot care in patients with RA in England and explore factors that predict the type of foot care received. Methods: Use of podiatry and type of foot surgery were outcomes recorded in an inception cohort involving nine rheumatology centres that recruited patients with RA between 1986 and 1998 across England. Associations between patient-specific factors and service use were identified using univariate logistic regression analyses. The independence of these associations was then verified through multiple binary logistic regression modelling. Results: Data were collected on 1237 patients with RA [66.9% females, mean (S.D.) age at disease onset = 54.36 (14.18) years, median DAS = 4.09 (1st quartile = 3.04, 3rd quartile = 5.26), median HAQ= 1 (0.50, 1.63)]. Interventions involving the feet in the cohort were low with only 364 (30%) out of 1218 receiving podiatry and 47 (4%) out of 1237 patients having surgery. At baseline, female gender, increasing age at onset, being RF positive and higher DAS scores were each independently associated with increased odds of seeing a podiatrist. Gender, age of onset and baseline DAS were independently associated with the odds of having foot surgery. Conclusions: Despite the known high prevalence of foot pathologies in RA, only one-third of this cohort accessed podiatry. While older females were more likely to access podiatry care and younger patients surgery, the majority of the RA population did not access any foot care. © The Author(s) 2011. Published by Oxford University Press on behalf of The British Society for Rheumatology.","author":[{"dropping-particle":"","family":"Backhouse","given":"Michael R.","non-dropping-particle":"","parse-names":false,"suffix":""},{"dropping-particle":"","family":"Keenan","given":"Anne Maree","non-dropping-particle":"","parse-names":false,"suffix":""},{"dropping-particle":"","family":"Hensor","given":"Elizabeth M.A.","non-dropping-particle":"","parse-names":false,"suffix":""},{"dropping-particle":"","family":"Young","given":"Adam","non-dropping-particle":"","parse-names":false,"suffix":""},{"dropping-particle":"","family":"James","given":"David","non-dropping-particle":"","parse-names":false,"suffix":""},{"dropping-particle":"","family":"Dixey","given":"Josh","non-dropping-particle":"","parse-names":false,"suffix":""},{"dropping-particle":"","family":"Williams","given":"Peter","non-dropping-particle":"","parse-names":false,"suffix":""},{"dropping-particle":"","family":"Prouse","given":"Peter","non-dropping-particle":"","parse-names":false,"suffix":""},{"dropping-particle":"","family":"Gough","given":"Andrew","non-dropping-particle":"","parse-names":false,"suffix":""},{"dropping-particle":"","family":"Helliwell","given":"Philip S.","non-dropping-particle":"","parse-names":false,"suffix":""},{"dropping-particle":"","family":"Redmond","given":"Anthony C.","non-dropping-particle":"","parse-names":false,"suffix":""}],"container-title":"Rheumatology","id":"ITEM-1","issue":"9","issued":{"date-parts":[["2011"]]},"page":"1586-1595","title":"Use of conservative and surgical foot care in an inception cohort of patients with rheumatoid arthritis","type":"article-journal","volume":"50"},"uris":["http://www.mendeley.com/documents/?uuid=ca483908-c6b4-4a41-8e7f-7aea171d5cfd"]},{"id":"ITEM-2","itemData":{"DOI":"10.1016/j.foot.2004.03.006","ISSN":"09582592","abstract":"Background: National guidelines recommend that patients with rheumatic diseases should have access to podiatry services and evidence is emerging that podiatry interventions are effective in the management of foot problems in this patient group. Despite this recognition it is generally perceived that access to podiatry services appears to be varied or absent. Objectives: To identify the nature of foot health problems presenting in a rheumatology clinic and to ascertain the availability and suitability of foot care for these problems. Method: A convenience sample of 139 patients (100 female and 39 male) was recruited. An assessment of foot health, and footwear was carried out and patients completed the foot function index (FFI). Any unmet foot care needs were identified. Results: The majority of the 139 patients presented with symptomatic callus and toenail problems and over half with foot deformity. There was no clear difference between genders. There was evidence of the effects of foot pain caused by these problems but low prescription of foot orthoses and specialist footwear. Conclusion: Overall this study indicates that poor foot health and foot pain as being common in patients with rheumatic diseases. The lack of foot care could lead to reduction in mobility and in some cases serious complications. This paper recommends that a specialist and dedicated foot care service is provided for these patients. © 2004 Elsevier Ltd. All rights reserved.","author":[{"dropping-particle":"","family":"Williams","given":"A. E.","non-dropping-particle":"","parse-names":false,"suffix":""},{"dropping-particle":"","family":"Bowden","given":"A. P.","non-dropping-particle":"","parse-names":false,"suffix":""}],"container-title":"Foot","id":"ITEM-2","issue":"3","issued":{"date-parts":[["2004"]]},"page":"154-158","title":"Meeting the challenge for foot health in rheumatic diseases","type":"article-journal","volume":"14"},"uris":["http://www.mendeley.com/documents/?uuid=3b82e2d7-c5bb-444c-844f-3ca2ea5ae23c"]}],"mendeley":{"formattedCitation":"(Backhouse et al., 2011; Williams &amp; Bowden, 2004)","plainTextFormattedCitation":"(Backhouse et al., 2011; Williams &amp; Bowden, 2004)","previouslyFormattedCitation":"[10,11]"},"properties":{"noteIndex":0},"schema":"https://github.com/citation-style-language/schema/raw/master/csl-citation.json"}</w:instrText>
      </w:r>
      <w:r w:rsidRPr="00D51D4F">
        <w:rPr>
          <w:rFonts w:ascii="Times New Roman" w:hAnsi="Times New Roman" w:cs="Times New Roman"/>
        </w:rPr>
        <w:fldChar w:fldCharType="separate"/>
      </w:r>
      <w:r w:rsidRPr="00D51D4F">
        <w:rPr>
          <w:rFonts w:ascii="Times New Roman" w:hAnsi="Times New Roman" w:cs="Times New Roman"/>
          <w:noProof/>
          <w:lang w:val="en-US"/>
        </w:rPr>
        <w:t>(Backhouse et al., 2011; Williams &amp; Bowden, 2004)</w:t>
      </w:r>
      <w:r w:rsidRPr="00D51D4F">
        <w:rPr>
          <w:rFonts w:ascii="Times New Roman" w:hAnsi="Times New Roman" w:cs="Times New Roman"/>
        </w:rPr>
        <w:fldChar w:fldCharType="end"/>
      </w:r>
      <w:r w:rsidRPr="00D51D4F">
        <w:rPr>
          <w:rFonts w:ascii="Times New Roman" w:hAnsi="Times New Roman" w:cs="Times New Roman"/>
          <w:lang w:val="en-US"/>
        </w:rPr>
        <w:t>.  One of the potential reasons for variation in the existence of service delivery in counties such as the UK variation could be the absence of widely agreed standards of care for the management of patients with RMD-related foot and ankle problems</w:t>
      </w:r>
      <w:r w:rsidRPr="00D51D4F">
        <w:rPr>
          <w:rFonts w:ascii="Times New Roman" w:hAnsi="Times New Roman" w:cs="Times New Roman"/>
        </w:rPr>
        <w:fldChar w:fldCharType="begin" w:fldLock="1"/>
      </w:r>
      <w:r w:rsidRPr="00D51D4F">
        <w:rPr>
          <w:rFonts w:ascii="Times New Roman" w:hAnsi="Times New Roman" w:cs="Times New Roman"/>
          <w:lang w:val="en-US"/>
        </w:rPr>
        <w:instrText>ADDIN CSL_CITATION {"citationItems":[{"id":"ITEM-1","itemData":{"DOI":"10.1093/rheumatology/kei205","ISSN":"14620324","abstract":"OBJECTIVES To determine the provision of foot health services in rheumatology for the UK and Northern Ireland. METHODS Two hundred and sixteen rheumatology departments were surveyed by postal questionnaire. Questions covered the contribution of various disciplines to rheumatology out-patient clinics, and opinions on existing and potential services, with emphasis on foot health provision. Inter-regional variations were explored for eight UK regions. RESULTS Valid responses were received from 170 respondents (78.7% response rate). More than 80% of out-patient departments reported having rheumatology nurse specialists included in the staff mix but fewer than half used other allied health professionals, such as podiatrists. One quarter of the departments had access to a podiatrist and in 18% there was a foot health service dedicated to rheumatology. Awareness of guidelines for referral or of standards of foot care provision was very low (6%). There was high satisfaction with the adequacy of provision of footwear and insoles (81-87%) but low satisfaction with the adequacy of basic foot care (48-52%). Regional variation was extremely high for the provision of basic foot care (0-73%), the non-English regions reporting poorer provision of service. CONCLUSIONS Regional variation in the adequacy of foot health services was high and the non-English regions especially are failing to meet the foot health needs of rheumatology patients. Multidisciplinary care is generally well developed despite the composition of teams being highly variable. Fewer than half of rheumatologists reported that basic foot care needs were being met, although adequacy of provision of more advanced foot services is perceived to be better. The absence of nationally agreed standards and poor awareness of local standards may be detrimental to care in this patient group.","author":[{"dropping-particle":"","family":"Redmond","given":"A. C.","non-dropping-particle":"","parse-names":false,"suffix":""},{"dropping-particle":"","family":"Waxman","given":"R.","non-dropping-particle":"","parse-names":false,"suffix":""},{"dropping-particle":"","family":"Helliwell","given":"P. S.","non-dropping-particle":"","parse-names":false,"suffix":""}],"container-title":"Rheumatology","id":"ITEM-1","issue":"5","issued":{"date-parts":[["2006"]]},"page":"571-576","title":"Provision of foot health services in rheumatology in the UK","type":"article-journal","volume":"45"},"uris":["http://www.mendeley.com/documents/?uuid=b0bb6160-ed03-413c-b8e3-3741ac1a9017"]}],"mendeley":{"formattedCitation":"(Redmond et al., 2006)","plainTextFormattedCitation":"(Redmond et al., 2006)","previouslyFormattedCitation":"[9]"},"properties":{"noteIndex":0},"schema":"https://github.com/citation-style-language/schema/raw/master/csl-citation.json"}</w:instrText>
      </w:r>
      <w:r w:rsidRPr="00D51D4F">
        <w:rPr>
          <w:rFonts w:ascii="Times New Roman" w:hAnsi="Times New Roman" w:cs="Times New Roman"/>
        </w:rPr>
        <w:fldChar w:fldCharType="separate"/>
      </w:r>
      <w:r w:rsidRPr="00D51D4F">
        <w:rPr>
          <w:rFonts w:ascii="Times New Roman" w:hAnsi="Times New Roman" w:cs="Times New Roman"/>
          <w:noProof/>
          <w:lang w:val="en-US"/>
        </w:rPr>
        <w:t>(Redmond et al., 2006)</w:t>
      </w:r>
      <w:r w:rsidRPr="00D51D4F">
        <w:rPr>
          <w:rFonts w:ascii="Times New Roman" w:hAnsi="Times New Roman" w:cs="Times New Roman"/>
        </w:rPr>
        <w:fldChar w:fldCharType="end"/>
      </w:r>
      <w:r w:rsidRPr="00D51D4F">
        <w:rPr>
          <w:rFonts w:ascii="Times New Roman" w:hAnsi="Times New Roman" w:cs="Times New Roman"/>
          <w:lang w:val="en-US"/>
        </w:rPr>
        <w:t>.</w:t>
      </w:r>
    </w:p>
    <w:p w:rsidR="00721EFB" w:rsidRPr="00D51D4F" w:rsidRDefault="00721EFB" w:rsidP="00721EFB">
      <w:pPr>
        <w:rPr>
          <w:rFonts w:ascii="Times New Roman" w:hAnsi="Times New Roman" w:cs="Times New Roman"/>
          <w:lang w:val="en-US"/>
        </w:rPr>
      </w:pPr>
      <w:r w:rsidRPr="00D51D4F">
        <w:rPr>
          <w:rFonts w:ascii="Times New Roman" w:hAnsi="Times New Roman" w:cs="Times New Roman"/>
          <w:lang w:val="en-US"/>
        </w:rPr>
        <w:t xml:space="preserve">It is suspected that similar levels of variation in foot and ankle healthcare services also exist within and between other countries in Europe. There are no published data reporting the current provision of foot and ankle services within Europe, or how these services are delivered. </w:t>
      </w:r>
    </w:p>
    <w:p w:rsidR="00721EFB" w:rsidRPr="00D51D4F" w:rsidRDefault="00721EFB" w:rsidP="00721EFB">
      <w:pPr>
        <w:rPr>
          <w:rFonts w:ascii="Times New Roman" w:hAnsi="Times New Roman" w:cs="Times New Roman"/>
          <w:b/>
          <w:lang w:val="en-US"/>
        </w:rPr>
      </w:pPr>
      <w:r w:rsidRPr="00D51D4F">
        <w:rPr>
          <w:rFonts w:ascii="Times New Roman" w:hAnsi="Times New Roman" w:cs="Times New Roman"/>
          <w:b/>
          <w:lang w:val="en-US"/>
        </w:rPr>
        <w:t>2. Patients and Methods</w:t>
      </w:r>
    </w:p>
    <w:p w:rsidR="00721EFB" w:rsidRPr="00D51D4F" w:rsidRDefault="00721EFB" w:rsidP="00721EFB">
      <w:pPr>
        <w:rPr>
          <w:rFonts w:ascii="Times New Roman" w:hAnsi="Times New Roman" w:cs="Times New Roman"/>
          <w:lang w:val="en-US"/>
        </w:rPr>
      </w:pPr>
      <w:r w:rsidRPr="00D51D4F">
        <w:rPr>
          <w:rFonts w:ascii="Times New Roman" w:hAnsi="Times New Roman" w:cs="Times New Roman"/>
          <w:lang w:val="en-US"/>
        </w:rPr>
        <w:t>The aim of this study is to explore the variation in the provision of care for people with RMDs and foot &amp; ankle problems between European healthcare systems.</w:t>
      </w:r>
    </w:p>
    <w:p w:rsidR="00721EFB" w:rsidRPr="00F91766" w:rsidRDefault="00721EFB" w:rsidP="00721EFB">
      <w:pPr>
        <w:jc w:val="both"/>
        <w:rPr>
          <w:rFonts w:ascii="Times New Roman" w:hAnsi="Times New Roman" w:cs="Times New Roman"/>
          <w:lang w:val="en-US"/>
        </w:rPr>
      </w:pPr>
      <w:r w:rsidRPr="00D51D4F">
        <w:rPr>
          <w:rFonts w:ascii="Times New Roman" w:hAnsi="Times New Roman" w:cs="Times New Roman"/>
          <w:lang w:val="en-US"/>
        </w:rPr>
        <w:t xml:space="preserve">The survey was developed, using expert consensus, by a multinational and </w:t>
      </w:r>
      <w:proofErr w:type="spellStart"/>
      <w:r w:rsidRPr="00D51D4F">
        <w:rPr>
          <w:rFonts w:ascii="Times New Roman" w:hAnsi="Times New Roman" w:cs="Times New Roman"/>
          <w:lang w:val="en-US"/>
        </w:rPr>
        <w:t>multiprofessional</w:t>
      </w:r>
      <w:proofErr w:type="spellEnd"/>
      <w:r w:rsidRPr="00D51D4F">
        <w:rPr>
          <w:rFonts w:ascii="Times New Roman" w:hAnsi="Times New Roman" w:cs="Times New Roman"/>
          <w:lang w:val="en-US"/>
        </w:rPr>
        <w:t xml:space="preserve"> steering group consisting of 10 members from the EULAR Foot and Ankle Study Group, representing seven countries. To refine the questionnaire, it was circulated to all the members of the EULAR foot and ankle study group for comment and was piloted in seven countries. These seven countries were distributed around north, south and west Europe (</w:t>
      </w:r>
      <w:proofErr w:type="spellStart"/>
      <w:r w:rsidRPr="00D51D4F">
        <w:rPr>
          <w:rFonts w:ascii="Times New Roman" w:hAnsi="Times New Roman" w:cs="Times New Roman"/>
          <w:lang w:val="en-US"/>
        </w:rPr>
        <w:t>i.e</w:t>
      </w:r>
      <w:proofErr w:type="spellEnd"/>
      <w:r w:rsidRPr="00D51D4F">
        <w:rPr>
          <w:rFonts w:ascii="Times New Roman" w:hAnsi="Times New Roman" w:cs="Times New Roman"/>
          <w:lang w:val="en-US"/>
        </w:rPr>
        <w:t xml:space="preserve"> Belgium, Finland, France, Italy, Malta, Portugal and Spain) to capture any potential geographical variation. Efforts were made to pilot the survey in eastern Europe, but we were unable to obtain data at the pilot phase. The questionnaire was sent to clinicians from different health professions who were practicing in the seven countries mentioned above and were identified by members of the steering group. The clinicians were asked to fill in the questionnaire and comment on comprehension and applicability of the questions to their country, they were also asked to suggest any amendments required to </w:t>
      </w:r>
      <w:r w:rsidRPr="00F91766">
        <w:rPr>
          <w:rFonts w:ascii="Times New Roman" w:hAnsi="Times New Roman" w:cs="Times New Roman"/>
          <w:lang w:val="en-US"/>
        </w:rPr>
        <w:t xml:space="preserve">improve the questionnaire. Minor amendments were suggested to improve </w:t>
      </w:r>
      <w:proofErr w:type="spellStart"/>
      <w:r w:rsidRPr="00F91766">
        <w:rPr>
          <w:rFonts w:ascii="Times New Roman" w:hAnsi="Times New Roman" w:cs="Times New Roman"/>
          <w:lang w:val="en-US"/>
        </w:rPr>
        <w:t>comprehension.</w:t>
      </w:r>
      <w:r w:rsidR="003E3B82" w:rsidRPr="00F91766">
        <w:rPr>
          <w:rFonts w:ascii="Times New Roman" w:hAnsi="Times New Roman" w:cs="Times New Roman"/>
          <w:lang w:val="en-US"/>
        </w:rPr>
        <w:t>The</w:t>
      </w:r>
      <w:proofErr w:type="spellEnd"/>
      <w:r w:rsidR="003E3B82" w:rsidRPr="00F91766">
        <w:rPr>
          <w:rFonts w:ascii="Times New Roman" w:hAnsi="Times New Roman" w:cs="Times New Roman"/>
          <w:lang w:val="en-US"/>
        </w:rPr>
        <w:t xml:space="preserve"> final survey (Appendix 1) consisted of 11 multiple choice questions. If applicable participants could select more than one answer.  The time required to complete the questionnaire was approximately 10 minutes.</w:t>
      </w:r>
    </w:p>
    <w:p w:rsidR="003E3B82" w:rsidRPr="00F91766" w:rsidRDefault="00721EFB" w:rsidP="003E3B82">
      <w:pPr>
        <w:jc w:val="both"/>
        <w:rPr>
          <w:rFonts w:ascii="Times New Roman" w:hAnsi="Times New Roman" w:cs="Times New Roman"/>
          <w:lang w:val="en-US"/>
        </w:rPr>
      </w:pPr>
      <w:r w:rsidRPr="00D51D4F">
        <w:rPr>
          <w:rFonts w:ascii="Times New Roman" w:hAnsi="Times New Roman" w:cs="Times New Roman"/>
          <w:lang w:val="en-US"/>
        </w:rPr>
        <w:t>The final survey (Appendix 1) was then distributed, either in person or by mail, to twenty-three presidents representing Health Professionals in Rheumatology (HPR) associations within EULAR from the following European countries</w:t>
      </w:r>
      <w:r w:rsidRPr="00D51D4F">
        <w:rPr>
          <w:rFonts w:ascii="Times New Roman" w:eastAsia="Times New Roman" w:hAnsi="Times New Roman" w:cs="Times New Roman"/>
          <w:color w:val="000000"/>
          <w:lang w:val="en-US"/>
        </w:rPr>
        <w:t xml:space="preserve"> Austria, Belgium, Bulgaria,</w:t>
      </w:r>
      <w:r w:rsidRPr="00D51D4F">
        <w:rPr>
          <w:rFonts w:ascii="Times New Roman" w:hAnsi="Times New Roman" w:cs="Times New Roman"/>
          <w:lang w:val="en-US"/>
        </w:rPr>
        <w:t xml:space="preserve"> </w:t>
      </w:r>
      <w:r w:rsidRPr="00D51D4F">
        <w:rPr>
          <w:rFonts w:ascii="Times New Roman" w:eastAsia="Times New Roman" w:hAnsi="Times New Roman" w:cs="Times New Roman"/>
          <w:color w:val="000000"/>
          <w:lang w:val="en-US"/>
        </w:rPr>
        <w:t>Cyprus, Czech Republic, Denmark,</w:t>
      </w:r>
      <w:r w:rsidRPr="00D51D4F">
        <w:rPr>
          <w:rFonts w:ascii="Times New Roman" w:hAnsi="Times New Roman" w:cs="Times New Roman"/>
          <w:lang w:val="en-US"/>
        </w:rPr>
        <w:t xml:space="preserve"> </w:t>
      </w:r>
      <w:r w:rsidRPr="00D51D4F">
        <w:rPr>
          <w:rFonts w:ascii="Times New Roman" w:eastAsia="Times New Roman" w:hAnsi="Times New Roman" w:cs="Times New Roman"/>
          <w:color w:val="000000"/>
          <w:lang w:val="en-US"/>
        </w:rPr>
        <w:t>Finland, France, Hungary, Ireland, Italy, Malta, Netherlands, Norway,</w:t>
      </w:r>
      <w:r w:rsidRPr="00D51D4F">
        <w:rPr>
          <w:rFonts w:ascii="Times New Roman" w:hAnsi="Times New Roman" w:cs="Times New Roman"/>
          <w:lang w:val="en-US"/>
        </w:rPr>
        <w:t xml:space="preserve"> </w:t>
      </w:r>
      <w:r w:rsidRPr="00D51D4F">
        <w:rPr>
          <w:rFonts w:ascii="Times New Roman" w:eastAsia="Times New Roman" w:hAnsi="Times New Roman" w:cs="Times New Roman"/>
          <w:color w:val="000000"/>
          <w:lang w:val="en-US"/>
        </w:rPr>
        <w:t>Poland, Portugal, Romania,</w:t>
      </w:r>
      <w:r w:rsidRPr="00D51D4F">
        <w:rPr>
          <w:rFonts w:ascii="Times New Roman" w:hAnsi="Times New Roman" w:cs="Times New Roman"/>
          <w:lang w:val="en-US"/>
        </w:rPr>
        <w:t xml:space="preserve"> </w:t>
      </w:r>
      <w:r w:rsidRPr="00D51D4F">
        <w:rPr>
          <w:rFonts w:ascii="Times New Roman" w:eastAsia="Times New Roman" w:hAnsi="Times New Roman" w:cs="Times New Roman"/>
          <w:color w:val="000000"/>
          <w:lang w:val="en-US"/>
        </w:rPr>
        <w:t>Serbia, Spain, Sweden, Switzerland and United Kingdom.</w:t>
      </w:r>
      <w:r w:rsidRPr="00D51D4F">
        <w:rPr>
          <w:rFonts w:ascii="Times New Roman" w:hAnsi="Times New Roman" w:cs="Times New Roman"/>
          <w:lang w:val="en-US"/>
        </w:rPr>
        <w:t xml:space="preserve"> The presidents were selected because as elected heads of national </w:t>
      </w:r>
      <w:r w:rsidRPr="00F91766">
        <w:rPr>
          <w:rFonts w:ascii="Times New Roman" w:hAnsi="Times New Roman" w:cs="Times New Roman"/>
          <w:lang w:val="en-US"/>
        </w:rPr>
        <w:t xml:space="preserve">HPR </w:t>
      </w:r>
      <w:proofErr w:type="spellStart"/>
      <w:r w:rsidRPr="00F91766">
        <w:rPr>
          <w:rFonts w:ascii="Times New Roman" w:hAnsi="Times New Roman" w:cs="Times New Roman"/>
          <w:lang w:val="en-US"/>
        </w:rPr>
        <w:t>organisations</w:t>
      </w:r>
      <w:proofErr w:type="spellEnd"/>
      <w:r w:rsidRPr="00F91766">
        <w:rPr>
          <w:rFonts w:ascii="Times New Roman" w:hAnsi="Times New Roman" w:cs="Times New Roman"/>
          <w:lang w:val="en-US"/>
        </w:rPr>
        <w:t>, they were considered to be in a good position to obtain the required information.</w:t>
      </w:r>
      <w:r w:rsidR="00AF7FFB" w:rsidRPr="00F91766">
        <w:rPr>
          <w:lang w:val="en-US"/>
        </w:rPr>
        <w:t xml:space="preserve"> </w:t>
      </w:r>
      <w:r w:rsidR="002A6305" w:rsidRPr="00F91766">
        <w:rPr>
          <w:rFonts w:ascii="Times New Roman" w:hAnsi="Times New Roman" w:cs="Times New Roman"/>
          <w:lang w:val="en-US"/>
        </w:rPr>
        <w:t>T</w:t>
      </w:r>
      <w:r w:rsidR="003E3B82" w:rsidRPr="00F91766">
        <w:rPr>
          <w:rFonts w:ascii="Times New Roman" w:hAnsi="Times New Roman" w:cs="Times New Roman"/>
          <w:lang w:val="en-US"/>
        </w:rPr>
        <w:t xml:space="preserve">hey based their answers </w:t>
      </w:r>
      <w:r w:rsidR="003E3B82" w:rsidRPr="00F91766">
        <w:rPr>
          <w:rFonts w:ascii="Times New Roman" w:hAnsi="Times New Roman" w:cs="Times New Roman"/>
          <w:lang w:val="en-US"/>
        </w:rPr>
        <w:lastRenderedPageBreak/>
        <w:t>on their knowledge about their service provision in their respective countries, which in some cases might differed from actual provision.</w:t>
      </w:r>
    </w:p>
    <w:p w:rsidR="00721EFB" w:rsidRPr="00D51D4F" w:rsidRDefault="00721EFB" w:rsidP="00721EFB">
      <w:pPr>
        <w:jc w:val="both"/>
        <w:rPr>
          <w:rFonts w:ascii="Times New Roman" w:hAnsi="Times New Roman" w:cs="Times New Roman"/>
          <w:lang w:val="en-US"/>
        </w:rPr>
      </w:pPr>
      <w:r w:rsidRPr="00F91766">
        <w:rPr>
          <w:rFonts w:ascii="Times New Roman" w:hAnsi="Times New Roman" w:cs="Times New Roman"/>
          <w:lang w:val="en-US"/>
        </w:rPr>
        <w:t xml:space="preserve">Data were </w:t>
      </w:r>
      <w:proofErr w:type="spellStart"/>
      <w:r w:rsidRPr="00F91766">
        <w:rPr>
          <w:rFonts w:ascii="Times New Roman" w:hAnsi="Times New Roman" w:cs="Times New Roman"/>
          <w:lang w:val="en-US"/>
        </w:rPr>
        <w:t>analysed</w:t>
      </w:r>
      <w:proofErr w:type="spellEnd"/>
      <w:r w:rsidRPr="00F91766">
        <w:rPr>
          <w:rFonts w:ascii="Times New Roman" w:hAnsi="Times New Roman" w:cs="Times New Roman"/>
          <w:lang w:val="en-US"/>
        </w:rPr>
        <w:t xml:space="preserve"> using SPSS version 22.</w:t>
      </w:r>
      <w:r w:rsidRPr="00F91766">
        <w:rPr>
          <w:rFonts w:ascii="Times New Roman" w:hAnsi="Times New Roman" w:cs="Times New Roman"/>
          <w:bCs/>
          <w:lang w:val="en-US"/>
        </w:rPr>
        <w:t xml:space="preserve"> Participant</w:t>
      </w:r>
      <w:r w:rsidRPr="00D51D4F">
        <w:rPr>
          <w:rFonts w:ascii="Times New Roman" w:hAnsi="Times New Roman" w:cs="Times New Roman"/>
          <w:bCs/>
          <w:color w:val="333333"/>
          <w:lang w:val="en-US"/>
        </w:rPr>
        <w:t xml:space="preserve">s provided implied consent for their participation by completing the questionnaire. </w:t>
      </w:r>
    </w:p>
    <w:p w:rsidR="00721EFB" w:rsidRPr="00D51D4F" w:rsidRDefault="00721EFB" w:rsidP="00721EFB">
      <w:pPr>
        <w:jc w:val="both"/>
        <w:rPr>
          <w:rFonts w:ascii="Times New Roman" w:hAnsi="Times New Roman" w:cs="Times New Roman"/>
          <w:b/>
          <w:lang w:val="en-US"/>
        </w:rPr>
      </w:pPr>
      <w:r w:rsidRPr="00D51D4F">
        <w:rPr>
          <w:rFonts w:ascii="Times New Roman" w:hAnsi="Times New Roman" w:cs="Times New Roman"/>
          <w:b/>
          <w:lang w:val="en-US"/>
        </w:rPr>
        <w:t>3. Results</w:t>
      </w:r>
    </w:p>
    <w:p w:rsidR="00721EFB" w:rsidRPr="00D51D4F" w:rsidRDefault="00721EFB" w:rsidP="00721EFB">
      <w:pPr>
        <w:spacing w:after="360"/>
        <w:jc w:val="both"/>
        <w:rPr>
          <w:rFonts w:ascii="Times New Roman" w:hAnsi="Times New Roman" w:cs="Times New Roman"/>
          <w:lang w:val="en-US"/>
        </w:rPr>
      </w:pPr>
      <w:r w:rsidRPr="00D51D4F">
        <w:rPr>
          <w:rFonts w:ascii="Times New Roman" w:hAnsi="Times New Roman" w:cs="Times New Roman"/>
          <w:lang w:val="en-US"/>
        </w:rPr>
        <w:t xml:space="preserve">Out of the 22 countries, 16 (73%) presidents representing HPR associations within EULAR completed the questionnaire (Austria, Belgium, Czech Republic, Denmark, France, Hungary, Ireland, Italy, Malta, Netherlands, Norway, Portugal, Spain, Sweden, Switzerland and United Kingdom).  </w:t>
      </w:r>
    </w:p>
    <w:p w:rsidR="00721EFB" w:rsidRPr="00D51D4F" w:rsidRDefault="00721EFB" w:rsidP="00721EFB">
      <w:pPr>
        <w:spacing w:after="360"/>
        <w:jc w:val="both"/>
        <w:rPr>
          <w:rFonts w:ascii="Times New Roman" w:hAnsi="Times New Roman" w:cs="Times New Roman"/>
          <w:b/>
          <w:lang w:val="en-US"/>
        </w:rPr>
      </w:pPr>
      <w:r w:rsidRPr="00D51D4F">
        <w:rPr>
          <w:rFonts w:ascii="Times New Roman" w:hAnsi="Times New Roman" w:cs="Times New Roman"/>
          <w:b/>
          <w:lang w:val="en-US"/>
        </w:rPr>
        <w:t>3.1 Provision of foot and ankle services for people with RMDs in each country.</w:t>
      </w:r>
    </w:p>
    <w:p w:rsidR="00721EFB" w:rsidRPr="00D51D4F" w:rsidRDefault="00721EFB" w:rsidP="00721EFB">
      <w:pPr>
        <w:spacing w:after="360"/>
        <w:jc w:val="both"/>
        <w:rPr>
          <w:rFonts w:ascii="Times New Roman" w:hAnsi="Times New Roman" w:cs="Times New Roman"/>
          <w:lang w:val="en-US"/>
        </w:rPr>
      </w:pPr>
      <w:r w:rsidRPr="00D51D4F">
        <w:rPr>
          <w:rFonts w:ascii="Times New Roman" w:hAnsi="Times New Roman" w:cs="Times New Roman"/>
          <w:lang w:val="en-US"/>
        </w:rPr>
        <w:t>All 16 respondents indicated that foot and ankle healthcare services are provided in their country, but only three countries had specialist foot and ankle health care services for people with RMDs (Malta, Netherlands and UK). In some countries, such as the UK, this specialist services were reported but were not to be available throughout the whole country. In those countries which lacked RMD-specific foot and ankle specialist health care services, people with RMDs and foot and/or ankle problems received their treatment either in generic foot and ankle health</w:t>
      </w:r>
      <w:r w:rsidRPr="00D51D4F">
        <w:rPr>
          <w:rFonts w:ascii="Times New Roman" w:hAnsi="Times New Roman" w:cs="Times New Roman"/>
          <w:i/>
          <w:lang w:val="en-US"/>
        </w:rPr>
        <w:t xml:space="preserve"> </w:t>
      </w:r>
      <w:r w:rsidRPr="00D51D4F">
        <w:rPr>
          <w:rFonts w:ascii="Times New Roman" w:hAnsi="Times New Roman" w:cs="Times New Roman"/>
          <w:lang w:val="en-US"/>
        </w:rPr>
        <w:t xml:space="preserve">care services, in </w:t>
      </w:r>
      <w:r w:rsidRPr="00D51D4F">
        <w:rPr>
          <w:rFonts w:ascii="Times New Roman" w:eastAsia="Times New Roman" w:hAnsi="Times New Roman" w:cs="Times New Roman"/>
          <w:color w:val="000000"/>
          <w:lang w:val="en-US"/>
        </w:rPr>
        <w:t xml:space="preserve">Belgium, Denmark, Hungary, Ireland and Italy; or as part of general </w:t>
      </w:r>
      <w:r w:rsidRPr="00D51D4F">
        <w:rPr>
          <w:rFonts w:ascii="Times New Roman" w:hAnsi="Times New Roman" w:cs="Times New Roman"/>
          <w:lang w:val="en-US"/>
        </w:rPr>
        <w:t xml:space="preserve">RMD health care services such as in </w:t>
      </w:r>
      <w:r w:rsidRPr="00D51D4F">
        <w:rPr>
          <w:rFonts w:ascii="Times New Roman" w:eastAsia="Times New Roman" w:hAnsi="Times New Roman" w:cs="Times New Roman"/>
          <w:color w:val="000000"/>
          <w:lang w:val="en-US"/>
        </w:rPr>
        <w:t xml:space="preserve">Austria, France, Portugal and Sweden; and in some countries in both as reported for the Czech Republic, Norway, Spain and Switzerland. </w:t>
      </w:r>
    </w:p>
    <w:p w:rsidR="00721EFB" w:rsidRPr="00D51D4F" w:rsidRDefault="00721EFB" w:rsidP="00721EFB">
      <w:pPr>
        <w:spacing w:after="360"/>
        <w:jc w:val="both"/>
        <w:rPr>
          <w:rFonts w:ascii="Times New Roman" w:hAnsi="Times New Roman" w:cs="Times New Roman"/>
          <w:b/>
          <w:lang w:val="en-US"/>
        </w:rPr>
      </w:pPr>
      <w:r w:rsidRPr="00D51D4F">
        <w:rPr>
          <w:rFonts w:ascii="Times New Roman" w:hAnsi="Times New Roman" w:cs="Times New Roman"/>
          <w:b/>
          <w:lang w:val="en-US"/>
        </w:rPr>
        <w:t xml:space="preserve">3.2 Professions providing care for people with RMDs; </w:t>
      </w:r>
    </w:p>
    <w:p w:rsidR="00721EFB" w:rsidRPr="00D51D4F" w:rsidRDefault="00721EFB" w:rsidP="00721EFB">
      <w:pPr>
        <w:jc w:val="both"/>
        <w:rPr>
          <w:rFonts w:ascii="Times New Roman" w:hAnsi="Times New Roman" w:cs="Times New Roman"/>
          <w:lang w:val="en-US"/>
        </w:rPr>
      </w:pPr>
      <w:r w:rsidRPr="00D51D4F">
        <w:rPr>
          <w:rFonts w:ascii="Times New Roman" w:hAnsi="Times New Roman" w:cs="Times New Roman"/>
          <w:lang w:val="en-US"/>
        </w:rPr>
        <w:t xml:space="preserve">The professions providing care for patients with RMD-related foot and ankle problems varied across countries and specific foot pathologies (Table1). </w:t>
      </w:r>
    </w:p>
    <w:p w:rsidR="00721EFB" w:rsidRPr="00D51D4F" w:rsidRDefault="00721EFB" w:rsidP="00721EFB">
      <w:pPr>
        <w:jc w:val="both"/>
        <w:rPr>
          <w:rFonts w:ascii="Times New Roman" w:hAnsi="Times New Roman" w:cs="Times New Roman"/>
          <w:lang w:val="en-US"/>
        </w:rPr>
      </w:pPr>
      <w:r w:rsidRPr="00D51D4F">
        <w:rPr>
          <w:rFonts w:ascii="Times New Roman" w:hAnsi="Times New Roman" w:cs="Times New Roman"/>
          <w:lang w:val="en-US"/>
        </w:rPr>
        <w:t xml:space="preserve">Rheumatologists were reported in 16 countries as the most common providers of foot care when the problem was related to foot pain. They were followed by physiotherapists who provided care in 15 countries; and GPs and orthotists/prosthetists in 14 countries. In terms of dealing with specific foot pathologies, deformity was primarily treated by orthopedic surgeons, followed by orthotists/prosthetists, rheumatologists and podiatrist. However, when the foot and ankle problems were related to skin ulcers, nurses were reported to be the profession most frequently providing ulcer-care, followed by GP, rheumatologists, dermatologist and vascular surgeons. </w:t>
      </w:r>
    </w:p>
    <w:p w:rsidR="00721EFB" w:rsidRPr="00D51D4F" w:rsidRDefault="00721EFB" w:rsidP="00721EFB">
      <w:pPr>
        <w:jc w:val="both"/>
        <w:rPr>
          <w:rFonts w:ascii="Times New Roman" w:hAnsi="Times New Roman" w:cs="Times New Roman"/>
          <w:lang w:val="en-US"/>
        </w:rPr>
      </w:pPr>
    </w:p>
    <w:p w:rsidR="00721EFB" w:rsidRPr="00D51D4F" w:rsidRDefault="00721EFB" w:rsidP="00721EFB">
      <w:pPr>
        <w:jc w:val="both"/>
        <w:rPr>
          <w:rFonts w:ascii="Times New Roman" w:hAnsi="Times New Roman" w:cs="Times New Roman"/>
          <w:lang w:val="en-US"/>
        </w:rPr>
      </w:pPr>
    </w:p>
    <w:p w:rsidR="00721EFB" w:rsidRPr="00D51D4F" w:rsidRDefault="00721EFB" w:rsidP="00721EFB">
      <w:pPr>
        <w:jc w:val="both"/>
        <w:rPr>
          <w:rFonts w:ascii="Times New Roman" w:hAnsi="Times New Roman" w:cs="Times New Roman"/>
          <w:lang w:val="en-US"/>
        </w:rPr>
      </w:pPr>
    </w:p>
    <w:p w:rsidR="00721EFB" w:rsidRPr="00D51D4F" w:rsidRDefault="00721EFB" w:rsidP="00721EFB">
      <w:pPr>
        <w:jc w:val="both"/>
        <w:rPr>
          <w:rFonts w:ascii="Times New Roman" w:hAnsi="Times New Roman" w:cs="Times New Roman"/>
          <w:lang w:val="en-US"/>
        </w:rPr>
      </w:pPr>
    </w:p>
    <w:p w:rsidR="00721EFB" w:rsidRPr="00D51D4F" w:rsidRDefault="00721EFB" w:rsidP="00721EFB">
      <w:pPr>
        <w:jc w:val="both"/>
        <w:rPr>
          <w:rFonts w:ascii="Times New Roman" w:hAnsi="Times New Roman" w:cs="Times New Roman"/>
          <w:lang w:val="en-US"/>
        </w:rPr>
      </w:pPr>
    </w:p>
    <w:p w:rsidR="00721EFB" w:rsidRPr="00D51D4F" w:rsidRDefault="00721EFB" w:rsidP="00721EFB">
      <w:pPr>
        <w:jc w:val="both"/>
        <w:rPr>
          <w:rFonts w:ascii="Times New Roman" w:hAnsi="Times New Roman" w:cs="Times New Roman"/>
          <w:lang w:val="en-US"/>
        </w:rPr>
      </w:pPr>
    </w:p>
    <w:p w:rsidR="00721EFB" w:rsidRDefault="00721EFB" w:rsidP="00721EFB">
      <w:pPr>
        <w:jc w:val="both"/>
        <w:rPr>
          <w:rFonts w:ascii="Times New Roman" w:hAnsi="Times New Roman" w:cs="Times New Roman"/>
          <w:lang w:val="en-US"/>
        </w:rPr>
      </w:pPr>
    </w:p>
    <w:p w:rsidR="00721EFB" w:rsidRPr="00D51D4F" w:rsidRDefault="00721EFB" w:rsidP="00721EFB">
      <w:pPr>
        <w:jc w:val="both"/>
        <w:rPr>
          <w:rFonts w:ascii="Times New Roman" w:hAnsi="Times New Roman" w:cs="Times New Roman"/>
          <w:lang w:val="en-US"/>
        </w:rPr>
      </w:pPr>
    </w:p>
    <w:tbl>
      <w:tblPr>
        <w:tblStyle w:val="LightShading"/>
        <w:tblW w:w="8897" w:type="dxa"/>
        <w:tblLayout w:type="fixed"/>
        <w:tblLook w:val="0620" w:firstRow="1" w:lastRow="0" w:firstColumn="0" w:lastColumn="0" w:noHBand="1" w:noVBand="1"/>
      </w:tblPr>
      <w:tblGrid>
        <w:gridCol w:w="2414"/>
        <w:gridCol w:w="1995"/>
        <w:gridCol w:w="2116"/>
        <w:gridCol w:w="246"/>
        <w:gridCol w:w="1880"/>
        <w:gridCol w:w="246"/>
      </w:tblGrid>
      <w:tr w:rsidR="00721EFB" w:rsidRPr="00D51D4F" w:rsidTr="00E11398">
        <w:trPr>
          <w:gridAfter w:val="1"/>
          <w:cnfStyle w:val="100000000000" w:firstRow="1" w:lastRow="0" w:firstColumn="0" w:lastColumn="0" w:oddVBand="0" w:evenVBand="0" w:oddHBand="0" w:evenHBand="0" w:firstRowFirstColumn="0" w:firstRowLastColumn="0" w:lastRowFirstColumn="0" w:lastRowLastColumn="0"/>
          <w:wAfter w:w="246" w:type="dxa"/>
          <w:trHeight w:val="300"/>
        </w:trPr>
        <w:tc>
          <w:tcPr>
            <w:tcW w:w="2414" w:type="dxa"/>
            <w:vMerge w:val="restart"/>
            <w:noWrap/>
          </w:tcPr>
          <w:p w:rsidR="00721EFB" w:rsidRPr="00D51D4F" w:rsidRDefault="00721EFB" w:rsidP="00E11398">
            <w:pPr>
              <w:jc w:val="both"/>
              <w:rPr>
                <w:rFonts w:ascii="Times New Roman" w:hAnsi="Times New Roman" w:cs="Times New Roman"/>
                <w:b w:val="0"/>
                <w:bCs w:val="0"/>
                <w:color w:val="000000"/>
                <w:lang w:val="en-GB"/>
              </w:rPr>
            </w:pPr>
          </w:p>
        </w:tc>
        <w:tc>
          <w:tcPr>
            <w:tcW w:w="6237" w:type="dxa"/>
            <w:gridSpan w:val="4"/>
          </w:tcPr>
          <w:p w:rsidR="00721EFB" w:rsidRPr="00D51D4F" w:rsidRDefault="00721EFB" w:rsidP="00E11398">
            <w:pPr>
              <w:jc w:val="both"/>
              <w:rPr>
                <w:rFonts w:ascii="Times New Roman" w:hAnsi="Times New Roman" w:cs="Times New Roman"/>
                <w:b w:val="0"/>
                <w:lang w:val="en-GB"/>
              </w:rPr>
            </w:pPr>
            <w:r w:rsidRPr="00D51D4F">
              <w:rPr>
                <w:rFonts w:ascii="Times New Roman" w:hAnsi="Times New Roman" w:cs="Times New Roman"/>
                <w:b w:val="0"/>
                <w:bCs w:val="0"/>
                <w:color w:val="000000"/>
                <w:lang w:val="en-GB"/>
              </w:rPr>
              <w:t>Foot problems</w:t>
            </w:r>
          </w:p>
        </w:tc>
      </w:tr>
      <w:tr w:rsidR="00721EFB" w:rsidRPr="00D51D4F" w:rsidTr="00E11398">
        <w:trPr>
          <w:trHeight w:val="300"/>
        </w:trPr>
        <w:tc>
          <w:tcPr>
            <w:tcW w:w="2414" w:type="dxa"/>
            <w:vMerge/>
            <w:noWrap/>
          </w:tcPr>
          <w:p w:rsidR="00721EFB" w:rsidRPr="00D51D4F" w:rsidRDefault="00721EFB" w:rsidP="00E11398">
            <w:pPr>
              <w:jc w:val="both"/>
              <w:rPr>
                <w:rFonts w:ascii="Times New Roman" w:hAnsi="Times New Roman" w:cs="Times New Roman"/>
                <w:b/>
                <w:lang w:val="en-GB"/>
              </w:rPr>
            </w:pPr>
          </w:p>
        </w:tc>
        <w:tc>
          <w:tcPr>
            <w:tcW w:w="1995" w:type="dxa"/>
          </w:tcPr>
          <w:p w:rsidR="00721EFB" w:rsidRPr="00D51D4F" w:rsidRDefault="00721EFB" w:rsidP="00E11398">
            <w:pPr>
              <w:jc w:val="both"/>
              <w:rPr>
                <w:rFonts w:ascii="Times New Roman" w:hAnsi="Times New Roman" w:cs="Times New Roman"/>
                <w:b/>
                <w:lang w:val="en-GB"/>
              </w:rPr>
            </w:pPr>
            <w:r w:rsidRPr="00D51D4F">
              <w:rPr>
                <w:rFonts w:ascii="Times New Roman" w:hAnsi="Times New Roman" w:cs="Times New Roman"/>
                <w:b/>
                <w:lang w:val="en-GB"/>
              </w:rPr>
              <w:t>Foot and ankle pain</w:t>
            </w:r>
          </w:p>
        </w:tc>
        <w:tc>
          <w:tcPr>
            <w:tcW w:w="2362" w:type="dxa"/>
            <w:gridSpan w:val="2"/>
            <w:noWrap/>
          </w:tcPr>
          <w:p w:rsidR="00721EFB" w:rsidRPr="00D51D4F" w:rsidRDefault="00721EFB" w:rsidP="00E11398">
            <w:pPr>
              <w:jc w:val="both"/>
              <w:rPr>
                <w:rFonts w:ascii="Times New Roman" w:hAnsi="Times New Roman" w:cs="Times New Roman"/>
                <w:b/>
                <w:lang w:val="en-GB"/>
              </w:rPr>
            </w:pPr>
            <w:r w:rsidRPr="00D51D4F">
              <w:rPr>
                <w:rFonts w:ascii="Times New Roman" w:hAnsi="Times New Roman" w:cs="Times New Roman"/>
                <w:b/>
                <w:lang w:val="en-GB"/>
              </w:rPr>
              <w:t>Foot and ankle deformity</w:t>
            </w:r>
          </w:p>
        </w:tc>
        <w:tc>
          <w:tcPr>
            <w:tcW w:w="2126" w:type="dxa"/>
            <w:gridSpan w:val="2"/>
          </w:tcPr>
          <w:p w:rsidR="00721EFB" w:rsidRPr="00D51D4F" w:rsidRDefault="00721EFB" w:rsidP="00E11398">
            <w:pPr>
              <w:jc w:val="both"/>
              <w:rPr>
                <w:rFonts w:ascii="Times New Roman" w:hAnsi="Times New Roman" w:cs="Times New Roman"/>
                <w:b/>
                <w:lang w:val="en-GB"/>
              </w:rPr>
            </w:pPr>
            <w:r w:rsidRPr="00D51D4F">
              <w:rPr>
                <w:rFonts w:ascii="Times New Roman" w:hAnsi="Times New Roman" w:cs="Times New Roman"/>
                <w:b/>
                <w:lang w:val="en-GB"/>
              </w:rPr>
              <w:t>Foot and ankle ulcers</w:t>
            </w:r>
          </w:p>
        </w:tc>
      </w:tr>
      <w:tr w:rsidR="00721EFB" w:rsidRPr="00D51D4F" w:rsidTr="00E11398">
        <w:trPr>
          <w:gridAfter w:val="1"/>
          <w:wAfter w:w="246" w:type="dxa"/>
          <w:trHeight w:val="300"/>
        </w:trPr>
        <w:tc>
          <w:tcPr>
            <w:tcW w:w="2414" w:type="dxa"/>
            <w:noWrap/>
            <w:hideMark/>
          </w:tcPr>
          <w:p w:rsidR="00721EFB" w:rsidRPr="00D51D4F" w:rsidRDefault="00721EFB" w:rsidP="00E11398">
            <w:pPr>
              <w:jc w:val="both"/>
              <w:rPr>
                <w:rFonts w:ascii="Times New Roman" w:hAnsi="Times New Roman" w:cs="Times New Roman"/>
                <w:b/>
                <w:bCs/>
                <w:color w:val="000000"/>
                <w:lang w:val="en-GB"/>
              </w:rPr>
            </w:pPr>
            <w:r w:rsidRPr="00D51D4F">
              <w:rPr>
                <w:rFonts w:ascii="Times New Roman" w:hAnsi="Times New Roman" w:cs="Times New Roman"/>
                <w:b/>
                <w:bCs/>
                <w:color w:val="000000"/>
                <w:lang w:val="en-GB"/>
              </w:rPr>
              <w:t>Professions</w:t>
            </w:r>
          </w:p>
        </w:tc>
        <w:tc>
          <w:tcPr>
            <w:tcW w:w="1995" w:type="dxa"/>
          </w:tcPr>
          <w:p w:rsidR="00721EFB" w:rsidRPr="00D51D4F" w:rsidRDefault="00721EFB" w:rsidP="00E11398">
            <w:pPr>
              <w:jc w:val="both"/>
              <w:rPr>
                <w:rFonts w:ascii="Times New Roman" w:hAnsi="Times New Roman" w:cs="Times New Roman"/>
                <w:lang w:val="en-GB"/>
              </w:rPr>
            </w:pPr>
            <w:r w:rsidRPr="00D51D4F">
              <w:rPr>
                <w:rFonts w:ascii="Times New Roman" w:hAnsi="Times New Roman" w:cs="Times New Roman"/>
                <w:lang w:val="en-GB"/>
              </w:rPr>
              <w:t>N</w:t>
            </w:r>
            <w:r w:rsidRPr="00D51D4F">
              <w:rPr>
                <w:rFonts w:ascii="Times New Roman" w:hAnsi="Times New Roman" w:cs="Times New Roman"/>
                <w:vertAlign w:val="superscript"/>
                <w:lang w:val="en-GB"/>
              </w:rPr>
              <w:t>o</w:t>
            </w:r>
            <w:r w:rsidRPr="00D51D4F">
              <w:rPr>
                <w:rFonts w:ascii="Times New Roman" w:hAnsi="Times New Roman" w:cs="Times New Roman"/>
                <w:lang w:val="en-GB"/>
              </w:rPr>
              <w:t xml:space="preserve"> Countries(N=16)</w:t>
            </w:r>
          </w:p>
        </w:tc>
        <w:tc>
          <w:tcPr>
            <w:tcW w:w="2116" w:type="dxa"/>
          </w:tcPr>
          <w:p w:rsidR="00721EFB" w:rsidRPr="00D51D4F" w:rsidRDefault="00721EFB" w:rsidP="00E11398">
            <w:pPr>
              <w:jc w:val="both"/>
              <w:rPr>
                <w:rFonts w:ascii="Times New Roman" w:hAnsi="Times New Roman" w:cs="Times New Roman"/>
                <w:lang w:val="en-GB"/>
              </w:rPr>
            </w:pPr>
            <w:r w:rsidRPr="00D51D4F">
              <w:rPr>
                <w:rFonts w:ascii="Times New Roman" w:hAnsi="Times New Roman" w:cs="Times New Roman"/>
                <w:lang w:val="en-GB"/>
              </w:rPr>
              <w:t>N</w:t>
            </w:r>
            <w:r w:rsidRPr="00D51D4F">
              <w:rPr>
                <w:rFonts w:ascii="Times New Roman" w:hAnsi="Times New Roman" w:cs="Times New Roman"/>
                <w:vertAlign w:val="superscript"/>
                <w:lang w:val="en-GB"/>
              </w:rPr>
              <w:t>o</w:t>
            </w:r>
            <w:r w:rsidRPr="00D51D4F">
              <w:rPr>
                <w:rFonts w:ascii="Times New Roman" w:hAnsi="Times New Roman" w:cs="Times New Roman"/>
                <w:lang w:val="en-GB"/>
              </w:rPr>
              <w:t xml:space="preserve"> Countries (N=16)</w:t>
            </w:r>
          </w:p>
        </w:tc>
        <w:tc>
          <w:tcPr>
            <w:tcW w:w="2126" w:type="dxa"/>
            <w:gridSpan w:val="2"/>
            <w:noWrap/>
          </w:tcPr>
          <w:p w:rsidR="00721EFB" w:rsidRPr="00D51D4F" w:rsidRDefault="00721EFB" w:rsidP="00E11398">
            <w:pPr>
              <w:jc w:val="both"/>
              <w:rPr>
                <w:rFonts w:ascii="Times New Roman" w:hAnsi="Times New Roman" w:cs="Times New Roman"/>
                <w:color w:val="auto"/>
                <w:lang w:val="en-GB"/>
              </w:rPr>
            </w:pPr>
            <w:r w:rsidRPr="00D51D4F">
              <w:rPr>
                <w:rFonts w:ascii="Times New Roman" w:hAnsi="Times New Roman" w:cs="Times New Roman"/>
                <w:lang w:val="en-GB"/>
              </w:rPr>
              <w:t>N</w:t>
            </w:r>
            <w:r w:rsidRPr="00D51D4F">
              <w:rPr>
                <w:rFonts w:ascii="Times New Roman" w:hAnsi="Times New Roman" w:cs="Times New Roman"/>
                <w:vertAlign w:val="superscript"/>
                <w:lang w:val="en-GB"/>
              </w:rPr>
              <w:t>o</w:t>
            </w:r>
            <w:r w:rsidRPr="00D51D4F">
              <w:rPr>
                <w:rFonts w:ascii="Times New Roman" w:hAnsi="Times New Roman" w:cs="Times New Roman"/>
                <w:lang w:val="en-GB"/>
              </w:rPr>
              <w:t xml:space="preserve"> Countries (N=16)</w:t>
            </w:r>
          </w:p>
        </w:tc>
      </w:tr>
      <w:tr w:rsidR="00721EFB" w:rsidRPr="00D51D4F" w:rsidTr="00E11398">
        <w:trPr>
          <w:gridAfter w:val="1"/>
          <w:wAfter w:w="246" w:type="dxa"/>
          <w:trHeight w:val="300"/>
        </w:trPr>
        <w:tc>
          <w:tcPr>
            <w:tcW w:w="2414" w:type="dxa"/>
            <w:noWrap/>
            <w:hideMark/>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 xml:space="preserve">General </w:t>
            </w:r>
            <w:proofErr w:type="spellStart"/>
            <w:r w:rsidRPr="00D51D4F">
              <w:rPr>
                <w:rFonts w:ascii="Times New Roman" w:hAnsi="Times New Roman" w:cs="Times New Roman"/>
                <w:color w:val="000000"/>
              </w:rPr>
              <w:t>Practitioner</w:t>
            </w:r>
            <w:proofErr w:type="spellEnd"/>
          </w:p>
        </w:tc>
        <w:tc>
          <w:tcPr>
            <w:tcW w:w="1995"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14</w:t>
            </w:r>
          </w:p>
        </w:tc>
        <w:tc>
          <w:tcPr>
            <w:tcW w:w="2116"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7</w:t>
            </w:r>
          </w:p>
        </w:tc>
        <w:tc>
          <w:tcPr>
            <w:tcW w:w="2126" w:type="dxa"/>
            <w:gridSpan w:val="2"/>
            <w:noWrap/>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10</w:t>
            </w:r>
          </w:p>
        </w:tc>
      </w:tr>
      <w:tr w:rsidR="00721EFB" w:rsidRPr="00D51D4F" w:rsidTr="00E11398">
        <w:trPr>
          <w:gridAfter w:val="1"/>
          <w:wAfter w:w="246" w:type="dxa"/>
          <w:trHeight w:val="280"/>
        </w:trPr>
        <w:tc>
          <w:tcPr>
            <w:tcW w:w="2414" w:type="dxa"/>
            <w:noWrap/>
          </w:tcPr>
          <w:p w:rsidR="00721EFB" w:rsidRPr="00D51D4F" w:rsidRDefault="00721EFB" w:rsidP="00E11398">
            <w:pPr>
              <w:jc w:val="both"/>
              <w:rPr>
                <w:rFonts w:ascii="Times New Roman" w:hAnsi="Times New Roman" w:cs="Times New Roman"/>
                <w:color w:val="000000"/>
              </w:rPr>
            </w:pPr>
            <w:proofErr w:type="spellStart"/>
            <w:r w:rsidRPr="00D51D4F">
              <w:rPr>
                <w:rFonts w:ascii="Times New Roman" w:hAnsi="Times New Roman" w:cs="Times New Roman"/>
                <w:color w:val="000000"/>
              </w:rPr>
              <w:t>Rheumatologist</w:t>
            </w:r>
            <w:proofErr w:type="spellEnd"/>
          </w:p>
        </w:tc>
        <w:tc>
          <w:tcPr>
            <w:tcW w:w="1995"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16</w:t>
            </w:r>
          </w:p>
        </w:tc>
        <w:tc>
          <w:tcPr>
            <w:tcW w:w="2116"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12</w:t>
            </w:r>
          </w:p>
        </w:tc>
        <w:tc>
          <w:tcPr>
            <w:tcW w:w="2126" w:type="dxa"/>
            <w:gridSpan w:val="2"/>
            <w:noWrap/>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10</w:t>
            </w:r>
          </w:p>
        </w:tc>
      </w:tr>
      <w:tr w:rsidR="00721EFB" w:rsidRPr="00D51D4F" w:rsidTr="00E11398">
        <w:trPr>
          <w:gridAfter w:val="1"/>
          <w:wAfter w:w="246" w:type="dxa"/>
          <w:trHeight w:val="280"/>
        </w:trPr>
        <w:tc>
          <w:tcPr>
            <w:tcW w:w="2414" w:type="dxa"/>
            <w:noWrap/>
            <w:hideMark/>
          </w:tcPr>
          <w:p w:rsidR="00721EFB" w:rsidRPr="00D51D4F" w:rsidRDefault="00721EFB" w:rsidP="00E11398">
            <w:pPr>
              <w:jc w:val="both"/>
              <w:rPr>
                <w:rFonts w:ascii="Times New Roman" w:hAnsi="Times New Roman" w:cs="Times New Roman"/>
                <w:color w:val="000000"/>
              </w:rPr>
            </w:pPr>
            <w:proofErr w:type="spellStart"/>
            <w:r w:rsidRPr="00D51D4F">
              <w:rPr>
                <w:rFonts w:ascii="Times New Roman" w:hAnsi="Times New Roman" w:cs="Times New Roman"/>
                <w:color w:val="000000"/>
              </w:rPr>
              <w:t>Rehabilitation</w:t>
            </w:r>
            <w:proofErr w:type="spellEnd"/>
            <w:r w:rsidRPr="00D51D4F">
              <w:rPr>
                <w:rFonts w:ascii="Times New Roman" w:hAnsi="Times New Roman" w:cs="Times New Roman"/>
                <w:color w:val="000000"/>
              </w:rPr>
              <w:t xml:space="preserve"> Medical Doctor</w:t>
            </w:r>
          </w:p>
        </w:tc>
        <w:tc>
          <w:tcPr>
            <w:tcW w:w="1995"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11</w:t>
            </w:r>
          </w:p>
        </w:tc>
        <w:tc>
          <w:tcPr>
            <w:tcW w:w="2116"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11</w:t>
            </w:r>
          </w:p>
        </w:tc>
        <w:tc>
          <w:tcPr>
            <w:tcW w:w="2126" w:type="dxa"/>
            <w:gridSpan w:val="2"/>
            <w:noWrap/>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5</w:t>
            </w:r>
          </w:p>
        </w:tc>
      </w:tr>
      <w:tr w:rsidR="00721EFB" w:rsidRPr="00D51D4F" w:rsidTr="00E11398">
        <w:trPr>
          <w:gridAfter w:val="1"/>
          <w:wAfter w:w="246" w:type="dxa"/>
          <w:trHeight w:val="300"/>
        </w:trPr>
        <w:tc>
          <w:tcPr>
            <w:tcW w:w="2414" w:type="dxa"/>
            <w:noWrap/>
          </w:tcPr>
          <w:p w:rsidR="00721EFB" w:rsidRPr="00D51D4F" w:rsidRDefault="00721EFB" w:rsidP="00E11398">
            <w:pPr>
              <w:jc w:val="both"/>
              <w:rPr>
                <w:rFonts w:ascii="Times New Roman" w:hAnsi="Times New Roman" w:cs="Times New Roman"/>
                <w:color w:val="000000"/>
              </w:rPr>
            </w:pPr>
            <w:proofErr w:type="spellStart"/>
            <w:r w:rsidRPr="00D51D4F">
              <w:rPr>
                <w:rFonts w:ascii="Times New Roman" w:hAnsi="Times New Roman" w:cs="Times New Roman"/>
                <w:color w:val="000000"/>
              </w:rPr>
              <w:t>Dermatologist</w:t>
            </w:r>
            <w:proofErr w:type="spellEnd"/>
          </w:p>
        </w:tc>
        <w:tc>
          <w:tcPr>
            <w:tcW w:w="1995"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3</w:t>
            </w:r>
          </w:p>
        </w:tc>
        <w:tc>
          <w:tcPr>
            <w:tcW w:w="2116"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0</w:t>
            </w:r>
          </w:p>
        </w:tc>
        <w:tc>
          <w:tcPr>
            <w:tcW w:w="2126" w:type="dxa"/>
            <w:gridSpan w:val="2"/>
            <w:noWrap/>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10</w:t>
            </w:r>
          </w:p>
        </w:tc>
      </w:tr>
      <w:tr w:rsidR="00721EFB" w:rsidRPr="00D51D4F" w:rsidTr="00E11398">
        <w:trPr>
          <w:gridAfter w:val="1"/>
          <w:wAfter w:w="246" w:type="dxa"/>
          <w:trHeight w:val="300"/>
        </w:trPr>
        <w:tc>
          <w:tcPr>
            <w:tcW w:w="2414" w:type="dxa"/>
            <w:noWrap/>
          </w:tcPr>
          <w:p w:rsidR="00721EFB" w:rsidRPr="00D51D4F" w:rsidDel="00CC6CB0" w:rsidRDefault="00721EFB" w:rsidP="00E11398">
            <w:pPr>
              <w:jc w:val="both"/>
              <w:rPr>
                <w:rFonts w:ascii="Times New Roman" w:hAnsi="Times New Roman" w:cs="Times New Roman"/>
                <w:color w:val="000000"/>
              </w:rPr>
            </w:pPr>
            <w:proofErr w:type="spellStart"/>
            <w:r w:rsidRPr="00D51D4F">
              <w:rPr>
                <w:rFonts w:ascii="Times New Roman" w:hAnsi="Times New Roman" w:cs="Times New Roman"/>
                <w:color w:val="000000"/>
              </w:rPr>
              <w:t>Orthopaedic</w:t>
            </w:r>
            <w:proofErr w:type="spellEnd"/>
            <w:r w:rsidRPr="00D51D4F">
              <w:rPr>
                <w:rFonts w:ascii="Times New Roman" w:hAnsi="Times New Roman" w:cs="Times New Roman"/>
                <w:color w:val="000000"/>
              </w:rPr>
              <w:t xml:space="preserve"> </w:t>
            </w:r>
            <w:proofErr w:type="spellStart"/>
            <w:r w:rsidRPr="00D51D4F">
              <w:rPr>
                <w:rFonts w:ascii="Times New Roman" w:hAnsi="Times New Roman" w:cs="Times New Roman"/>
                <w:color w:val="000000"/>
              </w:rPr>
              <w:t>surgeon</w:t>
            </w:r>
            <w:proofErr w:type="spellEnd"/>
          </w:p>
        </w:tc>
        <w:tc>
          <w:tcPr>
            <w:tcW w:w="1995"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13</w:t>
            </w:r>
          </w:p>
        </w:tc>
        <w:tc>
          <w:tcPr>
            <w:tcW w:w="2116"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15</w:t>
            </w:r>
          </w:p>
        </w:tc>
        <w:tc>
          <w:tcPr>
            <w:tcW w:w="2126" w:type="dxa"/>
            <w:gridSpan w:val="2"/>
            <w:noWrap/>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7</w:t>
            </w:r>
          </w:p>
        </w:tc>
      </w:tr>
      <w:tr w:rsidR="00721EFB" w:rsidRPr="00D51D4F" w:rsidTr="00E11398">
        <w:trPr>
          <w:gridAfter w:val="1"/>
          <w:wAfter w:w="246" w:type="dxa"/>
          <w:trHeight w:val="300"/>
        </w:trPr>
        <w:tc>
          <w:tcPr>
            <w:tcW w:w="2414" w:type="dxa"/>
            <w:noWrap/>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 xml:space="preserve">Vascular </w:t>
            </w:r>
            <w:proofErr w:type="spellStart"/>
            <w:r w:rsidRPr="00D51D4F">
              <w:rPr>
                <w:rFonts w:ascii="Times New Roman" w:hAnsi="Times New Roman" w:cs="Times New Roman"/>
                <w:color w:val="000000"/>
              </w:rPr>
              <w:t>surgeon</w:t>
            </w:r>
            <w:proofErr w:type="spellEnd"/>
          </w:p>
        </w:tc>
        <w:tc>
          <w:tcPr>
            <w:tcW w:w="1995"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6</w:t>
            </w:r>
          </w:p>
        </w:tc>
        <w:tc>
          <w:tcPr>
            <w:tcW w:w="2116"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0</w:t>
            </w:r>
          </w:p>
        </w:tc>
        <w:tc>
          <w:tcPr>
            <w:tcW w:w="2126" w:type="dxa"/>
            <w:gridSpan w:val="2"/>
            <w:noWrap/>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10</w:t>
            </w:r>
          </w:p>
        </w:tc>
      </w:tr>
      <w:tr w:rsidR="00721EFB" w:rsidRPr="00D51D4F" w:rsidTr="00E11398">
        <w:trPr>
          <w:gridAfter w:val="1"/>
          <w:wAfter w:w="246" w:type="dxa"/>
          <w:trHeight w:val="300"/>
        </w:trPr>
        <w:tc>
          <w:tcPr>
            <w:tcW w:w="2414" w:type="dxa"/>
            <w:noWrap/>
            <w:hideMark/>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Nurse</w:t>
            </w:r>
          </w:p>
        </w:tc>
        <w:tc>
          <w:tcPr>
            <w:tcW w:w="1995"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9</w:t>
            </w:r>
          </w:p>
        </w:tc>
        <w:tc>
          <w:tcPr>
            <w:tcW w:w="2116"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5</w:t>
            </w:r>
          </w:p>
        </w:tc>
        <w:tc>
          <w:tcPr>
            <w:tcW w:w="2126" w:type="dxa"/>
            <w:gridSpan w:val="2"/>
            <w:noWrap/>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15</w:t>
            </w:r>
          </w:p>
        </w:tc>
      </w:tr>
      <w:tr w:rsidR="00721EFB" w:rsidRPr="00D51D4F" w:rsidTr="00E11398">
        <w:trPr>
          <w:gridAfter w:val="1"/>
          <w:wAfter w:w="246" w:type="dxa"/>
          <w:trHeight w:val="300"/>
        </w:trPr>
        <w:tc>
          <w:tcPr>
            <w:tcW w:w="2414" w:type="dxa"/>
            <w:noWrap/>
          </w:tcPr>
          <w:p w:rsidR="00721EFB" w:rsidRPr="00D51D4F" w:rsidDel="00CC6CB0" w:rsidRDefault="00721EFB" w:rsidP="00E11398">
            <w:pPr>
              <w:jc w:val="both"/>
              <w:rPr>
                <w:rFonts w:ascii="Times New Roman" w:hAnsi="Times New Roman" w:cs="Times New Roman"/>
                <w:color w:val="000000"/>
              </w:rPr>
            </w:pPr>
            <w:proofErr w:type="spellStart"/>
            <w:r w:rsidRPr="00D51D4F">
              <w:rPr>
                <w:rFonts w:ascii="Times New Roman" w:hAnsi="Times New Roman" w:cs="Times New Roman"/>
                <w:color w:val="000000"/>
              </w:rPr>
              <w:t>Orthotist</w:t>
            </w:r>
            <w:proofErr w:type="spellEnd"/>
            <w:r w:rsidRPr="00D51D4F">
              <w:rPr>
                <w:rFonts w:ascii="Times New Roman" w:hAnsi="Times New Roman" w:cs="Times New Roman"/>
                <w:color w:val="000000"/>
              </w:rPr>
              <w:t>/</w:t>
            </w:r>
            <w:proofErr w:type="spellStart"/>
            <w:r w:rsidRPr="00D51D4F">
              <w:rPr>
                <w:rFonts w:ascii="Times New Roman" w:hAnsi="Times New Roman" w:cs="Times New Roman"/>
                <w:color w:val="000000"/>
              </w:rPr>
              <w:t>prosthetist</w:t>
            </w:r>
            <w:proofErr w:type="spellEnd"/>
          </w:p>
        </w:tc>
        <w:tc>
          <w:tcPr>
            <w:tcW w:w="1995"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14</w:t>
            </w:r>
          </w:p>
        </w:tc>
        <w:tc>
          <w:tcPr>
            <w:tcW w:w="2116"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14</w:t>
            </w:r>
          </w:p>
        </w:tc>
        <w:tc>
          <w:tcPr>
            <w:tcW w:w="2126" w:type="dxa"/>
            <w:gridSpan w:val="2"/>
            <w:noWrap/>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8</w:t>
            </w:r>
          </w:p>
        </w:tc>
      </w:tr>
      <w:tr w:rsidR="00721EFB" w:rsidRPr="00D51D4F" w:rsidTr="00E11398">
        <w:trPr>
          <w:gridAfter w:val="1"/>
          <w:wAfter w:w="246" w:type="dxa"/>
          <w:trHeight w:val="300"/>
        </w:trPr>
        <w:tc>
          <w:tcPr>
            <w:tcW w:w="2414" w:type="dxa"/>
            <w:noWrap/>
            <w:hideMark/>
          </w:tcPr>
          <w:p w:rsidR="00721EFB" w:rsidRPr="00D51D4F" w:rsidRDefault="00721EFB" w:rsidP="00E11398">
            <w:pPr>
              <w:jc w:val="both"/>
              <w:rPr>
                <w:rFonts w:ascii="Times New Roman" w:hAnsi="Times New Roman" w:cs="Times New Roman"/>
                <w:color w:val="000000"/>
              </w:rPr>
            </w:pPr>
            <w:proofErr w:type="spellStart"/>
            <w:r w:rsidRPr="00D51D4F">
              <w:rPr>
                <w:rFonts w:ascii="Times New Roman" w:hAnsi="Times New Roman" w:cs="Times New Roman"/>
                <w:color w:val="000000"/>
              </w:rPr>
              <w:t>Physiotherapist</w:t>
            </w:r>
            <w:proofErr w:type="spellEnd"/>
          </w:p>
        </w:tc>
        <w:tc>
          <w:tcPr>
            <w:tcW w:w="1995"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15</w:t>
            </w:r>
          </w:p>
        </w:tc>
        <w:tc>
          <w:tcPr>
            <w:tcW w:w="2116"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11</w:t>
            </w:r>
          </w:p>
        </w:tc>
        <w:tc>
          <w:tcPr>
            <w:tcW w:w="2126" w:type="dxa"/>
            <w:gridSpan w:val="2"/>
            <w:noWrap/>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3</w:t>
            </w:r>
          </w:p>
        </w:tc>
      </w:tr>
      <w:tr w:rsidR="00721EFB" w:rsidRPr="00D51D4F" w:rsidTr="00E11398">
        <w:trPr>
          <w:gridAfter w:val="1"/>
          <w:wAfter w:w="246" w:type="dxa"/>
          <w:trHeight w:val="280"/>
        </w:trPr>
        <w:tc>
          <w:tcPr>
            <w:tcW w:w="2414" w:type="dxa"/>
            <w:noWrap/>
            <w:hideMark/>
          </w:tcPr>
          <w:p w:rsidR="00721EFB" w:rsidRPr="00D51D4F" w:rsidRDefault="00721EFB" w:rsidP="00E11398">
            <w:pPr>
              <w:jc w:val="both"/>
              <w:rPr>
                <w:rFonts w:ascii="Times New Roman" w:hAnsi="Times New Roman" w:cs="Times New Roman"/>
                <w:color w:val="000000"/>
              </w:rPr>
            </w:pPr>
            <w:proofErr w:type="spellStart"/>
            <w:r w:rsidRPr="00D51D4F">
              <w:rPr>
                <w:rFonts w:ascii="Times New Roman" w:hAnsi="Times New Roman" w:cs="Times New Roman"/>
                <w:color w:val="000000"/>
              </w:rPr>
              <w:t>Podiatrist</w:t>
            </w:r>
            <w:proofErr w:type="spellEnd"/>
          </w:p>
        </w:tc>
        <w:tc>
          <w:tcPr>
            <w:tcW w:w="1995"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12</w:t>
            </w:r>
          </w:p>
        </w:tc>
        <w:tc>
          <w:tcPr>
            <w:tcW w:w="2116"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12</w:t>
            </w:r>
          </w:p>
        </w:tc>
        <w:tc>
          <w:tcPr>
            <w:tcW w:w="2126" w:type="dxa"/>
            <w:gridSpan w:val="2"/>
            <w:noWrap/>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9</w:t>
            </w:r>
          </w:p>
        </w:tc>
      </w:tr>
    </w:tbl>
    <w:p w:rsidR="00721EFB" w:rsidRPr="00D51D4F" w:rsidRDefault="00721EFB" w:rsidP="00721EFB">
      <w:pPr>
        <w:pStyle w:val="Caption"/>
        <w:spacing w:line="276" w:lineRule="auto"/>
        <w:jc w:val="both"/>
        <w:rPr>
          <w:rFonts w:ascii="Times New Roman" w:hAnsi="Times New Roman" w:cs="Times New Roman"/>
          <w:sz w:val="22"/>
          <w:szCs w:val="22"/>
          <w:lang w:val="en-GB"/>
        </w:rPr>
      </w:pPr>
      <w:r w:rsidRPr="00D51D4F">
        <w:rPr>
          <w:rFonts w:ascii="Times New Roman" w:hAnsi="Times New Roman" w:cs="Times New Roman"/>
          <w:b w:val="0"/>
          <w:sz w:val="22"/>
          <w:szCs w:val="22"/>
        </w:rPr>
        <w:t>Table 1</w:t>
      </w:r>
      <w:r w:rsidRPr="00D51D4F">
        <w:rPr>
          <w:rFonts w:ascii="Times New Roman" w:hAnsi="Times New Roman" w:cs="Times New Roman"/>
          <w:sz w:val="22"/>
          <w:szCs w:val="22"/>
        </w:rPr>
        <w:t xml:space="preserve">: </w:t>
      </w:r>
      <w:r w:rsidRPr="00D51D4F">
        <w:rPr>
          <w:rFonts w:ascii="Times New Roman" w:hAnsi="Times New Roman" w:cs="Times New Roman"/>
          <w:b w:val="0"/>
          <w:bCs w:val="0"/>
          <w:sz w:val="22"/>
          <w:szCs w:val="22"/>
        </w:rPr>
        <w:t xml:space="preserve">The professions involved in providing the health services </w:t>
      </w:r>
      <w:proofErr w:type="spellStart"/>
      <w:r w:rsidRPr="00D51D4F">
        <w:rPr>
          <w:rFonts w:ascii="Times New Roman" w:hAnsi="Times New Roman" w:cs="Times New Roman"/>
          <w:b w:val="0"/>
          <w:bCs w:val="0"/>
          <w:sz w:val="22"/>
          <w:szCs w:val="22"/>
        </w:rPr>
        <w:t>specialising</w:t>
      </w:r>
      <w:proofErr w:type="spellEnd"/>
      <w:r w:rsidRPr="00D51D4F">
        <w:rPr>
          <w:rFonts w:ascii="Times New Roman" w:hAnsi="Times New Roman" w:cs="Times New Roman"/>
          <w:b w:val="0"/>
          <w:bCs w:val="0"/>
          <w:sz w:val="22"/>
          <w:szCs w:val="22"/>
        </w:rPr>
        <w:t xml:space="preserve"> in RMD-related foot and ankle problems across the responding countries. Only professions that were reported to provide the care in ≥10 countries for any of the three pathologies described in the table are presented.</w:t>
      </w:r>
    </w:p>
    <w:p w:rsidR="00721EFB" w:rsidRPr="00D51D4F" w:rsidRDefault="00721EFB" w:rsidP="00721EFB">
      <w:pPr>
        <w:spacing w:after="360"/>
        <w:jc w:val="both"/>
        <w:rPr>
          <w:rFonts w:ascii="Times New Roman" w:hAnsi="Times New Roman" w:cs="Times New Roman"/>
          <w:b/>
          <w:i/>
          <w:lang w:val="en-US"/>
        </w:rPr>
      </w:pPr>
      <w:r w:rsidRPr="00D51D4F">
        <w:rPr>
          <w:rFonts w:ascii="Times New Roman" w:hAnsi="Times New Roman" w:cs="Times New Roman"/>
          <w:b/>
          <w:lang w:val="en-US"/>
        </w:rPr>
        <w:t>3.3 Health Professionals IN Rheumatology provision of foot and ankle health care services for people with RMDs in the public and private health sectors.</w:t>
      </w:r>
    </w:p>
    <w:p w:rsidR="00721EFB" w:rsidRPr="00D51D4F" w:rsidRDefault="00721EFB" w:rsidP="00721EFB">
      <w:pPr>
        <w:spacing w:after="360"/>
        <w:jc w:val="both"/>
        <w:rPr>
          <w:rFonts w:ascii="Times New Roman" w:hAnsi="Times New Roman" w:cs="Times New Roman"/>
          <w:lang w:val="en-US"/>
        </w:rPr>
      </w:pPr>
      <w:r w:rsidRPr="00D51D4F">
        <w:rPr>
          <w:rFonts w:ascii="Times New Roman" w:hAnsi="Times New Roman" w:cs="Times New Roman"/>
          <w:lang w:val="en-US"/>
        </w:rPr>
        <w:t xml:space="preserve">Respondents reported that of the 16 countries that had foot and ankle services, the majority were provided through the public sector but private provision was also common, and professions were frequently accessible through both sectors (table 2). Podiatry was a notable exception as it is more commonly available through the private sector (ten countries) rather than the public sector (seven countries). Five countries (Belgium, Check Republic, Ireland, Malta and UK) were able to access podiatry in both sectors; two countries (Denmark and Netherlands) only had podiatry in the public sector; and five (France, Italy, Portugal, Spain and Switzerland) only in the private sectors. Podiatry as a profession was not present at all in Austria, Hungary, Norway or Sweden. In addition, Switzerland also reported having orthotists/prosthetists only present in the private sector.  </w:t>
      </w:r>
    </w:p>
    <w:p w:rsidR="00721EFB" w:rsidRPr="00D51D4F" w:rsidRDefault="00721EFB" w:rsidP="00721EFB">
      <w:pPr>
        <w:spacing w:after="360"/>
        <w:jc w:val="both"/>
        <w:rPr>
          <w:rFonts w:ascii="Times New Roman" w:hAnsi="Times New Roman" w:cs="Times New Roman"/>
          <w:lang w:val="en-US"/>
        </w:rPr>
      </w:pPr>
      <w:r w:rsidRPr="00D51D4F">
        <w:rPr>
          <w:rFonts w:ascii="Times New Roman" w:hAnsi="Times New Roman" w:cs="Times New Roman"/>
          <w:lang w:val="en-US"/>
        </w:rPr>
        <w:lastRenderedPageBreak/>
        <w:t xml:space="preserve">Out of the seven HPR professions providing health care services for people with RMD-related foot and ankle problems, physiotherapy was the only profession that was represented in all 16 countries in the public sector. Nursing was the second most represented profession in the public sector as it was represented in all countries with the exception of Spain. The other HPR professions with large representation in the public sector were </w:t>
      </w:r>
      <w:r w:rsidRPr="00D51D4F">
        <w:rPr>
          <w:rFonts w:ascii="Times New Roman" w:hAnsi="Times New Roman" w:cs="Times New Roman"/>
          <w:color w:val="000000"/>
          <w:lang w:val="en-US"/>
        </w:rPr>
        <w:t>orthotist/prosthetist and</w:t>
      </w:r>
      <w:r w:rsidRPr="00D51D4F">
        <w:rPr>
          <w:rFonts w:ascii="Times New Roman" w:hAnsi="Times New Roman" w:cs="Times New Roman"/>
          <w:lang w:val="en-US"/>
        </w:rPr>
        <w:t xml:space="preserve"> occupational therapist. The latter two professions provided public health care services for RMD-related foot and ankle problems in 14 countries. While these services were only available in the private sector in Portugal and Switzerland, for orthotist/prosthetist, and in Portugal and Spain, in the case of occupational therapy.</w:t>
      </w:r>
    </w:p>
    <w:p w:rsidR="00721EFB" w:rsidRPr="00D51D4F" w:rsidRDefault="00721EFB" w:rsidP="00721EFB">
      <w:pPr>
        <w:spacing w:after="360"/>
        <w:jc w:val="both"/>
        <w:rPr>
          <w:rFonts w:ascii="Times New Roman" w:hAnsi="Times New Roman" w:cs="Times New Roman"/>
          <w:lang w:val="en-US"/>
        </w:rPr>
      </w:pPr>
      <w:r w:rsidRPr="00D51D4F">
        <w:rPr>
          <w:rFonts w:ascii="Times New Roman" w:hAnsi="Times New Roman" w:cs="Times New Roman"/>
          <w:lang w:val="en-US"/>
        </w:rPr>
        <w:t>Psychologists and social workers were both highly represented in the public sector; with low representation of social workers in the private sector.  The presence of psychology services in the public sector, to treat the psychosocial impact related to foot and ankle problems in patients with RMDs, was reported in all countries with the exception of Switzerland, France, Portugal, and Spain. Social Work was neither</w:t>
      </w:r>
      <w:r w:rsidRPr="00D51D4F" w:rsidDel="00336870">
        <w:rPr>
          <w:rFonts w:ascii="Times New Roman" w:hAnsi="Times New Roman" w:cs="Times New Roman"/>
          <w:lang w:val="en-US"/>
        </w:rPr>
        <w:t xml:space="preserve"> </w:t>
      </w:r>
      <w:r w:rsidRPr="00D51D4F">
        <w:rPr>
          <w:rFonts w:ascii="Times New Roman" w:hAnsi="Times New Roman" w:cs="Times New Roman"/>
          <w:lang w:val="en-US"/>
        </w:rPr>
        <w:t xml:space="preserve">represented in the public sector nor in the private sector in these last three countries. </w:t>
      </w:r>
    </w:p>
    <w:tbl>
      <w:tblPr>
        <w:tblStyle w:val="LightShading"/>
        <w:tblW w:w="8652" w:type="dxa"/>
        <w:tblLayout w:type="fixed"/>
        <w:tblLook w:val="0620" w:firstRow="1" w:lastRow="0" w:firstColumn="0" w:lastColumn="0" w:noHBand="1" w:noVBand="1"/>
      </w:tblPr>
      <w:tblGrid>
        <w:gridCol w:w="2680"/>
        <w:gridCol w:w="1861"/>
        <w:gridCol w:w="2127"/>
        <w:gridCol w:w="1984"/>
      </w:tblGrid>
      <w:tr w:rsidR="00721EFB" w:rsidRPr="002A6305" w:rsidTr="00E11398">
        <w:trPr>
          <w:gridAfter w:val="3"/>
          <w:cnfStyle w:val="100000000000" w:firstRow="1" w:lastRow="0" w:firstColumn="0" w:lastColumn="0" w:oddVBand="0" w:evenVBand="0" w:oddHBand="0" w:evenHBand="0" w:firstRowFirstColumn="0" w:firstRowLastColumn="0" w:lastRowFirstColumn="0" w:lastRowLastColumn="0"/>
          <w:wAfter w:w="5972" w:type="dxa"/>
          <w:trHeight w:val="541"/>
        </w:trPr>
        <w:tc>
          <w:tcPr>
            <w:tcW w:w="2680" w:type="dxa"/>
            <w:vMerge w:val="restart"/>
            <w:noWrap/>
          </w:tcPr>
          <w:p w:rsidR="00721EFB" w:rsidRPr="00D51D4F" w:rsidRDefault="00721EFB" w:rsidP="00E11398">
            <w:pPr>
              <w:jc w:val="both"/>
              <w:rPr>
                <w:rFonts w:ascii="Times New Roman" w:hAnsi="Times New Roman" w:cs="Times New Roman"/>
                <w:lang w:val="en-US"/>
              </w:rPr>
            </w:pPr>
          </w:p>
        </w:tc>
      </w:tr>
      <w:tr w:rsidR="00721EFB" w:rsidRPr="00D51D4F" w:rsidTr="00E11398">
        <w:trPr>
          <w:trHeight w:val="332"/>
        </w:trPr>
        <w:tc>
          <w:tcPr>
            <w:tcW w:w="2680" w:type="dxa"/>
            <w:vMerge/>
            <w:noWrap/>
          </w:tcPr>
          <w:p w:rsidR="00721EFB" w:rsidRPr="00D51D4F" w:rsidRDefault="00721EFB" w:rsidP="00E11398">
            <w:pPr>
              <w:jc w:val="both"/>
              <w:rPr>
                <w:rFonts w:ascii="Times New Roman" w:hAnsi="Times New Roman" w:cs="Times New Roman"/>
                <w:b/>
                <w:lang w:val="en-GB"/>
              </w:rPr>
            </w:pPr>
          </w:p>
        </w:tc>
        <w:tc>
          <w:tcPr>
            <w:tcW w:w="1861" w:type="dxa"/>
          </w:tcPr>
          <w:p w:rsidR="00721EFB" w:rsidRPr="00D51D4F" w:rsidRDefault="00721EFB" w:rsidP="00E11398">
            <w:pPr>
              <w:jc w:val="both"/>
              <w:rPr>
                <w:rFonts w:ascii="Times New Roman" w:hAnsi="Times New Roman" w:cs="Times New Roman"/>
                <w:b/>
                <w:lang w:val="en-GB"/>
              </w:rPr>
            </w:pPr>
            <w:r w:rsidRPr="00D51D4F">
              <w:rPr>
                <w:rFonts w:ascii="Times New Roman" w:hAnsi="Times New Roman" w:cs="Times New Roman"/>
                <w:b/>
                <w:lang w:val="en-GB"/>
              </w:rPr>
              <w:t>Public</w:t>
            </w:r>
          </w:p>
          <w:p w:rsidR="00721EFB" w:rsidRPr="00D51D4F" w:rsidRDefault="00721EFB" w:rsidP="00E11398">
            <w:pPr>
              <w:jc w:val="both"/>
              <w:rPr>
                <w:rFonts w:ascii="Times New Roman" w:hAnsi="Times New Roman" w:cs="Times New Roman"/>
                <w:b/>
                <w:lang w:val="en-GB"/>
              </w:rPr>
            </w:pPr>
            <w:r w:rsidRPr="00D51D4F">
              <w:rPr>
                <w:rFonts w:ascii="Times New Roman" w:hAnsi="Times New Roman" w:cs="Times New Roman"/>
                <w:b/>
                <w:lang w:val="en-GB"/>
              </w:rPr>
              <w:t xml:space="preserve"> Sector </w:t>
            </w:r>
          </w:p>
        </w:tc>
        <w:tc>
          <w:tcPr>
            <w:tcW w:w="2127" w:type="dxa"/>
            <w:noWrap/>
          </w:tcPr>
          <w:p w:rsidR="00721EFB" w:rsidRPr="00D51D4F" w:rsidRDefault="00721EFB" w:rsidP="00E11398">
            <w:pPr>
              <w:jc w:val="both"/>
              <w:rPr>
                <w:rFonts w:ascii="Times New Roman" w:hAnsi="Times New Roman" w:cs="Times New Roman"/>
                <w:b/>
                <w:lang w:val="en-GB"/>
              </w:rPr>
            </w:pPr>
            <w:r w:rsidRPr="00D51D4F">
              <w:rPr>
                <w:rFonts w:ascii="Times New Roman" w:hAnsi="Times New Roman" w:cs="Times New Roman"/>
                <w:b/>
                <w:lang w:val="en-GB"/>
              </w:rPr>
              <w:t xml:space="preserve">Private </w:t>
            </w:r>
          </w:p>
          <w:p w:rsidR="00721EFB" w:rsidRPr="00D51D4F" w:rsidRDefault="00721EFB" w:rsidP="00E11398">
            <w:pPr>
              <w:jc w:val="both"/>
              <w:rPr>
                <w:rFonts w:ascii="Times New Roman" w:hAnsi="Times New Roman" w:cs="Times New Roman"/>
                <w:b/>
                <w:lang w:val="en-GB"/>
              </w:rPr>
            </w:pPr>
            <w:r w:rsidRPr="00D51D4F">
              <w:rPr>
                <w:rFonts w:ascii="Times New Roman" w:hAnsi="Times New Roman" w:cs="Times New Roman"/>
                <w:b/>
                <w:lang w:val="en-GB"/>
              </w:rPr>
              <w:t xml:space="preserve">Sector </w:t>
            </w:r>
          </w:p>
        </w:tc>
        <w:tc>
          <w:tcPr>
            <w:tcW w:w="1984" w:type="dxa"/>
          </w:tcPr>
          <w:p w:rsidR="00721EFB" w:rsidRPr="00D51D4F" w:rsidRDefault="00721EFB" w:rsidP="00E11398">
            <w:pPr>
              <w:jc w:val="both"/>
              <w:rPr>
                <w:rFonts w:ascii="Times New Roman" w:hAnsi="Times New Roman" w:cs="Times New Roman"/>
                <w:b/>
                <w:lang w:val="en-GB"/>
              </w:rPr>
            </w:pPr>
            <w:r w:rsidRPr="00D51D4F">
              <w:rPr>
                <w:rFonts w:ascii="Times New Roman" w:hAnsi="Times New Roman" w:cs="Times New Roman"/>
                <w:b/>
                <w:lang w:val="en-GB"/>
              </w:rPr>
              <w:t xml:space="preserve">Both </w:t>
            </w:r>
          </w:p>
          <w:p w:rsidR="00721EFB" w:rsidRPr="00D51D4F" w:rsidRDefault="00721EFB" w:rsidP="00E11398">
            <w:pPr>
              <w:jc w:val="both"/>
              <w:rPr>
                <w:rFonts w:ascii="Times New Roman" w:hAnsi="Times New Roman" w:cs="Times New Roman"/>
                <w:b/>
                <w:lang w:val="en-GB"/>
              </w:rPr>
            </w:pPr>
            <w:r w:rsidRPr="00D51D4F">
              <w:rPr>
                <w:rFonts w:ascii="Times New Roman" w:hAnsi="Times New Roman" w:cs="Times New Roman"/>
                <w:b/>
                <w:lang w:val="en-GB"/>
              </w:rPr>
              <w:t xml:space="preserve">Sectors </w:t>
            </w:r>
          </w:p>
        </w:tc>
      </w:tr>
      <w:tr w:rsidR="00721EFB" w:rsidRPr="00D51D4F" w:rsidTr="00E11398">
        <w:trPr>
          <w:trHeight w:val="300"/>
        </w:trPr>
        <w:tc>
          <w:tcPr>
            <w:tcW w:w="2680" w:type="dxa"/>
            <w:noWrap/>
            <w:hideMark/>
          </w:tcPr>
          <w:p w:rsidR="00721EFB" w:rsidRPr="00D51D4F" w:rsidRDefault="00721EFB" w:rsidP="00E11398">
            <w:pPr>
              <w:jc w:val="both"/>
              <w:rPr>
                <w:rFonts w:ascii="Times New Roman" w:hAnsi="Times New Roman" w:cs="Times New Roman"/>
                <w:b/>
                <w:bCs/>
                <w:color w:val="000000"/>
                <w:lang w:val="en-GB"/>
              </w:rPr>
            </w:pPr>
            <w:r w:rsidRPr="00D51D4F">
              <w:rPr>
                <w:rFonts w:ascii="Times New Roman" w:hAnsi="Times New Roman" w:cs="Times New Roman"/>
                <w:b/>
                <w:bCs/>
                <w:color w:val="000000"/>
                <w:lang w:val="en-GB"/>
              </w:rPr>
              <w:t>Professions</w:t>
            </w:r>
          </w:p>
        </w:tc>
        <w:tc>
          <w:tcPr>
            <w:tcW w:w="1861" w:type="dxa"/>
          </w:tcPr>
          <w:p w:rsidR="00721EFB" w:rsidRPr="00D51D4F" w:rsidRDefault="00721EFB" w:rsidP="00E11398">
            <w:pPr>
              <w:jc w:val="both"/>
              <w:rPr>
                <w:rFonts w:ascii="Times New Roman" w:hAnsi="Times New Roman" w:cs="Times New Roman"/>
                <w:lang w:val="en-GB"/>
              </w:rPr>
            </w:pPr>
            <w:r w:rsidRPr="00D51D4F">
              <w:rPr>
                <w:rFonts w:ascii="Times New Roman" w:hAnsi="Times New Roman" w:cs="Times New Roman"/>
                <w:lang w:val="en-GB"/>
              </w:rPr>
              <w:t>N</w:t>
            </w:r>
            <w:r w:rsidRPr="00D51D4F">
              <w:rPr>
                <w:rFonts w:ascii="Times New Roman" w:hAnsi="Times New Roman" w:cs="Times New Roman"/>
                <w:vertAlign w:val="superscript"/>
                <w:lang w:val="en-GB"/>
              </w:rPr>
              <w:t>o</w:t>
            </w:r>
            <w:r w:rsidRPr="00D51D4F">
              <w:rPr>
                <w:rFonts w:ascii="Times New Roman" w:hAnsi="Times New Roman" w:cs="Times New Roman"/>
                <w:lang w:val="en-GB"/>
              </w:rPr>
              <w:t xml:space="preserve"> Countries (N=16)</w:t>
            </w:r>
          </w:p>
        </w:tc>
        <w:tc>
          <w:tcPr>
            <w:tcW w:w="2127" w:type="dxa"/>
          </w:tcPr>
          <w:p w:rsidR="00721EFB" w:rsidRPr="00D51D4F" w:rsidRDefault="00721EFB" w:rsidP="00E11398">
            <w:pPr>
              <w:jc w:val="both"/>
              <w:rPr>
                <w:rFonts w:ascii="Times New Roman" w:hAnsi="Times New Roman" w:cs="Times New Roman"/>
                <w:lang w:val="en-GB"/>
              </w:rPr>
            </w:pPr>
            <w:r w:rsidRPr="00D51D4F">
              <w:rPr>
                <w:rFonts w:ascii="Times New Roman" w:hAnsi="Times New Roman" w:cs="Times New Roman"/>
                <w:lang w:val="en-GB"/>
              </w:rPr>
              <w:t>N</w:t>
            </w:r>
            <w:r w:rsidRPr="00D51D4F">
              <w:rPr>
                <w:rFonts w:ascii="Times New Roman" w:hAnsi="Times New Roman" w:cs="Times New Roman"/>
                <w:vertAlign w:val="superscript"/>
                <w:lang w:val="en-GB"/>
              </w:rPr>
              <w:t>o</w:t>
            </w:r>
            <w:r w:rsidRPr="00D51D4F">
              <w:rPr>
                <w:rFonts w:ascii="Times New Roman" w:hAnsi="Times New Roman" w:cs="Times New Roman"/>
                <w:lang w:val="en-GB"/>
              </w:rPr>
              <w:t xml:space="preserve"> Countries (N=16)</w:t>
            </w:r>
          </w:p>
        </w:tc>
        <w:tc>
          <w:tcPr>
            <w:tcW w:w="1984" w:type="dxa"/>
          </w:tcPr>
          <w:p w:rsidR="00721EFB" w:rsidRPr="00D51D4F" w:rsidRDefault="00721EFB" w:rsidP="00E11398">
            <w:pPr>
              <w:jc w:val="both"/>
              <w:rPr>
                <w:rFonts w:ascii="Times New Roman" w:hAnsi="Times New Roman" w:cs="Times New Roman"/>
                <w:lang w:val="en-GB"/>
              </w:rPr>
            </w:pPr>
            <w:r w:rsidRPr="00D51D4F">
              <w:rPr>
                <w:rFonts w:ascii="Times New Roman" w:hAnsi="Times New Roman" w:cs="Times New Roman"/>
                <w:lang w:val="en-GB"/>
              </w:rPr>
              <w:t>N</w:t>
            </w:r>
            <w:r w:rsidRPr="00D51D4F">
              <w:rPr>
                <w:rFonts w:ascii="Times New Roman" w:hAnsi="Times New Roman" w:cs="Times New Roman"/>
                <w:vertAlign w:val="superscript"/>
                <w:lang w:val="en-GB"/>
              </w:rPr>
              <w:t>o</w:t>
            </w:r>
            <w:r w:rsidRPr="00D51D4F">
              <w:rPr>
                <w:rFonts w:ascii="Times New Roman" w:hAnsi="Times New Roman" w:cs="Times New Roman"/>
                <w:lang w:val="en-GB"/>
              </w:rPr>
              <w:t xml:space="preserve"> Countries (N=16)</w:t>
            </w:r>
          </w:p>
        </w:tc>
      </w:tr>
      <w:tr w:rsidR="00721EFB" w:rsidRPr="00D51D4F" w:rsidTr="00E11398">
        <w:trPr>
          <w:trHeight w:val="341"/>
        </w:trPr>
        <w:tc>
          <w:tcPr>
            <w:tcW w:w="2680" w:type="dxa"/>
            <w:noWrap/>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Nurses</w:t>
            </w:r>
          </w:p>
        </w:tc>
        <w:tc>
          <w:tcPr>
            <w:tcW w:w="1861"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15</w:t>
            </w:r>
          </w:p>
        </w:tc>
        <w:tc>
          <w:tcPr>
            <w:tcW w:w="2127"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11</w:t>
            </w:r>
          </w:p>
        </w:tc>
        <w:tc>
          <w:tcPr>
            <w:tcW w:w="1984"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11</w:t>
            </w:r>
          </w:p>
        </w:tc>
      </w:tr>
      <w:tr w:rsidR="00721EFB" w:rsidRPr="00D51D4F" w:rsidTr="00E11398">
        <w:trPr>
          <w:trHeight w:val="300"/>
        </w:trPr>
        <w:tc>
          <w:tcPr>
            <w:tcW w:w="2680" w:type="dxa"/>
            <w:noWrap/>
            <w:hideMark/>
          </w:tcPr>
          <w:p w:rsidR="00721EFB" w:rsidRPr="00D51D4F" w:rsidRDefault="00721EFB" w:rsidP="00E11398">
            <w:pPr>
              <w:jc w:val="both"/>
              <w:rPr>
                <w:rFonts w:ascii="Times New Roman" w:hAnsi="Times New Roman" w:cs="Times New Roman"/>
                <w:color w:val="000000"/>
              </w:rPr>
            </w:pPr>
            <w:proofErr w:type="spellStart"/>
            <w:r w:rsidRPr="00D51D4F">
              <w:rPr>
                <w:rFonts w:ascii="Times New Roman" w:hAnsi="Times New Roman" w:cs="Times New Roman"/>
                <w:color w:val="000000"/>
              </w:rPr>
              <w:t>Occupational</w:t>
            </w:r>
            <w:proofErr w:type="spellEnd"/>
            <w:r w:rsidRPr="00D51D4F">
              <w:rPr>
                <w:rFonts w:ascii="Times New Roman" w:hAnsi="Times New Roman" w:cs="Times New Roman"/>
                <w:color w:val="000000"/>
              </w:rPr>
              <w:t xml:space="preserve"> </w:t>
            </w:r>
            <w:proofErr w:type="spellStart"/>
            <w:r w:rsidRPr="00D51D4F">
              <w:rPr>
                <w:rFonts w:ascii="Times New Roman" w:hAnsi="Times New Roman" w:cs="Times New Roman"/>
                <w:color w:val="000000"/>
              </w:rPr>
              <w:t>Therapist</w:t>
            </w:r>
            <w:proofErr w:type="spellEnd"/>
            <w:r w:rsidRPr="00D51D4F">
              <w:rPr>
                <w:rFonts w:ascii="Times New Roman" w:hAnsi="Times New Roman" w:cs="Times New Roman"/>
                <w:color w:val="000000"/>
              </w:rPr>
              <w:t xml:space="preserve">  </w:t>
            </w:r>
          </w:p>
        </w:tc>
        <w:tc>
          <w:tcPr>
            <w:tcW w:w="1861"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14</w:t>
            </w:r>
          </w:p>
        </w:tc>
        <w:tc>
          <w:tcPr>
            <w:tcW w:w="2127"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6</w:t>
            </w:r>
          </w:p>
        </w:tc>
        <w:tc>
          <w:tcPr>
            <w:tcW w:w="1984"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6</w:t>
            </w:r>
          </w:p>
        </w:tc>
      </w:tr>
      <w:tr w:rsidR="00721EFB" w:rsidRPr="00D51D4F" w:rsidTr="00E11398">
        <w:trPr>
          <w:trHeight w:val="323"/>
        </w:trPr>
        <w:tc>
          <w:tcPr>
            <w:tcW w:w="2680" w:type="dxa"/>
            <w:noWrap/>
            <w:hideMark/>
          </w:tcPr>
          <w:p w:rsidR="00721EFB" w:rsidRPr="00D51D4F" w:rsidRDefault="00721EFB" w:rsidP="00E11398">
            <w:pPr>
              <w:jc w:val="both"/>
              <w:rPr>
                <w:rFonts w:ascii="Times New Roman" w:hAnsi="Times New Roman" w:cs="Times New Roman"/>
                <w:color w:val="000000"/>
              </w:rPr>
            </w:pPr>
            <w:proofErr w:type="spellStart"/>
            <w:r w:rsidRPr="00D51D4F">
              <w:rPr>
                <w:rFonts w:ascii="Times New Roman" w:hAnsi="Times New Roman" w:cs="Times New Roman"/>
                <w:color w:val="000000"/>
              </w:rPr>
              <w:t>Orthotist</w:t>
            </w:r>
            <w:proofErr w:type="spellEnd"/>
            <w:r w:rsidRPr="00D51D4F">
              <w:rPr>
                <w:rFonts w:ascii="Times New Roman" w:hAnsi="Times New Roman" w:cs="Times New Roman"/>
                <w:color w:val="000000"/>
              </w:rPr>
              <w:t>/</w:t>
            </w:r>
            <w:proofErr w:type="spellStart"/>
            <w:r w:rsidRPr="00D51D4F">
              <w:rPr>
                <w:rFonts w:ascii="Times New Roman" w:hAnsi="Times New Roman" w:cs="Times New Roman"/>
                <w:color w:val="000000"/>
              </w:rPr>
              <w:t>prosthetist</w:t>
            </w:r>
            <w:proofErr w:type="spellEnd"/>
          </w:p>
        </w:tc>
        <w:tc>
          <w:tcPr>
            <w:tcW w:w="1861"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14</w:t>
            </w:r>
          </w:p>
        </w:tc>
        <w:tc>
          <w:tcPr>
            <w:tcW w:w="2127"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12</w:t>
            </w:r>
          </w:p>
        </w:tc>
        <w:tc>
          <w:tcPr>
            <w:tcW w:w="1984"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11</w:t>
            </w:r>
          </w:p>
        </w:tc>
      </w:tr>
      <w:tr w:rsidR="00721EFB" w:rsidRPr="00D51D4F" w:rsidTr="00E11398">
        <w:trPr>
          <w:trHeight w:val="318"/>
        </w:trPr>
        <w:tc>
          <w:tcPr>
            <w:tcW w:w="2680" w:type="dxa"/>
            <w:noWrap/>
            <w:hideMark/>
          </w:tcPr>
          <w:p w:rsidR="00721EFB" w:rsidRPr="00D51D4F" w:rsidRDefault="00721EFB" w:rsidP="00E11398">
            <w:pPr>
              <w:jc w:val="both"/>
              <w:rPr>
                <w:rFonts w:ascii="Times New Roman" w:hAnsi="Times New Roman" w:cs="Times New Roman"/>
                <w:color w:val="000000"/>
              </w:rPr>
            </w:pPr>
            <w:proofErr w:type="spellStart"/>
            <w:r w:rsidRPr="00D51D4F">
              <w:rPr>
                <w:rFonts w:ascii="Times New Roman" w:hAnsi="Times New Roman" w:cs="Times New Roman"/>
                <w:color w:val="000000"/>
              </w:rPr>
              <w:t>Physiotherapist</w:t>
            </w:r>
            <w:proofErr w:type="spellEnd"/>
          </w:p>
        </w:tc>
        <w:tc>
          <w:tcPr>
            <w:tcW w:w="1861"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16</w:t>
            </w:r>
          </w:p>
        </w:tc>
        <w:tc>
          <w:tcPr>
            <w:tcW w:w="2127"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14</w:t>
            </w:r>
          </w:p>
        </w:tc>
        <w:tc>
          <w:tcPr>
            <w:tcW w:w="1984"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14</w:t>
            </w:r>
          </w:p>
        </w:tc>
      </w:tr>
      <w:tr w:rsidR="00721EFB" w:rsidRPr="00D51D4F" w:rsidTr="00E11398">
        <w:trPr>
          <w:trHeight w:val="300"/>
        </w:trPr>
        <w:tc>
          <w:tcPr>
            <w:tcW w:w="2680" w:type="dxa"/>
            <w:noWrap/>
            <w:hideMark/>
          </w:tcPr>
          <w:p w:rsidR="00721EFB" w:rsidRPr="00D51D4F" w:rsidRDefault="00721EFB" w:rsidP="00E11398">
            <w:pPr>
              <w:jc w:val="both"/>
              <w:rPr>
                <w:rFonts w:ascii="Times New Roman" w:hAnsi="Times New Roman" w:cs="Times New Roman"/>
                <w:color w:val="000000"/>
              </w:rPr>
            </w:pPr>
            <w:proofErr w:type="spellStart"/>
            <w:r w:rsidRPr="00D51D4F">
              <w:rPr>
                <w:rFonts w:ascii="Times New Roman" w:hAnsi="Times New Roman" w:cs="Times New Roman"/>
                <w:color w:val="000000"/>
              </w:rPr>
              <w:t>Podiatrist</w:t>
            </w:r>
            <w:proofErr w:type="spellEnd"/>
          </w:p>
        </w:tc>
        <w:tc>
          <w:tcPr>
            <w:tcW w:w="1861"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7</w:t>
            </w:r>
          </w:p>
        </w:tc>
        <w:tc>
          <w:tcPr>
            <w:tcW w:w="2127"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10</w:t>
            </w:r>
          </w:p>
        </w:tc>
        <w:tc>
          <w:tcPr>
            <w:tcW w:w="1984"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5</w:t>
            </w:r>
          </w:p>
        </w:tc>
      </w:tr>
      <w:tr w:rsidR="00721EFB" w:rsidRPr="00D51D4F" w:rsidTr="00E11398">
        <w:trPr>
          <w:trHeight w:val="264"/>
        </w:trPr>
        <w:tc>
          <w:tcPr>
            <w:tcW w:w="2680" w:type="dxa"/>
            <w:noWrap/>
          </w:tcPr>
          <w:p w:rsidR="00721EFB" w:rsidRPr="00D51D4F" w:rsidRDefault="00721EFB" w:rsidP="00E11398">
            <w:pPr>
              <w:jc w:val="both"/>
              <w:rPr>
                <w:rFonts w:ascii="Times New Roman" w:hAnsi="Times New Roman" w:cs="Times New Roman"/>
                <w:color w:val="000000"/>
              </w:rPr>
            </w:pPr>
            <w:proofErr w:type="spellStart"/>
            <w:r w:rsidRPr="00D51D4F">
              <w:rPr>
                <w:rFonts w:ascii="Times New Roman" w:hAnsi="Times New Roman" w:cs="Times New Roman"/>
                <w:color w:val="000000"/>
              </w:rPr>
              <w:t>Psychologist</w:t>
            </w:r>
            <w:proofErr w:type="spellEnd"/>
          </w:p>
        </w:tc>
        <w:tc>
          <w:tcPr>
            <w:tcW w:w="1861"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12</w:t>
            </w:r>
          </w:p>
        </w:tc>
        <w:tc>
          <w:tcPr>
            <w:tcW w:w="2127"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10</w:t>
            </w:r>
          </w:p>
        </w:tc>
        <w:tc>
          <w:tcPr>
            <w:tcW w:w="1984"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10</w:t>
            </w:r>
          </w:p>
        </w:tc>
      </w:tr>
      <w:tr w:rsidR="00721EFB" w:rsidRPr="00D51D4F" w:rsidTr="00E11398">
        <w:trPr>
          <w:trHeight w:val="300"/>
        </w:trPr>
        <w:tc>
          <w:tcPr>
            <w:tcW w:w="2680" w:type="dxa"/>
            <w:noWrap/>
            <w:hideMark/>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 xml:space="preserve">Social </w:t>
            </w:r>
            <w:proofErr w:type="spellStart"/>
            <w:r w:rsidRPr="00D51D4F">
              <w:rPr>
                <w:rFonts w:ascii="Times New Roman" w:hAnsi="Times New Roman" w:cs="Times New Roman"/>
                <w:color w:val="000000"/>
              </w:rPr>
              <w:t>worker</w:t>
            </w:r>
            <w:proofErr w:type="spellEnd"/>
          </w:p>
        </w:tc>
        <w:tc>
          <w:tcPr>
            <w:tcW w:w="1861"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13</w:t>
            </w:r>
          </w:p>
        </w:tc>
        <w:tc>
          <w:tcPr>
            <w:tcW w:w="2127"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4</w:t>
            </w:r>
          </w:p>
        </w:tc>
        <w:tc>
          <w:tcPr>
            <w:tcW w:w="1984"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4</w:t>
            </w:r>
          </w:p>
        </w:tc>
      </w:tr>
    </w:tbl>
    <w:p w:rsidR="00721EFB" w:rsidRPr="00D51D4F" w:rsidRDefault="00721EFB" w:rsidP="00721EFB">
      <w:pPr>
        <w:pStyle w:val="Caption"/>
        <w:spacing w:line="276" w:lineRule="auto"/>
        <w:jc w:val="both"/>
        <w:rPr>
          <w:rFonts w:ascii="Times New Roman" w:hAnsi="Times New Roman" w:cs="Times New Roman"/>
          <w:b w:val="0"/>
          <w:sz w:val="22"/>
          <w:szCs w:val="22"/>
        </w:rPr>
      </w:pPr>
      <w:r w:rsidRPr="00D51D4F">
        <w:rPr>
          <w:rFonts w:ascii="Times New Roman" w:hAnsi="Times New Roman" w:cs="Times New Roman"/>
          <w:b w:val="0"/>
          <w:sz w:val="22"/>
          <w:szCs w:val="22"/>
        </w:rPr>
        <w:t xml:space="preserve">Table 2: Availability of each Health Professionals in Rheumatology in the public and private health sectors. </w:t>
      </w:r>
    </w:p>
    <w:p w:rsidR="00721EFB" w:rsidRDefault="00721EFB" w:rsidP="00721EFB">
      <w:pPr>
        <w:spacing w:after="360"/>
        <w:jc w:val="both"/>
        <w:rPr>
          <w:rFonts w:ascii="Times New Roman" w:hAnsi="Times New Roman" w:cs="Times New Roman"/>
          <w:lang w:val="en-US"/>
        </w:rPr>
      </w:pPr>
      <w:r w:rsidRPr="00D51D4F">
        <w:rPr>
          <w:rFonts w:ascii="Times New Roman" w:hAnsi="Times New Roman" w:cs="Times New Roman"/>
          <w:lang w:val="en-US"/>
        </w:rPr>
        <w:t>Where professions delivered foot and ankle services in the public sector, most professions used secondary care settings, with the exception of Podiatry in Denmark, and Social worker in Switzerland (table 3); where in these countries they were only present in primary care.</w:t>
      </w:r>
    </w:p>
    <w:p w:rsidR="00721EFB" w:rsidRDefault="00721EFB" w:rsidP="00721EFB">
      <w:pPr>
        <w:spacing w:after="360"/>
        <w:jc w:val="both"/>
        <w:rPr>
          <w:rFonts w:ascii="Times New Roman" w:hAnsi="Times New Roman" w:cs="Times New Roman"/>
          <w:lang w:val="en-US"/>
        </w:rPr>
      </w:pPr>
    </w:p>
    <w:p w:rsidR="00721EFB" w:rsidRDefault="00721EFB" w:rsidP="00721EFB">
      <w:pPr>
        <w:spacing w:after="360"/>
        <w:jc w:val="both"/>
        <w:rPr>
          <w:rFonts w:ascii="Times New Roman" w:hAnsi="Times New Roman" w:cs="Times New Roman"/>
          <w:lang w:val="en-US"/>
        </w:rPr>
      </w:pPr>
    </w:p>
    <w:p w:rsidR="00721EFB" w:rsidRPr="00D51D4F" w:rsidRDefault="00721EFB" w:rsidP="00721EFB">
      <w:pPr>
        <w:spacing w:after="360"/>
        <w:jc w:val="both"/>
        <w:rPr>
          <w:rFonts w:ascii="Times New Roman" w:hAnsi="Times New Roman" w:cs="Times New Roman"/>
          <w:lang w:val="en-US"/>
        </w:rPr>
      </w:pPr>
    </w:p>
    <w:tbl>
      <w:tblPr>
        <w:tblStyle w:val="LightShading"/>
        <w:tblW w:w="8530" w:type="dxa"/>
        <w:tblLayout w:type="fixed"/>
        <w:tblLook w:val="0620" w:firstRow="1" w:lastRow="0" w:firstColumn="0" w:lastColumn="0" w:noHBand="1" w:noVBand="1"/>
      </w:tblPr>
      <w:tblGrid>
        <w:gridCol w:w="2700"/>
        <w:gridCol w:w="2003"/>
        <w:gridCol w:w="1926"/>
        <w:gridCol w:w="1901"/>
      </w:tblGrid>
      <w:tr w:rsidR="00721EFB" w:rsidRPr="002A6305" w:rsidTr="00E11398">
        <w:trPr>
          <w:gridAfter w:val="3"/>
          <w:cnfStyle w:val="100000000000" w:firstRow="1" w:lastRow="0" w:firstColumn="0" w:lastColumn="0" w:oddVBand="0" w:evenVBand="0" w:oddHBand="0" w:evenHBand="0" w:firstRowFirstColumn="0" w:firstRowLastColumn="0" w:lastRowFirstColumn="0" w:lastRowLastColumn="0"/>
          <w:wAfter w:w="5830" w:type="dxa"/>
          <w:trHeight w:val="541"/>
        </w:trPr>
        <w:tc>
          <w:tcPr>
            <w:tcW w:w="2700" w:type="dxa"/>
            <w:vMerge w:val="restart"/>
            <w:noWrap/>
          </w:tcPr>
          <w:p w:rsidR="00721EFB" w:rsidRPr="00D51D4F" w:rsidRDefault="00721EFB" w:rsidP="00E11398">
            <w:pPr>
              <w:jc w:val="both"/>
              <w:rPr>
                <w:rFonts w:ascii="Times New Roman" w:hAnsi="Times New Roman" w:cs="Times New Roman"/>
                <w:b w:val="0"/>
                <w:bCs w:val="0"/>
                <w:color w:val="000000"/>
                <w:lang w:val="en-GB"/>
              </w:rPr>
            </w:pPr>
          </w:p>
          <w:p w:rsidR="00721EFB" w:rsidRPr="00D51D4F" w:rsidRDefault="00721EFB" w:rsidP="00E11398">
            <w:pPr>
              <w:jc w:val="both"/>
              <w:rPr>
                <w:rFonts w:ascii="Times New Roman" w:hAnsi="Times New Roman" w:cs="Times New Roman"/>
                <w:b w:val="0"/>
                <w:bCs w:val="0"/>
                <w:color w:val="000000"/>
                <w:lang w:val="en-GB"/>
              </w:rPr>
            </w:pPr>
          </w:p>
        </w:tc>
      </w:tr>
      <w:tr w:rsidR="00721EFB" w:rsidRPr="00D51D4F" w:rsidTr="00E11398">
        <w:trPr>
          <w:trHeight w:val="300"/>
        </w:trPr>
        <w:tc>
          <w:tcPr>
            <w:tcW w:w="2700" w:type="dxa"/>
            <w:vMerge/>
            <w:noWrap/>
          </w:tcPr>
          <w:p w:rsidR="00721EFB" w:rsidRPr="00D51D4F" w:rsidRDefault="00721EFB" w:rsidP="00E11398">
            <w:pPr>
              <w:jc w:val="both"/>
              <w:rPr>
                <w:rFonts w:ascii="Times New Roman" w:hAnsi="Times New Roman" w:cs="Times New Roman"/>
                <w:b/>
                <w:lang w:val="en-GB"/>
              </w:rPr>
            </w:pPr>
          </w:p>
        </w:tc>
        <w:tc>
          <w:tcPr>
            <w:tcW w:w="2003" w:type="dxa"/>
          </w:tcPr>
          <w:p w:rsidR="00721EFB" w:rsidRPr="00D51D4F" w:rsidRDefault="00721EFB" w:rsidP="00E11398">
            <w:pPr>
              <w:jc w:val="both"/>
              <w:rPr>
                <w:rFonts w:ascii="Times New Roman" w:hAnsi="Times New Roman" w:cs="Times New Roman"/>
                <w:b/>
                <w:lang w:val="en-GB"/>
              </w:rPr>
            </w:pPr>
            <w:r w:rsidRPr="00D51D4F">
              <w:rPr>
                <w:rFonts w:ascii="Times New Roman" w:hAnsi="Times New Roman" w:cs="Times New Roman"/>
                <w:b/>
                <w:lang w:val="en-GB"/>
              </w:rPr>
              <w:t xml:space="preserve">Primary </w:t>
            </w:r>
          </w:p>
          <w:p w:rsidR="00721EFB" w:rsidRPr="00D51D4F" w:rsidRDefault="00721EFB" w:rsidP="00E11398">
            <w:pPr>
              <w:jc w:val="both"/>
              <w:rPr>
                <w:rFonts w:ascii="Times New Roman" w:hAnsi="Times New Roman" w:cs="Times New Roman"/>
                <w:b/>
                <w:lang w:val="en-GB"/>
              </w:rPr>
            </w:pPr>
            <w:r w:rsidRPr="00D51D4F">
              <w:rPr>
                <w:rFonts w:ascii="Times New Roman" w:hAnsi="Times New Roman" w:cs="Times New Roman"/>
                <w:b/>
                <w:lang w:val="en-GB"/>
              </w:rPr>
              <w:t xml:space="preserve">Care </w:t>
            </w:r>
          </w:p>
        </w:tc>
        <w:tc>
          <w:tcPr>
            <w:tcW w:w="1926" w:type="dxa"/>
            <w:noWrap/>
          </w:tcPr>
          <w:p w:rsidR="00721EFB" w:rsidRPr="00D51D4F" w:rsidRDefault="00721EFB" w:rsidP="00E11398">
            <w:pPr>
              <w:jc w:val="both"/>
              <w:rPr>
                <w:rFonts w:ascii="Times New Roman" w:hAnsi="Times New Roman" w:cs="Times New Roman"/>
                <w:b/>
                <w:lang w:val="en-GB"/>
              </w:rPr>
            </w:pPr>
            <w:r w:rsidRPr="00D51D4F">
              <w:rPr>
                <w:rFonts w:ascii="Times New Roman" w:hAnsi="Times New Roman" w:cs="Times New Roman"/>
                <w:b/>
                <w:lang w:val="en-GB"/>
              </w:rPr>
              <w:t xml:space="preserve">Secondary Care </w:t>
            </w:r>
          </w:p>
        </w:tc>
        <w:tc>
          <w:tcPr>
            <w:tcW w:w="1901" w:type="dxa"/>
          </w:tcPr>
          <w:p w:rsidR="00721EFB" w:rsidRPr="00D51D4F" w:rsidRDefault="00721EFB" w:rsidP="00E11398">
            <w:pPr>
              <w:jc w:val="both"/>
              <w:rPr>
                <w:rFonts w:ascii="Times New Roman" w:hAnsi="Times New Roman" w:cs="Times New Roman"/>
                <w:b/>
                <w:lang w:val="en-GB"/>
              </w:rPr>
            </w:pPr>
            <w:r w:rsidRPr="00D51D4F">
              <w:rPr>
                <w:rFonts w:ascii="Times New Roman" w:hAnsi="Times New Roman" w:cs="Times New Roman"/>
                <w:b/>
                <w:lang w:val="en-GB"/>
              </w:rPr>
              <w:t xml:space="preserve">Both </w:t>
            </w:r>
          </w:p>
          <w:p w:rsidR="00721EFB" w:rsidRPr="00D51D4F" w:rsidRDefault="00721EFB" w:rsidP="00E11398">
            <w:pPr>
              <w:jc w:val="both"/>
              <w:rPr>
                <w:rFonts w:ascii="Times New Roman" w:hAnsi="Times New Roman" w:cs="Times New Roman"/>
                <w:b/>
                <w:lang w:val="en-GB"/>
              </w:rPr>
            </w:pPr>
            <w:r w:rsidRPr="00D51D4F">
              <w:rPr>
                <w:rFonts w:ascii="Times New Roman" w:hAnsi="Times New Roman" w:cs="Times New Roman"/>
                <w:b/>
                <w:lang w:val="en-GB"/>
              </w:rPr>
              <w:t xml:space="preserve">Settings </w:t>
            </w:r>
          </w:p>
        </w:tc>
      </w:tr>
      <w:tr w:rsidR="00721EFB" w:rsidRPr="00D51D4F" w:rsidTr="00E11398">
        <w:trPr>
          <w:trHeight w:val="300"/>
        </w:trPr>
        <w:tc>
          <w:tcPr>
            <w:tcW w:w="2700" w:type="dxa"/>
            <w:noWrap/>
            <w:hideMark/>
          </w:tcPr>
          <w:p w:rsidR="00721EFB" w:rsidRPr="00D51D4F" w:rsidRDefault="00721EFB" w:rsidP="00E11398">
            <w:pPr>
              <w:jc w:val="both"/>
              <w:rPr>
                <w:rFonts w:ascii="Times New Roman" w:hAnsi="Times New Roman" w:cs="Times New Roman"/>
                <w:b/>
                <w:bCs/>
                <w:color w:val="000000"/>
                <w:lang w:val="en-GB"/>
              </w:rPr>
            </w:pPr>
            <w:r w:rsidRPr="00D51D4F">
              <w:rPr>
                <w:rFonts w:ascii="Times New Roman" w:hAnsi="Times New Roman" w:cs="Times New Roman"/>
                <w:b/>
                <w:bCs/>
                <w:color w:val="000000"/>
                <w:lang w:val="en-GB"/>
              </w:rPr>
              <w:t>Professions</w:t>
            </w:r>
          </w:p>
        </w:tc>
        <w:tc>
          <w:tcPr>
            <w:tcW w:w="2003" w:type="dxa"/>
          </w:tcPr>
          <w:p w:rsidR="00721EFB" w:rsidRPr="00D51D4F" w:rsidRDefault="00721EFB" w:rsidP="00E11398">
            <w:pPr>
              <w:jc w:val="both"/>
              <w:rPr>
                <w:rFonts w:ascii="Times New Roman" w:hAnsi="Times New Roman" w:cs="Times New Roman"/>
                <w:lang w:val="en-GB"/>
              </w:rPr>
            </w:pPr>
            <w:r w:rsidRPr="00D51D4F">
              <w:rPr>
                <w:rFonts w:ascii="Times New Roman" w:hAnsi="Times New Roman" w:cs="Times New Roman"/>
                <w:lang w:val="en-GB"/>
              </w:rPr>
              <w:t>N</w:t>
            </w:r>
            <w:r w:rsidRPr="00D51D4F">
              <w:rPr>
                <w:rFonts w:ascii="Times New Roman" w:hAnsi="Times New Roman" w:cs="Times New Roman"/>
                <w:vertAlign w:val="superscript"/>
                <w:lang w:val="en-GB"/>
              </w:rPr>
              <w:t>o</w:t>
            </w:r>
            <w:r w:rsidRPr="00D51D4F">
              <w:rPr>
                <w:rFonts w:ascii="Times New Roman" w:hAnsi="Times New Roman" w:cs="Times New Roman"/>
                <w:lang w:val="en-GB"/>
              </w:rPr>
              <w:t xml:space="preserve"> Countries(N=16)</w:t>
            </w:r>
          </w:p>
        </w:tc>
        <w:tc>
          <w:tcPr>
            <w:tcW w:w="1926" w:type="dxa"/>
          </w:tcPr>
          <w:p w:rsidR="00721EFB" w:rsidRPr="00D51D4F" w:rsidRDefault="00721EFB" w:rsidP="00E11398">
            <w:pPr>
              <w:jc w:val="both"/>
              <w:rPr>
                <w:rFonts w:ascii="Times New Roman" w:hAnsi="Times New Roman" w:cs="Times New Roman"/>
                <w:lang w:val="en-GB"/>
              </w:rPr>
            </w:pPr>
            <w:r w:rsidRPr="00D51D4F">
              <w:rPr>
                <w:rFonts w:ascii="Times New Roman" w:hAnsi="Times New Roman" w:cs="Times New Roman"/>
                <w:lang w:val="en-GB"/>
              </w:rPr>
              <w:t>N</w:t>
            </w:r>
            <w:r w:rsidRPr="00D51D4F">
              <w:rPr>
                <w:rFonts w:ascii="Times New Roman" w:hAnsi="Times New Roman" w:cs="Times New Roman"/>
                <w:vertAlign w:val="superscript"/>
                <w:lang w:val="en-GB"/>
              </w:rPr>
              <w:t>o</w:t>
            </w:r>
            <w:r w:rsidRPr="00D51D4F">
              <w:rPr>
                <w:rFonts w:ascii="Times New Roman" w:hAnsi="Times New Roman" w:cs="Times New Roman"/>
                <w:lang w:val="en-GB"/>
              </w:rPr>
              <w:t xml:space="preserve"> Countries(N=16)</w:t>
            </w:r>
          </w:p>
        </w:tc>
        <w:tc>
          <w:tcPr>
            <w:tcW w:w="1901" w:type="dxa"/>
          </w:tcPr>
          <w:p w:rsidR="00721EFB" w:rsidRPr="00D51D4F" w:rsidRDefault="00721EFB" w:rsidP="00E11398">
            <w:pPr>
              <w:jc w:val="both"/>
              <w:rPr>
                <w:rFonts w:ascii="Times New Roman" w:hAnsi="Times New Roman" w:cs="Times New Roman"/>
                <w:lang w:val="en-GB"/>
              </w:rPr>
            </w:pPr>
            <w:r w:rsidRPr="00D51D4F">
              <w:rPr>
                <w:rFonts w:ascii="Times New Roman" w:hAnsi="Times New Roman" w:cs="Times New Roman"/>
                <w:lang w:val="en-GB"/>
              </w:rPr>
              <w:t>N</w:t>
            </w:r>
            <w:r w:rsidRPr="00D51D4F">
              <w:rPr>
                <w:rFonts w:ascii="Times New Roman" w:hAnsi="Times New Roman" w:cs="Times New Roman"/>
                <w:vertAlign w:val="superscript"/>
                <w:lang w:val="en-GB"/>
              </w:rPr>
              <w:t>o</w:t>
            </w:r>
            <w:r w:rsidRPr="00D51D4F">
              <w:rPr>
                <w:rFonts w:ascii="Times New Roman" w:hAnsi="Times New Roman" w:cs="Times New Roman"/>
                <w:lang w:val="en-GB"/>
              </w:rPr>
              <w:t xml:space="preserve"> Countries (N=16)</w:t>
            </w:r>
          </w:p>
        </w:tc>
      </w:tr>
      <w:tr w:rsidR="00721EFB" w:rsidRPr="00D51D4F" w:rsidTr="00E11398">
        <w:trPr>
          <w:trHeight w:val="280"/>
        </w:trPr>
        <w:tc>
          <w:tcPr>
            <w:tcW w:w="2700" w:type="dxa"/>
            <w:noWrap/>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Nurses</w:t>
            </w:r>
          </w:p>
        </w:tc>
        <w:tc>
          <w:tcPr>
            <w:tcW w:w="2003"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14</w:t>
            </w:r>
          </w:p>
        </w:tc>
        <w:tc>
          <w:tcPr>
            <w:tcW w:w="1926"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15</w:t>
            </w:r>
          </w:p>
        </w:tc>
        <w:tc>
          <w:tcPr>
            <w:tcW w:w="1901"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13</w:t>
            </w:r>
          </w:p>
        </w:tc>
      </w:tr>
      <w:tr w:rsidR="00721EFB" w:rsidRPr="00D51D4F" w:rsidTr="00E11398">
        <w:trPr>
          <w:trHeight w:val="300"/>
        </w:trPr>
        <w:tc>
          <w:tcPr>
            <w:tcW w:w="2700" w:type="dxa"/>
            <w:noWrap/>
            <w:hideMark/>
          </w:tcPr>
          <w:p w:rsidR="00721EFB" w:rsidRPr="00D51D4F" w:rsidRDefault="00721EFB" w:rsidP="00E11398">
            <w:pPr>
              <w:jc w:val="both"/>
              <w:rPr>
                <w:rFonts w:ascii="Times New Roman" w:hAnsi="Times New Roman" w:cs="Times New Roman"/>
                <w:color w:val="000000"/>
              </w:rPr>
            </w:pPr>
            <w:proofErr w:type="spellStart"/>
            <w:r w:rsidRPr="00D51D4F">
              <w:rPr>
                <w:rFonts w:ascii="Times New Roman" w:hAnsi="Times New Roman" w:cs="Times New Roman"/>
                <w:color w:val="000000"/>
              </w:rPr>
              <w:t>Occupational</w:t>
            </w:r>
            <w:proofErr w:type="spellEnd"/>
            <w:r w:rsidRPr="00D51D4F">
              <w:rPr>
                <w:rFonts w:ascii="Times New Roman" w:hAnsi="Times New Roman" w:cs="Times New Roman"/>
                <w:color w:val="000000"/>
              </w:rPr>
              <w:t xml:space="preserve"> </w:t>
            </w:r>
            <w:proofErr w:type="spellStart"/>
            <w:r w:rsidRPr="00D51D4F">
              <w:rPr>
                <w:rFonts w:ascii="Times New Roman" w:hAnsi="Times New Roman" w:cs="Times New Roman"/>
                <w:color w:val="000000"/>
              </w:rPr>
              <w:t>Therapist</w:t>
            </w:r>
            <w:proofErr w:type="spellEnd"/>
            <w:r w:rsidRPr="00D51D4F">
              <w:rPr>
                <w:rFonts w:ascii="Times New Roman" w:hAnsi="Times New Roman" w:cs="Times New Roman"/>
                <w:color w:val="000000"/>
              </w:rPr>
              <w:t xml:space="preserve">  </w:t>
            </w:r>
          </w:p>
        </w:tc>
        <w:tc>
          <w:tcPr>
            <w:tcW w:w="2003"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10</w:t>
            </w:r>
          </w:p>
        </w:tc>
        <w:tc>
          <w:tcPr>
            <w:tcW w:w="1926"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14</w:t>
            </w:r>
          </w:p>
        </w:tc>
        <w:tc>
          <w:tcPr>
            <w:tcW w:w="1901"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9</w:t>
            </w:r>
          </w:p>
        </w:tc>
      </w:tr>
      <w:tr w:rsidR="00721EFB" w:rsidRPr="00D51D4F" w:rsidTr="00E11398">
        <w:trPr>
          <w:trHeight w:val="280"/>
        </w:trPr>
        <w:tc>
          <w:tcPr>
            <w:tcW w:w="2700" w:type="dxa"/>
            <w:noWrap/>
            <w:hideMark/>
          </w:tcPr>
          <w:p w:rsidR="00721EFB" w:rsidRPr="00D51D4F" w:rsidRDefault="00721EFB" w:rsidP="00E11398">
            <w:pPr>
              <w:jc w:val="both"/>
              <w:rPr>
                <w:rFonts w:ascii="Times New Roman" w:hAnsi="Times New Roman" w:cs="Times New Roman"/>
                <w:color w:val="000000"/>
              </w:rPr>
            </w:pPr>
            <w:proofErr w:type="spellStart"/>
            <w:r w:rsidRPr="00D51D4F">
              <w:rPr>
                <w:rFonts w:ascii="Times New Roman" w:hAnsi="Times New Roman" w:cs="Times New Roman"/>
                <w:color w:val="000000"/>
              </w:rPr>
              <w:t>Orthotist</w:t>
            </w:r>
            <w:proofErr w:type="spellEnd"/>
            <w:r w:rsidRPr="00D51D4F">
              <w:rPr>
                <w:rFonts w:ascii="Times New Roman" w:hAnsi="Times New Roman" w:cs="Times New Roman"/>
                <w:color w:val="000000"/>
              </w:rPr>
              <w:t>/</w:t>
            </w:r>
            <w:proofErr w:type="spellStart"/>
            <w:r w:rsidRPr="00D51D4F">
              <w:rPr>
                <w:rFonts w:ascii="Times New Roman" w:hAnsi="Times New Roman" w:cs="Times New Roman"/>
                <w:color w:val="000000"/>
              </w:rPr>
              <w:t>prosthetist</w:t>
            </w:r>
            <w:proofErr w:type="spellEnd"/>
          </w:p>
        </w:tc>
        <w:tc>
          <w:tcPr>
            <w:tcW w:w="2003"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7</w:t>
            </w:r>
          </w:p>
        </w:tc>
        <w:tc>
          <w:tcPr>
            <w:tcW w:w="1926"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14</w:t>
            </w:r>
          </w:p>
        </w:tc>
        <w:tc>
          <w:tcPr>
            <w:tcW w:w="1901"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6</w:t>
            </w:r>
          </w:p>
        </w:tc>
      </w:tr>
      <w:tr w:rsidR="00721EFB" w:rsidRPr="00D51D4F" w:rsidTr="00E11398">
        <w:trPr>
          <w:trHeight w:val="280"/>
        </w:trPr>
        <w:tc>
          <w:tcPr>
            <w:tcW w:w="2700" w:type="dxa"/>
            <w:noWrap/>
            <w:hideMark/>
          </w:tcPr>
          <w:p w:rsidR="00721EFB" w:rsidRPr="00D51D4F" w:rsidRDefault="00721EFB" w:rsidP="00E11398">
            <w:pPr>
              <w:jc w:val="both"/>
              <w:rPr>
                <w:rFonts w:ascii="Times New Roman" w:hAnsi="Times New Roman" w:cs="Times New Roman"/>
                <w:color w:val="000000"/>
              </w:rPr>
            </w:pPr>
            <w:proofErr w:type="spellStart"/>
            <w:r w:rsidRPr="00D51D4F">
              <w:rPr>
                <w:rFonts w:ascii="Times New Roman" w:hAnsi="Times New Roman" w:cs="Times New Roman"/>
                <w:color w:val="000000"/>
              </w:rPr>
              <w:t>Physiotherapist</w:t>
            </w:r>
            <w:proofErr w:type="spellEnd"/>
          </w:p>
        </w:tc>
        <w:tc>
          <w:tcPr>
            <w:tcW w:w="2003"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15</w:t>
            </w:r>
          </w:p>
        </w:tc>
        <w:tc>
          <w:tcPr>
            <w:tcW w:w="1926"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16</w:t>
            </w:r>
          </w:p>
        </w:tc>
        <w:tc>
          <w:tcPr>
            <w:tcW w:w="1901"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14</w:t>
            </w:r>
          </w:p>
        </w:tc>
      </w:tr>
      <w:tr w:rsidR="00721EFB" w:rsidRPr="00D51D4F" w:rsidTr="00E11398">
        <w:trPr>
          <w:trHeight w:val="300"/>
        </w:trPr>
        <w:tc>
          <w:tcPr>
            <w:tcW w:w="2700" w:type="dxa"/>
            <w:noWrap/>
            <w:hideMark/>
          </w:tcPr>
          <w:p w:rsidR="00721EFB" w:rsidRPr="00D51D4F" w:rsidRDefault="00721EFB" w:rsidP="00E11398">
            <w:pPr>
              <w:jc w:val="both"/>
              <w:rPr>
                <w:rFonts w:ascii="Times New Roman" w:hAnsi="Times New Roman" w:cs="Times New Roman"/>
                <w:color w:val="000000"/>
              </w:rPr>
            </w:pPr>
            <w:proofErr w:type="spellStart"/>
            <w:r w:rsidRPr="00D51D4F">
              <w:rPr>
                <w:rFonts w:ascii="Times New Roman" w:hAnsi="Times New Roman" w:cs="Times New Roman"/>
                <w:color w:val="000000"/>
              </w:rPr>
              <w:t>Podiatrist</w:t>
            </w:r>
            <w:proofErr w:type="spellEnd"/>
          </w:p>
        </w:tc>
        <w:tc>
          <w:tcPr>
            <w:tcW w:w="2003"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7</w:t>
            </w:r>
          </w:p>
        </w:tc>
        <w:tc>
          <w:tcPr>
            <w:tcW w:w="1926"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6</w:t>
            </w:r>
          </w:p>
        </w:tc>
        <w:tc>
          <w:tcPr>
            <w:tcW w:w="1901"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6</w:t>
            </w:r>
          </w:p>
        </w:tc>
      </w:tr>
      <w:tr w:rsidR="00721EFB" w:rsidRPr="00D51D4F" w:rsidTr="00E11398">
        <w:trPr>
          <w:trHeight w:val="300"/>
        </w:trPr>
        <w:tc>
          <w:tcPr>
            <w:tcW w:w="2700" w:type="dxa"/>
            <w:noWrap/>
          </w:tcPr>
          <w:p w:rsidR="00721EFB" w:rsidRPr="00D51D4F" w:rsidRDefault="00721EFB" w:rsidP="00E11398">
            <w:pPr>
              <w:jc w:val="both"/>
              <w:rPr>
                <w:rFonts w:ascii="Times New Roman" w:hAnsi="Times New Roman" w:cs="Times New Roman"/>
                <w:color w:val="000000"/>
              </w:rPr>
            </w:pPr>
            <w:proofErr w:type="spellStart"/>
            <w:r w:rsidRPr="00D51D4F">
              <w:rPr>
                <w:rFonts w:ascii="Times New Roman" w:hAnsi="Times New Roman" w:cs="Times New Roman"/>
                <w:color w:val="000000"/>
              </w:rPr>
              <w:t>Psychologist</w:t>
            </w:r>
            <w:proofErr w:type="spellEnd"/>
          </w:p>
        </w:tc>
        <w:tc>
          <w:tcPr>
            <w:tcW w:w="2003"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8</w:t>
            </w:r>
          </w:p>
        </w:tc>
        <w:tc>
          <w:tcPr>
            <w:tcW w:w="1926"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12</w:t>
            </w:r>
          </w:p>
        </w:tc>
        <w:tc>
          <w:tcPr>
            <w:tcW w:w="1901"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8</w:t>
            </w:r>
          </w:p>
        </w:tc>
      </w:tr>
      <w:tr w:rsidR="00721EFB" w:rsidRPr="00D51D4F" w:rsidTr="00E11398">
        <w:trPr>
          <w:trHeight w:val="300"/>
        </w:trPr>
        <w:tc>
          <w:tcPr>
            <w:tcW w:w="2700" w:type="dxa"/>
            <w:noWrap/>
            <w:hideMark/>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 xml:space="preserve">Social </w:t>
            </w:r>
            <w:proofErr w:type="spellStart"/>
            <w:r w:rsidRPr="00D51D4F">
              <w:rPr>
                <w:rFonts w:ascii="Times New Roman" w:hAnsi="Times New Roman" w:cs="Times New Roman"/>
                <w:color w:val="000000"/>
              </w:rPr>
              <w:t>worker</w:t>
            </w:r>
            <w:proofErr w:type="spellEnd"/>
          </w:p>
        </w:tc>
        <w:tc>
          <w:tcPr>
            <w:tcW w:w="2003"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9</w:t>
            </w:r>
          </w:p>
        </w:tc>
        <w:tc>
          <w:tcPr>
            <w:tcW w:w="1926"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12</w:t>
            </w:r>
          </w:p>
        </w:tc>
        <w:tc>
          <w:tcPr>
            <w:tcW w:w="1901" w:type="dxa"/>
          </w:tcPr>
          <w:p w:rsidR="00721EFB" w:rsidRPr="00D51D4F" w:rsidRDefault="00721EFB" w:rsidP="00E11398">
            <w:pPr>
              <w:jc w:val="both"/>
              <w:rPr>
                <w:rFonts w:ascii="Times New Roman" w:hAnsi="Times New Roman" w:cs="Times New Roman"/>
                <w:color w:val="000000"/>
              </w:rPr>
            </w:pPr>
            <w:r w:rsidRPr="00D51D4F">
              <w:rPr>
                <w:rFonts w:ascii="Times New Roman" w:hAnsi="Times New Roman" w:cs="Times New Roman"/>
                <w:color w:val="000000"/>
              </w:rPr>
              <w:t>8</w:t>
            </w:r>
          </w:p>
        </w:tc>
      </w:tr>
    </w:tbl>
    <w:p w:rsidR="00721EFB" w:rsidRPr="00C53ED5" w:rsidRDefault="00721EFB" w:rsidP="00721EFB">
      <w:pPr>
        <w:pStyle w:val="Caption"/>
        <w:spacing w:line="276" w:lineRule="auto"/>
        <w:jc w:val="both"/>
        <w:rPr>
          <w:rFonts w:ascii="Times New Roman" w:hAnsi="Times New Roman" w:cs="Times New Roman"/>
          <w:b w:val="0"/>
          <w:bCs w:val="0"/>
          <w:sz w:val="22"/>
          <w:szCs w:val="22"/>
        </w:rPr>
      </w:pPr>
      <w:r w:rsidRPr="00D51D4F">
        <w:rPr>
          <w:rFonts w:ascii="Times New Roman" w:hAnsi="Times New Roman" w:cs="Times New Roman"/>
          <w:b w:val="0"/>
          <w:sz w:val="22"/>
          <w:szCs w:val="22"/>
        </w:rPr>
        <w:t>Table 3: S</w:t>
      </w:r>
      <w:r w:rsidRPr="00D51D4F">
        <w:rPr>
          <w:rFonts w:ascii="Times New Roman" w:hAnsi="Times New Roman" w:cs="Times New Roman"/>
          <w:b w:val="0"/>
          <w:bCs w:val="0"/>
          <w:sz w:val="22"/>
          <w:szCs w:val="22"/>
        </w:rPr>
        <w:t xml:space="preserve">etting where the service was delivered for those countries which service was in the public-sector. </w:t>
      </w:r>
    </w:p>
    <w:p w:rsidR="00721EFB" w:rsidRPr="00D51D4F" w:rsidRDefault="00721EFB" w:rsidP="00721EFB">
      <w:pPr>
        <w:spacing w:after="360"/>
        <w:jc w:val="both"/>
        <w:rPr>
          <w:rFonts w:ascii="Times New Roman" w:hAnsi="Times New Roman" w:cs="Times New Roman"/>
          <w:b/>
          <w:lang w:val="en-US"/>
        </w:rPr>
      </w:pPr>
      <w:r w:rsidRPr="00D51D4F">
        <w:rPr>
          <w:rFonts w:ascii="Times New Roman" w:hAnsi="Times New Roman" w:cs="Times New Roman"/>
          <w:b/>
          <w:lang w:val="en-US"/>
        </w:rPr>
        <w:t>3.4 Existence of agreed referral pathways and guidelines for the management of patients with RMD-related foot and ankle problems</w:t>
      </w:r>
    </w:p>
    <w:p w:rsidR="00721EFB" w:rsidRPr="00D51D4F" w:rsidRDefault="00721EFB" w:rsidP="00721EFB">
      <w:pPr>
        <w:spacing w:after="360"/>
        <w:jc w:val="both"/>
        <w:rPr>
          <w:rFonts w:ascii="Times New Roman" w:hAnsi="Times New Roman" w:cs="Times New Roman"/>
          <w:lang w:val="en-US"/>
        </w:rPr>
      </w:pPr>
      <w:r w:rsidRPr="00D51D4F">
        <w:rPr>
          <w:rFonts w:ascii="Times New Roman" w:hAnsi="Times New Roman" w:cs="Times New Roman"/>
          <w:lang w:val="en-US"/>
        </w:rPr>
        <w:t>Out of the 16 countries, eight reported having agreed referral pathways for the management of patients with RMD-related foot and ankle problems. The Czech Republic and Belgium reported to have nationally agreed pathways which were mandatory, Portugal reported to have non-mandatory referral pathways; while in Denmark, Hungary, Italy, Netherlands and UK there were no nationally agreed pathways but local arrangements were reported, while the other eight countries had no referral pathways. Eight of the countries also had guidelines in place for the management of patients with RMD-related foot and ankle problems. These guidelines were nationally agreed in the Czech Republic, France, Italy, Portugal and UK; and locally agreed in Ireland, Malta and Sweden. The UK also reported to have additional locally agreed guidelines. All of the countries with national guidelines reported that they were not mandatory</w:t>
      </w:r>
    </w:p>
    <w:p w:rsidR="00721EFB" w:rsidRPr="00D51D4F" w:rsidRDefault="00721EFB" w:rsidP="00721EFB">
      <w:pPr>
        <w:spacing w:after="360"/>
        <w:jc w:val="both"/>
        <w:rPr>
          <w:rFonts w:ascii="Times New Roman" w:hAnsi="Times New Roman" w:cs="Times New Roman"/>
          <w:b/>
          <w:lang w:val="en-US"/>
        </w:rPr>
      </w:pPr>
      <w:r w:rsidRPr="00D51D4F">
        <w:rPr>
          <w:rFonts w:ascii="Times New Roman" w:hAnsi="Times New Roman" w:cs="Times New Roman"/>
          <w:b/>
          <w:lang w:val="en-US"/>
        </w:rPr>
        <w:t>4. Discussion</w:t>
      </w:r>
    </w:p>
    <w:p w:rsidR="00721EFB" w:rsidRDefault="00721EFB" w:rsidP="00721EFB">
      <w:pPr>
        <w:spacing w:after="360"/>
        <w:jc w:val="both"/>
        <w:rPr>
          <w:rFonts w:ascii="Times New Roman" w:hAnsi="Times New Roman" w:cs="Times New Roman"/>
          <w:color w:val="333333"/>
          <w:lang w:val="en-US"/>
        </w:rPr>
      </w:pPr>
      <w:r w:rsidRPr="00D51D4F">
        <w:rPr>
          <w:rFonts w:ascii="Times New Roman" w:hAnsi="Times New Roman" w:cs="Times New Roman"/>
          <w:color w:val="333333"/>
          <w:lang w:val="en-US"/>
        </w:rPr>
        <w:t xml:space="preserve">This is the first survey that has been undertaken to capture the current status of foot and ankle services available for people with RMDs in Europe. </w:t>
      </w:r>
    </w:p>
    <w:p w:rsidR="00721EFB" w:rsidRPr="00D51D4F" w:rsidRDefault="00721EFB" w:rsidP="00721EFB">
      <w:pPr>
        <w:spacing w:after="360"/>
        <w:jc w:val="both"/>
        <w:rPr>
          <w:rFonts w:ascii="Times New Roman" w:hAnsi="Times New Roman" w:cs="Times New Roman"/>
          <w:color w:val="333333"/>
          <w:lang w:val="en-US"/>
        </w:rPr>
      </w:pPr>
      <w:r w:rsidRPr="00D51D4F">
        <w:rPr>
          <w:rFonts w:ascii="Times New Roman" w:hAnsi="Times New Roman" w:cs="Times New Roman"/>
          <w:color w:val="333333"/>
          <w:lang w:val="en-US"/>
        </w:rPr>
        <w:t xml:space="preserve">Currently, the presence of </w:t>
      </w:r>
      <w:r w:rsidRPr="00D51D4F">
        <w:rPr>
          <w:rFonts w:ascii="Times New Roman" w:hAnsi="Times New Roman" w:cs="Times New Roman"/>
          <w:lang w:val="en-US"/>
        </w:rPr>
        <w:t>RMD-specific foot and ankle specialist health care services</w:t>
      </w:r>
      <w:r w:rsidRPr="00D51D4F" w:rsidDel="002D5EF0">
        <w:rPr>
          <w:rFonts w:ascii="Times New Roman" w:hAnsi="Times New Roman" w:cs="Times New Roman"/>
          <w:color w:val="333333"/>
          <w:lang w:val="en-US"/>
        </w:rPr>
        <w:t xml:space="preserve"> </w:t>
      </w:r>
      <w:r w:rsidRPr="00D51D4F">
        <w:rPr>
          <w:rFonts w:ascii="Times New Roman" w:hAnsi="Times New Roman" w:cs="Times New Roman"/>
          <w:color w:val="333333"/>
          <w:lang w:val="en-US"/>
        </w:rPr>
        <w:t xml:space="preserve">in Europe appears rare. Only three countries out of 16 have </w:t>
      </w:r>
      <w:r w:rsidRPr="00D51D4F">
        <w:rPr>
          <w:rFonts w:ascii="Times New Roman" w:hAnsi="Times New Roman" w:cs="Times New Roman"/>
          <w:lang w:val="en-US"/>
        </w:rPr>
        <w:t xml:space="preserve">services </w:t>
      </w:r>
      <w:proofErr w:type="spellStart"/>
      <w:r w:rsidRPr="00D51D4F">
        <w:rPr>
          <w:rFonts w:ascii="Times New Roman" w:hAnsi="Times New Roman" w:cs="Times New Roman"/>
          <w:lang w:val="en-US"/>
        </w:rPr>
        <w:t>specialising</w:t>
      </w:r>
      <w:proofErr w:type="spellEnd"/>
      <w:r w:rsidRPr="00D51D4F">
        <w:rPr>
          <w:rFonts w:ascii="Times New Roman" w:hAnsi="Times New Roman" w:cs="Times New Roman"/>
          <w:lang w:val="en-US"/>
        </w:rPr>
        <w:t xml:space="preserve"> in RMD-related foot and ankle problems, and even in these three countries there is within-country variation. </w:t>
      </w:r>
    </w:p>
    <w:p w:rsidR="00721EFB" w:rsidRPr="00D51D4F" w:rsidRDefault="00721EFB" w:rsidP="00721EFB">
      <w:pPr>
        <w:spacing w:after="360"/>
        <w:jc w:val="both"/>
        <w:rPr>
          <w:rFonts w:ascii="Times New Roman" w:hAnsi="Times New Roman" w:cs="Times New Roman"/>
          <w:lang w:val="en-US"/>
        </w:rPr>
      </w:pPr>
      <w:r w:rsidRPr="00D51D4F">
        <w:rPr>
          <w:rFonts w:ascii="Times New Roman" w:hAnsi="Times New Roman" w:cs="Times New Roman"/>
          <w:lang w:val="en-US"/>
        </w:rPr>
        <w:t xml:space="preserve">Most of the countries participating in our survey treat people with RMD-related foot and ankle problems in services that do not have integrated knowledge of both RMDs, and foot and ankle pathology. Having services with integrated knowledge is important, as specialist knowledge enables delivery of </w:t>
      </w:r>
      <w:proofErr w:type="spellStart"/>
      <w:r w:rsidRPr="00D51D4F">
        <w:rPr>
          <w:rFonts w:ascii="Times New Roman" w:hAnsi="Times New Roman" w:cs="Times New Roman"/>
          <w:lang w:val="en-US"/>
        </w:rPr>
        <w:t>optimised</w:t>
      </w:r>
      <w:proofErr w:type="spellEnd"/>
      <w:r w:rsidRPr="00D51D4F">
        <w:rPr>
          <w:rFonts w:ascii="Times New Roman" w:hAnsi="Times New Roman" w:cs="Times New Roman"/>
          <w:lang w:val="en-US"/>
        </w:rPr>
        <w:t xml:space="preserve"> treatment for patients with RMDs</w:t>
      </w:r>
      <w:r w:rsidRPr="00D51D4F">
        <w:rPr>
          <w:rFonts w:ascii="Times New Roman" w:hAnsi="Times New Roman" w:cs="Times New Roman"/>
        </w:rPr>
        <w:fldChar w:fldCharType="begin" w:fldLock="1"/>
      </w:r>
      <w:r w:rsidRPr="00D51D4F">
        <w:rPr>
          <w:rFonts w:ascii="Times New Roman" w:hAnsi="Times New Roman" w:cs="Times New Roman"/>
          <w:lang w:val="en-US"/>
        </w:rPr>
        <w:instrText>ADDIN CSL_CITATION {"citationItems":[{"id":"ITEM-1","itemData":{"DOI":"10.1186/1471-2474-13-107","ISSN":"14712474","abstract":"Background: The convergence of rising health care costs and physician shortages have made health care transformation a priority in many countries resulting in the emergence of new models of care that often involve the extension of the scope of practice for allied health professionals. Physiotherapists in advanced practice/extended scope roles have emerged as key providers in such new models, especially in settings providing services to patients with musculoskeletal disorders. However, evidence of the systematic evaluation of advance physiotherapy practice (APP) models of care is scarce. A systematic review was done to update the evaluation of physiotherapists in APP roles in the management of patients with musculoskeletal disorders. Methods: Structured literature search was conducted in 3 databases (Medline, Cinahl and Embase) for articles published between 1980 and 2011. Included studies needed to present original quantitative data that addressed the impact or the effect of APP care. A total of 16 studies met all inclusion criteria and were included. Pairs of raters used four structured quality appraisal methodological tools depending on design of studies to analyse included studies. Results: Included studies varied in designs and objectives and could be categorized in four areas: diagnostic agreement or accuracy compared to medical providers, treatment effectiveness, economic efficiency or patient satisfaction. There was a wide range in the quality of studies (from 25% to 93%), with only 43% of papers reaching or exceeding a score of 70% on the methodological quality rating scales. Their findings are however consistent and suggest that APP care may be as (or more) beneficial than usual care by physicians for patients with musculoskeletal disorders, in terms of diagnostic accuracy, treatment effectiveness, use of healthcare resources, economic costs and patient satisfaction. Conclusions: The emerging evidence suggests that physiotherapists in APP roles provide equal or better usual care in comparison to physicians in terms of diagnostic accuracy, treatment effectiveness, use of healthcare resources, economic costs and patient satisfaction. There is a need for more methodologically sound studies to evaluate the effectiveness APP care.","author":[{"dropping-particle":"","family":"Desmeules","given":"François","non-dropping-particle":"","parse-names":false,"suffix":""},{"dropping-particle":"","family":"Roy","given":"Jean Sébastien","non-dropping-particle":"","parse-names":false,"suffix":""},{"dropping-particle":"","family":"MacDermid","given":"Joy C.","non-dropping-particle":"","parse-names":false,"suffix":""},{"dropping-particle":"","family":"Champagne","given":"François","non-dropping-particle":"","parse-names":false,"suffix":""},{"dropping-particle":"","family":"Hinse","given":"Odette","non-dropping-particle":"","parse-names":false,"suffix":""},{"dropping-particle":"","family":"Woodhouse","given":"Linda June","non-dropping-particle":"","parse-names":false,"suffix":""}],"container-title":"BMC musculoskeletal disorders","id":"ITEM-1","issued":{"date-parts":[["2012"]]},"title":"Advanced practice physiotherapy in patients with musculoskeletal disorders: a systematic review.","type":"article","volume":"13"},"uris":["http://www.mendeley.com/documents/?uuid=64d5e429-e35b-4fbe-a0e0-adfe60bcecf7"]},{"id":"ITEM-2","itemData":{"DOI":"10.7326/0003-4819-127-1-199707010-00009","ISSN":"00034819","abstract":"Purpose: To compare the outcomes of care provided by generalists with that provided by specialists for patients with musculoskeletal and rheumatic conditions. Data Sources: English-language studies published be tween 1966 and April 1996 were identified through a MEDLINE search. Study Selection: Studies that compared generalists' and specialists' treatment preferences, appropriateness of care, or outcomes with regard to musculoskeletal and rheumatic conditions were examined. Data Extraction: Studies were reviewed for methodologic rigor and outcomes. Data Synthesis: Low back pain is treated by many types of providers, without consistent differences in outcomes across provider types. In one study, however, patients were more satisfied with chiropractic care than with care provided by primary care physicians, although the former cost twice as much as the latter. For osteoarthritis of the hip, rheumatologists and primary care providers reported using different therapeutic regimens. For acute mono- and oligoarthritis, rheumatologists performed arthrocentesis more appropriately than nonrheumatologists and produced shorter durations of hospitalization. In the management of gout, rheumatologists used colchicine during the introduction of urate-lowering therapy more appropriately than other providers. In two population-based cohorts of patients with rheumatoid arthritis, patients cared for by rheumatologists were prescribed significantly more disease-modifying agents and had less disability than patients cared for by generalists. Conclusions: Although empirical data are scant, there seem to be differences between generalists and specialists for a range of outcomes in various musculoskeletal and rheumatic conditions. Studies to date have important methodologic limitations that need to be addressed in future research.","author":[{"dropping-particle":"","family":"Solomon","given":"Daniel H.","non-dropping-particle":"","parse-names":false,"suffix":""},{"dropping-particle":"","family":"Bates","given":"David W.","non-dropping-particle":"","parse-names":false,"suffix":""},{"dropping-particle":"","family":"Panush","given":"Richard S.","non-dropping-particle":"","parse-names":false,"suffix":""},{"dropping-particle":"","family":"Katz","given":"Jeffrey N.","non-dropping-particle":"","parse-names":false,"suffix":""}],"container-title":"Annals of Internal Medicine","id":"ITEM-2","issue":"1","issued":{"date-parts":[["1997"]]},"page":"52-60","title":"Costs, outcomes, and patient satisfaction by provider type for patients with rheumatic and musculoskeletal conditions: A critical review of the literature and proposed methodologic standards","type":"article","volume":"127"},"uris":["http://www.mendeley.com/documents/?uuid=1b6c088b-1f63-45c3-88ec-eeda439262d7"]},{"id":"ITEM-3","itemData":{"DOI":"10.1016/j.berh.2014.01.011","ISSN":"15321770","abstract":"Chronic disease management (CDM) service models are being developed for many conditions; however, there is limited evidence to support their effectiveness in osteoarthritis (OA). A systematic review was undertaken to examine effectiveness, cost effectiveness and barriers to the use of osteoarthritis-chronic disease management (OA-CDM) service models. Thirteen eligible studies (eight randomised controlled trial (RCTs)) were identified. The majority focussed on delivery system design (n = 9) and/or providing self-management support (SMS) (n = 8). Overall, reported model effectiveness varied, and where positive impacts on process or health outcomes were observed, they were of small to moderate effect. There was no information about cost effectiveness. There is some evidence to support the use of collaborative care/multidisciplinary case management models in primary and community care and evidence-based pathways/standardisation of care in hospital settings. Multiple barriers were identified. Future research should focus on identifying the effective components of multi-faceted interventions and evaluating cost-effectiveness to support clinical and policy decision-making. © 2014 Elsevier Ltd. All rights reserved.","author":[{"dropping-particle":"","family":"Brand","given":"Caroline A.","non-dropping-particle":"","parse-names":false,"suffix":""},{"dropping-particle":"","family":"Ackerman","given":"Ilana N.","non-dropping-particle":"","parse-names":false,"suffix":""},{"dropping-particle":"","family":"Tropea","given":"Joanne","non-dropping-particle":"","parse-names":false,"suffix":""}],"container-title":"Best Practice and Research: Clinical Rheumatology","id":"ITEM-3","issue":"1","issued":{"date-parts":[["2014"]]},"page":"119-142","title":"Chronic disease management: Improving care for people with osteoarthritis","type":"article","volume":"28"},"uris":["http://www.mendeley.com/documents/?uuid=b43d10a4-84a5-4ee5-ba19-49b9bb9c8f43"]}],"mendeley":{"formattedCitation":"(Brand, Ackerman, &amp; Tropea, 2014; Desmeules et al., 2012; Solomon, Bates, Panush, &amp; Katz, 1997)","plainTextFormattedCitation":"(Brand, Ackerman, &amp; Tropea, 2014; Desmeules et al., 2012; Solomon, Bates, Panush, &amp; Katz, 1997)","previouslyFormattedCitation":"[12–14]"},"properties":{"noteIndex":0},"schema":"https://github.com/citation-style-language/schema/raw/master/csl-citation.json"}</w:instrText>
      </w:r>
      <w:r w:rsidRPr="00D51D4F">
        <w:rPr>
          <w:rFonts w:ascii="Times New Roman" w:hAnsi="Times New Roman" w:cs="Times New Roman"/>
        </w:rPr>
        <w:fldChar w:fldCharType="separate"/>
      </w:r>
      <w:r w:rsidRPr="00D51D4F">
        <w:rPr>
          <w:rFonts w:ascii="Times New Roman" w:hAnsi="Times New Roman" w:cs="Times New Roman"/>
          <w:noProof/>
          <w:lang w:val="en-US"/>
        </w:rPr>
        <w:t>(Brand, Ackerman, &amp; Tropea, 2014; Desmeules et al., 2012; Solomon, Bates, Panush, &amp; Katz, 1997)</w:t>
      </w:r>
      <w:r w:rsidRPr="00D51D4F">
        <w:rPr>
          <w:rFonts w:ascii="Times New Roman" w:hAnsi="Times New Roman" w:cs="Times New Roman"/>
        </w:rPr>
        <w:fldChar w:fldCharType="end"/>
      </w:r>
      <w:r w:rsidRPr="00D51D4F">
        <w:rPr>
          <w:rFonts w:ascii="Times New Roman" w:hAnsi="Times New Roman" w:cs="Times New Roman"/>
          <w:lang w:val="en-US"/>
        </w:rPr>
        <w:t xml:space="preserve">. Future research should focus on identifying features representing good and bad care service provision for patients with RMDs and foot and ankle problems. </w:t>
      </w:r>
    </w:p>
    <w:p w:rsidR="00721EFB" w:rsidRPr="00D51D4F" w:rsidRDefault="00721EFB" w:rsidP="00721EFB">
      <w:pPr>
        <w:spacing w:after="360"/>
        <w:jc w:val="both"/>
        <w:rPr>
          <w:rFonts w:ascii="Times New Roman" w:hAnsi="Times New Roman" w:cs="Times New Roman"/>
          <w:lang w:val="en-US"/>
        </w:rPr>
      </w:pPr>
      <w:r w:rsidRPr="00D51D4F">
        <w:rPr>
          <w:rFonts w:ascii="Times New Roman" w:hAnsi="Times New Roman" w:cs="Times New Roman"/>
          <w:lang w:val="en-US"/>
        </w:rPr>
        <w:t xml:space="preserve">In our survey, variation was also observed in the type of professions which provide care for patients with RMDs and foot and ankle problems. Which profession delivers care varies with the pathology being treated and by the country in which the patients live. Rheumatologists are the main treatment providers for foot and ankle pain in many countries, maybe because in RMDs, foot and ankle pain can be caused by active inflammation related to disease activity and rheumatologist are involved in providing systemic treatment. Conversely, foot and ankle deformity being a structural problem, is mainly treated by </w:t>
      </w:r>
      <w:proofErr w:type="spellStart"/>
      <w:r w:rsidRPr="00D51D4F">
        <w:rPr>
          <w:rFonts w:ascii="Times New Roman" w:hAnsi="Times New Roman" w:cs="Times New Roman"/>
          <w:lang w:val="en-US"/>
        </w:rPr>
        <w:t>orthopaedic</w:t>
      </w:r>
      <w:proofErr w:type="spellEnd"/>
      <w:r w:rsidRPr="00D51D4F">
        <w:rPr>
          <w:rFonts w:ascii="Times New Roman" w:hAnsi="Times New Roman" w:cs="Times New Roman"/>
          <w:lang w:val="en-US"/>
        </w:rPr>
        <w:t xml:space="preserve"> surgeons and </w:t>
      </w:r>
      <w:proofErr w:type="spellStart"/>
      <w:r w:rsidRPr="00D51D4F">
        <w:rPr>
          <w:rFonts w:ascii="Times New Roman" w:hAnsi="Times New Roman" w:cs="Times New Roman"/>
          <w:lang w:val="en-US"/>
        </w:rPr>
        <w:t>orthotists</w:t>
      </w:r>
      <w:proofErr w:type="spellEnd"/>
      <w:r w:rsidRPr="00D51D4F">
        <w:rPr>
          <w:rFonts w:ascii="Times New Roman" w:hAnsi="Times New Roman" w:cs="Times New Roman"/>
          <w:lang w:val="en-US"/>
        </w:rPr>
        <w:t>/</w:t>
      </w:r>
      <w:proofErr w:type="spellStart"/>
      <w:r w:rsidRPr="00D51D4F">
        <w:rPr>
          <w:rFonts w:ascii="Times New Roman" w:hAnsi="Times New Roman" w:cs="Times New Roman"/>
          <w:lang w:val="en-US"/>
        </w:rPr>
        <w:t>prosthetists</w:t>
      </w:r>
      <w:proofErr w:type="spellEnd"/>
      <w:r w:rsidRPr="00D51D4F">
        <w:rPr>
          <w:rFonts w:ascii="Times New Roman" w:hAnsi="Times New Roman" w:cs="Times New Roman"/>
          <w:lang w:val="en-US"/>
        </w:rPr>
        <w:t xml:space="preserve">. Nurses are the main profession in delivering foot and ankle local ulcer-care, with very little ulcer-care provision by other HPRs. Historically, nursing has been one of the main health professions whose scope of practice involves wound care, therefore it is not surprising to see that they are also the main providers of wound care for foot and ankle ulcers. </w:t>
      </w:r>
    </w:p>
    <w:p w:rsidR="00721EFB" w:rsidRPr="00D51D4F" w:rsidRDefault="00721EFB" w:rsidP="00721EFB">
      <w:pPr>
        <w:spacing w:after="360"/>
        <w:jc w:val="both"/>
        <w:rPr>
          <w:rFonts w:ascii="Times New Roman" w:hAnsi="Times New Roman" w:cs="Times New Roman"/>
          <w:lang w:val="en-US"/>
        </w:rPr>
      </w:pPr>
      <w:r w:rsidRPr="00D51D4F">
        <w:rPr>
          <w:rFonts w:ascii="Times New Roman" w:hAnsi="Times New Roman" w:cs="Times New Roman"/>
          <w:lang w:val="en-US"/>
        </w:rPr>
        <w:t>It is important to highlight that this is not the first time that variation within the multidisciplinary teams (MDT) providing the RMDs health care services has been reported</w:t>
      </w:r>
      <w:r w:rsidRPr="00D51D4F">
        <w:rPr>
          <w:rFonts w:ascii="Times New Roman" w:hAnsi="Times New Roman" w:cs="Times New Roman"/>
        </w:rPr>
        <w:fldChar w:fldCharType="begin" w:fldLock="1"/>
      </w:r>
      <w:r w:rsidRPr="00D51D4F">
        <w:rPr>
          <w:rFonts w:ascii="Times New Roman" w:hAnsi="Times New Roman" w:cs="Times New Roman"/>
          <w:lang w:val="en-US"/>
        </w:rPr>
        <w:instrText>ADDIN CSL_CITATION {"citationItems":[{"id":"ITEM-1","itemData":{"DOI":"10.1093/rheumatology/kei205","ISSN":"14620324","abstract":"OBJECTIVES To determine the provision of foot health services in rheumatology for the UK and Northern Ireland. METHODS Two hundred and sixteen rheumatology departments were surveyed by postal questionnaire. Questions covered the contribution of various disciplines to rheumatology out-patient clinics, and opinions on existing and potential services, with emphasis on foot health provision. Inter-regional variations were explored for eight UK regions. RESULTS Valid responses were received from 170 respondents (78.7% response rate). More than 80% of out-patient departments reported having rheumatology nurse specialists included in the staff mix but fewer than half used other allied health professionals, such as podiatrists. One quarter of the departments had access to a podiatrist and in 18% there was a foot health service dedicated to rheumatology. Awareness of guidelines for referral or of standards of foot care provision was very low (6%). There was high satisfaction with the adequacy of provision of footwear and insoles (81-87%) but low satisfaction with the adequacy of basic foot care (48-52%). Regional variation was extremely high for the provision of basic foot care (0-73%), the non-English regions reporting poorer provision of service. CONCLUSIONS Regional variation in the adequacy of foot health services was high and the non-English regions especially are failing to meet the foot health needs of rheumatology patients. Multidisciplinary care is generally well developed despite the composition of teams being highly variable. Fewer than half of rheumatologists reported that basic foot care needs were being met, although adequacy of provision of more advanced foot services is perceived to be better. The absence of nationally agreed standards and poor awareness of local standards may be detrimental to care in this patient group.","author":[{"dropping-particle":"","family":"Redmond","given":"A. C.","non-dropping-particle":"","parse-names":false,"suffix":""},{"dropping-particle":"","family":"Waxman","given":"R.","non-dropping-particle":"","parse-names":false,"suffix":""},{"dropping-particle":"","family":"Helliwell","given":"P. S.","non-dropping-particle":"","parse-names":false,"suffix":""}],"container-title":"Rheumatology","id":"ITEM-1","issue":"5","issued":{"date-parts":[["2006"]]},"page":"571-576","title":"Provision of foot health services in rheumatology in the UK","type":"article-journal","volume":"45"},"uris":["http://www.mendeley.com/documents/?uuid=b0bb6160-ed03-413c-b8e3-3741ac1a9017"]},{"id":"ITEM-2","itemData":{"DOI":"10.1007/s00296-017-3751-0","ISSN":"1437160X","abstract":"The objective of this study is to describe the composition of multidisciplinary teams (MDT) working within rheumatology departments across the UK. All rheumatology departments in the United Kingdom (UK) were invited to participate in a national electronic survey between February 2014 and April 2015 as a part of a national audit for the management of rheumatoid and early inflammatory arthritis commissioned by Healthcare Quality Improvement Partnership. Rheumatology departments were asked to report their MDT composition; defined as a rheumatologist (consultant or specialist trainee), specialist nurse, occupational therapist physiotherapist, and podiatrist. The data were collected as Whole Time Equivalent (WTE) of each professional group at each department adjusted to 100,000 population. The data were grouped according to British Society for Rheumatology regions to study regional variations. The survey was completed by 164/167 departments (98% response rate). All departments reported an MDT comprising a rheumatologist (consultant or specialist trainee) and almost all included a specialist nurse but only 28 (17%) of the departments had MDTs comprising all the professional groups. There was a high degree of regional variation in the provision of Allied Health Professionals (physiotherapists, occupational therapists, and podiatrists) in the UK. MDT care is recommended for the management of inflammatory arthritis, but few UK rheumatology departments have a full complement of healthcare professionals within their MDT. There is a high degree of regional variation in the composition and staffing levels of the rheumatology MDT across the UK; the impact of which warrants further investigation.","author":[{"dropping-particle":"","family":"Ndosi","given":"Mwidimi","non-dropping-particle":"","parse-names":false,"suffix":""},{"dropping-particle":"","family":"Ferguson","given":"Rachel","non-dropping-particle":"","parse-names":false,"suffix":""},{"dropping-particle":"","family":"Backhouse","given":"Michael R.","non-dropping-particle":"","parse-names":false,"suffix":""},{"dropping-particle":"","family":"Bearne","given":"Lindsay","non-dropping-particle":"","parse-names":false,"suffix":""},{"dropping-particle":"","family":"Ainsworth","given":"Phillip","non-dropping-particle":"","parse-names":false,"suffix":""},{"dropping-particle":"","family":"Roach","given":"Alan","non-dropping-particle":"","parse-names":false,"suffix":""},{"dropping-particle":"","family":"Dennison","given":"Elaine","non-dropping-particle":"","parse-names":false,"suffix":""},{"dropping-particle":"","family":"Cherry","given":"Lindsey","non-dropping-particle":"","parse-names":false,"suffix":""}],"container-title":"Rheumatology International","id":"ITEM-2","issue":"9","issued":{"date-parts":[["2017"]]},"page":"1453-1459","title":"National variation in the composition of rheumatology multidisciplinary teams: a cross-sectional study","type":"article-journal","volume":"37"},"uris":["http://www.mendeley.com/documents/?uuid=2027c0f6-9a7c-409a-a152-77a3a12cd5ec"]}],"mendeley":{"formattedCitation":"(Ndosi et al., 2017; Redmond et al., 2006)","plainTextFormattedCitation":"(Ndosi et al., 2017; Redmond et al., 2006)","previouslyFormattedCitation":"[8,9]"},"properties":{"noteIndex":0},"schema":"https://github.com/citation-style-language/schema/raw/master/csl-citation.json"}</w:instrText>
      </w:r>
      <w:r w:rsidRPr="00D51D4F">
        <w:rPr>
          <w:rFonts w:ascii="Times New Roman" w:hAnsi="Times New Roman" w:cs="Times New Roman"/>
        </w:rPr>
        <w:fldChar w:fldCharType="separate"/>
      </w:r>
      <w:r w:rsidRPr="00D51D4F">
        <w:rPr>
          <w:rFonts w:ascii="Times New Roman" w:hAnsi="Times New Roman" w:cs="Times New Roman"/>
          <w:noProof/>
          <w:lang w:val="en-US"/>
        </w:rPr>
        <w:t>(Ndosi et al., 2017; Redmond et al., 2006)</w:t>
      </w:r>
      <w:r w:rsidRPr="00D51D4F">
        <w:rPr>
          <w:rFonts w:ascii="Times New Roman" w:hAnsi="Times New Roman" w:cs="Times New Roman"/>
        </w:rPr>
        <w:fldChar w:fldCharType="end"/>
      </w:r>
      <w:r w:rsidRPr="00D51D4F">
        <w:rPr>
          <w:rFonts w:ascii="Times New Roman" w:hAnsi="Times New Roman" w:cs="Times New Roman"/>
          <w:lang w:val="en-US"/>
        </w:rPr>
        <w:t xml:space="preserve">. </w:t>
      </w:r>
    </w:p>
    <w:p w:rsidR="00721EFB" w:rsidRPr="00D51D4F" w:rsidRDefault="00721EFB" w:rsidP="00721EFB">
      <w:pPr>
        <w:spacing w:after="360"/>
        <w:jc w:val="both"/>
        <w:rPr>
          <w:rFonts w:ascii="Times New Roman" w:hAnsi="Times New Roman" w:cs="Times New Roman"/>
          <w:color w:val="000000" w:themeColor="text1"/>
          <w:lang w:val="en-US"/>
        </w:rPr>
      </w:pPr>
      <w:r w:rsidRPr="00D51D4F">
        <w:rPr>
          <w:rFonts w:ascii="Times New Roman" w:hAnsi="Times New Roman" w:cs="Times New Roman"/>
          <w:lang w:val="en-US"/>
        </w:rPr>
        <w:t>The between country variation in which professions deal with specific pathologies may stem from a combination of cultural traditions within the health care systems, legal frameworks affecting scope of practice and the subsequent design of treatment pathways, plus professional and patient expectations</w:t>
      </w:r>
      <w:r w:rsidRPr="00D51D4F">
        <w:rPr>
          <w:rFonts w:ascii="Times New Roman" w:hAnsi="Times New Roman" w:cs="Times New Roman"/>
          <w:color w:val="000000" w:themeColor="text1"/>
          <w:lang w:val="en-US"/>
        </w:rPr>
        <w:t>. More detailed information is required on the variation between and within countries to better understand these interactions. Future work should seek to establish the level of integration and shared decision making within multidisciplinary teams and explore the relationship between patient outcomes, treatment pathways, and access to specialist services.</w:t>
      </w:r>
    </w:p>
    <w:p w:rsidR="00721EFB" w:rsidRPr="00D51D4F" w:rsidRDefault="00721EFB" w:rsidP="00721EFB">
      <w:pPr>
        <w:spacing w:after="360"/>
        <w:jc w:val="both"/>
        <w:rPr>
          <w:rFonts w:ascii="Times New Roman" w:hAnsi="Times New Roman" w:cs="Times New Roman"/>
          <w:color w:val="000000"/>
          <w:lang w:val="en-US"/>
        </w:rPr>
      </w:pPr>
      <w:r w:rsidRPr="00D51D4F">
        <w:rPr>
          <w:rFonts w:ascii="Times New Roman" w:hAnsi="Times New Roman" w:cs="Times New Roman"/>
          <w:lang w:val="en-US"/>
        </w:rPr>
        <w:t xml:space="preserve">Treatment inequality between and within countries might be reduced with the presence of </w:t>
      </w:r>
      <w:r w:rsidRPr="00D51D4F">
        <w:rPr>
          <w:rFonts w:ascii="Times New Roman" w:hAnsi="Times New Roman" w:cs="Times New Roman"/>
          <w:color w:val="000000"/>
          <w:lang w:val="en-US"/>
        </w:rPr>
        <w:t>agreed referral pathways and guidelines for the management of patients with RMD-related foot and ankle problems. Guidelines and recommendations are tools developed by using the best available evidence and expert advice to make care more efficient and consistent</w:t>
      </w:r>
      <w:r w:rsidRPr="00D51D4F">
        <w:rPr>
          <w:rFonts w:ascii="Times New Roman" w:hAnsi="Times New Roman" w:cs="Times New Roman"/>
          <w:color w:val="000000"/>
        </w:rPr>
        <w:fldChar w:fldCharType="begin" w:fldLock="1"/>
      </w:r>
      <w:r w:rsidRPr="00D51D4F">
        <w:rPr>
          <w:rFonts w:ascii="Times New Roman" w:hAnsi="Times New Roman" w:cs="Times New Roman"/>
          <w:color w:val="000000"/>
          <w:lang w:val="en-US"/>
        </w:rPr>
        <w:instrText>ADDIN CSL_CITATION {"citationItems":[{"id":"ITEM-1","itemData":{"ISSN":"09598146","abstract":"Summary points Clinical guidelines are an increasingly familiar part of clinical practice They have potential benefits and harms Rigorously developed evidence based guidelines minimise the potential harms Clinical guidelines are only one option for improving the quality of care","author":[{"dropping-particle":"","family":"Woolf","given":"Steven H.","non-dropping-particle":"","parse-names":false,"suffix":""},{"dropping-particle":"","family":"Grol","given":"Richard","non-dropping-particle":"","parse-names":false,"suffix":""},{"dropping-particle":"","family":"Hutchinson","given":"Allen","non-dropping-particle":"","parse-names":false,"suffix":""},{"dropping-particle":"","family":"Eccles","given":"Martin","non-dropping-particle":"","parse-names":false,"suffix":""},{"dropping-particle":"","family":"Grimshaw","given":"Jeremy","non-dropping-particle":"","parse-names":false,"suffix":""}],"container-title":"British Medical Journal","id":"ITEM-1","issue":"7182","issued":{"date-parts":[["1999"]]},"page":"527-530","title":"Clinical guidelines. Potential benefits, limitations, and harms of clinical guidelines","type":"article","volume":"318"},"uris":["http://www.mendeley.com/documents/?uuid=16a6b832-2ede-417e-a288-865366220b7f"]}],"mendeley":{"formattedCitation":"(Woolf, Grol, Hutchinson, Eccles, &amp; Grimshaw, 1999)","plainTextFormattedCitation":"(Woolf, Grol, Hutchinson, Eccles, &amp; Grimshaw, 1999)","previouslyFormattedCitation":"[15]"},"properties":{"noteIndex":0},"schema":"https://github.com/citation-style-language/schema/raw/master/csl-citation.json"}</w:instrText>
      </w:r>
      <w:r w:rsidRPr="00D51D4F">
        <w:rPr>
          <w:rFonts w:ascii="Times New Roman" w:hAnsi="Times New Roman" w:cs="Times New Roman"/>
          <w:color w:val="000000"/>
        </w:rPr>
        <w:fldChar w:fldCharType="separate"/>
      </w:r>
      <w:r w:rsidRPr="00D51D4F">
        <w:rPr>
          <w:rFonts w:ascii="Times New Roman" w:hAnsi="Times New Roman" w:cs="Times New Roman"/>
          <w:noProof/>
          <w:color w:val="000000"/>
          <w:lang w:val="en-US"/>
        </w:rPr>
        <w:t>(Woolf, Grol, Hutchinson, Eccles, &amp; Grimshaw, 1999)</w:t>
      </w:r>
      <w:r w:rsidRPr="00D51D4F">
        <w:rPr>
          <w:rFonts w:ascii="Times New Roman" w:hAnsi="Times New Roman" w:cs="Times New Roman"/>
          <w:color w:val="000000"/>
        </w:rPr>
        <w:fldChar w:fldCharType="end"/>
      </w:r>
      <w:r w:rsidRPr="00D51D4F">
        <w:rPr>
          <w:rFonts w:ascii="Times New Roman" w:hAnsi="Times New Roman" w:cs="Times New Roman"/>
          <w:color w:val="000000"/>
          <w:lang w:val="en-US"/>
        </w:rPr>
        <w:t>; and they have been demonstrated to improve quality of care</w:t>
      </w:r>
      <w:r w:rsidRPr="00D51D4F">
        <w:rPr>
          <w:rFonts w:ascii="Times New Roman" w:hAnsi="Times New Roman" w:cs="Times New Roman"/>
          <w:color w:val="000000"/>
        </w:rPr>
        <w:fldChar w:fldCharType="begin" w:fldLock="1"/>
      </w:r>
      <w:r w:rsidRPr="00D51D4F">
        <w:rPr>
          <w:rFonts w:ascii="Times New Roman" w:hAnsi="Times New Roman" w:cs="Times New Roman"/>
          <w:color w:val="000000"/>
          <w:lang w:val="en-US"/>
        </w:rPr>
        <w:instrText>ADDIN CSL_CITATION {"citationItems":[{"id":"ITEM-1","itemData":{"DOI":"10.1016/0140-6736(93)92244-N","ISSN":"01406736","abstract":"Although interest in clinical guidelines has never been greater, uncertainty persists about whether they are effective. The debate has been hampered by the lack of a rigorous overview. We have identified 59 published evaluations of clinical guidelines that met defined criteria for scientific rigour; 24 investigated guidelines for specific clinical conditions, 27 studied preventive care, and 8 looked at guidelines for prescribing or for support services. All but 4 of these studies detected significant improvements in the process of care after the introduction of guidelines and all but 2 of the 11 studies that assessed the outcome of care reported significant improvements. We conclude that explicit guidelines do improve clinical practice, when introduced in the context of rigorous evaluations. However, the size of the improvements in performance varied considerably. © 1993.","author":[{"dropping-particle":"","family":"Grimshaw","given":"J. M.","non-dropping-particle":"","parse-names":false,"suffix":""},{"dropping-particle":"","family":"Russell","given":"I. T.","non-dropping-particle":"","parse-names":false,"suffix":""}],"container-title":"The Lancet","id":"ITEM-1","issue":"8883","issued":{"date-parts":[["1993"]]},"page":"1317-1322","title":"Effect of clinical guidelines on medical practice: a systematic review of rigorous evaluations","type":"article-journal","volume":"342"},"uris":["http://www.mendeley.com/documents/?uuid=619c786f-617f-47e2-9a6b-ee2d290a7050"]}],"mendeley":{"formattedCitation":"(Grimshaw &amp; Russell, 1993)","plainTextFormattedCitation":"(Grimshaw &amp; Russell, 1993)","previouslyFormattedCitation":"[16]"},"properties":{"noteIndex":0},"schema":"https://github.com/citation-style-language/schema/raw/master/csl-citation.json"}</w:instrText>
      </w:r>
      <w:r w:rsidRPr="00D51D4F">
        <w:rPr>
          <w:rFonts w:ascii="Times New Roman" w:hAnsi="Times New Roman" w:cs="Times New Roman"/>
          <w:color w:val="000000"/>
        </w:rPr>
        <w:fldChar w:fldCharType="separate"/>
      </w:r>
      <w:r w:rsidRPr="00D51D4F">
        <w:rPr>
          <w:rFonts w:ascii="Times New Roman" w:hAnsi="Times New Roman" w:cs="Times New Roman"/>
          <w:noProof/>
          <w:color w:val="000000"/>
          <w:lang w:val="en-US"/>
        </w:rPr>
        <w:t>(Grimshaw &amp; Russell, 1993)</w:t>
      </w:r>
      <w:r w:rsidRPr="00D51D4F">
        <w:rPr>
          <w:rFonts w:ascii="Times New Roman" w:hAnsi="Times New Roman" w:cs="Times New Roman"/>
          <w:color w:val="000000"/>
        </w:rPr>
        <w:fldChar w:fldCharType="end"/>
      </w:r>
      <w:r w:rsidRPr="00D51D4F">
        <w:rPr>
          <w:rFonts w:ascii="Times New Roman" w:hAnsi="Times New Roman" w:cs="Times New Roman"/>
          <w:color w:val="000000"/>
          <w:lang w:val="en-US"/>
        </w:rPr>
        <w:t xml:space="preserve">. Only half of the European countries in the current study reported to have local or national pathways or guidelines for the </w:t>
      </w:r>
      <w:r w:rsidRPr="00D51D4F">
        <w:rPr>
          <w:rFonts w:ascii="Times New Roman" w:hAnsi="Times New Roman" w:cs="Times New Roman"/>
          <w:lang w:val="en-US"/>
        </w:rPr>
        <w:t>management of patients with RMD-related foot and ankle problems. This lack of pathways and guidelines might be conducive to treatment inequality as patients in different regions might be treated differently, to the point of being unable to access the care to which their counterparts are accessing. The presence of treatment and referral p</w:t>
      </w:r>
      <w:r w:rsidRPr="00D51D4F">
        <w:rPr>
          <w:rFonts w:ascii="Times New Roman" w:hAnsi="Times New Roman" w:cs="Times New Roman"/>
          <w:color w:val="000000"/>
          <w:lang w:val="en-US"/>
        </w:rPr>
        <w:t xml:space="preserve">athways and guidelines can aid clinicians in determining the most appropriate treatment pathway through which the patient needs to progress, including facilitation of inter-professional referrals for the </w:t>
      </w:r>
      <w:proofErr w:type="spellStart"/>
      <w:r w:rsidRPr="00D51D4F">
        <w:rPr>
          <w:rFonts w:ascii="Times New Roman" w:hAnsi="Times New Roman" w:cs="Times New Roman"/>
          <w:color w:val="000000"/>
          <w:lang w:val="en-US"/>
        </w:rPr>
        <w:t>optimisation</w:t>
      </w:r>
      <w:proofErr w:type="spellEnd"/>
      <w:r w:rsidRPr="00D51D4F">
        <w:rPr>
          <w:rFonts w:ascii="Times New Roman" w:hAnsi="Times New Roman" w:cs="Times New Roman"/>
          <w:color w:val="000000"/>
          <w:lang w:val="en-US"/>
        </w:rPr>
        <w:t xml:space="preserve"> of the treatment. In addition, the presence of guidelines provides guidance and support to clinicians when developing their services, and their presence might unwarranted variation.  </w:t>
      </w:r>
    </w:p>
    <w:p w:rsidR="00721EFB" w:rsidRPr="00D51D4F" w:rsidRDefault="00721EFB" w:rsidP="00721EFB">
      <w:pPr>
        <w:spacing w:after="360"/>
        <w:jc w:val="both"/>
        <w:rPr>
          <w:rFonts w:ascii="Times New Roman" w:hAnsi="Times New Roman" w:cs="Times New Roman"/>
          <w:color w:val="000000"/>
          <w:lang w:val="en-US"/>
        </w:rPr>
      </w:pPr>
      <w:r w:rsidRPr="00D51D4F">
        <w:rPr>
          <w:rFonts w:ascii="Times New Roman" w:hAnsi="Times New Roman" w:cs="Times New Roman"/>
          <w:color w:val="000000"/>
          <w:lang w:val="en-US"/>
        </w:rPr>
        <w:t xml:space="preserve">To develop and apply these specialist care pathways and guidelines, the different professions involved in the care of patients with RMD-related foot and ankle problems will need to work together. Professional boundaries will need to be broken down and the scope of practice of some of these professions might need to be altered to provide the specialist service required. This might involve the need to provide education to upskill the workforce who will provide the integrated multidisciplinary health-care service in which the patient will receive the intervention from the most </w:t>
      </w:r>
      <w:proofErr w:type="spellStart"/>
      <w:r w:rsidRPr="00D51D4F">
        <w:rPr>
          <w:rFonts w:ascii="Times New Roman" w:hAnsi="Times New Roman" w:cs="Times New Roman"/>
          <w:color w:val="000000"/>
          <w:lang w:val="en-US"/>
        </w:rPr>
        <w:t>specialised</w:t>
      </w:r>
      <w:proofErr w:type="spellEnd"/>
      <w:r w:rsidRPr="00D51D4F">
        <w:rPr>
          <w:rFonts w:ascii="Times New Roman" w:hAnsi="Times New Roman" w:cs="Times New Roman"/>
          <w:color w:val="000000"/>
          <w:lang w:val="en-US"/>
        </w:rPr>
        <w:t xml:space="preserve"> professional at each points of care. </w:t>
      </w:r>
    </w:p>
    <w:p w:rsidR="00721EFB" w:rsidRPr="00D51D4F" w:rsidRDefault="00721EFB" w:rsidP="00721EFB">
      <w:pPr>
        <w:spacing w:after="360"/>
        <w:jc w:val="both"/>
        <w:rPr>
          <w:rFonts w:ascii="Times New Roman" w:hAnsi="Times New Roman" w:cs="Times New Roman"/>
          <w:color w:val="000000"/>
          <w:lang w:val="en-US"/>
        </w:rPr>
      </w:pPr>
      <w:r w:rsidRPr="00D51D4F">
        <w:rPr>
          <w:rFonts w:ascii="Times New Roman" w:hAnsi="Times New Roman" w:cs="Times New Roman"/>
          <w:color w:val="000000"/>
          <w:lang w:val="en-US"/>
        </w:rPr>
        <w:t xml:space="preserve">The data presented in this paper is limited </w:t>
      </w:r>
      <w:proofErr w:type="gramStart"/>
      <w:r w:rsidRPr="00D51D4F">
        <w:rPr>
          <w:rFonts w:ascii="Times New Roman" w:hAnsi="Times New Roman" w:cs="Times New Roman"/>
          <w:color w:val="000000"/>
          <w:lang w:val="en-US"/>
        </w:rPr>
        <w:t>to  information</w:t>
      </w:r>
      <w:proofErr w:type="gramEnd"/>
      <w:r w:rsidRPr="00D51D4F">
        <w:rPr>
          <w:rFonts w:ascii="Times New Roman" w:hAnsi="Times New Roman" w:cs="Times New Roman"/>
          <w:color w:val="000000"/>
          <w:lang w:val="en-US"/>
        </w:rPr>
        <w:t xml:space="preserve"> provided by  a small number of healthcare professionals. Nonetheless, this body of knowledge gathered provides insight into the status quo of the </w:t>
      </w:r>
      <w:r w:rsidRPr="00D51D4F">
        <w:rPr>
          <w:rFonts w:ascii="Times New Roman" w:hAnsi="Times New Roman" w:cs="Times New Roman"/>
          <w:lang w:val="en-US"/>
        </w:rPr>
        <w:t>RMD foot and ankle health care services provided in Europe</w:t>
      </w:r>
      <w:r w:rsidRPr="00D51D4F">
        <w:rPr>
          <w:rFonts w:ascii="Times New Roman" w:hAnsi="Times New Roman" w:cs="Times New Roman"/>
          <w:color w:val="000000"/>
          <w:lang w:val="en-US"/>
        </w:rPr>
        <w:t xml:space="preserve">. </w:t>
      </w:r>
    </w:p>
    <w:p w:rsidR="00721EFB" w:rsidRPr="00D51D4F" w:rsidRDefault="00721EFB" w:rsidP="00721EFB">
      <w:pPr>
        <w:spacing w:after="360"/>
        <w:jc w:val="both"/>
        <w:rPr>
          <w:rFonts w:ascii="Times New Roman" w:hAnsi="Times New Roman" w:cs="Times New Roman"/>
          <w:b/>
          <w:lang w:val="en-US"/>
        </w:rPr>
      </w:pPr>
      <w:r w:rsidRPr="00D51D4F">
        <w:rPr>
          <w:rFonts w:ascii="Times New Roman" w:hAnsi="Times New Roman" w:cs="Times New Roman"/>
          <w:b/>
          <w:lang w:val="en-US"/>
        </w:rPr>
        <w:t xml:space="preserve">5. Conclusions </w:t>
      </w:r>
    </w:p>
    <w:p w:rsidR="00721EFB" w:rsidRPr="00D51D4F" w:rsidRDefault="00721EFB" w:rsidP="00721EFB">
      <w:pPr>
        <w:spacing w:after="360"/>
        <w:jc w:val="both"/>
        <w:rPr>
          <w:rFonts w:ascii="Times New Roman" w:hAnsi="Times New Roman" w:cs="Times New Roman"/>
          <w:lang w:val="en-US"/>
        </w:rPr>
      </w:pPr>
      <w:r w:rsidRPr="00D51D4F">
        <w:rPr>
          <w:rFonts w:ascii="Times New Roman" w:hAnsi="Times New Roman" w:cs="Times New Roman"/>
          <w:color w:val="000000"/>
          <w:lang w:val="en-US"/>
        </w:rPr>
        <w:t xml:space="preserve">This European survey is the first to capture the </w:t>
      </w:r>
      <w:r w:rsidRPr="00D51D4F">
        <w:rPr>
          <w:rFonts w:ascii="Times New Roman" w:hAnsi="Times New Roman" w:cs="Times New Roman"/>
          <w:lang w:val="en-US"/>
        </w:rPr>
        <w:t>state of RMD-foot and ankle specialist health care services in Europe. O</w:t>
      </w:r>
      <w:r w:rsidRPr="00D51D4F">
        <w:rPr>
          <w:rFonts w:ascii="Times New Roman" w:hAnsi="Times New Roman" w:cs="Times New Roman"/>
          <w:bCs/>
          <w:lang w:val="en-US"/>
        </w:rPr>
        <w:t xml:space="preserve">nly three out of 16 European countries have foot and ankle health care services which specialize in the needs of people with RMD-related foot and ankle problems. There was considerable variation in the professions providing care for the specific problems between countries and in most countries foot and ankle healthcare services were predominantly provided by professions that do not </w:t>
      </w:r>
      <w:proofErr w:type="spellStart"/>
      <w:r w:rsidRPr="00D51D4F">
        <w:rPr>
          <w:rFonts w:ascii="Times New Roman" w:hAnsi="Times New Roman" w:cs="Times New Roman"/>
          <w:bCs/>
          <w:lang w:val="en-US"/>
        </w:rPr>
        <w:t>specialise</w:t>
      </w:r>
      <w:proofErr w:type="spellEnd"/>
      <w:r w:rsidRPr="00D51D4F">
        <w:rPr>
          <w:rFonts w:ascii="Times New Roman" w:hAnsi="Times New Roman" w:cs="Times New Roman"/>
          <w:bCs/>
          <w:lang w:val="en-US"/>
        </w:rPr>
        <w:t xml:space="preserve"> in foot and ankle care.</w:t>
      </w:r>
      <w:r w:rsidRPr="00D51D4F">
        <w:rPr>
          <w:rFonts w:ascii="Times New Roman" w:hAnsi="Times New Roman" w:cs="Times New Roman"/>
          <w:lang w:val="en-US"/>
        </w:rPr>
        <w:t xml:space="preserve"> In addition, </w:t>
      </w:r>
      <w:r w:rsidRPr="00D51D4F">
        <w:rPr>
          <w:rFonts w:ascii="Times New Roman" w:hAnsi="Times New Roman" w:cs="Times New Roman"/>
          <w:color w:val="000000"/>
          <w:lang w:val="en-US"/>
        </w:rPr>
        <w:t xml:space="preserve">this survey revealed the scarcity of clinical pathways and guidelines </w:t>
      </w:r>
      <w:r w:rsidRPr="00D51D4F">
        <w:rPr>
          <w:rFonts w:ascii="Times New Roman" w:hAnsi="Times New Roman" w:cs="Times New Roman"/>
          <w:lang w:val="en-US"/>
        </w:rPr>
        <w:t xml:space="preserve">for the management of patients with RMD-related foot and ankle problems. </w:t>
      </w:r>
    </w:p>
    <w:p w:rsidR="00721EFB" w:rsidRPr="00D51D4F" w:rsidRDefault="00721EFB" w:rsidP="00721EFB">
      <w:pPr>
        <w:spacing w:after="360"/>
        <w:jc w:val="both"/>
        <w:rPr>
          <w:rFonts w:ascii="Times New Roman" w:hAnsi="Times New Roman" w:cs="Times New Roman"/>
          <w:color w:val="000000"/>
          <w:lang w:val="en-US"/>
        </w:rPr>
      </w:pPr>
      <w:r w:rsidRPr="00D51D4F">
        <w:rPr>
          <w:rFonts w:ascii="Times New Roman" w:hAnsi="Times New Roman" w:cs="Times New Roman"/>
          <w:bCs/>
          <w:lang w:val="en-US"/>
        </w:rPr>
        <w:t xml:space="preserve">Further research is needed </w:t>
      </w:r>
      <w:r w:rsidRPr="00D51D4F">
        <w:rPr>
          <w:rFonts w:ascii="Times New Roman" w:hAnsi="Times New Roman" w:cs="Times New Roman"/>
          <w:lang w:val="en-US"/>
        </w:rPr>
        <w:t xml:space="preserve">to </w:t>
      </w:r>
      <w:r w:rsidRPr="00D51D4F">
        <w:rPr>
          <w:rFonts w:ascii="Times New Roman" w:hAnsi="Times New Roman" w:cs="Times New Roman"/>
          <w:bCs/>
          <w:lang w:val="en-US"/>
        </w:rPr>
        <w:t xml:space="preserve">assess the impact of </w:t>
      </w:r>
      <w:r w:rsidRPr="00D51D4F">
        <w:rPr>
          <w:rFonts w:ascii="Times New Roman" w:hAnsi="Times New Roman" w:cs="Times New Roman"/>
          <w:lang w:val="en-US"/>
        </w:rPr>
        <w:t>different service designs on patient outcomes</w:t>
      </w:r>
      <w:r w:rsidRPr="00D51D4F">
        <w:rPr>
          <w:rFonts w:ascii="Times New Roman" w:hAnsi="Times New Roman" w:cs="Times New Roman"/>
          <w:bCs/>
          <w:lang w:val="en-US"/>
        </w:rPr>
        <w:t>.</w:t>
      </w:r>
      <w:r w:rsidRPr="00D51D4F">
        <w:rPr>
          <w:rFonts w:ascii="Times New Roman" w:hAnsi="Times New Roman" w:cs="Times New Roman"/>
          <w:lang w:val="en-US"/>
        </w:rPr>
        <w:t xml:space="preserve"> In addition, there is a need for the </w:t>
      </w:r>
      <w:r w:rsidRPr="00D51D4F">
        <w:rPr>
          <w:rFonts w:ascii="Times New Roman" w:hAnsi="Times New Roman" w:cs="Times New Roman"/>
          <w:color w:val="000000"/>
          <w:lang w:val="en-US"/>
        </w:rPr>
        <w:t xml:space="preserve">development of </w:t>
      </w:r>
      <w:proofErr w:type="spellStart"/>
      <w:r w:rsidRPr="00D51D4F">
        <w:rPr>
          <w:rFonts w:ascii="Times New Roman" w:hAnsi="Times New Roman" w:cs="Times New Roman"/>
          <w:color w:val="000000"/>
          <w:lang w:val="en-US"/>
        </w:rPr>
        <w:t>standardised</w:t>
      </w:r>
      <w:proofErr w:type="spellEnd"/>
      <w:r w:rsidRPr="00D51D4F">
        <w:rPr>
          <w:rFonts w:ascii="Times New Roman" w:hAnsi="Times New Roman" w:cs="Times New Roman"/>
          <w:color w:val="000000"/>
          <w:lang w:val="en-US"/>
        </w:rPr>
        <w:t xml:space="preserve"> pathways and guidelines that can be used </w:t>
      </w:r>
      <w:r w:rsidRPr="00D51D4F">
        <w:rPr>
          <w:rFonts w:ascii="Times New Roman" w:hAnsi="Times New Roman" w:cs="Times New Roman"/>
          <w:lang w:val="en-US"/>
        </w:rPr>
        <w:t>as a reference by the</w:t>
      </w:r>
      <w:r w:rsidRPr="00D51D4F">
        <w:rPr>
          <w:rFonts w:ascii="Times New Roman" w:hAnsi="Times New Roman" w:cs="Times New Roman"/>
          <w:color w:val="000000"/>
          <w:lang w:val="en-US"/>
        </w:rPr>
        <w:t xml:space="preserve"> different foot and ankle health care services provided in Europe.</w:t>
      </w:r>
    </w:p>
    <w:p w:rsidR="00721EFB" w:rsidRPr="00C53ED5" w:rsidRDefault="00721EFB" w:rsidP="00721EFB">
      <w:pPr>
        <w:spacing w:after="0"/>
        <w:jc w:val="both"/>
        <w:rPr>
          <w:rFonts w:ascii="Times New Roman" w:hAnsi="Times New Roman" w:cs="Times New Roman"/>
          <w:b/>
          <w:color w:val="000000"/>
          <w:lang w:val="en-US"/>
        </w:rPr>
      </w:pPr>
      <w:r w:rsidRPr="00C53ED5">
        <w:rPr>
          <w:rFonts w:ascii="Times New Roman" w:hAnsi="Times New Roman" w:cs="Times New Roman"/>
          <w:b/>
          <w:color w:val="000000"/>
          <w:lang w:val="en-US"/>
        </w:rPr>
        <w:t>LIST OF ABBREVIATIONS</w:t>
      </w:r>
    </w:p>
    <w:p w:rsidR="00721EFB" w:rsidRPr="00C53ED5" w:rsidRDefault="00721EFB" w:rsidP="00721EFB">
      <w:pPr>
        <w:spacing w:after="0"/>
        <w:jc w:val="both"/>
        <w:rPr>
          <w:rFonts w:ascii="Times New Roman" w:hAnsi="Times New Roman" w:cs="Times New Roman"/>
          <w:bCs/>
          <w:color w:val="000000"/>
          <w:lang w:val="en-US"/>
        </w:rPr>
      </w:pPr>
      <w:r w:rsidRPr="00C53ED5">
        <w:rPr>
          <w:rFonts w:ascii="Times New Roman" w:hAnsi="Times New Roman" w:cs="Times New Roman"/>
          <w:bCs/>
          <w:color w:val="000000"/>
          <w:lang w:val="en-US"/>
        </w:rPr>
        <w:t>EULAR: European League Against Rheumatism</w:t>
      </w:r>
    </w:p>
    <w:p w:rsidR="00721EFB" w:rsidRPr="00C53ED5" w:rsidRDefault="00721EFB" w:rsidP="00721EFB">
      <w:pPr>
        <w:spacing w:after="0"/>
        <w:jc w:val="both"/>
        <w:rPr>
          <w:rFonts w:ascii="Times New Roman" w:hAnsi="Times New Roman" w:cs="Times New Roman"/>
          <w:bCs/>
          <w:color w:val="000000"/>
          <w:lang w:val="en-US"/>
        </w:rPr>
      </w:pPr>
      <w:r w:rsidRPr="00C53ED5">
        <w:rPr>
          <w:rFonts w:ascii="Times New Roman" w:hAnsi="Times New Roman" w:cs="Times New Roman"/>
          <w:bCs/>
          <w:color w:val="000000"/>
          <w:lang w:val="en-US"/>
        </w:rPr>
        <w:t xml:space="preserve">F&amp;A foot &amp; ankle </w:t>
      </w:r>
    </w:p>
    <w:p w:rsidR="00721EFB" w:rsidRPr="00C53ED5" w:rsidRDefault="00721EFB" w:rsidP="00721EFB">
      <w:pPr>
        <w:spacing w:after="0"/>
        <w:jc w:val="both"/>
        <w:rPr>
          <w:rFonts w:ascii="Times New Roman" w:hAnsi="Times New Roman" w:cs="Times New Roman"/>
          <w:bCs/>
          <w:color w:val="000000"/>
          <w:lang w:val="en-US"/>
        </w:rPr>
      </w:pPr>
      <w:r w:rsidRPr="00C53ED5">
        <w:rPr>
          <w:rFonts w:ascii="Times New Roman" w:hAnsi="Times New Roman" w:cs="Times New Roman"/>
          <w:bCs/>
          <w:color w:val="000000"/>
          <w:lang w:val="en-US"/>
        </w:rPr>
        <w:t>HPR: Health Professional in Rheumatology</w:t>
      </w:r>
    </w:p>
    <w:p w:rsidR="00721EFB" w:rsidRPr="00C53ED5" w:rsidRDefault="00721EFB" w:rsidP="00721EFB">
      <w:pPr>
        <w:spacing w:after="0"/>
        <w:jc w:val="both"/>
        <w:rPr>
          <w:rFonts w:ascii="Times New Roman" w:hAnsi="Times New Roman" w:cs="Times New Roman"/>
          <w:bCs/>
          <w:color w:val="000000"/>
          <w:lang w:val="en-US"/>
        </w:rPr>
      </w:pPr>
      <w:r w:rsidRPr="00C53ED5">
        <w:rPr>
          <w:rFonts w:ascii="Times New Roman" w:hAnsi="Times New Roman" w:cs="Times New Roman"/>
          <w:bCs/>
          <w:color w:val="000000"/>
          <w:lang w:val="en-US"/>
        </w:rPr>
        <w:t xml:space="preserve">RMDs: Rheumatic and Musculoskeletal diseases </w:t>
      </w:r>
    </w:p>
    <w:p w:rsidR="00721EFB" w:rsidRPr="00C53ED5" w:rsidRDefault="00721EFB" w:rsidP="00721EFB">
      <w:pPr>
        <w:spacing w:after="0"/>
        <w:jc w:val="both"/>
        <w:rPr>
          <w:rFonts w:ascii="Times New Roman" w:hAnsi="Times New Roman" w:cs="Times New Roman"/>
          <w:b/>
          <w:color w:val="000000"/>
          <w:lang w:val="en-US"/>
        </w:rPr>
      </w:pPr>
      <w:r w:rsidRPr="00C53ED5">
        <w:rPr>
          <w:rFonts w:ascii="Times New Roman" w:hAnsi="Times New Roman" w:cs="Times New Roman"/>
          <w:b/>
          <w:color w:val="000000"/>
          <w:lang w:val="en-US"/>
        </w:rPr>
        <w:t> </w:t>
      </w:r>
    </w:p>
    <w:p w:rsidR="00721EFB" w:rsidRDefault="00721EFB" w:rsidP="00721EFB">
      <w:pPr>
        <w:spacing w:after="0"/>
        <w:jc w:val="both"/>
        <w:rPr>
          <w:rFonts w:ascii="Times New Roman" w:hAnsi="Times New Roman" w:cs="Times New Roman"/>
          <w:b/>
          <w:color w:val="000000"/>
          <w:lang w:val="en-US"/>
        </w:rPr>
      </w:pPr>
      <w:r w:rsidRPr="00C53ED5">
        <w:rPr>
          <w:rFonts w:ascii="Times New Roman" w:hAnsi="Times New Roman" w:cs="Times New Roman"/>
          <w:b/>
          <w:color w:val="000000"/>
          <w:lang w:val="en-US"/>
        </w:rPr>
        <w:t>DECLARATIONS:</w:t>
      </w:r>
    </w:p>
    <w:p w:rsidR="00721EFB" w:rsidRPr="00C53ED5" w:rsidRDefault="00721EFB" w:rsidP="00721EFB">
      <w:pPr>
        <w:spacing w:after="0"/>
        <w:jc w:val="both"/>
        <w:rPr>
          <w:rFonts w:ascii="Times New Roman" w:hAnsi="Times New Roman" w:cs="Times New Roman"/>
          <w:b/>
          <w:color w:val="000000"/>
          <w:lang w:val="en-US"/>
        </w:rPr>
      </w:pPr>
    </w:p>
    <w:p w:rsidR="00721EFB" w:rsidRPr="00C53ED5" w:rsidRDefault="00721EFB" w:rsidP="00721EFB">
      <w:pPr>
        <w:spacing w:after="0"/>
        <w:jc w:val="both"/>
        <w:rPr>
          <w:rFonts w:ascii="Times New Roman" w:hAnsi="Times New Roman" w:cs="Times New Roman"/>
          <w:b/>
          <w:color w:val="000000"/>
          <w:lang w:val="en-US"/>
        </w:rPr>
      </w:pPr>
      <w:r w:rsidRPr="00C53ED5">
        <w:rPr>
          <w:rFonts w:ascii="Times New Roman" w:hAnsi="Times New Roman" w:cs="Times New Roman"/>
          <w:b/>
          <w:color w:val="000000"/>
          <w:lang w:val="en-US"/>
        </w:rPr>
        <w:t xml:space="preserve">ETHICAL APROVAL </w:t>
      </w:r>
    </w:p>
    <w:p w:rsidR="00721EFB" w:rsidRPr="00D51D4F" w:rsidRDefault="00721EFB" w:rsidP="00721EFB">
      <w:pPr>
        <w:spacing w:after="0"/>
        <w:jc w:val="both"/>
        <w:rPr>
          <w:rFonts w:ascii="Times New Roman" w:hAnsi="Times New Roman" w:cs="Times New Roman"/>
          <w:color w:val="000000"/>
          <w:lang w:val="en-US"/>
        </w:rPr>
      </w:pPr>
      <w:r w:rsidRPr="00D51D4F">
        <w:rPr>
          <w:rFonts w:ascii="Times New Roman" w:hAnsi="Times New Roman" w:cs="Times New Roman"/>
          <w:color w:val="000000"/>
          <w:lang w:val="en-US"/>
        </w:rPr>
        <w:t xml:space="preserve">This was originally intended as an internal study of the members of a professional </w:t>
      </w:r>
      <w:proofErr w:type="spellStart"/>
      <w:r w:rsidRPr="00D51D4F">
        <w:rPr>
          <w:rFonts w:ascii="Times New Roman" w:hAnsi="Times New Roman" w:cs="Times New Roman"/>
          <w:color w:val="000000"/>
          <w:lang w:val="en-US"/>
        </w:rPr>
        <w:t>organisation</w:t>
      </w:r>
      <w:proofErr w:type="spellEnd"/>
      <w:r w:rsidRPr="00D51D4F">
        <w:rPr>
          <w:rFonts w:ascii="Times New Roman" w:hAnsi="Times New Roman" w:cs="Times New Roman"/>
          <w:color w:val="000000"/>
          <w:lang w:val="en-US"/>
        </w:rPr>
        <w:t>, therefore formal external ethical approval was not sought prior to dissemination of the survey, although approval to conduct the survey was provided formally by the EULAR Foot and Ankle study group and the Chair of the overarching Health Professions subcommittee. Subsequently, because of interest in the results, ethical approval (</w:t>
      </w:r>
      <w:r w:rsidRPr="00D51D4F">
        <w:rPr>
          <w:rFonts w:ascii="Times New Roman" w:hAnsi="Times New Roman" w:cs="Times New Roman"/>
          <w:color w:val="000000"/>
          <w:lang w:val="en-GB"/>
        </w:rPr>
        <w:t>Medical Research Ethics Committee of University of Malaga (CEUMA-91-2015-H)</w:t>
      </w:r>
      <w:r w:rsidRPr="00D51D4F">
        <w:rPr>
          <w:rFonts w:ascii="Times New Roman" w:hAnsi="Times New Roman" w:cs="Times New Roman"/>
          <w:color w:val="000000"/>
          <w:lang w:val="en-US"/>
        </w:rPr>
        <w:t xml:space="preserve">) for secondary analysis and publication was provided by the IRB of the University of Malaga Faculty of Health Sciences (the employer of the </w:t>
      </w:r>
      <w:proofErr w:type="spellStart"/>
      <w:r w:rsidRPr="00D51D4F">
        <w:rPr>
          <w:rFonts w:ascii="Times New Roman" w:hAnsi="Times New Roman" w:cs="Times New Roman"/>
          <w:color w:val="000000"/>
          <w:lang w:val="en-US"/>
        </w:rPr>
        <w:t>convenor</w:t>
      </w:r>
      <w:proofErr w:type="spellEnd"/>
      <w:r w:rsidRPr="00D51D4F">
        <w:rPr>
          <w:rFonts w:ascii="Times New Roman" w:hAnsi="Times New Roman" w:cs="Times New Roman"/>
          <w:color w:val="000000"/>
          <w:lang w:val="en-US"/>
        </w:rPr>
        <w:t xml:space="preserve"> of the EULAR study group). Participants provided implied consent for their participation by completing the questionnaire.</w:t>
      </w:r>
    </w:p>
    <w:p w:rsidR="00721EFB" w:rsidRDefault="00721EFB" w:rsidP="00721EFB">
      <w:pPr>
        <w:spacing w:after="0"/>
        <w:jc w:val="both"/>
        <w:rPr>
          <w:rFonts w:ascii="Times New Roman" w:hAnsi="Times New Roman" w:cs="Times New Roman"/>
          <w:b/>
          <w:color w:val="000000"/>
          <w:lang w:val="en-US"/>
        </w:rPr>
      </w:pPr>
    </w:p>
    <w:p w:rsidR="00721EFB" w:rsidRPr="00C53ED5" w:rsidRDefault="00721EFB" w:rsidP="00721EFB">
      <w:pPr>
        <w:spacing w:after="0"/>
        <w:jc w:val="both"/>
        <w:rPr>
          <w:rFonts w:ascii="Times New Roman" w:hAnsi="Times New Roman" w:cs="Times New Roman"/>
          <w:b/>
          <w:color w:val="000000"/>
          <w:lang w:val="en-US"/>
        </w:rPr>
      </w:pPr>
      <w:r w:rsidRPr="00C53ED5">
        <w:rPr>
          <w:rFonts w:ascii="Times New Roman" w:hAnsi="Times New Roman" w:cs="Times New Roman"/>
          <w:b/>
          <w:color w:val="000000"/>
          <w:lang w:val="en-US"/>
        </w:rPr>
        <w:t xml:space="preserve">CONSENT FOR PUBLICATION </w:t>
      </w:r>
    </w:p>
    <w:p w:rsidR="00721EFB" w:rsidRPr="00C53ED5" w:rsidRDefault="00721EFB" w:rsidP="00721EFB">
      <w:pPr>
        <w:spacing w:after="0"/>
        <w:jc w:val="both"/>
        <w:rPr>
          <w:rFonts w:ascii="Times New Roman" w:hAnsi="Times New Roman" w:cs="Times New Roman"/>
          <w:bCs/>
          <w:color w:val="000000"/>
          <w:lang w:val="en-US"/>
        </w:rPr>
      </w:pPr>
      <w:r w:rsidRPr="00C53ED5">
        <w:rPr>
          <w:rFonts w:ascii="Times New Roman" w:hAnsi="Times New Roman" w:cs="Times New Roman"/>
          <w:bCs/>
          <w:color w:val="000000"/>
          <w:lang w:val="en-US"/>
        </w:rPr>
        <w:t>Participants provided implied consent for publication of the data by completing the questionnaire.</w:t>
      </w:r>
    </w:p>
    <w:p w:rsidR="00721EFB" w:rsidRDefault="00721EFB" w:rsidP="00721EFB">
      <w:pPr>
        <w:spacing w:after="0"/>
        <w:jc w:val="both"/>
        <w:rPr>
          <w:rFonts w:ascii="Times New Roman" w:hAnsi="Times New Roman" w:cs="Times New Roman"/>
          <w:b/>
          <w:color w:val="000000"/>
          <w:lang w:val="en-US"/>
        </w:rPr>
      </w:pPr>
    </w:p>
    <w:p w:rsidR="00721EFB" w:rsidRPr="00C53ED5" w:rsidRDefault="00721EFB" w:rsidP="00721EFB">
      <w:pPr>
        <w:spacing w:after="0"/>
        <w:jc w:val="both"/>
        <w:rPr>
          <w:rFonts w:ascii="Times New Roman" w:hAnsi="Times New Roman" w:cs="Times New Roman"/>
          <w:b/>
          <w:color w:val="000000"/>
          <w:lang w:val="en-US"/>
        </w:rPr>
      </w:pPr>
      <w:r w:rsidRPr="00C53ED5">
        <w:rPr>
          <w:rFonts w:ascii="Times New Roman" w:hAnsi="Times New Roman" w:cs="Times New Roman"/>
          <w:b/>
          <w:color w:val="000000"/>
          <w:lang w:val="en-US"/>
        </w:rPr>
        <w:t>COMPETING INTEREST</w:t>
      </w:r>
    </w:p>
    <w:p w:rsidR="00721EFB" w:rsidRPr="00C53ED5" w:rsidRDefault="00721EFB" w:rsidP="00721EFB">
      <w:pPr>
        <w:spacing w:after="0"/>
        <w:jc w:val="both"/>
        <w:rPr>
          <w:rFonts w:ascii="Times New Roman" w:hAnsi="Times New Roman" w:cs="Times New Roman"/>
          <w:bCs/>
          <w:color w:val="000000"/>
          <w:lang w:val="en-US"/>
        </w:rPr>
      </w:pPr>
      <w:r w:rsidRPr="00C53ED5">
        <w:rPr>
          <w:rFonts w:ascii="Times New Roman" w:hAnsi="Times New Roman" w:cs="Times New Roman"/>
          <w:bCs/>
          <w:color w:val="000000"/>
          <w:lang w:val="en-US"/>
        </w:rPr>
        <w:t>The authors declare that they have no competing interests.</w:t>
      </w:r>
    </w:p>
    <w:p w:rsidR="00721EFB" w:rsidRPr="00C53ED5" w:rsidRDefault="00721EFB" w:rsidP="00721EFB">
      <w:pPr>
        <w:spacing w:after="0"/>
        <w:jc w:val="both"/>
        <w:rPr>
          <w:rFonts w:ascii="Times New Roman" w:hAnsi="Times New Roman" w:cs="Times New Roman"/>
          <w:bCs/>
          <w:color w:val="000000"/>
          <w:lang w:val="en-US"/>
        </w:rPr>
      </w:pPr>
    </w:p>
    <w:p w:rsidR="00721EFB" w:rsidRPr="00C53ED5" w:rsidRDefault="00721EFB" w:rsidP="00721EFB">
      <w:pPr>
        <w:spacing w:after="0"/>
        <w:jc w:val="both"/>
        <w:rPr>
          <w:rFonts w:ascii="Times New Roman" w:hAnsi="Times New Roman" w:cs="Times New Roman"/>
          <w:b/>
          <w:color w:val="000000"/>
          <w:lang w:val="en-US"/>
        </w:rPr>
      </w:pPr>
      <w:r w:rsidRPr="00C53ED5">
        <w:rPr>
          <w:rFonts w:ascii="Times New Roman" w:hAnsi="Times New Roman" w:cs="Times New Roman"/>
          <w:b/>
          <w:color w:val="000000"/>
          <w:lang w:val="en-US"/>
        </w:rPr>
        <w:t xml:space="preserve">FUNDING </w:t>
      </w:r>
    </w:p>
    <w:p w:rsidR="00721EFB" w:rsidRPr="00C53ED5" w:rsidRDefault="00721EFB" w:rsidP="00721EFB">
      <w:pPr>
        <w:spacing w:after="0"/>
        <w:jc w:val="both"/>
        <w:rPr>
          <w:rFonts w:ascii="Times New Roman" w:hAnsi="Times New Roman" w:cs="Times New Roman"/>
          <w:b/>
          <w:color w:val="000000"/>
          <w:lang w:val="en-US"/>
        </w:rPr>
      </w:pPr>
      <w:r w:rsidRPr="00C53ED5">
        <w:rPr>
          <w:rFonts w:ascii="Times New Roman" w:hAnsi="Times New Roman" w:cs="Times New Roman"/>
          <w:bCs/>
          <w:color w:val="000000"/>
          <w:lang w:val="en-US"/>
        </w:rPr>
        <w:t>This project did not receive any direct funding support</w:t>
      </w:r>
      <w:r w:rsidRPr="00C53ED5">
        <w:rPr>
          <w:rFonts w:ascii="Times New Roman" w:hAnsi="Times New Roman" w:cs="Times New Roman"/>
          <w:b/>
          <w:color w:val="000000"/>
          <w:lang w:val="en-US"/>
        </w:rPr>
        <w:t xml:space="preserve">. </w:t>
      </w:r>
    </w:p>
    <w:p w:rsidR="00721EFB" w:rsidRDefault="00721EFB" w:rsidP="00721EFB">
      <w:pPr>
        <w:spacing w:after="0"/>
        <w:jc w:val="both"/>
        <w:rPr>
          <w:rFonts w:ascii="Times New Roman" w:hAnsi="Times New Roman" w:cs="Times New Roman"/>
          <w:b/>
          <w:color w:val="000000"/>
          <w:lang w:val="en-US"/>
        </w:rPr>
      </w:pPr>
    </w:p>
    <w:p w:rsidR="00721EFB" w:rsidRPr="00C53ED5" w:rsidRDefault="00721EFB" w:rsidP="00721EFB">
      <w:pPr>
        <w:spacing w:after="0"/>
        <w:jc w:val="both"/>
        <w:rPr>
          <w:rFonts w:ascii="Times New Roman" w:hAnsi="Times New Roman" w:cs="Times New Roman"/>
          <w:b/>
          <w:color w:val="000000"/>
          <w:lang w:val="en-US"/>
        </w:rPr>
      </w:pPr>
      <w:r w:rsidRPr="00C53ED5">
        <w:rPr>
          <w:rFonts w:ascii="Times New Roman" w:hAnsi="Times New Roman" w:cs="Times New Roman"/>
          <w:b/>
          <w:color w:val="000000"/>
          <w:lang w:val="en-US"/>
        </w:rPr>
        <w:t>FINANCIAL SUPPORT</w:t>
      </w:r>
    </w:p>
    <w:p w:rsidR="00721EFB" w:rsidRPr="00C53ED5" w:rsidRDefault="00721EFB" w:rsidP="00721EFB">
      <w:pPr>
        <w:spacing w:after="0"/>
        <w:jc w:val="both"/>
        <w:rPr>
          <w:rFonts w:ascii="Times New Roman" w:hAnsi="Times New Roman" w:cs="Times New Roman"/>
          <w:bCs/>
          <w:color w:val="000000"/>
          <w:lang w:val="en-US"/>
        </w:rPr>
      </w:pPr>
      <w:proofErr w:type="spellStart"/>
      <w:r w:rsidRPr="00C53ED5">
        <w:rPr>
          <w:rFonts w:ascii="Times New Roman" w:hAnsi="Times New Roman" w:cs="Times New Roman"/>
          <w:bCs/>
          <w:color w:val="000000"/>
          <w:lang w:val="en-US"/>
        </w:rPr>
        <w:t>Begonya</w:t>
      </w:r>
      <w:proofErr w:type="spellEnd"/>
      <w:r w:rsidRPr="00C53ED5">
        <w:rPr>
          <w:rFonts w:ascii="Times New Roman" w:hAnsi="Times New Roman" w:cs="Times New Roman"/>
          <w:bCs/>
          <w:color w:val="000000"/>
          <w:lang w:val="en-US"/>
        </w:rPr>
        <w:t xml:space="preserve"> </w:t>
      </w:r>
      <w:proofErr w:type="spellStart"/>
      <w:r w:rsidRPr="00C53ED5">
        <w:rPr>
          <w:rFonts w:ascii="Times New Roman" w:hAnsi="Times New Roman" w:cs="Times New Roman"/>
          <w:bCs/>
          <w:color w:val="000000"/>
          <w:lang w:val="en-US"/>
        </w:rPr>
        <w:t>Alcacer-Pitarch</w:t>
      </w:r>
      <w:proofErr w:type="spellEnd"/>
      <w:r w:rsidRPr="00C53ED5">
        <w:rPr>
          <w:rFonts w:ascii="Times New Roman" w:hAnsi="Times New Roman" w:cs="Times New Roman"/>
          <w:bCs/>
          <w:color w:val="000000"/>
          <w:lang w:val="en-US"/>
        </w:rPr>
        <w:t xml:space="preserve"> received research grant support from </w:t>
      </w:r>
      <w:proofErr w:type="spellStart"/>
      <w:r w:rsidRPr="00C53ED5">
        <w:rPr>
          <w:rFonts w:ascii="Times New Roman" w:hAnsi="Times New Roman" w:cs="Times New Roman"/>
          <w:bCs/>
          <w:color w:val="000000"/>
          <w:lang w:val="en-US"/>
        </w:rPr>
        <w:t>Wellcome</w:t>
      </w:r>
      <w:proofErr w:type="spellEnd"/>
      <w:r w:rsidRPr="00C53ED5">
        <w:rPr>
          <w:rFonts w:ascii="Times New Roman" w:hAnsi="Times New Roman" w:cs="Times New Roman"/>
          <w:bCs/>
          <w:color w:val="000000"/>
          <w:lang w:val="en-US"/>
        </w:rPr>
        <w:t xml:space="preserve"> Trust. Dr Backhouse was funded through a personal fellowship from the National Institute for Health Research (PDF-2013-06-055). Prof Redmond receives grant support as an NIHR Senior Investigator (SI-0616-10108). The research is supported by the National Institute for Health Research (NIHR) infrastructure at Leeds. The views expressed are those of the author(s) and not necessarily those of the NHS, the NIHR or the Department of Health.</w:t>
      </w:r>
    </w:p>
    <w:p w:rsidR="00721EFB" w:rsidRDefault="00721EFB" w:rsidP="00721EFB">
      <w:pPr>
        <w:spacing w:after="0"/>
        <w:jc w:val="both"/>
        <w:rPr>
          <w:rFonts w:ascii="Times New Roman" w:hAnsi="Times New Roman" w:cs="Times New Roman"/>
          <w:b/>
          <w:color w:val="000000"/>
          <w:lang w:val="en-US"/>
        </w:rPr>
      </w:pPr>
    </w:p>
    <w:p w:rsidR="00721EFB" w:rsidRPr="00C53ED5" w:rsidRDefault="00721EFB" w:rsidP="00721EFB">
      <w:pPr>
        <w:spacing w:after="0"/>
        <w:jc w:val="both"/>
        <w:rPr>
          <w:rFonts w:ascii="Times New Roman" w:hAnsi="Times New Roman" w:cs="Times New Roman"/>
          <w:b/>
          <w:color w:val="000000"/>
          <w:lang w:val="en-US"/>
        </w:rPr>
      </w:pPr>
      <w:r w:rsidRPr="00C53ED5">
        <w:rPr>
          <w:rFonts w:ascii="Times New Roman" w:hAnsi="Times New Roman" w:cs="Times New Roman"/>
          <w:b/>
          <w:color w:val="000000"/>
          <w:lang w:val="en-US"/>
        </w:rPr>
        <w:t>AVAILABILITY OF DATA AND MATERIALS</w:t>
      </w:r>
    </w:p>
    <w:p w:rsidR="00721EFB" w:rsidRPr="00C53ED5" w:rsidRDefault="00721EFB" w:rsidP="00721EFB">
      <w:pPr>
        <w:spacing w:after="0"/>
        <w:jc w:val="both"/>
        <w:rPr>
          <w:rFonts w:ascii="Times New Roman" w:hAnsi="Times New Roman" w:cs="Times New Roman"/>
          <w:bCs/>
          <w:color w:val="000000"/>
          <w:lang w:val="en-US"/>
        </w:rPr>
      </w:pPr>
      <w:r w:rsidRPr="00C53ED5">
        <w:rPr>
          <w:rFonts w:ascii="Times New Roman" w:hAnsi="Times New Roman" w:cs="Times New Roman"/>
          <w:bCs/>
          <w:color w:val="000000"/>
          <w:lang w:val="en-US"/>
        </w:rPr>
        <w:t xml:space="preserve">Data supporting the results from this study are available on request. Requests can be made via email to the correspondence author. </w:t>
      </w:r>
    </w:p>
    <w:p w:rsidR="00721EFB" w:rsidRDefault="00721EFB" w:rsidP="00721EFB">
      <w:pPr>
        <w:spacing w:after="0"/>
        <w:jc w:val="both"/>
        <w:rPr>
          <w:rFonts w:ascii="Times New Roman" w:hAnsi="Times New Roman" w:cs="Times New Roman"/>
          <w:b/>
          <w:color w:val="000000"/>
          <w:lang w:val="en-US"/>
        </w:rPr>
      </w:pPr>
    </w:p>
    <w:p w:rsidR="00721EFB" w:rsidRPr="00C53ED5" w:rsidRDefault="00721EFB" w:rsidP="00721EFB">
      <w:pPr>
        <w:spacing w:after="0"/>
        <w:jc w:val="both"/>
        <w:rPr>
          <w:rFonts w:ascii="Times New Roman" w:hAnsi="Times New Roman" w:cs="Times New Roman"/>
          <w:b/>
          <w:color w:val="000000"/>
          <w:lang w:val="en-US"/>
        </w:rPr>
      </w:pPr>
      <w:r w:rsidRPr="00C53ED5">
        <w:rPr>
          <w:rFonts w:ascii="Times New Roman" w:hAnsi="Times New Roman" w:cs="Times New Roman"/>
          <w:b/>
          <w:color w:val="000000"/>
          <w:lang w:val="en-US"/>
        </w:rPr>
        <w:t xml:space="preserve">AUTHORS CONTRIBUTION </w:t>
      </w:r>
    </w:p>
    <w:p w:rsidR="00721EFB" w:rsidRPr="00C53ED5" w:rsidRDefault="00721EFB" w:rsidP="00721EFB">
      <w:pPr>
        <w:spacing w:after="0"/>
        <w:jc w:val="both"/>
        <w:rPr>
          <w:rFonts w:ascii="Times New Roman" w:hAnsi="Times New Roman" w:cs="Times New Roman"/>
          <w:bCs/>
          <w:color w:val="000000"/>
          <w:lang w:val="en-US"/>
        </w:rPr>
      </w:pPr>
      <w:r w:rsidRPr="00C53ED5">
        <w:rPr>
          <w:rFonts w:ascii="Times New Roman" w:hAnsi="Times New Roman" w:cs="Times New Roman"/>
          <w:bCs/>
          <w:color w:val="000000"/>
          <w:lang w:val="en-US"/>
        </w:rPr>
        <w:t xml:space="preserve">All authors named in this paper meet the criteria for authorship according to the International Committee of Medical Journal Editors guidance. Professor Anthony Redmond is the Principal Investigator. He co-designed the study, oversaw the project, drafted the statistical analysis plan, contributed to the interpretation of the data, revised the study report for intellectual content and approved the version to be published. </w:t>
      </w:r>
      <w:proofErr w:type="spellStart"/>
      <w:r w:rsidRPr="00C53ED5">
        <w:rPr>
          <w:rFonts w:ascii="Times New Roman" w:hAnsi="Times New Roman" w:cs="Times New Roman"/>
          <w:bCs/>
          <w:color w:val="000000"/>
          <w:lang w:val="en-US"/>
        </w:rPr>
        <w:t>Dr</w:t>
      </w:r>
      <w:proofErr w:type="spellEnd"/>
      <w:r w:rsidRPr="00C53ED5">
        <w:rPr>
          <w:rFonts w:ascii="Times New Roman" w:hAnsi="Times New Roman" w:cs="Times New Roman"/>
          <w:bCs/>
          <w:color w:val="000000"/>
          <w:lang w:val="en-US"/>
        </w:rPr>
        <w:t xml:space="preserve"> </w:t>
      </w:r>
      <w:proofErr w:type="spellStart"/>
      <w:r w:rsidRPr="00C53ED5">
        <w:rPr>
          <w:rFonts w:ascii="Times New Roman" w:hAnsi="Times New Roman" w:cs="Times New Roman"/>
          <w:bCs/>
          <w:color w:val="000000"/>
          <w:lang w:val="en-US"/>
        </w:rPr>
        <w:t>Begonya</w:t>
      </w:r>
      <w:proofErr w:type="spellEnd"/>
      <w:r w:rsidRPr="00C53ED5">
        <w:rPr>
          <w:rFonts w:ascii="Times New Roman" w:hAnsi="Times New Roman" w:cs="Times New Roman"/>
          <w:bCs/>
          <w:color w:val="000000"/>
          <w:lang w:val="en-US"/>
        </w:rPr>
        <w:t xml:space="preserve"> </w:t>
      </w:r>
      <w:proofErr w:type="spellStart"/>
      <w:r w:rsidRPr="00C53ED5">
        <w:rPr>
          <w:rFonts w:ascii="Times New Roman" w:hAnsi="Times New Roman" w:cs="Times New Roman"/>
          <w:bCs/>
          <w:color w:val="000000"/>
          <w:lang w:val="en-US"/>
        </w:rPr>
        <w:t>Alcacer-Pitarch</w:t>
      </w:r>
      <w:proofErr w:type="spellEnd"/>
      <w:r w:rsidRPr="00C53ED5">
        <w:rPr>
          <w:rFonts w:ascii="Times New Roman" w:hAnsi="Times New Roman" w:cs="Times New Roman"/>
          <w:bCs/>
          <w:color w:val="000000"/>
          <w:lang w:val="en-US"/>
        </w:rPr>
        <w:t xml:space="preserve"> co-designed the study, coordinated the project, drafted the statistical analysis plan, undertook the statistical analyses, interpreted the results and drafted the study report and revised it for intellectual content. Dr Backhouse co-designed the study, drafted the statistical analysis plan, contributed to the drafting of the manuscripts, revised it for intellectual content and approved the version to be published. </w:t>
      </w:r>
      <w:proofErr w:type="spellStart"/>
      <w:r w:rsidRPr="00C53ED5">
        <w:rPr>
          <w:rFonts w:ascii="Times New Roman" w:hAnsi="Times New Roman" w:cs="Times New Roman"/>
          <w:bCs/>
          <w:color w:val="000000"/>
          <w:lang w:val="en-US"/>
        </w:rPr>
        <w:t>Dr</w:t>
      </w:r>
      <w:proofErr w:type="spellEnd"/>
      <w:r w:rsidRPr="00C53ED5">
        <w:rPr>
          <w:rFonts w:ascii="Times New Roman" w:hAnsi="Times New Roman" w:cs="Times New Roman"/>
          <w:bCs/>
          <w:color w:val="000000"/>
          <w:lang w:val="en-US"/>
        </w:rPr>
        <w:t xml:space="preserve"> Gabriel Gijon-</w:t>
      </w:r>
      <w:proofErr w:type="spellStart"/>
      <w:r w:rsidRPr="00C53ED5">
        <w:rPr>
          <w:rFonts w:ascii="Times New Roman" w:hAnsi="Times New Roman" w:cs="Times New Roman"/>
          <w:bCs/>
          <w:color w:val="000000"/>
          <w:lang w:val="en-US"/>
        </w:rPr>
        <w:t>Nogeron</w:t>
      </w:r>
      <w:proofErr w:type="spellEnd"/>
      <w:r w:rsidRPr="00C53ED5">
        <w:rPr>
          <w:rFonts w:ascii="Times New Roman" w:hAnsi="Times New Roman" w:cs="Times New Roman"/>
          <w:bCs/>
          <w:color w:val="000000"/>
          <w:lang w:val="en-US"/>
        </w:rPr>
        <w:t xml:space="preserve"> co-designed the study, coordinated the project, revised the report for intellectual content and approved the version to be published. </w:t>
      </w:r>
      <w:proofErr w:type="spellStart"/>
      <w:r w:rsidRPr="00C53ED5">
        <w:rPr>
          <w:rFonts w:ascii="Times New Roman" w:hAnsi="Times New Roman" w:cs="Times New Roman"/>
          <w:bCs/>
          <w:color w:val="000000"/>
          <w:lang w:val="en-US"/>
        </w:rPr>
        <w:t>Mr</w:t>
      </w:r>
      <w:proofErr w:type="spellEnd"/>
      <w:r w:rsidRPr="00C53ED5">
        <w:rPr>
          <w:rFonts w:ascii="Times New Roman" w:hAnsi="Times New Roman" w:cs="Times New Roman"/>
          <w:bCs/>
          <w:color w:val="000000"/>
          <w:lang w:val="en-US"/>
        </w:rPr>
        <w:t xml:space="preserve"> </w:t>
      </w:r>
      <w:proofErr w:type="spellStart"/>
      <w:r w:rsidRPr="00C53ED5">
        <w:rPr>
          <w:rFonts w:ascii="Times New Roman" w:hAnsi="Times New Roman" w:cs="Times New Roman"/>
          <w:bCs/>
          <w:color w:val="000000"/>
          <w:lang w:val="en-US"/>
        </w:rPr>
        <w:t>Devid</w:t>
      </w:r>
      <w:proofErr w:type="spellEnd"/>
      <w:r w:rsidRPr="00C53ED5">
        <w:rPr>
          <w:rFonts w:ascii="Times New Roman" w:hAnsi="Times New Roman" w:cs="Times New Roman"/>
          <w:bCs/>
          <w:color w:val="000000"/>
          <w:lang w:val="en-US"/>
        </w:rPr>
        <w:t xml:space="preserve"> </w:t>
      </w:r>
      <w:proofErr w:type="spellStart"/>
      <w:r w:rsidRPr="00C53ED5">
        <w:rPr>
          <w:rFonts w:ascii="Times New Roman" w:hAnsi="Times New Roman" w:cs="Times New Roman"/>
          <w:bCs/>
          <w:color w:val="000000"/>
          <w:lang w:val="en-US"/>
        </w:rPr>
        <w:t>Biscontini</w:t>
      </w:r>
      <w:proofErr w:type="spellEnd"/>
      <w:r w:rsidRPr="00C53ED5">
        <w:rPr>
          <w:rFonts w:ascii="Times New Roman" w:hAnsi="Times New Roman" w:cs="Times New Roman"/>
          <w:bCs/>
          <w:color w:val="000000"/>
          <w:lang w:val="en-US"/>
        </w:rPr>
        <w:t xml:space="preserve"> co-designed the study, revised the report for intellectual content and approved the version to be published. </w:t>
      </w:r>
      <w:proofErr w:type="spellStart"/>
      <w:r w:rsidRPr="00C53ED5">
        <w:rPr>
          <w:rFonts w:ascii="Times New Roman" w:hAnsi="Times New Roman" w:cs="Times New Roman"/>
          <w:bCs/>
          <w:color w:val="000000"/>
          <w:lang w:val="en-US"/>
        </w:rPr>
        <w:t>Ms</w:t>
      </w:r>
      <w:proofErr w:type="spellEnd"/>
      <w:r w:rsidRPr="00C53ED5">
        <w:rPr>
          <w:rFonts w:ascii="Times New Roman" w:hAnsi="Times New Roman" w:cs="Times New Roman"/>
          <w:bCs/>
          <w:color w:val="000000"/>
          <w:lang w:val="en-US"/>
        </w:rPr>
        <w:t xml:space="preserve"> Sofia </w:t>
      </w:r>
      <w:proofErr w:type="spellStart"/>
      <w:r w:rsidRPr="00C53ED5">
        <w:rPr>
          <w:rFonts w:ascii="Times New Roman" w:hAnsi="Times New Roman" w:cs="Times New Roman"/>
          <w:bCs/>
          <w:color w:val="000000"/>
          <w:lang w:val="en-US"/>
        </w:rPr>
        <w:t>Bonafede</w:t>
      </w:r>
      <w:proofErr w:type="spellEnd"/>
      <w:r w:rsidRPr="00C53ED5">
        <w:rPr>
          <w:rFonts w:ascii="Times New Roman" w:hAnsi="Times New Roman" w:cs="Times New Roman"/>
          <w:bCs/>
          <w:color w:val="000000"/>
          <w:lang w:val="en-US"/>
        </w:rPr>
        <w:t xml:space="preserve">, co-designed the study, revised the report for intellectual content and approved the version to be published. </w:t>
      </w:r>
      <w:proofErr w:type="spellStart"/>
      <w:r w:rsidRPr="00C53ED5">
        <w:rPr>
          <w:rFonts w:ascii="Times New Roman" w:hAnsi="Times New Roman" w:cs="Times New Roman"/>
          <w:bCs/>
          <w:color w:val="000000"/>
          <w:lang w:val="en-US"/>
        </w:rPr>
        <w:t>Mr</w:t>
      </w:r>
      <w:proofErr w:type="spellEnd"/>
      <w:r w:rsidRPr="00C53ED5">
        <w:rPr>
          <w:rFonts w:ascii="Times New Roman" w:hAnsi="Times New Roman" w:cs="Times New Roman"/>
          <w:bCs/>
          <w:color w:val="000000"/>
          <w:lang w:val="en-US"/>
        </w:rPr>
        <w:t xml:space="preserve"> Andre Ferreira co-designed the study, revised the report for intellectual content and approved the version to be published. </w:t>
      </w:r>
      <w:proofErr w:type="spellStart"/>
      <w:r w:rsidRPr="00C53ED5">
        <w:rPr>
          <w:rFonts w:ascii="Times New Roman" w:hAnsi="Times New Roman" w:cs="Times New Roman"/>
          <w:bCs/>
          <w:color w:val="000000"/>
          <w:lang w:val="en-US"/>
        </w:rPr>
        <w:t>Dr</w:t>
      </w:r>
      <w:proofErr w:type="spellEnd"/>
      <w:r w:rsidRPr="00C53ED5">
        <w:rPr>
          <w:rFonts w:ascii="Times New Roman" w:hAnsi="Times New Roman" w:cs="Times New Roman"/>
          <w:bCs/>
          <w:color w:val="000000"/>
          <w:lang w:val="en-US"/>
        </w:rPr>
        <w:t xml:space="preserve"> Alfred </w:t>
      </w:r>
      <w:proofErr w:type="spellStart"/>
      <w:r w:rsidRPr="00C53ED5">
        <w:rPr>
          <w:rFonts w:ascii="Times New Roman" w:hAnsi="Times New Roman" w:cs="Times New Roman"/>
          <w:bCs/>
          <w:color w:val="000000"/>
          <w:lang w:val="en-US"/>
        </w:rPr>
        <w:t>Gatt</w:t>
      </w:r>
      <w:proofErr w:type="spellEnd"/>
      <w:r w:rsidRPr="00C53ED5">
        <w:rPr>
          <w:rFonts w:ascii="Times New Roman" w:hAnsi="Times New Roman" w:cs="Times New Roman"/>
          <w:bCs/>
          <w:color w:val="000000"/>
          <w:lang w:val="en-US"/>
        </w:rPr>
        <w:t xml:space="preserve"> co-designed the study, revised the report for intellectual content and approved the version to be published. </w:t>
      </w:r>
      <w:proofErr w:type="spellStart"/>
      <w:r w:rsidRPr="00C53ED5">
        <w:rPr>
          <w:rFonts w:ascii="Times New Roman" w:hAnsi="Times New Roman" w:cs="Times New Roman"/>
          <w:bCs/>
          <w:color w:val="000000"/>
          <w:lang w:val="en-US"/>
        </w:rPr>
        <w:t>Mr</w:t>
      </w:r>
      <w:proofErr w:type="spellEnd"/>
      <w:r w:rsidRPr="00C53ED5">
        <w:rPr>
          <w:rFonts w:ascii="Times New Roman" w:hAnsi="Times New Roman" w:cs="Times New Roman"/>
          <w:bCs/>
          <w:color w:val="000000"/>
          <w:lang w:val="en-US"/>
        </w:rPr>
        <w:t xml:space="preserve"> Yves </w:t>
      </w:r>
      <w:proofErr w:type="spellStart"/>
      <w:r w:rsidRPr="00C53ED5">
        <w:rPr>
          <w:rFonts w:ascii="Times New Roman" w:hAnsi="Times New Roman" w:cs="Times New Roman"/>
          <w:bCs/>
          <w:color w:val="000000"/>
          <w:lang w:val="en-US"/>
        </w:rPr>
        <w:t>Lescure</w:t>
      </w:r>
      <w:proofErr w:type="spellEnd"/>
      <w:r w:rsidRPr="00C53ED5">
        <w:rPr>
          <w:rFonts w:ascii="Times New Roman" w:hAnsi="Times New Roman" w:cs="Times New Roman"/>
          <w:bCs/>
          <w:color w:val="000000"/>
          <w:lang w:val="en-US"/>
        </w:rPr>
        <w:t xml:space="preserve"> co-designed the study, revised the report for intellectual content and approved the version to be published. </w:t>
      </w:r>
      <w:proofErr w:type="spellStart"/>
      <w:r w:rsidRPr="00C53ED5">
        <w:rPr>
          <w:rFonts w:ascii="Times New Roman" w:hAnsi="Times New Roman" w:cs="Times New Roman"/>
          <w:bCs/>
          <w:color w:val="000000"/>
          <w:lang w:val="en-US"/>
        </w:rPr>
        <w:t>Ms</w:t>
      </w:r>
      <w:proofErr w:type="spellEnd"/>
      <w:r w:rsidRPr="00C53ED5">
        <w:rPr>
          <w:rFonts w:ascii="Times New Roman" w:hAnsi="Times New Roman" w:cs="Times New Roman"/>
          <w:bCs/>
          <w:color w:val="000000"/>
          <w:lang w:val="en-US"/>
        </w:rPr>
        <w:t xml:space="preserve"> </w:t>
      </w:r>
      <w:proofErr w:type="spellStart"/>
      <w:r w:rsidRPr="00C53ED5">
        <w:rPr>
          <w:rFonts w:ascii="Times New Roman" w:hAnsi="Times New Roman" w:cs="Times New Roman"/>
          <w:bCs/>
          <w:color w:val="000000"/>
          <w:lang w:val="en-US"/>
        </w:rPr>
        <w:t>Tiziana</w:t>
      </w:r>
      <w:proofErr w:type="spellEnd"/>
      <w:r w:rsidRPr="00C53ED5">
        <w:rPr>
          <w:rFonts w:ascii="Times New Roman" w:hAnsi="Times New Roman" w:cs="Times New Roman"/>
          <w:bCs/>
          <w:color w:val="000000"/>
          <w:lang w:val="en-US"/>
        </w:rPr>
        <w:t xml:space="preserve"> Nava co-designed the study, revised the report for intellectual content and approved the version to be published.</w:t>
      </w:r>
    </w:p>
    <w:p w:rsidR="00721EFB" w:rsidRPr="00C53ED5" w:rsidRDefault="00721EFB" w:rsidP="00721EFB">
      <w:pPr>
        <w:spacing w:after="0"/>
        <w:jc w:val="both"/>
        <w:rPr>
          <w:rFonts w:ascii="Times New Roman" w:hAnsi="Times New Roman" w:cs="Times New Roman"/>
          <w:b/>
          <w:color w:val="000000"/>
          <w:lang w:val="en-US"/>
        </w:rPr>
      </w:pPr>
    </w:p>
    <w:p w:rsidR="00721EFB" w:rsidRPr="00C53ED5" w:rsidRDefault="00721EFB" w:rsidP="00721EFB">
      <w:pPr>
        <w:spacing w:after="0"/>
        <w:jc w:val="both"/>
        <w:rPr>
          <w:rFonts w:ascii="Times New Roman" w:hAnsi="Times New Roman" w:cs="Times New Roman"/>
          <w:b/>
          <w:color w:val="000000"/>
          <w:lang w:val="en-US"/>
        </w:rPr>
      </w:pPr>
      <w:r w:rsidRPr="00C53ED5">
        <w:rPr>
          <w:rFonts w:ascii="Times New Roman" w:hAnsi="Times New Roman" w:cs="Times New Roman"/>
          <w:b/>
          <w:color w:val="000000"/>
          <w:lang w:val="en-US"/>
        </w:rPr>
        <w:t>ACKNOWLEDGEMENTS</w:t>
      </w:r>
    </w:p>
    <w:p w:rsidR="00721EFB" w:rsidRDefault="00721EFB" w:rsidP="00721EFB">
      <w:pPr>
        <w:spacing w:after="0"/>
        <w:jc w:val="both"/>
        <w:rPr>
          <w:rFonts w:ascii="Times New Roman" w:hAnsi="Times New Roman" w:cs="Times New Roman"/>
          <w:b/>
          <w:color w:val="000000"/>
          <w:lang w:val="en-US"/>
        </w:rPr>
      </w:pPr>
      <w:r w:rsidRPr="00C53ED5">
        <w:rPr>
          <w:rFonts w:ascii="Times New Roman" w:hAnsi="Times New Roman" w:cs="Times New Roman"/>
          <w:bCs/>
          <w:color w:val="000000"/>
          <w:lang w:val="en-US"/>
        </w:rPr>
        <w:t xml:space="preserve">The authors would like to acknowledge the contribution of the national HPR presidents who participated in this survey and the EULAR Foot and Ankle Study Group for </w:t>
      </w:r>
      <w:proofErr w:type="spellStart"/>
      <w:r w:rsidRPr="00C53ED5">
        <w:rPr>
          <w:rFonts w:ascii="Times New Roman" w:hAnsi="Times New Roman" w:cs="Times New Roman"/>
          <w:bCs/>
          <w:color w:val="000000"/>
          <w:lang w:val="en-US"/>
        </w:rPr>
        <w:t>prioritising</w:t>
      </w:r>
      <w:proofErr w:type="spellEnd"/>
      <w:r w:rsidRPr="00C53ED5">
        <w:rPr>
          <w:rFonts w:ascii="Times New Roman" w:hAnsi="Times New Roman" w:cs="Times New Roman"/>
          <w:bCs/>
          <w:color w:val="000000"/>
          <w:lang w:val="en-US"/>
        </w:rPr>
        <w:t xml:space="preserve"> this research project and providing an international perspective when developing the questionnaire</w:t>
      </w:r>
      <w:r w:rsidRPr="00C53ED5">
        <w:rPr>
          <w:rFonts w:ascii="Times New Roman" w:hAnsi="Times New Roman" w:cs="Times New Roman"/>
          <w:b/>
          <w:color w:val="000000"/>
          <w:lang w:val="en-US"/>
        </w:rPr>
        <w:t xml:space="preserve">.   </w:t>
      </w:r>
    </w:p>
    <w:p w:rsidR="00721EFB" w:rsidRDefault="00721EFB" w:rsidP="00721EFB">
      <w:pPr>
        <w:spacing w:after="0"/>
        <w:jc w:val="both"/>
        <w:rPr>
          <w:rFonts w:ascii="Times New Roman" w:hAnsi="Times New Roman" w:cs="Times New Roman"/>
          <w:b/>
          <w:color w:val="000000"/>
          <w:lang w:val="en-US"/>
        </w:rPr>
      </w:pPr>
    </w:p>
    <w:p w:rsidR="00721EFB" w:rsidRDefault="00721EFB" w:rsidP="00721EFB">
      <w:pPr>
        <w:spacing w:after="0"/>
        <w:jc w:val="both"/>
        <w:rPr>
          <w:rFonts w:ascii="Times New Roman" w:hAnsi="Times New Roman" w:cs="Times New Roman"/>
          <w:color w:val="000000"/>
          <w:lang w:val="en-US"/>
        </w:rPr>
      </w:pPr>
    </w:p>
    <w:p w:rsidR="00721EFB" w:rsidRPr="00D51D4F" w:rsidRDefault="00721EFB" w:rsidP="00721EFB">
      <w:pPr>
        <w:spacing w:after="0"/>
        <w:jc w:val="both"/>
        <w:rPr>
          <w:rFonts w:ascii="Times New Roman" w:hAnsi="Times New Roman" w:cs="Times New Roman"/>
          <w:color w:val="000000"/>
          <w:lang w:val="en-US"/>
        </w:rPr>
      </w:pPr>
    </w:p>
    <w:p w:rsidR="00721EFB" w:rsidRPr="00D51D4F" w:rsidRDefault="00721EFB" w:rsidP="00721EFB">
      <w:pPr>
        <w:pStyle w:val="Bibliography"/>
        <w:rPr>
          <w:rFonts w:ascii="Times New Roman" w:hAnsi="Times New Roman" w:cs="Times New Roman"/>
          <w:b/>
          <w:color w:val="000000"/>
          <w:shd w:val="clear" w:color="auto" w:fill="FFFFFF"/>
          <w:lang w:val="en-US"/>
        </w:rPr>
      </w:pPr>
      <w:r w:rsidRPr="00D51D4F">
        <w:rPr>
          <w:rFonts w:ascii="Times New Roman" w:hAnsi="Times New Roman" w:cs="Times New Roman"/>
          <w:b/>
          <w:color w:val="000000"/>
          <w:shd w:val="clear" w:color="auto" w:fill="FFFFFF"/>
          <w:lang w:val="en-US"/>
        </w:rPr>
        <w:t>6. References</w:t>
      </w:r>
    </w:p>
    <w:p w:rsidR="00721EFB" w:rsidRPr="00721EFB" w:rsidRDefault="00721EFB" w:rsidP="00721EFB">
      <w:pPr>
        <w:widowControl w:val="0"/>
        <w:autoSpaceDE w:val="0"/>
        <w:autoSpaceDN w:val="0"/>
        <w:adjustRightInd w:val="0"/>
        <w:spacing w:line="240" w:lineRule="auto"/>
        <w:ind w:left="480" w:hanging="480"/>
        <w:rPr>
          <w:rFonts w:ascii="Times New Roman" w:hAnsi="Times New Roman" w:cs="Times New Roman"/>
          <w:noProof/>
          <w:lang w:val="en-US"/>
        </w:rPr>
      </w:pPr>
      <w:r w:rsidRPr="00D51D4F">
        <w:rPr>
          <w:rFonts w:ascii="Times New Roman" w:hAnsi="Times New Roman" w:cs="Times New Roman"/>
        </w:rPr>
        <w:fldChar w:fldCharType="begin" w:fldLock="1"/>
      </w:r>
      <w:r w:rsidRPr="00D51D4F">
        <w:rPr>
          <w:rFonts w:ascii="Times New Roman" w:hAnsi="Times New Roman" w:cs="Times New Roman"/>
          <w:lang w:val="en-US"/>
        </w:rPr>
        <w:instrText xml:space="preserve">ADDIN Mendeley Bibliography CSL_BIBLIOGRAPHY </w:instrText>
      </w:r>
      <w:r w:rsidRPr="00D51D4F">
        <w:rPr>
          <w:rFonts w:ascii="Times New Roman" w:hAnsi="Times New Roman" w:cs="Times New Roman"/>
        </w:rPr>
        <w:fldChar w:fldCharType="separate"/>
      </w:r>
      <w:r w:rsidRPr="00721EFB">
        <w:rPr>
          <w:rFonts w:ascii="Times New Roman" w:hAnsi="Times New Roman" w:cs="Times New Roman"/>
          <w:noProof/>
          <w:lang w:val="en-US"/>
        </w:rPr>
        <w:t xml:space="preserve">Backhouse, M. R., Keenan, A. M., Hensor, E. M. A., Young, A., James, D., Dixey, J., … Redmond, A. C. (2011). Use of conservative and surgical foot care in an inception cohort of patients with rheumatoid arthritis. </w:t>
      </w:r>
      <w:r w:rsidRPr="00721EFB">
        <w:rPr>
          <w:rFonts w:ascii="Times New Roman" w:hAnsi="Times New Roman" w:cs="Times New Roman"/>
          <w:i/>
          <w:iCs/>
          <w:noProof/>
          <w:lang w:val="en-US"/>
        </w:rPr>
        <w:t>Rheumatology</w:t>
      </w:r>
      <w:r w:rsidRPr="00721EFB">
        <w:rPr>
          <w:rFonts w:ascii="Times New Roman" w:hAnsi="Times New Roman" w:cs="Times New Roman"/>
          <w:noProof/>
          <w:lang w:val="en-US"/>
        </w:rPr>
        <w:t xml:space="preserve">, </w:t>
      </w:r>
      <w:r w:rsidRPr="00721EFB">
        <w:rPr>
          <w:rFonts w:ascii="Times New Roman" w:hAnsi="Times New Roman" w:cs="Times New Roman"/>
          <w:i/>
          <w:iCs/>
          <w:noProof/>
          <w:lang w:val="en-US"/>
        </w:rPr>
        <w:t>50</w:t>
      </w:r>
      <w:r w:rsidRPr="00721EFB">
        <w:rPr>
          <w:rFonts w:ascii="Times New Roman" w:hAnsi="Times New Roman" w:cs="Times New Roman"/>
          <w:noProof/>
          <w:lang w:val="en-US"/>
        </w:rPr>
        <w:t>(9), 1586–1595. https://doi.org/10.1093/rheumatology/ker130</w:t>
      </w:r>
    </w:p>
    <w:p w:rsidR="00721EFB" w:rsidRPr="00721EFB" w:rsidRDefault="00721EFB" w:rsidP="00721EFB">
      <w:pPr>
        <w:widowControl w:val="0"/>
        <w:autoSpaceDE w:val="0"/>
        <w:autoSpaceDN w:val="0"/>
        <w:adjustRightInd w:val="0"/>
        <w:spacing w:line="240" w:lineRule="auto"/>
        <w:ind w:left="480" w:hanging="480"/>
        <w:rPr>
          <w:rFonts w:ascii="Times New Roman" w:hAnsi="Times New Roman" w:cs="Times New Roman"/>
          <w:noProof/>
          <w:lang w:val="en-US"/>
        </w:rPr>
      </w:pPr>
      <w:r w:rsidRPr="00721EFB">
        <w:rPr>
          <w:rFonts w:ascii="Times New Roman" w:hAnsi="Times New Roman" w:cs="Times New Roman"/>
          <w:noProof/>
          <w:lang w:val="en-US"/>
        </w:rPr>
        <w:t xml:space="preserve">Bowen, C. J., Culliford, D., Dewbury, K., Sampson, M., Burridge, J., Hooper, L., … Arden, N. K. (2010). The clinical importance of ultrasound detectable forefoot bursae in rheumatoid arthritis. </w:t>
      </w:r>
      <w:r w:rsidRPr="00721EFB">
        <w:rPr>
          <w:rFonts w:ascii="Times New Roman" w:hAnsi="Times New Roman" w:cs="Times New Roman"/>
          <w:i/>
          <w:iCs/>
          <w:noProof/>
          <w:lang w:val="en-US"/>
        </w:rPr>
        <w:t>Rheumatology (Oxford, England)</w:t>
      </w:r>
      <w:r w:rsidRPr="00721EFB">
        <w:rPr>
          <w:rFonts w:ascii="Times New Roman" w:hAnsi="Times New Roman" w:cs="Times New Roman"/>
          <w:noProof/>
          <w:lang w:val="en-US"/>
        </w:rPr>
        <w:t>. https://doi.org/10.1093/rheumatology/kep307</w:t>
      </w:r>
    </w:p>
    <w:p w:rsidR="00721EFB" w:rsidRPr="00721EFB" w:rsidRDefault="00721EFB" w:rsidP="00721EFB">
      <w:pPr>
        <w:widowControl w:val="0"/>
        <w:autoSpaceDE w:val="0"/>
        <w:autoSpaceDN w:val="0"/>
        <w:adjustRightInd w:val="0"/>
        <w:spacing w:line="240" w:lineRule="auto"/>
        <w:ind w:left="480" w:hanging="480"/>
        <w:rPr>
          <w:rFonts w:ascii="Times New Roman" w:hAnsi="Times New Roman" w:cs="Times New Roman"/>
          <w:noProof/>
          <w:lang w:val="en-US"/>
        </w:rPr>
      </w:pPr>
      <w:r w:rsidRPr="00721EFB">
        <w:rPr>
          <w:rFonts w:ascii="Times New Roman" w:hAnsi="Times New Roman" w:cs="Times New Roman"/>
          <w:noProof/>
          <w:lang w:val="en-US"/>
        </w:rPr>
        <w:t xml:space="preserve">Brand, C. A., Ackerman, I. N., &amp; Tropea, J. (2014). Chronic disease management: Improving care for people with osteoarthritis. </w:t>
      </w:r>
      <w:r w:rsidRPr="00721EFB">
        <w:rPr>
          <w:rFonts w:ascii="Times New Roman" w:hAnsi="Times New Roman" w:cs="Times New Roman"/>
          <w:i/>
          <w:iCs/>
          <w:noProof/>
          <w:lang w:val="en-US"/>
        </w:rPr>
        <w:t>Best Practice and Research: Clinical Rheumatology</w:t>
      </w:r>
      <w:r w:rsidRPr="00721EFB">
        <w:rPr>
          <w:rFonts w:ascii="Times New Roman" w:hAnsi="Times New Roman" w:cs="Times New Roman"/>
          <w:noProof/>
          <w:lang w:val="en-US"/>
        </w:rPr>
        <w:t>. https://doi.org/10.1016/j.berh.2014.01.011</w:t>
      </w:r>
    </w:p>
    <w:p w:rsidR="00721EFB" w:rsidRPr="00721EFB" w:rsidRDefault="00721EFB" w:rsidP="00721EFB">
      <w:pPr>
        <w:widowControl w:val="0"/>
        <w:autoSpaceDE w:val="0"/>
        <w:autoSpaceDN w:val="0"/>
        <w:adjustRightInd w:val="0"/>
        <w:spacing w:line="240" w:lineRule="auto"/>
        <w:ind w:left="480" w:hanging="480"/>
        <w:rPr>
          <w:rFonts w:ascii="Times New Roman" w:hAnsi="Times New Roman" w:cs="Times New Roman"/>
          <w:noProof/>
          <w:lang w:val="en-US"/>
        </w:rPr>
      </w:pPr>
      <w:r w:rsidRPr="00721EFB">
        <w:rPr>
          <w:rFonts w:ascii="Times New Roman" w:hAnsi="Times New Roman" w:cs="Times New Roman"/>
          <w:noProof/>
          <w:lang w:val="en-US"/>
        </w:rPr>
        <w:t xml:space="preserve">Cherry, L., Alcacer-Pitarch, B., Hopkinson, N., Teh, L. S., Vital, E. M., Edwards, C. J., … Williams, A. E. (2017). The prevalence of self-reported lower limb and foot health problems experienced by participants with systemic lupus erythematosus: Results of a UK national survey. </w:t>
      </w:r>
      <w:r w:rsidRPr="00721EFB">
        <w:rPr>
          <w:rFonts w:ascii="Times New Roman" w:hAnsi="Times New Roman" w:cs="Times New Roman"/>
          <w:i/>
          <w:iCs/>
          <w:noProof/>
          <w:lang w:val="en-US"/>
        </w:rPr>
        <w:t>Lupus</w:t>
      </w:r>
      <w:r w:rsidRPr="00721EFB">
        <w:rPr>
          <w:rFonts w:ascii="Times New Roman" w:hAnsi="Times New Roman" w:cs="Times New Roman"/>
          <w:noProof/>
          <w:lang w:val="en-US"/>
        </w:rPr>
        <w:t xml:space="preserve">, </w:t>
      </w:r>
      <w:r w:rsidRPr="00721EFB">
        <w:rPr>
          <w:rFonts w:ascii="Times New Roman" w:hAnsi="Times New Roman" w:cs="Times New Roman"/>
          <w:i/>
          <w:iCs/>
          <w:noProof/>
          <w:lang w:val="en-US"/>
        </w:rPr>
        <w:t>26</w:t>
      </w:r>
      <w:r w:rsidRPr="00721EFB">
        <w:rPr>
          <w:rFonts w:ascii="Times New Roman" w:hAnsi="Times New Roman" w:cs="Times New Roman"/>
          <w:noProof/>
          <w:lang w:val="en-US"/>
        </w:rPr>
        <w:t>(4), 410–416. https://doi.org/10.1177/0961203316670730</w:t>
      </w:r>
    </w:p>
    <w:p w:rsidR="00721EFB" w:rsidRPr="00721EFB" w:rsidRDefault="00721EFB" w:rsidP="00721EFB">
      <w:pPr>
        <w:widowControl w:val="0"/>
        <w:autoSpaceDE w:val="0"/>
        <w:autoSpaceDN w:val="0"/>
        <w:adjustRightInd w:val="0"/>
        <w:spacing w:line="240" w:lineRule="auto"/>
        <w:ind w:left="480" w:hanging="480"/>
        <w:rPr>
          <w:rFonts w:ascii="Times New Roman" w:hAnsi="Times New Roman" w:cs="Times New Roman"/>
          <w:noProof/>
          <w:lang w:val="en-US"/>
        </w:rPr>
      </w:pPr>
      <w:r w:rsidRPr="00721EFB">
        <w:rPr>
          <w:rFonts w:ascii="Times New Roman" w:hAnsi="Times New Roman" w:cs="Times New Roman"/>
          <w:noProof/>
          <w:lang w:val="en-US"/>
        </w:rPr>
        <w:t xml:space="preserve">Desmeules, F., Roy, J. S., MacDermid, J. C., Champagne, F., Hinse, O., &amp; Woodhouse, L. J. (2012). Advanced practice physiotherapy in patients with musculoskeletal disorders: a systematic review. </w:t>
      </w:r>
      <w:r w:rsidRPr="00721EFB">
        <w:rPr>
          <w:rFonts w:ascii="Times New Roman" w:hAnsi="Times New Roman" w:cs="Times New Roman"/>
          <w:i/>
          <w:iCs/>
          <w:noProof/>
          <w:lang w:val="en-US"/>
        </w:rPr>
        <w:t>BMC Musculoskeletal Disorders</w:t>
      </w:r>
      <w:r w:rsidRPr="00721EFB">
        <w:rPr>
          <w:rFonts w:ascii="Times New Roman" w:hAnsi="Times New Roman" w:cs="Times New Roman"/>
          <w:noProof/>
          <w:lang w:val="en-US"/>
        </w:rPr>
        <w:t>. https://doi.org/10.1186/1471-2474-13-107</w:t>
      </w:r>
    </w:p>
    <w:p w:rsidR="00721EFB" w:rsidRPr="00721EFB" w:rsidRDefault="00721EFB" w:rsidP="00721EFB">
      <w:pPr>
        <w:widowControl w:val="0"/>
        <w:autoSpaceDE w:val="0"/>
        <w:autoSpaceDN w:val="0"/>
        <w:adjustRightInd w:val="0"/>
        <w:spacing w:line="240" w:lineRule="auto"/>
        <w:ind w:left="480" w:hanging="480"/>
        <w:rPr>
          <w:rFonts w:ascii="Times New Roman" w:hAnsi="Times New Roman" w:cs="Times New Roman"/>
          <w:noProof/>
          <w:lang w:val="en-US"/>
        </w:rPr>
      </w:pPr>
      <w:r w:rsidRPr="00721EFB">
        <w:rPr>
          <w:rFonts w:ascii="Times New Roman" w:hAnsi="Times New Roman" w:cs="Times New Roman"/>
          <w:noProof/>
          <w:lang w:val="en-US"/>
        </w:rPr>
        <w:t xml:space="preserve">Grimshaw, J. M., &amp; Russell, I. T. (1993). Effect of clinical guidelines on medical practice: a systematic review of rigorous evaluations. </w:t>
      </w:r>
      <w:r w:rsidRPr="00721EFB">
        <w:rPr>
          <w:rFonts w:ascii="Times New Roman" w:hAnsi="Times New Roman" w:cs="Times New Roman"/>
          <w:i/>
          <w:iCs/>
          <w:noProof/>
          <w:lang w:val="en-US"/>
        </w:rPr>
        <w:t>The Lancet</w:t>
      </w:r>
      <w:r w:rsidRPr="00721EFB">
        <w:rPr>
          <w:rFonts w:ascii="Times New Roman" w:hAnsi="Times New Roman" w:cs="Times New Roman"/>
          <w:noProof/>
          <w:lang w:val="en-US"/>
        </w:rPr>
        <w:t xml:space="preserve">, </w:t>
      </w:r>
      <w:r w:rsidRPr="00721EFB">
        <w:rPr>
          <w:rFonts w:ascii="Times New Roman" w:hAnsi="Times New Roman" w:cs="Times New Roman"/>
          <w:i/>
          <w:iCs/>
          <w:noProof/>
          <w:lang w:val="en-US"/>
        </w:rPr>
        <w:t>342</w:t>
      </w:r>
      <w:r w:rsidRPr="00721EFB">
        <w:rPr>
          <w:rFonts w:ascii="Times New Roman" w:hAnsi="Times New Roman" w:cs="Times New Roman"/>
          <w:noProof/>
          <w:lang w:val="en-US"/>
        </w:rPr>
        <w:t>(8883), 1317–1322. https://doi.org/10.1016/0140-6736(93)92244-N</w:t>
      </w:r>
    </w:p>
    <w:p w:rsidR="00721EFB" w:rsidRPr="00721EFB" w:rsidRDefault="00721EFB" w:rsidP="00721EFB">
      <w:pPr>
        <w:widowControl w:val="0"/>
        <w:autoSpaceDE w:val="0"/>
        <w:autoSpaceDN w:val="0"/>
        <w:adjustRightInd w:val="0"/>
        <w:spacing w:line="240" w:lineRule="auto"/>
        <w:ind w:left="480" w:hanging="480"/>
        <w:rPr>
          <w:rFonts w:ascii="Times New Roman" w:hAnsi="Times New Roman" w:cs="Times New Roman"/>
          <w:noProof/>
          <w:lang w:val="en-US"/>
        </w:rPr>
      </w:pPr>
      <w:r w:rsidRPr="00721EFB">
        <w:rPr>
          <w:rFonts w:ascii="Times New Roman" w:hAnsi="Times New Roman" w:cs="Times New Roman"/>
          <w:noProof/>
          <w:lang w:val="en-US"/>
        </w:rPr>
        <w:t xml:space="preserve">Grondal, L., Tengstrand, B., Nordmark, B., Wretenberg, P., &amp; Stark, A. (2008). The foot: still the most important reason for walking incapacity in rheumatoid arthritis: distribution of symptomatic joints in 1,000 RA patients. </w:t>
      </w:r>
      <w:r w:rsidRPr="00721EFB">
        <w:rPr>
          <w:rFonts w:ascii="Times New Roman" w:hAnsi="Times New Roman" w:cs="Times New Roman"/>
          <w:i/>
          <w:iCs/>
          <w:noProof/>
          <w:lang w:val="en-US"/>
        </w:rPr>
        <w:t>Acta Orthopaedica</w:t>
      </w:r>
      <w:r w:rsidRPr="00721EFB">
        <w:rPr>
          <w:rFonts w:ascii="Times New Roman" w:hAnsi="Times New Roman" w:cs="Times New Roman"/>
          <w:noProof/>
          <w:lang w:val="en-US"/>
        </w:rPr>
        <w:t xml:space="preserve">, </w:t>
      </w:r>
      <w:r w:rsidRPr="00721EFB">
        <w:rPr>
          <w:rFonts w:ascii="Times New Roman" w:hAnsi="Times New Roman" w:cs="Times New Roman"/>
          <w:i/>
          <w:iCs/>
          <w:noProof/>
          <w:lang w:val="en-US"/>
        </w:rPr>
        <w:t>79</w:t>
      </w:r>
      <w:r w:rsidRPr="00721EFB">
        <w:rPr>
          <w:rFonts w:ascii="Times New Roman" w:hAnsi="Times New Roman" w:cs="Times New Roman"/>
          <w:noProof/>
          <w:lang w:val="en-US"/>
        </w:rPr>
        <w:t>(2), 257–261. https://doi.org/10.1080/17453670710015067</w:t>
      </w:r>
    </w:p>
    <w:p w:rsidR="00721EFB" w:rsidRPr="00721EFB" w:rsidRDefault="00721EFB" w:rsidP="00721EFB">
      <w:pPr>
        <w:widowControl w:val="0"/>
        <w:autoSpaceDE w:val="0"/>
        <w:autoSpaceDN w:val="0"/>
        <w:adjustRightInd w:val="0"/>
        <w:spacing w:line="240" w:lineRule="auto"/>
        <w:ind w:left="480" w:hanging="480"/>
        <w:rPr>
          <w:rFonts w:ascii="Times New Roman" w:hAnsi="Times New Roman" w:cs="Times New Roman"/>
          <w:noProof/>
          <w:lang w:val="en-US"/>
        </w:rPr>
      </w:pPr>
      <w:r w:rsidRPr="00721EFB">
        <w:rPr>
          <w:rFonts w:ascii="Times New Roman" w:hAnsi="Times New Roman" w:cs="Times New Roman"/>
          <w:noProof/>
          <w:lang w:val="en-US"/>
        </w:rPr>
        <w:t xml:space="preserve">Helliwell, P., Reay, N., Gilworth, G., Redmond, A., Slade, A., Tennant, A., &amp; Woodburn, J. (2005). Development of a foot impact scale for rheumatoid arthritis. </w:t>
      </w:r>
      <w:r w:rsidRPr="00721EFB">
        <w:rPr>
          <w:rFonts w:ascii="Times New Roman" w:hAnsi="Times New Roman" w:cs="Times New Roman"/>
          <w:i/>
          <w:iCs/>
          <w:noProof/>
          <w:lang w:val="en-US"/>
        </w:rPr>
        <w:t>Arthritis Care and Research</w:t>
      </w:r>
      <w:r w:rsidRPr="00721EFB">
        <w:rPr>
          <w:rFonts w:ascii="Times New Roman" w:hAnsi="Times New Roman" w:cs="Times New Roman"/>
          <w:noProof/>
          <w:lang w:val="en-US"/>
        </w:rPr>
        <w:t xml:space="preserve">, </w:t>
      </w:r>
      <w:r w:rsidRPr="00721EFB">
        <w:rPr>
          <w:rFonts w:ascii="Times New Roman" w:hAnsi="Times New Roman" w:cs="Times New Roman"/>
          <w:i/>
          <w:iCs/>
          <w:noProof/>
          <w:lang w:val="en-US"/>
        </w:rPr>
        <w:t>53</w:t>
      </w:r>
      <w:r w:rsidRPr="00721EFB">
        <w:rPr>
          <w:rFonts w:ascii="Times New Roman" w:hAnsi="Times New Roman" w:cs="Times New Roman"/>
          <w:noProof/>
          <w:lang w:val="en-US"/>
        </w:rPr>
        <w:t>(3), 418–422. https://doi.org/10.1002/art.21176</w:t>
      </w:r>
    </w:p>
    <w:p w:rsidR="00721EFB" w:rsidRPr="00721EFB" w:rsidRDefault="00721EFB" w:rsidP="00721EFB">
      <w:pPr>
        <w:widowControl w:val="0"/>
        <w:autoSpaceDE w:val="0"/>
        <w:autoSpaceDN w:val="0"/>
        <w:adjustRightInd w:val="0"/>
        <w:spacing w:line="240" w:lineRule="auto"/>
        <w:ind w:left="480" w:hanging="480"/>
        <w:rPr>
          <w:rFonts w:ascii="Times New Roman" w:hAnsi="Times New Roman" w:cs="Times New Roman"/>
          <w:noProof/>
          <w:lang w:val="en-US"/>
        </w:rPr>
      </w:pPr>
      <w:r w:rsidRPr="00721EFB">
        <w:rPr>
          <w:rFonts w:ascii="Times New Roman" w:hAnsi="Times New Roman" w:cs="Times New Roman"/>
          <w:noProof/>
          <w:lang w:val="en-US"/>
        </w:rPr>
        <w:t xml:space="preserve">Ndosi, M., Ferguson, R., Backhouse, M. R., Bearne, L., Ainsworth, P., Roach, A., … Cherry, L. (2017). National variation in the composition of rheumatology multidisciplinary teams: a cross-sectional study. </w:t>
      </w:r>
      <w:r w:rsidRPr="00721EFB">
        <w:rPr>
          <w:rFonts w:ascii="Times New Roman" w:hAnsi="Times New Roman" w:cs="Times New Roman"/>
          <w:i/>
          <w:iCs/>
          <w:noProof/>
          <w:lang w:val="en-US"/>
        </w:rPr>
        <w:t>Rheumatology International</w:t>
      </w:r>
      <w:r w:rsidRPr="00721EFB">
        <w:rPr>
          <w:rFonts w:ascii="Times New Roman" w:hAnsi="Times New Roman" w:cs="Times New Roman"/>
          <w:noProof/>
          <w:lang w:val="en-US"/>
        </w:rPr>
        <w:t xml:space="preserve">, </w:t>
      </w:r>
      <w:r w:rsidRPr="00721EFB">
        <w:rPr>
          <w:rFonts w:ascii="Times New Roman" w:hAnsi="Times New Roman" w:cs="Times New Roman"/>
          <w:i/>
          <w:iCs/>
          <w:noProof/>
          <w:lang w:val="en-US"/>
        </w:rPr>
        <w:t>37</w:t>
      </w:r>
      <w:r w:rsidRPr="00721EFB">
        <w:rPr>
          <w:rFonts w:ascii="Times New Roman" w:hAnsi="Times New Roman" w:cs="Times New Roman"/>
          <w:noProof/>
          <w:lang w:val="en-US"/>
        </w:rPr>
        <w:t>(9), 1453–1459. https://doi.org/10.1007/s00296-017-3751-0</w:t>
      </w:r>
    </w:p>
    <w:p w:rsidR="00721EFB" w:rsidRPr="00721EFB" w:rsidRDefault="00721EFB" w:rsidP="00721EFB">
      <w:pPr>
        <w:widowControl w:val="0"/>
        <w:autoSpaceDE w:val="0"/>
        <w:autoSpaceDN w:val="0"/>
        <w:adjustRightInd w:val="0"/>
        <w:spacing w:line="240" w:lineRule="auto"/>
        <w:ind w:left="480" w:hanging="480"/>
        <w:rPr>
          <w:rFonts w:ascii="Times New Roman" w:hAnsi="Times New Roman" w:cs="Times New Roman"/>
          <w:noProof/>
          <w:lang w:val="en-US"/>
        </w:rPr>
      </w:pPr>
      <w:r w:rsidRPr="00721EFB">
        <w:rPr>
          <w:rFonts w:ascii="Times New Roman" w:hAnsi="Times New Roman" w:cs="Times New Roman"/>
          <w:noProof/>
          <w:lang w:val="en-US"/>
        </w:rPr>
        <w:t xml:space="preserve">Otter, S. J., Lucas, K., Springett, K., Moore, A., Davies, K., Cheek, L., … Walker-Bone, K. (2010). Foot pain in rheumatoid arthritis prevalence, risk factors and management: an epidemiological study. </w:t>
      </w:r>
      <w:r w:rsidRPr="00721EFB">
        <w:rPr>
          <w:rFonts w:ascii="Times New Roman" w:hAnsi="Times New Roman" w:cs="Times New Roman"/>
          <w:i/>
          <w:iCs/>
          <w:noProof/>
          <w:lang w:val="en-US"/>
        </w:rPr>
        <w:t>Clinical Rheumatology</w:t>
      </w:r>
      <w:r w:rsidRPr="00721EFB">
        <w:rPr>
          <w:rFonts w:ascii="Times New Roman" w:hAnsi="Times New Roman" w:cs="Times New Roman"/>
          <w:noProof/>
          <w:lang w:val="en-US"/>
        </w:rPr>
        <w:t xml:space="preserve">, </w:t>
      </w:r>
      <w:r w:rsidRPr="00721EFB">
        <w:rPr>
          <w:rFonts w:ascii="Times New Roman" w:hAnsi="Times New Roman" w:cs="Times New Roman"/>
          <w:i/>
          <w:iCs/>
          <w:noProof/>
          <w:lang w:val="en-US"/>
        </w:rPr>
        <w:t>29</w:t>
      </w:r>
      <w:r w:rsidRPr="00721EFB">
        <w:rPr>
          <w:rFonts w:ascii="Times New Roman" w:hAnsi="Times New Roman" w:cs="Times New Roman"/>
          <w:noProof/>
          <w:lang w:val="en-US"/>
        </w:rPr>
        <w:t>(3), 255–271. https://doi.org/10.1007/s10067-009-1312-y</w:t>
      </w:r>
    </w:p>
    <w:p w:rsidR="00721EFB" w:rsidRPr="00721EFB" w:rsidRDefault="00721EFB" w:rsidP="00721EFB">
      <w:pPr>
        <w:widowControl w:val="0"/>
        <w:autoSpaceDE w:val="0"/>
        <w:autoSpaceDN w:val="0"/>
        <w:adjustRightInd w:val="0"/>
        <w:spacing w:line="240" w:lineRule="auto"/>
        <w:ind w:left="480" w:hanging="480"/>
        <w:rPr>
          <w:rFonts w:ascii="Times New Roman" w:hAnsi="Times New Roman" w:cs="Times New Roman"/>
          <w:noProof/>
          <w:lang w:val="en-US"/>
        </w:rPr>
      </w:pPr>
      <w:r w:rsidRPr="00721EFB">
        <w:rPr>
          <w:rFonts w:ascii="Times New Roman" w:hAnsi="Times New Roman" w:cs="Times New Roman"/>
          <w:noProof/>
          <w:lang w:val="en-US"/>
        </w:rPr>
        <w:t xml:space="preserve">Redmond, A. C., Waxman, R., &amp; Helliwell, P. S. (2006). Provision of foot health services in rheumatology in the UK. </w:t>
      </w:r>
      <w:r w:rsidRPr="00721EFB">
        <w:rPr>
          <w:rFonts w:ascii="Times New Roman" w:hAnsi="Times New Roman" w:cs="Times New Roman"/>
          <w:i/>
          <w:iCs/>
          <w:noProof/>
          <w:lang w:val="en-US"/>
        </w:rPr>
        <w:t>Rheumatology</w:t>
      </w:r>
      <w:r w:rsidRPr="00721EFB">
        <w:rPr>
          <w:rFonts w:ascii="Times New Roman" w:hAnsi="Times New Roman" w:cs="Times New Roman"/>
          <w:noProof/>
          <w:lang w:val="en-US"/>
        </w:rPr>
        <w:t xml:space="preserve">, </w:t>
      </w:r>
      <w:r w:rsidRPr="00721EFB">
        <w:rPr>
          <w:rFonts w:ascii="Times New Roman" w:hAnsi="Times New Roman" w:cs="Times New Roman"/>
          <w:i/>
          <w:iCs/>
          <w:noProof/>
          <w:lang w:val="en-US"/>
        </w:rPr>
        <w:t>45</w:t>
      </w:r>
      <w:r w:rsidRPr="00721EFB">
        <w:rPr>
          <w:rFonts w:ascii="Times New Roman" w:hAnsi="Times New Roman" w:cs="Times New Roman"/>
          <w:noProof/>
          <w:lang w:val="en-US"/>
        </w:rPr>
        <w:t>(5), 571–576. https://doi.org/10.1093/rheumatology/kei205</w:t>
      </w:r>
    </w:p>
    <w:p w:rsidR="00721EFB" w:rsidRPr="00AF7FFB" w:rsidRDefault="00721EFB" w:rsidP="00721EFB">
      <w:pPr>
        <w:widowControl w:val="0"/>
        <w:autoSpaceDE w:val="0"/>
        <w:autoSpaceDN w:val="0"/>
        <w:adjustRightInd w:val="0"/>
        <w:spacing w:line="240" w:lineRule="auto"/>
        <w:ind w:left="480" w:hanging="480"/>
        <w:rPr>
          <w:rFonts w:ascii="Times New Roman" w:hAnsi="Times New Roman" w:cs="Times New Roman"/>
          <w:noProof/>
          <w:lang w:val="en-US"/>
        </w:rPr>
      </w:pPr>
      <w:r w:rsidRPr="00721EFB">
        <w:rPr>
          <w:rFonts w:ascii="Times New Roman" w:hAnsi="Times New Roman" w:cs="Times New Roman"/>
          <w:noProof/>
          <w:lang w:val="en-US"/>
        </w:rPr>
        <w:t xml:space="preserve">Sari-Kouzel, H., Hutchinson, C. E., Middleton,  a, Webb, F., Moore, T., Griffin, K., &amp; Herrick,  a L. (2001). Foot problems in patients with systemic sclerosis. </w:t>
      </w:r>
      <w:r w:rsidRPr="00721EFB">
        <w:rPr>
          <w:rFonts w:ascii="Times New Roman" w:hAnsi="Times New Roman" w:cs="Times New Roman"/>
          <w:i/>
          <w:iCs/>
          <w:noProof/>
          <w:lang w:val="en-US"/>
        </w:rPr>
        <w:t>Rheumatology (Oxford, England)</w:t>
      </w:r>
      <w:r w:rsidRPr="00721EFB">
        <w:rPr>
          <w:rFonts w:ascii="Times New Roman" w:hAnsi="Times New Roman" w:cs="Times New Roman"/>
          <w:noProof/>
          <w:lang w:val="en-US"/>
        </w:rPr>
        <w:t xml:space="preserve">, </w:t>
      </w:r>
      <w:r w:rsidRPr="00721EFB">
        <w:rPr>
          <w:rFonts w:ascii="Times New Roman" w:hAnsi="Times New Roman" w:cs="Times New Roman"/>
          <w:i/>
          <w:iCs/>
          <w:noProof/>
          <w:lang w:val="en-US"/>
        </w:rPr>
        <w:t>40</w:t>
      </w:r>
      <w:r w:rsidRPr="00721EFB">
        <w:rPr>
          <w:rFonts w:ascii="Times New Roman" w:hAnsi="Times New Roman" w:cs="Times New Roman"/>
          <w:noProof/>
          <w:lang w:val="en-US"/>
        </w:rPr>
        <w:t xml:space="preserve">(4), 410–413. </w:t>
      </w:r>
      <w:r w:rsidRPr="00AF7FFB">
        <w:rPr>
          <w:rFonts w:ascii="Times New Roman" w:hAnsi="Times New Roman" w:cs="Times New Roman"/>
          <w:noProof/>
          <w:lang w:val="en-US"/>
        </w:rPr>
        <w:t>Retrieved from http://www.ncbi.nlm.nih.gov/pubmed/11312379</w:t>
      </w:r>
    </w:p>
    <w:p w:rsidR="00721EFB" w:rsidRPr="00721EFB" w:rsidRDefault="00721EFB" w:rsidP="00721EFB">
      <w:pPr>
        <w:widowControl w:val="0"/>
        <w:autoSpaceDE w:val="0"/>
        <w:autoSpaceDN w:val="0"/>
        <w:adjustRightInd w:val="0"/>
        <w:spacing w:line="240" w:lineRule="auto"/>
        <w:ind w:left="480" w:hanging="480"/>
        <w:rPr>
          <w:rFonts w:ascii="Times New Roman" w:hAnsi="Times New Roman" w:cs="Times New Roman"/>
          <w:noProof/>
          <w:lang w:val="en-US"/>
        </w:rPr>
      </w:pPr>
      <w:r w:rsidRPr="00721EFB">
        <w:rPr>
          <w:rFonts w:ascii="Times New Roman" w:hAnsi="Times New Roman" w:cs="Times New Roman"/>
          <w:noProof/>
          <w:lang w:val="en-US"/>
        </w:rPr>
        <w:t xml:space="preserve">Solomon, D. H., Bates, D. W., Panush, R. S., &amp; Katz, J. N. (1997). Costs, outcomes, and patient satisfaction by provider type for patients with rheumatic and musculoskeletal conditions: A critical review of the literature and proposed methodologic standards. </w:t>
      </w:r>
      <w:r w:rsidRPr="00721EFB">
        <w:rPr>
          <w:rFonts w:ascii="Times New Roman" w:hAnsi="Times New Roman" w:cs="Times New Roman"/>
          <w:i/>
          <w:iCs/>
          <w:noProof/>
          <w:lang w:val="en-US"/>
        </w:rPr>
        <w:t>Annals of Internal Medicine</w:t>
      </w:r>
      <w:r w:rsidRPr="00721EFB">
        <w:rPr>
          <w:rFonts w:ascii="Times New Roman" w:hAnsi="Times New Roman" w:cs="Times New Roman"/>
          <w:noProof/>
          <w:lang w:val="en-US"/>
        </w:rPr>
        <w:t>. https://doi.org/10.7326/0003-4819-127-1-199707010-00009</w:t>
      </w:r>
    </w:p>
    <w:p w:rsidR="00721EFB" w:rsidRPr="00721EFB" w:rsidRDefault="00721EFB" w:rsidP="00721EFB">
      <w:pPr>
        <w:widowControl w:val="0"/>
        <w:autoSpaceDE w:val="0"/>
        <w:autoSpaceDN w:val="0"/>
        <w:adjustRightInd w:val="0"/>
        <w:spacing w:line="240" w:lineRule="auto"/>
        <w:ind w:left="480" w:hanging="480"/>
        <w:rPr>
          <w:rFonts w:ascii="Times New Roman" w:hAnsi="Times New Roman" w:cs="Times New Roman"/>
          <w:noProof/>
          <w:lang w:val="en-US"/>
        </w:rPr>
      </w:pPr>
      <w:r w:rsidRPr="00721EFB">
        <w:rPr>
          <w:rFonts w:ascii="Times New Roman" w:hAnsi="Times New Roman" w:cs="Times New Roman"/>
          <w:noProof/>
          <w:lang w:val="en-US"/>
        </w:rPr>
        <w:t xml:space="preserve">Williams, A. E., &amp; Bowden, A. P. (2004). Meeting the challenge for foot health in rheumatic diseases. </w:t>
      </w:r>
      <w:r w:rsidRPr="00721EFB">
        <w:rPr>
          <w:rFonts w:ascii="Times New Roman" w:hAnsi="Times New Roman" w:cs="Times New Roman"/>
          <w:i/>
          <w:iCs/>
          <w:noProof/>
          <w:lang w:val="en-US"/>
        </w:rPr>
        <w:t>Foot</w:t>
      </w:r>
      <w:r w:rsidRPr="00721EFB">
        <w:rPr>
          <w:rFonts w:ascii="Times New Roman" w:hAnsi="Times New Roman" w:cs="Times New Roman"/>
          <w:noProof/>
          <w:lang w:val="en-US"/>
        </w:rPr>
        <w:t xml:space="preserve">, </w:t>
      </w:r>
      <w:r w:rsidRPr="00721EFB">
        <w:rPr>
          <w:rFonts w:ascii="Times New Roman" w:hAnsi="Times New Roman" w:cs="Times New Roman"/>
          <w:i/>
          <w:iCs/>
          <w:noProof/>
          <w:lang w:val="en-US"/>
        </w:rPr>
        <w:t>14</w:t>
      </w:r>
      <w:r w:rsidRPr="00721EFB">
        <w:rPr>
          <w:rFonts w:ascii="Times New Roman" w:hAnsi="Times New Roman" w:cs="Times New Roman"/>
          <w:noProof/>
          <w:lang w:val="en-US"/>
        </w:rPr>
        <w:t>(3), 154–158. https://doi.org/10.1016/j.foot.2004.03.006</w:t>
      </w:r>
    </w:p>
    <w:p w:rsidR="00721EFB" w:rsidRPr="00721EFB" w:rsidRDefault="00721EFB" w:rsidP="00721EFB">
      <w:pPr>
        <w:widowControl w:val="0"/>
        <w:autoSpaceDE w:val="0"/>
        <w:autoSpaceDN w:val="0"/>
        <w:adjustRightInd w:val="0"/>
        <w:spacing w:line="240" w:lineRule="auto"/>
        <w:ind w:left="480" w:hanging="480"/>
        <w:rPr>
          <w:rFonts w:ascii="Times New Roman" w:hAnsi="Times New Roman" w:cs="Times New Roman"/>
          <w:noProof/>
          <w:lang w:val="en-US"/>
        </w:rPr>
      </w:pPr>
      <w:r w:rsidRPr="00721EFB">
        <w:rPr>
          <w:rFonts w:ascii="Times New Roman" w:hAnsi="Times New Roman" w:cs="Times New Roman"/>
          <w:noProof/>
          <w:lang w:val="en-US"/>
        </w:rPr>
        <w:t xml:space="preserve">Woodburn J, H. P. (1997). Foot problems in rheumatology. </w:t>
      </w:r>
      <w:r w:rsidRPr="00721EFB">
        <w:rPr>
          <w:rFonts w:ascii="Times New Roman" w:hAnsi="Times New Roman" w:cs="Times New Roman"/>
          <w:i/>
          <w:iCs/>
          <w:noProof/>
          <w:lang w:val="en-US"/>
        </w:rPr>
        <w:t>Br J Rheumatol.</w:t>
      </w:r>
      <w:r w:rsidRPr="00721EFB">
        <w:rPr>
          <w:rFonts w:ascii="Times New Roman" w:hAnsi="Times New Roman" w:cs="Times New Roman"/>
          <w:noProof/>
          <w:lang w:val="en-US"/>
        </w:rPr>
        <w:t xml:space="preserve">, </w:t>
      </w:r>
      <w:r w:rsidRPr="00721EFB">
        <w:rPr>
          <w:rFonts w:ascii="Times New Roman" w:hAnsi="Times New Roman" w:cs="Times New Roman"/>
          <w:i/>
          <w:iCs/>
          <w:noProof/>
          <w:lang w:val="en-US"/>
        </w:rPr>
        <w:t>36</w:t>
      </w:r>
      <w:r w:rsidRPr="00721EFB">
        <w:rPr>
          <w:rFonts w:ascii="Times New Roman" w:hAnsi="Times New Roman" w:cs="Times New Roman"/>
          <w:noProof/>
          <w:lang w:val="en-US"/>
        </w:rPr>
        <w:t>(9), 932–934.</w:t>
      </w:r>
    </w:p>
    <w:p w:rsidR="00721EFB" w:rsidRPr="00D51D4F" w:rsidRDefault="00721EFB" w:rsidP="00721EFB">
      <w:pPr>
        <w:widowControl w:val="0"/>
        <w:autoSpaceDE w:val="0"/>
        <w:autoSpaceDN w:val="0"/>
        <w:adjustRightInd w:val="0"/>
        <w:spacing w:line="240" w:lineRule="auto"/>
        <w:ind w:left="480" w:hanging="480"/>
        <w:rPr>
          <w:rFonts w:ascii="Times New Roman" w:hAnsi="Times New Roman" w:cs="Times New Roman"/>
          <w:noProof/>
        </w:rPr>
      </w:pPr>
      <w:r w:rsidRPr="00721EFB">
        <w:rPr>
          <w:rFonts w:ascii="Times New Roman" w:hAnsi="Times New Roman" w:cs="Times New Roman"/>
          <w:noProof/>
          <w:lang w:val="en-US"/>
        </w:rPr>
        <w:t xml:space="preserve">Woolf, S. H., Grol, R., Hutchinson, A., Eccles, M., &amp; Grimshaw, J. (1999). Clinical guidelines. Potential benefits, limitations, and harms of clinical guidelines. </w:t>
      </w:r>
      <w:r w:rsidRPr="00D51D4F">
        <w:rPr>
          <w:rFonts w:ascii="Times New Roman" w:hAnsi="Times New Roman" w:cs="Times New Roman"/>
          <w:i/>
          <w:iCs/>
          <w:noProof/>
          <w:lang w:val="es-ES_tradnl"/>
        </w:rPr>
        <w:t>British Medical Journal</w:t>
      </w:r>
      <w:r w:rsidRPr="00D51D4F">
        <w:rPr>
          <w:rFonts w:ascii="Times New Roman" w:hAnsi="Times New Roman" w:cs="Times New Roman"/>
          <w:noProof/>
          <w:lang w:val="es-ES_tradnl"/>
        </w:rPr>
        <w:t>.</w:t>
      </w:r>
    </w:p>
    <w:p w:rsidR="00721EFB" w:rsidRPr="00D51D4F" w:rsidRDefault="00721EFB" w:rsidP="00721EFB">
      <w:pPr>
        <w:widowControl w:val="0"/>
        <w:autoSpaceDE w:val="0"/>
        <w:autoSpaceDN w:val="0"/>
        <w:adjustRightInd w:val="0"/>
        <w:spacing w:line="240" w:lineRule="auto"/>
        <w:ind w:left="640" w:hanging="640"/>
        <w:rPr>
          <w:rFonts w:ascii="Times New Roman" w:hAnsi="Times New Roman" w:cs="Times New Roman"/>
        </w:rPr>
      </w:pPr>
      <w:r w:rsidRPr="00D51D4F">
        <w:rPr>
          <w:rFonts w:ascii="Times New Roman" w:hAnsi="Times New Roman" w:cs="Times New Roman"/>
        </w:rPr>
        <w:fldChar w:fldCharType="end"/>
      </w:r>
    </w:p>
    <w:p w:rsidR="00721EFB" w:rsidRDefault="00721EFB"/>
    <w:sectPr w:rsidR="00721EFB" w:rsidSect="002575C0">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F26" w:rsidRDefault="00B66F26">
      <w:pPr>
        <w:spacing w:after="0" w:line="240" w:lineRule="auto"/>
      </w:pPr>
      <w:r>
        <w:separator/>
      </w:r>
    </w:p>
  </w:endnote>
  <w:endnote w:type="continuationSeparator" w:id="0">
    <w:p w:rsidR="00B66F26" w:rsidRDefault="00B66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08E" w:rsidRPr="008B308E" w:rsidRDefault="007C333F" w:rsidP="007E6892">
    <w:pPr>
      <w:pStyle w:val="MDPIfooterfirstpage"/>
      <w:spacing w:line="240" w:lineRule="auto"/>
      <w:jc w:val="both"/>
      <w:rPr>
        <w:lang w:val="fr-CH"/>
      </w:rPr>
    </w:pPr>
    <w:r w:rsidRPr="008B308E">
      <w:rPr>
        <w:lang w:val="fr-CH"/>
      </w:rPr>
      <w:tab/>
    </w:r>
  </w:p>
  <w:p w:rsidR="0088508E" w:rsidRPr="00C14FB3" w:rsidRDefault="007C2014">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F26" w:rsidRDefault="00B66F26">
      <w:pPr>
        <w:spacing w:after="0" w:line="240" w:lineRule="auto"/>
      </w:pPr>
      <w:r>
        <w:separator/>
      </w:r>
    </w:p>
  </w:footnote>
  <w:footnote w:type="continuationSeparator" w:id="0">
    <w:p w:rsidR="00B66F26" w:rsidRDefault="00B66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08E" w:rsidRDefault="007C333F">
    <w:pPr>
      <w:pStyle w:val="Header"/>
    </w:pPr>
    <w:r>
      <w:rPr>
        <w:i/>
        <w:noProof/>
        <w:szCs w:val="16"/>
        <w:lang w:eastAsia="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53CF7"/>
    <w:multiLevelType w:val="hybridMultilevel"/>
    <w:tmpl w:val="C9DC9F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FB"/>
    <w:rsid w:val="0013478E"/>
    <w:rsid w:val="002A6305"/>
    <w:rsid w:val="003E3B82"/>
    <w:rsid w:val="00721EFB"/>
    <w:rsid w:val="007C2014"/>
    <w:rsid w:val="007C333F"/>
    <w:rsid w:val="008E5119"/>
    <w:rsid w:val="00AF7FFB"/>
    <w:rsid w:val="00B66F26"/>
    <w:rsid w:val="00C1655E"/>
    <w:rsid w:val="00C954F6"/>
    <w:rsid w:val="00E46A00"/>
    <w:rsid w:val="00F635C7"/>
    <w:rsid w:val="00F917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4D620-C1E2-9144-9DE6-3CDB40A6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EF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721EFB"/>
    <w:pPr>
      <w:tabs>
        <w:tab w:val="left" w:pos="504"/>
      </w:tabs>
      <w:spacing w:after="240" w:line="240" w:lineRule="auto"/>
      <w:ind w:left="504" w:hanging="504"/>
    </w:pPr>
  </w:style>
  <w:style w:type="paragraph" w:styleId="Header">
    <w:name w:val="header"/>
    <w:basedOn w:val="Normal"/>
    <w:link w:val="HeaderChar"/>
    <w:uiPriority w:val="99"/>
    <w:unhideWhenUsed/>
    <w:rsid w:val="00721EFB"/>
    <w:pPr>
      <w:tabs>
        <w:tab w:val="center" w:pos="4252"/>
        <w:tab w:val="right" w:pos="8504"/>
      </w:tabs>
      <w:spacing w:after="0" w:line="240" w:lineRule="auto"/>
    </w:pPr>
  </w:style>
  <w:style w:type="character" w:customStyle="1" w:styleId="HeaderChar">
    <w:name w:val="Header Char"/>
    <w:basedOn w:val="DefaultParagraphFont"/>
    <w:link w:val="Header"/>
    <w:uiPriority w:val="99"/>
    <w:rsid w:val="00721EFB"/>
    <w:rPr>
      <w:sz w:val="22"/>
      <w:szCs w:val="22"/>
    </w:rPr>
  </w:style>
  <w:style w:type="paragraph" w:styleId="Footer">
    <w:name w:val="footer"/>
    <w:basedOn w:val="Normal"/>
    <w:link w:val="FooterChar"/>
    <w:uiPriority w:val="99"/>
    <w:unhideWhenUsed/>
    <w:rsid w:val="00721EFB"/>
    <w:pPr>
      <w:tabs>
        <w:tab w:val="center" w:pos="4252"/>
        <w:tab w:val="right" w:pos="8504"/>
      </w:tabs>
      <w:spacing w:after="0" w:line="240" w:lineRule="auto"/>
    </w:pPr>
  </w:style>
  <w:style w:type="character" w:customStyle="1" w:styleId="FooterChar">
    <w:name w:val="Footer Char"/>
    <w:basedOn w:val="DefaultParagraphFont"/>
    <w:link w:val="Footer"/>
    <w:uiPriority w:val="99"/>
    <w:rsid w:val="00721EFB"/>
    <w:rPr>
      <w:sz w:val="22"/>
      <w:szCs w:val="22"/>
    </w:rPr>
  </w:style>
  <w:style w:type="paragraph" w:customStyle="1" w:styleId="MDPIfooterfirstpage">
    <w:name w:val="MDPI_footer_firstpage"/>
    <w:basedOn w:val="Normal"/>
    <w:qFormat/>
    <w:rsid w:val="00721EFB"/>
    <w:pPr>
      <w:tabs>
        <w:tab w:val="right" w:pos="8845"/>
      </w:tabs>
      <w:adjustRightInd w:val="0"/>
      <w:snapToGrid w:val="0"/>
      <w:spacing w:before="120" w:after="0" w:line="160" w:lineRule="exact"/>
    </w:pPr>
    <w:rPr>
      <w:rFonts w:ascii="Palatino Linotype" w:eastAsia="Times New Roman" w:hAnsi="Palatino Linotype" w:cs="Times New Roman"/>
      <w:sz w:val="16"/>
      <w:szCs w:val="20"/>
      <w:lang w:val="en-US" w:eastAsia="de-DE"/>
    </w:rPr>
  </w:style>
  <w:style w:type="paragraph" w:styleId="Caption">
    <w:name w:val="caption"/>
    <w:basedOn w:val="Normal"/>
    <w:next w:val="Normal"/>
    <w:uiPriority w:val="99"/>
    <w:unhideWhenUsed/>
    <w:qFormat/>
    <w:rsid w:val="00721E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pPr>
    <w:rPr>
      <w:rFonts w:ascii="Arial" w:eastAsiaTheme="minorEastAsia" w:hAnsi="Arial" w:cs="Arial"/>
      <w:b/>
      <w:bCs/>
      <w:sz w:val="24"/>
      <w:szCs w:val="24"/>
      <w:lang w:val="en-US"/>
    </w:rPr>
  </w:style>
  <w:style w:type="table" w:styleId="LightShading">
    <w:name w:val="Light Shading"/>
    <w:basedOn w:val="TableNormal"/>
    <w:uiPriority w:val="60"/>
    <w:rsid w:val="00721EFB"/>
    <w:rPr>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721EFB"/>
    <w:rPr>
      <w:color w:val="0563C1" w:themeColor="hyperlink"/>
      <w:u w:val="single"/>
    </w:rPr>
  </w:style>
  <w:style w:type="paragraph" w:customStyle="1" w:styleId="MDPI11articletype">
    <w:name w:val="MDPI_1.1_article_type"/>
    <w:basedOn w:val="Normal"/>
    <w:next w:val="Normal"/>
    <w:qFormat/>
    <w:rsid w:val="00721EFB"/>
    <w:pPr>
      <w:adjustRightInd w:val="0"/>
      <w:snapToGrid w:val="0"/>
      <w:spacing w:before="240" w:after="0" w:line="240" w:lineRule="auto"/>
    </w:pPr>
    <w:rPr>
      <w:rFonts w:ascii="Palatino Linotype" w:eastAsia="Times New Roman" w:hAnsi="Palatino Linotype" w:cs="Times New Roman"/>
      <w:i/>
      <w:snapToGrid w:val="0"/>
      <w:color w:val="000000"/>
      <w:sz w:val="20"/>
      <w:lang w:val="en-US" w:eastAsia="de-DE" w:bidi="en-US"/>
    </w:rPr>
  </w:style>
  <w:style w:type="paragraph" w:customStyle="1" w:styleId="MDPI14history">
    <w:name w:val="MDPI_1.4_history"/>
    <w:basedOn w:val="Normal"/>
    <w:next w:val="Normal"/>
    <w:qFormat/>
    <w:rsid w:val="00721EFB"/>
    <w:pPr>
      <w:adjustRightInd w:val="0"/>
      <w:snapToGrid w:val="0"/>
      <w:spacing w:before="120" w:after="0" w:line="200" w:lineRule="atLeast"/>
      <w:ind w:left="113"/>
    </w:pPr>
    <w:rPr>
      <w:rFonts w:ascii="Palatino Linotype" w:eastAsia="Times New Roman" w:hAnsi="Palatino Linotype" w:cs="Times New Roman"/>
      <w:color w:val="000000"/>
      <w:sz w:val="18"/>
      <w:szCs w:val="20"/>
      <w:lang w:val="en-US" w:eastAsia="de-DE" w:bidi="en-US"/>
    </w:rPr>
  </w:style>
  <w:style w:type="paragraph" w:customStyle="1" w:styleId="MDPI16affiliation">
    <w:name w:val="MDPI_1.6_affiliation"/>
    <w:basedOn w:val="Normal"/>
    <w:qFormat/>
    <w:rsid w:val="00721EFB"/>
    <w:pPr>
      <w:adjustRightInd w:val="0"/>
      <w:snapToGrid w:val="0"/>
      <w:spacing w:after="0" w:line="200" w:lineRule="atLeast"/>
      <w:ind w:left="311" w:hanging="198"/>
    </w:pPr>
    <w:rPr>
      <w:rFonts w:ascii="Palatino Linotype" w:eastAsia="Times New Roman" w:hAnsi="Palatino Linotype" w:cs="Times New Roman"/>
      <w:color w:val="000000"/>
      <w:sz w:val="18"/>
      <w:szCs w:val="18"/>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88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11946</Words>
  <Characters>68095</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Gijon Nogueron</dc:creator>
  <cp:keywords/>
  <dc:description/>
  <cp:lastModifiedBy>Baker, S.</cp:lastModifiedBy>
  <cp:revision>2</cp:revision>
  <dcterms:created xsi:type="dcterms:W3CDTF">2019-10-09T08:09:00Z</dcterms:created>
  <dcterms:modified xsi:type="dcterms:W3CDTF">2019-10-09T08:09:00Z</dcterms:modified>
</cp:coreProperties>
</file>