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2395F" w14:textId="77777777" w:rsidR="005836D1" w:rsidRDefault="005836D1" w:rsidP="00AE79EC">
      <w:pPr>
        <w:jc w:val="center"/>
        <w:rPr>
          <w:rFonts w:ascii="Times New Roman" w:hAnsi="Times New Roman" w:cs="Times New Roman"/>
          <w:b/>
          <w:sz w:val="32"/>
          <w:lang w:val="en-GB"/>
        </w:rPr>
      </w:pPr>
      <w:bookmarkStart w:id="0" w:name="_GoBack"/>
      <w:bookmarkEnd w:id="0"/>
    </w:p>
    <w:p w14:paraId="357FDE62" w14:textId="77777777" w:rsidR="005836D1" w:rsidRDefault="005836D1" w:rsidP="00AE79EC">
      <w:pPr>
        <w:jc w:val="center"/>
        <w:rPr>
          <w:rFonts w:ascii="Times New Roman" w:hAnsi="Times New Roman" w:cs="Times New Roman"/>
          <w:b/>
          <w:sz w:val="32"/>
          <w:lang w:val="en-GB"/>
        </w:rPr>
      </w:pPr>
    </w:p>
    <w:p w14:paraId="05832C86" w14:textId="77777777" w:rsidR="005836D1" w:rsidRDefault="005836D1" w:rsidP="00AE79EC">
      <w:pPr>
        <w:jc w:val="center"/>
        <w:rPr>
          <w:rFonts w:ascii="Times New Roman" w:hAnsi="Times New Roman" w:cs="Times New Roman"/>
          <w:b/>
          <w:sz w:val="32"/>
          <w:lang w:val="en-GB"/>
        </w:rPr>
      </w:pPr>
    </w:p>
    <w:p w14:paraId="662A6AAB" w14:textId="77777777" w:rsidR="002D114A" w:rsidRDefault="002D114A" w:rsidP="00D90806">
      <w:pPr>
        <w:spacing w:line="360" w:lineRule="auto"/>
        <w:jc w:val="center"/>
        <w:rPr>
          <w:rFonts w:ascii="Times New Roman" w:hAnsi="Times New Roman" w:cs="Times New Roman"/>
          <w:b/>
          <w:sz w:val="32"/>
          <w:lang w:val="en-GB"/>
        </w:rPr>
      </w:pPr>
    </w:p>
    <w:p w14:paraId="15230BA4" w14:textId="6424EC2C" w:rsidR="00D90806" w:rsidRPr="00165A4F" w:rsidRDefault="00B52BF9" w:rsidP="00D90806">
      <w:pPr>
        <w:spacing w:line="360" w:lineRule="auto"/>
        <w:jc w:val="center"/>
        <w:rPr>
          <w:rFonts w:ascii="Times New Roman" w:hAnsi="Times New Roman" w:cs="Times New Roman"/>
          <w:b/>
          <w:sz w:val="32"/>
          <w:lang w:val="en-GB"/>
        </w:rPr>
      </w:pPr>
      <w:r w:rsidRPr="00165A4F">
        <w:rPr>
          <w:rFonts w:ascii="Times New Roman" w:hAnsi="Times New Roman" w:cs="Times New Roman"/>
          <w:b/>
          <w:sz w:val="32"/>
          <w:lang w:val="en-GB"/>
        </w:rPr>
        <w:t>Up or Aside?</w:t>
      </w:r>
    </w:p>
    <w:p w14:paraId="545038E6" w14:textId="20EF6D2E" w:rsidR="00B918D0" w:rsidRPr="00165A4F" w:rsidRDefault="00DD3030" w:rsidP="007C157A">
      <w:pPr>
        <w:spacing w:line="360" w:lineRule="auto"/>
        <w:jc w:val="center"/>
        <w:rPr>
          <w:rFonts w:ascii="Times New Roman" w:hAnsi="Times New Roman" w:cs="Times New Roman"/>
          <w:lang w:val="en-GB"/>
        </w:rPr>
      </w:pPr>
      <w:r w:rsidRPr="00165A4F">
        <w:rPr>
          <w:rFonts w:ascii="Times New Roman" w:hAnsi="Times New Roman" w:cs="Times New Roman"/>
          <w:b/>
          <w:sz w:val="32"/>
          <w:lang w:val="en-GB"/>
        </w:rPr>
        <w:t xml:space="preserve"> </w:t>
      </w:r>
      <w:r w:rsidR="00E10A2D" w:rsidRPr="00165A4F">
        <w:rPr>
          <w:rFonts w:ascii="Times New Roman" w:hAnsi="Times New Roman" w:cs="Times New Roman"/>
          <w:b/>
          <w:sz w:val="32"/>
          <w:lang w:val="en-GB"/>
        </w:rPr>
        <w:t xml:space="preserve">Micro-foundations of Institutional Change </w:t>
      </w:r>
      <w:r w:rsidR="00775535" w:rsidRPr="00165A4F">
        <w:rPr>
          <w:rFonts w:ascii="Times New Roman" w:hAnsi="Times New Roman" w:cs="Times New Roman"/>
          <w:b/>
          <w:sz w:val="32"/>
          <w:lang w:val="en-GB"/>
        </w:rPr>
        <w:t>in the Career</w:t>
      </w:r>
      <w:r w:rsidR="00B52BF9" w:rsidRPr="00165A4F">
        <w:rPr>
          <w:rFonts w:ascii="Times New Roman" w:hAnsi="Times New Roman" w:cs="Times New Roman"/>
          <w:b/>
          <w:sz w:val="32"/>
          <w:lang w:val="en-GB"/>
        </w:rPr>
        <w:t xml:space="preserve"> Structure </w:t>
      </w:r>
      <w:r w:rsidR="00775535" w:rsidRPr="00165A4F">
        <w:rPr>
          <w:rFonts w:ascii="Times New Roman" w:hAnsi="Times New Roman" w:cs="Times New Roman"/>
          <w:b/>
          <w:sz w:val="32"/>
          <w:lang w:val="en-GB"/>
        </w:rPr>
        <w:t>of</w:t>
      </w:r>
      <w:r w:rsidR="00B52BF9" w:rsidRPr="00165A4F">
        <w:rPr>
          <w:rFonts w:ascii="Times New Roman" w:hAnsi="Times New Roman" w:cs="Times New Roman"/>
          <w:b/>
          <w:sz w:val="32"/>
          <w:lang w:val="en-GB"/>
        </w:rPr>
        <w:t xml:space="preserve"> UK Elite Law Firms</w:t>
      </w:r>
    </w:p>
    <w:p w14:paraId="24A3B190" w14:textId="77777777" w:rsidR="005836D1" w:rsidRDefault="005836D1">
      <w:pPr>
        <w:rPr>
          <w:rFonts w:ascii="Times New Roman" w:hAnsi="Times New Roman" w:cs="Times New Roman"/>
          <w:lang w:val="en-GB"/>
        </w:rPr>
      </w:pPr>
    </w:p>
    <w:p w14:paraId="36DFAB45" w14:textId="77777777" w:rsidR="005836D1" w:rsidRDefault="005836D1" w:rsidP="002E565D">
      <w:pPr>
        <w:rPr>
          <w:rFonts w:ascii="Times New Roman" w:hAnsi="Times New Roman" w:cs="Times New Roman"/>
          <w:lang w:val="en-GB"/>
        </w:rPr>
      </w:pPr>
    </w:p>
    <w:p w14:paraId="75607626" w14:textId="77777777" w:rsidR="007A5ECD" w:rsidRDefault="007A5ECD" w:rsidP="002E565D">
      <w:pPr>
        <w:rPr>
          <w:rFonts w:ascii="Times New Roman" w:hAnsi="Times New Roman" w:cs="Times New Roman"/>
          <w:lang w:val="en-GB"/>
        </w:rPr>
      </w:pPr>
    </w:p>
    <w:p w14:paraId="740F51D5" w14:textId="77777777" w:rsidR="002D114A" w:rsidRDefault="002D114A" w:rsidP="002E565D">
      <w:pPr>
        <w:rPr>
          <w:rFonts w:ascii="Times New Roman" w:hAnsi="Times New Roman" w:cs="Times New Roman"/>
          <w:lang w:val="en-GB"/>
        </w:rPr>
      </w:pPr>
    </w:p>
    <w:p w14:paraId="276E99E2" w14:textId="77777777" w:rsidR="00165A4F" w:rsidRDefault="00165A4F" w:rsidP="002E565D">
      <w:pPr>
        <w:rPr>
          <w:rFonts w:ascii="Times New Roman" w:hAnsi="Times New Roman" w:cs="Times New Roman"/>
          <w:lang w:val="en-GB"/>
        </w:rPr>
      </w:pPr>
    </w:p>
    <w:p w14:paraId="2ACE9160" w14:textId="713E8A6D" w:rsidR="00165A4F" w:rsidRDefault="00165A4F" w:rsidP="00644202">
      <w:pPr>
        <w:jc w:val="center"/>
        <w:rPr>
          <w:rFonts w:ascii="Times New Roman" w:hAnsi="Times New Roman" w:cs="Times New Roman"/>
          <w:lang w:val="en-GB"/>
        </w:rPr>
      </w:pPr>
      <w:r>
        <w:rPr>
          <w:rFonts w:ascii="Times New Roman" w:hAnsi="Times New Roman" w:cs="Times New Roman"/>
          <w:lang w:val="en-GB"/>
        </w:rPr>
        <w:t xml:space="preserve">Thomas </w:t>
      </w:r>
      <w:r w:rsidR="007A5ECD">
        <w:rPr>
          <w:rFonts w:ascii="Times New Roman" w:hAnsi="Times New Roman" w:cs="Times New Roman"/>
          <w:lang w:val="en-GB"/>
        </w:rPr>
        <w:t xml:space="preserve">J. </w:t>
      </w:r>
      <w:r>
        <w:rPr>
          <w:rFonts w:ascii="Times New Roman" w:hAnsi="Times New Roman" w:cs="Times New Roman"/>
          <w:lang w:val="en-GB"/>
        </w:rPr>
        <w:t xml:space="preserve">Roulet </w:t>
      </w:r>
    </w:p>
    <w:p w14:paraId="52C512B8" w14:textId="4C9786B0" w:rsidR="00165A4F" w:rsidRDefault="00367D32" w:rsidP="00644202">
      <w:pPr>
        <w:jc w:val="center"/>
        <w:rPr>
          <w:rFonts w:ascii="Times New Roman" w:hAnsi="Times New Roman" w:cs="Times New Roman"/>
          <w:lang w:val="en-GB"/>
        </w:rPr>
      </w:pPr>
      <w:hyperlink r:id="rId7" w:history="1">
        <w:r w:rsidR="00CA3F71" w:rsidRPr="00926009">
          <w:rPr>
            <w:rStyle w:val="Hyperlink"/>
            <w:rFonts w:ascii="Times New Roman" w:hAnsi="Times New Roman" w:cs="Times New Roman"/>
            <w:lang w:val="en-GB"/>
          </w:rPr>
          <w:t>tr440@cam.ac.uk</w:t>
        </w:r>
      </w:hyperlink>
    </w:p>
    <w:p w14:paraId="75E527F0" w14:textId="1432B6F3" w:rsidR="00CA5691" w:rsidRDefault="00CA5691" w:rsidP="00CA5691">
      <w:pPr>
        <w:jc w:val="center"/>
        <w:rPr>
          <w:rFonts w:ascii="Times New Roman" w:hAnsi="Times New Roman" w:cs="Times New Roman"/>
          <w:lang w:val="en-GB"/>
        </w:rPr>
      </w:pPr>
      <w:r>
        <w:rPr>
          <w:rFonts w:ascii="Times New Roman" w:hAnsi="Times New Roman" w:cs="Times New Roman"/>
          <w:lang w:val="en-GB"/>
        </w:rPr>
        <w:t>Judge Business School &amp; Girton College</w:t>
      </w:r>
    </w:p>
    <w:p w14:paraId="425E3D10" w14:textId="18041FA4" w:rsidR="002D114A" w:rsidRDefault="00165A4F" w:rsidP="00CA3F71">
      <w:pPr>
        <w:jc w:val="center"/>
        <w:rPr>
          <w:rFonts w:ascii="Times New Roman" w:hAnsi="Times New Roman" w:cs="Times New Roman"/>
          <w:lang w:val="en-GB"/>
        </w:rPr>
      </w:pPr>
      <w:r>
        <w:rPr>
          <w:rFonts w:ascii="Times New Roman" w:hAnsi="Times New Roman" w:cs="Times New Roman"/>
          <w:lang w:val="en-GB"/>
        </w:rPr>
        <w:t>Cambridge University</w:t>
      </w:r>
    </w:p>
    <w:p w14:paraId="07516C1D" w14:textId="77777777" w:rsidR="007A5ECD" w:rsidRDefault="007A5ECD" w:rsidP="00644202">
      <w:pPr>
        <w:jc w:val="center"/>
        <w:rPr>
          <w:rFonts w:ascii="Times New Roman" w:hAnsi="Times New Roman" w:cs="Times New Roman"/>
          <w:lang w:val="en-GB"/>
        </w:rPr>
      </w:pPr>
    </w:p>
    <w:p w14:paraId="3F34B1B5" w14:textId="77777777" w:rsidR="00165A4F" w:rsidRDefault="00165A4F" w:rsidP="00644202">
      <w:pPr>
        <w:jc w:val="center"/>
        <w:rPr>
          <w:rFonts w:ascii="Times New Roman" w:hAnsi="Times New Roman" w:cs="Times New Roman"/>
          <w:lang w:val="en-GB"/>
        </w:rPr>
      </w:pPr>
      <w:r>
        <w:rPr>
          <w:rFonts w:ascii="Times New Roman" w:hAnsi="Times New Roman" w:cs="Times New Roman"/>
          <w:lang w:val="en-GB"/>
        </w:rPr>
        <w:t>Lionel Paolella</w:t>
      </w:r>
    </w:p>
    <w:p w14:paraId="0538A65C" w14:textId="6CF3CF4D" w:rsidR="00F13E0C" w:rsidRDefault="00367D32" w:rsidP="00644202">
      <w:pPr>
        <w:jc w:val="center"/>
        <w:rPr>
          <w:rFonts w:ascii="Times New Roman" w:hAnsi="Times New Roman" w:cs="Times New Roman"/>
          <w:lang w:val="en-GB"/>
        </w:rPr>
      </w:pPr>
      <w:hyperlink r:id="rId8" w:history="1">
        <w:r w:rsidR="00F13E0C" w:rsidRPr="005731DF">
          <w:rPr>
            <w:rStyle w:val="Hyperlink"/>
            <w:rFonts w:ascii="Times New Roman" w:hAnsi="Times New Roman" w:cs="Times New Roman"/>
            <w:lang w:val="en-GB"/>
          </w:rPr>
          <w:t>l.paolella@jbs.cam.ac.uk</w:t>
        </w:r>
      </w:hyperlink>
    </w:p>
    <w:p w14:paraId="78A13B27" w14:textId="5C672DD1" w:rsidR="00CA5691" w:rsidRDefault="00CA5691" w:rsidP="00644202">
      <w:pPr>
        <w:jc w:val="center"/>
        <w:rPr>
          <w:rFonts w:ascii="Times New Roman" w:hAnsi="Times New Roman" w:cs="Times New Roman"/>
          <w:lang w:val="en-GB"/>
        </w:rPr>
      </w:pPr>
      <w:r>
        <w:rPr>
          <w:rFonts w:ascii="Times New Roman" w:hAnsi="Times New Roman" w:cs="Times New Roman"/>
          <w:lang w:val="en-GB"/>
        </w:rPr>
        <w:t>Judge Business School</w:t>
      </w:r>
    </w:p>
    <w:p w14:paraId="6C5C2C80" w14:textId="34E032A8" w:rsidR="002D114A" w:rsidRDefault="00165A4F" w:rsidP="00644202">
      <w:pPr>
        <w:jc w:val="center"/>
        <w:rPr>
          <w:rFonts w:ascii="Times New Roman" w:hAnsi="Times New Roman" w:cs="Times New Roman"/>
          <w:lang w:val="en-GB"/>
        </w:rPr>
      </w:pPr>
      <w:r>
        <w:rPr>
          <w:rFonts w:ascii="Times New Roman" w:hAnsi="Times New Roman" w:cs="Times New Roman"/>
          <w:lang w:val="en-GB"/>
        </w:rPr>
        <w:t>Cambridge University</w:t>
      </w:r>
    </w:p>
    <w:p w14:paraId="59AD5965" w14:textId="77777777" w:rsidR="007A5ECD" w:rsidRPr="005836D1" w:rsidRDefault="007A5ECD" w:rsidP="00644202">
      <w:pPr>
        <w:jc w:val="center"/>
        <w:rPr>
          <w:rFonts w:ascii="Times New Roman" w:hAnsi="Times New Roman" w:cs="Times New Roman"/>
          <w:lang w:val="en-GB"/>
        </w:rPr>
      </w:pPr>
    </w:p>
    <w:p w14:paraId="3954536E" w14:textId="77777777" w:rsidR="00165A4F" w:rsidRDefault="00165A4F" w:rsidP="00644202">
      <w:pPr>
        <w:jc w:val="center"/>
        <w:rPr>
          <w:rFonts w:ascii="Times New Roman" w:hAnsi="Times New Roman" w:cs="Times New Roman"/>
          <w:lang w:val="it-IT"/>
        </w:rPr>
      </w:pPr>
      <w:r>
        <w:rPr>
          <w:rFonts w:ascii="Times New Roman" w:hAnsi="Times New Roman" w:cs="Times New Roman"/>
          <w:lang w:val="it-IT"/>
        </w:rPr>
        <w:t>Claudia Gabbioneta</w:t>
      </w:r>
    </w:p>
    <w:p w14:paraId="07519341" w14:textId="16A28780" w:rsidR="00F13E0C" w:rsidRDefault="00367D32" w:rsidP="00644202">
      <w:pPr>
        <w:jc w:val="center"/>
        <w:rPr>
          <w:rFonts w:ascii="Times New Roman" w:hAnsi="Times New Roman" w:cs="Times New Roman"/>
          <w:lang w:val="it-IT"/>
        </w:rPr>
      </w:pPr>
      <w:hyperlink r:id="rId9" w:history="1">
        <w:r w:rsidR="00F13E0C" w:rsidRPr="005731DF">
          <w:rPr>
            <w:rStyle w:val="Hyperlink"/>
            <w:rFonts w:ascii="Times New Roman" w:hAnsi="Times New Roman" w:cs="Times New Roman"/>
            <w:lang w:val="it-IT"/>
          </w:rPr>
          <w:t>Claudia.Gabbioneta@newcastle.ac.uk</w:t>
        </w:r>
      </w:hyperlink>
    </w:p>
    <w:p w14:paraId="7D55A56E" w14:textId="59B86C7D" w:rsidR="00CA5691" w:rsidRDefault="00CA5691" w:rsidP="00644202">
      <w:pPr>
        <w:jc w:val="center"/>
        <w:rPr>
          <w:rFonts w:ascii="Times New Roman" w:hAnsi="Times New Roman" w:cs="Times New Roman"/>
          <w:lang w:val="it-IT"/>
        </w:rPr>
      </w:pPr>
      <w:r>
        <w:rPr>
          <w:rFonts w:ascii="Times New Roman" w:hAnsi="Times New Roman" w:cs="Times New Roman"/>
          <w:lang w:val="it-IT"/>
        </w:rPr>
        <w:t>Newcastle University Business School</w:t>
      </w:r>
    </w:p>
    <w:p w14:paraId="3DBA3442" w14:textId="5A687BC1" w:rsidR="00B918D0" w:rsidRDefault="00165A4F" w:rsidP="00644202">
      <w:pPr>
        <w:jc w:val="center"/>
        <w:rPr>
          <w:rFonts w:ascii="Times New Roman" w:hAnsi="Times New Roman" w:cs="Times New Roman"/>
          <w:lang w:val="it-IT"/>
        </w:rPr>
      </w:pPr>
      <w:r>
        <w:rPr>
          <w:rFonts w:ascii="Times New Roman" w:hAnsi="Times New Roman" w:cs="Times New Roman"/>
          <w:lang w:val="it-IT"/>
        </w:rPr>
        <w:t>Newcastle University</w:t>
      </w:r>
    </w:p>
    <w:p w14:paraId="6A4B4EC1" w14:textId="77777777" w:rsidR="007A5ECD" w:rsidRPr="0044649B" w:rsidRDefault="007A5ECD" w:rsidP="00644202">
      <w:pPr>
        <w:jc w:val="center"/>
        <w:rPr>
          <w:rFonts w:ascii="Times New Roman" w:hAnsi="Times New Roman" w:cs="Times New Roman"/>
          <w:lang w:val="it-IT"/>
        </w:rPr>
      </w:pPr>
    </w:p>
    <w:p w14:paraId="3532BCDD" w14:textId="77777777" w:rsidR="00C44F9E" w:rsidRDefault="00C44F9E" w:rsidP="00644202">
      <w:pPr>
        <w:jc w:val="center"/>
        <w:rPr>
          <w:rFonts w:ascii="Times New Roman" w:hAnsi="Times New Roman" w:cs="Times New Roman"/>
          <w:lang w:val="it-IT"/>
        </w:rPr>
      </w:pPr>
      <w:r>
        <w:rPr>
          <w:rFonts w:ascii="Times New Roman" w:hAnsi="Times New Roman" w:cs="Times New Roman"/>
          <w:lang w:val="it-IT"/>
        </w:rPr>
        <w:t>Daniel Muzio</w:t>
      </w:r>
    </w:p>
    <w:p w14:paraId="7725272A" w14:textId="65DF32A1" w:rsidR="00644202" w:rsidRDefault="00367D32" w:rsidP="00644202">
      <w:pPr>
        <w:jc w:val="center"/>
        <w:rPr>
          <w:rFonts w:ascii="Times New Roman" w:hAnsi="Times New Roman" w:cs="Times New Roman"/>
          <w:lang w:val="it-IT"/>
        </w:rPr>
      </w:pPr>
      <w:hyperlink r:id="rId10" w:history="1">
        <w:r w:rsidR="00644202" w:rsidRPr="005731DF">
          <w:rPr>
            <w:rStyle w:val="Hyperlink"/>
            <w:rFonts w:ascii="Times New Roman" w:hAnsi="Times New Roman" w:cs="Times New Roman"/>
            <w:lang w:val="it-IT"/>
          </w:rPr>
          <w:t>Daniel.muzio@york.ac.uk</w:t>
        </w:r>
      </w:hyperlink>
    </w:p>
    <w:p w14:paraId="2B7398AD" w14:textId="661944DC" w:rsidR="00B918D0" w:rsidRPr="0044649B" w:rsidRDefault="00644202" w:rsidP="00644202">
      <w:pPr>
        <w:jc w:val="center"/>
        <w:rPr>
          <w:rFonts w:ascii="Times New Roman" w:hAnsi="Times New Roman" w:cs="Times New Roman"/>
          <w:lang w:val="it-IT"/>
        </w:rPr>
      </w:pPr>
      <w:r>
        <w:rPr>
          <w:rFonts w:ascii="Times New Roman" w:hAnsi="Times New Roman" w:cs="Times New Roman"/>
          <w:lang w:val="it-IT"/>
        </w:rPr>
        <w:t xml:space="preserve">York </w:t>
      </w:r>
      <w:r w:rsidR="00C44F9E">
        <w:rPr>
          <w:rFonts w:ascii="Times New Roman" w:hAnsi="Times New Roman" w:cs="Times New Roman"/>
          <w:lang w:val="it-IT"/>
        </w:rPr>
        <w:t>University</w:t>
      </w:r>
    </w:p>
    <w:p w14:paraId="356389EF" w14:textId="720672ED" w:rsidR="00AE79EC" w:rsidRDefault="00AE79EC">
      <w:pPr>
        <w:rPr>
          <w:rFonts w:ascii="Times New Roman" w:hAnsi="Times New Roman" w:cs="Times New Roman"/>
          <w:lang w:val="en-GB"/>
        </w:rPr>
      </w:pPr>
    </w:p>
    <w:p w14:paraId="46AF5D88" w14:textId="77777777" w:rsidR="005836D1" w:rsidRPr="005836D1" w:rsidRDefault="005836D1">
      <w:pPr>
        <w:rPr>
          <w:rFonts w:ascii="Times New Roman" w:hAnsi="Times New Roman" w:cs="Times New Roman"/>
          <w:lang w:val="en-GB"/>
        </w:rPr>
      </w:pPr>
    </w:p>
    <w:p w14:paraId="1ABA4412" w14:textId="77777777" w:rsidR="006E6D7B" w:rsidRDefault="006E6D7B" w:rsidP="00A467FD">
      <w:pPr>
        <w:spacing w:line="360" w:lineRule="auto"/>
        <w:jc w:val="both"/>
        <w:rPr>
          <w:rFonts w:ascii="Times New Roman" w:hAnsi="Times New Roman" w:cs="Times New Roman"/>
          <w:lang w:val="en-GB"/>
        </w:rPr>
      </w:pPr>
    </w:p>
    <w:p w14:paraId="64F505F8" w14:textId="77777777" w:rsidR="002D114A" w:rsidRDefault="002D114A" w:rsidP="00A467FD">
      <w:pPr>
        <w:spacing w:line="360" w:lineRule="auto"/>
        <w:jc w:val="both"/>
        <w:rPr>
          <w:rFonts w:ascii="Times New Roman" w:hAnsi="Times New Roman" w:cs="Times New Roman"/>
          <w:lang w:val="en-GB"/>
        </w:rPr>
      </w:pPr>
    </w:p>
    <w:p w14:paraId="0315BD64" w14:textId="77777777" w:rsidR="002D114A" w:rsidRDefault="002D114A" w:rsidP="00A467FD">
      <w:pPr>
        <w:spacing w:line="360" w:lineRule="auto"/>
        <w:jc w:val="both"/>
        <w:rPr>
          <w:rFonts w:ascii="Times New Roman" w:hAnsi="Times New Roman" w:cs="Times New Roman"/>
          <w:lang w:val="en-GB"/>
        </w:rPr>
      </w:pPr>
    </w:p>
    <w:p w14:paraId="5A99FBA7" w14:textId="3F00C5EE" w:rsidR="00B11782" w:rsidRDefault="00B11782" w:rsidP="00A467FD">
      <w:pPr>
        <w:spacing w:line="360" w:lineRule="auto"/>
        <w:jc w:val="both"/>
        <w:rPr>
          <w:rFonts w:ascii="Times New Roman" w:hAnsi="Times New Roman" w:cs="Times New Roman"/>
          <w:lang w:val="en-GB"/>
        </w:rPr>
      </w:pPr>
      <w:r w:rsidRPr="00521186">
        <w:rPr>
          <w:rFonts w:ascii="Times New Roman" w:hAnsi="Times New Roman" w:cs="Times New Roman"/>
          <w:b/>
          <w:lang w:val="en-GB"/>
        </w:rPr>
        <w:t>Acknowledgement:</w:t>
      </w:r>
      <w:r>
        <w:rPr>
          <w:rFonts w:ascii="Times New Roman" w:hAnsi="Times New Roman" w:cs="Times New Roman"/>
          <w:lang w:val="en-GB"/>
        </w:rPr>
        <w:t xml:space="preserve"> The authors are grateful for the feedback of </w:t>
      </w:r>
      <w:r w:rsidR="00B33F4A">
        <w:rPr>
          <w:rFonts w:ascii="Times New Roman" w:hAnsi="Times New Roman" w:cs="Times New Roman"/>
          <w:lang w:val="en-GB"/>
        </w:rPr>
        <w:t xml:space="preserve">the editor Jost Sieweke, an anonymous reviewer, </w:t>
      </w:r>
      <w:r>
        <w:rPr>
          <w:rFonts w:ascii="Times New Roman" w:hAnsi="Times New Roman" w:cs="Times New Roman"/>
          <w:lang w:val="en-GB"/>
        </w:rPr>
        <w:t xml:space="preserve">Michael Gill and participants of the 2018 Oxford PSF conference, and </w:t>
      </w:r>
      <w:r w:rsidR="00402F73">
        <w:rPr>
          <w:rFonts w:ascii="Times New Roman" w:hAnsi="Times New Roman" w:cs="Times New Roman"/>
          <w:lang w:val="en-GB"/>
        </w:rPr>
        <w:t xml:space="preserve">of </w:t>
      </w:r>
      <w:r>
        <w:rPr>
          <w:rFonts w:ascii="Times New Roman" w:hAnsi="Times New Roman" w:cs="Times New Roman"/>
          <w:lang w:val="en-GB"/>
        </w:rPr>
        <w:t>the 2018</w:t>
      </w:r>
      <w:r w:rsidR="006E6D7B">
        <w:rPr>
          <w:rFonts w:ascii="Times New Roman" w:hAnsi="Times New Roman" w:cs="Times New Roman"/>
          <w:lang w:val="en-GB"/>
        </w:rPr>
        <w:t xml:space="preserve"> New institutionalism conference.</w:t>
      </w:r>
    </w:p>
    <w:p w14:paraId="362B0A1E" w14:textId="77777777" w:rsidR="006E6D7B" w:rsidRDefault="006E6D7B" w:rsidP="00A467FD">
      <w:pPr>
        <w:spacing w:line="360" w:lineRule="auto"/>
        <w:jc w:val="both"/>
        <w:rPr>
          <w:rFonts w:ascii="Times New Roman" w:hAnsi="Times New Roman" w:cs="Times New Roman"/>
          <w:lang w:val="en-GB"/>
        </w:rPr>
      </w:pPr>
    </w:p>
    <w:p w14:paraId="23DE6AB1" w14:textId="77777777" w:rsidR="006E6D7B" w:rsidRDefault="006E6D7B">
      <w:pPr>
        <w:rPr>
          <w:rFonts w:ascii="Times New Roman" w:hAnsi="Times New Roman" w:cs="Times New Roman"/>
          <w:b/>
          <w:lang w:val="en-GB"/>
        </w:rPr>
      </w:pPr>
      <w:r>
        <w:rPr>
          <w:rFonts w:ascii="Times New Roman" w:hAnsi="Times New Roman" w:cs="Times New Roman"/>
          <w:b/>
          <w:lang w:val="en-GB"/>
        </w:rPr>
        <w:br w:type="page"/>
      </w:r>
    </w:p>
    <w:p w14:paraId="3E7EB55C" w14:textId="77777777" w:rsidR="002D114A" w:rsidRDefault="002D114A" w:rsidP="006E6D7B">
      <w:pPr>
        <w:jc w:val="center"/>
        <w:rPr>
          <w:rFonts w:ascii="Times New Roman" w:hAnsi="Times New Roman" w:cs="Times New Roman"/>
          <w:b/>
          <w:lang w:val="en-GB"/>
        </w:rPr>
      </w:pPr>
    </w:p>
    <w:p w14:paraId="1E006D2E" w14:textId="77777777" w:rsidR="002D114A" w:rsidRDefault="002D114A" w:rsidP="006E6D7B">
      <w:pPr>
        <w:jc w:val="center"/>
        <w:rPr>
          <w:rFonts w:ascii="Times New Roman" w:hAnsi="Times New Roman" w:cs="Times New Roman"/>
          <w:b/>
          <w:lang w:val="en-GB"/>
        </w:rPr>
      </w:pPr>
    </w:p>
    <w:p w14:paraId="116940A0" w14:textId="77777777" w:rsidR="002D114A" w:rsidRDefault="002D114A" w:rsidP="006E6D7B">
      <w:pPr>
        <w:jc w:val="center"/>
        <w:rPr>
          <w:rFonts w:ascii="Times New Roman" w:hAnsi="Times New Roman" w:cs="Times New Roman"/>
          <w:b/>
          <w:lang w:val="en-GB"/>
        </w:rPr>
      </w:pPr>
    </w:p>
    <w:p w14:paraId="0DE0F579" w14:textId="77777777" w:rsidR="002D114A" w:rsidRDefault="002D114A" w:rsidP="006E6D7B">
      <w:pPr>
        <w:jc w:val="center"/>
        <w:rPr>
          <w:rFonts w:ascii="Times New Roman" w:hAnsi="Times New Roman" w:cs="Times New Roman"/>
          <w:b/>
          <w:lang w:val="en-GB"/>
        </w:rPr>
      </w:pPr>
    </w:p>
    <w:p w14:paraId="0A35D10B" w14:textId="77777777" w:rsidR="002D114A" w:rsidRDefault="002D114A" w:rsidP="006E6D7B">
      <w:pPr>
        <w:jc w:val="center"/>
        <w:rPr>
          <w:rFonts w:ascii="Times New Roman" w:hAnsi="Times New Roman" w:cs="Times New Roman"/>
          <w:b/>
          <w:lang w:val="en-GB"/>
        </w:rPr>
      </w:pPr>
    </w:p>
    <w:p w14:paraId="4DA13B4F" w14:textId="77777777" w:rsidR="002D114A" w:rsidRDefault="002D114A" w:rsidP="006E6D7B">
      <w:pPr>
        <w:jc w:val="center"/>
        <w:rPr>
          <w:rFonts w:ascii="Times New Roman" w:hAnsi="Times New Roman" w:cs="Times New Roman"/>
          <w:b/>
          <w:lang w:val="en-GB"/>
        </w:rPr>
      </w:pPr>
    </w:p>
    <w:p w14:paraId="3D6D14E6" w14:textId="77777777" w:rsidR="002D114A" w:rsidRDefault="002D114A" w:rsidP="006E6D7B">
      <w:pPr>
        <w:jc w:val="center"/>
        <w:rPr>
          <w:rFonts w:ascii="Times New Roman" w:hAnsi="Times New Roman" w:cs="Times New Roman"/>
          <w:b/>
          <w:lang w:val="en-GB"/>
        </w:rPr>
      </w:pPr>
    </w:p>
    <w:p w14:paraId="1CC7952C" w14:textId="77777777" w:rsidR="002D114A" w:rsidRDefault="002D114A" w:rsidP="006E6D7B">
      <w:pPr>
        <w:jc w:val="center"/>
        <w:rPr>
          <w:rFonts w:ascii="Times New Roman" w:hAnsi="Times New Roman" w:cs="Times New Roman"/>
          <w:b/>
          <w:lang w:val="en-GB"/>
        </w:rPr>
      </w:pPr>
    </w:p>
    <w:p w14:paraId="2FB275C1" w14:textId="77777777" w:rsidR="002D114A" w:rsidRDefault="002D114A" w:rsidP="006E6D7B">
      <w:pPr>
        <w:jc w:val="center"/>
        <w:rPr>
          <w:rFonts w:ascii="Times New Roman" w:hAnsi="Times New Roman" w:cs="Times New Roman"/>
          <w:b/>
          <w:lang w:val="en-GB"/>
        </w:rPr>
      </w:pPr>
    </w:p>
    <w:p w14:paraId="44D05B10" w14:textId="122801EC" w:rsidR="006E6D7B" w:rsidRDefault="006E6D7B" w:rsidP="006E6D7B">
      <w:pPr>
        <w:jc w:val="center"/>
        <w:rPr>
          <w:rFonts w:ascii="Times New Roman" w:hAnsi="Times New Roman" w:cs="Times New Roman"/>
          <w:b/>
          <w:lang w:val="en-GB"/>
        </w:rPr>
      </w:pPr>
      <w:r>
        <w:rPr>
          <w:rFonts w:ascii="Times New Roman" w:hAnsi="Times New Roman" w:cs="Times New Roman"/>
          <w:b/>
          <w:lang w:val="en-GB"/>
        </w:rPr>
        <w:t>ABSTRACT</w:t>
      </w:r>
    </w:p>
    <w:p w14:paraId="08423DDF" w14:textId="77777777" w:rsidR="006E6D7B" w:rsidRDefault="006E6D7B" w:rsidP="006E6D7B">
      <w:pPr>
        <w:jc w:val="center"/>
        <w:rPr>
          <w:rFonts w:ascii="Times New Roman" w:hAnsi="Times New Roman" w:cs="Times New Roman"/>
          <w:b/>
          <w:lang w:val="en-GB"/>
        </w:rPr>
      </w:pPr>
    </w:p>
    <w:p w14:paraId="704C56C5" w14:textId="1D2BEF32" w:rsidR="006E6D7B" w:rsidRDefault="00315F8E" w:rsidP="006E6D7B">
      <w:pPr>
        <w:spacing w:line="360" w:lineRule="auto"/>
        <w:jc w:val="both"/>
        <w:rPr>
          <w:rFonts w:ascii="Times New Roman" w:hAnsi="Times New Roman" w:cs="Times New Roman"/>
          <w:lang w:val="en-GB"/>
        </w:rPr>
      </w:pPr>
      <w:r>
        <w:rPr>
          <w:rFonts w:ascii="Times New Roman" w:hAnsi="Times New Roman" w:cs="Times New Roman"/>
          <w:lang w:val="en-GB"/>
        </w:rPr>
        <w:t>We investigate</w:t>
      </w:r>
      <w:r w:rsidR="00F90494">
        <w:rPr>
          <w:rFonts w:ascii="Times New Roman" w:hAnsi="Times New Roman" w:cs="Times New Roman"/>
          <w:lang w:val="en-GB"/>
        </w:rPr>
        <w:t xml:space="preserve"> </w:t>
      </w:r>
      <w:r w:rsidR="00CC1467">
        <w:rPr>
          <w:rFonts w:ascii="Times New Roman" w:hAnsi="Times New Roman" w:cs="Times New Roman"/>
          <w:lang w:val="en-GB"/>
        </w:rPr>
        <w:t xml:space="preserve">institutional change as </w:t>
      </w:r>
      <w:r w:rsidR="00F90494">
        <w:rPr>
          <w:rFonts w:ascii="Times New Roman" w:hAnsi="Times New Roman" w:cs="Times New Roman"/>
          <w:lang w:val="en-GB"/>
        </w:rPr>
        <w:t>the</w:t>
      </w:r>
      <w:r w:rsidR="006E6D7B">
        <w:rPr>
          <w:rFonts w:ascii="Times New Roman" w:hAnsi="Times New Roman" w:cs="Times New Roman"/>
          <w:lang w:val="en-GB"/>
        </w:rPr>
        <w:t xml:space="preserve"> co-occurrence </w:t>
      </w:r>
      <w:r w:rsidR="00F90494">
        <w:rPr>
          <w:rFonts w:ascii="Times New Roman" w:hAnsi="Times New Roman" w:cs="Times New Roman"/>
          <w:lang w:val="en-GB"/>
        </w:rPr>
        <w:t xml:space="preserve">of </w:t>
      </w:r>
      <w:r w:rsidR="00CC1467">
        <w:rPr>
          <w:rFonts w:ascii="Times New Roman" w:hAnsi="Times New Roman" w:cs="Times New Roman"/>
          <w:lang w:val="en-GB"/>
        </w:rPr>
        <w:t>deinstitutionalization</w:t>
      </w:r>
      <w:r w:rsidR="00647782">
        <w:rPr>
          <w:rFonts w:ascii="Times New Roman" w:hAnsi="Times New Roman" w:cs="Times New Roman"/>
          <w:lang w:val="en-GB"/>
        </w:rPr>
        <w:t xml:space="preserve"> and institutionalization</w:t>
      </w:r>
      <w:r w:rsidR="00D55E33">
        <w:rPr>
          <w:rFonts w:ascii="Times New Roman" w:hAnsi="Times New Roman" w:cs="Times New Roman"/>
          <w:lang w:val="en-GB"/>
        </w:rPr>
        <w:t xml:space="preserve">, </w:t>
      </w:r>
      <w:r w:rsidR="006E6D7B">
        <w:rPr>
          <w:rFonts w:ascii="Times New Roman" w:hAnsi="Times New Roman" w:cs="Times New Roman"/>
          <w:lang w:val="en-GB"/>
        </w:rPr>
        <w:t xml:space="preserve">while accounting for </w:t>
      </w:r>
      <w:r w:rsidR="00C465EE">
        <w:rPr>
          <w:rFonts w:ascii="Times New Roman" w:hAnsi="Times New Roman" w:cs="Times New Roman"/>
          <w:lang w:val="en-GB"/>
        </w:rPr>
        <w:t xml:space="preserve">its </w:t>
      </w:r>
      <w:r w:rsidR="006E6D7B">
        <w:rPr>
          <w:rFonts w:ascii="Times New Roman" w:hAnsi="Times New Roman" w:cs="Times New Roman"/>
          <w:lang w:val="en-GB"/>
        </w:rPr>
        <w:t>determinants</w:t>
      </w:r>
      <w:r w:rsidR="00D55E33">
        <w:rPr>
          <w:rFonts w:ascii="Times New Roman" w:hAnsi="Times New Roman" w:cs="Times New Roman"/>
          <w:lang w:val="en-GB"/>
        </w:rPr>
        <w:t xml:space="preserve"> at multiple levels of analysis</w:t>
      </w:r>
      <w:r w:rsidR="006E6D7B">
        <w:rPr>
          <w:rFonts w:ascii="Times New Roman" w:hAnsi="Times New Roman" w:cs="Times New Roman"/>
          <w:lang w:val="en-GB"/>
        </w:rPr>
        <w:t xml:space="preserve"> </w:t>
      </w:r>
      <w:r w:rsidR="00F90494">
        <w:rPr>
          <w:rFonts w:ascii="Times New Roman" w:hAnsi="Times New Roman" w:cs="Times New Roman"/>
          <w:lang w:val="en-GB"/>
        </w:rPr>
        <w:t>to</w:t>
      </w:r>
      <w:r w:rsidR="006E6D7B">
        <w:rPr>
          <w:rFonts w:ascii="Times New Roman" w:hAnsi="Times New Roman" w:cs="Times New Roman"/>
          <w:lang w:val="en-GB"/>
        </w:rPr>
        <w:t xml:space="preserve"> further our understanding of how </w:t>
      </w:r>
      <w:r w:rsidR="009B420D">
        <w:rPr>
          <w:rFonts w:ascii="Times New Roman" w:hAnsi="Times New Roman" w:cs="Times New Roman"/>
          <w:lang w:val="en-GB"/>
        </w:rPr>
        <w:t xml:space="preserve">individual characteristics </w:t>
      </w:r>
      <w:r w:rsidR="00CA1747">
        <w:rPr>
          <w:rFonts w:ascii="Times New Roman" w:hAnsi="Times New Roman" w:cs="Times New Roman"/>
          <w:lang w:val="en-GB"/>
        </w:rPr>
        <w:t xml:space="preserve">aggregated </w:t>
      </w:r>
      <w:r w:rsidR="009B420D">
        <w:rPr>
          <w:rFonts w:ascii="Times New Roman" w:hAnsi="Times New Roman" w:cs="Times New Roman"/>
          <w:lang w:val="en-GB"/>
        </w:rPr>
        <w:t xml:space="preserve">at the organizational level </w:t>
      </w:r>
      <w:r w:rsidR="006E6D7B">
        <w:rPr>
          <w:rFonts w:ascii="Times New Roman" w:hAnsi="Times New Roman" w:cs="Times New Roman"/>
          <w:lang w:val="en-GB"/>
        </w:rPr>
        <w:t xml:space="preserve">and </w:t>
      </w:r>
      <w:r w:rsidR="000452CD">
        <w:rPr>
          <w:rFonts w:ascii="Times New Roman" w:hAnsi="Times New Roman" w:cs="Times New Roman"/>
          <w:lang w:val="en-GB"/>
        </w:rPr>
        <w:t xml:space="preserve">organizational characteristics </w:t>
      </w:r>
      <w:r w:rsidR="00527059">
        <w:rPr>
          <w:rFonts w:ascii="Times New Roman" w:hAnsi="Times New Roman" w:cs="Times New Roman"/>
          <w:lang w:val="en-GB"/>
        </w:rPr>
        <w:t xml:space="preserve">together </w:t>
      </w:r>
      <w:r w:rsidR="006E6D7B">
        <w:rPr>
          <w:rFonts w:ascii="Times New Roman" w:hAnsi="Times New Roman" w:cs="Times New Roman"/>
          <w:lang w:val="en-GB"/>
        </w:rPr>
        <w:t xml:space="preserve">account for the </w:t>
      </w:r>
      <w:r w:rsidR="00527059">
        <w:rPr>
          <w:rFonts w:ascii="Times New Roman" w:hAnsi="Times New Roman" w:cs="Times New Roman"/>
          <w:lang w:val="en-GB"/>
        </w:rPr>
        <w:t xml:space="preserve">erosion and </w:t>
      </w:r>
      <w:r w:rsidR="006E6D7B">
        <w:rPr>
          <w:rFonts w:ascii="Times New Roman" w:hAnsi="Times New Roman" w:cs="Times New Roman"/>
          <w:lang w:val="en-GB"/>
        </w:rPr>
        <w:t xml:space="preserve">emergence </w:t>
      </w:r>
      <w:r w:rsidR="008D7EF0">
        <w:rPr>
          <w:rFonts w:ascii="Times New Roman" w:hAnsi="Times New Roman" w:cs="Times New Roman"/>
          <w:lang w:val="en-GB"/>
        </w:rPr>
        <w:t xml:space="preserve">of </w:t>
      </w:r>
      <w:r w:rsidR="00C67496">
        <w:rPr>
          <w:rFonts w:ascii="Times New Roman" w:hAnsi="Times New Roman" w:cs="Times New Roman"/>
          <w:lang w:val="en-GB"/>
        </w:rPr>
        <w:t>practices</w:t>
      </w:r>
      <w:r w:rsidR="00527059">
        <w:rPr>
          <w:rFonts w:ascii="Times New Roman" w:hAnsi="Times New Roman" w:cs="Times New Roman"/>
          <w:lang w:val="en-GB"/>
        </w:rPr>
        <w:t xml:space="preserve"> within the field</w:t>
      </w:r>
      <w:r w:rsidR="00C67496">
        <w:rPr>
          <w:rFonts w:ascii="Times New Roman" w:hAnsi="Times New Roman" w:cs="Times New Roman"/>
          <w:lang w:val="en-GB"/>
        </w:rPr>
        <w:t xml:space="preserve">. </w:t>
      </w:r>
      <w:r w:rsidR="006E6D7B" w:rsidRPr="005836D1">
        <w:rPr>
          <w:rFonts w:ascii="Times New Roman" w:hAnsi="Times New Roman" w:cs="Times New Roman"/>
          <w:lang w:val="en-GB"/>
        </w:rPr>
        <w:t xml:space="preserve">We empirically explore this question </w:t>
      </w:r>
      <w:r w:rsidR="006E6D7B">
        <w:rPr>
          <w:rFonts w:ascii="Times New Roman" w:hAnsi="Times New Roman" w:cs="Times New Roman"/>
          <w:lang w:val="en-GB"/>
        </w:rPr>
        <w:t xml:space="preserve">in a </w:t>
      </w:r>
      <w:r w:rsidR="006E6D7B" w:rsidRPr="005836D1">
        <w:rPr>
          <w:rFonts w:ascii="Times New Roman" w:hAnsi="Times New Roman" w:cs="Times New Roman"/>
          <w:lang w:val="en-GB"/>
        </w:rPr>
        <w:t xml:space="preserve">multi-level dataset </w:t>
      </w:r>
      <w:r w:rsidR="006E6D7B">
        <w:rPr>
          <w:rFonts w:ascii="Times New Roman" w:hAnsi="Times New Roman" w:cs="Times New Roman"/>
          <w:lang w:val="en-GB"/>
        </w:rPr>
        <w:t>of UK law firms</w:t>
      </w:r>
      <w:r w:rsidR="006E6D7B" w:rsidRPr="005836D1">
        <w:rPr>
          <w:rFonts w:ascii="Times New Roman" w:hAnsi="Times New Roman" w:cs="Times New Roman"/>
          <w:lang w:val="en-GB"/>
        </w:rPr>
        <w:t xml:space="preserve"> and their </w:t>
      </w:r>
      <w:r w:rsidR="006E6D7B">
        <w:rPr>
          <w:rFonts w:ascii="Times New Roman" w:hAnsi="Times New Roman" w:cs="Times New Roman"/>
          <w:lang w:val="en-GB"/>
        </w:rPr>
        <w:t xml:space="preserve">employees, </w:t>
      </w:r>
      <w:r w:rsidR="000F3493">
        <w:rPr>
          <w:rFonts w:ascii="Times New Roman" w:hAnsi="Times New Roman" w:cs="Times New Roman"/>
          <w:lang w:val="en-GB"/>
        </w:rPr>
        <w:t xml:space="preserve">looking </w:t>
      </w:r>
      <w:r w:rsidR="002872E1">
        <w:rPr>
          <w:rFonts w:ascii="Times New Roman" w:hAnsi="Times New Roman" w:cs="Times New Roman"/>
          <w:lang w:val="en-GB"/>
        </w:rPr>
        <w:t xml:space="preserve">in particular </w:t>
      </w:r>
      <w:r w:rsidR="000F3493">
        <w:rPr>
          <w:rFonts w:ascii="Times New Roman" w:hAnsi="Times New Roman" w:cs="Times New Roman"/>
          <w:lang w:val="en-GB"/>
        </w:rPr>
        <w:t>at how the practice</w:t>
      </w:r>
      <w:r w:rsidR="000F3493" w:rsidRPr="005836D1">
        <w:rPr>
          <w:rFonts w:ascii="Times New Roman" w:hAnsi="Times New Roman" w:cs="Times New Roman"/>
          <w:lang w:val="en-GB"/>
        </w:rPr>
        <w:t xml:space="preserve"> of equity partnership</w:t>
      </w:r>
      <w:r w:rsidR="000F3493">
        <w:rPr>
          <w:rFonts w:ascii="Times New Roman" w:hAnsi="Times New Roman" w:cs="Times New Roman"/>
          <w:lang w:val="en-GB"/>
        </w:rPr>
        <w:t xml:space="preserve"> faded away and how non-equity partnership emerged</w:t>
      </w:r>
      <w:r w:rsidR="000452CD" w:rsidRPr="000452CD">
        <w:rPr>
          <w:rFonts w:ascii="Times New Roman" w:hAnsi="Times New Roman" w:cs="Times New Roman"/>
          <w:lang w:val="en-GB"/>
        </w:rPr>
        <w:t xml:space="preserve"> </w:t>
      </w:r>
      <w:r w:rsidR="000452CD">
        <w:rPr>
          <w:rFonts w:ascii="Times New Roman" w:hAnsi="Times New Roman" w:cs="Times New Roman"/>
          <w:lang w:val="en-GB"/>
        </w:rPr>
        <w:t>as a new practice</w:t>
      </w:r>
      <w:r w:rsidR="000F3493" w:rsidRPr="005836D1">
        <w:rPr>
          <w:rFonts w:ascii="Times New Roman" w:hAnsi="Times New Roman" w:cs="Times New Roman"/>
          <w:lang w:val="en-GB"/>
        </w:rPr>
        <w:t>.</w:t>
      </w:r>
      <w:r w:rsidR="000F3493">
        <w:rPr>
          <w:rFonts w:ascii="Times New Roman" w:hAnsi="Times New Roman" w:cs="Times New Roman"/>
          <w:lang w:val="en-GB"/>
        </w:rPr>
        <w:t xml:space="preserve"> </w:t>
      </w:r>
      <w:r w:rsidR="00C67496">
        <w:rPr>
          <w:rFonts w:ascii="Times New Roman" w:hAnsi="Times New Roman" w:cs="Times New Roman"/>
          <w:lang w:val="en-GB"/>
        </w:rPr>
        <w:t xml:space="preserve">Our results contribute to the literature on institutional change and the micro-foundation of institutions. </w:t>
      </w:r>
    </w:p>
    <w:p w14:paraId="3BA9BDB3" w14:textId="77777777" w:rsidR="006E6D7B" w:rsidRDefault="006E6D7B" w:rsidP="006E6D7B">
      <w:pPr>
        <w:spacing w:line="360" w:lineRule="auto"/>
        <w:jc w:val="both"/>
        <w:rPr>
          <w:rFonts w:ascii="Times New Roman" w:hAnsi="Times New Roman" w:cs="Times New Roman"/>
          <w:lang w:val="en-GB"/>
        </w:rPr>
      </w:pPr>
    </w:p>
    <w:p w14:paraId="79DF58DC" w14:textId="77777777" w:rsidR="006E6D7B" w:rsidRDefault="006E6D7B" w:rsidP="006E6D7B">
      <w:pPr>
        <w:spacing w:line="360" w:lineRule="auto"/>
        <w:jc w:val="both"/>
        <w:rPr>
          <w:rFonts w:ascii="Times New Roman" w:hAnsi="Times New Roman" w:cs="Times New Roman"/>
          <w:lang w:val="en-GB"/>
        </w:rPr>
      </w:pPr>
    </w:p>
    <w:p w14:paraId="2FCA6F40" w14:textId="77777777" w:rsidR="00CC1467" w:rsidRDefault="00CC1467" w:rsidP="006E6D7B">
      <w:pPr>
        <w:spacing w:line="360" w:lineRule="auto"/>
        <w:jc w:val="both"/>
        <w:rPr>
          <w:rFonts w:ascii="Times New Roman" w:hAnsi="Times New Roman" w:cs="Times New Roman"/>
          <w:lang w:val="en-GB"/>
        </w:rPr>
      </w:pPr>
    </w:p>
    <w:p w14:paraId="70856586" w14:textId="77777777" w:rsidR="000F3493" w:rsidRDefault="000F3493" w:rsidP="006E6D7B">
      <w:pPr>
        <w:spacing w:line="360" w:lineRule="auto"/>
        <w:jc w:val="both"/>
        <w:rPr>
          <w:rFonts w:ascii="Times New Roman" w:hAnsi="Times New Roman" w:cs="Times New Roman"/>
          <w:lang w:val="en-GB"/>
        </w:rPr>
      </w:pPr>
    </w:p>
    <w:p w14:paraId="4894B4F3" w14:textId="77777777" w:rsidR="000F3493" w:rsidRDefault="000F3493" w:rsidP="006E6D7B">
      <w:pPr>
        <w:spacing w:line="360" w:lineRule="auto"/>
        <w:jc w:val="both"/>
        <w:rPr>
          <w:rFonts w:ascii="Times New Roman" w:hAnsi="Times New Roman" w:cs="Times New Roman"/>
          <w:lang w:val="en-GB"/>
        </w:rPr>
      </w:pPr>
    </w:p>
    <w:p w14:paraId="39DC7C84" w14:textId="77777777" w:rsidR="00C465EE" w:rsidRDefault="00C465EE" w:rsidP="006E6D7B">
      <w:pPr>
        <w:spacing w:line="360" w:lineRule="auto"/>
        <w:jc w:val="both"/>
        <w:rPr>
          <w:rFonts w:ascii="Times New Roman" w:hAnsi="Times New Roman" w:cs="Times New Roman"/>
          <w:lang w:val="en-GB"/>
        </w:rPr>
      </w:pPr>
    </w:p>
    <w:p w14:paraId="041AC238" w14:textId="77777777" w:rsidR="00CC1467" w:rsidRDefault="00CC1467" w:rsidP="006E6D7B">
      <w:pPr>
        <w:spacing w:line="360" w:lineRule="auto"/>
        <w:jc w:val="both"/>
        <w:rPr>
          <w:rFonts w:ascii="Times New Roman" w:hAnsi="Times New Roman" w:cs="Times New Roman"/>
          <w:lang w:val="en-GB"/>
        </w:rPr>
      </w:pPr>
    </w:p>
    <w:p w14:paraId="0F62937B" w14:textId="77777777" w:rsidR="00C465EE" w:rsidRDefault="00C465EE" w:rsidP="006E6D7B">
      <w:pPr>
        <w:spacing w:line="360" w:lineRule="auto"/>
        <w:jc w:val="both"/>
        <w:rPr>
          <w:rFonts w:ascii="Times New Roman" w:hAnsi="Times New Roman" w:cs="Times New Roman"/>
          <w:lang w:val="en-GB"/>
        </w:rPr>
      </w:pPr>
    </w:p>
    <w:p w14:paraId="31DB4515" w14:textId="77777777" w:rsidR="000F3493" w:rsidRDefault="000F3493" w:rsidP="006E6D7B">
      <w:pPr>
        <w:spacing w:line="360" w:lineRule="auto"/>
        <w:jc w:val="both"/>
        <w:rPr>
          <w:rFonts w:ascii="Times New Roman" w:hAnsi="Times New Roman" w:cs="Times New Roman"/>
          <w:lang w:val="en-GB"/>
        </w:rPr>
      </w:pPr>
    </w:p>
    <w:p w14:paraId="0860F227" w14:textId="39842370" w:rsidR="006E6D7B" w:rsidRDefault="006E6D7B" w:rsidP="006E6D7B">
      <w:pPr>
        <w:spacing w:line="360" w:lineRule="auto"/>
        <w:jc w:val="both"/>
        <w:rPr>
          <w:rFonts w:ascii="Times New Roman" w:hAnsi="Times New Roman" w:cs="Times New Roman"/>
          <w:lang w:val="en-GB"/>
        </w:rPr>
      </w:pPr>
      <w:r w:rsidRPr="00521186">
        <w:rPr>
          <w:rFonts w:ascii="Times New Roman" w:hAnsi="Times New Roman" w:cs="Times New Roman"/>
          <w:b/>
          <w:lang w:val="en-GB"/>
        </w:rPr>
        <w:t>Keywords:</w:t>
      </w:r>
      <w:r>
        <w:rPr>
          <w:rFonts w:ascii="Times New Roman" w:hAnsi="Times New Roman" w:cs="Times New Roman"/>
          <w:lang w:val="en-GB"/>
        </w:rPr>
        <w:t xml:space="preserve"> Micro-foundations of institutions; institutional change; deinstit</w:t>
      </w:r>
      <w:r w:rsidR="00C655DF">
        <w:rPr>
          <w:rFonts w:ascii="Times New Roman" w:hAnsi="Times New Roman" w:cs="Times New Roman"/>
          <w:lang w:val="en-GB"/>
        </w:rPr>
        <w:t xml:space="preserve">utionalization; institutionalization; law firms; </w:t>
      </w:r>
      <w:r>
        <w:rPr>
          <w:rFonts w:ascii="Times New Roman" w:hAnsi="Times New Roman" w:cs="Times New Roman"/>
          <w:lang w:val="en-GB"/>
        </w:rPr>
        <w:t>equity partnership.</w:t>
      </w:r>
    </w:p>
    <w:p w14:paraId="00EAA534" w14:textId="77777777" w:rsidR="006E6D7B" w:rsidRPr="00A467FD" w:rsidRDefault="006E6D7B" w:rsidP="00A467FD">
      <w:pPr>
        <w:spacing w:line="360" w:lineRule="auto"/>
        <w:jc w:val="both"/>
        <w:rPr>
          <w:rFonts w:ascii="Times New Roman" w:hAnsi="Times New Roman" w:cs="Times New Roman"/>
          <w:lang w:val="en-GB"/>
        </w:rPr>
      </w:pPr>
    </w:p>
    <w:p w14:paraId="5ED2F9F5" w14:textId="5DEAC579" w:rsidR="00D90806" w:rsidRDefault="00D90806">
      <w:pPr>
        <w:rPr>
          <w:rFonts w:ascii="Times New Roman" w:hAnsi="Times New Roman" w:cs="Times New Roman"/>
          <w:lang w:val="en-GB"/>
        </w:rPr>
      </w:pPr>
    </w:p>
    <w:p w14:paraId="16B87C21" w14:textId="77777777" w:rsidR="002D114A" w:rsidRDefault="002D114A">
      <w:pPr>
        <w:rPr>
          <w:rFonts w:ascii="Times New Roman" w:hAnsi="Times New Roman" w:cs="Times New Roman"/>
          <w:lang w:val="en-GB"/>
        </w:rPr>
      </w:pPr>
      <w:r>
        <w:rPr>
          <w:rFonts w:ascii="Times New Roman" w:hAnsi="Times New Roman" w:cs="Times New Roman"/>
          <w:lang w:val="en-GB"/>
        </w:rPr>
        <w:br w:type="page"/>
      </w:r>
    </w:p>
    <w:p w14:paraId="038C5E49" w14:textId="5FB014B9" w:rsidR="000D1390" w:rsidRDefault="00803CE6" w:rsidP="001D0485">
      <w:pPr>
        <w:spacing w:line="480" w:lineRule="auto"/>
        <w:jc w:val="both"/>
        <w:rPr>
          <w:rFonts w:ascii="Times New Roman" w:hAnsi="Times New Roman" w:cs="Times New Roman"/>
          <w:lang w:val="en-GB"/>
        </w:rPr>
      </w:pPr>
      <w:r>
        <w:rPr>
          <w:rFonts w:ascii="Times New Roman" w:hAnsi="Times New Roman" w:cs="Times New Roman"/>
          <w:lang w:val="en-GB"/>
        </w:rPr>
        <w:t>Recent</w:t>
      </w:r>
      <w:r w:rsidR="00E8012E">
        <w:rPr>
          <w:rFonts w:ascii="Times New Roman" w:hAnsi="Times New Roman" w:cs="Times New Roman"/>
          <w:lang w:val="en-GB"/>
        </w:rPr>
        <w:t xml:space="preserve"> scholarship in institutional theory </w:t>
      </w:r>
      <w:r>
        <w:rPr>
          <w:rFonts w:ascii="Times New Roman" w:hAnsi="Times New Roman" w:cs="Times New Roman"/>
          <w:lang w:val="en-GB"/>
        </w:rPr>
        <w:t xml:space="preserve">in the past decade </w:t>
      </w:r>
      <w:r w:rsidR="00E8012E">
        <w:rPr>
          <w:rFonts w:ascii="Times New Roman" w:hAnsi="Times New Roman" w:cs="Times New Roman"/>
          <w:lang w:val="en-GB"/>
        </w:rPr>
        <w:t xml:space="preserve">has </w:t>
      </w:r>
      <w:r w:rsidR="00B11782">
        <w:rPr>
          <w:rFonts w:ascii="Times New Roman" w:hAnsi="Times New Roman" w:cs="Times New Roman"/>
          <w:lang w:val="en-GB"/>
        </w:rPr>
        <w:t>examined the links</w:t>
      </w:r>
      <w:r w:rsidR="006F31FE">
        <w:rPr>
          <w:rFonts w:ascii="Times New Roman" w:hAnsi="Times New Roman" w:cs="Times New Roman"/>
          <w:lang w:val="en-GB"/>
        </w:rPr>
        <w:t xml:space="preserve"> between </w:t>
      </w:r>
      <w:r w:rsidR="00B334E2">
        <w:rPr>
          <w:rFonts w:ascii="Times New Roman" w:hAnsi="Times New Roman" w:cs="Times New Roman"/>
          <w:lang w:val="en-GB"/>
        </w:rPr>
        <w:t xml:space="preserve">micro </w:t>
      </w:r>
      <w:r w:rsidR="00117DE0">
        <w:rPr>
          <w:rFonts w:ascii="Times New Roman" w:hAnsi="Times New Roman" w:cs="Times New Roman"/>
          <w:lang w:val="en-GB"/>
        </w:rPr>
        <w:t>processes</w:t>
      </w:r>
      <w:r w:rsidR="006B1D5D">
        <w:rPr>
          <w:rFonts w:ascii="Times New Roman" w:hAnsi="Times New Roman" w:cs="Times New Roman"/>
          <w:lang w:val="en-GB"/>
        </w:rPr>
        <w:t>, how they aggregate at the organizational level</w:t>
      </w:r>
      <w:r w:rsidR="005961E2">
        <w:rPr>
          <w:rFonts w:ascii="Times New Roman" w:hAnsi="Times New Roman" w:cs="Times New Roman"/>
          <w:lang w:val="en-GB"/>
        </w:rPr>
        <w:t xml:space="preserve">, </w:t>
      </w:r>
      <w:r w:rsidR="006F31FE">
        <w:rPr>
          <w:rFonts w:ascii="Times New Roman" w:hAnsi="Times New Roman" w:cs="Times New Roman"/>
          <w:lang w:val="en-GB"/>
        </w:rPr>
        <w:t>and institutional dynamics</w:t>
      </w:r>
      <w:r w:rsidR="00E8012E">
        <w:rPr>
          <w:rFonts w:ascii="Times New Roman" w:hAnsi="Times New Roman" w:cs="Times New Roman"/>
          <w:lang w:val="en-GB"/>
        </w:rPr>
        <w:t xml:space="preserve"> (Powell &amp; Colyvas, 2008)</w:t>
      </w:r>
      <w:r w:rsidR="003148F4">
        <w:rPr>
          <w:rFonts w:ascii="Times New Roman" w:hAnsi="Times New Roman" w:cs="Times New Roman"/>
          <w:lang w:val="en-GB"/>
        </w:rPr>
        <w:t xml:space="preserve">. </w:t>
      </w:r>
      <w:r w:rsidR="00245359">
        <w:rPr>
          <w:rFonts w:ascii="Times New Roman" w:hAnsi="Times New Roman" w:cs="Times New Roman"/>
          <w:lang w:val="en-GB"/>
        </w:rPr>
        <w:t>The micro</w:t>
      </w:r>
      <w:r w:rsidR="000077BD">
        <w:rPr>
          <w:rFonts w:ascii="Times New Roman" w:hAnsi="Times New Roman" w:cs="Times New Roman"/>
          <w:lang w:val="en-GB"/>
        </w:rPr>
        <w:t>-</w:t>
      </w:r>
      <w:r w:rsidR="00245359">
        <w:rPr>
          <w:rFonts w:ascii="Times New Roman" w:hAnsi="Times New Roman" w:cs="Times New Roman"/>
          <w:lang w:val="en-GB"/>
        </w:rPr>
        <w:t>foundations</w:t>
      </w:r>
      <w:r w:rsidR="00C70DE0">
        <w:rPr>
          <w:rFonts w:ascii="Times New Roman" w:hAnsi="Times New Roman" w:cs="Times New Roman"/>
          <w:lang w:val="en-GB"/>
        </w:rPr>
        <w:t xml:space="preserve"> agenda in institutional theory, in particular, </w:t>
      </w:r>
      <w:r w:rsidR="00245359">
        <w:rPr>
          <w:rFonts w:ascii="Times New Roman" w:hAnsi="Times New Roman" w:cs="Times New Roman"/>
          <w:lang w:val="en-GB"/>
        </w:rPr>
        <w:t xml:space="preserve">has tried to </w:t>
      </w:r>
      <w:r w:rsidR="00C5394F">
        <w:rPr>
          <w:rFonts w:ascii="Times New Roman" w:hAnsi="Times New Roman" w:cs="Times New Roman"/>
          <w:lang w:val="en-GB"/>
        </w:rPr>
        <w:t>inform the role played by every</w:t>
      </w:r>
      <w:r w:rsidR="00245359">
        <w:rPr>
          <w:rFonts w:ascii="Times New Roman" w:hAnsi="Times New Roman" w:cs="Times New Roman"/>
          <w:lang w:val="en-GB"/>
        </w:rPr>
        <w:t>day action</w:t>
      </w:r>
      <w:r w:rsidR="00C5394F">
        <w:rPr>
          <w:rFonts w:ascii="Times New Roman" w:hAnsi="Times New Roman" w:cs="Times New Roman"/>
          <w:lang w:val="en-GB"/>
        </w:rPr>
        <w:t>s</w:t>
      </w:r>
      <w:r w:rsidR="00245359">
        <w:rPr>
          <w:rFonts w:ascii="Times New Roman" w:hAnsi="Times New Roman" w:cs="Times New Roman"/>
          <w:lang w:val="en-GB"/>
        </w:rPr>
        <w:t xml:space="preserve"> and </w:t>
      </w:r>
      <w:r w:rsidR="00C6612F">
        <w:rPr>
          <w:rFonts w:ascii="Times New Roman" w:hAnsi="Times New Roman" w:cs="Times New Roman"/>
          <w:lang w:val="en-GB"/>
        </w:rPr>
        <w:t>processes carried out at a more micro-</w:t>
      </w:r>
      <w:r w:rsidR="00245359">
        <w:rPr>
          <w:rFonts w:ascii="Times New Roman" w:hAnsi="Times New Roman" w:cs="Times New Roman"/>
          <w:lang w:val="en-GB"/>
        </w:rPr>
        <w:t>level in the institutionalization p</w:t>
      </w:r>
      <w:r w:rsidR="00180795">
        <w:rPr>
          <w:rFonts w:ascii="Times New Roman" w:hAnsi="Times New Roman" w:cs="Times New Roman"/>
          <w:lang w:val="en-GB"/>
        </w:rPr>
        <w:t>rocess (Powell &amp; Rerup, 201</w:t>
      </w:r>
      <w:r w:rsidR="007B58F2">
        <w:rPr>
          <w:rFonts w:ascii="Times New Roman" w:hAnsi="Times New Roman" w:cs="Times New Roman"/>
          <w:lang w:val="en-GB"/>
        </w:rPr>
        <w:t>7</w:t>
      </w:r>
      <w:r w:rsidR="00180795">
        <w:rPr>
          <w:rFonts w:ascii="Times New Roman" w:hAnsi="Times New Roman" w:cs="Times New Roman"/>
          <w:lang w:val="en-GB"/>
        </w:rPr>
        <w:t xml:space="preserve">). </w:t>
      </w:r>
      <w:r w:rsidR="00B8726F">
        <w:rPr>
          <w:rFonts w:ascii="Times New Roman" w:hAnsi="Times New Roman" w:cs="Times New Roman"/>
          <w:lang w:val="en-GB"/>
        </w:rPr>
        <w:t xml:space="preserve">However, how </w:t>
      </w:r>
      <w:r w:rsidR="00245359">
        <w:rPr>
          <w:rFonts w:ascii="Times New Roman" w:hAnsi="Times New Roman" w:cs="Times New Roman"/>
          <w:lang w:val="en-GB"/>
        </w:rPr>
        <w:t xml:space="preserve">this micro-level </w:t>
      </w:r>
      <w:r w:rsidR="00B8726F">
        <w:rPr>
          <w:rFonts w:ascii="Times New Roman" w:hAnsi="Times New Roman" w:cs="Times New Roman"/>
          <w:lang w:val="en-GB"/>
        </w:rPr>
        <w:t>exactly works</w:t>
      </w:r>
      <w:r w:rsidR="00006DDA">
        <w:rPr>
          <w:rFonts w:ascii="Times New Roman" w:hAnsi="Times New Roman" w:cs="Times New Roman"/>
          <w:lang w:val="en-GB"/>
        </w:rPr>
        <w:t>, what matters there and how it does,</w:t>
      </w:r>
      <w:r w:rsidR="00B8726F">
        <w:rPr>
          <w:rFonts w:ascii="Times New Roman" w:hAnsi="Times New Roman" w:cs="Times New Roman"/>
          <w:lang w:val="en-GB"/>
        </w:rPr>
        <w:t xml:space="preserve"> </w:t>
      </w:r>
      <w:r w:rsidR="00245359">
        <w:rPr>
          <w:rFonts w:ascii="Times New Roman" w:hAnsi="Times New Roman" w:cs="Times New Roman"/>
          <w:lang w:val="en-GB"/>
        </w:rPr>
        <w:t xml:space="preserve">remain to be fully understood. </w:t>
      </w:r>
      <w:r w:rsidR="003148F4">
        <w:rPr>
          <w:rFonts w:ascii="Times New Roman" w:hAnsi="Times New Roman" w:cs="Times New Roman"/>
          <w:lang w:val="en-GB"/>
        </w:rPr>
        <w:t xml:space="preserve">For some scholars, this perspective </w:t>
      </w:r>
      <w:r w:rsidR="00B8726F">
        <w:rPr>
          <w:rFonts w:ascii="Times New Roman" w:hAnsi="Times New Roman" w:cs="Times New Roman"/>
          <w:lang w:val="en-GB"/>
        </w:rPr>
        <w:t xml:space="preserve">put </w:t>
      </w:r>
      <w:r w:rsidR="00510E72">
        <w:rPr>
          <w:rFonts w:ascii="Times New Roman" w:hAnsi="Times New Roman" w:cs="Times New Roman"/>
          <w:lang w:val="en-GB"/>
        </w:rPr>
        <w:t xml:space="preserve">more focus and importance to </w:t>
      </w:r>
      <w:r w:rsidR="003148F4">
        <w:rPr>
          <w:rFonts w:ascii="Times New Roman" w:hAnsi="Times New Roman" w:cs="Times New Roman"/>
          <w:lang w:val="en-GB"/>
        </w:rPr>
        <w:t xml:space="preserve">broadly defined </w:t>
      </w:r>
      <w:r w:rsidR="00510E72">
        <w:rPr>
          <w:rFonts w:ascii="Times New Roman" w:hAnsi="Times New Roman" w:cs="Times New Roman"/>
          <w:lang w:val="en-GB"/>
        </w:rPr>
        <w:t>agents (Battilana, 2006</w:t>
      </w:r>
      <w:r w:rsidR="003148F4">
        <w:rPr>
          <w:rFonts w:ascii="Times New Roman" w:hAnsi="Times New Roman" w:cs="Times New Roman"/>
          <w:lang w:val="en-GB"/>
        </w:rPr>
        <w:t>; Powell &amp; Rerup, 201</w:t>
      </w:r>
      <w:r w:rsidR="007B58F2">
        <w:rPr>
          <w:rFonts w:ascii="Times New Roman" w:hAnsi="Times New Roman" w:cs="Times New Roman"/>
          <w:lang w:val="en-GB"/>
        </w:rPr>
        <w:t>7</w:t>
      </w:r>
      <w:r w:rsidR="00510E72">
        <w:rPr>
          <w:rFonts w:ascii="Times New Roman" w:hAnsi="Times New Roman" w:cs="Times New Roman"/>
          <w:lang w:val="en-GB"/>
        </w:rPr>
        <w:t>)</w:t>
      </w:r>
      <w:r w:rsidR="00952CAF">
        <w:rPr>
          <w:rFonts w:ascii="Times New Roman" w:hAnsi="Times New Roman" w:cs="Times New Roman"/>
          <w:lang w:val="en-GB"/>
        </w:rPr>
        <w:t xml:space="preserve">, </w:t>
      </w:r>
      <w:r w:rsidR="003148F4">
        <w:rPr>
          <w:rFonts w:ascii="Times New Roman" w:hAnsi="Times New Roman" w:cs="Times New Roman"/>
          <w:lang w:val="en-GB"/>
        </w:rPr>
        <w:t>while other</w:t>
      </w:r>
      <w:r w:rsidR="00952CAF">
        <w:rPr>
          <w:rFonts w:ascii="Times New Roman" w:hAnsi="Times New Roman" w:cs="Times New Roman"/>
          <w:lang w:val="en-GB"/>
        </w:rPr>
        <w:t>s</w:t>
      </w:r>
      <w:r w:rsidR="003148F4">
        <w:rPr>
          <w:rFonts w:ascii="Times New Roman" w:hAnsi="Times New Roman" w:cs="Times New Roman"/>
          <w:lang w:val="en-GB"/>
        </w:rPr>
        <w:t xml:space="preserve"> </w:t>
      </w:r>
      <w:r w:rsidR="007019F7">
        <w:rPr>
          <w:rFonts w:ascii="Times New Roman" w:hAnsi="Times New Roman" w:cs="Times New Roman"/>
          <w:lang w:val="en-GB"/>
        </w:rPr>
        <w:t xml:space="preserve">see it as </w:t>
      </w:r>
      <w:r w:rsidR="00B8726F">
        <w:rPr>
          <w:rFonts w:ascii="Times New Roman" w:hAnsi="Times New Roman" w:cs="Times New Roman"/>
          <w:lang w:val="en-GB"/>
        </w:rPr>
        <w:t>an opportunity</w:t>
      </w:r>
      <w:r w:rsidR="007019F7">
        <w:rPr>
          <w:rFonts w:ascii="Times New Roman" w:hAnsi="Times New Roman" w:cs="Times New Roman"/>
          <w:lang w:val="en-GB"/>
        </w:rPr>
        <w:t xml:space="preserve"> to focus on interactions at various levels of analysis (Gibson &amp; Vom Lehn, 2017)</w:t>
      </w:r>
      <w:r w:rsidR="00E8012E">
        <w:rPr>
          <w:rFonts w:ascii="Times New Roman" w:hAnsi="Times New Roman" w:cs="Times New Roman"/>
          <w:lang w:val="en-GB"/>
        </w:rPr>
        <w:t>.</w:t>
      </w:r>
      <w:r w:rsidR="006C2D73">
        <w:rPr>
          <w:rFonts w:ascii="Times New Roman" w:hAnsi="Times New Roman" w:cs="Times New Roman"/>
          <w:lang w:val="en-GB"/>
        </w:rPr>
        <w:t xml:space="preserve"> </w:t>
      </w:r>
      <w:r w:rsidR="00041F63">
        <w:rPr>
          <w:rFonts w:ascii="Times New Roman" w:hAnsi="Times New Roman" w:cs="Times New Roman"/>
          <w:lang w:val="en-GB"/>
        </w:rPr>
        <w:t xml:space="preserve">Recent work has framed this debate around the </w:t>
      </w:r>
      <w:r w:rsidR="00180795">
        <w:rPr>
          <w:rFonts w:ascii="Times New Roman" w:hAnsi="Times New Roman" w:cs="Times New Roman"/>
          <w:lang w:val="en-GB"/>
        </w:rPr>
        <w:t>dichotomy of agency versus</w:t>
      </w:r>
      <w:r w:rsidR="00890AE6">
        <w:rPr>
          <w:rFonts w:ascii="Times New Roman" w:hAnsi="Times New Roman" w:cs="Times New Roman"/>
          <w:lang w:val="en-GB"/>
        </w:rPr>
        <w:t xml:space="preserve"> structure (</w:t>
      </w:r>
      <w:r w:rsidR="00952CAF">
        <w:rPr>
          <w:rFonts w:ascii="Times New Roman" w:hAnsi="Times New Roman" w:cs="Times New Roman"/>
          <w:lang w:val="en-GB"/>
        </w:rPr>
        <w:t xml:space="preserve">Cardinale, 2018), </w:t>
      </w:r>
      <w:r w:rsidR="00B8726F">
        <w:rPr>
          <w:rFonts w:ascii="Times New Roman" w:hAnsi="Times New Roman" w:cs="Times New Roman"/>
          <w:lang w:val="en-GB"/>
        </w:rPr>
        <w:t xml:space="preserve">while </w:t>
      </w:r>
      <w:r w:rsidR="0094360E">
        <w:rPr>
          <w:rFonts w:ascii="Times New Roman" w:hAnsi="Times New Roman" w:cs="Times New Roman"/>
          <w:lang w:val="en-GB"/>
        </w:rPr>
        <w:t>other</w:t>
      </w:r>
      <w:r w:rsidR="000C5F62">
        <w:rPr>
          <w:rFonts w:ascii="Times New Roman" w:hAnsi="Times New Roman" w:cs="Times New Roman"/>
          <w:lang w:val="en-GB"/>
        </w:rPr>
        <w:t>s</w:t>
      </w:r>
      <w:r w:rsidR="0094360E">
        <w:rPr>
          <w:rFonts w:ascii="Times New Roman" w:hAnsi="Times New Roman" w:cs="Times New Roman"/>
          <w:lang w:val="en-GB"/>
        </w:rPr>
        <w:t xml:space="preserve"> </w:t>
      </w:r>
      <w:r w:rsidR="00605011">
        <w:rPr>
          <w:rFonts w:ascii="Times New Roman" w:hAnsi="Times New Roman" w:cs="Times New Roman"/>
          <w:lang w:val="en-GB"/>
        </w:rPr>
        <w:t xml:space="preserve">have challenged this dichotomy to stress the importance of </w:t>
      </w:r>
      <w:r w:rsidR="00DF1EDA">
        <w:rPr>
          <w:rFonts w:ascii="Times New Roman" w:hAnsi="Times New Roman" w:cs="Times New Roman"/>
          <w:lang w:val="en-GB"/>
        </w:rPr>
        <w:t>considering</w:t>
      </w:r>
      <w:r w:rsidR="00605011">
        <w:rPr>
          <w:rFonts w:ascii="Times New Roman" w:hAnsi="Times New Roman" w:cs="Times New Roman"/>
          <w:lang w:val="en-GB"/>
        </w:rPr>
        <w:t xml:space="preserve"> multiple levels </w:t>
      </w:r>
      <w:r w:rsidR="00010555">
        <w:rPr>
          <w:rFonts w:ascii="Times New Roman" w:hAnsi="Times New Roman" w:cs="Times New Roman"/>
          <w:lang w:val="en-GB"/>
        </w:rPr>
        <w:t xml:space="preserve">(or a continuum of levels) </w:t>
      </w:r>
      <w:r w:rsidR="00605011">
        <w:rPr>
          <w:rFonts w:ascii="Times New Roman" w:hAnsi="Times New Roman" w:cs="Times New Roman"/>
          <w:lang w:val="en-GB"/>
        </w:rPr>
        <w:t>of analysis in examining the micro</w:t>
      </w:r>
      <w:r w:rsidR="007A333B">
        <w:rPr>
          <w:rFonts w:ascii="Times New Roman" w:hAnsi="Times New Roman" w:cs="Times New Roman"/>
          <w:lang w:val="en-GB"/>
        </w:rPr>
        <w:t>-</w:t>
      </w:r>
      <w:r w:rsidR="00605011">
        <w:rPr>
          <w:rFonts w:ascii="Times New Roman" w:hAnsi="Times New Roman" w:cs="Times New Roman"/>
          <w:lang w:val="en-GB"/>
        </w:rPr>
        <w:t>found</w:t>
      </w:r>
      <w:r w:rsidR="007A572A">
        <w:rPr>
          <w:rFonts w:ascii="Times New Roman" w:hAnsi="Times New Roman" w:cs="Times New Roman"/>
          <w:lang w:val="en-GB"/>
        </w:rPr>
        <w:t xml:space="preserve">ations of institutions (Harmon et al., </w:t>
      </w:r>
      <w:r w:rsidR="00D478DE">
        <w:rPr>
          <w:rFonts w:ascii="Times New Roman" w:hAnsi="Times New Roman" w:cs="Times New Roman"/>
          <w:lang w:val="en-GB"/>
        </w:rPr>
        <w:t>2018</w:t>
      </w:r>
      <w:r w:rsidR="00605011">
        <w:rPr>
          <w:rFonts w:ascii="Times New Roman" w:hAnsi="Times New Roman" w:cs="Times New Roman"/>
          <w:lang w:val="en-GB"/>
        </w:rPr>
        <w:t>).</w:t>
      </w:r>
      <w:r w:rsidR="0042609C">
        <w:rPr>
          <w:rFonts w:ascii="Times New Roman" w:hAnsi="Times New Roman" w:cs="Times New Roman"/>
          <w:lang w:val="en-GB"/>
        </w:rPr>
        <w:t xml:space="preserve"> </w:t>
      </w:r>
      <w:r w:rsidR="00C6612F">
        <w:rPr>
          <w:rFonts w:ascii="Times New Roman" w:hAnsi="Times New Roman" w:cs="Times New Roman"/>
          <w:lang w:val="en-GB"/>
        </w:rPr>
        <w:t>These</w:t>
      </w:r>
      <w:r w:rsidR="006522D8">
        <w:rPr>
          <w:rFonts w:ascii="Times New Roman" w:hAnsi="Times New Roman" w:cs="Times New Roman"/>
          <w:lang w:val="en-GB"/>
        </w:rPr>
        <w:t xml:space="preserve"> authors</w:t>
      </w:r>
      <w:r w:rsidR="007A333B">
        <w:rPr>
          <w:rFonts w:ascii="Times New Roman" w:hAnsi="Times New Roman" w:cs="Times New Roman"/>
          <w:lang w:val="en-GB"/>
        </w:rPr>
        <w:t xml:space="preserve"> call for m</w:t>
      </w:r>
      <w:r w:rsidR="0042609C">
        <w:rPr>
          <w:rFonts w:ascii="Times New Roman" w:hAnsi="Times New Roman" w:cs="Times New Roman"/>
          <w:lang w:val="en-GB"/>
        </w:rPr>
        <w:t>ulti-</w:t>
      </w:r>
      <w:r w:rsidR="005E0703">
        <w:rPr>
          <w:rFonts w:ascii="Times New Roman" w:hAnsi="Times New Roman" w:cs="Times New Roman"/>
          <w:lang w:val="en-GB"/>
        </w:rPr>
        <w:t>level</w:t>
      </w:r>
      <w:r w:rsidR="0042609C">
        <w:rPr>
          <w:rFonts w:ascii="Times New Roman" w:hAnsi="Times New Roman" w:cs="Times New Roman"/>
          <w:lang w:val="en-GB"/>
        </w:rPr>
        <w:t xml:space="preserve"> </w:t>
      </w:r>
      <w:r w:rsidR="00C6612F">
        <w:rPr>
          <w:rFonts w:ascii="Times New Roman" w:hAnsi="Times New Roman" w:cs="Times New Roman"/>
          <w:lang w:val="en-GB"/>
        </w:rPr>
        <w:t xml:space="preserve">analyses </w:t>
      </w:r>
      <w:r w:rsidR="007A333B">
        <w:rPr>
          <w:rFonts w:ascii="Times New Roman" w:hAnsi="Times New Roman" w:cs="Times New Roman"/>
          <w:lang w:val="en-GB"/>
        </w:rPr>
        <w:t xml:space="preserve">to advance our </w:t>
      </w:r>
      <w:r w:rsidR="005961E2">
        <w:rPr>
          <w:rFonts w:ascii="Times New Roman" w:hAnsi="Times New Roman" w:cs="Times New Roman"/>
          <w:lang w:val="en-GB"/>
        </w:rPr>
        <w:t xml:space="preserve">understanding </w:t>
      </w:r>
      <w:r w:rsidR="007A333B">
        <w:rPr>
          <w:rFonts w:ascii="Times New Roman" w:hAnsi="Times New Roman" w:cs="Times New Roman"/>
          <w:lang w:val="en-GB"/>
        </w:rPr>
        <w:t>of the micro-foundations of institutions</w:t>
      </w:r>
      <w:r w:rsidR="00CE2294">
        <w:rPr>
          <w:rFonts w:ascii="Times New Roman" w:hAnsi="Times New Roman" w:cs="Times New Roman"/>
          <w:lang w:val="en-GB"/>
        </w:rPr>
        <w:t xml:space="preserve">, </w:t>
      </w:r>
      <w:r w:rsidR="00BF53D2">
        <w:rPr>
          <w:rFonts w:ascii="Times New Roman" w:hAnsi="Times New Roman" w:cs="Times New Roman"/>
          <w:lang w:val="en-GB"/>
        </w:rPr>
        <w:t xml:space="preserve">taking </w:t>
      </w:r>
      <w:r w:rsidR="005961E2">
        <w:rPr>
          <w:rFonts w:ascii="Times New Roman" w:hAnsi="Times New Roman" w:cs="Times New Roman"/>
          <w:lang w:val="en-GB"/>
        </w:rPr>
        <w:t xml:space="preserve">into </w:t>
      </w:r>
      <w:r w:rsidR="00CE2294">
        <w:rPr>
          <w:rFonts w:ascii="Times New Roman" w:hAnsi="Times New Roman" w:cs="Times New Roman"/>
          <w:lang w:val="en-GB"/>
        </w:rPr>
        <w:t>account that the characteristics of organizations are driven in part by the characteristics of their members</w:t>
      </w:r>
      <w:r w:rsidR="005961E2">
        <w:rPr>
          <w:rFonts w:ascii="Times New Roman" w:hAnsi="Times New Roman" w:cs="Times New Roman"/>
          <w:lang w:val="en-GB"/>
        </w:rPr>
        <w:t xml:space="preserve"> and that </w:t>
      </w:r>
      <w:r w:rsidR="000F3745">
        <w:rPr>
          <w:rFonts w:ascii="Times New Roman" w:hAnsi="Times New Roman" w:cs="Times New Roman"/>
          <w:lang w:val="en-GB"/>
        </w:rPr>
        <w:t>the population</w:t>
      </w:r>
      <w:r w:rsidR="001D6F91">
        <w:rPr>
          <w:rFonts w:ascii="Times New Roman" w:hAnsi="Times New Roman" w:cs="Times New Roman"/>
          <w:lang w:val="en-GB"/>
        </w:rPr>
        <w:t xml:space="preserve"> of an organization</w:t>
      </w:r>
      <w:r w:rsidR="00CE2294">
        <w:rPr>
          <w:rFonts w:ascii="Times New Roman" w:hAnsi="Times New Roman" w:cs="Times New Roman"/>
          <w:lang w:val="en-GB"/>
        </w:rPr>
        <w:t xml:space="preserve">, its composition and </w:t>
      </w:r>
      <w:r w:rsidR="001D6F91">
        <w:rPr>
          <w:rFonts w:ascii="Times New Roman" w:hAnsi="Times New Roman" w:cs="Times New Roman"/>
          <w:lang w:val="en-GB"/>
        </w:rPr>
        <w:t>attributes</w:t>
      </w:r>
      <w:r w:rsidR="00952CAF">
        <w:rPr>
          <w:rFonts w:ascii="Times New Roman" w:hAnsi="Times New Roman" w:cs="Times New Roman"/>
          <w:lang w:val="en-GB"/>
        </w:rPr>
        <w:t xml:space="preserve"> influence its decision-making and this, in turn, influence</w:t>
      </w:r>
      <w:r w:rsidR="005F5D1D">
        <w:rPr>
          <w:rFonts w:ascii="Times New Roman" w:hAnsi="Times New Roman" w:cs="Times New Roman"/>
          <w:lang w:val="en-GB"/>
        </w:rPr>
        <w:t>s</w:t>
      </w:r>
      <w:r w:rsidR="000C5F62">
        <w:rPr>
          <w:rFonts w:ascii="Times New Roman" w:hAnsi="Times New Roman" w:cs="Times New Roman"/>
          <w:lang w:val="en-GB"/>
        </w:rPr>
        <w:t xml:space="preserve"> more </w:t>
      </w:r>
      <w:r w:rsidR="00952CAF">
        <w:rPr>
          <w:rFonts w:ascii="Times New Roman" w:hAnsi="Times New Roman" w:cs="Times New Roman"/>
          <w:lang w:val="en-GB"/>
        </w:rPr>
        <w:t xml:space="preserve">macro dynamics. </w:t>
      </w:r>
    </w:p>
    <w:p w14:paraId="123494C1" w14:textId="6B8519DA" w:rsidR="00525574" w:rsidRDefault="00B334E2" w:rsidP="00890EA3">
      <w:pPr>
        <w:spacing w:line="480" w:lineRule="auto"/>
        <w:ind w:firstLine="720"/>
        <w:jc w:val="both"/>
        <w:rPr>
          <w:rFonts w:ascii="Times New Roman" w:hAnsi="Times New Roman" w:cs="Times New Roman"/>
          <w:lang w:val="en-GB"/>
        </w:rPr>
      </w:pPr>
      <w:r>
        <w:rPr>
          <w:rFonts w:ascii="Times New Roman" w:hAnsi="Times New Roman" w:cs="Times New Roman"/>
          <w:lang w:val="en-GB"/>
        </w:rPr>
        <w:t>At the same time</w:t>
      </w:r>
      <w:r w:rsidR="006C2D73">
        <w:rPr>
          <w:rFonts w:ascii="Times New Roman" w:hAnsi="Times New Roman" w:cs="Times New Roman"/>
          <w:lang w:val="en-GB"/>
        </w:rPr>
        <w:t xml:space="preserve">, research has </w:t>
      </w:r>
      <w:r w:rsidR="007A333B">
        <w:rPr>
          <w:rFonts w:ascii="Times New Roman" w:hAnsi="Times New Roman" w:cs="Times New Roman"/>
          <w:lang w:val="en-GB"/>
        </w:rPr>
        <w:t xml:space="preserve">examined </w:t>
      </w:r>
      <w:r w:rsidR="006A4D76">
        <w:rPr>
          <w:rFonts w:ascii="Times New Roman" w:hAnsi="Times New Roman" w:cs="Times New Roman"/>
          <w:lang w:val="en-GB"/>
        </w:rPr>
        <w:t>institutional change</w:t>
      </w:r>
      <w:r w:rsidR="006467DF">
        <w:rPr>
          <w:rFonts w:ascii="Times New Roman" w:hAnsi="Times New Roman" w:cs="Times New Roman"/>
          <w:lang w:val="en-GB"/>
        </w:rPr>
        <w:t xml:space="preserve"> (Micelotta et al., </w:t>
      </w:r>
      <w:r w:rsidR="00E91824">
        <w:rPr>
          <w:rFonts w:ascii="Times New Roman" w:hAnsi="Times New Roman" w:cs="Times New Roman"/>
          <w:lang w:val="en-GB"/>
        </w:rPr>
        <w:t>2017)</w:t>
      </w:r>
      <w:r w:rsidR="006A4D76">
        <w:rPr>
          <w:rFonts w:ascii="Times New Roman" w:hAnsi="Times New Roman" w:cs="Times New Roman"/>
          <w:lang w:val="en-GB"/>
        </w:rPr>
        <w:t>, in particular through the prism of</w:t>
      </w:r>
      <w:r w:rsidR="007A333B">
        <w:rPr>
          <w:rFonts w:ascii="Times New Roman" w:hAnsi="Times New Roman" w:cs="Times New Roman"/>
          <w:lang w:val="en-GB"/>
        </w:rPr>
        <w:t xml:space="preserve"> divergence and convergence</w:t>
      </w:r>
      <w:r w:rsidR="006C2D73">
        <w:rPr>
          <w:rFonts w:ascii="Times New Roman" w:hAnsi="Times New Roman" w:cs="Times New Roman"/>
          <w:lang w:val="en-GB"/>
        </w:rPr>
        <w:t xml:space="preserve"> </w:t>
      </w:r>
      <w:r w:rsidR="009C6B21">
        <w:rPr>
          <w:rFonts w:ascii="Times New Roman" w:hAnsi="Times New Roman" w:cs="Times New Roman"/>
          <w:lang w:val="en-GB"/>
        </w:rPr>
        <w:t>of</w:t>
      </w:r>
      <w:r w:rsidR="006C2D73">
        <w:rPr>
          <w:rFonts w:ascii="Times New Roman" w:hAnsi="Times New Roman" w:cs="Times New Roman"/>
          <w:lang w:val="en-GB"/>
        </w:rPr>
        <w:t xml:space="preserve"> institutionalization and deinstitutionalization processes (Oliver, 1992)</w:t>
      </w:r>
      <w:r w:rsidR="008607AC">
        <w:rPr>
          <w:rFonts w:ascii="Times New Roman" w:hAnsi="Times New Roman" w:cs="Times New Roman"/>
          <w:lang w:val="en-GB"/>
        </w:rPr>
        <w:t xml:space="preserve">. </w:t>
      </w:r>
      <w:r w:rsidR="000D3FD4">
        <w:rPr>
          <w:rFonts w:ascii="Times New Roman" w:hAnsi="Times New Roman" w:cs="Times New Roman"/>
          <w:lang w:val="en-GB"/>
        </w:rPr>
        <w:t>I</w:t>
      </w:r>
      <w:r w:rsidR="00E3244E">
        <w:rPr>
          <w:rFonts w:ascii="Times New Roman" w:hAnsi="Times New Roman" w:cs="Times New Roman"/>
          <w:lang w:val="en-GB"/>
        </w:rPr>
        <w:t xml:space="preserve">nstitutions may erode </w:t>
      </w:r>
      <w:r w:rsidR="00F12FF7">
        <w:rPr>
          <w:rFonts w:ascii="Times New Roman" w:hAnsi="Times New Roman" w:cs="Times New Roman"/>
          <w:lang w:val="en-GB"/>
        </w:rPr>
        <w:t>under a variety of conditions</w:t>
      </w:r>
      <w:r w:rsidR="00F27CBD">
        <w:rPr>
          <w:rFonts w:ascii="Times New Roman" w:hAnsi="Times New Roman" w:cs="Times New Roman"/>
          <w:lang w:val="en-GB"/>
        </w:rPr>
        <w:t>, as they lose enactors and participants</w:t>
      </w:r>
      <w:r w:rsidR="007A572A">
        <w:rPr>
          <w:rFonts w:ascii="Times New Roman" w:hAnsi="Times New Roman" w:cs="Times New Roman"/>
          <w:lang w:val="en-GB"/>
        </w:rPr>
        <w:t xml:space="preserve"> (Davis et al., </w:t>
      </w:r>
      <w:r w:rsidR="000801BE">
        <w:rPr>
          <w:rFonts w:ascii="Times New Roman" w:hAnsi="Times New Roman" w:cs="Times New Roman"/>
          <w:lang w:val="en-GB"/>
        </w:rPr>
        <w:t>1994)</w:t>
      </w:r>
      <w:r w:rsidR="00952CAF">
        <w:rPr>
          <w:rFonts w:ascii="Times New Roman" w:hAnsi="Times New Roman" w:cs="Times New Roman"/>
          <w:lang w:val="en-GB"/>
        </w:rPr>
        <w:t xml:space="preserve">, </w:t>
      </w:r>
      <w:r w:rsidR="00B50CAD">
        <w:rPr>
          <w:rFonts w:ascii="Times New Roman" w:hAnsi="Times New Roman" w:cs="Times New Roman"/>
          <w:lang w:val="en-GB"/>
        </w:rPr>
        <w:t>creating space for new institutions to emerge</w:t>
      </w:r>
      <w:r w:rsidR="00144879">
        <w:rPr>
          <w:rFonts w:ascii="Times New Roman" w:hAnsi="Times New Roman" w:cs="Times New Roman"/>
          <w:lang w:val="en-GB"/>
        </w:rPr>
        <w:t xml:space="preserve"> (Ahmadjian </w:t>
      </w:r>
      <w:r w:rsidR="00952CAF">
        <w:rPr>
          <w:rFonts w:ascii="Times New Roman" w:hAnsi="Times New Roman" w:cs="Times New Roman"/>
          <w:lang w:val="en-GB"/>
        </w:rPr>
        <w:t>&amp;</w:t>
      </w:r>
      <w:r w:rsidR="00144879">
        <w:rPr>
          <w:rFonts w:ascii="Times New Roman" w:hAnsi="Times New Roman" w:cs="Times New Roman"/>
          <w:lang w:val="en-GB"/>
        </w:rPr>
        <w:t xml:space="preserve"> Robinson, </w:t>
      </w:r>
      <w:r w:rsidR="00144879" w:rsidRPr="00144879">
        <w:rPr>
          <w:rFonts w:ascii="Times New Roman" w:hAnsi="Times New Roman" w:cs="Times New Roman"/>
          <w:lang w:val="en-GB"/>
        </w:rPr>
        <w:t>2001)</w:t>
      </w:r>
      <w:r w:rsidR="00B50CAD">
        <w:rPr>
          <w:rFonts w:ascii="Times New Roman" w:hAnsi="Times New Roman" w:cs="Times New Roman"/>
          <w:lang w:val="en-GB"/>
        </w:rPr>
        <w:t>.</w:t>
      </w:r>
      <w:r w:rsidR="00890EA3" w:rsidRPr="005836D1">
        <w:rPr>
          <w:rFonts w:ascii="Times New Roman" w:hAnsi="Times New Roman" w:cs="Times New Roman"/>
          <w:lang w:val="en-GB"/>
        </w:rPr>
        <w:t xml:space="preserve"> Existing work on deinstitutionalization focuses on </w:t>
      </w:r>
      <w:r w:rsidR="00890EA3">
        <w:rPr>
          <w:rFonts w:ascii="Times New Roman" w:hAnsi="Times New Roman" w:cs="Times New Roman"/>
          <w:lang w:val="en-GB"/>
        </w:rPr>
        <w:t>a single</w:t>
      </w:r>
      <w:r w:rsidR="00890EA3" w:rsidRPr="005836D1">
        <w:rPr>
          <w:rFonts w:ascii="Times New Roman" w:hAnsi="Times New Roman" w:cs="Times New Roman"/>
          <w:lang w:val="en-GB"/>
        </w:rPr>
        <w:t xml:space="preserve"> level of analysis </w:t>
      </w:r>
      <w:r w:rsidR="00952CAF">
        <w:rPr>
          <w:rFonts w:ascii="Times New Roman" w:hAnsi="Times New Roman" w:cs="Times New Roman"/>
          <w:lang w:val="en-GB"/>
        </w:rPr>
        <w:t xml:space="preserve">and looks at the </w:t>
      </w:r>
      <w:r w:rsidR="00890EA3" w:rsidRPr="005836D1">
        <w:rPr>
          <w:rFonts w:ascii="Times New Roman" w:hAnsi="Times New Roman" w:cs="Times New Roman"/>
          <w:lang w:val="en-GB"/>
        </w:rPr>
        <w:t xml:space="preserve">characteristics </w:t>
      </w:r>
      <w:r w:rsidR="00952CAF">
        <w:rPr>
          <w:rFonts w:ascii="Times New Roman" w:hAnsi="Times New Roman" w:cs="Times New Roman"/>
          <w:lang w:val="en-GB"/>
        </w:rPr>
        <w:t xml:space="preserve">of organizations </w:t>
      </w:r>
      <w:r w:rsidR="00890EA3">
        <w:rPr>
          <w:rFonts w:ascii="Times New Roman" w:hAnsi="Times New Roman" w:cs="Times New Roman"/>
          <w:lang w:val="en-GB"/>
        </w:rPr>
        <w:t>that explain</w:t>
      </w:r>
      <w:r w:rsidR="00890EA3" w:rsidRPr="005836D1">
        <w:rPr>
          <w:rFonts w:ascii="Times New Roman" w:hAnsi="Times New Roman" w:cs="Times New Roman"/>
          <w:lang w:val="en-GB"/>
        </w:rPr>
        <w:t xml:space="preserve"> non-conformity (Maguire &amp; Hardy, 2009). However, conceptual </w:t>
      </w:r>
      <w:r w:rsidR="002C2031">
        <w:rPr>
          <w:rFonts w:ascii="Times New Roman" w:hAnsi="Times New Roman" w:cs="Times New Roman"/>
          <w:lang w:val="en-GB"/>
        </w:rPr>
        <w:t>research</w:t>
      </w:r>
      <w:r w:rsidR="00890EA3" w:rsidRPr="005836D1">
        <w:rPr>
          <w:rFonts w:ascii="Times New Roman" w:hAnsi="Times New Roman" w:cs="Times New Roman"/>
          <w:lang w:val="en-GB"/>
        </w:rPr>
        <w:t xml:space="preserve"> suggests the existence of trickling up </w:t>
      </w:r>
      <w:r w:rsidR="00890EA3">
        <w:rPr>
          <w:rFonts w:ascii="Times New Roman" w:hAnsi="Times New Roman" w:cs="Times New Roman"/>
          <w:lang w:val="en-GB"/>
        </w:rPr>
        <w:t>mechanisms as individual behavio</w:t>
      </w:r>
      <w:r w:rsidR="00C6612F">
        <w:rPr>
          <w:rFonts w:ascii="Times New Roman" w:hAnsi="Times New Roman" w:cs="Times New Roman"/>
          <w:lang w:val="en-GB"/>
        </w:rPr>
        <w:t>u</w:t>
      </w:r>
      <w:r w:rsidR="00890EA3">
        <w:rPr>
          <w:rFonts w:ascii="Times New Roman" w:hAnsi="Times New Roman" w:cs="Times New Roman"/>
          <w:lang w:val="en-GB"/>
        </w:rPr>
        <w:t>rs lead to collective decision</w:t>
      </w:r>
      <w:r w:rsidR="00952CAF">
        <w:rPr>
          <w:rFonts w:ascii="Times New Roman" w:hAnsi="Times New Roman" w:cs="Times New Roman"/>
          <w:lang w:val="en-GB"/>
        </w:rPr>
        <w:t>s</w:t>
      </w:r>
      <w:r w:rsidR="00890EA3">
        <w:rPr>
          <w:rFonts w:ascii="Times New Roman" w:hAnsi="Times New Roman" w:cs="Times New Roman"/>
          <w:lang w:val="en-GB"/>
        </w:rPr>
        <w:t xml:space="preserve"> </w:t>
      </w:r>
      <w:r w:rsidR="005F5D1D">
        <w:rPr>
          <w:rFonts w:ascii="Times New Roman" w:hAnsi="Times New Roman" w:cs="Times New Roman"/>
          <w:lang w:val="en-GB"/>
        </w:rPr>
        <w:t>to disengage</w:t>
      </w:r>
      <w:r w:rsidR="00952CAF">
        <w:rPr>
          <w:rFonts w:ascii="Times New Roman" w:hAnsi="Times New Roman" w:cs="Times New Roman"/>
          <w:lang w:val="en-GB"/>
        </w:rPr>
        <w:t xml:space="preserve"> from a practice</w:t>
      </w:r>
      <w:r w:rsidR="00890EA3" w:rsidRPr="005836D1">
        <w:rPr>
          <w:rFonts w:ascii="Times New Roman" w:hAnsi="Times New Roman" w:cs="Times New Roman"/>
          <w:lang w:val="en-GB"/>
        </w:rPr>
        <w:t xml:space="preserve"> (Clemente &amp; Roulet, 2015)</w:t>
      </w:r>
      <w:r w:rsidR="00A9006C">
        <w:rPr>
          <w:rFonts w:ascii="Times New Roman" w:hAnsi="Times New Roman" w:cs="Times New Roman"/>
          <w:lang w:val="en-GB"/>
        </w:rPr>
        <w:t xml:space="preserve">, that is, </w:t>
      </w:r>
      <w:r w:rsidR="00011878">
        <w:rPr>
          <w:rFonts w:ascii="Times New Roman" w:hAnsi="Times New Roman" w:cs="Times New Roman"/>
          <w:lang w:val="en-GB"/>
        </w:rPr>
        <w:t xml:space="preserve">the </w:t>
      </w:r>
      <w:r w:rsidR="00A9006C">
        <w:rPr>
          <w:rFonts w:ascii="Times New Roman" w:hAnsi="Times New Roman" w:cs="Times New Roman"/>
          <w:lang w:val="en-GB"/>
        </w:rPr>
        <w:t>aggregate</w:t>
      </w:r>
      <w:r w:rsidR="00011878">
        <w:rPr>
          <w:rFonts w:ascii="Times New Roman" w:hAnsi="Times New Roman" w:cs="Times New Roman"/>
          <w:lang w:val="en-GB"/>
        </w:rPr>
        <w:t xml:space="preserve"> behaviours </w:t>
      </w:r>
      <w:r w:rsidR="00A9006C">
        <w:rPr>
          <w:rFonts w:ascii="Times New Roman" w:hAnsi="Times New Roman" w:cs="Times New Roman"/>
          <w:lang w:val="en-GB"/>
        </w:rPr>
        <w:t xml:space="preserve">of individuals </w:t>
      </w:r>
      <w:r w:rsidR="00011878">
        <w:rPr>
          <w:rFonts w:ascii="Times New Roman" w:hAnsi="Times New Roman" w:cs="Times New Roman"/>
          <w:lang w:val="en-GB"/>
        </w:rPr>
        <w:t xml:space="preserve">within organizations </w:t>
      </w:r>
      <w:r w:rsidR="00A9006C">
        <w:rPr>
          <w:rFonts w:ascii="Times New Roman" w:hAnsi="Times New Roman" w:cs="Times New Roman"/>
          <w:lang w:val="en-GB"/>
        </w:rPr>
        <w:t xml:space="preserve">may </w:t>
      </w:r>
      <w:r w:rsidR="00011878">
        <w:rPr>
          <w:rFonts w:ascii="Times New Roman" w:hAnsi="Times New Roman" w:cs="Times New Roman"/>
          <w:lang w:val="en-GB"/>
        </w:rPr>
        <w:t>tilt their decisions with regards to institutions (Oliver, 1992)</w:t>
      </w:r>
      <w:r w:rsidR="00890EA3">
        <w:rPr>
          <w:rFonts w:ascii="Times New Roman" w:hAnsi="Times New Roman" w:cs="Times New Roman"/>
          <w:lang w:val="en-GB"/>
        </w:rPr>
        <w:t xml:space="preserve">. </w:t>
      </w:r>
      <w:r w:rsidR="00B50CAD">
        <w:rPr>
          <w:rFonts w:ascii="Times New Roman" w:hAnsi="Times New Roman" w:cs="Times New Roman"/>
          <w:lang w:val="en-GB"/>
        </w:rPr>
        <w:t>Similarly,</w:t>
      </w:r>
      <w:r w:rsidR="00890EA3">
        <w:rPr>
          <w:rFonts w:ascii="Times New Roman" w:hAnsi="Times New Roman" w:cs="Times New Roman"/>
          <w:lang w:val="en-GB"/>
        </w:rPr>
        <w:t xml:space="preserve"> we can expect that institutionalization involves trickling down </w:t>
      </w:r>
      <w:r w:rsidR="005F5D1D">
        <w:rPr>
          <w:rFonts w:ascii="Times New Roman" w:hAnsi="Times New Roman" w:cs="Times New Roman"/>
          <w:lang w:val="en-GB"/>
        </w:rPr>
        <w:t xml:space="preserve">mechanisms, </w:t>
      </w:r>
      <w:r w:rsidR="00890EA3">
        <w:rPr>
          <w:rFonts w:ascii="Times New Roman" w:hAnsi="Times New Roman" w:cs="Times New Roman"/>
          <w:lang w:val="en-GB"/>
        </w:rPr>
        <w:t xml:space="preserve">from </w:t>
      </w:r>
      <w:r w:rsidR="005F5D1D">
        <w:rPr>
          <w:rFonts w:ascii="Times New Roman" w:hAnsi="Times New Roman" w:cs="Times New Roman"/>
          <w:lang w:val="en-GB"/>
        </w:rPr>
        <w:t xml:space="preserve">the </w:t>
      </w:r>
      <w:r w:rsidR="00890EA3">
        <w:rPr>
          <w:rFonts w:ascii="Times New Roman" w:hAnsi="Times New Roman" w:cs="Times New Roman"/>
          <w:lang w:val="en-GB"/>
        </w:rPr>
        <w:t xml:space="preserve">structure to </w:t>
      </w:r>
      <w:r w:rsidR="005F5D1D">
        <w:rPr>
          <w:rFonts w:ascii="Times New Roman" w:hAnsi="Times New Roman" w:cs="Times New Roman"/>
          <w:lang w:val="en-GB"/>
        </w:rPr>
        <w:t xml:space="preserve">the </w:t>
      </w:r>
      <w:r w:rsidR="00890EA3">
        <w:rPr>
          <w:rFonts w:ascii="Times New Roman" w:hAnsi="Times New Roman" w:cs="Times New Roman"/>
          <w:lang w:val="en-GB"/>
        </w:rPr>
        <w:t xml:space="preserve">group to </w:t>
      </w:r>
      <w:r w:rsidR="005F5D1D">
        <w:rPr>
          <w:rFonts w:ascii="Times New Roman" w:hAnsi="Times New Roman" w:cs="Times New Roman"/>
          <w:lang w:val="en-GB"/>
        </w:rPr>
        <w:t xml:space="preserve">the </w:t>
      </w:r>
      <w:r w:rsidR="00890EA3">
        <w:rPr>
          <w:rFonts w:ascii="Times New Roman" w:hAnsi="Times New Roman" w:cs="Times New Roman"/>
          <w:lang w:val="en-GB"/>
        </w:rPr>
        <w:t xml:space="preserve">individuals </w:t>
      </w:r>
      <w:r w:rsidR="005F5D1D">
        <w:rPr>
          <w:rFonts w:ascii="Times New Roman" w:hAnsi="Times New Roman" w:cs="Times New Roman"/>
          <w:lang w:val="en-GB"/>
        </w:rPr>
        <w:t>engaging in a practice</w:t>
      </w:r>
      <w:r w:rsidR="00D00874">
        <w:rPr>
          <w:rFonts w:ascii="Times New Roman" w:hAnsi="Times New Roman" w:cs="Times New Roman"/>
          <w:lang w:val="en-GB"/>
        </w:rPr>
        <w:t xml:space="preserve"> (Harmon</w:t>
      </w:r>
      <w:r w:rsidR="00890EA3">
        <w:rPr>
          <w:rFonts w:ascii="Times New Roman" w:hAnsi="Times New Roman" w:cs="Times New Roman"/>
          <w:lang w:val="en-GB"/>
        </w:rPr>
        <w:t xml:space="preserve"> et al.</w:t>
      </w:r>
      <w:r w:rsidR="00D00874">
        <w:rPr>
          <w:rFonts w:ascii="Times New Roman" w:hAnsi="Times New Roman" w:cs="Times New Roman"/>
          <w:lang w:val="en-GB"/>
        </w:rPr>
        <w:t>, 2018</w:t>
      </w:r>
      <w:r w:rsidR="00890EA3">
        <w:rPr>
          <w:rFonts w:ascii="Times New Roman" w:hAnsi="Times New Roman" w:cs="Times New Roman"/>
          <w:lang w:val="en-GB"/>
        </w:rPr>
        <w:t xml:space="preserve">). </w:t>
      </w:r>
      <w:r w:rsidR="00952CAF">
        <w:rPr>
          <w:rFonts w:ascii="Times New Roman" w:hAnsi="Times New Roman" w:cs="Times New Roman"/>
          <w:lang w:val="en-GB"/>
        </w:rPr>
        <w:t>Deins</w:t>
      </w:r>
      <w:r w:rsidR="002C2031">
        <w:rPr>
          <w:rFonts w:ascii="Times New Roman" w:hAnsi="Times New Roman" w:cs="Times New Roman"/>
          <w:lang w:val="en-GB"/>
        </w:rPr>
        <w:t>ti</w:t>
      </w:r>
      <w:r w:rsidR="00952CAF">
        <w:rPr>
          <w:rFonts w:ascii="Times New Roman" w:hAnsi="Times New Roman" w:cs="Times New Roman"/>
          <w:lang w:val="en-GB"/>
        </w:rPr>
        <w:t>tutio</w:t>
      </w:r>
      <w:r w:rsidR="002C2031">
        <w:rPr>
          <w:rFonts w:ascii="Times New Roman" w:hAnsi="Times New Roman" w:cs="Times New Roman"/>
          <w:lang w:val="en-GB"/>
        </w:rPr>
        <w:t>nali</w:t>
      </w:r>
      <w:r w:rsidR="00C6612F">
        <w:rPr>
          <w:rFonts w:ascii="Times New Roman" w:hAnsi="Times New Roman" w:cs="Times New Roman"/>
          <w:lang w:val="en-GB"/>
        </w:rPr>
        <w:t>zation and institutionalization</w:t>
      </w:r>
      <w:r w:rsidR="002C2031">
        <w:rPr>
          <w:rFonts w:ascii="Times New Roman" w:hAnsi="Times New Roman" w:cs="Times New Roman"/>
          <w:lang w:val="en-GB"/>
        </w:rPr>
        <w:t xml:space="preserve"> can be seen</w:t>
      </w:r>
      <w:r w:rsidR="00C55758">
        <w:rPr>
          <w:rFonts w:ascii="Times New Roman" w:hAnsi="Times New Roman" w:cs="Times New Roman"/>
          <w:lang w:val="en-GB"/>
        </w:rPr>
        <w:t xml:space="preserve"> as</w:t>
      </w:r>
      <w:r w:rsidR="002C2031">
        <w:rPr>
          <w:rFonts w:ascii="Times New Roman" w:hAnsi="Times New Roman" w:cs="Times New Roman"/>
          <w:lang w:val="en-GB"/>
        </w:rPr>
        <w:t xml:space="preserve"> two faces of the same coin (Maguire &amp; Hardy, 2009) </w:t>
      </w:r>
      <w:r w:rsidR="00B8726F">
        <w:rPr>
          <w:rFonts w:ascii="Times New Roman" w:hAnsi="Times New Roman" w:cs="Times New Roman"/>
          <w:lang w:val="en-GB"/>
        </w:rPr>
        <w:t xml:space="preserve">as </w:t>
      </w:r>
      <w:r w:rsidR="00113C2F">
        <w:rPr>
          <w:rFonts w:ascii="Times New Roman" w:hAnsi="Times New Roman" w:cs="Times New Roman"/>
          <w:lang w:val="en-GB"/>
        </w:rPr>
        <w:t>t</w:t>
      </w:r>
      <w:r w:rsidR="00633A2C">
        <w:rPr>
          <w:rFonts w:ascii="Times New Roman" w:hAnsi="Times New Roman" w:cs="Times New Roman"/>
          <w:lang w:val="en-GB"/>
        </w:rPr>
        <w:t>he</w:t>
      </w:r>
      <w:r w:rsidR="00113C2F">
        <w:rPr>
          <w:rFonts w:ascii="Times New Roman" w:hAnsi="Times New Roman" w:cs="Times New Roman"/>
          <w:lang w:val="en-GB"/>
        </w:rPr>
        <w:t>re is a</w:t>
      </w:r>
      <w:r w:rsidR="00633A2C">
        <w:rPr>
          <w:rFonts w:ascii="Times New Roman" w:hAnsi="Times New Roman" w:cs="Times New Roman"/>
          <w:lang w:val="en-GB"/>
        </w:rPr>
        <w:t xml:space="preserve"> recursive process </w:t>
      </w:r>
      <w:r w:rsidR="00B31BCD">
        <w:rPr>
          <w:rFonts w:ascii="Times New Roman" w:hAnsi="Times New Roman" w:cs="Times New Roman"/>
          <w:lang w:val="en-GB"/>
        </w:rPr>
        <w:t>alternating</w:t>
      </w:r>
      <w:r w:rsidR="00633A2C">
        <w:rPr>
          <w:rFonts w:ascii="Times New Roman" w:hAnsi="Times New Roman" w:cs="Times New Roman"/>
          <w:lang w:val="en-GB"/>
        </w:rPr>
        <w:t xml:space="preserve"> deinstitutionalization</w:t>
      </w:r>
      <w:r w:rsidR="00B31BCD">
        <w:rPr>
          <w:rFonts w:ascii="Times New Roman" w:hAnsi="Times New Roman" w:cs="Times New Roman"/>
          <w:lang w:val="en-GB"/>
        </w:rPr>
        <w:t xml:space="preserve"> of</w:t>
      </w:r>
      <w:r w:rsidR="00633A2C">
        <w:rPr>
          <w:rFonts w:ascii="Times New Roman" w:hAnsi="Times New Roman" w:cs="Times New Roman"/>
          <w:lang w:val="en-GB"/>
        </w:rPr>
        <w:t xml:space="preserve"> old practices and institutionalization of new practices</w:t>
      </w:r>
      <w:r w:rsidR="00583BE0">
        <w:rPr>
          <w:rFonts w:ascii="Times New Roman" w:hAnsi="Times New Roman" w:cs="Times New Roman"/>
          <w:lang w:val="en-GB"/>
        </w:rPr>
        <w:t xml:space="preserve"> </w:t>
      </w:r>
      <w:r w:rsidR="00113C2F">
        <w:rPr>
          <w:rFonts w:ascii="Times New Roman" w:hAnsi="Times New Roman" w:cs="Times New Roman"/>
          <w:lang w:val="en-GB"/>
        </w:rPr>
        <w:t>(</w:t>
      </w:r>
      <w:r w:rsidR="00E67013">
        <w:rPr>
          <w:rFonts w:ascii="Times New Roman" w:hAnsi="Times New Roman" w:cs="Times New Roman"/>
          <w:lang w:val="en-GB"/>
        </w:rPr>
        <w:t>Zietsma &amp; Lawrence, 2010</w:t>
      </w:r>
      <w:r w:rsidR="00583BE0">
        <w:rPr>
          <w:rFonts w:ascii="Times New Roman" w:hAnsi="Times New Roman" w:cs="Times New Roman"/>
          <w:lang w:val="en-GB"/>
        </w:rPr>
        <w:t>; Clemente et al.</w:t>
      </w:r>
      <w:r w:rsidR="00544BC4">
        <w:rPr>
          <w:rFonts w:ascii="Times New Roman" w:hAnsi="Times New Roman" w:cs="Times New Roman"/>
          <w:lang w:val="en-GB"/>
        </w:rPr>
        <w:t>,</w:t>
      </w:r>
      <w:r w:rsidR="00583BE0">
        <w:rPr>
          <w:rFonts w:ascii="Times New Roman" w:hAnsi="Times New Roman" w:cs="Times New Roman"/>
          <w:lang w:val="en-GB"/>
        </w:rPr>
        <w:t xml:space="preserve"> 2017</w:t>
      </w:r>
      <w:r w:rsidR="00E67013">
        <w:rPr>
          <w:rFonts w:ascii="Times New Roman" w:hAnsi="Times New Roman" w:cs="Times New Roman"/>
          <w:lang w:val="en-GB"/>
        </w:rPr>
        <w:t>).</w:t>
      </w:r>
      <w:r w:rsidR="00B31BCD">
        <w:rPr>
          <w:rFonts w:ascii="Times New Roman" w:hAnsi="Times New Roman" w:cs="Times New Roman"/>
          <w:lang w:val="en-GB"/>
        </w:rPr>
        <w:t xml:space="preserve"> </w:t>
      </w:r>
      <w:r w:rsidR="00EF6D52">
        <w:rPr>
          <w:rFonts w:ascii="Times New Roman" w:hAnsi="Times New Roman" w:cs="Times New Roman"/>
          <w:lang w:val="en-GB"/>
        </w:rPr>
        <w:t xml:space="preserve">Because of </w:t>
      </w:r>
      <w:r w:rsidR="00C6612F">
        <w:rPr>
          <w:rFonts w:ascii="Times New Roman" w:hAnsi="Times New Roman" w:cs="Times New Roman"/>
          <w:lang w:val="en-GB"/>
        </w:rPr>
        <w:t>these</w:t>
      </w:r>
      <w:r w:rsidR="00DE1582">
        <w:rPr>
          <w:rFonts w:ascii="Times New Roman" w:hAnsi="Times New Roman" w:cs="Times New Roman"/>
          <w:lang w:val="en-GB"/>
        </w:rPr>
        <w:t xml:space="preserve"> mechanisms of trickling up and </w:t>
      </w:r>
      <w:r w:rsidR="00B568AD">
        <w:rPr>
          <w:rFonts w:ascii="Times New Roman" w:hAnsi="Times New Roman" w:cs="Times New Roman"/>
          <w:lang w:val="en-GB"/>
        </w:rPr>
        <w:t xml:space="preserve">trickling </w:t>
      </w:r>
      <w:r w:rsidR="00DE1582">
        <w:rPr>
          <w:rFonts w:ascii="Times New Roman" w:hAnsi="Times New Roman" w:cs="Times New Roman"/>
          <w:lang w:val="en-GB"/>
        </w:rPr>
        <w:t xml:space="preserve">down, a focus on the micro-foundations of </w:t>
      </w:r>
      <w:r w:rsidR="008A346D">
        <w:rPr>
          <w:rFonts w:ascii="Times New Roman" w:hAnsi="Times New Roman" w:cs="Times New Roman"/>
          <w:lang w:val="en-GB"/>
        </w:rPr>
        <w:t>institutional change</w:t>
      </w:r>
      <w:r w:rsidR="001232C1">
        <w:rPr>
          <w:rFonts w:ascii="Times New Roman" w:hAnsi="Times New Roman" w:cs="Times New Roman"/>
          <w:lang w:val="en-GB"/>
        </w:rPr>
        <w:t xml:space="preserve"> as the co-occurrence of </w:t>
      </w:r>
      <w:r w:rsidR="00DE1582">
        <w:rPr>
          <w:rFonts w:ascii="Times New Roman" w:hAnsi="Times New Roman" w:cs="Times New Roman"/>
          <w:lang w:val="en-GB"/>
        </w:rPr>
        <w:t>deinstitutionalization</w:t>
      </w:r>
      <w:r w:rsidR="00ED1C11">
        <w:rPr>
          <w:rFonts w:ascii="Times New Roman" w:hAnsi="Times New Roman" w:cs="Times New Roman"/>
          <w:lang w:val="en-GB"/>
        </w:rPr>
        <w:t xml:space="preserve"> and </w:t>
      </w:r>
      <w:r w:rsidR="00C6612F">
        <w:rPr>
          <w:rFonts w:ascii="Times New Roman" w:hAnsi="Times New Roman" w:cs="Times New Roman"/>
          <w:lang w:val="en-GB"/>
        </w:rPr>
        <w:t>institutionalization</w:t>
      </w:r>
      <w:r w:rsidR="00DE1582">
        <w:rPr>
          <w:rFonts w:ascii="Times New Roman" w:hAnsi="Times New Roman" w:cs="Times New Roman"/>
          <w:lang w:val="en-GB"/>
        </w:rPr>
        <w:t xml:space="preserve"> would inform more broadly the role of </w:t>
      </w:r>
      <w:r w:rsidR="00C32421">
        <w:rPr>
          <w:rFonts w:ascii="Times New Roman" w:hAnsi="Times New Roman" w:cs="Times New Roman"/>
          <w:lang w:val="en-GB"/>
        </w:rPr>
        <w:t>micro-level dynamics and their aggregation at the organizational level</w:t>
      </w:r>
      <w:r w:rsidR="00DE1582">
        <w:rPr>
          <w:rFonts w:ascii="Times New Roman" w:hAnsi="Times New Roman" w:cs="Times New Roman"/>
          <w:lang w:val="en-GB"/>
        </w:rPr>
        <w:t xml:space="preserve"> in institutional</w:t>
      </w:r>
      <w:r w:rsidR="00223FDE">
        <w:rPr>
          <w:rFonts w:ascii="Times New Roman" w:hAnsi="Times New Roman" w:cs="Times New Roman"/>
          <w:lang w:val="en-GB"/>
        </w:rPr>
        <w:t xml:space="preserve"> theory.</w:t>
      </w:r>
    </w:p>
    <w:p w14:paraId="61B04730" w14:textId="79EDCEBB" w:rsidR="0034585F" w:rsidRDefault="005F7B48" w:rsidP="00525574">
      <w:pPr>
        <w:spacing w:line="480" w:lineRule="auto"/>
        <w:ind w:firstLine="720"/>
        <w:jc w:val="both"/>
        <w:rPr>
          <w:rFonts w:ascii="Times New Roman" w:hAnsi="Times New Roman" w:cs="Times New Roman"/>
          <w:lang w:val="en-GB"/>
        </w:rPr>
      </w:pPr>
      <w:r>
        <w:rPr>
          <w:rFonts w:ascii="Times New Roman" w:hAnsi="Times New Roman" w:cs="Times New Roman"/>
          <w:lang w:val="en-GB"/>
        </w:rPr>
        <w:t>In this paper, we aim at explain</w:t>
      </w:r>
      <w:r w:rsidR="00890AE6">
        <w:rPr>
          <w:rFonts w:ascii="Times New Roman" w:hAnsi="Times New Roman" w:cs="Times New Roman"/>
          <w:lang w:val="en-GB"/>
        </w:rPr>
        <w:t xml:space="preserve">ing </w:t>
      </w:r>
      <w:r w:rsidR="002828E4">
        <w:rPr>
          <w:rFonts w:ascii="Times New Roman" w:hAnsi="Times New Roman" w:cs="Times New Roman"/>
          <w:lang w:val="en-GB"/>
        </w:rPr>
        <w:t xml:space="preserve">the link between </w:t>
      </w:r>
      <w:r w:rsidR="00253623">
        <w:rPr>
          <w:rFonts w:ascii="Times New Roman" w:hAnsi="Times New Roman" w:cs="Times New Roman"/>
          <w:lang w:val="en-GB"/>
        </w:rPr>
        <w:t xml:space="preserve">organizational and aggregated individual </w:t>
      </w:r>
      <w:r w:rsidR="00C32421">
        <w:rPr>
          <w:rFonts w:ascii="Times New Roman" w:hAnsi="Times New Roman" w:cs="Times New Roman"/>
          <w:lang w:val="en-GB"/>
        </w:rPr>
        <w:t>characteristics</w:t>
      </w:r>
      <w:r w:rsidR="00253623">
        <w:rPr>
          <w:rFonts w:ascii="Times New Roman" w:hAnsi="Times New Roman" w:cs="Times New Roman"/>
          <w:lang w:val="en-GB"/>
        </w:rPr>
        <w:t xml:space="preserve">, on the one hand, </w:t>
      </w:r>
      <w:r w:rsidR="00952CAF">
        <w:rPr>
          <w:rFonts w:ascii="Times New Roman" w:hAnsi="Times New Roman" w:cs="Times New Roman"/>
          <w:lang w:val="en-GB"/>
        </w:rPr>
        <w:t xml:space="preserve">and institutional change, </w:t>
      </w:r>
      <w:r w:rsidR="001232C1">
        <w:rPr>
          <w:rFonts w:ascii="Times New Roman" w:hAnsi="Times New Roman" w:cs="Times New Roman"/>
          <w:lang w:val="en-GB"/>
        </w:rPr>
        <w:t xml:space="preserve">as captured in the co-occurrence of </w:t>
      </w:r>
      <w:r w:rsidR="00256A2B">
        <w:rPr>
          <w:rFonts w:ascii="Times New Roman" w:hAnsi="Times New Roman" w:cs="Times New Roman"/>
          <w:lang w:val="en-GB"/>
        </w:rPr>
        <w:t xml:space="preserve">deinstitutionalization and </w:t>
      </w:r>
      <w:r w:rsidR="00952CAF">
        <w:rPr>
          <w:rFonts w:ascii="Times New Roman" w:hAnsi="Times New Roman" w:cs="Times New Roman"/>
          <w:lang w:val="en-GB"/>
        </w:rPr>
        <w:t>institutionalization</w:t>
      </w:r>
      <w:r w:rsidR="00256A2B">
        <w:rPr>
          <w:rFonts w:ascii="Times New Roman" w:hAnsi="Times New Roman" w:cs="Times New Roman"/>
          <w:lang w:val="en-GB"/>
        </w:rPr>
        <w:t xml:space="preserve"> of </w:t>
      </w:r>
      <w:r w:rsidR="00C32421">
        <w:rPr>
          <w:rFonts w:ascii="Times New Roman" w:hAnsi="Times New Roman" w:cs="Times New Roman"/>
          <w:lang w:val="en-GB"/>
        </w:rPr>
        <w:t xml:space="preserve">a </w:t>
      </w:r>
      <w:r w:rsidR="00256A2B">
        <w:rPr>
          <w:rFonts w:ascii="Times New Roman" w:hAnsi="Times New Roman" w:cs="Times New Roman"/>
          <w:lang w:val="en-GB"/>
        </w:rPr>
        <w:t xml:space="preserve">new </w:t>
      </w:r>
      <w:r w:rsidR="00952CAF">
        <w:rPr>
          <w:rFonts w:ascii="Times New Roman" w:hAnsi="Times New Roman" w:cs="Times New Roman"/>
          <w:lang w:val="en-GB"/>
        </w:rPr>
        <w:t xml:space="preserve">practice, </w:t>
      </w:r>
      <w:r w:rsidR="00253623">
        <w:rPr>
          <w:rFonts w:ascii="Times New Roman" w:hAnsi="Times New Roman" w:cs="Times New Roman"/>
          <w:lang w:val="en-GB"/>
        </w:rPr>
        <w:t xml:space="preserve">on the other hand, </w:t>
      </w:r>
      <w:r>
        <w:rPr>
          <w:rFonts w:ascii="Times New Roman" w:hAnsi="Times New Roman" w:cs="Times New Roman"/>
          <w:lang w:val="en-GB"/>
        </w:rPr>
        <w:t>as</w:t>
      </w:r>
      <w:r w:rsidR="00525574">
        <w:rPr>
          <w:rFonts w:ascii="Times New Roman" w:hAnsi="Times New Roman" w:cs="Times New Roman"/>
          <w:lang w:val="en-GB"/>
        </w:rPr>
        <w:t xml:space="preserve"> one way to advance the micro-foundations agenda. </w:t>
      </w:r>
      <w:r w:rsidR="00253623">
        <w:rPr>
          <w:rFonts w:ascii="Times New Roman" w:hAnsi="Times New Roman" w:cs="Times New Roman"/>
          <w:lang w:val="en-GB"/>
        </w:rPr>
        <w:t>In particular, we</w:t>
      </w:r>
      <w:r w:rsidR="00B8726F">
        <w:rPr>
          <w:rFonts w:ascii="Times New Roman" w:hAnsi="Times New Roman" w:cs="Times New Roman"/>
          <w:lang w:val="en-GB"/>
        </w:rPr>
        <w:t xml:space="preserve"> </w:t>
      </w:r>
      <w:r>
        <w:rPr>
          <w:rFonts w:ascii="Times New Roman" w:hAnsi="Times New Roman" w:cs="Times New Roman"/>
          <w:lang w:val="en-GB"/>
        </w:rPr>
        <w:t xml:space="preserve">flesh out </w:t>
      </w:r>
      <w:r w:rsidR="00890EA3">
        <w:rPr>
          <w:rFonts w:ascii="Times New Roman" w:hAnsi="Times New Roman" w:cs="Times New Roman"/>
          <w:lang w:val="en-GB"/>
        </w:rPr>
        <w:t>trickling up mechanism</w:t>
      </w:r>
      <w:r w:rsidR="00EC4DDF">
        <w:rPr>
          <w:rFonts w:ascii="Times New Roman" w:hAnsi="Times New Roman" w:cs="Times New Roman"/>
          <w:lang w:val="en-GB"/>
        </w:rPr>
        <w:t>s that</w:t>
      </w:r>
      <w:r w:rsidR="00890EA3">
        <w:rPr>
          <w:rFonts w:ascii="Times New Roman" w:hAnsi="Times New Roman" w:cs="Times New Roman"/>
          <w:lang w:val="en-GB"/>
        </w:rPr>
        <w:t xml:space="preserve"> can</w:t>
      </w:r>
      <w:r w:rsidR="00890EA3" w:rsidRPr="005836D1">
        <w:rPr>
          <w:rFonts w:ascii="Times New Roman" w:hAnsi="Times New Roman" w:cs="Times New Roman"/>
          <w:lang w:val="en-GB"/>
        </w:rPr>
        <w:t xml:space="preserve"> ultimately explain why organization</w:t>
      </w:r>
      <w:r w:rsidR="00226A2F">
        <w:rPr>
          <w:rFonts w:ascii="Times New Roman" w:hAnsi="Times New Roman" w:cs="Times New Roman"/>
          <w:lang w:val="en-GB"/>
        </w:rPr>
        <w:t>s</w:t>
      </w:r>
      <w:r w:rsidR="00890EA3" w:rsidRPr="005836D1">
        <w:rPr>
          <w:rFonts w:ascii="Times New Roman" w:hAnsi="Times New Roman" w:cs="Times New Roman"/>
          <w:lang w:val="en-GB"/>
        </w:rPr>
        <w:t xml:space="preserve"> deviate from existing </w:t>
      </w:r>
      <w:r w:rsidR="00226A2F">
        <w:rPr>
          <w:rFonts w:ascii="Times New Roman" w:hAnsi="Times New Roman" w:cs="Times New Roman"/>
          <w:lang w:val="en-GB"/>
        </w:rPr>
        <w:t>practices</w:t>
      </w:r>
      <w:r w:rsidR="00890EA3">
        <w:rPr>
          <w:rFonts w:ascii="Times New Roman" w:hAnsi="Times New Roman" w:cs="Times New Roman"/>
          <w:lang w:val="en-GB"/>
        </w:rPr>
        <w:t xml:space="preserve"> because of their </w:t>
      </w:r>
      <w:r w:rsidR="00B8726F">
        <w:rPr>
          <w:rFonts w:ascii="Times New Roman" w:hAnsi="Times New Roman" w:cs="Times New Roman"/>
          <w:lang w:val="en-GB"/>
        </w:rPr>
        <w:t xml:space="preserve">internal </w:t>
      </w:r>
      <w:r w:rsidR="00890EA3">
        <w:rPr>
          <w:rFonts w:ascii="Times New Roman" w:hAnsi="Times New Roman" w:cs="Times New Roman"/>
          <w:lang w:val="en-GB"/>
        </w:rPr>
        <w:t>members</w:t>
      </w:r>
      <w:r w:rsidR="00253623">
        <w:rPr>
          <w:rFonts w:ascii="Times New Roman" w:hAnsi="Times New Roman" w:cs="Times New Roman"/>
          <w:lang w:val="en-GB"/>
        </w:rPr>
        <w:t xml:space="preserve"> and their idiosyncratic characteristics</w:t>
      </w:r>
      <w:r w:rsidR="00890EA3" w:rsidRPr="005836D1">
        <w:rPr>
          <w:rFonts w:ascii="Times New Roman" w:hAnsi="Times New Roman" w:cs="Times New Roman"/>
          <w:lang w:val="en-GB"/>
        </w:rPr>
        <w:t>.</w:t>
      </w:r>
      <w:r w:rsidR="00890EA3">
        <w:rPr>
          <w:rFonts w:ascii="Times New Roman" w:hAnsi="Times New Roman" w:cs="Times New Roman"/>
          <w:lang w:val="en-GB"/>
        </w:rPr>
        <w:t xml:space="preserve"> </w:t>
      </w:r>
    </w:p>
    <w:p w14:paraId="4A66C076" w14:textId="70991516" w:rsidR="00E4387B" w:rsidRDefault="00162255" w:rsidP="00A15E8B">
      <w:pPr>
        <w:spacing w:line="480" w:lineRule="auto"/>
        <w:ind w:firstLine="720"/>
        <w:jc w:val="both"/>
        <w:rPr>
          <w:rFonts w:ascii="Times New Roman" w:hAnsi="Times New Roman" w:cs="Times New Roman"/>
          <w:lang w:val="en-GB"/>
        </w:rPr>
      </w:pPr>
      <w:r w:rsidRPr="005836D1">
        <w:rPr>
          <w:rFonts w:ascii="Times New Roman" w:hAnsi="Times New Roman" w:cs="Times New Roman"/>
          <w:lang w:val="en-GB"/>
        </w:rPr>
        <w:t>We empiricall</w:t>
      </w:r>
      <w:r w:rsidR="00272F75" w:rsidRPr="005836D1">
        <w:rPr>
          <w:rFonts w:ascii="Times New Roman" w:hAnsi="Times New Roman" w:cs="Times New Roman"/>
          <w:lang w:val="en-GB"/>
        </w:rPr>
        <w:t xml:space="preserve">y explore </w:t>
      </w:r>
      <w:r w:rsidR="00A15E8B">
        <w:rPr>
          <w:rFonts w:ascii="Times New Roman" w:hAnsi="Times New Roman" w:cs="Times New Roman"/>
          <w:lang w:val="en-GB"/>
        </w:rPr>
        <w:t>the</w:t>
      </w:r>
      <w:r w:rsidR="00272F75" w:rsidRPr="005836D1">
        <w:rPr>
          <w:rFonts w:ascii="Times New Roman" w:hAnsi="Times New Roman" w:cs="Times New Roman"/>
          <w:lang w:val="en-GB"/>
        </w:rPr>
        <w:t xml:space="preserve"> question </w:t>
      </w:r>
      <w:r w:rsidR="00A15E8B">
        <w:rPr>
          <w:rFonts w:ascii="Times New Roman" w:hAnsi="Times New Roman" w:cs="Times New Roman"/>
          <w:lang w:val="en-GB"/>
        </w:rPr>
        <w:t xml:space="preserve">of how individuals, </w:t>
      </w:r>
      <w:r w:rsidR="00253623">
        <w:rPr>
          <w:rFonts w:ascii="Times New Roman" w:hAnsi="Times New Roman" w:cs="Times New Roman"/>
          <w:lang w:val="en-GB"/>
        </w:rPr>
        <w:t>at the aggregate level</w:t>
      </w:r>
      <w:r w:rsidR="00A15E8B">
        <w:rPr>
          <w:rFonts w:ascii="Times New Roman" w:hAnsi="Times New Roman" w:cs="Times New Roman"/>
          <w:lang w:val="en-GB"/>
        </w:rPr>
        <w:t xml:space="preserve">, </w:t>
      </w:r>
      <w:r w:rsidR="00253623">
        <w:rPr>
          <w:rFonts w:ascii="Times New Roman" w:hAnsi="Times New Roman" w:cs="Times New Roman"/>
          <w:lang w:val="en-GB"/>
        </w:rPr>
        <w:t xml:space="preserve">and organizational characteristics </w:t>
      </w:r>
      <w:r w:rsidR="00A15E8B">
        <w:rPr>
          <w:rFonts w:ascii="Times New Roman" w:hAnsi="Times New Roman" w:cs="Times New Roman"/>
          <w:lang w:val="en-GB"/>
        </w:rPr>
        <w:t xml:space="preserve">influence organizational decisions with regards to an institutionalized practice </w:t>
      </w:r>
      <w:r w:rsidR="00272F75" w:rsidRPr="005836D1">
        <w:rPr>
          <w:rFonts w:ascii="Times New Roman" w:hAnsi="Times New Roman" w:cs="Times New Roman"/>
          <w:lang w:val="en-GB"/>
        </w:rPr>
        <w:t xml:space="preserve">using an original and comprehensive </w:t>
      </w:r>
      <w:r w:rsidRPr="005836D1">
        <w:rPr>
          <w:rFonts w:ascii="Times New Roman" w:hAnsi="Times New Roman" w:cs="Times New Roman"/>
          <w:lang w:val="en-GB"/>
        </w:rPr>
        <w:t xml:space="preserve">multi-level dataset capturing the characteristics of organizations and their senior </w:t>
      </w:r>
      <w:r w:rsidR="00226A2F">
        <w:rPr>
          <w:rFonts w:ascii="Times New Roman" w:hAnsi="Times New Roman" w:cs="Times New Roman"/>
          <w:lang w:val="en-GB"/>
        </w:rPr>
        <w:t>employees</w:t>
      </w:r>
      <w:r w:rsidRPr="005836D1">
        <w:rPr>
          <w:rFonts w:ascii="Times New Roman" w:hAnsi="Times New Roman" w:cs="Times New Roman"/>
          <w:lang w:val="en-GB"/>
        </w:rPr>
        <w:t>.</w:t>
      </w:r>
      <w:r w:rsidR="00D22E25" w:rsidRPr="005836D1">
        <w:rPr>
          <w:rFonts w:ascii="Times New Roman" w:hAnsi="Times New Roman" w:cs="Times New Roman"/>
          <w:lang w:val="en-GB"/>
        </w:rPr>
        <w:t xml:space="preserve"> </w:t>
      </w:r>
      <w:r w:rsidR="0034585F">
        <w:rPr>
          <w:rFonts w:ascii="Times New Roman" w:hAnsi="Times New Roman" w:cs="Times New Roman"/>
          <w:lang w:val="en-GB"/>
        </w:rPr>
        <w:t>Our quantitative study examine</w:t>
      </w:r>
      <w:r w:rsidR="00AD6186">
        <w:rPr>
          <w:rFonts w:ascii="Times New Roman" w:hAnsi="Times New Roman" w:cs="Times New Roman"/>
          <w:lang w:val="en-GB"/>
        </w:rPr>
        <w:t>s</w:t>
      </w:r>
      <w:r w:rsidR="0034585F" w:rsidRPr="005836D1">
        <w:rPr>
          <w:rFonts w:ascii="Times New Roman" w:hAnsi="Times New Roman" w:cs="Times New Roman"/>
          <w:lang w:val="en-GB"/>
        </w:rPr>
        <w:t xml:space="preserve"> equity partnership in the UK legal industry and the growing number of firms engaging in </w:t>
      </w:r>
      <w:r w:rsidR="00A15E8B">
        <w:rPr>
          <w:rFonts w:ascii="Times New Roman" w:hAnsi="Times New Roman" w:cs="Times New Roman"/>
          <w:lang w:val="en-GB"/>
        </w:rPr>
        <w:t>a new practice</w:t>
      </w:r>
      <w:r w:rsidR="00B8726F">
        <w:rPr>
          <w:rFonts w:ascii="Times New Roman" w:hAnsi="Times New Roman" w:cs="Times New Roman"/>
          <w:lang w:val="en-GB"/>
        </w:rPr>
        <w:t>:</w:t>
      </w:r>
      <w:r w:rsidR="00A15E8B">
        <w:rPr>
          <w:rFonts w:ascii="Times New Roman" w:hAnsi="Times New Roman" w:cs="Times New Roman"/>
          <w:lang w:val="en-GB"/>
        </w:rPr>
        <w:t xml:space="preserve"> </w:t>
      </w:r>
      <w:r w:rsidR="0034585F" w:rsidRPr="005836D1">
        <w:rPr>
          <w:rFonts w:ascii="Times New Roman" w:hAnsi="Times New Roman" w:cs="Times New Roman"/>
          <w:lang w:val="en-GB"/>
        </w:rPr>
        <w:t>non-equity partners</w:t>
      </w:r>
      <w:r w:rsidR="00226A2F">
        <w:rPr>
          <w:rFonts w:ascii="Times New Roman" w:hAnsi="Times New Roman" w:cs="Times New Roman"/>
          <w:lang w:val="en-GB"/>
        </w:rPr>
        <w:t>hip</w:t>
      </w:r>
      <w:r w:rsidR="0034585F" w:rsidRPr="005836D1">
        <w:rPr>
          <w:rFonts w:ascii="Times New Roman" w:hAnsi="Times New Roman" w:cs="Times New Roman"/>
          <w:lang w:val="en-GB"/>
        </w:rPr>
        <w:t xml:space="preserve"> </w:t>
      </w:r>
      <w:r w:rsidR="00944D4F">
        <w:rPr>
          <w:rFonts w:ascii="Times New Roman" w:hAnsi="Times New Roman" w:cs="Times New Roman"/>
          <w:lang w:val="en-GB"/>
        </w:rPr>
        <w:t>(i.e.</w:t>
      </w:r>
      <w:r w:rsidR="00B8726F">
        <w:rPr>
          <w:rFonts w:ascii="Times New Roman" w:hAnsi="Times New Roman" w:cs="Times New Roman"/>
          <w:lang w:val="en-GB"/>
        </w:rPr>
        <w:t>,</w:t>
      </w:r>
      <w:r w:rsidR="00944D4F">
        <w:rPr>
          <w:rFonts w:ascii="Times New Roman" w:hAnsi="Times New Roman" w:cs="Times New Roman"/>
          <w:lang w:val="en-GB"/>
        </w:rPr>
        <w:t xml:space="preserve"> salaried partners</w:t>
      </w:r>
      <w:r w:rsidR="00226A2F">
        <w:rPr>
          <w:rFonts w:ascii="Times New Roman" w:hAnsi="Times New Roman" w:cs="Times New Roman"/>
          <w:lang w:val="en-GB"/>
        </w:rPr>
        <w:t>hip</w:t>
      </w:r>
      <w:r w:rsidR="00944D4F">
        <w:rPr>
          <w:rFonts w:ascii="Times New Roman" w:hAnsi="Times New Roman" w:cs="Times New Roman"/>
          <w:lang w:val="en-GB"/>
        </w:rPr>
        <w:t>)</w:t>
      </w:r>
      <w:r w:rsidR="0034585F" w:rsidRPr="005836D1">
        <w:rPr>
          <w:rFonts w:ascii="Times New Roman" w:hAnsi="Times New Roman" w:cs="Times New Roman"/>
          <w:lang w:val="en-GB"/>
        </w:rPr>
        <w:t xml:space="preserve">. </w:t>
      </w:r>
      <w:r w:rsidR="00A15E8B">
        <w:rPr>
          <w:rFonts w:ascii="Times New Roman" w:hAnsi="Times New Roman" w:cs="Times New Roman"/>
        </w:rPr>
        <w:t>Our dependent variable</w:t>
      </w:r>
      <w:r w:rsidR="00360A2E">
        <w:rPr>
          <w:rFonts w:ascii="Times New Roman" w:hAnsi="Times New Roman" w:cs="Times New Roman"/>
        </w:rPr>
        <w:t xml:space="preserve"> </w:t>
      </w:r>
      <w:r w:rsidR="00600C90">
        <w:rPr>
          <w:rFonts w:ascii="Times New Roman" w:hAnsi="Times New Roman" w:cs="Times New Roman"/>
        </w:rPr>
        <w:t xml:space="preserve">reflects </w:t>
      </w:r>
      <w:r w:rsidR="00360A2E">
        <w:rPr>
          <w:rFonts w:ascii="Times New Roman" w:hAnsi="Times New Roman" w:cs="Times New Roman"/>
        </w:rPr>
        <w:t>the</w:t>
      </w:r>
      <w:r w:rsidR="00FE30CD">
        <w:rPr>
          <w:rFonts w:ascii="Times New Roman" w:hAnsi="Times New Roman" w:cs="Times New Roman"/>
        </w:rPr>
        <w:t xml:space="preserve"> change of career structure</w:t>
      </w:r>
      <w:r w:rsidR="00A15E8B">
        <w:rPr>
          <w:rFonts w:ascii="Times New Roman" w:hAnsi="Times New Roman" w:cs="Times New Roman"/>
        </w:rPr>
        <w:t>s</w:t>
      </w:r>
      <w:r w:rsidR="00FE30CD">
        <w:rPr>
          <w:rFonts w:ascii="Times New Roman" w:hAnsi="Times New Roman" w:cs="Times New Roman"/>
        </w:rPr>
        <w:t xml:space="preserve"> and </w:t>
      </w:r>
      <w:r w:rsidR="00A15E8B">
        <w:rPr>
          <w:rFonts w:ascii="Times New Roman" w:hAnsi="Times New Roman" w:cs="Times New Roman"/>
        </w:rPr>
        <w:t>practices</w:t>
      </w:r>
      <w:r w:rsidR="00FE30CD">
        <w:rPr>
          <w:rFonts w:ascii="Times New Roman" w:hAnsi="Times New Roman" w:cs="Times New Roman"/>
        </w:rPr>
        <w:t xml:space="preserve"> and the</w:t>
      </w:r>
      <w:r w:rsidR="00360A2E">
        <w:rPr>
          <w:rFonts w:ascii="Times New Roman" w:hAnsi="Times New Roman" w:cs="Times New Roman"/>
        </w:rPr>
        <w:t xml:space="preserve"> degree of </w:t>
      </w:r>
      <w:r w:rsidR="00600C90">
        <w:rPr>
          <w:rFonts w:ascii="Times New Roman" w:hAnsi="Times New Roman" w:cs="Times New Roman"/>
        </w:rPr>
        <w:t>engagement wi</w:t>
      </w:r>
      <w:r w:rsidR="00A15E8B">
        <w:rPr>
          <w:rFonts w:ascii="Times New Roman" w:hAnsi="Times New Roman" w:cs="Times New Roman"/>
        </w:rPr>
        <w:t xml:space="preserve">th the new practice, </w:t>
      </w:r>
      <w:r w:rsidR="00360A2E">
        <w:rPr>
          <w:rFonts w:ascii="Times New Roman" w:hAnsi="Times New Roman" w:cs="Times New Roman"/>
        </w:rPr>
        <w:t xml:space="preserve">and thus </w:t>
      </w:r>
      <w:r w:rsidR="00A15E8B">
        <w:rPr>
          <w:rFonts w:ascii="Times New Roman" w:hAnsi="Times New Roman" w:cs="Times New Roman"/>
        </w:rPr>
        <w:t xml:space="preserve">the </w:t>
      </w:r>
      <w:r w:rsidR="00360A2E">
        <w:rPr>
          <w:rFonts w:ascii="Times New Roman" w:hAnsi="Times New Roman" w:cs="Times New Roman"/>
        </w:rPr>
        <w:t>concurrent</w:t>
      </w:r>
      <w:r w:rsidR="00600C90">
        <w:rPr>
          <w:rFonts w:ascii="Times New Roman" w:hAnsi="Times New Roman" w:cs="Times New Roman"/>
        </w:rPr>
        <w:t xml:space="preserve"> deinstitutionalization of the old practice (equity</w:t>
      </w:r>
      <w:r w:rsidR="00360A2E">
        <w:rPr>
          <w:rFonts w:ascii="Times New Roman" w:hAnsi="Times New Roman" w:cs="Times New Roman"/>
        </w:rPr>
        <w:t xml:space="preserve"> partnerships) and </w:t>
      </w:r>
      <w:r w:rsidR="00A15E8B">
        <w:rPr>
          <w:rFonts w:ascii="Times New Roman" w:hAnsi="Times New Roman" w:cs="Times New Roman"/>
        </w:rPr>
        <w:t xml:space="preserve">the </w:t>
      </w:r>
      <w:r w:rsidR="006467DF">
        <w:rPr>
          <w:rFonts w:ascii="Times New Roman" w:hAnsi="Times New Roman" w:cs="Times New Roman"/>
        </w:rPr>
        <w:t xml:space="preserve">institutionalization of the </w:t>
      </w:r>
      <w:r w:rsidR="00360A2E">
        <w:rPr>
          <w:rFonts w:ascii="Times New Roman" w:hAnsi="Times New Roman" w:cs="Times New Roman"/>
        </w:rPr>
        <w:t xml:space="preserve">new one (non-equity partnership). </w:t>
      </w:r>
      <w:r w:rsidR="00253623">
        <w:rPr>
          <w:rFonts w:ascii="Times New Roman" w:hAnsi="Times New Roman" w:cs="Times New Roman"/>
        </w:rPr>
        <w:t>The</w:t>
      </w:r>
      <w:r w:rsidR="00BA34BB">
        <w:rPr>
          <w:rFonts w:ascii="Times New Roman" w:hAnsi="Times New Roman" w:cs="Times New Roman"/>
        </w:rPr>
        <w:t xml:space="preserve"> mutually exclusive</w:t>
      </w:r>
      <w:r w:rsidR="008C117B">
        <w:rPr>
          <w:rFonts w:ascii="Times New Roman" w:hAnsi="Times New Roman" w:cs="Times New Roman"/>
        </w:rPr>
        <w:t xml:space="preserve"> transition from the collegial model of partnership </w:t>
      </w:r>
      <w:r w:rsidR="00253623">
        <w:rPr>
          <w:rFonts w:ascii="Times New Roman" w:hAnsi="Times New Roman" w:cs="Times New Roman"/>
        </w:rPr>
        <w:t xml:space="preserve">(comprising only equity partnership) </w:t>
      </w:r>
      <w:r w:rsidR="008C117B">
        <w:rPr>
          <w:rFonts w:ascii="Times New Roman" w:hAnsi="Times New Roman" w:cs="Times New Roman"/>
        </w:rPr>
        <w:t>to</w:t>
      </w:r>
      <w:r w:rsidR="00BA34BB">
        <w:rPr>
          <w:rFonts w:ascii="Times New Roman" w:hAnsi="Times New Roman" w:cs="Times New Roman"/>
        </w:rPr>
        <w:t xml:space="preserve"> the multi-tier partnership </w:t>
      </w:r>
      <w:r w:rsidR="00253623">
        <w:rPr>
          <w:rFonts w:ascii="Times New Roman" w:hAnsi="Times New Roman" w:cs="Times New Roman"/>
        </w:rPr>
        <w:t xml:space="preserve">(including also non-equity partnership) </w:t>
      </w:r>
      <w:r w:rsidR="00E36E87">
        <w:rPr>
          <w:rFonts w:ascii="Times New Roman" w:hAnsi="Times New Roman" w:cs="Times New Roman"/>
        </w:rPr>
        <w:t>is a strategically motivated change for law firms.</w:t>
      </w:r>
      <w:r w:rsidR="00BA34BB">
        <w:rPr>
          <w:rFonts w:ascii="Times New Roman" w:hAnsi="Times New Roman" w:cs="Times New Roman"/>
        </w:rPr>
        <w:t xml:space="preserve"> </w:t>
      </w:r>
      <w:r w:rsidR="001B4DB2">
        <w:rPr>
          <w:rFonts w:ascii="Times New Roman" w:hAnsi="Times New Roman" w:cs="Times New Roman"/>
          <w:lang w:val="en-GB"/>
        </w:rPr>
        <w:t xml:space="preserve">We </w:t>
      </w:r>
      <w:r w:rsidR="003A1039">
        <w:rPr>
          <w:rFonts w:ascii="Times New Roman" w:hAnsi="Times New Roman" w:cs="Times New Roman"/>
          <w:lang w:val="en-GB"/>
        </w:rPr>
        <w:t>explore how demographic aspect</w:t>
      </w:r>
      <w:r w:rsidR="00A15E8B">
        <w:rPr>
          <w:rFonts w:ascii="Times New Roman" w:hAnsi="Times New Roman" w:cs="Times New Roman"/>
          <w:lang w:val="en-GB"/>
        </w:rPr>
        <w:t>s</w:t>
      </w:r>
      <w:r w:rsidR="003A1039">
        <w:rPr>
          <w:rFonts w:ascii="Times New Roman" w:hAnsi="Times New Roman" w:cs="Times New Roman"/>
          <w:lang w:val="en-GB"/>
        </w:rPr>
        <w:t xml:space="preserve"> of the organizational population such as profit</w:t>
      </w:r>
      <w:r w:rsidR="00544BC4">
        <w:rPr>
          <w:rFonts w:ascii="Times New Roman" w:hAnsi="Times New Roman" w:cs="Times New Roman"/>
          <w:lang w:val="en-GB"/>
        </w:rPr>
        <w:t>ability</w:t>
      </w:r>
      <w:r w:rsidR="003A1039">
        <w:rPr>
          <w:rFonts w:ascii="Times New Roman" w:hAnsi="Times New Roman" w:cs="Times New Roman"/>
          <w:lang w:val="en-GB"/>
        </w:rPr>
        <w:t xml:space="preserve"> per equity partner</w:t>
      </w:r>
      <w:r w:rsidR="00A619C4">
        <w:rPr>
          <w:rFonts w:ascii="Times New Roman" w:hAnsi="Times New Roman" w:cs="Times New Roman"/>
          <w:lang w:val="en-GB"/>
        </w:rPr>
        <w:t xml:space="preserve">, compensation </w:t>
      </w:r>
      <w:r w:rsidR="00544BC4">
        <w:rPr>
          <w:rFonts w:ascii="Times New Roman" w:hAnsi="Times New Roman" w:cs="Times New Roman"/>
          <w:lang w:val="en-GB"/>
        </w:rPr>
        <w:t>disparity</w:t>
      </w:r>
      <w:r w:rsidR="00A619C4">
        <w:rPr>
          <w:rFonts w:ascii="Times New Roman" w:hAnsi="Times New Roman" w:cs="Times New Roman"/>
          <w:lang w:val="en-GB"/>
        </w:rPr>
        <w:t xml:space="preserve">, </w:t>
      </w:r>
      <w:r w:rsidR="00544BC4">
        <w:rPr>
          <w:rFonts w:ascii="Times New Roman" w:hAnsi="Times New Roman" w:cs="Times New Roman"/>
          <w:lang w:val="en-GB"/>
        </w:rPr>
        <w:t xml:space="preserve">percentage of partners on associates (normally referred to as leverage ratio), </w:t>
      </w:r>
      <w:r w:rsidR="00A619C4">
        <w:rPr>
          <w:rFonts w:ascii="Times New Roman" w:hAnsi="Times New Roman" w:cs="Times New Roman"/>
          <w:lang w:val="en-GB"/>
        </w:rPr>
        <w:t>gender diversit</w:t>
      </w:r>
      <w:r w:rsidR="002234D6">
        <w:rPr>
          <w:rFonts w:ascii="Times New Roman" w:hAnsi="Times New Roman" w:cs="Times New Roman"/>
          <w:lang w:val="en-GB"/>
        </w:rPr>
        <w:t xml:space="preserve">y, </w:t>
      </w:r>
      <w:r w:rsidR="00544BC4">
        <w:rPr>
          <w:rFonts w:ascii="Times New Roman" w:hAnsi="Times New Roman" w:cs="Times New Roman"/>
          <w:lang w:val="en-GB"/>
        </w:rPr>
        <w:t xml:space="preserve">and partners’ reputation </w:t>
      </w:r>
      <w:r w:rsidR="001B4DB2">
        <w:rPr>
          <w:rFonts w:ascii="Times New Roman" w:hAnsi="Times New Roman" w:cs="Times New Roman"/>
          <w:lang w:val="en-GB"/>
        </w:rPr>
        <w:t>are</w:t>
      </w:r>
      <w:r w:rsidR="00D22E25" w:rsidRPr="005836D1">
        <w:rPr>
          <w:rFonts w:ascii="Times New Roman" w:hAnsi="Times New Roman" w:cs="Times New Roman"/>
          <w:lang w:val="en-GB"/>
        </w:rPr>
        <w:t xml:space="preserve"> associated with </w:t>
      </w:r>
      <w:r w:rsidR="00544BC4">
        <w:rPr>
          <w:rFonts w:ascii="Times New Roman" w:hAnsi="Times New Roman" w:cs="Times New Roman"/>
          <w:lang w:val="en-GB"/>
        </w:rPr>
        <w:t xml:space="preserve">the adoption – or the non-adoption – of the new practice of non-equity partnership. </w:t>
      </w:r>
    </w:p>
    <w:p w14:paraId="63F854F5" w14:textId="3E9CF427" w:rsidR="00AE79EC" w:rsidRDefault="00AE36B9" w:rsidP="001D0485">
      <w:pPr>
        <w:spacing w:line="480" w:lineRule="auto"/>
        <w:ind w:firstLine="720"/>
        <w:jc w:val="both"/>
        <w:rPr>
          <w:rFonts w:ascii="Times New Roman" w:hAnsi="Times New Roman" w:cs="Times New Roman"/>
          <w:lang w:val="en-GB"/>
        </w:rPr>
      </w:pPr>
      <w:r>
        <w:rPr>
          <w:rFonts w:ascii="Times New Roman" w:hAnsi="Times New Roman" w:cs="Times New Roman"/>
          <w:lang w:val="en-GB"/>
        </w:rPr>
        <w:t>Our</w:t>
      </w:r>
      <w:r w:rsidR="005441BB">
        <w:rPr>
          <w:rFonts w:ascii="Times New Roman" w:hAnsi="Times New Roman" w:cs="Times New Roman"/>
          <w:lang w:val="en-GB"/>
        </w:rPr>
        <w:t xml:space="preserve"> work contributes to </w:t>
      </w:r>
      <w:r>
        <w:rPr>
          <w:rFonts w:ascii="Times New Roman" w:hAnsi="Times New Roman" w:cs="Times New Roman"/>
          <w:lang w:val="en-GB"/>
        </w:rPr>
        <w:t xml:space="preserve">fleshing out </w:t>
      </w:r>
      <w:r w:rsidR="00052F36">
        <w:rPr>
          <w:rFonts w:ascii="Times New Roman" w:hAnsi="Times New Roman" w:cs="Times New Roman"/>
          <w:lang w:val="en-GB"/>
        </w:rPr>
        <w:t>organizational and aggregated individual</w:t>
      </w:r>
      <w:r>
        <w:rPr>
          <w:rFonts w:ascii="Times New Roman" w:hAnsi="Times New Roman" w:cs="Times New Roman"/>
          <w:lang w:val="en-GB"/>
        </w:rPr>
        <w:t xml:space="preserve"> determinants of </w:t>
      </w:r>
      <w:r w:rsidR="009F3159">
        <w:rPr>
          <w:rFonts w:ascii="Times New Roman" w:hAnsi="Times New Roman" w:cs="Times New Roman"/>
          <w:lang w:val="en-GB"/>
        </w:rPr>
        <w:t>institutional change</w:t>
      </w:r>
      <w:r>
        <w:rPr>
          <w:rFonts w:ascii="Times New Roman" w:hAnsi="Times New Roman" w:cs="Times New Roman"/>
          <w:lang w:val="en-GB"/>
        </w:rPr>
        <w:t xml:space="preserve">, as they motivate and trigger organizations’ deviance from </w:t>
      </w:r>
      <w:r w:rsidR="001B4DB2">
        <w:rPr>
          <w:rFonts w:ascii="Times New Roman" w:hAnsi="Times New Roman" w:cs="Times New Roman"/>
          <w:lang w:val="en-GB"/>
        </w:rPr>
        <w:t>institutionalized practices</w:t>
      </w:r>
      <w:r w:rsidR="00A81301">
        <w:rPr>
          <w:rFonts w:ascii="Times New Roman" w:hAnsi="Times New Roman" w:cs="Times New Roman"/>
          <w:lang w:val="en-GB"/>
        </w:rPr>
        <w:t xml:space="preserve"> and </w:t>
      </w:r>
      <w:r w:rsidR="00052F36">
        <w:rPr>
          <w:rFonts w:ascii="Times New Roman" w:hAnsi="Times New Roman" w:cs="Times New Roman"/>
          <w:lang w:val="en-GB"/>
        </w:rPr>
        <w:t xml:space="preserve">the adoption and institutionalization </w:t>
      </w:r>
      <w:r w:rsidR="00643E1B">
        <w:rPr>
          <w:rFonts w:ascii="Times New Roman" w:hAnsi="Times New Roman" w:cs="Times New Roman"/>
          <w:lang w:val="en-GB"/>
        </w:rPr>
        <w:t>of new practices</w:t>
      </w:r>
      <w:r>
        <w:rPr>
          <w:rFonts w:ascii="Times New Roman" w:hAnsi="Times New Roman" w:cs="Times New Roman"/>
          <w:lang w:val="en-GB"/>
        </w:rPr>
        <w:t>.</w:t>
      </w:r>
      <w:r w:rsidR="00E4387B">
        <w:rPr>
          <w:rFonts w:ascii="Times New Roman" w:hAnsi="Times New Roman" w:cs="Times New Roman"/>
          <w:lang w:val="en-GB"/>
        </w:rPr>
        <w:t xml:space="preserve"> </w:t>
      </w:r>
      <w:r w:rsidR="00BE2385">
        <w:rPr>
          <w:rFonts w:ascii="Times New Roman" w:hAnsi="Times New Roman" w:cs="Times New Roman"/>
          <w:lang w:val="en-GB"/>
        </w:rPr>
        <w:t xml:space="preserve">By </w:t>
      </w:r>
      <w:r w:rsidR="006D3F2B">
        <w:rPr>
          <w:rFonts w:ascii="Times New Roman" w:hAnsi="Times New Roman" w:cs="Times New Roman"/>
          <w:lang w:val="en-GB"/>
        </w:rPr>
        <w:t>looking at</w:t>
      </w:r>
      <w:r w:rsidR="000976E4">
        <w:rPr>
          <w:rFonts w:ascii="Times New Roman" w:hAnsi="Times New Roman" w:cs="Times New Roman"/>
          <w:lang w:val="en-GB"/>
        </w:rPr>
        <w:t xml:space="preserve"> how individual populations influence organizational decisions with regards to i</w:t>
      </w:r>
      <w:r w:rsidR="00B50F70">
        <w:rPr>
          <w:rFonts w:ascii="Times New Roman" w:hAnsi="Times New Roman" w:cs="Times New Roman"/>
          <w:lang w:val="en-GB"/>
        </w:rPr>
        <w:t>nstitutionalized practices</w:t>
      </w:r>
      <w:r w:rsidR="000976E4">
        <w:rPr>
          <w:rFonts w:ascii="Times New Roman" w:hAnsi="Times New Roman" w:cs="Times New Roman"/>
          <w:lang w:val="en-GB"/>
        </w:rPr>
        <w:t xml:space="preserve">, </w:t>
      </w:r>
      <w:r w:rsidR="00CB1FC8">
        <w:rPr>
          <w:rFonts w:ascii="Times New Roman" w:hAnsi="Times New Roman" w:cs="Times New Roman"/>
          <w:lang w:val="en-GB"/>
        </w:rPr>
        <w:t xml:space="preserve">we stress the importance of </w:t>
      </w:r>
      <w:r w:rsidR="00696430">
        <w:rPr>
          <w:rFonts w:ascii="Times New Roman" w:hAnsi="Times New Roman" w:cs="Times New Roman"/>
          <w:lang w:val="en-GB"/>
        </w:rPr>
        <w:t xml:space="preserve">including </w:t>
      </w:r>
      <w:r w:rsidR="002C73B4">
        <w:rPr>
          <w:rFonts w:ascii="Times New Roman" w:hAnsi="Times New Roman" w:cs="Times New Roman"/>
          <w:lang w:val="en-GB"/>
        </w:rPr>
        <w:t xml:space="preserve">a multiplicity of </w:t>
      </w:r>
      <w:r w:rsidR="00696430">
        <w:rPr>
          <w:rFonts w:ascii="Times New Roman" w:hAnsi="Times New Roman" w:cs="Times New Roman"/>
          <w:lang w:val="en-GB"/>
        </w:rPr>
        <w:t>levels of analysis</w:t>
      </w:r>
      <w:r w:rsidR="000976E4">
        <w:rPr>
          <w:rFonts w:ascii="Times New Roman" w:hAnsi="Times New Roman" w:cs="Times New Roman"/>
          <w:lang w:val="en-GB"/>
        </w:rPr>
        <w:t xml:space="preserve"> in the study of </w:t>
      </w:r>
      <w:r w:rsidR="00052F36">
        <w:rPr>
          <w:rFonts w:ascii="Times New Roman" w:hAnsi="Times New Roman" w:cs="Times New Roman"/>
          <w:lang w:val="en-GB"/>
        </w:rPr>
        <w:t>institutional change</w:t>
      </w:r>
      <w:r w:rsidR="00745864">
        <w:rPr>
          <w:rFonts w:ascii="Times New Roman" w:hAnsi="Times New Roman" w:cs="Times New Roman"/>
          <w:lang w:val="en-GB"/>
        </w:rPr>
        <w:t xml:space="preserve">, and more broadly </w:t>
      </w:r>
      <w:r w:rsidR="00B50F70">
        <w:rPr>
          <w:rFonts w:ascii="Times New Roman" w:hAnsi="Times New Roman" w:cs="Times New Roman"/>
          <w:lang w:val="en-GB"/>
        </w:rPr>
        <w:t xml:space="preserve">in the study of </w:t>
      </w:r>
      <w:r w:rsidR="00745864">
        <w:rPr>
          <w:rFonts w:ascii="Times New Roman" w:hAnsi="Times New Roman" w:cs="Times New Roman"/>
          <w:lang w:val="en-GB"/>
        </w:rPr>
        <w:t>the micro-foundations of institutional theory.</w:t>
      </w:r>
    </w:p>
    <w:p w14:paraId="13400C51" w14:textId="77777777" w:rsidR="001D0485" w:rsidRDefault="001D0485" w:rsidP="001D0485">
      <w:pPr>
        <w:spacing w:line="480" w:lineRule="auto"/>
        <w:ind w:firstLine="720"/>
        <w:jc w:val="both"/>
        <w:rPr>
          <w:rFonts w:ascii="Times New Roman" w:hAnsi="Times New Roman" w:cs="Times New Roman"/>
          <w:lang w:val="en-GB"/>
        </w:rPr>
      </w:pPr>
    </w:p>
    <w:p w14:paraId="1B2544D0" w14:textId="3BCC8CD5" w:rsidR="001D0485" w:rsidRPr="001D0485" w:rsidRDefault="003228C2" w:rsidP="00B627A7">
      <w:pPr>
        <w:spacing w:line="480" w:lineRule="auto"/>
        <w:jc w:val="center"/>
        <w:rPr>
          <w:rFonts w:ascii="Times New Roman" w:hAnsi="Times New Roman" w:cs="Times New Roman"/>
          <w:b/>
          <w:lang w:val="en-GB"/>
        </w:rPr>
      </w:pPr>
      <w:r>
        <w:rPr>
          <w:rFonts w:ascii="Times New Roman" w:hAnsi="Times New Roman" w:cs="Times New Roman"/>
          <w:b/>
          <w:lang w:val="en-GB"/>
        </w:rPr>
        <w:t>MICRO-FOUNDATIONS</w:t>
      </w:r>
      <w:r w:rsidR="00B627A7" w:rsidRPr="001D0485">
        <w:rPr>
          <w:rFonts w:ascii="Times New Roman" w:hAnsi="Times New Roman" w:cs="Times New Roman"/>
          <w:b/>
          <w:lang w:val="en-GB"/>
        </w:rPr>
        <w:t xml:space="preserve"> </w:t>
      </w:r>
      <w:r>
        <w:rPr>
          <w:rFonts w:ascii="Times New Roman" w:hAnsi="Times New Roman" w:cs="Times New Roman"/>
          <w:b/>
          <w:lang w:val="en-GB"/>
        </w:rPr>
        <w:t>AND DEINSTITUTIONALIZATION</w:t>
      </w:r>
    </w:p>
    <w:p w14:paraId="5151FCEF" w14:textId="4B8C88F1" w:rsidR="00D5380F" w:rsidRDefault="003B63B5" w:rsidP="001D0485">
      <w:pPr>
        <w:spacing w:line="480" w:lineRule="auto"/>
        <w:jc w:val="both"/>
        <w:rPr>
          <w:rFonts w:ascii="Times New Roman" w:hAnsi="Times New Roman" w:cs="Times New Roman"/>
          <w:lang w:val="en-GB"/>
        </w:rPr>
      </w:pPr>
      <w:r>
        <w:rPr>
          <w:rFonts w:ascii="Times New Roman" w:hAnsi="Times New Roman" w:cs="Times New Roman"/>
          <w:lang w:val="en-GB"/>
        </w:rPr>
        <w:t xml:space="preserve">In the last decade, </w:t>
      </w:r>
      <w:r w:rsidR="00CD18E6">
        <w:rPr>
          <w:rFonts w:ascii="Times New Roman" w:hAnsi="Times New Roman" w:cs="Times New Roman"/>
          <w:lang w:val="en-GB"/>
        </w:rPr>
        <w:t xml:space="preserve">institutional theory has increasingly paid attention to its </w:t>
      </w:r>
      <w:r w:rsidR="008D2261">
        <w:rPr>
          <w:rFonts w:ascii="Times New Roman" w:hAnsi="Times New Roman" w:cs="Times New Roman"/>
          <w:lang w:val="en-GB"/>
        </w:rPr>
        <w:t>‘</w:t>
      </w:r>
      <w:r w:rsidR="00CD18E6">
        <w:rPr>
          <w:rFonts w:ascii="Times New Roman" w:hAnsi="Times New Roman" w:cs="Times New Roman"/>
          <w:lang w:val="en-GB"/>
        </w:rPr>
        <w:t>micro-foundations</w:t>
      </w:r>
      <w:r w:rsidR="008D2261">
        <w:rPr>
          <w:rFonts w:ascii="Times New Roman" w:hAnsi="Times New Roman" w:cs="Times New Roman"/>
          <w:lang w:val="en-GB"/>
        </w:rPr>
        <w:t>’</w:t>
      </w:r>
      <w:r w:rsidR="0055628C">
        <w:rPr>
          <w:rFonts w:ascii="Times New Roman" w:hAnsi="Times New Roman" w:cs="Times New Roman"/>
          <w:lang w:val="en-GB"/>
        </w:rPr>
        <w:t xml:space="preserve"> (</w:t>
      </w:r>
      <w:r w:rsidR="00265A1B">
        <w:rPr>
          <w:rFonts w:ascii="Times New Roman" w:hAnsi="Times New Roman" w:cs="Times New Roman"/>
          <w:lang w:val="en-GB"/>
        </w:rPr>
        <w:t>Powell &amp; Rerup, 201</w:t>
      </w:r>
      <w:r w:rsidR="007B58F2">
        <w:rPr>
          <w:rFonts w:ascii="Times New Roman" w:hAnsi="Times New Roman" w:cs="Times New Roman"/>
          <w:lang w:val="en-GB"/>
        </w:rPr>
        <w:t>7</w:t>
      </w:r>
      <w:r w:rsidR="00CB7E6C">
        <w:rPr>
          <w:rFonts w:ascii="Times New Roman" w:hAnsi="Times New Roman" w:cs="Times New Roman"/>
          <w:lang w:val="en-GB"/>
        </w:rPr>
        <w:t>)</w:t>
      </w:r>
      <w:r w:rsidR="00265A1B">
        <w:rPr>
          <w:rFonts w:ascii="Times New Roman" w:hAnsi="Times New Roman" w:cs="Times New Roman"/>
          <w:lang w:val="en-GB"/>
        </w:rPr>
        <w:t xml:space="preserve"> although this call </w:t>
      </w:r>
      <w:r w:rsidR="00E76769">
        <w:rPr>
          <w:rFonts w:ascii="Times New Roman" w:hAnsi="Times New Roman" w:cs="Times New Roman"/>
          <w:lang w:val="en-GB"/>
        </w:rPr>
        <w:t>dates back to Zucker (1991) and DiMaggio</w:t>
      </w:r>
      <w:r w:rsidR="00B778AD">
        <w:rPr>
          <w:rFonts w:ascii="Times New Roman" w:hAnsi="Times New Roman" w:cs="Times New Roman"/>
          <w:lang w:val="en-GB"/>
        </w:rPr>
        <w:t xml:space="preserve"> </w:t>
      </w:r>
      <w:r w:rsidR="00C5394F">
        <w:rPr>
          <w:rFonts w:ascii="Times New Roman" w:hAnsi="Times New Roman" w:cs="Times New Roman"/>
          <w:lang w:val="en-GB"/>
        </w:rPr>
        <w:t>and</w:t>
      </w:r>
      <w:r w:rsidR="00B778AD">
        <w:rPr>
          <w:rFonts w:ascii="Times New Roman" w:hAnsi="Times New Roman" w:cs="Times New Roman"/>
          <w:lang w:val="en-GB"/>
        </w:rPr>
        <w:t xml:space="preserve"> Powell</w:t>
      </w:r>
      <w:r w:rsidR="00E76769">
        <w:rPr>
          <w:rFonts w:ascii="Times New Roman" w:hAnsi="Times New Roman" w:cs="Times New Roman"/>
          <w:lang w:val="en-GB"/>
        </w:rPr>
        <w:t xml:space="preserve"> (1991)</w:t>
      </w:r>
      <w:r w:rsidR="002C73B4">
        <w:rPr>
          <w:rFonts w:ascii="Times New Roman" w:hAnsi="Times New Roman" w:cs="Times New Roman"/>
          <w:lang w:val="en-GB"/>
        </w:rPr>
        <w:t>. However,</w:t>
      </w:r>
      <w:r w:rsidR="00E76769">
        <w:rPr>
          <w:rFonts w:ascii="Times New Roman" w:hAnsi="Times New Roman" w:cs="Times New Roman"/>
          <w:lang w:val="en-GB"/>
        </w:rPr>
        <w:t xml:space="preserve"> limited progress has been made</w:t>
      </w:r>
      <w:r w:rsidR="00BD108A">
        <w:rPr>
          <w:rFonts w:ascii="Times New Roman" w:hAnsi="Times New Roman" w:cs="Times New Roman"/>
          <w:lang w:val="en-GB"/>
        </w:rPr>
        <w:t xml:space="preserve"> since then</w:t>
      </w:r>
      <w:r w:rsidR="00E76769">
        <w:rPr>
          <w:rFonts w:ascii="Times New Roman" w:hAnsi="Times New Roman" w:cs="Times New Roman"/>
          <w:lang w:val="en-GB"/>
        </w:rPr>
        <w:t xml:space="preserve"> (Powell &amp; Colyvas, 20</w:t>
      </w:r>
      <w:r w:rsidR="00F27C28">
        <w:rPr>
          <w:rFonts w:ascii="Times New Roman" w:hAnsi="Times New Roman" w:cs="Times New Roman"/>
          <w:lang w:val="en-GB"/>
        </w:rPr>
        <w:t>08</w:t>
      </w:r>
      <w:r w:rsidR="00E76769">
        <w:rPr>
          <w:rFonts w:ascii="Times New Roman" w:hAnsi="Times New Roman" w:cs="Times New Roman"/>
          <w:lang w:val="en-GB"/>
        </w:rPr>
        <w:t>)</w:t>
      </w:r>
      <w:r w:rsidR="00CB7E6C">
        <w:rPr>
          <w:rFonts w:ascii="Times New Roman" w:hAnsi="Times New Roman" w:cs="Times New Roman"/>
          <w:lang w:val="en-GB"/>
        </w:rPr>
        <w:t>. The objective of the micro</w:t>
      </w:r>
      <w:r w:rsidR="00BD108A">
        <w:rPr>
          <w:rFonts w:ascii="Times New Roman" w:hAnsi="Times New Roman" w:cs="Times New Roman"/>
          <w:lang w:val="en-GB"/>
        </w:rPr>
        <w:t>-</w:t>
      </w:r>
      <w:r w:rsidR="00CB7E6C">
        <w:rPr>
          <w:rFonts w:ascii="Times New Roman" w:hAnsi="Times New Roman" w:cs="Times New Roman"/>
          <w:lang w:val="en-GB"/>
        </w:rPr>
        <w:t xml:space="preserve">foundation movement is </w:t>
      </w:r>
      <w:r w:rsidR="00DB401F" w:rsidRPr="00DB401F">
        <w:rPr>
          <w:rFonts w:ascii="Times New Roman" w:hAnsi="Times New Roman" w:cs="Times New Roman"/>
        </w:rPr>
        <w:t xml:space="preserve">to </w:t>
      </w:r>
      <w:r w:rsidR="00DB401F">
        <w:rPr>
          <w:rFonts w:ascii="Times New Roman" w:hAnsi="Times New Roman" w:cs="Times New Roman"/>
        </w:rPr>
        <w:t>“</w:t>
      </w:r>
      <w:r w:rsidR="00DB401F" w:rsidRPr="00DB401F">
        <w:rPr>
          <w:rFonts w:ascii="Times New Roman" w:hAnsi="Times New Roman" w:cs="Times New Roman"/>
        </w:rPr>
        <w:t>understand how individual-level factors impact organizations, how the interaction of individuals leads to eme</w:t>
      </w:r>
      <w:r w:rsidR="00DB401F">
        <w:rPr>
          <w:rFonts w:ascii="Times New Roman" w:hAnsi="Times New Roman" w:cs="Times New Roman"/>
        </w:rPr>
        <w:t>rgent, collective, and organiz</w:t>
      </w:r>
      <w:r w:rsidR="00DB401F" w:rsidRPr="00DB401F">
        <w:rPr>
          <w:rFonts w:ascii="Times New Roman" w:hAnsi="Times New Roman" w:cs="Times New Roman"/>
        </w:rPr>
        <w:t>ation-level outcomes and performance, and ho</w:t>
      </w:r>
      <w:r w:rsidR="00DB401F">
        <w:rPr>
          <w:rFonts w:ascii="Times New Roman" w:hAnsi="Times New Roman" w:cs="Times New Roman"/>
        </w:rPr>
        <w:t>w relations between macro vari</w:t>
      </w:r>
      <w:r w:rsidR="00DB401F" w:rsidRPr="00DB401F">
        <w:rPr>
          <w:rFonts w:ascii="Times New Roman" w:hAnsi="Times New Roman" w:cs="Times New Roman"/>
        </w:rPr>
        <w:t>ables are mediated by micro actions and interactions</w:t>
      </w:r>
      <w:r w:rsidR="00D45A3F">
        <w:rPr>
          <w:rFonts w:ascii="Times New Roman" w:hAnsi="Times New Roman" w:cs="Times New Roman"/>
        </w:rPr>
        <w:t>”</w:t>
      </w:r>
      <w:r w:rsidR="00DB401F" w:rsidRPr="00DB401F">
        <w:rPr>
          <w:rFonts w:ascii="Times New Roman" w:hAnsi="Times New Roman" w:cs="Times New Roman"/>
        </w:rPr>
        <w:t xml:space="preserve"> </w:t>
      </w:r>
      <w:r w:rsidR="009F6D02">
        <w:rPr>
          <w:rFonts w:ascii="Times New Roman" w:hAnsi="Times New Roman" w:cs="Times New Roman"/>
          <w:lang w:val="en-GB"/>
        </w:rPr>
        <w:t xml:space="preserve">(Felin et al., </w:t>
      </w:r>
      <w:r w:rsidR="00DB401F">
        <w:rPr>
          <w:rFonts w:ascii="Times New Roman" w:hAnsi="Times New Roman" w:cs="Times New Roman"/>
          <w:lang w:val="en-GB"/>
        </w:rPr>
        <w:t>2015: 576).</w:t>
      </w:r>
      <w:r w:rsidR="00CF1F33">
        <w:rPr>
          <w:rFonts w:ascii="Times New Roman" w:hAnsi="Times New Roman" w:cs="Times New Roman"/>
          <w:lang w:val="en-GB"/>
        </w:rPr>
        <w:t xml:space="preserve"> </w:t>
      </w:r>
      <w:r w:rsidR="00241474">
        <w:rPr>
          <w:rFonts w:ascii="Times New Roman" w:hAnsi="Times New Roman" w:cs="Times New Roman"/>
          <w:lang w:val="en-GB"/>
        </w:rPr>
        <w:t xml:space="preserve">In institutional theory, the starting point of the micro-foundations agenda is the idea that </w:t>
      </w:r>
      <w:r w:rsidR="0042609C">
        <w:rPr>
          <w:rFonts w:ascii="Times New Roman" w:hAnsi="Times New Roman" w:cs="Times New Roman"/>
          <w:lang w:val="en-GB"/>
        </w:rPr>
        <w:t>institutions are modi</w:t>
      </w:r>
      <w:r w:rsidR="00464A3D">
        <w:rPr>
          <w:rFonts w:ascii="Times New Roman" w:hAnsi="Times New Roman" w:cs="Times New Roman"/>
          <w:lang w:val="en-GB"/>
        </w:rPr>
        <w:t xml:space="preserve">fied and reproduced through the </w:t>
      </w:r>
      <w:r w:rsidR="00CB1FC8">
        <w:rPr>
          <w:rFonts w:ascii="Times New Roman" w:hAnsi="Times New Roman" w:cs="Times New Roman"/>
          <w:lang w:val="en-GB"/>
        </w:rPr>
        <w:t>everyday</w:t>
      </w:r>
      <w:r w:rsidR="0042609C">
        <w:rPr>
          <w:rFonts w:ascii="Times New Roman" w:hAnsi="Times New Roman" w:cs="Times New Roman"/>
          <w:lang w:val="en-GB"/>
        </w:rPr>
        <w:t xml:space="preserve"> actions of individuals (Powell &amp; Colyvas, 2008). </w:t>
      </w:r>
      <w:r w:rsidR="00332FAC">
        <w:rPr>
          <w:rFonts w:ascii="Times New Roman" w:hAnsi="Times New Roman" w:cs="Times New Roman"/>
          <w:lang w:val="en-GB"/>
        </w:rPr>
        <w:t xml:space="preserve">Individuals are not only cognitive carriers </w:t>
      </w:r>
      <w:r w:rsidR="00A9019F">
        <w:rPr>
          <w:rFonts w:ascii="Times New Roman" w:hAnsi="Times New Roman" w:cs="Times New Roman"/>
          <w:lang w:val="en-GB"/>
        </w:rPr>
        <w:t>(</w:t>
      </w:r>
      <w:r w:rsidR="00EF6D51">
        <w:rPr>
          <w:rFonts w:ascii="Times New Roman" w:hAnsi="Times New Roman" w:cs="Times New Roman"/>
          <w:lang w:val="en-GB"/>
        </w:rPr>
        <w:t>DiMaggio</w:t>
      </w:r>
      <w:r w:rsidR="00B778AD" w:rsidRPr="00B778AD">
        <w:rPr>
          <w:rFonts w:ascii="Times New Roman" w:hAnsi="Times New Roman" w:cs="Times New Roman"/>
          <w:lang w:val="en-GB"/>
        </w:rPr>
        <w:t xml:space="preserve"> </w:t>
      </w:r>
      <w:r w:rsidR="00B778AD">
        <w:rPr>
          <w:rFonts w:ascii="Times New Roman" w:hAnsi="Times New Roman" w:cs="Times New Roman"/>
          <w:lang w:val="en-GB"/>
        </w:rPr>
        <w:t>&amp; Powell,</w:t>
      </w:r>
      <w:r w:rsidR="00EF6D51">
        <w:rPr>
          <w:rFonts w:ascii="Times New Roman" w:hAnsi="Times New Roman" w:cs="Times New Roman"/>
          <w:lang w:val="en-GB"/>
        </w:rPr>
        <w:t xml:space="preserve"> 1991</w:t>
      </w:r>
      <w:r w:rsidR="00AF3366">
        <w:rPr>
          <w:rFonts w:ascii="Times New Roman" w:hAnsi="Times New Roman" w:cs="Times New Roman"/>
          <w:lang w:val="en-GB"/>
        </w:rPr>
        <w:t xml:space="preserve">), </w:t>
      </w:r>
      <w:r w:rsidR="00332FAC">
        <w:rPr>
          <w:rFonts w:ascii="Times New Roman" w:hAnsi="Times New Roman" w:cs="Times New Roman"/>
          <w:lang w:val="en-GB"/>
        </w:rPr>
        <w:t>but also</w:t>
      </w:r>
      <w:r w:rsidR="00643E1B">
        <w:rPr>
          <w:rFonts w:ascii="Times New Roman" w:hAnsi="Times New Roman" w:cs="Times New Roman"/>
          <w:lang w:val="en-GB"/>
        </w:rPr>
        <w:t xml:space="preserve"> actors that can bend or reproduce institutions</w:t>
      </w:r>
      <w:r w:rsidR="00114D40">
        <w:rPr>
          <w:rFonts w:ascii="Times New Roman" w:hAnsi="Times New Roman" w:cs="Times New Roman"/>
          <w:lang w:val="en-GB"/>
        </w:rPr>
        <w:t xml:space="preserve"> (Lawrence</w:t>
      </w:r>
      <w:r w:rsidR="00EF6D51">
        <w:rPr>
          <w:rFonts w:ascii="Times New Roman" w:hAnsi="Times New Roman" w:cs="Times New Roman"/>
          <w:lang w:val="en-GB"/>
        </w:rPr>
        <w:t xml:space="preserve"> et al., </w:t>
      </w:r>
      <w:r w:rsidR="00114D40">
        <w:rPr>
          <w:rFonts w:ascii="Times New Roman" w:hAnsi="Times New Roman" w:cs="Times New Roman"/>
          <w:lang w:val="en-GB"/>
        </w:rPr>
        <w:t>2009)</w:t>
      </w:r>
      <w:r w:rsidR="00643E1B">
        <w:rPr>
          <w:rFonts w:ascii="Times New Roman" w:hAnsi="Times New Roman" w:cs="Times New Roman"/>
          <w:lang w:val="en-GB"/>
        </w:rPr>
        <w:t xml:space="preserve">. </w:t>
      </w:r>
      <w:r w:rsidR="00CF1F33">
        <w:rPr>
          <w:rFonts w:ascii="Times New Roman" w:hAnsi="Times New Roman" w:cs="Times New Roman"/>
          <w:lang w:val="en-GB"/>
        </w:rPr>
        <w:t xml:space="preserve">One reason why progress has been limited in </w:t>
      </w:r>
      <w:r w:rsidR="00997BA6">
        <w:rPr>
          <w:rFonts w:ascii="Times New Roman" w:hAnsi="Times New Roman" w:cs="Times New Roman"/>
          <w:lang w:val="en-GB"/>
        </w:rPr>
        <w:t xml:space="preserve">the micro-foundations of institutions is the </w:t>
      </w:r>
      <w:r w:rsidR="001B363A">
        <w:rPr>
          <w:rFonts w:ascii="Times New Roman" w:hAnsi="Times New Roman" w:cs="Times New Roman"/>
          <w:lang w:val="en-GB"/>
        </w:rPr>
        <w:t xml:space="preserve">lack of clarity with regards to what exactly micro-foundations </w:t>
      </w:r>
      <w:r w:rsidR="0034543E">
        <w:rPr>
          <w:rFonts w:ascii="Times New Roman" w:hAnsi="Times New Roman" w:cs="Times New Roman"/>
          <w:lang w:val="en-GB"/>
        </w:rPr>
        <w:t>are</w:t>
      </w:r>
      <w:r w:rsidR="00815E5C">
        <w:rPr>
          <w:rFonts w:ascii="Times New Roman" w:hAnsi="Times New Roman" w:cs="Times New Roman"/>
          <w:lang w:val="en-GB"/>
        </w:rPr>
        <w:t>. In particular, there h</w:t>
      </w:r>
      <w:r w:rsidR="00AF6F89">
        <w:rPr>
          <w:rFonts w:ascii="Times New Roman" w:hAnsi="Times New Roman" w:cs="Times New Roman"/>
          <w:lang w:val="en-GB"/>
        </w:rPr>
        <w:t>a</w:t>
      </w:r>
      <w:r w:rsidR="00815E5C">
        <w:rPr>
          <w:rFonts w:ascii="Times New Roman" w:hAnsi="Times New Roman" w:cs="Times New Roman"/>
          <w:lang w:val="en-GB"/>
        </w:rPr>
        <w:t>s been an oscillation</w:t>
      </w:r>
      <w:r w:rsidR="00997BA6">
        <w:rPr>
          <w:rFonts w:ascii="Times New Roman" w:hAnsi="Times New Roman" w:cs="Times New Roman"/>
          <w:lang w:val="en-GB"/>
        </w:rPr>
        <w:t xml:space="preserve"> between focusing on </w:t>
      </w:r>
      <w:r w:rsidR="00DC483E">
        <w:rPr>
          <w:rFonts w:ascii="Times New Roman" w:hAnsi="Times New Roman" w:cs="Times New Roman"/>
          <w:lang w:val="en-GB"/>
        </w:rPr>
        <w:t>interactionism</w:t>
      </w:r>
      <w:r w:rsidR="00CF1F33">
        <w:rPr>
          <w:rFonts w:ascii="Times New Roman" w:hAnsi="Times New Roman" w:cs="Times New Roman"/>
          <w:lang w:val="en-GB"/>
        </w:rPr>
        <w:t xml:space="preserve"> (Gibson &amp; Vom Lehn, 2017)</w:t>
      </w:r>
      <w:r w:rsidR="00DC483E">
        <w:rPr>
          <w:rFonts w:ascii="Times New Roman" w:hAnsi="Times New Roman" w:cs="Times New Roman"/>
          <w:lang w:val="en-GB"/>
        </w:rPr>
        <w:t xml:space="preserve"> and a perspective </w:t>
      </w:r>
      <w:r w:rsidR="009B00D7">
        <w:rPr>
          <w:rFonts w:ascii="Times New Roman" w:hAnsi="Times New Roman" w:cs="Times New Roman"/>
          <w:lang w:val="en-GB"/>
        </w:rPr>
        <w:t xml:space="preserve">considering agents as </w:t>
      </w:r>
      <w:r w:rsidR="00FD1155">
        <w:rPr>
          <w:rFonts w:ascii="Times New Roman" w:hAnsi="Times New Roman" w:cs="Times New Roman"/>
          <w:lang w:val="en-GB"/>
        </w:rPr>
        <w:t xml:space="preserve">a </w:t>
      </w:r>
      <w:r w:rsidR="009B00D7">
        <w:rPr>
          <w:rFonts w:ascii="Times New Roman" w:hAnsi="Times New Roman" w:cs="Times New Roman"/>
          <w:lang w:val="en-GB"/>
        </w:rPr>
        <w:t>broad</w:t>
      </w:r>
      <w:r w:rsidR="00FD1155">
        <w:rPr>
          <w:rFonts w:ascii="Times New Roman" w:hAnsi="Times New Roman" w:cs="Times New Roman"/>
          <w:lang w:val="en-GB"/>
        </w:rPr>
        <w:t>ly defined</w:t>
      </w:r>
      <w:r w:rsidR="009B00D7">
        <w:rPr>
          <w:rFonts w:ascii="Times New Roman" w:hAnsi="Times New Roman" w:cs="Times New Roman"/>
          <w:lang w:val="en-GB"/>
        </w:rPr>
        <w:t xml:space="preserve"> set of actors that can affect and reciprocally be affected by structure </w:t>
      </w:r>
      <w:r w:rsidR="00DC483E">
        <w:rPr>
          <w:rFonts w:ascii="Times New Roman" w:hAnsi="Times New Roman" w:cs="Times New Roman"/>
          <w:lang w:val="en-GB"/>
        </w:rPr>
        <w:t>(Battilana, 2006)</w:t>
      </w:r>
      <w:r w:rsidR="009671A2">
        <w:rPr>
          <w:rFonts w:ascii="Times New Roman" w:hAnsi="Times New Roman" w:cs="Times New Roman"/>
          <w:lang w:val="en-GB"/>
        </w:rPr>
        <w:t xml:space="preserve"> </w:t>
      </w:r>
      <w:r w:rsidR="008C2224">
        <w:rPr>
          <w:rFonts w:ascii="Times New Roman" w:hAnsi="Times New Roman" w:cs="Times New Roman"/>
          <w:lang w:val="en-GB"/>
        </w:rPr>
        <w:t>–</w:t>
      </w:r>
      <w:r w:rsidR="009671A2">
        <w:rPr>
          <w:rFonts w:ascii="Times New Roman" w:hAnsi="Times New Roman" w:cs="Times New Roman"/>
          <w:lang w:val="en-GB"/>
        </w:rPr>
        <w:t xml:space="preserve"> </w:t>
      </w:r>
      <w:r w:rsidR="008C2224">
        <w:rPr>
          <w:rFonts w:ascii="Times New Roman" w:hAnsi="Times New Roman" w:cs="Times New Roman"/>
          <w:lang w:val="en-GB"/>
        </w:rPr>
        <w:t>“r</w:t>
      </w:r>
      <w:r w:rsidR="008C2224" w:rsidRPr="008C2224">
        <w:rPr>
          <w:rFonts w:ascii="Times New Roman" w:hAnsi="Times New Roman" w:cs="Times New Roman"/>
          <w:lang w:val="en-GB"/>
        </w:rPr>
        <w:t>ecurrent patterns of interaction or the mechanisms that cause them</w:t>
      </w:r>
      <w:r w:rsidR="008C2224">
        <w:rPr>
          <w:rFonts w:ascii="Times New Roman" w:hAnsi="Times New Roman" w:cs="Times New Roman"/>
          <w:lang w:val="en-GB"/>
        </w:rPr>
        <w:t>” (Cardinale, 2018</w:t>
      </w:r>
      <w:r w:rsidR="0034543E">
        <w:rPr>
          <w:rFonts w:ascii="Times New Roman" w:hAnsi="Times New Roman" w:cs="Times New Roman"/>
          <w:lang w:val="en-GB"/>
        </w:rPr>
        <w:t>:</w:t>
      </w:r>
      <w:r w:rsidR="008C2224">
        <w:rPr>
          <w:rFonts w:ascii="Times New Roman" w:hAnsi="Times New Roman" w:cs="Times New Roman"/>
          <w:lang w:val="en-GB"/>
        </w:rPr>
        <w:t xml:space="preserve"> 137)</w:t>
      </w:r>
      <w:r w:rsidR="00CF1F33">
        <w:rPr>
          <w:rFonts w:ascii="Times New Roman" w:hAnsi="Times New Roman" w:cs="Times New Roman"/>
          <w:lang w:val="en-GB"/>
        </w:rPr>
        <w:t>.</w:t>
      </w:r>
    </w:p>
    <w:p w14:paraId="5C7D3E46" w14:textId="77777777" w:rsidR="00114D40" w:rsidRPr="00DB401F" w:rsidRDefault="00114D40" w:rsidP="001D0485">
      <w:pPr>
        <w:spacing w:line="480" w:lineRule="auto"/>
        <w:jc w:val="both"/>
        <w:rPr>
          <w:rFonts w:ascii="Times New Roman" w:hAnsi="Times New Roman" w:cs="Times New Roman"/>
        </w:rPr>
      </w:pPr>
    </w:p>
    <w:p w14:paraId="51613816" w14:textId="696E6F0C" w:rsidR="00D5380F" w:rsidRPr="00DB401F" w:rsidRDefault="00585873" w:rsidP="001D0485">
      <w:pPr>
        <w:spacing w:line="480" w:lineRule="auto"/>
        <w:jc w:val="both"/>
        <w:rPr>
          <w:rFonts w:ascii="Times New Roman" w:hAnsi="Times New Roman" w:cs="Times New Roman"/>
          <w:b/>
          <w:lang w:val="en-GB"/>
        </w:rPr>
      </w:pPr>
      <w:r w:rsidRPr="00DB401F">
        <w:rPr>
          <w:rFonts w:ascii="Times New Roman" w:hAnsi="Times New Roman" w:cs="Times New Roman"/>
          <w:b/>
          <w:lang w:val="en-GB"/>
        </w:rPr>
        <w:t>Micro</w:t>
      </w:r>
      <w:r w:rsidR="00CD18E6" w:rsidRPr="00DB401F">
        <w:rPr>
          <w:rFonts w:ascii="Times New Roman" w:hAnsi="Times New Roman" w:cs="Times New Roman"/>
          <w:b/>
          <w:lang w:val="en-GB"/>
        </w:rPr>
        <w:t>-</w:t>
      </w:r>
      <w:r w:rsidRPr="00DB401F">
        <w:rPr>
          <w:rFonts w:ascii="Times New Roman" w:hAnsi="Times New Roman" w:cs="Times New Roman"/>
          <w:b/>
          <w:lang w:val="en-GB"/>
        </w:rPr>
        <w:t xml:space="preserve">foundations of institutions: </w:t>
      </w:r>
      <w:r w:rsidR="00AF1A0C">
        <w:rPr>
          <w:rFonts w:ascii="Times New Roman" w:hAnsi="Times New Roman" w:cs="Times New Roman"/>
          <w:b/>
          <w:lang w:val="en-GB"/>
        </w:rPr>
        <w:t>A</w:t>
      </w:r>
      <w:r w:rsidR="00AF1A0C" w:rsidRPr="00DB401F">
        <w:rPr>
          <w:rFonts w:ascii="Times New Roman" w:hAnsi="Times New Roman" w:cs="Times New Roman"/>
          <w:b/>
          <w:lang w:val="en-GB"/>
        </w:rPr>
        <w:t xml:space="preserve">gency </w:t>
      </w:r>
      <w:r w:rsidRPr="00DB401F">
        <w:rPr>
          <w:rFonts w:ascii="Times New Roman" w:hAnsi="Times New Roman" w:cs="Times New Roman"/>
          <w:b/>
          <w:lang w:val="en-GB"/>
        </w:rPr>
        <w:t>and levels of analysis</w:t>
      </w:r>
    </w:p>
    <w:p w14:paraId="76EBC1F4" w14:textId="03F86C1E" w:rsidR="00336770" w:rsidRDefault="00BE6D13" w:rsidP="001D0485">
      <w:pPr>
        <w:spacing w:line="480" w:lineRule="auto"/>
        <w:jc w:val="both"/>
        <w:rPr>
          <w:rFonts w:ascii="Times New Roman" w:hAnsi="Times New Roman" w:cs="Times New Roman"/>
          <w:lang w:val="en-GB"/>
        </w:rPr>
      </w:pPr>
      <w:r>
        <w:rPr>
          <w:rFonts w:ascii="Times New Roman" w:hAnsi="Times New Roman" w:cs="Times New Roman"/>
          <w:lang w:val="en-GB"/>
        </w:rPr>
        <w:t xml:space="preserve">A debate </w:t>
      </w:r>
      <w:r w:rsidR="00CD18E6">
        <w:rPr>
          <w:rFonts w:ascii="Times New Roman" w:hAnsi="Times New Roman" w:cs="Times New Roman"/>
          <w:lang w:val="en-GB"/>
        </w:rPr>
        <w:t>over the definition of micro-</w:t>
      </w:r>
      <w:r w:rsidR="00E2788E">
        <w:rPr>
          <w:rFonts w:ascii="Times New Roman" w:hAnsi="Times New Roman" w:cs="Times New Roman"/>
          <w:lang w:val="en-GB"/>
        </w:rPr>
        <w:t>foundations exists</w:t>
      </w:r>
      <w:r w:rsidR="00900EDC">
        <w:rPr>
          <w:rFonts w:ascii="Times New Roman" w:hAnsi="Times New Roman" w:cs="Times New Roman"/>
          <w:lang w:val="en-GB"/>
        </w:rPr>
        <w:t>, reflecting the tensions between individualism, holism and systemism (Reihlen</w:t>
      </w:r>
      <w:r w:rsidR="00686634">
        <w:rPr>
          <w:rFonts w:ascii="Times New Roman" w:hAnsi="Times New Roman" w:cs="Times New Roman"/>
          <w:lang w:val="en-GB"/>
        </w:rPr>
        <w:t xml:space="preserve"> et al., </w:t>
      </w:r>
      <w:r w:rsidR="00900EDC">
        <w:rPr>
          <w:rFonts w:ascii="Times New Roman" w:hAnsi="Times New Roman" w:cs="Times New Roman"/>
          <w:lang w:val="en-GB"/>
        </w:rPr>
        <w:t>2007)</w:t>
      </w:r>
      <w:r w:rsidR="00E2788E">
        <w:rPr>
          <w:rFonts w:ascii="Times New Roman" w:hAnsi="Times New Roman" w:cs="Times New Roman"/>
          <w:lang w:val="en-GB"/>
        </w:rPr>
        <w:t xml:space="preserve">. </w:t>
      </w:r>
      <w:r w:rsidR="00686634">
        <w:rPr>
          <w:rFonts w:ascii="Times New Roman" w:hAnsi="Times New Roman" w:cs="Times New Roman"/>
          <w:lang w:val="en-GB"/>
        </w:rPr>
        <w:t>The m</w:t>
      </w:r>
      <w:r w:rsidR="00FE30CD">
        <w:rPr>
          <w:rFonts w:ascii="Times New Roman" w:hAnsi="Times New Roman" w:cs="Times New Roman"/>
          <w:lang w:val="en-GB"/>
        </w:rPr>
        <w:t>ic</w:t>
      </w:r>
      <w:r w:rsidR="00002F80">
        <w:rPr>
          <w:rFonts w:ascii="Times New Roman" w:hAnsi="Times New Roman" w:cs="Times New Roman"/>
          <w:lang w:val="en-GB"/>
        </w:rPr>
        <w:t>ro-foundations of institutions can be defined as the ways individual behaviour can support</w:t>
      </w:r>
      <w:r w:rsidR="008B7951">
        <w:rPr>
          <w:rFonts w:ascii="Times New Roman" w:hAnsi="Times New Roman" w:cs="Times New Roman"/>
          <w:lang w:val="en-GB"/>
        </w:rPr>
        <w:t xml:space="preserve"> or challenge institutions (Powell &amp; Colyvas, 2008). </w:t>
      </w:r>
      <w:r w:rsidR="00E2788E">
        <w:rPr>
          <w:rFonts w:ascii="Times New Roman" w:hAnsi="Times New Roman" w:cs="Times New Roman"/>
          <w:lang w:val="en-GB"/>
        </w:rPr>
        <w:t>For some authors, micro-foundations are a way to solve the agency vs</w:t>
      </w:r>
      <w:r w:rsidR="00E81F02">
        <w:rPr>
          <w:rFonts w:ascii="Times New Roman" w:hAnsi="Times New Roman" w:cs="Times New Roman"/>
          <w:lang w:val="en-GB"/>
        </w:rPr>
        <w:t>.</w:t>
      </w:r>
      <w:r w:rsidR="00E2788E">
        <w:rPr>
          <w:rFonts w:ascii="Times New Roman" w:hAnsi="Times New Roman" w:cs="Times New Roman"/>
          <w:lang w:val="en-GB"/>
        </w:rPr>
        <w:t xml:space="preserve"> structure debate (Cardinale, 2018).</w:t>
      </w:r>
      <w:r w:rsidR="009401A4">
        <w:rPr>
          <w:rFonts w:ascii="Times New Roman" w:hAnsi="Times New Roman" w:cs="Times New Roman"/>
          <w:lang w:val="en-GB"/>
        </w:rPr>
        <w:t xml:space="preserve"> Early work in this area indeed </w:t>
      </w:r>
      <w:r w:rsidR="001575E2">
        <w:rPr>
          <w:rFonts w:ascii="Times New Roman" w:hAnsi="Times New Roman" w:cs="Times New Roman"/>
          <w:lang w:val="en-GB"/>
        </w:rPr>
        <w:t>brought the role of agents to the front to explain endogenous institutional change (Battilana, 2006).</w:t>
      </w:r>
      <w:r w:rsidR="00336770">
        <w:rPr>
          <w:rFonts w:ascii="Times New Roman" w:hAnsi="Times New Roman" w:cs="Times New Roman"/>
          <w:lang w:val="en-GB"/>
        </w:rPr>
        <w:t xml:space="preserve"> </w:t>
      </w:r>
      <w:r w:rsidR="00766F8F">
        <w:rPr>
          <w:rFonts w:ascii="Times New Roman" w:hAnsi="Times New Roman" w:cs="Times New Roman"/>
          <w:lang w:val="en-GB"/>
        </w:rPr>
        <w:t xml:space="preserve">Structure is </w:t>
      </w:r>
      <w:r w:rsidR="007D752B">
        <w:rPr>
          <w:rFonts w:ascii="Times New Roman" w:hAnsi="Times New Roman" w:cs="Times New Roman"/>
          <w:lang w:val="en-GB"/>
        </w:rPr>
        <w:t xml:space="preserve">the product of human agency but at the same time constrain human agency (DiMaggio &amp; Powell, 1991). </w:t>
      </w:r>
      <w:r w:rsidR="007500CF">
        <w:rPr>
          <w:rFonts w:ascii="Times New Roman" w:hAnsi="Times New Roman" w:cs="Times New Roman"/>
          <w:lang w:val="en-GB"/>
        </w:rPr>
        <w:t xml:space="preserve">To solve </w:t>
      </w:r>
      <w:r w:rsidR="007D752B">
        <w:rPr>
          <w:rFonts w:ascii="Times New Roman" w:hAnsi="Times New Roman" w:cs="Times New Roman"/>
          <w:lang w:val="en-GB"/>
        </w:rPr>
        <w:t>this problem of</w:t>
      </w:r>
      <w:r w:rsidR="007500CF">
        <w:rPr>
          <w:rFonts w:ascii="Times New Roman" w:hAnsi="Times New Roman" w:cs="Times New Roman"/>
          <w:lang w:val="en-GB"/>
        </w:rPr>
        <w:t xml:space="preserve"> embedded agency, </w:t>
      </w:r>
      <w:r w:rsidR="00336770">
        <w:rPr>
          <w:rFonts w:ascii="Times New Roman" w:hAnsi="Times New Roman" w:cs="Times New Roman"/>
          <w:lang w:val="en-GB"/>
        </w:rPr>
        <w:t xml:space="preserve">Cardinale (2018) </w:t>
      </w:r>
      <w:r w:rsidR="007500CF">
        <w:rPr>
          <w:rFonts w:ascii="Times New Roman" w:hAnsi="Times New Roman" w:cs="Times New Roman"/>
          <w:lang w:val="en-GB"/>
        </w:rPr>
        <w:t xml:space="preserve">suggested that </w:t>
      </w:r>
      <w:r w:rsidR="00A9019F">
        <w:rPr>
          <w:rFonts w:ascii="Times New Roman" w:hAnsi="Times New Roman" w:cs="Times New Roman"/>
          <w:lang w:val="en-GB"/>
        </w:rPr>
        <w:t xml:space="preserve">structure is not only a </w:t>
      </w:r>
      <w:r w:rsidR="00483753">
        <w:rPr>
          <w:rFonts w:ascii="Times New Roman" w:hAnsi="Times New Roman" w:cs="Times New Roman"/>
          <w:lang w:val="en-GB"/>
        </w:rPr>
        <w:t>constrain to action but also a compass that orients agents,</w:t>
      </w:r>
      <w:r w:rsidR="003E33D6">
        <w:rPr>
          <w:rFonts w:ascii="Times New Roman" w:hAnsi="Times New Roman" w:cs="Times New Roman"/>
          <w:lang w:val="en-GB"/>
        </w:rPr>
        <w:t xml:space="preserve"> and provide them with pre-</w:t>
      </w:r>
      <w:r w:rsidR="00561F06">
        <w:rPr>
          <w:rFonts w:ascii="Times New Roman" w:hAnsi="Times New Roman" w:cs="Times New Roman"/>
          <w:lang w:val="en-GB"/>
        </w:rPr>
        <w:t>reflexivity.</w:t>
      </w:r>
      <w:r w:rsidR="005B6C83">
        <w:rPr>
          <w:rFonts w:ascii="Times New Roman" w:hAnsi="Times New Roman" w:cs="Times New Roman"/>
          <w:lang w:val="en-GB"/>
        </w:rPr>
        <w:t xml:space="preserve"> Empirical work has thus shown that i</w:t>
      </w:r>
      <w:r w:rsidR="00A6568E">
        <w:rPr>
          <w:rFonts w:ascii="Times New Roman" w:hAnsi="Times New Roman" w:cs="Times New Roman"/>
          <w:lang w:val="en-GB"/>
        </w:rPr>
        <w:t xml:space="preserve">nstitutional change can </w:t>
      </w:r>
      <w:r w:rsidR="00A9019F">
        <w:rPr>
          <w:rFonts w:ascii="Times New Roman" w:hAnsi="Times New Roman" w:cs="Times New Roman"/>
          <w:lang w:val="en-GB"/>
        </w:rPr>
        <w:t>originate from the every</w:t>
      </w:r>
      <w:r w:rsidR="005B6C83">
        <w:rPr>
          <w:rFonts w:ascii="Times New Roman" w:hAnsi="Times New Roman" w:cs="Times New Roman"/>
          <w:lang w:val="en-GB"/>
        </w:rPr>
        <w:t>day action of individuals</w:t>
      </w:r>
      <w:r w:rsidR="00C63482">
        <w:rPr>
          <w:rFonts w:ascii="Times New Roman" w:hAnsi="Times New Roman" w:cs="Times New Roman"/>
          <w:lang w:val="en-GB"/>
        </w:rPr>
        <w:t xml:space="preserve"> (Smets et al., </w:t>
      </w:r>
      <w:r w:rsidR="006A3F4C">
        <w:rPr>
          <w:rFonts w:ascii="Times New Roman" w:hAnsi="Times New Roman" w:cs="Times New Roman"/>
          <w:lang w:val="en-GB"/>
        </w:rPr>
        <w:t>2012).</w:t>
      </w:r>
      <w:r w:rsidR="009071D7">
        <w:rPr>
          <w:rFonts w:ascii="Times New Roman" w:hAnsi="Times New Roman" w:cs="Times New Roman"/>
          <w:lang w:val="en-GB"/>
        </w:rPr>
        <w:t xml:space="preserve"> Structure and agency are however often equated to a macro-micro divide (Emirbayer &amp; Mische, 1998)</w:t>
      </w:r>
      <w:r w:rsidR="00985186">
        <w:rPr>
          <w:rFonts w:ascii="Times New Roman" w:hAnsi="Times New Roman" w:cs="Times New Roman"/>
          <w:lang w:val="en-GB"/>
        </w:rPr>
        <w:t xml:space="preserve"> which limits our view </w:t>
      </w:r>
      <w:r w:rsidR="00F32C4A">
        <w:rPr>
          <w:rFonts w:ascii="Times New Roman" w:hAnsi="Times New Roman" w:cs="Times New Roman"/>
          <w:lang w:val="en-GB"/>
        </w:rPr>
        <w:t>of what agents can be and the way they can bend or reproduce structure</w:t>
      </w:r>
      <w:r w:rsidR="009071D7">
        <w:rPr>
          <w:rFonts w:ascii="Times New Roman" w:hAnsi="Times New Roman" w:cs="Times New Roman"/>
          <w:lang w:val="en-GB"/>
        </w:rPr>
        <w:t>.</w:t>
      </w:r>
      <w:r w:rsidR="009764F0">
        <w:rPr>
          <w:rFonts w:ascii="Times New Roman" w:hAnsi="Times New Roman" w:cs="Times New Roman"/>
          <w:lang w:val="en-GB"/>
        </w:rPr>
        <w:t xml:space="preserve"> “Bottom-up change” (Smets et al., </w:t>
      </w:r>
      <w:r w:rsidR="00CD231D">
        <w:rPr>
          <w:rFonts w:ascii="Times New Roman" w:hAnsi="Times New Roman" w:cs="Times New Roman"/>
          <w:lang w:val="en-GB"/>
        </w:rPr>
        <w:t>2012:</w:t>
      </w:r>
      <w:r w:rsidR="001E3426">
        <w:rPr>
          <w:rFonts w:ascii="Times New Roman" w:hAnsi="Times New Roman" w:cs="Times New Roman"/>
          <w:lang w:val="en-GB"/>
        </w:rPr>
        <w:t xml:space="preserve"> 879) is not only the consequences of individuals slowly changing field-level practices, but individuals changing </w:t>
      </w:r>
      <w:r w:rsidR="00A23769">
        <w:rPr>
          <w:rFonts w:ascii="Times New Roman" w:hAnsi="Times New Roman" w:cs="Times New Roman"/>
          <w:lang w:val="en-GB"/>
        </w:rPr>
        <w:t>the decisions made by organizations,</w:t>
      </w:r>
      <w:r w:rsidR="00F21531">
        <w:rPr>
          <w:rFonts w:ascii="Times New Roman" w:hAnsi="Times New Roman" w:cs="Times New Roman"/>
          <w:lang w:val="en-GB"/>
        </w:rPr>
        <w:t xml:space="preserve"> as their effect on structure is mediated by </w:t>
      </w:r>
      <w:r w:rsidR="00A23769">
        <w:rPr>
          <w:rFonts w:ascii="Times New Roman" w:hAnsi="Times New Roman" w:cs="Times New Roman"/>
          <w:lang w:val="en-GB"/>
        </w:rPr>
        <w:t xml:space="preserve">the organizational </w:t>
      </w:r>
      <w:r w:rsidR="00F21531">
        <w:rPr>
          <w:rFonts w:ascii="Times New Roman" w:hAnsi="Times New Roman" w:cs="Times New Roman"/>
          <w:lang w:val="en-GB"/>
        </w:rPr>
        <w:t>level of analysis.</w:t>
      </w:r>
    </w:p>
    <w:p w14:paraId="52EA9535" w14:textId="5984FA9F" w:rsidR="00561F06" w:rsidRDefault="00561F06" w:rsidP="001D0485">
      <w:pPr>
        <w:spacing w:line="480" w:lineRule="auto"/>
        <w:jc w:val="both"/>
        <w:rPr>
          <w:rFonts w:ascii="Times New Roman" w:hAnsi="Times New Roman" w:cs="Times New Roman"/>
          <w:lang w:val="en-GB"/>
        </w:rPr>
      </w:pPr>
      <w:r>
        <w:rPr>
          <w:rFonts w:ascii="Times New Roman" w:hAnsi="Times New Roman" w:cs="Times New Roman"/>
          <w:lang w:val="en-GB"/>
        </w:rPr>
        <w:tab/>
      </w:r>
      <w:r w:rsidR="004A5BA5">
        <w:rPr>
          <w:rFonts w:ascii="Times New Roman" w:hAnsi="Times New Roman" w:cs="Times New Roman"/>
          <w:lang w:val="en-GB"/>
        </w:rPr>
        <w:t xml:space="preserve">Beyond </w:t>
      </w:r>
      <w:r>
        <w:rPr>
          <w:rFonts w:ascii="Times New Roman" w:hAnsi="Times New Roman" w:cs="Times New Roman"/>
          <w:lang w:val="en-GB"/>
        </w:rPr>
        <w:t>further theorization of the agency vs</w:t>
      </w:r>
      <w:r w:rsidR="00513E34">
        <w:rPr>
          <w:rFonts w:ascii="Times New Roman" w:hAnsi="Times New Roman" w:cs="Times New Roman"/>
          <w:lang w:val="en-GB"/>
        </w:rPr>
        <w:t>.</w:t>
      </w:r>
      <w:r>
        <w:rPr>
          <w:rFonts w:ascii="Times New Roman" w:hAnsi="Times New Roman" w:cs="Times New Roman"/>
          <w:lang w:val="en-GB"/>
        </w:rPr>
        <w:t xml:space="preserve"> structure </w:t>
      </w:r>
      <w:r w:rsidR="004A5BA5">
        <w:rPr>
          <w:rFonts w:ascii="Times New Roman" w:hAnsi="Times New Roman" w:cs="Times New Roman"/>
          <w:lang w:val="en-GB"/>
        </w:rPr>
        <w:t>dichotomy, a focus on the role of agents needs to go beyond the sole</w:t>
      </w:r>
      <w:r w:rsidR="00A9019F">
        <w:rPr>
          <w:rFonts w:ascii="Times New Roman" w:hAnsi="Times New Roman" w:cs="Times New Roman"/>
          <w:lang w:val="en-GB"/>
        </w:rPr>
        <w:t xml:space="preserve"> role of individuals to take into </w:t>
      </w:r>
      <w:r w:rsidR="004A5BA5">
        <w:rPr>
          <w:rFonts w:ascii="Times New Roman" w:hAnsi="Times New Roman" w:cs="Times New Roman"/>
          <w:lang w:val="en-GB"/>
        </w:rPr>
        <w:t xml:space="preserve">account </w:t>
      </w:r>
      <w:r w:rsidR="00A62EA0">
        <w:rPr>
          <w:rFonts w:ascii="Times New Roman" w:hAnsi="Times New Roman" w:cs="Times New Roman"/>
          <w:lang w:val="en-GB"/>
        </w:rPr>
        <w:t xml:space="preserve">the way they affect organizational decision making as a population </w:t>
      </w:r>
      <w:r w:rsidR="00B61C61">
        <w:rPr>
          <w:rFonts w:ascii="Times New Roman" w:hAnsi="Times New Roman" w:cs="Times New Roman"/>
          <w:lang w:val="en-GB"/>
        </w:rPr>
        <w:t>(Harmon</w:t>
      </w:r>
      <w:r w:rsidR="009764F0">
        <w:rPr>
          <w:rFonts w:ascii="Times New Roman" w:hAnsi="Times New Roman" w:cs="Times New Roman"/>
          <w:lang w:val="en-GB"/>
        </w:rPr>
        <w:t xml:space="preserve"> et al., 2018</w:t>
      </w:r>
      <w:r w:rsidR="00B61C61">
        <w:rPr>
          <w:rFonts w:ascii="Times New Roman" w:hAnsi="Times New Roman" w:cs="Times New Roman"/>
          <w:lang w:val="en-GB"/>
        </w:rPr>
        <w:t>).</w:t>
      </w:r>
      <w:r w:rsidR="009029CE">
        <w:rPr>
          <w:rFonts w:ascii="Times New Roman" w:hAnsi="Times New Roman" w:cs="Times New Roman"/>
          <w:lang w:val="en-GB"/>
        </w:rPr>
        <w:t xml:space="preserve"> </w:t>
      </w:r>
      <w:r w:rsidR="00686634">
        <w:rPr>
          <w:rFonts w:ascii="Times New Roman" w:hAnsi="Times New Roman" w:cs="Times New Roman"/>
          <w:lang w:val="en-GB"/>
        </w:rPr>
        <w:t>This is consistent with a view of s</w:t>
      </w:r>
      <w:r w:rsidR="00F4337B">
        <w:rPr>
          <w:rFonts w:ascii="Times New Roman" w:hAnsi="Times New Roman" w:cs="Times New Roman"/>
          <w:lang w:val="en-GB"/>
        </w:rPr>
        <w:t xml:space="preserve">ocial theory </w:t>
      </w:r>
      <w:r w:rsidR="00686634">
        <w:rPr>
          <w:rFonts w:ascii="Times New Roman" w:hAnsi="Times New Roman" w:cs="Times New Roman"/>
          <w:lang w:val="en-GB"/>
        </w:rPr>
        <w:t xml:space="preserve">as accounting </w:t>
      </w:r>
      <w:r w:rsidR="00F4337B">
        <w:rPr>
          <w:rFonts w:ascii="Times New Roman" w:hAnsi="Times New Roman" w:cs="Times New Roman"/>
          <w:lang w:val="en-GB"/>
        </w:rPr>
        <w:t>for individual</w:t>
      </w:r>
      <w:r w:rsidR="00513E34">
        <w:rPr>
          <w:rFonts w:ascii="Times New Roman" w:hAnsi="Times New Roman" w:cs="Times New Roman"/>
          <w:lang w:val="en-GB"/>
        </w:rPr>
        <w:t>-</w:t>
      </w:r>
      <w:r w:rsidR="00412AFD">
        <w:rPr>
          <w:rFonts w:ascii="Times New Roman" w:hAnsi="Times New Roman" w:cs="Times New Roman"/>
          <w:lang w:val="en-GB"/>
        </w:rPr>
        <w:t>,</w:t>
      </w:r>
      <w:r w:rsidR="00F4337B">
        <w:rPr>
          <w:rFonts w:ascii="Times New Roman" w:hAnsi="Times New Roman" w:cs="Times New Roman"/>
          <w:lang w:val="en-GB"/>
        </w:rPr>
        <w:t xml:space="preserve"> organizational</w:t>
      </w:r>
      <w:r w:rsidR="00513E34">
        <w:rPr>
          <w:rFonts w:ascii="Times New Roman" w:hAnsi="Times New Roman" w:cs="Times New Roman"/>
          <w:lang w:val="en-GB"/>
        </w:rPr>
        <w:t>- and field-</w:t>
      </w:r>
      <w:r w:rsidR="00F4337B">
        <w:rPr>
          <w:rFonts w:ascii="Times New Roman" w:hAnsi="Times New Roman" w:cs="Times New Roman"/>
          <w:lang w:val="en-GB"/>
        </w:rPr>
        <w:t xml:space="preserve">levels of analysis (Friedland &amp; Alford, 1991). </w:t>
      </w:r>
      <w:r w:rsidR="00272144">
        <w:rPr>
          <w:rFonts w:ascii="Times New Roman" w:hAnsi="Times New Roman" w:cs="Times New Roman"/>
          <w:lang w:val="en-GB"/>
        </w:rPr>
        <w:t>In the case</w:t>
      </w:r>
      <w:r w:rsidR="00FB60F2">
        <w:rPr>
          <w:rFonts w:ascii="Times New Roman" w:hAnsi="Times New Roman" w:cs="Times New Roman"/>
          <w:lang w:val="en-GB"/>
        </w:rPr>
        <w:t xml:space="preserve"> explored by Smets et al</w:t>
      </w:r>
      <w:r w:rsidR="00513E34">
        <w:rPr>
          <w:rFonts w:ascii="Times New Roman" w:hAnsi="Times New Roman" w:cs="Times New Roman"/>
          <w:lang w:val="en-GB"/>
        </w:rPr>
        <w:t xml:space="preserve">. (2012), </w:t>
      </w:r>
      <w:r w:rsidR="00FB60F2">
        <w:rPr>
          <w:rFonts w:ascii="Times New Roman" w:hAnsi="Times New Roman" w:cs="Times New Roman"/>
          <w:lang w:val="en-GB"/>
        </w:rPr>
        <w:t>the change at the organizational</w:t>
      </w:r>
      <w:r w:rsidR="00513E34">
        <w:rPr>
          <w:rFonts w:ascii="Times New Roman" w:hAnsi="Times New Roman" w:cs="Times New Roman"/>
          <w:lang w:val="en-GB"/>
        </w:rPr>
        <w:t xml:space="preserve"> level, triggered by individual-</w:t>
      </w:r>
      <w:r w:rsidR="00FB60F2">
        <w:rPr>
          <w:rFonts w:ascii="Times New Roman" w:hAnsi="Times New Roman" w:cs="Times New Roman"/>
          <w:lang w:val="en-GB"/>
        </w:rPr>
        <w:t>level changes in practice</w:t>
      </w:r>
      <w:r w:rsidR="00513E34">
        <w:rPr>
          <w:rFonts w:ascii="Times New Roman" w:hAnsi="Times New Roman" w:cs="Times New Roman"/>
          <w:lang w:val="en-GB"/>
        </w:rPr>
        <w:t>s</w:t>
      </w:r>
      <w:r w:rsidR="00FB60F2">
        <w:rPr>
          <w:rFonts w:ascii="Times New Roman" w:hAnsi="Times New Roman" w:cs="Times New Roman"/>
          <w:lang w:val="en-GB"/>
        </w:rPr>
        <w:t>,</w:t>
      </w:r>
      <w:r w:rsidR="00C66DD8">
        <w:rPr>
          <w:rFonts w:ascii="Times New Roman" w:hAnsi="Times New Roman" w:cs="Times New Roman"/>
          <w:lang w:val="en-GB"/>
        </w:rPr>
        <w:t xml:space="preserve"> ultimately l</w:t>
      </w:r>
      <w:r w:rsidR="00FB60F2">
        <w:rPr>
          <w:rFonts w:ascii="Times New Roman" w:hAnsi="Times New Roman" w:cs="Times New Roman"/>
          <w:lang w:val="en-GB"/>
        </w:rPr>
        <w:t>e</w:t>
      </w:r>
      <w:r w:rsidR="00686634">
        <w:rPr>
          <w:rFonts w:ascii="Times New Roman" w:hAnsi="Times New Roman" w:cs="Times New Roman"/>
          <w:lang w:val="en-GB"/>
        </w:rPr>
        <w:t>d</w:t>
      </w:r>
      <w:r w:rsidR="00513E34">
        <w:rPr>
          <w:rFonts w:ascii="Times New Roman" w:hAnsi="Times New Roman" w:cs="Times New Roman"/>
          <w:lang w:val="en-GB"/>
        </w:rPr>
        <w:t xml:space="preserve"> to </w:t>
      </w:r>
      <w:r w:rsidR="00686634">
        <w:rPr>
          <w:rFonts w:ascii="Times New Roman" w:hAnsi="Times New Roman" w:cs="Times New Roman"/>
          <w:lang w:val="en-GB"/>
        </w:rPr>
        <w:t xml:space="preserve">the </w:t>
      </w:r>
      <w:r w:rsidR="00513E34">
        <w:rPr>
          <w:rFonts w:ascii="Times New Roman" w:hAnsi="Times New Roman" w:cs="Times New Roman"/>
          <w:lang w:val="en-GB"/>
        </w:rPr>
        <w:t>field-</w:t>
      </w:r>
      <w:r w:rsidR="00FB60F2">
        <w:rPr>
          <w:rFonts w:ascii="Times New Roman" w:hAnsi="Times New Roman" w:cs="Times New Roman"/>
          <w:lang w:val="en-GB"/>
        </w:rPr>
        <w:t>level institutionalization of a new practice.</w:t>
      </w:r>
      <w:r w:rsidR="006D200A">
        <w:rPr>
          <w:rFonts w:ascii="Times New Roman" w:hAnsi="Times New Roman" w:cs="Times New Roman"/>
          <w:lang w:val="en-GB"/>
        </w:rPr>
        <w:t xml:space="preserve"> </w:t>
      </w:r>
      <w:r w:rsidR="00686634">
        <w:rPr>
          <w:rFonts w:ascii="Times New Roman" w:hAnsi="Times New Roman" w:cs="Times New Roman"/>
          <w:lang w:val="en-GB"/>
        </w:rPr>
        <w:t>It shows that m</w:t>
      </w:r>
      <w:r w:rsidR="006D200A">
        <w:rPr>
          <w:rFonts w:ascii="Times New Roman" w:hAnsi="Times New Roman" w:cs="Times New Roman"/>
          <w:lang w:val="en-GB"/>
        </w:rPr>
        <w:t>acro-level phenomena are not only the consequences of individual behavio</w:t>
      </w:r>
      <w:r w:rsidR="00513E34">
        <w:rPr>
          <w:rFonts w:ascii="Times New Roman" w:hAnsi="Times New Roman" w:cs="Times New Roman"/>
          <w:lang w:val="en-GB"/>
        </w:rPr>
        <w:t>u</w:t>
      </w:r>
      <w:r w:rsidR="006D200A">
        <w:rPr>
          <w:rFonts w:ascii="Times New Roman" w:hAnsi="Times New Roman" w:cs="Times New Roman"/>
          <w:lang w:val="en-GB"/>
        </w:rPr>
        <w:t>rs</w:t>
      </w:r>
      <w:r w:rsidR="00ED13F8">
        <w:rPr>
          <w:rFonts w:ascii="Times New Roman" w:hAnsi="Times New Roman" w:cs="Times New Roman"/>
          <w:lang w:val="en-GB"/>
        </w:rPr>
        <w:t xml:space="preserve"> (Coleman, 1986)</w:t>
      </w:r>
      <w:r w:rsidR="006D200A">
        <w:rPr>
          <w:rFonts w:ascii="Times New Roman" w:hAnsi="Times New Roman" w:cs="Times New Roman"/>
          <w:lang w:val="en-GB"/>
        </w:rPr>
        <w:t xml:space="preserve">, </w:t>
      </w:r>
      <w:r w:rsidR="00ED13F8">
        <w:rPr>
          <w:rFonts w:ascii="Times New Roman" w:hAnsi="Times New Roman" w:cs="Times New Roman"/>
          <w:lang w:val="en-GB"/>
        </w:rPr>
        <w:t>but are</w:t>
      </w:r>
      <w:r w:rsidR="00F05013">
        <w:rPr>
          <w:rFonts w:ascii="Times New Roman" w:hAnsi="Times New Roman" w:cs="Times New Roman"/>
          <w:lang w:val="en-GB"/>
        </w:rPr>
        <w:t xml:space="preserve"> also</w:t>
      </w:r>
      <w:r w:rsidR="00ED13F8">
        <w:rPr>
          <w:rFonts w:ascii="Times New Roman" w:hAnsi="Times New Roman" w:cs="Times New Roman"/>
          <w:lang w:val="en-GB"/>
        </w:rPr>
        <w:t xml:space="preserve"> the result of individuals, </w:t>
      </w:r>
      <w:r w:rsidR="00412AFD">
        <w:rPr>
          <w:rFonts w:ascii="Times New Roman" w:hAnsi="Times New Roman" w:cs="Times New Roman"/>
          <w:lang w:val="en-GB"/>
        </w:rPr>
        <w:t>a</w:t>
      </w:r>
      <w:r w:rsidR="00ED13F8">
        <w:rPr>
          <w:rFonts w:ascii="Times New Roman" w:hAnsi="Times New Roman" w:cs="Times New Roman"/>
          <w:lang w:val="en-GB"/>
        </w:rPr>
        <w:t xml:space="preserve">nd organizations </w:t>
      </w:r>
      <w:r w:rsidR="00513E34">
        <w:rPr>
          <w:rFonts w:ascii="Times New Roman" w:hAnsi="Times New Roman" w:cs="Times New Roman"/>
          <w:lang w:val="en-GB"/>
        </w:rPr>
        <w:t>interrelatedly</w:t>
      </w:r>
      <w:r w:rsidR="000229DA">
        <w:rPr>
          <w:rFonts w:ascii="Times New Roman" w:hAnsi="Times New Roman" w:cs="Times New Roman"/>
          <w:lang w:val="en-GB"/>
        </w:rPr>
        <w:t xml:space="preserve"> </w:t>
      </w:r>
      <w:r w:rsidR="004A2A67">
        <w:rPr>
          <w:rFonts w:ascii="Times New Roman" w:hAnsi="Times New Roman" w:cs="Times New Roman"/>
          <w:lang w:val="en-GB"/>
        </w:rPr>
        <w:t xml:space="preserve">affecting institutions </w:t>
      </w:r>
      <w:r w:rsidR="00ED13F8">
        <w:rPr>
          <w:rFonts w:ascii="Times New Roman" w:hAnsi="Times New Roman" w:cs="Times New Roman"/>
          <w:lang w:val="en-GB"/>
        </w:rPr>
        <w:t>(Udehn, 2002)</w:t>
      </w:r>
      <w:r w:rsidR="004A2A67">
        <w:rPr>
          <w:rFonts w:ascii="Times New Roman" w:hAnsi="Times New Roman" w:cs="Times New Roman"/>
          <w:lang w:val="en-GB"/>
        </w:rPr>
        <w:t>.</w:t>
      </w:r>
      <w:r w:rsidR="00441386">
        <w:rPr>
          <w:rFonts w:ascii="Times New Roman" w:hAnsi="Times New Roman" w:cs="Times New Roman"/>
          <w:lang w:val="en-GB"/>
        </w:rPr>
        <w:t xml:space="preserve"> </w:t>
      </w:r>
    </w:p>
    <w:p w14:paraId="724D642D" w14:textId="53E89FFC" w:rsidR="008C2224" w:rsidRDefault="00531B6B" w:rsidP="001D0485">
      <w:pPr>
        <w:spacing w:line="480" w:lineRule="auto"/>
        <w:jc w:val="both"/>
        <w:rPr>
          <w:rFonts w:ascii="Times New Roman" w:hAnsi="Times New Roman" w:cs="Times New Roman"/>
          <w:lang w:val="en-GB"/>
        </w:rPr>
      </w:pPr>
      <w:r>
        <w:rPr>
          <w:rFonts w:ascii="Times New Roman" w:hAnsi="Times New Roman" w:cs="Times New Roman"/>
          <w:lang w:val="en-GB"/>
        </w:rPr>
        <w:tab/>
      </w:r>
      <w:r w:rsidR="002C405C">
        <w:rPr>
          <w:rFonts w:ascii="Times New Roman" w:hAnsi="Times New Roman" w:cs="Times New Roman"/>
          <w:lang w:val="en-GB"/>
        </w:rPr>
        <w:t>Looking at the behaviour of organizations through their micro-level composition</w:t>
      </w:r>
      <w:r>
        <w:rPr>
          <w:rFonts w:ascii="Times New Roman" w:hAnsi="Times New Roman" w:cs="Times New Roman"/>
          <w:lang w:val="en-GB"/>
        </w:rPr>
        <w:t xml:space="preserve"> </w:t>
      </w:r>
      <w:r w:rsidR="002C405C">
        <w:rPr>
          <w:rFonts w:ascii="Times New Roman" w:hAnsi="Times New Roman" w:cs="Times New Roman"/>
          <w:lang w:val="en-GB"/>
        </w:rPr>
        <w:t>is</w:t>
      </w:r>
      <w:r w:rsidR="00133586">
        <w:rPr>
          <w:rFonts w:ascii="Times New Roman" w:hAnsi="Times New Roman" w:cs="Times New Roman"/>
          <w:lang w:val="en-GB"/>
        </w:rPr>
        <w:t xml:space="preserve"> a way to move forward the </w:t>
      </w:r>
      <w:r w:rsidR="00CC40E4">
        <w:rPr>
          <w:rFonts w:ascii="Times New Roman" w:hAnsi="Times New Roman" w:cs="Times New Roman"/>
          <w:lang w:val="en-GB"/>
        </w:rPr>
        <w:t xml:space="preserve">research agenda on </w:t>
      </w:r>
      <w:r w:rsidR="00A9019F">
        <w:rPr>
          <w:rFonts w:ascii="Times New Roman" w:hAnsi="Times New Roman" w:cs="Times New Roman"/>
          <w:lang w:val="en-GB"/>
        </w:rPr>
        <w:t xml:space="preserve">the </w:t>
      </w:r>
      <w:r w:rsidR="00CC40E4">
        <w:rPr>
          <w:rFonts w:ascii="Times New Roman" w:hAnsi="Times New Roman" w:cs="Times New Roman"/>
          <w:lang w:val="en-GB"/>
        </w:rPr>
        <w:t>micro-foundations of institutions,</w:t>
      </w:r>
      <w:r w:rsidR="00F21531">
        <w:rPr>
          <w:rFonts w:ascii="Times New Roman" w:hAnsi="Times New Roman" w:cs="Times New Roman"/>
          <w:lang w:val="en-GB"/>
        </w:rPr>
        <w:t xml:space="preserve"> considering the importance of intermediate levels of analysis between</w:t>
      </w:r>
      <w:r w:rsidR="009A5292">
        <w:rPr>
          <w:rFonts w:ascii="Times New Roman" w:hAnsi="Times New Roman" w:cs="Times New Roman"/>
          <w:lang w:val="en-GB"/>
        </w:rPr>
        <w:t xml:space="preserve"> individuals and fields.</w:t>
      </w:r>
      <w:r w:rsidR="00B00253">
        <w:rPr>
          <w:rFonts w:ascii="Times New Roman" w:hAnsi="Times New Roman" w:cs="Times New Roman"/>
          <w:lang w:val="en-GB"/>
        </w:rPr>
        <w:t xml:space="preserve"> </w:t>
      </w:r>
      <w:r w:rsidR="002C405C">
        <w:rPr>
          <w:rFonts w:ascii="Times New Roman" w:hAnsi="Times New Roman" w:cs="Times New Roman"/>
          <w:lang w:val="en-GB"/>
        </w:rPr>
        <w:t>We focus here on how</w:t>
      </w:r>
      <w:r w:rsidR="00F60202">
        <w:rPr>
          <w:rFonts w:ascii="Times New Roman" w:hAnsi="Times New Roman" w:cs="Times New Roman"/>
          <w:lang w:val="en-GB"/>
        </w:rPr>
        <w:t xml:space="preserve"> the demography and population characteristics </w:t>
      </w:r>
      <w:r w:rsidR="00021E50">
        <w:rPr>
          <w:rFonts w:ascii="Times New Roman" w:hAnsi="Times New Roman" w:cs="Times New Roman"/>
          <w:lang w:val="en-GB"/>
        </w:rPr>
        <w:t>of</w:t>
      </w:r>
      <w:r w:rsidR="00F60202">
        <w:rPr>
          <w:rFonts w:ascii="Times New Roman" w:hAnsi="Times New Roman" w:cs="Times New Roman"/>
          <w:lang w:val="en-GB"/>
        </w:rPr>
        <w:t xml:space="preserve"> organizations can help us understand </w:t>
      </w:r>
      <w:r w:rsidR="00334FED">
        <w:rPr>
          <w:rFonts w:ascii="Times New Roman" w:hAnsi="Times New Roman" w:cs="Times New Roman"/>
          <w:lang w:val="en-GB"/>
        </w:rPr>
        <w:t xml:space="preserve">organizational decision making. </w:t>
      </w:r>
      <w:r w:rsidR="00B00253">
        <w:rPr>
          <w:rFonts w:ascii="Times New Roman" w:hAnsi="Times New Roman" w:cs="Times New Roman"/>
          <w:lang w:val="en-GB"/>
        </w:rPr>
        <w:t>Such perspective also enables to account for the nestedness of levels of analysis as “</w:t>
      </w:r>
      <w:r w:rsidR="00B00253">
        <w:rPr>
          <w:rFonts w:ascii="Times New Roman" w:hAnsi="Times New Roman"/>
        </w:rPr>
        <w:t>everything is micro to something and macro to something else” (</w:t>
      </w:r>
      <w:r w:rsidR="00267A37">
        <w:rPr>
          <w:rFonts w:ascii="Times New Roman" w:hAnsi="Times New Roman"/>
        </w:rPr>
        <w:t>Harmon et al., 2018</w:t>
      </w:r>
      <w:r w:rsidR="00B00253">
        <w:rPr>
          <w:rFonts w:ascii="Times New Roman" w:hAnsi="Times New Roman"/>
        </w:rPr>
        <w:t>).</w:t>
      </w:r>
      <w:r w:rsidR="00E26808">
        <w:rPr>
          <w:rFonts w:ascii="Times New Roman" w:hAnsi="Times New Roman"/>
        </w:rPr>
        <w:t xml:space="preserve"> </w:t>
      </w:r>
      <w:r w:rsidR="002147F8">
        <w:rPr>
          <w:rFonts w:ascii="Times New Roman" w:hAnsi="Times New Roman" w:cs="Times New Roman"/>
          <w:lang w:val="en-GB"/>
        </w:rPr>
        <w:t>Including</w:t>
      </w:r>
      <w:r w:rsidR="00A31BE9">
        <w:rPr>
          <w:rFonts w:ascii="Times New Roman" w:hAnsi="Times New Roman" w:cs="Times New Roman"/>
          <w:lang w:val="en-GB"/>
        </w:rPr>
        <w:t xml:space="preserve"> multiple levels of analysis </w:t>
      </w:r>
      <w:r w:rsidR="002147F8">
        <w:rPr>
          <w:rFonts w:ascii="Times New Roman" w:hAnsi="Times New Roman" w:cs="Times New Roman"/>
          <w:lang w:val="en-GB"/>
        </w:rPr>
        <w:t>when identifying the determinants of institutional processes also ensures that key mechanisms</w:t>
      </w:r>
      <w:r w:rsidR="00D97898">
        <w:rPr>
          <w:rFonts w:ascii="Times New Roman" w:hAnsi="Times New Roman" w:cs="Times New Roman"/>
          <w:lang w:val="en-GB"/>
        </w:rPr>
        <w:t xml:space="preserve"> at the organizational</w:t>
      </w:r>
      <w:r w:rsidR="00D54516">
        <w:rPr>
          <w:rFonts w:ascii="Times New Roman" w:hAnsi="Times New Roman" w:cs="Times New Roman"/>
          <w:lang w:val="en-GB"/>
        </w:rPr>
        <w:t>-</w:t>
      </w:r>
      <w:r w:rsidR="00D97898">
        <w:rPr>
          <w:rFonts w:ascii="Times New Roman" w:hAnsi="Times New Roman" w:cs="Times New Roman"/>
          <w:lang w:val="en-GB"/>
        </w:rPr>
        <w:t xml:space="preserve"> or field</w:t>
      </w:r>
      <w:r w:rsidR="00D54516">
        <w:rPr>
          <w:rFonts w:ascii="Times New Roman" w:hAnsi="Times New Roman" w:cs="Times New Roman"/>
          <w:lang w:val="en-GB"/>
        </w:rPr>
        <w:t>-</w:t>
      </w:r>
      <w:r w:rsidR="00D97898">
        <w:rPr>
          <w:rFonts w:ascii="Times New Roman" w:hAnsi="Times New Roman" w:cs="Times New Roman"/>
          <w:lang w:val="en-GB"/>
        </w:rPr>
        <w:t>levels</w:t>
      </w:r>
      <w:r w:rsidR="002147F8">
        <w:rPr>
          <w:rFonts w:ascii="Times New Roman" w:hAnsi="Times New Roman" w:cs="Times New Roman"/>
          <w:lang w:val="en-GB"/>
        </w:rPr>
        <w:t xml:space="preserve"> are not ignored beyond individual behavio</w:t>
      </w:r>
      <w:r w:rsidR="00D54516">
        <w:rPr>
          <w:rFonts w:ascii="Times New Roman" w:hAnsi="Times New Roman" w:cs="Times New Roman"/>
          <w:lang w:val="en-GB"/>
        </w:rPr>
        <w:t>u</w:t>
      </w:r>
      <w:r w:rsidR="002147F8">
        <w:rPr>
          <w:rFonts w:ascii="Times New Roman" w:hAnsi="Times New Roman" w:cs="Times New Roman"/>
          <w:lang w:val="en-GB"/>
        </w:rPr>
        <w:t>rs</w:t>
      </w:r>
      <w:r w:rsidR="00A31BE9">
        <w:rPr>
          <w:rFonts w:ascii="Times New Roman" w:hAnsi="Times New Roman" w:cs="Times New Roman"/>
          <w:lang w:val="en-GB"/>
        </w:rPr>
        <w:t>.</w:t>
      </w:r>
    </w:p>
    <w:p w14:paraId="18DF5F7D" w14:textId="77777777" w:rsidR="00BE6D13" w:rsidRDefault="00BE6D13" w:rsidP="001D0485">
      <w:pPr>
        <w:spacing w:line="480" w:lineRule="auto"/>
        <w:jc w:val="both"/>
        <w:rPr>
          <w:rFonts w:ascii="Times New Roman" w:hAnsi="Times New Roman" w:cs="Times New Roman"/>
          <w:lang w:val="en-GB"/>
        </w:rPr>
      </w:pPr>
    </w:p>
    <w:p w14:paraId="2378A3D0" w14:textId="1E4E5FDD" w:rsidR="00585873" w:rsidRDefault="00545339" w:rsidP="001D0485">
      <w:pPr>
        <w:spacing w:line="480" w:lineRule="auto"/>
        <w:jc w:val="both"/>
        <w:rPr>
          <w:rFonts w:ascii="Times New Roman" w:hAnsi="Times New Roman" w:cs="Times New Roman"/>
          <w:b/>
          <w:lang w:val="en-GB"/>
        </w:rPr>
      </w:pPr>
      <w:r>
        <w:rPr>
          <w:rFonts w:ascii="Times New Roman" w:hAnsi="Times New Roman" w:cs="Times New Roman"/>
          <w:b/>
          <w:lang w:val="en-GB"/>
        </w:rPr>
        <w:t>Institutional change as the co-occurrence of d</w:t>
      </w:r>
      <w:r w:rsidR="00585873" w:rsidRPr="005B12A7">
        <w:rPr>
          <w:rFonts w:ascii="Times New Roman" w:hAnsi="Times New Roman" w:cs="Times New Roman"/>
          <w:b/>
          <w:lang w:val="en-GB"/>
        </w:rPr>
        <w:t>einstitutionalization</w:t>
      </w:r>
      <w:r>
        <w:rPr>
          <w:rFonts w:ascii="Times New Roman" w:hAnsi="Times New Roman" w:cs="Times New Roman"/>
          <w:b/>
          <w:lang w:val="en-GB"/>
        </w:rPr>
        <w:t xml:space="preserve"> and institutionalization</w:t>
      </w:r>
      <w:r w:rsidR="00935167">
        <w:rPr>
          <w:rFonts w:ascii="Times New Roman" w:hAnsi="Times New Roman" w:cs="Times New Roman"/>
          <w:b/>
          <w:lang w:val="en-GB"/>
        </w:rPr>
        <w:t xml:space="preserve">: </w:t>
      </w:r>
      <w:r w:rsidR="00F956C9">
        <w:rPr>
          <w:rFonts w:ascii="Times New Roman" w:hAnsi="Times New Roman" w:cs="Times New Roman"/>
          <w:b/>
          <w:lang w:val="en-GB"/>
        </w:rPr>
        <w:t xml:space="preserve">A </w:t>
      </w:r>
      <w:r w:rsidR="00935167">
        <w:rPr>
          <w:rFonts w:ascii="Times New Roman" w:hAnsi="Times New Roman" w:cs="Times New Roman"/>
          <w:b/>
          <w:lang w:val="en-GB"/>
        </w:rPr>
        <w:t>new</w:t>
      </w:r>
      <w:r w:rsidR="00585873" w:rsidRPr="005B12A7">
        <w:rPr>
          <w:rFonts w:ascii="Times New Roman" w:hAnsi="Times New Roman" w:cs="Times New Roman"/>
          <w:b/>
          <w:lang w:val="en-GB"/>
        </w:rPr>
        <w:t xml:space="preserve"> </w:t>
      </w:r>
      <w:r w:rsidR="00935167">
        <w:rPr>
          <w:rFonts w:ascii="Times New Roman" w:hAnsi="Times New Roman" w:cs="Times New Roman"/>
          <w:b/>
          <w:lang w:val="en-GB"/>
        </w:rPr>
        <w:t>perspective on</w:t>
      </w:r>
      <w:r w:rsidR="00585873" w:rsidRPr="005B12A7">
        <w:rPr>
          <w:rFonts w:ascii="Times New Roman" w:hAnsi="Times New Roman" w:cs="Times New Roman"/>
          <w:b/>
          <w:lang w:val="en-GB"/>
        </w:rPr>
        <w:t xml:space="preserve"> micro</w:t>
      </w:r>
      <w:r w:rsidR="008C2224">
        <w:rPr>
          <w:rFonts w:ascii="Times New Roman" w:hAnsi="Times New Roman" w:cs="Times New Roman"/>
          <w:b/>
          <w:lang w:val="en-GB"/>
        </w:rPr>
        <w:t>-</w:t>
      </w:r>
      <w:r w:rsidR="00585873" w:rsidRPr="005B12A7">
        <w:rPr>
          <w:rFonts w:ascii="Times New Roman" w:hAnsi="Times New Roman" w:cs="Times New Roman"/>
          <w:b/>
          <w:lang w:val="en-GB"/>
        </w:rPr>
        <w:t>foundations</w:t>
      </w:r>
    </w:p>
    <w:p w14:paraId="5EFFA0BF" w14:textId="3FC0688B" w:rsidR="00E17850" w:rsidRDefault="00E17850" w:rsidP="00E17850">
      <w:pPr>
        <w:spacing w:line="480" w:lineRule="auto"/>
        <w:jc w:val="both"/>
        <w:rPr>
          <w:rFonts w:ascii="Times New Roman" w:hAnsi="Times New Roman" w:cs="Times New Roman"/>
          <w:lang w:val="en-GB"/>
        </w:rPr>
      </w:pPr>
      <w:r>
        <w:rPr>
          <w:rFonts w:ascii="Times New Roman" w:hAnsi="Times New Roman" w:cs="Times New Roman"/>
          <w:lang w:val="en-GB"/>
        </w:rPr>
        <w:t xml:space="preserve">In parallel to the debate on the micro-foundations of institutional theory, a recent body of work has </w:t>
      </w:r>
      <w:r w:rsidR="00405AEC">
        <w:rPr>
          <w:rFonts w:ascii="Times New Roman" w:hAnsi="Times New Roman" w:cs="Times New Roman"/>
          <w:lang w:val="en-GB"/>
        </w:rPr>
        <w:t xml:space="preserve">brought together </w:t>
      </w:r>
      <w:r w:rsidR="00DF20B7">
        <w:rPr>
          <w:rFonts w:ascii="Times New Roman" w:hAnsi="Times New Roman" w:cs="Times New Roman"/>
          <w:lang w:val="en-GB"/>
        </w:rPr>
        <w:t>institutionalization and deinstitutionalization as two sides of the same coin</w:t>
      </w:r>
      <w:r>
        <w:rPr>
          <w:rFonts w:ascii="Times New Roman" w:hAnsi="Times New Roman" w:cs="Times New Roman"/>
          <w:lang w:val="en-GB"/>
        </w:rPr>
        <w:t xml:space="preserve"> (Zietsma &amp; Lawrence, 2010)</w:t>
      </w:r>
      <w:r w:rsidR="000D3FD4">
        <w:rPr>
          <w:rFonts w:ascii="Times New Roman" w:hAnsi="Times New Roman" w:cs="Times New Roman"/>
          <w:lang w:val="en-GB"/>
        </w:rPr>
        <w:t xml:space="preserve"> to explain and understand i</w:t>
      </w:r>
      <w:r w:rsidR="00BA0EF4">
        <w:rPr>
          <w:rFonts w:ascii="Times New Roman" w:hAnsi="Times New Roman" w:cs="Times New Roman"/>
          <w:lang w:val="en-GB"/>
        </w:rPr>
        <w:t xml:space="preserve">nstitutional change (Micelotta </w:t>
      </w:r>
      <w:r w:rsidR="008D2261">
        <w:rPr>
          <w:rFonts w:ascii="Times New Roman" w:hAnsi="Times New Roman" w:cs="Times New Roman"/>
          <w:lang w:val="en-GB"/>
        </w:rPr>
        <w:t xml:space="preserve">et al., </w:t>
      </w:r>
      <w:r w:rsidR="000D3FD4">
        <w:rPr>
          <w:rFonts w:ascii="Times New Roman" w:hAnsi="Times New Roman" w:cs="Times New Roman"/>
          <w:lang w:val="en-GB"/>
        </w:rPr>
        <w:t>2017)</w:t>
      </w:r>
      <w:r w:rsidR="00F55CD9">
        <w:rPr>
          <w:rFonts w:ascii="Times New Roman" w:hAnsi="Times New Roman" w:cs="Times New Roman"/>
          <w:lang w:val="en-GB"/>
        </w:rPr>
        <w:t xml:space="preserve">. Cycles of stability – in which actors engage in </w:t>
      </w:r>
      <w:r w:rsidR="00B37399">
        <w:rPr>
          <w:rFonts w:ascii="Times New Roman" w:hAnsi="Times New Roman" w:cs="Times New Roman"/>
          <w:lang w:val="en-GB"/>
        </w:rPr>
        <w:t>practices that amount into the reproduction of</w:t>
      </w:r>
      <w:r w:rsidR="00F55CD9">
        <w:rPr>
          <w:rFonts w:ascii="Times New Roman" w:hAnsi="Times New Roman" w:cs="Times New Roman"/>
          <w:lang w:val="en-GB"/>
        </w:rPr>
        <w:t xml:space="preserve"> institutions </w:t>
      </w:r>
      <w:r w:rsidR="00B37399">
        <w:rPr>
          <w:rFonts w:ascii="Times New Roman" w:hAnsi="Times New Roman" w:cs="Times New Roman"/>
          <w:lang w:val="en-GB"/>
        </w:rPr>
        <w:t>– succeed to cycle</w:t>
      </w:r>
      <w:r w:rsidR="00A9019F">
        <w:rPr>
          <w:rFonts w:ascii="Times New Roman" w:hAnsi="Times New Roman" w:cs="Times New Roman"/>
          <w:lang w:val="en-GB"/>
        </w:rPr>
        <w:t>s</w:t>
      </w:r>
      <w:r w:rsidR="00B37399">
        <w:rPr>
          <w:rFonts w:ascii="Times New Roman" w:hAnsi="Times New Roman" w:cs="Times New Roman"/>
          <w:lang w:val="en-GB"/>
        </w:rPr>
        <w:t xml:space="preserve"> of change – during which new practices emerge. As noted by Zietsma </w:t>
      </w:r>
      <w:r w:rsidR="00A9019F">
        <w:rPr>
          <w:rFonts w:ascii="Times New Roman" w:hAnsi="Times New Roman" w:cs="Times New Roman"/>
          <w:lang w:val="en-GB"/>
        </w:rPr>
        <w:t xml:space="preserve">and </w:t>
      </w:r>
      <w:r w:rsidR="00B37399">
        <w:rPr>
          <w:rFonts w:ascii="Times New Roman" w:hAnsi="Times New Roman" w:cs="Times New Roman"/>
          <w:lang w:val="en-GB"/>
        </w:rPr>
        <w:t xml:space="preserve">Lawrence (2010), existing work in institutional theory tends to focus </w:t>
      </w:r>
      <w:r w:rsidR="00A9019F">
        <w:rPr>
          <w:rFonts w:ascii="Times New Roman" w:hAnsi="Times New Roman" w:cs="Times New Roman"/>
          <w:lang w:val="en-GB"/>
        </w:rPr>
        <w:t xml:space="preserve">solely </w:t>
      </w:r>
      <w:r w:rsidR="00B37399">
        <w:rPr>
          <w:rFonts w:ascii="Times New Roman" w:hAnsi="Times New Roman" w:cs="Times New Roman"/>
          <w:lang w:val="en-GB"/>
        </w:rPr>
        <w:t xml:space="preserve">on either stability </w:t>
      </w:r>
      <w:r w:rsidR="00D54516">
        <w:rPr>
          <w:rFonts w:ascii="Times New Roman" w:hAnsi="Times New Roman" w:cs="Times New Roman"/>
          <w:lang w:val="en-GB"/>
        </w:rPr>
        <w:t xml:space="preserve">or </w:t>
      </w:r>
      <w:r w:rsidR="00B37399">
        <w:rPr>
          <w:rFonts w:ascii="Times New Roman" w:hAnsi="Times New Roman" w:cs="Times New Roman"/>
          <w:lang w:val="en-GB"/>
        </w:rPr>
        <w:t xml:space="preserve">change and </w:t>
      </w:r>
      <w:r w:rsidR="00A9019F">
        <w:rPr>
          <w:rFonts w:ascii="Times New Roman" w:hAnsi="Times New Roman" w:cs="Times New Roman"/>
          <w:lang w:val="en-GB"/>
        </w:rPr>
        <w:t xml:space="preserve">to </w:t>
      </w:r>
      <w:r w:rsidR="00B37399">
        <w:rPr>
          <w:rFonts w:ascii="Times New Roman" w:hAnsi="Times New Roman" w:cs="Times New Roman"/>
          <w:lang w:val="en-GB"/>
        </w:rPr>
        <w:t>ignore the way in which one process leaves room for the other.</w:t>
      </w:r>
    </w:p>
    <w:p w14:paraId="4B83EEDA" w14:textId="157446EA" w:rsidR="00B72101" w:rsidRDefault="00BA68DF" w:rsidP="00E17850">
      <w:pPr>
        <w:spacing w:line="480" w:lineRule="auto"/>
        <w:jc w:val="both"/>
        <w:rPr>
          <w:rFonts w:ascii="Times New Roman" w:hAnsi="Times New Roman" w:cs="Times New Roman"/>
          <w:lang w:val="en-GB"/>
        </w:rPr>
      </w:pPr>
      <w:r>
        <w:rPr>
          <w:rFonts w:ascii="Times New Roman" w:hAnsi="Times New Roman" w:cs="Times New Roman"/>
          <w:lang w:val="en-GB"/>
        </w:rPr>
        <w:tab/>
      </w:r>
      <w:r w:rsidR="00A74256">
        <w:rPr>
          <w:rFonts w:ascii="Times New Roman" w:hAnsi="Times New Roman" w:cs="Times New Roman"/>
          <w:lang w:val="en-GB"/>
        </w:rPr>
        <w:t xml:space="preserve">One of the </w:t>
      </w:r>
      <w:r w:rsidR="007F3F51">
        <w:rPr>
          <w:rFonts w:ascii="Times New Roman" w:hAnsi="Times New Roman" w:cs="Times New Roman"/>
          <w:lang w:val="en-GB"/>
        </w:rPr>
        <w:t>process</w:t>
      </w:r>
      <w:r w:rsidR="00A74256">
        <w:rPr>
          <w:rFonts w:ascii="Times New Roman" w:hAnsi="Times New Roman" w:cs="Times New Roman"/>
          <w:lang w:val="en-GB"/>
        </w:rPr>
        <w:t>es</w:t>
      </w:r>
      <w:r w:rsidR="007F3F51">
        <w:rPr>
          <w:rFonts w:ascii="Times New Roman" w:hAnsi="Times New Roman" w:cs="Times New Roman"/>
          <w:lang w:val="en-GB"/>
        </w:rPr>
        <w:t xml:space="preserve"> at the core of institutional lifecycle is deinstitutionalization (Oliver, 1992; Maguire &amp; Hardy, 2009). Deinstitutionalization is the process leading to the</w:t>
      </w:r>
      <w:r w:rsidR="00D54516">
        <w:rPr>
          <w:rFonts w:ascii="Times New Roman" w:hAnsi="Times New Roman" w:cs="Times New Roman"/>
          <w:lang w:val="en-GB"/>
        </w:rPr>
        <w:t xml:space="preserve"> erosion or</w:t>
      </w:r>
      <w:r w:rsidR="007F3F51">
        <w:rPr>
          <w:rFonts w:ascii="Times New Roman" w:hAnsi="Times New Roman" w:cs="Times New Roman"/>
          <w:lang w:val="en-GB"/>
        </w:rPr>
        <w:t xml:space="preserve"> abandonment of a practice </w:t>
      </w:r>
      <w:r w:rsidR="00A74256">
        <w:rPr>
          <w:rFonts w:ascii="Times New Roman" w:hAnsi="Times New Roman" w:cs="Times New Roman"/>
          <w:lang w:val="en-GB"/>
        </w:rPr>
        <w:t>and can be t</w:t>
      </w:r>
      <w:r w:rsidR="007F3F51">
        <w:rPr>
          <w:rFonts w:ascii="Times New Roman" w:hAnsi="Times New Roman" w:cs="Times New Roman"/>
          <w:lang w:val="en-GB"/>
        </w:rPr>
        <w:t xml:space="preserve">riggered by </w:t>
      </w:r>
      <w:r w:rsidR="00A74256">
        <w:rPr>
          <w:rFonts w:ascii="Times New Roman" w:hAnsi="Times New Roman" w:cs="Times New Roman"/>
          <w:lang w:val="en-GB"/>
        </w:rPr>
        <w:t xml:space="preserve">either </w:t>
      </w:r>
      <w:r w:rsidR="007F3F51">
        <w:rPr>
          <w:rFonts w:ascii="Times New Roman" w:hAnsi="Times New Roman" w:cs="Times New Roman"/>
          <w:lang w:val="en-GB"/>
        </w:rPr>
        <w:t>external pressures or internal agents (Maguire &amp; Hardy, 2009).</w:t>
      </w:r>
      <w:r w:rsidR="00026647" w:rsidRPr="00026647">
        <w:rPr>
          <w:rFonts w:ascii="Times New Roman" w:hAnsi="Times New Roman" w:cs="Times New Roman"/>
          <w:lang w:val="en-GB"/>
        </w:rPr>
        <w:t xml:space="preserve"> </w:t>
      </w:r>
      <w:r w:rsidR="00026647">
        <w:rPr>
          <w:rFonts w:ascii="Times New Roman" w:hAnsi="Times New Roman" w:cs="Times New Roman"/>
          <w:lang w:val="en-GB"/>
        </w:rPr>
        <w:t xml:space="preserve">For Oliver (1992), deinstitutionalization </w:t>
      </w:r>
      <w:r w:rsidR="00026647" w:rsidRPr="000D3FD4">
        <w:rPr>
          <w:rFonts w:ascii="Times New Roman" w:hAnsi="Times New Roman" w:cs="Times New Roman"/>
          <w:lang w:val="en-GB"/>
        </w:rPr>
        <w:t>refers to the erosion or discontinuity of an institutionalized orga</w:t>
      </w:r>
      <w:r w:rsidR="00514EE8">
        <w:rPr>
          <w:rFonts w:ascii="Times New Roman" w:hAnsi="Times New Roman" w:cs="Times New Roman"/>
          <w:lang w:val="en-GB"/>
        </w:rPr>
        <w:t>nizat</w:t>
      </w:r>
      <w:r w:rsidR="00A74256">
        <w:rPr>
          <w:rFonts w:ascii="Times New Roman" w:hAnsi="Times New Roman" w:cs="Times New Roman"/>
          <w:lang w:val="en-GB"/>
        </w:rPr>
        <w:t xml:space="preserve">ional activity or practice. </w:t>
      </w:r>
      <w:r w:rsidR="00454807">
        <w:rPr>
          <w:rFonts w:ascii="Times New Roman" w:hAnsi="Times New Roman" w:cs="Times New Roman"/>
          <w:lang w:val="en-GB"/>
        </w:rPr>
        <w:t>In fact</w:t>
      </w:r>
      <w:r w:rsidR="00514EE8">
        <w:rPr>
          <w:rFonts w:ascii="Times New Roman" w:hAnsi="Times New Roman" w:cs="Times New Roman"/>
          <w:lang w:val="en-GB"/>
        </w:rPr>
        <w:t>, deinstitutionalization suggests a shift in existing practices and</w:t>
      </w:r>
      <w:r w:rsidR="000932BB">
        <w:rPr>
          <w:rFonts w:ascii="Times New Roman" w:hAnsi="Times New Roman" w:cs="Times New Roman"/>
          <w:lang w:val="en-GB"/>
        </w:rPr>
        <w:t xml:space="preserve"> activities (Davis, et al., 1994). </w:t>
      </w:r>
      <w:r w:rsidR="0071644C">
        <w:rPr>
          <w:rFonts w:ascii="Times New Roman" w:hAnsi="Times New Roman" w:cs="Times New Roman"/>
          <w:lang w:val="en-GB"/>
        </w:rPr>
        <w:t>Deinstitutionalization and institutionalization are two interrelated process</w:t>
      </w:r>
      <w:r w:rsidR="003A4841">
        <w:rPr>
          <w:rFonts w:ascii="Times New Roman" w:hAnsi="Times New Roman" w:cs="Times New Roman"/>
          <w:lang w:val="en-GB"/>
        </w:rPr>
        <w:t>,</w:t>
      </w:r>
      <w:r w:rsidR="0071644C">
        <w:rPr>
          <w:rFonts w:ascii="Times New Roman" w:hAnsi="Times New Roman" w:cs="Times New Roman"/>
          <w:lang w:val="en-GB"/>
        </w:rPr>
        <w:t xml:space="preserve"> as </w:t>
      </w:r>
      <w:r w:rsidR="004A26E6">
        <w:rPr>
          <w:rFonts w:ascii="Times New Roman" w:hAnsi="Times New Roman" w:cs="Times New Roman"/>
          <w:lang w:val="en-GB"/>
        </w:rPr>
        <w:t xml:space="preserve">a practice is institutionalized when it has gained enough legitimacy to become a norm, and </w:t>
      </w:r>
      <w:r w:rsidR="009D61F9">
        <w:rPr>
          <w:rFonts w:ascii="Times New Roman" w:hAnsi="Times New Roman" w:cs="Times New Roman"/>
          <w:lang w:val="en-GB"/>
        </w:rPr>
        <w:t xml:space="preserve">is </w:t>
      </w:r>
      <w:r w:rsidR="00DB5CAD">
        <w:rPr>
          <w:rFonts w:ascii="Times New Roman" w:hAnsi="Times New Roman" w:cs="Times New Roman"/>
          <w:lang w:val="en-GB"/>
        </w:rPr>
        <w:t xml:space="preserve">completely </w:t>
      </w:r>
      <w:r w:rsidR="009D61F9">
        <w:rPr>
          <w:rFonts w:ascii="Times New Roman" w:hAnsi="Times New Roman" w:cs="Times New Roman"/>
          <w:lang w:val="en-GB"/>
        </w:rPr>
        <w:t>deinstitutionalized when its legitimacy has finished eroding</w:t>
      </w:r>
      <w:r w:rsidR="004A26E6">
        <w:rPr>
          <w:rFonts w:ascii="Times New Roman" w:hAnsi="Times New Roman" w:cs="Times New Roman"/>
          <w:lang w:val="en-GB"/>
        </w:rPr>
        <w:t xml:space="preserve"> (Oliver 1992)</w:t>
      </w:r>
      <w:r w:rsidR="0071644C">
        <w:rPr>
          <w:rFonts w:ascii="Times New Roman" w:hAnsi="Times New Roman" w:cs="Times New Roman"/>
          <w:lang w:val="en-GB"/>
        </w:rPr>
        <w:t xml:space="preserve">. </w:t>
      </w:r>
      <w:r w:rsidR="00026647">
        <w:rPr>
          <w:rFonts w:ascii="Times New Roman" w:hAnsi="Times New Roman" w:cs="Times New Roman"/>
          <w:lang w:val="en-GB"/>
        </w:rPr>
        <w:t>Practices are rarely fully institutionalized or deinstitutionalized but are often in between</w:t>
      </w:r>
      <w:r w:rsidR="00514EE8">
        <w:rPr>
          <w:rFonts w:ascii="Times New Roman" w:hAnsi="Times New Roman" w:cs="Times New Roman"/>
          <w:lang w:val="en-GB"/>
        </w:rPr>
        <w:t xml:space="preserve">, as </w:t>
      </w:r>
      <w:r w:rsidR="00A74256">
        <w:rPr>
          <w:rFonts w:ascii="Times New Roman" w:hAnsi="Times New Roman" w:cs="Times New Roman"/>
          <w:lang w:val="en-GB"/>
        </w:rPr>
        <w:t>the</w:t>
      </w:r>
      <w:r w:rsidR="00514EE8">
        <w:rPr>
          <w:rFonts w:ascii="Times New Roman" w:hAnsi="Times New Roman" w:cs="Times New Roman"/>
          <w:lang w:val="en-GB"/>
        </w:rPr>
        <w:t xml:space="preserve"> questioning of entrenched practice</w:t>
      </w:r>
      <w:r w:rsidR="00A74256">
        <w:rPr>
          <w:rFonts w:ascii="Times New Roman" w:hAnsi="Times New Roman" w:cs="Times New Roman"/>
          <w:lang w:val="en-GB"/>
        </w:rPr>
        <w:t>s</w:t>
      </w:r>
      <w:r w:rsidR="00514EE8">
        <w:rPr>
          <w:rFonts w:ascii="Times New Roman" w:hAnsi="Times New Roman" w:cs="Times New Roman"/>
          <w:lang w:val="en-GB"/>
        </w:rPr>
        <w:t xml:space="preserve"> can give room for new practices to emerge (Ahmadjian &amp; Robinson, 2001).</w:t>
      </w:r>
      <w:r w:rsidR="00454807">
        <w:rPr>
          <w:rFonts w:ascii="Times New Roman" w:hAnsi="Times New Roman" w:cs="Times New Roman"/>
          <w:lang w:val="en-GB"/>
        </w:rPr>
        <w:t xml:space="preserve"> </w:t>
      </w:r>
      <w:r w:rsidR="0071644C">
        <w:rPr>
          <w:rFonts w:ascii="Times New Roman" w:hAnsi="Times New Roman" w:cs="Times New Roman"/>
          <w:lang w:val="en-GB"/>
        </w:rPr>
        <w:t>In this sense, deinstitutionalization and institutionalization form</w:t>
      </w:r>
      <w:r w:rsidR="00623E34">
        <w:rPr>
          <w:rFonts w:ascii="Times New Roman" w:hAnsi="Times New Roman" w:cs="Times New Roman"/>
          <w:lang w:val="en-GB"/>
        </w:rPr>
        <w:t xml:space="preserve"> the two versants of</w:t>
      </w:r>
      <w:r w:rsidR="0071644C">
        <w:rPr>
          <w:rFonts w:ascii="Times New Roman" w:hAnsi="Times New Roman" w:cs="Times New Roman"/>
          <w:lang w:val="en-GB"/>
        </w:rPr>
        <w:t xml:space="preserve"> lifecycles in which practices emerge and erode</w:t>
      </w:r>
      <w:r w:rsidR="00454807">
        <w:rPr>
          <w:rFonts w:ascii="Times New Roman" w:hAnsi="Times New Roman" w:cs="Times New Roman"/>
          <w:lang w:val="en-GB"/>
        </w:rPr>
        <w:t>, and form a broader conceptual picture to understand institutional change</w:t>
      </w:r>
      <w:r w:rsidR="0071644C">
        <w:rPr>
          <w:rFonts w:ascii="Times New Roman" w:hAnsi="Times New Roman" w:cs="Times New Roman"/>
          <w:lang w:val="en-GB"/>
        </w:rPr>
        <w:t>.</w:t>
      </w:r>
      <w:r w:rsidR="009D61F9">
        <w:rPr>
          <w:rFonts w:ascii="Times New Roman" w:hAnsi="Times New Roman" w:cs="Times New Roman"/>
          <w:lang w:val="en-GB"/>
        </w:rPr>
        <w:t xml:space="preserve"> </w:t>
      </w:r>
      <w:r w:rsidR="00D52813">
        <w:rPr>
          <w:rFonts w:ascii="Times New Roman" w:hAnsi="Times New Roman" w:cs="Times New Roman"/>
          <w:lang w:val="en-GB"/>
        </w:rPr>
        <w:t>Deinstitutionalization and institutionalization have however often be</w:t>
      </w:r>
      <w:r w:rsidR="00D54516">
        <w:rPr>
          <w:rFonts w:ascii="Times New Roman" w:hAnsi="Times New Roman" w:cs="Times New Roman"/>
          <w:lang w:val="en-GB"/>
        </w:rPr>
        <w:t>en</w:t>
      </w:r>
      <w:r w:rsidR="00D52813">
        <w:rPr>
          <w:rFonts w:ascii="Times New Roman" w:hAnsi="Times New Roman" w:cs="Times New Roman"/>
          <w:lang w:val="en-GB"/>
        </w:rPr>
        <w:t xml:space="preserve"> analysed separately, without empirically accounting for the interrelation between the two processes</w:t>
      </w:r>
      <w:r w:rsidR="00AA0D18">
        <w:rPr>
          <w:rFonts w:ascii="Times New Roman" w:hAnsi="Times New Roman" w:cs="Times New Roman"/>
          <w:lang w:val="en-GB"/>
        </w:rPr>
        <w:t xml:space="preserve"> as we attempt to understand the processes and the pathwa</w:t>
      </w:r>
      <w:r w:rsidR="00E56B8D">
        <w:rPr>
          <w:rFonts w:ascii="Times New Roman" w:hAnsi="Times New Roman" w:cs="Times New Roman"/>
          <w:lang w:val="en-GB"/>
        </w:rPr>
        <w:t>ys of institu</w:t>
      </w:r>
      <w:r w:rsidR="002218AD">
        <w:rPr>
          <w:rFonts w:ascii="Times New Roman" w:hAnsi="Times New Roman" w:cs="Times New Roman"/>
          <w:lang w:val="en-GB"/>
        </w:rPr>
        <w:t xml:space="preserve">tional change (Clemente et al., </w:t>
      </w:r>
      <w:r w:rsidR="00E56B8D">
        <w:rPr>
          <w:rFonts w:ascii="Times New Roman" w:hAnsi="Times New Roman" w:cs="Times New Roman"/>
          <w:lang w:val="en-GB"/>
        </w:rPr>
        <w:t>2017)</w:t>
      </w:r>
      <w:r w:rsidR="00D52813">
        <w:rPr>
          <w:rFonts w:ascii="Times New Roman" w:hAnsi="Times New Roman" w:cs="Times New Roman"/>
          <w:lang w:val="en-GB"/>
        </w:rPr>
        <w:t xml:space="preserve">. </w:t>
      </w:r>
      <w:r w:rsidR="00DB5CAD">
        <w:rPr>
          <w:rFonts w:ascii="Times New Roman" w:hAnsi="Times New Roman" w:cs="Times New Roman"/>
          <w:lang w:val="en-GB"/>
        </w:rPr>
        <w:t>Yet</w:t>
      </w:r>
      <w:r w:rsidR="00D52813">
        <w:rPr>
          <w:rFonts w:ascii="Times New Roman" w:hAnsi="Times New Roman" w:cs="Times New Roman"/>
          <w:lang w:val="en-GB"/>
        </w:rPr>
        <w:t>, if a practice is falling into abeyance, it might leave space for new ones to emerge</w:t>
      </w:r>
      <w:r w:rsidR="00EA74A7">
        <w:rPr>
          <w:rFonts w:ascii="Times New Roman" w:hAnsi="Times New Roman" w:cs="Times New Roman"/>
          <w:lang w:val="en-GB"/>
        </w:rPr>
        <w:t xml:space="preserve"> unless the purpose and objective of the deinstitutionalized practice has lost meaning and value for the agents.</w:t>
      </w:r>
      <w:r w:rsidR="00DF20B7">
        <w:rPr>
          <w:rFonts w:ascii="Times New Roman" w:hAnsi="Times New Roman" w:cs="Times New Roman"/>
          <w:lang w:val="en-GB"/>
        </w:rPr>
        <w:t xml:space="preserve"> In sum, in a number </w:t>
      </w:r>
      <w:r w:rsidR="00753F96">
        <w:rPr>
          <w:rFonts w:ascii="Times New Roman" w:hAnsi="Times New Roman" w:cs="Times New Roman"/>
          <w:lang w:val="en-GB"/>
        </w:rPr>
        <w:t xml:space="preserve">of </w:t>
      </w:r>
      <w:r w:rsidR="00DF20B7">
        <w:rPr>
          <w:rFonts w:ascii="Times New Roman" w:hAnsi="Times New Roman" w:cs="Times New Roman"/>
          <w:lang w:val="en-GB"/>
        </w:rPr>
        <w:t>context</w:t>
      </w:r>
      <w:r w:rsidR="002F6264">
        <w:rPr>
          <w:rFonts w:ascii="Times New Roman" w:hAnsi="Times New Roman" w:cs="Times New Roman"/>
          <w:lang w:val="en-GB"/>
        </w:rPr>
        <w:t>s, institutionalization and deinstitutionalization happen jointly.</w:t>
      </w:r>
    </w:p>
    <w:p w14:paraId="0E657922" w14:textId="53776C5E" w:rsidR="00BA68DF" w:rsidRDefault="00FC3913" w:rsidP="00B72101">
      <w:pPr>
        <w:spacing w:line="480" w:lineRule="auto"/>
        <w:ind w:firstLine="720"/>
        <w:jc w:val="both"/>
        <w:rPr>
          <w:rFonts w:ascii="Times New Roman" w:hAnsi="Times New Roman" w:cs="Times New Roman"/>
          <w:lang w:val="en-GB"/>
        </w:rPr>
      </w:pPr>
      <w:r>
        <w:rPr>
          <w:rFonts w:ascii="Times New Roman" w:hAnsi="Times New Roman" w:cs="Times New Roman"/>
          <w:lang w:val="en-GB"/>
        </w:rPr>
        <w:t>Deinstitutionalization</w:t>
      </w:r>
      <w:r w:rsidR="00E24171">
        <w:rPr>
          <w:rFonts w:ascii="Times New Roman" w:hAnsi="Times New Roman" w:cs="Times New Roman"/>
          <w:lang w:val="en-GB"/>
        </w:rPr>
        <w:t>, as</w:t>
      </w:r>
      <w:r w:rsidR="00E24171" w:rsidRPr="00E24171">
        <w:rPr>
          <w:rFonts w:ascii="Times New Roman" w:hAnsi="Times New Roman" w:cs="Times New Roman"/>
          <w:lang w:val="en-GB"/>
        </w:rPr>
        <w:t xml:space="preserve"> the erosion or discontinuity of an institutionalized </w:t>
      </w:r>
      <w:r w:rsidR="003A4841">
        <w:rPr>
          <w:rFonts w:ascii="Times New Roman" w:hAnsi="Times New Roman" w:cs="Times New Roman"/>
          <w:lang w:val="en-GB"/>
        </w:rPr>
        <w:t xml:space="preserve">activity or </w:t>
      </w:r>
      <w:r w:rsidR="00E24171" w:rsidRPr="00E24171">
        <w:rPr>
          <w:rFonts w:ascii="Times New Roman" w:hAnsi="Times New Roman" w:cs="Times New Roman"/>
          <w:lang w:val="en-GB"/>
        </w:rPr>
        <w:t>practice</w:t>
      </w:r>
      <w:r w:rsidR="00E24171">
        <w:rPr>
          <w:rFonts w:ascii="Times New Roman" w:hAnsi="Times New Roman" w:cs="Times New Roman"/>
          <w:lang w:val="en-GB"/>
        </w:rPr>
        <w:t>,</w:t>
      </w:r>
      <w:r>
        <w:rPr>
          <w:rFonts w:ascii="Times New Roman" w:hAnsi="Times New Roman" w:cs="Times New Roman"/>
          <w:lang w:val="en-GB"/>
        </w:rPr>
        <w:t xml:space="preserve"> has a multitude of determinants at both </w:t>
      </w:r>
      <w:r w:rsidR="00DB5CAD">
        <w:rPr>
          <w:rFonts w:ascii="Times New Roman" w:hAnsi="Times New Roman" w:cs="Times New Roman"/>
          <w:lang w:val="en-GB"/>
        </w:rPr>
        <w:t xml:space="preserve">the </w:t>
      </w:r>
      <w:r>
        <w:rPr>
          <w:rFonts w:ascii="Times New Roman" w:hAnsi="Times New Roman" w:cs="Times New Roman"/>
          <w:lang w:val="en-GB"/>
        </w:rPr>
        <w:t>macro</w:t>
      </w:r>
      <w:r w:rsidR="00DB5CAD">
        <w:rPr>
          <w:rFonts w:ascii="Times New Roman" w:hAnsi="Times New Roman" w:cs="Times New Roman"/>
          <w:lang w:val="en-GB"/>
        </w:rPr>
        <w:t>-</w:t>
      </w:r>
      <w:r>
        <w:rPr>
          <w:rFonts w:ascii="Times New Roman" w:hAnsi="Times New Roman" w:cs="Times New Roman"/>
          <w:lang w:val="en-GB"/>
        </w:rPr>
        <w:t xml:space="preserve"> and </w:t>
      </w:r>
      <w:r w:rsidR="00DB5CAD">
        <w:rPr>
          <w:rFonts w:ascii="Times New Roman" w:hAnsi="Times New Roman" w:cs="Times New Roman"/>
          <w:lang w:val="en-GB"/>
        </w:rPr>
        <w:t>the micro-level</w:t>
      </w:r>
      <w:r>
        <w:rPr>
          <w:rFonts w:ascii="Times New Roman" w:hAnsi="Times New Roman" w:cs="Times New Roman"/>
          <w:lang w:val="en-GB"/>
        </w:rPr>
        <w:t xml:space="preserve"> (Oliver, 1992).</w:t>
      </w:r>
      <w:r w:rsidR="00B72101">
        <w:rPr>
          <w:rFonts w:ascii="Times New Roman" w:hAnsi="Times New Roman" w:cs="Times New Roman"/>
          <w:lang w:val="en-GB"/>
        </w:rPr>
        <w:t xml:space="preserve"> </w:t>
      </w:r>
      <w:r w:rsidR="00A161F0">
        <w:rPr>
          <w:rFonts w:ascii="Times New Roman" w:hAnsi="Times New Roman" w:cs="Times New Roman"/>
          <w:lang w:val="en-GB"/>
        </w:rPr>
        <w:t xml:space="preserve">Research on deinstitutionalization recognizes the key role of agents </w:t>
      </w:r>
      <w:r w:rsidR="004F60DF">
        <w:rPr>
          <w:rFonts w:ascii="Times New Roman" w:hAnsi="Times New Roman" w:cs="Times New Roman"/>
          <w:lang w:val="en-GB"/>
        </w:rPr>
        <w:t xml:space="preserve">as they progressively disengage </w:t>
      </w:r>
      <w:r w:rsidR="002218AD">
        <w:rPr>
          <w:rFonts w:ascii="Times New Roman" w:hAnsi="Times New Roman" w:cs="Times New Roman"/>
          <w:lang w:val="en-GB"/>
        </w:rPr>
        <w:t xml:space="preserve">from the practice, </w:t>
      </w:r>
      <w:r w:rsidR="004F60DF">
        <w:rPr>
          <w:rFonts w:ascii="Times New Roman" w:hAnsi="Times New Roman" w:cs="Times New Roman"/>
          <w:lang w:val="en-GB"/>
        </w:rPr>
        <w:t>until only</w:t>
      </w:r>
      <w:r>
        <w:rPr>
          <w:rFonts w:ascii="Times New Roman" w:hAnsi="Times New Roman" w:cs="Times New Roman"/>
          <w:lang w:val="en-GB"/>
        </w:rPr>
        <w:t xml:space="preserve"> a minority enacts </w:t>
      </w:r>
      <w:r w:rsidR="008D2261">
        <w:rPr>
          <w:rFonts w:ascii="Times New Roman" w:hAnsi="Times New Roman" w:cs="Times New Roman"/>
          <w:lang w:val="en-GB"/>
        </w:rPr>
        <w:t>it</w:t>
      </w:r>
      <w:r w:rsidR="00FD1C3A">
        <w:rPr>
          <w:rFonts w:ascii="Times New Roman" w:hAnsi="Times New Roman" w:cs="Times New Roman"/>
          <w:lang w:val="en-GB"/>
        </w:rPr>
        <w:t xml:space="preserve"> (Davis </w:t>
      </w:r>
      <w:r w:rsidR="004F60DF">
        <w:rPr>
          <w:rFonts w:ascii="Times New Roman" w:hAnsi="Times New Roman" w:cs="Times New Roman"/>
          <w:lang w:val="en-GB"/>
        </w:rPr>
        <w:t>et al</w:t>
      </w:r>
      <w:r w:rsidR="00FD1C3A">
        <w:rPr>
          <w:rFonts w:ascii="Times New Roman" w:hAnsi="Times New Roman" w:cs="Times New Roman"/>
          <w:lang w:val="en-GB"/>
        </w:rPr>
        <w:t>.</w:t>
      </w:r>
      <w:r w:rsidR="004F60DF">
        <w:rPr>
          <w:rFonts w:ascii="Times New Roman" w:hAnsi="Times New Roman" w:cs="Times New Roman"/>
          <w:lang w:val="en-GB"/>
        </w:rPr>
        <w:t>, 1994).</w:t>
      </w:r>
      <w:r w:rsidR="008A1C6B">
        <w:rPr>
          <w:rFonts w:ascii="Times New Roman" w:hAnsi="Times New Roman" w:cs="Times New Roman"/>
          <w:lang w:val="en-GB"/>
        </w:rPr>
        <w:t xml:space="preserve"> Conceptual models of deinstitutionalization flesh out the mechanisms through which individual </w:t>
      </w:r>
      <w:r w:rsidR="008A1C6B" w:rsidRPr="00D54516">
        <w:rPr>
          <w:rFonts w:ascii="Times New Roman" w:hAnsi="Times New Roman" w:cs="Times New Roman"/>
          <w:lang w:val="en-GB"/>
        </w:rPr>
        <w:t xml:space="preserve">disengagement </w:t>
      </w:r>
      <w:r w:rsidR="002218AD">
        <w:rPr>
          <w:rFonts w:ascii="Times New Roman" w:hAnsi="Times New Roman" w:cs="Times New Roman"/>
          <w:lang w:val="en-GB"/>
        </w:rPr>
        <w:t>from</w:t>
      </w:r>
      <w:r w:rsidR="008A1C6B" w:rsidRPr="00D54516">
        <w:rPr>
          <w:rFonts w:ascii="Times New Roman" w:hAnsi="Times New Roman" w:cs="Times New Roman"/>
          <w:lang w:val="en-GB"/>
        </w:rPr>
        <w:t xml:space="preserve"> a practice</w:t>
      </w:r>
      <w:r w:rsidR="008A1C6B">
        <w:rPr>
          <w:rFonts w:ascii="Times New Roman" w:hAnsi="Times New Roman" w:cs="Times New Roman"/>
          <w:lang w:val="en-GB"/>
        </w:rPr>
        <w:t xml:space="preserve"> triggers a spiral of deinstitutionalization (Clemente &amp; Roulet, 2015). This argument relies on the </w:t>
      </w:r>
      <w:r w:rsidR="00F670A6">
        <w:rPr>
          <w:rFonts w:ascii="Times New Roman" w:hAnsi="Times New Roman" w:cs="Times New Roman"/>
          <w:lang w:val="en-GB"/>
        </w:rPr>
        <w:t>proposition</w:t>
      </w:r>
      <w:r w:rsidR="008A1C6B">
        <w:rPr>
          <w:rFonts w:ascii="Times New Roman" w:hAnsi="Times New Roman" w:cs="Times New Roman"/>
          <w:lang w:val="en-GB"/>
        </w:rPr>
        <w:t xml:space="preserve"> that </w:t>
      </w:r>
      <w:r w:rsidR="00F670A6">
        <w:rPr>
          <w:rFonts w:ascii="Times New Roman" w:hAnsi="Times New Roman" w:cs="Times New Roman"/>
          <w:lang w:val="en-GB"/>
        </w:rPr>
        <w:t>institutionalized practice</w:t>
      </w:r>
      <w:r w:rsidR="00D54516">
        <w:rPr>
          <w:rFonts w:ascii="Times New Roman" w:hAnsi="Times New Roman" w:cs="Times New Roman"/>
          <w:lang w:val="en-GB"/>
        </w:rPr>
        <w:t>s</w:t>
      </w:r>
      <w:r w:rsidR="00DB5CAD">
        <w:rPr>
          <w:rFonts w:ascii="Times New Roman" w:hAnsi="Times New Roman" w:cs="Times New Roman"/>
          <w:lang w:val="en-GB"/>
        </w:rPr>
        <w:t xml:space="preserve"> rely on a majority enacting them</w:t>
      </w:r>
      <w:r w:rsidR="00F670A6">
        <w:rPr>
          <w:rFonts w:ascii="Times New Roman" w:hAnsi="Times New Roman" w:cs="Times New Roman"/>
          <w:lang w:val="en-GB"/>
        </w:rPr>
        <w:t>, while deinstitutionalization</w:t>
      </w:r>
      <w:r w:rsidR="008A1C6B">
        <w:rPr>
          <w:rFonts w:ascii="Times New Roman" w:hAnsi="Times New Roman" w:cs="Times New Roman"/>
          <w:lang w:val="en-GB"/>
        </w:rPr>
        <w:t xml:space="preserve"> </w:t>
      </w:r>
      <w:r w:rsidR="00F670A6">
        <w:rPr>
          <w:rFonts w:ascii="Times New Roman" w:hAnsi="Times New Roman" w:cs="Times New Roman"/>
          <w:lang w:val="en-GB"/>
        </w:rPr>
        <w:t xml:space="preserve">is usually the sign of only a minority </w:t>
      </w:r>
      <w:r w:rsidR="003E072F">
        <w:rPr>
          <w:rFonts w:ascii="Times New Roman" w:hAnsi="Times New Roman" w:cs="Times New Roman"/>
          <w:lang w:val="en-GB"/>
        </w:rPr>
        <w:t xml:space="preserve">maintaining engagement </w:t>
      </w:r>
      <w:r w:rsidR="00D54516">
        <w:rPr>
          <w:rFonts w:ascii="Times New Roman" w:hAnsi="Times New Roman" w:cs="Times New Roman"/>
          <w:lang w:val="en-GB"/>
        </w:rPr>
        <w:t>in</w:t>
      </w:r>
      <w:r w:rsidR="003E072F">
        <w:rPr>
          <w:rFonts w:ascii="Times New Roman" w:hAnsi="Times New Roman" w:cs="Times New Roman"/>
          <w:lang w:val="en-GB"/>
        </w:rPr>
        <w:t xml:space="preserve"> the practice.</w:t>
      </w:r>
      <w:r w:rsidR="00960D10">
        <w:rPr>
          <w:rFonts w:ascii="Times New Roman" w:hAnsi="Times New Roman" w:cs="Times New Roman"/>
          <w:lang w:val="en-GB"/>
        </w:rPr>
        <w:t xml:space="preserve"> This mechanism relies on social control</w:t>
      </w:r>
      <w:r w:rsidR="003A4841">
        <w:rPr>
          <w:rFonts w:ascii="Times New Roman" w:hAnsi="Times New Roman" w:cs="Times New Roman"/>
          <w:lang w:val="en-GB"/>
        </w:rPr>
        <w:t>,</w:t>
      </w:r>
      <w:r w:rsidR="00960D10">
        <w:rPr>
          <w:rFonts w:ascii="Times New Roman" w:hAnsi="Times New Roman" w:cs="Times New Roman"/>
          <w:lang w:val="en-GB"/>
        </w:rPr>
        <w:t xml:space="preserve"> </w:t>
      </w:r>
      <w:r w:rsidR="007859AF">
        <w:rPr>
          <w:rFonts w:ascii="Times New Roman" w:hAnsi="Times New Roman" w:cs="Times New Roman"/>
          <w:lang w:val="en-GB"/>
        </w:rPr>
        <w:t>as</w:t>
      </w:r>
      <w:r w:rsidR="00960D10">
        <w:rPr>
          <w:rFonts w:ascii="Times New Roman" w:hAnsi="Times New Roman" w:cs="Times New Roman"/>
          <w:lang w:val="en-GB"/>
        </w:rPr>
        <w:t xml:space="preserve"> agents are punished for engaging in a practice that is marginalized and rewarded for</w:t>
      </w:r>
      <w:r w:rsidR="000D1CCA">
        <w:rPr>
          <w:rFonts w:ascii="Times New Roman" w:hAnsi="Times New Roman" w:cs="Times New Roman"/>
          <w:lang w:val="en-GB"/>
        </w:rPr>
        <w:t xml:space="preserve"> engaging in a practice that has become a norm </w:t>
      </w:r>
      <w:r w:rsidR="00E96973">
        <w:rPr>
          <w:rFonts w:ascii="Times New Roman" w:hAnsi="Times New Roman" w:cs="Times New Roman"/>
          <w:lang w:val="en-GB"/>
        </w:rPr>
        <w:t>(Glynn &amp; Huge, 2007).</w:t>
      </w:r>
      <w:r w:rsidR="002F6264">
        <w:rPr>
          <w:rFonts w:ascii="Times New Roman" w:hAnsi="Times New Roman" w:cs="Times New Roman"/>
          <w:lang w:val="en-GB"/>
        </w:rPr>
        <w:t xml:space="preserve"> This approach</w:t>
      </w:r>
      <w:r w:rsidR="00792D55">
        <w:rPr>
          <w:rFonts w:ascii="Times New Roman" w:hAnsi="Times New Roman" w:cs="Times New Roman"/>
          <w:lang w:val="en-GB"/>
        </w:rPr>
        <w:t xml:space="preserve"> also stresses the importance of the population of organizational members and its characteristics</w:t>
      </w:r>
      <w:r w:rsidR="00753F96">
        <w:rPr>
          <w:rFonts w:ascii="Times New Roman" w:hAnsi="Times New Roman" w:cs="Times New Roman"/>
          <w:lang w:val="en-GB"/>
        </w:rPr>
        <w:t xml:space="preserve"> in the deinstitutionalization of practices</w:t>
      </w:r>
      <w:r w:rsidR="00792D55">
        <w:rPr>
          <w:rFonts w:ascii="Times New Roman" w:hAnsi="Times New Roman" w:cs="Times New Roman"/>
          <w:lang w:val="en-GB"/>
        </w:rPr>
        <w:t>.</w:t>
      </w:r>
    </w:p>
    <w:p w14:paraId="2002A861" w14:textId="69A8A0D5" w:rsidR="005C6252" w:rsidRPr="005C6252" w:rsidRDefault="00373549" w:rsidP="00F42589">
      <w:pPr>
        <w:spacing w:line="480" w:lineRule="auto"/>
        <w:ind w:firstLine="720"/>
        <w:jc w:val="both"/>
        <w:rPr>
          <w:rFonts w:ascii="Times New Roman" w:hAnsi="Times New Roman" w:cs="Times New Roman"/>
          <w:lang w:val="en-GB"/>
        </w:rPr>
      </w:pPr>
      <w:r w:rsidRPr="009D7AF7">
        <w:rPr>
          <w:rFonts w:ascii="Times New Roman" w:hAnsi="Times New Roman" w:cs="Times New Roman"/>
          <w:lang w:val="en-GB"/>
        </w:rPr>
        <w:t xml:space="preserve">We argue that a focus on </w:t>
      </w:r>
      <w:r w:rsidR="001A0131" w:rsidRPr="009D7AF7">
        <w:rPr>
          <w:rFonts w:ascii="Times New Roman" w:hAnsi="Times New Roman" w:cs="Times New Roman"/>
          <w:lang w:val="en-GB"/>
        </w:rPr>
        <w:t xml:space="preserve">the lifecycle of </w:t>
      </w:r>
      <w:r w:rsidR="006B3976" w:rsidRPr="009D7AF7">
        <w:rPr>
          <w:rFonts w:ascii="Times New Roman" w:hAnsi="Times New Roman" w:cs="Times New Roman"/>
          <w:lang w:val="en-GB"/>
        </w:rPr>
        <w:t xml:space="preserve">institutional change, with phases of </w:t>
      </w:r>
      <w:r w:rsidR="001A0131" w:rsidRPr="00A637EB">
        <w:rPr>
          <w:rFonts w:ascii="Times New Roman" w:hAnsi="Times New Roman" w:cs="Times New Roman"/>
          <w:lang w:val="en-GB"/>
        </w:rPr>
        <w:t>deinstitutionalization</w:t>
      </w:r>
      <w:r w:rsidR="006B3976" w:rsidRPr="008722E8">
        <w:rPr>
          <w:rFonts w:ascii="Times New Roman" w:hAnsi="Times New Roman" w:cs="Times New Roman"/>
          <w:lang w:val="en-GB"/>
        </w:rPr>
        <w:t xml:space="preserve"> and </w:t>
      </w:r>
      <w:r w:rsidR="001A0131" w:rsidRPr="003D11BE">
        <w:rPr>
          <w:rFonts w:ascii="Times New Roman" w:hAnsi="Times New Roman" w:cs="Times New Roman"/>
          <w:lang w:val="en-GB"/>
        </w:rPr>
        <w:t>institutionalization</w:t>
      </w:r>
      <w:r w:rsidR="006B3976" w:rsidRPr="009D7AF7">
        <w:rPr>
          <w:rFonts w:ascii="Times New Roman" w:hAnsi="Times New Roman" w:cs="Times New Roman"/>
          <w:lang w:val="en-GB"/>
        </w:rPr>
        <w:t>,</w:t>
      </w:r>
      <w:r w:rsidR="001A0131" w:rsidRPr="009D7AF7">
        <w:rPr>
          <w:rFonts w:ascii="Times New Roman" w:hAnsi="Times New Roman" w:cs="Times New Roman"/>
          <w:lang w:val="en-GB"/>
        </w:rPr>
        <w:t xml:space="preserve"> is a specifically informative </w:t>
      </w:r>
      <w:r w:rsidR="00930E9F" w:rsidRPr="009D7AF7">
        <w:rPr>
          <w:rFonts w:ascii="Times New Roman" w:hAnsi="Times New Roman" w:cs="Times New Roman"/>
          <w:lang w:val="en-GB"/>
        </w:rPr>
        <w:t>context</w:t>
      </w:r>
      <w:r w:rsidR="001A0131" w:rsidRPr="009D7AF7">
        <w:rPr>
          <w:rFonts w:ascii="Times New Roman" w:hAnsi="Times New Roman" w:cs="Times New Roman"/>
          <w:lang w:val="en-GB"/>
        </w:rPr>
        <w:t xml:space="preserve"> to unders</w:t>
      </w:r>
      <w:r w:rsidR="00DB5CAD" w:rsidRPr="009D7AF7">
        <w:rPr>
          <w:rFonts w:ascii="Times New Roman" w:hAnsi="Times New Roman" w:cs="Times New Roman"/>
          <w:lang w:val="en-GB"/>
        </w:rPr>
        <w:t xml:space="preserve">tand the importance of multiple </w:t>
      </w:r>
      <w:r w:rsidR="001A0131" w:rsidRPr="009D7AF7">
        <w:rPr>
          <w:rFonts w:ascii="Times New Roman" w:hAnsi="Times New Roman" w:cs="Times New Roman"/>
          <w:lang w:val="en-GB"/>
        </w:rPr>
        <w:t>levels of analysis in advancing the micro-foundations agenda in institutional theory.</w:t>
      </w:r>
      <w:r w:rsidR="00302652" w:rsidRPr="009D7AF7">
        <w:rPr>
          <w:rFonts w:ascii="Times New Roman" w:hAnsi="Times New Roman" w:cs="Times New Roman"/>
          <w:lang w:val="en-GB"/>
        </w:rPr>
        <w:t xml:space="preserve"> </w:t>
      </w:r>
      <w:r w:rsidR="00FE27B1" w:rsidRPr="009D7AF7">
        <w:rPr>
          <w:rFonts w:ascii="Times New Roman" w:hAnsi="Times New Roman" w:cs="Times New Roman"/>
          <w:lang w:val="en-GB"/>
        </w:rPr>
        <w:t xml:space="preserve">In this study, we </w:t>
      </w:r>
      <w:r w:rsidR="00F42589" w:rsidRPr="009D7AF7">
        <w:rPr>
          <w:rFonts w:ascii="Times New Roman" w:hAnsi="Times New Roman" w:cs="Times New Roman"/>
          <w:lang w:val="en-GB"/>
        </w:rPr>
        <w:t>acknowledge</w:t>
      </w:r>
      <w:r w:rsidR="008D5EB1" w:rsidRPr="009D7AF7">
        <w:rPr>
          <w:rFonts w:ascii="Times New Roman" w:hAnsi="Times New Roman" w:cs="Times New Roman"/>
          <w:lang w:val="en-GB"/>
        </w:rPr>
        <w:t xml:space="preserve"> for agency at </w:t>
      </w:r>
      <w:r w:rsidR="001979FF" w:rsidRPr="009D7AF7">
        <w:rPr>
          <w:rFonts w:ascii="Times New Roman" w:hAnsi="Times New Roman" w:cs="Times New Roman"/>
          <w:lang w:val="en-GB"/>
        </w:rPr>
        <w:t xml:space="preserve">the employee level and its consequences for organizational decision making, </w:t>
      </w:r>
      <w:r w:rsidR="002173DB" w:rsidRPr="009D7AF7">
        <w:rPr>
          <w:rFonts w:ascii="Times New Roman" w:hAnsi="Times New Roman" w:cs="Times New Roman"/>
          <w:lang w:val="en-GB"/>
        </w:rPr>
        <w:t>whi</w:t>
      </w:r>
      <w:r w:rsidR="00FE27B1" w:rsidRPr="009D7AF7">
        <w:rPr>
          <w:rFonts w:ascii="Times New Roman" w:hAnsi="Times New Roman" w:cs="Times New Roman"/>
          <w:lang w:val="en-GB"/>
        </w:rPr>
        <w:t>le exploring</w:t>
      </w:r>
      <w:r w:rsidR="00F42589" w:rsidRPr="009D7AF7">
        <w:rPr>
          <w:rFonts w:ascii="Times New Roman" w:hAnsi="Times New Roman" w:cs="Times New Roman"/>
          <w:lang w:val="en-GB"/>
        </w:rPr>
        <w:t xml:space="preserve"> the co-occurrence of deinstitutionalization and institutionalization.</w:t>
      </w:r>
    </w:p>
    <w:p w14:paraId="54B8E102" w14:textId="77777777" w:rsidR="00DB401F" w:rsidRDefault="00DB401F" w:rsidP="001D0485">
      <w:pPr>
        <w:spacing w:line="480" w:lineRule="auto"/>
        <w:jc w:val="both"/>
        <w:rPr>
          <w:rFonts w:ascii="Times New Roman" w:hAnsi="Times New Roman" w:cs="Times New Roman"/>
          <w:lang w:val="en-GB"/>
        </w:rPr>
      </w:pPr>
    </w:p>
    <w:p w14:paraId="4548DE0C" w14:textId="5472E9C2" w:rsidR="00DB401F" w:rsidRDefault="005B12A7" w:rsidP="00DB401F">
      <w:pPr>
        <w:spacing w:line="480" w:lineRule="auto"/>
        <w:jc w:val="center"/>
        <w:rPr>
          <w:rFonts w:ascii="Times New Roman" w:hAnsi="Times New Roman" w:cs="Times New Roman"/>
          <w:b/>
          <w:lang w:val="en-GB"/>
        </w:rPr>
      </w:pPr>
      <w:r>
        <w:rPr>
          <w:rFonts w:ascii="Times New Roman" w:hAnsi="Times New Roman" w:cs="Times New Roman"/>
          <w:b/>
          <w:lang w:val="en-GB"/>
        </w:rPr>
        <w:t xml:space="preserve">EMPIRICAL </w:t>
      </w:r>
      <w:r w:rsidR="000B270D">
        <w:rPr>
          <w:rFonts w:ascii="Times New Roman" w:hAnsi="Times New Roman" w:cs="Times New Roman"/>
          <w:b/>
          <w:lang w:val="en-GB"/>
        </w:rPr>
        <w:t>SETTING</w:t>
      </w:r>
      <w:r>
        <w:rPr>
          <w:rFonts w:ascii="Times New Roman" w:hAnsi="Times New Roman" w:cs="Times New Roman"/>
          <w:b/>
          <w:lang w:val="en-GB"/>
        </w:rPr>
        <w:t xml:space="preserve"> AND HYPOTHESES IN CONTEXT</w:t>
      </w:r>
    </w:p>
    <w:p w14:paraId="42E73E95" w14:textId="6E270CED" w:rsidR="00220B5F" w:rsidRDefault="005C5E70" w:rsidP="005C5E70">
      <w:pPr>
        <w:spacing w:line="480" w:lineRule="auto"/>
        <w:jc w:val="both"/>
        <w:rPr>
          <w:rFonts w:ascii="Times New Roman" w:hAnsi="Times New Roman" w:cs="Times New Roman"/>
          <w:lang w:val="en-GB"/>
        </w:rPr>
      </w:pPr>
      <w:r>
        <w:rPr>
          <w:rFonts w:ascii="Times New Roman" w:hAnsi="Times New Roman" w:cs="Times New Roman"/>
          <w:lang w:val="en-GB"/>
        </w:rPr>
        <w:t xml:space="preserve">Our empirical </w:t>
      </w:r>
      <w:r w:rsidR="000935ED">
        <w:rPr>
          <w:rFonts w:ascii="Times New Roman" w:hAnsi="Times New Roman" w:cs="Times New Roman"/>
          <w:lang w:val="en-GB"/>
        </w:rPr>
        <w:t>setting</w:t>
      </w:r>
      <w:r>
        <w:rPr>
          <w:rFonts w:ascii="Times New Roman" w:hAnsi="Times New Roman" w:cs="Times New Roman"/>
          <w:lang w:val="en-GB"/>
        </w:rPr>
        <w:t xml:space="preserve"> is the UK legal indu</w:t>
      </w:r>
      <w:r w:rsidR="00CB6459">
        <w:rPr>
          <w:rFonts w:ascii="Times New Roman" w:hAnsi="Times New Roman" w:cs="Times New Roman"/>
          <w:lang w:val="en-GB"/>
        </w:rPr>
        <w:t>stry. Law firms are</w:t>
      </w:r>
      <w:r w:rsidR="00930E9F">
        <w:rPr>
          <w:rFonts w:ascii="Times New Roman" w:hAnsi="Times New Roman" w:cs="Times New Roman"/>
          <w:lang w:val="en-GB"/>
        </w:rPr>
        <w:t xml:space="preserve"> a</w:t>
      </w:r>
      <w:r w:rsidR="00CB6459">
        <w:rPr>
          <w:rFonts w:ascii="Times New Roman" w:hAnsi="Times New Roman" w:cs="Times New Roman"/>
          <w:lang w:val="en-GB"/>
        </w:rPr>
        <w:t xml:space="preserve"> prom</w:t>
      </w:r>
      <w:r w:rsidR="000935ED">
        <w:rPr>
          <w:rFonts w:ascii="Times New Roman" w:hAnsi="Times New Roman" w:cs="Times New Roman"/>
          <w:lang w:val="en-GB"/>
        </w:rPr>
        <w:t>inent professional service firm</w:t>
      </w:r>
      <w:r w:rsidR="00CB6459">
        <w:rPr>
          <w:rFonts w:ascii="Times New Roman" w:hAnsi="Times New Roman" w:cs="Times New Roman"/>
          <w:lang w:val="en-GB"/>
        </w:rPr>
        <w:t xml:space="preserve"> industry, characterized by </w:t>
      </w:r>
      <w:r w:rsidR="006B3F73">
        <w:rPr>
          <w:rFonts w:ascii="Times New Roman" w:hAnsi="Times New Roman" w:cs="Times New Roman"/>
          <w:lang w:val="en-GB"/>
        </w:rPr>
        <w:t>knowledge intensity and a professionalized workforce</w:t>
      </w:r>
      <w:r w:rsidR="00CB6459">
        <w:rPr>
          <w:rFonts w:ascii="Times New Roman" w:hAnsi="Times New Roman" w:cs="Times New Roman"/>
          <w:lang w:val="en-GB"/>
        </w:rPr>
        <w:t xml:space="preserve"> (Von Nordenflycht, 2010). The </w:t>
      </w:r>
      <w:r w:rsidR="006B3F73">
        <w:rPr>
          <w:rFonts w:ascii="Times New Roman" w:hAnsi="Times New Roman" w:cs="Times New Roman"/>
          <w:lang w:val="en-GB"/>
        </w:rPr>
        <w:t>importance of human capital in this industry makes it a perfect case to study micro-foundations, considering the key role played by individuals and groups of individuals</w:t>
      </w:r>
      <w:r w:rsidR="003A7FD3">
        <w:rPr>
          <w:rFonts w:ascii="Times New Roman" w:hAnsi="Times New Roman" w:cs="Times New Roman"/>
          <w:lang w:val="en-GB"/>
        </w:rPr>
        <w:t>.</w:t>
      </w:r>
      <w:r w:rsidR="008B5060">
        <w:rPr>
          <w:rFonts w:ascii="Times New Roman" w:hAnsi="Times New Roman" w:cs="Times New Roman"/>
          <w:lang w:val="en-GB"/>
        </w:rPr>
        <w:t xml:space="preserve"> The global legal industry </w:t>
      </w:r>
      <w:r w:rsidR="00930E9F">
        <w:rPr>
          <w:rFonts w:ascii="Times New Roman" w:hAnsi="Times New Roman" w:cs="Times New Roman"/>
          <w:lang w:val="en-GB"/>
        </w:rPr>
        <w:t>tends to follow</w:t>
      </w:r>
      <w:r w:rsidR="008B5060">
        <w:rPr>
          <w:rFonts w:ascii="Times New Roman" w:hAnsi="Times New Roman" w:cs="Times New Roman"/>
          <w:lang w:val="en-GB"/>
        </w:rPr>
        <w:t xml:space="preserve"> an American model (</w:t>
      </w:r>
      <w:r w:rsidR="00AC64CC">
        <w:rPr>
          <w:rFonts w:ascii="Times New Roman" w:hAnsi="Times New Roman" w:cs="Times New Roman"/>
          <w:lang w:val="en-GB"/>
        </w:rPr>
        <w:t>Dezalay &amp; Garth, 2004</w:t>
      </w:r>
      <w:r w:rsidR="008B5060">
        <w:rPr>
          <w:rFonts w:ascii="Times New Roman" w:hAnsi="Times New Roman" w:cs="Times New Roman"/>
          <w:lang w:val="en-GB"/>
        </w:rPr>
        <w:t>) dictating organizational practices</w:t>
      </w:r>
      <w:r w:rsidR="00D551DE">
        <w:rPr>
          <w:rFonts w:ascii="Times New Roman" w:hAnsi="Times New Roman" w:cs="Times New Roman"/>
          <w:lang w:val="en-GB"/>
        </w:rPr>
        <w:t>, in particular with regards to</w:t>
      </w:r>
      <w:r w:rsidR="00AF3366">
        <w:rPr>
          <w:rFonts w:ascii="Times New Roman" w:hAnsi="Times New Roman" w:cs="Times New Roman"/>
          <w:lang w:val="en-GB"/>
        </w:rPr>
        <w:t xml:space="preserve"> their career system (Malhotra et al., </w:t>
      </w:r>
      <w:r w:rsidR="00D551DE">
        <w:rPr>
          <w:rFonts w:ascii="Times New Roman" w:hAnsi="Times New Roman" w:cs="Times New Roman"/>
          <w:lang w:val="en-GB"/>
        </w:rPr>
        <w:t>2010</w:t>
      </w:r>
      <w:r w:rsidR="00AF3366">
        <w:rPr>
          <w:rFonts w:ascii="Times New Roman" w:hAnsi="Times New Roman" w:cs="Times New Roman"/>
          <w:lang w:val="en-GB"/>
        </w:rPr>
        <w:t>; Malhotra et al.</w:t>
      </w:r>
      <w:r w:rsidR="00D9096A">
        <w:rPr>
          <w:rFonts w:ascii="Times New Roman" w:hAnsi="Times New Roman" w:cs="Times New Roman"/>
          <w:lang w:val="en-GB"/>
        </w:rPr>
        <w:t>, 2016</w:t>
      </w:r>
      <w:r w:rsidR="00D551DE">
        <w:rPr>
          <w:rFonts w:ascii="Times New Roman" w:hAnsi="Times New Roman" w:cs="Times New Roman"/>
          <w:lang w:val="en-GB"/>
        </w:rPr>
        <w:t>)</w:t>
      </w:r>
      <w:r w:rsidR="008B5060">
        <w:rPr>
          <w:rFonts w:ascii="Times New Roman" w:hAnsi="Times New Roman" w:cs="Times New Roman"/>
          <w:lang w:val="en-GB"/>
        </w:rPr>
        <w:t>.</w:t>
      </w:r>
    </w:p>
    <w:p w14:paraId="10DC336A" w14:textId="052EE812" w:rsidR="00C5577D" w:rsidRDefault="0017300E" w:rsidP="005C5E70">
      <w:pPr>
        <w:spacing w:line="480" w:lineRule="auto"/>
        <w:jc w:val="both"/>
        <w:rPr>
          <w:rFonts w:ascii="Times New Roman" w:hAnsi="Times New Roman" w:cs="Times New Roman"/>
          <w:lang w:val="en-GB"/>
        </w:rPr>
      </w:pPr>
      <w:r>
        <w:rPr>
          <w:rFonts w:ascii="Times New Roman" w:hAnsi="Times New Roman" w:cs="Times New Roman"/>
          <w:lang w:val="en-GB"/>
        </w:rPr>
        <w:tab/>
        <w:t xml:space="preserve">In this study, we focus on the progressive </w:t>
      </w:r>
      <w:r w:rsidR="007779E7">
        <w:rPr>
          <w:rFonts w:ascii="Times New Roman" w:hAnsi="Times New Roman" w:cs="Times New Roman"/>
          <w:lang w:val="en-GB"/>
        </w:rPr>
        <w:t xml:space="preserve">emergence of </w:t>
      </w:r>
      <w:r w:rsidR="000C248A">
        <w:rPr>
          <w:rFonts w:ascii="Times New Roman" w:hAnsi="Times New Roman" w:cs="Times New Roman"/>
          <w:lang w:val="en-GB"/>
        </w:rPr>
        <w:t xml:space="preserve">non-equity or </w:t>
      </w:r>
      <w:r w:rsidR="008D2261">
        <w:rPr>
          <w:rFonts w:ascii="Times New Roman" w:hAnsi="Times New Roman" w:cs="Times New Roman"/>
          <w:lang w:val="en-GB"/>
        </w:rPr>
        <w:t xml:space="preserve">salaried </w:t>
      </w:r>
      <w:r>
        <w:rPr>
          <w:rFonts w:ascii="Times New Roman" w:hAnsi="Times New Roman" w:cs="Times New Roman"/>
          <w:lang w:val="en-GB"/>
        </w:rPr>
        <w:t>partnership</w:t>
      </w:r>
      <w:r w:rsidR="007779E7">
        <w:rPr>
          <w:rFonts w:ascii="Times New Roman" w:hAnsi="Times New Roman" w:cs="Times New Roman"/>
          <w:lang w:val="en-GB"/>
        </w:rPr>
        <w:t xml:space="preserve"> as an alternative to equity partnerships</w:t>
      </w:r>
      <w:r>
        <w:rPr>
          <w:rFonts w:ascii="Times New Roman" w:hAnsi="Times New Roman" w:cs="Times New Roman"/>
          <w:lang w:val="en-GB"/>
        </w:rPr>
        <w:t>.</w:t>
      </w:r>
      <w:r w:rsidR="00A40AB9">
        <w:rPr>
          <w:rFonts w:ascii="Times New Roman" w:hAnsi="Times New Roman" w:cs="Times New Roman"/>
          <w:lang w:val="en-GB"/>
        </w:rPr>
        <w:t xml:space="preserve"> </w:t>
      </w:r>
      <w:r w:rsidR="00E62033" w:rsidRPr="00E62033">
        <w:rPr>
          <w:rFonts w:ascii="Times New Roman" w:hAnsi="Times New Roman" w:cs="Times New Roman"/>
          <w:lang w:val="en-GB"/>
        </w:rPr>
        <w:t xml:space="preserve">Equity partners own part of the partnership and are </w:t>
      </w:r>
      <w:r w:rsidR="00E62033">
        <w:rPr>
          <w:rFonts w:ascii="Times New Roman" w:hAnsi="Times New Roman" w:cs="Times New Roman"/>
          <w:lang w:val="en-GB"/>
        </w:rPr>
        <w:t>entitled to part of the earning</w:t>
      </w:r>
      <w:r w:rsidR="00AF3366">
        <w:rPr>
          <w:rFonts w:ascii="Times New Roman" w:hAnsi="Times New Roman" w:cs="Times New Roman"/>
          <w:lang w:val="en-GB"/>
        </w:rPr>
        <w:t>s</w:t>
      </w:r>
      <w:r w:rsidR="00C063AC">
        <w:rPr>
          <w:rFonts w:ascii="Times New Roman" w:hAnsi="Times New Roman" w:cs="Times New Roman"/>
          <w:lang w:val="en-GB"/>
        </w:rPr>
        <w:t xml:space="preserve">, </w:t>
      </w:r>
      <w:r w:rsidR="00F903BE">
        <w:rPr>
          <w:rFonts w:ascii="Times New Roman" w:hAnsi="Times New Roman" w:cs="Times New Roman"/>
          <w:lang w:val="en-GB"/>
        </w:rPr>
        <w:t xml:space="preserve">which makes this stage in a career very attractive, and plays an important role in motivating senior </w:t>
      </w:r>
      <w:r w:rsidR="00B94B8E">
        <w:rPr>
          <w:rFonts w:ascii="Times New Roman" w:hAnsi="Times New Roman" w:cs="Times New Roman"/>
          <w:lang w:val="en-GB"/>
        </w:rPr>
        <w:t xml:space="preserve">employees </w:t>
      </w:r>
      <w:r w:rsidR="00F903BE">
        <w:rPr>
          <w:rFonts w:ascii="Times New Roman" w:hAnsi="Times New Roman" w:cs="Times New Roman"/>
          <w:lang w:val="en-GB"/>
        </w:rPr>
        <w:t>of law firms</w:t>
      </w:r>
      <w:r w:rsidR="00E62033">
        <w:rPr>
          <w:rFonts w:ascii="Times New Roman" w:hAnsi="Times New Roman" w:cs="Times New Roman"/>
          <w:lang w:val="en-GB"/>
        </w:rPr>
        <w:t xml:space="preserve">. </w:t>
      </w:r>
      <w:r w:rsidR="00A40AB9">
        <w:rPr>
          <w:rFonts w:ascii="Times New Roman" w:hAnsi="Times New Roman" w:cs="Times New Roman"/>
          <w:lang w:val="en-GB"/>
        </w:rPr>
        <w:t>Partnership is the natural promotion associates aspire to</w:t>
      </w:r>
      <w:r w:rsidR="00C919E9">
        <w:rPr>
          <w:rFonts w:ascii="Times New Roman" w:hAnsi="Times New Roman" w:cs="Times New Roman"/>
          <w:lang w:val="en-GB"/>
        </w:rPr>
        <w:t>, as their career</w:t>
      </w:r>
      <w:r w:rsidR="00F1578B">
        <w:rPr>
          <w:rFonts w:ascii="Times New Roman" w:hAnsi="Times New Roman" w:cs="Times New Roman"/>
          <w:lang w:val="en-GB"/>
        </w:rPr>
        <w:t>s</w:t>
      </w:r>
      <w:r w:rsidR="00F92C19">
        <w:rPr>
          <w:rFonts w:ascii="Times New Roman" w:hAnsi="Times New Roman" w:cs="Times New Roman"/>
          <w:lang w:val="en-GB"/>
        </w:rPr>
        <w:t xml:space="preserve"> progress (Malhotra et al., 2010</w:t>
      </w:r>
      <w:r w:rsidR="00D9096A">
        <w:rPr>
          <w:rFonts w:ascii="Times New Roman" w:hAnsi="Times New Roman" w:cs="Times New Roman"/>
          <w:lang w:val="en-GB"/>
        </w:rPr>
        <w:t>; Malhotra et al. 2016</w:t>
      </w:r>
      <w:r w:rsidR="000B6F7C">
        <w:rPr>
          <w:rFonts w:ascii="Times New Roman" w:hAnsi="Times New Roman" w:cs="Times New Roman"/>
          <w:lang w:val="en-GB"/>
        </w:rPr>
        <w:t>)</w:t>
      </w:r>
      <w:r w:rsidR="00E62033">
        <w:rPr>
          <w:rFonts w:ascii="Times New Roman" w:hAnsi="Times New Roman" w:cs="Times New Roman"/>
          <w:lang w:val="en-GB"/>
        </w:rPr>
        <w:t>.</w:t>
      </w:r>
      <w:r w:rsidR="00E62033" w:rsidRPr="00E62033">
        <w:rPr>
          <w:rFonts w:ascii="Times New Roman" w:hAnsi="Times New Roman" w:cs="Times New Roman"/>
          <w:lang w:val="en-GB"/>
        </w:rPr>
        <w:t xml:space="preserve"> </w:t>
      </w:r>
      <w:r w:rsidR="00C5577D">
        <w:rPr>
          <w:rFonts w:ascii="Times New Roman" w:hAnsi="Times New Roman" w:cs="Times New Roman"/>
          <w:lang w:val="en-GB"/>
        </w:rPr>
        <w:t>A</w:t>
      </w:r>
      <w:r w:rsidR="00C5577D" w:rsidRPr="00C5577D">
        <w:rPr>
          <w:rFonts w:ascii="Times New Roman" w:hAnsi="Times New Roman" w:cs="Times New Roman"/>
          <w:lang w:val="en-GB"/>
        </w:rPr>
        <w:t xml:space="preserve"> decision to promote an associate </w:t>
      </w:r>
      <w:r w:rsidR="00C5577D">
        <w:rPr>
          <w:rFonts w:ascii="Times New Roman" w:hAnsi="Times New Roman" w:cs="Times New Roman"/>
          <w:lang w:val="en-GB"/>
        </w:rPr>
        <w:t xml:space="preserve">to partner is </w:t>
      </w:r>
      <w:r w:rsidR="00AC64CC">
        <w:rPr>
          <w:rFonts w:ascii="Times New Roman" w:hAnsi="Times New Roman" w:cs="Times New Roman"/>
          <w:lang w:val="en-GB"/>
        </w:rPr>
        <w:t xml:space="preserve">risky </w:t>
      </w:r>
      <w:r w:rsidR="001E757A">
        <w:rPr>
          <w:rFonts w:ascii="Times New Roman" w:hAnsi="Times New Roman" w:cs="Times New Roman"/>
          <w:lang w:val="en-GB"/>
        </w:rPr>
        <w:t>and not taken lightly by the organization</w:t>
      </w:r>
      <w:r w:rsidR="00C5577D">
        <w:rPr>
          <w:rFonts w:ascii="Times New Roman" w:hAnsi="Times New Roman" w:cs="Times New Roman"/>
          <w:lang w:val="en-GB"/>
        </w:rPr>
        <w:t>, and has a range of reputational and economic consequences</w:t>
      </w:r>
      <w:r w:rsidR="00454C40">
        <w:rPr>
          <w:rFonts w:ascii="Times New Roman" w:hAnsi="Times New Roman" w:cs="Times New Roman"/>
          <w:lang w:val="en-GB"/>
        </w:rPr>
        <w:t xml:space="preserve"> </w:t>
      </w:r>
      <w:r w:rsidR="00CF3A18">
        <w:rPr>
          <w:rFonts w:ascii="Times New Roman" w:hAnsi="Times New Roman" w:cs="Times New Roman"/>
          <w:lang w:val="en-GB"/>
        </w:rPr>
        <w:t xml:space="preserve">(Hitt et al., </w:t>
      </w:r>
      <w:r w:rsidR="00C5577D" w:rsidRPr="00C5577D">
        <w:rPr>
          <w:rFonts w:ascii="Times New Roman" w:hAnsi="Times New Roman" w:cs="Times New Roman"/>
          <w:lang w:val="en-GB"/>
        </w:rPr>
        <w:t>2001).</w:t>
      </w:r>
      <w:r w:rsidR="006270C0">
        <w:rPr>
          <w:rFonts w:ascii="Times New Roman" w:hAnsi="Times New Roman" w:cs="Times New Roman"/>
          <w:lang w:val="en-GB"/>
        </w:rPr>
        <w:t xml:space="preserve"> Law firms can however only sustain a limited number of </w:t>
      </w:r>
      <w:r w:rsidR="008D2261">
        <w:rPr>
          <w:rFonts w:ascii="Times New Roman" w:hAnsi="Times New Roman" w:cs="Times New Roman"/>
          <w:lang w:val="en-GB"/>
        </w:rPr>
        <w:t xml:space="preserve">equity </w:t>
      </w:r>
      <w:r w:rsidR="00FF1BFF">
        <w:rPr>
          <w:rFonts w:ascii="Times New Roman" w:hAnsi="Times New Roman" w:cs="Times New Roman"/>
          <w:lang w:val="en-GB"/>
        </w:rPr>
        <w:t xml:space="preserve">partners as </w:t>
      </w:r>
      <w:r w:rsidR="008D2261">
        <w:rPr>
          <w:rFonts w:ascii="Times New Roman" w:hAnsi="Times New Roman" w:cs="Times New Roman"/>
          <w:lang w:val="en-GB"/>
        </w:rPr>
        <w:t xml:space="preserve">equity </w:t>
      </w:r>
      <w:r w:rsidR="00CF3A18">
        <w:rPr>
          <w:rFonts w:ascii="Times New Roman" w:hAnsi="Times New Roman" w:cs="Times New Roman"/>
          <w:lang w:val="en-GB"/>
        </w:rPr>
        <w:t>partnership</w:t>
      </w:r>
      <w:r w:rsidR="00FF1BFF">
        <w:rPr>
          <w:rFonts w:ascii="Times New Roman" w:hAnsi="Times New Roman" w:cs="Times New Roman"/>
          <w:lang w:val="en-GB"/>
        </w:rPr>
        <w:t xml:space="preserve"> dilutes</w:t>
      </w:r>
      <w:r w:rsidR="00B94B8E">
        <w:rPr>
          <w:rFonts w:ascii="Times New Roman" w:hAnsi="Times New Roman" w:cs="Times New Roman"/>
          <w:lang w:val="en-GB"/>
        </w:rPr>
        <w:t xml:space="preserve"> equity</w:t>
      </w:r>
      <w:r w:rsidR="008207F2">
        <w:rPr>
          <w:rFonts w:ascii="Times New Roman" w:hAnsi="Times New Roman" w:cs="Times New Roman"/>
          <w:lang w:val="en-GB"/>
        </w:rPr>
        <w:t xml:space="preserve"> (Malhotra et al., </w:t>
      </w:r>
      <w:r w:rsidR="00FF5539">
        <w:rPr>
          <w:rFonts w:ascii="Times New Roman" w:hAnsi="Times New Roman" w:cs="Times New Roman"/>
          <w:lang w:val="en-GB"/>
        </w:rPr>
        <w:t>2010</w:t>
      </w:r>
      <w:r w:rsidR="00CF3A18">
        <w:rPr>
          <w:rFonts w:ascii="Times New Roman" w:hAnsi="Times New Roman" w:cs="Times New Roman"/>
          <w:lang w:val="en-GB"/>
        </w:rPr>
        <w:t xml:space="preserve">; Malhotra et al., </w:t>
      </w:r>
      <w:r w:rsidR="00D9096A">
        <w:rPr>
          <w:rFonts w:ascii="Times New Roman" w:hAnsi="Times New Roman" w:cs="Times New Roman"/>
          <w:lang w:val="en-GB"/>
        </w:rPr>
        <w:t>2016</w:t>
      </w:r>
      <w:r w:rsidR="00FF5539">
        <w:rPr>
          <w:rFonts w:ascii="Times New Roman" w:hAnsi="Times New Roman" w:cs="Times New Roman"/>
          <w:lang w:val="en-GB"/>
        </w:rPr>
        <w:t>).</w:t>
      </w:r>
      <w:r w:rsidR="001E757A">
        <w:rPr>
          <w:rFonts w:ascii="Times New Roman" w:hAnsi="Times New Roman" w:cs="Times New Roman"/>
          <w:lang w:val="en-GB"/>
        </w:rPr>
        <w:t xml:space="preserve"> Thus</w:t>
      </w:r>
      <w:r w:rsidR="00C063AC">
        <w:rPr>
          <w:rFonts w:ascii="Times New Roman" w:hAnsi="Times New Roman" w:cs="Times New Roman"/>
          <w:lang w:val="en-GB"/>
        </w:rPr>
        <w:t>,</w:t>
      </w:r>
      <w:r w:rsidR="001E757A">
        <w:rPr>
          <w:rFonts w:ascii="Times New Roman" w:hAnsi="Times New Roman" w:cs="Times New Roman"/>
          <w:lang w:val="en-GB"/>
        </w:rPr>
        <w:t xml:space="preserve"> the decision to abandon or reproduce the practice of equity partnership is crucial for a large majority of law firms, to attract and retain talent but also with regards to how profits are shared.</w:t>
      </w:r>
    </w:p>
    <w:p w14:paraId="54870F95" w14:textId="098E6DFA" w:rsidR="0017300E" w:rsidRDefault="00FF5539" w:rsidP="00C5577D">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Because of the difficulties to sustain a high number of </w:t>
      </w:r>
      <w:r w:rsidR="008D2261">
        <w:rPr>
          <w:rFonts w:ascii="Times New Roman" w:hAnsi="Times New Roman" w:cs="Times New Roman"/>
          <w:lang w:val="en-GB"/>
        </w:rPr>
        <w:t xml:space="preserve">equity </w:t>
      </w:r>
      <w:r>
        <w:rPr>
          <w:rFonts w:ascii="Times New Roman" w:hAnsi="Times New Roman" w:cs="Times New Roman"/>
          <w:lang w:val="en-GB"/>
        </w:rPr>
        <w:t xml:space="preserve">partners, </w:t>
      </w:r>
      <w:r w:rsidR="009D2EB5">
        <w:rPr>
          <w:rFonts w:ascii="Times New Roman" w:hAnsi="Times New Roman" w:cs="Times New Roman"/>
          <w:lang w:val="en-GB"/>
        </w:rPr>
        <w:t xml:space="preserve">the institutionalized practice of equity partnership </w:t>
      </w:r>
      <w:r w:rsidR="00E62033" w:rsidRPr="00E62033">
        <w:rPr>
          <w:rFonts w:ascii="Times New Roman" w:hAnsi="Times New Roman" w:cs="Times New Roman"/>
          <w:lang w:val="en-GB"/>
        </w:rPr>
        <w:t>is</w:t>
      </w:r>
      <w:r>
        <w:rPr>
          <w:rFonts w:ascii="Times New Roman" w:hAnsi="Times New Roman" w:cs="Times New Roman"/>
          <w:lang w:val="en-GB"/>
        </w:rPr>
        <w:t xml:space="preserve"> progressively</w:t>
      </w:r>
      <w:r w:rsidR="00BD3CB4">
        <w:rPr>
          <w:rFonts w:ascii="Times New Roman" w:hAnsi="Times New Roman" w:cs="Times New Roman"/>
          <w:lang w:val="en-GB"/>
        </w:rPr>
        <w:t xml:space="preserve"> eroding. </w:t>
      </w:r>
      <w:r w:rsidR="003D1ED3">
        <w:rPr>
          <w:rFonts w:ascii="Times New Roman" w:hAnsi="Times New Roman" w:cs="Times New Roman"/>
          <w:lang w:val="en-GB"/>
        </w:rPr>
        <w:t xml:space="preserve">This lead to </w:t>
      </w:r>
      <w:r w:rsidR="003502DF">
        <w:rPr>
          <w:rFonts w:ascii="Times New Roman" w:hAnsi="Times New Roman" w:cs="Times New Roman"/>
          <w:lang w:val="en-GB"/>
        </w:rPr>
        <w:t>the</w:t>
      </w:r>
      <w:r w:rsidR="00BD3CB4">
        <w:rPr>
          <w:rFonts w:ascii="Times New Roman" w:hAnsi="Times New Roman" w:cs="Times New Roman"/>
          <w:lang w:val="en-GB"/>
        </w:rPr>
        <w:t xml:space="preserve"> progressive</w:t>
      </w:r>
      <w:r w:rsidR="003502DF">
        <w:rPr>
          <w:rFonts w:ascii="Times New Roman" w:hAnsi="Times New Roman" w:cs="Times New Roman"/>
          <w:lang w:val="en-GB"/>
        </w:rPr>
        <w:t xml:space="preserve"> emergence of non-equity (or salaried) partners</w:t>
      </w:r>
      <w:r w:rsidR="000C248A">
        <w:rPr>
          <w:rFonts w:ascii="Times New Roman" w:hAnsi="Times New Roman" w:cs="Times New Roman"/>
          <w:lang w:val="en-GB"/>
        </w:rPr>
        <w:t>hip</w:t>
      </w:r>
      <w:r w:rsidR="006C33D9">
        <w:rPr>
          <w:rFonts w:ascii="Times New Roman" w:hAnsi="Times New Roman" w:cs="Times New Roman"/>
          <w:lang w:val="en-GB"/>
        </w:rPr>
        <w:t xml:space="preserve"> (Malhotra et al., </w:t>
      </w:r>
      <w:r w:rsidR="00BD3CB4">
        <w:rPr>
          <w:rFonts w:ascii="Times New Roman" w:hAnsi="Times New Roman" w:cs="Times New Roman"/>
          <w:lang w:val="en-GB"/>
        </w:rPr>
        <w:t>2010</w:t>
      </w:r>
      <w:r w:rsidR="00D9096A">
        <w:rPr>
          <w:rFonts w:ascii="Times New Roman" w:hAnsi="Times New Roman" w:cs="Times New Roman"/>
          <w:lang w:val="en-GB"/>
        </w:rPr>
        <w:t xml:space="preserve">; Malhotra et </w:t>
      </w:r>
      <w:r w:rsidR="00F42F9D">
        <w:rPr>
          <w:rFonts w:ascii="Times New Roman" w:hAnsi="Times New Roman" w:cs="Times New Roman"/>
          <w:lang w:val="en-GB"/>
        </w:rPr>
        <w:t xml:space="preserve">al., </w:t>
      </w:r>
      <w:r w:rsidR="00D9096A">
        <w:rPr>
          <w:rFonts w:ascii="Times New Roman" w:hAnsi="Times New Roman" w:cs="Times New Roman"/>
          <w:lang w:val="en-GB"/>
        </w:rPr>
        <w:t>2016</w:t>
      </w:r>
      <w:r w:rsidR="00BD3CB4">
        <w:rPr>
          <w:rFonts w:ascii="Times New Roman" w:hAnsi="Times New Roman" w:cs="Times New Roman"/>
          <w:lang w:val="en-GB"/>
        </w:rPr>
        <w:t>)</w:t>
      </w:r>
      <w:r w:rsidR="0021194C">
        <w:rPr>
          <w:rFonts w:ascii="Times New Roman" w:hAnsi="Times New Roman" w:cs="Times New Roman"/>
          <w:lang w:val="en-GB"/>
        </w:rPr>
        <w:t>, a practice that is mostly aimed at retaining top talents by offering them a</w:t>
      </w:r>
      <w:r w:rsidR="00883316">
        <w:rPr>
          <w:rFonts w:ascii="Times New Roman" w:hAnsi="Times New Roman" w:cs="Times New Roman"/>
          <w:lang w:val="en-GB"/>
        </w:rPr>
        <w:t xml:space="preserve">n </w:t>
      </w:r>
      <w:r w:rsidR="00F42F9D">
        <w:rPr>
          <w:rFonts w:ascii="Times New Roman" w:hAnsi="Times New Roman" w:cs="Times New Roman"/>
          <w:lang w:val="en-GB"/>
        </w:rPr>
        <w:t xml:space="preserve">alternative </w:t>
      </w:r>
      <w:r w:rsidR="0002306E">
        <w:rPr>
          <w:rFonts w:ascii="Times New Roman" w:hAnsi="Times New Roman" w:cs="Times New Roman"/>
          <w:lang w:val="en-GB"/>
        </w:rPr>
        <w:t>career path</w:t>
      </w:r>
      <w:r w:rsidR="000C248A">
        <w:rPr>
          <w:rFonts w:ascii="Times New Roman" w:hAnsi="Times New Roman" w:cs="Times New Roman"/>
          <w:lang w:val="en-GB"/>
        </w:rPr>
        <w:t xml:space="preserve"> to equity partnership</w:t>
      </w:r>
      <w:r w:rsidR="00BD3CB4">
        <w:rPr>
          <w:rFonts w:ascii="Times New Roman" w:hAnsi="Times New Roman" w:cs="Times New Roman"/>
          <w:lang w:val="en-GB"/>
        </w:rPr>
        <w:t>.</w:t>
      </w:r>
      <w:r w:rsidR="003C71B5">
        <w:rPr>
          <w:rFonts w:ascii="Times New Roman" w:hAnsi="Times New Roman" w:cs="Times New Roman"/>
          <w:lang w:val="en-GB"/>
        </w:rPr>
        <w:t xml:space="preserve"> Such practice offers a number of strategic and instrumental advantages to the firms adopting </w:t>
      </w:r>
      <w:r w:rsidR="000C248A">
        <w:rPr>
          <w:rFonts w:ascii="Times New Roman" w:hAnsi="Times New Roman" w:cs="Times New Roman"/>
          <w:lang w:val="en-GB"/>
        </w:rPr>
        <w:t xml:space="preserve">it </w:t>
      </w:r>
      <w:r w:rsidR="00F7018F">
        <w:rPr>
          <w:rFonts w:ascii="Times New Roman" w:hAnsi="Times New Roman" w:cs="Times New Roman"/>
          <w:lang w:val="en-GB"/>
        </w:rPr>
        <w:t>by allowing them</w:t>
      </w:r>
      <w:r w:rsidR="00F7018F" w:rsidRPr="00F7018F">
        <w:rPr>
          <w:rFonts w:ascii="Times New Roman" w:hAnsi="Times New Roman" w:cs="Times New Roman"/>
          <w:lang w:val="en-GB"/>
        </w:rPr>
        <w:t xml:space="preserve"> to incre</w:t>
      </w:r>
      <w:r w:rsidR="00F7018F">
        <w:rPr>
          <w:rFonts w:ascii="Times New Roman" w:hAnsi="Times New Roman" w:cs="Times New Roman"/>
          <w:lang w:val="en-GB"/>
        </w:rPr>
        <w:t xml:space="preserve">ase leverage and often profits. Law firms </w:t>
      </w:r>
      <w:r w:rsidR="00D15065">
        <w:rPr>
          <w:rFonts w:ascii="Times New Roman" w:hAnsi="Times New Roman" w:cs="Times New Roman"/>
          <w:lang w:val="en-GB"/>
        </w:rPr>
        <w:t xml:space="preserve">can </w:t>
      </w:r>
      <w:r w:rsidR="00F7018F">
        <w:rPr>
          <w:rFonts w:ascii="Times New Roman" w:hAnsi="Times New Roman" w:cs="Times New Roman"/>
          <w:lang w:val="en-GB"/>
        </w:rPr>
        <w:t>also frame the practice as fitting</w:t>
      </w:r>
      <w:r w:rsidR="00F7018F" w:rsidRPr="00F7018F">
        <w:rPr>
          <w:rFonts w:ascii="Times New Roman" w:hAnsi="Times New Roman" w:cs="Times New Roman"/>
          <w:lang w:val="en-GB"/>
        </w:rPr>
        <w:t xml:space="preserve"> with different life choices</w:t>
      </w:r>
      <w:r w:rsidR="00F7018F">
        <w:rPr>
          <w:rFonts w:ascii="Times New Roman" w:hAnsi="Times New Roman" w:cs="Times New Roman"/>
          <w:lang w:val="en-GB"/>
        </w:rPr>
        <w:t>.</w:t>
      </w:r>
      <w:r w:rsidR="007806A7">
        <w:rPr>
          <w:rFonts w:ascii="Times New Roman" w:hAnsi="Times New Roman" w:cs="Times New Roman"/>
          <w:lang w:val="en-GB"/>
        </w:rPr>
        <w:t xml:space="preserve"> </w:t>
      </w:r>
      <w:r w:rsidR="000B2F72">
        <w:rPr>
          <w:rFonts w:ascii="Times New Roman" w:hAnsi="Times New Roman" w:cs="Times New Roman"/>
          <w:lang w:val="en-GB"/>
        </w:rPr>
        <w:t>In this sense, the new practice is accepted and spreading</w:t>
      </w:r>
      <w:r w:rsidR="00934750">
        <w:rPr>
          <w:rFonts w:ascii="Times New Roman" w:hAnsi="Times New Roman" w:cs="Times New Roman"/>
          <w:lang w:val="en-GB"/>
        </w:rPr>
        <w:t xml:space="preserve"> (Colyvs &amp; Jon</w:t>
      </w:r>
      <w:r w:rsidR="00BB43A9">
        <w:rPr>
          <w:rFonts w:ascii="Times New Roman" w:hAnsi="Times New Roman" w:cs="Times New Roman"/>
          <w:lang w:val="en-GB"/>
        </w:rPr>
        <w:t>nsson, 2011)</w:t>
      </w:r>
      <w:r w:rsidR="003460C6">
        <w:rPr>
          <w:rFonts w:ascii="Times New Roman" w:hAnsi="Times New Roman" w:cs="Times New Roman"/>
          <w:lang w:val="en-GB"/>
        </w:rPr>
        <w:t xml:space="preserve"> thus signalling not only institutionalization</w:t>
      </w:r>
      <w:r w:rsidR="00D15065">
        <w:rPr>
          <w:rFonts w:ascii="Times New Roman" w:hAnsi="Times New Roman" w:cs="Times New Roman"/>
          <w:lang w:val="en-GB"/>
        </w:rPr>
        <w:t xml:space="preserve">, </w:t>
      </w:r>
      <w:r w:rsidR="003460C6">
        <w:rPr>
          <w:rFonts w:ascii="Times New Roman" w:hAnsi="Times New Roman" w:cs="Times New Roman"/>
          <w:lang w:val="en-GB"/>
        </w:rPr>
        <w:t xml:space="preserve">but </w:t>
      </w:r>
      <w:r w:rsidR="00D15065">
        <w:rPr>
          <w:rFonts w:ascii="Times New Roman" w:hAnsi="Times New Roman" w:cs="Times New Roman"/>
          <w:lang w:val="en-GB"/>
        </w:rPr>
        <w:t xml:space="preserve">also </w:t>
      </w:r>
      <w:r w:rsidR="003460C6">
        <w:rPr>
          <w:rFonts w:ascii="Times New Roman" w:hAnsi="Times New Roman" w:cs="Times New Roman"/>
          <w:lang w:val="en-GB"/>
        </w:rPr>
        <w:t xml:space="preserve">diffusion, through its adoption. </w:t>
      </w:r>
      <w:r w:rsidR="00D15065">
        <w:rPr>
          <w:rFonts w:ascii="Times New Roman" w:hAnsi="Times New Roman" w:cs="Times New Roman"/>
          <w:lang w:val="en-GB"/>
        </w:rPr>
        <w:t>T</w:t>
      </w:r>
      <w:r w:rsidR="0002306E">
        <w:rPr>
          <w:rFonts w:ascii="Times New Roman" w:hAnsi="Times New Roman" w:cs="Times New Roman"/>
          <w:lang w:val="en-GB"/>
        </w:rPr>
        <w:t xml:space="preserve">he rise of </w:t>
      </w:r>
      <w:r w:rsidR="00FF37E9">
        <w:rPr>
          <w:rFonts w:ascii="Times New Roman" w:hAnsi="Times New Roman" w:cs="Times New Roman"/>
          <w:lang w:val="en-GB"/>
        </w:rPr>
        <w:t xml:space="preserve">the </w:t>
      </w:r>
      <w:r w:rsidR="0002306E">
        <w:rPr>
          <w:rFonts w:ascii="Times New Roman" w:hAnsi="Times New Roman" w:cs="Times New Roman"/>
          <w:lang w:val="en-GB"/>
        </w:rPr>
        <w:t>non-</w:t>
      </w:r>
      <w:r w:rsidR="00FF37E9">
        <w:rPr>
          <w:rFonts w:ascii="Times New Roman" w:hAnsi="Times New Roman" w:cs="Times New Roman"/>
          <w:lang w:val="en-GB"/>
        </w:rPr>
        <w:t>equity partnership is</w:t>
      </w:r>
      <w:r w:rsidR="0002306E">
        <w:rPr>
          <w:rFonts w:ascii="Times New Roman" w:hAnsi="Times New Roman" w:cs="Times New Roman"/>
          <w:lang w:val="en-GB"/>
        </w:rPr>
        <w:t xml:space="preserve"> concurrent with a reduced proportion of equity partners because the two are mutually exclusive</w:t>
      </w:r>
      <w:r w:rsidR="00FF37E9">
        <w:rPr>
          <w:rFonts w:ascii="Times New Roman" w:hAnsi="Times New Roman" w:cs="Times New Roman"/>
          <w:lang w:val="en-GB"/>
        </w:rPr>
        <w:t>.</w:t>
      </w:r>
      <w:r w:rsidR="0002306E">
        <w:rPr>
          <w:rFonts w:ascii="Times New Roman" w:hAnsi="Times New Roman" w:cs="Times New Roman"/>
          <w:lang w:val="en-GB"/>
        </w:rPr>
        <w:t xml:space="preserve"> Our Figure 1 shows how </w:t>
      </w:r>
      <w:r w:rsidR="008213A8">
        <w:rPr>
          <w:rFonts w:ascii="Times New Roman" w:hAnsi="Times New Roman" w:cs="Times New Roman"/>
          <w:lang w:val="en-GB"/>
        </w:rPr>
        <w:t xml:space="preserve">the percentage of non-equity </w:t>
      </w:r>
      <w:r w:rsidR="00AD00E6">
        <w:rPr>
          <w:rFonts w:ascii="Times New Roman" w:hAnsi="Times New Roman" w:cs="Times New Roman"/>
          <w:lang w:val="en-GB"/>
        </w:rPr>
        <w:t>partners on the total number of partners</w:t>
      </w:r>
      <w:r w:rsidR="008213A8">
        <w:rPr>
          <w:rFonts w:ascii="Times New Roman" w:hAnsi="Times New Roman" w:cs="Times New Roman"/>
          <w:lang w:val="en-GB"/>
        </w:rPr>
        <w:t xml:space="preserve"> in the Top 100 law firms</w:t>
      </w:r>
      <w:r w:rsidR="00AD00E6">
        <w:rPr>
          <w:rFonts w:ascii="Times New Roman" w:hAnsi="Times New Roman" w:cs="Times New Roman"/>
          <w:lang w:val="en-GB"/>
        </w:rPr>
        <w:t xml:space="preserve"> in the UK</w:t>
      </w:r>
      <w:r w:rsidR="008213A8">
        <w:rPr>
          <w:rFonts w:ascii="Times New Roman" w:hAnsi="Times New Roman" w:cs="Times New Roman"/>
          <w:lang w:val="en-GB"/>
        </w:rPr>
        <w:t xml:space="preserve"> rose from 35% to 50%.</w:t>
      </w:r>
    </w:p>
    <w:p w14:paraId="68A8C4D5" w14:textId="78C7804D" w:rsidR="008213A8" w:rsidRPr="00521186" w:rsidRDefault="00A04066" w:rsidP="00521186">
      <w:pPr>
        <w:spacing w:line="480" w:lineRule="auto"/>
        <w:jc w:val="center"/>
        <w:rPr>
          <w:rFonts w:ascii="Times New Roman" w:hAnsi="Times New Roman" w:cs="Times New Roman"/>
          <w:i/>
          <w:lang w:val="en-GB"/>
        </w:rPr>
      </w:pPr>
      <w:r w:rsidRPr="00521186">
        <w:rPr>
          <w:rFonts w:ascii="Times New Roman" w:hAnsi="Times New Roman" w:cs="Times New Roman"/>
          <w:i/>
          <w:lang w:val="en-GB"/>
        </w:rPr>
        <w:t>Insert figure 1 about here</w:t>
      </w:r>
    </w:p>
    <w:p w14:paraId="35C5BF1D" w14:textId="381DC2B3" w:rsidR="007658F3" w:rsidRDefault="007658F3" w:rsidP="00C5577D">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We now turn towards </w:t>
      </w:r>
      <w:r w:rsidR="006048BA">
        <w:rPr>
          <w:rFonts w:ascii="Times New Roman" w:hAnsi="Times New Roman" w:cs="Times New Roman"/>
          <w:lang w:val="en-GB"/>
        </w:rPr>
        <w:t>looking at the different explanations for why specific organizations might start deviating from the norm</w:t>
      </w:r>
      <w:r w:rsidR="00CE7486">
        <w:rPr>
          <w:rFonts w:ascii="Times New Roman" w:hAnsi="Times New Roman" w:cs="Times New Roman"/>
          <w:lang w:val="en-GB"/>
        </w:rPr>
        <w:t xml:space="preserve"> of equity partners</w:t>
      </w:r>
      <w:r w:rsidR="00A467FD">
        <w:rPr>
          <w:rFonts w:ascii="Times New Roman" w:hAnsi="Times New Roman" w:cs="Times New Roman"/>
          <w:lang w:val="en-GB"/>
        </w:rPr>
        <w:t>hip</w:t>
      </w:r>
      <w:r w:rsidR="000C248A">
        <w:rPr>
          <w:rFonts w:ascii="Times New Roman" w:hAnsi="Times New Roman" w:cs="Times New Roman"/>
          <w:lang w:val="en-GB"/>
        </w:rPr>
        <w:t xml:space="preserve"> and adopt non-equity partnership</w:t>
      </w:r>
      <w:r w:rsidR="00621D92">
        <w:rPr>
          <w:rFonts w:ascii="Times New Roman" w:hAnsi="Times New Roman" w:cs="Times New Roman"/>
          <w:lang w:val="en-GB"/>
        </w:rPr>
        <w:t xml:space="preserve">, seeing how different levels of analysis might be connected in triggering </w:t>
      </w:r>
      <w:r w:rsidR="000C248A">
        <w:rPr>
          <w:rFonts w:ascii="Times New Roman" w:hAnsi="Times New Roman" w:cs="Times New Roman"/>
          <w:lang w:val="en-GB"/>
        </w:rPr>
        <w:t>institutional change.</w:t>
      </w:r>
      <w:r w:rsidR="00621D92" w:rsidRPr="000C248A">
        <w:rPr>
          <w:rFonts w:ascii="Times New Roman" w:hAnsi="Times New Roman" w:cs="Times New Roman"/>
          <w:lang w:val="en-GB"/>
        </w:rPr>
        <w:t>.</w:t>
      </w:r>
    </w:p>
    <w:p w14:paraId="11DBBDC7" w14:textId="77777777" w:rsidR="00621D92" w:rsidRDefault="00621D92" w:rsidP="00621D92">
      <w:pPr>
        <w:spacing w:line="480" w:lineRule="auto"/>
        <w:jc w:val="both"/>
        <w:rPr>
          <w:rFonts w:ascii="Times New Roman" w:hAnsi="Times New Roman" w:cs="Times New Roman"/>
          <w:lang w:val="en-GB"/>
        </w:rPr>
      </w:pPr>
    </w:p>
    <w:p w14:paraId="102E01EB" w14:textId="72CB7B1C" w:rsidR="00621D92" w:rsidRDefault="00AA5B7C" w:rsidP="00621D92">
      <w:pPr>
        <w:spacing w:line="480" w:lineRule="auto"/>
        <w:jc w:val="both"/>
        <w:rPr>
          <w:rFonts w:ascii="Times New Roman" w:hAnsi="Times New Roman" w:cs="Times New Roman"/>
          <w:b/>
          <w:lang w:val="en-GB"/>
        </w:rPr>
      </w:pPr>
      <w:r>
        <w:rPr>
          <w:rFonts w:ascii="Times New Roman" w:hAnsi="Times New Roman" w:cs="Times New Roman"/>
          <w:b/>
          <w:lang w:val="en-GB"/>
        </w:rPr>
        <w:t xml:space="preserve"> Individual and organizational characteristics and institutional change</w:t>
      </w:r>
    </w:p>
    <w:p w14:paraId="0F93B137" w14:textId="5C3AF890" w:rsidR="00207913" w:rsidRDefault="008A42CD" w:rsidP="00621D92">
      <w:pPr>
        <w:spacing w:line="480" w:lineRule="auto"/>
        <w:jc w:val="both"/>
        <w:rPr>
          <w:rFonts w:ascii="Times New Roman" w:hAnsi="Times New Roman" w:cs="Times New Roman"/>
          <w:lang w:val="en-GB"/>
        </w:rPr>
      </w:pPr>
      <w:r>
        <w:rPr>
          <w:rFonts w:ascii="Times New Roman" w:hAnsi="Times New Roman" w:cs="Times New Roman"/>
          <w:lang w:val="en-GB"/>
        </w:rPr>
        <w:t xml:space="preserve">As stressed in our </w:t>
      </w:r>
      <w:r w:rsidR="00161C08">
        <w:rPr>
          <w:rFonts w:ascii="Times New Roman" w:hAnsi="Times New Roman" w:cs="Times New Roman"/>
          <w:lang w:val="en-GB"/>
        </w:rPr>
        <w:t>theory section</w:t>
      </w:r>
      <w:r>
        <w:rPr>
          <w:rFonts w:ascii="Times New Roman" w:hAnsi="Times New Roman" w:cs="Times New Roman"/>
          <w:lang w:val="en-GB"/>
        </w:rPr>
        <w:t>, individual</w:t>
      </w:r>
      <w:r w:rsidR="002E4558">
        <w:rPr>
          <w:rFonts w:ascii="Times New Roman" w:hAnsi="Times New Roman" w:cs="Times New Roman"/>
          <w:lang w:val="en-GB"/>
        </w:rPr>
        <w:t>-</w:t>
      </w:r>
      <w:r>
        <w:rPr>
          <w:rFonts w:ascii="Times New Roman" w:hAnsi="Times New Roman" w:cs="Times New Roman"/>
          <w:lang w:val="en-GB"/>
        </w:rPr>
        <w:t xml:space="preserve"> and organizational</w:t>
      </w:r>
      <w:r w:rsidR="002E4558">
        <w:rPr>
          <w:rFonts w:ascii="Times New Roman" w:hAnsi="Times New Roman" w:cs="Times New Roman"/>
          <w:lang w:val="en-GB"/>
        </w:rPr>
        <w:t>-</w:t>
      </w:r>
      <w:r>
        <w:rPr>
          <w:rFonts w:ascii="Times New Roman" w:hAnsi="Times New Roman" w:cs="Times New Roman"/>
          <w:lang w:val="en-GB"/>
        </w:rPr>
        <w:t xml:space="preserve"> level</w:t>
      </w:r>
      <w:r w:rsidR="002E4558">
        <w:rPr>
          <w:rFonts w:ascii="Times New Roman" w:hAnsi="Times New Roman" w:cs="Times New Roman"/>
          <w:lang w:val="en-GB"/>
        </w:rPr>
        <w:t>s</w:t>
      </w:r>
      <w:r>
        <w:rPr>
          <w:rFonts w:ascii="Times New Roman" w:hAnsi="Times New Roman" w:cs="Times New Roman"/>
          <w:lang w:val="en-GB"/>
        </w:rPr>
        <w:t xml:space="preserve"> of analysis are deeply </w:t>
      </w:r>
      <w:r w:rsidR="00005AB6">
        <w:rPr>
          <w:rFonts w:ascii="Times New Roman" w:hAnsi="Times New Roman" w:cs="Times New Roman"/>
          <w:lang w:val="en-GB"/>
        </w:rPr>
        <w:t>interrelated</w:t>
      </w:r>
      <w:r>
        <w:rPr>
          <w:rFonts w:ascii="Times New Roman" w:hAnsi="Times New Roman" w:cs="Times New Roman"/>
          <w:lang w:val="en-GB"/>
        </w:rPr>
        <w:t>.</w:t>
      </w:r>
      <w:r w:rsidR="00134457">
        <w:rPr>
          <w:rFonts w:ascii="Times New Roman" w:hAnsi="Times New Roman" w:cs="Times New Roman"/>
          <w:lang w:val="en-GB"/>
        </w:rPr>
        <w:t xml:space="preserve"> The population of an organization</w:t>
      </w:r>
      <w:r w:rsidR="00066C16">
        <w:rPr>
          <w:rFonts w:ascii="Times New Roman" w:hAnsi="Times New Roman" w:cs="Times New Roman"/>
          <w:lang w:val="en-GB"/>
        </w:rPr>
        <w:t xml:space="preserve"> will necessarily </w:t>
      </w:r>
      <w:r w:rsidR="00E60770">
        <w:rPr>
          <w:rFonts w:ascii="Times New Roman" w:hAnsi="Times New Roman" w:cs="Times New Roman"/>
          <w:lang w:val="en-GB"/>
        </w:rPr>
        <w:t>affect</w:t>
      </w:r>
      <w:r w:rsidR="00066C16">
        <w:rPr>
          <w:rFonts w:ascii="Times New Roman" w:hAnsi="Times New Roman" w:cs="Times New Roman"/>
          <w:lang w:val="en-GB"/>
        </w:rPr>
        <w:t xml:space="preserve"> its behavio</w:t>
      </w:r>
      <w:r w:rsidR="002E4558">
        <w:rPr>
          <w:rFonts w:ascii="Times New Roman" w:hAnsi="Times New Roman" w:cs="Times New Roman"/>
          <w:lang w:val="en-GB"/>
        </w:rPr>
        <w:t>u</w:t>
      </w:r>
      <w:r w:rsidR="00066C16">
        <w:rPr>
          <w:rFonts w:ascii="Times New Roman" w:hAnsi="Times New Roman" w:cs="Times New Roman"/>
          <w:lang w:val="en-GB"/>
        </w:rPr>
        <w:t xml:space="preserve">r </w:t>
      </w:r>
      <w:r w:rsidR="008959BA">
        <w:rPr>
          <w:rFonts w:ascii="Times New Roman" w:hAnsi="Times New Roman" w:cs="Times New Roman"/>
          <w:lang w:val="en-GB"/>
        </w:rPr>
        <w:t xml:space="preserve">(Felin et al., </w:t>
      </w:r>
      <w:r w:rsidR="00161C08">
        <w:rPr>
          <w:rFonts w:ascii="Times New Roman" w:hAnsi="Times New Roman" w:cs="Times New Roman"/>
          <w:lang w:val="en-GB"/>
        </w:rPr>
        <w:t xml:space="preserve">2015), and, </w:t>
      </w:r>
      <w:r w:rsidR="00EE612A">
        <w:rPr>
          <w:rFonts w:ascii="Times New Roman" w:hAnsi="Times New Roman" w:cs="Times New Roman"/>
          <w:lang w:val="en-GB"/>
        </w:rPr>
        <w:t>as individual-</w:t>
      </w:r>
      <w:r w:rsidR="004A049A">
        <w:rPr>
          <w:rFonts w:ascii="Times New Roman" w:hAnsi="Times New Roman" w:cs="Times New Roman"/>
          <w:lang w:val="en-GB"/>
        </w:rPr>
        <w:t>level behavio</w:t>
      </w:r>
      <w:r w:rsidR="002E4558">
        <w:rPr>
          <w:rFonts w:ascii="Times New Roman" w:hAnsi="Times New Roman" w:cs="Times New Roman"/>
          <w:lang w:val="en-GB"/>
        </w:rPr>
        <w:t>u</w:t>
      </w:r>
      <w:r w:rsidR="004A049A">
        <w:rPr>
          <w:rFonts w:ascii="Times New Roman" w:hAnsi="Times New Roman" w:cs="Times New Roman"/>
          <w:lang w:val="en-GB"/>
        </w:rPr>
        <w:t>r</w:t>
      </w:r>
      <w:r w:rsidR="00005AB6">
        <w:rPr>
          <w:rFonts w:ascii="Times New Roman" w:hAnsi="Times New Roman" w:cs="Times New Roman"/>
          <w:lang w:val="en-GB"/>
        </w:rPr>
        <w:t>s</w:t>
      </w:r>
      <w:r w:rsidR="004A049A">
        <w:rPr>
          <w:rFonts w:ascii="Times New Roman" w:hAnsi="Times New Roman" w:cs="Times New Roman"/>
          <w:lang w:val="en-GB"/>
        </w:rPr>
        <w:t xml:space="preserve"> aggregate</w:t>
      </w:r>
      <w:r w:rsidR="007A336F">
        <w:rPr>
          <w:rFonts w:ascii="Times New Roman" w:hAnsi="Times New Roman" w:cs="Times New Roman"/>
          <w:lang w:val="en-GB"/>
        </w:rPr>
        <w:t>, a critical mass</w:t>
      </w:r>
      <w:r w:rsidR="00815952">
        <w:rPr>
          <w:rFonts w:ascii="Times New Roman" w:hAnsi="Times New Roman" w:cs="Times New Roman"/>
          <w:lang w:val="en-GB"/>
        </w:rPr>
        <w:t xml:space="preserve"> of similarly minded individuals</w:t>
      </w:r>
      <w:r w:rsidR="007A336F">
        <w:rPr>
          <w:rFonts w:ascii="Times New Roman" w:hAnsi="Times New Roman" w:cs="Times New Roman"/>
          <w:lang w:val="en-GB"/>
        </w:rPr>
        <w:t xml:space="preserve"> can orient organizational decisions.</w:t>
      </w:r>
      <w:r w:rsidR="00447547">
        <w:rPr>
          <w:rFonts w:ascii="Times New Roman" w:hAnsi="Times New Roman" w:cs="Times New Roman"/>
          <w:lang w:val="en-GB"/>
        </w:rPr>
        <w:t xml:space="preserve"> In our case, the partners are the one</w:t>
      </w:r>
      <w:r w:rsidR="00161C08">
        <w:rPr>
          <w:rFonts w:ascii="Times New Roman" w:hAnsi="Times New Roman" w:cs="Times New Roman"/>
          <w:lang w:val="en-GB"/>
        </w:rPr>
        <w:t>s</w:t>
      </w:r>
      <w:r w:rsidR="00447547">
        <w:rPr>
          <w:rFonts w:ascii="Times New Roman" w:hAnsi="Times New Roman" w:cs="Times New Roman"/>
          <w:lang w:val="en-GB"/>
        </w:rPr>
        <w:t xml:space="preserve"> that have been cons</w:t>
      </w:r>
      <w:r w:rsidR="00815952">
        <w:rPr>
          <w:rFonts w:ascii="Times New Roman" w:hAnsi="Times New Roman" w:cs="Times New Roman"/>
          <w:lang w:val="en-GB"/>
        </w:rPr>
        <w:t xml:space="preserve">ecrated by the </w:t>
      </w:r>
      <w:r w:rsidR="00755A03">
        <w:rPr>
          <w:rFonts w:ascii="Times New Roman" w:hAnsi="Times New Roman" w:cs="Times New Roman"/>
          <w:lang w:val="en-GB"/>
        </w:rPr>
        <w:t>institution</w:t>
      </w:r>
      <w:r w:rsidR="00815952">
        <w:rPr>
          <w:rFonts w:ascii="Times New Roman" w:hAnsi="Times New Roman" w:cs="Times New Roman"/>
          <w:lang w:val="en-GB"/>
        </w:rPr>
        <w:t>, and they also happen to have significant decisional power.</w:t>
      </w:r>
    </w:p>
    <w:p w14:paraId="5D5E8CAB" w14:textId="77777777" w:rsidR="0056195E" w:rsidRDefault="0056195E" w:rsidP="00621D92">
      <w:pPr>
        <w:spacing w:line="480" w:lineRule="auto"/>
        <w:jc w:val="both"/>
        <w:rPr>
          <w:rFonts w:ascii="Times New Roman" w:hAnsi="Times New Roman" w:cs="Times New Roman"/>
          <w:lang w:val="en-GB"/>
        </w:rPr>
      </w:pPr>
    </w:p>
    <w:p w14:paraId="030A662C" w14:textId="16F268AA" w:rsidR="0077042A" w:rsidRDefault="0077042A" w:rsidP="007C157A">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Some determinants of </w:t>
      </w:r>
      <w:r w:rsidR="00B8379F">
        <w:rPr>
          <w:rFonts w:ascii="Times New Roman" w:hAnsi="Times New Roman" w:cs="Times New Roman"/>
          <w:lang w:val="en-GB"/>
        </w:rPr>
        <w:t xml:space="preserve">institutional change </w:t>
      </w:r>
      <w:r>
        <w:rPr>
          <w:rFonts w:ascii="Times New Roman" w:hAnsi="Times New Roman" w:cs="Times New Roman"/>
          <w:lang w:val="en-GB"/>
        </w:rPr>
        <w:t>are expected to be distinct from and</w:t>
      </w:r>
      <w:r w:rsidR="00EC0B23">
        <w:rPr>
          <w:rFonts w:ascii="Times New Roman" w:hAnsi="Times New Roman" w:cs="Times New Roman"/>
          <w:lang w:val="en-GB"/>
        </w:rPr>
        <w:t xml:space="preserve">, at least to some extent, </w:t>
      </w:r>
      <w:r>
        <w:rPr>
          <w:rFonts w:ascii="Times New Roman" w:hAnsi="Times New Roman" w:cs="Times New Roman"/>
          <w:lang w:val="en-GB"/>
        </w:rPr>
        <w:t xml:space="preserve">unrelated to the population within the organization. One important predictor of the career structure and opportunities in law firm is profitability, considering that equity partnership is aimed at sharing this profitability with an increasing number of individuals (Malhotra et al., 2010). We could expect that </w:t>
      </w:r>
      <w:r w:rsidR="00B2294A">
        <w:rPr>
          <w:rFonts w:ascii="Times New Roman" w:hAnsi="Times New Roman" w:cs="Times New Roman"/>
          <w:lang w:val="en-GB"/>
        </w:rPr>
        <w:t xml:space="preserve">equity partners in </w:t>
      </w:r>
      <w:r>
        <w:rPr>
          <w:rFonts w:ascii="Times New Roman" w:hAnsi="Times New Roman" w:cs="Times New Roman"/>
          <w:lang w:val="en-GB"/>
        </w:rPr>
        <w:t xml:space="preserve">profitable firms </w:t>
      </w:r>
      <w:r w:rsidR="00B2294A">
        <w:rPr>
          <w:rFonts w:ascii="Times New Roman" w:hAnsi="Times New Roman" w:cs="Times New Roman"/>
          <w:lang w:val="en-GB"/>
        </w:rPr>
        <w:t xml:space="preserve">may </w:t>
      </w:r>
      <w:r>
        <w:rPr>
          <w:rFonts w:ascii="Times New Roman" w:hAnsi="Times New Roman" w:cs="Times New Roman"/>
          <w:lang w:val="en-GB"/>
        </w:rPr>
        <w:t xml:space="preserve">want to avoid sharing the profit and </w:t>
      </w:r>
      <w:r w:rsidR="00B2294A">
        <w:rPr>
          <w:rFonts w:ascii="Times New Roman" w:hAnsi="Times New Roman" w:cs="Times New Roman"/>
          <w:lang w:val="en-GB"/>
        </w:rPr>
        <w:t xml:space="preserve">that profitable firms may </w:t>
      </w:r>
      <w:r>
        <w:rPr>
          <w:rFonts w:ascii="Times New Roman" w:hAnsi="Times New Roman" w:cs="Times New Roman"/>
          <w:lang w:val="en-GB"/>
        </w:rPr>
        <w:t xml:space="preserve">thus be more likely to abandon a practice that dilutes </w:t>
      </w:r>
      <w:r w:rsidR="00B2294A">
        <w:rPr>
          <w:rFonts w:ascii="Times New Roman" w:hAnsi="Times New Roman" w:cs="Times New Roman"/>
          <w:lang w:val="en-GB"/>
        </w:rPr>
        <w:t>profit.</w:t>
      </w:r>
      <w:r>
        <w:rPr>
          <w:rFonts w:ascii="Times New Roman" w:hAnsi="Times New Roman" w:cs="Times New Roman"/>
          <w:lang w:val="en-GB"/>
        </w:rPr>
        <w:t xml:space="preserve"> Thus</w:t>
      </w:r>
      <w:r w:rsidR="00EC0B23">
        <w:rPr>
          <w:rFonts w:ascii="Times New Roman" w:hAnsi="Times New Roman" w:cs="Times New Roman"/>
          <w:lang w:val="en-GB"/>
        </w:rPr>
        <w:t>,</w:t>
      </w:r>
      <w:r>
        <w:rPr>
          <w:rFonts w:ascii="Times New Roman" w:hAnsi="Times New Roman" w:cs="Times New Roman"/>
          <w:lang w:val="en-GB"/>
        </w:rPr>
        <w:t xml:space="preserve"> we </w:t>
      </w:r>
      <w:r w:rsidR="00161C08">
        <w:rPr>
          <w:rFonts w:ascii="Times New Roman" w:hAnsi="Times New Roman" w:cs="Times New Roman"/>
          <w:lang w:val="en-GB"/>
        </w:rPr>
        <w:t>could</w:t>
      </w:r>
      <w:r>
        <w:rPr>
          <w:rFonts w:ascii="Times New Roman" w:hAnsi="Times New Roman" w:cs="Times New Roman"/>
          <w:lang w:val="en-GB"/>
        </w:rPr>
        <w:t xml:space="preserve"> expect that </w:t>
      </w:r>
      <w:r w:rsidR="008A5935">
        <w:rPr>
          <w:rFonts w:ascii="Times New Roman" w:hAnsi="Times New Roman" w:cs="Times New Roman"/>
          <w:lang w:val="en-GB"/>
        </w:rPr>
        <w:t xml:space="preserve">higher </w:t>
      </w:r>
      <w:r w:rsidRPr="007C157A">
        <w:rPr>
          <w:rFonts w:ascii="Times New Roman" w:hAnsi="Times New Roman" w:cs="Times New Roman"/>
          <w:b/>
          <w:i/>
          <w:lang w:val="en-GB"/>
        </w:rPr>
        <w:t>profitability per partner</w:t>
      </w:r>
      <w:r>
        <w:rPr>
          <w:rFonts w:ascii="Times New Roman" w:hAnsi="Times New Roman" w:cs="Times New Roman"/>
          <w:lang w:val="en-GB"/>
        </w:rPr>
        <w:t xml:space="preserve"> </w:t>
      </w:r>
      <w:r w:rsidRPr="00066C16">
        <w:rPr>
          <w:rFonts w:ascii="Times New Roman" w:hAnsi="Times New Roman" w:cs="Times New Roman"/>
          <w:lang w:val="en-GB"/>
        </w:rPr>
        <w:t>will make e firm</w:t>
      </w:r>
      <w:r w:rsidR="00B2294A">
        <w:rPr>
          <w:rFonts w:ascii="Times New Roman" w:hAnsi="Times New Roman" w:cs="Times New Roman"/>
          <w:lang w:val="en-GB"/>
        </w:rPr>
        <w:t>s</w:t>
      </w:r>
      <w:r w:rsidRPr="00066C16">
        <w:rPr>
          <w:rFonts w:ascii="Times New Roman" w:hAnsi="Times New Roman" w:cs="Times New Roman"/>
          <w:lang w:val="en-GB"/>
        </w:rPr>
        <w:t xml:space="preserve"> more likely to deviate from </w:t>
      </w:r>
      <w:r>
        <w:rPr>
          <w:rFonts w:ascii="Times New Roman" w:hAnsi="Times New Roman" w:cs="Times New Roman"/>
          <w:lang w:val="en-GB"/>
        </w:rPr>
        <w:t xml:space="preserve">the </w:t>
      </w:r>
      <w:r w:rsidR="00630DED">
        <w:rPr>
          <w:rFonts w:ascii="Times New Roman" w:hAnsi="Times New Roman" w:cs="Times New Roman"/>
          <w:lang w:val="en-GB"/>
        </w:rPr>
        <w:t xml:space="preserve">existing </w:t>
      </w:r>
      <w:r>
        <w:rPr>
          <w:rFonts w:ascii="Times New Roman" w:hAnsi="Times New Roman" w:cs="Times New Roman"/>
          <w:lang w:val="en-GB"/>
        </w:rPr>
        <w:t>practice</w:t>
      </w:r>
      <w:r w:rsidR="00630DED">
        <w:rPr>
          <w:rFonts w:ascii="Times New Roman" w:hAnsi="Times New Roman" w:cs="Times New Roman"/>
          <w:lang w:val="en-GB"/>
        </w:rPr>
        <w:t xml:space="preserve"> of </w:t>
      </w:r>
      <w:r w:rsidR="006A38F1">
        <w:rPr>
          <w:rFonts w:ascii="Times New Roman" w:hAnsi="Times New Roman" w:cs="Times New Roman"/>
          <w:lang w:val="en-GB"/>
        </w:rPr>
        <w:t>equity partnership</w:t>
      </w:r>
      <w:r w:rsidR="00321522">
        <w:rPr>
          <w:rFonts w:ascii="Times New Roman" w:hAnsi="Times New Roman" w:cs="Times New Roman"/>
          <w:lang w:val="en-GB"/>
        </w:rPr>
        <w:t xml:space="preserve">, </w:t>
      </w:r>
      <w:r w:rsidR="00A4107E">
        <w:rPr>
          <w:rFonts w:ascii="Times New Roman" w:hAnsi="Times New Roman" w:cs="Times New Roman"/>
          <w:lang w:val="en-GB"/>
        </w:rPr>
        <w:t xml:space="preserve">in order to avoid sharing profits. </w:t>
      </w:r>
      <w:r w:rsidR="00921496">
        <w:rPr>
          <w:rFonts w:ascii="Times New Roman" w:hAnsi="Times New Roman" w:cs="Times New Roman"/>
          <w:lang w:val="en-GB"/>
        </w:rPr>
        <w:t xml:space="preserve">, </w:t>
      </w:r>
      <w:r w:rsidR="00EC0B23">
        <w:rPr>
          <w:rFonts w:ascii="Times New Roman" w:hAnsi="Times New Roman" w:cs="Times New Roman"/>
          <w:lang w:val="en-GB"/>
        </w:rPr>
        <w:t xml:space="preserve">Profitable </w:t>
      </w:r>
      <w:r w:rsidR="00E56993">
        <w:rPr>
          <w:rFonts w:ascii="Times New Roman" w:hAnsi="Times New Roman" w:cs="Times New Roman"/>
          <w:lang w:val="en-GB"/>
        </w:rPr>
        <w:t xml:space="preserve">firms </w:t>
      </w:r>
      <w:r w:rsidR="00A4107E">
        <w:rPr>
          <w:rFonts w:ascii="Times New Roman" w:hAnsi="Times New Roman" w:cs="Times New Roman"/>
          <w:lang w:val="en-GB"/>
        </w:rPr>
        <w:t xml:space="preserve">may </w:t>
      </w:r>
      <w:r w:rsidR="00EC0B23">
        <w:rPr>
          <w:rFonts w:ascii="Times New Roman" w:hAnsi="Times New Roman" w:cs="Times New Roman"/>
          <w:lang w:val="en-GB"/>
        </w:rPr>
        <w:t xml:space="preserve">also </w:t>
      </w:r>
      <w:r w:rsidR="00E56993">
        <w:rPr>
          <w:rFonts w:ascii="Times New Roman" w:hAnsi="Times New Roman" w:cs="Times New Roman"/>
          <w:lang w:val="en-GB"/>
        </w:rPr>
        <w:t>have more room and leeway to be at the forefront of the deinstitutionalization process and thus innovate by adopting a new practice and abandoning the old one</w:t>
      </w:r>
      <w:r w:rsidR="00321522">
        <w:rPr>
          <w:rFonts w:ascii="Times New Roman" w:hAnsi="Times New Roman" w:cs="Times New Roman"/>
          <w:lang w:val="en-GB"/>
        </w:rPr>
        <w:t xml:space="preserve"> (Spreitzer &amp; Sonenshein, 2004)</w:t>
      </w:r>
      <w:r w:rsidR="00E56993">
        <w:rPr>
          <w:rFonts w:ascii="Times New Roman" w:hAnsi="Times New Roman" w:cs="Times New Roman"/>
          <w:lang w:val="en-GB"/>
        </w:rPr>
        <w:t xml:space="preserve">. </w:t>
      </w:r>
      <w:r w:rsidR="00C74579">
        <w:rPr>
          <w:rFonts w:ascii="Times New Roman" w:hAnsi="Times New Roman" w:cs="Times New Roman"/>
          <w:lang w:val="en-GB"/>
        </w:rPr>
        <w:t xml:space="preserve">Alternatively, one could argue that profitability may enable firms to stick to existing practices, and not experience the need to change practices for survival, thus conforming to dominant existing practices. When looking at non-profitable firms, these too may have incentives to adopt or non-adopt new practices. For example, non-profitable firms </w:t>
      </w:r>
      <w:r w:rsidR="00A36591">
        <w:rPr>
          <w:rFonts w:ascii="Times New Roman" w:hAnsi="Times New Roman" w:cs="Times New Roman"/>
          <w:lang w:val="en-GB"/>
        </w:rPr>
        <w:t>may adopt non-equity partnership in order to avoid sharing more what is already a low pool of profit</w:t>
      </w:r>
      <w:r w:rsidR="00C74579">
        <w:rPr>
          <w:rStyle w:val="FootnoteReference"/>
          <w:rFonts w:ascii="Times New Roman" w:hAnsi="Times New Roman" w:cs="Times New Roman"/>
          <w:lang w:val="en-GB"/>
        </w:rPr>
        <w:footnoteReference w:id="1"/>
      </w:r>
      <w:r w:rsidR="00A36591">
        <w:rPr>
          <w:rFonts w:ascii="Times New Roman" w:hAnsi="Times New Roman" w:cs="Times New Roman"/>
          <w:lang w:val="en-GB"/>
        </w:rPr>
        <w:t xml:space="preserve">. </w:t>
      </w:r>
      <w:r w:rsidR="0044511F">
        <w:rPr>
          <w:rFonts w:ascii="Times New Roman" w:hAnsi="Times New Roman" w:cs="Times New Roman"/>
          <w:lang w:val="en-GB"/>
        </w:rPr>
        <w:t>Campbell (2007)</w:t>
      </w:r>
      <w:r w:rsidR="00C74579">
        <w:rPr>
          <w:rFonts w:ascii="Times New Roman" w:hAnsi="Times New Roman" w:cs="Times New Roman"/>
          <w:lang w:val="en-GB"/>
        </w:rPr>
        <w:t xml:space="preserve"> however, </w:t>
      </w:r>
      <w:r w:rsidR="0044511F">
        <w:rPr>
          <w:rFonts w:ascii="Times New Roman" w:hAnsi="Times New Roman" w:cs="Times New Roman"/>
          <w:lang w:val="en-GB"/>
        </w:rPr>
        <w:t xml:space="preserve">argues that from an institutional perspective, firms with </w:t>
      </w:r>
      <w:r w:rsidR="00C74579">
        <w:rPr>
          <w:rFonts w:ascii="Times New Roman" w:hAnsi="Times New Roman" w:cs="Times New Roman"/>
          <w:lang w:val="en-GB"/>
        </w:rPr>
        <w:t>poor</w:t>
      </w:r>
      <w:r w:rsidR="0044511F">
        <w:rPr>
          <w:rFonts w:ascii="Times New Roman" w:hAnsi="Times New Roman" w:cs="Times New Roman"/>
          <w:lang w:val="en-GB"/>
        </w:rPr>
        <w:t xml:space="preserve"> profitability are unlikely to engage in new practices, because </w:t>
      </w:r>
      <w:r w:rsidR="00EC0B23">
        <w:rPr>
          <w:rFonts w:ascii="Times New Roman" w:hAnsi="Times New Roman" w:cs="Times New Roman"/>
          <w:lang w:val="en-GB"/>
        </w:rPr>
        <w:t xml:space="preserve">they lack </w:t>
      </w:r>
      <w:r w:rsidR="0044511F">
        <w:rPr>
          <w:rFonts w:ascii="Times New Roman" w:hAnsi="Times New Roman" w:cs="Times New Roman"/>
          <w:lang w:val="en-GB"/>
        </w:rPr>
        <w:t xml:space="preserve">slack resources. </w:t>
      </w:r>
      <w:r w:rsidR="006A38F1">
        <w:rPr>
          <w:rFonts w:ascii="Times New Roman" w:hAnsi="Times New Roman" w:cs="Times New Roman"/>
          <w:lang w:val="en-GB"/>
        </w:rPr>
        <w:t xml:space="preserve"> </w:t>
      </w:r>
      <w:r w:rsidR="008C6943">
        <w:rPr>
          <w:rFonts w:ascii="Times New Roman" w:hAnsi="Times New Roman" w:cs="Times New Roman"/>
          <w:lang w:val="en-GB"/>
        </w:rPr>
        <w:t>T</w:t>
      </w:r>
      <w:r w:rsidR="006A38F1">
        <w:rPr>
          <w:rFonts w:ascii="Times New Roman" w:hAnsi="Times New Roman" w:cs="Times New Roman"/>
          <w:lang w:val="en-GB"/>
        </w:rPr>
        <w:t>hus</w:t>
      </w:r>
      <w:r w:rsidR="008C6943">
        <w:rPr>
          <w:rFonts w:ascii="Times New Roman" w:hAnsi="Times New Roman" w:cs="Times New Roman"/>
          <w:lang w:val="en-GB"/>
        </w:rPr>
        <w:t xml:space="preserve">, we </w:t>
      </w:r>
      <w:r w:rsidR="006A38F1">
        <w:rPr>
          <w:rFonts w:ascii="Times New Roman" w:hAnsi="Times New Roman" w:cs="Times New Roman"/>
          <w:lang w:val="en-GB"/>
        </w:rPr>
        <w:t xml:space="preserve">see that there are theoretical arguments to link profitability and adoption of the new practice both positively and negatively and we </w:t>
      </w:r>
      <w:r w:rsidR="008C6943">
        <w:rPr>
          <w:rFonts w:ascii="Times New Roman" w:hAnsi="Times New Roman" w:cs="Times New Roman"/>
          <w:lang w:val="en-GB"/>
        </w:rPr>
        <w:t xml:space="preserve">thus </w:t>
      </w:r>
      <w:r w:rsidR="006A38F1">
        <w:rPr>
          <w:rFonts w:ascii="Times New Roman" w:hAnsi="Times New Roman" w:cs="Times New Roman"/>
          <w:lang w:val="en-GB"/>
        </w:rPr>
        <w:t>intend to test those two sets of competing mechanisms.</w:t>
      </w:r>
    </w:p>
    <w:p w14:paraId="790233C7" w14:textId="722C1586" w:rsidR="00BB4AB6" w:rsidRDefault="00BB4AB6" w:rsidP="007C157A">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1a</w:t>
      </w:r>
      <w:r>
        <w:rPr>
          <w:rFonts w:ascii="Times New Roman" w:hAnsi="Times New Roman" w:cs="Times New Roman"/>
          <w:lang w:val="en-GB"/>
        </w:rPr>
        <w:t xml:space="preserve">: Profitability per partner is positively associated with </w:t>
      </w:r>
      <w:r w:rsidR="00BD5DBC">
        <w:rPr>
          <w:rFonts w:ascii="Times New Roman" w:hAnsi="Times New Roman" w:cs="Times New Roman"/>
          <w:lang w:val="en-GB"/>
        </w:rPr>
        <w:t xml:space="preserve">the </w:t>
      </w:r>
      <w:r>
        <w:rPr>
          <w:rFonts w:ascii="Times New Roman" w:hAnsi="Times New Roman" w:cs="Times New Roman"/>
          <w:lang w:val="en-GB"/>
        </w:rPr>
        <w:t>adoption of non-equity partners</w:t>
      </w:r>
      <w:r w:rsidR="00F15ACE">
        <w:rPr>
          <w:rFonts w:ascii="Times New Roman" w:hAnsi="Times New Roman" w:cs="Times New Roman"/>
          <w:lang w:val="en-GB"/>
        </w:rPr>
        <w:t>hip</w:t>
      </w:r>
      <w:r>
        <w:rPr>
          <w:rFonts w:ascii="Times New Roman" w:hAnsi="Times New Roman" w:cs="Times New Roman"/>
          <w:lang w:val="en-GB"/>
        </w:rPr>
        <w:t>.</w:t>
      </w:r>
    </w:p>
    <w:p w14:paraId="7D016C2E" w14:textId="477BD4CE" w:rsidR="00603FDF" w:rsidRDefault="00603FDF" w:rsidP="00603FDF">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1b:</w:t>
      </w:r>
      <w:r>
        <w:rPr>
          <w:rFonts w:ascii="Times New Roman" w:hAnsi="Times New Roman" w:cs="Times New Roman"/>
          <w:lang w:val="en-GB"/>
        </w:rPr>
        <w:t xml:space="preserve"> Profitability per partner is negatively associated with </w:t>
      </w:r>
      <w:r w:rsidR="00BD5DBC">
        <w:rPr>
          <w:rFonts w:ascii="Times New Roman" w:hAnsi="Times New Roman" w:cs="Times New Roman"/>
          <w:lang w:val="en-GB"/>
        </w:rPr>
        <w:t xml:space="preserve">the </w:t>
      </w:r>
      <w:r>
        <w:rPr>
          <w:rFonts w:ascii="Times New Roman" w:hAnsi="Times New Roman" w:cs="Times New Roman"/>
          <w:lang w:val="en-GB"/>
        </w:rPr>
        <w:t>adoption of non-equity partners</w:t>
      </w:r>
      <w:r w:rsidR="00F15ACE">
        <w:rPr>
          <w:rFonts w:ascii="Times New Roman" w:hAnsi="Times New Roman" w:cs="Times New Roman"/>
          <w:lang w:val="en-GB"/>
        </w:rPr>
        <w:t>hip</w:t>
      </w:r>
      <w:r>
        <w:rPr>
          <w:rFonts w:ascii="Times New Roman" w:hAnsi="Times New Roman" w:cs="Times New Roman"/>
          <w:lang w:val="en-GB"/>
        </w:rPr>
        <w:t>.</w:t>
      </w:r>
    </w:p>
    <w:p w14:paraId="5973837B" w14:textId="77777777" w:rsidR="00EC0B23" w:rsidRDefault="00EC0B23" w:rsidP="00603FDF">
      <w:pPr>
        <w:spacing w:line="480" w:lineRule="auto"/>
        <w:ind w:firstLine="720"/>
        <w:jc w:val="both"/>
        <w:rPr>
          <w:rFonts w:ascii="Times New Roman" w:hAnsi="Times New Roman" w:cs="Times New Roman"/>
          <w:lang w:val="en-GB"/>
        </w:rPr>
      </w:pPr>
    </w:p>
    <w:p w14:paraId="1AF8F741" w14:textId="72A63A52" w:rsidR="006761F8" w:rsidRDefault="006761F8" w:rsidP="006761F8">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addition, we can expect </w:t>
      </w:r>
      <w:r w:rsidRPr="007C157A">
        <w:rPr>
          <w:rFonts w:ascii="Times New Roman" w:hAnsi="Times New Roman" w:cs="Times New Roman"/>
          <w:b/>
          <w:i/>
          <w:lang w:val="en-GB"/>
        </w:rPr>
        <w:t>compensation disparity</w:t>
      </w:r>
      <w:r>
        <w:rPr>
          <w:rFonts w:ascii="Times New Roman" w:hAnsi="Times New Roman" w:cs="Times New Roman"/>
          <w:lang w:val="en-GB"/>
        </w:rPr>
        <w:t xml:space="preserve"> to affect disengagement from equity partnerships. Wide inequalities in wages </w:t>
      </w:r>
      <w:r w:rsidR="005807B2">
        <w:rPr>
          <w:rFonts w:ascii="Times New Roman" w:hAnsi="Times New Roman" w:cs="Times New Roman"/>
          <w:lang w:val="en-GB"/>
        </w:rPr>
        <w:t>are often associated with</w:t>
      </w:r>
      <w:r>
        <w:rPr>
          <w:rFonts w:ascii="Times New Roman" w:hAnsi="Times New Roman" w:cs="Times New Roman"/>
          <w:lang w:val="en-GB"/>
        </w:rPr>
        <w:t xml:space="preserve"> inequalities in the status of employees</w:t>
      </w:r>
      <w:r w:rsidR="005807B2">
        <w:rPr>
          <w:rFonts w:ascii="Times New Roman" w:hAnsi="Times New Roman" w:cs="Times New Roman"/>
          <w:lang w:val="en-GB"/>
        </w:rPr>
        <w:t xml:space="preserve"> (Belliveau, et al.</w:t>
      </w:r>
      <w:r w:rsidR="00F87980">
        <w:rPr>
          <w:rFonts w:ascii="Times New Roman" w:hAnsi="Times New Roman" w:cs="Times New Roman"/>
          <w:lang w:val="en-GB"/>
        </w:rPr>
        <w:t xml:space="preserve">, </w:t>
      </w:r>
      <w:r w:rsidR="005807B2">
        <w:rPr>
          <w:rFonts w:ascii="Times New Roman" w:hAnsi="Times New Roman" w:cs="Times New Roman"/>
          <w:lang w:val="en-GB"/>
        </w:rPr>
        <w:t xml:space="preserve">1996). </w:t>
      </w:r>
      <w:r>
        <w:rPr>
          <w:rFonts w:ascii="Times New Roman" w:hAnsi="Times New Roman" w:cs="Times New Roman"/>
          <w:lang w:val="en-GB"/>
        </w:rPr>
        <w:t xml:space="preserve"> </w:t>
      </w:r>
      <w:r w:rsidR="00F87980">
        <w:rPr>
          <w:rFonts w:ascii="Times New Roman" w:hAnsi="Times New Roman" w:cs="Times New Roman"/>
          <w:lang w:val="en-GB"/>
        </w:rPr>
        <w:t xml:space="preserve">and with the fragmentation of </w:t>
      </w:r>
      <w:r w:rsidR="005807B2">
        <w:rPr>
          <w:rFonts w:ascii="Times New Roman" w:hAnsi="Times New Roman" w:cs="Times New Roman"/>
          <w:lang w:val="en-GB"/>
        </w:rPr>
        <w:t>the</w:t>
      </w:r>
      <w:r>
        <w:rPr>
          <w:rFonts w:ascii="Times New Roman" w:hAnsi="Times New Roman" w:cs="Times New Roman"/>
          <w:lang w:val="en-GB"/>
        </w:rPr>
        <w:t xml:space="preserve"> organizational population in subgroups</w:t>
      </w:r>
      <w:r w:rsidR="005807B2">
        <w:rPr>
          <w:rFonts w:ascii="Times New Roman" w:hAnsi="Times New Roman" w:cs="Times New Roman"/>
          <w:lang w:val="en-GB"/>
        </w:rPr>
        <w:t xml:space="preserve"> of different salaries</w:t>
      </w:r>
      <w:r w:rsidR="00F87980">
        <w:rPr>
          <w:rFonts w:ascii="Times New Roman" w:hAnsi="Times New Roman" w:cs="Times New Roman"/>
          <w:lang w:val="en-GB"/>
        </w:rPr>
        <w:t xml:space="preserve">. </w:t>
      </w:r>
      <w:r w:rsidR="005773A5">
        <w:rPr>
          <w:rFonts w:ascii="Times New Roman" w:hAnsi="Times New Roman" w:cs="Times New Roman"/>
          <w:lang w:val="en-GB"/>
        </w:rPr>
        <w:t xml:space="preserve"> </w:t>
      </w:r>
      <w:r w:rsidR="00F87980">
        <w:rPr>
          <w:rFonts w:ascii="Times New Roman" w:hAnsi="Times New Roman" w:cs="Times New Roman"/>
          <w:lang w:val="en-GB"/>
        </w:rPr>
        <w:t xml:space="preserve">In addition, as explained by </w:t>
      </w:r>
      <w:r w:rsidR="00FB76E0">
        <w:rPr>
          <w:rFonts w:ascii="Times New Roman" w:hAnsi="Times New Roman" w:cs="Times New Roman"/>
          <w:lang w:val="en-GB"/>
        </w:rPr>
        <w:t>Amis and colleagues (2018)</w:t>
      </w:r>
      <w:r w:rsidR="00F87980">
        <w:rPr>
          <w:rFonts w:ascii="Times New Roman" w:hAnsi="Times New Roman" w:cs="Times New Roman"/>
          <w:lang w:val="en-GB"/>
        </w:rPr>
        <w:t>,</w:t>
      </w:r>
      <w:r w:rsidR="00FB76E0">
        <w:rPr>
          <w:rFonts w:ascii="Times New Roman" w:hAnsi="Times New Roman" w:cs="Times New Roman"/>
          <w:lang w:val="en-GB"/>
        </w:rPr>
        <w:t xml:space="preserve"> </w:t>
      </w:r>
      <w:r w:rsidR="00AE7CAB">
        <w:rPr>
          <w:rFonts w:ascii="Times New Roman" w:hAnsi="Times New Roman" w:cs="Times New Roman"/>
          <w:lang w:val="en-GB"/>
        </w:rPr>
        <w:t>inequalities tend to reinforce themselves through the materialization and ultimately institutionalization of practices perpetuating inequalities</w:t>
      </w:r>
      <w:r w:rsidR="00AE7CAB" w:rsidRPr="00A637EB">
        <w:rPr>
          <w:rFonts w:ascii="Times New Roman" w:hAnsi="Times New Roman" w:cs="Times New Roman"/>
          <w:lang w:val="en-GB"/>
        </w:rPr>
        <w:t>.</w:t>
      </w:r>
      <w:r w:rsidR="00B920D5" w:rsidRPr="00A637EB">
        <w:rPr>
          <w:rFonts w:ascii="Times New Roman" w:hAnsi="Times New Roman" w:cs="Times New Roman"/>
          <w:lang w:val="en-GB"/>
        </w:rPr>
        <w:t xml:space="preserve"> </w:t>
      </w:r>
      <w:r w:rsidR="00CA67A5" w:rsidRPr="008722E8">
        <w:rPr>
          <w:rFonts w:ascii="Times New Roman" w:hAnsi="Times New Roman" w:cs="Times New Roman"/>
          <w:lang w:val="en-GB"/>
        </w:rPr>
        <w:t>There are also significant evidences in economics that</w:t>
      </w:r>
      <w:r w:rsidR="00B920D5" w:rsidRPr="008722E8">
        <w:rPr>
          <w:rFonts w:ascii="Times New Roman" w:hAnsi="Times New Roman" w:cs="Times New Roman"/>
          <w:lang w:val="en-GB"/>
        </w:rPr>
        <w:t xml:space="preserve"> institutional change </w:t>
      </w:r>
      <w:r w:rsidR="00CA67A5" w:rsidRPr="008722E8">
        <w:rPr>
          <w:rFonts w:ascii="Times New Roman" w:hAnsi="Times New Roman" w:cs="Times New Roman"/>
          <w:lang w:val="en-GB"/>
        </w:rPr>
        <w:t>endogenously</w:t>
      </w:r>
      <w:r w:rsidR="00B920D5" w:rsidRPr="008722E8">
        <w:rPr>
          <w:rFonts w:ascii="Times New Roman" w:hAnsi="Times New Roman" w:cs="Times New Roman"/>
          <w:lang w:val="en-GB"/>
        </w:rPr>
        <w:t xml:space="preserve"> </w:t>
      </w:r>
      <w:r w:rsidR="00CA67A5" w:rsidRPr="008722E8">
        <w:rPr>
          <w:rFonts w:ascii="Times New Roman" w:hAnsi="Times New Roman" w:cs="Times New Roman"/>
          <w:lang w:val="en-GB"/>
        </w:rPr>
        <w:t>reinforce</w:t>
      </w:r>
      <w:r w:rsidR="003E6082" w:rsidRPr="008722E8">
        <w:rPr>
          <w:rFonts w:ascii="Times New Roman" w:hAnsi="Times New Roman" w:cs="Times New Roman"/>
          <w:lang w:val="en-GB"/>
        </w:rPr>
        <w:t>s</w:t>
      </w:r>
      <w:r w:rsidR="00CA67A5" w:rsidRPr="008722E8">
        <w:rPr>
          <w:rFonts w:ascii="Times New Roman" w:hAnsi="Times New Roman" w:cs="Times New Roman"/>
          <w:lang w:val="en-GB"/>
        </w:rPr>
        <w:t xml:space="preserve"> </w:t>
      </w:r>
      <w:r w:rsidR="005E251B" w:rsidRPr="008722E8">
        <w:rPr>
          <w:rFonts w:ascii="Times New Roman" w:hAnsi="Times New Roman" w:cs="Times New Roman"/>
          <w:lang w:val="en-GB"/>
        </w:rPr>
        <w:t>inequalities</w:t>
      </w:r>
      <w:r w:rsidR="00BE13A4" w:rsidRPr="008722E8">
        <w:rPr>
          <w:rFonts w:ascii="Times New Roman" w:hAnsi="Times New Roman" w:cs="Times New Roman"/>
          <w:lang w:val="en-GB"/>
        </w:rPr>
        <w:t xml:space="preserve">: Fortin </w:t>
      </w:r>
      <w:r w:rsidR="008722E8">
        <w:rPr>
          <w:rFonts w:ascii="Times New Roman" w:hAnsi="Times New Roman" w:cs="Times New Roman"/>
          <w:lang w:val="en-GB"/>
        </w:rPr>
        <w:t xml:space="preserve">and </w:t>
      </w:r>
      <w:r w:rsidR="00BE13A4" w:rsidRPr="008722E8">
        <w:rPr>
          <w:rFonts w:ascii="Times New Roman" w:hAnsi="Times New Roman" w:cs="Times New Roman"/>
          <w:lang w:val="en-GB"/>
        </w:rPr>
        <w:t xml:space="preserve">Lemieux (1997) found that </w:t>
      </w:r>
      <w:r w:rsidR="00A66F2C" w:rsidRPr="008722E8">
        <w:rPr>
          <w:rFonts w:ascii="Times New Roman" w:hAnsi="Times New Roman" w:cs="Times New Roman"/>
          <w:lang w:val="en-GB"/>
        </w:rPr>
        <w:t xml:space="preserve">a positive association between the rise in wage inequality and </w:t>
      </w:r>
      <w:r w:rsidR="00BE13A4" w:rsidRPr="008722E8">
        <w:rPr>
          <w:rFonts w:ascii="Times New Roman" w:hAnsi="Times New Roman" w:cs="Times New Roman"/>
          <w:lang w:val="en-GB"/>
        </w:rPr>
        <w:t>deunionization</w:t>
      </w:r>
      <w:r w:rsidR="00A66F2C" w:rsidRPr="008722E8">
        <w:rPr>
          <w:rFonts w:ascii="Times New Roman" w:hAnsi="Times New Roman" w:cs="Times New Roman"/>
          <w:lang w:val="en-GB"/>
        </w:rPr>
        <w:t xml:space="preserve"> or economic deregulation</w:t>
      </w:r>
      <w:r w:rsidR="00A66F2C" w:rsidRPr="003D11BE">
        <w:rPr>
          <w:rFonts w:ascii="Times New Roman" w:hAnsi="Times New Roman" w:cs="Times New Roman"/>
          <w:lang w:val="en-GB"/>
        </w:rPr>
        <w:t>.</w:t>
      </w:r>
      <w:r w:rsidR="00AE7CAB" w:rsidRPr="003D11BE">
        <w:rPr>
          <w:rFonts w:ascii="Times New Roman" w:hAnsi="Times New Roman" w:cs="Times New Roman"/>
          <w:lang w:val="en-GB"/>
        </w:rPr>
        <w:t xml:space="preserve"> </w:t>
      </w:r>
      <w:r w:rsidR="002A1F28" w:rsidRPr="00A637EB">
        <w:rPr>
          <w:rFonts w:ascii="Times New Roman" w:hAnsi="Times New Roman" w:cs="Times New Roman"/>
          <w:lang w:val="en-GB"/>
        </w:rPr>
        <w:t xml:space="preserve">Finally, non-equity partnership </w:t>
      </w:r>
      <w:r w:rsidR="00B920D5" w:rsidRPr="00A637EB">
        <w:rPr>
          <w:rFonts w:ascii="Times New Roman" w:hAnsi="Times New Roman" w:cs="Times New Roman"/>
          <w:lang w:val="en-GB"/>
        </w:rPr>
        <w:t>enables the firms to give t</w:t>
      </w:r>
      <w:r w:rsidR="00D064B4" w:rsidRPr="00A637EB">
        <w:rPr>
          <w:rFonts w:ascii="Times New Roman" w:hAnsi="Times New Roman" w:cs="Times New Roman"/>
          <w:lang w:val="en-GB"/>
        </w:rPr>
        <w:t xml:space="preserve">he partner title without the access to the profit pool, as a status benefit, to compensate for a non-competitive remuneration </w:t>
      </w:r>
      <w:r w:rsidR="00B920D5" w:rsidRPr="00A637EB">
        <w:rPr>
          <w:rFonts w:ascii="Times New Roman" w:hAnsi="Times New Roman" w:cs="Times New Roman"/>
          <w:lang w:val="en-GB"/>
        </w:rPr>
        <w:t xml:space="preserve">at the industry level </w:t>
      </w:r>
      <w:r w:rsidR="00D064B4" w:rsidRPr="00A637EB">
        <w:rPr>
          <w:rFonts w:ascii="Times New Roman" w:hAnsi="Times New Roman" w:cs="Times New Roman"/>
          <w:lang w:val="en-GB"/>
        </w:rPr>
        <w:t>(Greenberg &amp; Ornstein, 1983).</w:t>
      </w:r>
      <w:r w:rsidR="00D064B4">
        <w:rPr>
          <w:rFonts w:ascii="Times New Roman" w:hAnsi="Times New Roman" w:cs="Times New Roman"/>
          <w:lang w:val="en-GB"/>
        </w:rPr>
        <w:t xml:space="preserve"> </w:t>
      </w:r>
      <w:r w:rsidR="00F87980">
        <w:rPr>
          <w:rFonts w:ascii="Times New Roman" w:hAnsi="Times New Roman" w:cs="Times New Roman"/>
          <w:lang w:val="en-GB"/>
        </w:rPr>
        <w:t>Consequently</w:t>
      </w:r>
      <w:r>
        <w:rPr>
          <w:rFonts w:ascii="Times New Roman" w:hAnsi="Times New Roman" w:cs="Times New Roman"/>
          <w:lang w:val="en-GB"/>
        </w:rPr>
        <w:t>, we can expect compensation disparity to be associated with the rise of non-equity partnership</w:t>
      </w:r>
      <w:r w:rsidR="008C20CE">
        <w:rPr>
          <w:rFonts w:ascii="Times New Roman" w:hAnsi="Times New Roman" w:cs="Times New Roman"/>
          <w:lang w:val="en-GB"/>
        </w:rPr>
        <w:t>:</w:t>
      </w:r>
      <w:r>
        <w:rPr>
          <w:rFonts w:ascii="Times New Roman" w:hAnsi="Times New Roman" w:cs="Times New Roman"/>
          <w:lang w:val="en-GB"/>
        </w:rPr>
        <w:t xml:space="preserve"> </w:t>
      </w:r>
      <w:r w:rsidR="0000384A">
        <w:rPr>
          <w:rFonts w:ascii="Times New Roman" w:hAnsi="Times New Roman" w:cs="Times New Roman"/>
          <w:lang w:val="en-GB"/>
        </w:rPr>
        <w:t xml:space="preserve"> this new practice</w:t>
      </w:r>
      <w:r>
        <w:rPr>
          <w:rFonts w:ascii="Times New Roman" w:hAnsi="Times New Roman" w:cs="Times New Roman"/>
          <w:lang w:val="en-GB"/>
        </w:rPr>
        <w:t xml:space="preserve"> increases inequality by fragmenting the population of partners as a function of their access to profit.</w:t>
      </w:r>
      <w:r w:rsidR="00862E28">
        <w:rPr>
          <w:rFonts w:ascii="Times New Roman" w:hAnsi="Times New Roman" w:cs="Times New Roman"/>
          <w:lang w:val="en-GB"/>
        </w:rPr>
        <w:t xml:space="preserve"> </w:t>
      </w:r>
      <w:r w:rsidR="008C20CE">
        <w:rPr>
          <w:rFonts w:ascii="Times New Roman" w:hAnsi="Times New Roman" w:cs="Times New Roman"/>
          <w:lang w:val="en-GB"/>
        </w:rPr>
        <w:t>In other terms, firms offer the title of partners but differentiate two pathways conditioning the incomes of the two groups.</w:t>
      </w:r>
    </w:p>
    <w:p w14:paraId="22CFB029" w14:textId="6E18632F" w:rsidR="0000384A" w:rsidRDefault="00603FDF" w:rsidP="0000384A">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2:</w:t>
      </w:r>
      <w:r>
        <w:rPr>
          <w:rFonts w:ascii="Times New Roman" w:hAnsi="Times New Roman" w:cs="Times New Roman"/>
          <w:lang w:val="en-GB"/>
        </w:rPr>
        <w:t xml:space="preserve"> </w:t>
      </w:r>
      <w:r w:rsidR="0000384A">
        <w:rPr>
          <w:rFonts w:ascii="Times New Roman" w:hAnsi="Times New Roman" w:cs="Times New Roman"/>
          <w:lang w:val="en-GB"/>
        </w:rPr>
        <w:t xml:space="preserve">Compensation disparity is positively associated with </w:t>
      </w:r>
      <w:r w:rsidR="00BD5DBC">
        <w:rPr>
          <w:rFonts w:ascii="Times New Roman" w:hAnsi="Times New Roman" w:cs="Times New Roman"/>
          <w:lang w:val="en-GB"/>
        </w:rPr>
        <w:t xml:space="preserve">the </w:t>
      </w:r>
      <w:r w:rsidR="0000384A">
        <w:rPr>
          <w:rFonts w:ascii="Times New Roman" w:hAnsi="Times New Roman" w:cs="Times New Roman"/>
          <w:lang w:val="en-GB"/>
        </w:rPr>
        <w:t>adoption of non-equity partners</w:t>
      </w:r>
      <w:r w:rsidR="00BD5DBC">
        <w:rPr>
          <w:rFonts w:ascii="Times New Roman" w:hAnsi="Times New Roman" w:cs="Times New Roman"/>
          <w:lang w:val="en-GB"/>
        </w:rPr>
        <w:t>hip</w:t>
      </w:r>
      <w:r w:rsidR="0000384A">
        <w:rPr>
          <w:rFonts w:ascii="Times New Roman" w:hAnsi="Times New Roman" w:cs="Times New Roman"/>
          <w:lang w:val="en-GB"/>
        </w:rPr>
        <w:t>.</w:t>
      </w:r>
    </w:p>
    <w:p w14:paraId="1AE1DB40" w14:textId="6261E5BE" w:rsidR="0077042A" w:rsidRDefault="0077042A" w:rsidP="0000384A">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addition, the business model of the law firm </w:t>
      </w:r>
      <w:r w:rsidR="00161C08">
        <w:rPr>
          <w:rFonts w:ascii="Times New Roman" w:hAnsi="Times New Roman" w:cs="Times New Roman"/>
          <w:lang w:val="en-GB"/>
        </w:rPr>
        <w:t>could</w:t>
      </w:r>
      <w:r>
        <w:rPr>
          <w:rFonts w:ascii="Times New Roman" w:hAnsi="Times New Roman" w:cs="Times New Roman"/>
          <w:lang w:val="en-GB"/>
        </w:rPr>
        <w:t xml:space="preserve"> play a crucial role in triggering deviance from </w:t>
      </w:r>
      <w:r w:rsidR="00161C08">
        <w:rPr>
          <w:rFonts w:ascii="Times New Roman" w:hAnsi="Times New Roman" w:cs="Times New Roman"/>
          <w:lang w:val="en-GB"/>
        </w:rPr>
        <w:t>an</w:t>
      </w:r>
      <w:r>
        <w:rPr>
          <w:rFonts w:ascii="Times New Roman" w:hAnsi="Times New Roman" w:cs="Times New Roman"/>
          <w:lang w:val="en-GB"/>
        </w:rPr>
        <w:t xml:space="preserve"> institutionalized practice. Law firms as professional service firms are highly reliant on their human capital (Von Nordenflycht, 2010)</w:t>
      </w:r>
      <w:r w:rsidR="006E30BC">
        <w:rPr>
          <w:rFonts w:ascii="Times New Roman" w:hAnsi="Times New Roman" w:cs="Times New Roman"/>
          <w:lang w:val="en-GB"/>
        </w:rPr>
        <w:t xml:space="preserve"> but </w:t>
      </w:r>
      <w:r w:rsidR="005150BC">
        <w:rPr>
          <w:rFonts w:ascii="Times New Roman" w:hAnsi="Times New Roman" w:cs="Times New Roman"/>
          <w:lang w:val="en-GB"/>
        </w:rPr>
        <w:t>there is some variance in the extent to which human capital is used as a strategic lever (Bowman &amp; Swart, 2001)</w:t>
      </w:r>
      <w:r>
        <w:rPr>
          <w:rFonts w:ascii="Times New Roman" w:hAnsi="Times New Roman" w:cs="Times New Roman"/>
          <w:lang w:val="en-GB"/>
        </w:rPr>
        <w:t>.</w:t>
      </w:r>
      <w:r w:rsidR="00AB29E1">
        <w:rPr>
          <w:rFonts w:ascii="Times New Roman" w:hAnsi="Times New Roman" w:cs="Times New Roman"/>
          <w:lang w:val="en-GB"/>
        </w:rPr>
        <w:t xml:space="preserve"> </w:t>
      </w:r>
      <w:r w:rsidR="0085269C">
        <w:rPr>
          <w:rFonts w:ascii="Times New Roman" w:hAnsi="Times New Roman" w:cs="Times New Roman"/>
          <w:lang w:val="en-GB"/>
        </w:rPr>
        <w:t>Strategi</w:t>
      </w:r>
      <w:r w:rsidR="00BF670A">
        <w:rPr>
          <w:rFonts w:ascii="Times New Roman" w:hAnsi="Times New Roman" w:cs="Times New Roman"/>
          <w:lang w:val="en-GB"/>
        </w:rPr>
        <w:t xml:space="preserve">c human resources practices </w:t>
      </w:r>
      <w:r w:rsidR="008A0A93">
        <w:rPr>
          <w:rFonts w:ascii="Times New Roman" w:hAnsi="Times New Roman" w:cs="Times New Roman"/>
          <w:lang w:val="en-GB"/>
        </w:rPr>
        <w:t>often become institutionalized because</w:t>
      </w:r>
      <w:r w:rsidR="007B6553">
        <w:rPr>
          <w:rFonts w:ascii="Times New Roman" w:hAnsi="Times New Roman" w:cs="Times New Roman"/>
          <w:lang w:val="en-GB"/>
        </w:rPr>
        <w:t xml:space="preserve"> of the prevalent value proposition in an industry</w:t>
      </w:r>
      <w:r w:rsidR="00BF670A">
        <w:rPr>
          <w:rFonts w:ascii="Times New Roman" w:hAnsi="Times New Roman" w:cs="Times New Roman"/>
          <w:lang w:val="en-GB"/>
        </w:rPr>
        <w:t xml:space="preserve"> </w:t>
      </w:r>
      <w:r w:rsidR="00AB29E1">
        <w:rPr>
          <w:rFonts w:ascii="Times New Roman" w:hAnsi="Times New Roman" w:cs="Times New Roman"/>
          <w:lang w:val="en-GB"/>
        </w:rPr>
        <w:t>(Wright &amp; McMahan, 1992).</w:t>
      </w:r>
      <w:r>
        <w:rPr>
          <w:rFonts w:ascii="Times New Roman" w:hAnsi="Times New Roman" w:cs="Times New Roman"/>
          <w:lang w:val="en-GB"/>
        </w:rPr>
        <w:t xml:space="preserve"> Some firms might decide to rely on </w:t>
      </w:r>
      <w:r w:rsidR="007D0DDA">
        <w:rPr>
          <w:rFonts w:ascii="Times New Roman" w:hAnsi="Times New Roman" w:cs="Times New Roman"/>
          <w:lang w:val="en-GB"/>
        </w:rPr>
        <w:t xml:space="preserve">cheaper, </w:t>
      </w:r>
      <w:r>
        <w:rPr>
          <w:rFonts w:ascii="Times New Roman" w:hAnsi="Times New Roman" w:cs="Times New Roman"/>
          <w:lang w:val="en-GB"/>
        </w:rPr>
        <w:t xml:space="preserve">lower quality and thus </w:t>
      </w:r>
      <w:r w:rsidR="00AC64CC">
        <w:rPr>
          <w:rFonts w:ascii="Times New Roman" w:hAnsi="Times New Roman" w:cs="Times New Roman"/>
          <w:lang w:val="en-GB"/>
        </w:rPr>
        <w:t xml:space="preserve">less qualified </w:t>
      </w:r>
      <w:r>
        <w:rPr>
          <w:rFonts w:ascii="Times New Roman" w:hAnsi="Times New Roman" w:cs="Times New Roman"/>
          <w:lang w:val="en-GB"/>
        </w:rPr>
        <w:t>associates to increase profitability. In this case, elite lawyers become expendable and the firm has an incentive in abandoning equity partnership as associates are a less crucial asset in such business model.</w:t>
      </w:r>
      <w:r w:rsidR="00092B3E">
        <w:rPr>
          <w:rFonts w:ascii="Times New Roman" w:hAnsi="Times New Roman" w:cs="Times New Roman"/>
          <w:b/>
          <w:lang w:val="en-GB"/>
        </w:rPr>
        <w:t xml:space="preserve"> </w:t>
      </w:r>
      <w:r w:rsidRPr="007C157A">
        <w:rPr>
          <w:rFonts w:ascii="Times New Roman" w:hAnsi="Times New Roman" w:cs="Times New Roman"/>
          <w:b/>
          <w:i/>
          <w:lang w:val="en-GB"/>
        </w:rPr>
        <w:t>High leverage ratio</w:t>
      </w:r>
      <w:r w:rsidRPr="00066C16">
        <w:rPr>
          <w:rFonts w:ascii="Times New Roman" w:hAnsi="Times New Roman" w:cs="Times New Roman"/>
          <w:lang w:val="en-GB"/>
        </w:rPr>
        <w:t xml:space="preserve"> </w:t>
      </w:r>
      <w:r w:rsidR="00721EBC">
        <w:rPr>
          <w:rFonts w:ascii="Times New Roman" w:hAnsi="Times New Roman" w:cs="Times New Roman"/>
          <w:lang w:val="en-GB"/>
        </w:rPr>
        <w:t xml:space="preserve">signals the large number of associates by contrast with the number of partners. It </w:t>
      </w:r>
      <w:r w:rsidRPr="00066C16">
        <w:rPr>
          <w:rFonts w:ascii="Times New Roman" w:hAnsi="Times New Roman" w:cs="Times New Roman"/>
          <w:lang w:val="en-GB"/>
        </w:rPr>
        <w:t xml:space="preserve">means </w:t>
      </w:r>
      <w:r w:rsidR="00522E0F">
        <w:rPr>
          <w:rFonts w:ascii="Times New Roman" w:hAnsi="Times New Roman" w:cs="Times New Roman"/>
          <w:lang w:val="en-GB"/>
        </w:rPr>
        <w:t xml:space="preserve">that </w:t>
      </w:r>
      <w:r w:rsidRPr="00066C16">
        <w:rPr>
          <w:rFonts w:ascii="Times New Roman" w:hAnsi="Times New Roman" w:cs="Times New Roman"/>
          <w:lang w:val="en-GB"/>
        </w:rPr>
        <w:t xml:space="preserve">the business model is not based on </w:t>
      </w:r>
      <w:r w:rsidR="00161C08">
        <w:rPr>
          <w:rFonts w:ascii="Times New Roman" w:hAnsi="Times New Roman" w:cs="Times New Roman"/>
          <w:lang w:val="en-GB"/>
        </w:rPr>
        <w:t xml:space="preserve">the </w:t>
      </w:r>
      <w:r w:rsidR="00AC64CC">
        <w:rPr>
          <w:rFonts w:ascii="Times New Roman" w:hAnsi="Times New Roman" w:cs="Times New Roman"/>
          <w:lang w:val="en-GB"/>
        </w:rPr>
        <w:t xml:space="preserve">high </w:t>
      </w:r>
      <w:r w:rsidRPr="00066C16">
        <w:rPr>
          <w:rFonts w:ascii="Times New Roman" w:hAnsi="Times New Roman" w:cs="Times New Roman"/>
          <w:lang w:val="en-GB"/>
        </w:rPr>
        <w:t xml:space="preserve">quality of </w:t>
      </w:r>
      <w:r w:rsidR="00AC64CC">
        <w:rPr>
          <w:rFonts w:ascii="Times New Roman" w:hAnsi="Times New Roman" w:cs="Times New Roman"/>
          <w:lang w:val="en-GB"/>
        </w:rPr>
        <w:t xml:space="preserve">top </w:t>
      </w:r>
      <w:r w:rsidRPr="00066C16">
        <w:rPr>
          <w:rFonts w:ascii="Times New Roman" w:hAnsi="Times New Roman" w:cs="Times New Roman"/>
          <w:lang w:val="en-GB"/>
        </w:rPr>
        <w:t>partners</w:t>
      </w:r>
      <w:r w:rsidR="00721EBC">
        <w:rPr>
          <w:rFonts w:ascii="Times New Roman" w:hAnsi="Times New Roman" w:cs="Times New Roman"/>
          <w:lang w:val="en-GB"/>
        </w:rPr>
        <w:t>.</w:t>
      </w:r>
      <w:r>
        <w:rPr>
          <w:rFonts w:ascii="Times New Roman" w:hAnsi="Times New Roman" w:cs="Times New Roman"/>
          <w:lang w:val="en-GB"/>
        </w:rPr>
        <w:t xml:space="preserve"> </w:t>
      </w:r>
      <w:r w:rsidR="00EC6646">
        <w:rPr>
          <w:rFonts w:ascii="Times New Roman" w:hAnsi="Times New Roman" w:cs="Times New Roman"/>
          <w:lang w:val="en-GB"/>
        </w:rPr>
        <w:t>In this case,</w:t>
      </w:r>
      <w:r>
        <w:rPr>
          <w:rFonts w:ascii="Times New Roman" w:hAnsi="Times New Roman" w:cs="Times New Roman"/>
          <w:lang w:val="en-GB"/>
        </w:rPr>
        <w:t xml:space="preserve"> the firm will be</w:t>
      </w:r>
      <w:r w:rsidRPr="00066C16">
        <w:rPr>
          <w:rFonts w:ascii="Times New Roman" w:hAnsi="Times New Roman" w:cs="Times New Roman"/>
          <w:lang w:val="en-GB"/>
        </w:rPr>
        <w:t xml:space="preserve"> more likely to disengage </w:t>
      </w:r>
      <w:r>
        <w:rPr>
          <w:rFonts w:ascii="Times New Roman" w:hAnsi="Times New Roman" w:cs="Times New Roman"/>
          <w:lang w:val="en-GB"/>
        </w:rPr>
        <w:t xml:space="preserve">from </w:t>
      </w:r>
      <w:r w:rsidR="00F850A8">
        <w:rPr>
          <w:rFonts w:ascii="Times New Roman" w:hAnsi="Times New Roman" w:cs="Times New Roman"/>
          <w:lang w:val="en-GB"/>
        </w:rPr>
        <w:t>equity partnership and engage in non-equity partnership as it would not fear a leakage of human capital</w:t>
      </w:r>
      <w:r>
        <w:rPr>
          <w:rFonts w:ascii="Times New Roman" w:hAnsi="Times New Roman" w:cs="Times New Roman"/>
          <w:lang w:val="en-GB"/>
        </w:rPr>
        <w:t xml:space="preserve">. </w:t>
      </w:r>
      <w:r w:rsidR="00F53743">
        <w:rPr>
          <w:rFonts w:ascii="Times New Roman" w:hAnsi="Times New Roman" w:cs="Times New Roman"/>
          <w:lang w:val="en-GB"/>
        </w:rPr>
        <w:t>At the same time</w:t>
      </w:r>
      <w:r w:rsidR="00486904">
        <w:rPr>
          <w:rFonts w:ascii="Times New Roman" w:hAnsi="Times New Roman" w:cs="Times New Roman"/>
          <w:lang w:val="en-GB"/>
        </w:rPr>
        <w:t>, if the business model is not based on the quality of partners, the willingness and incentives to retain and promote talent might be limited</w:t>
      </w:r>
      <w:r w:rsidR="007B6D28">
        <w:rPr>
          <w:rFonts w:ascii="Times New Roman" w:hAnsi="Times New Roman" w:cs="Times New Roman"/>
          <w:lang w:val="en-GB"/>
        </w:rPr>
        <w:t xml:space="preserve">. Such situation creates </w:t>
      </w:r>
      <w:r w:rsidR="00745165">
        <w:rPr>
          <w:rFonts w:ascii="Times New Roman" w:hAnsi="Times New Roman" w:cs="Times New Roman"/>
          <w:lang w:val="en-GB"/>
        </w:rPr>
        <w:t>low strategic incentives for changing practices</w:t>
      </w:r>
      <w:r w:rsidR="00486904">
        <w:rPr>
          <w:rFonts w:ascii="Times New Roman" w:hAnsi="Times New Roman" w:cs="Times New Roman"/>
          <w:lang w:val="en-GB"/>
        </w:rPr>
        <w:t xml:space="preserve">, </w:t>
      </w:r>
      <w:r w:rsidR="004B3B74">
        <w:rPr>
          <w:rFonts w:ascii="Times New Roman" w:hAnsi="Times New Roman" w:cs="Times New Roman"/>
          <w:lang w:val="en-GB"/>
        </w:rPr>
        <w:t>so we could alternatively expect firms with high leverage ratio to stick to equity partnership.</w:t>
      </w:r>
    </w:p>
    <w:p w14:paraId="62602532" w14:textId="60B78D27" w:rsidR="00063B09" w:rsidRDefault="00063B09" w:rsidP="0000384A">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3</w:t>
      </w:r>
      <w:r w:rsidR="00CD2C33" w:rsidRPr="007562AD">
        <w:rPr>
          <w:rFonts w:ascii="Times New Roman" w:hAnsi="Times New Roman" w:cs="Times New Roman"/>
          <w:i/>
          <w:lang w:val="en-GB"/>
        </w:rPr>
        <w:t>a</w:t>
      </w:r>
      <w:r w:rsidRPr="007562AD">
        <w:rPr>
          <w:rFonts w:ascii="Times New Roman" w:hAnsi="Times New Roman" w:cs="Times New Roman"/>
          <w:i/>
          <w:lang w:val="en-GB"/>
        </w:rPr>
        <w:t>:</w:t>
      </w:r>
      <w:r>
        <w:rPr>
          <w:rFonts w:ascii="Times New Roman" w:hAnsi="Times New Roman" w:cs="Times New Roman"/>
          <w:lang w:val="en-GB"/>
        </w:rPr>
        <w:t xml:space="preserve"> </w:t>
      </w:r>
      <w:r w:rsidR="00BD5DBC">
        <w:rPr>
          <w:rFonts w:ascii="Times New Roman" w:hAnsi="Times New Roman" w:cs="Times New Roman"/>
          <w:lang w:val="en-GB"/>
        </w:rPr>
        <w:t>A high leverage ratio</w:t>
      </w:r>
      <w:r>
        <w:rPr>
          <w:rFonts w:ascii="Times New Roman" w:hAnsi="Times New Roman" w:cs="Times New Roman"/>
          <w:lang w:val="en-GB"/>
        </w:rPr>
        <w:t xml:space="preserve"> is positively associated with </w:t>
      </w:r>
      <w:r w:rsidR="00BD5DBC">
        <w:rPr>
          <w:rFonts w:ascii="Times New Roman" w:hAnsi="Times New Roman" w:cs="Times New Roman"/>
          <w:lang w:val="en-GB"/>
        </w:rPr>
        <w:t xml:space="preserve">the </w:t>
      </w:r>
      <w:r>
        <w:rPr>
          <w:rFonts w:ascii="Times New Roman" w:hAnsi="Times New Roman" w:cs="Times New Roman"/>
          <w:lang w:val="en-GB"/>
        </w:rPr>
        <w:t>adoption of non-equity partners</w:t>
      </w:r>
      <w:r w:rsidR="00BD5DBC">
        <w:rPr>
          <w:rFonts w:ascii="Times New Roman" w:hAnsi="Times New Roman" w:cs="Times New Roman"/>
          <w:lang w:val="en-GB"/>
        </w:rPr>
        <w:t>hip</w:t>
      </w:r>
      <w:r>
        <w:rPr>
          <w:rFonts w:ascii="Times New Roman" w:hAnsi="Times New Roman" w:cs="Times New Roman"/>
          <w:lang w:val="en-GB"/>
        </w:rPr>
        <w:t>.</w:t>
      </w:r>
    </w:p>
    <w:p w14:paraId="71070910" w14:textId="7CAEF6EB" w:rsidR="00CD2C33" w:rsidRDefault="00CD2C33" w:rsidP="00CD2C33">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3b:</w:t>
      </w:r>
      <w:r>
        <w:rPr>
          <w:rFonts w:ascii="Times New Roman" w:hAnsi="Times New Roman" w:cs="Times New Roman"/>
          <w:lang w:val="en-GB"/>
        </w:rPr>
        <w:t xml:space="preserve"> </w:t>
      </w:r>
      <w:r w:rsidR="00BD5DBC">
        <w:rPr>
          <w:rFonts w:ascii="Times New Roman" w:hAnsi="Times New Roman" w:cs="Times New Roman"/>
          <w:lang w:val="en-GB"/>
        </w:rPr>
        <w:t>A high leverage ratio</w:t>
      </w:r>
      <w:r>
        <w:rPr>
          <w:rFonts w:ascii="Times New Roman" w:hAnsi="Times New Roman" w:cs="Times New Roman"/>
          <w:lang w:val="en-GB"/>
        </w:rPr>
        <w:t xml:space="preserve"> is negatively associated with </w:t>
      </w:r>
      <w:r w:rsidR="00BD5DBC">
        <w:rPr>
          <w:rFonts w:ascii="Times New Roman" w:hAnsi="Times New Roman" w:cs="Times New Roman"/>
          <w:lang w:val="en-GB"/>
        </w:rPr>
        <w:t xml:space="preserve">the </w:t>
      </w:r>
      <w:r>
        <w:rPr>
          <w:rFonts w:ascii="Times New Roman" w:hAnsi="Times New Roman" w:cs="Times New Roman"/>
          <w:lang w:val="en-GB"/>
        </w:rPr>
        <w:t>adoption of non-equity partners</w:t>
      </w:r>
      <w:r w:rsidR="00BD5DBC">
        <w:rPr>
          <w:rFonts w:ascii="Times New Roman" w:hAnsi="Times New Roman" w:cs="Times New Roman"/>
          <w:lang w:val="en-GB"/>
        </w:rPr>
        <w:t>hip</w:t>
      </w:r>
      <w:r>
        <w:rPr>
          <w:rFonts w:ascii="Times New Roman" w:hAnsi="Times New Roman" w:cs="Times New Roman"/>
          <w:lang w:val="en-GB"/>
        </w:rPr>
        <w:t>.</w:t>
      </w:r>
    </w:p>
    <w:p w14:paraId="079A8243" w14:textId="77777777" w:rsidR="00462B17" w:rsidRDefault="00462B17" w:rsidP="00CD2C33">
      <w:pPr>
        <w:spacing w:line="480" w:lineRule="auto"/>
        <w:ind w:firstLine="720"/>
        <w:jc w:val="both"/>
        <w:rPr>
          <w:rFonts w:ascii="Times New Roman" w:hAnsi="Times New Roman" w:cs="Times New Roman"/>
          <w:lang w:val="en-GB"/>
        </w:rPr>
      </w:pPr>
    </w:p>
    <w:p w14:paraId="7A24A336" w14:textId="34E871C8" w:rsidR="000613FA" w:rsidRDefault="009C51F7" w:rsidP="00165A4F">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addition, </w:t>
      </w:r>
      <w:r w:rsidR="00AB205E">
        <w:rPr>
          <w:rFonts w:ascii="Times New Roman" w:hAnsi="Times New Roman" w:cs="Times New Roman"/>
          <w:lang w:val="en-GB"/>
        </w:rPr>
        <w:t>we</w:t>
      </w:r>
      <w:r w:rsidR="00AB351C">
        <w:rPr>
          <w:rFonts w:ascii="Times New Roman" w:hAnsi="Times New Roman" w:cs="Times New Roman"/>
          <w:lang w:val="en-GB"/>
        </w:rPr>
        <w:t xml:space="preserve"> could</w:t>
      </w:r>
      <w:r w:rsidR="00AB205E">
        <w:rPr>
          <w:rFonts w:ascii="Times New Roman" w:hAnsi="Times New Roman" w:cs="Times New Roman"/>
          <w:lang w:val="en-GB"/>
        </w:rPr>
        <w:t xml:space="preserve"> expect diversity within the organization, in particular </w:t>
      </w:r>
      <w:r w:rsidR="00AB205E" w:rsidRPr="00521186">
        <w:rPr>
          <w:rFonts w:ascii="Times New Roman" w:hAnsi="Times New Roman" w:cs="Times New Roman"/>
          <w:b/>
          <w:i/>
          <w:lang w:val="en-GB"/>
        </w:rPr>
        <w:t>gender diversity</w:t>
      </w:r>
      <w:r>
        <w:rPr>
          <w:rFonts w:ascii="Times New Roman" w:hAnsi="Times New Roman" w:cs="Times New Roman"/>
          <w:lang w:val="en-GB"/>
        </w:rPr>
        <w:t xml:space="preserve">, </w:t>
      </w:r>
      <w:r w:rsidR="00AB205E">
        <w:rPr>
          <w:rFonts w:ascii="Times New Roman" w:hAnsi="Times New Roman" w:cs="Times New Roman"/>
          <w:lang w:val="en-GB"/>
        </w:rPr>
        <w:t>to prompt disengagement with equity partnerships.</w:t>
      </w:r>
      <w:r w:rsidR="00102CC3">
        <w:rPr>
          <w:rFonts w:ascii="Times New Roman" w:hAnsi="Times New Roman" w:cs="Times New Roman"/>
          <w:lang w:val="en-GB"/>
        </w:rPr>
        <w:t xml:space="preserve"> Existing research has shown that </w:t>
      </w:r>
      <w:r w:rsidR="00AA39B4">
        <w:rPr>
          <w:rFonts w:ascii="Times New Roman" w:hAnsi="Times New Roman" w:cs="Times New Roman"/>
          <w:lang w:val="en-GB"/>
        </w:rPr>
        <w:t xml:space="preserve">a </w:t>
      </w:r>
      <w:r w:rsidR="00102CC3">
        <w:rPr>
          <w:rFonts w:ascii="Times New Roman" w:hAnsi="Times New Roman" w:cs="Times New Roman"/>
          <w:lang w:val="en-GB"/>
        </w:rPr>
        <w:t xml:space="preserve">more diverse </w:t>
      </w:r>
      <w:r w:rsidR="00AA39B4">
        <w:rPr>
          <w:rFonts w:ascii="Times New Roman" w:hAnsi="Times New Roman" w:cs="Times New Roman"/>
          <w:lang w:val="en-GB"/>
        </w:rPr>
        <w:t xml:space="preserve">base in the relationships with </w:t>
      </w:r>
      <w:r w:rsidR="00102CC3">
        <w:rPr>
          <w:rFonts w:ascii="Times New Roman" w:hAnsi="Times New Roman" w:cs="Times New Roman"/>
          <w:lang w:val="en-GB"/>
        </w:rPr>
        <w:t xml:space="preserve">outside stakeholders </w:t>
      </w:r>
      <w:r w:rsidR="00805314">
        <w:rPr>
          <w:rFonts w:ascii="Times New Roman" w:hAnsi="Times New Roman" w:cs="Times New Roman"/>
          <w:lang w:val="en-GB"/>
        </w:rPr>
        <w:t>could prompt new practice adoption (Raffaelli &amp; Glynn, 2014).</w:t>
      </w:r>
      <w:r w:rsidR="00AB205E">
        <w:rPr>
          <w:rFonts w:ascii="Times New Roman" w:hAnsi="Times New Roman" w:cs="Times New Roman"/>
          <w:lang w:val="en-GB"/>
        </w:rPr>
        <w:t xml:space="preserve"> A more diverse employee base </w:t>
      </w:r>
      <w:r>
        <w:rPr>
          <w:rFonts w:ascii="Times New Roman" w:hAnsi="Times New Roman" w:cs="Times New Roman"/>
          <w:lang w:val="en-GB"/>
        </w:rPr>
        <w:t xml:space="preserve">may also </w:t>
      </w:r>
      <w:r w:rsidR="00AB205E">
        <w:rPr>
          <w:rFonts w:ascii="Times New Roman" w:hAnsi="Times New Roman" w:cs="Times New Roman"/>
          <w:lang w:val="en-GB"/>
        </w:rPr>
        <w:t>be more open to institutional change</w:t>
      </w:r>
      <w:r w:rsidR="00F53743">
        <w:rPr>
          <w:rFonts w:ascii="Times New Roman" w:hAnsi="Times New Roman" w:cs="Times New Roman"/>
          <w:lang w:val="en-GB"/>
        </w:rPr>
        <w:t>,</w:t>
      </w:r>
      <w:r w:rsidR="00433F89">
        <w:rPr>
          <w:rFonts w:ascii="Times New Roman" w:hAnsi="Times New Roman" w:cs="Times New Roman"/>
          <w:lang w:val="en-GB"/>
        </w:rPr>
        <w:t xml:space="preserve"> especially as individual members of an organization, in their diversity, can provide the basis for support to a new practice </w:t>
      </w:r>
      <w:r w:rsidR="00B5488D">
        <w:rPr>
          <w:rFonts w:ascii="Times New Roman" w:hAnsi="Times New Roman" w:cs="Times New Roman"/>
          <w:lang w:val="en-GB"/>
        </w:rPr>
        <w:t>(Vican &amp; Pernell-Gallagher, 2013</w:t>
      </w:r>
      <w:r>
        <w:rPr>
          <w:rFonts w:ascii="Times New Roman" w:hAnsi="Times New Roman" w:cs="Times New Roman"/>
          <w:lang w:val="en-GB"/>
        </w:rPr>
        <w:t xml:space="preserve">).Law </w:t>
      </w:r>
      <w:r w:rsidR="003B4B85">
        <w:rPr>
          <w:rFonts w:ascii="Times New Roman" w:hAnsi="Times New Roman" w:cs="Times New Roman"/>
          <w:lang w:val="en-GB"/>
        </w:rPr>
        <w:t>firm</w:t>
      </w:r>
      <w:r>
        <w:rPr>
          <w:rFonts w:ascii="Times New Roman" w:hAnsi="Times New Roman" w:cs="Times New Roman"/>
          <w:lang w:val="en-GB"/>
        </w:rPr>
        <w:t>s</w:t>
      </w:r>
      <w:r w:rsidR="00AB351C">
        <w:rPr>
          <w:rFonts w:ascii="Times New Roman" w:hAnsi="Times New Roman" w:cs="Times New Roman"/>
          <w:lang w:val="en-GB"/>
        </w:rPr>
        <w:t xml:space="preserve"> </w:t>
      </w:r>
      <w:r w:rsidR="00520809">
        <w:rPr>
          <w:rFonts w:ascii="Times New Roman" w:hAnsi="Times New Roman" w:cs="Times New Roman"/>
          <w:lang w:val="en-GB"/>
        </w:rPr>
        <w:t>may</w:t>
      </w:r>
      <w:r w:rsidR="00AB351C">
        <w:rPr>
          <w:rFonts w:ascii="Times New Roman" w:hAnsi="Times New Roman" w:cs="Times New Roman"/>
          <w:lang w:val="en-GB"/>
        </w:rPr>
        <w:t xml:space="preserve"> </w:t>
      </w:r>
      <w:r>
        <w:rPr>
          <w:rFonts w:ascii="Times New Roman" w:hAnsi="Times New Roman" w:cs="Times New Roman"/>
          <w:lang w:val="en-GB"/>
        </w:rPr>
        <w:t xml:space="preserve">also </w:t>
      </w:r>
      <w:r w:rsidR="00AB351C">
        <w:rPr>
          <w:rFonts w:ascii="Times New Roman" w:hAnsi="Times New Roman" w:cs="Times New Roman"/>
          <w:lang w:val="en-GB"/>
        </w:rPr>
        <w:t>use non-equity partnership</w:t>
      </w:r>
      <w:r w:rsidR="001C32E1">
        <w:rPr>
          <w:rFonts w:ascii="Times New Roman" w:hAnsi="Times New Roman" w:cs="Times New Roman"/>
          <w:lang w:val="en-GB"/>
        </w:rPr>
        <w:t xml:space="preserve"> </w:t>
      </w:r>
      <w:r w:rsidR="00520809">
        <w:rPr>
          <w:rFonts w:ascii="Times New Roman" w:hAnsi="Times New Roman" w:cs="Times New Roman"/>
          <w:lang w:val="en-GB"/>
        </w:rPr>
        <w:t>strategically</w:t>
      </w:r>
      <w:r w:rsidR="00C249B4">
        <w:rPr>
          <w:rFonts w:ascii="Times New Roman" w:hAnsi="Times New Roman" w:cs="Times New Roman"/>
          <w:lang w:val="en-GB"/>
        </w:rPr>
        <w:t xml:space="preserve"> to maintain the status quo with regards to diversity. Non-equity partnership can help prevent emerging minorities to reach</w:t>
      </w:r>
      <w:r w:rsidR="001C32E1">
        <w:rPr>
          <w:rFonts w:ascii="Times New Roman" w:hAnsi="Times New Roman" w:cs="Times New Roman"/>
          <w:lang w:val="en-GB"/>
        </w:rPr>
        <w:t xml:space="preserve"> the equity partnership level</w:t>
      </w:r>
      <w:r w:rsidR="003C78B1">
        <w:rPr>
          <w:rFonts w:ascii="Times New Roman" w:hAnsi="Times New Roman" w:cs="Times New Roman"/>
          <w:lang w:val="en-GB"/>
        </w:rPr>
        <w:t xml:space="preserve"> by giving them access to a second best option to retain them</w:t>
      </w:r>
      <w:r w:rsidR="001C32E1">
        <w:rPr>
          <w:rFonts w:ascii="Times New Roman" w:hAnsi="Times New Roman" w:cs="Times New Roman"/>
          <w:lang w:val="en-GB"/>
        </w:rPr>
        <w:t>.</w:t>
      </w:r>
      <w:r w:rsidR="00AB205E">
        <w:rPr>
          <w:rFonts w:ascii="Times New Roman" w:hAnsi="Times New Roman" w:cs="Times New Roman"/>
          <w:lang w:val="en-GB"/>
        </w:rPr>
        <w:t xml:space="preserve"> </w:t>
      </w:r>
    </w:p>
    <w:p w14:paraId="49005E0D" w14:textId="40B21BE2" w:rsidR="005A7DF4" w:rsidRDefault="005A7DF4" w:rsidP="005A7DF4">
      <w:pPr>
        <w:spacing w:line="480" w:lineRule="auto"/>
        <w:ind w:firstLine="720"/>
        <w:jc w:val="both"/>
        <w:rPr>
          <w:rFonts w:ascii="Times New Roman" w:hAnsi="Times New Roman" w:cs="Times New Roman"/>
          <w:lang w:val="en-GB"/>
        </w:rPr>
      </w:pPr>
      <w:r w:rsidRPr="007562AD">
        <w:rPr>
          <w:rFonts w:ascii="Times New Roman" w:hAnsi="Times New Roman" w:cs="Times New Roman"/>
          <w:i/>
          <w:lang w:val="en-GB"/>
        </w:rPr>
        <w:t>Hypothesis 4a:</w:t>
      </w:r>
      <w:r>
        <w:rPr>
          <w:rFonts w:ascii="Times New Roman" w:hAnsi="Times New Roman" w:cs="Times New Roman"/>
          <w:lang w:val="en-GB"/>
        </w:rPr>
        <w:t xml:space="preserve"> </w:t>
      </w:r>
      <w:r w:rsidR="00AB2B9C">
        <w:rPr>
          <w:rFonts w:ascii="Times New Roman" w:hAnsi="Times New Roman" w:cs="Times New Roman"/>
          <w:lang w:val="en-GB"/>
        </w:rPr>
        <w:t>Gender diversity</w:t>
      </w:r>
      <w:r>
        <w:rPr>
          <w:rFonts w:ascii="Times New Roman" w:hAnsi="Times New Roman" w:cs="Times New Roman"/>
          <w:lang w:val="en-GB"/>
        </w:rPr>
        <w:t xml:space="preserve"> is positively associated with </w:t>
      </w:r>
      <w:r w:rsidR="009C51F7">
        <w:rPr>
          <w:rFonts w:ascii="Times New Roman" w:hAnsi="Times New Roman" w:cs="Times New Roman"/>
          <w:lang w:val="en-GB"/>
        </w:rPr>
        <w:t xml:space="preserve">the </w:t>
      </w:r>
      <w:r>
        <w:rPr>
          <w:rFonts w:ascii="Times New Roman" w:hAnsi="Times New Roman" w:cs="Times New Roman"/>
          <w:lang w:val="en-GB"/>
        </w:rPr>
        <w:t>adoption of non-equity partners</w:t>
      </w:r>
      <w:r w:rsidR="009C51F7">
        <w:rPr>
          <w:rFonts w:ascii="Times New Roman" w:hAnsi="Times New Roman" w:cs="Times New Roman"/>
          <w:lang w:val="en-GB"/>
        </w:rPr>
        <w:t>hip</w:t>
      </w:r>
      <w:r>
        <w:rPr>
          <w:rFonts w:ascii="Times New Roman" w:hAnsi="Times New Roman" w:cs="Times New Roman"/>
          <w:lang w:val="en-GB"/>
        </w:rPr>
        <w:t>.</w:t>
      </w:r>
    </w:p>
    <w:p w14:paraId="40926759" w14:textId="0BABD1B8" w:rsidR="007A0926" w:rsidRDefault="003D11BE" w:rsidP="00621D92">
      <w:pPr>
        <w:spacing w:line="480" w:lineRule="auto"/>
        <w:jc w:val="both"/>
        <w:rPr>
          <w:rFonts w:ascii="Times New Roman" w:hAnsi="Times New Roman" w:cs="Times New Roman"/>
          <w:lang w:val="en-GB"/>
        </w:rPr>
      </w:pPr>
      <w:r>
        <w:rPr>
          <w:rFonts w:ascii="Times New Roman" w:hAnsi="Times New Roman" w:cs="Times New Roman"/>
          <w:b/>
          <w:lang w:val="en-GB"/>
        </w:rPr>
        <w:t>P</w:t>
      </w:r>
      <w:r w:rsidR="00B93365">
        <w:rPr>
          <w:rFonts w:ascii="Times New Roman" w:hAnsi="Times New Roman" w:cs="Times New Roman"/>
          <w:lang w:val="en-GB"/>
        </w:rPr>
        <w:t>ositive evaluations might also play a role in deviation from the norm (Paolella &amp; Durand, 2016). One of the key social evaluation play</w:t>
      </w:r>
      <w:r w:rsidR="00417CD5">
        <w:rPr>
          <w:rFonts w:ascii="Times New Roman" w:hAnsi="Times New Roman" w:cs="Times New Roman"/>
          <w:lang w:val="en-GB"/>
        </w:rPr>
        <w:t>ing a role in the engagement with insti</w:t>
      </w:r>
      <w:r w:rsidR="00FB0E17">
        <w:rPr>
          <w:rFonts w:ascii="Times New Roman" w:hAnsi="Times New Roman" w:cs="Times New Roman"/>
          <w:lang w:val="en-GB"/>
        </w:rPr>
        <w:t>tutions is reputation (Rao, 1998</w:t>
      </w:r>
      <w:r w:rsidR="00417CD5">
        <w:rPr>
          <w:rFonts w:ascii="Times New Roman" w:hAnsi="Times New Roman" w:cs="Times New Roman"/>
          <w:lang w:val="en-GB"/>
        </w:rPr>
        <w:t>).</w:t>
      </w:r>
      <w:r w:rsidR="00FB0E17">
        <w:rPr>
          <w:rFonts w:ascii="Times New Roman" w:hAnsi="Times New Roman" w:cs="Times New Roman"/>
          <w:lang w:val="en-GB"/>
        </w:rPr>
        <w:t xml:space="preserve"> Reputation is defined as the “stake</w:t>
      </w:r>
      <w:r w:rsidR="00FB0E17" w:rsidRPr="00FB0E17">
        <w:rPr>
          <w:rFonts w:ascii="Times New Roman" w:hAnsi="Times New Roman" w:cs="Times New Roman"/>
          <w:lang w:val="en-GB"/>
        </w:rPr>
        <w:t>holders</w:t>
      </w:r>
      <w:r w:rsidR="001306A1">
        <w:rPr>
          <w:rFonts w:ascii="Times New Roman" w:hAnsi="Times New Roman" w:cs="Times New Roman"/>
          <w:lang w:val="en-GB"/>
        </w:rPr>
        <w:t>’</w:t>
      </w:r>
      <w:r w:rsidR="00FB0E17" w:rsidRPr="00FB0E17">
        <w:rPr>
          <w:rFonts w:ascii="Times New Roman" w:hAnsi="Times New Roman" w:cs="Times New Roman"/>
          <w:lang w:val="en-GB"/>
        </w:rPr>
        <w:t xml:space="preserve"> perceptio</w:t>
      </w:r>
      <w:r w:rsidR="00FB0E17">
        <w:rPr>
          <w:rFonts w:ascii="Times New Roman" w:hAnsi="Times New Roman" w:cs="Times New Roman"/>
          <w:lang w:val="en-GB"/>
        </w:rPr>
        <w:t>ns about an organization</w:t>
      </w:r>
      <w:r w:rsidR="001306A1">
        <w:rPr>
          <w:rFonts w:ascii="Times New Roman" w:hAnsi="Times New Roman" w:cs="Times New Roman"/>
          <w:lang w:val="en-GB"/>
        </w:rPr>
        <w:t>’</w:t>
      </w:r>
      <w:r w:rsidR="00FB0E17">
        <w:rPr>
          <w:rFonts w:ascii="Times New Roman" w:hAnsi="Times New Roman" w:cs="Times New Roman"/>
          <w:lang w:val="en-GB"/>
        </w:rPr>
        <w:t>s abil</w:t>
      </w:r>
      <w:r w:rsidR="00FB0E17" w:rsidRPr="00FB0E17">
        <w:rPr>
          <w:rFonts w:ascii="Times New Roman" w:hAnsi="Times New Roman" w:cs="Times New Roman"/>
          <w:lang w:val="en-GB"/>
        </w:rPr>
        <w:t>ity to create value relative to competitors</w:t>
      </w:r>
      <w:r w:rsidR="00FB0E17">
        <w:rPr>
          <w:rFonts w:ascii="Times New Roman" w:hAnsi="Times New Roman" w:cs="Times New Roman"/>
          <w:lang w:val="en-GB"/>
        </w:rPr>
        <w:t>” (</w:t>
      </w:r>
      <w:r w:rsidR="001306A1">
        <w:rPr>
          <w:rFonts w:ascii="Times New Roman" w:hAnsi="Times New Roman" w:cs="Times New Roman"/>
          <w:lang w:val="en-GB"/>
        </w:rPr>
        <w:t xml:space="preserve">Rindova et al., </w:t>
      </w:r>
      <w:r w:rsidR="000F3745">
        <w:rPr>
          <w:rFonts w:ascii="Times New Roman" w:hAnsi="Times New Roman" w:cs="Times New Roman"/>
          <w:lang w:val="en-GB"/>
        </w:rPr>
        <w:t>2005: 1033).</w:t>
      </w:r>
      <w:r w:rsidR="00FB0E17" w:rsidRPr="00FB0E17">
        <w:rPr>
          <w:rFonts w:ascii="Times New Roman" w:hAnsi="Times New Roman" w:cs="Times New Roman"/>
          <w:lang w:val="en-GB"/>
        </w:rPr>
        <w:t xml:space="preserve"> </w:t>
      </w:r>
      <w:r w:rsidR="00417CD5">
        <w:rPr>
          <w:rFonts w:ascii="Times New Roman" w:hAnsi="Times New Roman" w:cs="Times New Roman"/>
          <w:lang w:val="en-GB"/>
        </w:rPr>
        <w:t xml:space="preserve"> </w:t>
      </w:r>
      <w:r w:rsidR="00A96A61">
        <w:rPr>
          <w:rFonts w:ascii="Times New Roman" w:hAnsi="Times New Roman" w:cs="Times New Roman"/>
          <w:lang w:val="en-GB"/>
        </w:rPr>
        <w:t>The uncertainty about the quality of a servi</w:t>
      </w:r>
      <w:r w:rsidR="007A0926">
        <w:rPr>
          <w:rFonts w:ascii="Times New Roman" w:hAnsi="Times New Roman" w:cs="Times New Roman"/>
          <w:lang w:val="en-GB"/>
        </w:rPr>
        <w:t>ce provider is compensated by the exchange of information that forms the basis for a reputation judgement (Rao</w:t>
      </w:r>
      <w:r w:rsidR="004B3B74">
        <w:rPr>
          <w:rFonts w:ascii="Times New Roman" w:hAnsi="Times New Roman" w:cs="Times New Roman"/>
          <w:lang w:val="en-GB"/>
        </w:rPr>
        <w:t>,</w:t>
      </w:r>
      <w:r w:rsidR="007A0926">
        <w:rPr>
          <w:rFonts w:ascii="Times New Roman" w:hAnsi="Times New Roman" w:cs="Times New Roman"/>
          <w:lang w:val="en-GB"/>
        </w:rPr>
        <w:t xml:space="preserve"> 1998). </w:t>
      </w:r>
      <w:r w:rsidR="007F54FB">
        <w:rPr>
          <w:rFonts w:ascii="Times New Roman" w:hAnsi="Times New Roman" w:cs="Times New Roman"/>
          <w:lang w:val="en-GB"/>
        </w:rPr>
        <w:t xml:space="preserve">Reputation </w:t>
      </w:r>
      <w:r w:rsidR="00A21B05">
        <w:rPr>
          <w:rFonts w:ascii="Times New Roman" w:hAnsi="Times New Roman" w:cs="Times New Roman"/>
          <w:lang w:val="en-GB"/>
        </w:rPr>
        <w:t>at the organizational level can be conceptualized as the aggregation of micro-level behaviours (Etter</w:t>
      </w:r>
      <w:r w:rsidR="001306A1">
        <w:rPr>
          <w:rFonts w:ascii="Times New Roman" w:hAnsi="Times New Roman" w:cs="Times New Roman"/>
          <w:lang w:val="en-GB"/>
        </w:rPr>
        <w:t xml:space="preserve"> et al., f</w:t>
      </w:r>
      <w:r w:rsidR="008E104B">
        <w:rPr>
          <w:rFonts w:ascii="Times New Roman" w:hAnsi="Times New Roman" w:cs="Times New Roman"/>
          <w:lang w:val="en-GB"/>
        </w:rPr>
        <w:t>orthcoming)</w:t>
      </w:r>
      <w:r w:rsidR="007F2776">
        <w:rPr>
          <w:rFonts w:ascii="Times New Roman" w:hAnsi="Times New Roman" w:cs="Times New Roman"/>
          <w:lang w:val="en-GB"/>
        </w:rPr>
        <w:t>, and in sectors in which human capital is so crucial such as in professional service firms (Von Nordenflycht, 2010)</w:t>
      </w:r>
      <w:r w:rsidR="00620892">
        <w:rPr>
          <w:rFonts w:ascii="Times New Roman" w:hAnsi="Times New Roman" w:cs="Times New Roman"/>
          <w:lang w:val="en-GB"/>
        </w:rPr>
        <w:t xml:space="preserve"> individuals can be the main drivers of reputation.</w:t>
      </w:r>
      <w:r w:rsidR="00744480">
        <w:rPr>
          <w:rFonts w:ascii="Times New Roman" w:hAnsi="Times New Roman" w:cs="Times New Roman"/>
          <w:lang w:val="en-GB"/>
        </w:rPr>
        <w:t xml:space="preserve"> In fact, in this case, high reputation of individuals can translate into high reputation for the organization.</w:t>
      </w:r>
    </w:p>
    <w:p w14:paraId="22C376F5" w14:textId="6519250C" w:rsidR="008D5F2E" w:rsidRDefault="006F2A9E" w:rsidP="007C157A">
      <w:pPr>
        <w:spacing w:line="480" w:lineRule="auto"/>
        <w:ind w:firstLine="720"/>
        <w:jc w:val="both"/>
        <w:rPr>
          <w:rFonts w:ascii="Times New Roman" w:hAnsi="Times New Roman" w:cs="Times New Roman"/>
          <w:lang w:val="en-GB"/>
        </w:rPr>
      </w:pPr>
      <w:r>
        <w:rPr>
          <w:rFonts w:ascii="Times New Roman" w:hAnsi="Times New Roman" w:cs="Times New Roman"/>
          <w:lang w:val="en-GB"/>
        </w:rPr>
        <w:t>In the case of law firms, partners are ranked and compared on a regular basis as experts in their areas.</w:t>
      </w:r>
      <w:r w:rsidR="00573620">
        <w:rPr>
          <w:rFonts w:ascii="Times New Roman" w:hAnsi="Times New Roman" w:cs="Times New Roman"/>
          <w:lang w:val="en-GB"/>
        </w:rPr>
        <w:t xml:space="preserve"> Partners are compared to their peers across firms, at the field level.</w:t>
      </w:r>
      <w:r>
        <w:rPr>
          <w:rFonts w:ascii="Times New Roman" w:hAnsi="Times New Roman" w:cs="Times New Roman"/>
          <w:lang w:val="en-GB"/>
        </w:rPr>
        <w:t xml:space="preserve"> They make or break the reputation of their organization</w:t>
      </w:r>
      <w:r w:rsidR="00D7708F">
        <w:rPr>
          <w:rFonts w:ascii="Times New Roman" w:hAnsi="Times New Roman" w:cs="Times New Roman"/>
          <w:lang w:val="en-GB"/>
        </w:rPr>
        <w:t xml:space="preserve"> as the individual interactions with institutionalized practice</w:t>
      </w:r>
      <w:r w:rsidR="00E324EF">
        <w:rPr>
          <w:rFonts w:ascii="Times New Roman" w:hAnsi="Times New Roman" w:cs="Times New Roman"/>
          <w:lang w:val="en-GB"/>
        </w:rPr>
        <w:t>s</w:t>
      </w:r>
      <w:r w:rsidR="00D7708F">
        <w:rPr>
          <w:rFonts w:ascii="Times New Roman" w:hAnsi="Times New Roman" w:cs="Times New Roman"/>
          <w:lang w:val="en-GB"/>
        </w:rPr>
        <w:t xml:space="preserve"> can </w:t>
      </w:r>
      <w:r w:rsidR="00E324EF">
        <w:rPr>
          <w:rFonts w:ascii="Times New Roman" w:hAnsi="Times New Roman" w:cs="Times New Roman"/>
          <w:lang w:val="en-GB"/>
        </w:rPr>
        <w:t>yield organizational consequences that deter or encourage organization</w:t>
      </w:r>
      <w:r w:rsidR="003D11BE">
        <w:rPr>
          <w:rFonts w:ascii="Times New Roman" w:hAnsi="Times New Roman" w:cs="Times New Roman"/>
          <w:lang w:val="en-GB"/>
        </w:rPr>
        <w:t>s</w:t>
      </w:r>
      <w:r w:rsidR="00E324EF">
        <w:rPr>
          <w:rFonts w:ascii="Times New Roman" w:hAnsi="Times New Roman" w:cs="Times New Roman"/>
          <w:lang w:val="en-GB"/>
        </w:rPr>
        <w:t xml:space="preserve"> to enact or refuse institutional change (Roulet, 2019)</w:t>
      </w:r>
      <w:r>
        <w:rPr>
          <w:rFonts w:ascii="Times New Roman" w:hAnsi="Times New Roman" w:cs="Times New Roman"/>
          <w:lang w:val="en-GB"/>
        </w:rPr>
        <w:t>.</w:t>
      </w:r>
      <w:r w:rsidR="00620892">
        <w:rPr>
          <w:rFonts w:ascii="Times New Roman" w:hAnsi="Times New Roman" w:cs="Times New Roman"/>
          <w:lang w:val="en-GB"/>
        </w:rPr>
        <w:t xml:space="preserve"> Although they form a collective for the organization, star lawyers can drive up the deference of stakeholders towards the organization.</w:t>
      </w:r>
      <w:r>
        <w:rPr>
          <w:rFonts w:ascii="Times New Roman" w:hAnsi="Times New Roman" w:cs="Times New Roman"/>
          <w:lang w:val="en-GB"/>
        </w:rPr>
        <w:t xml:space="preserve"> </w:t>
      </w:r>
      <w:r w:rsidR="000613FA">
        <w:rPr>
          <w:rFonts w:ascii="Times New Roman" w:hAnsi="Times New Roman" w:cs="Times New Roman"/>
          <w:lang w:val="en-GB"/>
        </w:rPr>
        <w:t>H</w:t>
      </w:r>
      <w:r w:rsidR="00E33411">
        <w:rPr>
          <w:rFonts w:ascii="Times New Roman" w:hAnsi="Times New Roman" w:cs="Times New Roman"/>
          <w:lang w:val="en-GB"/>
        </w:rPr>
        <w:t xml:space="preserve">igher </w:t>
      </w:r>
      <w:r w:rsidR="000613FA">
        <w:rPr>
          <w:rFonts w:ascii="Times New Roman" w:hAnsi="Times New Roman" w:cs="Times New Roman"/>
          <w:lang w:val="en-GB"/>
        </w:rPr>
        <w:t xml:space="preserve">reputation </w:t>
      </w:r>
      <w:r w:rsidR="00E33411">
        <w:rPr>
          <w:rFonts w:ascii="Times New Roman" w:hAnsi="Times New Roman" w:cs="Times New Roman"/>
          <w:lang w:val="en-GB"/>
        </w:rPr>
        <w:t>partners</w:t>
      </w:r>
      <w:r w:rsidR="007966DB">
        <w:rPr>
          <w:rFonts w:ascii="Times New Roman" w:hAnsi="Times New Roman" w:cs="Times New Roman"/>
          <w:lang w:val="en-GB"/>
        </w:rPr>
        <w:t xml:space="preserve"> will tend to</w:t>
      </w:r>
      <w:r w:rsidR="0080614A">
        <w:rPr>
          <w:rFonts w:ascii="Times New Roman" w:hAnsi="Times New Roman" w:cs="Times New Roman"/>
          <w:lang w:val="en-GB"/>
        </w:rPr>
        <w:t xml:space="preserve"> be conservative with regards to opportunities of institutional change.</w:t>
      </w:r>
      <w:r w:rsidR="007966DB">
        <w:rPr>
          <w:rFonts w:ascii="Times New Roman" w:hAnsi="Times New Roman" w:cs="Times New Roman"/>
          <w:lang w:val="en-GB"/>
        </w:rPr>
        <w:t xml:space="preserve"> </w:t>
      </w:r>
      <w:r w:rsidR="0080614A">
        <w:rPr>
          <w:rFonts w:ascii="Times New Roman" w:hAnsi="Times New Roman" w:cs="Times New Roman"/>
          <w:lang w:val="en-GB"/>
        </w:rPr>
        <w:t xml:space="preserve">They will </w:t>
      </w:r>
      <w:r w:rsidR="007966DB">
        <w:rPr>
          <w:rFonts w:ascii="Times New Roman" w:hAnsi="Times New Roman" w:cs="Times New Roman"/>
          <w:lang w:val="en-GB"/>
        </w:rPr>
        <w:t xml:space="preserve">reproduce existing </w:t>
      </w:r>
      <w:r w:rsidR="00E61382">
        <w:rPr>
          <w:rFonts w:ascii="Times New Roman" w:hAnsi="Times New Roman" w:cs="Times New Roman"/>
          <w:lang w:val="en-GB"/>
        </w:rPr>
        <w:t>practices</w:t>
      </w:r>
      <w:r w:rsidR="007966DB">
        <w:rPr>
          <w:rFonts w:ascii="Times New Roman" w:hAnsi="Times New Roman" w:cs="Times New Roman"/>
          <w:lang w:val="en-GB"/>
        </w:rPr>
        <w:t xml:space="preserve"> </w:t>
      </w:r>
      <w:r w:rsidR="00A267D4">
        <w:rPr>
          <w:rFonts w:ascii="Times New Roman" w:hAnsi="Times New Roman" w:cs="Times New Roman"/>
          <w:lang w:val="en-GB"/>
        </w:rPr>
        <w:t xml:space="preserve">that have benefitted them and their </w:t>
      </w:r>
      <w:r w:rsidR="000613FA">
        <w:rPr>
          <w:rFonts w:ascii="Times New Roman" w:hAnsi="Times New Roman" w:cs="Times New Roman"/>
          <w:lang w:val="en-GB"/>
        </w:rPr>
        <w:t xml:space="preserve">reputation </w:t>
      </w:r>
      <w:r w:rsidR="00A267D4">
        <w:rPr>
          <w:rFonts w:ascii="Times New Roman" w:hAnsi="Times New Roman" w:cs="Times New Roman"/>
          <w:lang w:val="en-GB"/>
        </w:rPr>
        <w:t xml:space="preserve">(as it enabled them to become partner) </w:t>
      </w:r>
      <w:r w:rsidR="007966DB">
        <w:rPr>
          <w:rFonts w:ascii="Times New Roman" w:hAnsi="Times New Roman" w:cs="Times New Roman"/>
          <w:lang w:val="en-GB"/>
        </w:rPr>
        <w:t>and will also align against</w:t>
      </w:r>
      <w:r w:rsidR="005467CF">
        <w:rPr>
          <w:rFonts w:ascii="Times New Roman" w:hAnsi="Times New Roman" w:cs="Times New Roman"/>
          <w:lang w:val="en-GB"/>
        </w:rPr>
        <w:t xml:space="preserve"> </w:t>
      </w:r>
      <w:r w:rsidR="00C43E5B">
        <w:rPr>
          <w:rFonts w:ascii="Times New Roman" w:hAnsi="Times New Roman" w:cs="Times New Roman"/>
          <w:lang w:val="en-GB"/>
        </w:rPr>
        <w:t>new practices</w:t>
      </w:r>
      <w:r w:rsidR="00F5608B">
        <w:rPr>
          <w:rFonts w:ascii="Times New Roman" w:hAnsi="Times New Roman" w:cs="Times New Roman"/>
          <w:lang w:val="en-GB"/>
        </w:rPr>
        <w:t>. C</w:t>
      </w:r>
      <w:r w:rsidR="00DF50E8">
        <w:rPr>
          <w:rFonts w:ascii="Times New Roman" w:hAnsi="Times New Roman" w:cs="Times New Roman"/>
          <w:lang w:val="en-GB"/>
        </w:rPr>
        <w:t>onformity t</w:t>
      </w:r>
      <w:r w:rsidR="00F5751E">
        <w:rPr>
          <w:rFonts w:ascii="Times New Roman" w:hAnsi="Times New Roman" w:cs="Times New Roman"/>
          <w:lang w:val="en-GB"/>
        </w:rPr>
        <w:t>o institutional practices</w:t>
      </w:r>
      <w:r w:rsidR="00F5608B">
        <w:rPr>
          <w:rFonts w:ascii="Times New Roman" w:hAnsi="Times New Roman" w:cs="Times New Roman"/>
          <w:lang w:val="en-GB"/>
        </w:rPr>
        <w:t xml:space="preserve"> is usually seen at odds with reputation as a signal of differentiation, </w:t>
      </w:r>
      <w:r w:rsidR="003423AF">
        <w:rPr>
          <w:rFonts w:ascii="Times New Roman" w:hAnsi="Times New Roman" w:cs="Times New Roman"/>
          <w:lang w:val="en-GB"/>
        </w:rPr>
        <w:t xml:space="preserve">but individual differentiation may compensate for a </w:t>
      </w:r>
      <w:r w:rsidR="00360231">
        <w:rPr>
          <w:rFonts w:ascii="Times New Roman" w:hAnsi="Times New Roman" w:cs="Times New Roman"/>
          <w:lang w:val="en-GB"/>
        </w:rPr>
        <w:t>non-discriminating posture at the organizational level</w:t>
      </w:r>
      <w:r w:rsidR="00F5751E">
        <w:rPr>
          <w:rFonts w:ascii="Times New Roman" w:hAnsi="Times New Roman" w:cs="Times New Roman"/>
          <w:lang w:val="en-GB"/>
        </w:rPr>
        <w:t xml:space="preserve"> (Bergh, et al. 2010). </w:t>
      </w:r>
      <w:r w:rsidR="000B1B14" w:rsidRPr="007C157A">
        <w:rPr>
          <w:rFonts w:ascii="Times New Roman" w:hAnsi="Times New Roman" w:cs="Times New Roman"/>
          <w:lang w:val="en-GB"/>
        </w:rPr>
        <w:t xml:space="preserve">Thus we </w:t>
      </w:r>
      <w:r w:rsidR="00334FED">
        <w:rPr>
          <w:rFonts w:ascii="Times New Roman" w:hAnsi="Times New Roman" w:cs="Times New Roman"/>
          <w:lang w:val="en-GB"/>
        </w:rPr>
        <w:t>expect</w:t>
      </w:r>
      <w:r w:rsidR="000B1B14" w:rsidRPr="007C157A">
        <w:rPr>
          <w:rFonts w:ascii="Times New Roman" w:hAnsi="Times New Roman" w:cs="Times New Roman"/>
          <w:lang w:val="en-GB"/>
        </w:rPr>
        <w:t xml:space="preserve"> that</w:t>
      </w:r>
      <w:r w:rsidR="000B1B14">
        <w:rPr>
          <w:rFonts w:ascii="Times New Roman" w:hAnsi="Times New Roman" w:cs="Times New Roman"/>
          <w:b/>
          <w:lang w:val="en-GB"/>
        </w:rPr>
        <w:t xml:space="preserve"> </w:t>
      </w:r>
      <w:r w:rsidR="000B1B14">
        <w:rPr>
          <w:rFonts w:ascii="Times New Roman" w:hAnsi="Times New Roman" w:cs="Times New Roman"/>
          <w:lang w:val="en-GB"/>
        </w:rPr>
        <w:t>t</w:t>
      </w:r>
      <w:r w:rsidR="00207913" w:rsidRPr="00207913">
        <w:rPr>
          <w:rFonts w:ascii="Times New Roman" w:hAnsi="Times New Roman" w:cs="Times New Roman"/>
          <w:lang w:val="en-GB"/>
        </w:rPr>
        <w:t>he hi</w:t>
      </w:r>
      <w:r w:rsidR="00D62306">
        <w:rPr>
          <w:rFonts w:ascii="Times New Roman" w:hAnsi="Times New Roman" w:cs="Times New Roman"/>
          <w:lang w:val="en-GB"/>
        </w:rPr>
        <w:t xml:space="preserve">gher the </w:t>
      </w:r>
      <w:r w:rsidR="00807D69" w:rsidRPr="00521186">
        <w:rPr>
          <w:rFonts w:ascii="Times New Roman" w:hAnsi="Times New Roman" w:cs="Times New Roman"/>
          <w:b/>
          <w:i/>
          <w:lang w:val="en-GB"/>
        </w:rPr>
        <w:t xml:space="preserve">average reputation </w:t>
      </w:r>
      <w:r w:rsidR="00D62306" w:rsidRPr="00521186">
        <w:rPr>
          <w:rFonts w:ascii="Times New Roman" w:hAnsi="Times New Roman" w:cs="Times New Roman"/>
          <w:b/>
          <w:i/>
          <w:lang w:val="en-GB"/>
        </w:rPr>
        <w:t>of the partners</w:t>
      </w:r>
      <w:r w:rsidR="00807D69">
        <w:rPr>
          <w:rFonts w:ascii="Times New Roman" w:hAnsi="Times New Roman" w:cs="Times New Roman"/>
          <w:lang w:val="en-GB"/>
        </w:rPr>
        <w:t xml:space="preserve"> in an organization</w:t>
      </w:r>
      <w:r w:rsidR="00D62306">
        <w:rPr>
          <w:rFonts w:ascii="Times New Roman" w:hAnsi="Times New Roman" w:cs="Times New Roman"/>
          <w:lang w:val="en-GB"/>
        </w:rPr>
        <w:t xml:space="preserve">, </w:t>
      </w:r>
      <w:r w:rsidR="00207913" w:rsidRPr="00207913">
        <w:rPr>
          <w:rFonts w:ascii="Times New Roman" w:hAnsi="Times New Roman" w:cs="Times New Roman"/>
          <w:lang w:val="en-GB"/>
        </w:rPr>
        <w:t xml:space="preserve">the more reluctant their organization will be to disengage from the </w:t>
      </w:r>
      <w:r w:rsidR="00E61382">
        <w:rPr>
          <w:rFonts w:ascii="Times New Roman" w:hAnsi="Times New Roman" w:cs="Times New Roman"/>
          <w:lang w:val="en-GB"/>
        </w:rPr>
        <w:t xml:space="preserve">practice. </w:t>
      </w:r>
    </w:p>
    <w:p w14:paraId="1793A8B2" w14:textId="10AF1C72" w:rsidR="00AB2B9C" w:rsidRDefault="00AB2B9C" w:rsidP="00AB2B9C">
      <w:pPr>
        <w:spacing w:line="480" w:lineRule="auto"/>
        <w:ind w:firstLine="720"/>
        <w:jc w:val="both"/>
        <w:rPr>
          <w:rFonts w:ascii="Times New Roman" w:hAnsi="Times New Roman" w:cs="Times New Roman"/>
          <w:lang w:val="en-GB"/>
        </w:rPr>
      </w:pPr>
      <w:r w:rsidRPr="00621EC1">
        <w:rPr>
          <w:rFonts w:ascii="Times New Roman" w:hAnsi="Times New Roman" w:cs="Times New Roman"/>
          <w:i/>
          <w:lang w:val="en-GB"/>
        </w:rPr>
        <w:t xml:space="preserve">Hypothesis </w:t>
      </w:r>
      <w:r>
        <w:rPr>
          <w:rFonts w:ascii="Times New Roman" w:hAnsi="Times New Roman" w:cs="Times New Roman"/>
          <w:i/>
          <w:lang w:val="en-GB"/>
        </w:rPr>
        <w:t>5</w:t>
      </w:r>
      <w:r w:rsidRPr="00621EC1">
        <w:rPr>
          <w:rFonts w:ascii="Times New Roman" w:hAnsi="Times New Roman" w:cs="Times New Roman"/>
          <w:i/>
          <w:lang w:val="en-GB"/>
        </w:rPr>
        <w:t>:</w:t>
      </w:r>
      <w:r>
        <w:rPr>
          <w:rFonts w:ascii="Times New Roman" w:hAnsi="Times New Roman" w:cs="Times New Roman"/>
          <w:lang w:val="en-GB"/>
        </w:rPr>
        <w:t xml:space="preserve"> </w:t>
      </w:r>
      <w:r w:rsidR="006A62D7">
        <w:rPr>
          <w:rFonts w:ascii="Times New Roman" w:hAnsi="Times New Roman" w:cs="Times New Roman"/>
          <w:lang w:val="en-GB"/>
        </w:rPr>
        <w:t>The a</w:t>
      </w:r>
      <w:r>
        <w:rPr>
          <w:rFonts w:ascii="Times New Roman" w:hAnsi="Times New Roman" w:cs="Times New Roman"/>
          <w:lang w:val="en-GB"/>
        </w:rPr>
        <w:t>verage</w:t>
      </w:r>
      <w:r w:rsidR="00FD6C62">
        <w:rPr>
          <w:rFonts w:ascii="Times New Roman" w:hAnsi="Times New Roman" w:cs="Times New Roman"/>
          <w:lang w:val="en-GB"/>
        </w:rPr>
        <w:t xml:space="preserve"> reputation of the partners</w:t>
      </w:r>
      <w:r>
        <w:rPr>
          <w:rFonts w:ascii="Times New Roman" w:hAnsi="Times New Roman" w:cs="Times New Roman"/>
          <w:lang w:val="en-GB"/>
        </w:rPr>
        <w:t xml:space="preserve"> </w:t>
      </w:r>
      <w:r w:rsidR="00304B03">
        <w:rPr>
          <w:rFonts w:ascii="Times New Roman" w:hAnsi="Times New Roman" w:cs="Times New Roman"/>
          <w:lang w:val="en-GB"/>
        </w:rPr>
        <w:t xml:space="preserve">will be negatively </w:t>
      </w:r>
      <w:r>
        <w:rPr>
          <w:rFonts w:ascii="Times New Roman" w:hAnsi="Times New Roman" w:cs="Times New Roman"/>
          <w:lang w:val="en-GB"/>
        </w:rPr>
        <w:t xml:space="preserve">associated with </w:t>
      </w:r>
      <w:r w:rsidR="006A62D7">
        <w:rPr>
          <w:rFonts w:ascii="Times New Roman" w:hAnsi="Times New Roman" w:cs="Times New Roman"/>
          <w:lang w:val="en-GB"/>
        </w:rPr>
        <w:t xml:space="preserve">the </w:t>
      </w:r>
      <w:r>
        <w:rPr>
          <w:rFonts w:ascii="Times New Roman" w:hAnsi="Times New Roman" w:cs="Times New Roman"/>
          <w:lang w:val="en-GB"/>
        </w:rPr>
        <w:t>adoption of non-equity partners</w:t>
      </w:r>
      <w:r w:rsidR="006A62D7">
        <w:rPr>
          <w:rFonts w:ascii="Times New Roman" w:hAnsi="Times New Roman" w:cs="Times New Roman"/>
          <w:lang w:val="en-GB"/>
        </w:rPr>
        <w:t>hip</w:t>
      </w:r>
      <w:r>
        <w:rPr>
          <w:rFonts w:ascii="Times New Roman" w:hAnsi="Times New Roman" w:cs="Times New Roman"/>
          <w:lang w:val="en-GB"/>
        </w:rPr>
        <w:t>.</w:t>
      </w:r>
    </w:p>
    <w:p w14:paraId="2D4295D7" w14:textId="77777777" w:rsidR="005C5E70" w:rsidRPr="005C5E70" w:rsidRDefault="005C5E70" w:rsidP="005C5E70">
      <w:pPr>
        <w:spacing w:line="480" w:lineRule="auto"/>
        <w:jc w:val="both"/>
        <w:rPr>
          <w:rFonts w:ascii="Times New Roman" w:hAnsi="Times New Roman" w:cs="Times New Roman"/>
          <w:lang w:val="en-GB"/>
        </w:rPr>
      </w:pPr>
    </w:p>
    <w:p w14:paraId="338C90CA" w14:textId="330BFF66" w:rsidR="00220B5F" w:rsidRDefault="00220B5F" w:rsidP="00220B5F">
      <w:pPr>
        <w:spacing w:line="480" w:lineRule="auto"/>
        <w:jc w:val="center"/>
        <w:rPr>
          <w:rFonts w:ascii="Times New Roman" w:hAnsi="Times New Roman" w:cs="Times New Roman"/>
          <w:b/>
          <w:lang w:val="en-GB"/>
        </w:rPr>
      </w:pPr>
      <w:r>
        <w:rPr>
          <w:rFonts w:ascii="Times New Roman" w:hAnsi="Times New Roman" w:cs="Times New Roman"/>
          <w:b/>
          <w:lang w:val="en-GB"/>
        </w:rPr>
        <w:t xml:space="preserve">METHODS </w:t>
      </w:r>
    </w:p>
    <w:p w14:paraId="293ADA3E" w14:textId="77777777" w:rsidR="007361AA" w:rsidRPr="007361AA" w:rsidRDefault="007361AA" w:rsidP="00260F6C">
      <w:pPr>
        <w:spacing w:line="480" w:lineRule="auto"/>
        <w:rPr>
          <w:rFonts w:ascii="Times New Roman" w:hAnsi="Times New Roman" w:cs="Times New Roman"/>
          <w:b/>
          <w:lang w:val="en-GB"/>
        </w:rPr>
      </w:pPr>
      <w:r w:rsidRPr="007361AA">
        <w:rPr>
          <w:rFonts w:ascii="Times New Roman" w:hAnsi="Times New Roman" w:cs="Times New Roman"/>
          <w:b/>
          <w:lang w:val="en-GB"/>
        </w:rPr>
        <w:t>Data collection</w:t>
      </w:r>
    </w:p>
    <w:p w14:paraId="53C41B2F" w14:textId="16AFB7B3" w:rsidR="00670881" w:rsidRPr="00670881" w:rsidRDefault="0083576A" w:rsidP="00670881">
      <w:pPr>
        <w:spacing w:line="480" w:lineRule="auto"/>
        <w:jc w:val="both"/>
        <w:rPr>
          <w:rFonts w:ascii="Times New Roman" w:hAnsi="Times New Roman" w:cs="Times New Roman"/>
        </w:rPr>
      </w:pPr>
      <w:r w:rsidRPr="00260F6C">
        <w:rPr>
          <w:rFonts w:ascii="Times New Roman" w:hAnsi="Times New Roman" w:cs="Times New Roman"/>
          <w:lang w:val="en-GB"/>
        </w:rPr>
        <w:t>We built a comprehensive multi-level dataset capturing the characteristics of organizations (UK law firms) and thei</w:t>
      </w:r>
      <w:r>
        <w:rPr>
          <w:rFonts w:ascii="Times New Roman" w:hAnsi="Times New Roman" w:cs="Times New Roman"/>
          <w:lang w:val="en-GB"/>
        </w:rPr>
        <w:t xml:space="preserve">r senior employees (partners). </w:t>
      </w:r>
      <w:r w:rsidR="00670881" w:rsidRPr="00670881">
        <w:rPr>
          <w:rFonts w:ascii="Times New Roman" w:hAnsi="Times New Roman" w:cs="Times New Roman"/>
        </w:rPr>
        <w:t xml:space="preserve">We collected data on </w:t>
      </w:r>
      <w:r w:rsidR="00152A69">
        <w:rPr>
          <w:rFonts w:ascii="Times New Roman" w:hAnsi="Times New Roman" w:cs="Times New Roman"/>
        </w:rPr>
        <w:t xml:space="preserve">the </w:t>
      </w:r>
      <w:r w:rsidR="00670881" w:rsidRPr="00670881">
        <w:rPr>
          <w:rFonts w:ascii="Times New Roman" w:hAnsi="Times New Roman" w:cs="Times New Roman"/>
        </w:rPr>
        <w:t>reputation of UK lawyers in the legal directory</w:t>
      </w:r>
      <w:r w:rsidR="00670881" w:rsidRPr="00670881">
        <w:rPr>
          <w:rFonts w:ascii="Times New Roman" w:hAnsi="Times New Roman" w:cs="Times New Roman"/>
          <w:i/>
        </w:rPr>
        <w:t xml:space="preserve"> Chambers and Partners</w:t>
      </w:r>
      <w:r w:rsidR="00670881" w:rsidRPr="00670881">
        <w:rPr>
          <w:rFonts w:ascii="Times New Roman" w:hAnsi="Times New Roman" w:cs="Times New Roman"/>
        </w:rPr>
        <w:t xml:space="preserve"> for the period </w:t>
      </w:r>
      <w:r w:rsidR="0089397B" w:rsidRPr="00670881">
        <w:rPr>
          <w:rFonts w:ascii="Times New Roman" w:hAnsi="Times New Roman" w:cs="Times New Roman"/>
        </w:rPr>
        <w:t>200</w:t>
      </w:r>
      <w:r w:rsidR="0089397B">
        <w:rPr>
          <w:rFonts w:ascii="Times New Roman" w:hAnsi="Times New Roman" w:cs="Times New Roman"/>
        </w:rPr>
        <w:t>0</w:t>
      </w:r>
      <w:r w:rsidR="00670881" w:rsidRPr="00670881">
        <w:rPr>
          <w:rFonts w:ascii="Times New Roman" w:hAnsi="Times New Roman" w:cs="Times New Roman"/>
        </w:rPr>
        <w:t>-2016</w:t>
      </w:r>
      <w:r>
        <w:rPr>
          <w:rFonts w:ascii="Times New Roman" w:hAnsi="Times New Roman" w:cs="Times New Roman"/>
        </w:rPr>
        <w:t xml:space="preserve"> (</w:t>
      </w:r>
      <w:r w:rsidR="00152A69">
        <w:rPr>
          <w:rFonts w:ascii="Times New Roman" w:hAnsi="Times New Roman" w:cs="Times New Roman"/>
        </w:rPr>
        <w:t xml:space="preserve">as in </w:t>
      </w:r>
      <w:r>
        <w:rPr>
          <w:rFonts w:ascii="Times New Roman" w:hAnsi="Times New Roman" w:cs="Times New Roman"/>
        </w:rPr>
        <w:t>Paolella &amp; Durand, 2016)</w:t>
      </w:r>
      <w:r w:rsidR="00670881" w:rsidRPr="00670881">
        <w:rPr>
          <w:rFonts w:ascii="Times New Roman" w:hAnsi="Times New Roman" w:cs="Times New Roman"/>
        </w:rPr>
        <w:t xml:space="preserve">. This guide is an invaluable and indispensable source of guidance for in-house counsel in large corporations worldwide. It is designed primarily for firms that require access to pre-eminent practitioners in specific areas of law for instructing cases. Based on extensive independent research, </w:t>
      </w:r>
      <w:r w:rsidR="00670881" w:rsidRPr="00670881">
        <w:rPr>
          <w:rFonts w:ascii="Times New Roman" w:hAnsi="Times New Roman" w:cs="Times New Roman"/>
          <w:i/>
        </w:rPr>
        <w:t>Chambers and Partners</w:t>
      </w:r>
      <w:r w:rsidR="00670881" w:rsidRPr="00670881">
        <w:rPr>
          <w:rFonts w:ascii="Times New Roman" w:hAnsi="Times New Roman" w:cs="Times New Roman"/>
        </w:rPr>
        <w:t xml:space="preserve"> provides rankings of the best lawyers operating in a specific practice area. We selected eight different practice areas (competition-antitrust, tax, litigation, employment, corporate, intellectual property, real estate, bankruptcy) because they are independent and unrelated according to the experts and lawyers that we interviewed in preparation of this study. These practice areas not only cover conveniently all the scope of </w:t>
      </w:r>
      <w:r w:rsidR="00F9241B">
        <w:rPr>
          <w:rFonts w:ascii="Times New Roman" w:hAnsi="Times New Roman" w:cs="Times New Roman"/>
        </w:rPr>
        <w:t xml:space="preserve">law firms, </w:t>
      </w:r>
      <w:r w:rsidR="00670881" w:rsidRPr="00670881">
        <w:rPr>
          <w:rFonts w:ascii="Times New Roman" w:hAnsi="Times New Roman" w:cs="Times New Roman"/>
        </w:rPr>
        <w:t xml:space="preserve">but are also at the top of the list of work usually sent externally by clients and in-house counsels. In addition, we collected data </w:t>
      </w:r>
      <w:r w:rsidR="00F9241B">
        <w:rPr>
          <w:rFonts w:ascii="Times New Roman" w:hAnsi="Times New Roman" w:cs="Times New Roman"/>
        </w:rPr>
        <w:t xml:space="preserve">on the </w:t>
      </w:r>
      <w:r w:rsidR="00670881" w:rsidRPr="00670881">
        <w:rPr>
          <w:rFonts w:ascii="Times New Roman" w:hAnsi="Times New Roman" w:cs="Times New Roman"/>
        </w:rPr>
        <w:t xml:space="preserve">law firms in which the ranked lawyers were affiliated with using the professional publication </w:t>
      </w:r>
      <w:r w:rsidR="00F9241B" w:rsidRPr="00670881">
        <w:rPr>
          <w:rFonts w:ascii="Times New Roman" w:hAnsi="Times New Roman" w:cs="Times New Roman"/>
          <w:i/>
        </w:rPr>
        <w:t>Legal BusinessWeek</w:t>
      </w:r>
      <w:r w:rsidR="00670881" w:rsidRPr="00670881">
        <w:rPr>
          <w:rFonts w:ascii="Times New Roman" w:hAnsi="Times New Roman" w:cs="Times New Roman"/>
        </w:rPr>
        <w:t>.</w:t>
      </w:r>
    </w:p>
    <w:p w14:paraId="193BA52A" w14:textId="77777777" w:rsidR="007361AA" w:rsidRDefault="007361AA" w:rsidP="00260F6C">
      <w:pPr>
        <w:spacing w:line="480" w:lineRule="auto"/>
        <w:rPr>
          <w:rFonts w:ascii="Times New Roman" w:hAnsi="Times New Roman" w:cs="Times New Roman"/>
          <w:lang w:val="en-GB"/>
        </w:rPr>
      </w:pPr>
    </w:p>
    <w:p w14:paraId="3559B8EB" w14:textId="661F7910" w:rsidR="007361AA" w:rsidRPr="007361AA" w:rsidRDefault="007361AA" w:rsidP="00260F6C">
      <w:pPr>
        <w:spacing w:line="480" w:lineRule="auto"/>
        <w:rPr>
          <w:rFonts w:ascii="Times New Roman" w:hAnsi="Times New Roman" w:cs="Times New Roman"/>
          <w:b/>
          <w:lang w:val="en-GB"/>
        </w:rPr>
      </w:pPr>
      <w:r w:rsidRPr="007361AA">
        <w:rPr>
          <w:rFonts w:ascii="Times New Roman" w:hAnsi="Times New Roman" w:cs="Times New Roman"/>
          <w:b/>
          <w:lang w:val="en-GB"/>
        </w:rPr>
        <w:t>Variable definition</w:t>
      </w:r>
    </w:p>
    <w:p w14:paraId="60745B03" w14:textId="58C2CACC" w:rsidR="007361AA" w:rsidRDefault="00021EF2" w:rsidP="00021EF2">
      <w:pPr>
        <w:spacing w:line="480" w:lineRule="auto"/>
        <w:jc w:val="both"/>
        <w:rPr>
          <w:rFonts w:ascii="Times New Roman" w:hAnsi="Times New Roman" w:cs="Times New Roman"/>
          <w:lang w:val="en-GB"/>
        </w:rPr>
      </w:pPr>
      <w:r w:rsidRPr="00021EF2">
        <w:rPr>
          <w:rFonts w:ascii="Times New Roman" w:hAnsi="Times New Roman" w:cs="Times New Roman"/>
          <w:b/>
          <w:i/>
          <w:lang w:val="en-GB"/>
        </w:rPr>
        <w:t>Dependent variable</w:t>
      </w:r>
      <w:r>
        <w:rPr>
          <w:rFonts w:ascii="Times New Roman" w:hAnsi="Times New Roman" w:cs="Times New Roman"/>
          <w:lang w:val="en-GB"/>
        </w:rPr>
        <w:t xml:space="preserve">. </w:t>
      </w:r>
      <w:commentRangeStart w:id="1"/>
      <w:r w:rsidR="00086B6B" w:rsidRPr="00086B6B">
        <w:rPr>
          <w:rFonts w:ascii="Times New Roman" w:hAnsi="Times New Roman" w:cs="Times New Roman"/>
          <w:lang w:val="en-GB"/>
        </w:rPr>
        <w:t>Our dependent variable is the ratio of the number of non-equity partners to the total number of partners within the firm.</w:t>
      </w:r>
      <w:commentRangeEnd w:id="1"/>
      <w:r w:rsidR="001C2608">
        <w:rPr>
          <w:rStyle w:val="CommentReference"/>
        </w:rPr>
        <w:commentReference w:id="1"/>
      </w:r>
      <w:r w:rsidR="00602154">
        <w:rPr>
          <w:rFonts w:ascii="Times New Roman" w:hAnsi="Times New Roman" w:cs="Times New Roman"/>
          <w:lang w:val="en-GB"/>
        </w:rPr>
        <w:t xml:space="preserve"> The higher this ratio </w:t>
      </w:r>
      <w:r w:rsidR="00CE7DFF">
        <w:rPr>
          <w:rFonts w:ascii="Times New Roman" w:hAnsi="Times New Roman" w:cs="Times New Roman"/>
          <w:lang w:val="en-GB"/>
        </w:rPr>
        <w:t xml:space="preserve">is, </w:t>
      </w:r>
      <w:r w:rsidR="00447CC3">
        <w:rPr>
          <w:rFonts w:ascii="Times New Roman" w:hAnsi="Times New Roman" w:cs="Times New Roman"/>
          <w:lang w:val="en-GB"/>
        </w:rPr>
        <w:t>the higher the degree to which the</w:t>
      </w:r>
      <w:r w:rsidR="00602154">
        <w:rPr>
          <w:rFonts w:ascii="Times New Roman" w:hAnsi="Times New Roman" w:cs="Times New Roman"/>
          <w:lang w:val="en-GB"/>
        </w:rPr>
        <w:t xml:space="preserve"> firm has </w:t>
      </w:r>
      <w:r w:rsidR="00531FF9">
        <w:rPr>
          <w:rFonts w:ascii="Times New Roman" w:hAnsi="Times New Roman" w:cs="Times New Roman"/>
          <w:lang w:val="en-GB"/>
        </w:rPr>
        <w:t>disengaged</w:t>
      </w:r>
      <w:r w:rsidR="00602154">
        <w:rPr>
          <w:rFonts w:ascii="Times New Roman" w:hAnsi="Times New Roman" w:cs="Times New Roman"/>
          <w:lang w:val="en-GB"/>
        </w:rPr>
        <w:t xml:space="preserve"> </w:t>
      </w:r>
      <w:r w:rsidR="00CE7DFF">
        <w:rPr>
          <w:rFonts w:ascii="Times New Roman" w:hAnsi="Times New Roman" w:cs="Times New Roman"/>
          <w:lang w:val="en-GB"/>
        </w:rPr>
        <w:t>from</w:t>
      </w:r>
      <w:r w:rsidR="00602154">
        <w:rPr>
          <w:rFonts w:ascii="Times New Roman" w:hAnsi="Times New Roman" w:cs="Times New Roman"/>
          <w:lang w:val="en-GB"/>
        </w:rPr>
        <w:t xml:space="preserve"> the institutionalized practice</w:t>
      </w:r>
      <w:r w:rsidR="00447CC3">
        <w:rPr>
          <w:rFonts w:ascii="Times New Roman" w:hAnsi="Times New Roman" w:cs="Times New Roman"/>
          <w:lang w:val="en-GB"/>
        </w:rPr>
        <w:t>, or the higher deinstitutionalization</w:t>
      </w:r>
      <w:r w:rsidR="00CE7DFF">
        <w:rPr>
          <w:rFonts w:ascii="Times New Roman" w:hAnsi="Times New Roman" w:cs="Times New Roman"/>
          <w:lang w:val="en-GB"/>
        </w:rPr>
        <w:t xml:space="preserve"> is</w:t>
      </w:r>
      <w:r w:rsidR="00447CC3">
        <w:rPr>
          <w:rFonts w:ascii="Times New Roman" w:hAnsi="Times New Roman" w:cs="Times New Roman"/>
          <w:lang w:val="en-GB"/>
        </w:rPr>
        <w:t>.</w:t>
      </w:r>
    </w:p>
    <w:p w14:paraId="4F6DFC01" w14:textId="56658D16" w:rsidR="00021EF2" w:rsidRDefault="00021EF2" w:rsidP="00021EF2">
      <w:pPr>
        <w:spacing w:line="480" w:lineRule="auto"/>
        <w:jc w:val="both"/>
        <w:rPr>
          <w:rFonts w:ascii="Times New Roman" w:hAnsi="Times New Roman" w:cs="Times New Roman"/>
          <w:lang w:val="en-GB"/>
        </w:rPr>
      </w:pPr>
    </w:p>
    <w:p w14:paraId="50929400" w14:textId="77777777" w:rsidR="00BD0DF0" w:rsidRDefault="00021EF2" w:rsidP="00C316F6">
      <w:pPr>
        <w:spacing w:line="480" w:lineRule="auto"/>
        <w:jc w:val="both"/>
        <w:rPr>
          <w:rFonts w:ascii="Times New Roman" w:hAnsi="Times New Roman" w:cs="Times New Roman"/>
          <w:lang w:val="en-GB"/>
        </w:rPr>
      </w:pPr>
      <w:r w:rsidRPr="00021EF2">
        <w:rPr>
          <w:rFonts w:ascii="Times New Roman" w:hAnsi="Times New Roman" w:cs="Times New Roman"/>
          <w:b/>
          <w:i/>
          <w:lang w:val="en-GB"/>
        </w:rPr>
        <w:t>Independent variables</w:t>
      </w:r>
      <w:r>
        <w:rPr>
          <w:rFonts w:ascii="Times New Roman" w:hAnsi="Times New Roman" w:cs="Times New Roman"/>
          <w:lang w:val="en-GB"/>
        </w:rPr>
        <w:t xml:space="preserve">. </w:t>
      </w:r>
    </w:p>
    <w:p w14:paraId="554A69A6" w14:textId="5DBD3E0C" w:rsidR="00BD0DF0" w:rsidRPr="00BD0DF0" w:rsidRDefault="004508F5" w:rsidP="00BD0DF0">
      <w:pPr>
        <w:spacing w:line="480" w:lineRule="auto"/>
        <w:jc w:val="both"/>
        <w:rPr>
          <w:rFonts w:ascii="Times New Roman" w:hAnsi="Times New Roman" w:cs="Times New Roman"/>
        </w:rPr>
      </w:pPr>
      <w:r>
        <w:rPr>
          <w:rFonts w:ascii="Times New Roman" w:hAnsi="Times New Roman" w:cs="Times New Roman"/>
        </w:rPr>
        <w:t xml:space="preserve">As </w:t>
      </w:r>
      <w:r w:rsidR="00C6326A">
        <w:rPr>
          <w:rFonts w:ascii="Times New Roman" w:hAnsi="Times New Roman" w:cs="Times New Roman"/>
        </w:rPr>
        <w:t xml:space="preserve">for </w:t>
      </w:r>
      <w:r>
        <w:rPr>
          <w:rFonts w:ascii="Times New Roman" w:hAnsi="Times New Roman" w:cs="Times New Roman"/>
        </w:rPr>
        <w:t>our independent variable</w:t>
      </w:r>
      <w:r w:rsidR="00C6326A">
        <w:rPr>
          <w:rFonts w:ascii="Times New Roman" w:hAnsi="Times New Roman" w:cs="Times New Roman"/>
        </w:rPr>
        <w:t>s</w:t>
      </w:r>
      <w:r>
        <w:rPr>
          <w:rFonts w:ascii="Times New Roman" w:hAnsi="Times New Roman" w:cs="Times New Roman"/>
        </w:rPr>
        <w:t xml:space="preserve">, we first included </w:t>
      </w:r>
      <w:r w:rsidRPr="00165A4F">
        <w:rPr>
          <w:rFonts w:ascii="Times New Roman" w:hAnsi="Times New Roman" w:cs="Times New Roman"/>
          <w:b/>
          <w:i/>
        </w:rPr>
        <w:t>profit</w:t>
      </w:r>
      <w:r>
        <w:rPr>
          <w:rFonts w:ascii="Times New Roman" w:hAnsi="Times New Roman" w:cs="Times New Roman"/>
          <w:b/>
          <w:i/>
        </w:rPr>
        <w:t xml:space="preserve"> per equity partner </w:t>
      </w:r>
      <w:r>
        <w:rPr>
          <w:rFonts w:ascii="Times New Roman" w:hAnsi="Times New Roman" w:cs="Times New Roman"/>
        </w:rPr>
        <w:t>as a measure of firm performance</w:t>
      </w:r>
      <w:r w:rsidRPr="00165A4F">
        <w:rPr>
          <w:rFonts w:ascii="Times New Roman" w:hAnsi="Times New Roman" w:cs="Times New Roman"/>
          <w:b/>
          <w:i/>
        </w:rPr>
        <w:t>.</w:t>
      </w:r>
      <w:r>
        <w:rPr>
          <w:rFonts w:ascii="Times New Roman" w:hAnsi="Times New Roman" w:cs="Times New Roman"/>
        </w:rPr>
        <w:t xml:space="preserve"> To capture </w:t>
      </w:r>
      <w:r w:rsidRPr="007562AD">
        <w:rPr>
          <w:rFonts w:ascii="Times New Roman" w:hAnsi="Times New Roman" w:cs="Times New Roman"/>
        </w:rPr>
        <w:t>compensation disparity</w:t>
      </w:r>
      <w:r>
        <w:rPr>
          <w:rFonts w:ascii="Times New Roman" w:hAnsi="Times New Roman" w:cs="Times New Roman"/>
        </w:rPr>
        <w:t xml:space="preserve"> we </w:t>
      </w:r>
      <w:r w:rsidRPr="00C65659">
        <w:rPr>
          <w:rFonts w:ascii="Times New Roman" w:hAnsi="Times New Roman" w:cs="Times New Roman"/>
        </w:rPr>
        <w:t xml:space="preserve">included </w:t>
      </w:r>
      <w:r w:rsidRPr="007C7489">
        <w:rPr>
          <w:rFonts w:ascii="Times New Roman" w:hAnsi="Times New Roman" w:cs="Times New Roman"/>
          <w:b/>
          <w:i/>
        </w:rPr>
        <w:t>the spread</w:t>
      </w:r>
      <w:r w:rsidRPr="00C65659">
        <w:rPr>
          <w:rFonts w:ascii="Times New Roman" w:hAnsi="Times New Roman" w:cs="Times New Roman"/>
        </w:rPr>
        <w:t xml:space="preserve"> between the top of equity partners and the bottom of equity par</w:t>
      </w:r>
      <w:r>
        <w:rPr>
          <w:rFonts w:ascii="Times New Roman" w:hAnsi="Times New Roman" w:cs="Times New Roman"/>
        </w:rPr>
        <w:t>tners in terms of compensation</w:t>
      </w:r>
      <w:r w:rsidR="00614B76">
        <w:rPr>
          <w:rFonts w:ascii="Times New Roman" w:hAnsi="Times New Roman" w:cs="Times New Roman"/>
        </w:rPr>
        <w:t xml:space="preserve">. </w:t>
      </w:r>
      <w:r w:rsidR="00614B76" w:rsidRPr="00165A4F">
        <w:rPr>
          <w:rFonts w:ascii="Times New Roman" w:hAnsi="Times New Roman" w:cs="Times New Roman"/>
          <w:b/>
          <w:i/>
        </w:rPr>
        <w:t>Leverage</w:t>
      </w:r>
      <w:r w:rsidR="00614B76">
        <w:rPr>
          <w:rFonts w:ascii="Times New Roman" w:hAnsi="Times New Roman" w:cs="Times New Roman"/>
        </w:rPr>
        <w:t xml:space="preserve"> is </w:t>
      </w:r>
      <w:r w:rsidR="00614B76" w:rsidRPr="00C65659">
        <w:rPr>
          <w:rFonts w:ascii="Times New Roman" w:hAnsi="Times New Roman" w:cs="Times New Roman"/>
        </w:rPr>
        <w:t xml:space="preserve">computed as the ratio </w:t>
      </w:r>
      <w:r w:rsidR="00614B76" w:rsidRPr="007562AD">
        <w:rPr>
          <w:rFonts w:ascii="Times New Roman" w:hAnsi="Times New Roman" w:cs="Times New Roman"/>
        </w:rPr>
        <w:t>associates to partners.</w:t>
      </w:r>
      <w:r w:rsidR="00614B76">
        <w:rPr>
          <w:rFonts w:ascii="Times New Roman" w:hAnsi="Times New Roman" w:cs="Times New Roman"/>
          <w:i/>
        </w:rPr>
        <w:t xml:space="preserve"> </w:t>
      </w:r>
      <w:r w:rsidR="0038442F">
        <w:rPr>
          <w:rFonts w:ascii="Times New Roman" w:hAnsi="Times New Roman" w:cs="Times New Roman"/>
          <w:lang w:val="en-GB"/>
        </w:rPr>
        <w:t>We use the</w:t>
      </w:r>
      <w:r w:rsidR="0038442F">
        <w:rPr>
          <w:rFonts w:ascii="Times New Roman" w:hAnsi="Times New Roman" w:cs="Times New Roman"/>
        </w:rPr>
        <w:t xml:space="preserve"> percentage of female partners on total as a measure of </w:t>
      </w:r>
      <w:r w:rsidR="0038442F" w:rsidRPr="00072800">
        <w:rPr>
          <w:rFonts w:ascii="Times New Roman" w:hAnsi="Times New Roman" w:cs="Times New Roman"/>
          <w:b/>
          <w:i/>
        </w:rPr>
        <w:t>gender diversity</w:t>
      </w:r>
      <w:r w:rsidR="0038442F">
        <w:rPr>
          <w:rFonts w:ascii="Times New Roman" w:hAnsi="Times New Roman" w:cs="Times New Roman"/>
        </w:rPr>
        <w:t>. Finally, t</w:t>
      </w:r>
      <w:r w:rsidR="007C7489" w:rsidRPr="007C7489">
        <w:rPr>
          <w:rFonts w:ascii="Times New Roman" w:hAnsi="Times New Roman" w:cs="Times New Roman"/>
        </w:rPr>
        <w:t>o capture</w:t>
      </w:r>
      <w:r w:rsidR="007C7489">
        <w:rPr>
          <w:rFonts w:ascii="Times New Roman" w:hAnsi="Times New Roman" w:cs="Times New Roman"/>
          <w:b/>
          <w:i/>
        </w:rPr>
        <w:t xml:space="preserve"> reputation, </w:t>
      </w:r>
      <w:r w:rsidR="007C7489">
        <w:rPr>
          <w:rFonts w:ascii="Times New Roman" w:hAnsi="Times New Roman" w:cs="Times New Roman"/>
        </w:rPr>
        <w:t>w</w:t>
      </w:r>
      <w:r w:rsidR="00DB0CBC">
        <w:rPr>
          <w:rFonts w:ascii="Times New Roman" w:hAnsi="Times New Roman" w:cs="Times New Roman"/>
        </w:rPr>
        <w:t xml:space="preserve">e used an average of the reputation of </w:t>
      </w:r>
      <w:r w:rsidR="00D65A41">
        <w:rPr>
          <w:rFonts w:ascii="Times New Roman" w:hAnsi="Times New Roman" w:cs="Times New Roman"/>
        </w:rPr>
        <w:t xml:space="preserve">all </w:t>
      </w:r>
      <w:r w:rsidR="00DB0CBC">
        <w:rPr>
          <w:rFonts w:ascii="Times New Roman" w:hAnsi="Times New Roman" w:cs="Times New Roman"/>
        </w:rPr>
        <w:t xml:space="preserve">partners across different practices. </w:t>
      </w:r>
      <w:r w:rsidR="00BD0DF0" w:rsidRPr="00BD0DF0">
        <w:rPr>
          <w:rFonts w:ascii="Times New Roman" w:hAnsi="Times New Roman" w:cs="Times New Roman"/>
          <w:i/>
        </w:rPr>
        <w:t>Chambers and Partners</w:t>
      </w:r>
      <w:r w:rsidR="00BD0DF0" w:rsidRPr="00BD0DF0">
        <w:rPr>
          <w:rFonts w:ascii="Times New Roman" w:hAnsi="Times New Roman" w:cs="Times New Roman"/>
        </w:rPr>
        <w:t xml:space="preserve"> adopt</w:t>
      </w:r>
      <w:r w:rsidR="00D65A41">
        <w:rPr>
          <w:rFonts w:ascii="Times New Roman" w:hAnsi="Times New Roman" w:cs="Times New Roman"/>
        </w:rPr>
        <w:t>s</w:t>
      </w:r>
      <w:r w:rsidR="00BD0DF0" w:rsidRPr="00BD0DF0">
        <w:rPr>
          <w:rFonts w:ascii="Times New Roman" w:hAnsi="Times New Roman" w:cs="Times New Roman"/>
        </w:rPr>
        <w:t xml:space="preserve"> an ordered scale </w:t>
      </w:r>
      <w:r w:rsidR="00D65A41">
        <w:rPr>
          <w:rFonts w:ascii="Times New Roman" w:hAnsi="Times New Roman" w:cs="Times New Roman"/>
        </w:rPr>
        <w:t xml:space="preserve">for each practice area for each year ranging </w:t>
      </w:r>
      <w:r w:rsidR="00BD0DF0" w:rsidRPr="00BD0DF0">
        <w:rPr>
          <w:rFonts w:ascii="Times New Roman" w:hAnsi="Times New Roman" w:cs="Times New Roman"/>
        </w:rPr>
        <w:t>from 1 to 7, with 1 representing the highest rank. We inver</w:t>
      </w:r>
      <w:r w:rsidR="00D65A41">
        <w:rPr>
          <w:rFonts w:ascii="Times New Roman" w:hAnsi="Times New Roman" w:cs="Times New Roman"/>
        </w:rPr>
        <w:t>t</w:t>
      </w:r>
      <w:r w:rsidR="00BD0DF0" w:rsidRPr="00BD0DF0">
        <w:rPr>
          <w:rFonts w:ascii="Times New Roman" w:hAnsi="Times New Roman" w:cs="Times New Roman"/>
        </w:rPr>
        <w:t xml:space="preserve">ed the scale </w:t>
      </w:r>
      <w:r w:rsidR="00D65A41">
        <w:rPr>
          <w:rFonts w:ascii="Times New Roman" w:hAnsi="Times New Roman" w:cs="Times New Roman"/>
        </w:rPr>
        <w:t xml:space="preserve">to obtain </w:t>
      </w:r>
      <w:r w:rsidR="00BD0DF0" w:rsidRPr="00BD0DF0">
        <w:rPr>
          <w:rFonts w:ascii="Times New Roman" w:hAnsi="Times New Roman" w:cs="Times New Roman"/>
        </w:rPr>
        <w:t xml:space="preserve">an increasing value order from 1 (the lowest-ranked lawyer) to 7 for lawyers at the top of the guide’s ranking. For example, in our dataset a lawyer ranked in </w:t>
      </w:r>
      <w:r w:rsidR="00D65A41">
        <w:rPr>
          <w:rFonts w:ascii="Times New Roman" w:hAnsi="Times New Roman" w:cs="Times New Roman"/>
        </w:rPr>
        <w:t>‘</w:t>
      </w:r>
      <w:r w:rsidR="00BD0DF0" w:rsidRPr="00BD0DF0">
        <w:rPr>
          <w:rFonts w:ascii="Times New Roman" w:hAnsi="Times New Roman" w:cs="Times New Roman"/>
        </w:rPr>
        <w:t>tax</w:t>
      </w:r>
      <w:r w:rsidR="00D65A41">
        <w:rPr>
          <w:rFonts w:ascii="Times New Roman" w:hAnsi="Times New Roman" w:cs="Times New Roman"/>
        </w:rPr>
        <w:t>’</w:t>
      </w:r>
      <w:r w:rsidR="00BD0DF0" w:rsidRPr="00BD0DF0">
        <w:rPr>
          <w:rFonts w:ascii="Times New Roman" w:hAnsi="Times New Roman" w:cs="Times New Roman"/>
        </w:rPr>
        <w:t xml:space="preserve"> with a value of 5 has a higher reputation than a lawyer with a value of 3 in the same practice area.</w:t>
      </w:r>
      <w:r w:rsidR="00DB0CBC">
        <w:rPr>
          <w:rFonts w:ascii="Times New Roman" w:hAnsi="Times New Roman" w:cs="Times New Roman"/>
        </w:rPr>
        <w:t xml:space="preserve"> </w:t>
      </w:r>
    </w:p>
    <w:p w14:paraId="58BD4C80" w14:textId="28BC5F44" w:rsidR="00C65659" w:rsidRPr="009C5D62" w:rsidRDefault="007C7489" w:rsidP="007C7489">
      <w:pPr>
        <w:spacing w:line="480" w:lineRule="auto"/>
        <w:ind w:firstLine="720"/>
        <w:jc w:val="both"/>
        <w:rPr>
          <w:rFonts w:ascii="Times New Roman" w:hAnsi="Times New Roman" w:cs="Times New Roman"/>
          <w:b/>
        </w:rPr>
      </w:pPr>
      <w:commentRangeStart w:id="2"/>
      <w:r w:rsidRPr="00DC4A93">
        <w:rPr>
          <w:rFonts w:ascii="Times New Roman" w:hAnsi="Times New Roman" w:cs="Times New Roman"/>
        </w:rPr>
        <w:t xml:space="preserve">We also </w:t>
      </w:r>
      <w:r w:rsidR="00C65659" w:rsidRPr="00DC4A93">
        <w:rPr>
          <w:rFonts w:ascii="Times New Roman" w:hAnsi="Times New Roman" w:cs="Times New Roman"/>
        </w:rPr>
        <w:t xml:space="preserve">included dummy variables to control for specific effect of each practice area. </w:t>
      </w:r>
      <w:commentRangeEnd w:id="2"/>
      <w:r w:rsidR="009C5D62">
        <w:rPr>
          <w:rStyle w:val="CommentReference"/>
        </w:rPr>
        <w:commentReference w:id="2"/>
      </w:r>
      <w:r w:rsidR="00C65659" w:rsidRPr="00DC4A93">
        <w:rPr>
          <w:rFonts w:ascii="Times New Roman" w:hAnsi="Times New Roman" w:cs="Times New Roman"/>
        </w:rPr>
        <w:t xml:space="preserve">We finally captured </w:t>
      </w:r>
      <w:r w:rsidR="00C65659" w:rsidRPr="007562AD">
        <w:rPr>
          <w:rFonts w:ascii="Times New Roman" w:hAnsi="Times New Roman" w:cs="Times New Roman"/>
        </w:rPr>
        <w:t>time fixed-effects</w:t>
      </w:r>
      <w:r w:rsidR="00C65659" w:rsidRPr="00DC4A93">
        <w:rPr>
          <w:rFonts w:ascii="Times New Roman" w:hAnsi="Times New Roman" w:cs="Times New Roman"/>
        </w:rPr>
        <w:t xml:space="preserve"> and </w:t>
      </w:r>
      <w:r w:rsidR="00C65659" w:rsidRPr="007562AD">
        <w:rPr>
          <w:rFonts w:ascii="Times New Roman" w:hAnsi="Times New Roman" w:cs="Times New Roman"/>
        </w:rPr>
        <w:t>entity fixed-effects</w:t>
      </w:r>
      <w:r w:rsidR="00C65659" w:rsidRPr="00DC4A93">
        <w:rPr>
          <w:rFonts w:ascii="Times New Roman" w:hAnsi="Times New Roman" w:cs="Times New Roman"/>
        </w:rPr>
        <w:t xml:space="preserve"> by including a set of dummy variables in our models.</w:t>
      </w:r>
      <w:r w:rsidR="00447CC3" w:rsidRPr="00DC4A93">
        <w:rPr>
          <w:rFonts w:ascii="Times New Roman" w:hAnsi="Times New Roman" w:cs="Times New Roman"/>
        </w:rPr>
        <w:t xml:space="preserve"> Fixed effects correct from any organizational-level determinants of reputation.</w:t>
      </w:r>
    </w:p>
    <w:p w14:paraId="3511EA99" w14:textId="77777777" w:rsidR="00417FCC" w:rsidRDefault="00417FCC" w:rsidP="007C157A">
      <w:pPr>
        <w:spacing w:line="480" w:lineRule="auto"/>
        <w:jc w:val="both"/>
        <w:rPr>
          <w:rFonts w:ascii="Times New Roman" w:hAnsi="Times New Roman" w:cs="Times New Roman"/>
          <w:lang w:val="en-GB"/>
        </w:rPr>
      </w:pPr>
    </w:p>
    <w:p w14:paraId="6D1F0C17" w14:textId="6EE51F0E" w:rsidR="007361AA" w:rsidRPr="007361AA" w:rsidRDefault="007361AA" w:rsidP="00260F6C">
      <w:pPr>
        <w:spacing w:line="480" w:lineRule="auto"/>
        <w:rPr>
          <w:rFonts w:ascii="Times New Roman" w:hAnsi="Times New Roman" w:cs="Times New Roman"/>
          <w:b/>
          <w:lang w:val="en-GB"/>
        </w:rPr>
      </w:pPr>
      <w:r w:rsidRPr="007361AA">
        <w:rPr>
          <w:rFonts w:ascii="Times New Roman" w:hAnsi="Times New Roman" w:cs="Times New Roman"/>
          <w:b/>
          <w:lang w:val="en-GB"/>
        </w:rPr>
        <w:t>Model</w:t>
      </w:r>
    </w:p>
    <w:p w14:paraId="25C0BF87" w14:textId="77777777" w:rsidR="00C65659" w:rsidRPr="00C65659" w:rsidRDefault="00C65659" w:rsidP="007C157A">
      <w:pPr>
        <w:spacing w:line="480" w:lineRule="auto"/>
        <w:jc w:val="both"/>
        <w:rPr>
          <w:rFonts w:ascii="Times New Roman" w:hAnsi="Times New Roman" w:cs="Times New Roman"/>
        </w:rPr>
      </w:pPr>
      <w:commentRangeStart w:id="3"/>
      <w:r w:rsidRPr="00C65659">
        <w:rPr>
          <w:rFonts w:ascii="Times New Roman" w:hAnsi="Times New Roman" w:cs="Times New Roman"/>
        </w:rPr>
        <w:t>As our dependent variable is a proportion, we used fractional response generalized linear models with a logit function (Wooldridge, 2011).</w:t>
      </w:r>
      <w:commentRangeEnd w:id="3"/>
      <w:r w:rsidR="004D5548">
        <w:rPr>
          <w:rStyle w:val="CommentReference"/>
        </w:rPr>
        <w:commentReference w:id="3"/>
      </w:r>
      <w:r w:rsidRPr="00C65659">
        <w:rPr>
          <w:rFonts w:ascii="Times New Roman" w:hAnsi="Times New Roman" w:cs="Times New Roman"/>
        </w:rPr>
        <w:t xml:space="preserve"> In addition, we ran a test that shows the time fixed effects were jointly significant. We also tested the potential for serial correlation in the idiosyncratic error of the full model (Drukker, 2003; Wooldridge, 2002), showing the presence of autocorrelation. It confirmed the necessity to use the two-way fixed effects (by entity and time) since Cameron and colleagues (2011) have shown that this method works best when there is serial correlation. We thus captured both the unspecified correlation between observations on the same entity (firm) and the unspecified correlation between observations on different entities in the same year. We further calculated the Variance Inflation Factor of our independent variables. The VIF ranges from 1.4 to 2.8 with a tolerance level ranging from 68% to 35%, which allows us to reject the possibility of a multicollinearity issue in our estimated models. </w:t>
      </w:r>
    </w:p>
    <w:p w14:paraId="36497ADA" w14:textId="77777777" w:rsidR="00430D55" w:rsidRPr="00260F6C" w:rsidRDefault="00430D55" w:rsidP="00260F6C">
      <w:pPr>
        <w:spacing w:line="480" w:lineRule="auto"/>
        <w:rPr>
          <w:rFonts w:ascii="Times New Roman" w:hAnsi="Times New Roman" w:cs="Times New Roman"/>
          <w:lang w:val="en-GB"/>
        </w:rPr>
      </w:pPr>
    </w:p>
    <w:p w14:paraId="7308CAE8" w14:textId="2D43A18C" w:rsidR="007361AA" w:rsidRDefault="007361AA" w:rsidP="00430D55">
      <w:pPr>
        <w:spacing w:line="480" w:lineRule="auto"/>
        <w:jc w:val="center"/>
        <w:rPr>
          <w:rFonts w:ascii="Times New Roman" w:hAnsi="Times New Roman" w:cs="Times New Roman"/>
          <w:b/>
          <w:lang w:val="en-GB"/>
        </w:rPr>
      </w:pPr>
      <w:r>
        <w:rPr>
          <w:rFonts w:ascii="Times New Roman" w:hAnsi="Times New Roman" w:cs="Times New Roman"/>
          <w:b/>
          <w:lang w:val="en-GB"/>
        </w:rPr>
        <w:t>RESULTS</w:t>
      </w:r>
    </w:p>
    <w:p w14:paraId="46610F62" w14:textId="5D9F75CA" w:rsidR="00526E27" w:rsidRDefault="00A56DE3" w:rsidP="00A56DE3">
      <w:pPr>
        <w:spacing w:line="480" w:lineRule="auto"/>
        <w:jc w:val="both"/>
        <w:rPr>
          <w:rFonts w:ascii="Times New Roman" w:hAnsi="Times New Roman" w:cs="Times New Roman"/>
        </w:rPr>
      </w:pPr>
      <w:r w:rsidRPr="00A56DE3">
        <w:rPr>
          <w:rFonts w:ascii="Times New Roman" w:hAnsi="Times New Roman" w:cs="Times New Roman"/>
        </w:rPr>
        <w:t xml:space="preserve">Descriptive statistics for the variables used are presented in Table 1, and correlations are presented in Table 2. Results testing hypotheses are reported in Table 3. </w:t>
      </w:r>
      <w:r w:rsidR="00526E27">
        <w:rPr>
          <w:rFonts w:ascii="Times New Roman" w:hAnsi="Times New Roman" w:cs="Times New Roman"/>
        </w:rPr>
        <w:t xml:space="preserve">Model 1 contains </w:t>
      </w:r>
      <w:r w:rsidR="00E112AC">
        <w:rPr>
          <w:rFonts w:ascii="Times New Roman" w:hAnsi="Times New Roman" w:cs="Times New Roman"/>
        </w:rPr>
        <w:t xml:space="preserve">firm-level variables </w:t>
      </w:r>
      <w:r w:rsidR="00526E27">
        <w:rPr>
          <w:rFonts w:ascii="Times New Roman" w:hAnsi="Times New Roman" w:cs="Times New Roman"/>
        </w:rPr>
        <w:t xml:space="preserve">only and already yields interesting results to understand </w:t>
      </w:r>
      <w:r w:rsidR="00DE1B1E">
        <w:rPr>
          <w:rFonts w:ascii="Times New Roman" w:hAnsi="Times New Roman" w:cs="Times New Roman"/>
        </w:rPr>
        <w:t xml:space="preserve">institutional change. </w:t>
      </w:r>
    </w:p>
    <w:p w14:paraId="4FA078AD" w14:textId="59E1A10E" w:rsidR="00A04066" w:rsidRPr="00B37171" w:rsidRDefault="008F481B" w:rsidP="00A04066">
      <w:pPr>
        <w:spacing w:line="480" w:lineRule="auto"/>
        <w:jc w:val="center"/>
        <w:rPr>
          <w:rFonts w:ascii="Times New Roman" w:hAnsi="Times New Roman" w:cs="Times New Roman"/>
          <w:i/>
          <w:lang w:val="en-GB"/>
        </w:rPr>
      </w:pPr>
      <w:r>
        <w:rPr>
          <w:rFonts w:ascii="Times New Roman" w:hAnsi="Times New Roman" w:cs="Times New Roman"/>
          <w:i/>
          <w:lang w:val="en-GB"/>
        </w:rPr>
        <w:t>Insert table</w:t>
      </w:r>
      <w:r w:rsidR="00A04066" w:rsidRPr="00B37171">
        <w:rPr>
          <w:rFonts w:ascii="Times New Roman" w:hAnsi="Times New Roman" w:cs="Times New Roman"/>
          <w:i/>
          <w:lang w:val="en-GB"/>
        </w:rPr>
        <w:t xml:space="preserve"> 1 about here</w:t>
      </w:r>
    </w:p>
    <w:p w14:paraId="6E768091" w14:textId="6B334538" w:rsidR="008F481B" w:rsidRPr="00B37171" w:rsidRDefault="008F481B" w:rsidP="008F481B">
      <w:pPr>
        <w:spacing w:line="480" w:lineRule="auto"/>
        <w:jc w:val="center"/>
        <w:rPr>
          <w:rFonts w:ascii="Times New Roman" w:hAnsi="Times New Roman" w:cs="Times New Roman"/>
          <w:i/>
          <w:lang w:val="en-GB"/>
        </w:rPr>
      </w:pPr>
      <w:r>
        <w:rPr>
          <w:rFonts w:ascii="Times New Roman" w:hAnsi="Times New Roman" w:cs="Times New Roman"/>
          <w:i/>
          <w:lang w:val="en-GB"/>
        </w:rPr>
        <w:t xml:space="preserve">Insert table 2 </w:t>
      </w:r>
      <w:r w:rsidRPr="00B37171">
        <w:rPr>
          <w:rFonts w:ascii="Times New Roman" w:hAnsi="Times New Roman" w:cs="Times New Roman"/>
          <w:i/>
          <w:lang w:val="en-GB"/>
        </w:rPr>
        <w:t>about here</w:t>
      </w:r>
    </w:p>
    <w:p w14:paraId="5360E918" w14:textId="3BB14AAA" w:rsidR="00A04066" w:rsidRPr="00521186" w:rsidRDefault="008F481B" w:rsidP="00521186">
      <w:pPr>
        <w:spacing w:line="480" w:lineRule="auto"/>
        <w:jc w:val="center"/>
        <w:rPr>
          <w:rFonts w:ascii="Times New Roman" w:hAnsi="Times New Roman" w:cs="Times New Roman"/>
          <w:i/>
          <w:lang w:val="en-GB"/>
        </w:rPr>
      </w:pPr>
      <w:r>
        <w:rPr>
          <w:rFonts w:ascii="Times New Roman" w:hAnsi="Times New Roman" w:cs="Times New Roman"/>
          <w:i/>
          <w:lang w:val="en-GB"/>
        </w:rPr>
        <w:t>Insert table 3</w:t>
      </w:r>
      <w:r w:rsidRPr="00B37171">
        <w:rPr>
          <w:rFonts w:ascii="Times New Roman" w:hAnsi="Times New Roman" w:cs="Times New Roman"/>
          <w:i/>
          <w:lang w:val="en-GB"/>
        </w:rPr>
        <w:t xml:space="preserve"> about here</w:t>
      </w:r>
    </w:p>
    <w:p w14:paraId="6CB2AA2F" w14:textId="4E1A82EE" w:rsidR="00E112AC" w:rsidRDefault="00203CD1" w:rsidP="00E112AC">
      <w:pPr>
        <w:spacing w:line="480" w:lineRule="auto"/>
        <w:ind w:firstLine="720"/>
        <w:jc w:val="both"/>
        <w:rPr>
          <w:rFonts w:ascii="Times New Roman" w:hAnsi="Times New Roman" w:cs="Times New Roman"/>
        </w:rPr>
      </w:pPr>
      <w:r>
        <w:rPr>
          <w:rFonts w:ascii="Times New Roman" w:hAnsi="Times New Roman" w:cs="Times New Roman"/>
        </w:rPr>
        <w:t xml:space="preserve">Importantly, </w:t>
      </w:r>
      <w:r>
        <w:rPr>
          <w:rFonts w:ascii="Times New Roman" w:hAnsi="Times New Roman" w:cs="Times New Roman"/>
          <w:lang w:val="en-GB"/>
        </w:rPr>
        <w:t>profit per equity partner is positively associated with non-equity partnership</w:t>
      </w:r>
      <w:r w:rsidR="00BD5396">
        <w:rPr>
          <w:rFonts w:ascii="Times New Roman" w:hAnsi="Times New Roman" w:cs="Times New Roman"/>
          <w:lang w:val="en-GB"/>
        </w:rPr>
        <w:t xml:space="preserve"> (significant at the p &lt; 0.01 level). This finding suggests</w:t>
      </w:r>
      <w:r>
        <w:rPr>
          <w:rFonts w:ascii="Times New Roman" w:hAnsi="Times New Roman" w:cs="Times New Roman"/>
          <w:lang w:val="en-GB"/>
        </w:rPr>
        <w:t xml:space="preserve"> that existing partners</w:t>
      </w:r>
      <w:r w:rsidR="00BD5396">
        <w:rPr>
          <w:rFonts w:ascii="Times New Roman" w:hAnsi="Times New Roman" w:cs="Times New Roman"/>
          <w:lang w:val="en-GB"/>
        </w:rPr>
        <w:t xml:space="preserve"> are reluctant to share the existing pool of profits with new equity partners and thus are likely to favour the rise of an alternative practice that will av</w:t>
      </w:r>
      <w:r w:rsidR="00FC3B15">
        <w:rPr>
          <w:rFonts w:ascii="Times New Roman" w:hAnsi="Times New Roman" w:cs="Times New Roman"/>
          <w:lang w:val="en-GB"/>
        </w:rPr>
        <w:t>oid the dilution of profit: non-</w:t>
      </w:r>
      <w:r w:rsidR="00BD5396">
        <w:rPr>
          <w:rFonts w:ascii="Times New Roman" w:hAnsi="Times New Roman" w:cs="Times New Roman"/>
          <w:lang w:val="en-GB"/>
        </w:rPr>
        <w:t xml:space="preserve">equity partnership. </w:t>
      </w:r>
      <w:r w:rsidR="00283CA3">
        <w:rPr>
          <w:rFonts w:ascii="Times New Roman" w:hAnsi="Times New Roman" w:cs="Times New Roman"/>
          <w:lang w:val="en-GB"/>
        </w:rPr>
        <w:t>A</w:t>
      </w:r>
      <w:r w:rsidR="00283CA3" w:rsidRPr="00283CA3">
        <w:rPr>
          <w:rFonts w:ascii="Times New Roman" w:hAnsi="Times New Roman" w:cs="Times New Roman"/>
          <w:lang w:val="en-GB"/>
        </w:rPr>
        <w:t>void</w:t>
      </w:r>
      <w:r w:rsidR="00283CA3">
        <w:rPr>
          <w:rFonts w:ascii="Times New Roman" w:hAnsi="Times New Roman" w:cs="Times New Roman"/>
          <w:lang w:val="en-GB"/>
        </w:rPr>
        <w:t>ing</w:t>
      </w:r>
      <w:r w:rsidR="00283CA3" w:rsidRPr="00283CA3">
        <w:rPr>
          <w:rFonts w:ascii="Times New Roman" w:hAnsi="Times New Roman" w:cs="Times New Roman"/>
          <w:lang w:val="en-GB"/>
        </w:rPr>
        <w:t xml:space="preserve"> further dilution of profits </w:t>
      </w:r>
      <w:r w:rsidR="00283CA3">
        <w:rPr>
          <w:rFonts w:ascii="Times New Roman" w:hAnsi="Times New Roman" w:cs="Times New Roman"/>
          <w:lang w:val="en-GB"/>
        </w:rPr>
        <w:t>can also lead to increasing them (Faulconbridge &amp; Muzio, 2009)</w:t>
      </w:r>
      <w:r w:rsidR="00283CA3" w:rsidRPr="00283CA3">
        <w:rPr>
          <w:rFonts w:ascii="Times New Roman" w:hAnsi="Times New Roman" w:cs="Times New Roman"/>
          <w:lang w:val="en-GB"/>
        </w:rPr>
        <w:t xml:space="preserve">. Salaried partners are paid significantly less than the profits they bring in and the surplus goes to the equity partners. </w:t>
      </w:r>
      <w:r w:rsidR="00526E27">
        <w:rPr>
          <w:rFonts w:ascii="Times New Roman" w:hAnsi="Times New Roman" w:cs="Times New Roman"/>
        </w:rPr>
        <w:t xml:space="preserve">While we would expect compensation disparity to be </w:t>
      </w:r>
      <w:r w:rsidR="001D00D4">
        <w:rPr>
          <w:rFonts w:ascii="Times New Roman" w:hAnsi="Times New Roman" w:cs="Times New Roman"/>
        </w:rPr>
        <w:t xml:space="preserve">positively </w:t>
      </w:r>
      <w:r w:rsidR="00526E27">
        <w:rPr>
          <w:rFonts w:ascii="Times New Roman" w:hAnsi="Times New Roman" w:cs="Times New Roman"/>
        </w:rPr>
        <w:t>associated with the furthering of practice reproducing inequality within the firm – such as mixing non-equity partnership and equity partnership - w</w:t>
      </w:r>
      <w:r w:rsidR="00A56DE3">
        <w:rPr>
          <w:rFonts w:ascii="Times New Roman" w:hAnsi="Times New Roman" w:cs="Times New Roman"/>
        </w:rPr>
        <w:t xml:space="preserve">e note that compensation disparity does not affect the propensity </w:t>
      </w:r>
      <w:r w:rsidR="008F7E64">
        <w:rPr>
          <w:rFonts w:ascii="Times New Roman" w:hAnsi="Times New Roman" w:cs="Times New Roman"/>
        </w:rPr>
        <w:t>of</w:t>
      </w:r>
      <w:r w:rsidR="00A56DE3">
        <w:rPr>
          <w:rFonts w:ascii="Times New Roman" w:hAnsi="Times New Roman" w:cs="Times New Roman"/>
        </w:rPr>
        <w:t xml:space="preserve"> firms to </w:t>
      </w:r>
      <w:r w:rsidR="00DB0FEE">
        <w:rPr>
          <w:rFonts w:ascii="Times New Roman" w:hAnsi="Times New Roman" w:cs="Times New Roman"/>
        </w:rPr>
        <w:t xml:space="preserve">adopt the new practice. </w:t>
      </w:r>
      <w:r w:rsidR="001D00D4">
        <w:rPr>
          <w:rFonts w:ascii="Times New Roman" w:hAnsi="Times New Roman" w:cs="Times New Roman"/>
        </w:rPr>
        <w:t>L</w:t>
      </w:r>
      <w:r w:rsidR="008B5DDB">
        <w:rPr>
          <w:rFonts w:ascii="Times New Roman" w:hAnsi="Times New Roman" w:cs="Times New Roman"/>
        </w:rPr>
        <w:t xml:space="preserve">everage ratio is negatively associated with deinstitutionalization (significant at the p &lt; 0.01 level), meaning that when the ratio of associates to partner is high, the firm will stick to equity partnership. We might explain this result by the fact that firms with high leverage are focusing on commoditized services and thus have little need </w:t>
      </w:r>
      <w:r w:rsidR="000A3833">
        <w:rPr>
          <w:rFonts w:ascii="Times New Roman" w:hAnsi="Times New Roman" w:cs="Times New Roman"/>
        </w:rPr>
        <w:t xml:space="preserve">for non-equity partnership to retain top talent. Thus, those firms stick to the institutionalized practice of </w:t>
      </w:r>
      <w:r w:rsidR="00FC3B15">
        <w:rPr>
          <w:rFonts w:ascii="Times New Roman" w:hAnsi="Times New Roman" w:cs="Times New Roman"/>
        </w:rPr>
        <w:t>equity partnership.</w:t>
      </w:r>
      <w:r w:rsidR="00E112AC" w:rsidRPr="00E112AC">
        <w:rPr>
          <w:rFonts w:ascii="Times New Roman" w:hAnsi="Times New Roman" w:cs="Times New Roman"/>
        </w:rPr>
        <w:t xml:space="preserve"> </w:t>
      </w:r>
    </w:p>
    <w:p w14:paraId="1473B1C4" w14:textId="31AA45B5" w:rsidR="00A56DE3" w:rsidRPr="00A56DE3" w:rsidRDefault="00E112AC" w:rsidP="00E112AC">
      <w:pPr>
        <w:spacing w:line="480" w:lineRule="auto"/>
        <w:ind w:firstLine="720"/>
        <w:jc w:val="both"/>
        <w:rPr>
          <w:rFonts w:ascii="Times New Roman" w:hAnsi="Times New Roman" w:cs="Times New Roman"/>
        </w:rPr>
      </w:pPr>
      <w:commentRangeStart w:id="4"/>
      <w:r>
        <w:rPr>
          <w:rFonts w:ascii="Times New Roman" w:hAnsi="Times New Roman" w:cs="Times New Roman"/>
        </w:rPr>
        <w:t xml:space="preserve">Model 2 adds another variable: the ratio of women among ranked partners in the </w:t>
      </w:r>
      <w:r w:rsidRPr="001F6C33">
        <w:rPr>
          <w:rFonts w:ascii="Times New Roman" w:hAnsi="Times New Roman" w:cs="Times New Roman"/>
          <w:i/>
        </w:rPr>
        <w:t>Chambers</w:t>
      </w:r>
      <w:r>
        <w:rPr>
          <w:rFonts w:ascii="Times New Roman" w:hAnsi="Times New Roman" w:cs="Times New Roman"/>
        </w:rPr>
        <w:t>.</w:t>
      </w:r>
      <w:commentRangeEnd w:id="4"/>
      <w:r w:rsidR="005B6067">
        <w:rPr>
          <w:rStyle w:val="CommentReference"/>
        </w:rPr>
        <w:commentReference w:id="4"/>
      </w:r>
      <w:r>
        <w:rPr>
          <w:rFonts w:ascii="Times New Roman" w:hAnsi="Times New Roman" w:cs="Times New Roman"/>
        </w:rPr>
        <w:t xml:space="preserve"> This variable has a positive and significant effect (p &lt; 0.05) on the adoption of non-equity partnership. This is aligned with our argument that diversity within organizations makes them more likely to adopt new practices because of the variety of contexts and backgrounds of their employees.</w:t>
      </w:r>
      <w:r w:rsidR="00FC6994">
        <w:rPr>
          <w:rFonts w:ascii="Times New Roman" w:hAnsi="Times New Roman" w:cs="Times New Roman"/>
        </w:rPr>
        <w:t xml:space="preserve"> The counter-argument concerning the use of non-equity partnership as a tool to discriminate against minority is invalidated.</w:t>
      </w:r>
    </w:p>
    <w:p w14:paraId="16994557" w14:textId="091AC54B" w:rsidR="007361AA" w:rsidRDefault="00E112AC" w:rsidP="007C157A">
      <w:pPr>
        <w:spacing w:line="480" w:lineRule="auto"/>
        <w:ind w:firstLine="720"/>
        <w:jc w:val="both"/>
        <w:rPr>
          <w:rFonts w:ascii="Times New Roman" w:hAnsi="Times New Roman" w:cs="Times New Roman"/>
        </w:rPr>
      </w:pPr>
      <w:r>
        <w:rPr>
          <w:rFonts w:ascii="Times New Roman" w:hAnsi="Times New Roman" w:cs="Times New Roman"/>
        </w:rPr>
        <w:t xml:space="preserve">Finally, </w:t>
      </w:r>
      <w:r w:rsidR="00A56DE3" w:rsidRPr="00A56DE3">
        <w:rPr>
          <w:rFonts w:ascii="Times New Roman" w:hAnsi="Times New Roman" w:cs="Times New Roman"/>
        </w:rPr>
        <w:t xml:space="preserve">Model </w:t>
      </w:r>
      <w:r>
        <w:rPr>
          <w:rFonts w:ascii="Times New Roman" w:hAnsi="Times New Roman" w:cs="Times New Roman"/>
        </w:rPr>
        <w:t>3</w:t>
      </w:r>
      <w:r w:rsidRPr="00A56DE3">
        <w:rPr>
          <w:rFonts w:ascii="Times New Roman" w:hAnsi="Times New Roman" w:cs="Times New Roman"/>
        </w:rPr>
        <w:t xml:space="preserve"> </w:t>
      </w:r>
      <w:r w:rsidR="00A56DE3" w:rsidRPr="00A56DE3">
        <w:rPr>
          <w:rFonts w:ascii="Times New Roman" w:hAnsi="Times New Roman" w:cs="Times New Roman"/>
        </w:rPr>
        <w:t xml:space="preserve">supports our </w:t>
      </w:r>
      <w:r w:rsidR="00EB2F13">
        <w:rPr>
          <w:rFonts w:ascii="Times New Roman" w:hAnsi="Times New Roman" w:cs="Times New Roman"/>
        </w:rPr>
        <w:t>theoretical argument regarding reputation</w:t>
      </w:r>
      <w:r w:rsidR="00A56DE3" w:rsidRPr="00A56DE3">
        <w:rPr>
          <w:rFonts w:ascii="Times New Roman" w:hAnsi="Times New Roman" w:cs="Times New Roman"/>
        </w:rPr>
        <w:t xml:space="preserve">: </w:t>
      </w:r>
      <w:r w:rsidR="001866A9">
        <w:rPr>
          <w:rFonts w:ascii="Times New Roman" w:hAnsi="Times New Roman" w:cs="Times New Roman"/>
        </w:rPr>
        <w:t xml:space="preserve">we find that the </w:t>
      </w:r>
      <w:r w:rsidR="008F7E64">
        <w:rPr>
          <w:rFonts w:ascii="Times New Roman" w:hAnsi="Times New Roman" w:cs="Times New Roman"/>
        </w:rPr>
        <w:t>average</w:t>
      </w:r>
      <w:r w:rsidR="001866A9">
        <w:rPr>
          <w:rFonts w:ascii="Times New Roman" w:hAnsi="Times New Roman" w:cs="Times New Roman"/>
        </w:rPr>
        <w:t xml:space="preserve"> reputation of lawyers within an organization </w:t>
      </w:r>
      <w:r w:rsidR="008F7E64">
        <w:rPr>
          <w:rFonts w:ascii="Times New Roman" w:hAnsi="Times New Roman" w:cs="Times New Roman"/>
        </w:rPr>
        <w:t>negatively</w:t>
      </w:r>
      <w:r w:rsidR="001866A9">
        <w:rPr>
          <w:rFonts w:ascii="Times New Roman" w:hAnsi="Times New Roman" w:cs="Times New Roman"/>
        </w:rPr>
        <w:t xml:space="preserve"> affe</w:t>
      </w:r>
      <w:r w:rsidR="00EB784A">
        <w:rPr>
          <w:rFonts w:ascii="Times New Roman" w:hAnsi="Times New Roman" w:cs="Times New Roman"/>
        </w:rPr>
        <w:t>cts the ratio of non-</w:t>
      </w:r>
      <w:r w:rsidR="001866A9">
        <w:rPr>
          <w:rFonts w:ascii="Times New Roman" w:hAnsi="Times New Roman" w:cs="Times New Roman"/>
        </w:rPr>
        <w:t>equity partners</w:t>
      </w:r>
      <w:r w:rsidR="008B0BE0">
        <w:rPr>
          <w:rFonts w:ascii="Times New Roman" w:hAnsi="Times New Roman" w:cs="Times New Roman"/>
        </w:rPr>
        <w:t xml:space="preserve"> on total number of partners (significant at the p &lt; 0.05 level).</w:t>
      </w:r>
      <w:r w:rsidR="00C60D8E">
        <w:rPr>
          <w:rFonts w:ascii="Times New Roman" w:hAnsi="Times New Roman" w:cs="Times New Roman"/>
        </w:rPr>
        <w:t xml:space="preserve"> This results means that organization with members of higher reputation can afford to maintain a costly institution. In this case, </w:t>
      </w:r>
      <w:r w:rsidR="0094532D">
        <w:rPr>
          <w:rFonts w:ascii="Times New Roman" w:hAnsi="Times New Roman" w:cs="Times New Roman"/>
        </w:rPr>
        <w:t>law firms with partners of higher reputation are reluctant to engage in deinstitutionalization. This can be due to the fact that the existing practice of equity partner is seen as a positive asset that contributed to the higher reputation of its partners</w:t>
      </w:r>
      <w:r w:rsidR="008B5DDB">
        <w:rPr>
          <w:rFonts w:ascii="Times New Roman" w:hAnsi="Times New Roman" w:cs="Times New Roman"/>
        </w:rPr>
        <w:t>, thus making it likely to be maintained.</w:t>
      </w:r>
    </w:p>
    <w:p w14:paraId="04CEE71B" w14:textId="77777777" w:rsidR="007361AA" w:rsidRDefault="007361AA" w:rsidP="00430D55">
      <w:pPr>
        <w:spacing w:line="480" w:lineRule="auto"/>
        <w:jc w:val="center"/>
        <w:rPr>
          <w:rFonts w:ascii="Times New Roman" w:hAnsi="Times New Roman" w:cs="Times New Roman"/>
          <w:b/>
          <w:lang w:val="en-GB"/>
        </w:rPr>
      </w:pPr>
    </w:p>
    <w:p w14:paraId="2126A54C" w14:textId="00BD2388" w:rsidR="00430D55" w:rsidRDefault="00430D55" w:rsidP="00430D55">
      <w:pPr>
        <w:spacing w:line="480" w:lineRule="auto"/>
        <w:jc w:val="center"/>
        <w:rPr>
          <w:rFonts w:ascii="Times New Roman" w:hAnsi="Times New Roman" w:cs="Times New Roman"/>
          <w:b/>
          <w:lang w:val="en-GB"/>
        </w:rPr>
      </w:pPr>
      <w:r>
        <w:rPr>
          <w:rFonts w:ascii="Times New Roman" w:hAnsi="Times New Roman" w:cs="Times New Roman"/>
          <w:b/>
          <w:lang w:val="en-GB"/>
        </w:rPr>
        <w:t>DISCUSSION</w:t>
      </w:r>
    </w:p>
    <w:p w14:paraId="1BD3D8D9" w14:textId="3C97BF60" w:rsidR="003228C2" w:rsidRDefault="00383CA9" w:rsidP="00082BF7">
      <w:pPr>
        <w:spacing w:line="480" w:lineRule="auto"/>
        <w:jc w:val="both"/>
        <w:rPr>
          <w:rFonts w:ascii="Times New Roman" w:hAnsi="Times New Roman" w:cs="Times New Roman"/>
          <w:lang w:val="en-GB"/>
        </w:rPr>
      </w:pPr>
      <w:r>
        <w:rPr>
          <w:rFonts w:ascii="Times New Roman" w:hAnsi="Times New Roman" w:cs="Times New Roman"/>
          <w:lang w:val="en-GB"/>
        </w:rPr>
        <w:t>In this study, we focus</w:t>
      </w:r>
      <w:r w:rsidR="00E10166">
        <w:rPr>
          <w:rFonts w:ascii="Times New Roman" w:hAnsi="Times New Roman" w:cs="Times New Roman"/>
          <w:lang w:val="en-GB"/>
        </w:rPr>
        <w:t>ed</w:t>
      </w:r>
      <w:r>
        <w:rPr>
          <w:rFonts w:ascii="Times New Roman" w:hAnsi="Times New Roman" w:cs="Times New Roman"/>
          <w:lang w:val="en-GB"/>
        </w:rPr>
        <w:t xml:space="preserve"> on </w:t>
      </w:r>
      <w:r w:rsidR="000C2978">
        <w:rPr>
          <w:rFonts w:ascii="Times New Roman" w:hAnsi="Times New Roman" w:cs="Times New Roman"/>
          <w:lang w:val="en-GB"/>
        </w:rPr>
        <w:t>institutional change as a</w:t>
      </w:r>
      <w:r>
        <w:rPr>
          <w:rFonts w:ascii="Times New Roman" w:hAnsi="Times New Roman" w:cs="Times New Roman"/>
          <w:lang w:val="en-GB"/>
        </w:rPr>
        <w:t xml:space="preserve"> lifecycle of deinstitutionalization-institutionalization of equity </w:t>
      </w:r>
      <w:r w:rsidR="00C63287">
        <w:rPr>
          <w:rFonts w:ascii="Times New Roman" w:hAnsi="Times New Roman" w:cs="Times New Roman"/>
          <w:lang w:val="en-GB"/>
        </w:rPr>
        <w:t xml:space="preserve">and non-equity </w:t>
      </w:r>
      <w:r>
        <w:rPr>
          <w:rFonts w:ascii="Times New Roman" w:hAnsi="Times New Roman" w:cs="Times New Roman"/>
          <w:lang w:val="en-GB"/>
        </w:rPr>
        <w:t xml:space="preserve">partnership in the UK legal </w:t>
      </w:r>
      <w:r w:rsidR="00461BAF">
        <w:rPr>
          <w:rFonts w:ascii="Times New Roman" w:hAnsi="Times New Roman" w:cs="Times New Roman"/>
          <w:lang w:val="en-GB"/>
        </w:rPr>
        <w:t>industry</w:t>
      </w:r>
      <w:r>
        <w:rPr>
          <w:rFonts w:ascii="Times New Roman" w:hAnsi="Times New Roman" w:cs="Times New Roman"/>
          <w:lang w:val="en-GB"/>
        </w:rPr>
        <w:t xml:space="preserve">. We explore the determinants of this process </w:t>
      </w:r>
      <w:r w:rsidR="00082BF7">
        <w:rPr>
          <w:rFonts w:ascii="Times New Roman" w:hAnsi="Times New Roman" w:cs="Times New Roman"/>
          <w:lang w:val="en-GB"/>
        </w:rPr>
        <w:t xml:space="preserve">at the </w:t>
      </w:r>
      <w:r w:rsidR="00461BAF">
        <w:rPr>
          <w:rFonts w:ascii="Times New Roman" w:hAnsi="Times New Roman" w:cs="Times New Roman"/>
          <w:lang w:val="en-GB"/>
        </w:rPr>
        <w:t xml:space="preserve">individual- </w:t>
      </w:r>
      <w:r w:rsidR="00082BF7">
        <w:rPr>
          <w:rFonts w:ascii="Times New Roman" w:hAnsi="Times New Roman" w:cs="Times New Roman"/>
          <w:lang w:val="en-GB"/>
        </w:rPr>
        <w:t xml:space="preserve">and </w:t>
      </w:r>
      <w:r w:rsidR="00FF0987">
        <w:rPr>
          <w:rFonts w:ascii="Times New Roman" w:hAnsi="Times New Roman" w:cs="Times New Roman"/>
          <w:lang w:val="en-GB"/>
        </w:rPr>
        <w:t xml:space="preserve">at </w:t>
      </w:r>
      <w:r w:rsidR="00082BF7">
        <w:rPr>
          <w:rFonts w:ascii="Times New Roman" w:hAnsi="Times New Roman" w:cs="Times New Roman"/>
          <w:lang w:val="en-GB"/>
        </w:rPr>
        <w:t>the organizational</w:t>
      </w:r>
      <w:r w:rsidR="00461BAF">
        <w:rPr>
          <w:rFonts w:ascii="Times New Roman" w:hAnsi="Times New Roman" w:cs="Times New Roman"/>
          <w:lang w:val="en-GB"/>
        </w:rPr>
        <w:t>-</w:t>
      </w:r>
      <w:r w:rsidR="00082BF7">
        <w:rPr>
          <w:rFonts w:ascii="Times New Roman" w:hAnsi="Times New Roman" w:cs="Times New Roman"/>
          <w:lang w:val="en-GB"/>
        </w:rPr>
        <w:t>level</w:t>
      </w:r>
      <w:r w:rsidR="009A36CB">
        <w:rPr>
          <w:rFonts w:ascii="Times New Roman" w:hAnsi="Times New Roman" w:cs="Times New Roman"/>
          <w:lang w:val="en-GB"/>
        </w:rPr>
        <w:t xml:space="preserve"> by looking specifically at </w:t>
      </w:r>
      <w:r w:rsidR="00F24694">
        <w:rPr>
          <w:rFonts w:ascii="Times New Roman" w:hAnsi="Times New Roman" w:cs="Times New Roman"/>
          <w:lang w:val="en-GB"/>
        </w:rPr>
        <w:t xml:space="preserve">how the population of organizational members and its characteristics affect the strategic decision </w:t>
      </w:r>
      <w:r w:rsidR="004438C6">
        <w:rPr>
          <w:rFonts w:ascii="Times New Roman" w:hAnsi="Times New Roman" w:cs="Times New Roman"/>
          <w:lang w:val="en-GB"/>
        </w:rPr>
        <w:t>of the firm to disengage with an institutionalized practice to enact a new one.</w:t>
      </w:r>
    </w:p>
    <w:p w14:paraId="4D2BB83F" w14:textId="44EED066" w:rsidR="00383CA9" w:rsidRDefault="00172771" w:rsidP="00165A4F">
      <w:pPr>
        <w:spacing w:line="480" w:lineRule="auto"/>
        <w:jc w:val="both"/>
        <w:rPr>
          <w:rFonts w:ascii="Times New Roman" w:hAnsi="Times New Roman" w:cs="Times New Roman"/>
          <w:lang w:val="en-GB"/>
        </w:rPr>
      </w:pPr>
      <w:r>
        <w:rPr>
          <w:rFonts w:ascii="Times New Roman" w:hAnsi="Times New Roman" w:cs="Times New Roman"/>
          <w:lang w:val="en-GB"/>
        </w:rPr>
        <w:tab/>
        <w:t xml:space="preserve">We </w:t>
      </w:r>
      <w:r w:rsidR="001A48DA">
        <w:rPr>
          <w:rFonts w:ascii="Times New Roman" w:hAnsi="Times New Roman" w:cs="Times New Roman"/>
          <w:lang w:val="en-GB"/>
        </w:rPr>
        <w:t>identified and discarded a number of factor</w:t>
      </w:r>
      <w:r w:rsidR="00596AFE">
        <w:rPr>
          <w:rFonts w:ascii="Times New Roman" w:hAnsi="Times New Roman" w:cs="Times New Roman"/>
          <w:lang w:val="en-GB"/>
        </w:rPr>
        <w:t>s</w:t>
      </w:r>
      <w:r w:rsidR="001A48DA">
        <w:rPr>
          <w:rFonts w:ascii="Times New Roman" w:hAnsi="Times New Roman" w:cs="Times New Roman"/>
          <w:lang w:val="en-GB"/>
        </w:rPr>
        <w:t xml:space="preserve"> </w:t>
      </w:r>
      <w:r w:rsidR="00203CD1">
        <w:rPr>
          <w:rFonts w:ascii="Times New Roman" w:hAnsi="Times New Roman" w:cs="Times New Roman"/>
          <w:lang w:val="en-GB"/>
        </w:rPr>
        <w:t xml:space="preserve">that could explain </w:t>
      </w:r>
      <w:r w:rsidR="00690761">
        <w:rPr>
          <w:rFonts w:ascii="Times New Roman" w:hAnsi="Times New Roman" w:cs="Times New Roman"/>
          <w:lang w:val="en-GB"/>
        </w:rPr>
        <w:t>institutional change towards non-equity partnership</w:t>
      </w:r>
      <w:r w:rsidR="00596AFE">
        <w:rPr>
          <w:rFonts w:ascii="Times New Roman" w:hAnsi="Times New Roman" w:cs="Times New Roman"/>
          <w:lang w:val="en-GB"/>
        </w:rPr>
        <w:t xml:space="preserve">, mostly focusing on </w:t>
      </w:r>
      <w:r w:rsidR="00FE753B">
        <w:rPr>
          <w:rFonts w:ascii="Times New Roman" w:hAnsi="Times New Roman" w:cs="Times New Roman"/>
          <w:lang w:val="en-GB"/>
        </w:rPr>
        <w:t>the pragmatic and economic reasons for ado</w:t>
      </w:r>
      <w:r w:rsidR="004438C6">
        <w:rPr>
          <w:rFonts w:ascii="Times New Roman" w:hAnsi="Times New Roman" w:cs="Times New Roman"/>
          <w:lang w:val="en-GB"/>
        </w:rPr>
        <w:t>pting a new practice</w:t>
      </w:r>
      <w:r w:rsidR="00203CD1">
        <w:rPr>
          <w:rFonts w:ascii="Times New Roman" w:hAnsi="Times New Roman" w:cs="Times New Roman"/>
          <w:lang w:val="en-GB"/>
        </w:rPr>
        <w:t xml:space="preserve">. We noted that wage inequality in the firm had no effect on </w:t>
      </w:r>
      <w:r w:rsidR="00690761">
        <w:rPr>
          <w:rFonts w:ascii="Times New Roman" w:hAnsi="Times New Roman" w:cs="Times New Roman"/>
          <w:lang w:val="en-GB"/>
        </w:rPr>
        <w:t>the erosion of equity partnership</w:t>
      </w:r>
      <w:r w:rsidR="00203CD1">
        <w:rPr>
          <w:rFonts w:ascii="Times New Roman" w:hAnsi="Times New Roman" w:cs="Times New Roman"/>
          <w:lang w:val="en-GB"/>
        </w:rPr>
        <w:t xml:space="preserve">. </w:t>
      </w:r>
      <w:r w:rsidR="001938F1">
        <w:rPr>
          <w:rFonts w:ascii="Times New Roman" w:hAnsi="Times New Roman" w:cs="Times New Roman"/>
          <w:lang w:val="en-GB"/>
        </w:rPr>
        <w:t>At the same time</w:t>
      </w:r>
      <w:r w:rsidR="00203CD1">
        <w:rPr>
          <w:rFonts w:ascii="Times New Roman" w:hAnsi="Times New Roman" w:cs="Times New Roman"/>
          <w:lang w:val="en-GB"/>
        </w:rPr>
        <w:t>, profit per equity partner shows a positive relationship with the rise of non-equity partnership, meaning that existing partners</w:t>
      </w:r>
      <w:r w:rsidR="00EE5494">
        <w:rPr>
          <w:rFonts w:ascii="Times New Roman" w:hAnsi="Times New Roman" w:cs="Times New Roman"/>
          <w:lang w:val="en-GB"/>
        </w:rPr>
        <w:t xml:space="preserve"> </w:t>
      </w:r>
      <w:r w:rsidR="001F6C33">
        <w:rPr>
          <w:rFonts w:ascii="Times New Roman" w:hAnsi="Times New Roman" w:cs="Times New Roman"/>
          <w:lang w:val="en-GB"/>
        </w:rPr>
        <w:t xml:space="preserve">try </w:t>
      </w:r>
      <w:r w:rsidR="00EE5494">
        <w:rPr>
          <w:rFonts w:ascii="Times New Roman" w:hAnsi="Times New Roman" w:cs="Times New Roman"/>
          <w:lang w:val="en-GB"/>
        </w:rPr>
        <w:t xml:space="preserve">to avoid further sharing the profit by </w:t>
      </w:r>
      <w:r w:rsidR="001938F1">
        <w:rPr>
          <w:rFonts w:ascii="Times New Roman" w:hAnsi="Times New Roman" w:cs="Times New Roman"/>
          <w:lang w:val="en-GB"/>
        </w:rPr>
        <w:t xml:space="preserve">engaging with an alternative practice. </w:t>
      </w:r>
      <w:r w:rsidR="00A002C8">
        <w:rPr>
          <w:rFonts w:ascii="Times New Roman" w:hAnsi="Times New Roman" w:cs="Times New Roman"/>
          <w:lang w:val="en-GB"/>
        </w:rPr>
        <w:t>Leverage shows an orientation of law firm</w:t>
      </w:r>
      <w:r w:rsidR="001938F1">
        <w:rPr>
          <w:rFonts w:ascii="Times New Roman" w:hAnsi="Times New Roman" w:cs="Times New Roman"/>
          <w:lang w:val="en-GB"/>
        </w:rPr>
        <w:t>s</w:t>
      </w:r>
      <w:r w:rsidR="00A002C8">
        <w:rPr>
          <w:rFonts w:ascii="Times New Roman" w:hAnsi="Times New Roman" w:cs="Times New Roman"/>
          <w:lang w:val="en-GB"/>
        </w:rPr>
        <w:t xml:space="preserve"> towards selling commoditized services</w:t>
      </w:r>
      <w:r w:rsidR="00E3428C">
        <w:rPr>
          <w:rFonts w:ascii="Times New Roman" w:hAnsi="Times New Roman" w:cs="Times New Roman"/>
          <w:lang w:val="en-GB"/>
        </w:rPr>
        <w:t xml:space="preserve">. Because of this orientation </w:t>
      </w:r>
      <w:r w:rsidR="00267707">
        <w:rPr>
          <w:rFonts w:ascii="Times New Roman" w:hAnsi="Times New Roman" w:cs="Times New Roman"/>
          <w:lang w:val="en-GB"/>
        </w:rPr>
        <w:t>towards lower value added service</w:t>
      </w:r>
      <w:r w:rsidR="001938F1">
        <w:rPr>
          <w:rFonts w:ascii="Times New Roman" w:hAnsi="Times New Roman" w:cs="Times New Roman"/>
          <w:lang w:val="en-GB"/>
        </w:rPr>
        <w:t xml:space="preserve">s, these firms have </w:t>
      </w:r>
      <w:r w:rsidR="00E3428C">
        <w:rPr>
          <w:rFonts w:ascii="Times New Roman" w:hAnsi="Times New Roman" w:cs="Times New Roman"/>
          <w:lang w:val="en-GB"/>
        </w:rPr>
        <w:t xml:space="preserve">a limited need to avoid high turnover and retain top talents </w:t>
      </w:r>
      <w:r w:rsidR="001938F1">
        <w:rPr>
          <w:rFonts w:ascii="Times New Roman" w:hAnsi="Times New Roman" w:cs="Times New Roman"/>
          <w:lang w:val="en-GB"/>
        </w:rPr>
        <w:t>who are trying</w:t>
      </w:r>
      <w:r w:rsidR="00E3428C">
        <w:rPr>
          <w:rFonts w:ascii="Times New Roman" w:hAnsi="Times New Roman" w:cs="Times New Roman"/>
          <w:lang w:val="en-GB"/>
        </w:rPr>
        <w:t xml:space="preserve"> to reach partner level.</w:t>
      </w:r>
      <w:r w:rsidR="00267707">
        <w:rPr>
          <w:rFonts w:ascii="Times New Roman" w:hAnsi="Times New Roman" w:cs="Times New Roman"/>
          <w:lang w:val="en-GB"/>
        </w:rPr>
        <w:t xml:space="preserve"> As a consequence, firms with high ratio of associates on partners will have no incentives to </w:t>
      </w:r>
      <w:r w:rsidR="001938F1">
        <w:rPr>
          <w:rFonts w:ascii="Times New Roman" w:hAnsi="Times New Roman" w:cs="Times New Roman"/>
          <w:lang w:val="en-GB"/>
        </w:rPr>
        <w:t xml:space="preserve">abandon the </w:t>
      </w:r>
      <w:r w:rsidR="00267707">
        <w:rPr>
          <w:rFonts w:ascii="Times New Roman" w:hAnsi="Times New Roman" w:cs="Times New Roman"/>
          <w:lang w:val="en-GB"/>
        </w:rPr>
        <w:t>practice of equity partnership.</w:t>
      </w:r>
      <w:r w:rsidR="00FE0AAD">
        <w:rPr>
          <w:rFonts w:ascii="Times New Roman" w:hAnsi="Times New Roman" w:cs="Times New Roman"/>
          <w:lang w:val="en-GB"/>
        </w:rPr>
        <w:t xml:space="preserve"> </w:t>
      </w:r>
      <w:r w:rsidR="004818B2">
        <w:rPr>
          <w:rFonts w:ascii="Times New Roman" w:hAnsi="Times New Roman" w:cs="Times New Roman"/>
          <w:lang w:val="en-GB"/>
        </w:rPr>
        <w:t xml:space="preserve">More gender balanced firms at the partner level are more likely to switch to non-equity partnership, suggesting that gender diverse </w:t>
      </w:r>
      <w:r w:rsidR="001938F1">
        <w:rPr>
          <w:rFonts w:ascii="Times New Roman" w:hAnsi="Times New Roman" w:cs="Times New Roman"/>
          <w:lang w:val="en-GB"/>
        </w:rPr>
        <w:t xml:space="preserve">firms </w:t>
      </w:r>
      <w:r w:rsidR="004818B2">
        <w:rPr>
          <w:rFonts w:ascii="Times New Roman" w:hAnsi="Times New Roman" w:cs="Times New Roman"/>
          <w:lang w:val="en-GB"/>
        </w:rPr>
        <w:t xml:space="preserve">are more prone to adopt the </w:t>
      </w:r>
      <w:r w:rsidR="001938F1">
        <w:rPr>
          <w:rFonts w:ascii="Times New Roman" w:hAnsi="Times New Roman" w:cs="Times New Roman"/>
          <w:lang w:val="en-GB"/>
        </w:rPr>
        <w:t xml:space="preserve">new </w:t>
      </w:r>
      <w:r w:rsidR="004818B2">
        <w:rPr>
          <w:rFonts w:ascii="Times New Roman" w:hAnsi="Times New Roman" w:cs="Times New Roman"/>
          <w:lang w:val="en-GB"/>
        </w:rPr>
        <w:t>practice</w:t>
      </w:r>
      <w:r w:rsidR="00112833">
        <w:rPr>
          <w:rFonts w:ascii="Times New Roman" w:hAnsi="Times New Roman" w:cs="Times New Roman"/>
          <w:lang w:val="en-GB"/>
        </w:rPr>
        <w:t xml:space="preserve">. </w:t>
      </w:r>
      <w:r w:rsidR="00FE0AAD">
        <w:rPr>
          <w:rFonts w:ascii="Times New Roman" w:hAnsi="Times New Roman" w:cs="Times New Roman"/>
          <w:lang w:val="en-GB"/>
        </w:rPr>
        <w:t xml:space="preserve">Finally, the aggregated reputation of a firm’s lawyers is negatively associated with </w:t>
      </w:r>
      <w:r w:rsidR="001938F1">
        <w:rPr>
          <w:rFonts w:ascii="Times New Roman" w:hAnsi="Times New Roman" w:cs="Times New Roman"/>
          <w:lang w:val="en-GB"/>
        </w:rPr>
        <w:t xml:space="preserve">the </w:t>
      </w:r>
      <w:r w:rsidR="00FE0AAD">
        <w:rPr>
          <w:rFonts w:ascii="Times New Roman" w:hAnsi="Times New Roman" w:cs="Times New Roman"/>
          <w:lang w:val="en-GB"/>
        </w:rPr>
        <w:t xml:space="preserve">deinstitutionalization of equity partnership. This result suggests that higher reputation lawyers will push their organization to stick to the </w:t>
      </w:r>
      <w:r w:rsidR="001938F1">
        <w:rPr>
          <w:rFonts w:ascii="Times New Roman" w:hAnsi="Times New Roman" w:cs="Times New Roman"/>
          <w:lang w:val="en-GB"/>
        </w:rPr>
        <w:t>practice</w:t>
      </w:r>
      <w:r w:rsidR="00FE0AAD">
        <w:rPr>
          <w:rFonts w:ascii="Times New Roman" w:hAnsi="Times New Roman" w:cs="Times New Roman"/>
          <w:lang w:val="en-GB"/>
        </w:rPr>
        <w:t xml:space="preserve"> of equity partnership</w:t>
      </w:r>
      <w:r w:rsidR="000A3833">
        <w:rPr>
          <w:rFonts w:ascii="Times New Roman" w:hAnsi="Times New Roman" w:cs="Times New Roman"/>
          <w:lang w:val="en-GB"/>
        </w:rPr>
        <w:t>, associating it with their success.</w:t>
      </w:r>
    </w:p>
    <w:p w14:paraId="18BDC46E" w14:textId="77777777" w:rsidR="002631DF" w:rsidRDefault="002631DF" w:rsidP="00165A4F">
      <w:pPr>
        <w:spacing w:line="480" w:lineRule="auto"/>
        <w:jc w:val="both"/>
        <w:rPr>
          <w:rFonts w:ascii="Times New Roman" w:hAnsi="Times New Roman" w:cs="Times New Roman"/>
          <w:b/>
          <w:lang w:val="en-GB"/>
        </w:rPr>
      </w:pPr>
    </w:p>
    <w:p w14:paraId="779465F6" w14:textId="131887FB" w:rsidR="001D1AAD" w:rsidRDefault="001D1AAD" w:rsidP="001D1AAD">
      <w:pPr>
        <w:spacing w:line="480" w:lineRule="auto"/>
        <w:rPr>
          <w:rFonts w:ascii="Times New Roman" w:hAnsi="Times New Roman" w:cs="Times New Roman"/>
          <w:b/>
          <w:lang w:val="en-GB"/>
        </w:rPr>
      </w:pPr>
      <w:r>
        <w:rPr>
          <w:rFonts w:ascii="Times New Roman" w:hAnsi="Times New Roman" w:cs="Times New Roman"/>
          <w:b/>
          <w:lang w:val="en-GB"/>
        </w:rPr>
        <w:t>Contribution to institutional theory</w:t>
      </w:r>
    </w:p>
    <w:p w14:paraId="1B4F2C99" w14:textId="1C0F121F" w:rsidR="003228C2" w:rsidRDefault="00E26808" w:rsidP="003228C2">
      <w:pPr>
        <w:spacing w:line="480" w:lineRule="auto"/>
        <w:jc w:val="both"/>
        <w:rPr>
          <w:rFonts w:ascii="Times New Roman" w:hAnsi="Times New Roman" w:cs="Times New Roman"/>
          <w:lang w:val="en-GB"/>
        </w:rPr>
      </w:pPr>
      <w:r>
        <w:rPr>
          <w:rFonts w:ascii="Times New Roman" w:hAnsi="Times New Roman" w:cs="Times New Roman"/>
          <w:lang w:val="en-GB"/>
        </w:rPr>
        <w:t>While micro-foundations have</w:t>
      </w:r>
      <w:r w:rsidR="003228C2">
        <w:rPr>
          <w:rFonts w:ascii="Times New Roman" w:hAnsi="Times New Roman" w:cs="Times New Roman"/>
          <w:lang w:val="en-GB"/>
        </w:rPr>
        <w:t xml:space="preserve"> often be</w:t>
      </w:r>
      <w:r w:rsidR="006048BA">
        <w:rPr>
          <w:rFonts w:ascii="Times New Roman" w:hAnsi="Times New Roman" w:cs="Times New Roman"/>
          <w:lang w:val="en-GB"/>
        </w:rPr>
        <w:t>en</w:t>
      </w:r>
      <w:r w:rsidR="00B65CD2">
        <w:rPr>
          <w:rFonts w:ascii="Times New Roman" w:hAnsi="Times New Roman" w:cs="Times New Roman"/>
          <w:lang w:val="en-GB"/>
        </w:rPr>
        <w:t xml:space="preserve"> understood as, broadly speaking, a focus on agents, </w:t>
      </w:r>
      <w:r w:rsidR="003228C2">
        <w:rPr>
          <w:rFonts w:ascii="Times New Roman" w:hAnsi="Times New Roman" w:cs="Times New Roman"/>
          <w:lang w:val="en-GB"/>
        </w:rPr>
        <w:t xml:space="preserve">we further develop the idea that micro-foundations do not necessarily only </w:t>
      </w:r>
      <w:r w:rsidR="00B65CD2">
        <w:rPr>
          <w:rFonts w:ascii="Times New Roman" w:hAnsi="Times New Roman" w:cs="Times New Roman"/>
          <w:lang w:val="en-GB"/>
        </w:rPr>
        <w:t>reside at the individual-</w:t>
      </w:r>
      <w:r w:rsidR="0060093C">
        <w:rPr>
          <w:rFonts w:ascii="Times New Roman" w:hAnsi="Times New Roman" w:cs="Times New Roman"/>
          <w:lang w:val="en-GB"/>
        </w:rPr>
        <w:t>level</w:t>
      </w:r>
      <w:r w:rsidR="004438C6">
        <w:rPr>
          <w:rFonts w:ascii="Times New Roman" w:hAnsi="Times New Roman" w:cs="Times New Roman"/>
          <w:lang w:val="en-GB"/>
        </w:rPr>
        <w:t xml:space="preserve"> and that this individual level has consequences on organizational decision making when averaged and aggregated at the organizational level</w:t>
      </w:r>
      <w:r w:rsidR="0060093C">
        <w:rPr>
          <w:rFonts w:ascii="Times New Roman" w:hAnsi="Times New Roman" w:cs="Times New Roman"/>
          <w:lang w:val="en-GB"/>
        </w:rPr>
        <w:t>.</w:t>
      </w:r>
      <w:r w:rsidR="00B65CD2">
        <w:rPr>
          <w:rFonts w:ascii="Times New Roman" w:hAnsi="Times New Roman" w:cs="Times New Roman"/>
          <w:lang w:val="en-GB"/>
        </w:rPr>
        <w:t xml:space="preserve"> </w:t>
      </w:r>
      <w:r w:rsidR="0060093C">
        <w:rPr>
          <w:rFonts w:ascii="Times New Roman" w:hAnsi="Times New Roman" w:cs="Times New Roman"/>
          <w:lang w:val="en-GB"/>
        </w:rPr>
        <w:t xml:space="preserve">We </w:t>
      </w:r>
      <w:r w:rsidR="00592128">
        <w:rPr>
          <w:rFonts w:ascii="Times New Roman" w:hAnsi="Times New Roman" w:cs="Times New Roman"/>
          <w:lang w:val="en-GB"/>
        </w:rPr>
        <w:t xml:space="preserve">started the paper by stressing </w:t>
      </w:r>
      <w:r w:rsidR="003228C2">
        <w:rPr>
          <w:rFonts w:ascii="Times New Roman" w:hAnsi="Times New Roman" w:cs="Times New Roman"/>
          <w:lang w:val="en-GB"/>
        </w:rPr>
        <w:t>the existence of a continuum of levels affecting</w:t>
      </w:r>
      <w:r w:rsidR="0060093C">
        <w:rPr>
          <w:rFonts w:ascii="Times New Roman" w:hAnsi="Times New Roman" w:cs="Times New Roman"/>
          <w:lang w:val="en-GB"/>
        </w:rPr>
        <w:t xml:space="preserve"> institutional processes – from individuals to organizations, fi</w:t>
      </w:r>
      <w:r w:rsidR="00B65CD2">
        <w:rPr>
          <w:rFonts w:ascii="Times New Roman" w:hAnsi="Times New Roman" w:cs="Times New Roman"/>
          <w:lang w:val="en-GB"/>
        </w:rPr>
        <w:t>nally trickling up to the field-</w:t>
      </w:r>
      <w:r w:rsidR="0060093C">
        <w:rPr>
          <w:rFonts w:ascii="Times New Roman" w:hAnsi="Times New Roman" w:cs="Times New Roman"/>
          <w:lang w:val="en-GB"/>
        </w:rPr>
        <w:t xml:space="preserve">level and triggering </w:t>
      </w:r>
      <w:r w:rsidR="00690761">
        <w:rPr>
          <w:rFonts w:ascii="Times New Roman" w:hAnsi="Times New Roman" w:cs="Times New Roman"/>
          <w:lang w:val="en-GB"/>
        </w:rPr>
        <w:t xml:space="preserve">institutional change through the concurrent </w:t>
      </w:r>
      <w:r w:rsidR="0060093C">
        <w:rPr>
          <w:rFonts w:ascii="Times New Roman" w:hAnsi="Times New Roman" w:cs="Times New Roman"/>
          <w:lang w:val="en-GB"/>
        </w:rPr>
        <w:t xml:space="preserve">deinstitutionalization </w:t>
      </w:r>
      <w:r w:rsidR="00FC6505">
        <w:rPr>
          <w:rFonts w:ascii="Times New Roman" w:hAnsi="Times New Roman" w:cs="Times New Roman"/>
          <w:lang w:val="en-GB"/>
        </w:rPr>
        <w:t xml:space="preserve">and </w:t>
      </w:r>
      <w:r w:rsidR="0060093C">
        <w:rPr>
          <w:rFonts w:ascii="Times New Roman" w:hAnsi="Times New Roman" w:cs="Times New Roman"/>
          <w:lang w:val="en-GB"/>
        </w:rPr>
        <w:t>institutionalization of practice</w:t>
      </w:r>
      <w:r w:rsidR="004840E1">
        <w:rPr>
          <w:rFonts w:ascii="Times New Roman" w:hAnsi="Times New Roman" w:cs="Times New Roman"/>
          <w:lang w:val="en-GB"/>
        </w:rPr>
        <w:t>s</w:t>
      </w:r>
      <w:r w:rsidR="0060093C">
        <w:rPr>
          <w:rFonts w:ascii="Times New Roman" w:hAnsi="Times New Roman" w:cs="Times New Roman"/>
          <w:lang w:val="en-GB"/>
        </w:rPr>
        <w:t>.</w:t>
      </w:r>
      <w:r w:rsidR="008B37F6">
        <w:rPr>
          <w:rFonts w:ascii="Times New Roman" w:hAnsi="Times New Roman" w:cs="Times New Roman"/>
          <w:lang w:val="en-GB"/>
        </w:rPr>
        <w:t xml:space="preserve"> Our paper </w:t>
      </w:r>
      <w:r w:rsidR="00592128">
        <w:rPr>
          <w:rFonts w:ascii="Times New Roman" w:hAnsi="Times New Roman" w:cs="Times New Roman"/>
          <w:lang w:val="en-GB"/>
        </w:rPr>
        <w:t>expands on the</w:t>
      </w:r>
      <w:r w:rsidR="008B37F6">
        <w:rPr>
          <w:rFonts w:ascii="Times New Roman" w:hAnsi="Times New Roman" w:cs="Times New Roman"/>
          <w:lang w:val="en-GB"/>
        </w:rPr>
        <w:t xml:space="preserve"> role of multiple levels </w:t>
      </w:r>
      <w:r w:rsidR="00B65CD2">
        <w:rPr>
          <w:rFonts w:ascii="Times New Roman" w:hAnsi="Times New Roman" w:cs="Times New Roman"/>
          <w:lang w:val="en-GB"/>
        </w:rPr>
        <w:t xml:space="preserve">of analysis </w:t>
      </w:r>
      <w:r w:rsidR="008B37F6">
        <w:rPr>
          <w:rFonts w:ascii="Times New Roman" w:hAnsi="Times New Roman" w:cs="Times New Roman"/>
          <w:lang w:val="en-GB"/>
        </w:rPr>
        <w:t>in the micro-foundations of institutional theory</w:t>
      </w:r>
      <w:r w:rsidR="00B35F16">
        <w:rPr>
          <w:rFonts w:ascii="Times New Roman" w:hAnsi="Times New Roman" w:cs="Times New Roman"/>
          <w:lang w:val="en-GB"/>
        </w:rPr>
        <w:t xml:space="preserve"> (Harmon et al., 2018</w:t>
      </w:r>
      <w:r w:rsidR="00BD0727">
        <w:rPr>
          <w:rFonts w:ascii="Times New Roman" w:hAnsi="Times New Roman" w:cs="Times New Roman"/>
          <w:lang w:val="en-GB"/>
        </w:rPr>
        <w:t>)</w:t>
      </w:r>
      <w:r w:rsidR="007B561B">
        <w:rPr>
          <w:rFonts w:ascii="Times New Roman" w:hAnsi="Times New Roman" w:cs="Times New Roman"/>
          <w:lang w:val="en-GB"/>
        </w:rPr>
        <w:t xml:space="preserve"> by considering</w:t>
      </w:r>
      <w:r w:rsidR="00BD0727">
        <w:rPr>
          <w:rFonts w:ascii="Times New Roman" w:hAnsi="Times New Roman" w:cs="Times New Roman"/>
          <w:lang w:val="en-GB"/>
        </w:rPr>
        <w:t xml:space="preserve"> the characteristics of</w:t>
      </w:r>
      <w:r w:rsidR="007B561B">
        <w:rPr>
          <w:rFonts w:ascii="Times New Roman" w:hAnsi="Times New Roman" w:cs="Times New Roman"/>
          <w:lang w:val="en-GB"/>
        </w:rPr>
        <w:t xml:space="preserve"> populations within organizations and how t</w:t>
      </w:r>
      <w:r w:rsidR="00B65CD2">
        <w:rPr>
          <w:rFonts w:ascii="Times New Roman" w:hAnsi="Times New Roman" w:cs="Times New Roman"/>
          <w:lang w:val="en-GB"/>
        </w:rPr>
        <w:t>hese</w:t>
      </w:r>
      <w:r w:rsidR="007B561B">
        <w:rPr>
          <w:rFonts w:ascii="Times New Roman" w:hAnsi="Times New Roman" w:cs="Times New Roman"/>
          <w:lang w:val="en-GB"/>
        </w:rPr>
        <w:t xml:space="preserve"> populations influence organizational decision making.</w:t>
      </w:r>
      <w:r w:rsidR="000A1AB2">
        <w:rPr>
          <w:rFonts w:ascii="Times New Roman" w:hAnsi="Times New Roman" w:cs="Times New Roman"/>
          <w:lang w:val="en-GB"/>
        </w:rPr>
        <w:t xml:space="preserve"> We indeed tested how individuals, because of their biases,</w:t>
      </w:r>
      <w:r w:rsidR="00C55758">
        <w:rPr>
          <w:rFonts w:ascii="Times New Roman" w:hAnsi="Times New Roman" w:cs="Times New Roman"/>
          <w:lang w:val="en-GB"/>
        </w:rPr>
        <w:t xml:space="preserve"> and as a </w:t>
      </w:r>
      <w:r w:rsidR="006761F8">
        <w:rPr>
          <w:rFonts w:ascii="Times New Roman" w:hAnsi="Times New Roman" w:cs="Times New Roman"/>
          <w:lang w:val="en-GB"/>
        </w:rPr>
        <w:t>collective</w:t>
      </w:r>
      <w:r w:rsidR="00C55758">
        <w:rPr>
          <w:rFonts w:ascii="Times New Roman" w:hAnsi="Times New Roman" w:cs="Times New Roman"/>
          <w:lang w:val="en-GB"/>
        </w:rPr>
        <w:t>,</w:t>
      </w:r>
      <w:r w:rsidR="000A1AB2">
        <w:rPr>
          <w:rFonts w:ascii="Times New Roman" w:hAnsi="Times New Roman" w:cs="Times New Roman"/>
          <w:lang w:val="en-GB"/>
        </w:rPr>
        <w:t xml:space="preserve"> can influence an organization’s decision to deviate from or conform to an institutionalized practice.</w:t>
      </w:r>
      <w:r w:rsidR="007B561B">
        <w:rPr>
          <w:rFonts w:ascii="Times New Roman" w:hAnsi="Times New Roman" w:cs="Times New Roman"/>
          <w:lang w:val="en-GB"/>
        </w:rPr>
        <w:t xml:space="preserve"> Agents of deinstitutionalization can thus be organization</w:t>
      </w:r>
      <w:r w:rsidR="00D8594F">
        <w:rPr>
          <w:rFonts w:ascii="Times New Roman" w:hAnsi="Times New Roman" w:cs="Times New Roman"/>
          <w:lang w:val="en-GB"/>
        </w:rPr>
        <w:t>s pushed by their composition and demography.</w:t>
      </w:r>
      <w:r w:rsidR="00AD5EFA">
        <w:rPr>
          <w:rFonts w:ascii="Times New Roman" w:hAnsi="Times New Roman" w:cs="Times New Roman"/>
          <w:lang w:val="en-GB"/>
        </w:rPr>
        <w:t xml:space="preserve"> </w:t>
      </w:r>
      <w:r w:rsidR="00F01EC6">
        <w:rPr>
          <w:rFonts w:ascii="Times New Roman" w:hAnsi="Times New Roman" w:cs="Times New Roman"/>
          <w:lang w:val="en-GB"/>
        </w:rPr>
        <w:t xml:space="preserve">For example, in our case, we looked at the </w:t>
      </w:r>
      <w:r w:rsidR="00D92637">
        <w:rPr>
          <w:rFonts w:ascii="Times New Roman" w:hAnsi="Times New Roman" w:cs="Times New Roman"/>
          <w:lang w:val="en-GB"/>
        </w:rPr>
        <w:t xml:space="preserve">sharing of profit, and the leverage of the firm, which are organizational-level aspects determined by the demography of the organization. </w:t>
      </w:r>
      <w:r w:rsidR="00AD5EFA">
        <w:rPr>
          <w:rFonts w:ascii="Times New Roman" w:hAnsi="Times New Roman" w:cs="Times New Roman"/>
          <w:lang w:val="en-GB"/>
        </w:rPr>
        <w:t>A closer look to diversity within organizations may yield interesting results with re</w:t>
      </w:r>
      <w:r w:rsidR="00B65CD2">
        <w:rPr>
          <w:rFonts w:ascii="Times New Roman" w:hAnsi="Times New Roman" w:cs="Times New Roman"/>
          <w:lang w:val="en-GB"/>
        </w:rPr>
        <w:t xml:space="preserve">gards to the behaviour of these </w:t>
      </w:r>
      <w:r w:rsidR="00AD5EFA">
        <w:rPr>
          <w:rFonts w:ascii="Times New Roman" w:hAnsi="Times New Roman" w:cs="Times New Roman"/>
          <w:lang w:val="en-GB"/>
        </w:rPr>
        <w:t>organizations with regards to institutions.</w:t>
      </w:r>
      <w:r w:rsidR="00545339">
        <w:rPr>
          <w:rFonts w:ascii="Times New Roman" w:hAnsi="Times New Roman" w:cs="Times New Roman"/>
          <w:lang w:val="en-GB"/>
        </w:rPr>
        <w:t xml:space="preserve"> For example, one could look at other forms of diversity beyond gender.</w:t>
      </w:r>
    </w:p>
    <w:p w14:paraId="529AE86F" w14:textId="6596D9D0" w:rsidR="003228C2" w:rsidRDefault="00E26808" w:rsidP="003228C2">
      <w:pPr>
        <w:spacing w:line="480" w:lineRule="auto"/>
        <w:jc w:val="both"/>
        <w:rPr>
          <w:rFonts w:ascii="Times New Roman" w:hAnsi="Times New Roman" w:cs="Times New Roman"/>
          <w:lang w:val="en-GB"/>
        </w:rPr>
      </w:pPr>
      <w:r>
        <w:rPr>
          <w:rFonts w:ascii="Times New Roman" w:hAnsi="Times New Roman" w:cs="Times New Roman"/>
          <w:lang w:val="en-GB"/>
        </w:rPr>
        <w:tab/>
      </w:r>
      <w:r w:rsidR="00F74C16">
        <w:rPr>
          <w:rFonts w:ascii="Times New Roman" w:hAnsi="Times New Roman" w:cs="Times New Roman"/>
          <w:lang w:val="en-GB"/>
        </w:rPr>
        <w:t>Suggesting a full continuum of levels of analysis to understand micro-foundations of institutional</w:t>
      </w:r>
      <w:r w:rsidR="000E5A28">
        <w:rPr>
          <w:rFonts w:ascii="Times New Roman" w:hAnsi="Times New Roman" w:cs="Times New Roman"/>
          <w:lang w:val="en-GB"/>
        </w:rPr>
        <w:t xml:space="preserve"> theory opens a number of new questions and areas of research.</w:t>
      </w:r>
      <w:r w:rsidR="00F74C16">
        <w:rPr>
          <w:rFonts w:ascii="Times New Roman" w:hAnsi="Times New Roman" w:cs="Times New Roman"/>
          <w:lang w:val="en-GB"/>
        </w:rPr>
        <w:t xml:space="preserve"> </w:t>
      </w:r>
      <w:r>
        <w:rPr>
          <w:rFonts w:ascii="Times New Roman" w:hAnsi="Times New Roman" w:cs="Times New Roman"/>
          <w:lang w:val="en-GB"/>
        </w:rPr>
        <w:t>Accounting for multiple levels of analysis recognizes that some levels might be more important than other</w:t>
      </w:r>
      <w:r w:rsidR="004840E1">
        <w:rPr>
          <w:rFonts w:ascii="Times New Roman" w:hAnsi="Times New Roman" w:cs="Times New Roman"/>
          <w:lang w:val="en-GB"/>
        </w:rPr>
        <w:t>s</w:t>
      </w:r>
      <w:r>
        <w:rPr>
          <w:rFonts w:ascii="Times New Roman" w:hAnsi="Times New Roman" w:cs="Times New Roman"/>
          <w:lang w:val="en-GB"/>
        </w:rPr>
        <w:t xml:space="preserve"> depending on the setting and </w:t>
      </w:r>
      <w:r w:rsidR="00685758">
        <w:rPr>
          <w:rFonts w:ascii="Times New Roman" w:hAnsi="Times New Roman" w:cs="Times New Roman"/>
          <w:lang w:val="en-GB"/>
        </w:rPr>
        <w:t>context</w:t>
      </w:r>
      <w:r>
        <w:rPr>
          <w:rFonts w:ascii="Times New Roman" w:hAnsi="Times New Roman" w:cs="Times New Roman"/>
          <w:lang w:val="en-GB"/>
        </w:rPr>
        <w:t>.</w:t>
      </w:r>
      <w:r w:rsidR="008D6BBE">
        <w:rPr>
          <w:rFonts w:ascii="Times New Roman" w:hAnsi="Times New Roman" w:cs="Times New Roman"/>
          <w:lang w:val="en-GB"/>
        </w:rPr>
        <w:t xml:space="preserve"> With a sole focus on individual as micro-foundational determinants of (de)institutionalization we run the risk of missing a k</w:t>
      </w:r>
      <w:r w:rsidR="00A31BE9">
        <w:rPr>
          <w:rFonts w:ascii="Times New Roman" w:hAnsi="Times New Roman" w:cs="Times New Roman"/>
          <w:lang w:val="en-GB"/>
        </w:rPr>
        <w:t>ey explanatory mechanism.</w:t>
      </w:r>
      <w:r w:rsidR="003D3B94">
        <w:rPr>
          <w:rFonts w:ascii="Times New Roman" w:hAnsi="Times New Roman" w:cs="Times New Roman"/>
          <w:lang w:val="en-GB"/>
        </w:rPr>
        <w:t xml:space="preserve"> It is indeed crucial to look into the characteristics of population</w:t>
      </w:r>
      <w:r w:rsidR="004840E1">
        <w:rPr>
          <w:rFonts w:ascii="Times New Roman" w:hAnsi="Times New Roman" w:cs="Times New Roman"/>
          <w:lang w:val="en-GB"/>
        </w:rPr>
        <w:t>s</w:t>
      </w:r>
      <w:r w:rsidR="003D3B94">
        <w:rPr>
          <w:rFonts w:ascii="Times New Roman" w:hAnsi="Times New Roman" w:cs="Times New Roman"/>
          <w:lang w:val="en-GB"/>
        </w:rPr>
        <w:t xml:space="preserve"> within organization</w:t>
      </w:r>
      <w:r w:rsidR="004840E1">
        <w:rPr>
          <w:rFonts w:ascii="Times New Roman" w:hAnsi="Times New Roman" w:cs="Times New Roman"/>
          <w:lang w:val="en-GB"/>
        </w:rPr>
        <w:t>s</w:t>
      </w:r>
      <w:r w:rsidR="003D3B94">
        <w:rPr>
          <w:rFonts w:ascii="Times New Roman" w:hAnsi="Times New Roman" w:cs="Times New Roman"/>
          <w:lang w:val="en-GB"/>
        </w:rPr>
        <w:t xml:space="preserve"> to understand organizational behaviour and ultimately field-level </w:t>
      </w:r>
      <w:r w:rsidR="004840E1">
        <w:rPr>
          <w:rFonts w:ascii="Times New Roman" w:hAnsi="Times New Roman" w:cs="Times New Roman"/>
          <w:lang w:val="en-GB"/>
        </w:rPr>
        <w:t>change</w:t>
      </w:r>
      <w:r w:rsidR="003D3B94">
        <w:rPr>
          <w:rFonts w:ascii="Times New Roman" w:hAnsi="Times New Roman" w:cs="Times New Roman"/>
          <w:lang w:val="en-GB"/>
        </w:rPr>
        <w:t>.</w:t>
      </w:r>
    </w:p>
    <w:p w14:paraId="672EFFA4" w14:textId="77777777" w:rsidR="007F197A" w:rsidRDefault="007F197A" w:rsidP="003228C2">
      <w:pPr>
        <w:spacing w:line="480" w:lineRule="auto"/>
        <w:jc w:val="both"/>
        <w:rPr>
          <w:rFonts w:ascii="Times New Roman" w:hAnsi="Times New Roman" w:cs="Times New Roman"/>
          <w:b/>
          <w:lang w:val="en-GB"/>
        </w:rPr>
      </w:pPr>
    </w:p>
    <w:p w14:paraId="1F32D5D1" w14:textId="7C417E3A" w:rsidR="001D1AAD" w:rsidRDefault="001D1AAD" w:rsidP="003228C2">
      <w:pPr>
        <w:spacing w:line="480" w:lineRule="auto"/>
        <w:jc w:val="both"/>
        <w:rPr>
          <w:rFonts w:ascii="Times New Roman" w:hAnsi="Times New Roman" w:cs="Times New Roman"/>
          <w:b/>
          <w:lang w:val="en-GB"/>
        </w:rPr>
      </w:pPr>
      <w:r>
        <w:rPr>
          <w:rFonts w:ascii="Times New Roman" w:hAnsi="Times New Roman" w:cs="Times New Roman"/>
          <w:b/>
          <w:lang w:val="en-GB"/>
        </w:rPr>
        <w:t>Limitations and future research</w:t>
      </w:r>
    </w:p>
    <w:p w14:paraId="56A7CEB5" w14:textId="341A243A" w:rsidR="00966C49" w:rsidRDefault="003228C2" w:rsidP="003228C2">
      <w:pPr>
        <w:spacing w:line="480" w:lineRule="auto"/>
        <w:jc w:val="both"/>
        <w:rPr>
          <w:rFonts w:ascii="Times New Roman" w:hAnsi="Times New Roman" w:cs="Times New Roman"/>
          <w:lang w:val="en-GB"/>
        </w:rPr>
      </w:pPr>
      <w:r>
        <w:rPr>
          <w:rFonts w:ascii="Times New Roman" w:hAnsi="Times New Roman" w:cs="Times New Roman"/>
          <w:lang w:val="en-GB"/>
        </w:rPr>
        <w:t xml:space="preserve">We chose an empirical context in which </w:t>
      </w:r>
      <w:r w:rsidR="00A026A5">
        <w:rPr>
          <w:rFonts w:ascii="Times New Roman" w:hAnsi="Times New Roman" w:cs="Times New Roman"/>
          <w:lang w:val="en-GB"/>
        </w:rPr>
        <w:t>institutio</w:t>
      </w:r>
      <w:r w:rsidR="00976D6F">
        <w:rPr>
          <w:rFonts w:ascii="Times New Roman" w:hAnsi="Times New Roman" w:cs="Times New Roman"/>
          <w:lang w:val="en-GB"/>
        </w:rPr>
        <w:t xml:space="preserve">nal change can be captured through a cycle of </w:t>
      </w:r>
      <w:r>
        <w:rPr>
          <w:rFonts w:ascii="Times New Roman" w:hAnsi="Times New Roman" w:cs="Times New Roman"/>
          <w:lang w:val="en-GB"/>
        </w:rPr>
        <w:t>deinstitutionalization and institutionalization succee</w:t>
      </w:r>
      <w:r w:rsidR="00DC7B7D">
        <w:rPr>
          <w:rFonts w:ascii="Times New Roman" w:hAnsi="Times New Roman" w:cs="Times New Roman"/>
          <w:lang w:val="en-GB"/>
        </w:rPr>
        <w:t>ding</w:t>
      </w:r>
      <w:r>
        <w:rPr>
          <w:rFonts w:ascii="Times New Roman" w:hAnsi="Times New Roman" w:cs="Times New Roman"/>
          <w:lang w:val="en-GB"/>
        </w:rPr>
        <w:t xml:space="preserve"> to each other</w:t>
      </w:r>
      <w:r w:rsidR="00C43E5B">
        <w:rPr>
          <w:rFonts w:ascii="Times New Roman" w:hAnsi="Times New Roman" w:cs="Times New Roman"/>
          <w:lang w:val="en-GB"/>
        </w:rPr>
        <w:t xml:space="preserve">, thus picking a specific </w:t>
      </w:r>
      <w:r w:rsidR="00A17360">
        <w:rPr>
          <w:rFonts w:ascii="Times New Roman" w:hAnsi="Times New Roman" w:cs="Times New Roman"/>
          <w:lang w:val="en-GB"/>
        </w:rPr>
        <w:t>‘</w:t>
      </w:r>
      <w:r w:rsidR="00C43E5B">
        <w:rPr>
          <w:rFonts w:ascii="Times New Roman" w:hAnsi="Times New Roman" w:cs="Times New Roman"/>
          <w:lang w:val="en-GB"/>
        </w:rPr>
        <w:t>pathway</w:t>
      </w:r>
      <w:r w:rsidR="00A17360">
        <w:rPr>
          <w:rFonts w:ascii="Times New Roman" w:hAnsi="Times New Roman" w:cs="Times New Roman"/>
          <w:lang w:val="en-GB"/>
        </w:rPr>
        <w:t>’</w:t>
      </w:r>
      <w:r w:rsidR="00C43E5B">
        <w:rPr>
          <w:rFonts w:ascii="Times New Roman" w:hAnsi="Times New Roman" w:cs="Times New Roman"/>
          <w:lang w:val="en-GB"/>
        </w:rPr>
        <w:t xml:space="preserve"> of institu</w:t>
      </w:r>
      <w:r w:rsidR="00D16A92">
        <w:rPr>
          <w:rFonts w:ascii="Times New Roman" w:hAnsi="Times New Roman" w:cs="Times New Roman"/>
          <w:lang w:val="en-GB"/>
        </w:rPr>
        <w:t xml:space="preserve">tional change (Micelotta et al., </w:t>
      </w:r>
      <w:r w:rsidR="00C43E5B">
        <w:rPr>
          <w:rFonts w:ascii="Times New Roman" w:hAnsi="Times New Roman" w:cs="Times New Roman"/>
          <w:lang w:val="en-GB"/>
        </w:rPr>
        <w:t>2017)</w:t>
      </w:r>
      <w:r w:rsidR="00976D6F">
        <w:rPr>
          <w:rFonts w:ascii="Times New Roman" w:hAnsi="Times New Roman" w:cs="Times New Roman"/>
          <w:lang w:val="en-GB"/>
        </w:rPr>
        <w:t>. P</w:t>
      </w:r>
      <w:r w:rsidR="00A65A27">
        <w:rPr>
          <w:rFonts w:ascii="Times New Roman" w:hAnsi="Times New Roman" w:cs="Times New Roman"/>
          <w:lang w:val="en-GB"/>
        </w:rPr>
        <w:t>revious studies</w:t>
      </w:r>
      <w:r w:rsidR="00172771">
        <w:rPr>
          <w:rFonts w:ascii="Times New Roman" w:hAnsi="Times New Roman" w:cs="Times New Roman"/>
          <w:lang w:val="en-GB"/>
        </w:rPr>
        <w:t xml:space="preserve"> of deinstitutionalization </w:t>
      </w:r>
      <w:r w:rsidR="00A65A27">
        <w:rPr>
          <w:rFonts w:ascii="Times New Roman" w:hAnsi="Times New Roman" w:cs="Times New Roman"/>
          <w:lang w:val="en-GB"/>
        </w:rPr>
        <w:t xml:space="preserve">have </w:t>
      </w:r>
      <w:r w:rsidR="00172771">
        <w:rPr>
          <w:rFonts w:ascii="Times New Roman" w:hAnsi="Times New Roman" w:cs="Times New Roman"/>
          <w:lang w:val="en-GB"/>
        </w:rPr>
        <w:t>recognize</w:t>
      </w:r>
      <w:r w:rsidR="00A65A27">
        <w:rPr>
          <w:rFonts w:ascii="Times New Roman" w:hAnsi="Times New Roman" w:cs="Times New Roman"/>
          <w:lang w:val="en-GB"/>
        </w:rPr>
        <w:t>d</w:t>
      </w:r>
      <w:r w:rsidR="00172771">
        <w:rPr>
          <w:rFonts w:ascii="Times New Roman" w:hAnsi="Times New Roman" w:cs="Times New Roman"/>
          <w:lang w:val="en-GB"/>
        </w:rPr>
        <w:t xml:space="preserve"> that</w:t>
      </w:r>
      <w:r w:rsidR="00DA6818">
        <w:rPr>
          <w:rFonts w:ascii="Times New Roman" w:hAnsi="Times New Roman" w:cs="Times New Roman"/>
          <w:lang w:val="en-GB"/>
        </w:rPr>
        <w:t xml:space="preserve"> the</w:t>
      </w:r>
      <w:r w:rsidR="00172771">
        <w:rPr>
          <w:rFonts w:ascii="Times New Roman" w:hAnsi="Times New Roman" w:cs="Times New Roman"/>
          <w:lang w:val="en-GB"/>
        </w:rPr>
        <w:t xml:space="preserve"> deinstitutionalization of </w:t>
      </w:r>
      <w:r w:rsidR="00DA6818">
        <w:rPr>
          <w:rFonts w:ascii="Times New Roman" w:hAnsi="Times New Roman" w:cs="Times New Roman"/>
          <w:lang w:val="en-GB"/>
        </w:rPr>
        <w:t xml:space="preserve">institutionalized </w:t>
      </w:r>
      <w:r w:rsidR="00172771">
        <w:rPr>
          <w:rFonts w:ascii="Times New Roman" w:hAnsi="Times New Roman" w:cs="Times New Roman"/>
          <w:lang w:val="en-GB"/>
        </w:rPr>
        <w:t>practice</w:t>
      </w:r>
      <w:r w:rsidR="00DA6818">
        <w:rPr>
          <w:rFonts w:ascii="Times New Roman" w:hAnsi="Times New Roman" w:cs="Times New Roman"/>
          <w:lang w:val="en-GB"/>
        </w:rPr>
        <w:t>s</w:t>
      </w:r>
      <w:r w:rsidR="00172771">
        <w:rPr>
          <w:rFonts w:ascii="Times New Roman" w:hAnsi="Times New Roman" w:cs="Times New Roman"/>
          <w:lang w:val="en-GB"/>
        </w:rPr>
        <w:t xml:space="preserve"> might not necessarily </w:t>
      </w:r>
      <w:r w:rsidR="00102CD0">
        <w:rPr>
          <w:rFonts w:ascii="Times New Roman" w:hAnsi="Times New Roman" w:cs="Times New Roman"/>
          <w:lang w:val="en-GB"/>
        </w:rPr>
        <w:t xml:space="preserve">make room for new practices to emerge </w:t>
      </w:r>
      <w:r w:rsidR="00172771">
        <w:rPr>
          <w:rFonts w:ascii="Times New Roman" w:hAnsi="Times New Roman" w:cs="Times New Roman"/>
          <w:lang w:val="en-GB"/>
        </w:rPr>
        <w:t>(Maguire &amp; Hardy, 2009).</w:t>
      </w:r>
      <w:r w:rsidR="008A5F14">
        <w:rPr>
          <w:rFonts w:ascii="Times New Roman" w:hAnsi="Times New Roman" w:cs="Times New Roman"/>
          <w:lang w:val="en-GB"/>
        </w:rPr>
        <w:t xml:space="preserve"> In our case, non-equity (or salaried) partner</w:t>
      </w:r>
      <w:r w:rsidR="00977548">
        <w:rPr>
          <w:rFonts w:ascii="Times New Roman" w:hAnsi="Times New Roman" w:cs="Times New Roman"/>
          <w:lang w:val="en-GB"/>
        </w:rPr>
        <w:t>ship</w:t>
      </w:r>
      <w:r w:rsidR="008A5F14">
        <w:rPr>
          <w:rFonts w:ascii="Times New Roman" w:hAnsi="Times New Roman" w:cs="Times New Roman"/>
          <w:lang w:val="en-GB"/>
        </w:rPr>
        <w:t xml:space="preserve"> progressively replaced equity partnership </w:t>
      </w:r>
      <w:r w:rsidR="0002061A">
        <w:rPr>
          <w:rFonts w:ascii="Times New Roman" w:hAnsi="Times New Roman" w:cs="Times New Roman"/>
          <w:lang w:val="en-GB"/>
        </w:rPr>
        <w:t xml:space="preserve">(Malhotra et al., </w:t>
      </w:r>
      <w:r w:rsidR="008A5F14">
        <w:rPr>
          <w:rFonts w:ascii="Times New Roman" w:hAnsi="Times New Roman" w:cs="Times New Roman"/>
          <w:lang w:val="en-GB"/>
        </w:rPr>
        <w:t>2010</w:t>
      </w:r>
      <w:r w:rsidR="00A17360">
        <w:rPr>
          <w:rFonts w:ascii="Times New Roman" w:hAnsi="Times New Roman" w:cs="Times New Roman"/>
          <w:lang w:val="en-GB"/>
        </w:rPr>
        <w:t xml:space="preserve">; Malhotra et al., </w:t>
      </w:r>
      <w:r w:rsidR="007279F9">
        <w:rPr>
          <w:rFonts w:ascii="Times New Roman" w:hAnsi="Times New Roman" w:cs="Times New Roman"/>
          <w:lang w:val="en-GB"/>
        </w:rPr>
        <w:t>2016</w:t>
      </w:r>
      <w:r w:rsidR="008A5F14">
        <w:rPr>
          <w:rFonts w:ascii="Times New Roman" w:hAnsi="Times New Roman" w:cs="Times New Roman"/>
          <w:lang w:val="en-GB"/>
        </w:rPr>
        <w:t>) and this might have favo</w:t>
      </w:r>
      <w:r w:rsidR="00977548">
        <w:rPr>
          <w:rFonts w:ascii="Times New Roman" w:hAnsi="Times New Roman" w:cs="Times New Roman"/>
          <w:lang w:val="en-GB"/>
        </w:rPr>
        <w:t>u</w:t>
      </w:r>
      <w:r w:rsidR="008A5F14">
        <w:rPr>
          <w:rFonts w:ascii="Times New Roman" w:hAnsi="Times New Roman" w:cs="Times New Roman"/>
          <w:lang w:val="en-GB"/>
        </w:rPr>
        <w:t xml:space="preserve">red the deinstitutionalization process. We could expect that without a new emerging practice to replace the old one, </w:t>
      </w:r>
      <w:r w:rsidR="00D92637">
        <w:rPr>
          <w:rFonts w:ascii="Times New Roman" w:hAnsi="Times New Roman" w:cs="Times New Roman"/>
          <w:lang w:val="en-GB"/>
        </w:rPr>
        <w:t>high reputation</w:t>
      </w:r>
      <w:r w:rsidR="008A5F14">
        <w:rPr>
          <w:rFonts w:ascii="Times New Roman" w:hAnsi="Times New Roman" w:cs="Times New Roman"/>
          <w:lang w:val="en-GB"/>
        </w:rPr>
        <w:t xml:space="preserve"> individuals will </w:t>
      </w:r>
      <w:r w:rsidR="008F19FF">
        <w:rPr>
          <w:rFonts w:ascii="Times New Roman" w:hAnsi="Times New Roman" w:cs="Times New Roman"/>
          <w:lang w:val="en-GB"/>
        </w:rPr>
        <w:t xml:space="preserve">resist </w:t>
      </w:r>
      <w:r w:rsidR="00A17360">
        <w:rPr>
          <w:rFonts w:ascii="Times New Roman" w:hAnsi="Times New Roman" w:cs="Times New Roman"/>
          <w:lang w:val="en-GB"/>
        </w:rPr>
        <w:t xml:space="preserve">deinstitutionalization </w:t>
      </w:r>
      <w:r w:rsidR="008F19FF">
        <w:rPr>
          <w:rFonts w:ascii="Times New Roman" w:hAnsi="Times New Roman" w:cs="Times New Roman"/>
          <w:lang w:val="en-GB"/>
        </w:rPr>
        <w:t>even harder as they know that the alternative is yet to be shaped. Future research could differentiate situation in which deinstitutionalization is followed by another period of institutionalization.</w:t>
      </w:r>
      <w:r w:rsidR="00D8594F">
        <w:rPr>
          <w:rFonts w:ascii="Times New Roman" w:hAnsi="Times New Roman" w:cs="Times New Roman"/>
          <w:lang w:val="en-GB"/>
        </w:rPr>
        <w:t xml:space="preserve"> </w:t>
      </w:r>
      <w:r w:rsidR="00E86A26">
        <w:rPr>
          <w:rFonts w:ascii="Times New Roman" w:hAnsi="Times New Roman" w:cs="Times New Roman"/>
          <w:lang w:val="en-GB"/>
        </w:rPr>
        <w:t xml:space="preserve">In our empirical context, it is </w:t>
      </w:r>
      <w:r w:rsidR="00EB4880">
        <w:rPr>
          <w:rFonts w:ascii="Times New Roman" w:hAnsi="Times New Roman" w:cs="Times New Roman"/>
          <w:lang w:val="en-GB"/>
        </w:rPr>
        <w:t xml:space="preserve">however </w:t>
      </w:r>
      <w:r w:rsidR="00E86A26">
        <w:rPr>
          <w:rFonts w:ascii="Times New Roman" w:hAnsi="Times New Roman" w:cs="Times New Roman"/>
          <w:lang w:val="en-GB"/>
        </w:rPr>
        <w:t>difficult to disentangle</w:t>
      </w:r>
      <w:r w:rsidR="00966C49" w:rsidRPr="00966C49">
        <w:rPr>
          <w:rFonts w:ascii="Times New Roman" w:hAnsi="Times New Roman" w:cs="Times New Roman"/>
          <w:lang w:val="en-GB"/>
        </w:rPr>
        <w:t xml:space="preserve"> </w:t>
      </w:r>
      <w:r w:rsidR="00E86A26">
        <w:rPr>
          <w:rFonts w:ascii="Times New Roman" w:hAnsi="Times New Roman" w:cs="Times New Roman"/>
          <w:lang w:val="en-GB"/>
        </w:rPr>
        <w:t>whether the process of deinstitutionalization and institutionalization</w:t>
      </w:r>
      <w:r w:rsidR="00966C49" w:rsidRPr="00966C49">
        <w:rPr>
          <w:rFonts w:ascii="Times New Roman" w:hAnsi="Times New Roman" w:cs="Times New Roman"/>
          <w:lang w:val="en-GB"/>
        </w:rPr>
        <w:t xml:space="preserve"> is due to a higher appeal </w:t>
      </w:r>
      <w:r w:rsidR="00E86A26">
        <w:rPr>
          <w:rFonts w:ascii="Times New Roman" w:hAnsi="Times New Roman" w:cs="Times New Roman"/>
          <w:lang w:val="en-GB"/>
        </w:rPr>
        <w:t xml:space="preserve">of the multi-tier partnership </w:t>
      </w:r>
      <w:r w:rsidR="0073355C">
        <w:rPr>
          <w:rFonts w:ascii="Times New Roman" w:hAnsi="Times New Roman" w:cs="Times New Roman"/>
          <w:lang w:val="en-GB"/>
        </w:rPr>
        <w:t xml:space="preserve">(including both equity and non-equity partnership) </w:t>
      </w:r>
      <w:r w:rsidR="00E86A26">
        <w:rPr>
          <w:rFonts w:ascii="Times New Roman" w:hAnsi="Times New Roman" w:cs="Times New Roman"/>
          <w:lang w:val="en-GB"/>
        </w:rPr>
        <w:t>or a lower appeal of the collegial partnership</w:t>
      </w:r>
      <w:r w:rsidR="0073355C">
        <w:rPr>
          <w:rFonts w:ascii="Times New Roman" w:hAnsi="Times New Roman" w:cs="Times New Roman"/>
          <w:lang w:val="en-GB"/>
        </w:rPr>
        <w:t xml:space="preserve"> (including only equity partnership)</w:t>
      </w:r>
      <w:r w:rsidR="00966C49" w:rsidRPr="00966C49">
        <w:rPr>
          <w:rFonts w:ascii="Times New Roman" w:hAnsi="Times New Roman" w:cs="Times New Roman"/>
          <w:lang w:val="en-GB"/>
        </w:rPr>
        <w:t xml:space="preserve">, or both. </w:t>
      </w:r>
    </w:p>
    <w:p w14:paraId="75764D69" w14:textId="6E6EFEC6" w:rsidR="009F3159" w:rsidRDefault="007279F9" w:rsidP="003228C2">
      <w:pPr>
        <w:spacing w:line="480" w:lineRule="auto"/>
        <w:jc w:val="both"/>
        <w:rPr>
          <w:rFonts w:ascii="Times New Roman" w:hAnsi="Times New Roman" w:cs="Times New Roman"/>
          <w:lang w:val="en-GB"/>
        </w:rPr>
      </w:pPr>
      <w:r>
        <w:rPr>
          <w:rFonts w:ascii="Times New Roman" w:hAnsi="Times New Roman" w:cs="Times New Roman"/>
          <w:lang w:val="en-GB"/>
        </w:rPr>
        <w:tab/>
        <w:t xml:space="preserve">As we stress the importance of studying a continuum of levels of analysis to understand the micro-foundations of institutional theory, building </w:t>
      </w:r>
      <w:r w:rsidR="00A17360">
        <w:rPr>
          <w:rFonts w:ascii="Times New Roman" w:hAnsi="Times New Roman" w:cs="Times New Roman"/>
          <w:lang w:val="en-GB"/>
        </w:rPr>
        <w:t>upon</w:t>
      </w:r>
      <w:r w:rsidR="00A66C2C">
        <w:rPr>
          <w:rFonts w:ascii="Times New Roman" w:hAnsi="Times New Roman" w:cs="Times New Roman"/>
          <w:lang w:val="en-GB"/>
        </w:rPr>
        <w:t xml:space="preserve"> Harmon</w:t>
      </w:r>
      <w:r>
        <w:rPr>
          <w:rFonts w:ascii="Times New Roman" w:hAnsi="Times New Roman" w:cs="Times New Roman"/>
          <w:lang w:val="en-GB"/>
        </w:rPr>
        <w:t xml:space="preserve"> et al. (2018)</w:t>
      </w:r>
      <w:r w:rsidR="00A66C2C">
        <w:rPr>
          <w:rFonts w:ascii="Times New Roman" w:hAnsi="Times New Roman" w:cs="Times New Roman"/>
          <w:lang w:val="en-GB"/>
        </w:rPr>
        <w:t>, we call for future research to further this str</w:t>
      </w:r>
      <w:r w:rsidR="00F96172">
        <w:rPr>
          <w:rFonts w:ascii="Times New Roman" w:hAnsi="Times New Roman" w:cs="Times New Roman"/>
          <w:lang w:val="en-GB"/>
        </w:rPr>
        <w:t>e</w:t>
      </w:r>
      <w:r w:rsidR="00A66C2C">
        <w:rPr>
          <w:rFonts w:ascii="Times New Roman" w:hAnsi="Times New Roman" w:cs="Times New Roman"/>
          <w:lang w:val="en-GB"/>
        </w:rPr>
        <w:t>am of work</w:t>
      </w:r>
      <w:r>
        <w:rPr>
          <w:rFonts w:ascii="Times New Roman" w:hAnsi="Times New Roman" w:cs="Times New Roman"/>
          <w:lang w:val="en-GB"/>
        </w:rPr>
        <w:t>.</w:t>
      </w:r>
      <w:r w:rsidR="00A10902">
        <w:rPr>
          <w:rFonts w:ascii="Times New Roman" w:hAnsi="Times New Roman" w:cs="Times New Roman"/>
          <w:lang w:val="en-GB"/>
        </w:rPr>
        <w:t xml:space="preserve"> How does individual resistance to an institutionalized practice shift towards group resistance? When does this resistance reach a critical mass or a threshold beyond which we can consider a practice (de)institutionalized (Clemente &amp; Roulet, 2015)?</w:t>
      </w:r>
      <w:r w:rsidR="009F3159">
        <w:rPr>
          <w:rFonts w:ascii="Times New Roman" w:hAnsi="Times New Roman" w:cs="Times New Roman"/>
          <w:lang w:val="en-GB"/>
        </w:rPr>
        <w:t xml:space="preserve"> </w:t>
      </w:r>
    </w:p>
    <w:p w14:paraId="1BD483E5" w14:textId="47BCAF02" w:rsidR="000E5A28" w:rsidRPr="003228C2" w:rsidRDefault="000E5A28" w:rsidP="00521186">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addition, we could wonder whether our results are generalizable to other </w:t>
      </w:r>
      <w:r w:rsidR="00883316">
        <w:rPr>
          <w:rFonts w:ascii="Times New Roman" w:hAnsi="Times New Roman" w:cs="Times New Roman"/>
          <w:lang w:val="en-GB"/>
        </w:rPr>
        <w:t>professional service firms</w:t>
      </w:r>
      <w:r w:rsidR="0059523F">
        <w:rPr>
          <w:rFonts w:ascii="Times New Roman" w:hAnsi="Times New Roman" w:cs="Times New Roman"/>
          <w:lang w:val="en-GB"/>
        </w:rPr>
        <w:t xml:space="preserve"> (Von Nordenflycht, 2010)</w:t>
      </w:r>
      <w:r w:rsidR="00883316">
        <w:rPr>
          <w:rFonts w:ascii="Times New Roman" w:hAnsi="Times New Roman" w:cs="Times New Roman"/>
          <w:lang w:val="en-GB"/>
        </w:rPr>
        <w:t>.</w:t>
      </w:r>
      <w:r w:rsidR="0059523F">
        <w:rPr>
          <w:rFonts w:ascii="Times New Roman" w:hAnsi="Times New Roman" w:cs="Times New Roman"/>
          <w:lang w:val="en-GB"/>
        </w:rPr>
        <w:t xml:space="preserve"> </w:t>
      </w:r>
      <w:r w:rsidR="00A66C2C">
        <w:rPr>
          <w:rFonts w:ascii="Times New Roman" w:hAnsi="Times New Roman" w:cs="Times New Roman"/>
          <w:lang w:val="en-GB"/>
        </w:rPr>
        <w:t xml:space="preserve">How do other professional service firms such as investment banks, audit </w:t>
      </w:r>
      <w:r w:rsidR="00A17360">
        <w:rPr>
          <w:rFonts w:ascii="Times New Roman" w:hAnsi="Times New Roman" w:cs="Times New Roman"/>
          <w:lang w:val="en-GB"/>
        </w:rPr>
        <w:t xml:space="preserve">firms </w:t>
      </w:r>
      <w:r w:rsidR="00A66C2C">
        <w:rPr>
          <w:rFonts w:ascii="Times New Roman" w:hAnsi="Times New Roman" w:cs="Times New Roman"/>
          <w:lang w:val="en-GB"/>
        </w:rPr>
        <w:t xml:space="preserve">or consulting </w:t>
      </w:r>
      <w:r w:rsidR="00A17360">
        <w:rPr>
          <w:rFonts w:ascii="Times New Roman" w:hAnsi="Times New Roman" w:cs="Times New Roman"/>
          <w:lang w:val="en-GB"/>
        </w:rPr>
        <w:t xml:space="preserve">firms </w:t>
      </w:r>
      <w:r w:rsidR="00A66C2C">
        <w:rPr>
          <w:rFonts w:ascii="Times New Roman" w:hAnsi="Times New Roman" w:cs="Times New Roman"/>
          <w:lang w:val="en-GB"/>
        </w:rPr>
        <w:t xml:space="preserve">differ in their determinants of engaging in institutional change? </w:t>
      </w:r>
      <w:r w:rsidR="0059523F">
        <w:rPr>
          <w:rFonts w:ascii="Times New Roman" w:hAnsi="Times New Roman" w:cs="Times New Roman"/>
          <w:lang w:val="en-GB"/>
        </w:rPr>
        <w:t>The perception of typical practices in the investment banking industry for example depends on the sub-groups</w:t>
      </w:r>
      <w:r w:rsidR="006341EE">
        <w:rPr>
          <w:rFonts w:ascii="Times New Roman" w:hAnsi="Times New Roman" w:cs="Times New Roman"/>
          <w:lang w:val="en-GB"/>
        </w:rPr>
        <w:t xml:space="preserve"> </w:t>
      </w:r>
      <w:r w:rsidR="0059523F">
        <w:rPr>
          <w:rFonts w:ascii="Times New Roman" w:hAnsi="Times New Roman" w:cs="Times New Roman"/>
          <w:lang w:val="en-GB"/>
        </w:rPr>
        <w:t>within this field</w:t>
      </w:r>
      <w:r w:rsidR="006341EE">
        <w:rPr>
          <w:rFonts w:ascii="Times New Roman" w:hAnsi="Times New Roman" w:cs="Times New Roman"/>
          <w:lang w:val="en-GB"/>
        </w:rPr>
        <w:t xml:space="preserve"> (Roulet, 2015</w:t>
      </w:r>
      <w:r w:rsidR="00EB4880">
        <w:rPr>
          <w:rFonts w:ascii="Times New Roman" w:hAnsi="Times New Roman" w:cs="Times New Roman"/>
          <w:lang w:val="en-GB"/>
        </w:rPr>
        <w:t>; 2019</w:t>
      </w:r>
      <w:r w:rsidR="006341EE">
        <w:rPr>
          <w:rFonts w:ascii="Times New Roman" w:hAnsi="Times New Roman" w:cs="Times New Roman"/>
          <w:lang w:val="en-GB"/>
        </w:rPr>
        <w:t xml:space="preserve">). In fact, </w:t>
      </w:r>
      <w:r w:rsidR="00F5529E">
        <w:rPr>
          <w:rFonts w:ascii="Times New Roman" w:hAnsi="Times New Roman" w:cs="Times New Roman"/>
          <w:lang w:val="en-GB"/>
        </w:rPr>
        <w:t xml:space="preserve">within investment banks, </w:t>
      </w:r>
      <w:r w:rsidR="006341EE">
        <w:rPr>
          <w:rFonts w:ascii="Times New Roman" w:hAnsi="Times New Roman" w:cs="Times New Roman"/>
          <w:lang w:val="en-GB"/>
        </w:rPr>
        <w:t xml:space="preserve">we could expect senior executives in equity research to </w:t>
      </w:r>
      <w:r w:rsidR="00F5529E">
        <w:rPr>
          <w:rFonts w:ascii="Times New Roman" w:hAnsi="Times New Roman" w:cs="Times New Roman"/>
          <w:lang w:val="en-GB"/>
        </w:rPr>
        <w:t>perceive more negatively typical practices such as bonuses and lobbying compared to executives in the</w:t>
      </w:r>
      <w:r w:rsidR="00A17360">
        <w:rPr>
          <w:rFonts w:ascii="Times New Roman" w:hAnsi="Times New Roman" w:cs="Times New Roman"/>
          <w:lang w:val="en-GB"/>
        </w:rPr>
        <w:t xml:space="preserve"> mergers and acquisition teams. </w:t>
      </w:r>
      <w:r w:rsidR="00DC026E">
        <w:rPr>
          <w:rFonts w:ascii="Times New Roman" w:hAnsi="Times New Roman" w:cs="Times New Roman"/>
          <w:lang w:val="en-GB"/>
        </w:rPr>
        <w:t xml:space="preserve">The stigmatization of minorities in </w:t>
      </w:r>
      <w:r w:rsidR="00DC7B7D">
        <w:rPr>
          <w:rFonts w:ascii="Times New Roman" w:hAnsi="Times New Roman" w:cs="Times New Roman"/>
          <w:lang w:val="en-GB"/>
        </w:rPr>
        <w:t>audit firms also epitomizes the negative consequences of institutions and the resistance of employee groups</w:t>
      </w:r>
      <w:r w:rsidR="00DC026E">
        <w:rPr>
          <w:rFonts w:ascii="Times New Roman" w:hAnsi="Times New Roman" w:cs="Times New Roman"/>
          <w:lang w:val="en-GB"/>
        </w:rPr>
        <w:t xml:space="preserve"> (Stenger &amp; Roulet, 2018)</w:t>
      </w:r>
      <w:r w:rsidR="00DC7B7D">
        <w:rPr>
          <w:rFonts w:ascii="Times New Roman" w:hAnsi="Times New Roman" w:cs="Times New Roman"/>
          <w:lang w:val="en-GB"/>
        </w:rPr>
        <w:t>.</w:t>
      </w:r>
    </w:p>
    <w:p w14:paraId="7C4F3A4E" w14:textId="77777777" w:rsidR="003228C2" w:rsidRDefault="003228C2" w:rsidP="001D1AAD">
      <w:pPr>
        <w:spacing w:line="480" w:lineRule="auto"/>
        <w:rPr>
          <w:rFonts w:ascii="Times New Roman" w:hAnsi="Times New Roman" w:cs="Times New Roman"/>
          <w:b/>
          <w:lang w:val="en-GB"/>
        </w:rPr>
      </w:pPr>
    </w:p>
    <w:p w14:paraId="1FFFB9A0" w14:textId="74D99944" w:rsidR="001D1AAD" w:rsidRDefault="001D1AAD" w:rsidP="001D1AAD">
      <w:pPr>
        <w:spacing w:line="480" w:lineRule="auto"/>
        <w:jc w:val="center"/>
        <w:rPr>
          <w:rFonts w:ascii="Times New Roman" w:hAnsi="Times New Roman" w:cs="Times New Roman"/>
          <w:b/>
          <w:lang w:val="en-GB"/>
        </w:rPr>
      </w:pPr>
      <w:r>
        <w:rPr>
          <w:rFonts w:ascii="Times New Roman" w:hAnsi="Times New Roman" w:cs="Times New Roman"/>
          <w:b/>
          <w:lang w:val="en-GB"/>
        </w:rPr>
        <w:t>CONCLUSION</w:t>
      </w:r>
    </w:p>
    <w:p w14:paraId="0B6AEC81" w14:textId="1BE14499" w:rsidR="001D1AAD" w:rsidRPr="00696430" w:rsidRDefault="00696430" w:rsidP="00A64C00">
      <w:pPr>
        <w:spacing w:line="480" w:lineRule="auto"/>
        <w:jc w:val="both"/>
        <w:rPr>
          <w:rFonts w:ascii="Times New Roman" w:hAnsi="Times New Roman" w:cs="Times New Roman"/>
          <w:lang w:val="en-GB"/>
        </w:rPr>
      </w:pPr>
      <w:r>
        <w:rPr>
          <w:rFonts w:ascii="Times New Roman" w:hAnsi="Times New Roman" w:cs="Times New Roman"/>
          <w:lang w:val="en-GB"/>
        </w:rPr>
        <w:t xml:space="preserve">In this study, we empirically examined how organizational deviance from equity partnership </w:t>
      </w:r>
      <w:r w:rsidR="00C40BD0">
        <w:rPr>
          <w:rFonts w:ascii="Times New Roman" w:hAnsi="Times New Roman" w:cs="Times New Roman"/>
          <w:lang w:val="en-GB"/>
        </w:rPr>
        <w:t xml:space="preserve">resulted </w:t>
      </w:r>
      <w:r w:rsidR="00A64C00">
        <w:rPr>
          <w:rFonts w:ascii="Times New Roman" w:hAnsi="Times New Roman" w:cs="Times New Roman"/>
          <w:lang w:val="en-GB"/>
        </w:rPr>
        <w:t xml:space="preserve">in the </w:t>
      </w:r>
      <w:r w:rsidR="00A2046F">
        <w:rPr>
          <w:rFonts w:ascii="Times New Roman" w:hAnsi="Times New Roman" w:cs="Times New Roman"/>
          <w:lang w:val="en-GB"/>
        </w:rPr>
        <w:t xml:space="preserve">erosion </w:t>
      </w:r>
      <w:r w:rsidR="005B29B8">
        <w:rPr>
          <w:rFonts w:ascii="Times New Roman" w:hAnsi="Times New Roman" w:cs="Times New Roman"/>
          <w:lang w:val="en-GB"/>
        </w:rPr>
        <w:t xml:space="preserve">of this </w:t>
      </w:r>
      <w:r w:rsidR="00A64C00">
        <w:rPr>
          <w:rFonts w:ascii="Times New Roman" w:hAnsi="Times New Roman" w:cs="Times New Roman"/>
          <w:lang w:val="en-GB"/>
        </w:rPr>
        <w:t xml:space="preserve">practice </w:t>
      </w:r>
      <w:r w:rsidR="00FC3479">
        <w:rPr>
          <w:rFonts w:ascii="Times New Roman" w:hAnsi="Times New Roman" w:cs="Times New Roman"/>
          <w:lang w:val="en-GB"/>
        </w:rPr>
        <w:t xml:space="preserve">in the UK legal industry </w:t>
      </w:r>
      <w:r>
        <w:rPr>
          <w:rFonts w:ascii="Times New Roman" w:hAnsi="Times New Roman" w:cs="Times New Roman"/>
          <w:lang w:val="en-GB"/>
        </w:rPr>
        <w:t>and the emerg</w:t>
      </w:r>
      <w:r w:rsidR="00A64C00">
        <w:rPr>
          <w:rFonts w:ascii="Times New Roman" w:hAnsi="Times New Roman" w:cs="Times New Roman"/>
          <w:lang w:val="en-GB"/>
        </w:rPr>
        <w:t xml:space="preserve">ence of </w:t>
      </w:r>
      <w:r w:rsidR="00A17360">
        <w:rPr>
          <w:rFonts w:ascii="Times New Roman" w:hAnsi="Times New Roman" w:cs="Times New Roman"/>
          <w:lang w:val="en-GB"/>
        </w:rPr>
        <w:t>non-</w:t>
      </w:r>
      <w:r w:rsidR="00A64C00">
        <w:rPr>
          <w:rFonts w:ascii="Times New Roman" w:hAnsi="Times New Roman" w:cs="Times New Roman"/>
          <w:lang w:val="en-GB"/>
        </w:rPr>
        <w:t>equit</w:t>
      </w:r>
      <w:r w:rsidR="005B29B8">
        <w:rPr>
          <w:rFonts w:ascii="Times New Roman" w:hAnsi="Times New Roman" w:cs="Times New Roman"/>
          <w:lang w:val="en-GB"/>
        </w:rPr>
        <w:t>y partnership as an alternative practice.</w:t>
      </w:r>
      <w:r w:rsidR="00A64C00">
        <w:rPr>
          <w:rFonts w:ascii="Times New Roman" w:hAnsi="Times New Roman" w:cs="Times New Roman"/>
          <w:lang w:val="en-GB"/>
        </w:rPr>
        <w:t xml:space="preserve"> By studying a specific institutional lifecycle</w:t>
      </w:r>
      <w:r w:rsidR="00FC3479">
        <w:rPr>
          <w:rFonts w:ascii="Times New Roman" w:hAnsi="Times New Roman" w:cs="Times New Roman"/>
          <w:lang w:val="en-GB"/>
        </w:rPr>
        <w:t xml:space="preserve"> and the co-occurrence of deinstitutionalization and institutionalization processes, while </w:t>
      </w:r>
      <w:r w:rsidR="00916FB9">
        <w:rPr>
          <w:rFonts w:ascii="Times New Roman" w:hAnsi="Times New Roman" w:cs="Times New Roman"/>
          <w:lang w:val="en-GB"/>
        </w:rPr>
        <w:t>examining</w:t>
      </w:r>
      <w:r w:rsidR="00FC3479">
        <w:rPr>
          <w:rFonts w:ascii="Times New Roman" w:hAnsi="Times New Roman" w:cs="Times New Roman"/>
          <w:lang w:val="en-GB"/>
        </w:rPr>
        <w:t xml:space="preserve"> </w:t>
      </w:r>
      <w:r w:rsidR="00CB15F0">
        <w:rPr>
          <w:rFonts w:ascii="Times New Roman" w:hAnsi="Times New Roman" w:cs="Times New Roman"/>
          <w:lang w:val="en-GB"/>
        </w:rPr>
        <w:t xml:space="preserve">both </w:t>
      </w:r>
      <w:r w:rsidR="001A48DA">
        <w:rPr>
          <w:rFonts w:ascii="Times New Roman" w:hAnsi="Times New Roman" w:cs="Times New Roman"/>
          <w:lang w:val="en-GB"/>
        </w:rPr>
        <w:t xml:space="preserve">demographic and </w:t>
      </w:r>
      <w:r w:rsidR="00CB15F0">
        <w:rPr>
          <w:rFonts w:ascii="Times New Roman" w:hAnsi="Times New Roman" w:cs="Times New Roman"/>
          <w:lang w:val="en-GB"/>
        </w:rPr>
        <w:t xml:space="preserve">organizational </w:t>
      </w:r>
      <w:r w:rsidR="00FC3479">
        <w:rPr>
          <w:rFonts w:ascii="Times New Roman" w:hAnsi="Times New Roman" w:cs="Times New Roman"/>
          <w:lang w:val="en-GB"/>
        </w:rPr>
        <w:t xml:space="preserve">determinants, we </w:t>
      </w:r>
      <w:r w:rsidR="00E871C5">
        <w:rPr>
          <w:rFonts w:ascii="Times New Roman" w:hAnsi="Times New Roman" w:cs="Times New Roman"/>
          <w:lang w:val="en-GB"/>
        </w:rPr>
        <w:t>acknowledge the diversity of micro-foundational mechan</w:t>
      </w:r>
      <w:r w:rsidR="006649FD">
        <w:rPr>
          <w:rFonts w:ascii="Times New Roman" w:hAnsi="Times New Roman" w:cs="Times New Roman"/>
          <w:lang w:val="en-GB"/>
        </w:rPr>
        <w:t>isms</w:t>
      </w:r>
      <w:r w:rsidR="00916FB9">
        <w:rPr>
          <w:rFonts w:ascii="Times New Roman" w:hAnsi="Times New Roman" w:cs="Times New Roman"/>
          <w:lang w:val="en-GB"/>
        </w:rPr>
        <w:t xml:space="preserve"> in institutional theory</w:t>
      </w:r>
      <w:r w:rsidR="006649FD">
        <w:rPr>
          <w:rFonts w:ascii="Times New Roman" w:hAnsi="Times New Roman" w:cs="Times New Roman"/>
          <w:lang w:val="en-GB"/>
        </w:rPr>
        <w:t>. While micro-foundations have</w:t>
      </w:r>
      <w:r w:rsidR="00E871C5">
        <w:rPr>
          <w:rFonts w:ascii="Times New Roman" w:hAnsi="Times New Roman" w:cs="Times New Roman"/>
          <w:lang w:val="en-GB"/>
        </w:rPr>
        <w:t xml:space="preserve"> often b</w:t>
      </w:r>
      <w:r w:rsidR="008E5FD6">
        <w:rPr>
          <w:rFonts w:ascii="Times New Roman" w:hAnsi="Times New Roman" w:cs="Times New Roman"/>
          <w:lang w:val="en-GB"/>
        </w:rPr>
        <w:t>e</w:t>
      </w:r>
      <w:r w:rsidR="007B561B">
        <w:rPr>
          <w:rFonts w:ascii="Times New Roman" w:hAnsi="Times New Roman" w:cs="Times New Roman"/>
          <w:lang w:val="en-GB"/>
        </w:rPr>
        <w:t>en</w:t>
      </w:r>
      <w:r w:rsidR="008E5FD6">
        <w:rPr>
          <w:rFonts w:ascii="Times New Roman" w:hAnsi="Times New Roman" w:cs="Times New Roman"/>
          <w:lang w:val="en-GB"/>
        </w:rPr>
        <w:t xml:space="preserve"> </w:t>
      </w:r>
      <w:r w:rsidR="00D64AFB">
        <w:rPr>
          <w:rFonts w:ascii="Times New Roman" w:hAnsi="Times New Roman" w:cs="Times New Roman"/>
          <w:lang w:val="en-GB"/>
        </w:rPr>
        <w:t xml:space="preserve">understood, broadly speaking, </w:t>
      </w:r>
      <w:r w:rsidR="007B561B">
        <w:rPr>
          <w:rFonts w:ascii="Times New Roman" w:hAnsi="Times New Roman" w:cs="Times New Roman"/>
          <w:lang w:val="en-GB"/>
        </w:rPr>
        <w:t>as a focus on agents</w:t>
      </w:r>
      <w:r w:rsidR="008E5FD6">
        <w:rPr>
          <w:rFonts w:ascii="Times New Roman" w:hAnsi="Times New Roman" w:cs="Times New Roman"/>
          <w:lang w:val="en-GB"/>
        </w:rPr>
        <w:t>, we further develop the idea that micro-foundations do not necessarily only reside at the individual level</w:t>
      </w:r>
      <w:r w:rsidR="00916FB9">
        <w:rPr>
          <w:rFonts w:ascii="Times New Roman" w:hAnsi="Times New Roman" w:cs="Times New Roman"/>
          <w:lang w:val="en-GB"/>
        </w:rPr>
        <w:t>. In fact, we stress</w:t>
      </w:r>
      <w:r w:rsidR="003228C2">
        <w:rPr>
          <w:rFonts w:ascii="Times New Roman" w:hAnsi="Times New Roman" w:cs="Times New Roman"/>
          <w:lang w:val="en-GB"/>
        </w:rPr>
        <w:t xml:space="preserve"> </w:t>
      </w:r>
      <w:r w:rsidR="00D64AFB">
        <w:rPr>
          <w:rFonts w:ascii="Times New Roman" w:hAnsi="Times New Roman" w:cs="Times New Roman"/>
          <w:lang w:val="en-GB"/>
        </w:rPr>
        <w:t xml:space="preserve">the importance of taking into </w:t>
      </w:r>
      <w:r w:rsidR="00916FB9">
        <w:rPr>
          <w:rFonts w:ascii="Times New Roman" w:hAnsi="Times New Roman" w:cs="Times New Roman"/>
          <w:lang w:val="en-GB"/>
        </w:rPr>
        <w:t>account a</w:t>
      </w:r>
      <w:r w:rsidR="003228C2">
        <w:rPr>
          <w:rFonts w:ascii="Times New Roman" w:hAnsi="Times New Roman" w:cs="Times New Roman"/>
          <w:lang w:val="en-GB"/>
        </w:rPr>
        <w:t xml:space="preserve"> continuum of levels affecting</w:t>
      </w:r>
      <w:r w:rsidR="00916FB9">
        <w:rPr>
          <w:rFonts w:ascii="Times New Roman" w:hAnsi="Times New Roman" w:cs="Times New Roman"/>
          <w:lang w:val="en-GB"/>
        </w:rPr>
        <w:t xml:space="preserve"> institutional processes, in particular as population within organizations influence their decision making</w:t>
      </w:r>
      <w:r w:rsidR="00D82ED6">
        <w:rPr>
          <w:rFonts w:ascii="Times New Roman" w:hAnsi="Times New Roman" w:cs="Times New Roman"/>
          <w:lang w:val="en-GB"/>
        </w:rPr>
        <w:t xml:space="preserve"> with regards to </w:t>
      </w:r>
      <w:r w:rsidR="005B29B8">
        <w:rPr>
          <w:rFonts w:ascii="Times New Roman" w:hAnsi="Times New Roman" w:cs="Times New Roman"/>
          <w:lang w:val="en-GB"/>
        </w:rPr>
        <w:t>institutionalized practices</w:t>
      </w:r>
      <w:r w:rsidR="00D82ED6">
        <w:rPr>
          <w:rFonts w:ascii="Times New Roman" w:hAnsi="Times New Roman" w:cs="Times New Roman"/>
          <w:lang w:val="en-GB"/>
        </w:rPr>
        <w:t>,</w:t>
      </w:r>
      <w:r w:rsidR="00916FB9">
        <w:rPr>
          <w:rFonts w:ascii="Times New Roman" w:hAnsi="Times New Roman" w:cs="Times New Roman"/>
          <w:lang w:val="en-GB"/>
        </w:rPr>
        <w:t xml:space="preserve"> ultimately</w:t>
      </w:r>
      <w:r w:rsidR="00D82ED6">
        <w:rPr>
          <w:rFonts w:ascii="Times New Roman" w:hAnsi="Times New Roman" w:cs="Times New Roman"/>
          <w:lang w:val="en-GB"/>
        </w:rPr>
        <w:t xml:space="preserve"> affecting institutional</w:t>
      </w:r>
      <w:r w:rsidR="00D64AFB">
        <w:rPr>
          <w:rFonts w:ascii="Times New Roman" w:hAnsi="Times New Roman" w:cs="Times New Roman"/>
          <w:lang w:val="en-GB"/>
        </w:rPr>
        <w:t xml:space="preserve"> processes at the broader level</w:t>
      </w:r>
      <w:r w:rsidR="00D82ED6">
        <w:rPr>
          <w:rFonts w:ascii="Times New Roman" w:hAnsi="Times New Roman" w:cs="Times New Roman"/>
          <w:lang w:val="en-GB"/>
        </w:rPr>
        <w:t>.</w:t>
      </w:r>
    </w:p>
    <w:p w14:paraId="0E6B61B3" w14:textId="77777777" w:rsidR="00D90806" w:rsidRDefault="00D90806" w:rsidP="001D0485">
      <w:pPr>
        <w:spacing w:line="480" w:lineRule="auto"/>
        <w:rPr>
          <w:rFonts w:ascii="Times New Roman" w:hAnsi="Times New Roman" w:cs="Times New Roman"/>
          <w:lang w:val="en-GB"/>
        </w:rPr>
      </w:pPr>
      <w:r>
        <w:rPr>
          <w:rFonts w:ascii="Times New Roman" w:hAnsi="Times New Roman" w:cs="Times New Roman"/>
          <w:lang w:val="en-GB"/>
        </w:rPr>
        <w:br w:type="page"/>
      </w:r>
    </w:p>
    <w:p w14:paraId="19B186FA" w14:textId="6E4E4522" w:rsidR="00D5380F" w:rsidRDefault="00A24C58" w:rsidP="00A24C58">
      <w:pPr>
        <w:spacing w:line="480" w:lineRule="auto"/>
        <w:jc w:val="center"/>
        <w:rPr>
          <w:rFonts w:ascii="Times New Roman" w:hAnsi="Times New Roman" w:cs="Times New Roman"/>
          <w:b/>
          <w:lang w:val="en-GB"/>
        </w:rPr>
      </w:pPr>
      <w:r>
        <w:rPr>
          <w:rFonts w:ascii="Times New Roman" w:hAnsi="Times New Roman" w:cs="Times New Roman"/>
          <w:b/>
          <w:lang w:val="en-GB"/>
        </w:rPr>
        <w:t>REFERENCES</w:t>
      </w:r>
      <w:r w:rsidRPr="00D90806">
        <w:rPr>
          <w:rFonts w:ascii="Times New Roman" w:hAnsi="Times New Roman" w:cs="Times New Roman"/>
          <w:b/>
          <w:lang w:val="en-GB"/>
        </w:rPr>
        <w:t xml:space="preserve"> </w:t>
      </w:r>
    </w:p>
    <w:p w14:paraId="72B9DF0A" w14:textId="325C990A" w:rsidR="00D013C7" w:rsidRDefault="00D013C7" w:rsidP="007562AD">
      <w:pPr>
        <w:ind w:left="284" w:hanging="284"/>
        <w:jc w:val="both"/>
        <w:rPr>
          <w:rFonts w:ascii="Times New Roman" w:hAnsi="Times New Roman" w:cs="Times New Roman"/>
        </w:rPr>
      </w:pPr>
      <w:r w:rsidRPr="00D013C7">
        <w:rPr>
          <w:rFonts w:ascii="Times New Roman" w:hAnsi="Times New Roman" w:cs="Times New Roman"/>
        </w:rPr>
        <w:t xml:space="preserve">Ahmadjian, C. L., &amp; Robinson, </w:t>
      </w:r>
      <w:r>
        <w:rPr>
          <w:rFonts w:ascii="Times New Roman" w:hAnsi="Times New Roman" w:cs="Times New Roman"/>
        </w:rPr>
        <w:t>P. 2001</w:t>
      </w:r>
      <w:r w:rsidRPr="00D013C7">
        <w:rPr>
          <w:rFonts w:ascii="Times New Roman" w:hAnsi="Times New Roman" w:cs="Times New Roman"/>
        </w:rPr>
        <w:t>. Safety in numbers: Downsizing and the deinstitutionalization of permanent employment in Japan. </w:t>
      </w:r>
      <w:r w:rsidRPr="00521186">
        <w:rPr>
          <w:rFonts w:ascii="Times New Roman" w:hAnsi="Times New Roman" w:cs="Times New Roman"/>
          <w:b/>
          <w:i/>
          <w:iCs/>
        </w:rPr>
        <w:t xml:space="preserve">Administrative </w:t>
      </w:r>
      <w:r w:rsidR="00173FEE">
        <w:rPr>
          <w:rFonts w:ascii="Times New Roman" w:hAnsi="Times New Roman" w:cs="Times New Roman"/>
          <w:b/>
          <w:i/>
          <w:iCs/>
        </w:rPr>
        <w:t>S</w:t>
      </w:r>
      <w:r w:rsidRPr="00521186">
        <w:rPr>
          <w:rFonts w:ascii="Times New Roman" w:hAnsi="Times New Roman" w:cs="Times New Roman"/>
          <w:b/>
          <w:i/>
          <w:iCs/>
        </w:rPr>
        <w:t xml:space="preserve">cience </w:t>
      </w:r>
      <w:r w:rsidR="00173FEE">
        <w:rPr>
          <w:rFonts w:ascii="Times New Roman" w:hAnsi="Times New Roman" w:cs="Times New Roman"/>
          <w:b/>
          <w:i/>
          <w:iCs/>
        </w:rPr>
        <w:t>Q</w:t>
      </w:r>
      <w:r w:rsidRPr="00521186">
        <w:rPr>
          <w:rFonts w:ascii="Times New Roman" w:hAnsi="Times New Roman" w:cs="Times New Roman"/>
          <w:b/>
          <w:i/>
          <w:iCs/>
        </w:rPr>
        <w:t>uarterly</w:t>
      </w:r>
      <w:r w:rsidRPr="00D013C7">
        <w:rPr>
          <w:rFonts w:ascii="Times New Roman" w:hAnsi="Times New Roman" w:cs="Times New Roman"/>
        </w:rPr>
        <w:t>, </w:t>
      </w:r>
      <w:r w:rsidRPr="00D013C7">
        <w:rPr>
          <w:rFonts w:ascii="Times New Roman" w:hAnsi="Times New Roman" w:cs="Times New Roman"/>
          <w:i/>
          <w:iCs/>
        </w:rPr>
        <w:t>46</w:t>
      </w:r>
      <w:r w:rsidRPr="00D013C7">
        <w:rPr>
          <w:rFonts w:ascii="Times New Roman" w:hAnsi="Times New Roman" w:cs="Times New Roman"/>
        </w:rPr>
        <w:t>(4), 622-654.</w:t>
      </w:r>
    </w:p>
    <w:p w14:paraId="0735BE03" w14:textId="33A5433F" w:rsidR="00AE7CAB" w:rsidRPr="00D013C7" w:rsidRDefault="00AE7CAB" w:rsidP="007562AD">
      <w:pPr>
        <w:ind w:left="284" w:hanging="284"/>
        <w:jc w:val="both"/>
        <w:rPr>
          <w:rFonts w:ascii="Times New Roman" w:hAnsi="Times New Roman" w:cs="Times New Roman"/>
        </w:rPr>
      </w:pPr>
      <w:r w:rsidRPr="00AE7CAB">
        <w:rPr>
          <w:rFonts w:ascii="Times New Roman" w:hAnsi="Times New Roman" w:cs="Times New Roman"/>
        </w:rPr>
        <w:t>Amis, J. M., Munir, K. A., Lawrence, T.</w:t>
      </w:r>
      <w:r w:rsidR="00360231">
        <w:rPr>
          <w:rFonts w:ascii="Times New Roman" w:hAnsi="Times New Roman" w:cs="Times New Roman"/>
        </w:rPr>
        <w:t xml:space="preserve"> B., Hirsch, P., &amp; McGahan, A. 2018</w:t>
      </w:r>
      <w:r w:rsidRPr="00AE7CAB">
        <w:rPr>
          <w:rFonts w:ascii="Times New Roman" w:hAnsi="Times New Roman" w:cs="Times New Roman"/>
        </w:rPr>
        <w:t>. Inequality, institutions and organizations. </w:t>
      </w:r>
      <w:r w:rsidRPr="007562AD">
        <w:rPr>
          <w:rFonts w:ascii="Times New Roman" w:hAnsi="Times New Roman" w:cs="Times New Roman"/>
          <w:b/>
          <w:i/>
          <w:iCs/>
        </w:rPr>
        <w:t>Organization Studies</w:t>
      </w:r>
      <w:r w:rsidRPr="00AE7CAB">
        <w:rPr>
          <w:rFonts w:ascii="Times New Roman" w:hAnsi="Times New Roman" w:cs="Times New Roman"/>
        </w:rPr>
        <w:t>, </w:t>
      </w:r>
      <w:r w:rsidRPr="00AE7CAB">
        <w:rPr>
          <w:rFonts w:ascii="Times New Roman" w:hAnsi="Times New Roman" w:cs="Times New Roman"/>
          <w:i/>
          <w:iCs/>
        </w:rPr>
        <w:t>39</w:t>
      </w:r>
      <w:r w:rsidRPr="00AE7CAB">
        <w:rPr>
          <w:rFonts w:ascii="Times New Roman" w:hAnsi="Times New Roman" w:cs="Times New Roman"/>
        </w:rPr>
        <w:t>(9), 1131-1152.</w:t>
      </w:r>
    </w:p>
    <w:p w14:paraId="021B5053" w14:textId="3785897C" w:rsidR="005B39BA" w:rsidRDefault="005B39BA" w:rsidP="007562AD">
      <w:pPr>
        <w:ind w:left="284" w:hanging="284"/>
        <w:jc w:val="both"/>
        <w:rPr>
          <w:rFonts w:ascii="Times New Roman" w:hAnsi="Times New Roman" w:cs="Times New Roman"/>
        </w:rPr>
      </w:pPr>
      <w:r>
        <w:rPr>
          <w:rFonts w:ascii="Times New Roman" w:hAnsi="Times New Roman" w:cs="Times New Roman"/>
        </w:rPr>
        <w:t>Battilana, J. 2006</w:t>
      </w:r>
      <w:r w:rsidRPr="005B39BA">
        <w:rPr>
          <w:rFonts w:ascii="Times New Roman" w:hAnsi="Times New Roman" w:cs="Times New Roman"/>
        </w:rPr>
        <w:t xml:space="preserve">. Agency and institutions: The enabling role of individuals’ social position. </w:t>
      </w:r>
      <w:r w:rsidRPr="005B39BA">
        <w:rPr>
          <w:rFonts w:ascii="Times New Roman" w:hAnsi="Times New Roman" w:cs="Times New Roman"/>
          <w:b/>
          <w:i/>
          <w:iCs/>
        </w:rPr>
        <w:t>Organization</w:t>
      </w:r>
      <w:r>
        <w:rPr>
          <w:rFonts w:ascii="Times New Roman" w:hAnsi="Times New Roman" w:cs="Times New Roman"/>
          <w:b/>
        </w:rPr>
        <w:t xml:space="preserve">, </w:t>
      </w:r>
      <w:r>
        <w:rPr>
          <w:rFonts w:ascii="Times New Roman" w:hAnsi="Times New Roman" w:cs="Times New Roman"/>
        </w:rPr>
        <w:t>13(</w:t>
      </w:r>
      <w:r w:rsidRPr="005B39BA">
        <w:rPr>
          <w:rFonts w:ascii="Times New Roman" w:hAnsi="Times New Roman" w:cs="Times New Roman"/>
        </w:rPr>
        <w:t>5</w:t>
      </w:r>
      <w:r>
        <w:rPr>
          <w:rFonts w:ascii="Times New Roman" w:hAnsi="Times New Roman" w:cs="Times New Roman"/>
        </w:rPr>
        <w:t>):</w:t>
      </w:r>
      <w:r w:rsidRPr="005B39BA">
        <w:rPr>
          <w:rFonts w:ascii="Times New Roman" w:hAnsi="Times New Roman" w:cs="Times New Roman"/>
        </w:rPr>
        <w:t xml:space="preserve"> 653-676.</w:t>
      </w:r>
    </w:p>
    <w:p w14:paraId="212F9C14" w14:textId="5745992F" w:rsidR="00BA05CC" w:rsidRDefault="00BA05CC" w:rsidP="007562AD">
      <w:pPr>
        <w:ind w:left="284" w:hanging="284"/>
        <w:jc w:val="both"/>
        <w:rPr>
          <w:rFonts w:ascii="Times New Roman" w:hAnsi="Times New Roman" w:cs="Times New Roman"/>
        </w:rPr>
      </w:pPr>
      <w:r w:rsidRPr="00BA05CC">
        <w:rPr>
          <w:rFonts w:ascii="Times New Roman" w:hAnsi="Times New Roman" w:cs="Times New Roman"/>
        </w:rPr>
        <w:t>Belliveau, M. A., O'Re</w:t>
      </w:r>
      <w:r>
        <w:rPr>
          <w:rFonts w:ascii="Times New Roman" w:hAnsi="Times New Roman" w:cs="Times New Roman"/>
        </w:rPr>
        <w:t>illy III, C. A., &amp; Wade, J. B. 1996</w:t>
      </w:r>
      <w:r w:rsidRPr="00BA05CC">
        <w:rPr>
          <w:rFonts w:ascii="Times New Roman" w:hAnsi="Times New Roman" w:cs="Times New Roman"/>
        </w:rPr>
        <w:t>. Social capital at the top: Effects of social similarity and status on CEO compensation. </w:t>
      </w:r>
      <w:r w:rsidRPr="007562AD">
        <w:rPr>
          <w:rFonts w:ascii="Times New Roman" w:hAnsi="Times New Roman" w:cs="Times New Roman"/>
          <w:b/>
          <w:i/>
          <w:iCs/>
        </w:rPr>
        <w:t>Academy of management Journal</w:t>
      </w:r>
      <w:r w:rsidRPr="007562AD">
        <w:rPr>
          <w:rFonts w:ascii="Times New Roman" w:hAnsi="Times New Roman" w:cs="Times New Roman"/>
          <w:b/>
        </w:rPr>
        <w:t>, </w:t>
      </w:r>
      <w:r w:rsidRPr="00BA05CC">
        <w:rPr>
          <w:rFonts w:ascii="Times New Roman" w:hAnsi="Times New Roman" w:cs="Times New Roman"/>
          <w:i/>
          <w:iCs/>
        </w:rPr>
        <w:t>39</w:t>
      </w:r>
      <w:r w:rsidRPr="00BA05CC">
        <w:rPr>
          <w:rFonts w:ascii="Times New Roman" w:hAnsi="Times New Roman" w:cs="Times New Roman"/>
        </w:rPr>
        <w:t>(6), 1568-1593.</w:t>
      </w:r>
    </w:p>
    <w:p w14:paraId="3EE110A1" w14:textId="23447502" w:rsidR="00360231" w:rsidRDefault="00360231" w:rsidP="007562AD">
      <w:pPr>
        <w:ind w:left="284" w:hanging="284"/>
        <w:jc w:val="both"/>
        <w:rPr>
          <w:rFonts w:ascii="Times New Roman" w:hAnsi="Times New Roman" w:cs="Times New Roman"/>
        </w:rPr>
      </w:pPr>
      <w:r w:rsidRPr="00360231">
        <w:rPr>
          <w:rFonts w:ascii="Times New Roman" w:hAnsi="Times New Roman" w:cs="Times New Roman"/>
        </w:rPr>
        <w:t>Bergh, D. D., Ketchen Jr, D</w:t>
      </w:r>
      <w:r>
        <w:rPr>
          <w:rFonts w:ascii="Times New Roman" w:hAnsi="Times New Roman" w:cs="Times New Roman"/>
        </w:rPr>
        <w:t>. J., Boyd, B. K., &amp; Bergh, J. 2010</w:t>
      </w:r>
      <w:r w:rsidRPr="00360231">
        <w:rPr>
          <w:rFonts w:ascii="Times New Roman" w:hAnsi="Times New Roman" w:cs="Times New Roman"/>
        </w:rPr>
        <w:t>. New frontiers of the reputation—Performance relationship: Insights from multiple theories. </w:t>
      </w:r>
      <w:r w:rsidRPr="00360231">
        <w:rPr>
          <w:rFonts w:ascii="Times New Roman" w:hAnsi="Times New Roman" w:cs="Times New Roman"/>
          <w:i/>
          <w:iCs/>
        </w:rPr>
        <w:t>Journal of Management</w:t>
      </w:r>
      <w:r w:rsidRPr="00360231">
        <w:rPr>
          <w:rFonts w:ascii="Times New Roman" w:hAnsi="Times New Roman" w:cs="Times New Roman"/>
        </w:rPr>
        <w:t>, </w:t>
      </w:r>
      <w:r w:rsidRPr="00360231">
        <w:rPr>
          <w:rFonts w:ascii="Times New Roman" w:hAnsi="Times New Roman" w:cs="Times New Roman"/>
          <w:i/>
          <w:iCs/>
        </w:rPr>
        <w:t>36</w:t>
      </w:r>
      <w:r w:rsidRPr="00360231">
        <w:rPr>
          <w:rFonts w:ascii="Times New Roman" w:hAnsi="Times New Roman" w:cs="Times New Roman"/>
        </w:rPr>
        <w:t>(3), 620-632.</w:t>
      </w:r>
    </w:p>
    <w:p w14:paraId="7420C1F5" w14:textId="3DC40D81" w:rsidR="005150BC" w:rsidRDefault="005150BC" w:rsidP="007562AD">
      <w:pPr>
        <w:ind w:left="284" w:hanging="284"/>
        <w:jc w:val="both"/>
        <w:rPr>
          <w:rFonts w:ascii="Times New Roman" w:hAnsi="Times New Roman" w:cs="Times New Roman"/>
        </w:rPr>
      </w:pPr>
      <w:r w:rsidRPr="005150BC">
        <w:rPr>
          <w:rFonts w:ascii="Times New Roman" w:hAnsi="Times New Roman" w:cs="Times New Roman"/>
        </w:rPr>
        <w:t>Bowman, C., &amp; Swart, J. (2007). Whose human capital? The challenge of value capture when capital is embedded. </w:t>
      </w:r>
      <w:r w:rsidRPr="007562AD">
        <w:rPr>
          <w:rFonts w:ascii="Times New Roman" w:hAnsi="Times New Roman" w:cs="Times New Roman"/>
          <w:b/>
          <w:i/>
          <w:iCs/>
        </w:rPr>
        <w:t>Journal of Management Studies</w:t>
      </w:r>
      <w:r w:rsidRPr="005150BC">
        <w:rPr>
          <w:rFonts w:ascii="Times New Roman" w:hAnsi="Times New Roman" w:cs="Times New Roman"/>
        </w:rPr>
        <w:t>, </w:t>
      </w:r>
      <w:r w:rsidRPr="005150BC">
        <w:rPr>
          <w:rFonts w:ascii="Times New Roman" w:hAnsi="Times New Roman" w:cs="Times New Roman"/>
          <w:i/>
          <w:iCs/>
        </w:rPr>
        <w:t>44</w:t>
      </w:r>
      <w:r w:rsidRPr="005150BC">
        <w:rPr>
          <w:rFonts w:ascii="Times New Roman" w:hAnsi="Times New Roman" w:cs="Times New Roman"/>
        </w:rPr>
        <w:t>(4), 488-505.</w:t>
      </w:r>
    </w:p>
    <w:p w14:paraId="709C1AEE" w14:textId="58383B89" w:rsidR="003F6CA6" w:rsidRDefault="003F6CA6" w:rsidP="007562AD">
      <w:pPr>
        <w:ind w:left="284" w:hanging="284"/>
        <w:jc w:val="both"/>
        <w:rPr>
          <w:rFonts w:ascii="Times New Roman" w:hAnsi="Times New Roman" w:cs="Times New Roman"/>
        </w:rPr>
      </w:pPr>
      <w:r w:rsidRPr="005B29B8">
        <w:rPr>
          <w:rFonts w:ascii="Times New Roman" w:hAnsi="Times New Roman" w:cs="Times New Roman"/>
        </w:rPr>
        <w:t xml:space="preserve">Cameron, A. C., Gelbach, J. B., &amp; Miller, D. L. 2011. </w:t>
      </w:r>
      <w:r w:rsidRPr="003F6CA6">
        <w:rPr>
          <w:rFonts w:ascii="Times New Roman" w:hAnsi="Times New Roman" w:cs="Times New Roman"/>
        </w:rPr>
        <w:t>Robust inference with multiway clustering. </w:t>
      </w:r>
      <w:r w:rsidRPr="007C157A">
        <w:rPr>
          <w:rFonts w:ascii="Times New Roman" w:hAnsi="Times New Roman" w:cs="Times New Roman"/>
          <w:b/>
          <w:i/>
          <w:iCs/>
        </w:rPr>
        <w:t>Journal of Business &amp; Economic Statistics</w:t>
      </w:r>
      <w:r w:rsidRPr="003F6CA6">
        <w:rPr>
          <w:rFonts w:ascii="Times New Roman" w:hAnsi="Times New Roman" w:cs="Times New Roman"/>
        </w:rPr>
        <w:t>, </w:t>
      </w:r>
      <w:r w:rsidRPr="003F6CA6">
        <w:rPr>
          <w:rFonts w:ascii="Times New Roman" w:hAnsi="Times New Roman" w:cs="Times New Roman"/>
          <w:i/>
          <w:iCs/>
        </w:rPr>
        <w:t>29</w:t>
      </w:r>
      <w:r w:rsidRPr="003F6CA6">
        <w:rPr>
          <w:rFonts w:ascii="Times New Roman" w:hAnsi="Times New Roman" w:cs="Times New Roman"/>
        </w:rPr>
        <w:t>(2), 238-249.</w:t>
      </w:r>
    </w:p>
    <w:p w14:paraId="0C10C4AA" w14:textId="230DDBE9" w:rsidR="00CB4BCC" w:rsidRPr="005B39BA" w:rsidRDefault="00CB4BCC" w:rsidP="007562AD">
      <w:pPr>
        <w:ind w:left="284" w:hanging="284"/>
        <w:jc w:val="both"/>
        <w:rPr>
          <w:rFonts w:ascii="Times New Roman" w:hAnsi="Times New Roman" w:cs="Times New Roman"/>
        </w:rPr>
      </w:pPr>
      <w:r>
        <w:rPr>
          <w:rFonts w:ascii="Times New Roman" w:hAnsi="Times New Roman" w:cs="Times New Roman"/>
        </w:rPr>
        <w:t>Campbell, J. L. 2007</w:t>
      </w:r>
      <w:r w:rsidRPr="00CB4BCC">
        <w:rPr>
          <w:rFonts w:ascii="Times New Roman" w:hAnsi="Times New Roman" w:cs="Times New Roman"/>
        </w:rPr>
        <w:t>. Why would corporations behave in socially responsible ways? An institutional theory of corporate social responsibility. </w:t>
      </w:r>
      <w:r w:rsidRPr="007562AD">
        <w:rPr>
          <w:rFonts w:ascii="Times New Roman" w:hAnsi="Times New Roman" w:cs="Times New Roman"/>
          <w:b/>
          <w:i/>
          <w:iCs/>
        </w:rPr>
        <w:t>Academy of management Review</w:t>
      </w:r>
      <w:r w:rsidRPr="00CB4BCC">
        <w:rPr>
          <w:rFonts w:ascii="Times New Roman" w:hAnsi="Times New Roman" w:cs="Times New Roman"/>
        </w:rPr>
        <w:t>, </w:t>
      </w:r>
      <w:r w:rsidRPr="00CB4BCC">
        <w:rPr>
          <w:rFonts w:ascii="Times New Roman" w:hAnsi="Times New Roman" w:cs="Times New Roman"/>
          <w:i/>
          <w:iCs/>
        </w:rPr>
        <w:t>32</w:t>
      </w:r>
      <w:r w:rsidRPr="00CB4BCC">
        <w:rPr>
          <w:rFonts w:ascii="Times New Roman" w:hAnsi="Times New Roman" w:cs="Times New Roman"/>
        </w:rPr>
        <w:t>(3), 946-967.</w:t>
      </w:r>
    </w:p>
    <w:p w14:paraId="6CE5313A" w14:textId="73F08564"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Cardinale, I. 2018. Beyond </w:t>
      </w:r>
      <w:r>
        <w:rPr>
          <w:rFonts w:ascii="Times New Roman" w:hAnsi="Times New Roman" w:cs="Times New Roman"/>
        </w:rPr>
        <w:t>c</w:t>
      </w:r>
      <w:r w:rsidRPr="005B39BA">
        <w:rPr>
          <w:rFonts w:ascii="Times New Roman" w:hAnsi="Times New Roman" w:cs="Times New Roman"/>
        </w:rPr>
        <w:t xml:space="preserve">onstraining and </w:t>
      </w:r>
      <w:r>
        <w:rPr>
          <w:rFonts w:ascii="Times New Roman" w:hAnsi="Times New Roman" w:cs="Times New Roman"/>
        </w:rPr>
        <w:t>e</w:t>
      </w:r>
      <w:r w:rsidRPr="005B39BA">
        <w:rPr>
          <w:rFonts w:ascii="Times New Roman" w:hAnsi="Times New Roman" w:cs="Times New Roman"/>
        </w:rPr>
        <w:t xml:space="preserve">nabling: Toward </w:t>
      </w:r>
      <w:r>
        <w:rPr>
          <w:rFonts w:ascii="Times New Roman" w:hAnsi="Times New Roman" w:cs="Times New Roman"/>
        </w:rPr>
        <w:t>n</w:t>
      </w:r>
      <w:r w:rsidRPr="005B39BA">
        <w:rPr>
          <w:rFonts w:ascii="Times New Roman" w:hAnsi="Times New Roman" w:cs="Times New Roman"/>
        </w:rPr>
        <w:t xml:space="preserve">ew </w:t>
      </w:r>
      <w:r>
        <w:rPr>
          <w:rFonts w:ascii="Times New Roman" w:hAnsi="Times New Roman" w:cs="Times New Roman"/>
        </w:rPr>
        <w:t>m</w:t>
      </w:r>
      <w:r w:rsidRPr="005B39BA">
        <w:rPr>
          <w:rFonts w:ascii="Times New Roman" w:hAnsi="Times New Roman" w:cs="Times New Roman"/>
        </w:rPr>
        <w:t xml:space="preserve">icrofoundations for </w:t>
      </w:r>
      <w:r>
        <w:rPr>
          <w:rFonts w:ascii="Times New Roman" w:hAnsi="Times New Roman" w:cs="Times New Roman"/>
        </w:rPr>
        <w:t>i</w:t>
      </w:r>
      <w:r w:rsidRPr="005B39BA">
        <w:rPr>
          <w:rFonts w:ascii="Times New Roman" w:hAnsi="Times New Roman" w:cs="Times New Roman"/>
        </w:rPr>
        <w:t xml:space="preserve">nstitutional </w:t>
      </w:r>
      <w:r>
        <w:rPr>
          <w:rFonts w:ascii="Times New Roman" w:hAnsi="Times New Roman" w:cs="Times New Roman"/>
        </w:rPr>
        <w:t>t</w:t>
      </w:r>
      <w:r w:rsidRPr="005B39BA">
        <w:rPr>
          <w:rFonts w:ascii="Times New Roman" w:hAnsi="Times New Roman" w:cs="Times New Roman"/>
        </w:rPr>
        <w:t xml:space="preserve">heory. </w:t>
      </w:r>
      <w:r w:rsidRPr="005B39BA">
        <w:rPr>
          <w:rFonts w:ascii="Times New Roman" w:hAnsi="Times New Roman" w:cs="Times New Roman"/>
          <w:b/>
          <w:bCs/>
          <w:i/>
          <w:iCs/>
        </w:rPr>
        <w:t>Academy of Management Review</w:t>
      </w:r>
      <w:r w:rsidRPr="005B39BA">
        <w:rPr>
          <w:rFonts w:ascii="Times New Roman" w:hAnsi="Times New Roman" w:cs="Times New Roman"/>
        </w:rPr>
        <w:t>, 43(1): 132–155.</w:t>
      </w:r>
    </w:p>
    <w:p w14:paraId="2F9E7D4D" w14:textId="77777777"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Coleman, J. S. 1986. Social theory, social research, and a theory of action. </w:t>
      </w:r>
      <w:r w:rsidRPr="005B39BA">
        <w:rPr>
          <w:rFonts w:ascii="Times New Roman" w:hAnsi="Times New Roman" w:cs="Times New Roman"/>
          <w:b/>
          <w:bCs/>
          <w:i/>
          <w:iCs/>
        </w:rPr>
        <w:t>American Journal of Sociology</w:t>
      </w:r>
      <w:r w:rsidRPr="005B39BA">
        <w:rPr>
          <w:rFonts w:ascii="Times New Roman" w:hAnsi="Times New Roman" w:cs="Times New Roman"/>
        </w:rPr>
        <w:t>, 1309–1335.</w:t>
      </w:r>
    </w:p>
    <w:p w14:paraId="0684C10D" w14:textId="337CA9A5" w:rsidR="00B226C9" w:rsidRPr="005B39BA" w:rsidRDefault="00B226C9" w:rsidP="007562AD">
      <w:pPr>
        <w:ind w:left="284" w:hanging="284"/>
        <w:jc w:val="both"/>
        <w:rPr>
          <w:rFonts w:ascii="Times New Roman" w:hAnsi="Times New Roman" w:cs="Times New Roman"/>
        </w:rPr>
      </w:pPr>
      <w:r w:rsidRPr="00B226C9">
        <w:rPr>
          <w:rFonts w:ascii="Times New Roman" w:hAnsi="Times New Roman" w:cs="Times New Roman"/>
        </w:rPr>
        <w:t>Clemente, M., Durand, R., &amp; Roulet, T. 2017. The recursive nature of institutional change: An Annales school</w:t>
      </w:r>
      <w:r w:rsidR="00E24171">
        <w:rPr>
          <w:rFonts w:ascii="Times New Roman" w:hAnsi="Times New Roman" w:cs="Times New Roman"/>
        </w:rPr>
        <w:t xml:space="preserve"> p</w:t>
      </w:r>
      <w:r w:rsidRPr="00B226C9">
        <w:rPr>
          <w:rFonts w:ascii="Times New Roman" w:hAnsi="Times New Roman" w:cs="Times New Roman"/>
        </w:rPr>
        <w:t xml:space="preserve">erspective. </w:t>
      </w:r>
      <w:r w:rsidRPr="00521186">
        <w:rPr>
          <w:rFonts w:ascii="Times New Roman" w:hAnsi="Times New Roman" w:cs="Times New Roman"/>
          <w:b/>
          <w:i/>
        </w:rPr>
        <w:t>Journal of Management Inquiry</w:t>
      </w:r>
      <w:r w:rsidRPr="00B226C9">
        <w:rPr>
          <w:rFonts w:ascii="Times New Roman" w:hAnsi="Times New Roman" w:cs="Times New Roman"/>
        </w:rPr>
        <w:t>, 26(1), 17-31.</w:t>
      </w:r>
    </w:p>
    <w:p w14:paraId="18BF3469" w14:textId="35728C7F" w:rsidR="00E56B8D" w:rsidRDefault="005B39BA" w:rsidP="007562AD">
      <w:pPr>
        <w:ind w:left="284" w:hanging="284"/>
        <w:jc w:val="both"/>
        <w:rPr>
          <w:rFonts w:ascii="Times New Roman" w:hAnsi="Times New Roman" w:cs="Times New Roman"/>
          <w:lang w:val="en-GB"/>
        </w:rPr>
      </w:pPr>
      <w:r>
        <w:rPr>
          <w:rFonts w:ascii="Times New Roman" w:hAnsi="Times New Roman" w:cs="Times New Roman"/>
          <w:lang w:val="en-GB"/>
        </w:rPr>
        <w:t>Clemente, M., &amp; Roulet, T. J. 2015</w:t>
      </w:r>
      <w:r w:rsidRPr="005B39BA">
        <w:rPr>
          <w:rFonts w:ascii="Times New Roman" w:hAnsi="Times New Roman" w:cs="Times New Roman"/>
          <w:lang w:val="en-GB"/>
        </w:rPr>
        <w:t xml:space="preserve">. Public opinion as a source of deinstitutionalization: A “spiral of silence” approach. </w:t>
      </w:r>
      <w:r w:rsidRPr="005B39BA">
        <w:rPr>
          <w:rFonts w:ascii="Times New Roman" w:hAnsi="Times New Roman" w:cs="Times New Roman"/>
          <w:b/>
          <w:i/>
          <w:lang w:val="en-GB"/>
        </w:rPr>
        <w:t>Academy of Management Review</w:t>
      </w:r>
      <w:r w:rsidRPr="005B39BA">
        <w:rPr>
          <w:rFonts w:ascii="Times New Roman" w:hAnsi="Times New Roman" w:cs="Times New Roman"/>
          <w:lang w:val="en-GB"/>
        </w:rPr>
        <w:t>, 40(1), 96-114.</w:t>
      </w:r>
    </w:p>
    <w:p w14:paraId="4C6DA005" w14:textId="1AC0422C" w:rsidR="00881A76" w:rsidRPr="007562AD" w:rsidRDefault="00881A76" w:rsidP="007562AD">
      <w:pPr>
        <w:ind w:left="284" w:hanging="284"/>
        <w:jc w:val="both"/>
        <w:rPr>
          <w:rFonts w:ascii="Times New Roman" w:hAnsi="Times New Roman" w:cs="Times New Roman"/>
        </w:rPr>
      </w:pPr>
      <w:r w:rsidRPr="00881A76">
        <w:rPr>
          <w:rFonts w:ascii="Times New Roman" w:hAnsi="Times New Roman" w:cs="Times New Roman"/>
        </w:rPr>
        <w:t>Colyvas &amp; Jonnsson, 2011. Ubiquity and Legitimacy: Disentangling Diffusion and</w:t>
      </w:r>
      <w:r>
        <w:rPr>
          <w:rFonts w:ascii="Times New Roman" w:hAnsi="Times New Roman" w:cs="Times New Roman"/>
        </w:rPr>
        <w:t xml:space="preserve"> </w:t>
      </w:r>
      <w:r w:rsidRPr="00881A76">
        <w:rPr>
          <w:rFonts w:ascii="Times New Roman" w:hAnsi="Times New Roman" w:cs="Times New Roman"/>
        </w:rPr>
        <w:t xml:space="preserve">Institutionalization. </w:t>
      </w:r>
      <w:r w:rsidRPr="007562AD">
        <w:rPr>
          <w:rFonts w:ascii="Times New Roman" w:hAnsi="Times New Roman" w:cs="Times New Roman"/>
          <w:b/>
          <w:i/>
        </w:rPr>
        <w:t>Sociological Theory</w:t>
      </w:r>
      <w:r w:rsidRPr="00881A76">
        <w:rPr>
          <w:rFonts w:ascii="Times New Roman" w:hAnsi="Times New Roman" w:cs="Times New Roman"/>
        </w:rPr>
        <w:t>, Vol. 29, No. 1 (March 2011), pp. 27-53</w:t>
      </w:r>
    </w:p>
    <w:p w14:paraId="3A9B576D" w14:textId="677EA708"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Davis, G. F., Die</w:t>
      </w:r>
      <w:r>
        <w:rPr>
          <w:rFonts w:ascii="Times New Roman" w:hAnsi="Times New Roman" w:cs="Times New Roman"/>
        </w:rPr>
        <w:t>kmann, K. A., &amp; Tinsley, C. H. 1994</w:t>
      </w:r>
      <w:r w:rsidRPr="005B39BA">
        <w:rPr>
          <w:rFonts w:ascii="Times New Roman" w:hAnsi="Times New Roman" w:cs="Times New Roman"/>
        </w:rPr>
        <w:t>. The decline and fall of the conglomerate firm in the 1980s: The deinstitutionalization of an organizational form. </w:t>
      </w:r>
      <w:r w:rsidRPr="005B39BA">
        <w:rPr>
          <w:rFonts w:ascii="Times New Roman" w:hAnsi="Times New Roman" w:cs="Times New Roman"/>
          <w:b/>
          <w:i/>
          <w:iCs/>
        </w:rPr>
        <w:t xml:space="preserve">American </w:t>
      </w:r>
      <w:r>
        <w:rPr>
          <w:rFonts w:ascii="Times New Roman" w:hAnsi="Times New Roman" w:cs="Times New Roman"/>
          <w:b/>
          <w:i/>
          <w:iCs/>
        </w:rPr>
        <w:t>S</w:t>
      </w:r>
      <w:r w:rsidRPr="005B39BA">
        <w:rPr>
          <w:rFonts w:ascii="Times New Roman" w:hAnsi="Times New Roman" w:cs="Times New Roman"/>
          <w:b/>
          <w:i/>
          <w:iCs/>
        </w:rPr>
        <w:t xml:space="preserve">ociological </w:t>
      </w:r>
      <w:r>
        <w:rPr>
          <w:rFonts w:ascii="Times New Roman" w:hAnsi="Times New Roman" w:cs="Times New Roman"/>
          <w:b/>
          <w:i/>
          <w:iCs/>
        </w:rPr>
        <w:t>R</w:t>
      </w:r>
      <w:r w:rsidRPr="005B39BA">
        <w:rPr>
          <w:rFonts w:ascii="Times New Roman" w:hAnsi="Times New Roman" w:cs="Times New Roman"/>
          <w:b/>
          <w:i/>
          <w:iCs/>
        </w:rPr>
        <w:t>eview</w:t>
      </w:r>
      <w:r w:rsidRPr="005B39BA">
        <w:rPr>
          <w:rFonts w:ascii="Times New Roman" w:hAnsi="Times New Roman" w:cs="Times New Roman"/>
        </w:rPr>
        <w:t>, 547-570.</w:t>
      </w:r>
    </w:p>
    <w:p w14:paraId="7475B6A7" w14:textId="3851377B"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DiMaggio, P. J., &amp; Powell, W. W. (Eds.). 1991. </w:t>
      </w:r>
      <w:r w:rsidRPr="005B39BA">
        <w:rPr>
          <w:rFonts w:ascii="Times New Roman" w:hAnsi="Times New Roman" w:cs="Times New Roman"/>
          <w:b/>
          <w:i/>
          <w:iCs/>
        </w:rPr>
        <w:t>The new institutionalism in organizational analysis</w:t>
      </w:r>
      <w:r w:rsidRPr="005B39BA">
        <w:rPr>
          <w:rFonts w:ascii="Times New Roman" w:hAnsi="Times New Roman" w:cs="Times New Roman"/>
          <w:b/>
        </w:rPr>
        <w:t> </w:t>
      </w:r>
      <w:r w:rsidRPr="005B39BA">
        <w:rPr>
          <w:rFonts w:ascii="Times New Roman" w:hAnsi="Times New Roman" w:cs="Times New Roman"/>
        </w:rPr>
        <w:t>(Vol. 17). Chicago, IL: University of Chicago Press.</w:t>
      </w:r>
    </w:p>
    <w:p w14:paraId="3F6FF72A" w14:textId="50598E11" w:rsidR="00AE59FB" w:rsidRPr="005B39BA" w:rsidRDefault="00AE59FB" w:rsidP="007562AD">
      <w:pPr>
        <w:ind w:left="284" w:hanging="284"/>
        <w:jc w:val="both"/>
        <w:rPr>
          <w:rFonts w:ascii="Times New Roman" w:hAnsi="Times New Roman" w:cs="Times New Roman"/>
        </w:rPr>
      </w:pPr>
      <w:r w:rsidRPr="00AE59FB">
        <w:rPr>
          <w:rFonts w:ascii="Times New Roman" w:hAnsi="Times New Roman" w:cs="Times New Roman"/>
        </w:rPr>
        <w:t>Drukker, D. M. 2003. Testing for serial correlation in linear panel-data models. </w:t>
      </w:r>
      <w:r w:rsidRPr="007C157A">
        <w:rPr>
          <w:rFonts w:ascii="Times New Roman" w:hAnsi="Times New Roman" w:cs="Times New Roman"/>
          <w:b/>
          <w:i/>
          <w:iCs/>
        </w:rPr>
        <w:t>Stata Journal</w:t>
      </w:r>
      <w:r w:rsidRPr="00AE59FB">
        <w:rPr>
          <w:rFonts w:ascii="Times New Roman" w:hAnsi="Times New Roman" w:cs="Times New Roman"/>
        </w:rPr>
        <w:t>, </w:t>
      </w:r>
      <w:r w:rsidRPr="00AE59FB">
        <w:rPr>
          <w:rFonts w:ascii="Times New Roman" w:hAnsi="Times New Roman" w:cs="Times New Roman"/>
          <w:i/>
          <w:iCs/>
        </w:rPr>
        <w:t>3</w:t>
      </w:r>
      <w:r w:rsidRPr="00AE59FB">
        <w:rPr>
          <w:rFonts w:ascii="Times New Roman" w:hAnsi="Times New Roman" w:cs="Times New Roman"/>
        </w:rPr>
        <w:t>(2), 168-177.</w:t>
      </w:r>
    </w:p>
    <w:p w14:paraId="62ED1E80" w14:textId="77777777"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Emirbayer, M., &amp; Mische, A. 1998. What is agency? </w:t>
      </w:r>
      <w:r w:rsidRPr="005B39BA">
        <w:rPr>
          <w:rFonts w:ascii="Times New Roman" w:hAnsi="Times New Roman" w:cs="Times New Roman"/>
          <w:b/>
          <w:bCs/>
          <w:i/>
          <w:iCs/>
        </w:rPr>
        <w:t>American Journal of Sociology</w:t>
      </w:r>
      <w:r w:rsidRPr="005B39BA">
        <w:rPr>
          <w:rFonts w:ascii="Times New Roman" w:hAnsi="Times New Roman" w:cs="Times New Roman"/>
        </w:rPr>
        <w:t>, 103(4): 962–1023.</w:t>
      </w:r>
    </w:p>
    <w:p w14:paraId="456A3694" w14:textId="46BC54A7" w:rsidR="00E36F37" w:rsidRDefault="00E36F37" w:rsidP="007562AD">
      <w:pPr>
        <w:ind w:left="284" w:hanging="284"/>
        <w:jc w:val="both"/>
        <w:rPr>
          <w:rFonts w:ascii="Times New Roman" w:hAnsi="Times New Roman" w:cs="Times New Roman"/>
        </w:rPr>
      </w:pPr>
      <w:r w:rsidRPr="00521186">
        <w:rPr>
          <w:rFonts w:ascii="Times New Roman" w:hAnsi="Times New Roman" w:cs="Times New Roman"/>
          <w:lang w:val="it-IT"/>
        </w:rPr>
        <w:t xml:space="preserve">Etter, M. A., Ravasi, D., &amp; Colleoni, E. (Forthcoming). </w:t>
      </w:r>
      <w:r w:rsidRPr="00E36F37">
        <w:rPr>
          <w:rFonts w:ascii="Times New Roman" w:hAnsi="Times New Roman" w:cs="Times New Roman"/>
        </w:rPr>
        <w:t xml:space="preserve">Social media and the formation of organizational reputation. </w:t>
      </w:r>
      <w:r w:rsidRPr="00521186">
        <w:rPr>
          <w:rFonts w:ascii="Times New Roman" w:hAnsi="Times New Roman" w:cs="Times New Roman"/>
          <w:b/>
          <w:i/>
        </w:rPr>
        <w:t>Academy of Management Review</w:t>
      </w:r>
      <w:r w:rsidRPr="00E36F37">
        <w:rPr>
          <w:rFonts w:ascii="Times New Roman" w:hAnsi="Times New Roman" w:cs="Times New Roman"/>
        </w:rPr>
        <w:t>.</w:t>
      </w:r>
    </w:p>
    <w:p w14:paraId="10FAF7B2" w14:textId="78869E2E" w:rsidR="002E44A1" w:rsidRDefault="002E44A1" w:rsidP="007562AD">
      <w:pPr>
        <w:ind w:left="284" w:hanging="284"/>
        <w:jc w:val="both"/>
        <w:rPr>
          <w:rFonts w:ascii="Times New Roman" w:hAnsi="Times New Roman" w:cs="Times New Roman"/>
        </w:rPr>
      </w:pPr>
      <w:r w:rsidRPr="002E44A1">
        <w:rPr>
          <w:rFonts w:ascii="Times New Roman" w:hAnsi="Times New Roman" w:cs="Times New Roman"/>
        </w:rPr>
        <w:t>Faulconbridge, J. R., &amp; Muzio, D. (2009). The financialization of large law firms: situated discourses and practices of reorganization. </w:t>
      </w:r>
      <w:r w:rsidRPr="007562AD">
        <w:rPr>
          <w:rFonts w:ascii="Times New Roman" w:hAnsi="Times New Roman" w:cs="Times New Roman"/>
          <w:b/>
          <w:i/>
          <w:iCs/>
        </w:rPr>
        <w:t>Journal of Economic Geography</w:t>
      </w:r>
      <w:r w:rsidRPr="002E44A1">
        <w:rPr>
          <w:rFonts w:ascii="Times New Roman" w:hAnsi="Times New Roman" w:cs="Times New Roman"/>
        </w:rPr>
        <w:t>, </w:t>
      </w:r>
      <w:r w:rsidRPr="002E44A1">
        <w:rPr>
          <w:rFonts w:ascii="Times New Roman" w:hAnsi="Times New Roman" w:cs="Times New Roman"/>
          <w:i/>
          <w:iCs/>
        </w:rPr>
        <w:t>9</w:t>
      </w:r>
      <w:r w:rsidRPr="002E44A1">
        <w:rPr>
          <w:rFonts w:ascii="Times New Roman" w:hAnsi="Times New Roman" w:cs="Times New Roman"/>
        </w:rPr>
        <w:t>(5), 641-661.</w:t>
      </w:r>
    </w:p>
    <w:p w14:paraId="3DB7FBD4" w14:textId="77777777"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Felin, T., Foss, N. J., &amp; Ployhart, R. E. 2015. The microfoundations movement in strategy and organization theory. </w:t>
      </w:r>
      <w:r w:rsidRPr="005B39BA">
        <w:rPr>
          <w:rFonts w:ascii="Times New Roman" w:hAnsi="Times New Roman" w:cs="Times New Roman"/>
          <w:b/>
          <w:bCs/>
          <w:i/>
          <w:iCs/>
        </w:rPr>
        <w:t>The Academy of Management Annals</w:t>
      </w:r>
      <w:r w:rsidRPr="005B39BA">
        <w:rPr>
          <w:rFonts w:ascii="Times New Roman" w:hAnsi="Times New Roman" w:cs="Times New Roman"/>
        </w:rPr>
        <w:t>, 9(1): 575–632.</w:t>
      </w:r>
    </w:p>
    <w:p w14:paraId="5E9E2470" w14:textId="544D59A8" w:rsidR="00AE6B97" w:rsidRPr="005B39BA" w:rsidRDefault="00AE6B97" w:rsidP="007562AD">
      <w:pPr>
        <w:ind w:left="284" w:hanging="284"/>
        <w:jc w:val="both"/>
        <w:rPr>
          <w:rFonts w:ascii="Times New Roman" w:hAnsi="Times New Roman" w:cs="Times New Roman"/>
        </w:rPr>
      </w:pPr>
      <w:r>
        <w:rPr>
          <w:rFonts w:ascii="Times New Roman" w:hAnsi="Times New Roman" w:cs="Times New Roman"/>
        </w:rPr>
        <w:t>Fortin, N. M., &amp; Lemieux, T. 1997</w:t>
      </w:r>
      <w:r w:rsidRPr="00AE6B97">
        <w:rPr>
          <w:rFonts w:ascii="Times New Roman" w:hAnsi="Times New Roman" w:cs="Times New Roman"/>
        </w:rPr>
        <w:t xml:space="preserve">. Institutional changes and rising wage </w:t>
      </w:r>
      <w:r w:rsidR="007E78A2">
        <w:rPr>
          <w:rFonts w:ascii="Times New Roman" w:hAnsi="Times New Roman" w:cs="Times New Roman"/>
        </w:rPr>
        <w:t>inequality: is there a linkage?</w:t>
      </w:r>
      <w:r w:rsidRPr="00AE6B97">
        <w:rPr>
          <w:rFonts w:ascii="Times New Roman" w:hAnsi="Times New Roman" w:cs="Times New Roman"/>
        </w:rPr>
        <w:t> </w:t>
      </w:r>
      <w:r w:rsidRPr="007562AD">
        <w:rPr>
          <w:rFonts w:ascii="Times New Roman" w:hAnsi="Times New Roman" w:cs="Times New Roman"/>
          <w:b/>
          <w:i/>
          <w:iCs/>
        </w:rPr>
        <w:t>Journal of Economic Perspectives</w:t>
      </w:r>
      <w:r w:rsidRPr="00AE6B97">
        <w:rPr>
          <w:rFonts w:ascii="Times New Roman" w:hAnsi="Times New Roman" w:cs="Times New Roman"/>
        </w:rPr>
        <w:t>, </w:t>
      </w:r>
      <w:r w:rsidRPr="00AE6B97">
        <w:rPr>
          <w:rFonts w:ascii="Times New Roman" w:hAnsi="Times New Roman" w:cs="Times New Roman"/>
          <w:i/>
          <w:iCs/>
        </w:rPr>
        <w:t>11</w:t>
      </w:r>
      <w:r w:rsidRPr="00AE6B97">
        <w:rPr>
          <w:rFonts w:ascii="Times New Roman" w:hAnsi="Times New Roman" w:cs="Times New Roman"/>
        </w:rPr>
        <w:t>(2), 75-96.</w:t>
      </w:r>
    </w:p>
    <w:p w14:paraId="5644B9FF" w14:textId="3AA3D2DF" w:rsidR="005B39BA" w:rsidRPr="005B39BA" w:rsidRDefault="005B39BA" w:rsidP="007562AD">
      <w:pPr>
        <w:ind w:left="284" w:hanging="284"/>
        <w:jc w:val="both"/>
        <w:rPr>
          <w:rFonts w:ascii="Times New Roman" w:hAnsi="Times New Roman" w:cs="Times New Roman"/>
        </w:rPr>
      </w:pPr>
      <w:r w:rsidRPr="00925BE9">
        <w:rPr>
          <w:rFonts w:ascii="Times New Roman" w:hAnsi="Times New Roman" w:cs="Times New Roman"/>
        </w:rPr>
        <w:t xml:space="preserve">Friedland, R., &amp; Alford, R. R. 1991. </w:t>
      </w:r>
      <w:r w:rsidRPr="005B39BA">
        <w:rPr>
          <w:rFonts w:ascii="Times New Roman" w:hAnsi="Times New Roman" w:cs="Times New Roman"/>
        </w:rPr>
        <w:t>Bringing society back in: Symbols, practices and institutional contradictions</w:t>
      </w:r>
      <w:r>
        <w:rPr>
          <w:rFonts w:ascii="Times New Roman" w:hAnsi="Times New Roman" w:cs="Times New Roman"/>
        </w:rPr>
        <w:t xml:space="preserve">. </w:t>
      </w:r>
      <w:r w:rsidRPr="005B39BA">
        <w:rPr>
          <w:rFonts w:ascii="Times New Roman" w:hAnsi="Times New Roman" w:cs="Times New Roman"/>
        </w:rPr>
        <w:t xml:space="preserve">In </w:t>
      </w:r>
      <w:r>
        <w:rPr>
          <w:rFonts w:ascii="Times New Roman" w:hAnsi="Times New Roman" w:cs="Times New Roman"/>
        </w:rPr>
        <w:t xml:space="preserve">Powell, </w:t>
      </w:r>
      <w:r w:rsidR="0092082E">
        <w:rPr>
          <w:rFonts w:ascii="Times New Roman" w:hAnsi="Times New Roman" w:cs="Times New Roman"/>
        </w:rPr>
        <w:t xml:space="preserve">W. W. &amp; </w:t>
      </w:r>
      <w:r>
        <w:rPr>
          <w:rFonts w:ascii="Times New Roman" w:hAnsi="Times New Roman" w:cs="Times New Roman"/>
        </w:rPr>
        <w:t>DiM</w:t>
      </w:r>
      <w:r w:rsidRPr="005B39BA">
        <w:rPr>
          <w:rFonts w:ascii="Times New Roman" w:hAnsi="Times New Roman" w:cs="Times New Roman"/>
        </w:rPr>
        <w:t>aggio</w:t>
      </w:r>
      <w:r w:rsidR="0092082E">
        <w:rPr>
          <w:rFonts w:ascii="Times New Roman" w:hAnsi="Times New Roman" w:cs="Times New Roman"/>
        </w:rPr>
        <w:t>, P. J.</w:t>
      </w:r>
      <w:r>
        <w:rPr>
          <w:rFonts w:ascii="Times New Roman" w:hAnsi="Times New Roman" w:cs="Times New Roman"/>
        </w:rPr>
        <w:t xml:space="preserve"> (Eds.), </w:t>
      </w:r>
      <w:r w:rsidRPr="005B39BA">
        <w:rPr>
          <w:rFonts w:ascii="Times New Roman" w:hAnsi="Times New Roman" w:cs="Times New Roman"/>
          <w:b/>
          <w:i/>
        </w:rPr>
        <w:t>The New Institutionalism in Organizational Analysis</w:t>
      </w:r>
      <w:r w:rsidRPr="005B39BA">
        <w:rPr>
          <w:rFonts w:ascii="Times New Roman" w:hAnsi="Times New Roman" w:cs="Times New Roman"/>
        </w:rPr>
        <w:t xml:space="preserve"> </w:t>
      </w:r>
      <w:r>
        <w:rPr>
          <w:rFonts w:ascii="Times New Roman" w:hAnsi="Times New Roman" w:cs="Times New Roman"/>
        </w:rPr>
        <w:t xml:space="preserve">(25 October 1991), 232-263. </w:t>
      </w:r>
    </w:p>
    <w:p w14:paraId="25A05E81" w14:textId="77777777"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Glynn, C. J., &amp; Huge, M. E. 2007. Opinions as norms applying a return potential model to the study of communication behaviors. </w:t>
      </w:r>
      <w:r w:rsidRPr="005B39BA">
        <w:rPr>
          <w:rFonts w:ascii="Times New Roman" w:hAnsi="Times New Roman" w:cs="Times New Roman"/>
          <w:b/>
          <w:bCs/>
          <w:i/>
          <w:iCs/>
        </w:rPr>
        <w:t xml:space="preserve">Communication Research, </w:t>
      </w:r>
      <w:r w:rsidRPr="005B39BA">
        <w:rPr>
          <w:rFonts w:ascii="Times New Roman" w:hAnsi="Times New Roman" w:cs="Times New Roman"/>
        </w:rPr>
        <w:t xml:space="preserve">34: 548–568. </w:t>
      </w:r>
    </w:p>
    <w:p w14:paraId="14563FCD" w14:textId="6A4D5B62" w:rsidR="005B39BA" w:rsidRDefault="005B39BA" w:rsidP="007562AD">
      <w:pPr>
        <w:ind w:left="284" w:hanging="284"/>
        <w:jc w:val="both"/>
        <w:rPr>
          <w:rFonts w:ascii="Times New Roman" w:hAnsi="Times New Roman" w:cs="Times New Roman"/>
        </w:rPr>
      </w:pPr>
      <w:r w:rsidRPr="005B29B8">
        <w:rPr>
          <w:rFonts w:ascii="Times New Roman" w:hAnsi="Times New Roman" w:cs="Times New Roman"/>
        </w:rPr>
        <w:t>Gibson, W., &amp; vom Lehn, D. 2017. </w:t>
      </w:r>
      <w:r w:rsidRPr="005B39BA">
        <w:rPr>
          <w:rFonts w:ascii="Times New Roman" w:hAnsi="Times New Roman" w:cs="Times New Roman"/>
          <w:b/>
          <w:i/>
          <w:iCs/>
        </w:rPr>
        <w:t>Institutions, Interaction and Social Theory</w:t>
      </w:r>
      <w:r w:rsidRPr="005B39BA">
        <w:rPr>
          <w:rFonts w:ascii="Times New Roman" w:hAnsi="Times New Roman" w:cs="Times New Roman"/>
        </w:rPr>
        <w:t>. Palgrave</w:t>
      </w:r>
      <w:r>
        <w:rPr>
          <w:rFonts w:ascii="Times New Roman" w:hAnsi="Times New Roman" w:cs="Times New Roman"/>
        </w:rPr>
        <w:t xml:space="preserve">. </w:t>
      </w:r>
    </w:p>
    <w:p w14:paraId="5AD8143E" w14:textId="3462EE97" w:rsidR="00D064B4" w:rsidRPr="005B39BA" w:rsidRDefault="00D064B4" w:rsidP="007562AD">
      <w:pPr>
        <w:ind w:left="284" w:hanging="284"/>
        <w:jc w:val="both"/>
        <w:rPr>
          <w:rFonts w:ascii="Times New Roman" w:hAnsi="Times New Roman" w:cs="Times New Roman"/>
        </w:rPr>
      </w:pPr>
      <w:r>
        <w:rPr>
          <w:rFonts w:ascii="Times New Roman" w:hAnsi="Times New Roman" w:cs="Times New Roman"/>
        </w:rPr>
        <w:t>Greenberg, J., &amp; Ornstein, S. 1983</w:t>
      </w:r>
      <w:r w:rsidRPr="00D064B4">
        <w:rPr>
          <w:rFonts w:ascii="Times New Roman" w:hAnsi="Times New Roman" w:cs="Times New Roman"/>
        </w:rPr>
        <w:t>. High status job title compensation for underpayment: A test of equity theory. </w:t>
      </w:r>
      <w:r w:rsidRPr="007562AD">
        <w:rPr>
          <w:rFonts w:ascii="Times New Roman" w:hAnsi="Times New Roman" w:cs="Times New Roman"/>
          <w:b/>
          <w:i/>
          <w:iCs/>
        </w:rPr>
        <w:t>Journal of Applied Psychology</w:t>
      </w:r>
      <w:r w:rsidRPr="007562AD">
        <w:rPr>
          <w:rFonts w:ascii="Times New Roman" w:hAnsi="Times New Roman" w:cs="Times New Roman"/>
          <w:b/>
        </w:rPr>
        <w:t>, </w:t>
      </w:r>
      <w:r w:rsidRPr="00D064B4">
        <w:rPr>
          <w:rFonts w:ascii="Times New Roman" w:hAnsi="Times New Roman" w:cs="Times New Roman"/>
          <w:i/>
          <w:iCs/>
        </w:rPr>
        <w:t>68</w:t>
      </w:r>
      <w:r w:rsidRPr="00D064B4">
        <w:rPr>
          <w:rFonts w:ascii="Times New Roman" w:hAnsi="Times New Roman" w:cs="Times New Roman"/>
        </w:rPr>
        <w:t>(2), 285.</w:t>
      </w:r>
    </w:p>
    <w:p w14:paraId="4BDA5325" w14:textId="470DB444"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Harmon, D., P. Haack, and T. Roulet</w:t>
      </w:r>
      <w:r w:rsidR="00A66C2C">
        <w:rPr>
          <w:rFonts w:ascii="Times New Roman" w:hAnsi="Times New Roman" w:cs="Times New Roman"/>
        </w:rPr>
        <w:t>.</w:t>
      </w:r>
      <w:r w:rsidRPr="005B39BA">
        <w:rPr>
          <w:rFonts w:ascii="Times New Roman" w:hAnsi="Times New Roman" w:cs="Times New Roman"/>
        </w:rPr>
        <w:t xml:space="preserve"> </w:t>
      </w:r>
      <w:r w:rsidR="00EC5E77">
        <w:rPr>
          <w:rFonts w:ascii="Times New Roman" w:hAnsi="Times New Roman" w:cs="Times New Roman"/>
        </w:rPr>
        <w:t>2018</w:t>
      </w:r>
      <w:r w:rsidRPr="005B39BA">
        <w:rPr>
          <w:rFonts w:ascii="Times New Roman" w:hAnsi="Times New Roman" w:cs="Times New Roman"/>
        </w:rPr>
        <w:t xml:space="preserve">. Microfoundations of institutions: A matter of structure vs. agency or level of analysis? </w:t>
      </w:r>
      <w:r w:rsidRPr="005B39BA">
        <w:rPr>
          <w:rFonts w:ascii="Times New Roman" w:hAnsi="Times New Roman" w:cs="Times New Roman"/>
          <w:b/>
          <w:i/>
        </w:rPr>
        <w:t>Academy of Management Review</w:t>
      </w:r>
      <w:r w:rsidRPr="005B39BA">
        <w:rPr>
          <w:rFonts w:ascii="Times New Roman" w:hAnsi="Times New Roman" w:cs="Times New Roman"/>
        </w:rPr>
        <w:t>, forthcoming</w:t>
      </w:r>
    </w:p>
    <w:p w14:paraId="11B48AB6" w14:textId="6097B734"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Hitt, M., Bierman, L.</w:t>
      </w:r>
      <w:r w:rsidR="00EC5E77">
        <w:rPr>
          <w:rFonts w:ascii="Times New Roman" w:hAnsi="Times New Roman" w:cs="Times New Roman"/>
        </w:rPr>
        <w:t xml:space="preserve">, Shimizu, K., and Kochlar, R. 2001. </w:t>
      </w:r>
      <w:r w:rsidRPr="005B39BA">
        <w:rPr>
          <w:rFonts w:ascii="Times New Roman" w:hAnsi="Times New Roman" w:cs="Times New Roman"/>
        </w:rPr>
        <w:t xml:space="preserve">Direct and </w:t>
      </w:r>
      <w:r w:rsidR="00EC5E77">
        <w:rPr>
          <w:rFonts w:ascii="Times New Roman" w:hAnsi="Times New Roman" w:cs="Times New Roman"/>
        </w:rPr>
        <w:t>m</w:t>
      </w:r>
      <w:r w:rsidRPr="005B39BA">
        <w:rPr>
          <w:rFonts w:ascii="Times New Roman" w:hAnsi="Times New Roman" w:cs="Times New Roman"/>
        </w:rPr>
        <w:t xml:space="preserve">oderating </w:t>
      </w:r>
      <w:r w:rsidR="00EC5E77">
        <w:rPr>
          <w:rFonts w:ascii="Times New Roman" w:hAnsi="Times New Roman" w:cs="Times New Roman"/>
        </w:rPr>
        <w:t>e</w:t>
      </w:r>
      <w:r w:rsidRPr="005B39BA">
        <w:rPr>
          <w:rFonts w:ascii="Times New Roman" w:hAnsi="Times New Roman" w:cs="Times New Roman"/>
        </w:rPr>
        <w:t xml:space="preserve">ffects of </w:t>
      </w:r>
      <w:r w:rsidR="00EC5E77">
        <w:rPr>
          <w:rFonts w:ascii="Times New Roman" w:hAnsi="Times New Roman" w:cs="Times New Roman"/>
        </w:rPr>
        <w:t>h</w:t>
      </w:r>
      <w:r w:rsidRPr="005B39BA">
        <w:rPr>
          <w:rFonts w:ascii="Times New Roman" w:hAnsi="Times New Roman" w:cs="Times New Roman"/>
        </w:rPr>
        <w:t xml:space="preserve">uman </w:t>
      </w:r>
      <w:r w:rsidR="00EC5E77">
        <w:rPr>
          <w:rFonts w:ascii="Times New Roman" w:hAnsi="Times New Roman" w:cs="Times New Roman"/>
        </w:rPr>
        <w:t>c</w:t>
      </w:r>
      <w:r w:rsidRPr="005B39BA">
        <w:rPr>
          <w:rFonts w:ascii="Times New Roman" w:hAnsi="Times New Roman" w:cs="Times New Roman"/>
        </w:rPr>
        <w:t xml:space="preserve">apital on </w:t>
      </w:r>
      <w:r w:rsidR="00EC5E77">
        <w:rPr>
          <w:rFonts w:ascii="Times New Roman" w:hAnsi="Times New Roman" w:cs="Times New Roman"/>
        </w:rPr>
        <w:t>s</w:t>
      </w:r>
      <w:r w:rsidRPr="005B39BA">
        <w:rPr>
          <w:rFonts w:ascii="Times New Roman" w:hAnsi="Times New Roman" w:cs="Times New Roman"/>
        </w:rPr>
        <w:t xml:space="preserve">trategy and </w:t>
      </w:r>
      <w:r w:rsidR="00EC5E77">
        <w:rPr>
          <w:rFonts w:ascii="Times New Roman" w:hAnsi="Times New Roman" w:cs="Times New Roman"/>
        </w:rPr>
        <w:t>p</w:t>
      </w:r>
      <w:r w:rsidRPr="005B39BA">
        <w:rPr>
          <w:rFonts w:ascii="Times New Roman" w:hAnsi="Times New Roman" w:cs="Times New Roman"/>
        </w:rPr>
        <w:t xml:space="preserve">erformance in </w:t>
      </w:r>
      <w:r w:rsidR="00EC5E77">
        <w:rPr>
          <w:rFonts w:ascii="Times New Roman" w:hAnsi="Times New Roman" w:cs="Times New Roman"/>
        </w:rPr>
        <w:t>p</w:t>
      </w:r>
      <w:r w:rsidRPr="005B39BA">
        <w:rPr>
          <w:rFonts w:ascii="Times New Roman" w:hAnsi="Times New Roman" w:cs="Times New Roman"/>
        </w:rPr>
        <w:t xml:space="preserve">rofessional </w:t>
      </w:r>
      <w:r w:rsidR="00EC5E77">
        <w:rPr>
          <w:rFonts w:ascii="Times New Roman" w:hAnsi="Times New Roman" w:cs="Times New Roman"/>
        </w:rPr>
        <w:t>s</w:t>
      </w:r>
      <w:r w:rsidRPr="005B39BA">
        <w:rPr>
          <w:rFonts w:ascii="Times New Roman" w:hAnsi="Times New Roman" w:cs="Times New Roman"/>
        </w:rPr>
        <w:t xml:space="preserve">ervice </w:t>
      </w:r>
      <w:r w:rsidR="00EC5E77">
        <w:rPr>
          <w:rFonts w:ascii="Times New Roman" w:hAnsi="Times New Roman" w:cs="Times New Roman"/>
        </w:rPr>
        <w:t>f</w:t>
      </w:r>
      <w:r w:rsidRPr="005B39BA">
        <w:rPr>
          <w:rFonts w:ascii="Times New Roman" w:hAnsi="Times New Roman" w:cs="Times New Roman"/>
        </w:rPr>
        <w:t xml:space="preserve">irms: A </w:t>
      </w:r>
      <w:r w:rsidR="00EC5E77">
        <w:rPr>
          <w:rFonts w:ascii="Times New Roman" w:hAnsi="Times New Roman" w:cs="Times New Roman"/>
        </w:rPr>
        <w:t>r</w:t>
      </w:r>
      <w:r w:rsidRPr="005B39BA">
        <w:rPr>
          <w:rFonts w:ascii="Times New Roman" w:hAnsi="Times New Roman" w:cs="Times New Roman"/>
        </w:rPr>
        <w:t>esource-</w:t>
      </w:r>
      <w:r w:rsidR="00EC5E77">
        <w:rPr>
          <w:rFonts w:ascii="Times New Roman" w:hAnsi="Times New Roman" w:cs="Times New Roman"/>
        </w:rPr>
        <w:t>b</w:t>
      </w:r>
      <w:r w:rsidRPr="005B39BA">
        <w:rPr>
          <w:rFonts w:ascii="Times New Roman" w:hAnsi="Times New Roman" w:cs="Times New Roman"/>
        </w:rPr>
        <w:t xml:space="preserve">ased </w:t>
      </w:r>
      <w:r w:rsidR="00EC5E77">
        <w:rPr>
          <w:rFonts w:ascii="Times New Roman" w:hAnsi="Times New Roman" w:cs="Times New Roman"/>
        </w:rPr>
        <w:t>perspective</w:t>
      </w:r>
      <w:r w:rsidR="00B778AD">
        <w:rPr>
          <w:rFonts w:ascii="Times New Roman" w:hAnsi="Times New Roman" w:cs="Times New Roman"/>
        </w:rPr>
        <w:t>.</w:t>
      </w:r>
      <w:r w:rsidRPr="005B39BA">
        <w:rPr>
          <w:rFonts w:ascii="Times New Roman" w:hAnsi="Times New Roman" w:cs="Times New Roman"/>
        </w:rPr>
        <w:t xml:space="preserve"> </w:t>
      </w:r>
      <w:r w:rsidRPr="005B39BA">
        <w:rPr>
          <w:rFonts w:ascii="Times New Roman" w:hAnsi="Times New Roman" w:cs="Times New Roman"/>
          <w:b/>
          <w:i/>
          <w:iCs/>
        </w:rPr>
        <w:t>Academy of Management Journal</w:t>
      </w:r>
      <w:r w:rsidRPr="005B39BA">
        <w:rPr>
          <w:rFonts w:ascii="Times New Roman" w:hAnsi="Times New Roman" w:cs="Times New Roman"/>
        </w:rPr>
        <w:t xml:space="preserve">, 44, 13-28. </w:t>
      </w:r>
    </w:p>
    <w:p w14:paraId="563A1A8B" w14:textId="13D2A5B1" w:rsidR="005B39BA" w:rsidRPr="005B39BA" w:rsidRDefault="00620156" w:rsidP="007562AD">
      <w:pPr>
        <w:ind w:left="284" w:hanging="284"/>
        <w:jc w:val="both"/>
        <w:rPr>
          <w:rFonts w:ascii="Times New Roman" w:hAnsi="Times New Roman" w:cs="Times New Roman"/>
        </w:rPr>
      </w:pPr>
      <w:r>
        <w:rPr>
          <w:rFonts w:ascii="Times New Roman" w:hAnsi="Times New Roman" w:cs="Times New Roman"/>
        </w:rPr>
        <w:t xml:space="preserve">Lawrence, T. B., Suddaby, R., &amp; Leca, B. </w:t>
      </w:r>
      <w:r w:rsidR="005B39BA" w:rsidRPr="005B39BA">
        <w:rPr>
          <w:rFonts w:ascii="Times New Roman" w:hAnsi="Times New Roman" w:cs="Times New Roman"/>
        </w:rPr>
        <w:t>2009</w:t>
      </w:r>
      <w:r w:rsidR="00EC5E77">
        <w:rPr>
          <w:rFonts w:ascii="Times New Roman" w:hAnsi="Times New Roman" w:cs="Times New Roman"/>
        </w:rPr>
        <w:t xml:space="preserve">. </w:t>
      </w:r>
      <w:r w:rsidR="00EC5E77" w:rsidRPr="00620156">
        <w:rPr>
          <w:rFonts w:ascii="Times New Roman" w:hAnsi="Times New Roman" w:cs="Times New Roman"/>
          <w:b/>
          <w:i/>
        </w:rPr>
        <w:t>Institutional work: Actors and agency in institutional studies of organizations</w:t>
      </w:r>
      <w:r>
        <w:rPr>
          <w:rFonts w:ascii="Times New Roman" w:hAnsi="Times New Roman" w:cs="Times New Roman"/>
        </w:rPr>
        <w:t xml:space="preserve">. Cambridge University Press.  </w:t>
      </w:r>
    </w:p>
    <w:p w14:paraId="0E1929B4" w14:textId="3D767D20" w:rsidR="005B39BA" w:rsidRPr="005B39BA" w:rsidRDefault="00620156" w:rsidP="007562AD">
      <w:pPr>
        <w:ind w:left="284" w:hanging="284"/>
        <w:jc w:val="both"/>
        <w:rPr>
          <w:rFonts w:ascii="Times New Roman" w:hAnsi="Times New Roman" w:cs="Times New Roman"/>
          <w:lang w:val="en-GB"/>
        </w:rPr>
      </w:pPr>
      <w:r>
        <w:rPr>
          <w:rFonts w:ascii="Times New Roman" w:hAnsi="Times New Roman" w:cs="Times New Roman"/>
          <w:lang w:val="en-GB"/>
        </w:rPr>
        <w:t>Maguire, S., &amp; Hardy, C. 2009</w:t>
      </w:r>
      <w:r w:rsidR="005B39BA" w:rsidRPr="005B39BA">
        <w:rPr>
          <w:rFonts w:ascii="Times New Roman" w:hAnsi="Times New Roman" w:cs="Times New Roman"/>
          <w:lang w:val="en-GB"/>
        </w:rPr>
        <w:t xml:space="preserve">. Discourse and deinstitutionalization: The decline of DDT. </w:t>
      </w:r>
      <w:r w:rsidR="005B39BA" w:rsidRPr="005B39BA">
        <w:rPr>
          <w:rFonts w:ascii="Times New Roman" w:hAnsi="Times New Roman" w:cs="Times New Roman"/>
          <w:b/>
          <w:i/>
          <w:lang w:val="en-GB"/>
        </w:rPr>
        <w:t xml:space="preserve">Academy of </w:t>
      </w:r>
      <w:r>
        <w:rPr>
          <w:rFonts w:ascii="Times New Roman" w:hAnsi="Times New Roman" w:cs="Times New Roman"/>
          <w:b/>
          <w:i/>
          <w:lang w:val="en-GB"/>
        </w:rPr>
        <w:t>M</w:t>
      </w:r>
      <w:r w:rsidR="005B39BA" w:rsidRPr="005B39BA">
        <w:rPr>
          <w:rFonts w:ascii="Times New Roman" w:hAnsi="Times New Roman" w:cs="Times New Roman"/>
          <w:b/>
          <w:i/>
          <w:lang w:val="en-GB"/>
        </w:rPr>
        <w:t xml:space="preserve">anagement </w:t>
      </w:r>
      <w:r>
        <w:rPr>
          <w:rFonts w:ascii="Times New Roman" w:hAnsi="Times New Roman" w:cs="Times New Roman"/>
          <w:b/>
          <w:i/>
          <w:lang w:val="en-GB"/>
        </w:rPr>
        <w:t>J</w:t>
      </w:r>
      <w:r w:rsidR="005B39BA" w:rsidRPr="005B39BA">
        <w:rPr>
          <w:rFonts w:ascii="Times New Roman" w:hAnsi="Times New Roman" w:cs="Times New Roman"/>
          <w:b/>
          <w:i/>
          <w:lang w:val="en-GB"/>
        </w:rPr>
        <w:t>ournal</w:t>
      </w:r>
      <w:r w:rsidR="005B39BA" w:rsidRPr="005B39BA">
        <w:rPr>
          <w:rFonts w:ascii="Times New Roman" w:hAnsi="Times New Roman" w:cs="Times New Roman"/>
          <w:lang w:val="en-GB"/>
        </w:rPr>
        <w:t>, 52(1), 148-178.</w:t>
      </w:r>
    </w:p>
    <w:p w14:paraId="7661A4BF" w14:textId="4FB3E1F3" w:rsidR="005B39BA" w:rsidRDefault="005B39BA" w:rsidP="007562AD">
      <w:pPr>
        <w:ind w:left="284" w:hanging="284"/>
        <w:jc w:val="both"/>
        <w:rPr>
          <w:rFonts w:ascii="Times New Roman" w:hAnsi="Times New Roman" w:cs="Times New Roman"/>
          <w:lang w:val="en-GB"/>
        </w:rPr>
      </w:pPr>
      <w:r w:rsidRPr="005B39BA">
        <w:rPr>
          <w:rFonts w:ascii="Times New Roman" w:hAnsi="Times New Roman" w:cs="Times New Roman"/>
          <w:lang w:val="en-GB"/>
        </w:rPr>
        <w:t xml:space="preserve">Malhotra, </w:t>
      </w:r>
      <w:r w:rsidR="00620156">
        <w:rPr>
          <w:rFonts w:ascii="Times New Roman" w:hAnsi="Times New Roman" w:cs="Times New Roman"/>
          <w:lang w:val="en-GB"/>
        </w:rPr>
        <w:t xml:space="preserve">M., </w:t>
      </w:r>
      <w:r w:rsidRPr="005B39BA">
        <w:rPr>
          <w:rFonts w:ascii="Times New Roman" w:hAnsi="Times New Roman" w:cs="Times New Roman"/>
          <w:lang w:val="en-GB"/>
        </w:rPr>
        <w:t xml:space="preserve">Morris, </w:t>
      </w:r>
      <w:r w:rsidR="00620156">
        <w:rPr>
          <w:rFonts w:ascii="Times New Roman" w:hAnsi="Times New Roman" w:cs="Times New Roman"/>
          <w:lang w:val="en-GB"/>
        </w:rPr>
        <w:t xml:space="preserve">M., &amp; Smets, M. </w:t>
      </w:r>
      <w:r w:rsidRPr="005B39BA">
        <w:rPr>
          <w:rFonts w:ascii="Times New Roman" w:hAnsi="Times New Roman" w:cs="Times New Roman"/>
          <w:lang w:val="en-GB"/>
        </w:rPr>
        <w:t>2010</w:t>
      </w:r>
      <w:r w:rsidR="00620156">
        <w:rPr>
          <w:rFonts w:ascii="Times New Roman" w:hAnsi="Times New Roman" w:cs="Times New Roman"/>
          <w:lang w:val="en-GB"/>
        </w:rPr>
        <w:t xml:space="preserve">. </w:t>
      </w:r>
      <w:r w:rsidR="00620156" w:rsidRPr="00620156">
        <w:rPr>
          <w:rFonts w:ascii="Times New Roman" w:hAnsi="Times New Roman" w:cs="Times New Roman"/>
          <w:lang w:val="en-GB"/>
        </w:rPr>
        <w:t>New career models in UK professional service firms: from up-or-out to up-and-going-nowhere?</w:t>
      </w:r>
      <w:r w:rsidR="00620156">
        <w:rPr>
          <w:rFonts w:ascii="Times New Roman" w:hAnsi="Times New Roman" w:cs="Times New Roman"/>
          <w:lang w:val="en-GB"/>
        </w:rPr>
        <w:t xml:space="preserve"> </w:t>
      </w:r>
      <w:r w:rsidR="00620156" w:rsidRPr="00620156">
        <w:rPr>
          <w:rFonts w:ascii="Times New Roman" w:hAnsi="Times New Roman" w:cs="Times New Roman"/>
          <w:b/>
          <w:i/>
          <w:lang w:val="en-GB"/>
        </w:rPr>
        <w:t>The International Journal of Human Resource Management</w:t>
      </w:r>
      <w:r w:rsidR="00620156">
        <w:rPr>
          <w:rFonts w:ascii="Times New Roman" w:hAnsi="Times New Roman" w:cs="Times New Roman"/>
          <w:lang w:val="en-GB"/>
        </w:rPr>
        <w:t xml:space="preserve">, </w:t>
      </w:r>
      <w:r w:rsidR="00620156" w:rsidRPr="00620156">
        <w:rPr>
          <w:rFonts w:ascii="Times New Roman" w:hAnsi="Times New Roman" w:cs="Times New Roman"/>
          <w:lang w:val="en-GB"/>
        </w:rPr>
        <w:t>21</w:t>
      </w:r>
      <w:r w:rsidR="00620156">
        <w:rPr>
          <w:rFonts w:ascii="Times New Roman" w:hAnsi="Times New Roman" w:cs="Times New Roman"/>
          <w:lang w:val="en-GB"/>
        </w:rPr>
        <w:t>(</w:t>
      </w:r>
      <w:r w:rsidR="00620156" w:rsidRPr="00620156">
        <w:rPr>
          <w:rFonts w:ascii="Times New Roman" w:hAnsi="Times New Roman" w:cs="Times New Roman"/>
          <w:lang w:val="en-GB"/>
        </w:rPr>
        <w:t>9</w:t>
      </w:r>
      <w:r w:rsidR="00620156">
        <w:rPr>
          <w:rFonts w:ascii="Times New Roman" w:hAnsi="Times New Roman" w:cs="Times New Roman"/>
          <w:lang w:val="en-GB"/>
        </w:rPr>
        <w:t xml:space="preserve">): </w:t>
      </w:r>
      <w:r w:rsidR="00620156" w:rsidRPr="00620156">
        <w:rPr>
          <w:rFonts w:ascii="Times New Roman" w:hAnsi="Times New Roman" w:cs="Times New Roman"/>
          <w:lang w:val="en-GB"/>
        </w:rPr>
        <w:t>1396-1413.</w:t>
      </w:r>
      <w:r w:rsidR="00620156">
        <w:rPr>
          <w:rFonts w:ascii="Times New Roman" w:hAnsi="Times New Roman" w:cs="Times New Roman"/>
          <w:lang w:val="en-GB"/>
        </w:rPr>
        <w:t xml:space="preserve"> </w:t>
      </w:r>
    </w:p>
    <w:p w14:paraId="48A2A1B6" w14:textId="4CF01746" w:rsidR="001E4DA7" w:rsidRPr="00521186" w:rsidRDefault="001E4DA7" w:rsidP="007562AD">
      <w:pPr>
        <w:ind w:left="284" w:hanging="284"/>
        <w:jc w:val="both"/>
        <w:rPr>
          <w:rFonts w:ascii="Times New Roman" w:hAnsi="Times New Roman" w:cs="Times New Roman"/>
        </w:rPr>
      </w:pPr>
      <w:r w:rsidRPr="001E4DA7">
        <w:rPr>
          <w:rFonts w:ascii="Times New Roman" w:hAnsi="Times New Roman" w:cs="Times New Roman"/>
        </w:rPr>
        <w:t xml:space="preserve">Malhotra, N., Smets, M., &amp; Morris, T. </w:t>
      </w:r>
      <w:r w:rsidR="00900EDC">
        <w:rPr>
          <w:rFonts w:ascii="Times New Roman" w:hAnsi="Times New Roman" w:cs="Times New Roman"/>
        </w:rPr>
        <w:t>2016</w:t>
      </w:r>
      <w:r>
        <w:rPr>
          <w:rFonts w:ascii="Times New Roman" w:hAnsi="Times New Roman" w:cs="Times New Roman"/>
        </w:rPr>
        <w:t xml:space="preserve"> </w:t>
      </w:r>
      <w:r w:rsidRPr="001E4DA7">
        <w:rPr>
          <w:rFonts w:ascii="Times New Roman" w:hAnsi="Times New Roman" w:cs="Times New Roman"/>
        </w:rPr>
        <w:t>Career pathing and innovation capacity in professional service firms.</w:t>
      </w:r>
      <w:r>
        <w:rPr>
          <w:rFonts w:ascii="Times New Roman" w:hAnsi="Times New Roman" w:cs="Times New Roman"/>
        </w:rPr>
        <w:t xml:space="preserve"> </w:t>
      </w:r>
      <w:r w:rsidR="00041635" w:rsidRPr="00521186">
        <w:rPr>
          <w:rFonts w:ascii="Times New Roman" w:hAnsi="Times New Roman" w:cs="Times New Roman"/>
          <w:b/>
          <w:i/>
        </w:rPr>
        <w:t>Academy of Management Perspectives</w:t>
      </w:r>
      <w:r w:rsidR="00041635" w:rsidRPr="00041635">
        <w:rPr>
          <w:rFonts w:ascii="Times New Roman" w:hAnsi="Times New Roman" w:cs="Times New Roman"/>
        </w:rPr>
        <w:t xml:space="preserve"> 30 (4), 369-383</w:t>
      </w:r>
    </w:p>
    <w:p w14:paraId="17A2036B" w14:textId="17E6A081" w:rsidR="00F54AB4" w:rsidRPr="007C157A" w:rsidRDefault="00F54AB4" w:rsidP="007562AD">
      <w:pPr>
        <w:ind w:left="284" w:hanging="284"/>
        <w:jc w:val="both"/>
        <w:rPr>
          <w:rFonts w:ascii="Times New Roman" w:hAnsi="Times New Roman" w:cs="Times New Roman"/>
        </w:rPr>
      </w:pPr>
      <w:r w:rsidRPr="00F54AB4">
        <w:rPr>
          <w:rFonts w:ascii="Times New Roman" w:hAnsi="Times New Roman" w:cs="Times New Roman"/>
        </w:rPr>
        <w:t>Mishina, Y., Block, E. S., &amp; Mannor, M. J. (2012). The path dependence of organizational reputation: How social judgment influences assessments of capability and character. </w:t>
      </w:r>
      <w:r w:rsidRPr="007C157A">
        <w:rPr>
          <w:rFonts w:ascii="Times New Roman" w:hAnsi="Times New Roman" w:cs="Times New Roman"/>
          <w:b/>
          <w:i/>
          <w:iCs/>
        </w:rPr>
        <w:t xml:space="preserve">Strategic </w:t>
      </w:r>
      <w:r w:rsidR="00173FEE">
        <w:rPr>
          <w:rFonts w:ascii="Times New Roman" w:hAnsi="Times New Roman" w:cs="Times New Roman"/>
          <w:b/>
          <w:i/>
          <w:iCs/>
        </w:rPr>
        <w:t>M</w:t>
      </w:r>
      <w:r w:rsidRPr="007C157A">
        <w:rPr>
          <w:rFonts w:ascii="Times New Roman" w:hAnsi="Times New Roman" w:cs="Times New Roman"/>
          <w:b/>
          <w:i/>
          <w:iCs/>
        </w:rPr>
        <w:t xml:space="preserve">anagement </w:t>
      </w:r>
      <w:r w:rsidR="00173FEE">
        <w:rPr>
          <w:rFonts w:ascii="Times New Roman" w:hAnsi="Times New Roman" w:cs="Times New Roman"/>
          <w:b/>
          <w:i/>
          <w:iCs/>
        </w:rPr>
        <w:t>J</w:t>
      </w:r>
      <w:r w:rsidRPr="007C157A">
        <w:rPr>
          <w:rFonts w:ascii="Times New Roman" w:hAnsi="Times New Roman" w:cs="Times New Roman"/>
          <w:b/>
          <w:i/>
          <w:iCs/>
        </w:rPr>
        <w:t>ournal</w:t>
      </w:r>
      <w:r w:rsidRPr="00F54AB4">
        <w:rPr>
          <w:rFonts w:ascii="Times New Roman" w:hAnsi="Times New Roman" w:cs="Times New Roman"/>
        </w:rPr>
        <w:t>, </w:t>
      </w:r>
      <w:r w:rsidRPr="00F54AB4">
        <w:rPr>
          <w:rFonts w:ascii="Times New Roman" w:hAnsi="Times New Roman" w:cs="Times New Roman"/>
          <w:i/>
          <w:iCs/>
        </w:rPr>
        <w:t>33</w:t>
      </w:r>
      <w:r w:rsidRPr="00F54AB4">
        <w:rPr>
          <w:rFonts w:ascii="Times New Roman" w:hAnsi="Times New Roman" w:cs="Times New Roman"/>
        </w:rPr>
        <w:t>(5), 459-477</w:t>
      </w:r>
    </w:p>
    <w:p w14:paraId="1AFA22BC" w14:textId="4CB34656" w:rsidR="005B39BA" w:rsidRPr="005B39BA" w:rsidRDefault="005B39BA" w:rsidP="007562AD">
      <w:pPr>
        <w:ind w:left="284" w:hanging="284"/>
        <w:jc w:val="both"/>
        <w:rPr>
          <w:rFonts w:ascii="Times New Roman" w:hAnsi="Times New Roman" w:cs="Times New Roman"/>
        </w:rPr>
      </w:pPr>
      <w:r w:rsidRPr="00620156">
        <w:rPr>
          <w:rFonts w:ascii="Times New Roman" w:hAnsi="Times New Roman" w:cs="Times New Roman"/>
          <w:lang w:val="en-GB"/>
        </w:rPr>
        <w:t>O</w:t>
      </w:r>
      <w:r w:rsidR="00620156">
        <w:rPr>
          <w:rFonts w:ascii="Times New Roman" w:hAnsi="Times New Roman" w:cs="Times New Roman"/>
        </w:rPr>
        <w:t>liver, C. 1992</w:t>
      </w:r>
      <w:r w:rsidRPr="005B39BA">
        <w:rPr>
          <w:rFonts w:ascii="Times New Roman" w:hAnsi="Times New Roman" w:cs="Times New Roman"/>
        </w:rPr>
        <w:t>. The antecedents of deinstitutionalization. </w:t>
      </w:r>
      <w:r w:rsidRPr="00620156">
        <w:rPr>
          <w:rFonts w:ascii="Times New Roman" w:hAnsi="Times New Roman" w:cs="Times New Roman"/>
          <w:b/>
          <w:i/>
          <w:iCs/>
        </w:rPr>
        <w:t xml:space="preserve">Organization </w:t>
      </w:r>
      <w:r w:rsidR="00B778AD">
        <w:rPr>
          <w:rFonts w:ascii="Times New Roman" w:hAnsi="Times New Roman" w:cs="Times New Roman"/>
          <w:b/>
          <w:i/>
          <w:iCs/>
        </w:rPr>
        <w:t>S</w:t>
      </w:r>
      <w:r w:rsidRPr="00620156">
        <w:rPr>
          <w:rFonts w:ascii="Times New Roman" w:hAnsi="Times New Roman" w:cs="Times New Roman"/>
          <w:b/>
          <w:i/>
          <w:iCs/>
        </w:rPr>
        <w:t>tudies</w:t>
      </w:r>
      <w:r w:rsidRPr="005B39BA">
        <w:rPr>
          <w:rFonts w:ascii="Times New Roman" w:hAnsi="Times New Roman" w:cs="Times New Roman"/>
        </w:rPr>
        <w:t>, </w:t>
      </w:r>
      <w:r w:rsidRPr="005B39BA">
        <w:rPr>
          <w:rFonts w:ascii="Times New Roman" w:hAnsi="Times New Roman" w:cs="Times New Roman"/>
          <w:i/>
          <w:iCs/>
        </w:rPr>
        <w:t>13</w:t>
      </w:r>
      <w:r w:rsidRPr="005B39BA">
        <w:rPr>
          <w:rFonts w:ascii="Times New Roman" w:hAnsi="Times New Roman" w:cs="Times New Roman"/>
        </w:rPr>
        <w:t>(4), 563-588.</w:t>
      </w:r>
    </w:p>
    <w:p w14:paraId="091336C7" w14:textId="33028BF5" w:rsidR="005B39BA" w:rsidRPr="005B39BA" w:rsidRDefault="0092082E" w:rsidP="007562AD">
      <w:pPr>
        <w:ind w:left="284" w:hanging="284"/>
        <w:jc w:val="both"/>
        <w:rPr>
          <w:rFonts w:ascii="Times New Roman" w:hAnsi="Times New Roman" w:cs="Times New Roman"/>
        </w:rPr>
      </w:pPr>
      <w:r>
        <w:rPr>
          <w:rFonts w:ascii="Times New Roman" w:hAnsi="Times New Roman" w:cs="Times New Roman"/>
        </w:rPr>
        <w:t xml:space="preserve">Paolella, L., </w:t>
      </w:r>
      <w:r w:rsidR="005B39BA" w:rsidRPr="005B39BA">
        <w:rPr>
          <w:rFonts w:ascii="Times New Roman" w:hAnsi="Times New Roman" w:cs="Times New Roman"/>
        </w:rPr>
        <w:t xml:space="preserve">&amp; Durand, </w:t>
      </w:r>
      <w:r>
        <w:rPr>
          <w:rFonts w:ascii="Times New Roman" w:hAnsi="Times New Roman" w:cs="Times New Roman"/>
        </w:rPr>
        <w:t xml:space="preserve">R. </w:t>
      </w:r>
      <w:r w:rsidR="005B39BA" w:rsidRPr="005B39BA">
        <w:rPr>
          <w:rFonts w:ascii="Times New Roman" w:hAnsi="Times New Roman" w:cs="Times New Roman"/>
        </w:rPr>
        <w:t>2016</w:t>
      </w:r>
      <w:r>
        <w:rPr>
          <w:rFonts w:ascii="Times New Roman" w:hAnsi="Times New Roman" w:cs="Times New Roman"/>
        </w:rPr>
        <w:t xml:space="preserve">. </w:t>
      </w:r>
      <w:r w:rsidRPr="0092082E">
        <w:rPr>
          <w:rFonts w:ascii="Times New Roman" w:hAnsi="Times New Roman" w:cs="Times New Roman"/>
        </w:rPr>
        <w:t>Category spanning, evaluation, and performance: Revised theory and test on the corporate law market</w:t>
      </w:r>
      <w:r>
        <w:rPr>
          <w:rFonts w:ascii="Times New Roman" w:hAnsi="Times New Roman" w:cs="Times New Roman"/>
        </w:rPr>
        <w:t xml:space="preserve">. </w:t>
      </w:r>
      <w:r w:rsidRPr="0092082E">
        <w:rPr>
          <w:rFonts w:ascii="Times New Roman" w:hAnsi="Times New Roman" w:cs="Times New Roman"/>
          <w:b/>
          <w:i/>
        </w:rPr>
        <w:t>Academy of Management Journal</w:t>
      </w:r>
      <w:r>
        <w:rPr>
          <w:rFonts w:ascii="Times New Roman" w:hAnsi="Times New Roman" w:cs="Times New Roman"/>
        </w:rPr>
        <w:t xml:space="preserve">, </w:t>
      </w:r>
      <w:r w:rsidRPr="0092082E">
        <w:rPr>
          <w:rFonts w:ascii="Times New Roman" w:hAnsi="Times New Roman" w:cs="Times New Roman"/>
        </w:rPr>
        <w:t>59</w:t>
      </w:r>
      <w:r>
        <w:rPr>
          <w:rFonts w:ascii="Times New Roman" w:hAnsi="Times New Roman" w:cs="Times New Roman"/>
        </w:rPr>
        <w:t>(</w:t>
      </w:r>
      <w:r w:rsidRPr="0092082E">
        <w:rPr>
          <w:rFonts w:ascii="Times New Roman" w:hAnsi="Times New Roman" w:cs="Times New Roman"/>
        </w:rPr>
        <w:t>1</w:t>
      </w:r>
      <w:r>
        <w:rPr>
          <w:rFonts w:ascii="Times New Roman" w:hAnsi="Times New Roman" w:cs="Times New Roman"/>
        </w:rPr>
        <w:t xml:space="preserve">): 330-351. </w:t>
      </w:r>
    </w:p>
    <w:p w14:paraId="412937C6" w14:textId="315B6A96" w:rsidR="005B39BA" w:rsidRPr="005B39BA" w:rsidRDefault="005B39BA" w:rsidP="007562AD">
      <w:pPr>
        <w:ind w:left="284" w:hanging="284"/>
        <w:jc w:val="both"/>
        <w:rPr>
          <w:rFonts w:ascii="Times New Roman" w:hAnsi="Times New Roman" w:cs="Times New Roman"/>
        </w:rPr>
      </w:pPr>
      <w:r w:rsidRPr="00925BE9">
        <w:rPr>
          <w:rFonts w:ascii="Times New Roman" w:hAnsi="Times New Roman" w:cs="Times New Roman"/>
        </w:rPr>
        <w:t>Polzer, T., Meyer, R. E., Hollerer, M. A.</w:t>
      </w:r>
      <w:r w:rsidR="0092082E" w:rsidRPr="00925BE9">
        <w:rPr>
          <w:rFonts w:ascii="Times New Roman" w:hAnsi="Times New Roman" w:cs="Times New Roman"/>
        </w:rPr>
        <w:t>, &amp; Seiwald, J. 2016</w:t>
      </w:r>
      <w:r w:rsidRPr="00925BE9">
        <w:rPr>
          <w:rFonts w:ascii="Times New Roman" w:hAnsi="Times New Roman" w:cs="Times New Roman"/>
        </w:rPr>
        <w:t xml:space="preserve">. </w:t>
      </w:r>
      <w:r w:rsidRPr="005B39BA">
        <w:rPr>
          <w:rFonts w:ascii="Times New Roman" w:hAnsi="Times New Roman" w:cs="Times New Roman"/>
        </w:rPr>
        <w:t>How ins</w:t>
      </w:r>
      <w:r w:rsidR="0092082E">
        <w:rPr>
          <w:rFonts w:ascii="Times New Roman" w:hAnsi="Times New Roman" w:cs="Times New Roman"/>
        </w:rPr>
        <w:t>titutions matter in public sec</w:t>
      </w:r>
      <w:r w:rsidRPr="005B39BA">
        <w:rPr>
          <w:rFonts w:ascii="Times New Roman" w:hAnsi="Times New Roman" w:cs="Times New Roman"/>
        </w:rPr>
        <w:t>tor reform: The sedimentation of administrative paradigms. In J. Gehman, M. Lounsbury, &amp; R. Greenwood (Eds.), How instit</w:t>
      </w:r>
      <w:r w:rsidR="0092082E">
        <w:rPr>
          <w:rFonts w:ascii="Times New Roman" w:hAnsi="Times New Roman" w:cs="Times New Roman"/>
        </w:rPr>
        <w:t>utions matter (Vol. 48B, pp. 69-</w:t>
      </w:r>
      <w:r w:rsidRPr="005B39BA">
        <w:rPr>
          <w:rFonts w:ascii="Times New Roman" w:hAnsi="Times New Roman" w:cs="Times New Roman"/>
        </w:rPr>
        <w:t xml:space="preserve">99). </w:t>
      </w:r>
      <w:r w:rsidRPr="0092082E">
        <w:rPr>
          <w:rFonts w:ascii="Times New Roman" w:hAnsi="Times New Roman" w:cs="Times New Roman"/>
          <w:b/>
          <w:i/>
        </w:rPr>
        <w:t>Research in the Sociology of Organizations</w:t>
      </w:r>
      <w:r w:rsidRPr="005B39BA">
        <w:rPr>
          <w:rFonts w:ascii="Times New Roman" w:hAnsi="Times New Roman" w:cs="Times New Roman"/>
        </w:rPr>
        <w:t xml:space="preserve">. Bingley, UK: Emerald Group Publishing Limited. </w:t>
      </w:r>
    </w:p>
    <w:p w14:paraId="654D8BB5" w14:textId="6AED0ECE" w:rsidR="005B39BA" w:rsidRP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P</w:t>
      </w:r>
      <w:r w:rsidR="0092082E">
        <w:rPr>
          <w:rFonts w:ascii="Times New Roman" w:hAnsi="Times New Roman" w:cs="Times New Roman"/>
        </w:rPr>
        <w:t>owell, W. W., &amp; Colyvas, J. A. 2008</w:t>
      </w:r>
      <w:r w:rsidRPr="005B39BA">
        <w:rPr>
          <w:rFonts w:ascii="Times New Roman" w:hAnsi="Times New Roman" w:cs="Times New Roman"/>
        </w:rPr>
        <w:t>. Microfoundations of institutional theory. </w:t>
      </w:r>
      <w:r w:rsidR="005558E0">
        <w:rPr>
          <w:rFonts w:ascii="Times New Roman" w:hAnsi="Times New Roman" w:cs="Times New Roman"/>
        </w:rPr>
        <w:t xml:space="preserve">In </w:t>
      </w:r>
      <w:r w:rsidR="005558E0" w:rsidRPr="005558E0">
        <w:rPr>
          <w:rFonts w:ascii="Times New Roman" w:hAnsi="Times New Roman" w:cs="Times New Roman"/>
        </w:rPr>
        <w:t xml:space="preserve">Greenwood, </w:t>
      </w:r>
      <w:r w:rsidR="005558E0">
        <w:rPr>
          <w:rFonts w:ascii="Times New Roman" w:hAnsi="Times New Roman" w:cs="Times New Roman"/>
        </w:rPr>
        <w:t xml:space="preserve">R., </w:t>
      </w:r>
      <w:r w:rsidR="005558E0" w:rsidRPr="005558E0">
        <w:rPr>
          <w:rFonts w:ascii="Times New Roman" w:hAnsi="Times New Roman" w:cs="Times New Roman"/>
        </w:rPr>
        <w:t xml:space="preserve">Oliver, </w:t>
      </w:r>
      <w:r w:rsidR="005558E0">
        <w:rPr>
          <w:rFonts w:ascii="Times New Roman" w:hAnsi="Times New Roman" w:cs="Times New Roman"/>
        </w:rPr>
        <w:t xml:space="preserve">C., </w:t>
      </w:r>
      <w:r w:rsidR="005558E0" w:rsidRPr="005558E0">
        <w:rPr>
          <w:rFonts w:ascii="Times New Roman" w:hAnsi="Times New Roman" w:cs="Times New Roman"/>
        </w:rPr>
        <w:t xml:space="preserve">Suddaby, </w:t>
      </w:r>
      <w:r w:rsidR="005558E0">
        <w:rPr>
          <w:rFonts w:ascii="Times New Roman" w:hAnsi="Times New Roman" w:cs="Times New Roman"/>
        </w:rPr>
        <w:t xml:space="preserve">R., &amp; </w:t>
      </w:r>
      <w:r w:rsidR="005558E0" w:rsidRPr="005558E0">
        <w:rPr>
          <w:rFonts w:ascii="Times New Roman" w:hAnsi="Times New Roman" w:cs="Times New Roman"/>
        </w:rPr>
        <w:t>Sahlin-Andersson</w:t>
      </w:r>
      <w:r w:rsidR="00882402">
        <w:rPr>
          <w:rFonts w:ascii="Times New Roman" w:hAnsi="Times New Roman" w:cs="Times New Roman"/>
        </w:rPr>
        <w:t xml:space="preserve">, K. (Eds), </w:t>
      </w:r>
      <w:r w:rsidRPr="005B39BA">
        <w:rPr>
          <w:rFonts w:ascii="Times New Roman" w:hAnsi="Times New Roman" w:cs="Times New Roman"/>
          <w:b/>
          <w:i/>
          <w:iCs/>
        </w:rPr>
        <w:t xml:space="preserve">The Sage </w:t>
      </w:r>
      <w:r w:rsidR="005558E0">
        <w:rPr>
          <w:rFonts w:ascii="Times New Roman" w:hAnsi="Times New Roman" w:cs="Times New Roman"/>
          <w:b/>
          <w:i/>
          <w:iCs/>
        </w:rPr>
        <w:t>H</w:t>
      </w:r>
      <w:r w:rsidRPr="005B39BA">
        <w:rPr>
          <w:rFonts w:ascii="Times New Roman" w:hAnsi="Times New Roman" w:cs="Times New Roman"/>
          <w:b/>
          <w:i/>
          <w:iCs/>
        </w:rPr>
        <w:t xml:space="preserve">andbook of </w:t>
      </w:r>
      <w:r w:rsidR="005558E0">
        <w:rPr>
          <w:rFonts w:ascii="Times New Roman" w:hAnsi="Times New Roman" w:cs="Times New Roman"/>
          <w:b/>
          <w:i/>
          <w:iCs/>
        </w:rPr>
        <w:t>O</w:t>
      </w:r>
      <w:r w:rsidRPr="005B39BA">
        <w:rPr>
          <w:rFonts w:ascii="Times New Roman" w:hAnsi="Times New Roman" w:cs="Times New Roman"/>
          <w:b/>
          <w:i/>
          <w:iCs/>
        </w:rPr>
        <w:t xml:space="preserve">rganizational </w:t>
      </w:r>
      <w:r w:rsidR="005558E0">
        <w:rPr>
          <w:rFonts w:ascii="Times New Roman" w:hAnsi="Times New Roman" w:cs="Times New Roman"/>
          <w:b/>
          <w:i/>
          <w:iCs/>
        </w:rPr>
        <w:t>I</w:t>
      </w:r>
      <w:r w:rsidRPr="005B39BA">
        <w:rPr>
          <w:rFonts w:ascii="Times New Roman" w:hAnsi="Times New Roman" w:cs="Times New Roman"/>
          <w:b/>
          <w:i/>
          <w:iCs/>
        </w:rPr>
        <w:t>nstitutionalism</w:t>
      </w:r>
      <w:r w:rsidRPr="005B39BA">
        <w:rPr>
          <w:rFonts w:ascii="Times New Roman" w:hAnsi="Times New Roman" w:cs="Times New Roman"/>
        </w:rPr>
        <w:t>, </w:t>
      </w:r>
      <w:r w:rsidR="0092128E">
        <w:rPr>
          <w:rFonts w:ascii="Times New Roman" w:hAnsi="Times New Roman" w:cs="Times New Roman"/>
        </w:rPr>
        <w:t>Sage,</w:t>
      </w:r>
      <w:r w:rsidR="00914CFA">
        <w:rPr>
          <w:rFonts w:ascii="Times New Roman" w:hAnsi="Times New Roman" w:cs="Times New Roman"/>
        </w:rPr>
        <w:t xml:space="preserve"> pp. </w:t>
      </w:r>
      <w:r w:rsidRPr="00914CFA">
        <w:rPr>
          <w:rFonts w:ascii="Times New Roman" w:hAnsi="Times New Roman" w:cs="Times New Roman"/>
          <w:iCs/>
        </w:rPr>
        <w:t>276</w:t>
      </w:r>
      <w:r w:rsidR="00914CFA" w:rsidRPr="00914CFA">
        <w:rPr>
          <w:rFonts w:ascii="Times New Roman" w:hAnsi="Times New Roman" w:cs="Times New Roman"/>
        </w:rPr>
        <w:t>-</w:t>
      </w:r>
      <w:r w:rsidRPr="005B39BA">
        <w:rPr>
          <w:rFonts w:ascii="Times New Roman" w:hAnsi="Times New Roman" w:cs="Times New Roman"/>
        </w:rPr>
        <w:t>298.</w:t>
      </w:r>
    </w:p>
    <w:p w14:paraId="6AF5845B" w14:textId="5084E06E"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Powell, W. W., &amp; Rerup, C. 201</w:t>
      </w:r>
      <w:r w:rsidR="007B58F2">
        <w:rPr>
          <w:rFonts w:ascii="Times New Roman" w:hAnsi="Times New Roman" w:cs="Times New Roman"/>
        </w:rPr>
        <w:t>7</w:t>
      </w:r>
      <w:r w:rsidRPr="005B39BA">
        <w:rPr>
          <w:rFonts w:ascii="Times New Roman" w:hAnsi="Times New Roman" w:cs="Times New Roman"/>
        </w:rPr>
        <w:t xml:space="preserve">. Opening the </w:t>
      </w:r>
      <w:r w:rsidR="0092082E">
        <w:rPr>
          <w:rFonts w:ascii="Times New Roman" w:hAnsi="Times New Roman" w:cs="Times New Roman"/>
        </w:rPr>
        <w:t>b</w:t>
      </w:r>
      <w:r w:rsidRPr="005B39BA">
        <w:rPr>
          <w:rFonts w:ascii="Times New Roman" w:hAnsi="Times New Roman" w:cs="Times New Roman"/>
        </w:rPr>
        <w:t xml:space="preserve">lack </w:t>
      </w:r>
      <w:r w:rsidR="0092082E">
        <w:rPr>
          <w:rFonts w:ascii="Times New Roman" w:hAnsi="Times New Roman" w:cs="Times New Roman"/>
        </w:rPr>
        <w:t>b</w:t>
      </w:r>
      <w:r w:rsidRPr="005B39BA">
        <w:rPr>
          <w:rFonts w:ascii="Times New Roman" w:hAnsi="Times New Roman" w:cs="Times New Roman"/>
        </w:rPr>
        <w:t xml:space="preserve">ox: The </w:t>
      </w:r>
      <w:r w:rsidR="0092082E">
        <w:rPr>
          <w:rFonts w:ascii="Times New Roman" w:hAnsi="Times New Roman" w:cs="Times New Roman"/>
        </w:rPr>
        <w:t>m</w:t>
      </w:r>
      <w:r w:rsidRPr="005B39BA">
        <w:rPr>
          <w:rFonts w:ascii="Times New Roman" w:hAnsi="Times New Roman" w:cs="Times New Roman"/>
        </w:rPr>
        <w:t xml:space="preserve">icrofoundations of </w:t>
      </w:r>
      <w:r w:rsidR="0092082E">
        <w:rPr>
          <w:rFonts w:ascii="Times New Roman" w:hAnsi="Times New Roman" w:cs="Times New Roman"/>
        </w:rPr>
        <w:t>i</w:t>
      </w:r>
      <w:r w:rsidRPr="005B39BA">
        <w:rPr>
          <w:rFonts w:ascii="Times New Roman" w:hAnsi="Times New Roman" w:cs="Times New Roman"/>
        </w:rPr>
        <w:t xml:space="preserve">nstitutions. </w:t>
      </w:r>
      <w:r w:rsidR="00AC6186">
        <w:rPr>
          <w:rFonts w:ascii="Times New Roman" w:hAnsi="Times New Roman" w:cs="Times New Roman"/>
        </w:rPr>
        <w:t xml:space="preserve">In </w:t>
      </w:r>
      <w:r w:rsidR="00AC6186" w:rsidRPr="00AC6186">
        <w:rPr>
          <w:rFonts w:ascii="Times New Roman" w:hAnsi="Times New Roman" w:cs="Times New Roman"/>
        </w:rPr>
        <w:t xml:space="preserve">Greenwood, </w:t>
      </w:r>
      <w:r w:rsidR="00AC6186">
        <w:rPr>
          <w:rFonts w:ascii="Times New Roman" w:hAnsi="Times New Roman" w:cs="Times New Roman"/>
        </w:rPr>
        <w:t xml:space="preserve">R., </w:t>
      </w:r>
      <w:r w:rsidR="00AC6186" w:rsidRPr="00AC6186">
        <w:rPr>
          <w:rFonts w:ascii="Times New Roman" w:hAnsi="Times New Roman" w:cs="Times New Roman"/>
        </w:rPr>
        <w:t xml:space="preserve">Oliver, </w:t>
      </w:r>
      <w:r w:rsidR="00AC6186">
        <w:rPr>
          <w:rFonts w:ascii="Times New Roman" w:hAnsi="Times New Roman" w:cs="Times New Roman"/>
        </w:rPr>
        <w:t xml:space="preserve">C., </w:t>
      </w:r>
      <w:r w:rsidR="00AC6186" w:rsidRPr="00AC6186">
        <w:rPr>
          <w:rFonts w:ascii="Times New Roman" w:hAnsi="Times New Roman" w:cs="Times New Roman"/>
        </w:rPr>
        <w:t xml:space="preserve">Lawrence, </w:t>
      </w:r>
      <w:r w:rsidR="00AC6186">
        <w:rPr>
          <w:rFonts w:ascii="Times New Roman" w:hAnsi="Times New Roman" w:cs="Times New Roman"/>
        </w:rPr>
        <w:t xml:space="preserve">T. B., &amp; </w:t>
      </w:r>
      <w:r w:rsidR="00AC6186" w:rsidRPr="00AC6186">
        <w:rPr>
          <w:rFonts w:ascii="Times New Roman" w:hAnsi="Times New Roman" w:cs="Times New Roman"/>
        </w:rPr>
        <w:t>Meyer</w:t>
      </w:r>
      <w:r w:rsidR="00AC6186">
        <w:rPr>
          <w:rFonts w:ascii="Times New Roman" w:hAnsi="Times New Roman" w:cs="Times New Roman"/>
        </w:rPr>
        <w:t xml:space="preserve">, R. E. (Eds), </w:t>
      </w:r>
      <w:r w:rsidRPr="005B39BA">
        <w:rPr>
          <w:rFonts w:ascii="Times New Roman" w:hAnsi="Times New Roman" w:cs="Times New Roman"/>
          <w:b/>
          <w:bCs/>
          <w:i/>
          <w:iCs/>
        </w:rPr>
        <w:t xml:space="preserve">The </w:t>
      </w:r>
      <w:r w:rsidR="0092128E">
        <w:rPr>
          <w:rFonts w:ascii="Times New Roman" w:hAnsi="Times New Roman" w:cs="Times New Roman"/>
          <w:b/>
          <w:bCs/>
          <w:i/>
          <w:iCs/>
        </w:rPr>
        <w:t>Sage</w:t>
      </w:r>
      <w:r w:rsidRPr="005B39BA">
        <w:rPr>
          <w:rFonts w:ascii="Times New Roman" w:hAnsi="Times New Roman" w:cs="Times New Roman"/>
          <w:b/>
          <w:bCs/>
          <w:i/>
          <w:iCs/>
        </w:rPr>
        <w:t xml:space="preserve"> Handbook of Organizational Institutionalism</w:t>
      </w:r>
      <w:r w:rsidR="0092128E">
        <w:rPr>
          <w:rFonts w:ascii="Times New Roman" w:hAnsi="Times New Roman" w:cs="Times New Roman"/>
        </w:rPr>
        <w:t>, Sage</w:t>
      </w:r>
      <w:r w:rsidR="00B778AD">
        <w:rPr>
          <w:rFonts w:ascii="Times New Roman" w:hAnsi="Times New Roman" w:cs="Times New Roman"/>
        </w:rPr>
        <w:t>.</w:t>
      </w:r>
    </w:p>
    <w:p w14:paraId="41FB1F71" w14:textId="172CC918" w:rsidR="00805314" w:rsidRDefault="00805314" w:rsidP="007562AD">
      <w:pPr>
        <w:ind w:left="284" w:hanging="284"/>
        <w:jc w:val="both"/>
        <w:rPr>
          <w:rFonts w:ascii="Times New Roman" w:hAnsi="Times New Roman" w:cs="Times New Roman"/>
        </w:rPr>
      </w:pPr>
      <w:r w:rsidRPr="00805314">
        <w:rPr>
          <w:rFonts w:ascii="Times New Roman" w:hAnsi="Times New Roman" w:cs="Times New Roman"/>
        </w:rPr>
        <w:t>Raffaelli, R., &amp; Glynn, M. A. (2014). Turnkey or tailored? Relational pluralism, institutional complexity, and the organizational adoption of more or less customized practices. </w:t>
      </w:r>
      <w:r w:rsidRPr="007562AD">
        <w:rPr>
          <w:rFonts w:ascii="Times New Roman" w:hAnsi="Times New Roman" w:cs="Times New Roman"/>
          <w:b/>
          <w:i/>
          <w:iCs/>
        </w:rPr>
        <w:t>Academy of Management Journal</w:t>
      </w:r>
      <w:r w:rsidRPr="007562AD">
        <w:rPr>
          <w:rFonts w:ascii="Times New Roman" w:hAnsi="Times New Roman" w:cs="Times New Roman"/>
          <w:b/>
        </w:rPr>
        <w:t>,</w:t>
      </w:r>
      <w:r w:rsidRPr="00805314">
        <w:rPr>
          <w:rFonts w:ascii="Times New Roman" w:hAnsi="Times New Roman" w:cs="Times New Roman"/>
        </w:rPr>
        <w:t> </w:t>
      </w:r>
      <w:r w:rsidRPr="00805314">
        <w:rPr>
          <w:rFonts w:ascii="Times New Roman" w:hAnsi="Times New Roman" w:cs="Times New Roman"/>
          <w:i/>
          <w:iCs/>
        </w:rPr>
        <w:t>57</w:t>
      </w:r>
      <w:r w:rsidRPr="00805314">
        <w:rPr>
          <w:rFonts w:ascii="Times New Roman" w:hAnsi="Times New Roman" w:cs="Times New Roman"/>
        </w:rPr>
        <w:t>(2), 541-562.</w:t>
      </w:r>
    </w:p>
    <w:p w14:paraId="5574C7CE" w14:textId="56C1F339" w:rsidR="00195BC8" w:rsidRDefault="00195BC8" w:rsidP="007562AD">
      <w:pPr>
        <w:ind w:left="284" w:hanging="284"/>
        <w:jc w:val="both"/>
        <w:rPr>
          <w:rFonts w:ascii="Times New Roman" w:hAnsi="Times New Roman" w:cs="Times New Roman"/>
        </w:rPr>
      </w:pPr>
      <w:r w:rsidRPr="00521186">
        <w:rPr>
          <w:rFonts w:ascii="Times New Roman" w:hAnsi="Times New Roman" w:cs="Times New Roman"/>
          <w:lang w:val="de-DE"/>
        </w:rPr>
        <w:t>Reihlen, M., Klaas-Wissing, T., &amp; Ringberg, T</w:t>
      </w:r>
      <w:r w:rsidR="00900EDC" w:rsidRPr="00521186">
        <w:rPr>
          <w:rFonts w:ascii="Times New Roman" w:hAnsi="Times New Roman" w:cs="Times New Roman"/>
          <w:lang w:val="de-DE"/>
        </w:rPr>
        <w:t>. 2007</w:t>
      </w:r>
      <w:r w:rsidRPr="00521186">
        <w:rPr>
          <w:rFonts w:ascii="Times New Roman" w:hAnsi="Times New Roman" w:cs="Times New Roman"/>
          <w:lang w:val="de-DE"/>
        </w:rPr>
        <w:t xml:space="preserve">. </w:t>
      </w:r>
      <w:r w:rsidRPr="00195BC8">
        <w:rPr>
          <w:rFonts w:ascii="Times New Roman" w:hAnsi="Times New Roman" w:cs="Times New Roman"/>
        </w:rPr>
        <w:t>Metatheories in management studies: Reflections upon individualism, holism, and systemism. </w:t>
      </w:r>
      <w:r>
        <w:rPr>
          <w:rFonts w:ascii="Times New Roman" w:hAnsi="Times New Roman" w:cs="Times New Roman"/>
          <w:i/>
          <w:iCs/>
        </w:rPr>
        <w:t>M@n@</w:t>
      </w:r>
      <w:r w:rsidRPr="00195BC8">
        <w:rPr>
          <w:rFonts w:ascii="Times New Roman" w:hAnsi="Times New Roman" w:cs="Times New Roman"/>
          <w:i/>
          <w:iCs/>
        </w:rPr>
        <w:t>gement</w:t>
      </w:r>
      <w:r w:rsidRPr="00195BC8">
        <w:rPr>
          <w:rFonts w:ascii="Times New Roman" w:hAnsi="Times New Roman" w:cs="Times New Roman"/>
        </w:rPr>
        <w:t>, </w:t>
      </w:r>
      <w:r w:rsidRPr="00195BC8">
        <w:rPr>
          <w:rFonts w:ascii="Times New Roman" w:hAnsi="Times New Roman" w:cs="Times New Roman"/>
          <w:i/>
          <w:iCs/>
        </w:rPr>
        <w:t>10</w:t>
      </w:r>
      <w:r w:rsidRPr="00195BC8">
        <w:rPr>
          <w:rFonts w:ascii="Times New Roman" w:hAnsi="Times New Roman" w:cs="Times New Roman"/>
        </w:rPr>
        <w:t>(3), 49-69.</w:t>
      </w:r>
    </w:p>
    <w:p w14:paraId="296D7355" w14:textId="721672E8" w:rsidR="00B70515" w:rsidRDefault="00B70515" w:rsidP="007562AD">
      <w:pPr>
        <w:ind w:left="284" w:hanging="284"/>
        <w:jc w:val="both"/>
        <w:rPr>
          <w:rFonts w:ascii="Times New Roman" w:hAnsi="Times New Roman" w:cs="Times New Roman"/>
        </w:rPr>
      </w:pPr>
      <w:r w:rsidRPr="00B70515">
        <w:rPr>
          <w:rFonts w:ascii="Times New Roman" w:hAnsi="Times New Roman" w:cs="Times New Roman"/>
        </w:rPr>
        <w:t>Rindova, V. P., Williamson, I. O., Petkova, A. P., &amp; Sever, J. M. (2005). Being good or being known: An empirical examination of the dimensions, antecedents, and consequences of organizational reputation. </w:t>
      </w:r>
      <w:r w:rsidRPr="007C157A">
        <w:rPr>
          <w:rFonts w:ascii="Times New Roman" w:hAnsi="Times New Roman" w:cs="Times New Roman"/>
          <w:b/>
          <w:i/>
          <w:iCs/>
        </w:rPr>
        <w:t>Academy of Management Journal</w:t>
      </w:r>
      <w:r w:rsidRPr="00B70515">
        <w:rPr>
          <w:rFonts w:ascii="Times New Roman" w:hAnsi="Times New Roman" w:cs="Times New Roman"/>
        </w:rPr>
        <w:t>, </w:t>
      </w:r>
      <w:r w:rsidRPr="00B70515">
        <w:rPr>
          <w:rFonts w:ascii="Times New Roman" w:hAnsi="Times New Roman" w:cs="Times New Roman"/>
          <w:i/>
          <w:iCs/>
        </w:rPr>
        <w:t>48</w:t>
      </w:r>
      <w:r w:rsidRPr="00B70515">
        <w:rPr>
          <w:rFonts w:ascii="Times New Roman" w:hAnsi="Times New Roman" w:cs="Times New Roman"/>
        </w:rPr>
        <w:t>(6), 1033-1049.</w:t>
      </w:r>
    </w:p>
    <w:p w14:paraId="723BF61D" w14:textId="12D39E5F" w:rsidR="00DC026E" w:rsidRDefault="005D2281" w:rsidP="007562AD">
      <w:pPr>
        <w:ind w:left="284" w:hanging="284"/>
        <w:jc w:val="both"/>
        <w:rPr>
          <w:rFonts w:ascii="Times New Roman" w:hAnsi="Times New Roman" w:cs="Times New Roman"/>
        </w:rPr>
      </w:pPr>
      <w:r w:rsidRPr="005D2281">
        <w:rPr>
          <w:rFonts w:ascii="Times New Roman" w:hAnsi="Times New Roman" w:cs="Times New Roman"/>
        </w:rPr>
        <w:t xml:space="preserve">Roulet, T. </w:t>
      </w:r>
      <w:r w:rsidR="00EB460A">
        <w:rPr>
          <w:rFonts w:ascii="Times New Roman" w:hAnsi="Times New Roman" w:cs="Times New Roman"/>
        </w:rPr>
        <w:t xml:space="preserve">J. </w:t>
      </w:r>
      <w:r w:rsidRPr="005D2281">
        <w:rPr>
          <w:rFonts w:ascii="Times New Roman" w:hAnsi="Times New Roman" w:cs="Times New Roman"/>
        </w:rPr>
        <w:t xml:space="preserve">2015. What Good is Wall Street? Institutional Contradiction and the Diffusion of Stigma over the Finance Industry. </w:t>
      </w:r>
      <w:r w:rsidRPr="005D2281">
        <w:rPr>
          <w:rFonts w:ascii="Times New Roman" w:hAnsi="Times New Roman" w:cs="Times New Roman"/>
          <w:b/>
          <w:i/>
        </w:rPr>
        <w:t>Journal of Business Ethics</w:t>
      </w:r>
      <w:r w:rsidRPr="005D2281">
        <w:rPr>
          <w:rFonts w:ascii="Times New Roman" w:hAnsi="Times New Roman" w:cs="Times New Roman"/>
        </w:rPr>
        <w:t>.</w:t>
      </w:r>
    </w:p>
    <w:p w14:paraId="0508001A" w14:textId="0A93E97C" w:rsidR="00FD6C62" w:rsidRPr="007562AD" w:rsidRDefault="004B5127" w:rsidP="007562AD">
      <w:pPr>
        <w:ind w:left="284" w:hanging="284"/>
        <w:jc w:val="both"/>
        <w:rPr>
          <w:rFonts w:ascii="Times New Roman" w:hAnsi="Times New Roman" w:cs="Times New Roman"/>
          <w:b/>
          <w:i/>
        </w:rPr>
      </w:pPr>
      <w:r>
        <w:rPr>
          <w:rFonts w:ascii="Times New Roman" w:hAnsi="Times New Roman" w:cs="Times New Roman"/>
        </w:rPr>
        <w:t>Roulet, T. J. 2019</w:t>
      </w:r>
      <w:r w:rsidR="00FD6C62">
        <w:rPr>
          <w:rFonts w:ascii="Times New Roman" w:hAnsi="Times New Roman" w:cs="Times New Roman"/>
        </w:rPr>
        <w:t xml:space="preserve">. </w:t>
      </w:r>
      <w:r>
        <w:rPr>
          <w:rFonts w:ascii="Times New Roman" w:hAnsi="Times New Roman" w:cs="Times New Roman"/>
        </w:rPr>
        <w:t xml:space="preserve"> </w:t>
      </w:r>
      <w:r w:rsidRPr="004B5127">
        <w:rPr>
          <w:rFonts w:ascii="Times New Roman" w:hAnsi="Times New Roman" w:cs="Times New Roman"/>
        </w:rPr>
        <w:t>Sins for some, virtues for others: Media coverage of investment banks’ misconduct and adherence to professional norms during the financial crisis</w:t>
      </w:r>
      <w:r>
        <w:rPr>
          <w:rFonts w:ascii="Times New Roman" w:hAnsi="Times New Roman" w:cs="Times New Roman"/>
        </w:rPr>
        <w:t xml:space="preserve">. </w:t>
      </w:r>
      <w:r w:rsidRPr="007562AD">
        <w:rPr>
          <w:rFonts w:ascii="Times New Roman" w:hAnsi="Times New Roman" w:cs="Times New Roman"/>
          <w:b/>
          <w:i/>
        </w:rPr>
        <w:t>Human Relations.</w:t>
      </w:r>
    </w:p>
    <w:p w14:paraId="67E37C96" w14:textId="34B7B297" w:rsidR="005B39BA" w:rsidRDefault="006926B5" w:rsidP="007562AD">
      <w:pPr>
        <w:ind w:left="284" w:hanging="284"/>
        <w:jc w:val="both"/>
        <w:rPr>
          <w:rFonts w:ascii="Times New Roman" w:hAnsi="Times New Roman" w:cs="Times New Roman"/>
        </w:rPr>
      </w:pPr>
      <w:r>
        <w:rPr>
          <w:rFonts w:ascii="Times New Roman" w:hAnsi="Times New Roman" w:cs="Times New Roman"/>
        </w:rPr>
        <w:t xml:space="preserve">Smets, M., Morris, T., &amp; </w:t>
      </w:r>
      <w:r w:rsidR="005B39BA" w:rsidRPr="005B39BA">
        <w:rPr>
          <w:rFonts w:ascii="Times New Roman" w:hAnsi="Times New Roman" w:cs="Times New Roman"/>
        </w:rPr>
        <w:t>Greenwood</w:t>
      </w:r>
      <w:r>
        <w:rPr>
          <w:rFonts w:ascii="Times New Roman" w:hAnsi="Times New Roman" w:cs="Times New Roman"/>
        </w:rPr>
        <w:t xml:space="preserve">, R. </w:t>
      </w:r>
      <w:r w:rsidR="005B39BA" w:rsidRPr="005B39BA">
        <w:rPr>
          <w:rFonts w:ascii="Times New Roman" w:hAnsi="Times New Roman" w:cs="Times New Roman"/>
        </w:rPr>
        <w:t>2012</w:t>
      </w:r>
      <w:r>
        <w:rPr>
          <w:rFonts w:ascii="Times New Roman" w:hAnsi="Times New Roman" w:cs="Times New Roman"/>
        </w:rPr>
        <w:t xml:space="preserve">. </w:t>
      </w:r>
      <w:r w:rsidRPr="006926B5">
        <w:rPr>
          <w:rFonts w:ascii="Times New Roman" w:hAnsi="Times New Roman" w:cs="Times New Roman"/>
        </w:rPr>
        <w:t>From practice to field: A multilevel model of practice-driven institutional change</w:t>
      </w:r>
      <w:r>
        <w:rPr>
          <w:rFonts w:ascii="Times New Roman" w:hAnsi="Times New Roman" w:cs="Times New Roman"/>
        </w:rPr>
        <w:t xml:space="preserve">. </w:t>
      </w:r>
      <w:r w:rsidRPr="006926B5">
        <w:rPr>
          <w:rFonts w:ascii="Times New Roman" w:hAnsi="Times New Roman" w:cs="Times New Roman"/>
          <w:b/>
          <w:i/>
        </w:rPr>
        <w:t>Academy of Management Journal</w:t>
      </w:r>
      <w:r>
        <w:rPr>
          <w:rFonts w:ascii="Times New Roman" w:hAnsi="Times New Roman" w:cs="Times New Roman"/>
        </w:rPr>
        <w:t>, 55(</w:t>
      </w:r>
      <w:r w:rsidRPr="006926B5">
        <w:rPr>
          <w:rFonts w:ascii="Times New Roman" w:hAnsi="Times New Roman" w:cs="Times New Roman"/>
        </w:rPr>
        <w:t>4</w:t>
      </w:r>
      <w:r w:rsidR="005D2281">
        <w:rPr>
          <w:rFonts w:ascii="Times New Roman" w:hAnsi="Times New Roman" w:cs="Times New Roman"/>
        </w:rPr>
        <w:t>)</w:t>
      </w:r>
      <w:r>
        <w:rPr>
          <w:rFonts w:ascii="Times New Roman" w:hAnsi="Times New Roman" w:cs="Times New Roman"/>
        </w:rPr>
        <w:t>.</w:t>
      </w:r>
    </w:p>
    <w:p w14:paraId="2656B137" w14:textId="5E88D7B6" w:rsidR="00752686" w:rsidRDefault="00752686" w:rsidP="007562AD">
      <w:pPr>
        <w:ind w:left="284" w:hanging="284"/>
        <w:jc w:val="both"/>
        <w:rPr>
          <w:rFonts w:ascii="Times New Roman" w:hAnsi="Times New Roman" w:cs="Times New Roman"/>
        </w:rPr>
      </w:pPr>
      <w:r w:rsidRPr="00752686">
        <w:rPr>
          <w:rFonts w:ascii="Times New Roman" w:hAnsi="Times New Roman" w:cs="Times New Roman"/>
        </w:rPr>
        <w:t>Spreitzer, G. M., &amp; Sonenshein, S. (2004). Toward the construct definition of positive deviance. </w:t>
      </w:r>
      <w:r w:rsidRPr="007562AD">
        <w:rPr>
          <w:rFonts w:ascii="Times New Roman" w:hAnsi="Times New Roman" w:cs="Times New Roman"/>
          <w:b/>
          <w:i/>
          <w:iCs/>
        </w:rPr>
        <w:t>American behavioral scientist</w:t>
      </w:r>
      <w:r w:rsidRPr="00752686">
        <w:rPr>
          <w:rFonts w:ascii="Times New Roman" w:hAnsi="Times New Roman" w:cs="Times New Roman"/>
        </w:rPr>
        <w:t>, </w:t>
      </w:r>
      <w:r w:rsidRPr="00752686">
        <w:rPr>
          <w:rFonts w:ascii="Times New Roman" w:hAnsi="Times New Roman" w:cs="Times New Roman"/>
          <w:i/>
          <w:iCs/>
        </w:rPr>
        <w:t>47</w:t>
      </w:r>
      <w:r w:rsidRPr="00752686">
        <w:rPr>
          <w:rFonts w:ascii="Times New Roman" w:hAnsi="Times New Roman" w:cs="Times New Roman"/>
        </w:rPr>
        <w:t>(6), 828-847.</w:t>
      </w:r>
    </w:p>
    <w:p w14:paraId="30578B30" w14:textId="3CC95521" w:rsidR="005D2281" w:rsidRPr="005B39BA" w:rsidRDefault="00EB460A" w:rsidP="007562AD">
      <w:pPr>
        <w:ind w:left="284" w:hanging="284"/>
        <w:jc w:val="both"/>
        <w:rPr>
          <w:rFonts w:ascii="Times New Roman" w:hAnsi="Times New Roman" w:cs="Times New Roman"/>
        </w:rPr>
      </w:pPr>
      <w:r>
        <w:rPr>
          <w:rFonts w:ascii="Times New Roman" w:hAnsi="Times New Roman" w:cs="Times New Roman"/>
        </w:rPr>
        <w:t>Stenger, S., &amp; Roulet, T. J. 2018</w:t>
      </w:r>
      <w:r w:rsidRPr="00EB460A">
        <w:rPr>
          <w:rFonts w:ascii="Times New Roman" w:hAnsi="Times New Roman" w:cs="Times New Roman"/>
        </w:rPr>
        <w:t xml:space="preserve">. Pride against prejudice? The stakes of concealment and disclosure of a stigmatized identity for gay and lesbian auditors. </w:t>
      </w:r>
      <w:r w:rsidRPr="00EB460A">
        <w:rPr>
          <w:rFonts w:ascii="Times New Roman" w:hAnsi="Times New Roman" w:cs="Times New Roman"/>
          <w:b/>
          <w:i/>
        </w:rPr>
        <w:t>Work, employment and society</w:t>
      </w:r>
      <w:r w:rsidRPr="00EB460A">
        <w:rPr>
          <w:rFonts w:ascii="Times New Roman" w:hAnsi="Times New Roman" w:cs="Times New Roman"/>
        </w:rPr>
        <w:t xml:space="preserve">. </w:t>
      </w:r>
    </w:p>
    <w:p w14:paraId="1D2F6521" w14:textId="77777777" w:rsidR="005B39BA" w:rsidRDefault="005B39BA" w:rsidP="007562AD">
      <w:pPr>
        <w:ind w:left="284" w:hanging="284"/>
        <w:jc w:val="both"/>
        <w:rPr>
          <w:rFonts w:ascii="Times New Roman" w:hAnsi="Times New Roman" w:cs="Times New Roman"/>
        </w:rPr>
      </w:pPr>
      <w:r w:rsidRPr="005B39BA">
        <w:rPr>
          <w:rFonts w:ascii="Times New Roman" w:hAnsi="Times New Roman" w:cs="Times New Roman"/>
        </w:rPr>
        <w:t xml:space="preserve">Udehn, L. (2002). The changing face of methodological individualism. </w:t>
      </w:r>
      <w:r w:rsidRPr="005B39BA">
        <w:rPr>
          <w:rFonts w:ascii="Times New Roman" w:hAnsi="Times New Roman" w:cs="Times New Roman"/>
          <w:b/>
          <w:bCs/>
          <w:i/>
          <w:iCs/>
        </w:rPr>
        <w:t>Annual Review of Sociology</w:t>
      </w:r>
      <w:r w:rsidRPr="005B39BA">
        <w:rPr>
          <w:rFonts w:ascii="Times New Roman" w:hAnsi="Times New Roman" w:cs="Times New Roman"/>
        </w:rPr>
        <w:t>, 28(1): 479–507.</w:t>
      </w:r>
    </w:p>
    <w:p w14:paraId="7D4E6DCE" w14:textId="6D733266" w:rsidR="00426153" w:rsidRPr="005B39BA" w:rsidRDefault="00426153" w:rsidP="007562AD">
      <w:pPr>
        <w:ind w:left="284" w:hanging="284"/>
        <w:jc w:val="both"/>
        <w:rPr>
          <w:rFonts w:ascii="Times New Roman" w:hAnsi="Times New Roman" w:cs="Times New Roman"/>
        </w:rPr>
      </w:pPr>
      <w:r w:rsidRPr="00426153">
        <w:rPr>
          <w:rFonts w:ascii="Times New Roman" w:hAnsi="Times New Roman" w:cs="Times New Roman"/>
        </w:rPr>
        <w:t xml:space="preserve">Vican, S., &amp; Pernell-Gallagher, K. (2013). Instantiation of institutional logics: The “business case” for diversity and the prevalence of diversity mentoring practices. In </w:t>
      </w:r>
      <w:r w:rsidR="00BC417C" w:rsidRPr="007562AD">
        <w:rPr>
          <w:rFonts w:ascii="Times New Roman" w:hAnsi="Times New Roman" w:cs="Times New Roman"/>
          <w:b/>
          <w:i/>
        </w:rPr>
        <w:t>Research in the Sociology of Organizations</w:t>
      </w:r>
      <w:r w:rsidR="00BC417C">
        <w:rPr>
          <w:rFonts w:ascii="Times New Roman" w:hAnsi="Times New Roman" w:cs="Times New Roman"/>
        </w:rPr>
        <w:t xml:space="preserve">, </w:t>
      </w:r>
      <w:r w:rsidRPr="00426153">
        <w:rPr>
          <w:rFonts w:ascii="Times New Roman" w:hAnsi="Times New Roman" w:cs="Times New Roman"/>
        </w:rPr>
        <w:t>Institutional Logics in Action, Part B (pp. 233-273). Emerald Group Publishing Limited.</w:t>
      </w:r>
    </w:p>
    <w:p w14:paraId="7CA0EC53" w14:textId="3B03011C" w:rsidR="00426153" w:rsidRDefault="006926B5" w:rsidP="007562AD">
      <w:pPr>
        <w:ind w:left="284" w:hanging="284"/>
        <w:jc w:val="both"/>
        <w:rPr>
          <w:rFonts w:ascii="Times New Roman" w:hAnsi="Times New Roman" w:cs="Times New Roman"/>
        </w:rPr>
      </w:pPr>
      <w:r>
        <w:rPr>
          <w:rFonts w:ascii="Times New Roman" w:hAnsi="Times New Roman" w:cs="Times New Roman"/>
        </w:rPr>
        <w:t xml:space="preserve">Von Nordenflycht, A. </w:t>
      </w:r>
      <w:r w:rsidR="005B39BA" w:rsidRPr="005B39BA">
        <w:rPr>
          <w:rFonts w:ascii="Times New Roman" w:hAnsi="Times New Roman" w:cs="Times New Roman"/>
        </w:rPr>
        <w:t>2010</w:t>
      </w:r>
      <w:r>
        <w:rPr>
          <w:rFonts w:ascii="Times New Roman" w:hAnsi="Times New Roman" w:cs="Times New Roman"/>
        </w:rPr>
        <w:t xml:space="preserve">. </w:t>
      </w:r>
      <w:r w:rsidRPr="006926B5">
        <w:rPr>
          <w:rFonts w:ascii="Times New Roman" w:hAnsi="Times New Roman" w:cs="Times New Roman"/>
        </w:rPr>
        <w:t>What is a professional service firm? Toward a theory and taxonomy of knowledge-intensive firms</w:t>
      </w:r>
      <w:r>
        <w:rPr>
          <w:rFonts w:ascii="Times New Roman" w:hAnsi="Times New Roman" w:cs="Times New Roman"/>
        </w:rPr>
        <w:t xml:space="preserve">. </w:t>
      </w:r>
      <w:r w:rsidRPr="006926B5">
        <w:rPr>
          <w:rFonts w:ascii="Times New Roman" w:hAnsi="Times New Roman" w:cs="Times New Roman"/>
          <w:b/>
          <w:i/>
        </w:rPr>
        <w:t>Academy of Management Review</w:t>
      </w:r>
      <w:r>
        <w:rPr>
          <w:rFonts w:ascii="Times New Roman" w:hAnsi="Times New Roman" w:cs="Times New Roman"/>
        </w:rPr>
        <w:t xml:space="preserve">, </w:t>
      </w:r>
      <w:r w:rsidRPr="006926B5">
        <w:rPr>
          <w:rFonts w:ascii="Times New Roman" w:hAnsi="Times New Roman" w:cs="Times New Roman"/>
        </w:rPr>
        <w:t>35</w:t>
      </w:r>
      <w:r>
        <w:rPr>
          <w:rFonts w:ascii="Times New Roman" w:hAnsi="Times New Roman" w:cs="Times New Roman"/>
        </w:rPr>
        <w:t>(</w:t>
      </w:r>
      <w:r w:rsidRPr="006926B5">
        <w:rPr>
          <w:rFonts w:ascii="Times New Roman" w:hAnsi="Times New Roman" w:cs="Times New Roman"/>
        </w:rPr>
        <w:t>1</w:t>
      </w:r>
      <w:r>
        <w:rPr>
          <w:rFonts w:ascii="Times New Roman" w:hAnsi="Times New Roman" w:cs="Times New Roman"/>
        </w:rPr>
        <w:t xml:space="preserve">). </w:t>
      </w:r>
    </w:p>
    <w:p w14:paraId="11B00F07" w14:textId="386F195D" w:rsidR="00B372BA" w:rsidRDefault="00B372BA" w:rsidP="007562AD">
      <w:pPr>
        <w:ind w:left="284" w:hanging="284"/>
        <w:jc w:val="both"/>
        <w:rPr>
          <w:rFonts w:ascii="Times New Roman" w:hAnsi="Times New Roman" w:cs="Times New Roman"/>
        </w:rPr>
      </w:pPr>
      <w:r w:rsidRPr="00B372BA">
        <w:rPr>
          <w:rFonts w:ascii="Times New Roman" w:hAnsi="Times New Roman" w:cs="Times New Roman"/>
        </w:rPr>
        <w:t xml:space="preserve">Wooldridge, J. M. 2002. </w:t>
      </w:r>
      <w:r w:rsidRPr="007C157A">
        <w:rPr>
          <w:rFonts w:ascii="Times New Roman" w:hAnsi="Times New Roman" w:cs="Times New Roman"/>
          <w:b/>
          <w:i/>
        </w:rPr>
        <w:t>Econometric Analysis of Cross Section and Panel Data.</w:t>
      </w:r>
      <w:r w:rsidRPr="00B372BA">
        <w:rPr>
          <w:rFonts w:ascii="Times New Roman" w:hAnsi="Times New Roman" w:cs="Times New Roman"/>
        </w:rPr>
        <w:t xml:space="preserve"> Cambridge, MA: MIT Press</w:t>
      </w:r>
    </w:p>
    <w:p w14:paraId="1670AA0D" w14:textId="6B338D6C" w:rsidR="00CF445B" w:rsidRDefault="00CF445B" w:rsidP="007562AD">
      <w:pPr>
        <w:ind w:left="284" w:hanging="284"/>
        <w:jc w:val="both"/>
        <w:rPr>
          <w:rFonts w:ascii="Times New Roman" w:hAnsi="Times New Roman" w:cs="Times New Roman"/>
        </w:rPr>
      </w:pPr>
      <w:r w:rsidRPr="00CF445B">
        <w:rPr>
          <w:rFonts w:ascii="Times New Roman" w:hAnsi="Times New Roman" w:cs="Times New Roman"/>
        </w:rPr>
        <w:t>Wooldridge, J. (2011). Introductory econometrics, South-Western.</w:t>
      </w:r>
    </w:p>
    <w:p w14:paraId="5FC97EF1" w14:textId="3FBD1FD9" w:rsidR="00D97727" w:rsidRPr="005B39BA" w:rsidRDefault="00D97727" w:rsidP="007562AD">
      <w:pPr>
        <w:ind w:left="284" w:hanging="284"/>
        <w:jc w:val="both"/>
        <w:rPr>
          <w:rFonts w:ascii="Times New Roman" w:hAnsi="Times New Roman" w:cs="Times New Roman"/>
        </w:rPr>
      </w:pPr>
      <w:r w:rsidRPr="00D97727">
        <w:rPr>
          <w:rFonts w:ascii="Times New Roman" w:hAnsi="Times New Roman" w:cs="Times New Roman"/>
        </w:rPr>
        <w:t>Wright, P. M., &amp; McMahan, G. C. (1992). Theoretical perspectives for strategic human resource management. </w:t>
      </w:r>
      <w:r w:rsidRPr="007562AD">
        <w:rPr>
          <w:rFonts w:ascii="Times New Roman" w:hAnsi="Times New Roman" w:cs="Times New Roman"/>
          <w:b/>
          <w:i/>
          <w:iCs/>
        </w:rPr>
        <w:t>Journal of management</w:t>
      </w:r>
      <w:r w:rsidRPr="00D97727">
        <w:rPr>
          <w:rFonts w:ascii="Times New Roman" w:hAnsi="Times New Roman" w:cs="Times New Roman"/>
        </w:rPr>
        <w:t>, </w:t>
      </w:r>
      <w:r w:rsidRPr="00D97727">
        <w:rPr>
          <w:rFonts w:ascii="Times New Roman" w:hAnsi="Times New Roman" w:cs="Times New Roman"/>
          <w:i/>
          <w:iCs/>
        </w:rPr>
        <w:t>18</w:t>
      </w:r>
      <w:r w:rsidRPr="00D97727">
        <w:rPr>
          <w:rFonts w:ascii="Times New Roman" w:hAnsi="Times New Roman" w:cs="Times New Roman"/>
        </w:rPr>
        <w:t>(2), 295-320.</w:t>
      </w:r>
    </w:p>
    <w:p w14:paraId="542B699D" w14:textId="70EF5D4C" w:rsidR="005B39BA" w:rsidRPr="00EF004E" w:rsidRDefault="00EF004E" w:rsidP="007562AD">
      <w:pPr>
        <w:ind w:left="284" w:hanging="284"/>
        <w:jc w:val="both"/>
        <w:rPr>
          <w:rFonts w:ascii="Times New Roman" w:hAnsi="Times New Roman" w:cs="Times New Roman"/>
        </w:rPr>
      </w:pPr>
      <w:r>
        <w:rPr>
          <w:rFonts w:ascii="Times New Roman" w:hAnsi="Times New Roman" w:cs="Times New Roman"/>
        </w:rPr>
        <w:t xml:space="preserve">Zietsma, C., &amp; Lawrence, T. </w:t>
      </w:r>
      <w:r w:rsidR="005B39BA" w:rsidRPr="005B39BA">
        <w:rPr>
          <w:rFonts w:ascii="Times New Roman" w:hAnsi="Times New Roman" w:cs="Times New Roman"/>
        </w:rPr>
        <w:t>2010</w:t>
      </w:r>
      <w:r>
        <w:rPr>
          <w:rFonts w:ascii="Times New Roman" w:hAnsi="Times New Roman" w:cs="Times New Roman"/>
        </w:rPr>
        <w:t xml:space="preserve">. </w:t>
      </w:r>
      <w:r w:rsidRPr="00EF004E">
        <w:rPr>
          <w:rFonts w:ascii="Times New Roman" w:hAnsi="Times New Roman" w:cs="Times New Roman"/>
        </w:rPr>
        <w:t>Institutional work in the transformation of an organizational field: The interplay of boundary work and practice work</w:t>
      </w:r>
      <w:r>
        <w:rPr>
          <w:rFonts w:ascii="Times New Roman" w:hAnsi="Times New Roman" w:cs="Times New Roman"/>
        </w:rPr>
        <w:t xml:space="preserve">. </w:t>
      </w:r>
      <w:r w:rsidRPr="00EF004E">
        <w:rPr>
          <w:rFonts w:ascii="Times New Roman" w:hAnsi="Times New Roman" w:cs="Times New Roman"/>
          <w:b/>
          <w:i/>
        </w:rPr>
        <w:t>Administrative Science Quarterly</w:t>
      </w:r>
      <w:r>
        <w:rPr>
          <w:rFonts w:ascii="Times New Roman" w:hAnsi="Times New Roman" w:cs="Times New Roman"/>
        </w:rPr>
        <w:t xml:space="preserve">, </w:t>
      </w:r>
      <w:r w:rsidR="00903CC0">
        <w:rPr>
          <w:rFonts w:ascii="Times New Roman" w:hAnsi="Times New Roman" w:cs="Times New Roman"/>
        </w:rPr>
        <w:t>55(</w:t>
      </w:r>
      <w:r w:rsidRPr="00EF004E">
        <w:rPr>
          <w:rFonts w:ascii="Times New Roman" w:hAnsi="Times New Roman" w:cs="Times New Roman"/>
        </w:rPr>
        <w:t>2</w:t>
      </w:r>
      <w:r w:rsidR="00903CC0">
        <w:rPr>
          <w:rFonts w:ascii="Times New Roman" w:hAnsi="Times New Roman" w:cs="Times New Roman"/>
        </w:rPr>
        <w:t>): 1</w:t>
      </w:r>
      <w:r w:rsidRPr="00EF004E">
        <w:rPr>
          <w:rFonts w:ascii="Times New Roman" w:hAnsi="Times New Roman" w:cs="Times New Roman"/>
        </w:rPr>
        <w:t>89</w:t>
      </w:r>
      <w:r w:rsidR="00B778AD">
        <w:rPr>
          <w:rFonts w:ascii="Times New Roman" w:hAnsi="Times New Roman" w:cs="Times New Roman"/>
        </w:rPr>
        <w:t>-</w:t>
      </w:r>
      <w:r w:rsidRPr="00EF004E">
        <w:rPr>
          <w:rFonts w:ascii="Times New Roman" w:hAnsi="Times New Roman" w:cs="Times New Roman"/>
        </w:rPr>
        <w:t>221</w:t>
      </w:r>
      <w:r w:rsidR="00903CC0">
        <w:rPr>
          <w:rFonts w:ascii="Times New Roman" w:hAnsi="Times New Roman" w:cs="Times New Roman"/>
        </w:rPr>
        <w:t xml:space="preserve">. </w:t>
      </w:r>
    </w:p>
    <w:p w14:paraId="56CBF70C" w14:textId="77777777" w:rsidR="009A36CB" w:rsidRDefault="005B39BA" w:rsidP="007562AD">
      <w:pPr>
        <w:ind w:left="284" w:hanging="284"/>
        <w:jc w:val="both"/>
        <w:rPr>
          <w:rFonts w:ascii="Times New Roman" w:hAnsi="Times New Roman" w:cs="Times New Roman"/>
        </w:rPr>
        <w:sectPr w:rsidR="009A36CB" w:rsidSect="00992D39">
          <w:footerReference w:type="even" r:id="rId13"/>
          <w:footerReference w:type="default" r:id="rId14"/>
          <w:pgSz w:w="11900" w:h="16840"/>
          <w:pgMar w:top="1417" w:right="1417" w:bottom="1417" w:left="1417" w:header="708" w:footer="708" w:gutter="0"/>
          <w:cols w:space="708"/>
          <w:docGrid w:linePitch="360"/>
        </w:sectPr>
      </w:pPr>
      <w:r w:rsidRPr="005B39BA">
        <w:rPr>
          <w:rFonts w:ascii="Times New Roman" w:hAnsi="Times New Roman" w:cs="Times New Roman"/>
        </w:rPr>
        <w:t>Zucker, L. G. (1991). Postscript: Microfoundations of institutional thought. </w:t>
      </w:r>
      <w:r w:rsidR="0030556F" w:rsidRPr="005B39BA">
        <w:rPr>
          <w:rFonts w:ascii="Times New Roman" w:hAnsi="Times New Roman" w:cs="Times New Roman"/>
        </w:rPr>
        <w:t xml:space="preserve">In </w:t>
      </w:r>
      <w:r w:rsidR="0030556F">
        <w:rPr>
          <w:rFonts w:ascii="Times New Roman" w:hAnsi="Times New Roman" w:cs="Times New Roman"/>
        </w:rPr>
        <w:t>Powell, W. W. &amp; DiM</w:t>
      </w:r>
      <w:r w:rsidR="0030556F" w:rsidRPr="005B39BA">
        <w:rPr>
          <w:rFonts w:ascii="Times New Roman" w:hAnsi="Times New Roman" w:cs="Times New Roman"/>
        </w:rPr>
        <w:t>aggio</w:t>
      </w:r>
      <w:r w:rsidR="0030556F">
        <w:rPr>
          <w:rFonts w:ascii="Times New Roman" w:hAnsi="Times New Roman" w:cs="Times New Roman"/>
        </w:rPr>
        <w:t xml:space="preserve">, P. J. (Eds.), </w:t>
      </w:r>
      <w:r w:rsidR="0030556F" w:rsidRPr="005B39BA">
        <w:rPr>
          <w:rFonts w:ascii="Times New Roman" w:hAnsi="Times New Roman" w:cs="Times New Roman"/>
          <w:b/>
          <w:i/>
        </w:rPr>
        <w:t>The New Institutionalism in Organizational Analysis</w:t>
      </w:r>
      <w:r w:rsidR="0030556F" w:rsidRPr="005B39BA">
        <w:rPr>
          <w:rFonts w:ascii="Times New Roman" w:hAnsi="Times New Roman" w:cs="Times New Roman"/>
        </w:rPr>
        <w:t xml:space="preserve"> </w:t>
      </w:r>
      <w:r w:rsidR="0030556F">
        <w:rPr>
          <w:rFonts w:ascii="Times New Roman" w:hAnsi="Times New Roman" w:cs="Times New Roman"/>
        </w:rPr>
        <w:t xml:space="preserve">(25 October 1991), 103-106. </w:t>
      </w:r>
    </w:p>
    <w:p w14:paraId="69AAB49D" w14:textId="69D16D69" w:rsidR="0030556F" w:rsidRDefault="009A36CB" w:rsidP="009A36CB">
      <w:pPr>
        <w:spacing w:line="480" w:lineRule="auto"/>
        <w:ind w:left="284" w:hanging="284"/>
        <w:jc w:val="center"/>
        <w:rPr>
          <w:rFonts w:ascii="Times New Roman" w:hAnsi="Times New Roman" w:cs="Times New Roman"/>
          <w:b/>
        </w:rPr>
      </w:pPr>
      <w:r w:rsidRPr="009A36CB">
        <w:rPr>
          <w:rFonts w:ascii="Times New Roman" w:hAnsi="Times New Roman" w:cs="Times New Roman"/>
          <w:b/>
        </w:rPr>
        <w:t>TABLES AND FIGURES</w:t>
      </w:r>
    </w:p>
    <w:p w14:paraId="61ADDB77" w14:textId="68C8C38E" w:rsidR="008213A8" w:rsidRPr="00521186" w:rsidRDefault="008213A8" w:rsidP="00521186">
      <w:pPr>
        <w:spacing w:line="480" w:lineRule="auto"/>
        <w:jc w:val="center"/>
        <w:rPr>
          <w:rFonts w:ascii="Times New Roman" w:hAnsi="Times New Roman" w:cs="Times New Roman"/>
          <w:b/>
          <w:sz w:val="22"/>
          <w:szCs w:val="22"/>
        </w:rPr>
      </w:pPr>
      <w:r w:rsidRPr="00521186">
        <w:rPr>
          <w:rFonts w:ascii="Times New Roman" w:hAnsi="Times New Roman" w:cs="Times New Roman"/>
          <w:b/>
          <w:sz w:val="22"/>
          <w:szCs w:val="22"/>
        </w:rPr>
        <w:t>FIGURE 1: Percentage of salaried partners on total number of partners</w:t>
      </w:r>
    </w:p>
    <w:p w14:paraId="31A11E94" w14:textId="7C65A93E" w:rsidR="008213A8" w:rsidRPr="009A36CB" w:rsidRDefault="00CB4C73" w:rsidP="009A36CB">
      <w:pPr>
        <w:spacing w:line="480" w:lineRule="auto"/>
        <w:ind w:left="284" w:hanging="284"/>
        <w:jc w:val="center"/>
        <w:rPr>
          <w:rFonts w:ascii="Times New Roman" w:hAnsi="Times New Roman" w:cs="Times New Roman"/>
          <w:b/>
          <w:sz w:val="32"/>
        </w:rPr>
      </w:pPr>
      <w:r>
        <w:rPr>
          <w:noProof/>
          <w:lang w:val="en-GB" w:eastAsia="en-GB"/>
        </w:rPr>
        <w:drawing>
          <wp:inline distT="0" distB="0" distL="0" distR="0" wp14:anchorId="631A9DF7" wp14:editId="671F087F">
            <wp:extent cx="5756910" cy="3204845"/>
            <wp:effectExtent l="0" t="0" r="889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F7F19F" w14:textId="77777777" w:rsidR="000E5220" w:rsidRDefault="000E5220">
      <w:pPr>
        <w:rPr>
          <w:rFonts w:ascii="Times New Roman" w:eastAsia="Times New Roman" w:hAnsi="Times New Roman" w:cs="Times New Roman"/>
          <w:b/>
          <w:sz w:val="22"/>
          <w:szCs w:val="20"/>
        </w:rPr>
      </w:pPr>
      <w:r>
        <w:rPr>
          <w:rFonts w:ascii="Times New Roman" w:eastAsia="Times New Roman" w:hAnsi="Times New Roman" w:cs="Times New Roman"/>
          <w:b/>
          <w:sz w:val="22"/>
          <w:szCs w:val="20"/>
        </w:rPr>
        <w:br w:type="page"/>
      </w:r>
    </w:p>
    <w:p w14:paraId="66611C94" w14:textId="77777777" w:rsidR="00782EDA" w:rsidRPr="00782EDA" w:rsidRDefault="00782EDA" w:rsidP="00782EDA">
      <w:pPr>
        <w:jc w:val="center"/>
        <w:rPr>
          <w:rFonts w:ascii="Times New Roman" w:eastAsia="Times New Roman" w:hAnsi="Times New Roman" w:cs="Times New Roman"/>
          <w:b/>
          <w:sz w:val="20"/>
          <w:szCs w:val="20"/>
        </w:rPr>
      </w:pPr>
      <w:r w:rsidRPr="00782EDA">
        <w:rPr>
          <w:rFonts w:ascii="Times New Roman" w:eastAsia="Times New Roman" w:hAnsi="Times New Roman" w:cs="Times New Roman"/>
          <w:b/>
          <w:sz w:val="20"/>
          <w:szCs w:val="20"/>
        </w:rPr>
        <w:t>TABLE 1. Descriptive Statistics</w:t>
      </w:r>
    </w:p>
    <w:tbl>
      <w:tblPr>
        <w:tblW w:w="7780" w:type="dxa"/>
        <w:tblLook w:val="04A0" w:firstRow="1" w:lastRow="0" w:firstColumn="1" w:lastColumn="0" w:noHBand="0" w:noVBand="1"/>
      </w:tblPr>
      <w:tblGrid>
        <w:gridCol w:w="3260"/>
        <w:gridCol w:w="1060"/>
        <w:gridCol w:w="1020"/>
        <w:gridCol w:w="1039"/>
        <w:gridCol w:w="641"/>
        <w:gridCol w:w="760"/>
      </w:tblGrid>
      <w:tr w:rsidR="00782EDA" w:rsidRPr="00782EDA" w14:paraId="018CBB89" w14:textId="77777777" w:rsidTr="00AF3366">
        <w:trPr>
          <w:trHeight w:val="340"/>
        </w:trPr>
        <w:tc>
          <w:tcPr>
            <w:tcW w:w="3260" w:type="dxa"/>
            <w:tcBorders>
              <w:top w:val="single" w:sz="18" w:space="0" w:color="auto"/>
              <w:left w:val="nil"/>
              <w:bottom w:val="double" w:sz="6" w:space="0" w:color="auto"/>
              <w:right w:val="nil"/>
            </w:tcBorders>
            <w:shd w:val="clear" w:color="auto" w:fill="auto"/>
            <w:noWrap/>
            <w:vAlign w:val="center"/>
            <w:hideMark/>
          </w:tcPr>
          <w:p w14:paraId="36924F54"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Variables</w:t>
            </w:r>
          </w:p>
        </w:tc>
        <w:tc>
          <w:tcPr>
            <w:tcW w:w="1060" w:type="dxa"/>
            <w:tcBorders>
              <w:top w:val="single" w:sz="18" w:space="0" w:color="auto"/>
              <w:left w:val="nil"/>
              <w:bottom w:val="double" w:sz="6" w:space="0" w:color="auto"/>
              <w:right w:val="nil"/>
            </w:tcBorders>
            <w:shd w:val="clear" w:color="auto" w:fill="auto"/>
            <w:noWrap/>
            <w:vAlign w:val="center"/>
            <w:hideMark/>
          </w:tcPr>
          <w:p w14:paraId="25FA2322"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Obs</w:t>
            </w:r>
          </w:p>
        </w:tc>
        <w:tc>
          <w:tcPr>
            <w:tcW w:w="1020" w:type="dxa"/>
            <w:tcBorders>
              <w:top w:val="single" w:sz="18" w:space="0" w:color="auto"/>
              <w:left w:val="nil"/>
              <w:bottom w:val="double" w:sz="6" w:space="0" w:color="auto"/>
              <w:right w:val="nil"/>
            </w:tcBorders>
            <w:shd w:val="clear" w:color="auto" w:fill="auto"/>
            <w:noWrap/>
            <w:vAlign w:val="center"/>
            <w:hideMark/>
          </w:tcPr>
          <w:p w14:paraId="08228C1F"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Mean</w:t>
            </w:r>
          </w:p>
        </w:tc>
        <w:tc>
          <w:tcPr>
            <w:tcW w:w="1039" w:type="dxa"/>
            <w:tcBorders>
              <w:top w:val="single" w:sz="18" w:space="0" w:color="auto"/>
              <w:left w:val="nil"/>
              <w:bottom w:val="double" w:sz="6" w:space="0" w:color="auto"/>
              <w:right w:val="nil"/>
            </w:tcBorders>
            <w:shd w:val="clear" w:color="auto" w:fill="auto"/>
            <w:noWrap/>
            <w:vAlign w:val="center"/>
            <w:hideMark/>
          </w:tcPr>
          <w:p w14:paraId="306640A7"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Std. Dev.</w:t>
            </w:r>
          </w:p>
        </w:tc>
        <w:tc>
          <w:tcPr>
            <w:tcW w:w="641" w:type="dxa"/>
            <w:tcBorders>
              <w:top w:val="single" w:sz="18" w:space="0" w:color="auto"/>
              <w:left w:val="nil"/>
              <w:bottom w:val="double" w:sz="6" w:space="0" w:color="auto"/>
              <w:right w:val="nil"/>
            </w:tcBorders>
            <w:shd w:val="clear" w:color="auto" w:fill="auto"/>
            <w:noWrap/>
            <w:vAlign w:val="center"/>
            <w:hideMark/>
          </w:tcPr>
          <w:p w14:paraId="5DCB13C5"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Min</w:t>
            </w:r>
          </w:p>
        </w:tc>
        <w:tc>
          <w:tcPr>
            <w:tcW w:w="760" w:type="dxa"/>
            <w:tcBorders>
              <w:top w:val="single" w:sz="18" w:space="0" w:color="auto"/>
              <w:left w:val="nil"/>
              <w:bottom w:val="double" w:sz="6" w:space="0" w:color="auto"/>
              <w:right w:val="nil"/>
            </w:tcBorders>
            <w:shd w:val="clear" w:color="auto" w:fill="auto"/>
            <w:noWrap/>
            <w:vAlign w:val="center"/>
            <w:hideMark/>
          </w:tcPr>
          <w:p w14:paraId="52C242E2" w14:textId="77777777" w:rsidR="00782EDA" w:rsidRPr="00782EDA" w:rsidRDefault="00782EDA" w:rsidP="00782EDA">
            <w:pPr>
              <w:rPr>
                <w:rFonts w:ascii="Times New Roman" w:eastAsia="Times New Roman" w:hAnsi="Times New Roman" w:cs="Times New Roman"/>
                <w:b/>
                <w:bCs/>
                <w:color w:val="000000"/>
                <w:sz w:val="20"/>
                <w:szCs w:val="20"/>
              </w:rPr>
            </w:pPr>
            <w:r w:rsidRPr="00782EDA">
              <w:rPr>
                <w:rFonts w:ascii="Times New Roman" w:eastAsia="Times New Roman" w:hAnsi="Times New Roman" w:cs="Times New Roman"/>
                <w:b/>
                <w:bCs/>
                <w:color w:val="000000"/>
                <w:sz w:val="20"/>
                <w:szCs w:val="20"/>
              </w:rPr>
              <w:t>Max</w:t>
            </w:r>
          </w:p>
        </w:tc>
      </w:tr>
      <w:tr w:rsidR="00782EDA" w:rsidRPr="00782EDA" w14:paraId="2F4EF36C" w14:textId="77777777" w:rsidTr="00AF3366">
        <w:trPr>
          <w:trHeight w:val="340"/>
        </w:trPr>
        <w:tc>
          <w:tcPr>
            <w:tcW w:w="3260" w:type="dxa"/>
            <w:tcBorders>
              <w:top w:val="nil"/>
              <w:left w:val="nil"/>
              <w:bottom w:val="nil"/>
              <w:right w:val="nil"/>
            </w:tcBorders>
            <w:shd w:val="clear" w:color="auto" w:fill="auto"/>
            <w:noWrap/>
            <w:vAlign w:val="center"/>
            <w:hideMark/>
          </w:tcPr>
          <w:p w14:paraId="0F032BAC" w14:textId="77777777" w:rsidR="00782EDA" w:rsidRPr="00521186" w:rsidRDefault="00782EDA" w:rsidP="00782EDA">
            <w:pPr>
              <w:rPr>
                <w:rFonts w:ascii="Times New Roman" w:eastAsia="Times New Roman" w:hAnsi="Times New Roman" w:cs="Times New Roman"/>
                <w:color w:val="000000"/>
                <w:sz w:val="20"/>
                <w:szCs w:val="20"/>
                <w:lang w:val="it-IT"/>
              </w:rPr>
            </w:pPr>
            <w:r w:rsidRPr="00521186">
              <w:rPr>
                <w:rFonts w:ascii="Times New Roman" w:eastAsia="Times New Roman" w:hAnsi="Times New Roman" w:cs="Times New Roman"/>
                <w:color w:val="000000"/>
                <w:sz w:val="20"/>
                <w:szCs w:val="20"/>
                <w:lang w:val="it-IT"/>
              </w:rPr>
              <w:t>non-eq. partner/eq. partner</w:t>
            </w:r>
          </w:p>
        </w:tc>
        <w:tc>
          <w:tcPr>
            <w:tcW w:w="1060" w:type="dxa"/>
            <w:tcBorders>
              <w:top w:val="nil"/>
              <w:left w:val="nil"/>
              <w:bottom w:val="nil"/>
              <w:right w:val="nil"/>
            </w:tcBorders>
            <w:shd w:val="clear" w:color="auto" w:fill="auto"/>
            <w:noWrap/>
            <w:vAlign w:val="center"/>
            <w:hideMark/>
          </w:tcPr>
          <w:p w14:paraId="07AF221B" w14:textId="77777777" w:rsidR="00782EDA" w:rsidRPr="00782EDA" w:rsidRDefault="00782EDA" w:rsidP="00782EDA">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64BC22C3" w14:textId="77777777" w:rsidR="00782EDA" w:rsidRPr="00782EDA" w:rsidRDefault="00782EDA" w:rsidP="00782EDA">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0.41</w:t>
            </w:r>
          </w:p>
        </w:tc>
        <w:tc>
          <w:tcPr>
            <w:tcW w:w="1039" w:type="dxa"/>
            <w:tcBorders>
              <w:top w:val="nil"/>
              <w:left w:val="nil"/>
              <w:bottom w:val="nil"/>
              <w:right w:val="nil"/>
            </w:tcBorders>
            <w:shd w:val="clear" w:color="auto" w:fill="auto"/>
            <w:noWrap/>
            <w:vAlign w:val="center"/>
            <w:hideMark/>
          </w:tcPr>
          <w:p w14:paraId="208E76D5" w14:textId="77777777" w:rsidR="00782EDA" w:rsidRPr="00782EDA" w:rsidRDefault="00782EDA" w:rsidP="00782EDA">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0.20</w:t>
            </w:r>
          </w:p>
        </w:tc>
        <w:tc>
          <w:tcPr>
            <w:tcW w:w="641" w:type="dxa"/>
            <w:tcBorders>
              <w:top w:val="nil"/>
              <w:left w:val="nil"/>
              <w:bottom w:val="nil"/>
              <w:right w:val="nil"/>
            </w:tcBorders>
            <w:shd w:val="clear" w:color="auto" w:fill="auto"/>
            <w:noWrap/>
            <w:vAlign w:val="center"/>
            <w:hideMark/>
          </w:tcPr>
          <w:p w14:paraId="14719F66" w14:textId="77777777" w:rsidR="00782EDA" w:rsidRPr="00782EDA" w:rsidRDefault="00782EDA" w:rsidP="00782EDA">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w:t>
            </w:r>
          </w:p>
        </w:tc>
        <w:tc>
          <w:tcPr>
            <w:tcW w:w="760" w:type="dxa"/>
            <w:tcBorders>
              <w:top w:val="nil"/>
              <w:left w:val="nil"/>
              <w:bottom w:val="nil"/>
              <w:right w:val="nil"/>
            </w:tcBorders>
            <w:shd w:val="clear" w:color="auto" w:fill="auto"/>
            <w:noWrap/>
            <w:vAlign w:val="center"/>
            <w:hideMark/>
          </w:tcPr>
          <w:p w14:paraId="65FCD39C" w14:textId="77777777" w:rsidR="00782EDA" w:rsidRPr="00782EDA" w:rsidRDefault="00782EDA" w:rsidP="00782EDA">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0.83</w:t>
            </w:r>
          </w:p>
        </w:tc>
      </w:tr>
      <w:tr w:rsidR="00AD57EB" w:rsidRPr="00782EDA" w14:paraId="37A4CDCA" w14:textId="77777777" w:rsidTr="005807B2">
        <w:trPr>
          <w:trHeight w:val="320"/>
        </w:trPr>
        <w:tc>
          <w:tcPr>
            <w:tcW w:w="3260" w:type="dxa"/>
            <w:tcBorders>
              <w:top w:val="nil"/>
              <w:left w:val="nil"/>
              <w:bottom w:val="nil"/>
              <w:right w:val="nil"/>
            </w:tcBorders>
            <w:shd w:val="clear" w:color="auto" w:fill="auto"/>
            <w:noWrap/>
            <w:vAlign w:val="center"/>
            <w:hideMark/>
          </w:tcPr>
          <w:p w14:paraId="11B8DCC7" w14:textId="1DDA3397" w:rsidR="00AD57EB" w:rsidRPr="00782EDA" w:rsidRDefault="00AD57EB" w:rsidP="005807B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profit per equity partner</w:t>
            </w:r>
          </w:p>
        </w:tc>
        <w:tc>
          <w:tcPr>
            <w:tcW w:w="1060" w:type="dxa"/>
            <w:tcBorders>
              <w:top w:val="nil"/>
              <w:left w:val="nil"/>
              <w:bottom w:val="nil"/>
              <w:right w:val="nil"/>
            </w:tcBorders>
            <w:shd w:val="clear" w:color="auto" w:fill="auto"/>
            <w:noWrap/>
            <w:vAlign w:val="center"/>
            <w:hideMark/>
          </w:tcPr>
          <w:p w14:paraId="7BFA6674"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503957C4"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5.98</w:t>
            </w:r>
          </w:p>
        </w:tc>
        <w:tc>
          <w:tcPr>
            <w:tcW w:w="1039" w:type="dxa"/>
            <w:tcBorders>
              <w:top w:val="nil"/>
              <w:left w:val="nil"/>
              <w:bottom w:val="nil"/>
              <w:right w:val="nil"/>
            </w:tcBorders>
            <w:shd w:val="clear" w:color="auto" w:fill="auto"/>
            <w:noWrap/>
            <w:vAlign w:val="center"/>
            <w:hideMark/>
          </w:tcPr>
          <w:p w14:paraId="42E8DC22"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0.49</w:t>
            </w:r>
          </w:p>
        </w:tc>
        <w:tc>
          <w:tcPr>
            <w:tcW w:w="641" w:type="dxa"/>
            <w:tcBorders>
              <w:top w:val="nil"/>
              <w:left w:val="nil"/>
              <w:bottom w:val="nil"/>
              <w:right w:val="nil"/>
            </w:tcBorders>
            <w:shd w:val="clear" w:color="auto" w:fill="auto"/>
            <w:noWrap/>
            <w:vAlign w:val="center"/>
            <w:hideMark/>
          </w:tcPr>
          <w:p w14:paraId="7A51EDB3"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4.17</w:t>
            </w:r>
          </w:p>
        </w:tc>
        <w:tc>
          <w:tcPr>
            <w:tcW w:w="760" w:type="dxa"/>
            <w:tcBorders>
              <w:top w:val="nil"/>
              <w:left w:val="nil"/>
              <w:bottom w:val="nil"/>
              <w:right w:val="nil"/>
            </w:tcBorders>
            <w:shd w:val="clear" w:color="auto" w:fill="auto"/>
            <w:noWrap/>
            <w:vAlign w:val="center"/>
            <w:hideMark/>
          </w:tcPr>
          <w:p w14:paraId="3418D4B4"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7.51</w:t>
            </w:r>
          </w:p>
        </w:tc>
      </w:tr>
      <w:tr w:rsidR="00AD57EB" w:rsidRPr="00782EDA" w14:paraId="67A9EDEF" w14:textId="77777777" w:rsidTr="005807B2">
        <w:trPr>
          <w:trHeight w:val="320"/>
        </w:trPr>
        <w:tc>
          <w:tcPr>
            <w:tcW w:w="3260" w:type="dxa"/>
            <w:tcBorders>
              <w:top w:val="nil"/>
              <w:left w:val="nil"/>
              <w:bottom w:val="nil"/>
              <w:right w:val="nil"/>
            </w:tcBorders>
            <w:shd w:val="clear" w:color="auto" w:fill="auto"/>
            <w:noWrap/>
            <w:vAlign w:val="center"/>
            <w:hideMark/>
          </w:tcPr>
          <w:p w14:paraId="48779466"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spread top/bottom eq. partners</w:t>
            </w:r>
          </w:p>
        </w:tc>
        <w:tc>
          <w:tcPr>
            <w:tcW w:w="1060" w:type="dxa"/>
            <w:tcBorders>
              <w:top w:val="nil"/>
              <w:left w:val="nil"/>
              <w:bottom w:val="nil"/>
              <w:right w:val="nil"/>
            </w:tcBorders>
            <w:shd w:val="clear" w:color="auto" w:fill="auto"/>
            <w:noWrap/>
            <w:vAlign w:val="center"/>
            <w:hideMark/>
          </w:tcPr>
          <w:p w14:paraId="2E84FAFA"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3E9D0E34"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12.68</w:t>
            </w:r>
          </w:p>
        </w:tc>
        <w:tc>
          <w:tcPr>
            <w:tcW w:w="1039" w:type="dxa"/>
            <w:tcBorders>
              <w:top w:val="nil"/>
              <w:left w:val="nil"/>
              <w:bottom w:val="nil"/>
              <w:right w:val="nil"/>
            </w:tcBorders>
            <w:shd w:val="clear" w:color="auto" w:fill="auto"/>
            <w:noWrap/>
            <w:vAlign w:val="center"/>
            <w:hideMark/>
          </w:tcPr>
          <w:p w14:paraId="2A36C260"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0.75</w:t>
            </w:r>
          </w:p>
        </w:tc>
        <w:tc>
          <w:tcPr>
            <w:tcW w:w="641" w:type="dxa"/>
            <w:tcBorders>
              <w:top w:val="nil"/>
              <w:left w:val="nil"/>
              <w:bottom w:val="nil"/>
              <w:right w:val="nil"/>
            </w:tcBorders>
            <w:shd w:val="clear" w:color="auto" w:fill="auto"/>
            <w:noWrap/>
            <w:vAlign w:val="center"/>
            <w:hideMark/>
          </w:tcPr>
          <w:p w14:paraId="11CB9C6B"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9.10</w:t>
            </w:r>
          </w:p>
        </w:tc>
        <w:tc>
          <w:tcPr>
            <w:tcW w:w="760" w:type="dxa"/>
            <w:tcBorders>
              <w:top w:val="nil"/>
              <w:left w:val="nil"/>
              <w:bottom w:val="nil"/>
              <w:right w:val="nil"/>
            </w:tcBorders>
            <w:shd w:val="clear" w:color="auto" w:fill="auto"/>
            <w:noWrap/>
            <w:vAlign w:val="center"/>
            <w:hideMark/>
          </w:tcPr>
          <w:p w14:paraId="4B3C698C"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15.08</w:t>
            </w:r>
          </w:p>
        </w:tc>
      </w:tr>
      <w:tr w:rsidR="00AD57EB" w:rsidRPr="00782EDA" w14:paraId="4BECDB75" w14:textId="77777777" w:rsidTr="005807B2">
        <w:trPr>
          <w:trHeight w:val="320"/>
        </w:trPr>
        <w:tc>
          <w:tcPr>
            <w:tcW w:w="3260" w:type="dxa"/>
            <w:tcBorders>
              <w:top w:val="nil"/>
              <w:left w:val="nil"/>
              <w:bottom w:val="nil"/>
              <w:right w:val="nil"/>
            </w:tcBorders>
            <w:shd w:val="clear" w:color="auto" w:fill="auto"/>
            <w:noWrap/>
            <w:vAlign w:val="center"/>
            <w:hideMark/>
          </w:tcPr>
          <w:p w14:paraId="042B3181"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leverage</w:t>
            </w:r>
          </w:p>
        </w:tc>
        <w:tc>
          <w:tcPr>
            <w:tcW w:w="1060" w:type="dxa"/>
            <w:tcBorders>
              <w:top w:val="nil"/>
              <w:left w:val="nil"/>
              <w:bottom w:val="nil"/>
              <w:right w:val="nil"/>
            </w:tcBorders>
            <w:shd w:val="clear" w:color="auto" w:fill="auto"/>
            <w:noWrap/>
            <w:vAlign w:val="center"/>
            <w:hideMark/>
          </w:tcPr>
          <w:p w14:paraId="0816DC89"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70172FDC"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2.66</w:t>
            </w:r>
          </w:p>
        </w:tc>
        <w:tc>
          <w:tcPr>
            <w:tcW w:w="1039" w:type="dxa"/>
            <w:tcBorders>
              <w:top w:val="nil"/>
              <w:left w:val="nil"/>
              <w:bottom w:val="nil"/>
              <w:right w:val="nil"/>
            </w:tcBorders>
            <w:shd w:val="clear" w:color="auto" w:fill="auto"/>
            <w:noWrap/>
            <w:vAlign w:val="center"/>
            <w:hideMark/>
          </w:tcPr>
          <w:p w14:paraId="4493FEB0"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0.96</w:t>
            </w:r>
          </w:p>
        </w:tc>
        <w:tc>
          <w:tcPr>
            <w:tcW w:w="641" w:type="dxa"/>
            <w:tcBorders>
              <w:top w:val="nil"/>
              <w:left w:val="nil"/>
              <w:bottom w:val="nil"/>
              <w:right w:val="nil"/>
            </w:tcBorders>
            <w:shd w:val="clear" w:color="auto" w:fill="auto"/>
            <w:noWrap/>
            <w:vAlign w:val="center"/>
            <w:hideMark/>
          </w:tcPr>
          <w:p w14:paraId="7C9E71D6"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0.73</w:t>
            </w:r>
          </w:p>
        </w:tc>
        <w:tc>
          <w:tcPr>
            <w:tcW w:w="760" w:type="dxa"/>
            <w:tcBorders>
              <w:top w:val="nil"/>
              <w:left w:val="nil"/>
              <w:bottom w:val="nil"/>
              <w:right w:val="nil"/>
            </w:tcBorders>
            <w:shd w:val="clear" w:color="auto" w:fill="auto"/>
            <w:noWrap/>
            <w:vAlign w:val="center"/>
            <w:hideMark/>
          </w:tcPr>
          <w:p w14:paraId="65821F04"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7.38</w:t>
            </w:r>
          </w:p>
        </w:tc>
      </w:tr>
      <w:tr w:rsidR="00AD57EB" w:rsidRPr="00782EDA" w14:paraId="175E90E7" w14:textId="77777777" w:rsidTr="005807B2">
        <w:trPr>
          <w:trHeight w:val="320"/>
        </w:trPr>
        <w:tc>
          <w:tcPr>
            <w:tcW w:w="3260" w:type="dxa"/>
            <w:tcBorders>
              <w:top w:val="nil"/>
              <w:left w:val="nil"/>
              <w:bottom w:val="nil"/>
              <w:right w:val="nil"/>
            </w:tcBorders>
            <w:shd w:val="clear" w:color="auto" w:fill="auto"/>
            <w:noWrap/>
            <w:vAlign w:val="center"/>
          </w:tcPr>
          <w:p w14:paraId="10C8ED52"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lawyers gender</w:t>
            </w:r>
          </w:p>
        </w:tc>
        <w:tc>
          <w:tcPr>
            <w:tcW w:w="1060" w:type="dxa"/>
            <w:tcBorders>
              <w:top w:val="nil"/>
              <w:left w:val="nil"/>
              <w:bottom w:val="nil"/>
              <w:right w:val="nil"/>
            </w:tcBorders>
            <w:shd w:val="clear" w:color="auto" w:fill="auto"/>
            <w:noWrap/>
            <w:vAlign w:val="center"/>
          </w:tcPr>
          <w:p w14:paraId="07450B1B"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tcPr>
          <w:p w14:paraId="7EC7B3A4"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0.21</w:t>
            </w:r>
          </w:p>
        </w:tc>
        <w:tc>
          <w:tcPr>
            <w:tcW w:w="1039" w:type="dxa"/>
            <w:tcBorders>
              <w:top w:val="nil"/>
              <w:left w:val="nil"/>
              <w:bottom w:val="nil"/>
              <w:right w:val="nil"/>
            </w:tcBorders>
            <w:shd w:val="clear" w:color="auto" w:fill="auto"/>
            <w:noWrap/>
            <w:vAlign w:val="center"/>
          </w:tcPr>
          <w:p w14:paraId="4E439A8E"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0.22</w:t>
            </w:r>
          </w:p>
        </w:tc>
        <w:tc>
          <w:tcPr>
            <w:tcW w:w="641" w:type="dxa"/>
            <w:tcBorders>
              <w:top w:val="nil"/>
              <w:left w:val="nil"/>
              <w:bottom w:val="nil"/>
              <w:right w:val="nil"/>
            </w:tcBorders>
            <w:shd w:val="clear" w:color="auto" w:fill="auto"/>
            <w:noWrap/>
            <w:vAlign w:val="center"/>
          </w:tcPr>
          <w:p w14:paraId="128D1CB8"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w:t>
            </w:r>
          </w:p>
        </w:tc>
        <w:tc>
          <w:tcPr>
            <w:tcW w:w="760" w:type="dxa"/>
            <w:tcBorders>
              <w:top w:val="nil"/>
              <w:left w:val="nil"/>
              <w:bottom w:val="nil"/>
              <w:right w:val="nil"/>
            </w:tcBorders>
            <w:shd w:val="clear" w:color="auto" w:fill="auto"/>
            <w:noWrap/>
            <w:vAlign w:val="center"/>
          </w:tcPr>
          <w:p w14:paraId="4A937E3C"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1</w:t>
            </w:r>
          </w:p>
        </w:tc>
      </w:tr>
      <w:tr w:rsidR="00AD57EB" w:rsidRPr="00782EDA" w14:paraId="551B6541" w14:textId="77777777" w:rsidTr="005807B2">
        <w:trPr>
          <w:trHeight w:val="320"/>
        </w:trPr>
        <w:tc>
          <w:tcPr>
            <w:tcW w:w="3260" w:type="dxa"/>
            <w:tcBorders>
              <w:top w:val="nil"/>
              <w:left w:val="nil"/>
              <w:bottom w:val="nil"/>
              <w:right w:val="nil"/>
            </w:tcBorders>
            <w:shd w:val="clear" w:color="auto" w:fill="auto"/>
            <w:noWrap/>
            <w:vAlign w:val="center"/>
            <w:hideMark/>
          </w:tcPr>
          <w:p w14:paraId="528AB62D"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lawyers reputation</w:t>
            </w:r>
          </w:p>
        </w:tc>
        <w:tc>
          <w:tcPr>
            <w:tcW w:w="1060" w:type="dxa"/>
            <w:tcBorders>
              <w:top w:val="nil"/>
              <w:left w:val="nil"/>
              <w:bottom w:val="nil"/>
              <w:right w:val="nil"/>
            </w:tcBorders>
            <w:shd w:val="clear" w:color="auto" w:fill="auto"/>
            <w:noWrap/>
            <w:vAlign w:val="center"/>
            <w:hideMark/>
          </w:tcPr>
          <w:p w14:paraId="2E7BB657"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5B0EE0D9"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2.79</w:t>
            </w:r>
          </w:p>
        </w:tc>
        <w:tc>
          <w:tcPr>
            <w:tcW w:w="1039" w:type="dxa"/>
            <w:tcBorders>
              <w:top w:val="nil"/>
              <w:left w:val="nil"/>
              <w:bottom w:val="nil"/>
              <w:right w:val="nil"/>
            </w:tcBorders>
            <w:shd w:val="clear" w:color="auto" w:fill="auto"/>
            <w:noWrap/>
            <w:vAlign w:val="center"/>
            <w:hideMark/>
          </w:tcPr>
          <w:p w14:paraId="64D4DC57"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0.91</w:t>
            </w:r>
          </w:p>
        </w:tc>
        <w:tc>
          <w:tcPr>
            <w:tcW w:w="641" w:type="dxa"/>
            <w:tcBorders>
              <w:top w:val="nil"/>
              <w:left w:val="nil"/>
              <w:bottom w:val="nil"/>
              <w:right w:val="nil"/>
            </w:tcBorders>
            <w:shd w:val="clear" w:color="auto" w:fill="auto"/>
            <w:noWrap/>
            <w:vAlign w:val="center"/>
            <w:hideMark/>
          </w:tcPr>
          <w:p w14:paraId="5515EAF1"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1</w:t>
            </w:r>
          </w:p>
        </w:tc>
        <w:tc>
          <w:tcPr>
            <w:tcW w:w="760" w:type="dxa"/>
            <w:tcBorders>
              <w:top w:val="nil"/>
              <w:left w:val="nil"/>
              <w:bottom w:val="nil"/>
              <w:right w:val="nil"/>
            </w:tcBorders>
            <w:shd w:val="clear" w:color="auto" w:fill="auto"/>
            <w:noWrap/>
            <w:vAlign w:val="center"/>
            <w:hideMark/>
          </w:tcPr>
          <w:p w14:paraId="44E30AA0"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6</w:t>
            </w:r>
          </w:p>
        </w:tc>
      </w:tr>
      <w:tr w:rsidR="00AD57EB" w:rsidRPr="00782EDA" w14:paraId="56F98101" w14:textId="77777777" w:rsidTr="005807B2">
        <w:trPr>
          <w:trHeight w:val="320"/>
        </w:trPr>
        <w:tc>
          <w:tcPr>
            <w:tcW w:w="3260" w:type="dxa"/>
            <w:tcBorders>
              <w:top w:val="nil"/>
              <w:left w:val="nil"/>
              <w:bottom w:val="nil"/>
              <w:right w:val="nil"/>
            </w:tcBorders>
            <w:shd w:val="clear" w:color="auto" w:fill="auto"/>
            <w:noWrap/>
            <w:vAlign w:val="center"/>
            <w:hideMark/>
          </w:tcPr>
          <w:p w14:paraId="52CB2FD9"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size</w:t>
            </w:r>
          </w:p>
        </w:tc>
        <w:tc>
          <w:tcPr>
            <w:tcW w:w="1060" w:type="dxa"/>
            <w:tcBorders>
              <w:top w:val="nil"/>
              <w:left w:val="nil"/>
              <w:bottom w:val="nil"/>
              <w:right w:val="nil"/>
            </w:tcBorders>
            <w:shd w:val="clear" w:color="auto" w:fill="auto"/>
            <w:noWrap/>
            <w:vAlign w:val="center"/>
            <w:hideMark/>
          </w:tcPr>
          <w:p w14:paraId="57F77843" w14:textId="77777777" w:rsidR="00AD57EB" w:rsidRPr="00782EDA" w:rsidRDefault="00AD57EB" w:rsidP="005807B2">
            <w:pPr>
              <w:rPr>
                <w:rFonts w:ascii="Times New Roman" w:eastAsia="Times New Roman" w:hAnsi="Times New Roman" w:cs="Times New Roman"/>
              </w:rPr>
            </w:pPr>
            <w:r w:rsidRPr="00782EDA">
              <w:rPr>
                <w:rFonts w:ascii="Times New Roman" w:eastAsia="Times New Roman" w:hAnsi="Times New Roman" w:cs="Times New Roman"/>
                <w:color w:val="000000"/>
                <w:sz w:val="20"/>
                <w:szCs w:val="20"/>
              </w:rPr>
              <w:t>683</w:t>
            </w:r>
          </w:p>
        </w:tc>
        <w:tc>
          <w:tcPr>
            <w:tcW w:w="1020" w:type="dxa"/>
            <w:tcBorders>
              <w:top w:val="nil"/>
              <w:left w:val="nil"/>
              <w:bottom w:val="nil"/>
              <w:right w:val="nil"/>
            </w:tcBorders>
            <w:shd w:val="clear" w:color="auto" w:fill="auto"/>
            <w:noWrap/>
            <w:vAlign w:val="center"/>
            <w:hideMark/>
          </w:tcPr>
          <w:p w14:paraId="4BCD99C6"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4.69</w:t>
            </w:r>
          </w:p>
        </w:tc>
        <w:tc>
          <w:tcPr>
            <w:tcW w:w="1039" w:type="dxa"/>
            <w:tcBorders>
              <w:top w:val="nil"/>
              <w:left w:val="nil"/>
              <w:bottom w:val="nil"/>
              <w:right w:val="nil"/>
            </w:tcBorders>
            <w:shd w:val="clear" w:color="auto" w:fill="auto"/>
            <w:noWrap/>
            <w:vAlign w:val="center"/>
            <w:hideMark/>
          </w:tcPr>
          <w:p w14:paraId="29912F4D"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0.82</w:t>
            </w:r>
          </w:p>
        </w:tc>
        <w:tc>
          <w:tcPr>
            <w:tcW w:w="641" w:type="dxa"/>
            <w:tcBorders>
              <w:top w:val="nil"/>
              <w:left w:val="nil"/>
              <w:bottom w:val="nil"/>
              <w:right w:val="nil"/>
            </w:tcBorders>
            <w:shd w:val="clear" w:color="auto" w:fill="auto"/>
            <w:noWrap/>
            <w:vAlign w:val="center"/>
            <w:hideMark/>
          </w:tcPr>
          <w:p w14:paraId="41D065CE"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2.89</w:t>
            </w:r>
          </w:p>
        </w:tc>
        <w:tc>
          <w:tcPr>
            <w:tcW w:w="760" w:type="dxa"/>
            <w:tcBorders>
              <w:top w:val="nil"/>
              <w:left w:val="nil"/>
              <w:bottom w:val="nil"/>
              <w:right w:val="nil"/>
            </w:tcBorders>
            <w:shd w:val="clear" w:color="auto" w:fill="auto"/>
            <w:noWrap/>
            <w:vAlign w:val="center"/>
            <w:hideMark/>
          </w:tcPr>
          <w:p w14:paraId="72DE5897" w14:textId="77777777" w:rsidR="00AD57EB" w:rsidRPr="00782EDA" w:rsidRDefault="00AD57EB" w:rsidP="005807B2">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7.17</w:t>
            </w:r>
          </w:p>
        </w:tc>
      </w:tr>
    </w:tbl>
    <w:p w14:paraId="14EA6ADF" w14:textId="77777777" w:rsidR="00782EDA" w:rsidRDefault="00782EDA" w:rsidP="00782EDA">
      <w:pPr>
        <w:spacing w:line="360" w:lineRule="auto"/>
        <w:rPr>
          <w:rFonts w:ascii="Times New Roman" w:eastAsia="Times New Roman" w:hAnsi="Times New Roman" w:cs="Times New Roman"/>
        </w:rPr>
      </w:pPr>
    </w:p>
    <w:p w14:paraId="77240F04" w14:textId="3D60F25B" w:rsidR="00C36E14" w:rsidRDefault="00C36E14">
      <w:pPr>
        <w:rPr>
          <w:rFonts w:ascii="Times New Roman" w:eastAsia="Times New Roman" w:hAnsi="Times New Roman" w:cs="Times New Roman"/>
        </w:rPr>
      </w:pPr>
      <w:r>
        <w:rPr>
          <w:rFonts w:ascii="Times New Roman" w:eastAsia="Times New Roman" w:hAnsi="Times New Roman" w:cs="Times New Roman"/>
        </w:rPr>
        <w:br w:type="page"/>
      </w:r>
    </w:p>
    <w:p w14:paraId="3B683E66" w14:textId="77777777" w:rsidR="00782EDA" w:rsidRPr="00782EDA" w:rsidRDefault="00782EDA" w:rsidP="00782EDA">
      <w:pPr>
        <w:jc w:val="center"/>
        <w:rPr>
          <w:rFonts w:ascii="Times New Roman" w:eastAsia="Times New Roman" w:hAnsi="Times New Roman" w:cs="Times New Roman"/>
          <w:b/>
          <w:sz w:val="20"/>
          <w:szCs w:val="20"/>
        </w:rPr>
      </w:pPr>
      <w:r w:rsidRPr="00782EDA">
        <w:rPr>
          <w:rFonts w:ascii="Times New Roman" w:eastAsia="Times New Roman" w:hAnsi="Times New Roman" w:cs="Times New Roman"/>
          <w:b/>
          <w:sz w:val="20"/>
          <w:szCs w:val="20"/>
        </w:rPr>
        <w:t>TABLE 2. Pairwise Correlations</w:t>
      </w:r>
    </w:p>
    <w:tbl>
      <w:tblPr>
        <w:tblW w:w="7088" w:type="dxa"/>
        <w:jc w:val="center"/>
        <w:tblLayout w:type="fixed"/>
        <w:tblLook w:val="04A0" w:firstRow="1" w:lastRow="0" w:firstColumn="1" w:lastColumn="0" w:noHBand="0" w:noVBand="1"/>
      </w:tblPr>
      <w:tblGrid>
        <w:gridCol w:w="2977"/>
        <w:gridCol w:w="709"/>
        <w:gridCol w:w="709"/>
        <w:gridCol w:w="707"/>
        <w:gridCol w:w="666"/>
        <w:gridCol w:w="753"/>
        <w:gridCol w:w="567"/>
      </w:tblGrid>
      <w:tr w:rsidR="00782EDA" w:rsidRPr="00782EDA" w14:paraId="6B2E2195" w14:textId="77777777" w:rsidTr="00AC3691">
        <w:trPr>
          <w:trHeight w:val="340"/>
          <w:jc w:val="center"/>
        </w:trPr>
        <w:tc>
          <w:tcPr>
            <w:tcW w:w="2977" w:type="dxa"/>
            <w:tcBorders>
              <w:top w:val="single" w:sz="18" w:space="0" w:color="auto"/>
              <w:left w:val="nil"/>
              <w:bottom w:val="double" w:sz="6" w:space="0" w:color="auto"/>
              <w:right w:val="nil"/>
            </w:tcBorders>
            <w:shd w:val="clear" w:color="auto" w:fill="auto"/>
            <w:noWrap/>
            <w:vAlign w:val="center"/>
            <w:hideMark/>
          </w:tcPr>
          <w:p w14:paraId="292EA586"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 </w:t>
            </w:r>
            <w:r w:rsidRPr="00782EDA">
              <w:rPr>
                <w:rFonts w:ascii="Times New Roman" w:eastAsia="Times New Roman" w:hAnsi="Times New Roman" w:cs="Times New Roman"/>
                <w:b/>
                <w:bCs/>
                <w:color w:val="000000"/>
                <w:sz w:val="20"/>
                <w:szCs w:val="20"/>
              </w:rPr>
              <w:t>Variables</w:t>
            </w:r>
          </w:p>
        </w:tc>
        <w:tc>
          <w:tcPr>
            <w:tcW w:w="709" w:type="dxa"/>
            <w:tcBorders>
              <w:top w:val="single" w:sz="18" w:space="0" w:color="auto"/>
              <w:left w:val="nil"/>
              <w:bottom w:val="double" w:sz="6" w:space="0" w:color="auto"/>
              <w:right w:val="nil"/>
            </w:tcBorders>
            <w:shd w:val="clear" w:color="auto" w:fill="auto"/>
            <w:noWrap/>
            <w:vAlign w:val="center"/>
            <w:hideMark/>
          </w:tcPr>
          <w:p w14:paraId="7D90D0AE"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1</w:t>
            </w:r>
          </w:p>
        </w:tc>
        <w:tc>
          <w:tcPr>
            <w:tcW w:w="709" w:type="dxa"/>
            <w:tcBorders>
              <w:top w:val="single" w:sz="18" w:space="0" w:color="auto"/>
              <w:left w:val="nil"/>
              <w:bottom w:val="double" w:sz="6" w:space="0" w:color="auto"/>
              <w:right w:val="nil"/>
            </w:tcBorders>
            <w:shd w:val="clear" w:color="auto" w:fill="auto"/>
            <w:noWrap/>
            <w:vAlign w:val="center"/>
            <w:hideMark/>
          </w:tcPr>
          <w:p w14:paraId="37A29C98"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2</w:t>
            </w:r>
          </w:p>
        </w:tc>
        <w:tc>
          <w:tcPr>
            <w:tcW w:w="707" w:type="dxa"/>
            <w:tcBorders>
              <w:top w:val="single" w:sz="18" w:space="0" w:color="auto"/>
              <w:left w:val="nil"/>
              <w:bottom w:val="double" w:sz="6" w:space="0" w:color="auto"/>
              <w:right w:val="nil"/>
            </w:tcBorders>
            <w:shd w:val="clear" w:color="auto" w:fill="auto"/>
            <w:noWrap/>
            <w:vAlign w:val="center"/>
            <w:hideMark/>
          </w:tcPr>
          <w:p w14:paraId="745E56F2"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3</w:t>
            </w:r>
          </w:p>
        </w:tc>
        <w:tc>
          <w:tcPr>
            <w:tcW w:w="666" w:type="dxa"/>
            <w:tcBorders>
              <w:top w:val="single" w:sz="18" w:space="0" w:color="auto"/>
              <w:left w:val="nil"/>
              <w:bottom w:val="double" w:sz="6" w:space="0" w:color="auto"/>
              <w:right w:val="nil"/>
            </w:tcBorders>
            <w:shd w:val="clear" w:color="auto" w:fill="auto"/>
            <w:noWrap/>
            <w:vAlign w:val="center"/>
            <w:hideMark/>
          </w:tcPr>
          <w:p w14:paraId="623A790C"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4</w:t>
            </w:r>
          </w:p>
        </w:tc>
        <w:tc>
          <w:tcPr>
            <w:tcW w:w="753" w:type="dxa"/>
            <w:tcBorders>
              <w:top w:val="single" w:sz="18" w:space="0" w:color="auto"/>
              <w:left w:val="nil"/>
              <w:bottom w:val="double" w:sz="6" w:space="0" w:color="auto"/>
              <w:right w:val="nil"/>
            </w:tcBorders>
            <w:shd w:val="clear" w:color="auto" w:fill="auto"/>
            <w:noWrap/>
            <w:vAlign w:val="center"/>
            <w:hideMark/>
          </w:tcPr>
          <w:p w14:paraId="7842BA5E"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5</w:t>
            </w:r>
          </w:p>
        </w:tc>
        <w:tc>
          <w:tcPr>
            <w:tcW w:w="567" w:type="dxa"/>
            <w:tcBorders>
              <w:top w:val="single" w:sz="18" w:space="0" w:color="auto"/>
              <w:left w:val="nil"/>
              <w:bottom w:val="double" w:sz="6" w:space="0" w:color="auto"/>
              <w:right w:val="nil"/>
            </w:tcBorders>
            <w:vAlign w:val="center"/>
          </w:tcPr>
          <w:p w14:paraId="32F48F67" w14:textId="77777777" w:rsidR="00782EDA" w:rsidRPr="00782EDA" w:rsidRDefault="00782EDA" w:rsidP="00782EDA">
            <w:pPr>
              <w:rPr>
                <w:rFonts w:ascii="Times New Roman" w:eastAsia="Times New Roman" w:hAnsi="Times New Roman" w:cs="Times New Roman"/>
                <w:b/>
                <w:color w:val="000000"/>
                <w:sz w:val="20"/>
                <w:szCs w:val="20"/>
              </w:rPr>
            </w:pPr>
            <w:r w:rsidRPr="00782EDA">
              <w:rPr>
                <w:rFonts w:ascii="Times New Roman" w:eastAsia="Times New Roman" w:hAnsi="Times New Roman" w:cs="Times New Roman"/>
                <w:b/>
                <w:color w:val="000000"/>
                <w:sz w:val="20"/>
                <w:szCs w:val="20"/>
              </w:rPr>
              <w:t>6</w:t>
            </w:r>
          </w:p>
        </w:tc>
      </w:tr>
      <w:tr w:rsidR="00782EDA" w:rsidRPr="008D2261" w14:paraId="5EE24A5D" w14:textId="77777777" w:rsidTr="00AC3691">
        <w:trPr>
          <w:trHeight w:val="340"/>
          <w:jc w:val="center"/>
        </w:trPr>
        <w:tc>
          <w:tcPr>
            <w:tcW w:w="2977" w:type="dxa"/>
            <w:tcBorders>
              <w:top w:val="nil"/>
              <w:left w:val="nil"/>
              <w:bottom w:val="nil"/>
              <w:right w:val="nil"/>
            </w:tcBorders>
            <w:shd w:val="clear" w:color="auto" w:fill="auto"/>
            <w:noWrap/>
            <w:vAlign w:val="center"/>
            <w:hideMark/>
          </w:tcPr>
          <w:p w14:paraId="63CB2FB0" w14:textId="77777777" w:rsidR="00782EDA" w:rsidRPr="00521186" w:rsidRDefault="00782EDA" w:rsidP="00782EDA">
            <w:pPr>
              <w:rPr>
                <w:rFonts w:ascii="Times New Roman" w:eastAsia="Times New Roman" w:hAnsi="Times New Roman" w:cs="Times New Roman"/>
                <w:color w:val="000000"/>
                <w:sz w:val="20"/>
                <w:szCs w:val="20"/>
                <w:lang w:val="it-IT"/>
              </w:rPr>
            </w:pPr>
            <w:r w:rsidRPr="00521186">
              <w:rPr>
                <w:rFonts w:ascii="Times New Roman" w:eastAsia="Times New Roman" w:hAnsi="Times New Roman" w:cs="Times New Roman"/>
                <w:color w:val="000000"/>
                <w:sz w:val="20"/>
                <w:szCs w:val="20"/>
                <w:lang w:val="it-IT"/>
              </w:rPr>
              <w:t>1. non-eq. partner/eq. partner</w:t>
            </w:r>
          </w:p>
        </w:tc>
        <w:tc>
          <w:tcPr>
            <w:tcW w:w="709" w:type="dxa"/>
            <w:tcBorders>
              <w:top w:val="nil"/>
              <w:left w:val="nil"/>
              <w:bottom w:val="nil"/>
              <w:right w:val="nil"/>
            </w:tcBorders>
            <w:shd w:val="clear" w:color="auto" w:fill="auto"/>
            <w:noWrap/>
            <w:vAlign w:val="center"/>
            <w:hideMark/>
          </w:tcPr>
          <w:p w14:paraId="04F155C6" w14:textId="77777777" w:rsidR="00782EDA" w:rsidRPr="00521186" w:rsidRDefault="00782EDA" w:rsidP="00782EDA">
            <w:pPr>
              <w:rPr>
                <w:rFonts w:ascii="Times New Roman" w:eastAsia="Times New Roman" w:hAnsi="Times New Roman" w:cs="Times New Roman"/>
                <w:color w:val="000000"/>
                <w:sz w:val="20"/>
                <w:szCs w:val="20"/>
                <w:lang w:val="it-IT"/>
              </w:rPr>
            </w:pPr>
          </w:p>
        </w:tc>
        <w:tc>
          <w:tcPr>
            <w:tcW w:w="709" w:type="dxa"/>
            <w:tcBorders>
              <w:top w:val="nil"/>
              <w:left w:val="nil"/>
              <w:bottom w:val="nil"/>
              <w:right w:val="nil"/>
            </w:tcBorders>
            <w:shd w:val="clear" w:color="auto" w:fill="auto"/>
            <w:noWrap/>
            <w:vAlign w:val="center"/>
            <w:hideMark/>
          </w:tcPr>
          <w:p w14:paraId="39743072" w14:textId="77777777" w:rsidR="00782EDA" w:rsidRPr="00521186" w:rsidRDefault="00782EDA" w:rsidP="00782EDA">
            <w:pPr>
              <w:rPr>
                <w:rFonts w:ascii="Times New Roman" w:eastAsia="Times New Roman" w:hAnsi="Times New Roman" w:cs="Times New Roman"/>
                <w:sz w:val="20"/>
                <w:szCs w:val="20"/>
                <w:lang w:val="it-IT"/>
              </w:rPr>
            </w:pPr>
          </w:p>
        </w:tc>
        <w:tc>
          <w:tcPr>
            <w:tcW w:w="707" w:type="dxa"/>
            <w:tcBorders>
              <w:top w:val="nil"/>
              <w:left w:val="nil"/>
              <w:bottom w:val="nil"/>
              <w:right w:val="nil"/>
            </w:tcBorders>
            <w:shd w:val="clear" w:color="auto" w:fill="auto"/>
            <w:noWrap/>
            <w:vAlign w:val="center"/>
            <w:hideMark/>
          </w:tcPr>
          <w:p w14:paraId="39736300" w14:textId="77777777" w:rsidR="00782EDA" w:rsidRPr="00521186" w:rsidRDefault="00782EDA" w:rsidP="00782EDA">
            <w:pPr>
              <w:rPr>
                <w:rFonts w:ascii="Times New Roman" w:eastAsia="Times New Roman" w:hAnsi="Times New Roman" w:cs="Times New Roman"/>
                <w:sz w:val="20"/>
                <w:szCs w:val="20"/>
                <w:lang w:val="it-IT"/>
              </w:rPr>
            </w:pPr>
          </w:p>
        </w:tc>
        <w:tc>
          <w:tcPr>
            <w:tcW w:w="666" w:type="dxa"/>
            <w:tcBorders>
              <w:top w:val="nil"/>
              <w:left w:val="nil"/>
              <w:bottom w:val="nil"/>
              <w:right w:val="nil"/>
            </w:tcBorders>
            <w:shd w:val="clear" w:color="auto" w:fill="auto"/>
            <w:noWrap/>
            <w:vAlign w:val="center"/>
            <w:hideMark/>
          </w:tcPr>
          <w:p w14:paraId="1AA9CBD2" w14:textId="77777777" w:rsidR="00782EDA" w:rsidRPr="00521186" w:rsidRDefault="00782EDA" w:rsidP="00782EDA">
            <w:pPr>
              <w:rPr>
                <w:rFonts w:ascii="Times New Roman" w:eastAsia="Times New Roman" w:hAnsi="Times New Roman" w:cs="Times New Roman"/>
                <w:sz w:val="20"/>
                <w:szCs w:val="20"/>
                <w:lang w:val="it-IT"/>
              </w:rPr>
            </w:pPr>
          </w:p>
        </w:tc>
        <w:tc>
          <w:tcPr>
            <w:tcW w:w="753" w:type="dxa"/>
            <w:tcBorders>
              <w:top w:val="nil"/>
              <w:left w:val="nil"/>
              <w:bottom w:val="nil"/>
              <w:right w:val="nil"/>
            </w:tcBorders>
            <w:shd w:val="clear" w:color="auto" w:fill="auto"/>
            <w:noWrap/>
            <w:vAlign w:val="center"/>
            <w:hideMark/>
          </w:tcPr>
          <w:p w14:paraId="7EFD0270" w14:textId="77777777" w:rsidR="00782EDA" w:rsidRPr="00521186" w:rsidRDefault="00782EDA" w:rsidP="00782EDA">
            <w:pPr>
              <w:rPr>
                <w:rFonts w:ascii="Times New Roman" w:eastAsia="Times New Roman" w:hAnsi="Times New Roman" w:cs="Times New Roman"/>
                <w:sz w:val="20"/>
                <w:szCs w:val="20"/>
                <w:lang w:val="it-IT"/>
              </w:rPr>
            </w:pPr>
          </w:p>
        </w:tc>
        <w:tc>
          <w:tcPr>
            <w:tcW w:w="567" w:type="dxa"/>
            <w:tcBorders>
              <w:top w:val="nil"/>
              <w:left w:val="nil"/>
              <w:bottom w:val="nil"/>
              <w:right w:val="nil"/>
            </w:tcBorders>
            <w:vAlign w:val="center"/>
          </w:tcPr>
          <w:p w14:paraId="4B538A02" w14:textId="77777777" w:rsidR="00782EDA" w:rsidRPr="00521186" w:rsidRDefault="00782EDA" w:rsidP="00782EDA">
            <w:pPr>
              <w:rPr>
                <w:rFonts w:ascii="Times New Roman" w:eastAsia="Times New Roman" w:hAnsi="Times New Roman" w:cs="Times New Roman"/>
                <w:sz w:val="20"/>
                <w:szCs w:val="20"/>
                <w:lang w:val="it-IT"/>
              </w:rPr>
            </w:pPr>
          </w:p>
        </w:tc>
      </w:tr>
      <w:tr w:rsidR="00AC3691" w:rsidRPr="00782EDA" w14:paraId="2A4C5097" w14:textId="77777777" w:rsidTr="00AC3691">
        <w:trPr>
          <w:trHeight w:val="320"/>
          <w:jc w:val="center"/>
        </w:trPr>
        <w:tc>
          <w:tcPr>
            <w:tcW w:w="2977" w:type="dxa"/>
            <w:tcBorders>
              <w:top w:val="nil"/>
              <w:left w:val="nil"/>
              <w:bottom w:val="nil"/>
              <w:right w:val="nil"/>
            </w:tcBorders>
            <w:shd w:val="clear" w:color="auto" w:fill="auto"/>
            <w:noWrap/>
            <w:vAlign w:val="center"/>
          </w:tcPr>
          <w:p w14:paraId="72B017AA" w14:textId="584A6AA5" w:rsidR="00AC3691" w:rsidRPr="00782EDA" w:rsidRDefault="00AC3691" w:rsidP="00AC369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782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profit per equity partner</w:t>
            </w:r>
          </w:p>
        </w:tc>
        <w:tc>
          <w:tcPr>
            <w:tcW w:w="709" w:type="dxa"/>
            <w:tcBorders>
              <w:top w:val="nil"/>
              <w:left w:val="nil"/>
              <w:bottom w:val="nil"/>
              <w:right w:val="nil"/>
            </w:tcBorders>
            <w:shd w:val="clear" w:color="auto" w:fill="auto"/>
            <w:noWrap/>
            <w:vAlign w:val="bottom"/>
          </w:tcPr>
          <w:p w14:paraId="6888C3A6" w14:textId="592C7388"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-0.08</w:t>
            </w:r>
          </w:p>
        </w:tc>
        <w:tc>
          <w:tcPr>
            <w:tcW w:w="709" w:type="dxa"/>
            <w:tcBorders>
              <w:top w:val="nil"/>
              <w:left w:val="nil"/>
              <w:bottom w:val="nil"/>
              <w:right w:val="nil"/>
            </w:tcBorders>
            <w:shd w:val="clear" w:color="auto" w:fill="auto"/>
            <w:noWrap/>
            <w:vAlign w:val="bottom"/>
          </w:tcPr>
          <w:p w14:paraId="61C6B0E9" w14:textId="77777777" w:rsidR="00AC3691" w:rsidRPr="00AC3691" w:rsidRDefault="00AC3691" w:rsidP="00AC3691">
            <w:pPr>
              <w:rPr>
                <w:rFonts w:ascii="Times New Roman" w:eastAsia="Times New Roman" w:hAnsi="Times New Roman" w:cs="Times New Roman"/>
                <w:color w:val="000000"/>
                <w:sz w:val="20"/>
                <w:szCs w:val="20"/>
              </w:rPr>
            </w:pPr>
          </w:p>
        </w:tc>
        <w:tc>
          <w:tcPr>
            <w:tcW w:w="707" w:type="dxa"/>
            <w:tcBorders>
              <w:top w:val="nil"/>
              <w:left w:val="nil"/>
              <w:bottom w:val="nil"/>
              <w:right w:val="nil"/>
            </w:tcBorders>
            <w:shd w:val="clear" w:color="auto" w:fill="auto"/>
            <w:noWrap/>
            <w:vAlign w:val="bottom"/>
          </w:tcPr>
          <w:p w14:paraId="1E7DD348" w14:textId="77777777" w:rsidR="00AC3691" w:rsidRPr="00AC3691" w:rsidRDefault="00AC3691" w:rsidP="00AC3691">
            <w:pP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tcPr>
          <w:p w14:paraId="5C1F3590" w14:textId="77777777" w:rsidR="00AC3691" w:rsidRPr="00AC3691" w:rsidRDefault="00AC3691" w:rsidP="00AC3691">
            <w:pPr>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vAlign w:val="bottom"/>
          </w:tcPr>
          <w:p w14:paraId="3456CF4C" w14:textId="77777777" w:rsidR="00AC3691" w:rsidRPr="00AC3691" w:rsidRDefault="00AC3691" w:rsidP="00AC3691">
            <w:pPr>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015B655D" w14:textId="77777777" w:rsidR="00AC3691" w:rsidRPr="00AC3691" w:rsidRDefault="00AC3691" w:rsidP="00AC3691">
            <w:pPr>
              <w:rPr>
                <w:rFonts w:ascii="Times New Roman" w:eastAsia="Times New Roman" w:hAnsi="Times New Roman" w:cs="Times New Roman"/>
                <w:sz w:val="20"/>
                <w:szCs w:val="20"/>
              </w:rPr>
            </w:pPr>
          </w:p>
        </w:tc>
      </w:tr>
      <w:tr w:rsidR="00AC3691" w:rsidRPr="00782EDA" w14:paraId="63A71376" w14:textId="77777777" w:rsidTr="00AC3691">
        <w:trPr>
          <w:trHeight w:val="320"/>
          <w:jc w:val="center"/>
        </w:trPr>
        <w:tc>
          <w:tcPr>
            <w:tcW w:w="2977" w:type="dxa"/>
            <w:tcBorders>
              <w:top w:val="nil"/>
              <w:left w:val="nil"/>
              <w:bottom w:val="nil"/>
              <w:right w:val="nil"/>
            </w:tcBorders>
            <w:shd w:val="clear" w:color="auto" w:fill="auto"/>
            <w:noWrap/>
            <w:vAlign w:val="center"/>
          </w:tcPr>
          <w:p w14:paraId="4CBC8659" w14:textId="6C9FC1E5" w:rsidR="00AC3691" w:rsidRPr="00782EDA" w:rsidRDefault="00AC3691" w:rsidP="00AC369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782EDA">
              <w:rPr>
                <w:rFonts w:ascii="Times New Roman" w:eastAsia="Times New Roman" w:hAnsi="Times New Roman" w:cs="Times New Roman"/>
                <w:color w:val="000000"/>
                <w:sz w:val="20"/>
                <w:szCs w:val="20"/>
              </w:rPr>
              <w:t>. spread top/bottom eq. partners</w:t>
            </w:r>
          </w:p>
        </w:tc>
        <w:tc>
          <w:tcPr>
            <w:tcW w:w="709" w:type="dxa"/>
            <w:tcBorders>
              <w:top w:val="nil"/>
              <w:left w:val="nil"/>
              <w:bottom w:val="nil"/>
              <w:right w:val="nil"/>
            </w:tcBorders>
            <w:shd w:val="clear" w:color="auto" w:fill="auto"/>
            <w:noWrap/>
            <w:vAlign w:val="bottom"/>
          </w:tcPr>
          <w:p w14:paraId="777AF356" w14:textId="195905FF"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-0.06</w:t>
            </w:r>
          </w:p>
        </w:tc>
        <w:tc>
          <w:tcPr>
            <w:tcW w:w="709" w:type="dxa"/>
            <w:tcBorders>
              <w:top w:val="nil"/>
              <w:left w:val="nil"/>
              <w:bottom w:val="nil"/>
              <w:right w:val="nil"/>
            </w:tcBorders>
            <w:shd w:val="clear" w:color="auto" w:fill="auto"/>
            <w:noWrap/>
            <w:vAlign w:val="bottom"/>
          </w:tcPr>
          <w:p w14:paraId="42D61B16" w14:textId="0747B619"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0.16</w:t>
            </w:r>
          </w:p>
        </w:tc>
        <w:tc>
          <w:tcPr>
            <w:tcW w:w="707" w:type="dxa"/>
            <w:tcBorders>
              <w:top w:val="nil"/>
              <w:left w:val="nil"/>
              <w:bottom w:val="nil"/>
              <w:right w:val="nil"/>
            </w:tcBorders>
            <w:shd w:val="clear" w:color="auto" w:fill="auto"/>
            <w:noWrap/>
            <w:vAlign w:val="bottom"/>
          </w:tcPr>
          <w:p w14:paraId="2AD9E3C0" w14:textId="77777777" w:rsidR="00AC3691" w:rsidRPr="00AC3691" w:rsidRDefault="00AC3691" w:rsidP="00AC3691">
            <w:pPr>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bottom"/>
          </w:tcPr>
          <w:p w14:paraId="0402FE8B" w14:textId="77777777" w:rsidR="00AC3691" w:rsidRPr="00AC3691" w:rsidRDefault="00AC3691" w:rsidP="00AC3691">
            <w:pPr>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vAlign w:val="bottom"/>
          </w:tcPr>
          <w:p w14:paraId="01EBBA0C" w14:textId="77777777" w:rsidR="00AC3691" w:rsidRPr="00AC3691" w:rsidRDefault="00AC3691" w:rsidP="00AC3691">
            <w:pPr>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4B4CFD87" w14:textId="77777777" w:rsidR="00AC3691" w:rsidRPr="00AC3691" w:rsidRDefault="00AC3691" w:rsidP="00AC3691">
            <w:pPr>
              <w:rPr>
                <w:rFonts w:ascii="Times New Roman" w:eastAsia="Times New Roman" w:hAnsi="Times New Roman" w:cs="Times New Roman"/>
                <w:sz w:val="20"/>
                <w:szCs w:val="20"/>
              </w:rPr>
            </w:pPr>
          </w:p>
        </w:tc>
      </w:tr>
      <w:tr w:rsidR="00AC3691" w:rsidRPr="00782EDA" w14:paraId="7D02DDE0" w14:textId="77777777" w:rsidTr="00AC3691">
        <w:trPr>
          <w:trHeight w:val="320"/>
          <w:jc w:val="center"/>
        </w:trPr>
        <w:tc>
          <w:tcPr>
            <w:tcW w:w="2977" w:type="dxa"/>
            <w:tcBorders>
              <w:top w:val="nil"/>
              <w:left w:val="nil"/>
              <w:bottom w:val="nil"/>
              <w:right w:val="nil"/>
            </w:tcBorders>
            <w:shd w:val="clear" w:color="auto" w:fill="auto"/>
            <w:noWrap/>
            <w:vAlign w:val="center"/>
            <w:hideMark/>
          </w:tcPr>
          <w:p w14:paraId="6C925B8F" w14:textId="0A52C4A8" w:rsidR="00AC3691" w:rsidRPr="00782EDA" w:rsidRDefault="00AC3691" w:rsidP="00AC369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782EDA">
              <w:rPr>
                <w:rFonts w:ascii="Times New Roman" w:eastAsia="Times New Roman" w:hAnsi="Times New Roman" w:cs="Times New Roman"/>
                <w:color w:val="000000"/>
                <w:sz w:val="20"/>
                <w:szCs w:val="20"/>
              </w:rPr>
              <w:t>. leverage</w:t>
            </w:r>
          </w:p>
        </w:tc>
        <w:tc>
          <w:tcPr>
            <w:tcW w:w="709" w:type="dxa"/>
            <w:tcBorders>
              <w:top w:val="nil"/>
              <w:left w:val="nil"/>
              <w:bottom w:val="nil"/>
              <w:right w:val="nil"/>
            </w:tcBorders>
            <w:shd w:val="clear" w:color="auto" w:fill="auto"/>
            <w:noWrap/>
            <w:vAlign w:val="bottom"/>
            <w:hideMark/>
          </w:tcPr>
          <w:p w14:paraId="45CF5CB5" w14:textId="652181DF"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-0.51</w:t>
            </w:r>
          </w:p>
        </w:tc>
        <w:tc>
          <w:tcPr>
            <w:tcW w:w="709" w:type="dxa"/>
            <w:tcBorders>
              <w:top w:val="nil"/>
              <w:left w:val="nil"/>
              <w:bottom w:val="nil"/>
              <w:right w:val="nil"/>
            </w:tcBorders>
            <w:shd w:val="clear" w:color="auto" w:fill="auto"/>
            <w:noWrap/>
            <w:vAlign w:val="bottom"/>
            <w:hideMark/>
          </w:tcPr>
          <w:p w14:paraId="3F246AFD" w14:textId="518028F8"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0.34</w:t>
            </w:r>
          </w:p>
        </w:tc>
        <w:tc>
          <w:tcPr>
            <w:tcW w:w="707" w:type="dxa"/>
            <w:tcBorders>
              <w:top w:val="nil"/>
              <w:left w:val="nil"/>
              <w:bottom w:val="nil"/>
              <w:right w:val="nil"/>
            </w:tcBorders>
            <w:shd w:val="clear" w:color="auto" w:fill="auto"/>
            <w:noWrap/>
            <w:vAlign w:val="bottom"/>
            <w:hideMark/>
          </w:tcPr>
          <w:p w14:paraId="73294094" w14:textId="3CB08D95"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0.07</w:t>
            </w:r>
          </w:p>
        </w:tc>
        <w:tc>
          <w:tcPr>
            <w:tcW w:w="666" w:type="dxa"/>
            <w:tcBorders>
              <w:top w:val="nil"/>
              <w:left w:val="nil"/>
              <w:bottom w:val="nil"/>
              <w:right w:val="nil"/>
            </w:tcBorders>
            <w:shd w:val="clear" w:color="auto" w:fill="auto"/>
            <w:noWrap/>
            <w:vAlign w:val="bottom"/>
            <w:hideMark/>
          </w:tcPr>
          <w:p w14:paraId="109F5159" w14:textId="4D4883B8" w:rsidR="00AC3691" w:rsidRPr="00AC3691" w:rsidRDefault="00AC3691" w:rsidP="00AC3691">
            <w:pPr>
              <w:rPr>
                <w:rFonts w:ascii="Times New Roman" w:eastAsia="Times New Roman" w:hAnsi="Times New Roman" w:cs="Times New Roman"/>
                <w:color w:val="000000"/>
                <w:sz w:val="20"/>
                <w:szCs w:val="20"/>
              </w:rPr>
            </w:pPr>
          </w:p>
        </w:tc>
        <w:tc>
          <w:tcPr>
            <w:tcW w:w="753" w:type="dxa"/>
            <w:tcBorders>
              <w:top w:val="nil"/>
              <w:left w:val="nil"/>
              <w:bottom w:val="nil"/>
              <w:right w:val="nil"/>
            </w:tcBorders>
            <w:shd w:val="clear" w:color="auto" w:fill="auto"/>
            <w:noWrap/>
            <w:vAlign w:val="bottom"/>
            <w:hideMark/>
          </w:tcPr>
          <w:p w14:paraId="4B00863E" w14:textId="77777777" w:rsidR="00AC3691" w:rsidRPr="00AC3691" w:rsidRDefault="00AC3691" w:rsidP="00AC3691">
            <w:pPr>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6E2ADA3A" w14:textId="77777777" w:rsidR="00AC3691" w:rsidRPr="00AC3691" w:rsidRDefault="00AC3691" w:rsidP="00AC3691">
            <w:pPr>
              <w:rPr>
                <w:rFonts w:ascii="Times New Roman" w:eastAsia="Times New Roman" w:hAnsi="Times New Roman" w:cs="Times New Roman"/>
                <w:sz w:val="20"/>
                <w:szCs w:val="20"/>
              </w:rPr>
            </w:pPr>
          </w:p>
        </w:tc>
      </w:tr>
      <w:tr w:rsidR="00AC3691" w:rsidRPr="00782EDA" w14:paraId="49E97C70" w14:textId="77777777" w:rsidTr="00AC3691">
        <w:trPr>
          <w:trHeight w:val="320"/>
          <w:jc w:val="center"/>
        </w:trPr>
        <w:tc>
          <w:tcPr>
            <w:tcW w:w="2977" w:type="dxa"/>
            <w:tcBorders>
              <w:top w:val="nil"/>
              <w:left w:val="nil"/>
              <w:bottom w:val="nil"/>
              <w:right w:val="nil"/>
            </w:tcBorders>
            <w:shd w:val="clear" w:color="auto" w:fill="auto"/>
            <w:noWrap/>
            <w:vAlign w:val="center"/>
          </w:tcPr>
          <w:p w14:paraId="332905D0" w14:textId="433CF185" w:rsidR="00AC3691" w:rsidRPr="00782EDA" w:rsidRDefault="00AC3691" w:rsidP="00AC369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r w:rsidRPr="00782EDA">
              <w:rPr>
                <w:rFonts w:ascii="Times New Roman" w:eastAsia="Times New Roman" w:hAnsi="Times New Roman" w:cs="Times New Roman"/>
                <w:color w:val="000000"/>
                <w:sz w:val="20"/>
                <w:szCs w:val="20"/>
              </w:rPr>
              <w:t>lawyers gender</w:t>
            </w:r>
          </w:p>
        </w:tc>
        <w:tc>
          <w:tcPr>
            <w:tcW w:w="709" w:type="dxa"/>
            <w:tcBorders>
              <w:top w:val="nil"/>
              <w:left w:val="nil"/>
              <w:bottom w:val="nil"/>
              <w:right w:val="nil"/>
            </w:tcBorders>
            <w:shd w:val="clear" w:color="auto" w:fill="auto"/>
            <w:noWrap/>
            <w:vAlign w:val="bottom"/>
          </w:tcPr>
          <w:p w14:paraId="47D0C11F" w14:textId="5C345EA6"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-0.05</w:t>
            </w:r>
          </w:p>
        </w:tc>
        <w:tc>
          <w:tcPr>
            <w:tcW w:w="709" w:type="dxa"/>
            <w:tcBorders>
              <w:top w:val="nil"/>
              <w:left w:val="nil"/>
              <w:bottom w:val="nil"/>
              <w:right w:val="nil"/>
            </w:tcBorders>
            <w:shd w:val="clear" w:color="auto" w:fill="auto"/>
            <w:noWrap/>
            <w:vAlign w:val="bottom"/>
          </w:tcPr>
          <w:p w14:paraId="2E8DA3D2" w14:textId="601FF81E"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-0.04</w:t>
            </w:r>
          </w:p>
        </w:tc>
        <w:tc>
          <w:tcPr>
            <w:tcW w:w="707" w:type="dxa"/>
            <w:tcBorders>
              <w:top w:val="nil"/>
              <w:left w:val="nil"/>
              <w:bottom w:val="nil"/>
              <w:right w:val="nil"/>
            </w:tcBorders>
            <w:shd w:val="clear" w:color="auto" w:fill="auto"/>
            <w:noWrap/>
            <w:vAlign w:val="bottom"/>
          </w:tcPr>
          <w:p w14:paraId="0AD275CD" w14:textId="457E93BB" w:rsidR="00AC3691" w:rsidRPr="00AC3691" w:rsidRDefault="00AC3691" w:rsidP="00AC3691">
            <w:pPr>
              <w:rPr>
                <w:rFonts w:ascii="Times New Roman" w:eastAsia="Times New Roman" w:hAnsi="Times New Roman" w:cs="Times New Roman"/>
                <w:sz w:val="20"/>
                <w:szCs w:val="20"/>
              </w:rPr>
            </w:pPr>
            <w:r w:rsidRPr="00AC3691">
              <w:rPr>
                <w:rFonts w:ascii="Times New Roman" w:hAnsi="Times New Roman" w:cs="Times New Roman"/>
                <w:sz w:val="20"/>
                <w:szCs w:val="20"/>
              </w:rPr>
              <w:t>0.05</w:t>
            </w:r>
          </w:p>
        </w:tc>
        <w:tc>
          <w:tcPr>
            <w:tcW w:w="666" w:type="dxa"/>
            <w:tcBorders>
              <w:top w:val="nil"/>
              <w:left w:val="nil"/>
              <w:bottom w:val="nil"/>
              <w:right w:val="nil"/>
            </w:tcBorders>
            <w:shd w:val="clear" w:color="auto" w:fill="auto"/>
            <w:noWrap/>
            <w:vAlign w:val="bottom"/>
          </w:tcPr>
          <w:p w14:paraId="46FDEA07" w14:textId="23F637F0" w:rsidR="00AC3691" w:rsidRPr="00AC3691" w:rsidRDefault="00AC3691" w:rsidP="00AC3691">
            <w:pPr>
              <w:rPr>
                <w:rFonts w:ascii="Times New Roman" w:eastAsia="Times New Roman" w:hAnsi="Times New Roman" w:cs="Times New Roman"/>
                <w:sz w:val="20"/>
                <w:szCs w:val="20"/>
              </w:rPr>
            </w:pPr>
            <w:r w:rsidRPr="00AC3691">
              <w:rPr>
                <w:rFonts w:ascii="Times New Roman" w:hAnsi="Times New Roman" w:cs="Times New Roman"/>
                <w:sz w:val="20"/>
                <w:szCs w:val="20"/>
              </w:rPr>
              <w:t>0.06</w:t>
            </w:r>
          </w:p>
        </w:tc>
        <w:tc>
          <w:tcPr>
            <w:tcW w:w="753" w:type="dxa"/>
            <w:tcBorders>
              <w:top w:val="nil"/>
              <w:left w:val="nil"/>
              <w:bottom w:val="nil"/>
              <w:right w:val="nil"/>
            </w:tcBorders>
            <w:shd w:val="clear" w:color="auto" w:fill="auto"/>
            <w:noWrap/>
            <w:vAlign w:val="bottom"/>
          </w:tcPr>
          <w:p w14:paraId="1607DCFF" w14:textId="77777777" w:rsidR="00AC3691" w:rsidRPr="00AC3691" w:rsidRDefault="00AC3691" w:rsidP="00AC3691">
            <w:pPr>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46B5DCEE" w14:textId="77777777" w:rsidR="00AC3691" w:rsidRPr="00AC3691" w:rsidRDefault="00AC3691" w:rsidP="00AC3691">
            <w:pPr>
              <w:rPr>
                <w:rFonts w:ascii="Times New Roman" w:eastAsia="Times New Roman" w:hAnsi="Times New Roman" w:cs="Times New Roman"/>
                <w:sz w:val="20"/>
                <w:szCs w:val="20"/>
              </w:rPr>
            </w:pPr>
          </w:p>
        </w:tc>
      </w:tr>
      <w:tr w:rsidR="00AC3691" w:rsidRPr="00782EDA" w14:paraId="19B34AC4" w14:textId="77777777" w:rsidTr="00AC3691">
        <w:trPr>
          <w:trHeight w:val="320"/>
          <w:jc w:val="center"/>
        </w:trPr>
        <w:tc>
          <w:tcPr>
            <w:tcW w:w="2977" w:type="dxa"/>
            <w:tcBorders>
              <w:top w:val="nil"/>
              <w:left w:val="nil"/>
              <w:bottom w:val="nil"/>
              <w:right w:val="nil"/>
            </w:tcBorders>
            <w:shd w:val="clear" w:color="auto" w:fill="auto"/>
            <w:noWrap/>
            <w:vAlign w:val="center"/>
            <w:hideMark/>
          </w:tcPr>
          <w:p w14:paraId="2A4BB13F" w14:textId="2C56D446" w:rsidR="00AC3691" w:rsidRPr="00782EDA" w:rsidRDefault="00AC3691" w:rsidP="00AC369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782EDA">
              <w:rPr>
                <w:rFonts w:ascii="Times New Roman" w:eastAsia="Times New Roman" w:hAnsi="Times New Roman" w:cs="Times New Roman"/>
                <w:color w:val="000000"/>
                <w:sz w:val="20"/>
                <w:szCs w:val="20"/>
              </w:rPr>
              <w:t>. lawyers reputation</w:t>
            </w:r>
          </w:p>
        </w:tc>
        <w:tc>
          <w:tcPr>
            <w:tcW w:w="709" w:type="dxa"/>
            <w:tcBorders>
              <w:top w:val="nil"/>
              <w:left w:val="nil"/>
              <w:bottom w:val="nil"/>
              <w:right w:val="nil"/>
            </w:tcBorders>
            <w:shd w:val="clear" w:color="auto" w:fill="auto"/>
            <w:noWrap/>
            <w:vAlign w:val="bottom"/>
            <w:hideMark/>
          </w:tcPr>
          <w:p w14:paraId="34DB8119" w14:textId="37CCC535"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-0.29</w:t>
            </w:r>
          </w:p>
        </w:tc>
        <w:tc>
          <w:tcPr>
            <w:tcW w:w="709" w:type="dxa"/>
            <w:tcBorders>
              <w:top w:val="nil"/>
              <w:left w:val="nil"/>
              <w:bottom w:val="nil"/>
              <w:right w:val="nil"/>
            </w:tcBorders>
            <w:shd w:val="clear" w:color="auto" w:fill="auto"/>
            <w:noWrap/>
            <w:vAlign w:val="bottom"/>
            <w:hideMark/>
          </w:tcPr>
          <w:p w14:paraId="63F4734C" w14:textId="45B665FC"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0.30</w:t>
            </w:r>
          </w:p>
        </w:tc>
        <w:tc>
          <w:tcPr>
            <w:tcW w:w="707" w:type="dxa"/>
            <w:tcBorders>
              <w:top w:val="nil"/>
              <w:left w:val="nil"/>
              <w:bottom w:val="nil"/>
              <w:right w:val="nil"/>
            </w:tcBorders>
            <w:shd w:val="clear" w:color="auto" w:fill="auto"/>
            <w:noWrap/>
            <w:vAlign w:val="bottom"/>
            <w:hideMark/>
          </w:tcPr>
          <w:p w14:paraId="33F814EF" w14:textId="01734553" w:rsidR="00AC3691" w:rsidRPr="00AC3691" w:rsidRDefault="00AC3691" w:rsidP="00AC3691">
            <w:pPr>
              <w:rPr>
                <w:rFonts w:ascii="Times New Roman" w:eastAsia="Times New Roman" w:hAnsi="Times New Roman" w:cs="Times New Roman"/>
                <w:sz w:val="20"/>
                <w:szCs w:val="20"/>
              </w:rPr>
            </w:pPr>
            <w:r w:rsidRPr="00AC3691">
              <w:rPr>
                <w:rFonts w:ascii="Times New Roman" w:hAnsi="Times New Roman" w:cs="Times New Roman"/>
                <w:sz w:val="20"/>
                <w:szCs w:val="20"/>
              </w:rPr>
              <w:t>0.08</w:t>
            </w:r>
          </w:p>
        </w:tc>
        <w:tc>
          <w:tcPr>
            <w:tcW w:w="666" w:type="dxa"/>
            <w:tcBorders>
              <w:top w:val="nil"/>
              <w:left w:val="nil"/>
              <w:bottom w:val="nil"/>
              <w:right w:val="nil"/>
            </w:tcBorders>
            <w:shd w:val="clear" w:color="auto" w:fill="auto"/>
            <w:noWrap/>
            <w:vAlign w:val="bottom"/>
            <w:hideMark/>
          </w:tcPr>
          <w:p w14:paraId="4F47E4FF" w14:textId="3E372D49" w:rsidR="00AC3691" w:rsidRPr="00AC3691" w:rsidRDefault="00AC3691" w:rsidP="00AC3691">
            <w:pPr>
              <w:rPr>
                <w:rFonts w:ascii="Times New Roman" w:eastAsia="Times New Roman" w:hAnsi="Times New Roman" w:cs="Times New Roman"/>
                <w:sz w:val="20"/>
                <w:szCs w:val="20"/>
              </w:rPr>
            </w:pPr>
            <w:r w:rsidRPr="00AC3691">
              <w:rPr>
                <w:rFonts w:ascii="Times New Roman" w:hAnsi="Times New Roman" w:cs="Times New Roman"/>
                <w:sz w:val="20"/>
                <w:szCs w:val="20"/>
              </w:rPr>
              <w:t>0.32</w:t>
            </w:r>
          </w:p>
        </w:tc>
        <w:tc>
          <w:tcPr>
            <w:tcW w:w="753" w:type="dxa"/>
            <w:tcBorders>
              <w:top w:val="nil"/>
              <w:left w:val="nil"/>
              <w:bottom w:val="nil"/>
              <w:right w:val="nil"/>
            </w:tcBorders>
            <w:shd w:val="clear" w:color="auto" w:fill="auto"/>
            <w:noWrap/>
            <w:vAlign w:val="bottom"/>
            <w:hideMark/>
          </w:tcPr>
          <w:p w14:paraId="1428F21E" w14:textId="65D122D5" w:rsidR="00AC3691" w:rsidRPr="00AC3691" w:rsidRDefault="00AC3691" w:rsidP="00AC3691">
            <w:pPr>
              <w:rPr>
                <w:rFonts w:ascii="Times New Roman" w:eastAsia="Times New Roman" w:hAnsi="Times New Roman" w:cs="Times New Roman"/>
                <w:sz w:val="20"/>
                <w:szCs w:val="20"/>
              </w:rPr>
            </w:pPr>
            <w:r w:rsidRPr="00AC3691">
              <w:rPr>
                <w:rFonts w:ascii="Times New Roman" w:hAnsi="Times New Roman" w:cs="Times New Roman"/>
                <w:sz w:val="20"/>
                <w:szCs w:val="20"/>
              </w:rPr>
              <w:t>-0.02</w:t>
            </w:r>
          </w:p>
        </w:tc>
        <w:tc>
          <w:tcPr>
            <w:tcW w:w="567" w:type="dxa"/>
            <w:tcBorders>
              <w:top w:val="nil"/>
              <w:left w:val="nil"/>
              <w:bottom w:val="nil"/>
              <w:right w:val="nil"/>
            </w:tcBorders>
            <w:vAlign w:val="bottom"/>
          </w:tcPr>
          <w:p w14:paraId="01DD1675" w14:textId="77777777" w:rsidR="00AC3691" w:rsidRPr="00AC3691" w:rsidRDefault="00AC3691" w:rsidP="00AC3691">
            <w:pPr>
              <w:rPr>
                <w:rFonts w:ascii="Times New Roman" w:eastAsia="Times New Roman" w:hAnsi="Times New Roman" w:cs="Times New Roman"/>
                <w:sz w:val="20"/>
                <w:szCs w:val="20"/>
              </w:rPr>
            </w:pPr>
          </w:p>
        </w:tc>
      </w:tr>
      <w:tr w:rsidR="00AC3691" w:rsidRPr="00782EDA" w14:paraId="4CB0FCB6" w14:textId="77777777" w:rsidTr="00AC3691">
        <w:trPr>
          <w:trHeight w:val="320"/>
          <w:jc w:val="center"/>
        </w:trPr>
        <w:tc>
          <w:tcPr>
            <w:tcW w:w="2977" w:type="dxa"/>
            <w:tcBorders>
              <w:top w:val="nil"/>
              <w:left w:val="nil"/>
              <w:bottom w:val="nil"/>
              <w:right w:val="nil"/>
            </w:tcBorders>
            <w:shd w:val="clear" w:color="auto" w:fill="auto"/>
            <w:noWrap/>
            <w:vAlign w:val="center"/>
            <w:hideMark/>
          </w:tcPr>
          <w:p w14:paraId="00CED6F6" w14:textId="6F299456" w:rsidR="00AC3691" w:rsidRPr="00782EDA" w:rsidRDefault="00AC3691" w:rsidP="00AC3691">
            <w:pPr>
              <w:rPr>
                <w:rFonts w:ascii="Times New Roman" w:eastAsia="Times New Roman" w:hAnsi="Times New Roman" w:cs="Times New Roman"/>
                <w:color w:val="000000"/>
                <w:sz w:val="20"/>
                <w:szCs w:val="20"/>
              </w:rPr>
            </w:pPr>
            <w:r w:rsidRPr="00782EDA">
              <w:rPr>
                <w:rFonts w:ascii="Times New Roman" w:eastAsia="Times New Roman" w:hAnsi="Times New Roman" w:cs="Times New Roman"/>
                <w:color w:val="000000"/>
                <w:sz w:val="20"/>
                <w:szCs w:val="20"/>
              </w:rPr>
              <w:t>7. size</w:t>
            </w:r>
          </w:p>
        </w:tc>
        <w:tc>
          <w:tcPr>
            <w:tcW w:w="709" w:type="dxa"/>
            <w:tcBorders>
              <w:top w:val="nil"/>
              <w:left w:val="nil"/>
              <w:bottom w:val="nil"/>
              <w:right w:val="nil"/>
            </w:tcBorders>
            <w:shd w:val="clear" w:color="auto" w:fill="auto"/>
            <w:noWrap/>
            <w:vAlign w:val="bottom"/>
            <w:hideMark/>
          </w:tcPr>
          <w:p w14:paraId="1A1951EB" w14:textId="23323E77"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0.01</w:t>
            </w:r>
          </w:p>
        </w:tc>
        <w:tc>
          <w:tcPr>
            <w:tcW w:w="709" w:type="dxa"/>
            <w:tcBorders>
              <w:top w:val="nil"/>
              <w:left w:val="nil"/>
              <w:bottom w:val="nil"/>
              <w:right w:val="nil"/>
            </w:tcBorders>
            <w:shd w:val="clear" w:color="auto" w:fill="auto"/>
            <w:noWrap/>
            <w:vAlign w:val="bottom"/>
            <w:hideMark/>
          </w:tcPr>
          <w:p w14:paraId="586860D7" w14:textId="59932316"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0.49</w:t>
            </w:r>
          </w:p>
        </w:tc>
        <w:tc>
          <w:tcPr>
            <w:tcW w:w="707" w:type="dxa"/>
            <w:tcBorders>
              <w:top w:val="nil"/>
              <w:left w:val="nil"/>
              <w:bottom w:val="nil"/>
              <w:right w:val="nil"/>
            </w:tcBorders>
            <w:shd w:val="clear" w:color="auto" w:fill="auto"/>
            <w:noWrap/>
            <w:vAlign w:val="bottom"/>
            <w:hideMark/>
          </w:tcPr>
          <w:p w14:paraId="3757ED7D" w14:textId="7CB5E43F"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0.16</w:t>
            </w:r>
          </w:p>
        </w:tc>
        <w:tc>
          <w:tcPr>
            <w:tcW w:w="666" w:type="dxa"/>
            <w:tcBorders>
              <w:top w:val="nil"/>
              <w:left w:val="nil"/>
              <w:bottom w:val="nil"/>
              <w:right w:val="nil"/>
            </w:tcBorders>
            <w:shd w:val="clear" w:color="auto" w:fill="auto"/>
            <w:noWrap/>
            <w:vAlign w:val="bottom"/>
            <w:hideMark/>
          </w:tcPr>
          <w:p w14:paraId="433E9A3E" w14:textId="69023C3F"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0.37</w:t>
            </w:r>
          </w:p>
        </w:tc>
        <w:tc>
          <w:tcPr>
            <w:tcW w:w="753" w:type="dxa"/>
            <w:tcBorders>
              <w:top w:val="nil"/>
              <w:left w:val="nil"/>
              <w:bottom w:val="nil"/>
              <w:right w:val="nil"/>
            </w:tcBorders>
            <w:shd w:val="clear" w:color="auto" w:fill="auto"/>
            <w:noWrap/>
            <w:vAlign w:val="bottom"/>
            <w:hideMark/>
          </w:tcPr>
          <w:p w14:paraId="53B02173" w14:textId="259F6701"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0.0</w:t>
            </w:r>
            <w:r>
              <w:rPr>
                <w:rFonts w:ascii="Times New Roman" w:hAnsi="Times New Roman" w:cs="Times New Roman"/>
                <w:sz w:val="20"/>
                <w:szCs w:val="20"/>
              </w:rPr>
              <w:t>1</w:t>
            </w:r>
          </w:p>
        </w:tc>
        <w:tc>
          <w:tcPr>
            <w:tcW w:w="567" w:type="dxa"/>
            <w:tcBorders>
              <w:top w:val="nil"/>
              <w:left w:val="nil"/>
              <w:bottom w:val="nil"/>
              <w:right w:val="nil"/>
            </w:tcBorders>
            <w:vAlign w:val="bottom"/>
          </w:tcPr>
          <w:p w14:paraId="27002C52" w14:textId="2055D7B5" w:rsidR="00AC3691" w:rsidRPr="00AC3691" w:rsidRDefault="00AC3691" w:rsidP="00AC3691">
            <w:pPr>
              <w:rPr>
                <w:rFonts w:ascii="Times New Roman" w:eastAsia="Times New Roman" w:hAnsi="Times New Roman" w:cs="Times New Roman"/>
                <w:color w:val="000000"/>
                <w:sz w:val="20"/>
                <w:szCs w:val="20"/>
              </w:rPr>
            </w:pPr>
            <w:r w:rsidRPr="00AC3691">
              <w:rPr>
                <w:rFonts w:ascii="Times New Roman" w:hAnsi="Times New Roman" w:cs="Times New Roman"/>
                <w:sz w:val="20"/>
                <w:szCs w:val="20"/>
              </w:rPr>
              <w:t>0.29</w:t>
            </w:r>
          </w:p>
        </w:tc>
      </w:tr>
    </w:tbl>
    <w:p w14:paraId="53327E3C" w14:textId="5B1FF156" w:rsidR="00C36E14" w:rsidRDefault="00C36E14" w:rsidP="00782EDA">
      <w:pPr>
        <w:spacing w:line="360" w:lineRule="auto"/>
        <w:rPr>
          <w:rFonts w:ascii="Times New Roman" w:eastAsia="Times New Roman" w:hAnsi="Times New Roman" w:cs="Times New Roman"/>
        </w:rPr>
      </w:pPr>
    </w:p>
    <w:p w14:paraId="737A505F" w14:textId="77777777" w:rsidR="00C36E14" w:rsidRDefault="00C36E14">
      <w:pPr>
        <w:rPr>
          <w:rFonts w:ascii="Times New Roman" w:eastAsia="Times New Roman" w:hAnsi="Times New Roman" w:cs="Times New Roman"/>
        </w:rPr>
      </w:pPr>
      <w:r>
        <w:rPr>
          <w:rFonts w:ascii="Times New Roman" w:eastAsia="Times New Roman" w:hAnsi="Times New Roman" w:cs="Times New Roman"/>
        </w:rPr>
        <w:br w:type="page"/>
      </w:r>
    </w:p>
    <w:p w14:paraId="159E7F01" w14:textId="77777777" w:rsidR="00782EDA" w:rsidRPr="00782EDA" w:rsidRDefault="00782EDA" w:rsidP="00782EDA">
      <w:pPr>
        <w:jc w:val="center"/>
        <w:rPr>
          <w:rFonts w:ascii="Times New Roman" w:eastAsia="Times New Roman" w:hAnsi="Times New Roman" w:cs="Times New Roman"/>
          <w:b/>
        </w:rPr>
      </w:pPr>
      <w:r w:rsidRPr="00782EDA">
        <w:rPr>
          <w:rFonts w:ascii="Times New Roman" w:eastAsia="Times New Roman" w:hAnsi="Times New Roman" w:cs="Times New Roman"/>
          <w:b/>
          <w:sz w:val="20"/>
          <w:szCs w:val="20"/>
        </w:rPr>
        <w:t>TABLE 3. Fractional Response Generalized Linear Models</w:t>
      </w:r>
    </w:p>
    <w:tbl>
      <w:tblPr>
        <w:tblW w:w="6721" w:type="dxa"/>
        <w:jc w:val="center"/>
        <w:tblLook w:val="04A0" w:firstRow="1" w:lastRow="0" w:firstColumn="1" w:lastColumn="0" w:noHBand="0" w:noVBand="1"/>
      </w:tblPr>
      <w:tblGrid>
        <w:gridCol w:w="3138"/>
        <w:gridCol w:w="961"/>
        <w:gridCol w:w="1353"/>
        <w:gridCol w:w="1047"/>
        <w:gridCol w:w="222"/>
      </w:tblGrid>
      <w:tr w:rsidR="00782EDA" w:rsidRPr="00782EDA" w14:paraId="7D40F1F9" w14:textId="77777777" w:rsidTr="00AF3366">
        <w:trPr>
          <w:trHeight w:val="281"/>
          <w:jc w:val="center"/>
        </w:trPr>
        <w:tc>
          <w:tcPr>
            <w:tcW w:w="3138" w:type="dxa"/>
            <w:tcBorders>
              <w:top w:val="single" w:sz="18" w:space="0" w:color="auto"/>
              <w:left w:val="nil"/>
              <w:bottom w:val="nil"/>
              <w:right w:val="nil"/>
            </w:tcBorders>
            <w:shd w:val="clear" w:color="auto" w:fill="auto"/>
            <w:noWrap/>
            <w:vAlign w:val="bottom"/>
            <w:hideMark/>
          </w:tcPr>
          <w:p w14:paraId="7C7AF9B0" w14:textId="77777777" w:rsidR="00782EDA" w:rsidRPr="00782EDA" w:rsidRDefault="00782EDA" w:rsidP="00782EDA">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 </w:t>
            </w:r>
          </w:p>
        </w:tc>
        <w:tc>
          <w:tcPr>
            <w:tcW w:w="961" w:type="dxa"/>
            <w:tcBorders>
              <w:top w:val="single" w:sz="18" w:space="0" w:color="auto"/>
              <w:left w:val="nil"/>
              <w:bottom w:val="nil"/>
              <w:right w:val="nil"/>
            </w:tcBorders>
            <w:shd w:val="clear" w:color="auto" w:fill="auto"/>
            <w:noWrap/>
            <w:vAlign w:val="bottom"/>
            <w:hideMark/>
          </w:tcPr>
          <w:p w14:paraId="14C9DB36" w14:textId="77777777" w:rsidR="00782EDA" w:rsidRPr="00782EDA" w:rsidRDefault="00782EDA" w:rsidP="00782EDA">
            <w:pPr>
              <w:jc w:val="center"/>
              <w:rPr>
                <w:rFonts w:ascii="Times New Roman" w:eastAsia="Times New Roman" w:hAnsi="Times New Roman" w:cs="Times New Roman"/>
                <w:b/>
                <w:bCs/>
                <w:sz w:val="20"/>
                <w:szCs w:val="20"/>
              </w:rPr>
            </w:pPr>
            <w:r w:rsidRPr="00782EDA">
              <w:rPr>
                <w:rFonts w:ascii="Times New Roman" w:eastAsia="Times New Roman" w:hAnsi="Times New Roman" w:cs="Times New Roman"/>
                <w:b/>
                <w:bCs/>
                <w:sz w:val="20"/>
                <w:szCs w:val="20"/>
              </w:rPr>
              <w:t>Model 1</w:t>
            </w:r>
          </w:p>
        </w:tc>
        <w:tc>
          <w:tcPr>
            <w:tcW w:w="1353" w:type="dxa"/>
            <w:tcBorders>
              <w:top w:val="single" w:sz="18" w:space="0" w:color="auto"/>
              <w:left w:val="nil"/>
              <w:bottom w:val="nil"/>
              <w:right w:val="nil"/>
            </w:tcBorders>
            <w:shd w:val="clear" w:color="auto" w:fill="auto"/>
            <w:noWrap/>
            <w:vAlign w:val="center"/>
            <w:hideMark/>
          </w:tcPr>
          <w:p w14:paraId="1EEB6D47" w14:textId="77777777" w:rsidR="00782EDA" w:rsidRPr="00782EDA" w:rsidRDefault="00782EDA" w:rsidP="00782EDA">
            <w:pPr>
              <w:jc w:val="center"/>
              <w:rPr>
                <w:rFonts w:ascii="Times New Roman" w:eastAsia="Times New Roman" w:hAnsi="Times New Roman" w:cs="Times New Roman"/>
                <w:b/>
                <w:bCs/>
                <w:sz w:val="20"/>
                <w:szCs w:val="20"/>
              </w:rPr>
            </w:pPr>
            <w:r w:rsidRPr="00782EDA">
              <w:rPr>
                <w:rFonts w:ascii="Times New Roman" w:eastAsia="Times New Roman" w:hAnsi="Times New Roman" w:cs="Times New Roman"/>
                <w:b/>
                <w:bCs/>
                <w:sz w:val="20"/>
                <w:szCs w:val="20"/>
              </w:rPr>
              <w:t>Model 2</w:t>
            </w:r>
          </w:p>
        </w:tc>
        <w:tc>
          <w:tcPr>
            <w:tcW w:w="1047" w:type="dxa"/>
            <w:tcBorders>
              <w:top w:val="single" w:sz="18" w:space="0" w:color="auto"/>
              <w:left w:val="nil"/>
              <w:bottom w:val="nil"/>
              <w:right w:val="nil"/>
            </w:tcBorders>
            <w:vAlign w:val="bottom"/>
          </w:tcPr>
          <w:p w14:paraId="48CBFB48" w14:textId="77777777" w:rsidR="00782EDA" w:rsidRPr="00782EDA" w:rsidRDefault="00782EDA" w:rsidP="00782EDA">
            <w:pPr>
              <w:jc w:val="center"/>
              <w:rPr>
                <w:rFonts w:ascii="Times New Roman" w:eastAsia="Times New Roman" w:hAnsi="Times New Roman" w:cs="Times New Roman"/>
                <w:b/>
                <w:bCs/>
                <w:sz w:val="20"/>
                <w:szCs w:val="20"/>
              </w:rPr>
            </w:pPr>
            <w:r w:rsidRPr="00782EDA">
              <w:rPr>
                <w:rFonts w:ascii="Times New Roman" w:eastAsia="Times New Roman" w:hAnsi="Times New Roman" w:cs="Times New Roman"/>
                <w:b/>
                <w:bCs/>
                <w:sz w:val="20"/>
                <w:szCs w:val="20"/>
              </w:rPr>
              <w:t>Model 3</w:t>
            </w:r>
          </w:p>
        </w:tc>
        <w:tc>
          <w:tcPr>
            <w:tcW w:w="222" w:type="dxa"/>
            <w:tcBorders>
              <w:top w:val="single" w:sz="18" w:space="0" w:color="auto"/>
              <w:left w:val="nil"/>
              <w:bottom w:val="nil"/>
              <w:right w:val="nil"/>
            </w:tcBorders>
          </w:tcPr>
          <w:p w14:paraId="5473E5BA" w14:textId="77777777" w:rsidR="00782EDA" w:rsidRPr="00782EDA" w:rsidRDefault="00782EDA" w:rsidP="00782EDA">
            <w:pPr>
              <w:jc w:val="center"/>
              <w:rPr>
                <w:rFonts w:ascii="Times New Roman" w:eastAsia="Times New Roman" w:hAnsi="Times New Roman" w:cs="Times New Roman"/>
                <w:b/>
                <w:bCs/>
                <w:sz w:val="20"/>
                <w:szCs w:val="20"/>
              </w:rPr>
            </w:pPr>
          </w:p>
        </w:tc>
      </w:tr>
      <w:tr w:rsidR="00782EDA" w:rsidRPr="00782EDA" w14:paraId="2FFFC357" w14:textId="77777777" w:rsidTr="00AF3366">
        <w:trPr>
          <w:trHeight w:val="281"/>
          <w:jc w:val="center"/>
        </w:trPr>
        <w:tc>
          <w:tcPr>
            <w:tcW w:w="3138" w:type="dxa"/>
            <w:tcBorders>
              <w:top w:val="nil"/>
              <w:left w:val="nil"/>
              <w:bottom w:val="double" w:sz="6" w:space="0" w:color="auto"/>
              <w:right w:val="nil"/>
            </w:tcBorders>
            <w:shd w:val="clear" w:color="auto" w:fill="auto"/>
            <w:noWrap/>
            <w:vAlign w:val="bottom"/>
            <w:hideMark/>
          </w:tcPr>
          <w:p w14:paraId="3F8FE2C1" w14:textId="77777777" w:rsidR="00782EDA" w:rsidRPr="00782EDA" w:rsidRDefault="00782EDA" w:rsidP="00782EDA">
            <w:pPr>
              <w:rPr>
                <w:rFonts w:ascii="Times New Roman" w:eastAsia="Times New Roman" w:hAnsi="Times New Roman" w:cs="Times New Roman"/>
                <w:b/>
                <w:bCs/>
                <w:sz w:val="20"/>
                <w:szCs w:val="20"/>
              </w:rPr>
            </w:pPr>
            <w:r w:rsidRPr="00782EDA">
              <w:rPr>
                <w:rFonts w:ascii="Times New Roman" w:eastAsia="Times New Roman" w:hAnsi="Times New Roman" w:cs="Times New Roman"/>
                <w:b/>
                <w:bCs/>
                <w:sz w:val="20"/>
                <w:szCs w:val="20"/>
              </w:rPr>
              <w:t>VARIABLES</w:t>
            </w:r>
          </w:p>
        </w:tc>
        <w:tc>
          <w:tcPr>
            <w:tcW w:w="961" w:type="dxa"/>
            <w:tcBorders>
              <w:top w:val="nil"/>
              <w:left w:val="nil"/>
              <w:bottom w:val="double" w:sz="6" w:space="0" w:color="auto"/>
              <w:right w:val="nil"/>
            </w:tcBorders>
            <w:shd w:val="clear" w:color="auto" w:fill="auto"/>
            <w:noWrap/>
            <w:vAlign w:val="bottom"/>
            <w:hideMark/>
          </w:tcPr>
          <w:p w14:paraId="0DFAE55A" w14:textId="778BA223" w:rsidR="00782EDA" w:rsidRPr="00782EDA" w:rsidRDefault="00782EDA" w:rsidP="00782EDA">
            <w:pPr>
              <w:jc w:val="center"/>
              <w:rPr>
                <w:rFonts w:ascii="Times New Roman" w:eastAsia="Times New Roman" w:hAnsi="Times New Roman" w:cs="Times New Roman"/>
                <w:b/>
                <w:bCs/>
                <w:sz w:val="20"/>
                <w:szCs w:val="20"/>
              </w:rPr>
            </w:pPr>
          </w:p>
        </w:tc>
        <w:tc>
          <w:tcPr>
            <w:tcW w:w="1353" w:type="dxa"/>
            <w:tcBorders>
              <w:top w:val="nil"/>
              <w:left w:val="nil"/>
              <w:bottom w:val="double" w:sz="6" w:space="0" w:color="auto"/>
              <w:right w:val="nil"/>
            </w:tcBorders>
            <w:shd w:val="clear" w:color="auto" w:fill="auto"/>
            <w:noWrap/>
            <w:vAlign w:val="center"/>
            <w:hideMark/>
          </w:tcPr>
          <w:p w14:paraId="6D3D5C00" w14:textId="7574D5CF" w:rsidR="00782EDA" w:rsidRPr="00782EDA" w:rsidRDefault="00782EDA" w:rsidP="00782EDA">
            <w:pPr>
              <w:jc w:val="center"/>
              <w:rPr>
                <w:rFonts w:ascii="Times New Roman" w:eastAsia="Times New Roman" w:hAnsi="Times New Roman" w:cs="Times New Roman"/>
                <w:b/>
                <w:bCs/>
                <w:sz w:val="20"/>
                <w:szCs w:val="20"/>
              </w:rPr>
            </w:pPr>
          </w:p>
        </w:tc>
        <w:tc>
          <w:tcPr>
            <w:tcW w:w="1047" w:type="dxa"/>
            <w:tcBorders>
              <w:top w:val="nil"/>
              <w:left w:val="nil"/>
              <w:bottom w:val="double" w:sz="6" w:space="0" w:color="auto"/>
              <w:right w:val="nil"/>
            </w:tcBorders>
            <w:vAlign w:val="bottom"/>
          </w:tcPr>
          <w:p w14:paraId="65FF4F94" w14:textId="642299C9" w:rsidR="00782EDA" w:rsidRPr="00782EDA" w:rsidRDefault="00782EDA" w:rsidP="00782EDA">
            <w:pPr>
              <w:jc w:val="center"/>
              <w:rPr>
                <w:rFonts w:ascii="Times New Roman" w:eastAsia="Times New Roman" w:hAnsi="Times New Roman" w:cs="Times New Roman"/>
                <w:b/>
                <w:bCs/>
                <w:sz w:val="20"/>
                <w:szCs w:val="20"/>
              </w:rPr>
            </w:pPr>
          </w:p>
        </w:tc>
        <w:tc>
          <w:tcPr>
            <w:tcW w:w="222" w:type="dxa"/>
            <w:tcBorders>
              <w:top w:val="nil"/>
              <w:left w:val="nil"/>
              <w:bottom w:val="double" w:sz="6" w:space="0" w:color="auto"/>
              <w:right w:val="nil"/>
            </w:tcBorders>
          </w:tcPr>
          <w:p w14:paraId="0E9CCA0B" w14:textId="77777777" w:rsidR="00782EDA" w:rsidRPr="00782EDA" w:rsidRDefault="00782EDA" w:rsidP="00782EDA">
            <w:pPr>
              <w:jc w:val="center"/>
              <w:rPr>
                <w:rFonts w:ascii="Times New Roman" w:eastAsia="Times New Roman" w:hAnsi="Times New Roman" w:cs="Times New Roman"/>
                <w:b/>
                <w:bCs/>
                <w:sz w:val="20"/>
                <w:szCs w:val="20"/>
              </w:rPr>
            </w:pPr>
          </w:p>
        </w:tc>
      </w:tr>
      <w:tr w:rsidR="00F156EF" w:rsidRPr="00782EDA" w14:paraId="2EC290A0"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0BA72060" w14:textId="77777777" w:rsidR="00F156EF" w:rsidRPr="00782EDA" w:rsidRDefault="00F156EF" w:rsidP="005807B2">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profit per equity partner</w:t>
            </w:r>
          </w:p>
        </w:tc>
        <w:tc>
          <w:tcPr>
            <w:tcW w:w="961" w:type="dxa"/>
            <w:tcBorders>
              <w:top w:val="nil"/>
              <w:left w:val="nil"/>
              <w:bottom w:val="nil"/>
              <w:right w:val="nil"/>
            </w:tcBorders>
            <w:shd w:val="clear" w:color="auto" w:fill="auto"/>
            <w:noWrap/>
            <w:vAlign w:val="center"/>
            <w:hideMark/>
          </w:tcPr>
          <w:p w14:paraId="2591B02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0.39**</w:t>
            </w:r>
          </w:p>
        </w:tc>
        <w:tc>
          <w:tcPr>
            <w:tcW w:w="1353" w:type="dxa"/>
            <w:tcBorders>
              <w:top w:val="nil"/>
              <w:left w:val="nil"/>
              <w:bottom w:val="nil"/>
              <w:right w:val="nil"/>
            </w:tcBorders>
            <w:shd w:val="clear" w:color="auto" w:fill="auto"/>
            <w:noWrap/>
            <w:vAlign w:val="center"/>
            <w:hideMark/>
          </w:tcPr>
          <w:p w14:paraId="611ED719" w14:textId="08A89B80"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w:t>
            </w:r>
            <w:r>
              <w:rPr>
                <w:rFonts w:ascii="Times New Roman" w:eastAsia="Times New Roman" w:hAnsi="Times New Roman" w:cs="Times New Roman"/>
                <w:sz w:val="20"/>
                <w:szCs w:val="20"/>
              </w:rPr>
              <w:t>7</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772ED69C"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0.37**</w:t>
            </w:r>
          </w:p>
        </w:tc>
        <w:tc>
          <w:tcPr>
            <w:tcW w:w="222" w:type="dxa"/>
            <w:tcBorders>
              <w:top w:val="nil"/>
              <w:left w:val="nil"/>
              <w:bottom w:val="nil"/>
              <w:right w:val="nil"/>
            </w:tcBorders>
            <w:vAlign w:val="center"/>
          </w:tcPr>
          <w:p w14:paraId="5AEC1A87"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79A9B8AB"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79330CF5" w14:textId="77777777" w:rsidR="00F156EF" w:rsidRPr="00782EDA" w:rsidRDefault="00F156EF" w:rsidP="005807B2">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3685141B"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(0.119)</w:t>
            </w:r>
          </w:p>
        </w:tc>
        <w:tc>
          <w:tcPr>
            <w:tcW w:w="1353" w:type="dxa"/>
            <w:tcBorders>
              <w:top w:val="nil"/>
              <w:left w:val="nil"/>
              <w:bottom w:val="nil"/>
              <w:right w:val="nil"/>
            </w:tcBorders>
            <w:shd w:val="clear" w:color="auto" w:fill="auto"/>
            <w:noWrap/>
            <w:vAlign w:val="center"/>
            <w:hideMark/>
          </w:tcPr>
          <w:p w14:paraId="2A612873" w14:textId="1DE68E05"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(0.11</w:t>
            </w:r>
            <w:r>
              <w:rPr>
                <w:rFonts w:ascii="Times New Roman" w:eastAsia="Times New Roman" w:hAnsi="Times New Roman" w:cs="Times New Roman"/>
                <w:sz w:val="20"/>
                <w:szCs w:val="20"/>
              </w:rPr>
              <w:t>4</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6C59990B"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(0.113)</w:t>
            </w:r>
          </w:p>
        </w:tc>
        <w:tc>
          <w:tcPr>
            <w:tcW w:w="222" w:type="dxa"/>
            <w:tcBorders>
              <w:top w:val="nil"/>
              <w:left w:val="nil"/>
              <w:bottom w:val="nil"/>
              <w:right w:val="nil"/>
            </w:tcBorders>
            <w:vAlign w:val="center"/>
          </w:tcPr>
          <w:p w14:paraId="44512FF6"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4D964339"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7F1E832F" w14:textId="77777777" w:rsidR="00F156EF" w:rsidRPr="00782EDA" w:rsidRDefault="00F156EF" w:rsidP="005807B2">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spread top/bottom eq. partners</w:t>
            </w:r>
          </w:p>
        </w:tc>
        <w:tc>
          <w:tcPr>
            <w:tcW w:w="961" w:type="dxa"/>
            <w:tcBorders>
              <w:top w:val="nil"/>
              <w:left w:val="nil"/>
              <w:bottom w:val="nil"/>
              <w:right w:val="nil"/>
            </w:tcBorders>
            <w:shd w:val="clear" w:color="auto" w:fill="auto"/>
            <w:noWrap/>
            <w:vAlign w:val="center"/>
            <w:hideMark/>
          </w:tcPr>
          <w:p w14:paraId="509BA71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-0.02</w:t>
            </w:r>
          </w:p>
        </w:tc>
        <w:tc>
          <w:tcPr>
            <w:tcW w:w="1353" w:type="dxa"/>
            <w:tcBorders>
              <w:top w:val="nil"/>
              <w:left w:val="nil"/>
              <w:bottom w:val="nil"/>
              <w:right w:val="nil"/>
            </w:tcBorders>
            <w:shd w:val="clear" w:color="auto" w:fill="auto"/>
            <w:noWrap/>
            <w:vAlign w:val="center"/>
            <w:hideMark/>
          </w:tcPr>
          <w:p w14:paraId="7E654742" w14:textId="128EE0E9"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w:t>
            </w:r>
            <w:r>
              <w:rPr>
                <w:rFonts w:ascii="Times New Roman" w:eastAsia="Times New Roman" w:hAnsi="Times New Roman" w:cs="Times New Roman"/>
                <w:sz w:val="20"/>
                <w:szCs w:val="20"/>
              </w:rPr>
              <w:t>3</w:t>
            </w:r>
          </w:p>
        </w:tc>
        <w:tc>
          <w:tcPr>
            <w:tcW w:w="1047" w:type="dxa"/>
            <w:tcBorders>
              <w:top w:val="nil"/>
              <w:left w:val="nil"/>
              <w:bottom w:val="nil"/>
              <w:right w:val="nil"/>
            </w:tcBorders>
            <w:vAlign w:val="center"/>
          </w:tcPr>
          <w:p w14:paraId="0E6BBA7F"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-0.02</w:t>
            </w:r>
          </w:p>
        </w:tc>
        <w:tc>
          <w:tcPr>
            <w:tcW w:w="222" w:type="dxa"/>
            <w:tcBorders>
              <w:top w:val="nil"/>
              <w:left w:val="nil"/>
              <w:bottom w:val="nil"/>
              <w:right w:val="nil"/>
            </w:tcBorders>
            <w:vAlign w:val="center"/>
          </w:tcPr>
          <w:p w14:paraId="55DE5601"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37C20F90"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189DB9E6" w14:textId="77777777" w:rsidR="00F156EF" w:rsidRPr="00782EDA" w:rsidRDefault="00F156EF" w:rsidP="005807B2">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75F17E60"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(0.017)</w:t>
            </w:r>
          </w:p>
        </w:tc>
        <w:tc>
          <w:tcPr>
            <w:tcW w:w="1353" w:type="dxa"/>
            <w:tcBorders>
              <w:top w:val="nil"/>
              <w:left w:val="nil"/>
              <w:bottom w:val="nil"/>
              <w:right w:val="nil"/>
            </w:tcBorders>
            <w:shd w:val="clear" w:color="auto" w:fill="auto"/>
            <w:noWrap/>
            <w:vAlign w:val="center"/>
            <w:hideMark/>
          </w:tcPr>
          <w:p w14:paraId="4C8A1033"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(0.017)</w:t>
            </w:r>
          </w:p>
        </w:tc>
        <w:tc>
          <w:tcPr>
            <w:tcW w:w="1047" w:type="dxa"/>
            <w:tcBorders>
              <w:top w:val="nil"/>
              <w:left w:val="nil"/>
              <w:bottom w:val="nil"/>
              <w:right w:val="nil"/>
            </w:tcBorders>
            <w:vAlign w:val="center"/>
          </w:tcPr>
          <w:p w14:paraId="679C60F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(0.017)</w:t>
            </w:r>
          </w:p>
        </w:tc>
        <w:tc>
          <w:tcPr>
            <w:tcW w:w="222" w:type="dxa"/>
            <w:tcBorders>
              <w:top w:val="nil"/>
              <w:left w:val="nil"/>
              <w:bottom w:val="nil"/>
              <w:right w:val="nil"/>
            </w:tcBorders>
            <w:vAlign w:val="center"/>
          </w:tcPr>
          <w:p w14:paraId="75401DBF"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74FFFA90"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25FECF50" w14:textId="77777777" w:rsidR="00F156EF" w:rsidRPr="00782EDA" w:rsidRDefault="00F156EF" w:rsidP="005807B2">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leverage</w:t>
            </w:r>
          </w:p>
        </w:tc>
        <w:tc>
          <w:tcPr>
            <w:tcW w:w="961" w:type="dxa"/>
            <w:tcBorders>
              <w:top w:val="nil"/>
              <w:left w:val="nil"/>
              <w:bottom w:val="nil"/>
              <w:right w:val="nil"/>
            </w:tcBorders>
            <w:shd w:val="clear" w:color="auto" w:fill="auto"/>
            <w:noWrap/>
            <w:vAlign w:val="center"/>
            <w:hideMark/>
          </w:tcPr>
          <w:p w14:paraId="3B63F094"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-0.18**</w:t>
            </w:r>
          </w:p>
        </w:tc>
        <w:tc>
          <w:tcPr>
            <w:tcW w:w="1353" w:type="dxa"/>
            <w:tcBorders>
              <w:top w:val="nil"/>
              <w:left w:val="nil"/>
              <w:bottom w:val="nil"/>
              <w:right w:val="nil"/>
            </w:tcBorders>
            <w:shd w:val="clear" w:color="auto" w:fill="auto"/>
            <w:noWrap/>
            <w:vAlign w:val="center"/>
            <w:hideMark/>
          </w:tcPr>
          <w:p w14:paraId="0411204E"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-0.19**</w:t>
            </w:r>
          </w:p>
        </w:tc>
        <w:tc>
          <w:tcPr>
            <w:tcW w:w="1047" w:type="dxa"/>
            <w:tcBorders>
              <w:top w:val="nil"/>
              <w:left w:val="nil"/>
              <w:bottom w:val="nil"/>
              <w:right w:val="nil"/>
            </w:tcBorders>
            <w:vAlign w:val="center"/>
          </w:tcPr>
          <w:p w14:paraId="20110F34"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-0.19**</w:t>
            </w:r>
          </w:p>
        </w:tc>
        <w:tc>
          <w:tcPr>
            <w:tcW w:w="222" w:type="dxa"/>
            <w:tcBorders>
              <w:top w:val="nil"/>
              <w:left w:val="nil"/>
              <w:bottom w:val="nil"/>
              <w:right w:val="nil"/>
            </w:tcBorders>
            <w:vAlign w:val="center"/>
          </w:tcPr>
          <w:p w14:paraId="49810094"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4AFDCF3C"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1B3C6D7C" w14:textId="77777777" w:rsidR="00F156EF" w:rsidRPr="00782EDA" w:rsidRDefault="00F156EF" w:rsidP="005807B2">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7840FB98"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(0.061)</w:t>
            </w:r>
          </w:p>
        </w:tc>
        <w:tc>
          <w:tcPr>
            <w:tcW w:w="1353" w:type="dxa"/>
            <w:tcBorders>
              <w:top w:val="nil"/>
              <w:left w:val="nil"/>
              <w:bottom w:val="nil"/>
              <w:right w:val="nil"/>
            </w:tcBorders>
            <w:shd w:val="clear" w:color="auto" w:fill="auto"/>
            <w:noWrap/>
            <w:vAlign w:val="center"/>
            <w:hideMark/>
          </w:tcPr>
          <w:p w14:paraId="7000F658"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(0.061)</w:t>
            </w:r>
          </w:p>
        </w:tc>
        <w:tc>
          <w:tcPr>
            <w:tcW w:w="1047" w:type="dxa"/>
            <w:tcBorders>
              <w:top w:val="nil"/>
              <w:left w:val="nil"/>
              <w:bottom w:val="nil"/>
              <w:right w:val="nil"/>
            </w:tcBorders>
            <w:vAlign w:val="center"/>
          </w:tcPr>
          <w:p w14:paraId="6FF77F2F"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(0.061)</w:t>
            </w:r>
          </w:p>
        </w:tc>
        <w:tc>
          <w:tcPr>
            <w:tcW w:w="222" w:type="dxa"/>
            <w:tcBorders>
              <w:top w:val="nil"/>
              <w:left w:val="nil"/>
              <w:bottom w:val="nil"/>
              <w:right w:val="nil"/>
            </w:tcBorders>
            <w:vAlign w:val="center"/>
          </w:tcPr>
          <w:p w14:paraId="04D7199A" w14:textId="77777777" w:rsidR="00F156EF" w:rsidRPr="00782EDA" w:rsidRDefault="00F156EF" w:rsidP="005807B2">
            <w:pPr>
              <w:jc w:val="center"/>
              <w:rPr>
                <w:rFonts w:ascii="Times New Roman" w:eastAsia="Times New Roman" w:hAnsi="Times New Roman" w:cs="Times New Roman"/>
                <w:sz w:val="20"/>
                <w:szCs w:val="20"/>
              </w:rPr>
            </w:pPr>
          </w:p>
        </w:tc>
      </w:tr>
      <w:tr w:rsidR="00F156EF" w:rsidRPr="00782EDA" w14:paraId="7CB3735F" w14:textId="77777777" w:rsidTr="00F156EF">
        <w:trPr>
          <w:trHeight w:val="261"/>
          <w:jc w:val="center"/>
        </w:trPr>
        <w:tc>
          <w:tcPr>
            <w:tcW w:w="3138" w:type="dxa"/>
            <w:tcBorders>
              <w:top w:val="nil"/>
              <w:left w:val="nil"/>
              <w:bottom w:val="nil"/>
              <w:right w:val="nil"/>
            </w:tcBorders>
            <w:shd w:val="clear" w:color="auto" w:fill="auto"/>
            <w:noWrap/>
            <w:vAlign w:val="center"/>
          </w:tcPr>
          <w:p w14:paraId="317301C6"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lawyers gender</w:t>
            </w:r>
          </w:p>
        </w:tc>
        <w:tc>
          <w:tcPr>
            <w:tcW w:w="961" w:type="dxa"/>
            <w:tcBorders>
              <w:top w:val="nil"/>
              <w:left w:val="nil"/>
              <w:bottom w:val="nil"/>
              <w:right w:val="nil"/>
            </w:tcBorders>
            <w:shd w:val="clear" w:color="auto" w:fill="auto"/>
            <w:noWrap/>
            <w:vAlign w:val="center"/>
          </w:tcPr>
          <w:p w14:paraId="2417DD3A" w14:textId="77777777" w:rsidR="00F156EF" w:rsidRPr="00782EDA" w:rsidRDefault="00F156EF" w:rsidP="00F156EF">
            <w:pPr>
              <w:jc w:val="cente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center"/>
          </w:tcPr>
          <w:p w14:paraId="428EBACF" w14:textId="07A7BD2D"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w:t>
            </w:r>
            <w:r>
              <w:rPr>
                <w:rFonts w:ascii="Times New Roman" w:eastAsia="Times New Roman" w:hAnsi="Times New Roman" w:cs="Times New Roman"/>
                <w:sz w:val="20"/>
                <w:szCs w:val="20"/>
              </w:rPr>
              <w:t>20</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78A16EA3" w14:textId="5A94AC46"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0.19*</w:t>
            </w:r>
          </w:p>
        </w:tc>
        <w:tc>
          <w:tcPr>
            <w:tcW w:w="222" w:type="dxa"/>
            <w:tcBorders>
              <w:top w:val="nil"/>
              <w:left w:val="nil"/>
              <w:bottom w:val="nil"/>
              <w:right w:val="nil"/>
            </w:tcBorders>
            <w:vAlign w:val="center"/>
          </w:tcPr>
          <w:p w14:paraId="641E6271"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7D3EA119" w14:textId="77777777" w:rsidTr="00F156EF">
        <w:trPr>
          <w:trHeight w:val="261"/>
          <w:jc w:val="center"/>
        </w:trPr>
        <w:tc>
          <w:tcPr>
            <w:tcW w:w="3138" w:type="dxa"/>
            <w:tcBorders>
              <w:top w:val="nil"/>
              <w:left w:val="nil"/>
              <w:bottom w:val="nil"/>
              <w:right w:val="nil"/>
            </w:tcBorders>
            <w:shd w:val="clear" w:color="auto" w:fill="auto"/>
            <w:noWrap/>
            <w:vAlign w:val="center"/>
          </w:tcPr>
          <w:p w14:paraId="0B5DFA0D" w14:textId="77777777" w:rsidR="00F156EF" w:rsidRPr="00782EDA" w:rsidRDefault="00F156EF" w:rsidP="00F156EF">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tcPr>
          <w:p w14:paraId="2F4E85FD" w14:textId="77777777" w:rsidR="00F156EF" w:rsidRPr="00782EDA" w:rsidRDefault="00F156EF" w:rsidP="00F156EF">
            <w:pPr>
              <w:jc w:val="cente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center"/>
          </w:tcPr>
          <w:p w14:paraId="7276F667" w14:textId="51104D1F" w:rsidR="00F156EF" w:rsidRPr="00782EDA" w:rsidRDefault="00F156EF" w:rsidP="00F156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(0.100</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58D7AFCC" w14:textId="14A1E62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(0.097)</w:t>
            </w:r>
          </w:p>
        </w:tc>
        <w:tc>
          <w:tcPr>
            <w:tcW w:w="222" w:type="dxa"/>
            <w:tcBorders>
              <w:top w:val="nil"/>
              <w:left w:val="nil"/>
              <w:bottom w:val="nil"/>
              <w:right w:val="nil"/>
            </w:tcBorders>
            <w:vAlign w:val="center"/>
          </w:tcPr>
          <w:p w14:paraId="658011FA"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7DEE2424"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4F2BB4A6"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lawyers reputation</w:t>
            </w:r>
          </w:p>
        </w:tc>
        <w:tc>
          <w:tcPr>
            <w:tcW w:w="961" w:type="dxa"/>
            <w:tcBorders>
              <w:top w:val="nil"/>
              <w:left w:val="nil"/>
              <w:bottom w:val="nil"/>
              <w:right w:val="nil"/>
            </w:tcBorders>
            <w:shd w:val="clear" w:color="auto" w:fill="auto"/>
            <w:noWrap/>
            <w:vAlign w:val="center"/>
            <w:hideMark/>
          </w:tcPr>
          <w:p w14:paraId="5ABE2F73" w14:textId="77777777" w:rsidR="00F156EF" w:rsidRPr="00782EDA" w:rsidRDefault="00F156EF" w:rsidP="00F156EF">
            <w:pPr>
              <w:jc w:val="cente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center"/>
          </w:tcPr>
          <w:p w14:paraId="4D2F453D" w14:textId="239CF563" w:rsidR="00F156EF" w:rsidRPr="00782EDA" w:rsidRDefault="00F156EF" w:rsidP="00F156EF">
            <w:pPr>
              <w:jc w:val="center"/>
              <w:rPr>
                <w:rFonts w:ascii="Times New Roman" w:eastAsia="Times New Roman" w:hAnsi="Times New Roman" w:cs="Times New Roman"/>
                <w:sz w:val="20"/>
                <w:szCs w:val="20"/>
              </w:rPr>
            </w:pPr>
          </w:p>
        </w:tc>
        <w:tc>
          <w:tcPr>
            <w:tcW w:w="1047" w:type="dxa"/>
            <w:tcBorders>
              <w:top w:val="nil"/>
              <w:left w:val="nil"/>
              <w:bottom w:val="nil"/>
              <w:right w:val="nil"/>
            </w:tcBorders>
            <w:vAlign w:val="center"/>
          </w:tcPr>
          <w:p w14:paraId="298015AB" w14:textId="4BA95330"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-0.06*</w:t>
            </w:r>
          </w:p>
        </w:tc>
        <w:tc>
          <w:tcPr>
            <w:tcW w:w="222" w:type="dxa"/>
            <w:tcBorders>
              <w:top w:val="nil"/>
              <w:left w:val="nil"/>
              <w:bottom w:val="nil"/>
              <w:right w:val="nil"/>
            </w:tcBorders>
            <w:vAlign w:val="center"/>
          </w:tcPr>
          <w:p w14:paraId="31CC192A"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4A28EECD"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33ED68A6" w14:textId="77777777" w:rsidR="00F156EF" w:rsidRPr="00782EDA" w:rsidRDefault="00F156EF" w:rsidP="00F156EF">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35D46D9D" w14:textId="77777777" w:rsidR="00F156EF" w:rsidRPr="00782EDA" w:rsidRDefault="00F156EF" w:rsidP="00F156EF">
            <w:pPr>
              <w:jc w:val="cente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center"/>
          </w:tcPr>
          <w:p w14:paraId="317DFA8D" w14:textId="577EA497" w:rsidR="00F156EF" w:rsidRPr="00782EDA" w:rsidRDefault="00F156EF" w:rsidP="00F156EF">
            <w:pPr>
              <w:jc w:val="center"/>
              <w:rPr>
                <w:rFonts w:ascii="Times New Roman" w:eastAsia="Times New Roman" w:hAnsi="Times New Roman" w:cs="Times New Roman"/>
                <w:sz w:val="20"/>
                <w:szCs w:val="20"/>
              </w:rPr>
            </w:pPr>
          </w:p>
        </w:tc>
        <w:tc>
          <w:tcPr>
            <w:tcW w:w="1047" w:type="dxa"/>
            <w:tcBorders>
              <w:top w:val="nil"/>
              <w:left w:val="nil"/>
              <w:bottom w:val="nil"/>
              <w:right w:val="nil"/>
            </w:tcBorders>
            <w:vAlign w:val="center"/>
          </w:tcPr>
          <w:p w14:paraId="4901B6E2" w14:textId="405D74EF"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(0.024)</w:t>
            </w:r>
          </w:p>
        </w:tc>
        <w:tc>
          <w:tcPr>
            <w:tcW w:w="222" w:type="dxa"/>
            <w:tcBorders>
              <w:top w:val="nil"/>
              <w:left w:val="nil"/>
              <w:bottom w:val="nil"/>
              <w:right w:val="nil"/>
            </w:tcBorders>
            <w:vAlign w:val="center"/>
          </w:tcPr>
          <w:p w14:paraId="61D1D6C3"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28CE2173"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66DF9791" w14:textId="3B7A769C" w:rsidR="00F156EF" w:rsidRPr="00782EDA" w:rsidRDefault="00F156EF" w:rsidP="00F156EF">
            <w:pPr>
              <w:rPr>
                <w:rFonts w:ascii="Times New Roman" w:eastAsia="Times New Roman" w:hAnsi="Times New Roman" w:cs="Times New Roman"/>
                <w:sz w:val="20"/>
                <w:szCs w:val="20"/>
              </w:rPr>
            </w:pPr>
            <w:r>
              <w:rPr>
                <w:rFonts w:ascii="Times New Roman" w:eastAsia="Times New Roman" w:hAnsi="Times New Roman" w:cs="Times New Roman"/>
                <w:sz w:val="20"/>
                <w:szCs w:val="20"/>
              </w:rPr>
              <w:t>size</w:t>
            </w:r>
          </w:p>
        </w:tc>
        <w:tc>
          <w:tcPr>
            <w:tcW w:w="961" w:type="dxa"/>
            <w:tcBorders>
              <w:top w:val="nil"/>
              <w:left w:val="nil"/>
              <w:bottom w:val="nil"/>
              <w:right w:val="nil"/>
            </w:tcBorders>
            <w:shd w:val="clear" w:color="auto" w:fill="auto"/>
            <w:noWrap/>
            <w:vAlign w:val="center"/>
            <w:hideMark/>
          </w:tcPr>
          <w:p w14:paraId="2AC688B1"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0.38***</w:t>
            </w:r>
          </w:p>
        </w:tc>
        <w:tc>
          <w:tcPr>
            <w:tcW w:w="1353" w:type="dxa"/>
            <w:tcBorders>
              <w:top w:val="nil"/>
              <w:left w:val="nil"/>
              <w:bottom w:val="nil"/>
              <w:right w:val="nil"/>
            </w:tcBorders>
            <w:shd w:val="clear" w:color="auto" w:fill="auto"/>
            <w:noWrap/>
            <w:vAlign w:val="center"/>
            <w:hideMark/>
          </w:tcPr>
          <w:p w14:paraId="1D76C12D" w14:textId="29A67DBC"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w:t>
            </w:r>
            <w:r>
              <w:rPr>
                <w:rFonts w:ascii="Times New Roman" w:eastAsia="Times New Roman" w:hAnsi="Times New Roman" w:cs="Times New Roman"/>
                <w:sz w:val="20"/>
                <w:szCs w:val="20"/>
              </w:rPr>
              <w:t>6</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6FDD8AC6"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0.33***</w:t>
            </w:r>
          </w:p>
        </w:tc>
        <w:tc>
          <w:tcPr>
            <w:tcW w:w="222" w:type="dxa"/>
            <w:tcBorders>
              <w:top w:val="nil"/>
              <w:left w:val="nil"/>
              <w:bottom w:val="nil"/>
              <w:right w:val="nil"/>
            </w:tcBorders>
            <w:vAlign w:val="center"/>
          </w:tcPr>
          <w:p w14:paraId="2121CD4F"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49A63D1E"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06E5F2C7" w14:textId="77777777" w:rsidR="00F156EF" w:rsidRPr="00782EDA" w:rsidRDefault="00F156EF" w:rsidP="00F156EF">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3E9F6009"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(0.084)</w:t>
            </w:r>
          </w:p>
        </w:tc>
        <w:tc>
          <w:tcPr>
            <w:tcW w:w="1353" w:type="dxa"/>
            <w:tcBorders>
              <w:top w:val="nil"/>
              <w:left w:val="nil"/>
              <w:bottom w:val="nil"/>
              <w:right w:val="nil"/>
            </w:tcBorders>
            <w:shd w:val="clear" w:color="auto" w:fill="auto"/>
            <w:noWrap/>
            <w:vAlign w:val="center"/>
            <w:hideMark/>
          </w:tcPr>
          <w:p w14:paraId="03340567" w14:textId="6BDC5D10"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(0.08</w:t>
            </w:r>
            <w:r>
              <w:rPr>
                <w:rFonts w:ascii="Times New Roman" w:eastAsia="Times New Roman" w:hAnsi="Times New Roman" w:cs="Times New Roman"/>
                <w:sz w:val="20"/>
                <w:szCs w:val="20"/>
              </w:rPr>
              <w:t>4</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7DBFE28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(0.085)</w:t>
            </w:r>
          </w:p>
        </w:tc>
        <w:tc>
          <w:tcPr>
            <w:tcW w:w="222" w:type="dxa"/>
            <w:tcBorders>
              <w:top w:val="nil"/>
              <w:left w:val="nil"/>
              <w:bottom w:val="nil"/>
              <w:right w:val="nil"/>
            </w:tcBorders>
            <w:vAlign w:val="center"/>
          </w:tcPr>
          <w:p w14:paraId="456187DF"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33F957D6"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68FE0C80"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Constant</w:t>
            </w:r>
          </w:p>
        </w:tc>
        <w:tc>
          <w:tcPr>
            <w:tcW w:w="961" w:type="dxa"/>
            <w:tcBorders>
              <w:top w:val="nil"/>
              <w:left w:val="nil"/>
              <w:bottom w:val="nil"/>
              <w:right w:val="nil"/>
            </w:tcBorders>
            <w:shd w:val="clear" w:color="auto" w:fill="auto"/>
            <w:noWrap/>
            <w:vAlign w:val="center"/>
            <w:hideMark/>
          </w:tcPr>
          <w:p w14:paraId="75326C81"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-3.64***</w:t>
            </w:r>
          </w:p>
        </w:tc>
        <w:tc>
          <w:tcPr>
            <w:tcW w:w="1353" w:type="dxa"/>
            <w:tcBorders>
              <w:top w:val="nil"/>
              <w:left w:val="nil"/>
              <w:bottom w:val="nil"/>
              <w:right w:val="nil"/>
            </w:tcBorders>
            <w:shd w:val="clear" w:color="auto" w:fill="auto"/>
            <w:noWrap/>
            <w:vAlign w:val="center"/>
            <w:hideMark/>
          </w:tcPr>
          <w:p w14:paraId="2A79812F" w14:textId="0D3831B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-3.</w:t>
            </w:r>
            <w:r>
              <w:rPr>
                <w:rFonts w:ascii="Times New Roman" w:eastAsia="Times New Roman" w:hAnsi="Times New Roman" w:cs="Times New Roman"/>
                <w:sz w:val="20"/>
                <w:szCs w:val="20"/>
              </w:rPr>
              <w:t>37</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125DA658"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-3.03***</w:t>
            </w:r>
          </w:p>
        </w:tc>
        <w:tc>
          <w:tcPr>
            <w:tcW w:w="222" w:type="dxa"/>
            <w:tcBorders>
              <w:top w:val="nil"/>
              <w:left w:val="nil"/>
              <w:bottom w:val="nil"/>
              <w:right w:val="nil"/>
            </w:tcBorders>
            <w:vAlign w:val="center"/>
          </w:tcPr>
          <w:p w14:paraId="2DC32F46"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43018D3B"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7FAB8A8D" w14:textId="77777777" w:rsidR="00F156EF" w:rsidRPr="00782EDA" w:rsidRDefault="00F156EF" w:rsidP="00F156EF">
            <w:pPr>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center"/>
            <w:hideMark/>
          </w:tcPr>
          <w:p w14:paraId="72EF2CF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(0.817)</w:t>
            </w:r>
          </w:p>
        </w:tc>
        <w:tc>
          <w:tcPr>
            <w:tcW w:w="1353" w:type="dxa"/>
            <w:tcBorders>
              <w:top w:val="nil"/>
              <w:left w:val="nil"/>
              <w:bottom w:val="nil"/>
              <w:right w:val="nil"/>
            </w:tcBorders>
            <w:shd w:val="clear" w:color="auto" w:fill="auto"/>
            <w:noWrap/>
            <w:vAlign w:val="center"/>
            <w:hideMark/>
          </w:tcPr>
          <w:p w14:paraId="5C9C2524" w14:textId="5DBA218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w:t>
            </w:r>
            <w:r>
              <w:rPr>
                <w:rFonts w:ascii="Times New Roman" w:eastAsia="Times New Roman" w:hAnsi="Times New Roman" w:cs="Times New Roman"/>
                <w:sz w:val="20"/>
                <w:szCs w:val="20"/>
              </w:rPr>
              <w:t>774</w:t>
            </w:r>
            <w:r w:rsidRPr="00782EDA">
              <w:rPr>
                <w:rFonts w:ascii="Times New Roman" w:eastAsia="Times New Roman" w:hAnsi="Times New Roman" w:cs="Times New Roman"/>
                <w:sz w:val="20"/>
                <w:szCs w:val="20"/>
              </w:rPr>
              <w:t>)</w:t>
            </w:r>
          </w:p>
        </w:tc>
        <w:tc>
          <w:tcPr>
            <w:tcW w:w="1047" w:type="dxa"/>
            <w:tcBorders>
              <w:top w:val="nil"/>
              <w:left w:val="nil"/>
              <w:bottom w:val="nil"/>
              <w:right w:val="nil"/>
            </w:tcBorders>
            <w:vAlign w:val="center"/>
          </w:tcPr>
          <w:p w14:paraId="6D49BF33"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(0.769)</w:t>
            </w:r>
          </w:p>
        </w:tc>
        <w:tc>
          <w:tcPr>
            <w:tcW w:w="222" w:type="dxa"/>
            <w:tcBorders>
              <w:top w:val="nil"/>
              <w:left w:val="nil"/>
              <w:bottom w:val="nil"/>
              <w:right w:val="nil"/>
            </w:tcBorders>
            <w:vAlign w:val="center"/>
          </w:tcPr>
          <w:p w14:paraId="413901A9"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53B44E49"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2D93EC4C"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Log Likelihood</w:t>
            </w:r>
          </w:p>
        </w:tc>
        <w:tc>
          <w:tcPr>
            <w:tcW w:w="961" w:type="dxa"/>
            <w:tcBorders>
              <w:top w:val="nil"/>
              <w:left w:val="nil"/>
              <w:bottom w:val="nil"/>
              <w:right w:val="nil"/>
            </w:tcBorders>
            <w:shd w:val="clear" w:color="auto" w:fill="auto"/>
            <w:noWrap/>
            <w:vAlign w:val="center"/>
            <w:hideMark/>
          </w:tcPr>
          <w:p w14:paraId="1EDCED9D"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-400.47</w:t>
            </w:r>
          </w:p>
        </w:tc>
        <w:tc>
          <w:tcPr>
            <w:tcW w:w="1353" w:type="dxa"/>
            <w:tcBorders>
              <w:top w:val="nil"/>
              <w:left w:val="nil"/>
              <w:bottom w:val="nil"/>
              <w:right w:val="nil"/>
            </w:tcBorders>
            <w:shd w:val="clear" w:color="auto" w:fill="auto"/>
            <w:noWrap/>
            <w:vAlign w:val="center"/>
            <w:hideMark/>
          </w:tcPr>
          <w:p w14:paraId="1C9456E3" w14:textId="40AEB870"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w:t>
            </w:r>
            <w:r>
              <w:rPr>
                <w:rFonts w:ascii="Times New Roman" w:eastAsia="Times New Roman" w:hAnsi="Times New Roman" w:cs="Times New Roman"/>
                <w:sz w:val="20"/>
                <w:szCs w:val="20"/>
              </w:rPr>
              <w:t>399</w:t>
            </w:r>
            <w:r w:rsidRPr="00782EDA">
              <w:rPr>
                <w:rFonts w:ascii="Times New Roman" w:eastAsia="Times New Roman" w:hAnsi="Times New Roman" w:cs="Times New Roman"/>
                <w:sz w:val="20"/>
                <w:szCs w:val="20"/>
              </w:rPr>
              <w:t>.</w:t>
            </w:r>
            <w:r>
              <w:rPr>
                <w:rFonts w:ascii="Times New Roman" w:eastAsia="Times New Roman" w:hAnsi="Times New Roman" w:cs="Times New Roman"/>
                <w:sz w:val="20"/>
                <w:szCs w:val="20"/>
              </w:rPr>
              <w:t>04</w:t>
            </w:r>
          </w:p>
        </w:tc>
        <w:tc>
          <w:tcPr>
            <w:tcW w:w="1047" w:type="dxa"/>
            <w:tcBorders>
              <w:top w:val="nil"/>
              <w:left w:val="nil"/>
              <w:bottom w:val="nil"/>
              <w:right w:val="nil"/>
            </w:tcBorders>
            <w:vAlign w:val="center"/>
          </w:tcPr>
          <w:p w14:paraId="01D5F47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-399.01</w:t>
            </w:r>
          </w:p>
        </w:tc>
        <w:tc>
          <w:tcPr>
            <w:tcW w:w="222" w:type="dxa"/>
            <w:tcBorders>
              <w:top w:val="nil"/>
              <w:left w:val="nil"/>
              <w:bottom w:val="nil"/>
              <w:right w:val="nil"/>
            </w:tcBorders>
            <w:vAlign w:val="center"/>
          </w:tcPr>
          <w:p w14:paraId="080F72D0"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6CBDF82F"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472C243F"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Year fixed-effects</w:t>
            </w:r>
          </w:p>
        </w:tc>
        <w:tc>
          <w:tcPr>
            <w:tcW w:w="961" w:type="dxa"/>
            <w:tcBorders>
              <w:top w:val="nil"/>
              <w:left w:val="nil"/>
              <w:bottom w:val="nil"/>
              <w:right w:val="nil"/>
            </w:tcBorders>
            <w:shd w:val="clear" w:color="auto" w:fill="auto"/>
            <w:noWrap/>
            <w:vAlign w:val="center"/>
            <w:hideMark/>
          </w:tcPr>
          <w:p w14:paraId="0377585C"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1353" w:type="dxa"/>
            <w:tcBorders>
              <w:top w:val="nil"/>
              <w:left w:val="nil"/>
              <w:bottom w:val="nil"/>
              <w:right w:val="nil"/>
            </w:tcBorders>
            <w:shd w:val="clear" w:color="auto" w:fill="auto"/>
            <w:noWrap/>
            <w:vAlign w:val="center"/>
            <w:hideMark/>
          </w:tcPr>
          <w:p w14:paraId="1485823D"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1047" w:type="dxa"/>
            <w:tcBorders>
              <w:top w:val="nil"/>
              <w:left w:val="nil"/>
              <w:bottom w:val="nil"/>
              <w:right w:val="nil"/>
            </w:tcBorders>
            <w:vAlign w:val="center"/>
          </w:tcPr>
          <w:p w14:paraId="60E21634"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222" w:type="dxa"/>
            <w:tcBorders>
              <w:top w:val="nil"/>
              <w:left w:val="nil"/>
              <w:bottom w:val="nil"/>
              <w:right w:val="nil"/>
            </w:tcBorders>
            <w:vAlign w:val="center"/>
          </w:tcPr>
          <w:p w14:paraId="5C7AC3FF"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4E87FCF9" w14:textId="77777777" w:rsidTr="00F156EF">
        <w:trPr>
          <w:trHeight w:val="261"/>
          <w:jc w:val="center"/>
        </w:trPr>
        <w:tc>
          <w:tcPr>
            <w:tcW w:w="3138" w:type="dxa"/>
            <w:tcBorders>
              <w:top w:val="nil"/>
              <w:left w:val="nil"/>
              <w:bottom w:val="nil"/>
              <w:right w:val="nil"/>
            </w:tcBorders>
            <w:shd w:val="clear" w:color="auto" w:fill="auto"/>
            <w:noWrap/>
            <w:vAlign w:val="center"/>
            <w:hideMark/>
          </w:tcPr>
          <w:p w14:paraId="4EE70827"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Firm fixed-effects</w:t>
            </w:r>
          </w:p>
        </w:tc>
        <w:tc>
          <w:tcPr>
            <w:tcW w:w="961" w:type="dxa"/>
            <w:tcBorders>
              <w:top w:val="nil"/>
              <w:left w:val="nil"/>
              <w:bottom w:val="nil"/>
              <w:right w:val="nil"/>
            </w:tcBorders>
            <w:shd w:val="clear" w:color="auto" w:fill="auto"/>
            <w:noWrap/>
            <w:vAlign w:val="center"/>
            <w:hideMark/>
          </w:tcPr>
          <w:p w14:paraId="10309B5C"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1353" w:type="dxa"/>
            <w:tcBorders>
              <w:top w:val="nil"/>
              <w:left w:val="nil"/>
              <w:bottom w:val="nil"/>
              <w:right w:val="nil"/>
            </w:tcBorders>
            <w:shd w:val="clear" w:color="auto" w:fill="auto"/>
            <w:noWrap/>
            <w:vAlign w:val="center"/>
            <w:hideMark/>
          </w:tcPr>
          <w:p w14:paraId="33C4CE12"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1047" w:type="dxa"/>
            <w:tcBorders>
              <w:top w:val="nil"/>
              <w:left w:val="nil"/>
              <w:bottom w:val="nil"/>
              <w:right w:val="nil"/>
            </w:tcBorders>
            <w:vAlign w:val="center"/>
          </w:tcPr>
          <w:p w14:paraId="2022647A"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Yes</w:t>
            </w:r>
          </w:p>
        </w:tc>
        <w:tc>
          <w:tcPr>
            <w:tcW w:w="222" w:type="dxa"/>
            <w:tcBorders>
              <w:top w:val="nil"/>
              <w:left w:val="nil"/>
              <w:bottom w:val="nil"/>
              <w:right w:val="nil"/>
            </w:tcBorders>
            <w:vAlign w:val="center"/>
          </w:tcPr>
          <w:p w14:paraId="6275714A"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45B684F0" w14:textId="77777777" w:rsidTr="00F156EF">
        <w:trPr>
          <w:trHeight w:val="261"/>
          <w:jc w:val="center"/>
        </w:trPr>
        <w:tc>
          <w:tcPr>
            <w:tcW w:w="3138" w:type="dxa"/>
            <w:tcBorders>
              <w:top w:val="nil"/>
              <w:left w:val="nil"/>
              <w:bottom w:val="single" w:sz="4" w:space="0" w:color="000000"/>
              <w:right w:val="nil"/>
            </w:tcBorders>
            <w:shd w:val="clear" w:color="auto" w:fill="auto"/>
            <w:noWrap/>
            <w:vAlign w:val="center"/>
            <w:hideMark/>
          </w:tcPr>
          <w:p w14:paraId="5200B52C"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Observations</w:t>
            </w:r>
          </w:p>
        </w:tc>
        <w:tc>
          <w:tcPr>
            <w:tcW w:w="961" w:type="dxa"/>
            <w:tcBorders>
              <w:top w:val="nil"/>
              <w:left w:val="nil"/>
              <w:bottom w:val="single" w:sz="4" w:space="0" w:color="000000"/>
              <w:right w:val="nil"/>
            </w:tcBorders>
            <w:shd w:val="clear" w:color="auto" w:fill="auto"/>
            <w:noWrap/>
            <w:vAlign w:val="center"/>
            <w:hideMark/>
          </w:tcPr>
          <w:p w14:paraId="0033353A"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683</w:t>
            </w:r>
          </w:p>
        </w:tc>
        <w:tc>
          <w:tcPr>
            <w:tcW w:w="1353" w:type="dxa"/>
            <w:tcBorders>
              <w:top w:val="nil"/>
              <w:left w:val="nil"/>
              <w:bottom w:val="single" w:sz="4" w:space="0" w:color="000000"/>
              <w:right w:val="nil"/>
            </w:tcBorders>
            <w:shd w:val="clear" w:color="auto" w:fill="auto"/>
            <w:noWrap/>
            <w:vAlign w:val="center"/>
            <w:hideMark/>
          </w:tcPr>
          <w:p w14:paraId="478D9630"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683</w:t>
            </w:r>
          </w:p>
        </w:tc>
        <w:tc>
          <w:tcPr>
            <w:tcW w:w="1047" w:type="dxa"/>
            <w:tcBorders>
              <w:top w:val="nil"/>
              <w:left w:val="nil"/>
              <w:bottom w:val="single" w:sz="4" w:space="0" w:color="000000"/>
              <w:right w:val="nil"/>
            </w:tcBorders>
            <w:vAlign w:val="center"/>
          </w:tcPr>
          <w:p w14:paraId="1DC7780C" w14:textId="77777777" w:rsidR="00F156EF" w:rsidRPr="00782EDA" w:rsidRDefault="00F156EF" w:rsidP="00F156EF">
            <w:pPr>
              <w:jc w:val="cente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683</w:t>
            </w:r>
          </w:p>
        </w:tc>
        <w:tc>
          <w:tcPr>
            <w:tcW w:w="222" w:type="dxa"/>
            <w:tcBorders>
              <w:top w:val="nil"/>
              <w:left w:val="nil"/>
              <w:bottom w:val="single" w:sz="4" w:space="0" w:color="000000"/>
              <w:right w:val="nil"/>
            </w:tcBorders>
            <w:vAlign w:val="center"/>
          </w:tcPr>
          <w:p w14:paraId="0855269A" w14:textId="77777777" w:rsidR="00F156EF" w:rsidRPr="00782EDA" w:rsidRDefault="00F156EF" w:rsidP="00F156EF">
            <w:pPr>
              <w:jc w:val="center"/>
              <w:rPr>
                <w:rFonts w:ascii="Times New Roman" w:eastAsia="Times New Roman" w:hAnsi="Times New Roman" w:cs="Times New Roman"/>
                <w:sz w:val="20"/>
                <w:szCs w:val="20"/>
              </w:rPr>
            </w:pPr>
          </w:p>
        </w:tc>
      </w:tr>
      <w:tr w:rsidR="00F156EF" w:rsidRPr="00782EDA" w14:paraId="51C9AAB1" w14:textId="77777777" w:rsidTr="00AF3366">
        <w:trPr>
          <w:trHeight w:val="261"/>
          <w:jc w:val="center"/>
        </w:trPr>
        <w:tc>
          <w:tcPr>
            <w:tcW w:w="5452" w:type="dxa"/>
            <w:gridSpan w:val="3"/>
            <w:tcBorders>
              <w:top w:val="single" w:sz="4" w:space="0" w:color="000000"/>
              <w:left w:val="nil"/>
              <w:bottom w:val="nil"/>
              <w:right w:val="nil"/>
            </w:tcBorders>
            <w:shd w:val="clear" w:color="auto" w:fill="auto"/>
            <w:noWrap/>
            <w:vAlign w:val="center"/>
            <w:hideMark/>
          </w:tcPr>
          <w:p w14:paraId="0616BE5D"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Robust standard errors in parentheses</w:t>
            </w:r>
          </w:p>
        </w:tc>
        <w:tc>
          <w:tcPr>
            <w:tcW w:w="1047" w:type="dxa"/>
            <w:tcBorders>
              <w:top w:val="single" w:sz="4" w:space="0" w:color="000000"/>
              <w:left w:val="nil"/>
              <w:bottom w:val="nil"/>
              <w:right w:val="nil"/>
            </w:tcBorders>
            <w:vAlign w:val="center"/>
          </w:tcPr>
          <w:p w14:paraId="31919ABA" w14:textId="77777777" w:rsidR="00F156EF" w:rsidRPr="00782EDA" w:rsidRDefault="00F156EF" w:rsidP="00F156EF">
            <w:pPr>
              <w:rPr>
                <w:rFonts w:ascii="Times New Roman" w:eastAsia="Times New Roman" w:hAnsi="Times New Roman" w:cs="Times New Roman"/>
                <w:sz w:val="20"/>
                <w:szCs w:val="20"/>
              </w:rPr>
            </w:pPr>
          </w:p>
        </w:tc>
        <w:tc>
          <w:tcPr>
            <w:tcW w:w="222" w:type="dxa"/>
            <w:tcBorders>
              <w:top w:val="single" w:sz="4" w:space="0" w:color="000000"/>
              <w:left w:val="nil"/>
              <w:bottom w:val="nil"/>
              <w:right w:val="nil"/>
            </w:tcBorders>
            <w:vAlign w:val="center"/>
          </w:tcPr>
          <w:p w14:paraId="39E99A1A" w14:textId="77777777" w:rsidR="00F156EF" w:rsidRPr="00782EDA" w:rsidRDefault="00F156EF" w:rsidP="00F156EF">
            <w:pPr>
              <w:rPr>
                <w:rFonts w:ascii="Times New Roman" w:eastAsia="Times New Roman" w:hAnsi="Times New Roman" w:cs="Times New Roman"/>
                <w:sz w:val="20"/>
                <w:szCs w:val="20"/>
              </w:rPr>
            </w:pPr>
          </w:p>
        </w:tc>
      </w:tr>
      <w:tr w:rsidR="00F156EF" w:rsidRPr="00782EDA" w14:paraId="6AA861D2" w14:textId="77777777" w:rsidTr="00AF3366">
        <w:trPr>
          <w:trHeight w:val="261"/>
          <w:jc w:val="center"/>
        </w:trPr>
        <w:tc>
          <w:tcPr>
            <w:tcW w:w="5452" w:type="dxa"/>
            <w:gridSpan w:val="3"/>
            <w:tcBorders>
              <w:top w:val="nil"/>
              <w:left w:val="nil"/>
              <w:bottom w:val="nil"/>
              <w:right w:val="nil"/>
            </w:tcBorders>
            <w:shd w:val="clear" w:color="auto" w:fill="auto"/>
            <w:noWrap/>
            <w:vAlign w:val="center"/>
            <w:hideMark/>
          </w:tcPr>
          <w:p w14:paraId="40A61A93" w14:textId="77777777" w:rsidR="00F156EF" w:rsidRPr="00782EDA" w:rsidRDefault="00F156EF" w:rsidP="00F156EF">
            <w:pPr>
              <w:rPr>
                <w:rFonts w:ascii="Times New Roman" w:eastAsia="Times New Roman" w:hAnsi="Times New Roman" w:cs="Times New Roman"/>
                <w:sz w:val="20"/>
                <w:szCs w:val="20"/>
              </w:rPr>
            </w:pPr>
            <w:r w:rsidRPr="00782EDA">
              <w:rPr>
                <w:rFonts w:ascii="Times New Roman" w:eastAsia="Times New Roman" w:hAnsi="Times New Roman" w:cs="Times New Roman"/>
                <w:sz w:val="20"/>
                <w:szCs w:val="20"/>
              </w:rPr>
              <w:t>*** p&lt;0.001, ** p&lt;0.01, * p&lt;0.05, + p&lt;0.1</w:t>
            </w:r>
          </w:p>
        </w:tc>
        <w:tc>
          <w:tcPr>
            <w:tcW w:w="1047" w:type="dxa"/>
            <w:tcBorders>
              <w:top w:val="nil"/>
              <w:left w:val="nil"/>
              <w:bottom w:val="nil"/>
              <w:right w:val="nil"/>
            </w:tcBorders>
            <w:vAlign w:val="center"/>
          </w:tcPr>
          <w:p w14:paraId="3F563DD0" w14:textId="77777777" w:rsidR="00F156EF" w:rsidRPr="00782EDA" w:rsidRDefault="00F156EF" w:rsidP="00F156EF">
            <w:pPr>
              <w:rPr>
                <w:rFonts w:ascii="Times New Roman" w:eastAsia="Times New Roman" w:hAnsi="Times New Roman" w:cs="Times New Roman"/>
                <w:sz w:val="20"/>
                <w:szCs w:val="20"/>
              </w:rPr>
            </w:pPr>
          </w:p>
        </w:tc>
        <w:tc>
          <w:tcPr>
            <w:tcW w:w="222" w:type="dxa"/>
            <w:tcBorders>
              <w:top w:val="nil"/>
              <w:left w:val="nil"/>
              <w:bottom w:val="nil"/>
              <w:right w:val="nil"/>
            </w:tcBorders>
            <w:vAlign w:val="center"/>
          </w:tcPr>
          <w:p w14:paraId="6A8E282E" w14:textId="77777777" w:rsidR="00F156EF" w:rsidRPr="00782EDA" w:rsidRDefault="00F156EF" w:rsidP="00F156EF">
            <w:pPr>
              <w:rPr>
                <w:rFonts w:ascii="Times New Roman" w:eastAsia="Times New Roman" w:hAnsi="Times New Roman" w:cs="Times New Roman"/>
                <w:sz w:val="20"/>
                <w:szCs w:val="20"/>
              </w:rPr>
            </w:pPr>
          </w:p>
        </w:tc>
      </w:tr>
    </w:tbl>
    <w:p w14:paraId="57B05304" w14:textId="77777777" w:rsidR="0021374D" w:rsidRPr="009A36CB" w:rsidRDefault="0021374D" w:rsidP="00C36E14">
      <w:pPr>
        <w:jc w:val="both"/>
        <w:rPr>
          <w:rFonts w:ascii="Times New Roman" w:hAnsi="Times New Roman" w:cs="Times New Roman"/>
          <w:sz w:val="32"/>
          <w:lang w:val="en-GB"/>
        </w:rPr>
      </w:pPr>
    </w:p>
    <w:sectPr w:rsidR="0021374D" w:rsidRPr="009A36CB" w:rsidSect="00992D3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udia Gabbioneta" w:date="2019-02-04T15:17:00Z" w:initials="CG">
    <w:p w14:paraId="1213E51D" w14:textId="46817EE9" w:rsidR="001C2608" w:rsidRDefault="001C2608">
      <w:pPr>
        <w:pStyle w:val="CommentText"/>
      </w:pPr>
      <w:r>
        <w:rPr>
          <w:rStyle w:val="CommentReference"/>
        </w:rPr>
        <w:annotationRef/>
      </w:r>
      <w:r>
        <w:t>Are we changing this as requested by the Editor?</w:t>
      </w:r>
    </w:p>
  </w:comment>
  <w:comment w:id="2" w:author="Claudia Gabbioneta" w:date="2019-02-04T15:20:00Z" w:initials="CG">
    <w:p w14:paraId="55FBD6E1" w14:textId="35DFFA80" w:rsidR="009C5D62" w:rsidRDefault="009C5D62">
      <w:pPr>
        <w:pStyle w:val="CommentText"/>
      </w:pPr>
      <w:r>
        <w:rPr>
          <w:rStyle w:val="CommentReference"/>
        </w:rPr>
        <w:annotationRef/>
      </w:r>
      <w:r>
        <w:t>Following up on my previous comment, if we want to address the issue raised by the editor, we need to add the total number of partners as a control variable…</w:t>
      </w:r>
    </w:p>
  </w:comment>
  <w:comment w:id="3" w:author="Claudia Gabbioneta" w:date="2019-02-04T15:21:00Z" w:initials="CG">
    <w:p w14:paraId="3A4FEDC8" w14:textId="024C8F51" w:rsidR="004D5548" w:rsidRDefault="004D5548">
      <w:pPr>
        <w:pStyle w:val="CommentText"/>
      </w:pPr>
      <w:r>
        <w:rPr>
          <w:rStyle w:val="CommentReference"/>
        </w:rPr>
        <w:annotationRef/>
      </w:r>
      <w:r>
        <w:t>Do we need to change our models?</w:t>
      </w:r>
    </w:p>
  </w:comment>
  <w:comment w:id="4" w:author="Claudia Gabbioneta" w:date="2019-02-04T15:27:00Z" w:initials="CG">
    <w:p w14:paraId="15243C63" w14:textId="5209CD00" w:rsidR="005B6067" w:rsidRDefault="005B6067">
      <w:pPr>
        <w:pStyle w:val="CommentText"/>
      </w:pPr>
      <w:r>
        <w:rPr>
          <w:rStyle w:val="CommentReference"/>
        </w:rPr>
        <w:annotationRef/>
      </w:r>
      <w:r>
        <w:t>Why are our independent variables added to different models?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13E51D" w15:done="0"/>
  <w15:commentEx w15:paraId="55FBD6E1" w15:done="0"/>
  <w15:commentEx w15:paraId="3A4FEDC8" w15:done="0"/>
  <w15:commentEx w15:paraId="15243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0DE65" w16cid:durableId="1F00448A"/>
  <w16cid:commentId w16cid:paraId="0431510C" w16cid:durableId="1F00482F"/>
  <w16cid:commentId w16cid:paraId="4FDC6797" w16cid:durableId="1F004891"/>
  <w16cid:commentId w16cid:paraId="22350745" w16cid:durableId="1F005408"/>
  <w16cid:commentId w16cid:paraId="3620B916" w16cid:durableId="1F004C62"/>
  <w16cid:commentId w16cid:paraId="3A0071CB" w16cid:durableId="1F005217"/>
  <w16cid:commentId w16cid:paraId="2CA70D66" w16cid:durableId="1F0054A6"/>
  <w16cid:commentId w16cid:paraId="38BF0618" w16cid:durableId="1F0052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C12" w14:textId="77777777" w:rsidR="00A018FD" w:rsidRDefault="00A018FD" w:rsidP="001D1AAD">
      <w:r>
        <w:separator/>
      </w:r>
    </w:p>
  </w:endnote>
  <w:endnote w:type="continuationSeparator" w:id="0">
    <w:p w14:paraId="6B0D57B7" w14:textId="77777777" w:rsidR="00A018FD" w:rsidRDefault="00A018FD" w:rsidP="001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C3BF" w14:textId="77777777" w:rsidR="003A4841" w:rsidRDefault="003A4841" w:rsidP="000F37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7BD58" w14:textId="77777777" w:rsidR="003A4841" w:rsidRDefault="003A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3F78" w14:textId="266F6DAA" w:rsidR="003A4841" w:rsidRPr="001D1AAD" w:rsidRDefault="003A4841" w:rsidP="001D1AAD">
    <w:pPr>
      <w:pStyle w:val="Footer"/>
      <w:framePr w:wrap="none" w:vAnchor="text" w:hAnchor="page" w:x="5842" w:y="-178"/>
      <w:rPr>
        <w:rStyle w:val="PageNumber"/>
        <w:rFonts w:ascii="Times New Roman" w:hAnsi="Times New Roman" w:cs="Times New Roman"/>
      </w:rPr>
    </w:pPr>
    <w:r w:rsidRPr="001D1AAD">
      <w:rPr>
        <w:rStyle w:val="PageNumber"/>
        <w:rFonts w:ascii="Times New Roman" w:hAnsi="Times New Roman" w:cs="Times New Roman"/>
      </w:rPr>
      <w:fldChar w:fldCharType="begin"/>
    </w:r>
    <w:r w:rsidRPr="001D1AAD">
      <w:rPr>
        <w:rStyle w:val="PageNumber"/>
        <w:rFonts w:ascii="Times New Roman" w:hAnsi="Times New Roman" w:cs="Times New Roman"/>
      </w:rPr>
      <w:instrText xml:space="preserve">PAGE  </w:instrText>
    </w:r>
    <w:r w:rsidRPr="001D1AAD">
      <w:rPr>
        <w:rStyle w:val="PageNumber"/>
        <w:rFonts w:ascii="Times New Roman" w:hAnsi="Times New Roman" w:cs="Times New Roman"/>
      </w:rPr>
      <w:fldChar w:fldCharType="separate"/>
    </w:r>
    <w:r w:rsidR="00367D32">
      <w:rPr>
        <w:rStyle w:val="PageNumber"/>
        <w:rFonts w:ascii="Times New Roman" w:hAnsi="Times New Roman" w:cs="Times New Roman"/>
        <w:noProof/>
      </w:rPr>
      <w:t>1</w:t>
    </w:r>
    <w:r w:rsidRPr="001D1AAD">
      <w:rPr>
        <w:rStyle w:val="PageNumber"/>
        <w:rFonts w:ascii="Times New Roman" w:hAnsi="Times New Roman" w:cs="Times New Roman"/>
      </w:rPr>
      <w:fldChar w:fldCharType="end"/>
    </w:r>
  </w:p>
  <w:p w14:paraId="2AAD3FB1" w14:textId="77777777" w:rsidR="003A4841" w:rsidRDefault="003A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8650" w14:textId="77777777" w:rsidR="00A018FD" w:rsidRDefault="00A018FD" w:rsidP="001D1AAD">
      <w:r>
        <w:separator/>
      </w:r>
    </w:p>
  </w:footnote>
  <w:footnote w:type="continuationSeparator" w:id="0">
    <w:p w14:paraId="06693807" w14:textId="77777777" w:rsidR="00A018FD" w:rsidRDefault="00A018FD" w:rsidP="001D1AAD">
      <w:r>
        <w:continuationSeparator/>
      </w:r>
    </w:p>
  </w:footnote>
  <w:footnote w:id="1">
    <w:p w14:paraId="32216455" w14:textId="77777777" w:rsidR="00C74579" w:rsidRPr="00981736" w:rsidRDefault="00C74579" w:rsidP="00C74579">
      <w:pPr>
        <w:pStyle w:val="FootnoteText"/>
        <w:rPr>
          <w:lang w:val="en-GB"/>
        </w:rPr>
      </w:pPr>
      <w:r>
        <w:rPr>
          <w:rStyle w:val="FootnoteReference"/>
        </w:rPr>
        <w:footnoteRef/>
      </w:r>
      <w:r>
        <w:t xml:space="preserve"> </w:t>
      </w:r>
      <w:r w:rsidRPr="00981736">
        <w:rPr>
          <w:rFonts w:ascii="Times New Roman" w:hAnsi="Times New Roman" w:cs="Times New Roman"/>
          <w:lang w:val="en-GB"/>
        </w:rPr>
        <w:t>We are grateful for the reviewer’s suggestions to flesh out those mechanisms associating profitability and the adoption of the new practice.</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a Gabbioneta">
    <w15:presenceInfo w15:providerId="AD" w15:userId="S-1-5-21-1417001333-839522115-1801674531-306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AC"/>
    <w:rsid w:val="00002F80"/>
    <w:rsid w:val="0000384A"/>
    <w:rsid w:val="00005AB6"/>
    <w:rsid w:val="00006DDA"/>
    <w:rsid w:val="000077BD"/>
    <w:rsid w:val="00010555"/>
    <w:rsid w:val="00011878"/>
    <w:rsid w:val="00015108"/>
    <w:rsid w:val="00015546"/>
    <w:rsid w:val="00016249"/>
    <w:rsid w:val="0002061A"/>
    <w:rsid w:val="00021E50"/>
    <w:rsid w:val="00021EF2"/>
    <w:rsid w:val="000229DA"/>
    <w:rsid w:val="0002306E"/>
    <w:rsid w:val="00026647"/>
    <w:rsid w:val="00036D9D"/>
    <w:rsid w:val="00041635"/>
    <w:rsid w:val="00041F63"/>
    <w:rsid w:val="000452CD"/>
    <w:rsid w:val="00050DC1"/>
    <w:rsid w:val="00052F36"/>
    <w:rsid w:val="0005337C"/>
    <w:rsid w:val="000613FA"/>
    <w:rsid w:val="00063B09"/>
    <w:rsid w:val="00064EEC"/>
    <w:rsid w:val="00066C16"/>
    <w:rsid w:val="00072800"/>
    <w:rsid w:val="000801BE"/>
    <w:rsid w:val="00082BF7"/>
    <w:rsid w:val="00086B6B"/>
    <w:rsid w:val="000871F3"/>
    <w:rsid w:val="00092B3E"/>
    <w:rsid w:val="000932BB"/>
    <w:rsid w:val="000935ED"/>
    <w:rsid w:val="00094655"/>
    <w:rsid w:val="000976E4"/>
    <w:rsid w:val="00097DFC"/>
    <w:rsid w:val="000A1AB2"/>
    <w:rsid w:val="000A3833"/>
    <w:rsid w:val="000A487F"/>
    <w:rsid w:val="000B1B14"/>
    <w:rsid w:val="000B270D"/>
    <w:rsid w:val="000B2F72"/>
    <w:rsid w:val="000B325F"/>
    <w:rsid w:val="000B6F7C"/>
    <w:rsid w:val="000C248A"/>
    <w:rsid w:val="000C2978"/>
    <w:rsid w:val="000C5F62"/>
    <w:rsid w:val="000C665F"/>
    <w:rsid w:val="000C75FA"/>
    <w:rsid w:val="000D0004"/>
    <w:rsid w:val="000D1390"/>
    <w:rsid w:val="000D1CCA"/>
    <w:rsid w:val="000D3FD4"/>
    <w:rsid w:val="000E4A95"/>
    <w:rsid w:val="000E5220"/>
    <w:rsid w:val="000E5A28"/>
    <w:rsid w:val="000F08B7"/>
    <w:rsid w:val="000F3493"/>
    <w:rsid w:val="000F3745"/>
    <w:rsid w:val="00102CC3"/>
    <w:rsid w:val="00102CD0"/>
    <w:rsid w:val="00103B90"/>
    <w:rsid w:val="00112833"/>
    <w:rsid w:val="00112FC3"/>
    <w:rsid w:val="001132FA"/>
    <w:rsid w:val="00113C2F"/>
    <w:rsid w:val="00114D40"/>
    <w:rsid w:val="0011538C"/>
    <w:rsid w:val="0011775E"/>
    <w:rsid w:val="00117DE0"/>
    <w:rsid w:val="0012009F"/>
    <w:rsid w:val="001232C1"/>
    <w:rsid w:val="001306A1"/>
    <w:rsid w:val="00133586"/>
    <w:rsid w:val="00134457"/>
    <w:rsid w:val="00134C98"/>
    <w:rsid w:val="00144879"/>
    <w:rsid w:val="00146222"/>
    <w:rsid w:val="00152A69"/>
    <w:rsid w:val="00154F81"/>
    <w:rsid w:val="001575E2"/>
    <w:rsid w:val="00161C08"/>
    <w:rsid w:val="00162255"/>
    <w:rsid w:val="00165A4F"/>
    <w:rsid w:val="00172771"/>
    <w:rsid w:val="0017300E"/>
    <w:rsid w:val="00173FEE"/>
    <w:rsid w:val="00176345"/>
    <w:rsid w:val="00180795"/>
    <w:rsid w:val="00180929"/>
    <w:rsid w:val="001835D2"/>
    <w:rsid w:val="001866A9"/>
    <w:rsid w:val="00190E0A"/>
    <w:rsid w:val="001938F1"/>
    <w:rsid w:val="00194D5C"/>
    <w:rsid w:val="00195BC8"/>
    <w:rsid w:val="001979FF"/>
    <w:rsid w:val="001A0131"/>
    <w:rsid w:val="001A48DA"/>
    <w:rsid w:val="001B363A"/>
    <w:rsid w:val="001B4DB2"/>
    <w:rsid w:val="001B7F73"/>
    <w:rsid w:val="001C2608"/>
    <w:rsid w:val="001C26C4"/>
    <w:rsid w:val="001C2D45"/>
    <w:rsid w:val="001C32E1"/>
    <w:rsid w:val="001D00D4"/>
    <w:rsid w:val="001D0485"/>
    <w:rsid w:val="001D1AAD"/>
    <w:rsid w:val="001D2F43"/>
    <w:rsid w:val="001D6F91"/>
    <w:rsid w:val="001D7917"/>
    <w:rsid w:val="001E3426"/>
    <w:rsid w:val="001E4DA7"/>
    <w:rsid w:val="001E757A"/>
    <w:rsid w:val="001F6C33"/>
    <w:rsid w:val="001F793B"/>
    <w:rsid w:val="0020289F"/>
    <w:rsid w:val="00203CD1"/>
    <w:rsid w:val="00207913"/>
    <w:rsid w:val="00211045"/>
    <w:rsid w:val="0021194C"/>
    <w:rsid w:val="0021374D"/>
    <w:rsid w:val="002147F8"/>
    <w:rsid w:val="002173DB"/>
    <w:rsid w:val="00220B5F"/>
    <w:rsid w:val="002218AD"/>
    <w:rsid w:val="002234D6"/>
    <w:rsid w:val="00223FDE"/>
    <w:rsid w:val="00226A2F"/>
    <w:rsid w:val="002273C2"/>
    <w:rsid w:val="00232878"/>
    <w:rsid w:val="00241474"/>
    <w:rsid w:val="00245359"/>
    <w:rsid w:val="00253623"/>
    <w:rsid w:val="00256A2B"/>
    <w:rsid w:val="00260F6C"/>
    <w:rsid w:val="002631DF"/>
    <w:rsid w:val="002632D6"/>
    <w:rsid w:val="00265A1B"/>
    <w:rsid w:val="00267707"/>
    <w:rsid w:val="00267A37"/>
    <w:rsid w:val="002713A1"/>
    <w:rsid w:val="00272144"/>
    <w:rsid w:val="00272862"/>
    <w:rsid w:val="00272F75"/>
    <w:rsid w:val="0027699E"/>
    <w:rsid w:val="002828E4"/>
    <w:rsid w:val="00283CA3"/>
    <w:rsid w:val="00285E65"/>
    <w:rsid w:val="002872E1"/>
    <w:rsid w:val="002A1F28"/>
    <w:rsid w:val="002A4629"/>
    <w:rsid w:val="002B04DB"/>
    <w:rsid w:val="002C12A3"/>
    <w:rsid w:val="002C2031"/>
    <w:rsid w:val="002C405C"/>
    <w:rsid w:val="002C4E0F"/>
    <w:rsid w:val="002C73B4"/>
    <w:rsid w:val="002D114A"/>
    <w:rsid w:val="002D79C0"/>
    <w:rsid w:val="002E1EE0"/>
    <w:rsid w:val="002E44A1"/>
    <w:rsid w:val="002E4558"/>
    <w:rsid w:val="002E565D"/>
    <w:rsid w:val="002F6264"/>
    <w:rsid w:val="002F6434"/>
    <w:rsid w:val="00301659"/>
    <w:rsid w:val="00302652"/>
    <w:rsid w:val="00304B03"/>
    <w:rsid w:val="0030556F"/>
    <w:rsid w:val="003148F4"/>
    <w:rsid w:val="00315F8E"/>
    <w:rsid w:val="003168D0"/>
    <w:rsid w:val="00316EA1"/>
    <w:rsid w:val="0032014D"/>
    <w:rsid w:val="00321522"/>
    <w:rsid w:val="003228C2"/>
    <w:rsid w:val="00332FAC"/>
    <w:rsid w:val="00334FED"/>
    <w:rsid w:val="00336770"/>
    <w:rsid w:val="003371DF"/>
    <w:rsid w:val="003423AF"/>
    <w:rsid w:val="00343E76"/>
    <w:rsid w:val="00344757"/>
    <w:rsid w:val="0034543E"/>
    <w:rsid w:val="0034585F"/>
    <w:rsid w:val="003460C6"/>
    <w:rsid w:val="003502DF"/>
    <w:rsid w:val="00350AC2"/>
    <w:rsid w:val="003517E8"/>
    <w:rsid w:val="00356251"/>
    <w:rsid w:val="0035726F"/>
    <w:rsid w:val="00360231"/>
    <w:rsid w:val="00360A2E"/>
    <w:rsid w:val="00364572"/>
    <w:rsid w:val="0036536D"/>
    <w:rsid w:val="00367D32"/>
    <w:rsid w:val="00373549"/>
    <w:rsid w:val="00382BF4"/>
    <w:rsid w:val="00382EAE"/>
    <w:rsid w:val="003831C0"/>
    <w:rsid w:val="00383CA9"/>
    <w:rsid w:val="0038442F"/>
    <w:rsid w:val="003952D4"/>
    <w:rsid w:val="003A1039"/>
    <w:rsid w:val="003A4841"/>
    <w:rsid w:val="003A7FD3"/>
    <w:rsid w:val="003B3A46"/>
    <w:rsid w:val="003B4B85"/>
    <w:rsid w:val="003B63B5"/>
    <w:rsid w:val="003C2CE1"/>
    <w:rsid w:val="003C71B5"/>
    <w:rsid w:val="003C78B1"/>
    <w:rsid w:val="003D11BE"/>
    <w:rsid w:val="003D1580"/>
    <w:rsid w:val="003D1ED3"/>
    <w:rsid w:val="003D3B94"/>
    <w:rsid w:val="003E072F"/>
    <w:rsid w:val="003E33D6"/>
    <w:rsid w:val="003E6082"/>
    <w:rsid w:val="003F199F"/>
    <w:rsid w:val="003F6CA6"/>
    <w:rsid w:val="003F7D1D"/>
    <w:rsid w:val="00400812"/>
    <w:rsid w:val="0040114D"/>
    <w:rsid w:val="00402F73"/>
    <w:rsid w:val="00405AEC"/>
    <w:rsid w:val="00407929"/>
    <w:rsid w:val="00412AFD"/>
    <w:rsid w:val="00414F41"/>
    <w:rsid w:val="00417CD5"/>
    <w:rsid w:val="00417FCC"/>
    <w:rsid w:val="0042255A"/>
    <w:rsid w:val="00422CD3"/>
    <w:rsid w:val="00425DF9"/>
    <w:rsid w:val="0042609C"/>
    <w:rsid w:val="00426153"/>
    <w:rsid w:val="00430D55"/>
    <w:rsid w:val="00430FD6"/>
    <w:rsid w:val="00433F89"/>
    <w:rsid w:val="00441386"/>
    <w:rsid w:val="0044333C"/>
    <w:rsid w:val="004438C6"/>
    <w:rsid w:val="0044511F"/>
    <w:rsid w:val="0044649B"/>
    <w:rsid w:val="00447547"/>
    <w:rsid w:val="00447CC3"/>
    <w:rsid w:val="004508F5"/>
    <w:rsid w:val="00453DCA"/>
    <w:rsid w:val="00454807"/>
    <w:rsid w:val="00454C40"/>
    <w:rsid w:val="00457032"/>
    <w:rsid w:val="004578EB"/>
    <w:rsid w:val="00461BAF"/>
    <w:rsid w:val="00462B17"/>
    <w:rsid w:val="00463A78"/>
    <w:rsid w:val="00464A3D"/>
    <w:rsid w:val="00470991"/>
    <w:rsid w:val="00472C79"/>
    <w:rsid w:val="004818B2"/>
    <w:rsid w:val="00483753"/>
    <w:rsid w:val="00484052"/>
    <w:rsid w:val="004840E1"/>
    <w:rsid w:val="004848D5"/>
    <w:rsid w:val="00486904"/>
    <w:rsid w:val="004902FF"/>
    <w:rsid w:val="0049043B"/>
    <w:rsid w:val="004A049A"/>
    <w:rsid w:val="004A26E6"/>
    <w:rsid w:val="004A2A67"/>
    <w:rsid w:val="004A5BA5"/>
    <w:rsid w:val="004B3B74"/>
    <w:rsid w:val="004B5127"/>
    <w:rsid w:val="004C51B0"/>
    <w:rsid w:val="004D2745"/>
    <w:rsid w:val="004D5548"/>
    <w:rsid w:val="004F498F"/>
    <w:rsid w:val="004F60DF"/>
    <w:rsid w:val="005055D7"/>
    <w:rsid w:val="00507450"/>
    <w:rsid w:val="00510E72"/>
    <w:rsid w:val="005115B2"/>
    <w:rsid w:val="005127D9"/>
    <w:rsid w:val="00512F3C"/>
    <w:rsid w:val="005132BC"/>
    <w:rsid w:val="00513E34"/>
    <w:rsid w:val="00514EE8"/>
    <w:rsid w:val="005150BC"/>
    <w:rsid w:val="00520809"/>
    <w:rsid w:val="00521186"/>
    <w:rsid w:val="00522E0F"/>
    <w:rsid w:val="00525574"/>
    <w:rsid w:val="00526E27"/>
    <w:rsid w:val="00527059"/>
    <w:rsid w:val="00527F82"/>
    <w:rsid w:val="00531B6B"/>
    <w:rsid w:val="00531FF9"/>
    <w:rsid w:val="00537926"/>
    <w:rsid w:val="00542B9A"/>
    <w:rsid w:val="005441BB"/>
    <w:rsid w:val="00544968"/>
    <w:rsid w:val="00544BC4"/>
    <w:rsid w:val="00545339"/>
    <w:rsid w:val="005467CF"/>
    <w:rsid w:val="005558E0"/>
    <w:rsid w:val="0055628C"/>
    <w:rsid w:val="0056195E"/>
    <w:rsid w:val="00561F06"/>
    <w:rsid w:val="0056616C"/>
    <w:rsid w:val="00566DA4"/>
    <w:rsid w:val="00572CE5"/>
    <w:rsid w:val="00573620"/>
    <w:rsid w:val="005773A5"/>
    <w:rsid w:val="005807B2"/>
    <w:rsid w:val="005836D1"/>
    <w:rsid w:val="00583A02"/>
    <w:rsid w:val="00583BE0"/>
    <w:rsid w:val="00584C14"/>
    <w:rsid w:val="00585873"/>
    <w:rsid w:val="00587425"/>
    <w:rsid w:val="00591BD8"/>
    <w:rsid w:val="00592128"/>
    <w:rsid w:val="0059523F"/>
    <w:rsid w:val="005961E2"/>
    <w:rsid w:val="00596AFE"/>
    <w:rsid w:val="00597DB2"/>
    <w:rsid w:val="005A7DF4"/>
    <w:rsid w:val="005B12A7"/>
    <w:rsid w:val="005B29B8"/>
    <w:rsid w:val="005B39BA"/>
    <w:rsid w:val="005B6067"/>
    <w:rsid w:val="005B6900"/>
    <w:rsid w:val="005B6C83"/>
    <w:rsid w:val="005C4089"/>
    <w:rsid w:val="005C5E70"/>
    <w:rsid w:val="005C6252"/>
    <w:rsid w:val="005D2281"/>
    <w:rsid w:val="005D56CF"/>
    <w:rsid w:val="005E0703"/>
    <w:rsid w:val="005E251B"/>
    <w:rsid w:val="005E4651"/>
    <w:rsid w:val="005F571C"/>
    <w:rsid w:val="005F5D1D"/>
    <w:rsid w:val="005F7B48"/>
    <w:rsid w:val="0060093C"/>
    <w:rsid w:val="00600C90"/>
    <w:rsid w:val="00602154"/>
    <w:rsid w:val="00603FDF"/>
    <w:rsid w:val="006048BA"/>
    <w:rsid w:val="00605011"/>
    <w:rsid w:val="0061246F"/>
    <w:rsid w:val="00614B76"/>
    <w:rsid w:val="00615833"/>
    <w:rsid w:val="00620156"/>
    <w:rsid w:val="00620892"/>
    <w:rsid w:val="00621D92"/>
    <w:rsid w:val="00623E34"/>
    <w:rsid w:val="006270C0"/>
    <w:rsid w:val="00627CE5"/>
    <w:rsid w:val="00630DED"/>
    <w:rsid w:val="00633A2C"/>
    <w:rsid w:val="006341EE"/>
    <w:rsid w:val="00635A4F"/>
    <w:rsid w:val="00637FD5"/>
    <w:rsid w:val="00643BCB"/>
    <w:rsid w:val="00643E1B"/>
    <w:rsid w:val="00644202"/>
    <w:rsid w:val="006467DF"/>
    <w:rsid w:val="00646A89"/>
    <w:rsid w:val="00647782"/>
    <w:rsid w:val="00650B47"/>
    <w:rsid w:val="00650F16"/>
    <w:rsid w:val="006522D8"/>
    <w:rsid w:val="00652346"/>
    <w:rsid w:val="00654224"/>
    <w:rsid w:val="00655C17"/>
    <w:rsid w:val="006649FD"/>
    <w:rsid w:val="00670159"/>
    <w:rsid w:val="00670881"/>
    <w:rsid w:val="006761F8"/>
    <w:rsid w:val="00682C00"/>
    <w:rsid w:val="006850EE"/>
    <w:rsid w:val="00685758"/>
    <w:rsid w:val="00686634"/>
    <w:rsid w:val="006876E9"/>
    <w:rsid w:val="00690761"/>
    <w:rsid w:val="006926B5"/>
    <w:rsid w:val="0069331D"/>
    <w:rsid w:val="00696430"/>
    <w:rsid w:val="006A38F1"/>
    <w:rsid w:val="006A3F4C"/>
    <w:rsid w:val="006A4D76"/>
    <w:rsid w:val="006A62D7"/>
    <w:rsid w:val="006B1D5D"/>
    <w:rsid w:val="006B3976"/>
    <w:rsid w:val="006B3F73"/>
    <w:rsid w:val="006B5B4D"/>
    <w:rsid w:val="006B5D16"/>
    <w:rsid w:val="006B7FF9"/>
    <w:rsid w:val="006C06F3"/>
    <w:rsid w:val="006C2D73"/>
    <w:rsid w:val="006C33D9"/>
    <w:rsid w:val="006D200A"/>
    <w:rsid w:val="006D2969"/>
    <w:rsid w:val="006D3F2B"/>
    <w:rsid w:val="006E30BC"/>
    <w:rsid w:val="006E4D78"/>
    <w:rsid w:val="006E6D7B"/>
    <w:rsid w:val="006F10C5"/>
    <w:rsid w:val="006F25C1"/>
    <w:rsid w:val="006F2A9E"/>
    <w:rsid w:val="006F31FE"/>
    <w:rsid w:val="006F3F3D"/>
    <w:rsid w:val="00700687"/>
    <w:rsid w:val="007019F7"/>
    <w:rsid w:val="007027AC"/>
    <w:rsid w:val="00704BFE"/>
    <w:rsid w:val="00710375"/>
    <w:rsid w:val="007156D5"/>
    <w:rsid w:val="00715B23"/>
    <w:rsid w:val="00715E33"/>
    <w:rsid w:val="0071644C"/>
    <w:rsid w:val="00717F25"/>
    <w:rsid w:val="00720755"/>
    <w:rsid w:val="00720D5A"/>
    <w:rsid w:val="00721EBC"/>
    <w:rsid w:val="00726939"/>
    <w:rsid w:val="007279F9"/>
    <w:rsid w:val="0073355C"/>
    <w:rsid w:val="007361AA"/>
    <w:rsid w:val="00741DC2"/>
    <w:rsid w:val="00741E69"/>
    <w:rsid w:val="00744480"/>
    <w:rsid w:val="00745165"/>
    <w:rsid w:val="00745864"/>
    <w:rsid w:val="00747D9E"/>
    <w:rsid w:val="007500CF"/>
    <w:rsid w:val="00752686"/>
    <w:rsid w:val="00753F96"/>
    <w:rsid w:val="00755A03"/>
    <w:rsid w:val="007562AD"/>
    <w:rsid w:val="007658F3"/>
    <w:rsid w:val="00766F8F"/>
    <w:rsid w:val="0077042A"/>
    <w:rsid w:val="00771079"/>
    <w:rsid w:val="00771777"/>
    <w:rsid w:val="00775535"/>
    <w:rsid w:val="007779E7"/>
    <w:rsid w:val="007806A7"/>
    <w:rsid w:val="00782EDA"/>
    <w:rsid w:val="007858BB"/>
    <w:rsid w:val="007859AF"/>
    <w:rsid w:val="007914E5"/>
    <w:rsid w:val="00791B69"/>
    <w:rsid w:val="00792D55"/>
    <w:rsid w:val="007966DB"/>
    <w:rsid w:val="007A0926"/>
    <w:rsid w:val="007A333B"/>
    <w:rsid w:val="007A336F"/>
    <w:rsid w:val="007A3E0F"/>
    <w:rsid w:val="007A572A"/>
    <w:rsid w:val="007A5ECD"/>
    <w:rsid w:val="007A7B00"/>
    <w:rsid w:val="007A7F72"/>
    <w:rsid w:val="007B561B"/>
    <w:rsid w:val="007B58F2"/>
    <w:rsid w:val="007B6553"/>
    <w:rsid w:val="007B6D28"/>
    <w:rsid w:val="007C157A"/>
    <w:rsid w:val="007C7489"/>
    <w:rsid w:val="007D0DDA"/>
    <w:rsid w:val="007D33E3"/>
    <w:rsid w:val="007D4B1B"/>
    <w:rsid w:val="007D51DF"/>
    <w:rsid w:val="007D752B"/>
    <w:rsid w:val="007E3070"/>
    <w:rsid w:val="007E78A2"/>
    <w:rsid w:val="007F197A"/>
    <w:rsid w:val="007F2776"/>
    <w:rsid w:val="007F3F51"/>
    <w:rsid w:val="007F54FB"/>
    <w:rsid w:val="00803CE6"/>
    <w:rsid w:val="00805314"/>
    <w:rsid w:val="0080614A"/>
    <w:rsid w:val="00807D69"/>
    <w:rsid w:val="00810400"/>
    <w:rsid w:val="00815952"/>
    <w:rsid w:val="00815E5C"/>
    <w:rsid w:val="00816E87"/>
    <w:rsid w:val="00817F12"/>
    <w:rsid w:val="008207F2"/>
    <w:rsid w:val="008213A8"/>
    <w:rsid w:val="0083576A"/>
    <w:rsid w:val="00835F7E"/>
    <w:rsid w:val="008437EE"/>
    <w:rsid w:val="008456C1"/>
    <w:rsid w:val="00847D31"/>
    <w:rsid w:val="00851D5F"/>
    <w:rsid w:val="0085269C"/>
    <w:rsid w:val="008607AC"/>
    <w:rsid w:val="00862E28"/>
    <w:rsid w:val="00871599"/>
    <w:rsid w:val="008722E8"/>
    <w:rsid w:val="00875E4B"/>
    <w:rsid w:val="00881A76"/>
    <w:rsid w:val="00882402"/>
    <w:rsid w:val="00883316"/>
    <w:rsid w:val="00883FE1"/>
    <w:rsid w:val="0089073F"/>
    <w:rsid w:val="00890AE6"/>
    <w:rsid w:val="00890EA3"/>
    <w:rsid w:val="0089194A"/>
    <w:rsid w:val="00891AD0"/>
    <w:rsid w:val="0089397B"/>
    <w:rsid w:val="00895876"/>
    <w:rsid w:val="008959BA"/>
    <w:rsid w:val="00895A60"/>
    <w:rsid w:val="008A0A93"/>
    <w:rsid w:val="008A1C6B"/>
    <w:rsid w:val="008A346D"/>
    <w:rsid w:val="008A42CD"/>
    <w:rsid w:val="008A5935"/>
    <w:rsid w:val="008A5F14"/>
    <w:rsid w:val="008B0BE0"/>
    <w:rsid w:val="008B14A2"/>
    <w:rsid w:val="008B37F6"/>
    <w:rsid w:val="008B5060"/>
    <w:rsid w:val="008B5DDB"/>
    <w:rsid w:val="008B7951"/>
    <w:rsid w:val="008C117B"/>
    <w:rsid w:val="008C20CE"/>
    <w:rsid w:val="008C2224"/>
    <w:rsid w:val="008C6943"/>
    <w:rsid w:val="008D2261"/>
    <w:rsid w:val="008D43D9"/>
    <w:rsid w:val="008D5EB1"/>
    <w:rsid w:val="008D5F2E"/>
    <w:rsid w:val="008D6BBE"/>
    <w:rsid w:val="008D6E32"/>
    <w:rsid w:val="008D7EF0"/>
    <w:rsid w:val="008E104B"/>
    <w:rsid w:val="008E5FD6"/>
    <w:rsid w:val="008F19FF"/>
    <w:rsid w:val="008F481B"/>
    <w:rsid w:val="008F7E64"/>
    <w:rsid w:val="00900EDC"/>
    <w:rsid w:val="009029CE"/>
    <w:rsid w:val="00903CC0"/>
    <w:rsid w:val="009071D7"/>
    <w:rsid w:val="00907862"/>
    <w:rsid w:val="00914CFA"/>
    <w:rsid w:val="00916FB9"/>
    <w:rsid w:val="0092082E"/>
    <w:rsid w:val="0092128E"/>
    <w:rsid w:val="00921496"/>
    <w:rsid w:val="00925BE9"/>
    <w:rsid w:val="00927910"/>
    <w:rsid w:val="00930E9F"/>
    <w:rsid w:val="00934750"/>
    <w:rsid w:val="00935167"/>
    <w:rsid w:val="009401A4"/>
    <w:rsid w:val="0094360E"/>
    <w:rsid w:val="00944D4F"/>
    <w:rsid w:val="0094532D"/>
    <w:rsid w:val="009512FB"/>
    <w:rsid w:val="00952CAF"/>
    <w:rsid w:val="00957F62"/>
    <w:rsid w:val="00957FC8"/>
    <w:rsid w:val="00960D10"/>
    <w:rsid w:val="00966C49"/>
    <w:rsid w:val="009671A2"/>
    <w:rsid w:val="009764F0"/>
    <w:rsid w:val="00976D6F"/>
    <w:rsid w:val="00977548"/>
    <w:rsid w:val="00985186"/>
    <w:rsid w:val="0098581D"/>
    <w:rsid w:val="009901B8"/>
    <w:rsid w:val="00990638"/>
    <w:rsid w:val="00990989"/>
    <w:rsid w:val="00992D39"/>
    <w:rsid w:val="00997BA6"/>
    <w:rsid w:val="009A36CB"/>
    <w:rsid w:val="009A5292"/>
    <w:rsid w:val="009A6C87"/>
    <w:rsid w:val="009B00D7"/>
    <w:rsid w:val="009B2115"/>
    <w:rsid w:val="009B420D"/>
    <w:rsid w:val="009C51F7"/>
    <w:rsid w:val="009C5D5E"/>
    <w:rsid w:val="009C5D62"/>
    <w:rsid w:val="009C6B21"/>
    <w:rsid w:val="009C7728"/>
    <w:rsid w:val="009D2EB5"/>
    <w:rsid w:val="009D61F9"/>
    <w:rsid w:val="009D6A18"/>
    <w:rsid w:val="009D7AF7"/>
    <w:rsid w:val="009E1336"/>
    <w:rsid w:val="009F0782"/>
    <w:rsid w:val="009F3159"/>
    <w:rsid w:val="009F6D02"/>
    <w:rsid w:val="00A002C8"/>
    <w:rsid w:val="00A018FD"/>
    <w:rsid w:val="00A026A5"/>
    <w:rsid w:val="00A04066"/>
    <w:rsid w:val="00A0489E"/>
    <w:rsid w:val="00A105FF"/>
    <w:rsid w:val="00A10902"/>
    <w:rsid w:val="00A12416"/>
    <w:rsid w:val="00A15E8B"/>
    <w:rsid w:val="00A161F0"/>
    <w:rsid w:val="00A17360"/>
    <w:rsid w:val="00A2046F"/>
    <w:rsid w:val="00A21B05"/>
    <w:rsid w:val="00A21B97"/>
    <w:rsid w:val="00A23769"/>
    <w:rsid w:val="00A24C58"/>
    <w:rsid w:val="00A267D4"/>
    <w:rsid w:val="00A30078"/>
    <w:rsid w:val="00A31BE9"/>
    <w:rsid w:val="00A35E29"/>
    <w:rsid w:val="00A36591"/>
    <w:rsid w:val="00A40AB9"/>
    <w:rsid w:val="00A4107E"/>
    <w:rsid w:val="00A44840"/>
    <w:rsid w:val="00A467FD"/>
    <w:rsid w:val="00A56DE3"/>
    <w:rsid w:val="00A619C4"/>
    <w:rsid w:val="00A62EA0"/>
    <w:rsid w:val="00A637EB"/>
    <w:rsid w:val="00A64C00"/>
    <w:rsid w:val="00A65565"/>
    <w:rsid w:val="00A6568E"/>
    <w:rsid w:val="00A65A27"/>
    <w:rsid w:val="00A66C2C"/>
    <w:rsid w:val="00A66F2C"/>
    <w:rsid w:val="00A6765A"/>
    <w:rsid w:val="00A74256"/>
    <w:rsid w:val="00A81301"/>
    <w:rsid w:val="00A9006C"/>
    <w:rsid w:val="00A9019F"/>
    <w:rsid w:val="00A9604F"/>
    <w:rsid w:val="00A96A61"/>
    <w:rsid w:val="00AA0D18"/>
    <w:rsid w:val="00AA2726"/>
    <w:rsid w:val="00AA3823"/>
    <w:rsid w:val="00AA39B4"/>
    <w:rsid w:val="00AA4556"/>
    <w:rsid w:val="00AA5B7C"/>
    <w:rsid w:val="00AB1159"/>
    <w:rsid w:val="00AB1668"/>
    <w:rsid w:val="00AB1EA8"/>
    <w:rsid w:val="00AB205E"/>
    <w:rsid w:val="00AB29E1"/>
    <w:rsid w:val="00AB2B9C"/>
    <w:rsid w:val="00AB351C"/>
    <w:rsid w:val="00AB3D7A"/>
    <w:rsid w:val="00AC3691"/>
    <w:rsid w:val="00AC6186"/>
    <w:rsid w:val="00AC64CC"/>
    <w:rsid w:val="00AD00E6"/>
    <w:rsid w:val="00AD57EB"/>
    <w:rsid w:val="00AD5EFA"/>
    <w:rsid w:val="00AD6186"/>
    <w:rsid w:val="00AD6BBC"/>
    <w:rsid w:val="00AE36B9"/>
    <w:rsid w:val="00AE59FB"/>
    <w:rsid w:val="00AE6B97"/>
    <w:rsid w:val="00AE79EC"/>
    <w:rsid w:val="00AE7CAB"/>
    <w:rsid w:val="00AF014F"/>
    <w:rsid w:val="00AF0AF3"/>
    <w:rsid w:val="00AF1A0C"/>
    <w:rsid w:val="00AF3366"/>
    <w:rsid w:val="00AF46F1"/>
    <w:rsid w:val="00AF6F89"/>
    <w:rsid w:val="00B00253"/>
    <w:rsid w:val="00B015D4"/>
    <w:rsid w:val="00B043F3"/>
    <w:rsid w:val="00B11782"/>
    <w:rsid w:val="00B226C9"/>
    <w:rsid w:val="00B2294A"/>
    <w:rsid w:val="00B31BCD"/>
    <w:rsid w:val="00B3246C"/>
    <w:rsid w:val="00B334E2"/>
    <w:rsid w:val="00B33F4A"/>
    <w:rsid w:val="00B35F16"/>
    <w:rsid w:val="00B372BA"/>
    <w:rsid w:val="00B37399"/>
    <w:rsid w:val="00B4370C"/>
    <w:rsid w:val="00B50CAD"/>
    <w:rsid w:val="00B50F70"/>
    <w:rsid w:val="00B51511"/>
    <w:rsid w:val="00B52BF9"/>
    <w:rsid w:val="00B5488D"/>
    <w:rsid w:val="00B568AD"/>
    <w:rsid w:val="00B57F26"/>
    <w:rsid w:val="00B60512"/>
    <w:rsid w:val="00B61C61"/>
    <w:rsid w:val="00B627A7"/>
    <w:rsid w:val="00B65CD2"/>
    <w:rsid w:val="00B67D5D"/>
    <w:rsid w:val="00B70515"/>
    <w:rsid w:val="00B72101"/>
    <w:rsid w:val="00B778AD"/>
    <w:rsid w:val="00B8379F"/>
    <w:rsid w:val="00B8726F"/>
    <w:rsid w:val="00B918D0"/>
    <w:rsid w:val="00B920D5"/>
    <w:rsid w:val="00B93365"/>
    <w:rsid w:val="00B94B8E"/>
    <w:rsid w:val="00B95D5A"/>
    <w:rsid w:val="00BA05CC"/>
    <w:rsid w:val="00BA0EF4"/>
    <w:rsid w:val="00BA2E2C"/>
    <w:rsid w:val="00BA34BB"/>
    <w:rsid w:val="00BA68DF"/>
    <w:rsid w:val="00BB43A9"/>
    <w:rsid w:val="00BB4AB6"/>
    <w:rsid w:val="00BC417C"/>
    <w:rsid w:val="00BC70AE"/>
    <w:rsid w:val="00BD0727"/>
    <w:rsid w:val="00BD0DF0"/>
    <w:rsid w:val="00BD108A"/>
    <w:rsid w:val="00BD3CB4"/>
    <w:rsid w:val="00BD5396"/>
    <w:rsid w:val="00BD5DBC"/>
    <w:rsid w:val="00BE086A"/>
    <w:rsid w:val="00BE13A4"/>
    <w:rsid w:val="00BE2385"/>
    <w:rsid w:val="00BE6A53"/>
    <w:rsid w:val="00BE6D13"/>
    <w:rsid w:val="00BF53D2"/>
    <w:rsid w:val="00BF670A"/>
    <w:rsid w:val="00C063AC"/>
    <w:rsid w:val="00C151EB"/>
    <w:rsid w:val="00C2212A"/>
    <w:rsid w:val="00C249B4"/>
    <w:rsid w:val="00C27239"/>
    <w:rsid w:val="00C303AA"/>
    <w:rsid w:val="00C316F6"/>
    <w:rsid w:val="00C32421"/>
    <w:rsid w:val="00C36E14"/>
    <w:rsid w:val="00C40224"/>
    <w:rsid w:val="00C40BD0"/>
    <w:rsid w:val="00C41C31"/>
    <w:rsid w:val="00C43E5B"/>
    <w:rsid w:val="00C44F9E"/>
    <w:rsid w:val="00C465EE"/>
    <w:rsid w:val="00C51CAC"/>
    <w:rsid w:val="00C5394F"/>
    <w:rsid w:val="00C55758"/>
    <w:rsid w:val="00C5577D"/>
    <w:rsid w:val="00C60D8E"/>
    <w:rsid w:val="00C6326A"/>
    <w:rsid w:val="00C63287"/>
    <w:rsid w:val="00C63482"/>
    <w:rsid w:val="00C63E94"/>
    <w:rsid w:val="00C655DF"/>
    <w:rsid w:val="00C65659"/>
    <w:rsid w:val="00C6612F"/>
    <w:rsid w:val="00C66DD8"/>
    <w:rsid w:val="00C67496"/>
    <w:rsid w:val="00C70DE0"/>
    <w:rsid w:val="00C714DA"/>
    <w:rsid w:val="00C74579"/>
    <w:rsid w:val="00C8374F"/>
    <w:rsid w:val="00C90FE5"/>
    <w:rsid w:val="00C9123D"/>
    <w:rsid w:val="00C919E9"/>
    <w:rsid w:val="00C921AD"/>
    <w:rsid w:val="00CA1747"/>
    <w:rsid w:val="00CA3F71"/>
    <w:rsid w:val="00CA4979"/>
    <w:rsid w:val="00CA5691"/>
    <w:rsid w:val="00CA67A5"/>
    <w:rsid w:val="00CB10E3"/>
    <w:rsid w:val="00CB15F0"/>
    <w:rsid w:val="00CB1FC8"/>
    <w:rsid w:val="00CB4BCC"/>
    <w:rsid w:val="00CB4C73"/>
    <w:rsid w:val="00CB5095"/>
    <w:rsid w:val="00CB58E4"/>
    <w:rsid w:val="00CB6459"/>
    <w:rsid w:val="00CB7E6C"/>
    <w:rsid w:val="00CC1467"/>
    <w:rsid w:val="00CC40E4"/>
    <w:rsid w:val="00CD18E6"/>
    <w:rsid w:val="00CD231D"/>
    <w:rsid w:val="00CD2C33"/>
    <w:rsid w:val="00CE2294"/>
    <w:rsid w:val="00CE3FCC"/>
    <w:rsid w:val="00CE7486"/>
    <w:rsid w:val="00CE7DFF"/>
    <w:rsid w:val="00CF1F33"/>
    <w:rsid w:val="00CF3A18"/>
    <w:rsid w:val="00CF445B"/>
    <w:rsid w:val="00D00874"/>
    <w:rsid w:val="00D013C7"/>
    <w:rsid w:val="00D064B4"/>
    <w:rsid w:val="00D15065"/>
    <w:rsid w:val="00D16A92"/>
    <w:rsid w:val="00D17814"/>
    <w:rsid w:val="00D22E25"/>
    <w:rsid w:val="00D253C7"/>
    <w:rsid w:val="00D26DE0"/>
    <w:rsid w:val="00D30F57"/>
    <w:rsid w:val="00D3496F"/>
    <w:rsid w:val="00D379BE"/>
    <w:rsid w:val="00D4403E"/>
    <w:rsid w:val="00D44ED2"/>
    <w:rsid w:val="00D45A3F"/>
    <w:rsid w:val="00D478DE"/>
    <w:rsid w:val="00D52813"/>
    <w:rsid w:val="00D5380F"/>
    <w:rsid w:val="00D53FEC"/>
    <w:rsid w:val="00D54516"/>
    <w:rsid w:val="00D551DE"/>
    <w:rsid w:val="00D55E33"/>
    <w:rsid w:val="00D62306"/>
    <w:rsid w:val="00D646B7"/>
    <w:rsid w:val="00D64AFB"/>
    <w:rsid w:val="00D65A41"/>
    <w:rsid w:val="00D66B3C"/>
    <w:rsid w:val="00D72203"/>
    <w:rsid w:val="00D73A88"/>
    <w:rsid w:val="00D73CAE"/>
    <w:rsid w:val="00D7708F"/>
    <w:rsid w:val="00D82ED6"/>
    <w:rsid w:val="00D8312F"/>
    <w:rsid w:val="00D8594F"/>
    <w:rsid w:val="00D90806"/>
    <w:rsid w:val="00D9096A"/>
    <w:rsid w:val="00D92637"/>
    <w:rsid w:val="00D97517"/>
    <w:rsid w:val="00D97727"/>
    <w:rsid w:val="00D97898"/>
    <w:rsid w:val="00DA531B"/>
    <w:rsid w:val="00DA6818"/>
    <w:rsid w:val="00DA77A3"/>
    <w:rsid w:val="00DB0CBC"/>
    <w:rsid w:val="00DB0FEE"/>
    <w:rsid w:val="00DB401F"/>
    <w:rsid w:val="00DB5CAD"/>
    <w:rsid w:val="00DC026E"/>
    <w:rsid w:val="00DC22E8"/>
    <w:rsid w:val="00DC483E"/>
    <w:rsid w:val="00DC4A93"/>
    <w:rsid w:val="00DC51C3"/>
    <w:rsid w:val="00DC5834"/>
    <w:rsid w:val="00DC7B7D"/>
    <w:rsid w:val="00DD3030"/>
    <w:rsid w:val="00DD5316"/>
    <w:rsid w:val="00DD7916"/>
    <w:rsid w:val="00DE1582"/>
    <w:rsid w:val="00DE1B1E"/>
    <w:rsid w:val="00DF1EDA"/>
    <w:rsid w:val="00DF20B7"/>
    <w:rsid w:val="00DF50E8"/>
    <w:rsid w:val="00E043BE"/>
    <w:rsid w:val="00E10166"/>
    <w:rsid w:val="00E10A2D"/>
    <w:rsid w:val="00E1115B"/>
    <w:rsid w:val="00E112AC"/>
    <w:rsid w:val="00E17850"/>
    <w:rsid w:val="00E24171"/>
    <w:rsid w:val="00E257D0"/>
    <w:rsid w:val="00E25C32"/>
    <w:rsid w:val="00E26808"/>
    <w:rsid w:val="00E2788E"/>
    <w:rsid w:val="00E30BAE"/>
    <w:rsid w:val="00E3244E"/>
    <w:rsid w:val="00E324EF"/>
    <w:rsid w:val="00E33411"/>
    <w:rsid w:val="00E3428C"/>
    <w:rsid w:val="00E36E87"/>
    <w:rsid w:val="00E36F37"/>
    <w:rsid w:val="00E4387B"/>
    <w:rsid w:val="00E44713"/>
    <w:rsid w:val="00E537C1"/>
    <w:rsid w:val="00E56993"/>
    <w:rsid w:val="00E56B8D"/>
    <w:rsid w:val="00E60770"/>
    <w:rsid w:val="00E61382"/>
    <w:rsid w:val="00E61657"/>
    <w:rsid w:val="00E62033"/>
    <w:rsid w:val="00E67013"/>
    <w:rsid w:val="00E73C64"/>
    <w:rsid w:val="00E76769"/>
    <w:rsid w:val="00E8012E"/>
    <w:rsid w:val="00E81F02"/>
    <w:rsid w:val="00E86A26"/>
    <w:rsid w:val="00E871C5"/>
    <w:rsid w:val="00E91824"/>
    <w:rsid w:val="00E96973"/>
    <w:rsid w:val="00EA23B6"/>
    <w:rsid w:val="00EA50FA"/>
    <w:rsid w:val="00EA74A7"/>
    <w:rsid w:val="00EB2F13"/>
    <w:rsid w:val="00EB460A"/>
    <w:rsid w:val="00EB4880"/>
    <w:rsid w:val="00EB784A"/>
    <w:rsid w:val="00EC0B23"/>
    <w:rsid w:val="00EC1A52"/>
    <w:rsid w:val="00EC4DDF"/>
    <w:rsid w:val="00EC5E77"/>
    <w:rsid w:val="00EC6646"/>
    <w:rsid w:val="00ED13F8"/>
    <w:rsid w:val="00ED1C11"/>
    <w:rsid w:val="00ED57AD"/>
    <w:rsid w:val="00ED6105"/>
    <w:rsid w:val="00EE5494"/>
    <w:rsid w:val="00EE612A"/>
    <w:rsid w:val="00EF004E"/>
    <w:rsid w:val="00EF1A10"/>
    <w:rsid w:val="00EF60AA"/>
    <w:rsid w:val="00EF678E"/>
    <w:rsid w:val="00EF6D51"/>
    <w:rsid w:val="00EF6D52"/>
    <w:rsid w:val="00F01EC6"/>
    <w:rsid w:val="00F045AB"/>
    <w:rsid w:val="00F05013"/>
    <w:rsid w:val="00F05350"/>
    <w:rsid w:val="00F070D4"/>
    <w:rsid w:val="00F11B10"/>
    <w:rsid w:val="00F12C7E"/>
    <w:rsid w:val="00F12FF7"/>
    <w:rsid w:val="00F13E0C"/>
    <w:rsid w:val="00F156EF"/>
    <w:rsid w:val="00F1578B"/>
    <w:rsid w:val="00F15ACE"/>
    <w:rsid w:val="00F21531"/>
    <w:rsid w:val="00F24694"/>
    <w:rsid w:val="00F27C28"/>
    <w:rsid w:val="00F27CBD"/>
    <w:rsid w:val="00F3008E"/>
    <w:rsid w:val="00F325CD"/>
    <w:rsid w:val="00F32C4A"/>
    <w:rsid w:val="00F33ADD"/>
    <w:rsid w:val="00F42589"/>
    <w:rsid w:val="00F42F9D"/>
    <w:rsid w:val="00F4337B"/>
    <w:rsid w:val="00F43A5A"/>
    <w:rsid w:val="00F45955"/>
    <w:rsid w:val="00F53743"/>
    <w:rsid w:val="00F54AB4"/>
    <w:rsid w:val="00F5529E"/>
    <w:rsid w:val="00F55CD9"/>
    <w:rsid w:val="00F5608B"/>
    <w:rsid w:val="00F5751E"/>
    <w:rsid w:val="00F60202"/>
    <w:rsid w:val="00F63220"/>
    <w:rsid w:val="00F6438C"/>
    <w:rsid w:val="00F66B9E"/>
    <w:rsid w:val="00F670A6"/>
    <w:rsid w:val="00F7018F"/>
    <w:rsid w:val="00F74C16"/>
    <w:rsid w:val="00F850A8"/>
    <w:rsid w:val="00F87980"/>
    <w:rsid w:val="00F903BE"/>
    <w:rsid w:val="00F90494"/>
    <w:rsid w:val="00F90DAD"/>
    <w:rsid w:val="00F9241B"/>
    <w:rsid w:val="00F92C19"/>
    <w:rsid w:val="00F956C9"/>
    <w:rsid w:val="00F96172"/>
    <w:rsid w:val="00FA256A"/>
    <w:rsid w:val="00FB08B7"/>
    <w:rsid w:val="00FB0E17"/>
    <w:rsid w:val="00FB4D18"/>
    <w:rsid w:val="00FB60F2"/>
    <w:rsid w:val="00FB76E0"/>
    <w:rsid w:val="00FC3479"/>
    <w:rsid w:val="00FC3913"/>
    <w:rsid w:val="00FC3B15"/>
    <w:rsid w:val="00FC6505"/>
    <w:rsid w:val="00FC6994"/>
    <w:rsid w:val="00FD1155"/>
    <w:rsid w:val="00FD11A9"/>
    <w:rsid w:val="00FD1C3A"/>
    <w:rsid w:val="00FD6C62"/>
    <w:rsid w:val="00FE0AAD"/>
    <w:rsid w:val="00FE128C"/>
    <w:rsid w:val="00FE27B1"/>
    <w:rsid w:val="00FE30CD"/>
    <w:rsid w:val="00FE753B"/>
    <w:rsid w:val="00FF0987"/>
    <w:rsid w:val="00FF1BFF"/>
    <w:rsid w:val="00FF37E9"/>
    <w:rsid w:val="00FF47F1"/>
    <w:rsid w:val="00FF48AE"/>
    <w:rsid w:val="00FF53F9"/>
    <w:rsid w:val="00FF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51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D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D18"/>
    <w:rPr>
      <w:rFonts w:ascii="Times New Roman" w:hAnsi="Times New Roman" w:cs="Times New Roman"/>
      <w:sz w:val="18"/>
      <w:szCs w:val="18"/>
    </w:rPr>
  </w:style>
  <w:style w:type="paragraph" w:styleId="Footer">
    <w:name w:val="footer"/>
    <w:basedOn w:val="Normal"/>
    <w:link w:val="FooterChar"/>
    <w:uiPriority w:val="99"/>
    <w:unhideWhenUsed/>
    <w:rsid w:val="001D1AAD"/>
    <w:pPr>
      <w:tabs>
        <w:tab w:val="center" w:pos="4536"/>
        <w:tab w:val="right" w:pos="9072"/>
      </w:tabs>
    </w:pPr>
  </w:style>
  <w:style w:type="character" w:customStyle="1" w:styleId="FooterChar">
    <w:name w:val="Footer Char"/>
    <w:basedOn w:val="DefaultParagraphFont"/>
    <w:link w:val="Footer"/>
    <w:uiPriority w:val="99"/>
    <w:rsid w:val="001D1AAD"/>
  </w:style>
  <w:style w:type="character" w:styleId="PageNumber">
    <w:name w:val="page number"/>
    <w:basedOn w:val="DefaultParagraphFont"/>
    <w:uiPriority w:val="99"/>
    <w:semiHidden/>
    <w:unhideWhenUsed/>
    <w:rsid w:val="001D1AAD"/>
  </w:style>
  <w:style w:type="paragraph" w:styleId="Header">
    <w:name w:val="header"/>
    <w:basedOn w:val="Normal"/>
    <w:link w:val="HeaderChar"/>
    <w:uiPriority w:val="99"/>
    <w:unhideWhenUsed/>
    <w:rsid w:val="001D1AAD"/>
    <w:pPr>
      <w:tabs>
        <w:tab w:val="center" w:pos="4536"/>
        <w:tab w:val="right" w:pos="9072"/>
      </w:tabs>
    </w:pPr>
  </w:style>
  <w:style w:type="character" w:customStyle="1" w:styleId="HeaderChar">
    <w:name w:val="Header Char"/>
    <w:basedOn w:val="DefaultParagraphFont"/>
    <w:link w:val="Header"/>
    <w:uiPriority w:val="99"/>
    <w:rsid w:val="001D1AAD"/>
  </w:style>
  <w:style w:type="character" w:styleId="CommentReference">
    <w:name w:val="annotation reference"/>
    <w:basedOn w:val="DefaultParagraphFont"/>
    <w:uiPriority w:val="99"/>
    <w:semiHidden/>
    <w:unhideWhenUsed/>
    <w:rsid w:val="006048BA"/>
    <w:rPr>
      <w:sz w:val="18"/>
      <w:szCs w:val="18"/>
    </w:rPr>
  </w:style>
  <w:style w:type="paragraph" w:styleId="CommentText">
    <w:name w:val="annotation text"/>
    <w:basedOn w:val="Normal"/>
    <w:link w:val="CommentTextChar"/>
    <w:uiPriority w:val="99"/>
    <w:semiHidden/>
    <w:unhideWhenUsed/>
    <w:rsid w:val="006048BA"/>
  </w:style>
  <w:style w:type="character" w:customStyle="1" w:styleId="CommentTextChar">
    <w:name w:val="Comment Text Char"/>
    <w:basedOn w:val="DefaultParagraphFont"/>
    <w:link w:val="CommentText"/>
    <w:uiPriority w:val="99"/>
    <w:semiHidden/>
    <w:rsid w:val="006048BA"/>
  </w:style>
  <w:style w:type="paragraph" w:styleId="CommentSubject">
    <w:name w:val="annotation subject"/>
    <w:basedOn w:val="CommentText"/>
    <w:next w:val="CommentText"/>
    <w:link w:val="CommentSubjectChar"/>
    <w:uiPriority w:val="99"/>
    <w:semiHidden/>
    <w:unhideWhenUsed/>
    <w:rsid w:val="006048BA"/>
    <w:rPr>
      <w:b/>
      <w:bCs/>
      <w:sz w:val="20"/>
      <w:szCs w:val="20"/>
    </w:rPr>
  </w:style>
  <w:style w:type="character" w:customStyle="1" w:styleId="CommentSubjectChar">
    <w:name w:val="Comment Subject Char"/>
    <w:basedOn w:val="CommentTextChar"/>
    <w:link w:val="CommentSubject"/>
    <w:uiPriority w:val="99"/>
    <w:semiHidden/>
    <w:rsid w:val="006048BA"/>
    <w:rPr>
      <w:b/>
      <w:bCs/>
      <w:sz w:val="20"/>
      <w:szCs w:val="20"/>
    </w:rPr>
  </w:style>
  <w:style w:type="character" w:styleId="Hyperlink">
    <w:name w:val="Hyperlink"/>
    <w:basedOn w:val="DefaultParagraphFont"/>
    <w:uiPriority w:val="99"/>
    <w:unhideWhenUsed/>
    <w:rsid w:val="00F13E0C"/>
    <w:rPr>
      <w:color w:val="0563C1" w:themeColor="hyperlink"/>
      <w:u w:val="single"/>
    </w:rPr>
  </w:style>
  <w:style w:type="character" w:styleId="FollowedHyperlink">
    <w:name w:val="FollowedHyperlink"/>
    <w:basedOn w:val="DefaultParagraphFont"/>
    <w:uiPriority w:val="99"/>
    <w:semiHidden/>
    <w:unhideWhenUsed/>
    <w:rsid w:val="00644202"/>
    <w:rPr>
      <w:color w:val="954F72" w:themeColor="followedHyperlink"/>
      <w:u w:val="single"/>
    </w:rPr>
  </w:style>
  <w:style w:type="paragraph" w:styleId="FootnoteText">
    <w:name w:val="footnote text"/>
    <w:basedOn w:val="Normal"/>
    <w:link w:val="FootnoteTextChar"/>
    <w:uiPriority w:val="99"/>
    <w:unhideWhenUsed/>
    <w:rsid w:val="000A487F"/>
  </w:style>
  <w:style w:type="character" w:customStyle="1" w:styleId="FootnoteTextChar">
    <w:name w:val="Footnote Text Char"/>
    <w:basedOn w:val="DefaultParagraphFont"/>
    <w:link w:val="FootnoteText"/>
    <w:uiPriority w:val="99"/>
    <w:rsid w:val="000A487F"/>
  </w:style>
  <w:style w:type="character" w:styleId="FootnoteReference">
    <w:name w:val="footnote reference"/>
    <w:basedOn w:val="DefaultParagraphFont"/>
    <w:uiPriority w:val="99"/>
    <w:unhideWhenUsed/>
    <w:rsid w:val="000A4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901">
      <w:bodyDiv w:val="1"/>
      <w:marLeft w:val="0"/>
      <w:marRight w:val="0"/>
      <w:marTop w:val="0"/>
      <w:marBottom w:val="0"/>
      <w:divBdr>
        <w:top w:val="none" w:sz="0" w:space="0" w:color="auto"/>
        <w:left w:val="none" w:sz="0" w:space="0" w:color="auto"/>
        <w:bottom w:val="none" w:sz="0" w:space="0" w:color="auto"/>
        <w:right w:val="none" w:sz="0" w:space="0" w:color="auto"/>
      </w:divBdr>
    </w:div>
    <w:div w:id="53354160">
      <w:bodyDiv w:val="1"/>
      <w:marLeft w:val="0"/>
      <w:marRight w:val="0"/>
      <w:marTop w:val="0"/>
      <w:marBottom w:val="0"/>
      <w:divBdr>
        <w:top w:val="none" w:sz="0" w:space="0" w:color="auto"/>
        <w:left w:val="none" w:sz="0" w:space="0" w:color="auto"/>
        <w:bottom w:val="none" w:sz="0" w:space="0" w:color="auto"/>
        <w:right w:val="none" w:sz="0" w:space="0" w:color="auto"/>
      </w:divBdr>
      <w:divsChild>
        <w:div w:id="126825104">
          <w:marLeft w:val="1166"/>
          <w:marRight w:val="0"/>
          <w:marTop w:val="86"/>
          <w:marBottom w:val="0"/>
          <w:divBdr>
            <w:top w:val="none" w:sz="0" w:space="0" w:color="auto"/>
            <w:left w:val="none" w:sz="0" w:space="0" w:color="auto"/>
            <w:bottom w:val="none" w:sz="0" w:space="0" w:color="auto"/>
            <w:right w:val="none" w:sz="0" w:space="0" w:color="auto"/>
          </w:divBdr>
        </w:div>
        <w:div w:id="2035377484">
          <w:marLeft w:val="1166"/>
          <w:marRight w:val="0"/>
          <w:marTop w:val="86"/>
          <w:marBottom w:val="0"/>
          <w:divBdr>
            <w:top w:val="none" w:sz="0" w:space="0" w:color="auto"/>
            <w:left w:val="none" w:sz="0" w:space="0" w:color="auto"/>
            <w:bottom w:val="none" w:sz="0" w:space="0" w:color="auto"/>
            <w:right w:val="none" w:sz="0" w:space="0" w:color="auto"/>
          </w:divBdr>
        </w:div>
        <w:div w:id="1984189423">
          <w:marLeft w:val="1166"/>
          <w:marRight w:val="0"/>
          <w:marTop w:val="86"/>
          <w:marBottom w:val="0"/>
          <w:divBdr>
            <w:top w:val="none" w:sz="0" w:space="0" w:color="auto"/>
            <w:left w:val="none" w:sz="0" w:space="0" w:color="auto"/>
            <w:bottom w:val="none" w:sz="0" w:space="0" w:color="auto"/>
            <w:right w:val="none" w:sz="0" w:space="0" w:color="auto"/>
          </w:divBdr>
        </w:div>
        <w:div w:id="1041133397">
          <w:marLeft w:val="1166"/>
          <w:marRight w:val="0"/>
          <w:marTop w:val="86"/>
          <w:marBottom w:val="0"/>
          <w:divBdr>
            <w:top w:val="none" w:sz="0" w:space="0" w:color="auto"/>
            <w:left w:val="none" w:sz="0" w:space="0" w:color="auto"/>
            <w:bottom w:val="none" w:sz="0" w:space="0" w:color="auto"/>
            <w:right w:val="none" w:sz="0" w:space="0" w:color="auto"/>
          </w:divBdr>
        </w:div>
        <w:div w:id="1064836929">
          <w:marLeft w:val="1166"/>
          <w:marRight w:val="0"/>
          <w:marTop w:val="86"/>
          <w:marBottom w:val="0"/>
          <w:divBdr>
            <w:top w:val="none" w:sz="0" w:space="0" w:color="auto"/>
            <w:left w:val="none" w:sz="0" w:space="0" w:color="auto"/>
            <w:bottom w:val="none" w:sz="0" w:space="0" w:color="auto"/>
            <w:right w:val="none" w:sz="0" w:space="0" w:color="auto"/>
          </w:divBdr>
        </w:div>
      </w:divsChild>
    </w:div>
    <w:div w:id="63920772">
      <w:bodyDiv w:val="1"/>
      <w:marLeft w:val="0"/>
      <w:marRight w:val="0"/>
      <w:marTop w:val="0"/>
      <w:marBottom w:val="0"/>
      <w:divBdr>
        <w:top w:val="none" w:sz="0" w:space="0" w:color="auto"/>
        <w:left w:val="none" w:sz="0" w:space="0" w:color="auto"/>
        <w:bottom w:val="none" w:sz="0" w:space="0" w:color="auto"/>
        <w:right w:val="none" w:sz="0" w:space="0" w:color="auto"/>
      </w:divBdr>
    </w:div>
    <w:div w:id="105776710">
      <w:bodyDiv w:val="1"/>
      <w:marLeft w:val="0"/>
      <w:marRight w:val="0"/>
      <w:marTop w:val="0"/>
      <w:marBottom w:val="0"/>
      <w:divBdr>
        <w:top w:val="none" w:sz="0" w:space="0" w:color="auto"/>
        <w:left w:val="none" w:sz="0" w:space="0" w:color="auto"/>
        <w:bottom w:val="none" w:sz="0" w:space="0" w:color="auto"/>
        <w:right w:val="none" w:sz="0" w:space="0" w:color="auto"/>
      </w:divBdr>
      <w:divsChild>
        <w:div w:id="212936173">
          <w:marLeft w:val="1166"/>
          <w:marRight w:val="0"/>
          <w:marTop w:val="86"/>
          <w:marBottom w:val="0"/>
          <w:divBdr>
            <w:top w:val="none" w:sz="0" w:space="0" w:color="auto"/>
            <w:left w:val="none" w:sz="0" w:space="0" w:color="auto"/>
            <w:bottom w:val="none" w:sz="0" w:space="0" w:color="auto"/>
            <w:right w:val="none" w:sz="0" w:space="0" w:color="auto"/>
          </w:divBdr>
        </w:div>
        <w:div w:id="1399011436">
          <w:marLeft w:val="1166"/>
          <w:marRight w:val="0"/>
          <w:marTop w:val="86"/>
          <w:marBottom w:val="0"/>
          <w:divBdr>
            <w:top w:val="none" w:sz="0" w:space="0" w:color="auto"/>
            <w:left w:val="none" w:sz="0" w:space="0" w:color="auto"/>
            <w:bottom w:val="none" w:sz="0" w:space="0" w:color="auto"/>
            <w:right w:val="none" w:sz="0" w:space="0" w:color="auto"/>
          </w:divBdr>
        </w:div>
        <w:div w:id="241985810">
          <w:marLeft w:val="1166"/>
          <w:marRight w:val="0"/>
          <w:marTop w:val="86"/>
          <w:marBottom w:val="0"/>
          <w:divBdr>
            <w:top w:val="none" w:sz="0" w:space="0" w:color="auto"/>
            <w:left w:val="none" w:sz="0" w:space="0" w:color="auto"/>
            <w:bottom w:val="none" w:sz="0" w:space="0" w:color="auto"/>
            <w:right w:val="none" w:sz="0" w:space="0" w:color="auto"/>
          </w:divBdr>
        </w:div>
        <w:div w:id="1900556065">
          <w:marLeft w:val="1166"/>
          <w:marRight w:val="0"/>
          <w:marTop w:val="86"/>
          <w:marBottom w:val="0"/>
          <w:divBdr>
            <w:top w:val="none" w:sz="0" w:space="0" w:color="auto"/>
            <w:left w:val="none" w:sz="0" w:space="0" w:color="auto"/>
            <w:bottom w:val="none" w:sz="0" w:space="0" w:color="auto"/>
            <w:right w:val="none" w:sz="0" w:space="0" w:color="auto"/>
          </w:divBdr>
        </w:div>
        <w:div w:id="1225993489">
          <w:marLeft w:val="1166"/>
          <w:marRight w:val="0"/>
          <w:marTop w:val="86"/>
          <w:marBottom w:val="0"/>
          <w:divBdr>
            <w:top w:val="none" w:sz="0" w:space="0" w:color="auto"/>
            <w:left w:val="none" w:sz="0" w:space="0" w:color="auto"/>
            <w:bottom w:val="none" w:sz="0" w:space="0" w:color="auto"/>
            <w:right w:val="none" w:sz="0" w:space="0" w:color="auto"/>
          </w:divBdr>
        </w:div>
      </w:divsChild>
    </w:div>
    <w:div w:id="114108255">
      <w:bodyDiv w:val="1"/>
      <w:marLeft w:val="0"/>
      <w:marRight w:val="0"/>
      <w:marTop w:val="0"/>
      <w:marBottom w:val="0"/>
      <w:divBdr>
        <w:top w:val="none" w:sz="0" w:space="0" w:color="auto"/>
        <w:left w:val="none" w:sz="0" w:space="0" w:color="auto"/>
        <w:bottom w:val="none" w:sz="0" w:space="0" w:color="auto"/>
        <w:right w:val="none" w:sz="0" w:space="0" w:color="auto"/>
      </w:divBdr>
    </w:div>
    <w:div w:id="146827826">
      <w:bodyDiv w:val="1"/>
      <w:marLeft w:val="0"/>
      <w:marRight w:val="0"/>
      <w:marTop w:val="0"/>
      <w:marBottom w:val="0"/>
      <w:divBdr>
        <w:top w:val="none" w:sz="0" w:space="0" w:color="auto"/>
        <w:left w:val="none" w:sz="0" w:space="0" w:color="auto"/>
        <w:bottom w:val="none" w:sz="0" w:space="0" w:color="auto"/>
        <w:right w:val="none" w:sz="0" w:space="0" w:color="auto"/>
      </w:divBdr>
    </w:div>
    <w:div w:id="191650103">
      <w:bodyDiv w:val="1"/>
      <w:marLeft w:val="0"/>
      <w:marRight w:val="0"/>
      <w:marTop w:val="0"/>
      <w:marBottom w:val="0"/>
      <w:divBdr>
        <w:top w:val="none" w:sz="0" w:space="0" w:color="auto"/>
        <w:left w:val="none" w:sz="0" w:space="0" w:color="auto"/>
        <w:bottom w:val="none" w:sz="0" w:space="0" w:color="auto"/>
        <w:right w:val="none" w:sz="0" w:space="0" w:color="auto"/>
      </w:divBdr>
    </w:div>
    <w:div w:id="211187261">
      <w:bodyDiv w:val="1"/>
      <w:marLeft w:val="0"/>
      <w:marRight w:val="0"/>
      <w:marTop w:val="0"/>
      <w:marBottom w:val="0"/>
      <w:divBdr>
        <w:top w:val="none" w:sz="0" w:space="0" w:color="auto"/>
        <w:left w:val="none" w:sz="0" w:space="0" w:color="auto"/>
        <w:bottom w:val="none" w:sz="0" w:space="0" w:color="auto"/>
        <w:right w:val="none" w:sz="0" w:space="0" w:color="auto"/>
      </w:divBdr>
    </w:div>
    <w:div w:id="216823617">
      <w:bodyDiv w:val="1"/>
      <w:marLeft w:val="0"/>
      <w:marRight w:val="0"/>
      <w:marTop w:val="0"/>
      <w:marBottom w:val="0"/>
      <w:divBdr>
        <w:top w:val="none" w:sz="0" w:space="0" w:color="auto"/>
        <w:left w:val="none" w:sz="0" w:space="0" w:color="auto"/>
        <w:bottom w:val="none" w:sz="0" w:space="0" w:color="auto"/>
        <w:right w:val="none" w:sz="0" w:space="0" w:color="auto"/>
      </w:divBdr>
    </w:div>
    <w:div w:id="229392737">
      <w:bodyDiv w:val="1"/>
      <w:marLeft w:val="0"/>
      <w:marRight w:val="0"/>
      <w:marTop w:val="0"/>
      <w:marBottom w:val="0"/>
      <w:divBdr>
        <w:top w:val="none" w:sz="0" w:space="0" w:color="auto"/>
        <w:left w:val="none" w:sz="0" w:space="0" w:color="auto"/>
        <w:bottom w:val="none" w:sz="0" w:space="0" w:color="auto"/>
        <w:right w:val="none" w:sz="0" w:space="0" w:color="auto"/>
      </w:divBdr>
    </w:div>
    <w:div w:id="305403912">
      <w:bodyDiv w:val="1"/>
      <w:marLeft w:val="0"/>
      <w:marRight w:val="0"/>
      <w:marTop w:val="0"/>
      <w:marBottom w:val="0"/>
      <w:divBdr>
        <w:top w:val="none" w:sz="0" w:space="0" w:color="auto"/>
        <w:left w:val="none" w:sz="0" w:space="0" w:color="auto"/>
        <w:bottom w:val="none" w:sz="0" w:space="0" w:color="auto"/>
        <w:right w:val="none" w:sz="0" w:space="0" w:color="auto"/>
      </w:divBdr>
    </w:div>
    <w:div w:id="311565557">
      <w:bodyDiv w:val="1"/>
      <w:marLeft w:val="0"/>
      <w:marRight w:val="0"/>
      <w:marTop w:val="0"/>
      <w:marBottom w:val="0"/>
      <w:divBdr>
        <w:top w:val="none" w:sz="0" w:space="0" w:color="auto"/>
        <w:left w:val="none" w:sz="0" w:space="0" w:color="auto"/>
        <w:bottom w:val="none" w:sz="0" w:space="0" w:color="auto"/>
        <w:right w:val="none" w:sz="0" w:space="0" w:color="auto"/>
      </w:divBdr>
    </w:div>
    <w:div w:id="313687305">
      <w:bodyDiv w:val="1"/>
      <w:marLeft w:val="0"/>
      <w:marRight w:val="0"/>
      <w:marTop w:val="0"/>
      <w:marBottom w:val="0"/>
      <w:divBdr>
        <w:top w:val="none" w:sz="0" w:space="0" w:color="auto"/>
        <w:left w:val="none" w:sz="0" w:space="0" w:color="auto"/>
        <w:bottom w:val="none" w:sz="0" w:space="0" w:color="auto"/>
        <w:right w:val="none" w:sz="0" w:space="0" w:color="auto"/>
      </w:divBdr>
    </w:div>
    <w:div w:id="379482094">
      <w:bodyDiv w:val="1"/>
      <w:marLeft w:val="0"/>
      <w:marRight w:val="0"/>
      <w:marTop w:val="0"/>
      <w:marBottom w:val="0"/>
      <w:divBdr>
        <w:top w:val="none" w:sz="0" w:space="0" w:color="auto"/>
        <w:left w:val="none" w:sz="0" w:space="0" w:color="auto"/>
        <w:bottom w:val="none" w:sz="0" w:space="0" w:color="auto"/>
        <w:right w:val="none" w:sz="0" w:space="0" w:color="auto"/>
      </w:divBdr>
      <w:divsChild>
        <w:div w:id="85421338">
          <w:marLeft w:val="547"/>
          <w:marRight w:val="0"/>
          <w:marTop w:val="115"/>
          <w:marBottom w:val="0"/>
          <w:divBdr>
            <w:top w:val="none" w:sz="0" w:space="0" w:color="auto"/>
            <w:left w:val="none" w:sz="0" w:space="0" w:color="auto"/>
            <w:bottom w:val="none" w:sz="0" w:space="0" w:color="auto"/>
            <w:right w:val="none" w:sz="0" w:space="0" w:color="auto"/>
          </w:divBdr>
        </w:div>
        <w:div w:id="2046128743">
          <w:marLeft w:val="1166"/>
          <w:marRight w:val="0"/>
          <w:marTop w:val="96"/>
          <w:marBottom w:val="0"/>
          <w:divBdr>
            <w:top w:val="none" w:sz="0" w:space="0" w:color="auto"/>
            <w:left w:val="none" w:sz="0" w:space="0" w:color="auto"/>
            <w:bottom w:val="none" w:sz="0" w:space="0" w:color="auto"/>
            <w:right w:val="none" w:sz="0" w:space="0" w:color="auto"/>
          </w:divBdr>
        </w:div>
      </w:divsChild>
    </w:div>
    <w:div w:id="388842238">
      <w:bodyDiv w:val="1"/>
      <w:marLeft w:val="0"/>
      <w:marRight w:val="0"/>
      <w:marTop w:val="0"/>
      <w:marBottom w:val="0"/>
      <w:divBdr>
        <w:top w:val="none" w:sz="0" w:space="0" w:color="auto"/>
        <w:left w:val="none" w:sz="0" w:space="0" w:color="auto"/>
        <w:bottom w:val="none" w:sz="0" w:space="0" w:color="auto"/>
        <w:right w:val="none" w:sz="0" w:space="0" w:color="auto"/>
      </w:divBdr>
    </w:div>
    <w:div w:id="509032087">
      <w:bodyDiv w:val="1"/>
      <w:marLeft w:val="0"/>
      <w:marRight w:val="0"/>
      <w:marTop w:val="0"/>
      <w:marBottom w:val="0"/>
      <w:divBdr>
        <w:top w:val="none" w:sz="0" w:space="0" w:color="auto"/>
        <w:left w:val="none" w:sz="0" w:space="0" w:color="auto"/>
        <w:bottom w:val="none" w:sz="0" w:space="0" w:color="auto"/>
        <w:right w:val="none" w:sz="0" w:space="0" w:color="auto"/>
      </w:divBdr>
    </w:div>
    <w:div w:id="516236582">
      <w:bodyDiv w:val="1"/>
      <w:marLeft w:val="0"/>
      <w:marRight w:val="0"/>
      <w:marTop w:val="0"/>
      <w:marBottom w:val="0"/>
      <w:divBdr>
        <w:top w:val="none" w:sz="0" w:space="0" w:color="auto"/>
        <w:left w:val="none" w:sz="0" w:space="0" w:color="auto"/>
        <w:bottom w:val="none" w:sz="0" w:space="0" w:color="auto"/>
        <w:right w:val="none" w:sz="0" w:space="0" w:color="auto"/>
      </w:divBdr>
    </w:div>
    <w:div w:id="533033265">
      <w:bodyDiv w:val="1"/>
      <w:marLeft w:val="0"/>
      <w:marRight w:val="0"/>
      <w:marTop w:val="0"/>
      <w:marBottom w:val="0"/>
      <w:divBdr>
        <w:top w:val="none" w:sz="0" w:space="0" w:color="auto"/>
        <w:left w:val="none" w:sz="0" w:space="0" w:color="auto"/>
        <w:bottom w:val="none" w:sz="0" w:space="0" w:color="auto"/>
        <w:right w:val="none" w:sz="0" w:space="0" w:color="auto"/>
      </w:divBdr>
    </w:div>
    <w:div w:id="556085862">
      <w:bodyDiv w:val="1"/>
      <w:marLeft w:val="0"/>
      <w:marRight w:val="0"/>
      <w:marTop w:val="0"/>
      <w:marBottom w:val="0"/>
      <w:divBdr>
        <w:top w:val="none" w:sz="0" w:space="0" w:color="auto"/>
        <w:left w:val="none" w:sz="0" w:space="0" w:color="auto"/>
        <w:bottom w:val="none" w:sz="0" w:space="0" w:color="auto"/>
        <w:right w:val="none" w:sz="0" w:space="0" w:color="auto"/>
      </w:divBdr>
    </w:div>
    <w:div w:id="569384383">
      <w:bodyDiv w:val="1"/>
      <w:marLeft w:val="0"/>
      <w:marRight w:val="0"/>
      <w:marTop w:val="0"/>
      <w:marBottom w:val="0"/>
      <w:divBdr>
        <w:top w:val="none" w:sz="0" w:space="0" w:color="auto"/>
        <w:left w:val="none" w:sz="0" w:space="0" w:color="auto"/>
        <w:bottom w:val="none" w:sz="0" w:space="0" w:color="auto"/>
        <w:right w:val="none" w:sz="0" w:space="0" w:color="auto"/>
      </w:divBdr>
    </w:div>
    <w:div w:id="572619004">
      <w:bodyDiv w:val="1"/>
      <w:marLeft w:val="0"/>
      <w:marRight w:val="0"/>
      <w:marTop w:val="0"/>
      <w:marBottom w:val="0"/>
      <w:divBdr>
        <w:top w:val="none" w:sz="0" w:space="0" w:color="auto"/>
        <w:left w:val="none" w:sz="0" w:space="0" w:color="auto"/>
        <w:bottom w:val="none" w:sz="0" w:space="0" w:color="auto"/>
        <w:right w:val="none" w:sz="0" w:space="0" w:color="auto"/>
      </w:divBdr>
    </w:div>
    <w:div w:id="587353270">
      <w:bodyDiv w:val="1"/>
      <w:marLeft w:val="0"/>
      <w:marRight w:val="0"/>
      <w:marTop w:val="0"/>
      <w:marBottom w:val="0"/>
      <w:divBdr>
        <w:top w:val="none" w:sz="0" w:space="0" w:color="auto"/>
        <w:left w:val="none" w:sz="0" w:space="0" w:color="auto"/>
        <w:bottom w:val="none" w:sz="0" w:space="0" w:color="auto"/>
        <w:right w:val="none" w:sz="0" w:space="0" w:color="auto"/>
      </w:divBdr>
    </w:div>
    <w:div w:id="638386684">
      <w:bodyDiv w:val="1"/>
      <w:marLeft w:val="0"/>
      <w:marRight w:val="0"/>
      <w:marTop w:val="0"/>
      <w:marBottom w:val="0"/>
      <w:divBdr>
        <w:top w:val="none" w:sz="0" w:space="0" w:color="auto"/>
        <w:left w:val="none" w:sz="0" w:space="0" w:color="auto"/>
        <w:bottom w:val="none" w:sz="0" w:space="0" w:color="auto"/>
        <w:right w:val="none" w:sz="0" w:space="0" w:color="auto"/>
      </w:divBdr>
    </w:div>
    <w:div w:id="714618875">
      <w:bodyDiv w:val="1"/>
      <w:marLeft w:val="0"/>
      <w:marRight w:val="0"/>
      <w:marTop w:val="0"/>
      <w:marBottom w:val="0"/>
      <w:divBdr>
        <w:top w:val="none" w:sz="0" w:space="0" w:color="auto"/>
        <w:left w:val="none" w:sz="0" w:space="0" w:color="auto"/>
        <w:bottom w:val="none" w:sz="0" w:space="0" w:color="auto"/>
        <w:right w:val="none" w:sz="0" w:space="0" w:color="auto"/>
      </w:divBdr>
    </w:div>
    <w:div w:id="766461384">
      <w:bodyDiv w:val="1"/>
      <w:marLeft w:val="0"/>
      <w:marRight w:val="0"/>
      <w:marTop w:val="0"/>
      <w:marBottom w:val="0"/>
      <w:divBdr>
        <w:top w:val="none" w:sz="0" w:space="0" w:color="auto"/>
        <w:left w:val="none" w:sz="0" w:space="0" w:color="auto"/>
        <w:bottom w:val="none" w:sz="0" w:space="0" w:color="auto"/>
        <w:right w:val="none" w:sz="0" w:space="0" w:color="auto"/>
      </w:divBdr>
    </w:div>
    <w:div w:id="772937158">
      <w:bodyDiv w:val="1"/>
      <w:marLeft w:val="0"/>
      <w:marRight w:val="0"/>
      <w:marTop w:val="0"/>
      <w:marBottom w:val="0"/>
      <w:divBdr>
        <w:top w:val="none" w:sz="0" w:space="0" w:color="auto"/>
        <w:left w:val="none" w:sz="0" w:space="0" w:color="auto"/>
        <w:bottom w:val="none" w:sz="0" w:space="0" w:color="auto"/>
        <w:right w:val="none" w:sz="0" w:space="0" w:color="auto"/>
      </w:divBdr>
    </w:div>
    <w:div w:id="788936468">
      <w:bodyDiv w:val="1"/>
      <w:marLeft w:val="0"/>
      <w:marRight w:val="0"/>
      <w:marTop w:val="0"/>
      <w:marBottom w:val="0"/>
      <w:divBdr>
        <w:top w:val="none" w:sz="0" w:space="0" w:color="auto"/>
        <w:left w:val="none" w:sz="0" w:space="0" w:color="auto"/>
        <w:bottom w:val="none" w:sz="0" w:space="0" w:color="auto"/>
        <w:right w:val="none" w:sz="0" w:space="0" w:color="auto"/>
      </w:divBdr>
    </w:div>
    <w:div w:id="793907993">
      <w:bodyDiv w:val="1"/>
      <w:marLeft w:val="0"/>
      <w:marRight w:val="0"/>
      <w:marTop w:val="0"/>
      <w:marBottom w:val="0"/>
      <w:divBdr>
        <w:top w:val="none" w:sz="0" w:space="0" w:color="auto"/>
        <w:left w:val="none" w:sz="0" w:space="0" w:color="auto"/>
        <w:bottom w:val="none" w:sz="0" w:space="0" w:color="auto"/>
        <w:right w:val="none" w:sz="0" w:space="0" w:color="auto"/>
      </w:divBdr>
    </w:div>
    <w:div w:id="829566148">
      <w:bodyDiv w:val="1"/>
      <w:marLeft w:val="0"/>
      <w:marRight w:val="0"/>
      <w:marTop w:val="0"/>
      <w:marBottom w:val="0"/>
      <w:divBdr>
        <w:top w:val="none" w:sz="0" w:space="0" w:color="auto"/>
        <w:left w:val="none" w:sz="0" w:space="0" w:color="auto"/>
        <w:bottom w:val="none" w:sz="0" w:space="0" w:color="auto"/>
        <w:right w:val="none" w:sz="0" w:space="0" w:color="auto"/>
      </w:divBdr>
    </w:div>
    <w:div w:id="856583850">
      <w:bodyDiv w:val="1"/>
      <w:marLeft w:val="0"/>
      <w:marRight w:val="0"/>
      <w:marTop w:val="0"/>
      <w:marBottom w:val="0"/>
      <w:divBdr>
        <w:top w:val="none" w:sz="0" w:space="0" w:color="auto"/>
        <w:left w:val="none" w:sz="0" w:space="0" w:color="auto"/>
        <w:bottom w:val="none" w:sz="0" w:space="0" w:color="auto"/>
        <w:right w:val="none" w:sz="0" w:space="0" w:color="auto"/>
      </w:divBdr>
    </w:div>
    <w:div w:id="868569341">
      <w:bodyDiv w:val="1"/>
      <w:marLeft w:val="0"/>
      <w:marRight w:val="0"/>
      <w:marTop w:val="0"/>
      <w:marBottom w:val="0"/>
      <w:divBdr>
        <w:top w:val="none" w:sz="0" w:space="0" w:color="auto"/>
        <w:left w:val="none" w:sz="0" w:space="0" w:color="auto"/>
        <w:bottom w:val="none" w:sz="0" w:space="0" w:color="auto"/>
        <w:right w:val="none" w:sz="0" w:space="0" w:color="auto"/>
      </w:divBdr>
    </w:div>
    <w:div w:id="910115883">
      <w:bodyDiv w:val="1"/>
      <w:marLeft w:val="0"/>
      <w:marRight w:val="0"/>
      <w:marTop w:val="0"/>
      <w:marBottom w:val="0"/>
      <w:divBdr>
        <w:top w:val="none" w:sz="0" w:space="0" w:color="auto"/>
        <w:left w:val="none" w:sz="0" w:space="0" w:color="auto"/>
        <w:bottom w:val="none" w:sz="0" w:space="0" w:color="auto"/>
        <w:right w:val="none" w:sz="0" w:space="0" w:color="auto"/>
      </w:divBdr>
    </w:div>
    <w:div w:id="927228622">
      <w:bodyDiv w:val="1"/>
      <w:marLeft w:val="0"/>
      <w:marRight w:val="0"/>
      <w:marTop w:val="0"/>
      <w:marBottom w:val="0"/>
      <w:divBdr>
        <w:top w:val="none" w:sz="0" w:space="0" w:color="auto"/>
        <w:left w:val="none" w:sz="0" w:space="0" w:color="auto"/>
        <w:bottom w:val="none" w:sz="0" w:space="0" w:color="auto"/>
        <w:right w:val="none" w:sz="0" w:space="0" w:color="auto"/>
      </w:divBdr>
    </w:div>
    <w:div w:id="1018001183">
      <w:bodyDiv w:val="1"/>
      <w:marLeft w:val="0"/>
      <w:marRight w:val="0"/>
      <w:marTop w:val="0"/>
      <w:marBottom w:val="0"/>
      <w:divBdr>
        <w:top w:val="none" w:sz="0" w:space="0" w:color="auto"/>
        <w:left w:val="none" w:sz="0" w:space="0" w:color="auto"/>
        <w:bottom w:val="none" w:sz="0" w:space="0" w:color="auto"/>
        <w:right w:val="none" w:sz="0" w:space="0" w:color="auto"/>
      </w:divBdr>
    </w:div>
    <w:div w:id="1022512150">
      <w:bodyDiv w:val="1"/>
      <w:marLeft w:val="0"/>
      <w:marRight w:val="0"/>
      <w:marTop w:val="0"/>
      <w:marBottom w:val="0"/>
      <w:divBdr>
        <w:top w:val="none" w:sz="0" w:space="0" w:color="auto"/>
        <w:left w:val="none" w:sz="0" w:space="0" w:color="auto"/>
        <w:bottom w:val="none" w:sz="0" w:space="0" w:color="auto"/>
        <w:right w:val="none" w:sz="0" w:space="0" w:color="auto"/>
      </w:divBdr>
      <w:divsChild>
        <w:div w:id="492914587">
          <w:marLeft w:val="6192"/>
          <w:marRight w:val="0"/>
          <w:marTop w:val="96"/>
          <w:marBottom w:val="0"/>
          <w:divBdr>
            <w:top w:val="none" w:sz="0" w:space="0" w:color="auto"/>
            <w:left w:val="none" w:sz="0" w:space="0" w:color="auto"/>
            <w:bottom w:val="none" w:sz="0" w:space="0" w:color="auto"/>
            <w:right w:val="none" w:sz="0" w:space="0" w:color="auto"/>
          </w:divBdr>
        </w:div>
        <w:div w:id="1200361925">
          <w:marLeft w:val="6192"/>
          <w:marRight w:val="0"/>
          <w:marTop w:val="96"/>
          <w:marBottom w:val="0"/>
          <w:divBdr>
            <w:top w:val="none" w:sz="0" w:space="0" w:color="auto"/>
            <w:left w:val="none" w:sz="0" w:space="0" w:color="auto"/>
            <w:bottom w:val="none" w:sz="0" w:space="0" w:color="auto"/>
            <w:right w:val="none" w:sz="0" w:space="0" w:color="auto"/>
          </w:divBdr>
        </w:div>
      </w:divsChild>
    </w:div>
    <w:div w:id="1031957139">
      <w:bodyDiv w:val="1"/>
      <w:marLeft w:val="0"/>
      <w:marRight w:val="0"/>
      <w:marTop w:val="0"/>
      <w:marBottom w:val="0"/>
      <w:divBdr>
        <w:top w:val="none" w:sz="0" w:space="0" w:color="auto"/>
        <w:left w:val="none" w:sz="0" w:space="0" w:color="auto"/>
        <w:bottom w:val="none" w:sz="0" w:space="0" w:color="auto"/>
        <w:right w:val="none" w:sz="0" w:space="0" w:color="auto"/>
      </w:divBdr>
    </w:div>
    <w:div w:id="1032992682">
      <w:bodyDiv w:val="1"/>
      <w:marLeft w:val="0"/>
      <w:marRight w:val="0"/>
      <w:marTop w:val="0"/>
      <w:marBottom w:val="0"/>
      <w:divBdr>
        <w:top w:val="none" w:sz="0" w:space="0" w:color="auto"/>
        <w:left w:val="none" w:sz="0" w:space="0" w:color="auto"/>
        <w:bottom w:val="none" w:sz="0" w:space="0" w:color="auto"/>
        <w:right w:val="none" w:sz="0" w:space="0" w:color="auto"/>
      </w:divBdr>
    </w:div>
    <w:div w:id="1067192350">
      <w:bodyDiv w:val="1"/>
      <w:marLeft w:val="0"/>
      <w:marRight w:val="0"/>
      <w:marTop w:val="0"/>
      <w:marBottom w:val="0"/>
      <w:divBdr>
        <w:top w:val="none" w:sz="0" w:space="0" w:color="auto"/>
        <w:left w:val="none" w:sz="0" w:space="0" w:color="auto"/>
        <w:bottom w:val="none" w:sz="0" w:space="0" w:color="auto"/>
        <w:right w:val="none" w:sz="0" w:space="0" w:color="auto"/>
      </w:divBdr>
    </w:div>
    <w:div w:id="1086422697">
      <w:bodyDiv w:val="1"/>
      <w:marLeft w:val="0"/>
      <w:marRight w:val="0"/>
      <w:marTop w:val="0"/>
      <w:marBottom w:val="0"/>
      <w:divBdr>
        <w:top w:val="none" w:sz="0" w:space="0" w:color="auto"/>
        <w:left w:val="none" w:sz="0" w:space="0" w:color="auto"/>
        <w:bottom w:val="none" w:sz="0" w:space="0" w:color="auto"/>
        <w:right w:val="none" w:sz="0" w:space="0" w:color="auto"/>
      </w:divBdr>
    </w:div>
    <w:div w:id="1113135304">
      <w:bodyDiv w:val="1"/>
      <w:marLeft w:val="0"/>
      <w:marRight w:val="0"/>
      <w:marTop w:val="0"/>
      <w:marBottom w:val="0"/>
      <w:divBdr>
        <w:top w:val="none" w:sz="0" w:space="0" w:color="auto"/>
        <w:left w:val="none" w:sz="0" w:space="0" w:color="auto"/>
        <w:bottom w:val="none" w:sz="0" w:space="0" w:color="auto"/>
        <w:right w:val="none" w:sz="0" w:space="0" w:color="auto"/>
      </w:divBdr>
    </w:div>
    <w:div w:id="1154839632">
      <w:bodyDiv w:val="1"/>
      <w:marLeft w:val="0"/>
      <w:marRight w:val="0"/>
      <w:marTop w:val="0"/>
      <w:marBottom w:val="0"/>
      <w:divBdr>
        <w:top w:val="none" w:sz="0" w:space="0" w:color="auto"/>
        <w:left w:val="none" w:sz="0" w:space="0" w:color="auto"/>
        <w:bottom w:val="none" w:sz="0" w:space="0" w:color="auto"/>
        <w:right w:val="none" w:sz="0" w:space="0" w:color="auto"/>
      </w:divBdr>
    </w:div>
    <w:div w:id="1215313987">
      <w:bodyDiv w:val="1"/>
      <w:marLeft w:val="0"/>
      <w:marRight w:val="0"/>
      <w:marTop w:val="0"/>
      <w:marBottom w:val="0"/>
      <w:divBdr>
        <w:top w:val="none" w:sz="0" w:space="0" w:color="auto"/>
        <w:left w:val="none" w:sz="0" w:space="0" w:color="auto"/>
        <w:bottom w:val="none" w:sz="0" w:space="0" w:color="auto"/>
        <w:right w:val="none" w:sz="0" w:space="0" w:color="auto"/>
      </w:divBdr>
    </w:div>
    <w:div w:id="1237588247">
      <w:bodyDiv w:val="1"/>
      <w:marLeft w:val="0"/>
      <w:marRight w:val="0"/>
      <w:marTop w:val="0"/>
      <w:marBottom w:val="0"/>
      <w:divBdr>
        <w:top w:val="none" w:sz="0" w:space="0" w:color="auto"/>
        <w:left w:val="none" w:sz="0" w:space="0" w:color="auto"/>
        <w:bottom w:val="none" w:sz="0" w:space="0" w:color="auto"/>
        <w:right w:val="none" w:sz="0" w:space="0" w:color="auto"/>
      </w:divBdr>
    </w:div>
    <w:div w:id="1270427891">
      <w:bodyDiv w:val="1"/>
      <w:marLeft w:val="0"/>
      <w:marRight w:val="0"/>
      <w:marTop w:val="0"/>
      <w:marBottom w:val="0"/>
      <w:divBdr>
        <w:top w:val="none" w:sz="0" w:space="0" w:color="auto"/>
        <w:left w:val="none" w:sz="0" w:space="0" w:color="auto"/>
        <w:bottom w:val="none" w:sz="0" w:space="0" w:color="auto"/>
        <w:right w:val="none" w:sz="0" w:space="0" w:color="auto"/>
      </w:divBdr>
    </w:div>
    <w:div w:id="1272204662">
      <w:bodyDiv w:val="1"/>
      <w:marLeft w:val="0"/>
      <w:marRight w:val="0"/>
      <w:marTop w:val="0"/>
      <w:marBottom w:val="0"/>
      <w:divBdr>
        <w:top w:val="none" w:sz="0" w:space="0" w:color="auto"/>
        <w:left w:val="none" w:sz="0" w:space="0" w:color="auto"/>
        <w:bottom w:val="none" w:sz="0" w:space="0" w:color="auto"/>
        <w:right w:val="none" w:sz="0" w:space="0" w:color="auto"/>
      </w:divBdr>
    </w:div>
    <w:div w:id="1275014706">
      <w:bodyDiv w:val="1"/>
      <w:marLeft w:val="0"/>
      <w:marRight w:val="0"/>
      <w:marTop w:val="0"/>
      <w:marBottom w:val="0"/>
      <w:divBdr>
        <w:top w:val="none" w:sz="0" w:space="0" w:color="auto"/>
        <w:left w:val="none" w:sz="0" w:space="0" w:color="auto"/>
        <w:bottom w:val="none" w:sz="0" w:space="0" w:color="auto"/>
        <w:right w:val="none" w:sz="0" w:space="0" w:color="auto"/>
      </w:divBdr>
    </w:div>
    <w:div w:id="1307511188">
      <w:bodyDiv w:val="1"/>
      <w:marLeft w:val="0"/>
      <w:marRight w:val="0"/>
      <w:marTop w:val="0"/>
      <w:marBottom w:val="0"/>
      <w:divBdr>
        <w:top w:val="none" w:sz="0" w:space="0" w:color="auto"/>
        <w:left w:val="none" w:sz="0" w:space="0" w:color="auto"/>
        <w:bottom w:val="none" w:sz="0" w:space="0" w:color="auto"/>
        <w:right w:val="none" w:sz="0" w:space="0" w:color="auto"/>
      </w:divBdr>
    </w:div>
    <w:div w:id="1375929524">
      <w:bodyDiv w:val="1"/>
      <w:marLeft w:val="0"/>
      <w:marRight w:val="0"/>
      <w:marTop w:val="0"/>
      <w:marBottom w:val="0"/>
      <w:divBdr>
        <w:top w:val="none" w:sz="0" w:space="0" w:color="auto"/>
        <w:left w:val="none" w:sz="0" w:space="0" w:color="auto"/>
        <w:bottom w:val="none" w:sz="0" w:space="0" w:color="auto"/>
        <w:right w:val="none" w:sz="0" w:space="0" w:color="auto"/>
      </w:divBdr>
    </w:div>
    <w:div w:id="1416439641">
      <w:bodyDiv w:val="1"/>
      <w:marLeft w:val="0"/>
      <w:marRight w:val="0"/>
      <w:marTop w:val="0"/>
      <w:marBottom w:val="0"/>
      <w:divBdr>
        <w:top w:val="none" w:sz="0" w:space="0" w:color="auto"/>
        <w:left w:val="none" w:sz="0" w:space="0" w:color="auto"/>
        <w:bottom w:val="none" w:sz="0" w:space="0" w:color="auto"/>
        <w:right w:val="none" w:sz="0" w:space="0" w:color="auto"/>
      </w:divBdr>
    </w:div>
    <w:div w:id="1421635505">
      <w:bodyDiv w:val="1"/>
      <w:marLeft w:val="0"/>
      <w:marRight w:val="0"/>
      <w:marTop w:val="0"/>
      <w:marBottom w:val="0"/>
      <w:divBdr>
        <w:top w:val="none" w:sz="0" w:space="0" w:color="auto"/>
        <w:left w:val="none" w:sz="0" w:space="0" w:color="auto"/>
        <w:bottom w:val="none" w:sz="0" w:space="0" w:color="auto"/>
        <w:right w:val="none" w:sz="0" w:space="0" w:color="auto"/>
      </w:divBdr>
    </w:div>
    <w:div w:id="1439136480">
      <w:bodyDiv w:val="1"/>
      <w:marLeft w:val="0"/>
      <w:marRight w:val="0"/>
      <w:marTop w:val="0"/>
      <w:marBottom w:val="0"/>
      <w:divBdr>
        <w:top w:val="none" w:sz="0" w:space="0" w:color="auto"/>
        <w:left w:val="none" w:sz="0" w:space="0" w:color="auto"/>
        <w:bottom w:val="none" w:sz="0" w:space="0" w:color="auto"/>
        <w:right w:val="none" w:sz="0" w:space="0" w:color="auto"/>
      </w:divBdr>
    </w:div>
    <w:div w:id="1442261541">
      <w:bodyDiv w:val="1"/>
      <w:marLeft w:val="0"/>
      <w:marRight w:val="0"/>
      <w:marTop w:val="0"/>
      <w:marBottom w:val="0"/>
      <w:divBdr>
        <w:top w:val="none" w:sz="0" w:space="0" w:color="auto"/>
        <w:left w:val="none" w:sz="0" w:space="0" w:color="auto"/>
        <w:bottom w:val="none" w:sz="0" w:space="0" w:color="auto"/>
        <w:right w:val="none" w:sz="0" w:space="0" w:color="auto"/>
      </w:divBdr>
    </w:div>
    <w:div w:id="1463767577">
      <w:bodyDiv w:val="1"/>
      <w:marLeft w:val="0"/>
      <w:marRight w:val="0"/>
      <w:marTop w:val="0"/>
      <w:marBottom w:val="0"/>
      <w:divBdr>
        <w:top w:val="none" w:sz="0" w:space="0" w:color="auto"/>
        <w:left w:val="none" w:sz="0" w:space="0" w:color="auto"/>
        <w:bottom w:val="none" w:sz="0" w:space="0" w:color="auto"/>
        <w:right w:val="none" w:sz="0" w:space="0" w:color="auto"/>
      </w:divBdr>
    </w:div>
    <w:div w:id="1473980586">
      <w:bodyDiv w:val="1"/>
      <w:marLeft w:val="0"/>
      <w:marRight w:val="0"/>
      <w:marTop w:val="0"/>
      <w:marBottom w:val="0"/>
      <w:divBdr>
        <w:top w:val="none" w:sz="0" w:space="0" w:color="auto"/>
        <w:left w:val="none" w:sz="0" w:space="0" w:color="auto"/>
        <w:bottom w:val="none" w:sz="0" w:space="0" w:color="auto"/>
        <w:right w:val="none" w:sz="0" w:space="0" w:color="auto"/>
      </w:divBdr>
    </w:div>
    <w:div w:id="1475180483">
      <w:bodyDiv w:val="1"/>
      <w:marLeft w:val="0"/>
      <w:marRight w:val="0"/>
      <w:marTop w:val="0"/>
      <w:marBottom w:val="0"/>
      <w:divBdr>
        <w:top w:val="none" w:sz="0" w:space="0" w:color="auto"/>
        <w:left w:val="none" w:sz="0" w:space="0" w:color="auto"/>
        <w:bottom w:val="none" w:sz="0" w:space="0" w:color="auto"/>
        <w:right w:val="none" w:sz="0" w:space="0" w:color="auto"/>
      </w:divBdr>
    </w:div>
    <w:div w:id="1525900494">
      <w:bodyDiv w:val="1"/>
      <w:marLeft w:val="0"/>
      <w:marRight w:val="0"/>
      <w:marTop w:val="0"/>
      <w:marBottom w:val="0"/>
      <w:divBdr>
        <w:top w:val="none" w:sz="0" w:space="0" w:color="auto"/>
        <w:left w:val="none" w:sz="0" w:space="0" w:color="auto"/>
        <w:bottom w:val="none" w:sz="0" w:space="0" w:color="auto"/>
        <w:right w:val="none" w:sz="0" w:space="0" w:color="auto"/>
      </w:divBdr>
    </w:div>
    <w:div w:id="1543707087">
      <w:bodyDiv w:val="1"/>
      <w:marLeft w:val="0"/>
      <w:marRight w:val="0"/>
      <w:marTop w:val="0"/>
      <w:marBottom w:val="0"/>
      <w:divBdr>
        <w:top w:val="none" w:sz="0" w:space="0" w:color="auto"/>
        <w:left w:val="none" w:sz="0" w:space="0" w:color="auto"/>
        <w:bottom w:val="none" w:sz="0" w:space="0" w:color="auto"/>
        <w:right w:val="none" w:sz="0" w:space="0" w:color="auto"/>
      </w:divBdr>
    </w:div>
    <w:div w:id="1556087740">
      <w:bodyDiv w:val="1"/>
      <w:marLeft w:val="0"/>
      <w:marRight w:val="0"/>
      <w:marTop w:val="0"/>
      <w:marBottom w:val="0"/>
      <w:divBdr>
        <w:top w:val="none" w:sz="0" w:space="0" w:color="auto"/>
        <w:left w:val="none" w:sz="0" w:space="0" w:color="auto"/>
        <w:bottom w:val="none" w:sz="0" w:space="0" w:color="auto"/>
        <w:right w:val="none" w:sz="0" w:space="0" w:color="auto"/>
      </w:divBdr>
    </w:div>
    <w:div w:id="1571576752">
      <w:bodyDiv w:val="1"/>
      <w:marLeft w:val="0"/>
      <w:marRight w:val="0"/>
      <w:marTop w:val="0"/>
      <w:marBottom w:val="0"/>
      <w:divBdr>
        <w:top w:val="none" w:sz="0" w:space="0" w:color="auto"/>
        <w:left w:val="none" w:sz="0" w:space="0" w:color="auto"/>
        <w:bottom w:val="none" w:sz="0" w:space="0" w:color="auto"/>
        <w:right w:val="none" w:sz="0" w:space="0" w:color="auto"/>
      </w:divBdr>
    </w:div>
    <w:div w:id="1580600622">
      <w:bodyDiv w:val="1"/>
      <w:marLeft w:val="0"/>
      <w:marRight w:val="0"/>
      <w:marTop w:val="0"/>
      <w:marBottom w:val="0"/>
      <w:divBdr>
        <w:top w:val="none" w:sz="0" w:space="0" w:color="auto"/>
        <w:left w:val="none" w:sz="0" w:space="0" w:color="auto"/>
        <w:bottom w:val="none" w:sz="0" w:space="0" w:color="auto"/>
        <w:right w:val="none" w:sz="0" w:space="0" w:color="auto"/>
      </w:divBdr>
    </w:div>
    <w:div w:id="1590700548">
      <w:bodyDiv w:val="1"/>
      <w:marLeft w:val="0"/>
      <w:marRight w:val="0"/>
      <w:marTop w:val="0"/>
      <w:marBottom w:val="0"/>
      <w:divBdr>
        <w:top w:val="none" w:sz="0" w:space="0" w:color="auto"/>
        <w:left w:val="none" w:sz="0" w:space="0" w:color="auto"/>
        <w:bottom w:val="none" w:sz="0" w:space="0" w:color="auto"/>
        <w:right w:val="none" w:sz="0" w:space="0" w:color="auto"/>
      </w:divBdr>
    </w:div>
    <w:div w:id="1591812864">
      <w:bodyDiv w:val="1"/>
      <w:marLeft w:val="0"/>
      <w:marRight w:val="0"/>
      <w:marTop w:val="0"/>
      <w:marBottom w:val="0"/>
      <w:divBdr>
        <w:top w:val="none" w:sz="0" w:space="0" w:color="auto"/>
        <w:left w:val="none" w:sz="0" w:space="0" w:color="auto"/>
        <w:bottom w:val="none" w:sz="0" w:space="0" w:color="auto"/>
        <w:right w:val="none" w:sz="0" w:space="0" w:color="auto"/>
      </w:divBdr>
    </w:div>
    <w:div w:id="1633320590">
      <w:bodyDiv w:val="1"/>
      <w:marLeft w:val="0"/>
      <w:marRight w:val="0"/>
      <w:marTop w:val="0"/>
      <w:marBottom w:val="0"/>
      <w:divBdr>
        <w:top w:val="none" w:sz="0" w:space="0" w:color="auto"/>
        <w:left w:val="none" w:sz="0" w:space="0" w:color="auto"/>
        <w:bottom w:val="none" w:sz="0" w:space="0" w:color="auto"/>
        <w:right w:val="none" w:sz="0" w:space="0" w:color="auto"/>
      </w:divBdr>
    </w:div>
    <w:div w:id="1671829820">
      <w:bodyDiv w:val="1"/>
      <w:marLeft w:val="0"/>
      <w:marRight w:val="0"/>
      <w:marTop w:val="0"/>
      <w:marBottom w:val="0"/>
      <w:divBdr>
        <w:top w:val="none" w:sz="0" w:space="0" w:color="auto"/>
        <w:left w:val="none" w:sz="0" w:space="0" w:color="auto"/>
        <w:bottom w:val="none" w:sz="0" w:space="0" w:color="auto"/>
        <w:right w:val="none" w:sz="0" w:space="0" w:color="auto"/>
      </w:divBdr>
    </w:div>
    <w:div w:id="1747192018">
      <w:bodyDiv w:val="1"/>
      <w:marLeft w:val="0"/>
      <w:marRight w:val="0"/>
      <w:marTop w:val="0"/>
      <w:marBottom w:val="0"/>
      <w:divBdr>
        <w:top w:val="none" w:sz="0" w:space="0" w:color="auto"/>
        <w:left w:val="none" w:sz="0" w:space="0" w:color="auto"/>
        <w:bottom w:val="none" w:sz="0" w:space="0" w:color="auto"/>
        <w:right w:val="none" w:sz="0" w:space="0" w:color="auto"/>
      </w:divBdr>
    </w:div>
    <w:div w:id="1781023572">
      <w:bodyDiv w:val="1"/>
      <w:marLeft w:val="0"/>
      <w:marRight w:val="0"/>
      <w:marTop w:val="0"/>
      <w:marBottom w:val="0"/>
      <w:divBdr>
        <w:top w:val="none" w:sz="0" w:space="0" w:color="auto"/>
        <w:left w:val="none" w:sz="0" w:space="0" w:color="auto"/>
        <w:bottom w:val="none" w:sz="0" w:space="0" w:color="auto"/>
        <w:right w:val="none" w:sz="0" w:space="0" w:color="auto"/>
      </w:divBdr>
    </w:div>
    <w:div w:id="1799566689">
      <w:bodyDiv w:val="1"/>
      <w:marLeft w:val="0"/>
      <w:marRight w:val="0"/>
      <w:marTop w:val="0"/>
      <w:marBottom w:val="0"/>
      <w:divBdr>
        <w:top w:val="none" w:sz="0" w:space="0" w:color="auto"/>
        <w:left w:val="none" w:sz="0" w:space="0" w:color="auto"/>
        <w:bottom w:val="none" w:sz="0" w:space="0" w:color="auto"/>
        <w:right w:val="none" w:sz="0" w:space="0" w:color="auto"/>
      </w:divBdr>
    </w:div>
    <w:div w:id="1808163309">
      <w:bodyDiv w:val="1"/>
      <w:marLeft w:val="0"/>
      <w:marRight w:val="0"/>
      <w:marTop w:val="0"/>
      <w:marBottom w:val="0"/>
      <w:divBdr>
        <w:top w:val="none" w:sz="0" w:space="0" w:color="auto"/>
        <w:left w:val="none" w:sz="0" w:space="0" w:color="auto"/>
        <w:bottom w:val="none" w:sz="0" w:space="0" w:color="auto"/>
        <w:right w:val="none" w:sz="0" w:space="0" w:color="auto"/>
      </w:divBdr>
      <w:divsChild>
        <w:div w:id="103772175">
          <w:marLeft w:val="6192"/>
          <w:marRight w:val="0"/>
          <w:marTop w:val="96"/>
          <w:marBottom w:val="0"/>
          <w:divBdr>
            <w:top w:val="none" w:sz="0" w:space="0" w:color="auto"/>
            <w:left w:val="none" w:sz="0" w:space="0" w:color="auto"/>
            <w:bottom w:val="none" w:sz="0" w:space="0" w:color="auto"/>
            <w:right w:val="none" w:sz="0" w:space="0" w:color="auto"/>
          </w:divBdr>
        </w:div>
        <w:div w:id="1536311180">
          <w:marLeft w:val="6192"/>
          <w:marRight w:val="0"/>
          <w:marTop w:val="96"/>
          <w:marBottom w:val="0"/>
          <w:divBdr>
            <w:top w:val="none" w:sz="0" w:space="0" w:color="auto"/>
            <w:left w:val="none" w:sz="0" w:space="0" w:color="auto"/>
            <w:bottom w:val="none" w:sz="0" w:space="0" w:color="auto"/>
            <w:right w:val="none" w:sz="0" w:space="0" w:color="auto"/>
          </w:divBdr>
        </w:div>
      </w:divsChild>
    </w:div>
    <w:div w:id="1813794652">
      <w:bodyDiv w:val="1"/>
      <w:marLeft w:val="0"/>
      <w:marRight w:val="0"/>
      <w:marTop w:val="0"/>
      <w:marBottom w:val="0"/>
      <w:divBdr>
        <w:top w:val="none" w:sz="0" w:space="0" w:color="auto"/>
        <w:left w:val="none" w:sz="0" w:space="0" w:color="auto"/>
        <w:bottom w:val="none" w:sz="0" w:space="0" w:color="auto"/>
        <w:right w:val="none" w:sz="0" w:space="0" w:color="auto"/>
      </w:divBdr>
    </w:div>
    <w:div w:id="1860266671">
      <w:bodyDiv w:val="1"/>
      <w:marLeft w:val="0"/>
      <w:marRight w:val="0"/>
      <w:marTop w:val="0"/>
      <w:marBottom w:val="0"/>
      <w:divBdr>
        <w:top w:val="none" w:sz="0" w:space="0" w:color="auto"/>
        <w:left w:val="none" w:sz="0" w:space="0" w:color="auto"/>
        <w:bottom w:val="none" w:sz="0" w:space="0" w:color="auto"/>
        <w:right w:val="none" w:sz="0" w:space="0" w:color="auto"/>
      </w:divBdr>
    </w:div>
    <w:div w:id="1862937040">
      <w:bodyDiv w:val="1"/>
      <w:marLeft w:val="0"/>
      <w:marRight w:val="0"/>
      <w:marTop w:val="0"/>
      <w:marBottom w:val="0"/>
      <w:divBdr>
        <w:top w:val="none" w:sz="0" w:space="0" w:color="auto"/>
        <w:left w:val="none" w:sz="0" w:space="0" w:color="auto"/>
        <w:bottom w:val="none" w:sz="0" w:space="0" w:color="auto"/>
        <w:right w:val="none" w:sz="0" w:space="0" w:color="auto"/>
      </w:divBdr>
    </w:div>
    <w:div w:id="1888253482">
      <w:bodyDiv w:val="1"/>
      <w:marLeft w:val="0"/>
      <w:marRight w:val="0"/>
      <w:marTop w:val="0"/>
      <w:marBottom w:val="0"/>
      <w:divBdr>
        <w:top w:val="none" w:sz="0" w:space="0" w:color="auto"/>
        <w:left w:val="none" w:sz="0" w:space="0" w:color="auto"/>
        <w:bottom w:val="none" w:sz="0" w:space="0" w:color="auto"/>
        <w:right w:val="none" w:sz="0" w:space="0" w:color="auto"/>
      </w:divBdr>
    </w:div>
    <w:div w:id="1895265521">
      <w:bodyDiv w:val="1"/>
      <w:marLeft w:val="0"/>
      <w:marRight w:val="0"/>
      <w:marTop w:val="0"/>
      <w:marBottom w:val="0"/>
      <w:divBdr>
        <w:top w:val="none" w:sz="0" w:space="0" w:color="auto"/>
        <w:left w:val="none" w:sz="0" w:space="0" w:color="auto"/>
        <w:bottom w:val="none" w:sz="0" w:space="0" w:color="auto"/>
        <w:right w:val="none" w:sz="0" w:space="0" w:color="auto"/>
      </w:divBdr>
    </w:div>
    <w:div w:id="1951157304">
      <w:bodyDiv w:val="1"/>
      <w:marLeft w:val="0"/>
      <w:marRight w:val="0"/>
      <w:marTop w:val="0"/>
      <w:marBottom w:val="0"/>
      <w:divBdr>
        <w:top w:val="none" w:sz="0" w:space="0" w:color="auto"/>
        <w:left w:val="none" w:sz="0" w:space="0" w:color="auto"/>
        <w:bottom w:val="none" w:sz="0" w:space="0" w:color="auto"/>
        <w:right w:val="none" w:sz="0" w:space="0" w:color="auto"/>
      </w:divBdr>
    </w:div>
    <w:div w:id="1995602765">
      <w:bodyDiv w:val="1"/>
      <w:marLeft w:val="0"/>
      <w:marRight w:val="0"/>
      <w:marTop w:val="0"/>
      <w:marBottom w:val="0"/>
      <w:divBdr>
        <w:top w:val="none" w:sz="0" w:space="0" w:color="auto"/>
        <w:left w:val="none" w:sz="0" w:space="0" w:color="auto"/>
        <w:bottom w:val="none" w:sz="0" w:space="0" w:color="auto"/>
        <w:right w:val="none" w:sz="0" w:space="0" w:color="auto"/>
      </w:divBdr>
    </w:div>
    <w:div w:id="2011592632">
      <w:bodyDiv w:val="1"/>
      <w:marLeft w:val="0"/>
      <w:marRight w:val="0"/>
      <w:marTop w:val="0"/>
      <w:marBottom w:val="0"/>
      <w:divBdr>
        <w:top w:val="none" w:sz="0" w:space="0" w:color="auto"/>
        <w:left w:val="none" w:sz="0" w:space="0" w:color="auto"/>
        <w:bottom w:val="none" w:sz="0" w:space="0" w:color="auto"/>
        <w:right w:val="none" w:sz="0" w:space="0" w:color="auto"/>
      </w:divBdr>
    </w:div>
    <w:div w:id="2033141400">
      <w:bodyDiv w:val="1"/>
      <w:marLeft w:val="0"/>
      <w:marRight w:val="0"/>
      <w:marTop w:val="0"/>
      <w:marBottom w:val="0"/>
      <w:divBdr>
        <w:top w:val="none" w:sz="0" w:space="0" w:color="auto"/>
        <w:left w:val="none" w:sz="0" w:space="0" w:color="auto"/>
        <w:bottom w:val="none" w:sz="0" w:space="0" w:color="auto"/>
        <w:right w:val="none" w:sz="0" w:space="0" w:color="auto"/>
      </w:divBdr>
    </w:div>
    <w:div w:id="2073891464">
      <w:bodyDiv w:val="1"/>
      <w:marLeft w:val="0"/>
      <w:marRight w:val="0"/>
      <w:marTop w:val="0"/>
      <w:marBottom w:val="0"/>
      <w:divBdr>
        <w:top w:val="none" w:sz="0" w:space="0" w:color="auto"/>
        <w:left w:val="none" w:sz="0" w:space="0" w:color="auto"/>
        <w:bottom w:val="none" w:sz="0" w:space="0" w:color="auto"/>
        <w:right w:val="none" w:sz="0" w:space="0" w:color="auto"/>
      </w:divBdr>
    </w:div>
    <w:div w:id="2083407012">
      <w:bodyDiv w:val="1"/>
      <w:marLeft w:val="0"/>
      <w:marRight w:val="0"/>
      <w:marTop w:val="0"/>
      <w:marBottom w:val="0"/>
      <w:divBdr>
        <w:top w:val="none" w:sz="0" w:space="0" w:color="auto"/>
        <w:left w:val="none" w:sz="0" w:space="0" w:color="auto"/>
        <w:bottom w:val="none" w:sz="0" w:space="0" w:color="auto"/>
        <w:right w:val="none" w:sz="0" w:space="0" w:color="auto"/>
      </w:divBdr>
    </w:div>
    <w:div w:id="210275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olella@jbs.c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440@cam.ac.uk"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Daniel.muzio@york.ac.uk"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Claudia.Gabbioneta@newcastle.ac.uk"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troulet\Documents\Recherche\Claudia%20&amp;%20Daniel%20Project\RSO\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Times New Roman" panose="02020603050405020304" pitchFamily="18" charset="0"/>
                <a:cs typeface="Times New Roman" panose="02020603050405020304" pitchFamily="18" charset="0"/>
              </a:rPr>
              <a:t>Percentage of salaried</a:t>
            </a:r>
            <a:r>
              <a:rPr lang="en-GB" sz="1200" baseline="0">
                <a:latin typeface="Times New Roman" panose="02020603050405020304" pitchFamily="18" charset="0"/>
                <a:cs typeface="Times New Roman" panose="02020603050405020304" pitchFamily="18" charset="0"/>
              </a:rPr>
              <a:t> partners on total number of partners</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Sheet1!$C$1</c:f>
              <c:strCache>
                <c:ptCount val="1"/>
                <c:pt idx="0">
                  <c:v>MEAN</c:v>
                </c:pt>
              </c:strCache>
            </c:strRef>
          </c:tx>
          <c:spPr>
            <a:ln w="28575" cap="rnd">
              <a:solidFill>
                <a:schemeClr val="dk1">
                  <a:tint val="88500"/>
                </a:schemeClr>
              </a:solidFill>
              <a:round/>
            </a:ln>
            <a:effectLst/>
          </c:spPr>
          <c:marker>
            <c:symbol val="none"/>
          </c:marker>
          <c:cat>
            <c:numRef>
              <c:f>Sheet1!$A$2:$A$16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Sheet1!$C$2:$C$16</c:f>
              <c:numCache>
                <c:formatCode>0%</c:formatCode>
                <c:ptCount val="15"/>
                <c:pt idx="0">
                  <c:v>0.34699999999999998</c:v>
                </c:pt>
                <c:pt idx="1">
                  <c:v>0.36199999999999999</c:v>
                </c:pt>
                <c:pt idx="2">
                  <c:v>0.38800000000000001</c:v>
                </c:pt>
                <c:pt idx="3">
                  <c:v>0.39</c:v>
                </c:pt>
                <c:pt idx="4">
                  <c:v>0.41499999999999998</c:v>
                </c:pt>
                <c:pt idx="5">
                  <c:v>0.43099999999999999</c:v>
                </c:pt>
                <c:pt idx="6">
                  <c:v>0.44</c:v>
                </c:pt>
                <c:pt idx="7">
                  <c:v>0.45900000000000002</c:v>
                </c:pt>
                <c:pt idx="8">
                  <c:v>0.46200000000000002</c:v>
                </c:pt>
                <c:pt idx="9">
                  <c:v>0.45400000000000001</c:v>
                </c:pt>
                <c:pt idx="10">
                  <c:v>0.47</c:v>
                </c:pt>
                <c:pt idx="11">
                  <c:v>0.46300000000000002</c:v>
                </c:pt>
                <c:pt idx="12">
                  <c:v>0.47499999999999998</c:v>
                </c:pt>
                <c:pt idx="13">
                  <c:v>0.47399999999999998</c:v>
                </c:pt>
                <c:pt idx="14">
                  <c:v>0.499</c:v>
                </c:pt>
              </c:numCache>
            </c:numRef>
          </c:val>
          <c:smooth val="0"/>
          <c:extLst>
            <c:ext xmlns:c16="http://schemas.microsoft.com/office/drawing/2014/chart" uri="{C3380CC4-5D6E-409C-BE32-E72D297353CC}">
              <c16:uniqueId val="{00000000-9A66-4048-97C5-4686C28DFEFF}"/>
            </c:ext>
          </c:extLst>
        </c:ser>
        <c:dLbls>
          <c:showLegendKey val="0"/>
          <c:showVal val="0"/>
          <c:showCatName val="0"/>
          <c:showSerName val="0"/>
          <c:showPercent val="0"/>
          <c:showBubbleSize val="0"/>
        </c:dLbls>
        <c:smooth val="0"/>
        <c:axId val="-2010829696"/>
        <c:axId val="-2010859696"/>
      </c:lineChart>
      <c:catAx>
        <c:axId val="-201082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0859696"/>
        <c:crosses val="autoZero"/>
        <c:auto val="1"/>
        <c:lblAlgn val="ctr"/>
        <c:lblOffset val="100"/>
        <c:noMultiLvlLbl val="0"/>
      </c:catAx>
      <c:valAx>
        <c:axId val="-2010859696"/>
        <c:scaling>
          <c:orientation val="minMax"/>
          <c:min val="0.3"/>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082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4767-D00E-43CE-8767-E2F632C1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8072</Words>
  <Characters>46012</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Roulet, Thomas</dc:creator>
  <cp:keywords/>
  <dc:description/>
  <cp:lastModifiedBy>Matthew Wigzell</cp:lastModifiedBy>
  <cp:revision>2</cp:revision>
  <cp:lastPrinted>2018-07-24T19:44:00Z</cp:lastPrinted>
  <dcterms:created xsi:type="dcterms:W3CDTF">2019-09-30T13:53:00Z</dcterms:created>
  <dcterms:modified xsi:type="dcterms:W3CDTF">2019-09-30T13:53:00Z</dcterms:modified>
</cp:coreProperties>
</file>