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176BC" w14:textId="10478238" w:rsidR="002D7A7F" w:rsidRPr="00B74729" w:rsidRDefault="000F0627" w:rsidP="00493314">
      <w:pPr>
        <w:spacing w:line="240" w:lineRule="auto"/>
        <w:rPr>
          <w:rFonts w:cs="Arial"/>
          <w:b/>
          <w:sz w:val="24"/>
        </w:rPr>
      </w:pPr>
      <w:r w:rsidRPr="00B74729">
        <w:rPr>
          <w:rFonts w:cs="Arial"/>
          <w:b/>
          <w:sz w:val="24"/>
        </w:rPr>
        <w:t>Background</w:t>
      </w:r>
    </w:p>
    <w:p w14:paraId="1574DF45" w14:textId="6E452308" w:rsidR="00F661BB" w:rsidRPr="00091776" w:rsidRDefault="00FE5A4C" w:rsidP="00493314">
      <w:pPr>
        <w:spacing w:line="240" w:lineRule="auto"/>
        <w:rPr>
          <w:rFonts w:cs="Arial"/>
        </w:rPr>
      </w:pPr>
      <w:r w:rsidRPr="00091776">
        <w:rPr>
          <w:rStyle w:val="PageNumber"/>
          <w:rFonts w:cs="Arial"/>
        </w:rPr>
        <w:t xml:space="preserve">Over </w:t>
      </w:r>
      <w:r w:rsidR="00041054" w:rsidRPr="00091776">
        <w:rPr>
          <w:rStyle w:val="PageNumber"/>
          <w:rFonts w:cs="Arial"/>
        </w:rPr>
        <w:t>50% of</w:t>
      </w:r>
      <w:r w:rsidRPr="00091776">
        <w:rPr>
          <w:rStyle w:val="PageNumber"/>
          <w:rFonts w:cs="Arial"/>
        </w:rPr>
        <w:t xml:space="preserve"> older people </w:t>
      </w:r>
      <w:r w:rsidR="004C772C" w:rsidRPr="00091776">
        <w:rPr>
          <w:rStyle w:val="PageNumber"/>
          <w:rFonts w:cs="Arial"/>
        </w:rPr>
        <w:t xml:space="preserve">in hospital </w:t>
      </w:r>
      <w:r w:rsidRPr="00091776">
        <w:rPr>
          <w:rStyle w:val="PageNumber"/>
          <w:rFonts w:cs="Arial"/>
        </w:rPr>
        <w:t xml:space="preserve">are prescribed a pre-admission </w:t>
      </w:r>
      <w:r w:rsidR="00F34072">
        <w:rPr>
          <w:rStyle w:val="PageNumber"/>
          <w:rFonts w:cs="Arial"/>
        </w:rPr>
        <w:t>medi</w:t>
      </w:r>
      <w:r w:rsidR="002322A7">
        <w:rPr>
          <w:rStyle w:val="PageNumber"/>
          <w:rFonts w:cs="Arial"/>
        </w:rPr>
        <w:t xml:space="preserve">cine </w:t>
      </w:r>
      <w:r w:rsidR="00895193" w:rsidRPr="00091776">
        <w:rPr>
          <w:rStyle w:val="PageNumber"/>
          <w:rFonts w:cs="Arial"/>
        </w:rPr>
        <w:t xml:space="preserve">that is </w:t>
      </w:r>
      <w:r w:rsidRPr="00091776">
        <w:rPr>
          <w:rStyle w:val="PageNumber"/>
          <w:rFonts w:cs="Arial"/>
        </w:rPr>
        <w:t>potentially ina</w:t>
      </w:r>
      <w:r w:rsidR="00895193" w:rsidRPr="00091776">
        <w:rPr>
          <w:rStyle w:val="PageNumber"/>
          <w:rFonts w:cs="Arial"/>
        </w:rPr>
        <w:t>ppropriate,</w:t>
      </w:r>
      <w:r w:rsidRPr="00091776">
        <w:rPr>
          <w:rStyle w:val="PageNumber"/>
          <w:rFonts w:cs="Arial"/>
        </w:rPr>
        <w:t xml:space="preserve"> predisposing them to adverse outcomes including morbidity, </w:t>
      </w:r>
      <w:r w:rsidR="004C772C" w:rsidRPr="00091776">
        <w:rPr>
          <w:rStyle w:val="PageNumber"/>
          <w:rFonts w:cs="Arial"/>
        </w:rPr>
        <w:t>re</w:t>
      </w:r>
      <w:r w:rsidRPr="00091776">
        <w:rPr>
          <w:rStyle w:val="PageNumber"/>
          <w:rFonts w:cs="Arial"/>
        </w:rPr>
        <w:t>hospitalisation and mortality</w:t>
      </w:r>
      <w:r w:rsidR="00C66DFC" w:rsidRPr="00091776">
        <w:rPr>
          <w:rStyle w:val="PageNumber"/>
          <w:rFonts w:cs="Arial"/>
        </w:rPr>
        <w:fldChar w:fldCharType="begin" w:fldLock="1"/>
      </w:r>
      <w:r w:rsidR="00024EDE" w:rsidRPr="00091776">
        <w:rPr>
          <w:rStyle w:val="PageNumber"/>
          <w:rFonts w:cs="Arial"/>
        </w:rPr>
        <w:instrText>ADDIN CSL_CITATION {"citationItems":[{"id":"ITEM-1","itemData":{"ISBN":"0022801110610","ISSN":"00316970","PMID":"21584788","abstract":"PURPOSE: Potentially inappropriate prescribing is common in older people presenting to hospital with acute illness in Ireland. The aim of this study was to determine if this phenomenon is unique to Ireland or whether it is a more widespread problem in hospitals across Europe.\\n\\nMETHODS: Prospective data were collected from 900 consecutive older patients admitted to six university teaching hospitals (150 patients per centre) in Geneva (Switzerland), Madrid (Spain), Oostende (Belgium), Perugia (Italy), Prague (Czech Republic) and Cork (Ireland). Age, gender, comorbidity, cognitive status, prescription medicines taken before admission and baseline haematological, biochemical and electrocardiographic data were recorded. STOPP and Beers' criteria were applied to detect potentially inappropriate medicines (PIMs). START criteria were applied to detect potentially inappropriate prescribing omissions (PPOs).\\n\\nRESULTS: The overall PIM prevalence rate was 51.3% using STOPP criteria, varying from 34.7% in Prague to 77.3% in Geneva, and 30.4% using Beer's criteria, varying from 22.7% in Prague to 43.3% in Geneva. Using START criteria, the overall PPO prevalence rate was 59.4%, ranging from 51.3% in Cork to 72.7% in Perugia. Polypharmacy predicted the presence of PIMs using STOPP criteria [with &gt;10 medications: odds ratio (OR) 7.22, 95% confidence interval (CI) 4.30-12.12, p &lt; 0.001] and Beers' criteria (with &gt;10 medications: OR 4.87, 95% CI 3.00-7.90, p &lt; 0.001). Increasing co-morbidity (Charlson Index ≥2) and age ≥85 years significantly predicted PPOs.\\n\\nCONCLUSION: Potentially inappropriate drug prescribing and the omission of beneficial drugs are highly prevalent in acutely ill hospitalized older people in six European centres.","author":[{"dropping-particle":"","family":"Gallagher","given":"Paul","non-dropping-particle":"","parse-names":false,"suffix":""},{"dropping-particle":"","family":"Lang","given":"Pierre Olivier","non-dropping-particle":"","parse-names":false,"suffix":""},{"dropping-particle":"","family":"Cherubini","given":"Antonio","non-dropping-particle":"","parse-names":false,"suffix":""},{"dropping-particle":"","family":"Topinková","given":"Eva","non-dropping-particle":"","parse-names":false,"suffix":""},{"dropping-particle":"","family":"Cruz-Jentoft","given":"Alfonso","non-dropping-particle":"","parse-names":false,"suffix":""},{"dropping-particle":"","family":"Montero Errasquín","given":"Beatriz","non-dropping-particle":"","parse-names":false,"suffix":""},{"dropping-particle":"","family":"Mádlová","given":"Pavla","non-dropping-particle":"","parse-names":false,"suffix":""},{"dropping-particle":"","family":"Gasperini","given":"Beatrice","non-dropping-particle":"","parse-names":false,"suffix":""},{"dropping-particle":"","family":"Baeyens","given":"Hilde","non-dropping-particle":"","parse-names":false,"suffix":""},{"dropping-particle":"","family":"Baeyens","given":"Jean Pierre","non-dropping-particle":"","parse-names":false,"suffix":""},{"dropping-particle":"","family":"Michel","given":"Jean Pierre","non-dropping-particle":"","parse-names":false,"suffix":""},{"dropping-particle":"","family":"O'Mahony","given":"Denis","non-dropping-particle":"","parse-names":false,"suffix":""}],"container-title":"European Journal of Clinical Pharmacology","id":"ITEM-1","issue":"11","issued":{"date-parts":[["2011"]]},"note":"STOPP/START and Beer's","page":"1175-1188","title":"Prevalence of potentially inappropriate prescribing in an acutely ill population of older patients admitted to six European hospitals","type":"article-journal","volume":"67"},"uris":["http://www.mendeley.com/documents/?uuid=4214aecc-35f2-4902-8aa1-5e3534c56f59"]}],"mendeley":{"formattedCitation":"[1]","plainTextFormattedCitation":"[1]","previouslyFormattedCitation":"[1]"},"properties":{"noteIndex":0},"schema":"https://github.com/citation-style-language/schema/raw/master/csl-citation.json"}</w:instrText>
      </w:r>
      <w:r w:rsidR="00C66DFC" w:rsidRPr="00091776">
        <w:rPr>
          <w:rStyle w:val="PageNumber"/>
          <w:rFonts w:cs="Arial"/>
        </w:rPr>
        <w:fldChar w:fldCharType="separate"/>
      </w:r>
      <w:r w:rsidR="000F47D2" w:rsidRPr="00091776">
        <w:rPr>
          <w:rStyle w:val="PageNumber"/>
          <w:rFonts w:cs="Arial"/>
          <w:noProof/>
        </w:rPr>
        <w:t>[1]</w:t>
      </w:r>
      <w:r w:rsidR="00C66DFC" w:rsidRPr="00091776">
        <w:rPr>
          <w:rStyle w:val="PageNumber"/>
          <w:rFonts w:cs="Arial"/>
        </w:rPr>
        <w:fldChar w:fldCharType="end"/>
      </w:r>
      <w:r w:rsidR="000F47D2" w:rsidRPr="00091776">
        <w:rPr>
          <w:rStyle w:val="PageNumber"/>
          <w:rFonts w:cs="Arial"/>
        </w:rPr>
        <w:t>.</w:t>
      </w:r>
      <w:r w:rsidR="00041054" w:rsidRPr="00091776">
        <w:rPr>
          <w:rStyle w:val="PageNumber"/>
          <w:rFonts w:cs="Arial"/>
        </w:rPr>
        <w:t xml:space="preserve"> </w:t>
      </w:r>
      <w:r w:rsidR="00A40DAF" w:rsidRPr="00091776">
        <w:rPr>
          <w:rStyle w:val="PageNumber"/>
          <w:rFonts w:cs="Arial"/>
        </w:rPr>
        <w:t xml:space="preserve">This has </w:t>
      </w:r>
      <w:r w:rsidR="00FC4742" w:rsidRPr="00091776">
        <w:rPr>
          <w:rStyle w:val="PageNumber"/>
          <w:rFonts w:cs="Arial"/>
        </w:rPr>
        <w:t>led to</w:t>
      </w:r>
      <w:r w:rsidR="00D60932" w:rsidRPr="00091776">
        <w:rPr>
          <w:rStyle w:val="PageNumber"/>
          <w:rFonts w:cs="Arial"/>
        </w:rPr>
        <w:t xml:space="preserve"> calls for deprescribing of potentially inappropriate medicines (PIMs)</w:t>
      </w:r>
      <w:r w:rsidR="00A40DAF" w:rsidRPr="00091776">
        <w:rPr>
          <w:rStyle w:val="PageNumber"/>
          <w:rFonts w:cs="Arial"/>
        </w:rPr>
        <w:t xml:space="preserve"> </w:t>
      </w:r>
      <w:r w:rsidR="00D60932" w:rsidRPr="00091776">
        <w:rPr>
          <w:rStyle w:val="PageNumber"/>
          <w:rFonts w:cs="Arial"/>
        </w:rPr>
        <w:t xml:space="preserve">in </w:t>
      </w:r>
      <w:r w:rsidR="00A40DAF" w:rsidRPr="00091776">
        <w:rPr>
          <w:rStyle w:val="PageNumber"/>
          <w:rFonts w:cs="Arial"/>
        </w:rPr>
        <w:t>hospital</w:t>
      </w:r>
      <w:r w:rsidR="00FC4742" w:rsidRPr="00091776">
        <w:rPr>
          <w:rStyle w:val="PageNumber"/>
          <w:rFonts w:cs="Arial"/>
        </w:rPr>
        <w:fldChar w:fldCharType="begin" w:fldLock="1"/>
      </w:r>
      <w:r w:rsidR="00024EDE" w:rsidRPr="00091776">
        <w:rPr>
          <w:rStyle w:val="PageNumber"/>
          <w:rFonts w:cs="Arial"/>
        </w:rPr>
        <w:instrText>ADDIN CSL_CITATION {"citationItems":[{"id":"ITEM-1","itemData":{"DOI":"10.1136/bmj.k4688","ISSN":"0959-8138","author":[{"dropping-particle":"","family":"Avery","given":"Anthony J","non-dropping-particle":"","parse-names":false,"suffix":""},{"dropping-particle":"","family":"Coleman","given":"Jamie J","non-dropping-particle":"","parse-names":false,"suffix":""}],"container-title":"BMJ","id":"ITEM-1","issued":{"date-parts":[["2018"]]},"publisher":"BMJ Publishing Group Ltd","title":"Tackling potentially inappropriate prescribing","type":"article-journal","volume":"363"},"uris":["http://www.mendeley.com/documents/?uuid=42ca7b2a-a4cd-4d1b-b3a2-93fa26cff02a"]}],"mendeley":{"formattedCitation":"[2]","plainTextFormattedCitation":"[2]","previouslyFormattedCitation":"[2]"},"properties":{"noteIndex":0},"schema":"https://github.com/citation-style-language/schema/raw/master/csl-citation.json"}</w:instrText>
      </w:r>
      <w:r w:rsidR="00FC4742" w:rsidRPr="00091776">
        <w:rPr>
          <w:rStyle w:val="PageNumber"/>
          <w:rFonts w:cs="Arial"/>
        </w:rPr>
        <w:fldChar w:fldCharType="separate"/>
      </w:r>
      <w:r w:rsidR="000F47D2" w:rsidRPr="00091776">
        <w:rPr>
          <w:rStyle w:val="PageNumber"/>
          <w:rFonts w:cs="Arial"/>
          <w:noProof/>
        </w:rPr>
        <w:t>[2]</w:t>
      </w:r>
      <w:r w:rsidR="00FC4742" w:rsidRPr="00091776">
        <w:rPr>
          <w:rStyle w:val="PageNumber"/>
          <w:rFonts w:cs="Arial"/>
        </w:rPr>
        <w:fldChar w:fldCharType="end"/>
      </w:r>
      <w:r w:rsidR="000F47D2" w:rsidRPr="00091776">
        <w:rPr>
          <w:rStyle w:val="PageNumber"/>
          <w:rFonts w:cs="Arial"/>
        </w:rPr>
        <w:t>.</w:t>
      </w:r>
      <w:r w:rsidR="00FC4742" w:rsidRPr="00091776">
        <w:rPr>
          <w:rStyle w:val="PageNumber"/>
          <w:rFonts w:cs="Arial"/>
        </w:rPr>
        <w:t xml:space="preserve"> </w:t>
      </w:r>
      <w:r w:rsidR="00F661BB" w:rsidRPr="00091776">
        <w:rPr>
          <w:rFonts w:cs="Arial"/>
        </w:rPr>
        <w:t xml:space="preserve">A </w:t>
      </w:r>
      <w:r w:rsidR="00D60932" w:rsidRPr="00091776">
        <w:rPr>
          <w:rFonts w:cs="Arial"/>
        </w:rPr>
        <w:t xml:space="preserve">2018 </w:t>
      </w:r>
      <w:r w:rsidR="00B00E5F" w:rsidRPr="00091776">
        <w:rPr>
          <w:rFonts w:cs="Arial"/>
        </w:rPr>
        <w:t>evaluation of</w:t>
      </w:r>
      <w:r w:rsidR="00F661BB" w:rsidRPr="00091776">
        <w:rPr>
          <w:rFonts w:cs="Arial"/>
        </w:rPr>
        <w:t xml:space="preserve"> hospital </w:t>
      </w:r>
      <w:r w:rsidR="00B00E5F" w:rsidRPr="00091776">
        <w:rPr>
          <w:rFonts w:cs="Arial"/>
        </w:rPr>
        <w:t>deprescribing reported</w:t>
      </w:r>
      <w:r w:rsidR="00041054" w:rsidRPr="00091776">
        <w:rPr>
          <w:rFonts w:cs="Arial"/>
        </w:rPr>
        <w:t xml:space="preserve"> only 4% of patients had a pre-admission medicine deprescribed</w:t>
      </w:r>
      <w:r w:rsidR="00F661BB" w:rsidRPr="00091776">
        <w:rPr>
          <w:rFonts w:cs="Arial"/>
        </w:rPr>
        <w:fldChar w:fldCharType="begin" w:fldLock="1"/>
      </w:r>
      <w:r w:rsidR="00024EDE" w:rsidRPr="00091776">
        <w:rPr>
          <w:rFonts w:cs="Arial"/>
        </w:rPr>
        <w:instrText>ADDIN CSL_CITATION {"citationItems":[{"id":"ITEM-1","itemData":{"DOI":"10.1007/s11096-018-0673-1","ISSN":"2210-7711","abstract":"Background Deprescribing medication may be in response to an adverse clinical trigger (reactive) or if future gains are unlikely to outweigh future harms (proactive). A hospital admission may present an opportunity for deprescribing, however current practice is poorly understood. Objective To quantify and describe the nature of deprescribing in a UK teaching hospital. Method Prescribing and discontinuation data for admission medication from a hospital’s electronic prescribing system were extracted over 4 weeks. The rationale for discontinuation of a random sample of 200 was determined using medical records. This informed categorisation of deprescribing activity by clinicians into ‘proactive’ or ‘reactive’. Data were extrapolated to estimate the proportion of admission medications deprescribed and the proportion which were reactive and proactive. Results From 24,552 admission medicines, 977 discontinuations were recorded. Of the 200 discontinuations sampled for review, only 44 (22.0%) were confirmed deprescribing activities; categorised into 7 (15.9%) proactive and 37 (84.1%) reactive. Extrapolation yielded 0.6% (95% CI 0.5–0.7%) of all admission medications deprescribed. Conclusion Limited deprescribing activity, dominated by reactive behaviour was identified, suggesting prescribers require a clinical trigger to prompt deprescribing. There may be scope for increasing proactive deprescribing in hospital, however the extent to which this is feasible is unknown.","author":[{"dropping-particle":"","family":"Scott","given":"Sion","non-dropping-particle":"","parse-names":false,"suffix":""},{"dropping-particle":"","family":"Clark","given":"Allan","non-dropping-particle":"","parse-names":false,"suffix":""},{"dropping-particle":"","family":"Farrow","given":"Carol","non-dropping-particle":"","parse-names":false,"suffix":""},{"dropping-particle":"","family":"May","given":"Helen","non-dropping-particle":"","parse-names":false,"suffix":""},{"dropping-particle":"","family":"Patel","given":"Martyn","non-dropping-particle":"","parse-names":false,"suffix":""},{"dropping-particle":"","family":"Twigg","given":"Michael James","non-dropping-particle":"","parse-names":false,"suffix":""},{"dropping-particle":"","family":"Wright","given":"David John","non-dropping-particle":"","parse-names":false,"suffix":""},{"dropping-particle":"","family":"Bhattacharya","given":"Debi","non-dropping-particle":"","parse-names":false,"suffix":""}],"container-title":"International Journal of Clinical Pharmacy","id":"ITEM-1","issued":{"date-parts":[["2018"]]},"title":"Deprescribing admission medication at a UK teaching hospital; a report on quantity and nature of activity","type":"article-journal"},"uris":["http://www.mendeley.com/documents/?uuid=4fb38ed9-4e2f-49ba-b7d2-11fbffa96e74"]}],"mendeley":{"formattedCitation":"[3]","plainTextFormattedCitation":"[3]","previouslyFormattedCitation":"[3]"},"properties":{"noteIndex":0},"schema":"https://github.com/citation-style-language/schema/raw/master/csl-citation.json"}</w:instrText>
      </w:r>
      <w:r w:rsidR="00F661BB" w:rsidRPr="00091776">
        <w:rPr>
          <w:rFonts w:cs="Arial"/>
        </w:rPr>
        <w:fldChar w:fldCharType="separate"/>
      </w:r>
      <w:r w:rsidR="000F47D2" w:rsidRPr="00091776">
        <w:rPr>
          <w:rFonts w:cs="Arial"/>
          <w:noProof/>
        </w:rPr>
        <w:t>[3]</w:t>
      </w:r>
      <w:r w:rsidR="00F661BB" w:rsidRPr="00091776">
        <w:rPr>
          <w:rFonts w:cs="Arial"/>
        </w:rPr>
        <w:fldChar w:fldCharType="end"/>
      </w:r>
      <w:r w:rsidR="000F47D2" w:rsidRPr="00091776">
        <w:rPr>
          <w:rFonts w:cs="Arial"/>
        </w:rPr>
        <w:t>,</w:t>
      </w:r>
      <w:r w:rsidR="00F661BB" w:rsidRPr="00091776">
        <w:rPr>
          <w:rFonts w:cs="Arial"/>
        </w:rPr>
        <w:t xml:space="preserve"> suggesting</w:t>
      </w:r>
      <w:r w:rsidR="00515D53" w:rsidRPr="00091776">
        <w:rPr>
          <w:rFonts w:cs="Arial"/>
        </w:rPr>
        <w:t xml:space="preserve"> </w:t>
      </w:r>
      <w:r w:rsidR="00B00E5F" w:rsidRPr="00091776">
        <w:rPr>
          <w:rFonts w:cs="Arial"/>
        </w:rPr>
        <w:t xml:space="preserve">a need to change </w:t>
      </w:r>
      <w:r w:rsidR="00515D53" w:rsidRPr="00091776">
        <w:rPr>
          <w:rFonts w:cs="Arial"/>
        </w:rPr>
        <w:t>practitioner</w:t>
      </w:r>
      <w:r w:rsidR="00B00E5F" w:rsidRPr="00091776">
        <w:rPr>
          <w:rFonts w:cs="Arial"/>
        </w:rPr>
        <w:t xml:space="preserve"> behaviour to facilitate</w:t>
      </w:r>
      <w:r w:rsidR="00515D53" w:rsidRPr="00091776">
        <w:rPr>
          <w:rFonts w:cs="Arial"/>
        </w:rPr>
        <w:t xml:space="preserve"> routine</w:t>
      </w:r>
      <w:r w:rsidR="00F661BB" w:rsidRPr="00091776">
        <w:rPr>
          <w:rFonts w:cs="Arial"/>
        </w:rPr>
        <w:t xml:space="preserve"> deprescrib</w:t>
      </w:r>
      <w:r w:rsidR="00B00E5F" w:rsidRPr="00091776">
        <w:rPr>
          <w:rFonts w:cs="Arial"/>
        </w:rPr>
        <w:t>ing</w:t>
      </w:r>
      <w:r w:rsidR="00515D53" w:rsidRPr="00091776">
        <w:rPr>
          <w:rFonts w:cs="Arial"/>
        </w:rPr>
        <w:t xml:space="preserve"> in </w:t>
      </w:r>
      <w:r w:rsidR="00B00E5F" w:rsidRPr="00091776">
        <w:rPr>
          <w:rFonts w:cs="Arial"/>
        </w:rPr>
        <w:t>hospital</w:t>
      </w:r>
      <w:r w:rsidR="00515D53" w:rsidRPr="00091776">
        <w:rPr>
          <w:rFonts w:cs="Arial"/>
        </w:rPr>
        <w:t>.</w:t>
      </w:r>
    </w:p>
    <w:p w14:paraId="56CBB960" w14:textId="3FE72BB5" w:rsidR="00DF48F1" w:rsidRPr="00091776" w:rsidRDefault="00515D53" w:rsidP="00493314">
      <w:pPr>
        <w:spacing w:line="240" w:lineRule="auto"/>
        <w:rPr>
          <w:rFonts w:cs="Arial"/>
        </w:rPr>
      </w:pPr>
      <w:r w:rsidRPr="00091776">
        <w:rPr>
          <w:rFonts w:cs="Arial"/>
        </w:rPr>
        <w:t xml:space="preserve">An understanding of whose behaviour needs changing and their barriers and enablers to </w:t>
      </w:r>
      <w:r w:rsidR="00F125CA" w:rsidRPr="00091776">
        <w:rPr>
          <w:rFonts w:cs="Arial"/>
        </w:rPr>
        <w:t>this behaviour</w:t>
      </w:r>
      <w:r w:rsidRPr="00091776">
        <w:rPr>
          <w:rFonts w:cs="Arial"/>
        </w:rPr>
        <w:t xml:space="preserve"> is key to behaviour change</w:t>
      </w:r>
      <w:r w:rsidRPr="00091776">
        <w:rPr>
          <w:rFonts w:cs="Arial"/>
          <w:lang w:val="en"/>
        </w:rPr>
        <w:fldChar w:fldCharType="begin" w:fldLock="1"/>
      </w:r>
      <w:r w:rsidR="00FC483E">
        <w:rPr>
          <w:rFonts w:cs="Arial"/>
          <w:lang w:val="en"/>
        </w:rPr>
        <w:instrText>ADDIN CSL_CITATION {"citationItems":[{"id":"ITEM-1","itemData":{"DOI":"10.1186/s13012-017-0605-9","ISSN":"1748-5908","PMID":"28637486","abstract":"Implementing new practices requires changes in the behaviour of relevant actors, and this is facilitated by understanding of the determinants of current and desired behaviours. The Theoretical Domains Framework (TDF) was developed by a collaboration of behavioural scientists and implementation researchers who identified theories relevant to implementation and grouped constructs from these theories into domains. The collaboration aimed to provide a comprehensive, theory-informed approach to identify determinants of behaviour. The first version was published in 2005, and a subsequent version following a validation exercise was published in 2012. This guide offers practical guidance for those who wish to apply the TDF to assess implementation problems and support intervention design. It presents a brief rationale for using a theoretical approach to investigate and address implementation problems, summarises the TDF and its development, and describes how to apply the TDF to achieve implementation objectives. Examples from the implementation research literature are presented to illustrate relevant methods and practical considerations. Researchers from Canada, the UK and Australia attended a 3-day meeting in December 2012 to build an international collaboration among researchers and decision-makers interested in the advancing use of the TDF. The participants were experienced in using the TDF to assess implementation problems, design interventions, and/or understand change processes. This guide is an output of the meeting and also draws on the authors’ collective experience. Examples from the implementation research literature judged by authors to be representative of specific applications of the TDF are included in this guide. We explain and illustrate methods, with a focus on qualitative approaches, for selecting and specifying target behaviours key to implementation, selecting the study design, deciding the sampling strategy, developing study materials, collecting and analysing data, and reporting findings of TDF-based studies. Areas for development include methods for triangulating data, e.g. from interviews, questionnaires and observation and methods for designing interventions based on TDF-based problem analysis. We offer this guide to the implementation community to assist in the application of the TDF to achieve implementation objectives. Benefits of using the TDF include the provision of a theoretical basis for implementation studies, good coverage of…","author":[{"dropping-particle":"","family":"Atkins","given":"Lou","non-dropping-particle":"","parse-names":false,"suffix":""},{"dropping-particle":"","family":"Francis","given":"Jill","non-dropping-particle":"","parse-names":false,"suffix":""},{"dropping-particle":"","family":"Islam","given":"Rafat","non-dropping-particle":"","parse-names":false,"suffix":""},{"dropping-particle":"","family":"O’Connor","given":"Denise","non-dropping-particle":"","parse-names":false,"suffix":""},{"dropping-particle":"","family":"Patey","given":"Andrea","non-dropping-particle":"","parse-names":false,"suffix":""},{"dropping-particle":"","family":"Ivers","given":"Noah","non-dropping-particle":"","parse-names":false,"suffix":""},{"dropping-particle":"","family":"Foy","given":"Robbie","non-dropping-particle":"","parse-names":false,"suffix":""},{"dropping-particle":"","family":"Duncan","given":"Eilidh M.","non-dropping-particle":"","parse-names":false,"suffix":""},{"dropping-particle":"","family":"Colquhoun","given":"Heather","non-dropping-particle":"","parse-names":false,"suffix":""},{"dropping-particle":"","family":"Grimshaw","given":"Jeremy M.","non-dropping-particle":"","parse-names":false,"suffix":""},{"dropping-particle":"","family":"Lawton","given":"Rebecca","non-dropping-particle":"","parse-names":false,"suffix":""},{"dropping-particle":"","family":"Michie","given":"Susan","non-dropping-particle":"","parse-names":false,"suffix":""}],"container-title":"Implementation Science","id":"ITEM-1","issue":"1","issued":{"date-parts":[["2017"]]},"page":"77","publisher":"Implementation Science","title":"A guide to using the Theoretical Domains Framework of behaviour change to investigate implementation problems","type":"article-journal","volume":"12"},"uris":["http://www.mendeley.com/documents/?uuid=3e70e6a1-c6ab-41f3-9a7e-93be37f191c0"]}],"mendeley":{"formattedCitation":"[4]","plainTextFormattedCitation":"[4]","previouslyFormattedCitation":"[4,5]"},"properties":{"noteIndex":0},"schema":"https://github.com/citation-style-language/schema/raw/master/csl-citation.json"}</w:instrText>
      </w:r>
      <w:r w:rsidRPr="00091776">
        <w:rPr>
          <w:rFonts w:cs="Arial"/>
          <w:lang w:val="en"/>
        </w:rPr>
        <w:fldChar w:fldCharType="separate"/>
      </w:r>
      <w:r w:rsidR="00FC483E" w:rsidRPr="00FC483E">
        <w:rPr>
          <w:rFonts w:cs="Arial"/>
          <w:noProof/>
          <w:lang w:val="en"/>
        </w:rPr>
        <w:t>[4]</w:t>
      </w:r>
      <w:r w:rsidRPr="00091776">
        <w:rPr>
          <w:rFonts w:cs="Arial"/>
          <w:lang w:val="en"/>
        </w:rPr>
        <w:fldChar w:fldCharType="end"/>
      </w:r>
      <w:r w:rsidR="000F47D2" w:rsidRPr="00091776">
        <w:rPr>
          <w:rFonts w:cs="Arial"/>
          <w:lang w:val="en"/>
        </w:rPr>
        <w:t>.</w:t>
      </w:r>
      <w:r w:rsidRPr="00091776">
        <w:rPr>
          <w:rFonts w:cs="Arial"/>
        </w:rPr>
        <w:t xml:space="preserve"> </w:t>
      </w:r>
      <w:r w:rsidR="00306C8A" w:rsidRPr="00091776">
        <w:rPr>
          <w:rFonts w:cs="Arial"/>
        </w:rPr>
        <w:t>P</w:t>
      </w:r>
      <w:r w:rsidR="00856882" w:rsidRPr="00091776">
        <w:rPr>
          <w:rFonts w:cs="Arial"/>
        </w:rPr>
        <w:t xml:space="preserve">rimary care barriers to deprescribing include </w:t>
      </w:r>
      <w:r w:rsidR="00112E9C" w:rsidRPr="00091776">
        <w:rPr>
          <w:rFonts w:cs="Arial"/>
        </w:rPr>
        <w:t>limited</w:t>
      </w:r>
      <w:r w:rsidR="00DF48F1" w:rsidRPr="00091776">
        <w:rPr>
          <w:rFonts w:cs="Arial"/>
        </w:rPr>
        <w:t xml:space="preserve"> skills</w:t>
      </w:r>
      <w:r w:rsidR="00FB63E8" w:rsidRPr="00091776">
        <w:rPr>
          <w:rFonts w:cs="Arial"/>
        </w:rPr>
        <w:t xml:space="preserve"> and</w:t>
      </w:r>
      <w:r w:rsidR="00DF48F1" w:rsidRPr="00091776">
        <w:rPr>
          <w:rFonts w:cs="Arial"/>
        </w:rPr>
        <w:t xml:space="preserve"> </w:t>
      </w:r>
      <w:r w:rsidR="00112E9C" w:rsidRPr="00091776">
        <w:rPr>
          <w:rFonts w:cs="Arial"/>
        </w:rPr>
        <w:t>knowledge to deprescribe</w:t>
      </w:r>
      <w:r w:rsidR="00FB63E8" w:rsidRPr="00091776">
        <w:rPr>
          <w:rFonts w:cs="Arial"/>
        </w:rPr>
        <w:t xml:space="preserve"> </w:t>
      </w:r>
      <w:r w:rsidR="00DF48F1" w:rsidRPr="00091776">
        <w:rPr>
          <w:rFonts w:cs="Arial"/>
        </w:rPr>
        <w:t xml:space="preserve">and </w:t>
      </w:r>
      <w:r w:rsidR="00F86B69" w:rsidRPr="00091776">
        <w:rPr>
          <w:rFonts w:cs="Arial"/>
        </w:rPr>
        <w:t xml:space="preserve">perceived </w:t>
      </w:r>
      <w:r w:rsidR="005C0014">
        <w:rPr>
          <w:rFonts w:cs="Arial"/>
        </w:rPr>
        <w:t>resistance</w:t>
      </w:r>
      <w:r w:rsidR="005C0014" w:rsidRPr="00091776">
        <w:rPr>
          <w:rFonts w:cs="Arial"/>
        </w:rPr>
        <w:t xml:space="preserve"> </w:t>
      </w:r>
      <w:r w:rsidR="005C0014">
        <w:rPr>
          <w:rFonts w:cs="Arial"/>
        </w:rPr>
        <w:t>of</w:t>
      </w:r>
      <w:r w:rsidR="00DF48F1" w:rsidRPr="00091776">
        <w:rPr>
          <w:rFonts w:cs="Arial"/>
        </w:rPr>
        <w:t xml:space="preserve"> patients and </w:t>
      </w:r>
      <w:r w:rsidR="00280BB8" w:rsidRPr="00091776">
        <w:rPr>
          <w:rFonts w:cs="Arial"/>
        </w:rPr>
        <w:t>ca</w:t>
      </w:r>
      <w:r w:rsidR="00501432" w:rsidRPr="00091776">
        <w:rPr>
          <w:rFonts w:cs="Arial"/>
        </w:rPr>
        <w:t>rers</w:t>
      </w:r>
      <w:r w:rsidR="00C21EFA" w:rsidRPr="00091776">
        <w:rPr>
          <w:rFonts w:cs="Arial"/>
        </w:rPr>
        <w:fldChar w:fldCharType="begin" w:fldLock="1"/>
      </w:r>
      <w:r w:rsidR="00FC483E">
        <w:rPr>
          <w:rFonts w:cs="Arial"/>
        </w:rPr>
        <w:instrText>ADDIN CSL_CITATION {"citationItems":[{"id":"ITEM-1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uris":["http://www.mendeley.com/documents/?uuid=e5c07fe3-2ebb-4304-96ce-121522e3e111"]}],"mendeley":{"formattedCitation":"[5]","plainTextFormattedCitation":"[5]","previouslyFormattedCitation":"[6]"},"properties":{"noteIndex":0},"schema":"https://github.com/citation-style-language/schema/raw/master/csl-citation.json"}</w:instrText>
      </w:r>
      <w:r w:rsidR="00C21EFA" w:rsidRPr="00091776">
        <w:rPr>
          <w:rFonts w:cs="Arial"/>
        </w:rPr>
        <w:fldChar w:fldCharType="separate"/>
      </w:r>
      <w:r w:rsidR="00FC483E" w:rsidRPr="00FC483E">
        <w:rPr>
          <w:rFonts w:cs="Arial"/>
          <w:noProof/>
        </w:rPr>
        <w:t>[5]</w:t>
      </w:r>
      <w:r w:rsidR="00C21EFA" w:rsidRPr="00091776">
        <w:rPr>
          <w:rFonts w:cs="Arial"/>
        </w:rPr>
        <w:fldChar w:fldCharType="end"/>
      </w:r>
      <w:r w:rsidR="000F47D2" w:rsidRPr="00091776">
        <w:rPr>
          <w:rFonts w:cs="Arial"/>
        </w:rPr>
        <w:t>.</w:t>
      </w:r>
      <w:r w:rsidR="00DF48F1" w:rsidRPr="00091776">
        <w:rPr>
          <w:rFonts w:cs="Arial"/>
        </w:rPr>
        <w:t xml:space="preserve"> Emerging guidelines regarding when and how to deprescribe medicine groups may address knowledge and skills barriers</w:t>
      </w:r>
      <w:r w:rsidR="00DF48F1" w:rsidRPr="00091776">
        <w:rPr>
          <w:rFonts w:cs="Arial"/>
        </w:rPr>
        <w:fldChar w:fldCharType="begin" w:fldLock="1"/>
      </w:r>
      <w:r w:rsidR="00FC483E">
        <w:rPr>
          <w:rFonts w:cs="Arial"/>
        </w:rPr>
        <w:instrText>ADDIN CSL_CITATION {"citationItems":[{"id":"ITEM-1","itemData":{"ISSN":"0008-350X","author":[{"dropping-particle":"","family":"Farrell","given":"Barbara","non-dropping-particle":"","parse-names":false,"suffix":""},{"dropping-particle":"","family":"Black","given":"Cody","non-dropping-particle":"","parse-names":false,"suffix":""},{"dropping-particle":"","family":"Thompson","given":"Wade","non-dropping-particle":"","parse-names":false,"suffix":""},{"dropping-particle":"","family":"McCarthy","given":"Lisa","non-dropping-particle":"","parse-names":false,"suffix":""},{"dropping-particle":"","family":"Rojas-Fernandez","given":"Carlos","non-dropping-particle":"","parse-names":false,"suffix":""},{"dropping-particle":"","family":"Lochnan","given":"Heather","non-dropping-particle":"","parse-names":false,"suffix":""},{"dropping-particle":"","family":"Shamji","given":"Salima","non-dropping-particle":"","parse-names":false,"suffix":""},{"dropping-particle":"","family":"Upshur","given":"Ross","non-dropping-particle":"","parse-names":false,"suffix":""},{"dropping-particle":"","family":"Bouchard","given":"Manon","non-dropping-particle":"","parse-names":false,"suffix":""},{"dropping-particle":"","family":"Welch","given":"Vivian","non-dropping-particle":"","parse-names":false,"suffix":""}],"container-title":"Canadian Family Physician","id":"ITEM-1","issue":"11","issued":{"date-parts":[["2017"]]},"page":"832-843","publisher":"The College of Family Physicians of Canada","title":"Deprescribing antihyperglycemic agents in older persons: Evidence-based clinical practice guideline","type":"article-journal","volume":"63"},"uris":["http://www.mendeley.com/documents/?uuid=8a96f6a6-dc85-41ee-ad1f-3245526517fb"]},{"id":"ITEM-2","itemData":{"ISSN":"1715-5258","PMID":"28500192","abstract":"Objective To develop an evidence-based guideline to help clinicians make decisions about when and how to safely taper or stop proton pump inhibitors (PPIs); to focus on the highest level of evidence available and seek input from primary care professionals in the guideline development, review, and endorsement processes. Methods Five health professionals (1 family physician, 3 pharmacists, and 1 gastroenterologist) and 5 nonvoting members comprised the overall team; members disclosed conflicts of interest. The guideline process included the GRADE (Grading of Recommendations Assessment, Development and Evaluation) approach, with a detailed evidence review in in-person, telephone, and online meetings. Uniquely, the guideline development process included a systematic review of PPI deprescribing trials and examination of reviews of the harm of continued PPI use. Narrative syntheses of patient preferences and resource-implication literature informed recommendations. The team refined guideline content and recommendation wording through consensus and synthesized clinical considerations to address common front-line clinician questions. The draft guideline was distributed to clinicians and then to health care professional associations for review and revisions made at each stage. A decision-support algorithm was developed in conjunction with the guideline. Recommendations This guideline recommends deprescribing PPIs (reducing dose, stopping, or using \" on-demand \" dosing) in adults who have completed a minimum of 4 weeks of PPI treatment for heartburn or mild to moderate gastroesophageal reflux disease or esophagitis, and whose symptoms are resolved. The recommendations do not apply to those who have or have had Barrett esophagus, severe esophagitis grade C or D, or documented history of bleeding gastrointestinal ulcers.","author":[{"dropping-particle":"","family":"Farrell","given":"Barbara","non-dropping-particle":"","parse-names":false,"suffix":""},{"dropping-particle":"","family":"Pottie","given":"Kevin","non-dropping-particle":"","parse-names":false,"suffix":""},{"dropping-particle":"","family":"Thompson","given":"Wade","non-dropping-particle":"","parse-names":false,"suffix":""},{"dropping-particle":"","family":"Boghossian","given":"Taline","non-dropping-particle":"","parse-names":false,"suffix":""},{"dropping-particle":"","family":"Pizzola","given":"Lisa","non-dropping-particle":"","parse-names":false,"suffix":""},{"dropping-particle":"","family":"Rashid","given":"Farah","non-dropping-particle":"","parse-names":false,"suffix":""},{"dropping-particle":"","family":"Rojas-Fernandez","given":"Carlos","non-dropping-particle":"","parse-names":false,"suffix":""},{"dropping-particle":"","family":"Walsh","given":"Kate","non-dropping-particle":"","parse-names":false,"suffix":""},{"dropping-particle":"","family":"Welch","given":"Vivian","non-dropping-particle":"","parse-names":false,"suffix":""},{"dropping-particle":"","family":"Moayyedi","given":"Paul","non-dropping-particle":"","parse-names":false,"suffix":""}],"container-title":"Canadian Family Physician","id":"ITEM-2","issued":{"date-parts":[["2017"]]},"page":"354-364","title":"Deprescribing proton pump inhibitors: Evidence-based clinical practice guideline","type":"article-journal","volume":"63"},"uris":["http://www.mendeley.com/documents/?uuid=8d2fcadd-6970-47fa-9c32-2f361cb64602"]},{"id":"ITEM-3","itemData":{"ISSN":"0008-350X","author":[{"dropping-particle":"","family":"Pottie","given":"Kevin","non-dropping-particle":"","parse-names":false,"suffix":""},{"dropping-particle":"","family":"Thompson","given":"Wade","non-dropping-particle":"","parse-names":false,"suffix":""},{"dropping-particle":"","family":"Davies","given":"Simon","non-dropping-particle":"","parse-names":false,"suffix":""},{"dropping-particle":"","family":"Grenier","given":"Jean","non-dropping-particle":"","parse-names":false,"suffix":""},{"dropping-particle":"","family":"Sadowski","given":"Cheryl A","non-dropping-particle":"","parse-names":false,"suffix":""},{"dropping-particle":"","family":"Welch","given":"Vivian","non-dropping-particle":"","parse-names":false,"suffix":""},{"dropping-particle":"","family":"Holbrook","given":"Anne","non-dropping-particle":"","parse-names":false,"suffix":""},{"dropping-particle":"","family":"Boyd","given":"Cynthia","non-dropping-particle":"","parse-names":false,"suffix":""},{"dropping-particle":"","family":"Swenson","given":"Robert","non-dropping-particle":"","parse-names":false,"suffix":""},{"dropping-particle":"","family":"Ma","given":"Andy","non-dropping-particle":"","parse-names":false,"suffix":""}],"container-title":"Canadian Family Physician","id":"ITEM-3","issue":"5","issued":{"date-parts":[["2018"]]},"page":"339-351","publisher":"The College of Family Physicians of Canada","title":"Deprescribing benzodiazepine receptor agonists: Evidence-based clinical practice guideline","type":"article-journal","volume":"64"},"uris":["http://www.mendeley.com/documents/?uuid=4043a28d-17ea-481a-b9e7-d66c1205ad49"]},{"id":"ITEM-4","itemData":{"ISSN":"0008-350X","author":[{"dropping-particle":"","family":"Bjerre","given":"Lise M","non-dropping-particle":"","parse-names":false,"suffix":""},{"dropping-particle":"","family":"Farrell","given":"Barbara","non-dropping-particle":"","parse-names":false,"suffix":""},{"dropping-particle":"","family":"Hogel","given":"Matthew","non-dropping-particle":"","parse-names":false,"suffix":""},{"dropping-particle":"","family":"Graham","given":"Lyla","non-dropping-particle":"","parse-names":false,"suffix":""},{"dropping-particle":"","family":"Lemay","given":"Geneviève","non-dropping-particle":"","parse-names":false,"suffix":""},{"dropping-particle":"","family":"McCarthy","given":"Lisa","non-dropping-particle":"","parse-names":false,"suffix":""},{"dropping-particle":"","family":"Raman-Wilms","given":"Lalitha","non-dropping-particle":"","parse-names":false,"suffix":""},{"dropping-particle":"","family":"Rojas-Fernandez","given":"Carlos","non-dropping-particle":"","parse-names":false,"suffix":""},{"dropping-particle":"","family":"Sinha","given":"Samir","non-dropping-particle":"","parse-names":false,"suffix":""},{"dropping-particle":"","family":"Thompson","given":"Wade","non-dropping-particle":"","parse-names":false,"suffix":""}],"container-title":"Canadian Family Physician","id":"ITEM-4","issue":"1","issued":{"date-parts":[["2018"]]},"page":"17-27","publisher":"The College of Family Physicians of Canada","title":"Deprescribing antipsychotics for behavioural and psychological symptoms of dementia and insomnia: Evidence-based clinical practice guideline","type":"article-journal","volume":"64"},"uris":["http://www.mendeley.com/documents/?uuid=db7d4e36-10af-4075-bd98-d25f0cb7022a"]}],"mendeley":{"formattedCitation":"[6–9]","plainTextFormattedCitation":"[6–9]","previouslyFormattedCitation":"[7–10]"},"properties":{"noteIndex":0},"schema":"https://github.com/citation-style-language/schema/raw/master/csl-citation.json"}</w:instrText>
      </w:r>
      <w:r w:rsidR="00DF48F1" w:rsidRPr="00091776">
        <w:rPr>
          <w:rFonts w:cs="Arial"/>
        </w:rPr>
        <w:fldChar w:fldCharType="separate"/>
      </w:r>
      <w:r w:rsidR="00FC483E" w:rsidRPr="00FC483E">
        <w:rPr>
          <w:rFonts w:cs="Arial"/>
          <w:noProof/>
        </w:rPr>
        <w:t>[6–9]</w:t>
      </w:r>
      <w:r w:rsidR="00DF48F1" w:rsidRPr="00091776">
        <w:rPr>
          <w:rFonts w:cs="Arial"/>
        </w:rPr>
        <w:fldChar w:fldCharType="end"/>
      </w:r>
      <w:r w:rsidR="000F47D2" w:rsidRPr="00091776">
        <w:rPr>
          <w:rFonts w:cs="Arial"/>
        </w:rPr>
        <w:t>.</w:t>
      </w:r>
      <w:r w:rsidR="00DF48F1" w:rsidRPr="00091776">
        <w:rPr>
          <w:rFonts w:cs="Arial"/>
        </w:rPr>
        <w:t xml:space="preserve"> </w:t>
      </w:r>
      <w:r w:rsidR="005C0014">
        <w:rPr>
          <w:rFonts w:cs="Arial"/>
        </w:rPr>
        <w:t>Theory</w:t>
      </w:r>
      <w:r w:rsidR="00DF48F1" w:rsidRPr="00091776">
        <w:rPr>
          <w:rFonts w:cs="Arial"/>
        </w:rPr>
        <w:t xml:space="preserve"> informed interventions to encourage patient participation in deprescribing may address the barrier of </w:t>
      </w:r>
      <w:r w:rsidR="005C0014">
        <w:rPr>
          <w:rFonts w:cs="Arial"/>
        </w:rPr>
        <w:t>their resistance</w:t>
      </w:r>
      <w:r w:rsidR="00DF48F1" w:rsidRPr="00091776">
        <w:rPr>
          <w:rFonts w:cs="Arial"/>
        </w:rPr>
        <w:fldChar w:fldCharType="begin" w:fldLock="1"/>
      </w:r>
      <w:r w:rsidR="00FC483E">
        <w:rPr>
          <w:rFonts w:cs="Arial"/>
        </w:rPr>
        <w:instrText>ADDIN CSL_CITATION {"citationItems":[{"id":"ITEM-1","itemData":{"ISSN":"1471-2318","author":[{"dropping-particle":"","family":"Martin","given":"Philippe","non-dropping-particle":"","parse-names":false,"suffix":""},{"dropping-particle":"","family":"Tannenbaum","given":"Cara","non-dropping-particle":"","parse-names":false,"suffix":""}],"container-title":"BMC geriatrics","id":"ITEM-1","issue":"1","issued":{"date-parts":[["2017"]]},"page":"37","publisher":"BioMed Central","title":"Use of the EMPOWER brochure to deprescribe sedative-hypnotic drugs in older adults with mild cognitive impairment","type":"article-journal","volume":"17"},"uris":["http://www.mendeley.com/documents/?uuid=dffb20a8-ef21-45da-8947-1f50bc29b308"]}],"mendeley":{"formattedCitation":"[10]","plainTextFormattedCitation":"[10]","previouslyFormattedCitation":"[11]"},"properties":{"noteIndex":0},"schema":"https://github.com/citation-style-language/schema/raw/master/csl-citation.json"}</w:instrText>
      </w:r>
      <w:r w:rsidR="00DF48F1" w:rsidRPr="00091776">
        <w:rPr>
          <w:rFonts w:cs="Arial"/>
        </w:rPr>
        <w:fldChar w:fldCharType="separate"/>
      </w:r>
      <w:r w:rsidR="00FC483E" w:rsidRPr="00FC483E">
        <w:rPr>
          <w:rFonts w:cs="Arial"/>
          <w:noProof/>
        </w:rPr>
        <w:t>[10]</w:t>
      </w:r>
      <w:r w:rsidR="00DF48F1" w:rsidRPr="00091776">
        <w:rPr>
          <w:rFonts w:cs="Arial"/>
        </w:rPr>
        <w:fldChar w:fldCharType="end"/>
      </w:r>
      <w:r w:rsidR="000F47D2" w:rsidRPr="00091776">
        <w:rPr>
          <w:rFonts w:cs="Arial"/>
        </w:rPr>
        <w:t>.</w:t>
      </w:r>
      <w:r w:rsidR="00DF48F1" w:rsidRPr="00091776">
        <w:rPr>
          <w:rFonts w:cs="Arial"/>
        </w:rPr>
        <w:t xml:space="preserve"> </w:t>
      </w:r>
      <w:r w:rsidR="001E41D4" w:rsidRPr="00091776">
        <w:rPr>
          <w:rFonts w:cs="Arial"/>
        </w:rPr>
        <w:t xml:space="preserve">Access to </w:t>
      </w:r>
      <w:r w:rsidR="00306C8A" w:rsidRPr="00091776">
        <w:rPr>
          <w:rFonts w:cs="Arial"/>
        </w:rPr>
        <w:t>geriatricians and pharmacists</w:t>
      </w:r>
      <w:r w:rsidR="001E41D4" w:rsidRPr="00091776">
        <w:rPr>
          <w:rFonts w:cs="Arial"/>
        </w:rPr>
        <w:t xml:space="preserve"> working in hospitals is a primary care </w:t>
      </w:r>
      <w:r w:rsidR="00306C8A" w:rsidRPr="00091776">
        <w:rPr>
          <w:rFonts w:cs="Arial"/>
        </w:rPr>
        <w:t>enabler</w:t>
      </w:r>
      <w:r w:rsidR="001E41D4" w:rsidRPr="00091776">
        <w:rPr>
          <w:rFonts w:cs="Arial"/>
        </w:rPr>
        <w:t xml:space="preserve"> to deprescribing</w:t>
      </w:r>
      <w:r w:rsidR="001E41D4" w:rsidRPr="00091776">
        <w:rPr>
          <w:rFonts w:cs="Arial"/>
        </w:rPr>
        <w:fldChar w:fldCharType="begin" w:fldLock="1"/>
      </w:r>
      <w:r w:rsidR="00FC483E">
        <w:rPr>
          <w:rFonts w:cs="Arial"/>
        </w:rPr>
        <w:instrText>ADDIN CSL_CITATION {"citationItems":[{"id":"ITEM-1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uris":["http://www.mendeley.com/documents/?uuid=e5c07fe3-2ebb-4304-96ce-121522e3e111"]}],"mendeley":{"formattedCitation":"[5]","plainTextFormattedCitation":"[5]","previouslyFormattedCitation":"[6]"},"properties":{"noteIndex":0},"schema":"https://github.com/citation-style-language/schema/raw/master/csl-citation.json"}</w:instrText>
      </w:r>
      <w:r w:rsidR="001E41D4" w:rsidRPr="00091776">
        <w:rPr>
          <w:rFonts w:cs="Arial"/>
        </w:rPr>
        <w:fldChar w:fldCharType="separate"/>
      </w:r>
      <w:r w:rsidR="00FC483E" w:rsidRPr="00FC483E">
        <w:rPr>
          <w:rFonts w:cs="Arial"/>
          <w:noProof/>
        </w:rPr>
        <w:t>[5]</w:t>
      </w:r>
      <w:r w:rsidR="001E41D4" w:rsidRPr="00091776">
        <w:rPr>
          <w:rFonts w:cs="Arial"/>
        </w:rPr>
        <w:fldChar w:fldCharType="end"/>
      </w:r>
      <w:r w:rsidR="000F47D2" w:rsidRPr="00091776">
        <w:rPr>
          <w:rFonts w:cs="Arial"/>
        </w:rPr>
        <w:t>.</w:t>
      </w:r>
    </w:p>
    <w:p w14:paraId="3FA60CCB" w14:textId="048C564A" w:rsidR="00515D53" w:rsidRPr="00091776" w:rsidRDefault="00613E4F" w:rsidP="00493314">
      <w:pPr>
        <w:spacing w:line="240" w:lineRule="auto"/>
        <w:rPr>
          <w:rFonts w:cs="Arial"/>
        </w:rPr>
      </w:pPr>
      <w:r w:rsidRPr="00091776">
        <w:rPr>
          <w:rFonts w:cs="Arial"/>
        </w:rPr>
        <w:t>Geriatricians and pharmacists may be the most appropriate p</w:t>
      </w:r>
      <w:r w:rsidR="004745AA" w:rsidRPr="00091776">
        <w:rPr>
          <w:rFonts w:cs="Arial"/>
        </w:rPr>
        <w:t xml:space="preserve">ractitioners to deprescribe </w:t>
      </w:r>
      <w:r w:rsidRPr="00091776">
        <w:rPr>
          <w:rFonts w:cs="Arial"/>
        </w:rPr>
        <w:t>in</w:t>
      </w:r>
      <w:r w:rsidR="00981536" w:rsidRPr="00091776">
        <w:rPr>
          <w:rFonts w:cs="Arial"/>
        </w:rPr>
        <w:t xml:space="preserve"> </w:t>
      </w:r>
      <w:r w:rsidRPr="00091776">
        <w:rPr>
          <w:rFonts w:cs="Arial"/>
        </w:rPr>
        <w:t>hospital</w:t>
      </w:r>
      <w:r w:rsidR="00B95466">
        <w:rPr>
          <w:rFonts w:cs="Arial"/>
        </w:rPr>
        <w:t>s</w:t>
      </w:r>
      <w:r w:rsidR="004745AA" w:rsidRPr="00091776">
        <w:rPr>
          <w:rFonts w:cs="Arial"/>
        </w:rPr>
        <w:t>, however t</w:t>
      </w:r>
      <w:r w:rsidR="00515D53" w:rsidRPr="00091776">
        <w:rPr>
          <w:rFonts w:cs="Arial"/>
        </w:rPr>
        <w:t>he</w:t>
      </w:r>
      <w:r w:rsidR="004745AA" w:rsidRPr="00091776">
        <w:rPr>
          <w:rFonts w:cs="Arial"/>
        </w:rPr>
        <w:t>ir</w:t>
      </w:r>
      <w:r w:rsidR="00515D53" w:rsidRPr="00091776">
        <w:rPr>
          <w:rFonts w:cs="Arial"/>
        </w:rPr>
        <w:t xml:space="preserve"> barriers and enablers</w:t>
      </w:r>
      <w:r w:rsidR="001E41D4" w:rsidRPr="00091776">
        <w:rPr>
          <w:rFonts w:cs="Arial"/>
        </w:rPr>
        <w:t xml:space="preserve"> to deprescribing</w:t>
      </w:r>
      <w:r w:rsidR="00515D53" w:rsidRPr="00091776">
        <w:rPr>
          <w:rFonts w:cs="Arial"/>
        </w:rPr>
        <w:t xml:space="preserve"> are yet to be fully understood</w:t>
      </w:r>
      <w:r w:rsidR="00515D53" w:rsidRPr="00091776">
        <w:rPr>
          <w:rFonts w:cs="Arial"/>
        </w:rPr>
        <w:fldChar w:fldCharType="begin" w:fldLock="1"/>
      </w:r>
      <w:r w:rsidR="00FC483E">
        <w:rPr>
          <w:rFonts w:cs="Arial"/>
        </w:rPr>
        <w:instrText>ADDIN CSL_CITATION {"citationItems":[{"id":"ITEM-1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uris":["http://www.mendeley.com/documents/?uuid=e5c07fe3-2ebb-4304-96ce-121522e3e111"]}],"mendeley":{"formattedCitation":"[5]","plainTextFormattedCitation":"[5]","previouslyFormattedCitation":"[6]"},"properties":{"noteIndex":0},"schema":"https://github.com/citation-style-language/schema/raw/master/csl-citation.json"}</w:instrText>
      </w:r>
      <w:r w:rsidR="00515D53" w:rsidRPr="00091776">
        <w:rPr>
          <w:rFonts w:cs="Arial"/>
        </w:rPr>
        <w:fldChar w:fldCharType="separate"/>
      </w:r>
      <w:r w:rsidR="00FC483E" w:rsidRPr="00FC483E">
        <w:rPr>
          <w:rFonts w:cs="Arial"/>
          <w:noProof/>
        </w:rPr>
        <w:t>[5]</w:t>
      </w:r>
      <w:r w:rsidR="00515D53" w:rsidRPr="00091776">
        <w:rPr>
          <w:rFonts w:cs="Arial"/>
        </w:rPr>
        <w:fldChar w:fldCharType="end"/>
      </w:r>
      <w:r w:rsidR="000F47D2" w:rsidRPr="00091776">
        <w:rPr>
          <w:rFonts w:cs="Arial"/>
        </w:rPr>
        <w:t>.</w:t>
      </w:r>
      <w:r w:rsidR="00515D53" w:rsidRPr="00091776">
        <w:rPr>
          <w:rFonts w:cs="Arial"/>
        </w:rPr>
        <w:t xml:space="preserve"> </w:t>
      </w:r>
      <w:r w:rsidR="004745AA" w:rsidRPr="00091776">
        <w:rPr>
          <w:rFonts w:cs="Arial"/>
        </w:rPr>
        <w:t xml:space="preserve">This </w:t>
      </w:r>
      <w:r w:rsidR="00515D53" w:rsidRPr="00091776">
        <w:rPr>
          <w:rFonts w:cs="Arial"/>
        </w:rPr>
        <w:t>may expla</w:t>
      </w:r>
      <w:r w:rsidR="004942C0" w:rsidRPr="00091776">
        <w:rPr>
          <w:rFonts w:cs="Arial"/>
        </w:rPr>
        <w:t>i</w:t>
      </w:r>
      <w:r w:rsidR="00515D53" w:rsidRPr="00091776">
        <w:rPr>
          <w:rFonts w:cs="Arial"/>
        </w:rPr>
        <w:t xml:space="preserve">n the failure of </w:t>
      </w:r>
      <w:r w:rsidR="004942C0" w:rsidRPr="00091776">
        <w:rPr>
          <w:rFonts w:cs="Arial"/>
        </w:rPr>
        <w:t xml:space="preserve">hospital </w:t>
      </w:r>
      <w:r w:rsidR="00515D53" w:rsidRPr="00091776">
        <w:rPr>
          <w:rFonts w:cs="Arial"/>
        </w:rPr>
        <w:t>deprescribing interventions to achieve clinically significant reductions in PIMs</w:t>
      </w:r>
      <w:r w:rsidR="00515D53" w:rsidRPr="00091776">
        <w:rPr>
          <w:rFonts w:cs="Arial"/>
        </w:rPr>
        <w:fldChar w:fldCharType="begin" w:fldLock="1"/>
      </w:r>
      <w:r w:rsidR="00FC483E">
        <w:rPr>
          <w:rFonts w:cs="Arial"/>
        </w:rPr>
        <w:instrText>ADDIN CSL_CITATION {"citationItems":[{"id":"ITEM-1","itemData":{"DOI":"10.1007/s40266-018-0536-4","ISSN":"1179-1969","abstract":"Polypharmacy and potentially inappropriate medications (PIMs) are prevalent in older adults in hospital, and are associated with negative outcomes including adverse drug reactions, falls, confusion, hospitalisation and death. Deprescribing may reduce inappropriate polypharmacy and use of inappropriate medications.","author":[{"dropping-particle":"","family":"Thillainadesan","given":"Janani","non-dropping-particle":"","parse-names":false,"suffix":""},{"dropping-particle":"","family":"Gnjidic","given":"Danijela","non-dropping-particle":"","parse-names":false,"suffix":""},{"dropping-particle":"","family":"Green","given":"Sarah","non-dropping-particle":"","parse-names":false,"suffix":""},{"dropping-particle":"","family":"Hilmer","given":"Sarah N","non-dropping-particle":"","parse-names":false,"suffix":""}],"container-title":"Drugs &amp; Aging","id":"ITEM-1","issue":"4","issued":{"date-parts":[["2018","4"]]},"page":"303-319","title":"Impact of Deprescribing Interventions in Older Hospitalised Patients on Prescribing and Clinical Outcomes: A Systematic Review of Randomised Trials","type":"article-journal","volume":"35"},"uris":["http://www.mendeley.com/documents/?uuid=d4c1d46c-2982-4a4d-a7af-a6bb56a831c2"]}],"mendeley":{"formattedCitation":"[11]","plainTextFormattedCitation":"[11]","previouslyFormattedCitation":"[12]"},"properties":{"noteIndex":0},"schema":"https://github.com/citation-style-language/schema/raw/master/csl-citation.json"}</w:instrText>
      </w:r>
      <w:r w:rsidR="00515D53" w:rsidRPr="00091776">
        <w:rPr>
          <w:rFonts w:cs="Arial"/>
        </w:rPr>
        <w:fldChar w:fldCharType="separate"/>
      </w:r>
      <w:r w:rsidR="00FC483E" w:rsidRPr="00FC483E">
        <w:rPr>
          <w:rFonts w:cs="Arial"/>
          <w:noProof/>
        </w:rPr>
        <w:t>[11]</w:t>
      </w:r>
      <w:r w:rsidR="00515D53" w:rsidRPr="00091776">
        <w:rPr>
          <w:rFonts w:cs="Arial"/>
        </w:rPr>
        <w:fldChar w:fldCharType="end"/>
      </w:r>
      <w:r w:rsidR="000F47D2" w:rsidRPr="00091776">
        <w:rPr>
          <w:rFonts w:cs="Arial"/>
        </w:rPr>
        <w:t>.</w:t>
      </w:r>
      <w:r w:rsidR="00515D53" w:rsidRPr="00091776">
        <w:rPr>
          <w:rFonts w:cs="Arial"/>
        </w:rPr>
        <w:t xml:space="preserve"> </w:t>
      </w:r>
      <w:r w:rsidR="003C48C2" w:rsidRPr="00091776">
        <w:rPr>
          <w:rFonts w:cs="Arial"/>
        </w:rPr>
        <w:t>Some primary care barriers and enablers may be relevant to geriatricians and pharmacists in hospital</w:t>
      </w:r>
      <w:r w:rsidR="003C48C2" w:rsidRPr="00091776">
        <w:rPr>
          <w:rFonts w:cs="Arial"/>
        </w:rPr>
        <w:fldChar w:fldCharType="begin" w:fldLock="1"/>
      </w:r>
      <w:r w:rsidR="00FC483E">
        <w:rPr>
          <w:rFonts w:cs="Arial"/>
        </w:rPr>
        <w:instrText>ADDIN CSL_CITATION {"citationItems":[{"id":"ITEM-1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uris":["http://www.mendeley.com/documents/?uuid=e5c07fe3-2ebb-4304-96ce-121522e3e111"]}],"mendeley":{"formattedCitation":"[5]","plainTextFormattedCitation":"[5]","previouslyFormattedCitation":"[6]"},"properties":{"noteIndex":0},"schema":"https://github.com/citation-style-language/schema/raw/master/csl-citation.json"}</w:instrText>
      </w:r>
      <w:r w:rsidR="003C48C2" w:rsidRPr="00091776">
        <w:rPr>
          <w:rFonts w:cs="Arial"/>
        </w:rPr>
        <w:fldChar w:fldCharType="separate"/>
      </w:r>
      <w:r w:rsidR="00FC483E" w:rsidRPr="00FC483E">
        <w:rPr>
          <w:rFonts w:cs="Arial"/>
          <w:noProof/>
        </w:rPr>
        <w:t>[5]</w:t>
      </w:r>
      <w:r w:rsidR="003C48C2" w:rsidRPr="00091776">
        <w:rPr>
          <w:rFonts w:cs="Arial"/>
        </w:rPr>
        <w:fldChar w:fldCharType="end"/>
      </w:r>
      <w:r w:rsidR="000F47D2" w:rsidRPr="00091776">
        <w:rPr>
          <w:rFonts w:cs="Arial"/>
        </w:rPr>
        <w:t>.</w:t>
      </w:r>
      <w:r w:rsidR="003C48C2" w:rsidRPr="00091776">
        <w:rPr>
          <w:rFonts w:cs="Arial"/>
        </w:rPr>
        <w:t xml:space="preserve"> </w:t>
      </w:r>
      <w:r w:rsidR="00A6055B" w:rsidRPr="00091776">
        <w:rPr>
          <w:rFonts w:cs="Arial"/>
        </w:rPr>
        <w:t>However, others that are</w:t>
      </w:r>
      <w:r w:rsidR="003C48C2" w:rsidRPr="00091776">
        <w:rPr>
          <w:rFonts w:cs="Arial"/>
        </w:rPr>
        <w:t xml:space="preserve"> specific to the hospital context may remain unknown</w:t>
      </w:r>
      <w:r w:rsidR="00B95466">
        <w:rPr>
          <w:rFonts w:cs="Arial"/>
        </w:rPr>
        <w:t>,</w:t>
      </w:r>
      <w:r w:rsidR="003C48C2" w:rsidRPr="00091776">
        <w:rPr>
          <w:rFonts w:cs="Arial"/>
        </w:rPr>
        <w:t xml:space="preserve"> and </w:t>
      </w:r>
      <w:r w:rsidR="00A6055B" w:rsidRPr="00091776">
        <w:rPr>
          <w:rFonts w:cs="Arial"/>
        </w:rPr>
        <w:t>also</w:t>
      </w:r>
      <w:r w:rsidR="003C48C2" w:rsidRPr="00091776">
        <w:rPr>
          <w:rFonts w:cs="Arial"/>
        </w:rPr>
        <w:t xml:space="preserve"> vary between hospital</w:t>
      </w:r>
      <w:r w:rsidR="005C0014">
        <w:rPr>
          <w:rFonts w:cs="Arial"/>
        </w:rPr>
        <w:t>s</w:t>
      </w:r>
      <w:r w:rsidR="003C48C2" w:rsidRPr="00091776">
        <w:rPr>
          <w:rFonts w:cs="Arial"/>
        </w:rPr>
        <w:fldChar w:fldCharType="begin" w:fldLock="1"/>
      </w:r>
      <w:r w:rsidR="00FC483E">
        <w:rPr>
          <w:rFonts w:cs="Arial"/>
        </w:rPr>
        <w:instrText>ADDIN CSL_CITATION {"citationItems":[{"id":"ITEM-1","itemData":{"ISSN":"1549-1676","author":[{"dropping-particle":"","family":"Papanikolaou","given":"Panagiotis N","non-dropping-particle":"","parse-names":false,"suffix":""},{"dropping-particle":"","family":"Christidi","given":"Georgia D","non-dropping-particle":"","parse-names":false,"suffix":""},{"dropping-particle":"","family":"Ioannidis","given":"John P A","non-dropping-particle":"","parse-names":false,"suffix":""}],"container-title":"PLoS medicine","id":"ITEM-1","issue":"9","issued":{"date-parts":[["2006"]]},"page":"e341","publisher":"Public Library of Science","title":"Patient outcomes with teaching versus nonteaching healthcare: a systematic review","type":"article-journal","volume":"3"},"uris":["http://www.mendeley.com/documents/?uuid=a6e011a5-78d9-459f-9dd6-28a8d25a4eab"]}],"mendeley":{"formattedCitation":"[12]","plainTextFormattedCitation":"[12]","previouslyFormattedCitation":"[13]"},"properties":{"noteIndex":0},"schema":"https://github.com/citation-style-language/schema/raw/master/csl-citation.json"}</w:instrText>
      </w:r>
      <w:r w:rsidR="003C48C2" w:rsidRPr="00091776">
        <w:rPr>
          <w:rFonts w:cs="Arial"/>
        </w:rPr>
        <w:fldChar w:fldCharType="separate"/>
      </w:r>
      <w:r w:rsidR="00FC483E" w:rsidRPr="00FC483E">
        <w:rPr>
          <w:rFonts w:cs="Arial"/>
          <w:noProof/>
        </w:rPr>
        <w:t>[12]</w:t>
      </w:r>
      <w:r w:rsidR="003C48C2" w:rsidRPr="00091776">
        <w:rPr>
          <w:rFonts w:cs="Arial"/>
        </w:rPr>
        <w:fldChar w:fldCharType="end"/>
      </w:r>
      <w:r w:rsidR="000F47D2" w:rsidRPr="00091776">
        <w:rPr>
          <w:rFonts w:cs="Arial"/>
        </w:rPr>
        <w:t>.</w:t>
      </w:r>
    </w:p>
    <w:p w14:paraId="6A29AB1A" w14:textId="0B1D6056" w:rsidR="00874CDF" w:rsidRPr="00091776" w:rsidRDefault="00D41797" w:rsidP="00493314">
      <w:pPr>
        <w:spacing w:line="240" w:lineRule="auto"/>
        <w:rPr>
          <w:rFonts w:cs="Arial"/>
        </w:rPr>
      </w:pPr>
      <w:r w:rsidRPr="00091776">
        <w:rPr>
          <w:rFonts w:cs="Arial"/>
        </w:rPr>
        <w:t>The</w:t>
      </w:r>
      <w:r w:rsidR="009D4BE7" w:rsidRPr="00091776">
        <w:rPr>
          <w:rFonts w:cs="Arial"/>
        </w:rPr>
        <w:t xml:space="preserve"> </w:t>
      </w:r>
      <w:r w:rsidR="00DC78E5" w:rsidRPr="00091776">
        <w:rPr>
          <w:rFonts w:cs="Arial"/>
        </w:rPr>
        <w:t>importance of applying theory</w:t>
      </w:r>
      <w:r w:rsidR="007E4A21" w:rsidRPr="00091776">
        <w:rPr>
          <w:rFonts w:cs="Arial"/>
        </w:rPr>
        <w:t xml:space="preserve"> to</w:t>
      </w:r>
      <w:r w:rsidR="00DC78E5" w:rsidRPr="00091776">
        <w:rPr>
          <w:rFonts w:cs="Arial"/>
        </w:rPr>
        <w:t xml:space="preserve"> </w:t>
      </w:r>
      <w:r w:rsidRPr="00091776">
        <w:rPr>
          <w:rFonts w:cs="Arial"/>
        </w:rPr>
        <w:t xml:space="preserve">understand the </w:t>
      </w:r>
      <w:r w:rsidR="00DC78E5" w:rsidRPr="00091776">
        <w:rPr>
          <w:rFonts w:cs="Arial"/>
        </w:rPr>
        <w:t>processes</w:t>
      </w:r>
      <w:r w:rsidRPr="00091776">
        <w:rPr>
          <w:rFonts w:cs="Arial"/>
        </w:rPr>
        <w:t xml:space="preserve"> of </w:t>
      </w:r>
      <w:r w:rsidR="00783AD0" w:rsidRPr="00091776">
        <w:rPr>
          <w:rFonts w:cs="Arial"/>
        </w:rPr>
        <w:t xml:space="preserve">behaviour </w:t>
      </w:r>
      <w:r w:rsidRPr="00091776">
        <w:rPr>
          <w:rFonts w:cs="Arial"/>
        </w:rPr>
        <w:t xml:space="preserve">change </w:t>
      </w:r>
      <w:r w:rsidR="0016463D" w:rsidRPr="00091776">
        <w:rPr>
          <w:rFonts w:cs="Arial"/>
        </w:rPr>
        <w:t xml:space="preserve">is </w:t>
      </w:r>
      <w:r w:rsidR="000D2A4C" w:rsidRPr="00091776">
        <w:rPr>
          <w:rFonts w:cs="Arial"/>
        </w:rPr>
        <w:t>widely</w:t>
      </w:r>
      <w:r w:rsidR="0016463D" w:rsidRPr="00091776">
        <w:rPr>
          <w:rFonts w:cs="Arial"/>
        </w:rPr>
        <w:t xml:space="preserve"> recognised</w:t>
      </w:r>
      <w:r w:rsidRPr="00091776">
        <w:rPr>
          <w:rFonts w:cs="Arial"/>
        </w:rPr>
        <w:fldChar w:fldCharType="begin" w:fldLock="1"/>
      </w:r>
      <w:r w:rsidR="00FC483E">
        <w:rPr>
          <w:rFonts w:cs="Arial"/>
        </w:rPr>
        <w:instrText>ADDIN CSL_CITATION {"citationItems":[{"id":"ITEM-1","itemData":{"DOI":"10.1136/bmj.a1655","ISBN":"1301201502","ISSN":"1756-1833","PMID":"25900104","abstract":"The implementation of a complex intervention is heavily influenced by individual context. Variation in implementation and tailoring of the intervention to the particular context will occur, even in a trial setting. It is recognised that in trials, evaluating the process of implementation of a complex intervention is important, yet process evaluation methods are rarely reported. The WAVES study is a cluster randomised controlled trial to evaluate the effectiveness of an obesity prevention intervention programme targeting children aged 6-7 years, delivered by teachers in primary schools across the West Midlands, UK. The intervention promoted activities encouraging physical activity and healthy eating. This paper presents the methods used to assess implementation of the intervention. Previous literature was used to identify the dimensions of intervention process and implementation to be assessed, including adherence, exposure, quality of delivery, participant responsiveness, context, and programme differentiation. Multiple methods and tools were developed to capture information on all these dimensions. These included observations, logbooks, qualitative evaluation, questionnaires and research team reflection. Data collection posed several challenges, predominantly when relying on teachers to complete paperwork, which they saw as burdensome on top of their teaching responsibilities. However, the use of multiple methods helped to ensure data on each dimension, where possible, was collected using more than one method. This also allowed for triangulation of the findings when several data sources on any one dimension were available. We have reported a comprehensive approach to the assessment of the implementation and processes of a complex childhood obesity prevention intervention within a cluster randomised controlled trial. These approaches can be transferred and adapted for use in other complex intervention trials. ISRCTN97000586","author":[{"dropping-particle":"","family":"Craig","given":"Peter","non-dropping-particle":"","parse-names":false,"suffix":""},{"dropping-particle":"","family":"Dieppe","given":"Paul","non-dropping-particle":"","parse-names":false,"suffix":""},{"dropping-particle":"","family":"Macintyre","given":"Sally","non-dropping-particle":"","parse-names":false,"suffix":""},{"dropping-particle":"","family":"Michie","given":"Susan","non-dropping-particle":"","parse-names":false,"suffix":""},{"dropping-particle":"","family":"Nazareth","given":"Irwin","non-dropping-particle":"","parse-names":false,"suffix":""},{"dropping-particle":"","family":"Petticrew","given":"Mark","non-dropping-particle":"","parse-names":false,"suffix":""}],"container-title":"BMJ : British Medical Journal","id":"ITEM-1","issued":{"date-parts":[["2008"]]},"publisher":"British Medical Journal Publishing Group","title":"Developing and evaluating complex interventions: the new Medical Research Council guidance","type":"article-journal","volume":"1655"},"uris":["http://www.mendeley.com/documents/?uuid=bf3944e4-edfc-41f2-b119-f2c0fe0d0747"]}],"mendeley":{"formattedCitation":"[13]","plainTextFormattedCitation":"[13]","previouslyFormattedCitation":"[14]"},"properties":{"noteIndex":0},"schema":"https://github.com/citation-style-language/schema/raw/master/csl-citation.json"}</w:instrText>
      </w:r>
      <w:r w:rsidRPr="00091776">
        <w:rPr>
          <w:rFonts w:cs="Arial"/>
        </w:rPr>
        <w:fldChar w:fldCharType="separate"/>
      </w:r>
      <w:r w:rsidR="00FC483E" w:rsidRPr="00FC483E">
        <w:rPr>
          <w:rFonts w:cs="Arial"/>
          <w:noProof/>
        </w:rPr>
        <w:t>[13]</w:t>
      </w:r>
      <w:r w:rsidRPr="00091776">
        <w:rPr>
          <w:rFonts w:cs="Arial"/>
        </w:rPr>
        <w:fldChar w:fldCharType="end"/>
      </w:r>
      <w:r w:rsidR="000F47D2" w:rsidRPr="00091776">
        <w:rPr>
          <w:rFonts w:cs="Arial"/>
        </w:rPr>
        <w:t>.</w:t>
      </w:r>
      <w:r w:rsidRPr="00091776">
        <w:rPr>
          <w:rFonts w:cs="Arial"/>
        </w:rPr>
        <w:t xml:space="preserve"> The Theoretical Domains Framework (TDF) is an integrative framework of behaviour change theories</w:t>
      </w:r>
      <w:r w:rsidR="00285A4F" w:rsidRPr="00091776">
        <w:rPr>
          <w:rFonts w:cs="Arial"/>
        </w:rPr>
        <w:t xml:space="preserve"> for developing </w:t>
      </w:r>
      <w:r w:rsidR="002706BB" w:rsidRPr="00091776">
        <w:rPr>
          <w:rFonts w:cs="Arial"/>
        </w:rPr>
        <w:t>interventions</w:t>
      </w:r>
      <w:r w:rsidR="00285A4F" w:rsidRPr="00091776">
        <w:rPr>
          <w:rFonts w:cs="Arial"/>
        </w:rPr>
        <w:fldChar w:fldCharType="begin" w:fldLock="1"/>
      </w:r>
      <w:r w:rsidR="00FC483E">
        <w:rPr>
          <w:rFonts w:cs="Arial"/>
        </w:rPr>
        <w:instrText>ADDIN CSL_CITATION {"citationItems":[{"id":"ITEM-1","itemData":{"DOI":"10.1186/1748-5908-7-37","ISBN":"10.1186/1748-5908-7-37","ISSN":"1748-5908","PMID":"22530986","abstract":"BACKGROUND: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Science","id":"ITEM-1","issue":"1","issued":{"date-parts":[["2012"]]},"page":"37","title":"Validation of the theoretical domains framework for use in behaviour change and implementation research","type":"article-journal","volume":"7"},"uris":["http://www.mendeley.com/documents/?uuid=d254d45b-5272-4d3e-9fbc-a938f339b3ef"]}],"mendeley":{"formattedCitation":"[14]","plainTextFormattedCitation":"[14]","previouslyFormattedCitation":"[15]"},"properties":{"noteIndex":0},"schema":"https://github.com/citation-style-language/schema/raw/master/csl-citation.json"}</w:instrText>
      </w:r>
      <w:r w:rsidR="00285A4F" w:rsidRPr="00091776">
        <w:rPr>
          <w:rFonts w:cs="Arial"/>
        </w:rPr>
        <w:fldChar w:fldCharType="separate"/>
      </w:r>
      <w:r w:rsidR="00FC483E" w:rsidRPr="00FC483E">
        <w:rPr>
          <w:rFonts w:cs="Arial"/>
          <w:noProof/>
        </w:rPr>
        <w:t>[14]</w:t>
      </w:r>
      <w:r w:rsidR="00285A4F" w:rsidRPr="00091776">
        <w:rPr>
          <w:rFonts w:cs="Arial"/>
        </w:rPr>
        <w:fldChar w:fldCharType="end"/>
      </w:r>
      <w:r w:rsidR="000F47D2" w:rsidRPr="00091776">
        <w:rPr>
          <w:rFonts w:cs="Arial"/>
        </w:rPr>
        <w:t>.</w:t>
      </w:r>
      <w:r w:rsidR="00285A4F" w:rsidRPr="00091776">
        <w:rPr>
          <w:rFonts w:cs="Arial"/>
        </w:rPr>
        <w:t xml:space="preserve"> </w:t>
      </w:r>
      <w:r w:rsidR="00004216" w:rsidRPr="00091776">
        <w:rPr>
          <w:rFonts w:cs="Arial"/>
        </w:rPr>
        <w:t xml:space="preserve">It comprises 14 </w:t>
      </w:r>
      <w:r w:rsidR="007F36FD" w:rsidRPr="00091776">
        <w:rPr>
          <w:rFonts w:cs="Arial"/>
        </w:rPr>
        <w:t>domains represent</w:t>
      </w:r>
      <w:r w:rsidR="00004216" w:rsidRPr="00091776">
        <w:rPr>
          <w:rFonts w:cs="Arial"/>
        </w:rPr>
        <w:t>ing</w:t>
      </w:r>
      <w:r w:rsidRPr="00091776">
        <w:rPr>
          <w:rFonts w:cs="Arial"/>
        </w:rPr>
        <w:t xml:space="preserve"> determinants of behaviour, for example the ‘Knowledge’ domain refers to “an awareness of the existence of something”</w:t>
      </w:r>
      <w:r w:rsidR="00BC7A4D" w:rsidRPr="00091776">
        <w:rPr>
          <w:rFonts w:cs="Arial"/>
        </w:rPr>
        <w:t xml:space="preserve"> and ‘Environmental context and resources’ refers to </w:t>
      </w:r>
      <w:r w:rsidR="00E83297" w:rsidRPr="00091776">
        <w:rPr>
          <w:rFonts w:cs="Arial"/>
        </w:rPr>
        <w:t>“</w:t>
      </w:r>
      <w:r w:rsidR="00BC7A4D" w:rsidRPr="00091776">
        <w:rPr>
          <w:rFonts w:cs="Arial"/>
        </w:rPr>
        <w:t>circumstance of a person's situation or environment that discourages or encourages the desired behaviour</w:t>
      </w:r>
      <w:r w:rsidR="00E83297" w:rsidRPr="00091776">
        <w:rPr>
          <w:rFonts w:cs="Arial"/>
        </w:rPr>
        <w:t>”</w:t>
      </w:r>
      <w:r w:rsidRPr="00091776">
        <w:rPr>
          <w:rFonts w:cs="Arial"/>
        </w:rPr>
        <w:fldChar w:fldCharType="begin" w:fldLock="1"/>
      </w:r>
      <w:r w:rsidR="00FC483E">
        <w:rPr>
          <w:rFonts w:cs="Arial"/>
        </w:rPr>
        <w:instrText>ADDIN CSL_CITATION {"citationItems":[{"id":"ITEM-1","itemData":{"DOI":"10.1186/1748-5908-7-37","ISBN":"10.1186/1748-5908-7-37","ISSN":"1748-5908","PMID":"22530986","abstract":"BACKGROUND: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Science","id":"ITEM-1","issue":"1","issued":{"date-parts":[["2012"]]},"page":"37","title":"Validation of the theoretical domains framework for use in behaviour change and implementation research","type":"article-journal","volume":"7"},"uris":["http://www.mendeley.com/documents/?uuid=d254d45b-5272-4d3e-9fbc-a938f339b3ef"]}],"mendeley":{"formattedCitation":"[14]","plainTextFormattedCitation":"[14]","previouslyFormattedCitation":"[15]"},"properties":{"noteIndex":0},"schema":"https://github.com/citation-style-language/schema/raw/master/csl-citation.json"}</w:instrText>
      </w:r>
      <w:r w:rsidRPr="00091776">
        <w:rPr>
          <w:rFonts w:cs="Arial"/>
        </w:rPr>
        <w:fldChar w:fldCharType="separate"/>
      </w:r>
      <w:r w:rsidR="00FC483E" w:rsidRPr="00FC483E">
        <w:rPr>
          <w:rFonts w:cs="Arial"/>
          <w:noProof/>
        </w:rPr>
        <w:t>[14]</w:t>
      </w:r>
      <w:r w:rsidRPr="00091776">
        <w:rPr>
          <w:rFonts w:cs="Arial"/>
        </w:rPr>
        <w:fldChar w:fldCharType="end"/>
      </w:r>
      <w:r w:rsidR="00093082" w:rsidRPr="00091776">
        <w:rPr>
          <w:rFonts w:cs="Arial"/>
        </w:rPr>
        <w:t>.</w:t>
      </w:r>
      <w:r w:rsidRPr="00091776">
        <w:rPr>
          <w:rFonts w:cs="Arial"/>
        </w:rPr>
        <w:t xml:space="preserve"> Identif</w:t>
      </w:r>
      <w:r w:rsidR="00004216" w:rsidRPr="00091776">
        <w:rPr>
          <w:rFonts w:cs="Arial"/>
        </w:rPr>
        <w:t>ying the</w:t>
      </w:r>
      <w:r w:rsidRPr="00091776">
        <w:rPr>
          <w:rFonts w:cs="Arial"/>
        </w:rPr>
        <w:t xml:space="preserve"> </w:t>
      </w:r>
      <w:r w:rsidR="00C07280" w:rsidRPr="00091776">
        <w:rPr>
          <w:rFonts w:cs="Arial"/>
        </w:rPr>
        <w:t xml:space="preserve">important </w:t>
      </w:r>
      <w:r w:rsidRPr="00091776">
        <w:rPr>
          <w:rFonts w:cs="Arial"/>
        </w:rPr>
        <w:t xml:space="preserve">domains </w:t>
      </w:r>
      <w:r w:rsidR="00C07280" w:rsidRPr="00091776">
        <w:rPr>
          <w:rFonts w:cs="Arial"/>
        </w:rPr>
        <w:t>for</w:t>
      </w:r>
      <w:r w:rsidRPr="00091776">
        <w:rPr>
          <w:rFonts w:cs="Arial"/>
        </w:rPr>
        <w:t xml:space="preserve"> the target behaviour provides the theoretical unde</w:t>
      </w:r>
      <w:r w:rsidR="002706BB" w:rsidRPr="00091776">
        <w:rPr>
          <w:rFonts w:cs="Arial"/>
        </w:rPr>
        <w:t>rstanding required to develop an intervention</w:t>
      </w:r>
      <w:r w:rsidR="007F36FD" w:rsidRPr="00091776">
        <w:rPr>
          <w:rFonts w:cs="Arial"/>
        </w:rPr>
        <w:fldChar w:fldCharType="begin" w:fldLock="1"/>
      </w:r>
      <w:r w:rsidR="00FC483E">
        <w:rPr>
          <w:rFonts w:cs="Arial"/>
        </w:rPr>
        <w:instrText>ADDIN CSL_CITATION {"citationItems":[{"id":"ITEM-1","itemData":{"DOI":"10.1186/1748-5908-7-37","ISBN":"10.1186/1748-5908-7-37","ISSN":"1748-5908","PMID":"22530986","abstract":"BACKGROUND: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Science","id":"ITEM-1","issue":"1","issued":{"date-parts":[["2012"]]},"page":"37","title":"Validation of the theoretical domains framework for use in behaviour change and implementation research","type":"article-journal","volume":"7"},"uris":["http://www.mendeley.com/documents/?uuid=d254d45b-5272-4d3e-9fbc-a938f339b3ef"]}],"mendeley":{"formattedCitation":"[14]","plainTextFormattedCitation":"[14]","previouslyFormattedCitation":"[15]"},"properties":{"noteIndex":0},"schema":"https://github.com/citation-style-language/schema/raw/master/csl-citation.json"}</w:instrText>
      </w:r>
      <w:r w:rsidR="007F36FD" w:rsidRPr="00091776">
        <w:rPr>
          <w:rFonts w:cs="Arial"/>
        </w:rPr>
        <w:fldChar w:fldCharType="separate"/>
      </w:r>
      <w:r w:rsidR="00FC483E" w:rsidRPr="00FC483E">
        <w:rPr>
          <w:rFonts w:cs="Arial"/>
          <w:noProof/>
        </w:rPr>
        <w:t>[14]</w:t>
      </w:r>
      <w:r w:rsidR="007F36FD" w:rsidRPr="00091776">
        <w:rPr>
          <w:rFonts w:cs="Arial"/>
        </w:rPr>
        <w:fldChar w:fldCharType="end"/>
      </w:r>
      <w:r w:rsidR="00093082" w:rsidRPr="00091776">
        <w:rPr>
          <w:rFonts w:cs="Arial"/>
        </w:rPr>
        <w:t>.</w:t>
      </w:r>
      <w:r w:rsidR="007F36FD" w:rsidRPr="00091776">
        <w:rPr>
          <w:rFonts w:cs="Arial"/>
        </w:rPr>
        <w:t xml:space="preserve"> </w:t>
      </w:r>
      <w:r w:rsidR="005C0014">
        <w:rPr>
          <w:rFonts w:cs="Arial"/>
        </w:rPr>
        <w:t>The</w:t>
      </w:r>
      <w:r w:rsidR="00446D05" w:rsidRPr="00091776">
        <w:rPr>
          <w:rFonts w:cs="Arial"/>
        </w:rPr>
        <w:t xml:space="preserve"> 14 TDF domains</w:t>
      </w:r>
      <w:r w:rsidR="007F36FD" w:rsidRPr="00091776">
        <w:rPr>
          <w:rFonts w:cs="Arial"/>
        </w:rPr>
        <w:t xml:space="preserve"> </w:t>
      </w:r>
      <w:r w:rsidR="00446D05" w:rsidRPr="00091776">
        <w:rPr>
          <w:rFonts w:cs="Arial"/>
        </w:rPr>
        <w:t>are</w:t>
      </w:r>
      <w:r w:rsidR="007F36FD" w:rsidRPr="00091776">
        <w:rPr>
          <w:rFonts w:cs="Arial"/>
        </w:rPr>
        <w:t xml:space="preserve"> linked to a taxonomy of Behaviour Change Techniques (BCTs)</w:t>
      </w:r>
      <w:r w:rsidR="00304E3E" w:rsidRPr="00091776">
        <w:rPr>
          <w:rFonts w:cs="Arial"/>
        </w:rPr>
        <w:fldChar w:fldCharType="begin" w:fldLock="1"/>
      </w:r>
      <w:r w:rsidR="00FC483E">
        <w:rPr>
          <w:rFonts w:cs="Arial"/>
        </w:rPr>
        <w:instrText>ADDIN CSL_CITATION {"citationItems":[{"id":"ITEM-1","itemData":{"DOI":"10.1111/bjhp.12102","ISBN":"2044-8287 (Electronic) 1359-107X (Linking)","ISSN":"20448287","PMID":"24815766","abstract":"Objectives. Behaviour change technique (BCT) Taxonomy v1 is a hierarchically grouped, consensus-based taxonomy of 93 BCTs for reporting intervention content. To enhance the use and understanding of BCTs, the aims of the present study were to (1) quantitatively examine the 'bottom-up' hierarchical structure of Taxonomy v1, (2) identify whether BCTs can be reliably mapped to theoretical domains using a 'top-down' theoretically driven approach, and (3) identify any overlap between the 'bottom-up' and 'top-down' groupings. Methods and design. The 'bottom-up' structure was examined for higher-order groupings using a dendrogram derived from hierarchical cluster analysis. For the theory-based 'top-down' structure, 18 experts sorted BCTs into 14 theoretical domains. Discriminant Content Validity was used to identify groupings, and chi-square tests and Pearson's residuals were used to examine the overlap between groupings. Results. Behaviour change techniques relating to 'Reward and Punishment' and 'Cues and Cue Responses' were perceived as markedly different to other BCTs. Fifty-nine of the BCTs were reliably allocated to 12 of the 14 theoretical domains; 47 were significant and 12 were of borderline significance. Thirty-four of 208 'bottom-up' 9 'top-down' pairings showed greater overlap than expected by chance. However, only six combinations achieved satisfactory evidence of similarity.","author":[{"dropping-particle":"","family":"Cane","given":"James","non-dropping-particle":"","parse-names":false,"suffix":""},{"dropping-particle":"","family":"Richardson","given":"Michelle","non-dropping-particle":"","parse-names":false,"suffix":""},{"dropping-particle":"","family":"Johnston","given":"Marie","non-dropping-particle":"","parse-names":false,"suffix":""},{"dropping-particle":"","family":"Ladha","given":"Ruhina","non-dropping-particle":"","parse-names":false,"suffix":""},{"dropping-particle":"","family":"Michie","given":"Susan","non-dropping-particle":"","parse-names":false,"suffix":""}],"container-title":"British Journal of Health Psychology","id":"ITEM-1","issue":"1","issued":{"date-parts":[["2015"]]},"page":"130-150","title":"From lists of behaviour change techniques (BCTs) to structured hierarchies: Comparison of two methods of developing a hierarchy of BCTs","type":"article-journal","volume":"20"},"uris":["http://www.mendeley.com/documents/?uuid=358ce78d-bfb3-4f8d-9277-d9b0f84b9b67"]}],"mendeley":{"formattedCitation":"[15]","plainTextFormattedCitation":"[15]","previouslyFormattedCitation":"[16]"},"properties":{"noteIndex":0},"schema":"https://github.com/citation-style-language/schema/raw/master/csl-citation.json"}</w:instrText>
      </w:r>
      <w:r w:rsidR="00304E3E" w:rsidRPr="00091776">
        <w:rPr>
          <w:rFonts w:cs="Arial"/>
        </w:rPr>
        <w:fldChar w:fldCharType="separate"/>
      </w:r>
      <w:r w:rsidR="00FC483E" w:rsidRPr="00FC483E">
        <w:rPr>
          <w:rFonts w:cs="Arial"/>
          <w:noProof/>
        </w:rPr>
        <w:t>[15]</w:t>
      </w:r>
      <w:r w:rsidR="00304E3E" w:rsidRPr="00091776">
        <w:rPr>
          <w:rFonts w:cs="Arial"/>
        </w:rPr>
        <w:fldChar w:fldCharType="end"/>
      </w:r>
      <w:r w:rsidR="00093082" w:rsidRPr="00091776">
        <w:rPr>
          <w:rFonts w:cs="Arial"/>
        </w:rPr>
        <w:t>,</w:t>
      </w:r>
      <w:r w:rsidR="007F36FD" w:rsidRPr="00091776">
        <w:rPr>
          <w:rFonts w:cs="Arial"/>
        </w:rPr>
        <w:t xml:space="preserve"> which are the </w:t>
      </w:r>
      <w:r w:rsidR="002706BB" w:rsidRPr="00091776">
        <w:rPr>
          <w:rFonts w:cs="Arial"/>
        </w:rPr>
        <w:t xml:space="preserve">‘building blocks’ </w:t>
      </w:r>
      <w:r w:rsidR="005C0014">
        <w:rPr>
          <w:rFonts w:cs="Arial"/>
        </w:rPr>
        <w:t>of behaviour change interventions</w:t>
      </w:r>
      <w:r w:rsidR="007F36FD" w:rsidRPr="00091776">
        <w:rPr>
          <w:rFonts w:cs="Arial"/>
        </w:rPr>
        <w:t>.</w:t>
      </w:r>
      <w:r w:rsidR="006145F0" w:rsidRPr="00091776">
        <w:rPr>
          <w:rFonts w:cs="Arial"/>
        </w:rPr>
        <w:t xml:space="preserve"> The TDF has been </w:t>
      </w:r>
      <w:r w:rsidR="006A7398" w:rsidRPr="00091776">
        <w:rPr>
          <w:rFonts w:cs="Arial"/>
        </w:rPr>
        <w:t xml:space="preserve">applied extensively </w:t>
      </w:r>
      <w:r w:rsidR="006145F0" w:rsidRPr="00091776">
        <w:rPr>
          <w:rFonts w:cs="Arial"/>
        </w:rPr>
        <w:t xml:space="preserve">to </w:t>
      </w:r>
      <w:r w:rsidR="00F81679" w:rsidRPr="00091776">
        <w:rPr>
          <w:rFonts w:cs="Arial"/>
        </w:rPr>
        <w:t>develop interventions</w:t>
      </w:r>
      <w:r w:rsidR="007F098F" w:rsidRPr="00091776">
        <w:rPr>
          <w:rFonts w:cs="Arial"/>
        </w:rPr>
        <w:t xml:space="preserve"> </w:t>
      </w:r>
      <w:r w:rsidR="00296A03" w:rsidRPr="00091776">
        <w:rPr>
          <w:rFonts w:cs="Arial"/>
        </w:rPr>
        <w:t>targeting</w:t>
      </w:r>
      <w:r w:rsidR="006A7398" w:rsidRPr="00091776">
        <w:rPr>
          <w:rFonts w:cs="Arial"/>
        </w:rPr>
        <w:t xml:space="preserve"> practitioners’</w:t>
      </w:r>
      <w:r w:rsidR="0076511E" w:rsidRPr="00091776">
        <w:rPr>
          <w:rFonts w:cs="Arial"/>
        </w:rPr>
        <w:t xml:space="preserve"> behaviours including </w:t>
      </w:r>
      <w:r w:rsidR="00A17EC5" w:rsidRPr="00091776">
        <w:rPr>
          <w:rFonts w:cs="Arial"/>
        </w:rPr>
        <w:t>promoting uptake of a screening tool in geriatric oncology</w:t>
      </w:r>
      <w:r w:rsidR="00161A6F" w:rsidRPr="00091776">
        <w:rPr>
          <w:rFonts w:cs="Arial"/>
        </w:rPr>
        <w:fldChar w:fldCharType="begin" w:fldLock="1"/>
      </w:r>
      <w:r w:rsidR="00FC483E">
        <w:rPr>
          <w:rFonts w:cs="Arial"/>
        </w:rPr>
        <w:instrText>ADDIN CSL_CITATION {"citationItems":[{"id":"ITEM-1","itemData":{"DOI":"10.1111/jgs.15920","ISSN":"0002-8614","abstract":"OBJECTIVES Evidence supports the integration of geriatric assessment in the care of older adults with cancer. The G8 screening tool is a validated instrument to target a geriatric assessment. Use of the G8 tool in clinical practice, however, is suboptimal. We systematically analyzed the barriers and facilitators to G8 tool use in oncology clinics and selected interventions tailored to the local context to enhance its uptake. DESIGN This qualitative study used semistructured interviews and site observations. SETTING St. Michael's Hospital, Toronto, Canada. PARTICIPANTS Ten participants including G8 tool adopters and stakeholders at St. Michael's Hospital were interviewed. MEASUREMENTS An interview guide based on the Theoretical Domains Framework (TDF) was developed to identify beliefs about G8 tool use. Barriers and facilitators to G8 tool use were mapped to the TDF domains and corresponding intervention functions from the Capability, Opportunity, Motivation, and Behavior model. Evidence-based implementation strategies were selected from two databases. RESULTS Key TDF domains influencing G8 tool use behavior were social/professional role, goals, beliefs about consequences, and social influences. The behavior change domains were mapped to four mechanisms of change: persuasion (conduct local consensus discussions), modeling (identify and prepare a champion), education (distribute educational materials), and enablement (use materials to prepare patients to be active participants in understanding the evidence behind the G8 tool and answering questions accurately). CONCLUSION This study identified barriers to G8 tool use. Local consensus discussions, identifying and preparing a champion, using educational materials, and preparing patients to be active participants may be implementation strategies to improve G8 tool use.","author":[{"dropping-particle":"","family":"Gulasingam","given":"Pauline","non-dropping-particle":"","parse-names":false,"suffix":""},{"dropping-particle":"","family":"Haq","given":"Rashida","non-dropping-particle":"","parse-names":false,"suffix":""},{"dropping-particle":"","family":"Mascarenhas Johnson","given":"Alekhya","non-dropping-particle":"","parse-names":false,"suffix":""},{"dropping-particle":"","family":"Togo","given":"Elikem","non-dropping-particle":"","parse-names":false,"suffix":""},{"dropping-particle":"","family":"Moore","given":"Julia","non-dropping-particle":"","parse-names":false,"suffix":""},{"dropping-particle":"","family":"Straus","given":"Sharon E","non-dropping-particle":"","parse-names":false,"suffix":""},{"dropping-particle":"","family":"Wong","given":"Camilla L","non-dropping-particle":"","parse-names":false,"suffix":""}],"container-title":"Journal of the American Geriatrics Society","id":"ITEM-1","issue":"0","issued":{"date-parts":[["2019","4","7"]]},"note":"doi: 10.1111/jgs.15920","publisher":"John Wiley &amp; Sons, Ltd (10.1111)","title":"Using Implementation Science to Promote the Use of the G8 Screening Tool in Geriatric Oncology","type":"article-journal","volume":"0"},"uris":["http://www.mendeley.com/documents/?uuid=889d275b-2026-4f16-9afa-6b8e073235c4"]}],"mendeley":{"formattedCitation":"[16]","plainTextFormattedCitation":"[16]","previouslyFormattedCitation":"[17]"},"properties":{"noteIndex":0},"schema":"https://github.com/citation-style-language/schema/raw/master/csl-citation.json"}</w:instrText>
      </w:r>
      <w:r w:rsidR="00161A6F" w:rsidRPr="00091776">
        <w:rPr>
          <w:rFonts w:cs="Arial"/>
        </w:rPr>
        <w:fldChar w:fldCharType="separate"/>
      </w:r>
      <w:r w:rsidR="00FC483E" w:rsidRPr="00FC483E">
        <w:rPr>
          <w:rFonts w:cs="Arial"/>
          <w:noProof/>
        </w:rPr>
        <w:t>[16]</w:t>
      </w:r>
      <w:r w:rsidR="00161A6F" w:rsidRPr="00091776">
        <w:rPr>
          <w:rFonts w:cs="Arial"/>
        </w:rPr>
        <w:fldChar w:fldCharType="end"/>
      </w:r>
      <w:r w:rsidR="00093082" w:rsidRPr="00091776">
        <w:rPr>
          <w:rFonts w:cs="Arial"/>
        </w:rPr>
        <w:t>.</w:t>
      </w:r>
    </w:p>
    <w:p w14:paraId="5B95F549" w14:textId="69C583D4" w:rsidR="00DF712F" w:rsidRPr="00091776" w:rsidRDefault="00F2044A" w:rsidP="00493314">
      <w:pPr>
        <w:spacing w:line="240" w:lineRule="auto"/>
        <w:rPr>
          <w:rFonts w:cs="Arial"/>
        </w:rPr>
      </w:pPr>
      <w:r w:rsidRPr="00091776">
        <w:rPr>
          <w:rFonts w:cs="Arial"/>
        </w:rPr>
        <w:t>In t</w:t>
      </w:r>
      <w:r w:rsidR="00D41797" w:rsidRPr="00091776">
        <w:rPr>
          <w:rFonts w:cs="Arial"/>
        </w:rPr>
        <w:t>he present qualitative study</w:t>
      </w:r>
      <w:r w:rsidRPr="00091776">
        <w:rPr>
          <w:rFonts w:cs="Arial"/>
        </w:rPr>
        <w:t>, we</w:t>
      </w:r>
      <w:r w:rsidR="00D41797" w:rsidRPr="00091776">
        <w:rPr>
          <w:rFonts w:cs="Arial"/>
        </w:rPr>
        <w:t xml:space="preserve"> </w:t>
      </w:r>
      <w:r w:rsidR="003E102A" w:rsidRPr="00091776">
        <w:rPr>
          <w:rFonts w:cs="Arial"/>
        </w:rPr>
        <w:t>used</w:t>
      </w:r>
      <w:r w:rsidR="00D41797" w:rsidRPr="00091776">
        <w:rPr>
          <w:rFonts w:cs="Arial"/>
        </w:rPr>
        <w:t xml:space="preserve"> the TDF to understand geriatricians’ and pharmacists’ </w:t>
      </w:r>
      <w:r w:rsidR="00004216" w:rsidRPr="00091776">
        <w:rPr>
          <w:rFonts w:cs="Arial"/>
        </w:rPr>
        <w:t>barriers and enablers to</w:t>
      </w:r>
      <w:r w:rsidR="00D41797" w:rsidRPr="00091776">
        <w:rPr>
          <w:rFonts w:cs="Arial"/>
        </w:rPr>
        <w:t xml:space="preserve"> deprescribing in hospital</w:t>
      </w:r>
      <w:r w:rsidR="002E25AD" w:rsidRPr="00091776">
        <w:rPr>
          <w:rFonts w:cs="Arial"/>
        </w:rPr>
        <w:t xml:space="preserve">. We explored </w:t>
      </w:r>
      <w:r w:rsidR="00567876" w:rsidRPr="00091776">
        <w:rPr>
          <w:rFonts w:cs="Arial"/>
        </w:rPr>
        <w:t xml:space="preserve">whether </w:t>
      </w:r>
      <w:r w:rsidR="002E25AD" w:rsidRPr="00091776">
        <w:rPr>
          <w:rFonts w:cs="Arial"/>
        </w:rPr>
        <w:t xml:space="preserve">these </w:t>
      </w:r>
      <w:r w:rsidR="00567876" w:rsidRPr="00091776">
        <w:rPr>
          <w:rFonts w:cs="Arial"/>
        </w:rPr>
        <w:t xml:space="preserve">barriers and enablers </w:t>
      </w:r>
      <w:r w:rsidR="002E25AD" w:rsidRPr="00091776">
        <w:rPr>
          <w:rFonts w:cs="Arial"/>
        </w:rPr>
        <w:t>differ</w:t>
      </w:r>
      <w:r w:rsidR="00567876" w:rsidRPr="00091776">
        <w:rPr>
          <w:rFonts w:cs="Arial"/>
        </w:rPr>
        <w:t>ed</w:t>
      </w:r>
      <w:r w:rsidR="002E25AD" w:rsidRPr="00091776">
        <w:rPr>
          <w:rFonts w:cs="Arial"/>
        </w:rPr>
        <w:t xml:space="preserve"> between hospital contexts</w:t>
      </w:r>
      <w:r w:rsidR="005D074A" w:rsidRPr="00091776">
        <w:rPr>
          <w:rFonts w:cs="Arial"/>
        </w:rPr>
        <w:t xml:space="preserve">. </w:t>
      </w:r>
      <w:r w:rsidR="00DF712F" w:rsidRPr="00091776">
        <w:rPr>
          <w:rFonts w:cs="Arial"/>
        </w:rPr>
        <w:t xml:space="preserve">Additionally, for the </w:t>
      </w:r>
      <w:r w:rsidR="00567876" w:rsidRPr="00091776">
        <w:rPr>
          <w:rFonts w:cs="Arial"/>
        </w:rPr>
        <w:t>TDF domains</w:t>
      </w:r>
      <w:r w:rsidR="007B0D03" w:rsidRPr="00091776">
        <w:rPr>
          <w:rFonts w:cs="Arial"/>
        </w:rPr>
        <w:t xml:space="preserve"> </w:t>
      </w:r>
      <w:r w:rsidR="00567876" w:rsidRPr="00091776">
        <w:rPr>
          <w:rFonts w:cs="Arial"/>
        </w:rPr>
        <w:t>identified as important for deprescribing,</w:t>
      </w:r>
      <w:r w:rsidR="00DF712F" w:rsidRPr="00091776">
        <w:rPr>
          <w:rFonts w:cs="Arial"/>
        </w:rPr>
        <w:t xml:space="preserve"> </w:t>
      </w:r>
      <w:r w:rsidRPr="00091776">
        <w:rPr>
          <w:rFonts w:cs="Arial"/>
        </w:rPr>
        <w:t xml:space="preserve">we identified </w:t>
      </w:r>
      <w:r w:rsidR="00985469" w:rsidRPr="00091776">
        <w:rPr>
          <w:rFonts w:cs="Arial"/>
        </w:rPr>
        <w:t xml:space="preserve">relevant </w:t>
      </w:r>
      <w:r w:rsidR="00DF712F" w:rsidRPr="00091776">
        <w:rPr>
          <w:rFonts w:cs="Arial"/>
        </w:rPr>
        <w:t>BCTs</w:t>
      </w:r>
      <w:r w:rsidR="0073196F" w:rsidRPr="00091776">
        <w:rPr>
          <w:rFonts w:cs="Arial"/>
        </w:rPr>
        <w:t xml:space="preserve"> </w:t>
      </w:r>
      <w:r w:rsidR="00DF712F" w:rsidRPr="00091776">
        <w:rPr>
          <w:rFonts w:cs="Arial"/>
        </w:rPr>
        <w:t xml:space="preserve">for </w:t>
      </w:r>
      <w:r w:rsidR="00985469" w:rsidRPr="00091776">
        <w:rPr>
          <w:rFonts w:cs="Arial"/>
        </w:rPr>
        <w:t>selection</w:t>
      </w:r>
      <w:r w:rsidR="00E138F7">
        <w:rPr>
          <w:rFonts w:cs="Arial"/>
        </w:rPr>
        <w:t xml:space="preserve"> from</w:t>
      </w:r>
      <w:r w:rsidR="00985469" w:rsidRPr="00091776">
        <w:rPr>
          <w:rFonts w:cs="Arial"/>
        </w:rPr>
        <w:t xml:space="preserve"> to </w:t>
      </w:r>
      <w:r w:rsidR="00E138F7">
        <w:rPr>
          <w:rFonts w:cs="Arial"/>
        </w:rPr>
        <w:t>develop</w:t>
      </w:r>
      <w:r w:rsidR="00E138F7" w:rsidRPr="00091776">
        <w:rPr>
          <w:rFonts w:cs="Arial"/>
        </w:rPr>
        <w:t xml:space="preserve"> </w:t>
      </w:r>
      <w:r w:rsidR="00DF712F" w:rsidRPr="00091776">
        <w:rPr>
          <w:rFonts w:cs="Arial"/>
        </w:rPr>
        <w:t>a</w:t>
      </w:r>
      <w:r w:rsidR="00985469" w:rsidRPr="00091776">
        <w:rPr>
          <w:rFonts w:cs="Arial"/>
        </w:rPr>
        <w:t xml:space="preserve"> theory and evidence-based</w:t>
      </w:r>
      <w:r w:rsidR="00DF712F" w:rsidRPr="00091776">
        <w:rPr>
          <w:rFonts w:cs="Arial"/>
        </w:rPr>
        <w:t xml:space="preserve"> hospital deprescribing intervention for older people.</w:t>
      </w:r>
    </w:p>
    <w:p w14:paraId="140E84BD" w14:textId="77777777" w:rsidR="00DF79CB" w:rsidRPr="00091776" w:rsidRDefault="00DF79CB" w:rsidP="00493314">
      <w:pPr>
        <w:spacing w:line="240" w:lineRule="auto"/>
        <w:rPr>
          <w:rFonts w:cs="Arial"/>
        </w:rPr>
      </w:pPr>
    </w:p>
    <w:p w14:paraId="6783F59F" w14:textId="39534130" w:rsidR="007E4A21" w:rsidRPr="00B74729" w:rsidRDefault="00B74729" w:rsidP="00493314">
      <w:pPr>
        <w:spacing w:line="240" w:lineRule="auto"/>
        <w:rPr>
          <w:rFonts w:cs="Arial"/>
          <w:b/>
          <w:sz w:val="24"/>
        </w:rPr>
      </w:pPr>
      <w:r w:rsidRPr="00B74729">
        <w:rPr>
          <w:rFonts w:cs="Arial"/>
          <w:b/>
          <w:sz w:val="24"/>
        </w:rPr>
        <w:t>Methods</w:t>
      </w:r>
    </w:p>
    <w:p w14:paraId="312DF699" w14:textId="313404D4" w:rsidR="004871CA" w:rsidRPr="00091776" w:rsidRDefault="004871CA" w:rsidP="00493314">
      <w:pPr>
        <w:spacing w:line="240" w:lineRule="auto"/>
        <w:rPr>
          <w:rFonts w:cs="Arial"/>
        </w:rPr>
      </w:pPr>
      <w:r w:rsidRPr="00091776">
        <w:rPr>
          <w:rFonts w:cs="Arial"/>
          <w:b/>
        </w:rPr>
        <w:t>Ethical approval</w:t>
      </w:r>
    </w:p>
    <w:p w14:paraId="09676A0A" w14:textId="10C28E0A" w:rsidR="00880C77" w:rsidRPr="00091776" w:rsidRDefault="00A86A48" w:rsidP="00493314">
      <w:pPr>
        <w:spacing w:line="240" w:lineRule="auto"/>
        <w:rPr>
          <w:rFonts w:cs="Arial"/>
          <w:lang w:val="en-US"/>
        </w:rPr>
      </w:pPr>
      <w:r w:rsidRPr="00091776">
        <w:rPr>
          <w:rFonts w:cs="Arial"/>
        </w:rPr>
        <w:t>Ethical and governance approval</w:t>
      </w:r>
      <w:r w:rsidR="00927B99" w:rsidRPr="00091776">
        <w:rPr>
          <w:rFonts w:cs="Arial"/>
        </w:rPr>
        <w:t>s</w:t>
      </w:r>
      <w:r w:rsidRPr="00091776">
        <w:rPr>
          <w:rFonts w:cs="Arial"/>
        </w:rPr>
        <w:t xml:space="preserve"> were </w:t>
      </w:r>
      <w:r w:rsidR="001B0DD1" w:rsidRPr="00091776">
        <w:rPr>
          <w:rFonts w:cs="Arial"/>
        </w:rPr>
        <w:t xml:space="preserve">obtained </w:t>
      </w:r>
      <w:r w:rsidR="001C589B" w:rsidRPr="00091776">
        <w:rPr>
          <w:rFonts w:cs="Arial"/>
        </w:rPr>
        <w:t xml:space="preserve">from </w:t>
      </w:r>
      <w:r w:rsidR="006B4535" w:rsidRPr="00091776">
        <w:rPr>
          <w:rFonts w:cs="Arial"/>
        </w:rPr>
        <w:t>the Faculty of Medicine and Health Sciences</w:t>
      </w:r>
      <w:r w:rsidR="00C769AB" w:rsidRPr="00091776">
        <w:rPr>
          <w:rFonts w:cs="Arial"/>
        </w:rPr>
        <w:t xml:space="preserve"> Research Ethics Committee, University of East Anglia (Reference: 2017/2018 – 59) and the United Kingdom Health Research Authority </w:t>
      </w:r>
      <w:r w:rsidR="00880C77" w:rsidRPr="00091776">
        <w:rPr>
          <w:rFonts w:cs="Arial"/>
        </w:rPr>
        <w:t>(IRAS project ID: 231262)</w:t>
      </w:r>
      <w:r w:rsidR="00D577A6" w:rsidRPr="00091776">
        <w:rPr>
          <w:rFonts w:cs="Arial"/>
        </w:rPr>
        <w:t xml:space="preserve"> respectively.</w:t>
      </w:r>
    </w:p>
    <w:p w14:paraId="5BD917B9" w14:textId="77777777" w:rsidR="004871CA" w:rsidRPr="00091776" w:rsidRDefault="004871CA" w:rsidP="00493314">
      <w:pPr>
        <w:spacing w:line="240" w:lineRule="auto"/>
        <w:rPr>
          <w:rFonts w:cs="Arial"/>
          <w:b/>
        </w:rPr>
      </w:pPr>
    </w:p>
    <w:p w14:paraId="4C72C946" w14:textId="77777777" w:rsidR="001A4E10" w:rsidRPr="00091776" w:rsidRDefault="00B37D57" w:rsidP="00493314">
      <w:pPr>
        <w:spacing w:line="240" w:lineRule="auto"/>
        <w:rPr>
          <w:rFonts w:cs="Arial"/>
          <w:b/>
        </w:rPr>
      </w:pPr>
      <w:r w:rsidRPr="00091776">
        <w:rPr>
          <w:rFonts w:cs="Arial"/>
          <w:b/>
        </w:rPr>
        <w:t>D</w:t>
      </w:r>
      <w:r w:rsidR="00D51FAA" w:rsidRPr="00091776">
        <w:rPr>
          <w:rFonts w:cs="Arial"/>
          <w:b/>
        </w:rPr>
        <w:t>esign</w:t>
      </w:r>
    </w:p>
    <w:p w14:paraId="6AA06D93" w14:textId="63202B35" w:rsidR="003C48C2" w:rsidRPr="00091776" w:rsidRDefault="00F53DDD" w:rsidP="00493314">
      <w:pPr>
        <w:spacing w:line="240" w:lineRule="auto"/>
        <w:rPr>
          <w:rFonts w:cs="Arial"/>
        </w:rPr>
      </w:pPr>
      <w:r>
        <w:rPr>
          <w:rFonts w:cs="Arial"/>
        </w:rPr>
        <w:lastRenderedPageBreak/>
        <w:t xml:space="preserve">We adopted an exploratory qualitative approach to understand the barriers and enablers to deprescribing experienced and perceived by </w:t>
      </w:r>
      <w:r w:rsidR="00C64B52">
        <w:rPr>
          <w:rFonts w:cs="Arial"/>
        </w:rPr>
        <w:t>geriatricians and pharmacists</w:t>
      </w:r>
      <w:r w:rsidR="00BA56DB">
        <w:rPr>
          <w:rFonts w:cs="Arial"/>
        </w:rPr>
        <w:t>. W</w:t>
      </w:r>
      <w:r w:rsidR="003C48C2" w:rsidRPr="00091776">
        <w:rPr>
          <w:rFonts w:cs="Arial"/>
        </w:rPr>
        <w:t>e selected a focus group study design</w:t>
      </w:r>
      <w:r w:rsidR="00AF7847">
        <w:rPr>
          <w:rFonts w:cs="Arial"/>
        </w:rPr>
        <w:t xml:space="preserve"> and </w:t>
      </w:r>
      <w:r w:rsidR="006471E1">
        <w:rPr>
          <w:rFonts w:cs="Arial"/>
        </w:rPr>
        <w:t xml:space="preserve">employed </w:t>
      </w:r>
      <w:r w:rsidR="000B5CD2">
        <w:rPr>
          <w:rFonts w:cs="Arial"/>
        </w:rPr>
        <w:t>thematic analysis</w:t>
      </w:r>
      <w:r w:rsidR="006471E1">
        <w:rPr>
          <w:rFonts w:cs="Arial"/>
        </w:rPr>
        <w:t xml:space="preserve"> </w:t>
      </w:r>
      <w:r w:rsidR="00FE1CB4">
        <w:rPr>
          <w:rFonts w:cs="Arial"/>
        </w:rPr>
        <w:t>to explore</w:t>
      </w:r>
      <w:r w:rsidR="000B5CD2">
        <w:rPr>
          <w:rFonts w:cs="Arial"/>
        </w:rPr>
        <w:t xml:space="preserve"> barriers and enablers </w:t>
      </w:r>
      <w:r w:rsidR="00C64B52">
        <w:rPr>
          <w:rFonts w:cs="Arial"/>
        </w:rPr>
        <w:t>inductively</w:t>
      </w:r>
      <w:r w:rsidR="000B5CD2">
        <w:rPr>
          <w:rFonts w:cs="Arial"/>
        </w:rPr>
        <w:t xml:space="preserve">. </w:t>
      </w:r>
      <w:r w:rsidR="006471E1">
        <w:rPr>
          <w:rFonts w:cs="Arial"/>
        </w:rPr>
        <w:t xml:space="preserve">We used the TDF as a framework </w:t>
      </w:r>
      <w:r w:rsidR="00C64B52">
        <w:rPr>
          <w:rFonts w:cs="Arial"/>
        </w:rPr>
        <w:t xml:space="preserve">to identify </w:t>
      </w:r>
      <w:r w:rsidR="00AF7847">
        <w:rPr>
          <w:rFonts w:cs="Arial"/>
        </w:rPr>
        <w:t xml:space="preserve">BCTs to address </w:t>
      </w:r>
      <w:r w:rsidR="00C64B52">
        <w:rPr>
          <w:rFonts w:cs="Arial"/>
        </w:rPr>
        <w:t>barriers and enablers</w:t>
      </w:r>
      <w:r w:rsidR="00C64B52">
        <w:rPr>
          <w:rFonts w:cs="Arial"/>
        </w:rPr>
        <w:fldChar w:fldCharType="begin" w:fldLock="1"/>
      </w:r>
      <w:r w:rsidR="00C64B52">
        <w:rPr>
          <w:rFonts w:cs="Arial"/>
        </w:rPr>
        <w:instrText>ADDIN CSL_CITATION {"citationItems":[{"id":"ITEM-1","itemData":{"DOI":"10.1186/s13012-017-0605-9","ISSN":"1748-5908","PMID":"28637486","abstract":"Implementing new practices requires changes in the behaviour of relevant actors, and this is facilitated by understanding of the determinants of current and desired behaviours. The Theoretical Domains Framework (TDF) was developed by a collaboration of behavioural scientists and implementation researchers who identified theories relevant to implementation and grouped constructs from these theories into domains. The collaboration aimed to provide a comprehensive, theory-informed approach to identify determinants of behaviour. The first version was published in 2005, and a subsequent version following a validation exercise was published in 2012. This guide offers practical guidance for those who wish to apply the TDF to assess implementation problems and support intervention design. It presents a brief rationale for using a theoretical approach to investigate and address implementation problems, summarises the TDF and its development, and describes how to apply the TDF to achieve implementation objectives. Examples from the implementation research literature are presented to illustrate relevant methods and practical considerations. Researchers from Canada, the UK and Australia attended a 3-day meeting in December 2012 to build an international collaboration among researchers and decision-makers interested in the advancing use of the TDF. The participants were experienced in using the TDF to assess implementation problems, design interventions, and/or understand change processes. This guide is an output of the meeting and also draws on the authors’ collective experience. Examples from the implementation research literature judged by authors to be representative of specific applications of the TDF are included in this guide. We explain and illustrate methods, with a focus on qualitative approaches, for selecting and specifying target behaviours key to implementation, selecting the study design, deciding the sampling strategy, developing study materials, collecting and analysing data, and reporting findings of TDF-based studies. Areas for development include methods for triangulating data, e.g. from interviews, questionnaires and observation and methods for designing interventions based on TDF-based problem analysis. We offer this guide to the implementation community to assist in the application of the TDF to achieve implementation objectives. Benefits of using the TDF include the provision of a theoretical basis for implementation studies, good coverage of…","author":[{"dropping-particle":"","family":"Atkins","given":"Lou","non-dropping-particle":"","parse-names":false,"suffix":""},{"dropping-particle":"","family":"Francis","given":"Jill","non-dropping-particle":"","parse-names":false,"suffix":""},{"dropping-particle":"","family":"Islam","given":"Rafat","non-dropping-particle":"","parse-names":false,"suffix":""},{"dropping-particle":"","family":"O’Connor","given":"Denise","non-dropping-particle":"","parse-names":false,"suffix":""},{"dropping-particle":"","family":"Patey","given":"Andrea","non-dropping-particle":"","parse-names":false,"suffix":""},{"dropping-particle":"","family":"Ivers","given":"Noah","non-dropping-particle":"","parse-names":false,"suffix":""},{"dropping-particle":"","family":"Foy","given":"Robbie","non-dropping-particle":"","parse-names":false,"suffix":""},{"dropping-particle":"","family":"Duncan","given":"Eilidh M.","non-dropping-particle":"","parse-names":false,"suffix":""},{"dropping-particle":"","family":"Colquhoun","given":"Heather","non-dropping-particle":"","parse-names":false,"suffix":""},{"dropping-particle":"","family":"Grimshaw","given":"Jeremy M.","non-dropping-particle":"","parse-names":false,"suffix":""},{"dropping-particle":"","family":"Lawton","given":"Rebecca","non-dropping-particle":"","parse-names":false,"suffix":""},{"dropping-particle":"","family":"Michie","given":"Susan","non-dropping-particle":"","parse-names":false,"suffix":""}],"container-title":"Implementation Science","id":"ITEM-1","issue":"1","issued":{"date-parts":[["2017"]]},"page":"77","publisher":"Implementation Science","title":"A guide to using the Theoretical Domains Framework of behaviour change to investigate implementation problems","type":"article-journal","volume":"12"},"uris":["http://www.mendeley.com/documents/?uuid=3e70e6a1-c6ab-41f3-9a7e-93be37f191c0"]}],"mendeley":{"formattedCitation":"[4]","plainTextFormattedCitation":"[4]","previouslyFormattedCitation":"[4]"},"properties":{"noteIndex":0},"schema":"https://github.com/citation-style-language/schema/raw/master/csl-citation.json"}</w:instrText>
      </w:r>
      <w:r w:rsidR="00C64B52">
        <w:rPr>
          <w:rFonts w:cs="Arial"/>
        </w:rPr>
        <w:fldChar w:fldCharType="separate"/>
      </w:r>
      <w:r w:rsidR="00C64B52" w:rsidRPr="00AF7292">
        <w:rPr>
          <w:rFonts w:cs="Arial"/>
          <w:noProof/>
        </w:rPr>
        <w:t>[4]</w:t>
      </w:r>
      <w:r w:rsidR="00C64B52">
        <w:rPr>
          <w:rFonts w:cs="Arial"/>
        </w:rPr>
        <w:fldChar w:fldCharType="end"/>
      </w:r>
      <w:r w:rsidR="007E7108">
        <w:rPr>
          <w:rFonts w:cs="Arial"/>
        </w:rPr>
        <w:t>.</w:t>
      </w:r>
      <w:r w:rsidR="000B5CD2">
        <w:rPr>
          <w:rFonts w:cs="Arial"/>
        </w:rPr>
        <w:t xml:space="preserve"> </w:t>
      </w:r>
      <w:r w:rsidR="003C48C2" w:rsidRPr="00091776">
        <w:rPr>
          <w:rFonts w:cs="Arial"/>
        </w:rPr>
        <w:t>We used the consolidated criteria for reporting qualitative research (COREQ) checklist to guide reporting (</w:t>
      </w:r>
      <w:r w:rsidR="001619C1" w:rsidRPr="00091776">
        <w:rPr>
          <w:rFonts w:cs="Arial"/>
        </w:rPr>
        <w:t>appendix 1)</w:t>
      </w:r>
      <w:r w:rsidR="003C48C2" w:rsidRPr="00091776">
        <w:rPr>
          <w:rFonts w:cs="Arial"/>
        </w:rPr>
        <w:t>.</w:t>
      </w:r>
    </w:p>
    <w:p w14:paraId="279896DE" w14:textId="77777777" w:rsidR="00A837D8" w:rsidRPr="00091776" w:rsidRDefault="00A837D8" w:rsidP="00493314">
      <w:pPr>
        <w:spacing w:line="240" w:lineRule="auto"/>
        <w:rPr>
          <w:rFonts w:cs="Arial"/>
        </w:rPr>
      </w:pPr>
    </w:p>
    <w:p w14:paraId="23E07CCB" w14:textId="77777777" w:rsidR="001358E6" w:rsidRPr="00091776" w:rsidRDefault="00B37D57" w:rsidP="00493314">
      <w:pPr>
        <w:spacing w:line="240" w:lineRule="auto"/>
        <w:rPr>
          <w:rFonts w:cs="Arial"/>
          <w:b/>
        </w:rPr>
      </w:pPr>
      <w:r w:rsidRPr="00091776">
        <w:rPr>
          <w:rFonts w:cs="Arial"/>
          <w:b/>
        </w:rPr>
        <w:t>S</w:t>
      </w:r>
      <w:r w:rsidR="00D51FAA" w:rsidRPr="00091776">
        <w:rPr>
          <w:rFonts w:cs="Arial"/>
          <w:b/>
        </w:rPr>
        <w:t>etting</w:t>
      </w:r>
    </w:p>
    <w:p w14:paraId="76204FC9" w14:textId="35A07444" w:rsidR="008C305B" w:rsidRPr="00091776" w:rsidRDefault="003211EA" w:rsidP="00493314">
      <w:pPr>
        <w:spacing w:line="240" w:lineRule="auto"/>
        <w:rPr>
          <w:rFonts w:cs="Arial"/>
        </w:rPr>
      </w:pPr>
      <w:r w:rsidRPr="00091776">
        <w:rPr>
          <w:rFonts w:cs="Arial"/>
        </w:rPr>
        <w:t>We selected f</w:t>
      </w:r>
      <w:r w:rsidR="001A4E10" w:rsidRPr="00091776">
        <w:rPr>
          <w:rFonts w:cs="Arial"/>
        </w:rPr>
        <w:t>o</w:t>
      </w:r>
      <w:r w:rsidR="008C305B" w:rsidRPr="00091776">
        <w:rPr>
          <w:rFonts w:cs="Arial"/>
        </w:rPr>
        <w:t>ur hospitals</w:t>
      </w:r>
      <w:r w:rsidR="00DD246E" w:rsidRPr="00091776">
        <w:rPr>
          <w:rFonts w:cs="Arial"/>
        </w:rPr>
        <w:t xml:space="preserve"> </w:t>
      </w:r>
      <w:r w:rsidR="000C5123" w:rsidRPr="00091776">
        <w:rPr>
          <w:rFonts w:cs="Arial"/>
        </w:rPr>
        <w:t>across</w:t>
      </w:r>
      <w:r w:rsidR="00DD246E" w:rsidRPr="00091776">
        <w:rPr>
          <w:rFonts w:cs="Arial"/>
        </w:rPr>
        <w:t xml:space="preserve"> three </w:t>
      </w:r>
      <w:r w:rsidR="000C5123" w:rsidRPr="00091776">
        <w:rPr>
          <w:rFonts w:cs="Arial"/>
        </w:rPr>
        <w:t xml:space="preserve">English </w:t>
      </w:r>
      <w:r w:rsidR="00DD246E" w:rsidRPr="00091776">
        <w:rPr>
          <w:rFonts w:cs="Arial"/>
        </w:rPr>
        <w:t>counties</w:t>
      </w:r>
      <w:r w:rsidR="00FB0594" w:rsidRPr="00091776">
        <w:rPr>
          <w:rFonts w:cs="Arial"/>
        </w:rPr>
        <w:t>,</w:t>
      </w:r>
      <w:r w:rsidR="00EF0F1A" w:rsidRPr="00091776">
        <w:rPr>
          <w:rFonts w:cs="Arial"/>
        </w:rPr>
        <w:t xml:space="preserve"> </w:t>
      </w:r>
      <w:r w:rsidR="00390E0D" w:rsidRPr="00091776">
        <w:rPr>
          <w:rFonts w:cs="Arial"/>
        </w:rPr>
        <w:t xml:space="preserve">two </w:t>
      </w:r>
      <w:r w:rsidR="00FB0594" w:rsidRPr="00091776">
        <w:rPr>
          <w:rFonts w:cs="Arial"/>
        </w:rPr>
        <w:t>of which were</w:t>
      </w:r>
      <w:r w:rsidR="00CC668B" w:rsidRPr="00091776">
        <w:rPr>
          <w:rFonts w:cs="Arial"/>
        </w:rPr>
        <w:t xml:space="preserve"> </w:t>
      </w:r>
      <w:r w:rsidR="0087680D" w:rsidRPr="00091776">
        <w:rPr>
          <w:rFonts w:cs="Arial"/>
        </w:rPr>
        <w:t>1000</w:t>
      </w:r>
      <w:r w:rsidR="00766486" w:rsidRPr="00091776">
        <w:rPr>
          <w:rFonts w:cs="Arial"/>
        </w:rPr>
        <w:t xml:space="preserve"> and </w:t>
      </w:r>
      <w:r w:rsidR="0087680D" w:rsidRPr="00091776">
        <w:rPr>
          <w:rFonts w:cs="Arial"/>
        </w:rPr>
        <w:t>1200</w:t>
      </w:r>
      <w:r w:rsidR="00390E0D" w:rsidRPr="00091776">
        <w:rPr>
          <w:rFonts w:cs="Arial"/>
        </w:rPr>
        <w:t xml:space="preserve"> </w:t>
      </w:r>
      <w:r w:rsidR="00B96906" w:rsidRPr="00091776">
        <w:rPr>
          <w:rFonts w:cs="Arial"/>
        </w:rPr>
        <w:t xml:space="preserve">bed </w:t>
      </w:r>
      <w:r w:rsidR="00390E0D" w:rsidRPr="00091776">
        <w:rPr>
          <w:rFonts w:cs="Arial"/>
        </w:rPr>
        <w:t>teaching hospitals</w:t>
      </w:r>
      <w:r w:rsidR="00EF0F1A" w:rsidRPr="00091776">
        <w:rPr>
          <w:rFonts w:cs="Arial"/>
        </w:rPr>
        <w:t xml:space="preserve"> with </w:t>
      </w:r>
      <w:r w:rsidR="00CD174F" w:rsidRPr="00091776">
        <w:rPr>
          <w:rFonts w:cs="Arial"/>
        </w:rPr>
        <w:t>four</w:t>
      </w:r>
      <w:r w:rsidR="00C24A62" w:rsidRPr="00091776">
        <w:rPr>
          <w:rFonts w:cs="Arial"/>
        </w:rPr>
        <w:t xml:space="preserve"> and six</w:t>
      </w:r>
      <w:r w:rsidR="00EF0F1A" w:rsidRPr="00091776">
        <w:rPr>
          <w:rFonts w:cs="Arial"/>
        </w:rPr>
        <w:t xml:space="preserve"> </w:t>
      </w:r>
      <w:r w:rsidR="00AD7A04" w:rsidRPr="00091776">
        <w:rPr>
          <w:rFonts w:cs="Arial"/>
        </w:rPr>
        <w:t>geriatric</w:t>
      </w:r>
      <w:r w:rsidR="00EF0F1A" w:rsidRPr="00091776">
        <w:rPr>
          <w:rFonts w:cs="Arial"/>
        </w:rPr>
        <w:t xml:space="preserve"> wards </w:t>
      </w:r>
      <w:r w:rsidR="003631AB" w:rsidRPr="00091776">
        <w:rPr>
          <w:rFonts w:cs="Arial"/>
        </w:rPr>
        <w:t>respectively</w:t>
      </w:r>
      <w:r w:rsidR="004C4C0C" w:rsidRPr="00091776">
        <w:rPr>
          <w:rFonts w:cs="Arial"/>
        </w:rPr>
        <w:t>,</w:t>
      </w:r>
      <w:r w:rsidR="00390E0D" w:rsidRPr="00091776">
        <w:rPr>
          <w:rFonts w:cs="Arial"/>
        </w:rPr>
        <w:t xml:space="preserve"> and two</w:t>
      </w:r>
      <w:r w:rsidR="00766486" w:rsidRPr="00091776">
        <w:rPr>
          <w:rFonts w:cs="Arial"/>
        </w:rPr>
        <w:t xml:space="preserve"> were</w:t>
      </w:r>
      <w:r w:rsidR="00390E0D" w:rsidRPr="00091776">
        <w:rPr>
          <w:rFonts w:cs="Arial"/>
        </w:rPr>
        <w:t xml:space="preserve"> </w:t>
      </w:r>
      <w:r w:rsidR="00F855E2" w:rsidRPr="00091776">
        <w:rPr>
          <w:rFonts w:cs="Arial"/>
        </w:rPr>
        <w:t>4</w:t>
      </w:r>
      <w:r w:rsidR="00181616" w:rsidRPr="00091776">
        <w:rPr>
          <w:rFonts w:cs="Arial"/>
        </w:rPr>
        <w:t>50</w:t>
      </w:r>
      <w:r w:rsidR="00766486" w:rsidRPr="00091776">
        <w:rPr>
          <w:rFonts w:cs="Arial"/>
        </w:rPr>
        <w:t xml:space="preserve"> and </w:t>
      </w:r>
      <w:r w:rsidR="00181616" w:rsidRPr="00091776">
        <w:rPr>
          <w:rFonts w:cs="Arial"/>
        </w:rPr>
        <w:t>550</w:t>
      </w:r>
      <w:r w:rsidR="00F855E2" w:rsidRPr="00091776">
        <w:rPr>
          <w:rFonts w:cs="Arial"/>
        </w:rPr>
        <w:t xml:space="preserve"> </w:t>
      </w:r>
      <w:r w:rsidR="00766486" w:rsidRPr="00091776">
        <w:rPr>
          <w:rFonts w:cs="Arial"/>
        </w:rPr>
        <w:t xml:space="preserve">bed </w:t>
      </w:r>
      <w:r w:rsidR="00390E0D" w:rsidRPr="00091776">
        <w:rPr>
          <w:rFonts w:cs="Arial"/>
        </w:rPr>
        <w:t>district general hospitals</w:t>
      </w:r>
      <w:r w:rsidR="003631AB" w:rsidRPr="00091776">
        <w:rPr>
          <w:rFonts w:cs="Arial"/>
        </w:rPr>
        <w:t xml:space="preserve"> </w:t>
      </w:r>
      <w:r w:rsidR="001B64AC" w:rsidRPr="00091776">
        <w:rPr>
          <w:rFonts w:cs="Arial"/>
        </w:rPr>
        <w:t xml:space="preserve">each </w:t>
      </w:r>
      <w:r w:rsidR="003631AB" w:rsidRPr="00091776">
        <w:rPr>
          <w:rFonts w:cs="Arial"/>
        </w:rPr>
        <w:t xml:space="preserve">with </w:t>
      </w:r>
      <w:r w:rsidR="001B64AC" w:rsidRPr="00091776">
        <w:rPr>
          <w:rFonts w:cs="Arial"/>
        </w:rPr>
        <w:t xml:space="preserve">three </w:t>
      </w:r>
      <w:r w:rsidR="00AD7A04" w:rsidRPr="00091776">
        <w:rPr>
          <w:rFonts w:cs="Arial"/>
        </w:rPr>
        <w:t>geriatric</w:t>
      </w:r>
      <w:r w:rsidR="004E27DB" w:rsidRPr="00091776">
        <w:rPr>
          <w:rFonts w:cs="Arial"/>
        </w:rPr>
        <w:t xml:space="preserve"> wards</w:t>
      </w:r>
      <w:r w:rsidR="00EF7D83" w:rsidRPr="00091776">
        <w:rPr>
          <w:rFonts w:cs="Arial"/>
        </w:rPr>
        <w:t>.</w:t>
      </w:r>
      <w:r w:rsidR="00D8485F" w:rsidRPr="00091776">
        <w:rPr>
          <w:rFonts w:cs="Arial"/>
        </w:rPr>
        <w:t xml:space="preserve"> </w:t>
      </w:r>
      <w:r w:rsidR="00185722" w:rsidRPr="00091776">
        <w:rPr>
          <w:rFonts w:cs="Arial"/>
        </w:rPr>
        <w:t>These were</w:t>
      </w:r>
      <w:r w:rsidR="00DC7879" w:rsidRPr="00091776">
        <w:rPr>
          <w:rFonts w:cs="Arial"/>
        </w:rPr>
        <w:t xml:space="preserve"> used to</w:t>
      </w:r>
      <w:r w:rsidR="009E5D58" w:rsidRPr="00091776">
        <w:rPr>
          <w:rFonts w:cs="Arial"/>
        </w:rPr>
        <w:t xml:space="preserve"> explore </w:t>
      </w:r>
      <w:r w:rsidR="00185722" w:rsidRPr="00091776">
        <w:rPr>
          <w:rFonts w:cs="Arial"/>
        </w:rPr>
        <w:t xml:space="preserve">barriers and enablers </w:t>
      </w:r>
      <w:r w:rsidR="00DB0707" w:rsidRPr="00091776">
        <w:rPr>
          <w:rFonts w:cs="Arial"/>
        </w:rPr>
        <w:t>of</w:t>
      </w:r>
      <w:r w:rsidR="009E5D58" w:rsidRPr="00091776">
        <w:rPr>
          <w:rFonts w:cs="Arial"/>
        </w:rPr>
        <w:t xml:space="preserve"> deprescribing for older people </w:t>
      </w:r>
      <w:r w:rsidR="001D399F" w:rsidRPr="00091776">
        <w:rPr>
          <w:rFonts w:cs="Arial"/>
        </w:rPr>
        <w:t>and capture any variation arising from differing resource</w:t>
      </w:r>
      <w:r w:rsidR="00AE15A0" w:rsidRPr="00091776">
        <w:rPr>
          <w:rFonts w:cs="Arial"/>
        </w:rPr>
        <w:t>s</w:t>
      </w:r>
      <w:r w:rsidR="001D399F" w:rsidRPr="00091776">
        <w:rPr>
          <w:rFonts w:cs="Arial"/>
        </w:rPr>
        <w:t xml:space="preserve"> and</w:t>
      </w:r>
      <w:r w:rsidR="00AE15A0" w:rsidRPr="00091776">
        <w:rPr>
          <w:rFonts w:cs="Arial"/>
        </w:rPr>
        <w:t xml:space="preserve"> </w:t>
      </w:r>
      <w:r w:rsidR="001D399F" w:rsidRPr="00091776">
        <w:rPr>
          <w:rFonts w:cs="Arial"/>
        </w:rPr>
        <w:t xml:space="preserve">patient </w:t>
      </w:r>
      <w:r w:rsidR="00AE15A0" w:rsidRPr="00091776">
        <w:rPr>
          <w:rFonts w:cs="Arial"/>
        </w:rPr>
        <w:t>populations</w:t>
      </w:r>
      <w:r w:rsidR="00185722" w:rsidRPr="00091776">
        <w:rPr>
          <w:rFonts w:cs="Arial"/>
        </w:rPr>
        <w:t xml:space="preserve"> associated with these different sample settings</w:t>
      </w:r>
      <w:r w:rsidR="00AE15A0" w:rsidRPr="00091776">
        <w:rPr>
          <w:rFonts w:cs="Arial"/>
        </w:rPr>
        <w:t>.</w:t>
      </w:r>
    </w:p>
    <w:p w14:paraId="50A1BC44" w14:textId="77777777" w:rsidR="008C305B" w:rsidRPr="00091776" w:rsidRDefault="008C305B" w:rsidP="00493314">
      <w:pPr>
        <w:spacing w:line="240" w:lineRule="auto"/>
        <w:rPr>
          <w:rFonts w:cs="Arial"/>
        </w:rPr>
      </w:pPr>
    </w:p>
    <w:p w14:paraId="67C06C6B" w14:textId="77777777" w:rsidR="008C305B" w:rsidRPr="00091776" w:rsidRDefault="00B37D57" w:rsidP="00493314">
      <w:pPr>
        <w:spacing w:line="240" w:lineRule="auto"/>
        <w:rPr>
          <w:rFonts w:cs="Arial"/>
          <w:b/>
        </w:rPr>
      </w:pPr>
      <w:r w:rsidRPr="00091776">
        <w:rPr>
          <w:rFonts w:cs="Arial"/>
          <w:b/>
        </w:rPr>
        <w:t>S</w:t>
      </w:r>
      <w:r w:rsidR="00D51FAA" w:rsidRPr="00091776">
        <w:rPr>
          <w:rFonts w:cs="Arial"/>
          <w:b/>
        </w:rPr>
        <w:t>ample</w:t>
      </w:r>
    </w:p>
    <w:p w14:paraId="5C0C3E67" w14:textId="6F528485" w:rsidR="00C941F7" w:rsidRPr="00091776" w:rsidRDefault="00C13703" w:rsidP="00493314">
      <w:pPr>
        <w:spacing w:line="240" w:lineRule="auto"/>
        <w:rPr>
          <w:rFonts w:cs="Arial"/>
        </w:rPr>
      </w:pPr>
      <w:r w:rsidRPr="00091776">
        <w:rPr>
          <w:rFonts w:cs="Arial"/>
        </w:rPr>
        <w:t>We</w:t>
      </w:r>
      <w:r w:rsidR="003211EA" w:rsidRPr="00091776">
        <w:rPr>
          <w:rFonts w:cs="Arial"/>
        </w:rPr>
        <w:t xml:space="preserve"> included </w:t>
      </w:r>
      <w:r w:rsidR="00BF0F72" w:rsidRPr="005B7290">
        <w:rPr>
          <w:rFonts w:cs="Arial"/>
        </w:rPr>
        <w:t>senior</w:t>
      </w:r>
      <w:r w:rsidR="008C305B" w:rsidRPr="005B7290">
        <w:rPr>
          <w:rFonts w:cs="Arial"/>
        </w:rPr>
        <w:t xml:space="preserve"> geriatricians and </w:t>
      </w:r>
      <w:r w:rsidR="0021147B" w:rsidRPr="005B7290">
        <w:rPr>
          <w:rFonts w:cs="Arial"/>
        </w:rPr>
        <w:t>pharmacists</w:t>
      </w:r>
      <w:r w:rsidR="00A746EB" w:rsidRPr="005B7290">
        <w:rPr>
          <w:rFonts w:cs="Arial"/>
        </w:rPr>
        <w:t xml:space="preserve"> </w:t>
      </w:r>
      <w:r w:rsidR="00C64B52">
        <w:rPr>
          <w:rFonts w:cs="Arial"/>
        </w:rPr>
        <w:t>from</w:t>
      </w:r>
      <w:r w:rsidR="00A746EB" w:rsidRPr="005B7290">
        <w:rPr>
          <w:rFonts w:cs="Arial"/>
        </w:rPr>
        <w:t xml:space="preserve"> the four hospitals</w:t>
      </w:r>
      <w:r w:rsidR="00C64B52">
        <w:rPr>
          <w:rFonts w:cs="Arial"/>
        </w:rPr>
        <w:t xml:space="preserve"> based on practice experience (minimum six and four years respectively). </w:t>
      </w:r>
      <w:r w:rsidR="00CB5029" w:rsidRPr="005B7290">
        <w:rPr>
          <w:rFonts w:cs="Arial"/>
        </w:rPr>
        <w:t>W</w:t>
      </w:r>
      <w:r w:rsidR="009F47B2" w:rsidRPr="005B7290">
        <w:rPr>
          <w:rFonts w:cs="Arial"/>
        </w:rPr>
        <w:t>e invited</w:t>
      </w:r>
      <w:r w:rsidR="00CF7222" w:rsidRPr="00F546B6">
        <w:rPr>
          <w:rFonts w:cs="Arial"/>
        </w:rPr>
        <w:t xml:space="preserve"> pharmacists </w:t>
      </w:r>
      <w:r w:rsidR="009F47B2" w:rsidRPr="00F546B6">
        <w:rPr>
          <w:rFonts w:cs="Arial"/>
        </w:rPr>
        <w:t xml:space="preserve">from all clinical specialities </w:t>
      </w:r>
      <w:r w:rsidR="00CB5029" w:rsidRPr="005B7290">
        <w:rPr>
          <w:rFonts w:cs="Arial"/>
        </w:rPr>
        <w:t>in recognition of the range of responsibilities often adopted despite speciality</w:t>
      </w:r>
      <w:r w:rsidR="009F47B2" w:rsidRPr="005B7290">
        <w:rPr>
          <w:rFonts w:cs="Arial"/>
        </w:rPr>
        <w:t>.</w:t>
      </w:r>
    </w:p>
    <w:p w14:paraId="5CC2E715" w14:textId="1470A43B" w:rsidR="001A4E10" w:rsidRPr="00091776" w:rsidRDefault="006E6074" w:rsidP="00493314">
      <w:pPr>
        <w:spacing w:line="240" w:lineRule="auto"/>
        <w:rPr>
          <w:rFonts w:cs="Arial"/>
        </w:rPr>
      </w:pPr>
      <w:r w:rsidRPr="00091776">
        <w:rPr>
          <w:rFonts w:cs="Arial"/>
        </w:rPr>
        <w:t>We planned eight focus groups t</w:t>
      </w:r>
      <w:r w:rsidR="00430E88" w:rsidRPr="00091776">
        <w:rPr>
          <w:rFonts w:cs="Arial"/>
        </w:rPr>
        <w:t xml:space="preserve">o explore similarities and differences in attitudes between geriatricians and pharmacists, and identify hospital characteristics that might influence deprescribing. </w:t>
      </w:r>
      <w:r w:rsidR="001A4E10" w:rsidRPr="00091776">
        <w:rPr>
          <w:rFonts w:cs="Arial"/>
        </w:rPr>
        <w:t>Each hospital site hosted two focus groups: one with geriatr</w:t>
      </w:r>
      <w:r w:rsidR="00430E88" w:rsidRPr="00091776">
        <w:rPr>
          <w:rFonts w:cs="Arial"/>
        </w:rPr>
        <w:t xml:space="preserve">icians and one with pharmacists, </w:t>
      </w:r>
      <w:r w:rsidR="00B95466">
        <w:rPr>
          <w:rFonts w:cs="Arial"/>
        </w:rPr>
        <w:t>with</w:t>
      </w:r>
      <w:r w:rsidR="00430E88" w:rsidRPr="00091776">
        <w:rPr>
          <w:rFonts w:cs="Arial"/>
        </w:rPr>
        <w:t xml:space="preserve"> five </w:t>
      </w:r>
      <w:r w:rsidR="002B6E47">
        <w:rPr>
          <w:rFonts w:cs="Arial"/>
        </w:rPr>
        <w:t>to</w:t>
      </w:r>
      <w:r w:rsidR="002B6E47" w:rsidRPr="00091776">
        <w:rPr>
          <w:rFonts w:cs="Arial"/>
        </w:rPr>
        <w:t xml:space="preserve"> </w:t>
      </w:r>
      <w:r w:rsidR="00430E88" w:rsidRPr="00091776">
        <w:rPr>
          <w:rFonts w:cs="Arial"/>
        </w:rPr>
        <w:t>eight participants</w:t>
      </w:r>
      <w:r w:rsidR="00B95466">
        <w:rPr>
          <w:rFonts w:cs="Arial"/>
        </w:rPr>
        <w:t xml:space="preserve"> each</w:t>
      </w:r>
      <w:r w:rsidR="00430E88" w:rsidRPr="00091776">
        <w:rPr>
          <w:rFonts w:cs="Arial"/>
        </w:rPr>
        <w:t xml:space="preserve"> </w:t>
      </w:r>
      <w:r w:rsidR="001E6859" w:rsidRPr="00091776">
        <w:rPr>
          <w:rFonts w:cs="Arial"/>
        </w:rPr>
        <w:t>(n=</w:t>
      </w:r>
      <w:r w:rsidR="00E7205A" w:rsidRPr="00091776">
        <w:rPr>
          <w:rFonts w:cs="Arial"/>
        </w:rPr>
        <w:t>40</w:t>
      </w:r>
      <w:r w:rsidR="001D399F" w:rsidRPr="00091776">
        <w:rPr>
          <w:rFonts w:cs="Arial"/>
        </w:rPr>
        <w:t xml:space="preserve"> to </w:t>
      </w:r>
      <w:r w:rsidR="00E7205A" w:rsidRPr="00091776">
        <w:rPr>
          <w:rFonts w:cs="Arial"/>
        </w:rPr>
        <w:t>64</w:t>
      </w:r>
      <w:r w:rsidR="00AA6462">
        <w:rPr>
          <w:rFonts w:cs="Arial"/>
        </w:rPr>
        <w:t xml:space="preserve"> in total</w:t>
      </w:r>
      <w:r w:rsidR="00E7205A" w:rsidRPr="00091776">
        <w:rPr>
          <w:rFonts w:cs="Arial"/>
        </w:rPr>
        <w:t>).</w:t>
      </w:r>
    </w:p>
    <w:p w14:paraId="3C27FF86" w14:textId="67BDD840" w:rsidR="00AA424A" w:rsidRPr="00091776" w:rsidRDefault="006E6074" w:rsidP="00493314">
      <w:pPr>
        <w:spacing w:line="240" w:lineRule="auto"/>
        <w:rPr>
          <w:rFonts w:cs="Arial"/>
        </w:rPr>
      </w:pPr>
      <w:r w:rsidRPr="00091776">
        <w:rPr>
          <w:rFonts w:cs="Arial"/>
        </w:rPr>
        <w:t xml:space="preserve">We followed the </w:t>
      </w:r>
      <w:r w:rsidR="00BD491A" w:rsidRPr="00091776">
        <w:rPr>
          <w:rFonts w:cs="Arial"/>
        </w:rPr>
        <w:t>princip</w:t>
      </w:r>
      <w:r w:rsidR="00571C89" w:rsidRPr="00091776">
        <w:rPr>
          <w:rFonts w:cs="Arial"/>
        </w:rPr>
        <w:t>les</w:t>
      </w:r>
      <w:r w:rsidR="00BD491A" w:rsidRPr="00091776">
        <w:rPr>
          <w:rFonts w:cs="Arial"/>
        </w:rPr>
        <w:t xml:space="preserve"> </w:t>
      </w:r>
      <w:r w:rsidRPr="00091776">
        <w:rPr>
          <w:rFonts w:cs="Arial"/>
        </w:rPr>
        <w:t xml:space="preserve">for deciding saturation in theory-based qualitative studies outlined by Francis </w:t>
      </w:r>
      <w:r w:rsidRPr="00091776">
        <w:rPr>
          <w:rFonts w:cs="Arial"/>
          <w:i/>
        </w:rPr>
        <w:t>et al.</w:t>
      </w:r>
      <w:r w:rsidR="00AA424A" w:rsidRPr="00091776">
        <w:rPr>
          <w:rFonts w:cs="Arial"/>
        </w:rPr>
        <w:fldChar w:fldCharType="begin" w:fldLock="1"/>
      </w:r>
      <w:r w:rsidR="00FC483E">
        <w:rPr>
          <w:rFonts w:cs="Arial"/>
        </w:rPr>
        <w:instrText>ADDIN CSL_CITATION {"citationItems":[{"id":"ITEM-1","itemData":{"ISSN":"0887-0446","author":[{"dropping-particle":"","family":"Francis","given":"Jill J","non-dropping-particle":"","parse-names":false,"suffix":""},{"dropping-particle":"","family":"Johnston","given":"Marie","non-dropping-particle":"","parse-names":false,"suffix":""},{"dropping-particle":"","family":"Robertson","given":"Clare","non-dropping-particle":"","parse-names":false,"suffix":""},{"dropping-particle":"","family":"Glidewell","given":"Liz","non-dropping-particle":"","parse-names":false,"suffix":""},{"dropping-particle":"","family":"Entwistle","given":"Vikki","non-dropping-particle":"","parse-names":false,"suffix":""},{"dropping-particle":"","family":"Eccles","given":"Martin P","non-dropping-particle":"","parse-names":false,"suffix":""},{"dropping-particle":"","family":"Grimshaw","given":"Jeremy M","non-dropping-particle":"","parse-names":false,"suffix":""}],"container-title":"Psychology and Health","id":"ITEM-1","issue":"10","issued":{"date-parts":[["2010"]]},"page":"1229-1245","publisher":"Taylor &amp; Francis","title":"What is an adequate sample size? Operationalising data saturation for theory-based interview studies","type":"article-journal","volume":"25"},"uris":["http://www.mendeley.com/documents/?uuid=19cf3540-be56-46d4-9cf9-7a9e093301af"]}],"mendeley":{"formattedCitation":"[17]","plainTextFormattedCitation":"[17]","previouslyFormattedCitation":"[18]"},"properties":{"noteIndex":0},"schema":"https://github.com/citation-style-language/schema/raw/master/csl-citation.json"}</w:instrText>
      </w:r>
      <w:r w:rsidR="00AA424A" w:rsidRPr="00091776">
        <w:rPr>
          <w:rFonts w:cs="Arial"/>
        </w:rPr>
        <w:fldChar w:fldCharType="separate"/>
      </w:r>
      <w:r w:rsidR="00FC483E" w:rsidRPr="00FC483E">
        <w:rPr>
          <w:rFonts w:cs="Arial"/>
          <w:noProof/>
        </w:rPr>
        <w:t>[17]</w:t>
      </w:r>
      <w:r w:rsidR="00AA424A" w:rsidRPr="00091776">
        <w:rPr>
          <w:rFonts w:cs="Arial"/>
        </w:rPr>
        <w:fldChar w:fldCharType="end"/>
      </w:r>
      <w:r w:rsidR="00260C75" w:rsidRPr="00091776">
        <w:rPr>
          <w:rFonts w:cs="Arial"/>
        </w:rPr>
        <w:t>.</w:t>
      </w:r>
      <w:r w:rsidR="00AA424A" w:rsidRPr="00091776">
        <w:rPr>
          <w:rFonts w:cs="Arial"/>
        </w:rPr>
        <w:t xml:space="preserve"> However, as </w:t>
      </w:r>
      <w:r w:rsidR="004C1529" w:rsidRPr="00091776">
        <w:rPr>
          <w:rFonts w:cs="Arial"/>
        </w:rPr>
        <w:t>a</w:t>
      </w:r>
      <w:r w:rsidR="00AA424A" w:rsidRPr="00091776">
        <w:rPr>
          <w:rFonts w:cs="Arial"/>
        </w:rPr>
        <w:t xml:space="preserve"> study objective</w:t>
      </w:r>
      <w:r w:rsidR="004C1529" w:rsidRPr="00091776">
        <w:rPr>
          <w:rFonts w:cs="Arial"/>
        </w:rPr>
        <w:t xml:space="preserve"> was</w:t>
      </w:r>
      <w:r w:rsidR="00AA424A" w:rsidRPr="00091776">
        <w:rPr>
          <w:rFonts w:cs="Arial"/>
        </w:rPr>
        <w:t xml:space="preserve"> to explore any differences between district general and teaching hospital contexts, an </w:t>
      </w:r>
      <w:r w:rsidR="00AA424A" w:rsidRPr="00091776">
        <w:rPr>
          <w:rFonts w:cs="Arial"/>
          <w:i/>
        </w:rPr>
        <w:t>a priori</w:t>
      </w:r>
      <w:r w:rsidR="00AA424A" w:rsidRPr="00091776">
        <w:rPr>
          <w:rFonts w:cs="Arial"/>
        </w:rPr>
        <w:t xml:space="preserve"> decision was made to convene all eight planned focus groups irrespective of whether data saturation was achi</w:t>
      </w:r>
      <w:r w:rsidR="004C1529" w:rsidRPr="00091776">
        <w:rPr>
          <w:rFonts w:cs="Arial"/>
        </w:rPr>
        <w:t>eved</w:t>
      </w:r>
      <w:r w:rsidR="004C4C89" w:rsidRPr="00091776">
        <w:rPr>
          <w:rFonts w:cs="Arial"/>
        </w:rPr>
        <w:t>.</w:t>
      </w:r>
    </w:p>
    <w:p w14:paraId="65828AEC" w14:textId="77777777" w:rsidR="00E67C86" w:rsidRPr="00091776" w:rsidRDefault="00E67C86" w:rsidP="00493314">
      <w:pPr>
        <w:spacing w:line="240" w:lineRule="auto"/>
        <w:rPr>
          <w:rFonts w:cs="Arial"/>
        </w:rPr>
      </w:pPr>
    </w:p>
    <w:p w14:paraId="5C18785E" w14:textId="77777777" w:rsidR="00E67C86" w:rsidRPr="00091776" w:rsidRDefault="00B37D57" w:rsidP="00493314">
      <w:pPr>
        <w:spacing w:line="240" w:lineRule="auto"/>
        <w:rPr>
          <w:rFonts w:cs="Arial"/>
          <w:b/>
        </w:rPr>
      </w:pPr>
      <w:r w:rsidRPr="00091776">
        <w:rPr>
          <w:rFonts w:cs="Arial"/>
          <w:b/>
        </w:rPr>
        <w:t>R</w:t>
      </w:r>
      <w:r w:rsidR="00D51FAA" w:rsidRPr="00091776">
        <w:rPr>
          <w:rFonts w:cs="Arial"/>
          <w:b/>
        </w:rPr>
        <w:t>ecruitment</w:t>
      </w:r>
    </w:p>
    <w:p w14:paraId="31CE98EC" w14:textId="4991116F" w:rsidR="00491905" w:rsidRPr="00091776" w:rsidRDefault="00194AA4" w:rsidP="00493314">
      <w:pPr>
        <w:tabs>
          <w:tab w:val="center" w:pos="4513"/>
        </w:tabs>
        <w:spacing w:line="240" w:lineRule="auto"/>
        <w:rPr>
          <w:rFonts w:cs="Arial"/>
        </w:rPr>
      </w:pPr>
      <w:r w:rsidRPr="00091776">
        <w:rPr>
          <w:rFonts w:cs="Arial"/>
        </w:rPr>
        <w:t>We invited a</w:t>
      </w:r>
      <w:r w:rsidR="00E67C86" w:rsidRPr="00091776">
        <w:rPr>
          <w:rFonts w:cs="Arial"/>
        </w:rPr>
        <w:t xml:space="preserve">ll </w:t>
      </w:r>
      <w:r w:rsidR="00283F2E" w:rsidRPr="00091776">
        <w:rPr>
          <w:rFonts w:cs="Arial"/>
        </w:rPr>
        <w:t>eligible</w:t>
      </w:r>
      <w:r w:rsidR="00067859" w:rsidRPr="00091776">
        <w:rPr>
          <w:rFonts w:cs="Arial"/>
        </w:rPr>
        <w:t xml:space="preserve"> potential</w:t>
      </w:r>
      <w:r w:rsidR="009E5D58" w:rsidRPr="00091776">
        <w:rPr>
          <w:rFonts w:cs="Arial"/>
        </w:rPr>
        <w:t xml:space="preserve"> participants</w:t>
      </w:r>
      <w:r w:rsidR="00E67C86" w:rsidRPr="00091776">
        <w:rPr>
          <w:rFonts w:cs="Arial"/>
        </w:rPr>
        <w:t xml:space="preserve"> </w:t>
      </w:r>
      <w:r w:rsidR="00C678F6" w:rsidRPr="00091776">
        <w:rPr>
          <w:rFonts w:cs="Arial"/>
        </w:rPr>
        <w:t xml:space="preserve">by email </w:t>
      </w:r>
      <w:r w:rsidR="007168EE" w:rsidRPr="00091776">
        <w:rPr>
          <w:rFonts w:cs="Arial"/>
        </w:rPr>
        <w:t>via</w:t>
      </w:r>
      <w:r w:rsidR="00E67C86" w:rsidRPr="00091776">
        <w:rPr>
          <w:rFonts w:cs="Arial"/>
        </w:rPr>
        <w:t xml:space="preserve"> a gatekeeper</w:t>
      </w:r>
      <w:r w:rsidR="00C678F6" w:rsidRPr="00091776">
        <w:rPr>
          <w:rFonts w:cs="Arial"/>
        </w:rPr>
        <w:t>. The email comprised</w:t>
      </w:r>
      <w:r w:rsidR="00E67C86" w:rsidRPr="00091776">
        <w:rPr>
          <w:rFonts w:cs="Arial"/>
        </w:rPr>
        <w:t xml:space="preserve"> a</w:t>
      </w:r>
      <w:r w:rsidR="00067859" w:rsidRPr="00091776">
        <w:rPr>
          <w:rFonts w:cs="Arial"/>
        </w:rPr>
        <w:t xml:space="preserve">n </w:t>
      </w:r>
      <w:r w:rsidR="00E67C86" w:rsidRPr="00091776">
        <w:rPr>
          <w:rFonts w:cs="Arial"/>
        </w:rPr>
        <w:t>information leafle</w:t>
      </w:r>
      <w:r w:rsidR="00642280" w:rsidRPr="00091776">
        <w:rPr>
          <w:rFonts w:cs="Arial"/>
        </w:rPr>
        <w:t>t</w:t>
      </w:r>
      <w:r w:rsidR="003E75F0" w:rsidRPr="00091776">
        <w:rPr>
          <w:rFonts w:cs="Arial"/>
        </w:rPr>
        <w:t xml:space="preserve"> (</w:t>
      </w:r>
      <w:r w:rsidR="00E246D1" w:rsidRPr="00091776">
        <w:rPr>
          <w:rFonts w:cs="Arial"/>
        </w:rPr>
        <w:t>including study</w:t>
      </w:r>
      <w:r w:rsidR="00984431" w:rsidRPr="00091776">
        <w:rPr>
          <w:rFonts w:cs="Arial"/>
        </w:rPr>
        <w:t xml:space="preserve"> aims</w:t>
      </w:r>
      <w:r w:rsidR="00E246D1" w:rsidRPr="00091776">
        <w:rPr>
          <w:rFonts w:cs="Arial"/>
        </w:rPr>
        <w:t>)</w:t>
      </w:r>
      <w:r w:rsidR="00642280" w:rsidRPr="00091776">
        <w:rPr>
          <w:rFonts w:cs="Arial"/>
        </w:rPr>
        <w:t xml:space="preserve"> and focus group </w:t>
      </w:r>
      <w:r w:rsidR="0032465D" w:rsidRPr="00091776">
        <w:rPr>
          <w:rFonts w:cs="Arial"/>
        </w:rPr>
        <w:t xml:space="preserve">scheduling </w:t>
      </w:r>
      <w:r w:rsidR="00642280" w:rsidRPr="00091776">
        <w:rPr>
          <w:rFonts w:cs="Arial"/>
        </w:rPr>
        <w:t>arrangements</w:t>
      </w:r>
      <w:r w:rsidR="00961893" w:rsidRPr="00091776">
        <w:rPr>
          <w:rFonts w:cs="Arial"/>
        </w:rPr>
        <w:t xml:space="preserve">. </w:t>
      </w:r>
      <w:r w:rsidR="00E47276">
        <w:rPr>
          <w:rFonts w:cs="Arial"/>
        </w:rPr>
        <w:t>P</w:t>
      </w:r>
      <w:r w:rsidR="00961893" w:rsidRPr="00091776">
        <w:rPr>
          <w:rFonts w:cs="Arial"/>
        </w:rPr>
        <w:t>oten</w:t>
      </w:r>
      <w:r w:rsidR="004C4AAE" w:rsidRPr="00091776">
        <w:rPr>
          <w:rFonts w:cs="Arial"/>
        </w:rPr>
        <w:t>tial participants</w:t>
      </w:r>
      <w:r w:rsidR="00961893" w:rsidRPr="00091776">
        <w:rPr>
          <w:rFonts w:cs="Arial"/>
        </w:rPr>
        <w:t xml:space="preserve"> </w:t>
      </w:r>
      <w:r w:rsidR="00E47276">
        <w:rPr>
          <w:rFonts w:cs="Arial"/>
        </w:rPr>
        <w:t>completed</w:t>
      </w:r>
      <w:r w:rsidR="00961893" w:rsidRPr="00091776">
        <w:rPr>
          <w:rFonts w:cs="Arial"/>
        </w:rPr>
        <w:t xml:space="preserve"> an online </w:t>
      </w:r>
      <w:r w:rsidR="00DC5A58" w:rsidRPr="00091776">
        <w:rPr>
          <w:rFonts w:cs="Arial"/>
        </w:rPr>
        <w:t>expression of interest</w:t>
      </w:r>
      <w:r w:rsidR="00961893" w:rsidRPr="00091776">
        <w:rPr>
          <w:rFonts w:cs="Arial"/>
        </w:rPr>
        <w:t xml:space="preserve"> survey </w:t>
      </w:r>
      <w:r w:rsidR="00AA6462">
        <w:rPr>
          <w:rFonts w:cs="Arial"/>
        </w:rPr>
        <w:t>requesting</w:t>
      </w:r>
      <w:r w:rsidR="0079338E" w:rsidRPr="00091776">
        <w:rPr>
          <w:rFonts w:cs="Arial"/>
        </w:rPr>
        <w:t>:</w:t>
      </w:r>
      <w:r w:rsidR="00961893" w:rsidRPr="00091776">
        <w:rPr>
          <w:rFonts w:cs="Arial"/>
        </w:rPr>
        <w:t xml:space="preserve"> professional group</w:t>
      </w:r>
      <w:r w:rsidR="00642280" w:rsidRPr="00091776">
        <w:rPr>
          <w:rFonts w:cs="Arial"/>
        </w:rPr>
        <w:t xml:space="preserve">, gender, </w:t>
      </w:r>
      <w:r w:rsidR="000E6D73" w:rsidRPr="00091776">
        <w:rPr>
          <w:rFonts w:cs="Arial"/>
        </w:rPr>
        <w:t xml:space="preserve">hospital seniority </w:t>
      </w:r>
      <w:r w:rsidR="00642280" w:rsidRPr="00091776">
        <w:rPr>
          <w:rFonts w:cs="Arial"/>
        </w:rPr>
        <w:t>grade and prescribing authority status (pharmacists only).</w:t>
      </w:r>
      <w:r w:rsidR="00F917BF" w:rsidRPr="00091776">
        <w:rPr>
          <w:rFonts w:cs="Arial"/>
        </w:rPr>
        <w:t xml:space="preserve"> </w:t>
      </w:r>
      <w:r w:rsidR="00E069F9" w:rsidRPr="00091776">
        <w:rPr>
          <w:rFonts w:cs="Arial"/>
        </w:rPr>
        <w:t>We purposively sampled p</w:t>
      </w:r>
      <w:r w:rsidR="006467B3" w:rsidRPr="00091776">
        <w:rPr>
          <w:rFonts w:cs="Arial"/>
        </w:rPr>
        <w:t xml:space="preserve">otential participants </w:t>
      </w:r>
      <w:r w:rsidR="002B78F9" w:rsidRPr="00091776">
        <w:rPr>
          <w:rFonts w:cs="Arial"/>
        </w:rPr>
        <w:t xml:space="preserve">to </w:t>
      </w:r>
      <w:r w:rsidR="00AF2F84" w:rsidRPr="00091776">
        <w:rPr>
          <w:rFonts w:cs="Arial"/>
        </w:rPr>
        <w:t xml:space="preserve">maximise variation in </w:t>
      </w:r>
      <w:r w:rsidR="007168EE" w:rsidRPr="00091776">
        <w:rPr>
          <w:rFonts w:cs="Arial"/>
        </w:rPr>
        <w:t>demographics</w:t>
      </w:r>
      <w:r w:rsidR="00AF2F84" w:rsidRPr="00091776">
        <w:rPr>
          <w:rFonts w:cs="Arial"/>
        </w:rPr>
        <w:t xml:space="preserve">. </w:t>
      </w:r>
      <w:r w:rsidR="007C22FF" w:rsidRPr="00091776">
        <w:rPr>
          <w:rFonts w:cs="Arial"/>
        </w:rPr>
        <w:t>We sought a</w:t>
      </w:r>
      <w:r w:rsidR="002B78F9" w:rsidRPr="00091776">
        <w:rPr>
          <w:rFonts w:cs="Arial"/>
        </w:rPr>
        <w:t xml:space="preserve"> mixture of prescribing and non-prescribing </w:t>
      </w:r>
      <w:r w:rsidR="00DC34F4" w:rsidRPr="00091776">
        <w:rPr>
          <w:rFonts w:cs="Arial"/>
        </w:rPr>
        <w:t xml:space="preserve">pharmacists to explore differences in </w:t>
      </w:r>
      <w:r w:rsidR="001F6826" w:rsidRPr="00091776">
        <w:rPr>
          <w:rFonts w:cs="Arial"/>
        </w:rPr>
        <w:t>attitudes</w:t>
      </w:r>
      <w:r w:rsidR="00A7526A" w:rsidRPr="00091776">
        <w:rPr>
          <w:rFonts w:cs="Arial"/>
        </w:rPr>
        <w:t xml:space="preserve"> arising from the </w:t>
      </w:r>
      <w:r w:rsidR="00300CFD" w:rsidRPr="00091776">
        <w:rPr>
          <w:rFonts w:cs="Arial"/>
        </w:rPr>
        <w:t xml:space="preserve">acquisition of </w:t>
      </w:r>
      <w:r w:rsidR="00A7526A" w:rsidRPr="00091776">
        <w:rPr>
          <w:rFonts w:cs="Arial"/>
        </w:rPr>
        <w:t>additional prescribing competencies.</w:t>
      </w:r>
      <w:r w:rsidR="00AF5C6E" w:rsidRPr="00091776">
        <w:rPr>
          <w:rFonts w:cs="Arial"/>
        </w:rPr>
        <w:t xml:space="preserve"> </w:t>
      </w:r>
      <w:r w:rsidR="00F548CA" w:rsidRPr="00091776">
        <w:rPr>
          <w:rFonts w:cs="Arial"/>
        </w:rPr>
        <w:t>We remunerated employing hospitals</w:t>
      </w:r>
      <w:r w:rsidR="006467B3" w:rsidRPr="00091776">
        <w:rPr>
          <w:rFonts w:cs="Arial"/>
        </w:rPr>
        <w:t xml:space="preserve"> for participants’ time commitment to the research.</w:t>
      </w:r>
    </w:p>
    <w:p w14:paraId="5DCD695A" w14:textId="77777777" w:rsidR="004602A7" w:rsidRPr="00091776" w:rsidRDefault="004602A7" w:rsidP="00493314">
      <w:pPr>
        <w:spacing w:line="240" w:lineRule="auto"/>
        <w:rPr>
          <w:rFonts w:cs="Arial"/>
        </w:rPr>
      </w:pPr>
    </w:p>
    <w:p w14:paraId="2C4F96CF" w14:textId="77777777" w:rsidR="004602A7" w:rsidRPr="00091776" w:rsidRDefault="00B37D57" w:rsidP="00493314">
      <w:pPr>
        <w:spacing w:line="240" w:lineRule="auto"/>
        <w:rPr>
          <w:rFonts w:cs="Arial"/>
          <w:b/>
        </w:rPr>
      </w:pPr>
      <w:r w:rsidRPr="00091776">
        <w:rPr>
          <w:rFonts w:cs="Arial"/>
          <w:b/>
        </w:rPr>
        <w:t>D</w:t>
      </w:r>
      <w:r w:rsidR="00CA15E9" w:rsidRPr="00091776">
        <w:rPr>
          <w:rFonts w:cs="Arial"/>
          <w:b/>
        </w:rPr>
        <w:t>ata collection</w:t>
      </w:r>
    </w:p>
    <w:p w14:paraId="0459595F" w14:textId="5D56BC45" w:rsidR="0032465D" w:rsidRPr="00091776" w:rsidRDefault="00E47276" w:rsidP="00493314">
      <w:pPr>
        <w:spacing w:line="240" w:lineRule="auto"/>
        <w:rPr>
          <w:rFonts w:cs="Arial"/>
        </w:rPr>
      </w:pPr>
      <w:r>
        <w:rPr>
          <w:rFonts w:cs="Arial"/>
        </w:rPr>
        <w:t>Researchers</w:t>
      </w:r>
      <w:r w:rsidR="003C3069" w:rsidRPr="00091776">
        <w:rPr>
          <w:rFonts w:cs="Arial"/>
        </w:rPr>
        <w:t>, geriatricians, pharmacists, and patient and caregiver representatives developed a</w:t>
      </w:r>
      <w:r w:rsidR="002331BA" w:rsidRPr="00091776">
        <w:rPr>
          <w:rFonts w:cs="Arial"/>
        </w:rPr>
        <w:t xml:space="preserve"> </w:t>
      </w:r>
      <w:r w:rsidR="00F54CF5" w:rsidRPr="00091776">
        <w:rPr>
          <w:rFonts w:cs="Arial"/>
        </w:rPr>
        <w:t xml:space="preserve">semi-structured </w:t>
      </w:r>
      <w:r w:rsidR="002331BA" w:rsidRPr="00091776">
        <w:rPr>
          <w:rFonts w:cs="Arial"/>
        </w:rPr>
        <w:t>topic guide</w:t>
      </w:r>
      <w:r w:rsidR="00086125">
        <w:rPr>
          <w:rFonts w:cs="Arial"/>
        </w:rPr>
        <w:t xml:space="preserve"> (appendix 2)</w:t>
      </w:r>
      <w:r w:rsidR="00EB1CA3" w:rsidRPr="00091776">
        <w:rPr>
          <w:rFonts w:cs="Arial"/>
        </w:rPr>
        <w:t xml:space="preserve"> informed by the deprescribing literature</w:t>
      </w:r>
      <w:r w:rsidR="002331BA" w:rsidRPr="00091776">
        <w:rPr>
          <w:rFonts w:cs="Arial"/>
        </w:rPr>
        <w:t>.</w:t>
      </w:r>
      <w:r w:rsidR="0032465D" w:rsidRPr="00091776">
        <w:rPr>
          <w:rFonts w:cs="Arial"/>
        </w:rPr>
        <w:t xml:space="preserve"> </w:t>
      </w:r>
      <w:r w:rsidR="00B9784E" w:rsidRPr="00091776">
        <w:rPr>
          <w:rFonts w:cs="Arial"/>
        </w:rPr>
        <w:t>Guiding</w:t>
      </w:r>
      <w:r w:rsidR="00067BC5" w:rsidRPr="00091776">
        <w:rPr>
          <w:rFonts w:cs="Arial"/>
        </w:rPr>
        <w:t xml:space="preserve"> questions were </w:t>
      </w:r>
      <w:r w:rsidR="00B9784E" w:rsidRPr="00091776">
        <w:rPr>
          <w:rFonts w:cs="Arial"/>
        </w:rPr>
        <w:t>designed</w:t>
      </w:r>
      <w:r w:rsidR="00067BC5" w:rsidRPr="00091776">
        <w:rPr>
          <w:rFonts w:cs="Arial"/>
        </w:rPr>
        <w:t xml:space="preserve"> to </w:t>
      </w:r>
      <w:r w:rsidR="002D00DF" w:rsidRPr="00091776">
        <w:rPr>
          <w:rFonts w:cs="Arial"/>
        </w:rPr>
        <w:t>elicit</w:t>
      </w:r>
      <w:r w:rsidR="00067BC5" w:rsidRPr="00091776">
        <w:rPr>
          <w:rFonts w:cs="Arial"/>
        </w:rPr>
        <w:t xml:space="preserve"> views </w:t>
      </w:r>
      <w:r w:rsidR="00014087" w:rsidRPr="00091776">
        <w:rPr>
          <w:rFonts w:cs="Arial"/>
        </w:rPr>
        <w:t>regarding the following:</w:t>
      </w:r>
    </w:p>
    <w:p w14:paraId="72C640A4" w14:textId="77777777" w:rsidR="00067BC5" w:rsidRPr="00091776" w:rsidRDefault="00067BC5" w:rsidP="00493314">
      <w:pPr>
        <w:pStyle w:val="ListParagraph"/>
        <w:numPr>
          <w:ilvl w:val="0"/>
          <w:numId w:val="6"/>
        </w:numPr>
        <w:spacing w:line="240" w:lineRule="auto"/>
        <w:rPr>
          <w:rFonts w:cs="Arial"/>
        </w:rPr>
      </w:pPr>
      <w:r w:rsidRPr="00091776">
        <w:rPr>
          <w:rFonts w:cs="Arial"/>
        </w:rPr>
        <w:t>Perception of existing deprescribing practice</w:t>
      </w:r>
    </w:p>
    <w:p w14:paraId="3AAAB715" w14:textId="77777777" w:rsidR="00067BC5" w:rsidRPr="00091776" w:rsidRDefault="00014087" w:rsidP="00493314">
      <w:pPr>
        <w:pStyle w:val="ListParagraph"/>
        <w:numPr>
          <w:ilvl w:val="0"/>
          <w:numId w:val="6"/>
        </w:numPr>
        <w:spacing w:line="240" w:lineRule="auto"/>
        <w:rPr>
          <w:rFonts w:cs="Arial"/>
        </w:rPr>
      </w:pPr>
      <w:r w:rsidRPr="00091776">
        <w:rPr>
          <w:rFonts w:cs="Arial"/>
        </w:rPr>
        <w:lastRenderedPageBreak/>
        <w:t>Barriers to increasing deprescribing practice</w:t>
      </w:r>
    </w:p>
    <w:p w14:paraId="423E82DC" w14:textId="77777777" w:rsidR="00014087" w:rsidRPr="00091776" w:rsidRDefault="00014087" w:rsidP="00493314">
      <w:pPr>
        <w:pStyle w:val="ListParagraph"/>
        <w:numPr>
          <w:ilvl w:val="0"/>
          <w:numId w:val="6"/>
        </w:numPr>
        <w:spacing w:line="240" w:lineRule="auto"/>
        <w:rPr>
          <w:rFonts w:cs="Arial"/>
        </w:rPr>
      </w:pPr>
      <w:r w:rsidRPr="00091776">
        <w:rPr>
          <w:rFonts w:cs="Arial"/>
        </w:rPr>
        <w:t xml:space="preserve">Enablers </w:t>
      </w:r>
      <w:r w:rsidR="00523D66" w:rsidRPr="00091776">
        <w:rPr>
          <w:rFonts w:cs="Arial"/>
        </w:rPr>
        <w:t>of</w:t>
      </w:r>
      <w:r w:rsidR="00F4702F" w:rsidRPr="00091776">
        <w:rPr>
          <w:rFonts w:cs="Arial"/>
        </w:rPr>
        <w:t xml:space="preserve"> </w:t>
      </w:r>
      <w:r w:rsidRPr="00091776">
        <w:rPr>
          <w:rFonts w:cs="Arial"/>
        </w:rPr>
        <w:t>increasing deprescribing practice</w:t>
      </w:r>
    </w:p>
    <w:p w14:paraId="732F10C7" w14:textId="77777777" w:rsidR="00014087" w:rsidRPr="00091776" w:rsidRDefault="00014087" w:rsidP="00493314">
      <w:pPr>
        <w:spacing w:line="240" w:lineRule="auto"/>
        <w:rPr>
          <w:rFonts w:cs="Arial"/>
        </w:rPr>
      </w:pPr>
    </w:p>
    <w:p w14:paraId="5FDEF48C" w14:textId="2D3CEDE7" w:rsidR="002E627F" w:rsidRDefault="007B658B" w:rsidP="00493314">
      <w:pPr>
        <w:spacing w:line="240" w:lineRule="auto"/>
        <w:rPr>
          <w:rFonts w:cs="Arial"/>
        </w:rPr>
      </w:pPr>
      <w:r w:rsidRPr="00091776">
        <w:rPr>
          <w:rFonts w:cs="Arial"/>
        </w:rPr>
        <w:t>We adapted s</w:t>
      </w:r>
      <w:r w:rsidR="00014087" w:rsidRPr="00091776">
        <w:rPr>
          <w:rFonts w:cs="Arial"/>
        </w:rPr>
        <w:t xml:space="preserve">tandard questions </w:t>
      </w:r>
      <w:r w:rsidR="00656F24" w:rsidRPr="00091776">
        <w:rPr>
          <w:rFonts w:cs="Arial"/>
        </w:rPr>
        <w:t>to elicit barriers and enablers to deprescribing within</w:t>
      </w:r>
      <w:r w:rsidR="00014087" w:rsidRPr="00091776">
        <w:rPr>
          <w:rFonts w:cs="Arial"/>
        </w:rPr>
        <w:t xml:space="preserve"> all 14 TDF domains </w:t>
      </w:r>
      <w:r w:rsidR="00B9784E" w:rsidRPr="00091776">
        <w:rPr>
          <w:rFonts w:cs="Arial"/>
        </w:rPr>
        <w:t>and</w:t>
      </w:r>
      <w:r w:rsidR="00014087" w:rsidRPr="00091776">
        <w:rPr>
          <w:rFonts w:cs="Arial"/>
        </w:rPr>
        <w:t xml:space="preserve"> </w:t>
      </w:r>
      <w:r w:rsidRPr="00091776">
        <w:rPr>
          <w:rFonts w:cs="Arial"/>
        </w:rPr>
        <w:t>used them as</w:t>
      </w:r>
      <w:r w:rsidR="00014087" w:rsidRPr="00091776">
        <w:rPr>
          <w:rFonts w:cs="Arial"/>
        </w:rPr>
        <w:t xml:space="preserve"> probes to ensure full coverage of the TDF</w:t>
      </w:r>
      <w:r w:rsidR="007626FD" w:rsidRPr="00091776">
        <w:rPr>
          <w:rFonts w:cs="Arial"/>
        </w:rPr>
        <w:t xml:space="preserve"> </w:t>
      </w:r>
      <w:r w:rsidR="001555C9" w:rsidRPr="00091776">
        <w:rPr>
          <w:rFonts w:cs="Arial"/>
        </w:rPr>
        <w:t>in discussions</w:t>
      </w:r>
      <w:r w:rsidR="00014087" w:rsidRPr="00091776">
        <w:rPr>
          <w:rFonts w:cs="Arial"/>
        </w:rPr>
        <w:t xml:space="preserve">. </w:t>
      </w:r>
      <w:r w:rsidR="002E627F" w:rsidRPr="002E627F">
        <w:rPr>
          <w:rFonts w:cs="Arial"/>
        </w:rPr>
        <w:t>We piloted the topic guide</w:t>
      </w:r>
      <w:r w:rsidR="000D14B3">
        <w:rPr>
          <w:rFonts w:cs="Arial"/>
        </w:rPr>
        <w:t xml:space="preserve"> with</w:t>
      </w:r>
      <w:r w:rsidR="002E627F" w:rsidRPr="002E627F">
        <w:rPr>
          <w:rFonts w:cs="Arial"/>
        </w:rPr>
        <w:t xml:space="preserve"> </w:t>
      </w:r>
      <w:r w:rsidR="000D14B3">
        <w:rPr>
          <w:rFonts w:cs="Arial"/>
        </w:rPr>
        <w:t>geriatrician and pharmacist</w:t>
      </w:r>
      <w:r w:rsidR="002E627F" w:rsidRPr="002E627F">
        <w:rPr>
          <w:rFonts w:cs="Arial"/>
        </w:rPr>
        <w:t xml:space="preserve"> collaborators</w:t>
      </w:r>
      <w:r w:rsidR="000D14B3">
        <w:rPr>
          <w:rFonts w:cs="Arial"/>
        </w:rPr>
        <w:t xml:space="preserve"> (n=3)</w:t>
      </w:r>
      <w:r w:rsidR="002E627F" w:rsidRPr="002E627F">
        <w:rPr>
          <w:rFonts w:cs="Arial"/>
        </w:rPr>
        <w:t xml:space="preserve"> who were </w:t>
      </w:r>
      <w:r w:rsidR="000D14B3">
        <w:rPr>
          <w:rFonts w:cs="Arial"/>
        </w:rPr>
        <w:t>representative of the target focus group population</w:t>
      </w:r>
      <w:r w:rsidR="00723928">
        <w:rPr>
          <w:rFonts w:cs="Arial"/>
        </w:rPr>
        <w:t>;</w:t>
      </w:r>
      <w:r w:rsidR="002E627F" w:rsidRPr="002E627F">
        <w:rPr>
          <w:rFonts w:cs="Arial"/>
        </w:rPr>
        <w:t xml:space="preserve"> </w:t>
      </w:r>
      <w:r w:rsidR="00723928">
        <w:rPr>
          <w:rFonts w:cs="Arial"/>
        </w:rPr>
        <w:t>t</w:t>
      </w:r>
      <w:r w:rsidR="000D14B3">
        <w:rPr>
          <w:rFonts w:cs="Arial"/>
        </w:rPr>
        <w:t xml:space="preserve">hey </w:t>
      </w:r>
      <w:r w:rsidR="002E627F" w:rsidRPr="002E627F">
        <w:rPr>
          <w:rFonts w:cs="Arial"/>
        </w:rPr>
        <w:t xml:space="preserve">did not participate in the study. The purpose of the piloting was to check understanding of questions, ascertain the depth of data generated from the guide, and assess </w:t>
      </w:r>
      <w:r w:rsidR="001B3ECF">
        <w:rPr>
          <w:rFonts w:cs="Arial"/>
        </w:rPr>
        <w:t>the feasibility of</w:t>
      </w:r>
      <w:r w:rsidR="002E627F" w:rsidRPr="002E627F">
        <w:rPr>
          <w:rFonts w:cs="Arial"/>
        </w:rPr>
        <w:t xml:space="preserve"> </w:t>
      </w:r>
      <w:r w:rsidR="006D1417">
        <w:rPr>
          <w:rFonts w:cs="Arial"/>
        </w:rPr>
        <w:t>covering all TDF domains</w:t>
      </w:r>
      <w:r w:rsidR="002E627F" w:rsidRPr="002E627F">
        <w:rPr>
          <w:rFonts w:cs="Arial"/>
        </w:rPr>
        <w:t xml:space="preserve"> in the allotted time.</w:t>
      </w:r>
    </w:p>
    <w:p w14:paraId="735E76BA" w14:textId="3D165A5B" w:rsidR="0027443F" w:rsidRPr="00091776" w:rsidRDefault="00A504D6" w:rsidP="00493314">
      <w:pPr>
        <w:spacing w:line="240" w:lineRule="auto"/>
        <w:rPr>
          <w:rFonts w:cs="Arial"/>
        </w:rPr>
      </w:pPr>
      <w:r w:rsidRPr="00091776">
        <w:rPr>
          <w:rFonts w:cs="Arial"/>
        </w:rPr>
        <w:t>We collected f</w:t>
      </w:r>
      <w:r w:rsidR="006B543E" w:rsidRPr="00091776">
        <w:rPr>
          <w:rFonts w:cs="Arial"/>
        </w:rPr>
        <w:t xml:space="preserve">ocus group data </w:t>
      </w:r>
      <w:r w:rsidR="00BB43AF" w:rsidRPr="00091776">
        <w:rPr>
          <w:rFonts w:cs="Arial"/>
        </w:rPr>
        <w:t xml:space="preserve">between February and May 2018. </w:t>
      </w:r>
      <w:r w:rsidR="00B76B6C" w:rsidRPr="00091776">
        <w:rPr>
          <w:rFonts w:cs="Arial"/>
        </w:rPr>
        <w:t xml:space="preserve">We obtained </w:t>
      </w:r>
      <w:r w:rsidR="00FA735B" w:rsidRPr="00091776">
        <w:rPr>
          <w:rFonts w:cs="Arial"/>
        </w:rPr>
        <w:t xml:space="preserve">consent at the beginning of </w:t>
      </w:r>
      <w:r w:rsidR="00311F16" w:rsidRPr="00091776">
        <w:rPr>
          <w:rFonts w:cs="Arial"/>
        </w:rPr>
        <w:t>each focus group</w:t>
      </w:r>
      <w:r w:rsidR="00B76B6C" w:rsidRPr="00091776">
        <w:rPr>
          <w:rFonts w:cs="Arial"/>
        </w:rPr>
        <w:t xml:space="preserve"> and convened them </w:t>
      </w:r>
      <w:r w:rsidR="000C2F16" w:rsidRPr="00091776">
        <w:rPr>
          <w:rFonts w:cs="Arial"/>
        </w:rPr>
        <w:t>in meeting rooms at the hospital</w:t>
      </w:r>
      <w:r w:rsidR="00723928">
        <w:rPr>
          <w:rFonts w:cs="Arial"/>
        </w:rPr>
        <w:t>s</w:t>
      </w:r>
      <w:r w:rsidR="00B76B6C" w:rsidRPr="00091776">
        <w:rPr>
          <w:rFonts w:cs="Arial"/>
        </w:rPr>
        <w:t>. T</w:t>
      </w:r>
      <w:r w:rsidR="00FA735B" w:rsidRPr="00091776">
        <w:rPr>
          <w:rFonts w:cs="Arial"/>
        </w:rPr>
        <w:t xml:space="preserve">wo </w:t>
      </w:r>
      <w:r w:rsidR="005F6329" w:rsidRPr="00091776">
        <w:rPr>
          <w:rFonts w:cs="Arial"/>
        </w:rPr>
        <w:t xml:space="preserve">academic pharmacist </w:t>
      </w:r>
      <w:r w:rsidR="00FA735B" w:rsidRPr="00091776">
        <w:rPr>
          <w:rFonts w:cs="Arial"/>
        </w:rPr>
        <w:t xml:space="preserve">researchers (SS and </w:t>
      </w:r>
      <w:r w:rsidR="001A4C0F" w:rsidRPr="00091776">
        <w:rPr>
          <w:rFonts w:cs="Arial"/>
        </w:rPr>
        <w:t>DB</w:t>
      </w:r>
      <w:r w:rsidR="00FA735B" w:rsidRPr="00091776">
        <w:rPr>
          <w:rFonts w:cs="Arial"/>
        </w:rPr>
        <w:t>)</w:t>
      </w:r>
      <w:r w:rsidR="00B76B6C" w:rsidRPr="00091776">
        <w:rPr>
          <w:rFonts w:cs="Arial"/>
        </w:rPr>
        <w:t xml:space="preserve"> </w:t>
      </w:r>
      <w:r w:rsidR="00723928">
        <w:rPr>
          <w:rFonts w:cs="Arial"/>
        </w:rPr>
        <w:t>facilitated</w:t>
      </w:r>
      <w:r w:rsidR="00B76B6C" w:rsidRPr="00091776">
        <w:rPr>
          <w:rFonts w:cs="Arial"/>
        </w:rPr>
        <w:t xml:space="preserve">, </w:t>
      </w:r>
      <w:r w:rsidR="0027443F" w:rsidRPr="00091776">
        <w:rPr>
          <w:rFonts w:cs="Arial"/>
        </w:rPr>
        <w:t>made field notes</w:t>
      </w:r>
      <w:r w:rsidR="004022BD" w:rsidRPr="00091776">
        <w:rPr>
          <w:rFonts w:cs="Arial"/>
        </w:rPr>
        <w:t xml:space="preserve"> during the </w:t>
      </w:r>
      <w:r w:rsidR="00B76B6C" w:rsidRPr="00091776">
        <w:rPr>
          <w:rFonts w:cs="Arial"/>
        </w:rPr>
        <w:t>discussions and</w:t>
      </w:r>
      <w:r w:rsidR="0027443F" w:rsidRPr="00091776">
        <w:rPr>
          <w:rFonts w:cs="Arial"/>
        </w:rPr>
        <w:t xml:space="preserve"> audio recorded</w:t>
      </w:r>
      <w:r w:rsidR="00B76B6C" w:rsidRPr="00091776">
        <w:rPr>
          <w:rFonts w:cs="Arial"/>
        </w:rPr>
        <w:t xml:space="preserve"> the</w:t>
      </w:r>
      <w:r w:rsidR="009F1511" w:rsidRPr="00091776">
        <w:rPr>
          <w:rFonts w:cs="Arial"/>
        </w:rPr>
        <w:t xml:space="preserve"> events</w:t>
      </w:r>
      <w:r w:rsidR="0027443F" w:rsidRPr="00091776">
        <w:rPr>
          <w:rFonts w:cs="Arial"/>
        </w:rPr>
        <w:t>.</w:t>
      </w:r>
      <w:r w:rsidR="00C0404F">
        <w:rPr>
          <w:rFonts w:cs="Arial"/>
        </w:rPr>
        <w:t xml:space="preserve"> </w:t>
      </w:r>
      <w:r w:rsidR="00C0404F" w:rsidRPr="00C0404F">
        <w:rPr>
          <w:rFonts w:cs="Arial"/>
        </w:rPr>
        <w:t>SS completed training in qualitative research methodology and the principles and practice of behaviour change research</w:t>
      </w:r>
      <w:r w:rsidR="00C0404F">
        <w:rPr>
          <w:rFonts w:cs="Arial"/>
        </w:rPr>
        <w:t xml:space="preserve"> prior to the study. DB has extensive experience of conducting qualitative research underpinned by behaviour change theory.</w:t>
      </w:r>
    </w:p>
    <w:p w14:paraId="09FDABF1" w14:textId="77777777" w:rsidR="00FA735B" w:rsidRPr="00091776" w:rsidRDefault="00FA735B" w:rsidP="00493314">
      <w:pPr>
        <w:spacing w:line="240" w:lineRule="auto"/>
        <w:rPr>
          <w:rFonts w:cs="Arial"/>
        </w:rPr>
      </w:pPr>
    </w:p>
    <w:p w14:paraId="63BA0574" w14:textId="77777777" w:rsidR="00FA735B" w:rsidRPr="00091776" w:rsidRDefault="00B37D57" w:rsidP="00493314">
      <w:pPr>
        <w:spacing w:line="240" w:lineRule="auto"/>
        <w:rPr>
          <w:rFonts w:cs="Arial"/>
          <w:b/>
        </w:rPr>
      </w:pPr>
      <w:r w:rsidRPr="00091776">
        <w:rPr>
          <w:rFonts w:cs="Arial"/>
          <w:b/>
        </w:rPr>
        <w:t>A</w:t>
      </w:r>
      <w:r w:rsidR="00AD57FE" w:rsidRPr="00091776">
        <w:rPr>
          <w:rFonts w:cs="Arial"/>
          <w:b/>
        </w:rPr>
        <w:t>nalysis</w:t>
      </w:r>
    </w:p>
    <w:p w14:paraId="7270293A" w14:textId="1D953831" w:rsidR="00C73D53" w:rsidRPr="00091776" w:rsidRDefault="00353B62" w:rsidP="00493314">
      <w:pPr>
        <w:spacing w:line="240" w:lineRule="auto"/>
        <w:rPr>
          <w:rFonts w:cs="Arial"/>
        </w:rPr>
      </w:pPr>
      <w:r w:rsidRPr="00091776">
        <w:rPr>
          <w:rFonts w:cs="Arial"/>
        </w:rPr>
        <w:t>A research administrator transcribed verbatim f</w:t>
      </w:r>
      <w:r w:rsidR="00FA735B" w:rsidRPr="00091776">
        <w:rPr>
          <w:rFonts w:cs="Arial"/>
        </w:rPr>
        <w:t>ocus group recordings</w:t>
      </w:r>
      <w:r w:rsidRPr="00091776">
        <w:rPr>
          <w:rFonts w:cs="Arial"/>
        </w:rPr>
        <w:t xml:space="preserve"> </w:t>
      </w:r>
      <w:r w:rsidR="009A12BE" w:rsidRPr="00091776">
        <w:rPr>
          <w:rFonts w:cs="Arial"/>
        </w:rPr>
        <w:t>that</w:t>
      </w:r>
      <w:r w:rsidR="00FA735B" w:rsidRPr="00091776">
        <w:rPr>
          <w:rFonts w:cs="Arial"/>
        </w:rPr>
        <w:t xml:space="preserve"> were </w:t>
      </w:r>
      <w:r w:rsidRPr="00091776">
        <w:rPr>
          <w:rFonts w:cs="Arial"/>
        </w:rPr>
        <w:t>then</w:t>
      </w:r>
      <w:r w:rsidR="00FA735B" w:rsidRPr="00091776">
        <w:rPr>
          <w:rFonts w:cs="Arial"/>
        </w:rPr>
        <w:t xml:space="preserve"> anonymised and checked for accuracy by a researcher</w:t>
      </w:r>
      <w:r w:rsidR="00943A44" w:rsidRPr="00091776">
        <w:rPr>
          <w:rFonts w:cs="Arial"/>
        </w:rPr>
        <w:t xml:space="preserve"> (</w:t>
      </w:r>
      <w:r w:rsidR="00AF2F84" w:rsidRPr="00091776">
        <w:rPr>
          <w:rFonts w:cs="Arial"/>
        </w:rPr>
        <w:t>SS</w:t>
      </w:r>
      <w:r w:rsidR="00943A44" w:rsidRPr="00091776">
        <w:rPr>
          <w:rFonts w:cs="Arial"/>
        </w:rPr>
        <w:t>)</w:t>
      </w:r>
      <w:r w:rsidR="00FA735B" w:rsidRPr="00091776">
        <w:rPr>
          <w:rFonts w:cs="Arial"/>
        </w:rPr>
        <w:t xml:space="preserve">. </w:t>
      </w:r>
      <w:r w:rsidR="00933E98" w:rsidRPr="00091776">
        <w:rPr>
          <w:rFonts w:cs="Arial"/>
        </w:rPr>
        <w:t>We</w:t>
      </w:r>
      <w:r w:rsidR="00944851" w:rsidRPr="00091776">
        <w:rPr>
          <w:rFonts w:cs="Arial"/>
        </w:rPr>
        <w:t xml:space="preserve"> imported</w:t>
      </w:r>
      <w:r w:rsidR="00933E98" w:rsidRPr="00091776">
        <w:rPr>
          <w:rFonts w:cs="Arial"/>
        </w:rPr>
        <w:t xml:space="preserve"> data</w:t>
      </w:r>
      <w:r w:rsidR="00944851" w:rsidRPr="00091776">
        <w:rPr>
          <w:rFonts w:cs="Arial"/>
        </w:rPr>
        <w:t xml:space="preserve"> into </w:t>
      </w:r>
      <w:r w:rsidR="00FA735B" w:rsidRPr="00091776">
        <w:rPr>
          <w:rFonts w:cs="Arial"/>
        </w:rPr>
        <w:t xml:space="preserve">NVivo 11 </w:t>
      </w:r>
      <w:r w:rsidR="00AE3D6E" w:rsidRPr="00091776">
        <w:rPr>
          <w:rFonts w:cs="Arial"/>
        </w:rPr>
        <w:t xml:space="preserve">(QSR International, Melbourne, Australia) </w:t>
      </w:r>
      <w:r w:rsidR="00944851" w:rsidRPr="00091776">
        <w:rPr>
          <w:rFonts w:cs="Arial"/>
        </w:rPr>
        <w:t xml:space="preserve">to facilitate </w:t>
      </w:r>
      <w:r w:rsidR="00E00A53" w:rsidRPr="00091776">
        <w:rPr>
          <w:rFonts w:cs="Arial"/>
        </w:rPr>
        <w:t xml:space="preserve">the following </w:t>
      </w:r>
      <w:r w:rsidR="007F2A82" w:rsidRPr="00091776">
        <w:rPr>
          <w:rFonts w:cs="Arial"/>
        </w:rPr>
        <w:t>three</w:t>
      </w:r>
      <w:r w:rsidR="007D7CFE" w:rsidRPr="00091776">
        <w:rPr>
          <w:rFonts w:cs="Arial"/>
        </w:rPr>
        <w:t xml:space="preserve"> </w:t>
      </w:r>
      <w:r w:rsidR="007F2A82" w:rsidRPr="00091776">
        <w:rPr>
          <w:rFonts w:cs="Arial"/>
        </w:rPr>
        <w:t>phases</w:t>
      </w:r>
      <w:r w:rsidR="00E00A53" w:rsidRPr="00091776">
        <w:rPr>
          <w:rFonts w:cs="Arial"/>
        </w:rPr>
        <w:t xml:space="preserve"> of </w:t>
      </w:r>
      <w:r w:rsidR="00944851" w:rsidRPr="00091776">
        <w:rPr>
          <w:rFonts w:cs="Arial"/>
        </w:rPr>
        <w:t>analysis</w:t>
      </w:r>
      <w:r w:rsidR="00E00A53" w:rsidRPr="00091776">
        <w:rPr>
          <w:rFonts w:cs="Arial"/>
        </w:rPr>
        <w:t xml:space="preserve">: 1. </w:t>
      </w:r>
      <w:r w:rsidR="00B669B1" w:rsidRPr="00091776">
        <w:rPr>
          <w:rFonts w:cs="Arial"/>
        </w:rPr>
        <w:t>Thematic analysis to identify</w:t>
      </w:r>
      <w:r w:rsidR="00E00A53" w:rsidRPr="00091776">
        <w:rPr>
          <w:rFonts w:cs="Arial"/>
        </w:rPr>
        <w:t xml:space="preserve"> </w:t>
      </w:r>
      <w:r w:rsidR="00E077CA" w:rsidRPr="00091776">
        <w:rPr>
          <w:rFonts w:cs="Arial"/>
        </w:rPr>
        <w:t xml:space="preserve">determinants of deprescribing in hospital, 2. </w:t>
      </w:r>
      <w:r w:rsidR="007D7CFE" w:rsidRPr="00091776">
        <w:rPr>
          <w:rFonts w:cs="Arial"/>
        </w:rPr>
        <w:t xml:space="preserve">Mapping </w:t>
      </w:r>
      <w:r w:rsidR="007F2A82" w:rsidRPr="00091776">
        <w:rPr>
          <w:rFonts w:cs="Arial"/>
        </w:rPr>
        <w:t xml:space="preserve">of </w:t>
      </w:r>
      <w:r w:rsidR="00536068" w:rsidRPr="00091776">
        <w:rPr>
          <w:rFonts w:cs="Arial"/>
        </w:rPr>
        <w:t>all identified</w:t>
      </w:r>
      <w:r w:rsidR="007F2A82" w:rsidRPr="00091776">
        <w:rPr>
          <w:rFonts w:cs="Arial"/>
        </w:rPr>
        <w:t xml:space="preserve"> </w:t>
      </w:r>
      <w:r w:rsidR="00B669B1" w:rsidRPr="00091776">
        <w:rPr>
          <w:rFonts w:cs="Arial"/>
        </w:rPr>
        <w:t>determinants of deprescribing to the</w:t>
      </w:r>
      <w:r w:rsidR="007D7CFE" w:rsidRPr="00091776">
        <w:rPr>
          <w:rFonts w:cs="Arial"/>
        </w:rPr>
        <w:t xml:space="preserve"> </w:t>
      </w:r>
      <w:r w:rsidR="00B669B1" w:rsidRPr="00091776">
        <w:rPr>
          <w:rFonts w:cs="Arial"/>
        </w:rPr>
        <w:t>TDF</w:t>
      </w:r>
      <w:r w:rsidR="007F2A82" w:rsidRPr="00091776">
        <w:rPr>
          <w:rFonts w:cs="Arial"/>
        </w:rPr>
        <w:t xml:space="preserve"> and 3. Prioritising TDF domains for targeting in a deprescribing intervention and </w:t>
      </w:r>
      <w:r w:rsidR="008C15E8" w:rsidRPr="00091776">
        <w:rPr>
          <w:rFonts w:cs="Arial"/>
        </w:rPr>
        <w:t>identify</w:t>
      </w:r>
      <w:r w:rsidR="007F2A82" w:rsidRPr="00091776">
        <w:rPr>
          <w:rFonts w:cs="Arial"/>
        </w:rPr>
        <w:t xml:space="preserve"> the BCTs linked to these domains.</w:t>
      </w:r>
      <w:r w:rsidR="00C73D53" w:rsidRPr="00091776">
        <w:rPr>
          <w:rFonts w:cs="Arial"/>
        </w:rPr>
        <w:t xml:space="preserve"> </w:t>
      </w:r>
      <w:r w:rsidR="00F645C2" w:rsidRPr="00091776">
        <w:rPr>
          <w:rFonts w:cs="Arial"/>
        </w:rPr>
        <w:t>We shared a</w:t>
      </w:r>
      <w:r w:rsidR="00C73D53" w:rsidRPr="00091776">
        <w:rPr>
          <w:rFonts w:cs="Arial"/>
        </w:rPr>
        <w:t xml:space="preserve">ll processes of the analysis </w:t>
      </w:r>
      <w:r w:rsidR="009A12BE" w:rsidRPr="00091776">
        <w:rPr>
          <w:rFonts w:cs="Arial"/>
        </w:rPr>
        <w:t>with the study management group, which</w:t>
      </w:r>
      <w:r w:rsidR="00C73D53" w:rsidRPr="00091776">
        <w:rPr>
          <w:rFonts w:cs="Arial"/>
        </w:rPr>
        <w:t xml:space="preserve"> included geriatricians, clinical pharmacists</w:t>
      </w:r>
      <w:r w:rsidR="00D4014A" w:rsidRPr="00091776">
        <w:rPr>
          <w:rFonts w:cs="Arial"/>
        </w:rPr>
        <w:t>, and</w:t>
      </w:r>
      <w:r w:rsidR="00C73D53" w:rsidRPr="00091776">
        <w:rPr>
          <w:rFonts w:cs="Arial"/>
        </w:rPr>
        <w:t xml:space="preserve"> patient and caregiver representatives</w:t>
      </w:r>
      <w:r w:rsidR="00270A4B" w:rsidRPr="00091776">
        <w:rPr>
          <w:rFonts w:cs="Arial"/>
        </w:rPr>
        <w:t xml:space="preserve">, to enhance </w:t>
      </w:r>
      <w:r w:rsidR="00730B02" w:rsidRPr="00091776">
        <w:rPr>
          <w:rFonts w:cs="Arial"/>
        </w:rPr>
        <w:t>transparency and validity of interpretation.</w:t>
      </w:r>
    </w:p>
    <w:p w14:paraId="53EA7A19" w14:textId="77777777" w:rsidR="00C73D53" w:rsidRPr="00091776" w:rsidRDefault="00C73D53" w:rsidP="00493314">
      <w:pPr>
        <w:spacing w:line="240" w:lineRule="auto"/>
        <w:rPr>
          <w:rFonts w:cs="Arial"/>
        </w:rPr>
      </w:pPr>
    </w:p>
    <w:p w14:paraId="655AFDCD" w14:textId="77777777" w:rsidR="00E077CA" w:rsidRPr="00091776" w:rsidRDefault="005C3E1C" w:rsidP="00493314">
      <w:pPr>
        <w:spacing w:line="240" w:lineRule="auto"/>
        <w:rPr>
          <w:rFonts w:cs="Arial"/>
        </w:rPr>
      </w:pPr>
      <w:r w:rsidRPr="00091776">
        <w:rPr>
          <w:rFonts w:cs="Arial"/>
        </w:rPr>
        <w:t>Phase</w:t>
      </w:r>
      <w:r w:rsidR="00E97560" w:rsidRPr="00091776">
        <w:rPr>
          <w:rFonts w:cs="Arial"/>
        </w:rPr>
        <w:t xml:space="preserve"> </w:t>
      </w:r>
      <w:r w:rsidR="00E077CA" w:rsidRPr="00091776">
        <w:rPr>
          <w:rFonts w:cs="Arial"/>
        </w:rPr>
        <w:t xml:space="preserve">1: </w:t>
      </w:r>
      <w:r w:rsidR="008057AE" w:rsidRPr="00091776">
        <w:rPr>
          <w:rFonts w:cs="Arial"/>
        </w:rPr>
        <w:t>Thematic analysis</w:t>
      </w:r>
    </w:p>
    <w:p w14:paraId="6EC790D0" w14:textId="7F43AF3C" w:rsidR="00190453" w:rsidRPr="00091776" w:rsidRDefault="00393E61" w:rsidP="00493314">
      <w:pPr>
        <w:spacing w:line="240" w:lineRule="auto"/>
        <w:rPr>
          <w:rFonts w:cs="Arial"/>
        </w:rPr>
      </w:pPr>
      <w:r w:rsidRPr="00091776">
        <w:rPr>
          <w:rFonts w:cs="Arial"/>
        </w:rPr>
        <w:t>We</w:t>
      </w:r>
      <w:r w:rsidR="00C13169" w:rsidRPr="00091776">
        <w:rPr>
          <w:rFonts w:cs="Arial"/>
        </w:rPr>
        <w:t xml:space="preserve"> initially</w:t>
      </w:r>
      <w:r w:rsidR="00944851" w:rsidRPr="00091776">
        <w:rPr>
          <w:rFonts w:cs="Arial"/>
        </w:rPr>
        <w:t xml:space="preserve"> analysed </w:t>
      </w:r>
      <w:r w:rsidRPr="00091776">
        <w:rPr>
          <w:rFonts w:cs="Arial"/>
        </w:rPr>
        <w:t xml:space="preserve">data </w:t>
      </w:r>
      <w:r w:rsidR="00944851" w:rsidRPr="00091776">
        <w:rPr>
          <w:rFonts w:cs="Arial"/>
        </w:rPr>
        <w:t xml:space="preserve">through the customary steps of thematic analysis </w:t>
      </w:r>
      <w:r w:rsidR="00C13169" w:rsidRPr="00091776">
        <w:rPr>
          <w:rFonts w:cs="Arial"/>
        </w:rPr>
        <w:t xml:space="preserve">to ensure </w:t>
      </w:r>
      <w:r w:rsidR="003A1C54" w:rsidRPr="00091776">
        <w:rPr>
          <w:rFonts w:cs="Arial"/>
        </w:rPr>
        <w:t>resu</w:t>
      </w:r>
      <w:r w:rsidR="00612EDC" w:rsidRPr="00091776">
        <w:rPr>
          <w:rFonts w:cs="Arial"/>
        </w:rPr>
        <w:t>ltant themes were not restricted</w:t>
      </w:r>
      <w:r w:rsidR="003A1C54" w:rsidRPr="00091776">
        <w:rPr>
          <w:rFonts w:cs="Arial"/>
        </w:rPr>
        <w:t xml:space="preserve"> to the pre-defined TDF domains</w:t>
      </w:r>
      <w:r w:rsidR="00787424" w:rsidRPr="00091776">
        <w:rPr>
          <w:rFonts w:cs="Arial"/>
        </w:rPr>
        <w:fldChar w:fldCharType="begin" w:fldLock="1"/>
      </w:r>
      <w:r w:rsidR="00FC483E">
        <w:rPr>
          <w:rFonts w:cs="Arial"/>
        </w:rPr>
        <w:instrText>ADDIN CSL_CITATION {"citationItems":[{"id":"ITEM-1","itemData":{"ISSN":"1478-0887","author":[{"dropping-particle":"","family":"Braun","given":"Virginia","non-dropping-particle":"","parse-names":false,"suffix":""},{"dropping-particle":"","family":"Clarke","given":"Victoria","non-dropping-particle":"","parse-names":false,"suffix":""}],"container-title":"Qualitative research in psychology","id":"ITEM-1","issue":"2","issued":{"date-parts":[["2006"]]},"note":"Theme - something important in the data in relation to the research question","page":"77-101","publisher":"Taylor &amp; Francis","title":"Using thematic analysis in psychology","type":"article-journal","volume":"3"},"uris":["http://www.mendeley.com/documents/?uuid=c6529d14-33c9-493b-ab90-d691a89f473d"]}],"mendeley":{"formattedCitation":"[18]","plainTextFormattedCitation":"[18]","previouslyFormattedCitation":"[19]"},"properties":{"noteIndex":0},"schema":"https://github.com/citation-style-language/schema/raw/master/csl-citation.json"}</w:instrText>
      </w:r>
      <w:r w:rsidR="00787424" w:rsidRPr="00091776">
        <w:rPr>
          <w:rFonts w:cs="Arial"/>
        </w:rPr>
        <w:fldChar w:fldCharType="separate"/>
      </w:r>
      <w:r w:rsidR="00FC483E" w:rsidRPr="00FC483E">
        <w:rPr>
          <w:rFonts w:cs="Arial"/>
          <w:noProof/>
        </w:rPr>
        <w:t>[18]</w:t>
      </w:r>
      <w:r w:rsidR="00787424" w:rsidRPr="00091776">
        <w:rPr>
          <w:rFonts w:cs="Arial"/>
        </w:rPr>
        <w:fldChar w:fldCharType="end"/>
      </w:r>
      <w:r w:rsidR="00A453D3" w:rsidRPr="00091776">
        <w:rPr>
          <w:rFonts w:cs="Arial"/>
        </w:rPr>
        <w:t>.</w:t>
      </w:r>
      <w:r w:rsidR="003A1C54" w:rsidRPr="00091776">
        <w:rPr>
          <w:rFonts w:cs="Arial"/>
        </w:rPr>
        <w:t xml:space="preserve"> </w:t>
      </w:r>
      <w:r w:rsidR="00F067EA" w:rsidRPr="00091776">
        <w:rPr>
          <w:rFonts w:cs="Arial"/>
        </w:rPr>
        <w:t>After data familiarisation</w:t>
      </w:r>
      <w:r w:rsidR="00EB3162" w:rsidRPr="00091776">
        <w:rPr>
          <w:rFonts w:cs="Arial"/>
        </w:rPr>
        <w:t xml:space="preserve"> (step 1)</w:t>
      </w:r>
      <w:r w:rsidR="00F067EA" w:rsidRPr="00091776">
        <w:rPr>
          <w:rFonts w:cs="Arial"/>
        </w:rPr>
        <w:t xml:space="preserve">, SS </w:t>
      </w:r>
      <w:r w:rsidR="00F24D01" w:rsidRPr="00091776">
        <w:rPr>
          <w:rFonts w:cs="Arial"/>
        </w:rPr>
        <w:t>cod</w:t>
      </w:r>
      <w:r w:rsidR="00F067EA" w:rsidRPr="00091776">
        <w:rPr>
          <w:rFonts w:cs="Arial"/>
        </w:rPr>
        <w:t>ed inductively</w:t>
      </w:r>
      <w:r w:rsidR="002A4C11" w:rsidRPr="00091776">
        <w:rPr>
          <w:rFonts w:cs="Arial"/>
        </w:rPr>
        <w:t xml:space="preserve"> for barriers and enablers</w:t>
      </w:r>
      <w:r w:rsidR="009657B2" w:rsidRPr="00091776">
        <w:rPr>
          <w:rFonts w:cs="Arial"/>
        </w:rPr>
        <w:t xml:space="preserve"> to deprescribing</w:t>
      </w:r>
      <w:r w:rsidR="00546476" w:rsidRPr="00091776">
        <w:rPr>
          <w:rFonts w:cs="Arial"/>
        </w:rPr>
        <w:t xml:space="preserve"> (step 2)</w:t>
      </w:r>
      <w:r w:rsidR="002A4C11" w:rsidRPr="00091776">
        <w:rPr>
          <w:rFonts w:cs="Arial"/>
        </w:rPr>
        <w:t xml:space="preserve">. </w:t>
      </w:r>
      <w:r w:rsidR="00D85306" w:rsidRPr="00091776">
        <w:rPr>
          <w:rFonts w:cs="Arial"/>
        </w:rPr>
        <w:t xml:space="preserve">Two researchers experienced in qualitative (MJT) and behaviour change (DB) research </w:t>
      </w:r>
      <w:r w:rsidR="002A4C11" w:rsidRPr="00091776">
        <w:rPr>
          <w:rFonts w:cs="Arial"/>
        </w:rPr>
        <w:t xml:space="preserve">reviewed </w:t>
      </w:r>
      <w:r w:rsidR="00D85306" w:rsidRPr="00091776">
        <w:rPr>
          <w:rFonts w:cs="Arial"/>
        </w:rPr>
        <w:t xml:space="preserve">codes </w:t>
      </w:r>
      <w:r w:rsidR="002A4C11" w:rsidRPr="00091776">
        <w:rPr>
          <w:rFonts w:cs="Arial"/>
        </w:rPr>
        <w:t xml:space="preserve">and refined through discussion. </w:t>
      </w:r>
      <w:r w:rsidR="00C13169" w:rsidRPr="00091776">
        <w:rPr>
          <w:rFonts w:cs="Arial"/>
        </w:rPr>
        <w:t>Three researchers (SS, MJT and DB) then categorised the inductive coding and subsequent themes were extracted</w:t>
      </w:r>
      <w:r w:rsidR="00546476" w:rsidRPr="00091776">
        <w:rPr>
          <w:rFonts w:cs="Arial"/>
        </w:rPr>
        <w:t>, reviewed and defined (steps 3-5)</w:t>
      </w:r>
      <w:r w:rsidR="00C13169" w:rsidRPr="00091776">
        <w:rPr>
          <w:rFonts w:cs="Arial"/>
        </w:rPr>
        <w:t>.</w:t>
      </w:r>
      <w:r w:rsidR="00AA424A" w:rsidRPr="00091776">
        <w:rPr>
          <w:rFonts w:cs="Arial"/>
        </w:rPr>
        <w:t xml:space="preserve"> Inductive coding and thematic a</w:t>
      </w:r>
      <w:r w:rsidR="00AE3D6E" w:rsidRPr="00091776">
        <w:rPr>
          <w:rFonts w:cs="Arial"/>
        </w:rPr>
        <w:t>nalysis were</w:t>
      </w:r>
      <w:r w:rsidR="00AA424A" w:rsidRPr="00091776">
        <w:rPr>
          <w:rFonts w:cs="Arial"/>
        </w:rPr>
        <w:t xml:space="preserve"> undertaken</w:t>
      </w:r>
      <w:r w:rsidR="00AE3D6E" w:rsidRPr="00091776">
        <w:rPr>
          <w:rFonts w:cs="Arial"/>
        </w:rPr>
        <w:t xml:space="preserve"> concurrently</w:t>
      </w:r>
      <w:r w:rsidR="00AA424A" w:rsidRPr="00091776">
        <w:rPr>
          <w:rFonts w:cs="Arial"/>
        </w:rPr>
        <w:t xml:space="preserve"> after each focus group.</w:t>
      </w:r>
      <w:r w:rsidR="00190453" w:rsidRPr="00091776">
        <w:rPr>
          <w:rFonts w:cs="Arial"/>
        </w:rPr>
        <w:t xml:space="preserve"> Geriatrician and pharmacist transcripts were initially coded separately and group</w:t>
      </w:r>
      <w:r w:rsidR="00DA49AA">
        <w:rPr>
          <w:rFonts w:cs="Arial"/>
        </w:rPr>
        <w:t>ed</w:t>
      </w:r>
      <w:r w:rsidR="00190453" w:rsidRPr="00091776">
        <w:rPr>
          <w:rFonts w:cs="Arial"/>
        </w:rPr>
        <w:t xml:space="preserve"> into </w:t>
      </w:r>
      <w:r w:rsidR="00155B17" w:rsidRPr="00091776">
        <w:rPr>
          <w:rFonts w:cs="Arial"/>
        </w:rPr>
        <w:t>categories as appropriate. C</w:t>
      </w:r>
      <w:r w:rsidR="00190453" w:rsidRPr="00091776">
        <w:rPr>
          <w:rFonts w:cs="Arial"/>
        </w:rPr>
        <w:t>ategories for both professional groups were then combined to form overarching themes. At all times of data abstraction, constant referral back to transcripts</w:t>
      </w:r>
      <w:r w:rsidR="00155B17" w:rsidRPr="00091776">
        <w:rPr>
          <w:rFonts w:cs="Arial"/>
        </w:rPr>
        <w:t xml:space="preserve">, </w:t>
      </w:r>
      <w:r w:rsidR="00843593" w:rsidRPr="00091776">
        <w:rPr>
          <w:rFonts w:cs="Arial"/>
        </w:rPr>
        <w:t xml:space="preserve">hospital </w:t>
      </w:r>
      <w:r w:rsidR="00DA49AA">
        <w:rPr>
          <w:rFonts w:cs="Arial"/>
        </w:rPr>
        <w:t>contexts</w:t>
      </w:r>
      <w:r w:rsidR="00DA49AA" w:rsidRPr="00091776">
        <w:rPr>
          <w:rFonts w:cs="Arial"/>
        </w:rPr>
        <w:t xml:space="preserve"> </w:t>
      </w:r>
      <w:r w:rsidR="00A104D9" w:rsidRPr="00091776">
        <w:rPr>
          <w:rFonts w:cs="Arial"/>
        </w:rPr>
        <w:t>and</w:t>
      </w:r>
      <w:r w:rsidR="00190453" w:rsidRPr="00091776">
        <w:rPr>
          <w:rFonts w:cs="Arial"/>
        </w:rPr>
        <w:t xml:space="preserve"> codes was undertaken to unsure that the analysis remained true to, and reflected appropriately,</w:t>
      </w:r>
      <w:r w:rsidR="00155B17" w:rsidRPr="00091776">
        <w:rPr>
          <w:rFonts w:cs="Arial"/>
        </w:rPr>
        <w:t xml:space="preserve"> the developing themes.</w:t>
      </w:r>
    </w:p>
    <w:p w14:paraId="790B789D" w14:textId="62A67FBA" w:rsidR="00536068" w:rsidRPr="00091776" w:rsidRDefault="00B83927" w:rsidP="00493314">
      <w:pPr>
        <w:spacing w:line="240" w:lineRule="auto"/>
        <w:rPr>
          <w:rFonts w:cs="Arial"/>
        </w:rPr>
      </w:pPr>
      <w:r w:rsidRPr="00091776">
        <w:rPr>
          <w:rFonts w:cs="Arial"/>
        </w:rPr>
        <w:t>We considered e</w:t>
      </w:r>
      <w:r w:rsidR="00251CC5" w:rsidRPr="00091776">
        <w:rPr>
          <w:rFonts w:cs="Arial"/>
        </w:rPr>
        <w:t>mergent</w:t>
      </w:r>
      <w:r w:rsidR="00534336" w:rsidRPr="00091776">
        <w:rPr>
          <w:rFonts w:cs="Arial"/>
        </w:rPr>
        <w:t xml:space="preserve"> themes </w:t>
      </w:r>
      <w:r w:rsidR="00B27033" w:rsidRPr="00091776">
        <w:rPr>
          <w:rFonts w:cs="Arial"/>
        </w:rPr>
        <w:t>in</w:t>
      </w:r>
      <w:r w:rsidR="00534336" w:rsidRPr="00091776">
        <w:rPr>
          <w:rFonts w:cs="Arial"/>
        </w:rPr>
        <w:t xml:space="preserve"> the conte</w:t>
      </w:r>
      <w:r w:rsidR="00536068" w:rsidRPr="00091776">
        <w:rPr>
          <w:rFonts w:cs="Arial"/>
        </w:rPr>
        <w:t>xt of the existing literature</w:t>
      </w:r>
      <w:r w:rsidRPr="00091776">
        <w:rPr>
          <w:rFonts w:cs="Arial"/>
        </w:rPr>
        <w:t>; we comprehensively reported and described t</w:t>
      </w:r>
      <w:r w:rsidR="00536068" w:rsidRPr="00091776">
        <w:rPr>
          <w:rFonts w:cs="Arial"/>
        </w:rPr>
        <w:t xml:space="preserve">hemes representing novel concepts </w:t>
      </w:r>
      <w:r w:rsidRPr="00091776">
        <w:rPr>
          <w:rFonts w:cs="Arial"/>
        </w:rPr>
        <w:t>and briefly described</w:t>
      </w:r>
      <w:r w:rsidR="00536068" w:rsidRPr="00091776">
        <w:rPr>
          <w:rFonts w:cs="Arial"/>
        </w:rPr>
        <w:t xml:space="preserve"> any themes overlapping with the literature</w:t>
      </w:r>
      <w:r w:rsidR="007168EE" w:rsidRPr="00091776">
        <w:rPr>
          <w:rFonts w:cs="Arial"/>
        </w:rPr>
        <w:fldChar w:fldCharType="begin" w:fldLock="1"/>
      </w:r>
      <w:r w:rsidR="00FC483E">
        <w:rPr>
          <w:rFonts w:cs="Arial"/>
        </w:rPr>
        <w:instrText>ADDIN CSL_CITATION {"citationItems":[{"id":"ITEM-1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uris":["http://www.mendeley.com/documents/?uuid=e5c07fe3-2ebb-4304-96ce-121522e3e111"]}],"mendeley":{"formattedCitation":"[5]","plainTextFormattedCitation":"[5]","previouslyFormattedCitation":"[6]"},"properties":{"noteIndex":0},"schema":"https://github.com/citation-style-language/schema/raw/master/csl-citation.json"}</w:instrText>
      </w:r>
      <w:r w:rsidR="007168EE" w:rsidRPr="00091776">
        <w:rPr>
          <w:rFonts w:cs="Arial"/>
        </w:rPr>
        <w:fldChar w:fldCharType="separate"/>
      </w:r>
      <w:r w:rsidR="00FC483E" w:rsidRPr="00FC483E">
        <w:rPr>
          <w:rFonts w:cs="Arial"/>
          <w:noProof/>
        </w:rPr>
        <w:t>[5]</w:t>
      </w:r>
      <w:r w:rsidR="007168EE" w:rsidRPr="00091776">
        <w:rPr>
          <w:rFonts w:cs="Arial"/>
        </w:rPr>
        <w:fldChar w:fldCharType="end"/>
      </w:r>
      <w:r w:rsidR="00B309CD">
        <w:rPr>
          <w:rFonts w:cs="Arial"/>
        </w:rPr>
        <w:t>.</w:t>
      </w:r>
    </w:p>
    <w:p w14:paraId="481F2562" w14:textId="77777777" w:rsidR="00C2384A" w:rsidRPr="00091776" w:rsidRDefault="00C2384A" w:rsidP="00493314">
      <w:pPr>
        <w:spacing w:line="240" w:lineRule="auto"/>
        <w:rPr>
          <w:rFonts w:cs="Arial"/>
        </w:rPr>
      </w:pPr>
    </w:p>
    <w:p w14:paraId="6DE9EE4D" w14:textId="77777777" w:rsidR="00804DE7" w:rsidRPr="00091776" w:rsidRDefault="005C3E1C" w:rsidP="00493314">
      <w:pPr>
        <w:spacing w:line="240" w:lineRule="auto"/>
        <w:rPr>
          <w:rFonts w:cs="Arial"/>
        </w:rPr>
      </w:pPr>
      <w:r w:rsidRPr="00091776">
        <w:rPr>
          <w:rFonts w:cs="Arial"/>
        </w:rPr>
        <w:t>Phase</w:t>
      </w:r>
      <w:r w:rsidR="00E97560" w:rsidRPr="00091776">
        <w:rPr>
          <w:rFonts w:cs="Arial"/>
        </w:rPr>
        <w:t xml:space="preserve"> </w:t>
      </w:r>
      <w:r w:rsidR="00E077CA" w:rsidRPr="00091776">
        <w:rPr>
          <w:rFonts w:cs="Arial"/>
        </w:rPr>
        <w:t>2</w:t>
      </w:r>
      <w:r w:rsidR="00401BE6" w:rsidRPr="00091776">
        <w:rPr>
          <w:rFonts w:cs="Arial"/>
        </w:rPr>
        <w:t>:</w:t>
      </w:r>
      <w:r w:rsidR="00E077CA" w:rsidRPr="00091776">
        <w:rPr>
          <w:rFonts w:cs="Arial"/>
        </w:rPr>
        <w:t xml:space="preserve"> </w:t>
      </w:r>
      <w:r w:rsidR="000126B4" w:rsidRPr="00091776">
        <w:rPr>
          <w:rFonts w:cs="Arial"/>
        </w:rPr>
        <w:t>Mapping of all determinants of deprescribing to the TDF</w:t>
      </w:r>
    </w:p>
    <w:p w14:paraId="4267E7AC" w14:textId="1BC83D73" w:rsidR="00BB17B5" w:rsidRPr="00091776" w:rsidRDefault="00A357F3" w:rsidP="00493314">
      <w:pPr>
        <w:spacing w:line="240" w:lineRule="auto"/>
        <w:rPr>
          <w:rFonts w:cs="Arial"/>
        </w:rPr>
      </w:pPr>
      <w:r w:rsidRPr="00091776">
        <w:rPr>
          <w:rFonts w:cs="Arial"/>
        </w:rPr>
        <w:lastRenderedPageBreak/>
        <w:t xml:space="preserve">SS and DB re-read the transcripts and mapped inductive codes from </w:t>
      </w:r>
      <w:r w:rsidR="00470B78" w:rsidRPr="00091776">
        <w:rPr>
          <w:rFonts w:cs="Arial"/>
        </w:rPr>
        <w:t xml:space="preserve">phase 1 </w:t>
      </w:r>
      <w:r w:rsidRPr="00091776">
        <w:rPr>
          <w:rFonts w:cs="Arial"/>
        </w:rPr>
        <w:t>to the relevant TDF domain</w:t>
      </w:r>
      <w:r w:rsidR="00470B78" w:rsidRPr="00091776">
        <w:rPr>
          <w:rFonts w:cs="Arial"/>
        </w:rPr>
        <w:t>(s)</w:t>
      </w:r>
      <w:r w:rsidRPr="00091776">
        <w:rPr>
          <w:rFonts w:cs="Arial"/>
        </w:rPr>
        <w:t xml:space="preserve">. </w:t>
      </w:r>
      <w:r w:rsidR="00CC5F1F" w:rsidRPr="00091776">
        <w:rPr>
          <w:rFonts w:cs="Arial"/>
        </w:rPr>
        <w:t xml:space="preserve">We used </w:t>
      </w:r>
      <w:r w:rsidRPr="00091776">
        <w:rPr>
          <w:rFonts w:cs="Arial"/>
        </w:rPr>
        <w:t>the TDF domain definitions</w:t>
      </w:r>
      <w:r w:rsidR="00CC5F1F" w:rsidRPr="00091776">
        <w:rPr>
          <w:rFonts w:cs="Arial"/>
        </w:rPr>
        <w:t xml:space="preserve"> to guide this mapping</w:t>
      </w:r>
      <w:r w:rsidR="009E6062" w:rsidRPr="00091776">
        <w:rPr>
          <w:rFonts w:cs="Arial"/>
        </w:rPr>
        <w:t xml:space="preserve"> and organised </w:t>
      </w:r>
      <w:r w:rsidRPr="00091776">
        <w:rPr>
          <w:rFonts w:cs="Arial"/>
        </w:rPr>
        <w:t>code</w:t>
      </w:r>
      <w:r w:rsidR="00F26C43" w:rsidRPr="00091776">
        <w:rPr>
          <w:rFonts w:cs="Arial"/>
        </w:rPr>
        <w:t xml:space="preserve">d data within each domain </w:t>
      </w:r>
      <w:r w:rsidRPr="00091776">
        <w:rPr>
          <w:rFonts w:cs="Arial"/>
        </w:rPr>
        <w:t>into barriers and enablers to deprescribing</w:t>
      </w:r>
      <w:r w:rsidR="001E61F1" w:rsidRPr="00091776">
        <w:rPr>
          <w:rFonts w:cs="Arial"/>
        </w:rPr>
        <w:fldChar w:fldCharType="begin" w:fldLock="1"/>
      </w:r>
      <w:r w:rsidR="00FC483E">
        <w:rPr>
          <w:rFonts w:cs="Arial"/>
        </w:rPr>
        <w:instrText>ADDIN CSL_CITATION {"citationItems":[{"id":"ITEM-1","itemData":{"DOI":"10.1186/1748-5908-7-37","ISBN":"10.1186/1748-5908-7-37","ISSN":"1748-5908","PMID":"22530986","abstract":"BACKGROUND: An integrative theoretical framework, developed for cross-disciplinary implementation and other behaviour change research, has been applied across a wide range of clinical situations. This study tests the validity of this framework. METHODS: Validity was investigated by behavioural experts sorting 112 unique theoretical constructs using closed and open sort tasks. The extent of replication was tested by Discriminant Content Validation and Fuzzy Cluster Analysis. RESULTS: There was good support for a refinement of the framework comprising 14 domains of theoretical constructs (average silhouette value 0.29): 'Knowledge', 'Skills', 'Social/Professional Role and Identity', 'Beliefs about Capabilities', 'Optimism', 'Beliefs about Consequences', 'Reinforcement', 'Intentions', 'Goals', 'Memory, Attention and Decision Processes', 'Environmental Context and Resources', 'Social Influences', 'Emotions', and 'Behavioural Regulation'. CONCLUSIONS: The refined Theoretical Domains Framework has a strengthened empirical base and provides a method for theoretically assessing implementation problems, as well as professional and other health-related behaviours as a basis for intervention development.","author":[{"dropping-particle":"","family":"Cane","given":"James","non-dropping-particle":"","parse-names":false,"suffix":""},{"dropping-particle":"","family":"O'Connor","given":"Denise","non-dropping-particle":"","parse-names":false,"suffix":""},{"dropping-particle":"","family":"Michie","given":"Susan","non-dropping-particle":"","parse-names":false,"suffix":""}],"container-title":"Implementation Science","id":"ITEM-1","issue":"1","issued":{"date-parts":[["2012"]]},"page":"37","title":"Validation of the theoretical domains framework for use in behaviour change and implementation research","type":"article-journal","volume":"7"},"uris":["http://www.mendeley.com/documents/?uuid=d254d45b-5272-4d3e-9fbc-a938f339b3ef"]}],"mendeley":{"formattedCitation":"[14]","plainTextFormattedCitation":"[14]","previouslyFormattedCitation":"[15]"},"properties":{"noteIndex":0},"schema":"https://github.com/citation-style-language/schema/raw/master/csl-citation.json"}</w:instrText>
      </w:r>
      <w:r w:rsidR="001E61F1" w:rsidRPr="00091776">
        <w:rPr>
          <w:rFonts w:cs="Arial"/>
        </w:rPr>
        <w:fldChar w:fldCharType="separate"/>
      </w:r>
      <w:r w:rsidR="00FC483E" w:rsidRPr="00FC483E">
        <w:rPr>
          <w:rFonts w:cs="Arial"/>
          <w:noProof/>
        </w:rPr>
        <w:t>[14]</w:t>
      </w:r>
      <w:r w:rsidR="001E61F1" w:rsidRPr="00091776">
        <w:rPr>
          <w:rFonts w:cs="Arial"/>
        </w:rPr>
        <w:fldChar w:fldCharType="end"/>
      </w:r>
      <w:r w:rsidR="00A453D3" w:rsidRPr="00091776">
        <w:rPr>
          <w:rFonts w:cs="Arial"/>
        </w:rPr>
        <w:t>.</w:t>
      </w:r>
      <w:r w:rsidRPr="00091776">
        <w:rPr>
          <w:rFonts w:cs="Arial"/>
        </w:rPr>
        <w:t xml:space="preserve"> </w:t>
      </w:r>
      <w:r w:rsidR="00B00479" w:rsidRPr="00091776">
        <w:rPr>
          <w:rFonts w:cs="Arial"/>
        </w:rPr>
        <w:t>We compared our m</w:t>
      </w:r>
      <w:r w:rsidRPr="00091776">
        <w:rPr>
          <w:rFonts w:cs="Arial"/>
        </w:rPr>
        <w:t xml:space="preserve">apping and </w:t>
      </w:r>
      <w:r w:rsidR="00B00479" w:rsidRPr="00091776">
        <w:rPr>
          <w:rFonts w:cs="Arial"/>
        </w:rPr>
        <w:t xml:space="preserve">resolved any </w:t>
      </w:r>
      <w:r w:rsidRPr="00091776">
        <w:rPr>
          <w:rFonts w:cs="Arial"/>
        </w:rPr>
        <w:t xml:space="preserve">disagreements through discussion </w:t>
      </w:r>
      <w:r w:rsidR="00B00479" w:rsidRPr="00091776">
        <w:rPr>
          <w:rFonts w:cs="Arial"/>
        </w:rPr>
        <w:t>and</w:t>
      </w:r>
      <w:r w:rsidRPr="00091776">
        <w:rPr>
          <w:rFonts w:cs="Arial"/>
        </w:rPr>
        <w:t xml:space="preserve"> referral to a third researcher experienced in </w:t>
      </w:r>
      <w:r w:rsidR="00CC18E4" w:rsidRPr="00091776">
        <w:rPr>
          <w:rFonts w:cs="Arial"/>
        </w:rPr>
        <w:t>health psychology</w:t>
      </w:r>
      <w:r w:rsidR="00831D68" w:rsidRPr="00091776">
        <w:rPr>
          <w:rFonts w:cs="Arial"/>
        </w:rPr>
        <w:t xml:space="preserve"> and qualitative research</w:t>
      </w:r>
      <w:r w:rsidRPr="00091776">
        <w:rPr>
          <w:rFonts w:cs="Arial"/>
        </w:rPr>
        <w:t xml:space="preserve"> (JT).</w:t>
      </w:r>
    </w:p>
    <w:p w14:paraId="272F9A50" w14:textId="77777777" w:rsidR="00BB17B5" w:rsidRPr="00091776" w:rsidRDefault="00BB17B5" w:rsidP="00493314">
      <w:pPr>
        <w:spacing w:line="240" w:lineRule="auto"/>
        <w:rPr>
          <w:rFonts w:cs="Arial"/>
        </w:rPr>
      </w:pPr>
    </w:p>
    <w:p w14:paraId="683FA6F5" w14:textId="77777777" w:rsidR="00BB17B5" w:rsidRPr="00091776" w:rsidRDefault="005C3E1C" w:rsidP="00493314">
      <w:pPr>
        <w:spacing w:line="240" w:lineRule="auto"/>
        <w:rPr>
          <w:rFonts w:cs="Arial"/>
        </w:rPr>
      </w:pPr>
      <w:r w:rsidRPr="00091776">
        <w:rPr>
          <w:rFonts w:cs="Arial"/>
        </w:rPr>
        <w:t xml:space="preserve">Phase 3: </w:t>
      </w:r>
      <w:r w:rsidR="00313403" w:rsidRPr="00091776">
        <w:rPr>
          <w:rFonts w:cs="Arial"/>
        </w:rPr>
        <w:t>Prioritising TDF domains for targeting in a deprescribing intervention and identifying the BCTs linked to these domains</w:t>
      </w:r>
    </w:p>
    <w:p w14:paraId="6CF4F22C" w14:textId="77777777" w:rsidR="0060682F" w:rsidRPr="00091776" w:rsidRDefault="0058485B" w:rsidP="00493314">
      <w:pPr>
        <w:spacing w:line="240" w:lineRule="auto"/>
        <w:rPr>
          <w:rFonts w:cs="Arial"/>
        </w:rPr>
      </w:pPr>
      <w:r w:rsidRPr="00091776">
        <w:rPr>
          <w:rFonts w:cs="Arial"/>
        </w:rPr>
        <w:t>T</w:t>
      </w:r>
      <w:r w:rsidR="0041463E" w:rsidRPr="00091776">
        <w:rPr>
          <w:rFonts w:cs="Arial"/>
        </w:rPr>
        <w:t xml:space="preserve">he </w:t>
      </w:r>
      <w:r w:rsidR="00722E86" w:rsidRPr="00091776">
        <w:rPr>
          <w:rFonts w:cs="Arial"/>
        </w:rPr>
        <w:t xml:space="preserve">phase 1 </w:t>
      </w:r>
      <w:r w:rsidR="0041463E" w:rsidRPr="00091776">
        <w:rPr>
          <w:rFonts w:cs="Arial"/>
        </w:rPr>
        <w:t>thematic analysis</w:t>
      </w:r>
      <w:r w:rsidR="00B62E2D" w:rsidRPr="00091776">
        <w:rPr>
          <w:rFonts w:cs="Arial"/>
        </w:rPr>
        <w:t xml:space="preserve"> </w:t>
      </w:r>
      <w:r w:rsidRPr="00091776">
        <w:rPr>
          <w:rFonts w:cs="Arial"/>
        </w:rPr>
        <w:t>provided</w:t>
      </w:r>
      <w:r w:rsidR="0098626E" w:rsidRPr="00091776">
        <w:rPr>
          <w:rFonts w:cs="Arial"/>
        </w:rPr>
        <w:t xml:space="preserve"> a contextualised un</w:t>
      </w:r>
      <w:r w:rsidR="00B62E2D" w:rsidRPr="00091776">
        <w:rPr>
          <w:rFonts w:cs="Arial"/>
        </w:rPr>
        <w:t xml:space="preserve">derstanding of the </w:t>
      </w:r>
      <w:r w:rsidR="0098626E" w:rsidRPr="00091776">
        <w:rPr>
          <w:rFonts w:cs="Arial"/>
        </w:rPr>
        <w:t>barriers and enablers most important to participants for effecting deprescribing behaviour change.</w:t>
      </w:r>
      <w:r w:rsidR="008946D0" w:rsidRPr="00091776">
        <w:rPr>
          <w:rFonts w:cs="Arial"/>
        </w:rPr>
        <w:t xml:space="preserve"> </w:t>
      </w:r>
      <w:r w:rsidRPr="00091776">
        <w:rPr>
          <w:rFonts w:cs="Arial"/>
        </w:rPr>
        <w:t xml:space="preserve">We used this information to prioritise the TDF domains most relevant for a deprescribing intervention. </w:t>
      </w:r>
      <w:r w:rsidR="00EB2A85" w:rsidRPr="00091776">
        <w:rPr>
          <w:rFonts w:cs="Arial"/>
        </w:rPr>
        <w:t>We identified the r</w:t>
      </w:r>
      <w:r w:rsidR="0060682F" w:rsidRPr="00091776">
        <w:rPr>
          <w:rFonts w:cs="Arial"/>
        </w:rPr>
        <w:t xml:space="preserve">elevant domains through consensus discussion between three researchers (SS, MJT, </w:t>
      </w:r>
      <w:proofErr w:type="gramStart"/>
      <w:r w:rsidR="0060682F" w:rsidRPr="00091776">
        <w:rPr>
          <w:rFonts w:cs="Arial"/>
        </w:rPr>
        <w:t>DB</w:t>
      </w:r>
      <w:proofErr w:type="gramEnd"/>
      <w:r w:rsidR="0060682F" w:rsidRPr="00091776">
        <w:rPr>
          <w:rFonts w:cs="Arial"/>
        </w:rPr>
        <w:t xml:space="preserve">) and confirmed by a health psychologist (JT). </w:t>
      </w:r>
    </w:p>
    <w:p w14:paraId="0BFB74C7" w14:textId="72E61B52" w:rsidR="0060682F" w:rsidRPr="00091776" w:rsidRDefault="00F2219E" w:rsidP="00493314">
      <w:pPr>
        <w:spacing w:line="240" w:lineRule="auto"/>
        <w:rPr>
          <w:rFonts w:cs="Arial"/>
        </w:rPr>
      </w:pPr>
      <w:r w:rsidRPr="00091776">
        <w:rPr>
          <w:rFonts w:cs="Arial"/>
        </w:rPr>
        <w:t xml:space="preserve">For each theme, </w:t>
      </w:r>
      <w:r w:rsidR="0095721B" w:rsidRPr="00091776">
        <w:rPr>
          <w:rFonts w:cs="Arial"/>
        </w:rPr>
        <w:t xml:space="preserve">we collated </w:t>
      </w:r>
      <w:r w:rsidRPr="00091776">
        <w:rPr>
          <w:rFonts w:cs="Arial"/>
        </w:rPr>
        <w:t>all barriers and enablers expressed by the collective as exerting a strong impact on deprescribing behaviour and no significant conflicting views</w:t>
      </w:r>
      <w:r w:rsidR="00FB1432" w:rsidRPr="00091776">
        <w:rPr>
          <w:rFonts w:cs="Arial"/>
        </w:rPr>
        <w:t>.</w:t>
      </w:r>
      <w:r w:rsidR="00E72311" w:rsidRPr="00091776">
        <w:rPr>
          <w:rFonts w:cs="Arial"/>
        </w:rPr>
        <w:t xml:space="preserve"> </w:t>
      </w:r>
      <w:r w:rsidR="00670E2D" w:rsidRPr="00091776">
        <w:rPr>
          <w:rFonts w:cs="Arial"/>
        </w:rPr>
        <w:t xml:space="preserve">We prioritised the mapped domain for </w:t>
      </w:r>
      <w:r w:rsidR="00AC6787" w:rsidRPr="00091776">
        <w:rPr>
          <w:rFonts w:cs="Arial"/>
        </w:rPr>
        <w:t xml:space="preserve">each of </w:t>
      </w:r>
      <w:r w:rsidR="00670E2D" w:rsidRPr="00091776">
        <w:rPr>
          <w:rFonts w:cs="Arial"/>
        </w:rPr>
        <w:t>the barriers</w:t>
      </w:r>
      <w:r w:rsidR="00A75E2D" w:rsidRPr="00091776">
        <w:rPr>
          <w:rFonts w:cs="Arial"/>
        </w:rPr>
        <w:t>.</w:t>
      </w:r>
      <w:r w:rsidR="0060682F" w:rsidRPr="00091776">
        <w:rPr>
          <w:rFonts w:cs="Arial"/>
        </w:rPr>
        <w:t xml:space="preserve"> </w:t>
      </w:r>
      <w:r w:rsidR="00AC6787" w:rsidRPr="00091776">
        <w:rPr>
          <w:rFonts w:cs="Arial"/>
        </w:rPr>
        <w:t>F</w:t>
      </w:r>
      <w:r w:rsidR="00D37930" w:rsidRPr="00091776">
        <w:rPr>
          <w:rFonts w:cs="Arial"/>
        </w:rPr>
        <w:t>or the enablers</w:t>
      </w:r>
      <w:r w:rsidR="001148A8" w:rsidRPr="00091776">
        <w:rPr>
          <w:rFonts w:cs="Arial"/>
        </w:rPr>
        <w:t>,</w:t>
      </w:r>
      <w:r w:rsidR="00D37930" w:rsidRPr="00091776">
        <w:rPr>
          <w:rFonts w:cs="Arial"/>
        </w:rPr>
        <w:t xml:space="preserve"> </w:t>
      </w:r>
      <w:r w:rsidR="00AC6787" w:rsidRPr="00091776">
        <w:rPr>
          <w:rFonts w:cs="Arial"/>
        </w:rPr>
        <w:t xml:space="preserve">if participants expressed that </w:t>
      </w:r>
      <w:r w:rsidR="001148A8" w:rsidRPr="00091776">
        <w:rPr>
          <w:rFonts w:cs="Arial"/>
        </w:rPr>
        <w:t>a change in the</w:t>
      </w:r>
      <w:r w:rsidR="00D37930" w:rsidRPr="00091776">
        <w:rPr>
          <w:rFonts w:cs="Arial"/>
        </w:rPr>
        <w:t xml:space="preserve"> status quo </w:t>
      </w:r>
      <w:r w:rsidR="00AC6787" w:rsidRPr="00091776">
        <w:rPr>
          <w:rFonts w:cs="Arial"/>
        </w:rPr>
        <w:t xml:space="preserve">was required, then we </w:t>
      </w:r>
      <w:r w:rsidR="00D37930" w:rsidRPr="00091776">
        <w:rPr>
          <w:rFonts w:cs="Arial"/>
        </w:rPr>
        <w:t>prioritised whilst those e</w:t>
      </w:r>
      <w:r w:rsidR="002C130A" w:rsidRPr="00091776">
        <w:rPr>
          <w:rFonts w:cs="Arial"/>
        </w:rPr>
        <w:t>nablers already present</w:t>
      </w:r>
      <w:r w:rsidR="00D37930" w:rsidRPr="00091776">
        <w:rPr>
          <w:rFonts w:cs="Arial"/>
        </w:rPr>
        <w:t xml:space="preserve"> by virtue of implementing the intervention in</w:t>
      </w:r>
      <w:r w:rsidR="002C130A" w:rsidRPr="00091776">
        <w:rPr>
          <w:rFonts w:cs="Arial"/>
        </w:rPr>
        <w:t xml:space="preserve"> the hospital setting were not prioritised.</w:t>
      </w:r>
      <w:r w:rsidR="00B62E2D" w:rsidRPr="00091776">
        <w:rPr>
          <w:rFonts w:cs="Arial"/>
        </w:rPr>
        <w:t xml:space="preserve"> </w:t>
      </w:r>
    </w:p>
    <w:p w14:paraId="48BBB442" w14:textId="5E1806D4" w:rsidR="00722E86" w:rsidRPr="00091776" w:rsidRDefault="0046627D" w:rsidP="00493314">
      <w:pPr>
        <w:spacing w:line="240" w:lineRule="auto"/>
        <w:rPr>
          <w:rFonts w:cs="Arial"/>
        </w:rPr>
      </w:pPr>
      <w:r w:rsidRPr="00091776">
        <w:rPr>
          <w:rFonts w:cs="Arial"/>
        </w:rPr>
        <w:t>For each of the prioritised TDF domains, we identified a</w:t>
      </w:r>
      <w:r w:rsidR="00722E86" w:rsidRPr="00091776">
        <w:rPr>
          <w:rFonts w:cs="Arial"/>
        </w:rPr>
        <w:t xml:space="preserve">ll potentially effective BCTs for developing a deprescribing intervention for older people in hospital. </w:t>
      </w:r>
      <w:r w:rsidRPr="00091776">
        <w:rPr>
          <w:rFonts w:cs="Arial"/>
        </w:rPr>
        <w:t xml:space="preserve">We </w:t>
      </w:r>
      <w:r w:rsidR="00722E86" w:rsidRPr="00091776">
        <w:rPr>
          <w:rFonts w:cs="Arial"/>
        </w:rPr>
        <w:t>us</w:t>
      </w:r>
      <w:r w:rsidRPr="00091776">
        <w:rPr>
          <w:rFonts w:cs="Arial"/>
        </w:rPr>
        <w:t>ed</w:t>
      </w:r>
      <w:r w:rsidR="00722E86" w:rsidRPr="00091776">
        <w:rPr>
          <w:rFonts w:cs="Arial"/>
        </w:rPr>
        <w:t xml:space="preserve"> the mapping table developed by Cane </w:t>
      </w:r>
      <w:r w:rsidR="00722E86" w:rsidRPr="00091776">
        <w:rPr>
          <w:rFonts w:cs="Arial"/>
          <w:i/>
        </w:rPr>
        <w:t>et al.</w:t>
      </w:r>
      <w:r w:rsidR="00722E86" w:rsidRPr="00091776">
        <w:rPr>
          <w:rFonts w:cs="Arial"/>
        </w:rPr>
        <w:fldChar w:fldCharType="begin" w:fldLock="1"/>
      </w:r>
      <w:r w:rsidR="00FC483E">
        <w:rPr>
          <w:rFonts w:cs="Arial"/>
        </w:rPr>
        <w:instrText>ADDIN CSL_CITATION {"citationItems":[{"id":"ITEM-1","itemData":{"DOI":"10.1111/bjhp.12102","ISBN":"2044-8287 (Electronic) 1359-107X (Linking)","ISSN":"20448287","PMID":"24815766","abstract":"Objectives. Behaviour change technique (BCT) Taxonomy v1 is a hierarchically grouped, consensus-based taxonomy of 93 BCTs for reporting intervention content. To enhance the use and understanding of BCTs, the aims of the present study were to (1) quantitatively examine the 'bottom-up' hierarchical structure of Taxonomy v1, (2) identify whether BCTs can be reliably mapped to theoretical domains using a 'top-down' theoretically driven approach, and (3) identify any overlap between the 'bottom-up' and 'top-down' groupings. Methods and design. The 'bottom-up' structure was examined for higher-order groupings using a dendrogram derived from hierarchical cluster analysis. For the theory-based 'top-down' structure, 18 experts sorted BCTs into 14 theoretical domains. Discriminant Content Validity was used to identify groupings, and chi-square tests and Pearson's residuals were used to examine the overlap between groupings. Results. Behaviour change techniques relating to 'Reward and Punishment' and 'Cues and Cue Responses' were perceived as markedly different to other BCTs. Fifty-nine of the BCTs were reliably allocated to 12 of the 14 theoretical domains; 47 were significant and 12 were of borderline significance. Thirty-four of 208 'bottom-up' 9 'top-down' pairings showed greater overlap than expected by chance. However, only six combinations achieved satisfactory evidence of similarity.","author":[{"dropping-particle":"","family":"Cane","given":"James","non-dropping-particle":"","parse-names":false,"suffix":""},{"dropping-particle":"","family":"Richardson","given":"Michelle","non-dropping-particle":"","parse-names":false,"suffix":""},{"dropping-particle":"","family":"Johnston","given":"Marie","non-dropping-particle":"","parse-names":false,"suffix":""},{"dropping-particle":"","family":"Ladha","given":"Ruhina","non-dropping-particle":"","parse-names":false,"suffix":""},{"dropping-particle":"","family":"Michie","given":"Susan","non-dropping-particle":"","parse-names":false,"suffix":""}],"container-title":"British Journal of Health Psychology","id":"ITEM-1","issue":"1","issued":{"date-parts":[["2015"]]},"page":"130-150","title":"From lists of behaviour change techniques (BCTs) to structured hierarchies: Comparison of two methods of developing a hierarchy of BCTs","type":"article-journal","volume":"20"},"uris":["http://www.mendeley.com/documents/?uuid=358ce78d-bfb3-4f8d-9277-d9b0f84b9b67"]}],"mendeley":{"formattedCitation":"[15]","plainTextFormattedCitation":"[15]","previouslyFormattedCitation":"[16]"},"properties":{"noteIndex":0},"schema":"https://github.com/citation-style-language/schema/raw/master/csl-citation.json"}</w:instrText>
      </w:r>
      <w:r w:rsidR="00722E86" w:rsidRPr="00091776">
        <w:rPr>
          <w:rFonts w:cs="Arial"/>
        </w:rPr>
        <w:fldChar w:fldCharType="separate"/>
      </w:r>
      <w:r w:rsidR="00FC483E" w:rsidRPr="00FC483E">
        <w:rPr>
          <w:rFonts w:cs="Arial"/>
          <w:noProof/>
        </w:rPr>
        <w:t>[15]</w:t>
      </w:r>
      <w:r w:rsidR="00722E86" w:rsidRPr="00091776">
        <w:rPr>
          <w:rFonts w:cs="Arial"/>
        </w:rPr>
        <w:fldChar w:fldCharType="end"/>
      </w:r>
      <w:r w:rsidR="00A453D3" w:rsidRPr="00091776">
        <w:rPr>
          <w:rFonts w:cs="Arial"/>
        </w:rPr>
        <w:t>,</w:t>
      </w:r>
      <w:r w:rsidR="00722E86" w:rsidRPr="00091776">
        <w:rPr>
          <w:rFonts w:cs="Arial"/>
        </w:rPr>
        <w:t xml:space="preserve"> which links BCTs to TDF domains</w:t>
      </w:r>
      <w:r w:rsidRPr="00091776">
        <w:rPr>
          <w:rFonts w:cs="Arial"/>
        </w:rPr>
        <w:t xml:space="preserve"> to inform this process</w:t>
      </w:r>
      <w:r w:rsidR="00722E86" w:rsidRPr="00091776">
        <w:rPr>
          <w:rFonts w:cs="Arial"/>
        </w:rPr>
        <w:t>.</w:t>
      </w:r>
    </w:p>
    <w:p w14:paraId="63FF2A21" w14:textId="77777777" w:rsidR="00722E86" w:rsidRPr="00091776" w:rsidRDefault="00722E86" w:rsidP="00493314">
      <w:pPr>
        <w:spacing w:line="240" w:lineRule="auto"/>
        <w:rPr>
          <w:rFonts w:cs="Arial"/>
        </w:rPr>
      </w:pPr>
    </w:p>
    <w:p w14:paraId="4F00323E" w14:textId="7C0C9574" w:rsidR="001F5C74" w:rsidRPr="00B74729" w:rsidRDefault="00B74729" w:rsidP="00493314">
      <w:pPr>
        <w:spacing w:line="240" w:lineRule="auto"/>
        <w:rPr>
          <w:rFonts w:cs="Arial"/>
          <w:b/>
          <w:sz w:val="24"/>
        </w:rPr>
      </w:pPr>
      <w:r>
        <w:rPr>
          <w:rFonts w:cs="Arial"/>
          <w:b/>
          <w:sz w:val="24"/>
        </w:rPr>
        <w:t>Results</w:t>
      </w:r>
    </w:p>
    <w:p w14:paraId="559450D6" w14:textId="77777777" w:rsidR="004602A7" w:rsidRPr="00091776" w:rsidRDefault="00B37D57" w:rsidP="00493314">
      <w:pPr>
        <w:spacing w:line="240" w:lineRule="auto"/>
        <w:rPr>
          <w:rStyle w:val="PageNumber"/>
          <w:rFonts w:cs="Arial"/>
        </w:rPr>
      </w:pPr>
      <w:r w:rsidRPr="00091776">
        <w:rPr>
          <w:rStyle w:val="PageNumber"/>
          <w:rFonts w:cs="Arial"/>
          <w:b/>
        </w:rPr>
        <w:t>S</w:t>
      </w:r>
      <w:r w:rsidR="00AD57FE" w:rsidRPr="00091776">
        <w:rPr>
          <w:rStyle w:val="PageNumber"/>
          <w:rFonts w:cs="Arial"/>
          <w:b/>
        </w:rPr>
        <w:t>ample</w:t>
      </w:r>
    </w:p>
    <w:p w14:paraId="35EDF331" w14:textId="77777777" w:rsidR="006F6628" w:rsidRPr="00091776" w:rsidRDefault="00F3609D" w:rsidP="00493314">
      <w:pPr>
        <w:spacing w:line="240" w:lineRule="auto"/>
        <w:rPr>
          <w:rStyle w:val="PageNumber"/>
          <w:rFonts w:cs="Arial"/>
        </w:rPr>
      </w:pPr>
      <w:r w:rsidRPr="00091776">
        <w:rPr>
          <w:rStyle w:val="PageNumber"/>
          <w:rFonts w:cs="Arial"/>
        </w:rPr>
        <w:t xml:space="preserve">All </w:t>
      </w:r>
      <w:r w:rsidR="001D69A9" w:rsidRPr="00091776">
        <w:rPr>
          <w:rStyle w:val="PageNumber"/>
          <w:rFonts w:cs="Arial"/>
        </w:rPr>
        <w:t>geriatricians and pharmacists</w:t>
      </w:r>
      <w:r w:rsidRPr="00091776">
        <w:rPr>
          <w:rStyle w:val="PageNumber"/>
          <w:rFonts w:cs="Arial"/>
        </w:rPr>
        <w:t xml:space="preserve"> who were purposively sampled</w:t>
      </w:r>
      <w:r w:rsidR="003D4440" w:rsidRPr="00091776">
        <w:rPr>
          <w:rStyle w:val="PageNumber"/>
          <w:rFonts w:cs="Arial"/>
        </w:rPr>
        <w:t>,</w:t>
      </w:r>
      <w:r w:rsidRPr="00091776">
        <w:rPr>
          <w:rStyle w:val="PageNumber"/>
          <w:rFonts w:cs="Arial"/>
        </w:rPr>
        <w:t xml:space="preserve"> </w:t>
      </w:r>
      <w:r w:rsidR="001D69A9" w:rsidRPr="00091776">
        <w:rPr>
          <w:rStyle w:val="PageNumber"/>
          <w:rFonts w:cs="Arial"/>
        </w:rPr>
        <w:t>participated in the focus groups.</w:t>
      </w:r>
      <w:r w:rsidRPr="00091776">
        <w:rPr>
          <w:rStyle w:val="PageNumber"/>
          <w:rFonts w:cs="Arial"/>
        </w:rPr>
        <w:t xml:space="preserve"> </w:t>
      </w:r>
      <w:r w:rsidR="00B70380" w:rsidRPr="00091776">
        <w:rPr>
          <w:rStyle w:val="PageNumber"/>
          <w:rFonts w:cs="Arial"/>
        </w:rPr>
        <w:t>Fif</w:t>
      </w:r>
      <w:r w:rsidR="003167E8" w:rsidRPr="00091776">
        <w:rPr>
          <w:rStyle w:val="PageNumber"/>
          <w:rFonts w:cs="Arial"/>
        </w:rPr>
        <w:t>ty-four participants; 28 geriatricians and 26</w:t>
      </w:r>
      <w:r w:rsidR="00B70380" w:rsidRPr="00091776">
        <w:rPr>
          <w:rStyle w:val="PageNumber"/>
          <w:rFonts w:cs="Arial"/>
        </w:rPr>
        <w:t xml:space="preserve"> pharmacists</w:t>
      </w:r>
      <w:r w:rsidR="003167E8" w:rsidRPr="00091776">
        <w:rPr>
          <w:rStyle w:val="PageNumber"/>
          <w:rFonts w:cs="Arial"/>
        </w:rPr>
        <w:t xml:space="preserve">, </w:t>
      </w:r>
      <w:r w:rsidR="00C37B3E" w:rsidRPr="00091776">
        <w:rPr>
          <w:rStyle w:val="PageNumber"/>
          <w:rFonts w:cs="Arial"/>
        </w:rPr>
        <w:t>participated</w:t>
      </w:r>
      <w:r w:rsidR="003167E8" w:rsidRPr="00091776">
        <w:rPr>
          <w:rStyle w:val="PageNumber"/>
          <w:rFonts w:cs="Arial"/>
        </w:rPr>
        <w:t xml:space="preserve"> across the eight focus groups</w:t>
      </w:r>
      <w:r w:rsidR="00B70380" w:rsidRPr="00091776">
        <w:rPr>
          <w:rStyle w:val="PageNumber"/>
          <w:rFonts w:cs="Arial"/>
        </w:rPr>
        <w:t xml:space="preserve">. </w:t>
      </w:r>
      <w:r w:rsidR="001C7696" w:rsidRPr="00091776">
        <w:rPr>
          <w:rStyle w:val="PageNumber"/>
          <w:rFonts w:cs="Arial"/>
        </w:rPr>
        <w:t>Table 1 provides p</w:t>
      </w:r>
      <w:r w:rsidR="003167E8" w:rsidRPr="00091776">
        <w:rPr>
          <w:rStyle w:val="PageNumber"/>
          <w:rFonts w:cs="Arial"/>
        </w:rPr>
        <w:t>articipant</w:t>
      </w:r>
      <w:r w:rsidR="00B70380" w:rsidRPr="00091776">
        <w:rPr>
          <w:rStyle w:val="PageNumber"/>
          <w:rFonts w:cs="Arial"/>
        </w:rPr>
        <w:t xml:space="preserve"> characteristics. The mean </w:t>
      </w:r>
      <w:r w:rsidR="00B908D0" w:rsidRPr="00091776">
        <w:rPr>
          <w:rStyle w:val="PageNumber"/>
          <w:rFonts w:cs="Arial"/>
        </w:rPr>
        <w:t xml:space="preserve">(SD) focus group duration was </w:t>
      </w:r>
      <w:r w:rsidR="004063A2" w:rsidRPr="00091776">
        <w:rPr>
          <w:rStyle w:val="PageNumber"/>
          <w:rFonts w:cs="Arial"/>
        </w:rPr>
        <w:t>55 (5) minutes.</w:t>
      </w:r>
    </w:p>
    <w:p w14:paraId="0497634A" w14:textId="32910EFE" w:rsidR="00AD57FE" w:rsidRPr="00091776" w:rsidRDefault="00AD57FE" w:rsidP="00493314">
      <w:pPr>
        <w:spacing w:line="240" w:lineRule="auto"/>
        <w:rPr>
          <w:rStyle w:val="PageNumber"/>
          <w:rFonts w:cs="Arial"/>
        </w:rPr>
      </w:pPr>
    </w:p>
    <w:p w14:paraId="3EF96141" w14:textId="77777777" w:rsidR="00091776" w:rsidRPr="00091776" w:rsidRDefault="00091776" w:rsidP="00091776">
      <w:pPr>
        <w:spacing w:line="240" w:lineRule="auto"/>
        <w:rPr>
          <w:rStyle w:val="PageNumber"/>
          <w:rFonts w:cs="Arial"/>
        </w:rPr>
      </w:pPr>
      <w:r w:rsidRPr="00091776">
        <w:rPr>
          <w:rStyle w:val="PageNumber"/>
          <w:rFonts w:cs="Arial"/>
          <w:b/>
        </w:rPr>
        <w:t>Table 1.</w:t>
      </w:r>
      <w:r w:rsidRPr="00091776">
        <w:rPr>
          <w:rStyle w:val="PageNumber"/>
          <w:rFonts w:cs="Arial"/>
        </w:rPr>
        <w:t xml:space="preserve"> Focus group participant characteristics</w:t>
      </w:r>
    </w:p>
    <w:tbl>
      <w:tblPr>
        <w:tblStyle w:val="TableGrid"/>
        <w:tblW w:w="5000" w:type="pct"/>
        <w:tblLook w:val="04A0" w:firstRow="1" w:lastRow="0" w:firstColumn="1" w:lastColumn="0" w:noHBand="0" w:noVBand="1"/>
      </w:tblPr>
      <w:tblGrid>
        <w:gridCol w:w="1414"/>
        <w:gridCol w:w="2411"/>
        <w:gridCol w:w="2692"/>
        <w:gridCol w:w="2499"/>
      </w:tblGrid>
      <w:tr w:rsidR="00091776" w:rsidRPr="00091776" w14:paraId="0061A157" w14:textId="77777777" w:rsidTr="00EB4C2A">
        <w:tc>
          <w:tcPr>
            <w:tcW w:w="784" w:type="pct"/>
            <w:vAlign w:val="center"/>
          </w:tcPr>
          <w:p w14:paraId="0014C6BF" w14:textId="77777777" w:rsidR="00091776" w:rsidRPr="00091776" w:rsidRDefault="00091776" w:rsidP="00EB4C2A">
            <w:pPr>
              <w:jc w:val="center"/>
              <w:rPr>
                <w:rStyle w:val="PageNumber"/>
                <w:rFonts w:cs="Arial"/>
                <w:b/>
              </w:rPr>
            </w:pPr>
            <w:r w:rsidRPr="00091776">
              <w:rPr>
                <w:rStyle w:val="PageNumber"/>
                <w:rFonts w:cs="Arial"/>
                <w:b/>
              </w:rPr>
              <w:t>Hospital</w:t>
            </w:r>
          </w:p>
        </w:tc>
        <w:tc>
          <w:tcPr>
            <w:tcW w:w="1337" w:type="pct"/>
            <w:vAlign w:val="center"/>
          </w:tcPr>
          <w:p w14:paraId="38192F7B" w14:textId="77777777" w:rsidR="00091776" w:rsidRPr="00091776" w:rsidRDefault="00091776" w:rsidP="00EB4C2A">
            <w:pPr>
              <w:jc w:val="center"/>
              <w:rPr>
                <w:rStyle w:val="PageNumber"/>
                <w:rFonts w:cs="Arial"/>
                <w:b/>
              </w:rPr>
            </w:pPr>
            <w:r w:rsidRPr="00091776">
              <w:rPr>
                <w:rStyle w:val="PageNumber"/>
                <w:rFonts w:cs="Arial"/>
                <w:b/>
              </w:rPr>
              <w:t>Professional group</w:t>
            </w:r>
          </w:p>
        </w:tc>
        <w:tc>
          <w:tcPr>
            <w:tcW w:w="1493" w:type="pct"/>
            <w:vAlign w:val="center"/>
          </w:tcPr>
          <w:p w14:paraId="393F4DF6" w14:textId="77777777" w:rsidR="00091776" w:rsidRPr="00091776" w:rsidRDefault="00091776" w:rsidP="00EB4C2A">
            <w:pPr>
              <w:jc w:val="center"/>
              <w:rPr>
                <w:rStyle w:val="PageNumber"/>
                <w:rFonts w:cs="Arial"/>
                <w:b/>
              </w:rPr>
            </w:pPr>
            <w:r w:rsidRPr="00091776">
              <w:rPr>
                <w:rStyle w:val="PageNumber"/>
                <w:rFonts w:cs="Arial"/>
                <w:b/>
              </w:rPr>
              <w:t>Number of participants</w:t>
            </w:r>
          </w:p>
        </w:tc>
        <w:tc>
          <w:tcPr>
            <w:tcW w:w="1386" w:type="pct"/>
            <w:vAlign w:val="center"/>
          </w:tcPr>
          <w:p w14:paraId="4C9EBA65" w14:textId="77777777" w:rsidR="00091776" w:rsidRPr="00091776" w:rsidRDefault="00091776" w:rsidP="00EB4C2A">
            <w:pPr>
              <w:jc w:val="center"/>
              <w:rPr>
                <w:rStyle w:val="PageNumber"/>
                <w:rFonts w:cs="Arial"/>
                <w:b/>
              </w:rPr>
            </w:pPr>
            <w:r w:rsidRPr="00091776">
              <w:rPr>
                <w:rStyle w:val="PageNumber"/>
                <w:rFonts w:cs="Arial"/>
                <w:b/>
              </w:rPr>
              <w:t>Number with prescribing authority</w:t>
            </w:r>
          </w:p>
        </w:tc>
      </w:tr>
      <w:tr w:rsidR="00091776" w:rsidRPr="00091776" w14:paraId="75DBCD6F" w14:textId="77777777" w:rsidTr="00EB4C2A">
        <w:tc>
          <w:tcPr>
            <w:tcW w:w="784" w:type="pct"/>
            <w:vAlign w:val="center"/>
          </w:tcPr>
          <w:p w14:paraId="3C77489E" w14:textId="77777777" w:rsidR="00091776" w:rsidRPr="00091776" w:rsidRDefault="00091776" w:rsidP="00EB4C2A">
            <w:pPr>
              <w:jc w:val="center"/>
              <w:rPr>
                <w:rStyle w:val="PageNumber"/>
                <w:rFonts w:cs="Arial"/>
                <w:vertAlign w:val="superscript"/>
              </w:rPr>
            </w:pPr>
            <w:r w:rsidRPr="00091776">
              <w:rPr>
                <w:rStyle w:val="PageNumber"/>
                <w:rFonts w:cs="Arial"/>
              </w:rPr>
              <w:t>Hospital 1</w:t>
            </w:r>
            <w:r w:rsidRPr="00091776">
              <w:rPr>
                <w:rStyle w:val="PageNumber"/>
                <w:rFonts w:cs="Arial"/>
                <w:vertAlign w:val="superscript"/>
              </w:rPr>
              <w:t>a</w:t>
            </w:r>
          </w:p>
        </w:tc>
        <w:tc>
          <w:tcPr>
            <w:tcW w:w="1337" w:type="pct"/>
            <w:vAlign w:val="center"/>
          </w:tcPr>
          <w:p w14:paraId="4729B036" w14:textId="77777777" w:rsidR="00091776" w:rsidRPr="00091776" w:rsidRDefault="00091776" w:rsidP="00EB4C2A">
            <w:pPr>
              <w:jc w:val="center"/>
              <w:rPr>
                <w:rStyle w:val="PageNumber"/>
                <w:rFonts w:cs="Arial"/>
              </w:rPr>
            </w:pPr>
            <w:r w:rsidRPr="00091776">
              <w:rPr>
                <w:rStyle w:val="PageNumber"/>
                <w:rFonts w:cs="Arial"/>
              </w:rPr>
              <w:t>Pharmacists</w:t>
            </w:r>
          </w:p>
        </w:tc>
        <w:tc>
          <w:tcPr>
            <w:tcW w:w="1493" w:type="pct"/>
            <w:vAlign w:val="center"/>
          </w:tcPr>
          <w:p w14:paraId="2559F58A" w14:textId="77777777" w:rsidR="00091776" w:rsidRPr="00091776" w:rsidRDefault="00091776" w:rsidP="00EB4C2A">
            <w:pPr>
              <w:jc w:val="center"/>
              <w:rPr>
                <w:rStyle w:val="PageNumber"/>
                <w:rFonts w:cs="Arial"/>
              </w:rPr>
            </w:pPr>
            <w:r w:rsidRPr="00091776">
              <w:rPr>
                <w:rStyle w:val="PageNumber"/>
                <w:rFonts w:cs="Arial"/>
              </w:rPr>
              <w:t>8 (4 female 4 male)</w:t>
            </w:r>
          </w:p>
        </w:tc>
        <w:tc>
          <w:tcPr>
            <w:tcW w:w="1386" w:type="pct"/>
            <w:vAlign w:val="center"/>
          </w:tcPr>
          <w:p w14:paraId="072D7485" w14:textId="77777777" w:rsidR="00091776" w:rsidRPr="00091776" w:rsidRDefault="00091776" w:rsidP="00EB4C2A">
            <w:pPr>
              <w:jc w:val="center"/>
              <w:rPr>
                <w:rStyle w:val="PageNumber"/>
                <w:rFonts w:cs="Arial"/>
              </w:rPr>
            </w:pPr>
            <w:r w:rsidRPr="00091776">
              <w:rPr>
                <w:rStyle w:val="PageNumber"/>
                <w:rFonts w:cs="Arial"/>
              </w:rPr>
              <w:t>3</w:t>
            </w:r>
          </w:p>
        </w:tc>
      </w:tr>
      <w:tr w:rsidR="00091776" w:rsidRPr="00091776" w14:paraId="32CBCE65" w14:textId="77777777" w:rsidTr="00EB4C2A">
        <w:tc>
          <w:tcPr>
            <w:tcW w:w="784" w:type="pct"/>
            <w:vAlign w:val="center"/>
          </w:tcPr>
          <w:p w14:paraId="0C65013B" w14:textId="77777777" w:rsidR="00091776" w:rsidRPr="00091776" w:rsidRDefault="00091776" w:rsidP="00EB4C2A">
            <w:pPr>
              <w:jc w:val="center"/>
              <w:rPr>
                <w:rStyle w:val="PageNumber"/>
                <w:rFonts w:cs="Arial"/>
                <w:vertAlign w:val="superscript"/>
              </w:rPr>
            </w:pPr>
            <w:r w:rsidRPr="00091776">
              <w:rPr>
                <w:rStyle w:val="PageNumber"/>
                <w:rFonts w:cs="Arial"/>
              </w:rPr>
              <w:t>Hospital 1</w:t>
            </w:r>
            <w:r w:rsidRPr="00091776">
              <w:rPr>
                <w:rStyle w:val="PageNumber"/>
                <w:rFonts w:cs="Arial"/>
                <w:vertAlign w:val="superscript"/>
              </w:rPr>
              <w:t>a</w:t>
            </w:r>
          </w:p>
        </w:tc>
        <w:tc>
          <w:tcPr>
            <w:tcW w:w="1337" w:type="pct"/>
            <w:vAlign w:val="center"/>
          </w:tcPr>
          <w:p w14:paraId="19ECE91C" w14:textId="77777777" w:rsidR="00091776" w:rsidRPr="00091776" w:rsidRDefault="00091776" w:rsidP="00EB4C2A">
            <w:pPr>
              <w:jc w:val="center"/>
              <w:rPr>
                <w:rStyle w:val="PageNumber"/>
                <w:rFonts w:cs="Arial"/>
              </w:rPr>
            </w:pPr>
            <w:r w:rsidRPr="00091776">
              <w:rPr>
                <w:rStyle w:val="PageNumber"/>
                <w:rFonts w:cs="Arial"/>
              </w:rPr>
              <w:t>Geriatricians</w:t>
            </w:r>
          </w:p>
        </w:tc>
        <w:tc>
          <w:tcPr>
            <w:tcW w:w="1493" w:type="pct"/>
            <w:vAlign w:val="center"/>
          </w:tcPr>
          <w:p w14:paraId="30B7A540" w14:textId="77777777" w:rsidR="00091776" w:rsidRPr="00091776" w:rsidRDefault="00091776" w:rsidP="00EB4C2A">
            <w:pPr>
              <w:jc w:val="center"/>
              <w:rPr>
                <w:rStyle w:val="PageNumber"/>
                <w:rFonts w:cs="Arial"/>
              </w:rPr>
            </w:pPr>
            <w:r w:rsidRPr="00091776">
              <w:rPr>
                <w:rStyle w:val="PageNumber"/>
                <w:rFonts w:cs="Arial"/>
              </w:rPr>
              <w:t>7 (5 female 2 male)</w:t>
            </w:r>
          </w:p>
        </w:tc>
        <w:tc>
          <w:tcPr>
            <w:tcW w:w="1386" w:type="pct"/>
            <w:vAlign w:val="center"/>
          </w:tcPr>
          <w:p w14:paraId="104B4612" w14:textId="77777777" w:rsidR="00091776" w:rsidRPr="00091776" w:rsidRDefault="00091776" w:rsidP="00EB4C2A">
            <w:pPr>
              <w:jc w:val="center"/>
              <w:rPr>
                <w:rStyle w:val="PageNumber"/>
                <w:rFonts w:cs="Arial"/>
              </w:rPr>
            </w:pPr>
            <w:r w:rsidRPr="00091776">
              <w:rPr>
                <w:rStyle w:val="PageNumber"/>
                <w:rFonts w:cs="Arial"/>
              </w:rPr>
              <w:t>7</w:t>
            </w:r>
          </w:p>
        </w:tc>
      </w:tr>
      <w:tr w:rsidR="00091776" w:rsidRPr="00091776" w14:paraId="7C8492B9" w14:textId="77777777" w:rsidTr="00EB4C2A">
        <w:tc>
          <w:tcPr>
            <w:tcW w:w="784" w:type="pct"/>
            <w:vAlign w:val="center"/>
          </w:tcPr>
          <w:p w14:paraId="4FB9D8D3" w14:textId="77777777" w:rsidR="00091776" w:rsidRPr="00091776" w:rsidRDefault="00091776" w:rsidP="00EB4C2A">
            <w:pPr>
              <w:jc w:val="center"/>
              <w:rPr>
                <w:rStyle w:val="PageNumber"/>
                <w:rFonts w:cs="Arial"/>
                <w:vertAlign w:val="superscript"/>
              </w:rPr>
            </w:pPr>
            <w:r w:rsidRPr="00091776">
              <w:rPr>
                <w:rStyle w:val="PageNumber"/>
                <w:rFonts w:cs="Arial"/>
              </w:rPr>
              <w:t>Hospital 2</w:t>
            </w:r>
            <w:r w:rsidRPr="00091776">
              <w:rPr>
                <w:rStyle w:val="PageNumber"/>
                <w:rFonts w:cs="Arial"/>
                <w:vertAlign w:val="superscript"/>
              </w:rPr>
              <w:t>a</w:t>
            </w:r>
          </w:p>
        </w:tc>
        <w:tc>
          <w:tcPr>
            <w:tcW w:w="1337" w:type="pct"/>
            <w:vAlign w:val="center"/>
          </w:tcPr>
          <w:p w14:paraId="27BFF237" w14:textId="77777777" w:rsidR="00091776" w:rsidRPr="00091776" w:rsidRDefault="00091776" w:rsidP="00EB4C2A">
            <w:pPr>
              <w:jc w:val="center"/>
              <w:rPr>
                <w:rStyle w:val="PageNumber"/>
                <w:rFonts w:cs="Arial"/>
              </w:rPr>
            </w:pPr>
            <w:r w:rsidRPr="00091776">
              <w:rPr>
                <w:rStyle w:val="PageNumber"/>
                <w:rFonts w:cs="Arial"/>
              </w:rPr>
              <w:t>Pharmacists</w:t>
            </w:r>
          </w:p>
        </w:tc>
        <w:tc>
          <w:tcPr>
            <w:tcW w:w="1493" w:type="pct"/>
            <w:vAlign w:val="center"/>
          </w:tcPr>
          <w:p w14:paraId="09BC0079" w14:textId="77777777" w:rsidR="00091776" w:rsidRPr="00091776" w:rsidRDefault="00091776" w:rsidP="00EB4C2A">
            <w:pPr>
              <w:jc w:val="center"/>
              <w:rPr>
                <w:rStyle w:val="PageNumber"/>
                <w:rFonts w:cs="Arial"/>
              </w:rPr>
            </w:pPr>
            <w:r w:rsidRPr="00091776">
              <w:rPr>
                <w:rStyle w:val="PageNumber"/>
                <w:rFonts w:cs="Arial"/>
              </w:rPr>
              <w:t>7 (7 female)</w:t>
            </w:r>
          </w:p>
        </w:tc>
        <w:tc>
          <w:tcPr>
            <w:tcW w:w="1386" w:type="pct"/>
            <w:vAlign w:val="center"/>
          </w:tcPr>
          <w:p w14:paraId="0C6AE94B" w14:textId="77777777" w:rsidR="00091776" w:rsidRPr="00091776" w:rsidRDefault="00091776" w:rsidP="00EB4C2A">
            <w:pPr>
              <w:jc w:val="center"/>
              <w:rPr>
                <w:rStyle w:val="PageNumber"/>
                <w:rFonts w:cs="Arial"/>
              </w:rPr>
            </w:pPr>
            <w:r w:rsidRPr="00091776">
              <w:rPr>
                <w:rStyle w:val="PageNumber"/>
                <w:rFonts w:cs="Arial"/>
              </w:rPr>
              <w:t>1</w:t>
            </w:r>
          </w:p>
        </w:tc>
      </w:tr>
      <w:tr w:rsidR="00091776" w:rsidRPr="00091776" w14:paraId="756A996B" w14:textId="77777777" w:rsidTr="00EB4C2A">
        <w:tc>
          <w:tcPr>
            <w:tcW w:w="784" w:type="pct"/>
            <w:vAlign w:val="center"/>
          </w:tcPr>
          <w:p w14:paraId="04FDB10E" w14:textId="77777777" w:rsidR="00091776" w:rsidRPr="00091776" w:rsidRDefault="00091776" w:rsidP="00EB4C2A">
            <w:pPr>
              <w:jc w:val="center"/>
              <w:rPr>
                <w:rStyle w:val="PageNumber"/>
                <w:rFonts w:cs="Arial"/>
                <w:vertAlign w:val="superscript"/>
              </w:rPr>
            </w:pPr>
            <w:r w:rsidRPr="00091776">
              <w:rPr>
                <w:rStyle w:val="PageNumber"/>
                <w:rFonts w:cs="Arial"/>
              </w:rPr>
              <w:t>Hospital 2</w:t>
            </w:r>
            <w:r w:rsidRPr="00091776">
              <w:rPr>
                <w:rStyle w:val="PageNumber"/>
                <w:rFonts w:cs="Arial"/>
                <w:vertAlign w:val="superscript"/>
              </w:rPr>
              <w:t>a</w:t>
            </w:r>
          </w:p>
        </w:tc>
        <w:tc>
          <w:tcPr>
            <w:tcW w:w="1337" w:type="pct"/>
            <w:vAlign w:val="center"/>
          </w:tcPr>
          <w:p w14:paraId="137E24A7" w14:textId="77777777" w:rsidR="00091776" w:rsidRPr="00091776" w:rsidRDefault="00091776" w:rsidP="00EB4C2A">
            <w:pPr>
              <w:jc w:val="center"/>
              <w:rPr>
                <w:rStyle w:val="PageNumber"/>
                <w:rFonts w:cs="Arial"/>
              </w:rPr>
            </w:pPr>
            <w:r w:rsidRPr="00091776">
              <w:rPr>
                <w:rStyle w:val="PageNumber"/>
                <w:rFonts w:cs="Arial"/>
              </w:rPr>
              <w:t>Geriatricians</w:t>
            </w:r>
          </w:p>
        </w:tc>
        <w:tc>
          <w:tcPr>
            <w:tcW w:w="1493" w:type="pct"/>
            <w:vAlign w:val="center"/>
          </w:tcPr>
          <w:p w14:paraId="6950E7D8" w14:textId="77777777" w:rsidR="00091776" w:rsidRPr="00091776" w:rsidRDefault="00091776" w:rsidP="00EB4C2A">
            <w:pPr>
              <w:jc w:val="center"/>
              <w:rPr>
                <w:rStyle w:val="PageNumber"/>
                <w:rFonts w:cs="Arial"/>
              </w:rPr>
            </w:pPr>
            <w:r w:rsidRPr="00091776">
              <w:rPr>
                <w:rStyle w:val="PageNumber"/>
                <w:rFonts w:cs="Arial"/>
              </w:rPr>
              <w:t>8 (3 female 5 male)</w:t>
            </w:r>
          </w:p>
        </w:tc>
        <w:tc>
          <w:tcPr>
            <w:tcW w:w="1386" w:type="pct"/>
            <w:vAlign w:val="center"/>
          </w:tcPr>
          <w:p w14:paraId="5FDB26C1" w14:textId="77777777" w:rsidR="00091776" w:rsidRPr="00091776" w:rsidRDefault="00091776" w:rsidP="00EB4C2A">
            <w:pPr>
              <w:jc w:val="center"/>
              <w:rPr>
                <w:rStyle w:val="PageNumber"/>
                <w:rFonts w:cs="Arial"/>
              </w:rPr>
            </w:pPr>
            <w:r w:rsidRPr="00091776">
              <w:rPr>
                <w:rStyle w:val="PageNumber"/>
                <w:rFonts w:cs="Arial"/>
              </w:rPr>
              <w:t>8</w:t>
            </w:r>
          </w:p>
        </w:tc>
      </w:tr>
      <w:tr w:rsidR="00091776" w:rsidRPr="00091776" w14:paraId="01FB8246" w14:textId="77777777" w:rsidTr="00EB4C2A">
        <w:tc>
          <w:tcPr>
            <w:tcW w:w="784" w:type="pct"/>
            <w:vAlign w:val="center"/>
          </w:tcPr>
          <w:p w14:paraId="158C9FE0" w14:textId="77777777" w:rsidR="00091776" w:rsidRPr="00091776" w:rsidRDefault="00091776" w:rsidP="00EB4C2A">
            <w:pPr>
              <w:jc w:val="center"/>
              <w:rPr>
                <w:rStyle w:val="PageNumber"/>
                <w:rFonts w:cs="Arial"/>
                <w:vertAlign w:val="superscript"/>
              </w:rPr>
            </w:pPr>
            <w:r w:rsidRPr="00091776">
              <w:rPr>
                <w:rStyle w:val="PageNumber"/>
                <w:rFonts w:cs="Arial"/>
              </w:rPr>
              <w:t>Hospital 3</w:t>
            </w:r>
            <w:r w:rsidRPr="00091776">
              <w:rPr>
                <w:rStyle w:val="PageNumber"/>
                <w:rFonts w:cs="Arial"/>
                <w:vertAlign w:val="superscript"/>
              </w:rPr>
              <w:t>b</w:t>
            </w:r>
          </w:p>
        </w:tc>
        <w:tc>
          <w:tcPr>
            <w:tcW w:w="1337" w:type="pct"/>
            <w:vAlign w:val="center"/>
          </w:tcPr>
          <w:p w14:paraId="4EDE0D8B" w14:textId="77777777" w:rsidR="00091776" w:rsidRPr="00091776" w:rsidRDefault="00091776" w:rsidP="00EB4C2A">
            <w:pPr>
              <w:jc w:val="center"/>
              <w:rPr>
                <w:rStyle w:val="PageNumber"/>
                <w:rFonts w:cs="Arial"/>
              </w:rPr>
            </w:pPr>
            <w:r w:rsidRPr="00091776">
              <w:rPr>
                <w:rStyle w:val="PageNumber"/>
                <w:rFonts w:cs="Arial"/>
              </w:rPr>
              <w:t>Pharmacists</w:t>
            </w:r>
          </w:p>
        </w:tc>
        <w:tc>
          <w:tcPr>
            <w:tcW w:w="1493" w:type="pct"/>
            <w:vAlign w:val="center"/>
          </w:tcPr>
          <w:p w14:paraId="37BA7E0A" w14:textId="77777777" w:rsidR="00091776" w:rsidRPr="00091776" w:rsidRDefault="00091776" w:rsidP="00EB4C2A">
            <w:pPr>
              <w:jc w:val="center"/>
              <w:rPr>
                <w:rStyle w:val="PageNumber"/>
                <w:rFonts w:cs="Arial"/>
              </w:rPr>
            </w:pPr>
            <w:r w:rsidRPr="00091776">
              <w:rPr>
                <w:rStyle w:val="PageNumber"/>
                <w:rFonts w:cs="Arial"/>
              </w:rPr>
              <w:t>6 (3 female 3 male)</w:t>
            </w:r>
          </w:p>
        </w:tc>
        <w:tc>
          <w:tcPr>
            <w:tcW w:w="1386" w:type="pct"/>
            <w:vAlign w:val="center"/>
          </w:tcPr>
          <w:p w14:paraId="088218BB" w14:textId="77777777" w:rsidR="00091776" w:rsidRPr="00091776" w:rsidRDefault="00091776" w:rsidP="00EB4C2A">
            <w:pPr>
              <w:jc w:val="center"/>
              <w:rPr>
                <w:rStyle w:val="PageNumber"/>
                <w:rFonts w:cs="Arial"/>
              </w:rPr>
            </w:pPr>
            <w:r w:rsidRPr="00091776">
              <w:rPr>
                <w:rStyle w:val="PageNumber"/>
                <w:rFonts w:cs="Arial"/>
              </w:rPr>
              <w:t>1</w:t>
            </w:r>
          </w:p>
        </w:tc>
      </w:tr>
      <w:tr w:rsidR="00091776" w:rsidRPr="00091776" w14:paraId="791CD997" w14:textId="77777777" w:rsidTr="00EB4C2A">
        <w:tc>
          <w:tcPr>
            <w:tcW w:w="784" w:type="pct"/>
            <w:vAlign w:val="center"/>
          </w:tcPr>
          <w:p w14:paraId="28C15DB8" w14:textId="77777777" w:rsidR="00091776" w:rsidRPr="00091776" w:rsidRDefault="00091776" w:rsidP="00EB4C2A">
            <w:pPr>
              <w:jc w:val="center"/>
              <w:rPr>
                <w:rStyle w:val="PageNumber"/>
                <w:rFonts w:cs="Arial"/>
                <w:vertAlign w:val="superscript"/>
              </w:rPr>
            </w:pPr>
            <w:r w:rsidRPr="00091776">
              <w:rPr>
                <w:rStyle w:val="PageNumber"/>
                <w:rFonts w:cs="Arial"/>
              </w:rPr>
              <w:t>Hospital 3</w:t>
            </w:r>
            <w:r w:rsidRPr="00091776">
              <w:rPr>
                <w:rStyle w:val="PageNumber"/>
                <w:rFonts w:cs="Arial"/>
                <w:vertAlign w:val="superscript"/>
              </w:rPr>
              <w:t>b</w:t>
            </w:r>
          </w:p>
        </w:tc>
        <w:tc>
          <w:tcPr>
            <w:tcW w:w="1337" w:type="pct"/>
            <w:vAlign w:val="center"/>
          </w:tcPr>
          <w:p w14:paraId="1D352EB8" w14:textId="77777777" w:rsidR="00091776" w:rsidRPr="00091776" w:rsidRDefault="00091776" w:rsidP="00EB4C2A">
            <w:pPr>
              <w:jc w:val="center"/>
              <w:rPr>
                <w:rStyle w:val="PageNumber"/>
                <w:rFonts w:cs="Arial"/>
              </w:rPr>
            </w:pPr>
            <w:r w:rsidRPr="00091776">
              <w:rPr>
                <w:rStyle w:val="PageNumber"/>
                <w:rFonts w:cs="Arial"/>
              </w:rPr>
              <w:t>Geriatricians</w:t>
            </w:r>
          </w:p>
        </w:tc>
        <w:tc>
          <w:tcPr>
            <w:tcW w:w="1493" w:type="pct"/>
            <w:vAlign w:val="center"/>
          </w:tcPr>
          <w:p w14:paraId="1C4E0F47" w14:textId="77777777" w:rsidR="00091776" w:rsidRPr="00091776" w:rsidRDefault="00091776" w:rsidP="00EB4C2A">
            <w:pPr>
              <w:jc w:val="center"/>
              <w:rPr>
                <w:rStyle w:val="PageNumber"/>
                <w:rFonts w:cs="Arial"/>
              </w:rPr>
            </w:pPr>
            <w:r w:rsidRPr="00091776">
              <w:rPr>
                <w:rStyle w:val="PageNumber"/>
                <w:rFonts w:cs="Arial"/>
              </w:rPr>
              <w:t>7 (4 female 3 male)</w:t>
            </w:r>
          </w:p>
        </w:tc>
        <w:tc>
          <w:tcPr>
            <w:tcW w:w="1386" w:type="pct"/>
            <w:vAlign w:val="center"/>
          </w:tcPr>
          <w:p w14:paraId="79ACE6BD" w14:textId="77777777" w:rsidR="00091776" w:rsidRPr="00091776" w:rsidRDefault="00091776" w:rsidP="00EB4C2A">
            <w:pPr>
              <w:jc w:val="center"/>
              <w:rPr>
                <w:rStyle w:val="PageNumber"/>
                <w:rFonts w:cs="Arial"/>
              </w:rPr>
            </w:pPr>
            <w:r w:rsidRPr="00091776">
              <w:rPr>
                <w:rStyle w:val="PageNumber"/>
                <w:rFonts w:cs="Arial"/>
              </w:rPr>
              <w:t>7</w:t>
            </w:r>
          </w:p>
        </w:tc>
      </w:tr>
      <w:tr w:rsidR="00091776" w:rsidRPr="00091776" w14:paraId="473F129E" w14:textId="77777777" w:rsidTr="00EB4C2A">
        <w:tc>
          <w:tcPr>
            <w:tcW w:w="784" w:type="pct"/>
            <w:vAlign w:val="center"/>
          </w:tcPr>
          <w:p w14:paraId="62D47CA6" w14:textId="77777777" w:rsidR="00091776" w:rsidRPr="00091776" w:rsidRDefault="00091776" w:rsidP="00EB4C2A">
            <w:pPr>
              <w:jc w:val="center"/>
              <w:rPr>
                <w:rStyle w:val="PageNumber"/>
                <w:rFonts w:cs="Arial"/>
                <w:vertAlign w:val="superscript"/>
              </w:rPr>
            </w:pPr>
            <w:r w:rsidRPr="00091776">
              <w:rPr>
                <w:rStyle w:val="PageNumber"/>
                <w:rFonts w:cs="Arial"/>
              </w:rPr>
              <w:t>Hospital 4</w:t>
            </w:r>
            <w:r w:rsidRPr="00091776">
              <w:rPr>
                <w:rStyle w:val="PageNumber"/>
                <w:rFonts w:cs="Arial"/>
                <w:vertAlign w:val="superscript"/>
              </w:rPr>
              <w:t>b</w:t>
            </w:r>
          </w:p>
        </w:tc>
        <w:tc>
          <w:tcPr>
            <w:tcW w:w="1337" w:type="pct"/>
            <w:vAlign w:val="center"/>
          </w:tcPr>
          <w:p w14:paraId="0CBEE3D2" w14:textId="77777777" w:rsidR="00091776" w:rsidRPr="00091776" w:rsidRDefault="00091776" w:rsidP="00EB4C2A">
            <w:pPr>
              <w:jc w:val="center"/>
              <w:rPr>
                <w:rStyle w:val="PageNumber"/>
                <w:rFonts w:cs="Arial"/>
              </w:rPr>
            </w:pPr>
            <w:r w:rsidRPr="00091776">
              <w:rPr>
                <w:rStyle w:val="PageNumber"/>
                <w:rFonts w:cs="Arial"/>
              </w:rPr>
              <w:t>Pharmacists</w:t>
            </w:r>
          </w:p>
        </w:tc>
        <w:tc>
          <w:tcPr>
            <w:tcW w:w="1493" w:type="pct"/>
            <w:vAlign w:val="center"/>
          </w:tcPr>
          <w:p w14:paraId="123697E7" w14:textId="77777777" w:rsidR="00091776" w:rsidRPr="00091776" w:rsidRDefault="00091776" w:rsidP="00EB4C2A">
            <w:pPr>
              <w:jc w:val="center"/>
              <w:rPr>
                <w:rStyle w:val="PageNumber"/>
                <w:rFonts w:cs="Arial"/>
              </w:rPr>
            </w:pPr>
            <w:r w:rsidRPr="00091776">
              <w:rPr>
                <w:rStyle w:val="PageNumber"/>
                <w:rFonts w:cs="Arial"/>
              </w:rPr>
              <w:t>5 (2 female 3 male)</w:t>
            </w:r>
          </w:p>
        </w:tc>
        <w:tc>
          <w:tcPr>
            <w:tcW w:w="1386" w:type="pct"/>
            <w:vAlign w:val="center"/>
          </w:tcPr>
          <w:p w14:paraId="536E3DA0" w14:textId="77777777" w:rsidR="00091776" w:rsidRPr="00091776" w:rsidRDefault="00091776" w:rsidP="00EB4C2A">
            <w:pPr>
              <w:jc w:val="center"/>
              <w:rPr>
                <w:rStyle w:val="PageNumber"/>
                <w:rFonts w:cs="Arial"/>
              </w:rPr>
            </w:pPr>
            <w:r w:rsidRPr="00091776">
              <w:rPr>
                <w:rStyle w:val="PageNumber"/>
                <w:rFonts w:cs="Arial"/>
              </w:rPr>
              <w:t>1</w:t>
            </w:r>
          </w:p>
        </w:tc>
      </w:tr>
      <w:tr w:rsidR="00091776" w:rsidRPr="00091776" w14:paraId="76C511A2" w14:textId="77777777" w:rsidTr="00EB4C2A">
        <w:tc>
          <w:tcPr>
            <w:tcW w:w="784" w:type="pct"/>
            <w:vAlign w:val="center"/>
          </w:tcPr>
          <w:p w14:paraId="59BA1C07" w14:textId="77777777" w:rsidR="00091776" w:rsidRPr="00091776" w:rsidRDefault="00091776" w:rsidP="00EB4C2A">
            <w:pPr>
              <w:jc w:val="center"/>
              <w:rPr>
                <w:rStyle w:val="PageNumber"/>
                <w:rFonts w:cs="Arial"/>
                <w:vertAlign w:val="superscript"/>
              </w:rPr>
            </w:pPr>
            <w:r w:rsidRPr="00091776">
              <w:rPr>
                <w:rStyle w:val="PageNumber"/>
                <w:rFonts w:cs="Arial"/>
              </w:rPr>
              <w:t>Hospital 4</w:t>
            </w:r>
            <w:r w:rsidRPr="00091776">
              <w:rPr>
                <w:rStyle w:val="PageNumber"/>
                <w:rFonts w:cs="Arial"/>
                <w:vertAlign w:val="superscript"/>
              </w:rPr>
              <w:t>b</w:t>
            </w:r>
          </w:p>
        </w:tc>
        <w:tc>
          <w:tcPr>
            <w:tcW w:w="1337" w:type="pct"/>
            <w:vAlign w:val="center"/>
          </w:tcPr>
          <w:p w14:paraId="53D21035" w14:textId="77777777" w:rsidR="00091776" w:rsidRPr="00091776" w:rsidRDefault="00091776" w:rsidP="00EB4C2A">
            <w:pPr>
              <w:jc w:val="center"/>
              <w:rPr>
                <w:rStyle w:val="PageNumber"/>
                <w:rFonts w:cs="Arial"/>
              </w:rPr>
            </w:pPr>
            <w:r w:rsidRPr="00091776">
              <w:rPr>
                <w:rStyle w:val="PageNumber"/>
                <w:rFonts w:cs="Arial"/>
              </w:rPr>
              <w:t>Geriatricians</w:t>
            </w:r>
          </w:p>
        </w:tc>
        <w:tc>
          <w:tcPr>
            <w:tcW w:w="1493" w:type="pct"/>
            <w:vAlign w:val="center"/>
          </w:tcPr>
          <w:p w14:paraId="3CC4AF06" w14:textId="77777777" w:rsidR="00091776" w:rsidRPr="00091776" w:rsidRDefault="00091776" w:rsidP="00EB4C2A">
            <w:pPr>
              <w:jc w:val="center"/>
              <w:rPr>
                <w:rStyle w:val="PageNumber"/>
                <w:rFonts w:cs="Arial"/>
              </w:rPr>
            </w:pPr>
            <w:r w:rsidRPr="00091776">
              <w:rPr>
                <w:rStyle w:val="PageNumber"/>
                <w:rFonts w:cs="Arial"/>
              </w:rPr>
              <w:t>6 (1 female 5 male)</w:t>
            </w:r>
          </w:p>
        </w:tc>
        <w:tc>
          <w:tcPr>
            <w:tcW w:w="1386" w:type="pct"/>
            <w:vAlign w:val="center"/>
          </w:tcPr>
          <w:p w14:paraId="607B56FD" w14:textId="77777777" w:rsidR="00091776" w:rsidRPr="00091776" w:rsidRDefault="00091776" w:rsidP="00EB4C2A">
            <w:pPr>
              <w:jc w:val="center"/>
              <w:rPr>
                <w:rStyle w:val="PageNumber"/>
                <w:rFonts w:cs="Arial"/>
              </w:rPr>
            </w:pPr>
            <w:r w:rsidRPr="00091776">
              <w:rPr>
                <w:rStyle w:val="PageNumber"/>
                <w:rFonts w:cs="Arial"/>
              </w:rPr>
              <w:t>6</w:t>
            </w:r>
          </w:p>
        </w:tc>
      </w:tr>
    </w:tbl>
    <w:p w14:paraId="01425902" w14:textId="77777777" w:rsidR="00091776" w:rsidRPr="00091776" w:rsidRDefault="00091776" w:rsidP="00091776">
      <w:pPr>
        <w:spacing w:line="240" w:lineRule="auto"/>
        <w:rPr>
          <w:rStyle w:val="PageNumber"/>
          <w:rFonts w:cs="Arial"/>
        </w:rPr>
      </w:pPr>
      <w:proofErr w:type="spellStart"/>
      <w:proofErr w:type="gramStart"/>
      <w:r w:rsidRPr="00091776">
        <w:rPr>
          <w:rStyle w:val="PageNumber"/>
          <w:rFonts w:cs="Arial"/>
          <w:vertAlign w:val="superscript"/>
        </w:rPr>
        <w:t>a</w:t>
      </w:r>
      <w:r w:rsidRPr="00091776">
        <w:rPr>
          <w:rStyle w:val="PageNumber"/>
          <w:rFonts w:cs="Arial"/>
        </w:rPr>
        <w:t>Teaching</w:t>
      </w:r>
      <w:proofErr w:type="spellEnd"/>
      <w:proofErr w:type="gramEnd"/>
      <w:r w:rsidRPr="00091776">
        <w:rPr>
          <w:rStyle w:val="PageNumber"/>
          <w:rFonts w:cs="Arial"/>
        </w:rPr>
        <w:t xml:space="preserve"> hospital </w:t>
      </w:r>
      <w:proofErr w:type="spellStart"/>
      <w:r w:rsidRPr="00091776">
        <w:rPr>
          <w:rStyle w:val="PageNumber"/>
          <w:rFonts w:cs="Arial"/>
          <w:vertAlign w:val="superscript"/>
        </w:rPr>
        <w:t>b</w:t>
      </w:r>
      <w:r w:rsidRPr="00091776">
        <w:rPr>
          <w:rStyle w:val="PageNumber"/>
          <w:rFonts w:cs="Arial"/>
        </w:rPr>
        <w:t>District</w:t>
      </w:r>
      <w:proofErr w:type="spellEnd"/>
      <w:r w:rsidRPr="00091776">
        <w:rPr>
          <w:rStyle w:val="PageNumber"/>
          <w:rFonts w:cs="Arial"/>
        </w:rPr>
        <w:t xml:space="preserve"> general hospital</w:t>
      </w:r>
    </w:p>
    <w:p w14:paraId="4A4E755E" w14:textId="77777777" w:rsidR="00091776" w:rsidRPr="00091776" w:rsidRDefault="00091776" w:rsidP="00493314">
      <w:pPr>
        <w:spacing w:line="240" w:lineRule="auto"/>
        <w:rPr>
          <w:rStyle w:val="PageNumber"/>
          <w:rFonts w:cs="Arial"/>
        </w:rPr>
      </w:pPr>
    </w:p>
    <w:p w14:paraId="3EC8C21C" w14:textId="77777777" w:rsidR="00A03BD5" w:rsidRPr="00091776" w:rsidRDefault="00E135EA" w:rsidP="00493314">
      <w:pPr>
        <w:spacing w:line="240" w:lineRule="auto"/>
        <w:rPr>
          <w:rFonts w:cs="Arial"/>
        </w:rPr>
      </w:pPr>
      <w:r w:rsidRPr="00091776">
        <w:rPr>
          <w:rStyle w:val="PageNumber"/>
          <w:rFonts w:cs="Arial"/>
        </w:rPr>
        <w:t>Phase</w:t>
      </w:r>
      <w:r w:rsidR="00213633" w:rsidRPr="00091776">
        <w:rPr>
          <w:rStyle w:val="PageNumber"/>
          <w:rFonts w:cs="Arial"/>
        </w:rPr>
        <w:t xml:space="preserve"> 1</w:t>
      </w:r>
      <w:r w:rsidR="0087435B" w:rsidRPr="00091776">
        <w:rPr>
          <w:rStyle w:val="PageNumber"/>
          <w:rFonts w:cs="Arial"/>
        </w:rPr>
        <w:t>:</w:t>
      </w:r>
      <w:r w:rsidR="00702CEE" w:rsidRPr="00091776">
        <w:rPr>
          <w:rStyle w:val="PageNumber"/>
          <w:rFonts w:cs="Arial"/>
        </w:rPr>
        <w:t xml:space="preserve"> </w:t>
      </w:r>
      <w:r w:rsidR="00F15B7C" w:rsidRPr="00091776">
        <w:rPr>
          <w:rFonts w:cs="Arial"/>
        </w:rPr>
        <w:t>Thematic analysis</w:t>
      </w:r>
    </w:p>
    <w:p w14:paraId="36CB76CD" w14:textId="77777777" w:rsidR="00F44804" w:rsidRPr="00091776" w:rsidRDefault="00887E55" w:rsidP="00493314">
      <w:pPr>
        <w:spacing w:line="240" w:lineRule="auto"/>
        <w:rPr>
          <w:rFonts w:cs="Arial"/>
        </w:rPr>
      </w:pPr>
      <w:r w:rsidRPr="00091776">
        <w:rPr>
          <w:rStyle w:val="PageNumber"/>
          <w:rFonts w:cs="Arial"/>
        </w:rPr>
        <w:lastRenderedPageBreak/>
        <w:t>We identified f</w:t>
      </w:r>
      <w:r w:rsidR="00B70380" w:rsidRPr="00091776">
        <w:rPr>
          <w:rStyle w:val="PageNumber"/>
          <w:rFonts w:cs="Arial"/>
        </w:rPr>
        <w:t>our themes:</w:t>
      </w:r>
      <w:r w:rsidR="003470EB" w:rsidRPr="00091776">
        <w:rPr>
          <w:rStyle w:val="PageNumber"/>
          <w:rFonts w:cs="Arial"/>
        </w:rPr>
        <w:t xml:space="preserve"> 1. R</w:t>
      </w:r>
      <w:r w:rsidR="00B70380" w:rsidRPr="00091776">
        <w:rPr>
          <w:rStyle w:val="PageNumber"/>
          <w:rFonts w:cs="Arial"/>
        </w:rPr>
        <w:t>ole of different</w:t>
      </w:r>
      <w:r w:rsidR="003470EB" w:rsidRPr="00091776">
        <w:rPr>
          <w:rStyle w:val="PageNumber"/>
          <w:rFonts w:cs="Arial"/>
        </w:rPr>
        <w:t xml:space="preserve"> professionals</w:t>
      </w:r>
      <w:r w:rsidR="00125E2F" w:rsidRPr="00091776">
        <w:rPr>
          <w:rStyle w:val="PageNumber"/>
          <w:rFonts w:cs="Arial"/>
        </w:rPr>
        <w:t>;</w:t>
      </w:r>
      <w:r w:rsidR="003470EB" w:rsidRPr="00091776">
        <w:rPr>
          <w:rStyle w:val="PageNumber"/>
          <w:rFonts w:cs="Arial"/>
        </w:rPr>
        <w:t xml:space="preserve"> </w:t>
      </w:r>
      <w:r w:rsidR="00CC618A" w:rsidRPr="00091776">
        <w:rPr>
          <w:rStyle w:val="PageNumber"/>
          <w:rFonts w:cs="Arial"/>
        </w:rPr>
        <w:t xml:space="preserve">2. </w:t>
      </w:r>
      <w:proofErr w:type="gramStart"/>
      <w:r w:rsidR="00CC618A" w:rsidRPr="00091776">
        <w:rPr>
          <w:rStyle w:val="PageNumber"/>
          <w:rFonts w:cs="Arial"/>
        </w:rPr>
        <w:t>The</w:t>
      </w:r>
      <w:proofErr w:type="gramEnd"/>
      <w:r w:rsidR="00CC618A" w:rsidRPr="00091776">
        <w:rPr>
          <w:rStyle w:val="PageNumber"/>
          <w:rFonts w:cs="Arial"/>
        </w:rPr>
        <w:t xml:space="preserve"> inpatient environment</w:t>
      </w:r>
      <w:r w:rsidR="001427BD" w:rsidRPr="00091776">
        <w:rPr>
          <w:rStyle w:val="PageNumber"/>
          <w:rFonts w:cs="Arial"/>
        </w:rPr>
        <w:t>;</w:t>
      </w:r>
      <w:r w:rsidR="00CC618A" w:rsidRPr="00091776">
        <w:rPr>
          <w:rStyle w:val="PageNumber"/>
          <w:rFonts w:cs="Arial"/>
        </w:rPr>
        <w:t xml:space="preserve"> 3</w:t>
      </w:r>
      <w:r w:rsidR="001427BD" w:rsidRPr="00091776">
        <w:rPr>
          <w:rStyle w:val="PageNumber"/>
          <w:rFonts w:cs="Arial"/>
        </w:rPr>
        <w:t>.</w:t>
      </w:r>
      <w:r w:rsidR="003470EB" w:rsidRPr="00091776">
        <w:rPr>
          <w:rStyle w:val="PageNumber"/>
          <w:rFonts w:cs="Arial"/>
        </w:rPr>
        <w:t xml:space="preserve"> C</w:t>
      </w:r>
      <w:r w:rsidR="00B70380" w:rsidRPr="00091776">
        <w:rPr>
          <w:rStyle w:val="PageNumber"/>
          <w:rFonts w:cs="Arial"/>
        </w:rPr>
        <w:t>onsideration of outcomes</w:t>
      </w:r>
      <w:r w:rsidR="00125E2F" w:rsidRPr="00091776">
        <w:rPr>
          <w:rStyle w:val="PageNumber"/>
          <w:rFonts w:cs="Arial"/>
        </w:rPr>
        <w:t>;</w:t>
      </w:r>
      <w:r w:rsidR="00B70380" w:rsidRPr="00091776">
        <w:rPr>
          <w:rStyle w:val="PageNumber"/>
          <w:rFonts w:cs="Arial"/>
        </w:rPr>
        <w:t xml:space="preserve"> </w:t>
      </w:r>
      <w:r w:rsidR="00CC618A" w:rsidRPr="00091776">
        <w:rPr>
          <w:rStyle w:val="PageNumber"/>
          <w:rFonts w:cs="Arial"/>
        </w:rPr>
        <w:t>4</w:t>
      </w:r>
      <w:r w:rsidR="003470EB" w:rsidRPr="00091776">
        <w:rPr>
          <w:rStyle w:val="PageNumber"/>
          <w:rFonts w:cs="Arial"/>
        </w:rPr>
        <w:t>. A</w:t>
      </w:r>
      <w:r w:rsidR="00B70380" w:rsidRPr="00091776">
        <w:rPr>
          <w:rStyle w:val="PageNumber"/>
          <w:rFonts w:cs="Arial"/>
        </w:rPr>
        <w:t>ttitudes towards medicines</w:t>
      </w:r>
      <w:r w:rsidR="00F80B0E" w:rsidRPr="00091776">
        <w:rPr>
          <w:rStyle w:val="PageNumber"/>
          <w:rFonts w:cs="Arial"/>
        </w:rPr>
        <w:t>.</w:t>
      </w:r>
      <w:r w:rsidR="002021C6" w:rsidRPr="00091776">
        <w:rPr>
          <w:rStyle w:val="PageNumber"/>
          <w:rFonts w:cs="Arial"/>
        </w:rPr>
        <w:t xml:space="preserve"> </w:t>
      </w:r>
      <w:r w:rsidR="00F44804" w:rsidRPr="00091776">
        <w:rPr>
          <w:rFonts w:cs="Arial"/>
        </w:rPr>
        <w:t xml:space="preserve">Themes were recurring after the third focus group and no new themes emerged after the sixth focus group. </w:t>
      </w:r>
    </w:p>
    <w:p w14:paraId="36996D04" w14:textId="0B2ECD20" w:rsidR="00536068" w:rsidRPr="00091776" w:rsidRDefault="00CC618A" w:rsidP="00493314">
      <w:pPr>
        <w:spacing w:line="240" w:lineRule="auto"/>
        <w:rPr>
          <w:rStyle w:val="PageNumber"/>
          <w:rFonts w:cs="Arial"/>
        </w:rPr>
      </w:pPr>
      <w:r w:rsidRPr="00091776">
        <w:rPr>
          <w:rStyle w:val="PageNumber"/>
          <w:rFonts w:cs="Arial"/>
        </w:rPr>
        <w:t xml:space="preserve">In accordance with the </w:t>
      </w:r>
      <w:r w:rsidR="00213633" w:rsidRPr="00091776">
        <w:rPr>
          <w:rStyle w:val="PageNumber"/>
          <w:rFonts w:cs="Arial"/>
        </w:rPr>
        <w:t xml:space="preserve">planned </w:t>
      </w:r>
      <w:r w:rsidRPr="00091776">
        <w:rPr>
          <w:rStyle w:val="PageNumber"/>
          <w:rFonts w:cs="Arial"/>
        </w:rPr>
        <w:t xml:space="preserve">analysis, themes 1 and 2 </w:t>
      </w:r>
      <w:r w:rsidR="00536068" w:rsidRPr="00091776">
        <w:rPr>
          <w:rStyle w:val="PageNumber"/>
          <w:rFonts w:cs="Arial"/>
        </w:rPr>
        <w:t xml:space="preserve">represented </w:t>
      </w:r>
      <w:r w:rsidR="00536068" w:rsidRPr="00091776">
        <w:rPr>
          <w:rFonts w:cs="Arial"/>
        </w:rPr>
        <w:t xml:space="preserve">novel concepts and </w:t>
      </w:r>
      <w:r w:rsidRPr="00091776">
        <w:rPr>
          <w:rStyle w:val="PageNumber"/>
          <w:rFonts w:cs="Arial"/>
        </w:rPr>
        <w:t>are</w:t>
      </w:r>
      <w:r w:rsidR="00536068" w:rsidRPr="00091776">
        <w:rPr>
          <w:rStyle w:val="PageNumber"/>
          <w:rFonts w:cs="Arial"/>
        </w:rPr>
        <w:t xml:space="preserve"> therefore</w:t>
      </w:r>
      <w:r w:rsidRPr="00091776">
        <w:rPr>
          <w:rStyle w:val="PageNumber"/>
          <w:rFonts w:cs="Arial"/>
        </w:rPr>
        <w:t xml:space="preserve"> comprehensively reported with illustrative quotations for contextualisation</w:t>
      </w:r>
      <w:r w:rsidR="0012605A" w:rsidRPr="00091776">
        <w:rPr>
          <w:rStyle w:val="PageNumber"/>
          <w:rFonts w:cs="Arial"/>
        </w:rPr>
        <w:t xml:space="preserve"> provided</w:t>
      </w:r>
      <w:r w:rsidR="00536068" w:rsidRPr="00091776">
        <w:rPr>
          <w:rStyle w:val="PageNumber"/>
          <w:rFonts w:cs="Arial"/>
        </w:rPr>
        <w:t>.</w:t>
      </w:r>
      <w:r w:rsidRPr="00091776">
        <w:rPr>
          <w:rStyle w:val="PageNumber"/>
          <w:rFonts w:cs="Arial"/>
        </w:rPr>
        <w:t xml:space="preserve"> </w:t>
      </w:r>
      <w:r w:rsidR="00536068" w:rsidRPr="00091776">
        <w:rPr>
          <w:rStyle w:val="PageNumber"/>
          <w:rFonts w:cs="Arial"/>
        </w:rPr>
        <w:t>Themes</w:t>
      </w:r>
      <w:r w:rsidRPr="00091776">
        <w:rPr>
          <w:rStyle w:val="PageNumber"/>
          <w:rFonts w:cs="Arial"/>
        </w:rPr>
        <w:t xml:space="preserve"> 3 and 4 are briefly described</w:t>
      </w:r>
      <w:r w:rsidR="00213633" w:rsidRPr="00091776">
        <w:rPr>
          <w:rStyle w:val="PageNumber"/>
          <w:rFonts w:cs="Arial"/>
        </w:rPr>
        <w:t xml:space="preserve"> because they overlap</w:t>
      </w:r>
      <w:r w:rsidR="004B2211" w:rsidRPr="00091776">
        <w:rPr>
          <w:rStyle w:val="PageNumber"/>
          <w:rFonts w:cs="Arial"/>
        </w:rPr>
        <w:t xml:space="preserve"> extensively</w:t>
      </w:r>
      <w:r w:rsidR="00213633" w:rsidRPr="00091776">
        <w:rPr>
          <w:rStyle w:val="PageNumber"/>
          <w:rFonts w:cs="Arial"/>
        </w:rPr>
        <w:t xml:space="preserve"> with the </w:t>
      </w:r>
      <w:r w:rsidR="00691563" w:rsidRPr="00091776">
        <w:rPr>
          <w:rStyle w:val="PageNumber"/>
          <w:rFonts w:cs="Arial"/>
        </w:rPr>
        <w:t xml:space="preserve">existing </w:t>
      </w:r>
      <w:r w:rsidR="00213633" w:rsidRPr="00091776">
        <w:rPr>
          <w:rStyle w:val="PageNumber"/>
          <w:rFonts w:cs="Arial"/>
        </w:rPr>
        <w:t>primary care literature</w:t>
      </w:r>
      <w:r w:rsidR="004B2211" w:rsidRPr="00091776">
        <w:rPr>
          <w:rStyle w:val="PageNumber"/>
          <w:rFonts w:cs="Arial"/>
        </w:rPr>
        <w:t>, therefore only divergences are highlighted</w:t>
      </w:r>
      <w:r w:rsidRPr="00091776">
        <w:rPr>
          <w:rStyle w:val="PageNumber"/>
          <w:rFonts w:cs="Arial"/>
        </w:rPr>
        <w:t xml:space="preserve">. </w:t>
      </w:r>
      <w:r w:rsidR="000E47B7" w:rsidRPr="00091776">
        <w:rPr>
          <w:rStyle w:val="PageNumber"/>
          <w:rFonts w:cs="Arial"/>
        </w:rPr>
        <w:t>There were n</w:t>
      </w:r>
      <w:r w:rsidR="00F47C96" w:rsidRPr="00091776">
        <w:rPr>
          <w:rStyle w:val="PageNumber"/>
          <w:rFonts w:cs="Arial"/>
        </w:rPr>
        <w:t xml:space="preserve">o </w:t>
      </w:r>
      <w:r w:rsidR="00F15B7C" w:rsidRPr="00091776">
        <w:rPr>
          <w:rStyle w:val="PageNumber"/>
          <w:rFonts w:cs="Arial"/>
        </w:rPr>
        <w:t>discernible differences between participants from teaching</w:t>
      </w:r>
      <w:r w:rsidR="00E426D3" w:rsidRPr="00091776">
        <w:rPr>
          <w:rStyle w:val="PageNumber"/>
          <w:rFonts w:cs="Arial"/>
        </w:rPr>
        <w:t xml:space="preserve"> and distr</w:t>
      </w:r>
      <w:r w:rsidR="00927683" w:rsidRPr="00091776">
        <w:rPr>
          <w:rStyle w:val="PageNumber"/>
          <w:rFonts w:cs="Arial"/>
        </w:rPr>
        <w:t xml:space="preserve">ict general hospitals </w:t>
      </w:r>
      <w:r w:rsidR="001C4BC6" w:rsidRPr="00091776">
        <w:rPr>
          <w:rStyle w:val="PageNumber"/>
          <w:rFonts w:cs="Arial"/>
        </w:rPr>
        <w:t xml:space="preserve">or </w:t>
      </w:r>
      <w:r w:rsidR="00927683" w:rsidRPr="00091776">
        <w:rPr>
          <w:rStyle w:val="PageNumber"/>
          <w:rFonts w:cs="Arial"/>
        </w:rPr>
        <w:t>presc</w:t>
      </w:r>
      <w:r w:rsidR="00E426D3" w:rsidRPr="00091776">
        <w:rPr>
          <w:rStyle w:val="PageNumber"/>
          <w:rFonts w:cs="Arial"/>
        </w:rPr>
        <w:t>ribing and non-prescribing pharmacis</w:t>
      </w:r>
      <w:r w:rsidR="00F47C96" w:rsidRPr="00091776">
        <w:rPr>
          <w:rStyle w:val="PageNumber"/>
          <w:rFonts w:cs="Arial"/>
        </w:rPr>
        <w:t>ts.</w:t>
      </w:r>
    </w:p>
    <w:p w14:paraId="36F8046D" w14:textId="77777777" w:rsidR="00536068" w:rsidRPr="00091776" w:rsidRDefault="00536068" w:rsidP="00493314">
      <w:pPr>
        <w:spacing w:line="240" w:lineRule="auto"/>
        <w:rPr>
          <w:rStyle w:val="PageNumber"/>
          <w:rFonts w:cs="Arial"/>
        </w:rPr>
      </w:pPr>
    </w:p>
    <w:p w14:paraId="63CE987F" w14:textId="77777777" w:rsidR="007545CE" w:rsidRPr="00091776" w:rsidRDefault="007545CE" w:rsidP="00493314">
      <w:pPr>
        <w:pStyle w:val="ListParagraph"/>
        <w:numPr>
          <w:ilvl w:val="0"/>
          <w:numId w:val="5"/>
        </w:numPr>
        <w:spacing w:line="240" w:lineRule="auto"/>
        <w:rPr>
          <w:rStyle w:val="PageNumber"/>
          <w:rFonts w:cs="Arial"/>
          <w:i/>
        </w:rPr>
      </w:pPr>
      <w:r w:rsidRPr="00091776">
        <w:rPr>
          <w:rStyle w:val="PageNumber"/>
          <w:rFonts w:cs="Arial"/>
          <w:i/>
        </w:rPr>
        <w:t>Role of different professionals</w:t>
      </w:r>
    </w:p>
    <w:p w14:paraId="07BD243F" w14:textId="3B5B0003" w:rsidR="003732FA" w:rsidRPr="00091776" w:rsidRDefault="004245E9" w:rsidP="00493314">
      <w:pPr>
        <w:spacing w:line="240" w:lineRule="auto"/>
        <w:rPr>
          <w:rFonts w:cs="Arial"/>
        </w:rPr>
      </w:pPr>
      <w:r w:rsidRPr="00091776">
        <w:rPr>
          <w:rFonts w:cs="Arial"/>
        </w:rPr>
        <w:t>There was high motivation to increase deprescribing in hospital</w:t>
      </w:r>
      <w:r w:rsidR="007168EE" w:rsidRPr="00091776">
        <w:rPr>
          <w:rFonts w:cs="Arial"/>
        </w:rPr>
        <w:t>;</w:t>
      </w:r>
      <w:r w:rsidRPr="00091776">
        <w:rPr>
          <w:rFonts w:cs="Arial"/>
        </w:rPr>
        <w:t xml:space="preserve"> </w:t>
      </w:r>
      <w:proofErr w:type="gramStart"/>
      <w:r w:rsidRPr="00091776">
        <w:rPr>
          <w:rFonts w:cs="Arial"/>
        </w:rPr>
        <w:t>geriatrician</w:t>
      </w:r>
      <w:r w:rsidR="007168EE" w:rsidRPr="00091776">
        <w:rPr>
          <w:rFonts w:cs="Arial"/>
        </w:rPr>
        <w:t>s</w:t>
      </w:r>
      <w:proofErr w:type="gramEnd"/>
      <w:r w:rsidRPr="00091776">
        <w:rPr>
          <w:rFonts w:cs="Arial"/>
        </w:rPr>
        <w:t xml:space="preserve"> pharmacist</w:t>
      </w:r>
      <w:r w:rsidR="007168EE" w:rsidRPr="00091776">
        <w:rPr>
          <w:rFonts w:cs="Arial"/>
        </w:rPr>
        <w:t>s recognised</w:t>
      </w:r>
      <w:r w:rsidRPr="00091776">
        <w:rPr>
          <w:rFonts w:cs="Arial"/>
        </w:rPr>
        <w:t xml:space="preserve"> that existing practice </w:t>
      </w:r>
      <w:r w:rsidR="00AA2726" w:rsidRPr="00091776">
        <w:rPr>
          <w:rFonts w:cs="Arial"/>
        </w:rPr>
        <w:t>was</w:t>
      </w:r>
      <w:r w:rsidR="008C3FB3" w:rsidRPr="00091776">
        <w:rPr>
          <w:rFonts w:cs="Arial"/>
        </w:rPr>
        <w:t xml:space="preserve"> </w:t>
      </w:r>
      <w:r w:rsidRPr="00091776">
        <w:rPr>
          <w:rFonts w:cs="Arial"/>
        </w:rPr>
        <w:t xml:space="preserve">limited </w:t>
      </w:r>
      <w:r w:rsidR="007168EE" w:rsidRPr="00091776">
        <w:rPr>
          <w:rFonts w:cs="Arial"/>
        </w:rPr>
        <w:t>and reactive to harms, rather than proactive to avoid harms</w:t>
      </w:r>
      <w:r w:rsidRPr="00091776">
        <w:rPr>
          <w:rFonts w:cs="Arial"/>
        </w:rPr>
        <w:t>.</w:t>
      </w:r>
    </w:p>
    <w:p w14:paraId="29462CC6" w14:textId="1AF64FD2" w:rsidR="00F81DE7" w:rsidRPr="00091776" w:rsidRDefault="00594E6D" w:rsidP="00493314">
      <w:pPr>
        <w:spacing w:line="240" w:lineRule="auto"/>
        <w:jc w:val="right"/>
        <w:rPr>
          <w:rFonts w:cs="Arial"/>
        </w:rPr>
      </w:pPr>
      <w:r w:rsidRPr="00091776">
        <w:rPr>
          <w:rFonts w:cs="Arial"/>
        </w:rPr>
        <w:t>“I think we do a lot more reactive deprescribing probably and a lot less proactive deprescribing than we should</w:t>
      </w:r>
      <w:r w:rsidR="00175CC3" w:rsidRPr="00091776">
        <w:rPr>
          <w:rFonts w:cs="Arial"/>
        </w:rPr>
        <w:t>.</w:t>
      </w:r>
      <w:r w:rsidRPr="00091776">
        <w:rPr>
          <w:rFonts w:cs="Arial"/>
        </w:rPr>
        <w:t>”</w:t>
      </w:r>
      <w:r w:rsidR="00175CC3" w:rsidRPr="00091776">
        <w:rPr>
          <w:rFonts w:cs="Arial"/>
        </w:rPr>
        <w:t xml:space="preserve"> (</w:t>
      </w:r>
      <w:r w:rsidR="000D71A1" w:rsidRPr="00091776">
        <w:rPr>
          <w:rFonts w:cs="Arial"/>
        </w:rPr>
        <w:t>Pharmacist 2, Hospital 2</w:t>
      </w:r>
      <w:r w:rsidR="00175CC3" w:rsidRPr="00091776">
        <w:rPr>
          <w:rFonts w:cs="Arial"/>
        </w:rPr>
        <w:t>)</w:t>
      </w:r>
    </w:p>
    <w:p w14:paraId="3BFA31C9" w14:textId="77777777" w:rsidR="00F81DE7" w:rsidRPr="00091776" w:rsidRDefault="00F81DE7" w:rsidP="00493314">
      <w:pPr>
        <w:spacing w:line="240" w:lineRule="auto"/>
        <w:rPr>
          <w:rFonts w:cs="Arial"/>
        </w:rPr>
      </w:pPr>
    </w:p>
    <w:p w14:paraId="7E242BC5" w14:textId="30213D0D" w:rsidR="004245E9" w:rsidRPr="00091776" w:rsidRDefault="007168EE" w:rsidP="00493314">
      <w:pPr>
        <w:spacing w:line="240" w:lineRule="auto"/>
        <w:rPr>
          <w:rFonts w:cs="Arial"/>
        </w:rPr>
      </w:pPr>
      <w:r w:rsidRPr="00091776">
        <w:rPr>
          <w:rFonts w:cs="Arial"/>
        </w:rPr>
        <w:t>Both professional groups</w:t>
      </w:r>
      <w:r w:rsidR="004245E9" w:rsidRPr="00091776">
        <w:rPr>
          <w:rFonts w:cs="Arial"/>
        </w:rPr>
        <w:t xml:space="preserve"> acknowledged that </w:t>
      </w:r>
      <w:r w:rsidR="00F92621" w:rsidRPr="00091776">
        <w:rPr>
          <w:rFonts w:cs="Arial"/>
        </w:rPr>
        <w:t>increasing</w:t>
      </w:r>
      <w:r w:rsidR="007604F9" w:rsidRPr="00091776">
        <w:rPr>
          <w:rFonts w:cs="Arial"/>
        </w:rPr>
        <w:t xml:space="preserve"> </w:t>
      </w:r>
      <w:r w:rsidR="00F92621" w:rsidRPr="00091776">
        <w:rPr>
          <w:rFonts w:cs="Arial"/>
        </w:rPr>
        <w:t xml:space="preserve">deprescribing </w:t>
      </w:r>
      <w:r w:rsidR="004245E9" w:rsidRPr="00091776">
        <w:rPr>
          <w:rFonts w:cs="Arial"/>
        </w:rPr>
        <w:t>aligned with the generalist nature of the</w:t>
      </w:r>
      <w:r w:rsidR="00B23E38" w:rsidRPr="00091776">
        <w:rPr>
          <w:rFonts w:cs="Arial"/>
        </w:rPr>
        <w:t>ir</w:t>
      </w:r>
      <w:r w:rsidR="004245E9" w:rsidRPr="00091776">
        <w:rPr>
          <w:rFonts w:cs="Arial"/>
        </w:rPr>
        <w:t xml:space="preserve"> </w:t>
      </w:r>
      <w:r w:rsidRPr="00091776">
        <w:rPr>
          <w:rFonts w:cs="Arial"/>
        </w:rPr>
        <w:t>respective</w:t>
      </w:r>
      <w:r w:rsidR="004245E9" w:rsidRPr="00091776">
        <w:rPr>
          <w:rFonts w:cs="Arial"/>
        </w:rPr>
        <w:t xml:space="preserve"> roles and responsibilities</w:t>
      </w:r>
      <w:r w:rsidR="000A2048" w:rsidRPr="00091776">
        <w:rPr>
          <w:rFonts w:cs="Arial"/>
        </w:rPr>
        <w:t>. However,</w:t>
      </w:r>
      <w:r w:rsidR="00915646" w:rsidRPr="00091776">
        <w:rPr>
          <w:rFonts w:cs="Arial"/>
        </w:rPr>
        <w:t xml:space="preserve"> </w:t>
      </w:r>
      <w:r w:rsidR="000A2048" w:rsidRPr="00091776">
        <w:rPr>
          <w:rFonts w:cs="Arial"/>
        </w:rPr>
        <w:t xml:space="preserve">the role of practitioners with a </w:t>
      </w:r>
      <w:r w:rsidR="00915646" w:rsidRPr="00091776">
        <w:rPr>
          <w:rFonts w:cs="Arial"/>
        </w:rPr>
        <w:t>restricted focus</w:t>
      </w:r>
      <w:r w:rsidR="000A2048" w:rsidRPr="00091776">
        <w:rPr>
          <w:rFonts w:cs="Arial"/>
        </w:rPr>
        <w:t>, such as therapeutic area specialists</w:t>
      </w:r>
      <w:r w:rsidR="00E00570">
        <w:rPr>
          <w:rFonts w:cs="Arial"/>
        </w:rPr>
        <w:t xml:space="preserve"> (e.g. </w:t>
      </w:r>
      <w:r w:rsidR="000A02D9">
        <w:rPr>
          <w:rFonts w:cs="Arial"/>
        </w:rPr>
        <w:t xml:space="preserve">cardiology, infectious diseases </w:t>
      </w:r>
      <w:r w:rsidR="00CF2CD7">
        <w:rPr>
          <w:rFonts w:cs="Arial"/>
        </w:rPr>
        <w:t>and</w:t>
      </w:r>
      <w:r w:rsidR="00E00570">
        <w:rPr>
          <w:rFonts w:cs="Arial"/>
        </w:rPr>
        <w:t xml:space="preserve"> surgery)</w:t>
      </w:r>
      <w:r w:rsidR="000A2048" w:rsidRPr="00091776">
        <w:rPr>
          <w:rFonts w:cs="Arial"/>
        </w:rPr>
        <w:t xml:space="preserve">, </w:t>
      </w:r>
      <w:r w:rsidR="00C5522F" w:rsidRPr="00091776">
        <w:rPr>
          <w:rFonts w:cs="Arial"/>
        </w:rPr>
        <w:t xml:space="preserve">was </w:t>
      </w:r>
      <w:r w:rsidR="000A2048" w:rsidRPr="00091776">
        <w:rPr>
          <w:rFonts w:cs="Arial"/>
        </w:rPr>
        <w:t>described as potentially incompatible with deprescribing for older people.</w:t>
      </w:r>
    </w:p>
    <w:p w14:paraId="4CB02F2F" w14:textId="562ECE67" w:rsidR="00D32B1F" w:rsidRPr="00091776" w:rsidRDefault="001E40FC" w:rsidP="00493314">
      <w:pPr>
        <w:spacing w:line="240" w:lineRule="auto"/>
        <w:rPr>
          <w:rStyle w:val="PageNumber"/>
          <w:rFonts w:cs="Arial"/>
        </w:rPr>
      </w:pPr>
      <w:r w:rsidRPr="00091776">
        <w:rPr>
          <w:rFonts w:cs="Arial"/>
        </w:rPr>
        <w:t>P</w:t>
      </w:r>
      <w:r w:rsidR="00915646" w:rsidRPr="00091776">
        <w:rPr>
          <w:rFonts w:cs="Arial"/>
        </w:rPr>
        <w:t>articipants indicated that</w:t>
      </w:r>
      <w:r w:rsidR="004245E9" w:rsidRPr="00091776">
        <w:rPr>
          <w:rFonts w:cs="Arial"/>
        </w:rPr>
        <w:t xml:space="preserve"> </w:t>
      </w:r>
      <w:r w:rsidR="00915646" w:rsidRPr="00091776">
        <w:rPr>
          <w:rFonts w:cs="Arial"/>
        </w:rPr>
        <w:t xml:space="preserve">junior healthcare practitioners, </w:t>
      </w:r>
      <w:r w:rsidR="00F92621" w:rsidRPr="00091776">
        <w:rPr>
          <w:rFonts w:cs="Arial"/>
        </w:rPr>
        <w:t xml:space="preserve">including </w:t>
      </w:r>
      <w:r w:rsidR="004F1B03" w:rsidRPr="00091776">
        <w:rPr>
          <w:rFonts w:cs="Arial"/>
        </w:rPr>
        <w:t>junior geriatricians and pharmacists</w:t>
      </w:r>
      <w:r w:rsidR="00915646" w:rsidRPr="00091776">
        <w:rPr>
          <w:rFonts w:cs="Arial"/>
        </w:rPr>
        <w:t xml:space="preserve">, </w:t>
      </w:r>
      <w:r w:rsidR="007E2656" w:rsidRPr="00091776">
        <w:rPr>
          <w:rFonts w:cs="Arial"/>
        </w:rPr>
        <w:t>lack</w:t>
      </w:r>
      <w:r w:rsidR="00F92621" w:rsidRPr="00091776">
        <w:rPr>
          <w:rFonts w:cs="Arial"/>
        </w:rPr>
        <w:t>ed</w:t>
      </w:r>
      <w:r w:rsidR="007E2656" w:rsidRPr="00091776">
        <w:rPr>
          <w:rFonts w:cs="Arial"/>
        </w:rPr>
        <w:t xml:space="preserve"> the required competencies to </w:t>
      </w:r>
      <w:r w:rsidR="00AA6462">
        <w:rPr>
          <w:rFonts w:cs="Arial"/>
        </w:rPr>
        <w:t>lead</w:t>
      </w:r>
      <w:r w:rsidR="007E2656" w:rsidRPr="00091776">
        <w:rPr>
          <w:rFonts w:cs="Arial"/>
        </w:rPr>
        <w:t xml:space="preserve"> deprescribing</w:t>
      </w:r>
      <w:r w:rsidR="00915646" w:rsidRPr="00091776">
        <w:rPr>
          <w:rFonts w:cs="Arial"/>
        </w:rPr>
        <w:t>. This was</w:t>
      </w:r>
      <w:r w:rsidR="00CC43ED" w:rsidRPr="00091776">
        <w:rPr>
          <w:rFonts w:cs="Arial"/>
        </w:rPr>
        <w:t xml:space="preserve"> a recognised consequence of </w:t>
      </w:r>
      <w:r w:rsidR="00971E0C">
        <w:rPr>
          <w:rFonts w:cs="Arial"/>
        </w:rPr>
        <w:t>insufficient</w:t>
      </w:r>
      <w:r w:rsidR="00CC43ED" w:rsidRPr="00091776">
        <w:rPr>
          <w:rFonts w:cs="Arial"/>
        </w:rPr>
        <w:t xml:space="preserve"> </w:t>
      </w:r>
      <w:r w:rsidR="00971E0C">
        <w:rPr>
          <w:rStyle w:val="PageNumber"/>
          <w:rFonts w:cs="Arial"/>
        </w:rPr>
        <w:t>trainee healthcare practitioner</w:t>
      </w:r>
      <w:r w:rsidR="00971E0C" w:rsidRPr="00091776">
        <w:rPr>
          <w:rFonts w:cs="Arial"/>
        </w:rPr>
        <w:t xml:space="preserve"> </w:t>
      </w:r>
      <w:r w:rsidR="00CC43ED" w:rsidRPr="00091776">
        <w:rPr>
          <w:rFonts w:cs="Arial"/>
        </w:rPr>
        <w:t xml:space="preserve">experience </w:t>
      </w:r>
      <w:r w:rsidR="00971E0C" w:rsidRPr="00091776">
        <w:rPr>
          <w:rFonts w:cs="Arial"/>
        </w:rPr>
        <w:t xml:space="preserve">and </w:t>
      </w:r>
      <w:r w:rsidR="00971E0C" w:rsidRPr="00091776">
        <w:rPr>
          <w:rStyle w:val="PageNumber"/>
          <w:rFonts w:cs="Arial"/>
        </w:rPr>
        <w:t xml:space="preserve">limited education </w:t>
      </w:r>
      <w:r w:rsidR="00915646" w:rsidRPr="00091776">
        <w:rPr>
          <w:rStyle w:val="PageNumber"/>
          <w:rFonts w:cs="Arial"/>
        </w:rPr>
        <w:t>regarding deprescribing</w:t>
      </w:r>
      <w:r w:rsidR="00971E0C">
        <w:rPr>
          <w:rStyle w:val="PageNumber"/>
          <w:rFonts w:cs="Arial"/>
        </w:rPr>
        <w:t xml:space="preserve"> within training programmes</w:t>
      </w:r>
      <w:r w:rsidR="00CC43ED" w:rsidRPr="00091776">
        <w:rPr>
          <w:rStyle w:val="PageNumber"/>
          <w:rFonts w:cs="Arial"/>
        </w:rPr>
        <w:t>.</w:t>
      </w:r>
    </w:p>
    <w:p w14:paraId="7D7195B6" w14:textId="08DF0B4E" w:rsidR="004A0226" w:rsidRPr="00091776" w:rsidRDefault="00F749E8" w:rsidP="00493314">
      <w:pPr>
        <w:spacing w:line="240" w:lineRule="auto"/>
        <w:rPr>
          <w:rStyle w:val="PageNumber"/>
          <w:rFonts w:cs="Arial"/>
        </w:rPr>
      </w:pPr>
      <w:r w:rsidRPr="00091776">
        <w:rPr>
          <w:rStyle w:val="PageNumber"/>
          <w:rFonts w:cs="Arial"/>
        </w:rPr>
        <w:t>Whilst the scope for several professional groups</w:t>
      </w:r>
      <w:r w:rsidR="001B49BB" w:rsidRPr="00091776">
        <w:rPr>
          <w:rStyle w:val="PageNumber"/>
          <w:rFonts w:cs="Arial"/>
        </w:rPr>
        <w:t xml:space="preserve"> working</w:t>
      </w:r>
      <w:r w:rsidRPr="00091776">
        <w:rPr>
          <w:rStyle w:val="PageNumber"/>
          <w:rFonts w:cs="Arial"/>
        </w:rPr>
        <w:t xml:space="preserve"> in hospital to contribute to deprescribing was </w:t>
      </w:r>
      <w:r w:rsidR="00F92621" w:rsidRPr="00091776">
        <w:rPr>
          <w:rStyle w:val="PageNumber"/>
          <w:rFonts w:cs="Arial"/>
        </w:rPr>
        <w:t>recognised</w:t>
      </w:r>
      <w:r w:rsidRPr="00091776">
        <w:rPr>
          <w:rStyle w:val="PageNumber"/>
          <w:rFonts w:cs="Arial"/>
        </w:rPr>
        <w:t xml:space="preserve">, </w:t>
      </w:r>
      <w:r w:rsidR="009067A4" w:rsidRPr="00091776">
        <w:rPr>
          <w:rStyle w:val="PageNumber"/>
          <w:rFonts w:cs="Arial"/>
        </w:rPr>
        <w:t>there was consen</w:t>
      </w:r>
      <w:r w:rsidRPr="00091776">
        <w:rPr>
          <w:rStyle w:val="PageNumber"/>
          <w:rFonts w:cs="Arial"/>
        </w:rPr>
        <w:t xml:space="preserve">sus that overall responsibility </w:t>
      </w:r>
      <w:r w:rsidR="007168EE" w:rsidRPr="00091776">
        <w:rPr>
          <w:rStyle w:val="PageNumber"/>
          <w:rFonts w:cs="Arial"/>
        </w:rPr>
        <w:t>should rest</w:t>
      </w:r>
      <w:r w:rsidR="00D709F6" w:rsidRPr="00091776">
        <w:rPr>
          <w:rStyle w:val="PageNumber"/>
          <w:rFonts w:cs="Arial"/>
        </w:rPr>
        <w:t xml:space="preserve"> with one </w:t>
      </w:r>
      <w:r w:rsidR="00F92621" w:rsidRPr="00091776">
        <w:rPr>
          <w:rStyle w:val="PageNumber"/>
          <w:rFonts w:cs="Arial"/>
        </w:rPr>
        <w:t>professional group</w:t>
      </w:r>
      <w:r w:rsidRPr="00091776">
        <w:rPr>
          <w:rStyle w:val="PageNumber"/>
          <w:rFonts w:cs="Arial"/>
        </w:rPr>
        <w:t xml:space="preserve">. </w:t>
      </w:r>
      <w:r w:rsidR="004A569E" w:rsidRPr="00091776">
        <w:rPr>
          <w:rStyle w:val="PageNumber"/>
          <w:rFonts w:cs="Arial"/>
        </w:rPr>
        <w:t>There was agreement</w:t>
      </w:r>
      <w:r w:rsidR="007168EE" w:rsidRPr="00091776">
        <w:rPr>
          <w:rStyle w:val="PageNumber"/>
          <w:rFonts w:cs="Arial"/>
        </w:rPr>
        <w:t xml:space="preserve"> across the focus group</w:t>
      </w:r>
      <w:r w:rsidR="004A569E" w:rsidRPr="00091776">
        <w:rPr>
          <w:rStyle w:val="PageNumber"/>
          <w:rFonts w:cs="Arial"/>
        </w:rPr>
        <w:t xml:space="preserve">s </w:t>
      </w:r>
      <w:r w:rsidR="00CC43ED" w:rsidRPr="00091776">
        <w:rPr>
          <w:rStyle w:val="PageNumber"/>
          <w:rFonts w:cs="Arial"/>
        </w:rPr>
        <w:t>that geriatricians should assume</w:t>
      </w:r>
      <w:r w:rsidR="007168EE" w:rsidRPr="00091776">
        <w:rPr>
          <w:rStyle w:val="PageNumber"/>
          <w:rFonts w:cs="Arial"/>
        </w:rPr>
        <w:t xml:space="preserve"> this</w:t>
      </w:r>
      <w:r w:rsidR="00CC43ED" w:rsidRPr="00091776">
        <w:rPr>
          <w:rStyle w:val="PageNumber"/>
          <w:rFonts w:cs="Arial"/>
        </w:rPr>
        <w:t xml:space="preserve"> overall</w:t>
      </w:r>
      <w:r w:rsidR="00BC5F3B" w:rsidRPr="00091776">
        <w:rPr>
          <w:rStyle w:val="PageNumber"/>
          <w:rFonts w:cs="Arial"/>
        </w:rPr>
        <w:t xml:space="preserve"> responsibility</w:t>
      </w:r>
      <w:r w:rsidR="002021C6" w:rsidRPr="00091776">
        <w:rPr>
          <w:rStyle w:val="PageNumber"/>
          <w:rFonts w:cs="Arial"/>
        </w:rPr>
        <w:t>. Furthermore,</w:t>
      </w:r>
      <w:r w:rsidR="006260CC" w:rsidRPr="00091776">
        <w:rPr>
          <w:rStyle w:val="PageNumber"/>
          <w:rFonts w:cs="Arial"/>
        </w:rPr>
        <w:t xml:space="preserve"> in the geriatrician focus groups</w:t>
      </w:r>
      <w:r w:rsidR="00A01D72" w:rsidRPr="00091776">
        <w:rPr>
          <w:rStyle w:val="PageNumber"/>
          <w:rFonts w:cs="Arial"/>
        </w:rPr>
        <w:t>,</w:t>
      </w:r>
      <w:r w:rsidR="006260CC" w:rsidRPr="00091776">
        <w:rPr>
          <w:rStyle w:val="PageNumber"/>
          <w:rFonts w:cs="Arial"/>
        </w:rPr>
        <w:t xml:space="preserve"> many participants expressed confidence in their ability to weigh up the risks and benefits of deprescribing</w:t>
      </w:r>
      <w:r w:rsidR="00BC5F3B" w:rsidRPr="00091776">
        <w:rPr>
          <w:rStyle w:val="PageNumber"/>
          <w:rFonts w:cs="Arial"/>
        </w:rPr>
        <w:t xml:space="preserve"> PIMs</w:t>
      </w:r>
      <w:r w:rsidR="006260CC" w:rsidRPr="00091776">
        <w:rPr>
          <w:rStyle w:val="PageNumber"/>
          <w:rFonts w:cs="Arial"/>
        </w:rPr>
        <w:t xml:space="preserve"> to inform decision-making</w:t>
      </w:r>
      <w:r w:rsidR="00CC43ED" w:rsidRPr="00091776">
        <w:rPr>
          <w:rStyle w:val="PageNumber"/>
          <w:rFonts w:cs="Arial"/>
        </w:rPr>
        <w:t>.</w:t>
      </w:r>
      <w:r w:rsidR="002021C6" w:rsidRPr="00091776">
        <w:rPr>
          <w:rStyle w:val="PageNumber"/>
          <w:rFonts w:cs="Arial"/>
        </w:rPr>
        <w:t xml:space="preserve"> For geriatricians therefore, the </w:t>
      </w:r>
      <w:r w:rsidR="00C16622" w:rsidRPr="00091776">
        <w:rPr>
          <w:rStyle w:val="PageNumber"/>
          <w:rFonts w:cs="Arial"/>
        </w:rPr>
        <w:t>main</w:t>
      </w:r>
      <w:r w:rsidR="00BD491A" w:rsidRPr="00091776">
        <w:rPr>
          <w:rStyle w:val="PageNumber"/>
          <w:rFonts w:cs="Arial"/>
        </w:rPr>
        <w:t xml:space="preserve"> </w:t>
      </w:r>
      <w:r w:rsidR="002021C6" w:rsidRPr="00091776">
        <w:rPr>
          <w:rStyle w:val="PageNumber"/>
          <w:rFonts w:cs="Arial"/>
        </w:rPr>
        <w:t>barriers to deprescribing were environmental and resource factors</w:t>
      </w:r>
      <w:r w:rsidR="00A24C48" w:rsidRPr="00091776">
        <w:rPr>
          <w:rStyle w:val="PageNumber"/>
          <w:rFonts w:cs="Arial"/>
        </w:rPr>
        <w:t>.</w:t>
      </w:r>
    </w:p>
    <w:p w14:paraId="5D646E3F" w14:textId="3412E91F" w:rsidR="004A0226" w:rsidRPr="00091776" w:rsidRDefault="00944509" w:rsidP="00493314">
      <w:pPr>
        <w:spacing w:line="240" w:lineRule="auto"/>
        <w:jc w:val="right"/>
        <w:rPr>
          <w:rStyle w:val="PageNumber"/>
          <w:rFonts w:cs="Arial"/>
        </w:rPr>
      </w:pPr>
      <w:r w:rsidRPr="00091776">
        <w:rPr>
          <w:rFonts w:cs="Arial"/>
        </w:rPr>
        <w:t>“</w:t>
      </w:r>
      <w:r w:rsidR="00983471" w:rsidRPr="00091776">
        <w:rPr>
          <w:rFonts w:cs="Arial"/>
        </w:rPr>
        <w:t xml:space="preserve">It’s interesting how all of the barriers to deprescribing are practical rather than I just don’t know whether I should stop it. So we’re extremely </w:t>
      </w:r>
      <w:r w:rsidR="00CE0E8C" w:rsidRPr="00091776">
        <w:rPr>
          <w:rFonts w:cs="Arial"/>
        </w:rPr>
        <w:t>confident</w:t>
      </w:r>
      <w:r w:rsidR="00983471" w:rsidRPr="00091776">
        <w:rPr>
          <w:rFonts w:cs="Arial"/>
        </w:rPr>
        <w:t xml:space="preserve"> in our ability to decide this is why this is what we should do.” (Geriatrician 5, Hospital 2)</w:t>
      </w:r>
    </w:p>
    <w:p w14:paraId="4603DC1C" w14:textId="77777777" w:rsidR="004A0226" w:rsidRPr="00091776" w:rsidRDefault="004A0226" w:rsidP="00493314">
      <w:pPr>
        <w:spacing w:line="240" w:lineRule="auto"/>
        <w:rPr>
          <w:rStyle w:val="PageNumber"/>
          <w:rFonts w:cs="Arial"/>
        </w:rPr>
      </w:pPr>
    </w:p>
    <w:p w14:paraId="3F831B18" w14:textId="2D1A7712" w:rsidR="00034233" w:rsidRPr="00091776" w:rsidRDefault="00500D02" w:rsidP="00493314">
      <w:pPr>
        <w:spacing w:line="240" w:lineRule="auto"/>
        <w:rPr>
          <w:rStyle w:val="PageNumber"/>
          <w:rFonts w:cs="Arial"/>
        </w:rPr>
      </w:pPr>
      <w:r w:rsidRPr="00091776">
        <w:rPr>
          <w:rStyle w:val="PageNumber"/>
          <w:rFonts w:cs="Arial"/>
        </w:rPr>
        <w:t>Pharmacist</w:t>
      </w:r>
      <w:r w:rsidR="00BC5F3B" w:rsidRPr="00091776">
        <w:rPr>
          <w:rStyle w:val="PageNumber"/>
          <w:rFonts w:cs="Arial"/>
        </w:rPr>
        <w:t xml:space="preserve">s </w:t>
      </w:r>
      <w:r w:rsidR="00A07E37" w:rsidRPr="00091776">
        <w:rPr>
          <w:rStyle w:val="PageNumber"/>
          <w:rFonts w:cs="Arial"/>
        </w:rPr>
        <w:t>suggested their skill set aligns with identifying</w:t>
      </w:r>
      <w:r w:rsidRPr="00091776">
        <w:rPr>
          <w:rStyle w:val="PageNumber"/>
          <w:rFonts w:cs="Arial"/>
        </w:rPr>
        <w:t xml:space="preserve"> </w:t>
      </w:r>
      <w:r w:rsidR="00BC5F3B" w:rsidRPr="00091776">
        <w:rPr>
          <w:rStyle w:val="PageNumber"/>
          <w:rFonts w:cs="Arial"/>
        </w:rPr>
        <w:t xml:space="preserve">PIMs </w:t>
      </w:r>
      <w:r w:rsidR="00A07E37" w:rsidRPr="00091776">
        <w:rPr>
          <w:rStyle w:val="PageNumber"/>
          <w:rFonts w:cs="Arial"/>
        </w:rPr>
        <w:t>and advising on deprescribing</w:t>
      </w:r>
      <w:r w:rsidRPr="00091776">
        <w:rPr>
          <w:rStyle w:val="PageNumber"/>
          <w:rFonts w:cs="Arial"/>
        </w:rPr>
        <w:t>, which was</w:t>
      </w:r>
      <w:r w:rsidR="00BC5F3B" w:rsidRPr="00091776">
        <w:rPr>
          <w:rStyle w:val="PageNumber"/>
          <w:rFonts w:cs="Arial"/>
        </w:rPr>
        <w:t xml:space="preserve"> also</w:t>
      </w:r>
      <w:r w:rsidRPr="00091776">
        <w:rPr>
          <w:rStyle w:val="PageNumber"/>
          <w:rFonts w:cs="Arial"/>
        </w:rPr>
        <w:t xml:space="preserve"> endorsed by geriatrician</w:t>
      </w:r>
      <w:r w:rsidR="00BC5F3B" w:rsidRPr="00091776">
        <w:rPr>
          <w:rStyle w:val="PageNumber"/>
          <w:rFonts w:cs="Arial"/>
        </w:rPr>
        <w:t>s</w:t>
      </w:r>
      <w:r w:rsidR="00A07E37" w:rsidRPr="00091776">
        <w:rPr>
          <w:rStyle w:val="PageNumber"/>
          <w:rFonts w:cs="Arial"/>
        </w:rPr>
        <w:t xml:space="preserve">. </w:t>
      </w:r>
      <w:r w:rsidR="00BC5F3B" w:rsidRPr="00091776">
        <w:rPr>
          <w:rStyle w:val="PageNumber"/>
          <w:rFonts w:cs="Arial"/>
        </w:rPr>
        <w:t xml:space="preserve">Pharmacists </w:t>
      </w:r>
      <w:r w:rsidR="00F92621" w:rsidRPr="00091776">
        <w:rPr>
          <w:rStyle w:val="PageNumber"/>
          <w:rFonts w:cs="Arial"/>
        </w:rPr>
        <w:t xml:space="preserve">were </w:t>
      </w:r>
      <w:r w:rsidR="00BC5F3B" w:rsidRPr="00091776">
        <w:rPr>
          <w:rStyle w:val="PageNumber"/>
          <w:rFonts w:cs="Arial"/>
        </w:rPr>
        <w:t xml:space="preserve">reluctant to </w:t>
      </w:r>
      <w:r w:rsidR="00A24C48" w:rsidRPr="00091776">
        <w:rPr>
          <w:rStyle w:val="PageNumber"/>
          <w:rFonts w:cs="Arial"/>
        </w:rPr>
        <w:t>assume</w:t>
      </w:r>
      <w:r w:rsidR="006F0882" w:rsidRPr="00091776">
        <w:rPr>
          <w:rStyle w:val="PageNumber"/>
          <w:rFonts w:cs="Arial"/>
        </w:rPr>
        <w:t xml:space="preserve"> overall responsibility for deprescribing</w:t>
      </w:r>
      <w:r w:rsidR="00A07E37" w:rsidRPr="00091776">
        <w:rPr>
          <w:rStyle w:val="PageNumber"/>
          <w:rFonts w:cs="Arial"/>
        </w:rPr>
        <w:t xml:space="preserve"> because of an expressed lack of confidence in </w:t>
      </w:r>
      <w:r w:rsidRPr="00091776">
        <w:rPr>
          <w:rStyle w:val="PageNumber"/>
          <w:rFonts w:cs="Arial"/>
        </w:rPr>
        <w:t>decision-making.</w:t>
      </w:r>
    </w:p>
    <w:p w14:paraId="388F5B55" w14:textId="04ED62D1" w:rsidR="00B9760B" w:rsidRPr="00091776" w:rsidRDefault="00670FF3" w:rsidP="00493314">
      <w:pPr>
        <w:spacing w:line="240" w:lineRule="auto"/>
        <w:jc w:val="right"/>
        <w:rPr>
          <w:rStyle w:val="PageNumber"/>
          <w:rFonts w:cs="Arial"/>
        </w:rPr>
      </w:pPr>
      <w:r w:rsidRPr="00091776">
        <w:rPr>
          <w:rFonts w:cs="Arial"/>
        </w:rPr>
        <w:t>“And then it’s just the difficulty of clinical relevance of these medications and the context of the patient that maybe pharmacists wouldn’t be happy with. It would have to be somebody who’s feeling happy enough to do it.”</w:t>
      </w:r>
      <w:r w:rsidR="007D7158" w:rsidRPr="00091776">
        <w:rPr>
          <w:rFonts w:cs="Arial"/>
        </w:rPr>
        <w:t xml:space="preserve"> (Pharmacist 2, Hospital 3)</w:t>
      </w:r>
    </w:p>
    <w:p w14:paraId="6D7B107C" w14:textId="77777777" w:rsidR="00B9760B" w:rsidRPr="00091776" w:rsidRDefault="00B9760B" w:rsidP="00493314">
      <w:pPr>
        <w:spacing w:line="240" w:lineRule="auto"/>
        <w:rPr>
          <w:rStyle w:val="PageNumber"/>
          <w:rFonts w:cs="Arial"/>
        </w:rPr>
      </w:pPr>
    </w:p>
    <w:p w14:paraId="23B33B6A" w14:textId="40B843C2" w:rsidR="000F62B8" w:rsidRPr="00091776" w:rsidRDefault="002D2AE5" w:rsidP="00493314">
      <w:pPr>
        <w:spacing w:line="240" w:lineRule="auto"/>
        <w:rPr>
          <w:rStyle w:val="PageNumber"/>
          <w:rFonts w:cs="Arial"/>
        </w:rPr>
      </w:pPr>
      <w:r w:rsidRPr="00091776">
        <w:rPr>
          <w:rStyle w:val="PageNumber"/>
          <w:rFonts w:cs="Arial"/>
        </w:rPr>
        <w:lastRenderedPageBreak/>
        <w:t xml:space="preserve">However, </w:t>
      </w:r>
      <w:r w:rsidR="000F62B8" w:rsidRPr="00091776">
        <w:rPr>
          <w:rStyle w:val="PageNumber"/>
          <w:rFonts w:cs="Arial"/>
        </w:rPr>
        <w:t>existing working patterns</w:t>
      </w:r>
      <w:r w:rsidR="00500D02" w:rsidRPr="00091776">
        <w:rPr>
          <w:rStyle w:val="PageNumber"/>
          <w:rFonts w:cs="Arial"/>
        </w:rPr>
        <w:t xml:space="preserve"> and</w:t>
      </w:r>
      <w:r w:rsidR="000E5DE2" w:rsidRPr="00091776">
        <w:rPr>
          <w:rStyle w:val="PageNumber"/>
          <w:rFonts w:cs="Arial"/>
        </w:rPr>
        <w:t xml:space="preserve"> </w:t>
      </w:r>
      <w:r w:rsidR="00500D02" w:rsidRPr="00091776">
        <w:rPr>
          <w:rStyle w:val="PageNumber"/>
          <w:rFonts w:cs="Arial"/>
        </w:rPr>
        <w:t xml:space="preserve">priorities in hospital </w:t>
      </w:r>
      <w:r w:rsidRPr="00091776">
        <w:rPr>
          <w:rStyle w:val="PageNumber"/>
          <w:rFonts w:cs="Arial"/>
        </w:rPr>
        <w:t>was reported to limit pharmacists’</w:t>
      </w:r>
      <w:r w:rsidR="000F62B8" w:rsidRPr="00091776">
        <w:rPr>
          <w:rStyle w:val="PageNumber"/>
          <w:rFonts w:cs="Arial"/>
        </w:rPr>
        <w:t xml:space="preserve"> capacity to </w:t>
      </w:r>
      <w:r w:rsidRPr="00091776">
        <w:rPr>
          <w:rStyle w:val="PageNumber"/>
          <w:rFonts w:cs="Arial"/>
        </w:rPr>
        <w:t>assume any</w:t>
      </w:r>
      <w:r w:rsidR="00836185" w:rsidRPr="00091776">
        <w:rPr>
          <w:rStyle w:val="PageNumber"/>
          <w:rFonts w:cs="Arial"/>
        </w:rPr>
        <w:t xml:space="preserve"> substantial</w:t>
      </w:r>
      <w:r w:rsidRPr="00091776">
        <w:rPr>
          <w:rStyle w:val="PageNumber"/>
          <w:rFonts w:cs="Arial"/>
        </w:rPr>
        <w:t xml:space="preserve"> role in deprescribing</w:t>
      </w:r>
      <w:r w:rsidR="007B3982">
        <w:rPr>
          <w:rStyle w:val="PageNumber"/>
          <w:rFonts w:cs="Arial"/>
        </w:rPr>
        <w:t xml:space="preserve"> and was a significant barrier to them supporting deprescribing in hospital</w:t>
      </w:r>
      <w:r w:rsidRPr="00091776">
        <w:rPr>
          <w:rStyle w:val="PageNumber"/>
          <w:rFonts w:cs="Arial"/>
        </w:rPr>
        <w:t>.</w:t>
      </w:r>
    </w:p>
    <w:p w14:paraId="40346266" w14:textId="113CCA0D" w:rsidR="00CD2EFA" w:rsidRPr="00091776" w:rsidRDefault="00CD2EFA" w:rsidP="005811C9">
      <w:pPr>
        <w:spacing w:line="240" w:lineRule="auto"/>
        <w:jc w:val="right"/>
        <w:rPr>
          <w:rStyle w:val="PageNumber"/>
          <w:rFonts w:cs="Arial"/>
        </w:rPr>
      </w:pPr>
      <w:r w:rsidRPr="00091776">
        <w:rPr>
          <w:rFonts w:cs="Arial"/>
        </w:rPr>
        <w:t xml:space="preserve">“The time that we have on the ward as pharmacists is </w:t>
      </w:r>
      <w:r w:rsidR="00F07D9B" w:rsidRPr="00091776">
        <w:rPr>
          <w:rFonts w:cs="Arial"/>
        </w:rPr>
        <w:t>for</w:t>
      </w:r>
      <w:r w:rsidRPr="00091776">
        <w:rPr>
          <w:rFonts w:cs="Arial"/>
        </w:rPr>
        <w:t xml:space="preserve"> discharges, missed doses if you can do a medication reconciliation great and that’s about it. The actual clinical review of </w:t>
      </w:r>
      <w:r w:rsidR="00F07D9B" w:rsidRPr="00091776">
        <w:rPr>
          <w:rFonts w:cs="Arial"/>
        </w:rPr>
        <w:t>medicines</w:t>
      </w:r>
      <w:r w:rsidRPr="00091776">
        <w:rPr>
          <w:rFonts w:cs="Arial"/>
        </w:rPr>
        <w:t xml:space="preserve"> is squeezed</w:t>
      </w:r>
      <w:r w:rsidR="00917992" w:rsidRPr="00091776">
        <w:rPr>
          <w:rFonts w:cs="Arial"/>
        </w:rPr>
        <w:t>.</w:t>
      </w:r>
      <w:r w:rsidRPr="00091776">
        <w:rPr>
          <w:rFonts w:cs="Arial"/>
        </w:rPr>
        <w:t>”</w:t>
      </w:r>
      <w:r w:rsidR="00917992" w:rsidRPr="00091776">
        <w:rPr>
          <w:rFonts w:cs="Arial"/>
        </w:rPr>
        <w:t xml:space="preserve"> (Pharmacist 5, Hospital 4)</w:t>
      </w:r>
    </w:p>
    <w:p w14:paraId="2DFB273A" w14:textId="77777777" w:rsidR="005D2403" w:rsidRPr="00091776" w:rsidRDefault="005D2403" w:rsidP="00493314">
      <w:pPr>
        <w:spacing w:line="240" w:lineRule="auto"/>
        <w:rPr>
          <w:rStyle w:val="PageNumber"/>
          <w:rFonts w:cs="Arial"/>
        </w:rPr>
      </w:pPr>
    </w:p>
    <w:p w14:paraId="171CAE1F" w14:textId="77777777" w:rsidR="00CC618A" w:rsidRPr="00091776" w:rsidRDefault="00CC618A" w:rsidP="00493314">
      <w:pPr>
        <w:pStyle w:val="ListParagraph"/>
        <w:numPr>
          <w:ilvl w:val="0"/>
          <w:numId w:val="5"/>
        </w:numPr>
        <w:spacing w:line="240" w:lineRule="auto"/>
        <w:rPr>
          <w:rStyle w:val="PageNumber"/>
          <w:rFonts w:cs="Arial"/>
          <w:i/>
        </w:rPr>
      </w:pPr>
      <w:r w:rsidRPr="00091776">
        <w:rPr>
          <w:rStyle w:val="PageNumber"/>
          <w:rFonts w:cs="Arial"/>
          <w:i/>
        </w:rPr>
        <w:t>The inpatient environment</w:t>
      </w:r>
    </w:p>
    <w:p w14:paraId="42508AC4" w14:textId="5C053E25" w:rsidR="00CC618A" w:rsidRPr="00091776" w:rsidRDefault="00CC618A" w:rsidP="00493314">
      <w:pPr>
        <w:spacing w:line="240" w:lineRule="auto"/>
        <w:rPr>
          <w:rFonts w:cs="Arial"/>
        </w:rPr>
      </w:pPr>
      <w:r w:rsidRPr="00091776">
        <w:rPr>
          <w:rFonts w:cs="Arial"/>
        </w:rPr>
        <w:t xml:space="preserve">The </w:t>
      </w:r>
      <w:r w:rsidR="00DE7729" w:rsidRPr="00091776">
        <w:rPr>
          <w:rFonts w:cs="Arial"/>
        </w:rPr>
        <w:t>patient’s</w:t>
      </w:r>
      <w:r w:rsidR="00BC5F3B" w:rsidRPr="00091776">
        <w:rPr>
          <w:rFonts w:cs="Arial"/>
        </w:rPr>
        <w:t xml:space="preserve"> clinical picture, communication and access to resources were </w:t>
      </w:r>
      <w:r w:rsidR="00836185" w:rsidRPr="00091776">
        <w:rPr>
          <w:rFonts w:cs="Arial"/>
        </w:rPr>
        <w:t>perceived influencers of</w:t>
      </w:r>
      <w:r w:rsidR="00BC5F3B" w:rsidRPr="00091776">
        <w:rPr>
          <w:rFonts w:cs="Arial"/>
        </w:rPr>
        <w:t xml:space="preserve"> deprescribing. </w:t>
      </w:r>
      <w:r w:rsidRPr="00091776">
        <w:rPr>
          <w:rFonts w:cs="Arial"/>
        </w:rPr>
        <w:t>Both geriatrician</w:t>
      </w:r>
      <w:r w:rsidR="00BC5F3B" w:rsidRPr="00091776">
        <w:rPr>
          <w:rFonts w:cs="Arial"/>
        </w:rPr>
        <w:t>s</w:t>
      </w:r>
      <w:r w:rsidRPr="00091776">
        <w:rPr>
          <w:rFonts w:cs="Arial"/>
        </w:rPr>
        <w:t xml:space="preserve"> and pharmacist</w:t>
      </w:r>
      <w:r w:rsidR="00BC5F3B" w:rsidRPr="00091776">
        <w:rPr>
          <w:rFonts w:cs="Arial"/>
        </w:rPr>
        <w:t>s</w:t>
      </w:r>
      <w:r w:rsidRPr="00091776">
        <w:rPr>
          <w:rFonts w:cs="Arial"/>
        </w:rPr>
        <w:t xml:space="preserve"> acknowledged that</w:t>
      </w:r>
      <w:r w:rsidR="00102BFC" w:rsidRPr="00091776">
        <w:rPr>
          <w:rFonts w:cs="Arial"/>
        </w:rPr>
        <w:t xml:space="preserve"> there was scope to increase deprescribing in hospital.</w:t>
      </w:r>
      <w:r w:rsidR="00954635" w:rsidRPr="00091776">
        <w:rPr>
          <w:rFonts w:cs="Arial"/>
        </w:rPr>
        <w:t xml:space="preserve"> </w:t>
      </w:r>
      <w:r w:rsidR="00BC5F3B" w:rsidRPr="00091776">
        <w:rPr>
          <w:rFonts w:cs="Arial"/>
        </w:rPr>
        <w:t>This</w:t>
      </w:r>
      <w:r w:rsidRPr="00091776">
        <w:rPr>
          <w:rFonts w:cs="Arial"/>
        </w:rPr>
        <w:t xml:space="preserve"> was complemented by the necessary resources and capacity available in hospital to safely trial deprescribing and monitor </w:t>
      </w:r>
      <w:r w:rsidR="00DC4648" w:rsidRPr="00091776">
        <w:rPr>
          <w:rFonts w:cs="Arial"/>
        </w:rPr>
        <w:t>patients.</w:t>
      </w:r>
    </w:p>
    <w:p w14:paraId="40CD4D67" w14:textId="476868D4" w:rsidR="00164CF2" w:rsidRPr="00091776" w:rsidRDefault="005811C9" w:rsidP="00493314">
      <w:pPr>
        <w:spacing w:line="240" w:lineRule="auto"/>
        <w:jc w:val="right"/>
        <w:rPr>
          <w:rFonts w:cs="Arial"/>
        </w:rPr>
      </w:pPr>
      <w:r w:rsidRPr="00091776">
        <w:rPr>
          <w:rFonts w:cs="Arial"/>
        </w:rPr>
        <w:t>“I</w:t>
      </w:r>
      <w:r w:rsidR="00164CF2" w:rsidRPr="00091776">
        <w:rPr>
          <w:rFonts w:cs="Arial"/>
        </w:rPr>
        <w:t>f they’re in hospital they can be monitored more closely when you do stop the riskier medication and if they’re in for a length of time</w:t>
      </w:r>
      <w:r w:rsidR="00940E39" w:rsidRPr="00091776">
        <w:rPr>
          <w:rFonts w:cs="Arial"/>
        </w:rPr>
        <w:t>…</w:t>
      </w:r>
      <w:r w:rsidR="00164CF2" w:rsidRPr="00091776">
        <w:rPr>
          <w:rFonts w:cs="Arial"/>
        </w:rPr>
        <w:t xml:space="preserve"> then there’s the time to stop </w:t>
      </w:r>
      <w:r w:rsidR="00940E39" w:rsidRPr="00091776">
        <w:rPr>
          <w:rFonts w:cs="Arial"/>
        </w:rPr>
        <w:t>medication</w:t>
      </w:r>
      <w:r w:rsidR="00164CF2" w:rsidRPr="00091776">
        <w:rPr>
          <w:rFonts w:cs="Arial"/>
        </w:rPr>
        <w:t>.” (Pharmacist 5, Hospital 3)</w:t>
      </w:r>
    </w:p>
    <w:p w14:paraId="56CCC5C0" w14:textId="6C25FBE9" w:rsidR="00E72276" w:rsidRPr="00091776" w:rsidRDefault="00E72276" w:rsidP="00493314">
      <w:pPr>
        <w:spacing w:line="240" w:lineRule="auto"/>
        <w:rPr>
          <w:rFonts w:cs="Arial"/>
        </w:rPr>
      </w:pPr>
    </w:p>
    <w:p w14:paraId="26E86130" w14:textId="029C4E22" w:rsidR="00CC618A" w:rsidRPr="00091776" w:rsidRDefault="00DC4648" w:rsidP="00493314">
      <w:pPr>
        <w:spacing w:line="240" w:lineRule="auto"/>
        <w:rPr>
          <w:rStyle w:val="PageNumber"/>
          <w:rFonts w:cs="Arial"/>
        </w:rPr>
      </w:pPr>
      <w:r w:rsidRPr="00091776">
        <w:rPr>
          <w:rStyle w:val="PageNumber"/>
          <w:rFonts w:cs="Arial"/>
        </w:rPr>
        <w:t>C</w:t>
      </w:r>
      <w:r w:rsidR="00CC618A" w:rsidRPr="00091776">
        <w:rPr>
          <w:rStyle w:val="PageNumber"/>
          <w:rFonts w:cs="Arial"/>
        </w:rPr>
        <w:t xml:space="preserve">hallenges to deprescribing in the hospital </w:t>
      </w:r>
      <w:r w:rsidR="000E5DE2" w:rsidRPr="00091776">
        <w:rPr>
          <w:rStyle w:val="PageNumber"/>
          <w:rFonts w:cs="Arial"/>
        </w:rPr>
        <w:t>setting</w:t>
      </w:r>
      <w:r w:rsidR="00CC618A" w:rsidRPr="00091776">
        <w:rPr>
          <w:rStyle w:val="PageNumber"/>
          <w:rFonts w:cs="Arial"/>
        </w:rPr>
        <w:t xml:space="preserve"> were</w:t>
      </w:r>
      <w:r w:rsidR="00BC5F3B" w:rsidRPr="00091776">
        <w:rPr>
          <w:rStyle w:val="PageNumber"/>
          <w:rFonts w:cs="Arial"/>
        </w:rPr>
        <w:t xml:space="preserve"> also</w:t>
      </w:r>
      <w:r w:rsidR="00CC618A" w:rsidRPr="00091776">
        <w:rPr>
          <w:rStyle w:val="PageNumber"/>
          <w:rFonts w:cs="Arial"/>
        </w:rPr>
        <w:t xml:space="preserve"> ackn</w:t>
      </w:r>
      <w:r w:rsidR="001F565E" w:rsidRPr="00091776">
        <w:rPr>
          <w:rStyle w:val="PageNumber"/>
          <w:rFonts w:cs="Arial"/>
        </w:rPr>
        <w:t>owledged. L</w:t>
      </w:r>
      <w:r w:rsidR="00CC618A" w:rsidRPr="00091776">
        <w:rPr>
          <w:rStyle w:val="PageNumber"/>
          <w:rFonts w:cs="Arial"/>
        </w:rPr>
        <w:t xml:space="preserve">imited information </w:t>
      </w:r>
      <w:r w:rsidR="001662A4" w:rsidRPr="00091776">
        <w:rPr>
          <w:rStyle w:val="PageNumber"/>
          <w:rFonts w:cs="Arial"/>
        </w:rPr>
        <w:t xml:space="preserve">available to hospital practitioners </w:t>
      </w:r>
      <w:r w:rsidR="00CC618A" w:rsidRPr="00091776">
        <w:rPr>
          <w:rStyle w:val="PageNumber"/>
          <w:rFonts w:cs="Arial"/>
        </w:rPr>
        <w:t>regarding patients’ medications</w:t>
      </w:r>
      <w:r w:rsidR="001662A4" w:rsidRPr="00091776">
        <w:rPr>
          <w:rStyle w:val="PageNumber"/>
          <w:rFonts w:cs="Arial"/>
        </w:rPr>
        <w:t xml:space="preserve"> was </w:t>
      </w:r>
      <w:r w:rsidR="00714EF4">
        <w:rPr>
          <w:rStyle w:val="PageNumber"/>
          <w:rFonts w:cs="Arial"/>
        </w:rPr>
        <w:t>raised as a barrier</w:t>
      </w:r>
      <w:r w:rsidR="001662A4" w:rsidRPr="00091776">
        <w:rPr>
          <w:rStyle w:val="PageNumber"/>
          <w:rFonts w:cs="Arial"/>
        </w:rPr>
        <w:t>.</w:t>
      </w:r>
      <w:r w:rsidR="00CC618A" w:rsidRPr="00091776">
        <w:rPr>
          <w:rStyle w:val="PageNumber"/>
          <w:rFonts w:cs="Arial"/>
        </w:rPr>
        <w:t xml:space="preserve"> Strength, dose and formulation of </w:t>
      </w:r>
      <w:r w:rsidR="00BC5F3B" w:rsidRPr="00091776">
        <w:rPr>
          <w:rStyle w:val="PageNumber"/>
          <w:rFonts w:cs="Arial"/>
        </w:rPr>
        <w:t>pre-admission</w:t>
      </w:r>
      <w:r w:rsidR="00CC618A" w:rsidRPr="00091776">
        <w:rPr>
          <w:rStyle w:val="PageNumber"/>
          <w:rFonts w:cs="Arial"/>
        </w:rPr>
        <w:t xml:space="preserve"> medications were routinely ascertained by pharmacists </w:t>
      </w:r>
      <w:r w:rsidRPr="00091776">
        <w:rPr>
          <w:rStyle w:val="PageNumber"/>
          <w:rFonts w:cs="Arial"/>
        </w:rPr>
        <w:t>by discussing with</w:t>
      </w:r>
      <w:r w:rsidR="00CC618A" w:rsidRPr="00091776">
        <w:rPr>
          <w:rStyle w:val="PageNumber"/>
          <w:rFonts w:cs="Arial"/>
        </w:rPr>
        <w:t xml:space="preserve"> patients </w:t>
      </w:r>
      <w:r w:rsidRPr="00091776">
        <w:rPr>
          <w:rStyle w:val="PageNumber"/>
          <w:rFonts w:cs="Arial"/>
        </w:rPr>
        <w:t>and</w:t>
      </w:r>
      <w:r w:rsidR="00CC618A" w:rsidRPr="00091776">
        <w:rPr>
          <w:rStyle w:val="PageNumber"/>
          <w:rFonts w:cs="Arial"/>
        </w:rPr>
        <w:t xml:space="preserve"> accessing electronic medication records. However, key information required to determine whether deprescribing </w:t>
      </w:r>
      <w:r w:rsidR="0045381D" w:rsidRPr="00091776">
        <w:rPr>
          <w:rStyle w:val="PageNumber"/>
          <w:rFonts w:cs="Arial"/>
        </w:rPr>
        <w:t>is</w:t>
      </w:r>
      <w:r w:rsidR="00CC618A" w:rsidRPr="00091776">
        <w:rPr>
          <w:rStyle w:val="PageNumber"/>
          <w:rFonts w:cs="Arial"/>
        </w:rPr>
        <w:t xml:space="preserve"> appropriate, such as the reason </w:t>
      </w:r>
      <w:r w:rsidR="007A0605" w:rsidRPr="00091776">
        <w:rPr>
          <w:rStyle w:val="PageNumber"/>
          <w:rFonts w:cs="Arial"/>
        </w:rPr>
        <w:t>why the medication was prescribed and for how long</w:t>
      </w:r>
      <w:r w:rsidR="00BC5F3B" w:rsidRPr="00091776">
        <w:rPr>
          <w:rStyle w:val="PageNumber"/>
          <w:rFonts w:cs="Arial"/>
        </w:rPr>
        <w:t>, w</w:t>
      </w:r>
      <w:r w:rsidR="002C2E1E" w:rsidRPr="00091776">
        <w:rPr>
          <w:rStyle w:val="PageNumber"/>
          <w:rFonts w:cs="Arial"/>
        </w:rPr>
        <w:t>ere</w:t>
      </w:r>
      <w:r w:rsidR="00BC5F3B" w:rsidRPr="00091776">
        <w:rPr>
          <w:rStyle w:val="PageNumber"/>
          <w:rFonts w:cs="Arial"/>
        </w:rPr>
        <w:t xml:space="preserve"> reportedly</w:t>
      </w:r>
      <w:r w:rsidR="00CC618A" w:rsidRPr="00091776">
        <w:rPr>
          <w:rStyle w:val="PageNumber"/>
          <w:rFonts w:cs="Arial"/>
        </w:rPr>
        <w:t xml:space="preserve"> rarely known.</w:t>
      </w:r>
    </w:p>
    <w:p w14:paraId="2D799324" w14:textId="71E1DB52" w:rsidR="00194FF6" w:rsidRPr="00091776" w:rsidRDefault="002E6113" w:rsidP="00493314">
      <w:pPr>
        <w:spacing w:line="240" w:lineRule="auto"/>
        <w:jc w:val="right"/>
        <w:rPr>
          <w:rStyle w:val="PageNumber"/>
          <w:rFonts w:cs="Arial"/>
        </w:rPr>
      </w:pPr>
      <w:r w:rsidRPr="00091776">
        <w:rPr>
          <w:rFonts w:cs="Arial"/>
        </w:rPr>
        <w:t>“You don’t always have all the information in hospital</w:t>
      </w:r>
      <w:r w:rsidR="00BE4220" w:rsidRPr="00091776">
        <w:rPr>
          <w:rFonts w:cs="Arial"/>
        </w:rPr>
        <w:t>...</w:t>
      </w:r>
      <w:r w:rsidRPr="00091776">
        <w:rPr>
          <w:rFonts w:cs="Arial"/>
        </w:rPr>
        <w:t xml:space="preserve"> it’s very difficult </w:t>
      </w:r>
      <w:r w:rsidR="00BE4220" w:rsidRPr="00091776">
        <w:rPr>
          <w:rFonts w:cs="Arial"/>
        </w:rPr>
        <w:t xml:space="preserve">to </w:t>
      </w:r>
      <w:r w:rsidRPr="00091776">
        <w:rPr>
          <w:rFonts w:cs="Arial"/>
        </w:rPr>
        <w:t>make that decision. There’s always the risk you might end up stopping something they really do need. And it might not be obvious that they really do need it from the information you’ve got in front of you.” (</w:t>
      </w:r>
      <w:r w:rsidR="00405F74" w:rsidRPr="00091776">
        <w:rPr>
          <w:rFonts w:cs="Arial"/>
        </w:rPr>
        <w:t>Pharmacist 7, Hospital 1)</w:t>
      </w:r>
    </w:p>
    <w:p w14:paraId="5CBAB373" w14:textId="77777777" w:rsidR="00194FF6" w:rsidRPr="00091776" w:rsidRDefault="00194FF6" w:rsidP="00493314">
      <w:pPr>
        <w:spacing w:line="240" w:lineRule="auto"/>
        <w:rPr>
          <w:rStyle w:val="PageNumber"/>
          <w:rFonts w:cs="Arial"/>
        </w:rPr>
      </w:pPr>
    </w:p>
    <w:p w14:paraId="643E128B" w14:textId="609B9DD7" w:rsidR="00CC618A" w:rsidRPr="00091776" w:rsidRDefault="009F0491" w:rsidP="00493314">
      <w:pPr>
        <w:spacing w:line="240" w:lineRule="auto"/>
        <w:rPr>
          <w:rStyle w:val="PageNumber"/>
          <w:rFonts w:cs="Arial"/>
        </w:rPr>
      </w:pPr>
      <w:r w:rsidRPr="00091776">
        <w:rPr>
          <w:rStyle w:val="PageNumber"/>
          <w:rFonts w:cs="Arial"/>
        </w:rPr>
        <w:t>A</w:t>
      </w:r>
      <w:r w:rsidR="00BC5F3B" w:rsidRPr="00091776">
        <w:rPr>
          <w:rStyle w:val="PageNumber"/>
          <w:rFonts w:cs="Arial"/>
        </w:rPr>
        <w:t xml:space="preserve"> further</w:t>
      </w:r>
      <w:r w:rsidRPr="00091776">
        <w:rPr>
          <w:rStyle w:val="PageNumber"/>
          <w:rFonts w:cs="Arial"/>
        </w:rPr>
        <w:t xml:space="preserve"> barrier to deprescribing was t</w:t>
      </w:r>
      <w:r w:rsidR="00CC618A" w:rsidRPr="00091776">
        <w:rPr>
          <w:rStyle w:val="PageNumber"/>
          <w:rFonts w:cs="Arial"/>
        </w:rPr>
        <w:t>he acute nature of a</w:t>
      </w:r>
      <w:r w:rsidRPr="00091776">
        <w:rPr>
          <w:rStyle w:val="PageNumber"/>
          <w:rFonts w:cs="Arial"/>
        </w:rPr>
        <w:t xml:space="preserve"> hospital admission requiring prioritisation of</w:t>
      </w:r>
      <w:r w:rsidR="00116258" w:rsidRPr="00091776">
        <w:rPr>
          <w:rStyle w:val="PageNumber"/>
          <w:rFonts w:cs="Arial"/>
        </w:rPr>
        <w:t xml:space="preserve"> the</w:t>
      </w:r>
      <w:r w:rsidR="00BC5F3B" w:rsidRPr="00091776">
        <w:rPr>
          <w:rStyle w:val="PageNumber"/>
          <w:rFonts w:cs="Arial"/>
        </w:rPr>
        <w:t xml:space="preserve"> patient’s</w:t>
      </w:r>
      <w:r w:rsidR="00343BD9" w:rsidRPr="00091776">
        <w:rPr>
          <w:rStyle w:val="PageNumber"/>
          <w:rFonts w:cs="Arial"/>
        </w:rPr>
        <w:t xml:space="preserve"> problems </w:t>
      </w:r>
      <w:r w:rsidR="000C4A75" w:rsidRPr="00091776">
        <w:rPr>
          <w:rStyle w:val="PageNumber"/>
          <w:rFonts w:cs="Arial"/>
        </w:rPr>
        <w:t xml:space="preserve">for </w:t>
      </w:r>
      <w:r w:rsidR="00BC2798" w:rsidRPr="00091776">
        <w:rPr>
          <w:rStyle w:val="PageNumber"/>
          <w:rFonts w:cs="Arial"/>
        </w:rPr>
        <w:t>immediate action</w:t>
      </w:r>
      <w:r w:rsidR="00CC618A" w:rsidRPr="00091776">
        <w:rPr>
          <w:rStyle w:val="PageNumber"/>
          <w:rFonts w:cs="Arial"/>
        </w:rPr>
        <w:t xml:space="preserve">. This was confounded by </w:t>
      </w:r>
      <w:r w:rsidR="00BC5F3B" w:rsidRPr="00091776">
        <w:rPr>
          <w:rStyle w:val="PageNumber"/>
          <w:rFonts w:cs="Arial"/>
        </w:rPr>
        <w:t>the patient’s</w:t>
      </w:r>
      <w:r w:rsidR="00DC117E" w:rsidRPr="00091776">
        <w:rPr>
          <w:rStyle w:val="PageNumber"/>
          <w:rFonts w:cs="Arial"/>
        </w:rPr>
        <w:t xml:space="preserve"> </w:t>
      </w:r>
      <w:r w:rsidR="00CC618A" w:rsidRPr="00091776">
        <w:rPr>
          <w:rStyle w:val="PageNumber"/>
          <w:rFonts w:cs="Arial"/>
        </w:rPr>
        <w:t xml:space="preserve">artificial lifestyle whilst in hospital, including immobility, scheduled meals and medications being managed by healthcare practitioners. </w:t>
      </w:r>
      <w:r w:rsidR="005037D4" w:rsidRPr="00091776">
        <w:rPr>
          <w:rStyle w:val="PageNumber"/>
          <w:rFonts w:cs="Arial"/>
        </w:rPr>
        <w:t xml:space="preserve">These factors were perceived </w:t>
      </w:r>
      <w:r w:rsidR="00CC618A" w:rsidRPr="00091776">
        <w:rPr>
          <w:rStyle w:val="PageNumber"/>
          <w:rFonts w:cs="Arial"/>
        </w:rPr>
        <w:t>to distort the assessments undertaken</w:t>
      </w:r>
      <w:r w:rsidR="005037D4" w:rsidRPr="00091776">
        <w:rPr>
          <w:rStyle w:val="PageNumber"/>
          <w:rFonts w:cs="Arial"/>
        </w:rPr>
        <w:t xml:space="preserve"> in hospital</w:t>
      </w:r>
      <w:r w:rsidR="00CC618A" w:rsidRPr="00091776">
        <w:rPr>
          <w:rStyle w:val="PageNumber"/>
          <w:rFonts w:cs="Arial"/>
        </w:rPr>
        <w:t xml:space="preserve"> to inform </w:t>
      </w:r>
      <w:r w:rsidR="00DC117E" w:rsidRPr="00091776">
        <w:rPr>
          <w:rStyle w:val="PageNumber"/>
          <w:rFonts w:cs="Arial"/>
        </w:rPr>
        <w:t>long</w:t>
      </w:r>
      <w:r w:rsidR="007D2127" w:rsidRPr="00091776">
        <w:rPr>
          <w:rStyle w:val="PageNumber"/>
          <w:rFonts w:cs="Arial"/>
        </w:rPr>
        <w:t>-</w:t>
      </w:r>
      <w:r w:rsidR="00DC117E" w:rsidRPr="00091776">
        <w:rPr>
          <w:rStyle w:val="PageNumber"/>
          <w:rFonts w:cs="Arial"/>
        </w:rPr>
        <w:t xml:space="preserve">term </w:t>
      </w:r>
      <w:r w:rsidR="00CC618A" w:rsidRPr="00091776">
        <w:rPr>
          <w:rStyle w:val="PageNumber"/>
          <w:rFonts w:cs="Arial"/>
        </w:rPr>
        <w:t xml:space="preserve">deprescribing </w:t>
      </w:r>
      <w:r w:rsidR="00DC117E" w:rsidRPr="00091776">
        <w:rPr>
          <w:rStyle w:val="PageNumber"/>
          <w:rFonts w:cs="Arial"/>
        </w:rPr>
        <w:t>decisions.</w:t>
      </w:r>
    </w:p>
    <w:p w14:paraId="4D032788" w14:textId="3004B231" w:rsidR="00810895" w:rsidRPr="00091776" w:rsidRDefault="00EE1AD8" w:rsidP="00493314">
      <w:pPr>
        <w:spacing w:line="240" w:lineRule="auto"/>
        <w:jc w:val="right"/>
        <w:rPr>
          <w:rStyle w:val="PageNumber"/>
          <w:rFonts w:cs="Arial"/>
        </w:rPr>
      </w:pPr>
      <w:r w:rsidRPr="00091776">
        <w:rPr>
          <w:rFonts w:cs="Arial"/>
        </w:rPr>
        <w:t>“Things might change so dramatically when they leave hospital, either they’ve recovered from their sepsis and they need their antihypertensives or they’ve started eating again and they need more of their gliclazide.” (Geriatrician 5, Hospital 2)</w:t>
      </w:r>
    </w:p>
    <w:p w14:paraId="43F73A27" w14:textId="77777777" w:rsidR="00810895" w:rsidRPr="00091776" w:rsidRDefault="00810895" w:rsidP="00493314">
      <w:pPr>
        <w:spacing w:line="240" w:lineRule="auto"/>
        <w:rPr>
          <w:rStyle w:val="PageNumber"/>
          <w:rFonts w:cs="Arial"/>
        </w:rPr>
      </w:pPr>
    </w:p>
    <w:p w14:paraId="3C5A4B71" w14:textId="5DC8A605" w:rsidR="00CC618A" w:rsidRPr="00091776" w:rsidRDefault="00A639CF" w:rsidP="00493314">
      <w:pPr>
        <w:spacing w:line="240" w:lineRule="auto"/>
        <w:rPr>
          <w:rStyle w:val="PageNumber"/>
          <w:rFonts w:cs="Arial"/>
        </w:rPr>
      </w:pPr>
      <w:r w:rsidRPr="00091776">
        <w:rPr>
          <w:rStyle w:val="PageNumber"/>
          <w:rFonts w:cs="Arial"/>
        </w:rPr>
        <w:t>P</w:t>
      </w:r>
      <w:r w:rsidR="00CC618A" w:rsidRPr="00091776">
        <w:rPr>
          <w:rStyle w:val="PageNumber"/>
          <w:rFonts w:cs="Arial"/>
        </w:rPr>
        <w:t xml:space="preserve">articipants asserted a clear need to establish a safety net through sharing </w:t>
      </w:r>
      <w:r w:rsidR="00527A12" w:rsidRPr="00091776">
        <w:rPr>
          <w:rStyle w:val="PageNumber"/>
          <w:rFonts w:cs="Arial"/>
        </w:rPr>
        <w:t xml:space="preserve">information </w:t>
      </w:r>
      <w:r w:rsidR="00CC618A" w:rsidRPr="00091776">
        <w:rPr>
          <w:rStyle w:val="PageNumber"/>
          <w:rFonts w:cs="Arial"/>
        </w:rPr>
        <w:t>with primary care providers responsible for ongoing care after patients are discharged from hospital. It was suggested that such correspondence could include directions for monitor</w:t>
      </w:r>
      <w:r w:rsidR="007A15BD" w:rsidRPr="00091776">
        <w:rPr>
          <w:rStyle w:val="PageNumber"/>
          <w:rFonts w:cs="Arial"/>
        </w:rPr>
        <w:t>ing</w:t>
      </w:r>
      <w:r w:rsidR="00CC618A" w:rsidRPr="00091776">
        <w:rPr>
          <w:rStyle w:val="PageNumber"/>
          <w:rFonts w:cs="Arial"/>
        </w:rPr>
        <w:t xml:space="preserve"> for changes </w:t>
      </w:r>
      <w:r w:rsidR="009A12BE" w:rsidRPr="00091776">
        <w:rPr>
          <w:rStyle w:val="PageNumber"/>
          <w:rFonts w:cs="Arial"/>
        </w:rPr>
        <w:t xml:space="preserve">that </w:t>
      </w:r>
      <w:r w:rsidR="00CC618A" w:rsidRPr="00091776">
        <w:rPr>
          <w:rStyle w:val="PageNumber"/>
          <w:rFonts w:cs="Arial"/>
        </w:rPr>
        <w:t>may indicate re</w:t>
      </w:r>
      <w:r w:rsidR="004C7ECA" w:rsidRPr="00091776">
        <w:rPr>
          <w:rStyle w:val="PageNumber"/>
          <w:rFonts w:cs="Arial"/>
        </w:rPr>
        <w:t>-</w:t>
      </w:r>
      <w:r w:rsidR="00CC618A" w:rsidRPr="00091776">
        <w:rPr>
          <w:rStyle w:val="PageNumber"/>
          <w:rFonts w:cs="Arial"/>
        </w:rPr>
        <w:t xml:space="preserve">prescribing </w:t>
      </w:r>
      <w:r w:rsidR="00A6395A" w:rsidRPr="00091776">
        <w:rPr>
          <w:rStyle w:val="PageNumber"/>
          <w:rFonts w:cs="Arial"/>
        </w:rPr>
        <w:t>was</w:t>
      </w:r>
      <w:r w:rsidR="00CC618A" w:rsidRPr="00091776">
        <w:rPr>
          <w:rStyle w:val="PageNumber"/>
          <w:rFonts w:cs="Arial"/>
        </w:rPr>
        <w:t xml:space="preserve"> necessary. However, </w:t>
      </w:r>
      <w:r w:rsidR="007D2127" w:rsidRPr="00091776">
        <w:rPr>
          <w:rStyle w:val="PageNumber"/>
          <w:rFonts w:cs="Arial"/>
        </w:rPr>
        <w:t>participants</w:t>
      </w:r>
      <w:r w:rsidR="00CC618A" w:rsidRPr="00091776">
        <w:rPr>
          <w:rStyle w:val="PageNumber"/>
          <w:rFonts w:cs="Arial"/>
        </w:rPr>
        <w:t xml:space="preserve"> agreed that</w:t>
      </w:r>
      <w:r w:rsidR="007D2127" w:rsidRPr="00091776">
        <w:rPr>
          <w:rStyle w:val="PageNumber"/>
          <w:rFonts w:cs="Arial"/>
        </w:rPr>
        <w:t xml:space="preserve"> the existing</w:t>
      </w:r>
      <w:r w:rsidR="00CC618A" w:rsidRPr="00091776">
        <w:rPr>
          <w:rStyle w:val="PageNumber"/>
          <w:rFonts w:cs="Arial"/>
        </w:rPr>
        <w:t xml:space="preserve"> </w:t>
      </w:r>
      <w:r w:rsidR="007D2127" w:rsidRPr="00091776">
        <w:rPr>
          <w:rStyle w:val="PageNumber"/>
          <w:rFonts w:cs="Arial"/>
        </w:rPr>
        <w:t>transfer of information between</w:t>
      </w:r>
      <w:r w:rsidR="00CC618A" w:rsidRPr="00091776">
        <w:rPr>
          <w:rStyle w:val="PageNumber"/>
          <w:rFonts w:cs="Arial"/>
        </w:rPr>
        <w:t xml:space="preserve"> care settings </w:t>
      </w:r>
      <w:r w:rsidR="005218F0" w:rsidRPr="00091776">
        <w:rPr>
          <w:rStyle w:val="PageNumber"/>
          <w:rFonts w:cs="Arial"/>
        </w:rPr>
        <w:t>was</w:t>
      </w:r>
      <w:r w:rsidR="00CC618A" w:rsidRPr="00091776">
        <w:rPr>
          <w:rStyle w:val="PageNumber"/>
          <w:rFonts w:cs="Arial"/>
        </w:rPr>
        <w:t xml:space="preserve"> poor and may undermine deprescri</w:t>
      </w:r>
      <w:r w:rsidR="007D2127" w:rsidRPr="00091776">
        <w:rPr>
          <w:rStyle w:val="PageNumber"/>
          <w:rFonts w:cs="Arial"/>
        </w:rPr>
        <w:t>bing efforts.</w:t>
      </w:r>
    </w:p>
    <w:p w14:paraId="75960134" w14:textId="711601B0" w:rsidR="00C32B31" w:rsidRPr="00091776" w:rsidRDefault="00F2730C" w:rsidP="00493314">
      <w:pPr>
        <w:spacing w:line="240" w:lineRule="auto"/>
        <w:jc w:val="right"/>
        <w:rPr>
          <w:rStyle w:val="PageNumber"/>
          <w:rFonts w:cs="Arial"/>
        </w:rPr>
      </w:pPr>
      <w:r w:rsidRPr="00091776">
        <w:rPr>
          <w:rFonts w:cs="Arial"/>
        </w:rPr>
        <w:t xml:space="preserve">“I think we’re very bad at relaying changes to the GPs [primary care practitioners]. I get a lot of letters from GPs saying this person was discharged </w:t>
      </w:r>
      <w:r w:rsidRPr="00027132">
        <w:rPr>
          <w:rFonts w:cs="Arial"/>
        </w:rPr>
        <w:t xml:space="preserve">and you stopped this list of </w:t>
      </w:r>
      <w:r w:rsidRPr="00027132">
        <w:rPr>
          <w:rFonts w:cs="Arial"/>
        </w:rPr>
        <w:lastRenderedPageBreak/>
        <w:t>medications and then you look at the discharge letter and there’s no reason why, or sometimes it doesn't mention it was stopped at all.”</w:t>
      </w:r>
      <w:r w:rsidR="002E6BF8" w:rsidRPr="00027132">
        <w:rPr>
          <w:rFonts w:cs="Arial"/>
        </w:rPr>
        <w:t xml:space="preserve"> (Geriatrician 5, Hospital</w:t>
      </w:r>
      <w:r w:rsidR="00027132" w:rsidRPr="00027132">
        <w:rPr>
          <w:rFonts w:cs="Arial"/>
        </w:rPr>
        <w:t xml:space="preserve"> 4</w:t>
      </w:r>
      <w:r w:rsidR="002E6BF8" w:rsidRPr="00027132">
        <w:rPr>
          <w:rFonts w:cs="Arial"/>
        </w:rPr>
        <w:t>)</w:t>
      </w:r>
    </w:p>
    <w:p w14:paraId="027E983A" w14:textId="77777777" w:rsidR="00C32B31" w:rsidRPr="00091776" w:rsidRDefault="00C32B31" w:rsidP="00493314">
      <w:pPr>
        <w:spacing w:line="240" w:lineRule="auto"/>
        <w:rPr>
          <w:rStyle w:val="PageNumber"/>
          <w:rFonts w:cs="Arial"/>
        </w:rPr>
      </w:pPr>
    </w:p>
    <w:p w14:paraId="6F0D0BEF" w14:textId="397728CF" w:rsidR="00CC618A" w:rsidRPr="00091776" w:rsidRDefault="00CC618A" w:rsidP="00493314">
      <w:pPr>
        <w:spacing w:line="240" w:lineRule="auto"/>
        <w:rPr>
          <w:rStyle w:val="PageNumber"/>
          <w:rFonts w:cs="Arial"/>
        </w:rPr>
      </w:pPr>
      <w:r w:rsidRPr="00091776">
        <w:rPr>
          <w:rStyle w:val="PageNumber"/>
          <w:rFonts w:cs="Arial"/>
        </w:rPr>
        <w:t>Similarly, pharmacist participants voiced concerns regarding communicating medication changes with patients</w:t>
      </w:r>
      <w:r w:rsidR="007D2127" w:rsidRPr="00091776">
        <w:rPr>
          <w:rStyle w:val="PageNumber"/>
          <w:rFonts w:cs="Arial"/>
        </w:rPr>
        <w:t xml:space="preserve"> in hospital</w:t>
      </w:r>
      <w:r w:rsidRPr="00091776">
        <w:rPr>
          <w:rStyle w:val="PageNumber"/>
          <w:rFonts w:cs="Arial"/>
        </w:rPr>
        <w:t>.</w:t>
      </w:r>
      <w:r w:rsidR="007D2127" w:rsidRPr="00091776">
        <w:rPr>
          <w:rStyle w:val="PageNumber"/>
          <w:rFonts w:cs="Arial"/>
        </w:rPr>
        <w:t xml:space="preserve"> Barriers identified included patients being unable to participate in decision-making because of ill health and deprescribing being regarded by patients as a low priority relative to the acute condition responsible for the admission. </w:t>
      </w:r>
      <w:r w:rsidRPr="00091776">
        <w:rPr>
          <w:rStyle w:val="PageNumber"/>
          <w:rFonts w:cs="Arial"/>
        </w:rPr>
        <w:t xml:space="preserve">However, the availability of </w:t>
      </w:r>
      <w:r w:rsidR="00501432" w:rsidRPr="00091776">
        <w:rPr>
          <w:rStyle w:val="PageNumber"/>
          <w:rFonts w:cs="Arial"/>
        </w:rPr>
        <w:t>carers</w:t>
      </w:r>
      <w:r w:rsidRPr="00091776">
        <w:rPr>
          <w:rStyle w:val="PageNumber"/>
          <w:rFonts w:cs="Arial"/>
        </w:rPr>
        <w:t xml:space="preserve"> as both sources of medic</w:t>
      </w:r>
      <w:r w:rsidR="007D2127" w:rsidRPr="00091776">
        <w:rPr>
          <w:rStyle w:val="PageNumber"/>
          <w:rFonts w:cs="Arial"/>
        </w:rPr>
        <w:t xml:space="preserve">ation information and participants in </w:t>
      </w:r>
      <w:r w:rsidRPr="00091776">
        <w:rPr>
          <w:rStyle w:val="PageNumber"/>
          <w:rFonts w:cs="Arial"/>
        </w:rPr>
        <w:t>decision-making</w:t>
      </w:r>
      <w:r w:rsidR="007D2127" w:rsidRPr="00091776">
        <w:rPr>
          <w:rStyle w:val="PageNumber"/>
          <w:rFonts w:cs="Arial"/>
        </w:rPr>
        <w:t xml:space="preserve"> were facilitators</w:t>
      </w:r>
      <w:r w:rsidRPr="00091776">
        <w:rPr>
          <w:rStyle w:val="PageNumber"/>
          <w:rFonts w:cs="Arial"/>
        </w:rPr>
        <w:t>.</w:t>
      </w:r>
    </w:p>
    <w:p w14:paraId="628FC084" w14:textId="77777777" w:rsidR="00714947" w:rsidRPr="00091776" w:rsidRDefault="009507D4" w:rsidP="00493314">
      <w:pPr>
        <w:spacing w:line="240" w:lineRule="auto"/>
        <w:rPr>
          <w:rStyle w:val="PageNumber"/>
          <w:rFonts w:cs="Arial"/>
        </w:rPr>
      </w:pPr>
      <w:r w:rsidRPr="00091776">
        <w:rPr>
          <w:rStyle w:val="PageNumber"/>
          <w:rFonts w:cs="Arial"/>
        </w:rPr>
        <w:t>Participants</w:t>
      </w:r>
      <w:r w:rsidR="00845874" w:rsidRPr="00091776">
        <w:rPr>
          <w:rStyle w:val="PageNumber"/>
          <w:rFonts w:cs="Arial"/>
        </w:rPr>
        <w:t xml:space="preserve"> </w:t>
      </w:r>
      <w:r w:rsidR="00E71B49" w:rsidRPr="00091776">
        <w:rPr>
          <w:rStyle w:val="PageNumber"/>
          <w:rFonts w:cs="Arial"/>
        </w:rPr>
        <w:t>expressed</w:t>
      </w:r>
      <w:r w:rsidR="00714947" w:rsidRPr="00091776">
        <w:rPr>
          <w:rStyle w:val="PageNumber"/>
          <w:rFonts w:cs="Arial"/>
        </w:rPr>
        <w:t xml:space="preserve"> </w:t>
      </w:r>
      <w:r w:rsidR="00E71B49" w:rsidRPr="00091776">
        <w:rPr>
          <w:rStyle w:val="PageNumber"/>
          <w:rFonts w:cs="Arial"/>
        </w:rPr>
        <w:t>disappointment</w:t>
      </w:r>
      <w:r w:rsidR="00714947" w:rsidRPr="00091776">
        <w:rPr>
          <w:rStyle w:val="PageNumber"/>
          <w:rFonts w:cs="Arial"/>
        </w:rPr>
        <w:t xml:space="preserve"> about not</w:t>
      </w:r>
      <w:r w:rsidR="00845874" w:rsidRPr="00091776">
        <w:rPr>
          <w:rStyle w:val="PageNumber"/>
          <w:rFonts w:cs="Arial"/>
        </w:rPr>
        <w:t xml:space="preserve"> </w:t>
      </w:r>
      <w:r w:rsidRPr="00091776">
        <w:rPr>
          <w:rStyle w:val="PageNumber"/>
          <w:rFonts w:cs="Arial"/>
        </w:rPr>
        <w:t xml:space="preserve">receiving feedback on positive outcomes resulting from hospital-initiated </w:t>
      </w:r>
      <w:r w:rsidR="00E71B49" w:rsidRPr="00091776">
        <w:rPr>
          <w:rStyle w:val="PageNumber"/>
          <w:rFonts w:cs="Arial"/>
        </w:rPr>
        <w:t>deprescribing</w:t>
      </w:r>
      <w:r w:rsidRPr="00091776">
        <w:rPr>
          <w:rStyle w:val="PageNumber"/>
          <w:rFonts w:cs="Arial"/>
        </w:rPr>
        <w:t xml:space="preserve"> </w:t>
      </w:r>
      <w:r w:rsidR="00F26F3E" w:rsidRPr="00091776">
        <w:rPr>
          <w:rStyle w:val="PageNumber"/>
          <w:rFonts w:cs="Arial"/>
        </w:rPr>
        <w:t xml:space="preserve">once patients were discharged. </w:t>
      </w:r>
      <w:r w:rsidR="008D0444" w:rsidRPr="00091776">
        <w:rPr>
          <w:rStyle w:val="PageNumber"/>
          <w:rFonts w:cs="Arial"/>
        </w:rPr>
        <w:t>B</w:t>
      </w:r>
      <w:r w:rsidR="005427C6" w:rsidRPr="00091776">
        <w:rPr>
          <w:rStyle w:val="PageNumber"/>
          <w:rFonts w:cs="Arial"/>
        </w:rPr>
        <w:t xml:space="preserve">oth professional groups recognised the successes of schemes to incentivise </w:t>
      </w:r>
      <w:r w:rsidR="00122750" w:rsidRPr="00091776">
        <w:rPr>
          <w:rStyle w:val="PageNumber"/>
          <w:rFonts w:cs="Arial"/>
        </w:rPr>
        <w:t xml:space="preserve">changes in </w:t>
      </w:r>
      <w:r w:rsidR="00BA5214" w:rsidRPr="00091776">
        <w:rPr>
          <w:rStyle w:val="PageNumber"/>
          <w:rFonts w:cs="Arial"/>
        </w:rPr>
        <w:t>antimicrobial</w:t>
      </w:r>
      <w:r w:rsidR="00B62381" w:rsidRPr="00091776">
        <w:rPr>
          <w:rStyle w:val="PageNumber"/>
          <w:rFonts w:cs="Arial"/>
        </w:rPr>
        <w:t xml:space="preserve"> </w:t>
      </w:r>
      <w:r w:rsidR="00122750" w:rsidRPr="00091776">
        <w:rPr>
          <w:rStyle w:val="PageNumber"/>
          <w:rFonts w:cs="Arial"/>
        </w:rPr>
        <w:t>prescribing practice</w:t>
      </w:r>
      <w:r w:rsidR="006454A7" w:rsidRPr="00091776">
        <w:rPr>
          <w:rStyle w:val="PageNumber"/>
          <w:rFonts w:cs="Arial"/>
        </w:rPr>
        <w:t xml:space="preserve"> in</w:t>
      </w:r>
      <w:r w:rsidR="00122750" w:rsidRPr="00091776">
        <w:rPr>
          <w:rStyle w:val="PageNumber"/>
          <w:rFonts w:cs="Arial"/>
        </w:rPr>
        <w:t xml:space="preserve"> </w:t>
      </w:r>
      <w:r w:rsidR="00BA5214" w:rsidRPr="00091776">
        <w:rPr>
          <w:rStyle w:val="PageNumber"/>
          <w:rFonts w:cs="Arial"/>
        </w:rPr>
        <w:t>the UK hospital setting</w:t>
      </w:r>
      <w:r w:rsidR="00F037A3" w:rsidRPr="00091776">
        <w:rPr>
          <w:rStyle w:val="PageNumber"/>
          <w:rFonts w:cs="Arial"/>
        </w:rPr>
        <w:t xml:space="preserve">. </w:t>
      </w:r>
      <w:r w:rsidR="00B62381" w:rsidRPr="00091776">
        <w:rPr>
          <w:rStyle w:val="PageNumber"/>
          <w:rFonts w:cs="Arial"/>
        </w:rPr>
        <w:t>This led</w:t>
      </w:r>
      <w:r w:rsidR="00F037A3" w:rsidRPr="00091776">
        <w:rPr>
          <w:rStyle w:val="PageNumber"/>
          <w:rFonts w:cs="Arial"/>
        </w:rPr>
        <w:t xml:space="preserve"> to suggest</w:t>
      </w:r>
      <w:r w:rsidR="00B35D48" w:rsidRPr="00091776">
        <w:rPr>
          <w:rStyle w:val="PageNumber"/>
          <w:rFonts w:cs="Arial"/>
        </w:rPr>
        <w:t>ions</w:t>
      </w:r>
      <w:r w:rsidR="00F037A3" w:rsidRPr="00091776">
        <w:rPr>
          <w:rStyle w:val="PageNumber"/>
          <w:rFonts w:cs="Arial"/>
        </w:rPr>
        <w:t xml:space="preserve"> that similar approaches </w:t>
      </w:r>
      <w:r w:rsidR="0007384D" w:rsidRPr="00091776">
        <w:rPr>
          <w:rStyle w:val="PageNumber"/>
          <w:rFonts w:cs="Arial"/>
        </w:rPr>
        <w:t>may</w:t>
      </w:r>
      <w:r w:rsidR="00AB2EDD" w:rsidRPr="00091776">
        <w:rPr>
          <w:rStyle w:val="PageNumber"/>
          <w:rFonts w:cs="Arial"/>
        </w:rPr>
        <w:t xml:space="preserve"> also</w:t>
      </w:r>
      <w:r w:rsidR="0007384D" w:rsidRPr="00091776">
        <w:rPr>
          <w:rStyle w:val="PageNumber"/>
          <w:rFonts w:cs="Arial"/>
        </w:rPr>
        <w:t xml:space="preserve"> be enablers of</w:t>
      </w:r>
      <w:r w:rsidR="00F037A3" w:rsidRPr="00091776">
        <w:rPr>
          <w:rStyle w:val="PageNumber"/>
          <w:rFonts w:cs="Arial"/>
        </w:rPr>
        <w:t xml:space="preserve"> deprescribi</w:t>
      </w:r>
      <w:r w:rsidR="0007384D" w:rsidRPr="00091776">
        <w:rPr>
          <w:rStyle w:val="PageNumber"/>
          <w:rFonts w:cs="Arial"/>
        </w:rPr>
        <w:t>ng.</w:t>
      </w:r>
    </w:p>
    <w:p w14:paraId="3FD968FC" w14:textId="77777777" w:rsidR="001748EF" w:rsidRPr="00091776" w:rsidRDefault="001748EF" w:rsidP="00493314">
      <w:pPr>
        <w:spacing w:line="240" w:lineRule="auto"/>
        <w:rPr>
          <w:rStyle w:val="PageNumber"/>
          <w:rFonts w:cs="Arial"/>
        </w:rPr>
      </w:pPr>
    </w:p>
    <w:p w14:paraId="129D6E01" w14:textId="77777777" w:rsidR="001748EF" w:rsidRPr="00091776" w:rsidRDefault="001748EF" w:rsidP="00493314">
      <w:pPr>
        <w:pStyle w:val="ListParagraph"/>
        <w:numPr>
          <w:ilvl w:val="0"/>
          <w:numId w:val="5"/>
        </w:numPr>
        <w:spacing w:line="240" w:lineRule="auto"/>
        <w:rPr>
          <w:rStyle w:val="PageNumber"/>
          <w:rFonts w:cs="Arial"/>
          <w:i/>
        </w:rPr>
      </w:pPr>
      <w:r w:rsidRPr="00091776">
        <w:rPr>
          <w:rStyle w:val="PageNumber"/>
          <w:rFonts w:cs="Arial"/>
          <w:i/>
        </w:rPr>
        <w:t>Consideration of outcomes</w:t>
      </w:r>
    </w:p>
    <w:p w14:paraId="3C91E9C4" w14:textId="765F1EF0" w:rsidR="000066F4" w:rsidRPr="00091776" w:rsidRDefault="00571BDE" w:rsidP="00493314">
      <w:pPr>
        <w:spacing w:line="240" w:lineRule="auto"/>
        <w:rPr>
          <w:rFonts w:cs="Arial"/>
        </w:rPr>
      </w:pPr>
      <w:r w:rsidRPr="00091776">
        <w:rPr>
          <w:rFonts w:cs="Arial"/>
        </w:rPr>
        <w:t xml:space="preserve">The </w:t>
      </w:r>
      <w:r w:rsidR="00ED45EF" w:rsidRPr="00091776">
        <w:rPr>
          <w:rFonts w:cs="Arial"/>
        </w:rPr>
        <w:t xml:space="preserve">perceived </w:t>
      </w:r>
      <w:r w:rsidRPr="00091776">
        <w:rPr>
          <w:rFonts w:cs="Arial"/>
        </w:rPr>
        <w:t>risks and potential benefits of deprescribing</w:t>
      </w:r>
      <w:r w:rsidR="00514597" w:rsidRPr="00091776">
        <w:rPr>
          <w:rFonts w:cs="Arial"/>
        </w:rPr>
        <w:t xml:space="preserve"> versus</w:t>
      </w:r>
      <w:r w:rsidRPr="00091776">
        <w:rPr>
          <w:rFonts w:cs="Arial"/>
        </w:rPr>
        <w:t xml:space="preserve"> continuing to prescribe were </w:t>
      </w:r>
      <w:r w:rsidR="00F47C96" w:rsidRPr="00091776">
        <w:rPr>
          <w:rFonts w:cs="Arial"/>
        </w:rPr>
        <w:t>identified</w:t>
      </w:r>
      <w:r w:rsidR="000576D7" w:rsidRPr="00091776">
        <w:rPr>
          <w:rFonts w:cs="Arial"/>
        </w:rPr>
        <w:t xml:space="preserve"> </w:t>
      </w:r>
      <w:r w:rsidR="0010736D" w:rsidRPr="00091776">
        <w:rPr>
          <w:rFonts w:cs="Arial"/>
        </w:rPr>
        <w:t xml:space="preserve">as </w:t>
      </w:r>
      <w:r w:rsidR="00DE14B6" w:rsidRPr="00091776">
        <w:rPr>
          <w:rFonts w:cs="Arial"/>
        </w:rPr>
        <w:t xml:space="preserve">key </w:t>
      </w:r>
      <w:r w:rsidR="00C65093" w:rsidRPr="00091776">
        <w:rPr>
          <w:rFonts w:cs="Arial"/>
        </w:rPr>
        <w:t>influencers of</w:t>
      </w:r>
      <w:r w:rsidR="00DE14B6" w:rsidRPr="00091776">
        <w:rPr>
          <w:rFonts w:cs="Arial"/>
        </w:rPr>
        <w:t xml:space="preserve"> deprescribing behaviour</w:t>
      </w:r>
      <w:r w:rsidR="00C65093" w:rsidRPr="00091776">
        <w:rPr>
          <w:rFonts w:cs="Arial"/>
        </w:rPr>
        <w:t>.</w:t>
      </w:r>
      <w:r w:rsidRPr="00091776">
        <w:rPr>
          <w:rFonts w:cs="Arial"/>
        </w:rPr>
        <w:t xml:space="preserve"> </w:t>
      </w:r>
      <w:r w:rsidR="00A569B9" w:rsidRPr="00091776">
        <w:rPr>
          <w:rFonts w:cs="Arial"/>
        </w:rPr>
        <w:t xml:space="preserve">Potential </w:t>
      </w:r>
      <w:r w:rsidR="00CC618A" w:rsidRPr="00091776">
        <w:rPr>
          <w:rFonts w:cs="Arial"/>
        </w:rPr>
        <w:t xml:space="preserve">patient </w:t>
      </w:r>
      <w:r w:rsidR="00A12B2E" w:rsidRPr="00091776">
        <w:rPr>
          <w:rFonts w:cs="Arial"/>
        </w:rPr>
        <w:t xml:space="preserve">orientated </w:t>
      </w:r>
      <w:r w:rsidR="00A569B9" w:rsidRPr="00091776">
        <w:rPr>
          <w:rFonts w:cs="Arial"/>
        </w:rPr>
        <w:t>positive outcomes</w:t>
      </w:r>
      <w:r w:rsidR="009B3218" w:rsidRPr="00091776">
        <w:rPr>
          <w:rFonts w:cs="Arial"/>
        </w:rPr>
        <w:t xml:space="preserve"> </w:t>
      </w:r>
      <w:r w:rsidR="00CC618A" w:rsidRPr="00091776">
        <w:rPr>
          <w:rFonts w:cs="Arial"/>
        </w:rPr>
        <w:t xml:space="preserve">were </w:t>
      </w:r>
      <w:r w:rsidR="00632A39" w:rsidRPr="00091776">
        <w:rPr>
          <w:rFonts w:cs="Arial"/>
        </w:rPr>
        <w:t xml:space="preserve">a reduction in </w:t>
      </w:r>
      <w:r w:rsidR="00CC618A" w:rsidRPr="00091776">
        <w:rPr>
          <w:rFonts w:cs="Arial"/>
        </w:rPr>
        <w:t>medication burden and inc</w:t>
      </w:r>
      <w:r w:rsidR="009B3218" w:rsidRPr="00091776">
        <w:rPr>
          <w:rFonts w:cs="Arial"/>
        </w:rPr>
        <w:t>idence of adverse drug events</w:t>
      </w:r>
      <w:r w:rsidR="00632A39" w:rsidRPr="00091776">
        <w:rPr>
          <w:rFonts w:cs="Arial"/>
        </w:rPr>
        <w:t>,</w:t>
      </w:r>
      <w:r w:rsidR="009B3218" w:rsidRPr="00091776">
        <w:rPr>
          <w:rFonts w:cs="Arial"/>
        </w:rPr>
        <w:t xml:space="preserve"> </w:t>
      </w:r>
      <w:r w:rsidR="00CC618A" w:rsidRPr="00091776">
        <w:rPr>
          <w:rFonts w:cs="Arial"/>
        </w:rPr>
        <w:t xml:space="preserve">leading to improved quality of life. A reduction in unnecessary medication expenditure, reduced treatment costs associated with adverse drug events and </w:t>
      </w:r>
      <w:r w:rsidR="000576D7" w:rsidRPr="00091776">
        <w:rPr>
          <w:rFonts w:cs="Arial"/>
        </w:rPr>
        <w:t>rationalising us</w:t>
      </w:r>
      <w:r w:rsidR="009B3218" w:rsidRPr="00091776">
        <w:rPr>
          <w:rFonts w:cs="Arial"/>
        </w:rPr>
        <w:t xml:space="preserve">e of health resources were </w:t>
      </w:r>
      <w:r w:rsidR="0051624B" w:rsidRPr="00091776">
        <w:rPr>
          <w:rFonts w:cs="Arial"/>
        </w:rPr>
        <w:t>proposed</w:t>
      </w:r>
      <w:r w:rsidR="009B3218" w:rsidRPr="00091776">
        <w:rPr>
          <w:rFonts w:cs="Arial"/>
        </w:rPr>
        <w:t xml:space="preserve"> </w:t>
      </w:r>
      <w:r w:rsidR="000576D7" w:rsidRPr="00091776">
        <w:rPr>
          <w:rFonts w:cs="Arial"/>
        </w:rPr>
        <w:t>healthcare systems</w:t>
      </w:r>
      <w:r w:rsidR="0051624B" w:rsidRPr="00091776">
        <w:rPr>
          <w:rFonts w:cs="Arial"/>
        </w:rPr>
        <w:t xml:space="preserve"> benefits</w:t>
      </w:r>
      <w:r w:rsidR="000576D7" w:rsidRPr="00091776">
        <w:rPr>
          <w:rFonts w:cs="Arial"/>
        </w:rPr>
        <w:t>. In turn, patient and health system benefits</w:t>
      </w:r>
      <w:r w:rsidR="0051624B" w:rsidRPr="00091776">
        <w:rPr>
          <w:rFonts w:cs="Arial"/>
        </w:rPr>
        <w:t xml:space="preserve"> were perceived to</w:t>
      </w:r>
      <w:r w:rsidR="000576D7" w:rsidRPr="00091776">
        <w:rPr>
          <w:rFonts w:cs="Arial"/>
        </w:rPr>
        <w:t xml:space="preserve"> </w:t>
      </w:r>
      <w:r w:rsidR="0051624B" w:rsidRPr="00091776">
        <w:rPr>
          <w:rFonts w:cs="Arial"/>
        </w:rPr>
        <w:t>results in</w:t>
      </w:r>
      <w:r w:rsidR="000576D7" w:rsidRPr="00091776">
        <w:rPr>
          <w:rFonts w:cs="Arial"/>
        </w:rPr>
        <w:t xml:space="preserve"> individual practitioner benefits, with geriatrician</w:t>
      </w:r>
      <w:r w:rsidR="0051624B" w:rsidRPr="00091776">
        <w:rPr>
          <w:rFonts w:cs="Arial"/>
        </w:rPr>
        <w:t xml:space="preserve">s and pharmacists </w:t>
      </w:r>
      <w:r w:rsidR="000576D7" w:rsidRPr="00091776">
        <w:rPr>
          <w:rFonts w:cs="Arial"/>
        </w:rPr>
        <w:t xml:space="preserve">suggesting </w:t>
      </w:r>
      <w:r w:rsidR="0051624B" w:rsidRPr="00091776">
        <w:rPr>
          <w:rFonts w:cs="Arial"/>
        </w:rPr>
        <w:t xml:space="preserve">that </w:t>
      </w:r>
      <w:r w:rsidR="000576D7" w:rsidRPr="00091776">
        <w:rPr>
          <w:rFonts w:cs="Arial"/>
        </w:rPr>
        <w:t>deprescribing may lead to reduced workload</w:t>
      </w:r>
      <w:r w:rsidR="0051624B" w:rsidRPr="00091776">
        <w:rPr>
          <w:rFonts w:cs="Arial"/>
        </w:rPr>
        <w:t>s</w:t>
      </w:r>
      <w:r w:rsidR="000576D7" w:rsidRPr="00091776">
        <w:rPr>
          <w:rFonts w:cs="Arial"/>
        </w:rPr>
        <w:t>.</w:t>
      </w:r>
    </w:p>
    <w:p w14:paraId="44C1D008" w14:textId="77777777" w:rsidR="007B23E3" w:rsidRPr="00091776" w:rsidRDefault="003C3646" w:rsidP="00493314">
      <w:pPr>
        <w:spacing w:line="240" w:lineRule="auto"/>
        <w:rPr>
          <w:rFonts w:cs="Arial"/>
        </w:rPr>
      </w:pPr>
      <w:r w:rsidRPr="00091776">
        <w:rPr>
          <w:rFonts w:cs="Arial"/>
        </w:rPr>
        <w:t>There</w:t>
      </w:r>
      <w:r w:rsidR="00502D7D" w:rsidRPr="00091776">
        <w:rPr>
          <w:rFonts w:cs="Arial"/>
        </w:rPr>
        <w:t xml:space="preserve"> was divergenc</w:t>
      </w:r>
      <w:r w:rsidR="00690C8A" w:rsidRPr="00091776">
        <w:rPr>
          <w:rFonts w:cs="Arial"/>
        </w:rPr>
        <w:t>e in views between geriatrician and pharmacist participants</w:t>
      </w:r>
      <w:r w:rsidR="00502D7D" w:rsidRPr="00091776">
        <w:rPr>
          <w:rFonts w:cs="Arial"/>
        </w:rPr>
        <w:t xml:space="preserve"> </w:t>
      </w:r>
      <w:r w:rsidR="000576D7" w:rsidRPr="00091776">
        <w:rPr>
          <w:rFonts w:cs="Arial"/>
        </w:rPr>
        <w:t>regarding</w:t>
      </w:r>
      <w:r w:rsidR="00502D7D" w:rsidRPr="00091776">
        <w:rPr>
          <w:rFonts w:cs="Arial"/>
        </w:rPr>
        <w:t xml:space="preserve"> </w:t>
      </w:r>
      <w:r w:rsidRPr="00091776">
        <w:rPr>
          <w:rFonts w:cs="Arial"/>
        </w:rPr>
        <w:t xml:space="preserve">whether deprescribing was perceived to carry greater risk than continuing </w:t>
      </w:r>
      <w:r w:rsidR="00D65578" w:rsidRPr="00091776">
        <w:rPr>
          <w:rFonts w:cs="Arial"/>
        </w:rPr>
        <w:t>to prescribe</w:t>
      </w:r>
      <w:r w:rsidR="00691563" w:rsidRPr="00091776">
        <w:rPr>
          <w:rFonts w:cs="Arial"/>
        </w:rPr>
        <w:t xml:space="preserve">. </w:t>
      </w:r>
      <w:r w:rsidR="000576D7" w:rsidRPr="00091776">
        <w:rPr>
          <w:rFonts w:cs="Arial"/>
        </w:rPr>
        <w:t>Pharmacist</w:t>
      </w:r>
      <w:r w:rsidRPr="00091776">
        <w:rPr>
          <w:rFonts w:cs="Arial"/>
        </w:rPr>
        <w:t xml:space="preserve"> </w:t>
      </w:r>
      <w:r w:rsidR="000576D7" w:rsidRPr="00091776">
        <w:rPr>
          <w:rFonts w:cs="Arial"/>
        </w:rPr>
        <w:t xml:space="preserve">participants felt that on balance, </w:t>
      </w:r>
      <w:r w:rsidR="00DE14DB" w:rsidRPr="00091776">
        <w:rPr>
          <w:rFonts w:cs="Arial"/>
        </w:rPr>
        <w:t>passively continuing to prescribe</w:t>
      </w:r>
      <w:r w:rsidR="00D65578" w:rsidRPr="00091776">
        <w:rPr>
          <w:rFonts w:cs="Arial"/>
        </w:rPr>
        <w:t xml:space="preserve"> a medicine in the absence of immediate harm </w:t>
      </w:r>
      <w:r w:rsidR="00DE14DB" w:rsidRPr="00091776">
        <w:rPr>
          <w:rFonts w:cs="Arial"/>
        </w:rPr>
        <w:t xml:space="preserve">was </w:t>
      </w:r>
      <w:r w:rsidR="00690C8A" w:rsidRPr="00091776">
        <w:rPr>
          <w:rFonts w:cs="Arial"/>
        </w:rPr>
        <w:t>safer than proactively deprescribing</w:t>
      </w:r>
      <w:r w:rsidR="000576D7" w:rsidRPr="00091776">
        <w:rPr>
          <w:rFonts w:cs="Arial"/>
        </w:rPr>
        <w:t xml:space="preserve">. </w:t>
      </w:r>
      <w:r w:rsidRPr="00091776">
        <w:rPr>
          <w:rFonts w:cs="Arial"/>
        </w:rPr>
        <w:t xml:space="preserve">Conversely, geriatricians felt </w:t>
      </w:r>
      <w:r w:rsidR="007B23E3" w:rsidRPr="00091776">
        <w:rPr>
          <w:rFonts w:cs="Arial"/>
        </w:rPr>
        <w:t xml:space="preserve">that both deprescribing and </w:t>
      </w:r>
      <w:r w:rsidR="00DE14DB" w:rsidRPr="00091776">
        <w:rPr>
          <w:rFonts w:cs="Arial"/>
        </w:rPr>
        <w:t xml:space="preserve">continuing to </w:t>
      </w:r>
      <w:r w:rsidR="000576D7" w:rsidRPr="00091776">
        <w:rPr>
          <w:rFonts w:cs="Arial"/>
        </w:rPr>
        <w:t>prescrib</w:t>
      </w:r>
      <w:r w:rsidR="00DE14DB" w:rsidRPr="00091776">
        <w:rPr>
          <w:rFonts w:cs="Arial"/>
        </w:rPr>
        <w:t>e</w:t>
      </w:r>
      <w:r w:rsidR="007B23E3" w:rsidRPr="00091776">
        <w:rPr>
          <w:rFonts w:cs="Arial"/>
        </w:rPr>
        <w:t xml:space="preserve"> were active decisions</w:t>
      </w:r>
      <w:r w:rsidR="009605B0" w:rsidRPr="00091776">
        <w:rPr>
          <w:rFonts w:cs="Arial"/>
        </w:rPr>
        <w:t>, with no inherent</w:t>
      </w:r>
      <w:r w:rsidR="007B23E3" w:rsidRPr="00091776">
        <w:rPr>
          <w:rFonts w:cs="Arial"/>
        </w:rPr>
        <w:t xml:space="preserve"> difference</w:t>
      </w:r>
      <w:r w:rsidR="009605B0" w:rsidRPr="00091776">
        <w:rPr>
          <w:rFonts w:cs="Arial"/>
        </w:rPr>
        <w:t>s</w:t>
      </w:r>
      <w:r w:rsidR="007B23E3" w:rsidRPr="00091776">
        <w:rPr>
          <w:rFonts w:cs="Arial"/>
        </w:rPr>
        <w:t xml:space="preserve"> in ris</w:t>
      </w:r>
      <w:r w:rsidR="00DE14DB" w:rsidRPr="00091776">
        <w:rPr>
          <w:rFonts w:cs="Arial"/>
        </w:rPr>
        <w:t xml:space="preserve">k </w:t>
      </w:r>
      <w:r w:rsidR="00690C8A" w:rsidRPr="00091776">
        <w:rPr>
          <w:rFonts w:cs="Arial"/>
        </w:rPr>
        <w:t>providing both are carefully considered.</w:t>
      </w:r>
    </w:p>
    <w:p w14:paraId="5A5695DA" w14:textId="77777777" w:rsidR="007154A6" w:rsidRPr="00091776" w:rsidRDefault="007154A6" w:rsidP="00493314">
      <w:pPr>
        <w:spacing w:line="240" w:lineRule="auto"/>
        <w:rPr>
          <w:rFonts w:cs="Arial"/>
        </w:rPr>
      </w:pPr>
    </w:p>
    <w:p w14:paraId="46BFA8F5" w14:textId="77777777" w:rsidR="00BE70C6" w:rsidRPr="00091776" w:rsidRDefault="000A0552" w:rsidP="00493314">
      <w:pPr>
        <w:pStyle w:val="ListParagraph"/>
        <w:numPr>
          <w:ilvl w:val="0"/>
          <w:numId w:val="5"/>
        </w:numPr>
        <w:spacing w:line="240" w:lineRule="auto"/>
        <w:rPr>
          <w:rFonts w:cs="Arial"/>
          <w:i/>
        </w:rPr>
      </w:pPr>
      <w:r w:rsidRPr="00091776">
        <w:rPr>
          <w:rFonts w:cs="Arial"/>
          <w:i/>
        </w:rPr>
        <w:t>Attitudes towards medicines</w:t>
      </w:r>
    </w:p>
    <w:p w14:paraId="41C193E6" w14:textId="2BEE072F" w:rsidR="00DD0E1B" w:rsidRPr="00091776" w:rsidRDefault="00E92663" w:rsidP="00493314">
      <w:pPr>
        <w:spacing w:line="240" w:lineRule="auto"/>
        <w:rPr>
          <w:rFonts w:cs="Arial"/>
        </w:rPr>
      </w:pPr>
      <w:r w:rsidRPr="00091776">
        <w:rPr>
          <w:rFonts w:cs="Arial"/>
        </w:rPr>
        <w:t>G</w:t>
      </w:r>
      <w:r w:rsidR="00485127" w:rsidRPr="00091776">
        <w:rPr>
          <w:rFonts w:cs="Arial"/>
        </w:rPr>
        <w:t>eriatricians and pharmacists described</w:t>
      </w:r>
      <w:r w:rsidR="00DE1E7D" w:rsidRPr="00091776">
        <w:rPr>
          <w:rFonts w:cs="Arial"/>
        </w:rPr>
        <w:t xml:space="preserve"> </w:t>
      </w:r>
      <w:r w:rsidRPr="00091776">
        <w:rPr>
          <w:rFonts w:cs="Arial"/>
        </w:rPr>
        <w:t>patient</w:t>
      </w:r>
      <w:r w:rsidR="00485127" w:rsidRPr="00091776">
        <w:rPr>
          <w:rFonts w:cs="Arial"/>
        </w:rPr>
        <w:t>s’</w:t>
      </w:r>
      <w:r w:rsidRPr="00091776">
        <w:rPr>
          <w:rFonts w:cs="Arial"/>
        </w:rPr>
        <w:t xml:space="preserve">, </w:t>
      </w:r>
      <w:r w:rsidR="00485127" w:rsidRPr="00091776">
        <w:rPr>
          <w:rFonts w:cs="Arial"/>
        </w:rPr>
        <w:t>families’</w:t>
      </w:r>
      <w:r w:rsidRPr="00091776">
        <w:rPr>
          <w:rFonts w:cs="Arial"/>
        </w:rPr>
        <w:t xml:space="preserve">, </w:t>
      </w:r>
      <w:r w:rsidR="00485127" w:rsidRPr="00091776">
        <w:rPr>
          <w:rFonts w:cs="Arial"/>
        </w:rPr>
        <w:t xml:space="preserve">other </w:t>
      </w:r>
      <w:r w:rsidRPr="00091776">
        <w:rPr>
          <w:rFonts w:cs="Arial"/>
        </w:rPr>
        <w:t xml:space="preserve">healthcare </w:t>
      </w:r>
      <w:r w:rsidR="00485127" w:rsidRPr="00091776">
        <w:rPr>
          <w:rFonts w:cs="Arial"/>
        </w:rPr>
        <w:t>practitioners’</w:t>
      </w:r>
      <w:r w:rsidRPr="00091776">
        <w:rPr>
          <w:rFonts w:cs="Arial"/>
        </w:rPr>
        <w:t>, and wider</w:t>
      </w:r>
      <w:r w:rsidR="00485127" w:rsidRPr="00091776">
        <w:rPr>
          <w:rFonts w:cs="Arial"/>
        </w:rPr>
        <w:t xml:space="preserve"> societies’</w:t>
      </w:r>
      <w:r w:rsidRPr="00091776">
        <w:rPr>
          <w:rFonts w:cs="Arial"/>
        </w:rPr>
        <w:t xml:space="preserve"> attitudes towards medicines</w:t>
      </w:r>
      <w:r w:rsidR="00485127" w:rsidRPr="00091776">
        <w:rPr>
          <w:rFonts w:cs="Arial"/>
        </w:rPr>
        <w:t xml:space="preserve"> as influencers on their own deprescribing behaviour. </w:t>
      </w:r>
      <w:r w:rsidR="00636250" w:rsidRPr="00091776">
        <w:rPr>
          <w:rFonts w:cs="Arial"/>
        </w:rPr>
        <w:t>Patient</w:t>
      </w:r>
      <w:r w:rsidR="00A80FFC" w:rsidRPr="00091776">
        <w:rPr>
          <w:rFonts w:cs="Arial"/>
        </w:rPr>
        <w:t xml:space="preserve"> and </w:t>
      </w:r>
      <w:r w:rsidR="00501432" w:rsidRPr="00091776">
        <w:rPr>
          <w:rFonts w:cs="Arial"/>
        </w:rPr>
        <w:t>carer</w:t>
      </w:r>
      <w:r w:rsidR="00A80FFC" w:rsidRPr="00091776">
        <w:rPr>
          <w:rFonts w:cs="Arial"/>
        </w:rPr>
        <w:t xml:space="preserve"> attachment to </w:t>
      </w:r>
      <w:r w:rsidR="00552DA4" w:rsidRPr="00091776">
        <w:rPr>
          <w:rFonts w:cs="Arial"/>
        </w:rPr>
        <w:t>medication</w:t>
      </w:r>
      <w:r w:rsidR="00A80FFC" w:rsidRPr="00091776">
        <w:rPr>
          <w:rFonts w:cs="Arial"/>
        </w:rPr>
        <w:t xml:space="preserve"> </w:t>
      </w:r>
      <w:r w:rsidR="00485127" w:rsidRPr="00091776">
        <w:rPr>
          <w:rFonts w:cs="Arial"/>
        </w:rPr>
        <w:t>was described as a difficult barrier to overcome. However, both professional groups acknowledged that</w:t>
      </w:r>
      <w:r w:rsidR="00DE1E7D" w:rsidRPr="00091776">
        <w:rPr>
          <w:rFonts w:cs="Arial"/>
        </w:rPr>
        <w:t xml:space="preserve"> a</w:t>
      </w:r>
      <w:r w:rsidR="004B2662" w:rsidRPr="00091776">
        <w:rPr>
          <w:rFonts w:cs="Arial"/>
        </w:rPr>
        <w:t xml:space="preserve"> significant</w:t>
      </w:r>
      <w:r w:rsidR="00DE1E7D" w:rsidRPr="00091776">
        <w:rPr>
          <w:rFonts w:cs="Arial"/>
        </w:rPr>
        <w:t xml:space="preserve"> proportion of</w:t>
      </w:r>
      <w:r w:rsidR="004B2662" w:rsidRPr="00091776">
        <w:rPr>
          <w:rFonts w:cs="Arial"/>
        </w:rPr>
        <w:t xml:space="preserve"> </w:t>
      </w:r>
      <w:r w:rsidR="00552DA4" w:rsidRPr="00091776">
        <w:rPr>
          <w:rFonts w:cs="Arial"/>
        </w:rPr>
        <w:t xml:space="preserve">older people </w:t>
      </w:r>
      <w:r w:rsidR="004B2662" w:rsidRPr="00091776">
        <w:rPr>
          <w:rFonts w:cs="Arial"/>
        </w:rPr>
        <w:t>dislike taking medication</w:t>
      </w:r>
      <w:r w:rsidR="00485127" w:rsidRPr="00091776">
        <w:rPr>
          <w:rFonts w:cs="Arial"/>
        </w:rPr>
        <w:t>,</w:t>
      </w:r>
      <w:r w:rsidR="004B2662" w:rsidRPr="00091776">
        <w:rPr>
          <w:rFonts w:cs="Arial"/>
        </w:rPr>
        <w:t xml:space="preserve"> and </w:t>
      </w:r>
      <w:r w:rsidR="00552DA4" w:rsidRPr="00091776">
        <w:rPr>
          <w:rFonts w:cs="Arial"/>
        </w:rPr>
        <w:t>are</w:t>
      </w:r>
      <w:r w:rsidR="00485127" w:rsidRPr="00091776">
        <w:rPr>
          <w:rFonts w:cs="Arial"/>
        </w:rPr>
        <w:t xml:space="preserve"> therefore likely to be</w:t>
      </w:r>
      <w:r w:rsidR="004B2662" w:rsidRPr="00091776">
        <w:rPr>
          <w:rFonts w:cs="Arial"/>
        </w:rPr>
        <w:t xml:space="preserve"> </w:t>
      </w:r>
      <w:r w:rsidR="00DE1E7D" w:rsidRPr="00091776">
        <w:rPr>
          <w:rFonts w:cs="Arial"/>
        </w:rPr>
        <w:t>amenable to deprescribing</w:t>
      </w:r>
      <w:r w:rsidR="004B2662" w:rsidRPr="00091776">
        <w:rPr>
          <w:rFonts w:cs="Arial"/>
        </w:rPr>
        <w:t xml:space="preserve">. </w:t>
      </w:r>
    </w:p>
    <w:p w14:paraId="3A53B0AD" w14:textId="4A7444F3" w:rsidR="0067712B" w:rsidRPr="00091776" w:rsidRDefault="00C50CAF" w:rsidP="00493314">
      <w:pPr>
        <w:spacing w:line="240" w:lineRule="auto"/>
        <w:rPr>
          <w:rStyle w:val="PageNumber"/>
          <w:rFonts w:cs="Arial"/>
        </w:rPr>
      </w:pPr>
      <w:r w:rsidRPr="00091776">
        <w:rPr>
          <w:rFonts w:cs="Arial"/>
        </w:rPr>
        <w:t>H</w:t>
      </w:r>
      <w:r w:rsidR="00034667" w:rsidRPr="00091776">
        <w:rPr>
          <w:rFonts w:cs="Arial"/>
        </w:rPr>
        <w:t xml:space="preserve">ealthcare culture’s attitude towards medication use </w:t>
      </w:r>
      <w:r w:rsidR="0087063C" w:rsidRPr="00091776">
        <w:rPr>
          <w:rFonts w:cs="Arial"/>
        </w:rPr>
        <w:t xml:space="preserve">was </w:t>
      </w:r>
      <w:r w:rsidRPr="00091776">
        <w:rPr>
          <w:rFonts w:cs="Arial"/>
        </w:rPr>
        <w:t xml:space="preserve">acknowledged as </w:t>
      </w:r>
      <w:r w:rsidR="00034667" w:rsidRPr="00091776">
        <w:rPr>
          <w:rFonts w:cs="Arial"/>
        </w:rPr>
        <w:t xml:space="preserve">changing in favour of deprescribing, with the burden of inappropriate medication use </w:t>
      </w:r>
      <w:r w:rsidR="00485127" w:rsidRPr="00091776">
        <w:rPr>
          <w:rFonts w:cs="Arial"/>
        </w:rPr>
        <w:t xml:space="preserve">now </w:t>
      </w:r>
      <w:r w:rsidR="00034667" w:rsidRPr="00091776">
        <w:rPr>
          <w:rFonts w:cs="Arial"/>
        </w:rPr>
        <w:t>increasingly recognised</w:t>
      </w:r>
      <w:r w:rsidR="00485127" w:rsidRPr="00091776">
        <w:rPr>
          <w:rFonts w:cs="Arial"/>
        </w:rPr>
        <w:t xml:space="preserve">. </w:t>
      </w:r>
      <w:r w:rsidR="008C1136" w:rsidRPr="00091776">
        <w:rPr>
          <w:rFonts w:cs="Arial"/>
        </w:rPr>
        <w:t>Nevertheless</w:t>
      </w:r>
      <w:r w:rsidR="0087063C" w:rsidRPr="00091776">
        <w:rPr>
          <w:rFonts w:cs="Arial"/>
        </w:rPr>
        <w:t xml:space="preserve">, </w:t>
      </w:r>
      <w:r w:rsidR="00485127" w:rsidRPr="00091776">
        <w:rPr>
          <w:rFonts w:cs="Arial"/>
        </w:rPr>
        <w:t xml:space="preserve">participants felt that this attitude was not reflected in </w:t>
      </w:r>
      <w:r w:rsidR="00636250" w:rsidRPr="00091776">
        <w:rPr>
          <w:rFonts w:cs="Arial"/>
        </w:rPr>
        <w:t xml:space="preserve">treatment </w:t>
      </w:r>
      <w:r w:rsidR="00727B0A" w:rsidRPr="00091776">
        <w:rPr>
          <w:rFonts w:cs="Arial"/>
        </w:rPr>
        <w:t>guidelines</w:t>
      </w:r>
      <w:r w:rsidR="009E1C8E" w:rsidRPr="00091776">
        <w:rPr>
          <w:rFonts w:cs="Arial"/>
        </w:rPr>
        <w:t xml:space="preserve">, </w:t>
      </w:r>
      <w:r w:rsidR="00811831" w:rsidRPr="00091776">
        <w:rPr>
          <w:rFonts w:cs="Arial"/>
        </w:rPr>
        <w:t xml:space="preserve">which were </w:t>
      </w:r>
      <w:r w:rsidR="00D70ADB" w:rsidRPr="00091776">
        <w:rPr>
          <w:rFonts w:cs="Arial"/>
        </w:rPr>
        <w:t>described as</w:t>
      </w:r>
      <w:r w:rsidR="009E1C8E" w:rsidRPr="00091776">
        <w:rPr>
          <w:rFonts w:cs="Arial"/>
        </w:rPr>
        <w:t xml:space="preserve"> </w:t>
      </w:r>
      <w:r w:rsidR="00811831" w:rsidRPr="00091776">
        <w:rPr>
          <w:rFonts w:cs="Arial"/>
        </w:rPr>
        <w:t>overemphasis</w:t>
      </w:r>
      <w:r w:rsidR="00D70ADB" w:rsidRPr="00091776">
        <w:rPr>
          <w:rFonts w:cs="Arial"/>
        </w:rPr>
        <w:t>ing</w:t>
      </w:r>
      <w:r w:rsidR="009E1C8E" w:rsidRPr="00091776">
        <w:rPr>
          <w:rFonts w:cs="Arial"/>
        </w:rPr>
        <w:t xml:space="preserve"> </w:t>
      </w:r>
      <w:r w:rsidR="00485127" w:rsidRPr="00091776">
        <w:rPr>
          <w:rFonts w:cs="Arial"/>
        </w:rPr>
        <w:t>prescribing</w:t>
      </w:r>
      <w:r w:rsidR="00811831" w:rsidRPr="00091776">
        <w:rPr>
          <w:rFonts w:cs="Arial"/>
        </w:rPr>
        <w:t xml:space="preserve"> </w:t>
      </w:r>
      <w:r w:rsidR="00485127" w:rsidRPr="00091776">
        <w:rPr>
          <w:rFonts w:cs="Arial"/>
        </w:rPr>
        <w:t>medication without considering</w:t>
      </w:r>
      <w:r w:rsidR="00811831" w:rsidRPr="00091776">
        <w:rPr>
          <w:rFonts w:cs="Arial"/>
        </w:rPr>
        <w:t xml:space="preserve"> opportunities for deprescribing.</w:t>
      </w:r>
    </w:p>
    <w:p w14:paraId="69860899" w14:textId="77777777" w:rsidR="00556E8C" w:rsidRPr="00091776" w:rsidRDefault="00556E8C" w:rsidP="00493314">
      <w:pPr>
        <w:spacing w:line="240" w:lineRule="auto"/>
        <w:rPr>
          <w:rStyle w:val="PageNumber"/>
          <w:rFonts w:cs="Arial"/>
        </w:rPr>
      </w:pPr>
    </w:p>
    <w:p w14:paraId="37ADB9AF" w14:textId="77777777" w:rsidR="00E135EA" w:rsidRPr="00091776" w:rsidRDefault="00E135EA" w:rsidP="00493314">
      <w:pPr>
        <w:spacing w:line="240" w:lineRule="auto"/>
        <w:rPr>
          <w:rFonts w:cs="Arial"/>
        </w:rPr>
      </w:pPr>
      <w:r w:rsidRPr="00091776">
        <w:rPr>
          <w:rFonts w:cs="Arial"/>
        </w:rPr>
        <w:t>Phase 2: Mapping of all determinants of deprescribing to the TDF</w:t>
      </w:r>
    </w:p>
    <w:p w14:paraId="1EB94A70" w14:textId="0DA95777" w:rsidR="00DF5AE4" w:rsidRDefault="00A9658C" w:rsidP="00493314">
      <w:pPr>
        <w:spacing w:line="240" w:lineRule="auto"/>
        <w:rPr>
          <w:rStyle w:val="PageNumber"/>
          <w:rFonts w:cs="Arial"/>
        </w:rPr>
      </w:pPr>
      <w:r w:rsidRPr="00091776">
        <w:rPr>
          <w:rStyle w:val="PageNumber"/>
          <w:rFonts w:cs="Arial"/>
        </w:rPr>
        <w:lastRenderedPageBreak/>
        <w:t>A</w:t>
      </w:r>
      <w:r w:rsidR="00E135EA" w:rsidRPr="00091776">
        <w:rPr>
          <w:rStyle w:val="PageNumber"/>
          <w:rFonts w:cs="Arial"/>
        </w:rPr>
        <w:t>ll of the inductive codes from the four themes, organised into the nine mapped TDF domains, according to whether they were barriers or enablers to deprescribing</w:t>
      </w:r>
      <w:r w:rsidRPr="00091776">
        <w:rPr>
          <w:rStyle w:val="PageNumber"/>
          <w:rFonts w:cs="Arial"/>
        </w:rPr>
        <w:t xml:space="preserve"> </w:t>
      </w:r>
      <w:r w:rsidR="00B22891">
        <w:rPr>
          <w:rStyle w:val="PageNumber"/>
          <w:rFonts w:cs="Arial"/>
        </w:rPr>
        <w:t xml:space="preserve">(i.e. influencers of deprescribing behaviours) </w:t>
      </w:r>
      <w:r w:rsidRPr="00091776">
        <w:rPr>
          <w:rStyle w:val="PageNumber"/>
          <w:rFonts w:cs="Arial"/>
        </w:rPr>
        <w:t xml:space="preserve">are provided in </w:t>
      </w:r>
      <w:r w:rsidR="001619C1" w:rsidRPr="00091776">
        <w:rPr>
          <w:rStyle w:val="PageNumber"/>
          <w:rFonts w:cs="Arial"/>
        </w:rPr>
        <w:t>appendix 3</w:t>
      </w:r>
      <w:r w:rsidR="00E135EA" w:rsidRPr="00091776">
        <w:rPr>
          <w:rStyle w:val="PageNumber"/>
          <w:rFonts w:cs="Arial"/>
        </w:rPr>
        <w:t>.</w:t>
      </w:r>
      <w:r w:rsidR="00B06F87" w:rsidRPr="00091776">
        <w:rPr>
          <w:rStyle w:val="PageNumber"/>
          <w:rFonts w:cs="Arial"/>
        </w:rPr>
        <w:t xml:space="preserve"> </w:t>
      </w:r>
      <w:r w:rsidR="00D95A5E" w:rsidRPr="00091776">
        <w:rPr>
          <w:rStyle w:val="PageNumber"/>
          <w:rFonts w:cs="Arial"/>
        </w:rPr>
        <w:t xml:space="preserve">Codes in the </w:t>
      </w:r>
      <w:r w:rsidR="000066F4" w:rsidRPr="00091776">
        <w:rPr>
          <w:rStyle w:val="PageNumber"/>
          <w:rFonts w:cs="Arial"/>
        </w:rPr>
        <w:t>theme</w:t>
      </w:r>
      <w:r w:rsidR="003C7472" w:rsidRPr="00091776">
        <w:rPr>
          <w:rStyle w:val="PageNumber"/>
          <w:rFonts w:cs="Arial"/>
        </w:rPr>
        <w:t xml:space="preserve"> ‘Attitudes towards medicines’ </w:t>
      </w:r>
      <w:r w:rsidR="00D95A5E" w:rsidRPr="00091776">
        <w:rPr>
          <w:rStyle w:val="PageNumber"/>
          <w:rFonts w:cs="Arial"/>
        </w:rPr>
        <w:t>were</w:t>
      </w:r>
      <w:r w:rsidR="00B06F87" w:rsidRPr="00091776">
        <w:rPr>
          <w:rStyle w:val="PageNumber"/>
          <w:rFonts w:cs="Arial"/>
        </w:rPr>
        <w:t xml:space="preserve"> only </w:t>
      </w:r>
      <w:r w:rsidR="00D95A5E" w:rsidRPr="00091776">
        <w:rPr>
          <w:rStyle w:val="PageNumber"/>
          <w:rFonts w:cs="Arial"/>
        </w:rPr>
        <w:t xml:space="preserve">mapped to </w:t>
      </w:r>
      <w:r w:rsidR="00B06F87" w:rsidRPr="00091776">
        <w:rPr>
          <w:rStyle w:val="PageNumber"/>
          <w:rFonts w:cs="Arial"/>
        </w:rPr>
        <w:t>one T</w:t>
      </w:r>
      <w:r w:rsidR="00D95A5E" w:rsidRPr="00091776">
        <w:rPr>
          <w:rStyle w:val="PageNumber"/>
          <w:rFonts w:cs="Arial"/>
        </w:rPr>
        <w:t>DF</w:t>
      </w:r>
      <w:r w:rsidR="00B06F87" w:rsidRPr="00091776">
        <w:rPr>
          <w:rStyle w:val="PageNumber"/>
          <w:rFonts w:cs="Arial"/>
        </w:rPr>
        <w:t xml:space="preserve"> domain whilst </w:t>
      </w:r>
      <w:r w:rsidR="003C7472" w:rsidRPr="00091776">
        <w:rPr>
          <w:rStyle w:val="PageNumber"/>
          <w:rFonts w:cs="Arial"/>
        </w:rPr>
        <w:t xml:space="preserve">the remaining three themes </w:t>
      </w:r>
      <w:r w:rsidR="00B06F87" w:rsidRPr="00091776">
        <w:rPr>
          <w:rStyle w:val="PageNumber"/>
          <w:rFonts w:cs="Arial"/>
        </w:rPr>
        <w:t>incorporate</w:t>
      </w:r>
      <w:r w:rsidR="00D95A5E" w:rsidRPr="00091776">
        <w:rPr>
          <w:rStyle w:val="PageNumber"/>
          <w:rFonts w:cs="Arial"/>
        </w:rPr>
        <w:t>d</w:t>
      </w:r>
      <w:r w:rsidR="00B06F87" w:rsidRPr="00091776">
        <w:rPr>
          <w:rStyle w:val="PageNumber"/>
          <w:rFonts w:cs="Arial"/>
        </w:rPr>
        <w:t xml:space="preserve"> multiple domains</w:t>
      </w:r>
      <w:r w:rsidR="003C7472" w:rsidRPr="00091776">
        <w:rPr>
          <w:rStyle w:val="PageNumber"/>
          <w:rFonts w:cs="Arial"/>
        </w:rPr>
        <w:t>.</w:t>
      </w:r>
      <w:r w:rsidR="008D48BE" w:rsidRPr="00091776">
        <w:rPr>
          <w:rStyle w:val="PageNumber"/>
          <w:rFonts w:cs="Arial"/>
        </w:rPr>
        <w:t xml:space="preserve"> A summary </w:t>
      </w:r>
      <w:r w:rsidR="002F3CA5">
        <w:rPr>
          <w:rStyle w:val="PageNumber"/>
          <w:rFonts w:cs="Arial"/>
        </w:rPr>
        <w:t xml:space="preserve">of </w:t>
      </w:r>
      <w:r w:rsidR="00DE4ADE" w:rsidRPr="00091776">
        <w:rPr>
          <w:rStyle w:val="PageNumber"/>
          <w:rFonts w:cs="Arial"/>
        </w:rPr>
        <w:t>barriers and enablers derived from the inductive codes</w:t>
      </w:r>
      <w:r w:rsidR="00225E50" w:rsidRPr="00091776">
        <w:rPr>
          <w:rStyle w:val="PageNumber"/>
          <w:rFonts w:cs="Arial"/>
        </w:rPr>
        <w:t xml:space="preserve"> within each theme, mapped </w:t>
      </w:r>
      <w:r w:rsidR="00485127" w:rsidRPr="00091776">
        <w:rPr>
          <w:rStyle w:val="PageNumber"/>
          <w:rFonts w:cs="Arial"/>
        </w:rPr>
        <w:t>to</w:t>
      </w:r>
      <w:r w:rsidR="00225E50" w:rsidRPr="00091776">
        <w:rPr>
          <w:rStyle w:val="PageNumber"/>
          <w:rFonts w:cs="Arial"/>
        </w:rPr>
        <w:t xml:space="preserve"> nine TDF domains</w:t>
      </w:r>
      <w:r w:rsidR="00304667" w:rsidRPr="00091776">
        <w:rPr>
          <w:rStyle w:val="PageNumber"/>
          <w:rFonts w:cs="Arial"/>
        </w:rPr>
        <w:t>,</w:t>
      </w:r>
      <w:r w:rsidR="005C0A47" w:rsidRPr="00091776">
        <w:rPr>
          <w:rStyle w:val="PageNumber"/>
          <w:rFonts w:cs="Arial"/>
        </w:rPr>
        <w:t xml:space="preserve"> is provided in table </w:t>
      </w:r>
      <w:r w:rsidR="00E72DC4" w:rsidRPr="00091776">
        <w:rPr>
          <w:rStyle w:val="PageNumber"/>
          <w:rFonts w:cs="Arial"/>
        </w:rPr>
        <w:t>2</w:t>
      </w:r>
      <w:r w:rsidR="00DF5AE4" w:rsidRPr="00091776">
        <w:rPr>
          <w:rStyle w:val="PageNumber"/>
          <w:rFonts w:cs="Arial"/>
        </w:rPr>
        <w:t>.</w:t>
      </w:r>
    </w:p>
    <w:p w14:paraId="36796209" w14:textId="6680257C" w:rsidR="0079216D" w:rsidRDefault="0079216D">
      <w:pPr>
        <w:rPr>
          <w:rStyle w:val="PageNumber"/>
          <w:rFonts w:cs="Arial"/>
        </w:rPr>
      </w:pPr>
      <w:r>
        <w:rPr>
          <w:rStyle w:val="PageNumber"/>
          <w:rFonts w:cs="Arial"/>
        </w:rPr>
        <w:br w:type="page"/>
      </w:r>
    </w:p>
    <w:p w14:paraId="35DEF721" w14:textId="77777777" w:rsidR="006D2CA2" w:rsidRPr="006D2CA2" w:rsidRDefault="006D2CA2" w:rsidP="006D2CA2">
      <w:pPr>
        <w:spacing w:line="240" w:lineRule="auto"/>
        <w:rPr>
          <w:rFonts w:cs="Arial"/>
        </w:rPr>
      </w:pPr>
      <w:r w:rsidRPr="006D2CA2">
        <w:rPr>
          <w:rFonts w:cs="Arial"/>
          <w:b/>
        </w:rPr>
        <w:lastRenderedPageBreak/>
        <w:t>Table 2.</w:t>
      </w:r>
      <w:r w:rsidRPr="006D2CA2">
        <w:rPr>
          <w:rFonts w:cs="Arial"/>
        </w:rPr>
        <w:t xml:space="preserve"> Summary of barriers and enablers to deprescribing mapped to nine TDF domains</w:t>
      </w:r>
    </w:p>
    <w:tbl>
      <w:tblPr>
        <w:tblStyle w:val="TableGrid"/>
        <w:tblW w:w="5000" w:type="pct"/>
        <w:jc w:val="center"/>
        <w:tblLook w:val="04A0" w:firstRow="1" w:lastRow="0" w:firstColumn="1" w:lastColumn="0" w:noHBand="0" w:noVBand="1"/>
      </w:tblPr>
      <w:tblGrid>
        <w:gridCol w:w="3519"/>
        <w:gridCol w:w="3138"/>
        <w:gridCol w:w="2359"/>
      </w:tblGrid>
      <w:tr w:rsidR="006D2CA2" w:rsidRPr="006D2CA2" w14:paraId="234D23CF" w14:textId="77777777" w:rsidTr="00654D05">
        <w:trPr>
          <w:jc w:val="center"/>
        </w:trPr>
        <w:tc>
          <w:tcPr>
            <w:tcW w:w="1952" w:type="pct"/>
            <w:vAlign w:val="center"/>
          </w:tcPr>
          <w:p w14:paraId="45BB8328" w14:textId="77777777" w:rsidR="006D2CA2" w:rsidRPr="006D2CA2" w:rsidRDefault="006D2CA2" w:rsidP="00EB4C2A">
            <w:pPr>
              <w:jc w:val="center"/>
              <w:rPr>
                <w:rFonts w:cs="Arial"/>
                <w:b/>
              </w:rPr>
            </w:pPr>
            <w:r w:rsidRPr="006D2CA2">
              <w:rPr>
                <w:rFonts w:cs="Arial"/>
                <w:b/>
              </w:rPr>
              <w:t>Barrier</w:t>
            </w:r>
          </w:p>
        </w:tc>
        <w:tc>
          <w:tcPr>
            <w:tcW w:w="1740" w:type="pct"/>
            <w:vAlign w:val="center"/>
          </w:tcPr>
          <w:p w14:paraId="45A36B06" w14:textId="77777777" w:rsidR="006D2CA2" w:rsidRPr="006D2CA2" w:rsidRDefault="006D2CA2" w:rsidP="00EB4C2A">
            <w:pPr>
              <w:jc w:val="center"/>
              <w:rPr>
                <w:rFonts w:cs="Arial"/>
                <w:b/>
              </w:rPr>
            </w:pPr>
            <w:r w:rsidRPr="006D2CA2">
              <w:rPr>
                <w:rFonts w:cs="Arial"/>
                <w:b/>
              </w:rPr>
              <w:t>Enabler</w:t>
            </w:r>
          </w:p>
        </w:tc>
        <w:tc>
          <w:tcPr>
            <w:tcW w:w="1308" w:type="pct"/>
            <w:vAlign w:val="center"/>
          </w:tcPr>
          <w:p w14:paraId="294DA8B0" w14:textId="77777777" w:rsidR="006D2CA2" w:rsidRPr="006D2CA2" w:rsidRDefault="006D2CA2" w:rsidP="00EB4C2A">
            <w:pPr>
              <w:jc w:val="center"/>
              <w:rPr>
                <w:rFonts w:cs="Arial"/>
                <w:b/>
              </w:rPr>
            </w:pPr>
            <w:r w:rsidRPr="006D2CA2">
              <w:rPr>
                <w:rFonts w:cs="Arial"/>
                <w:b/>
              </w:rPr>
              <w:t>TDF domain</w:t>
            </w:r>
          </w:p>
        </w:tc>
      </w:tr>
      <w:tr w:rsidR="006D2CA2" w:rsidRPr="006D2CA2" w14:paraId="3F80A8DB" w14:textId="77777777" w:rsidTr="00EB4C2A">
        <w:trPr>
          <w:trHeight w:val="158"/>
          <w:jc w:val="center"/>
        </w:trPr>
        <w:tc>
          <w:tcPr>
            <w:tcW w:w="5000" w:type="pct"/>
            <w:gridSpan w:val="3"/>
            <w:shd w:val="clear" w:color="auto" w:fill="AEAAAA" w:themeFill="background2" w:themeFillShade="BF"/>
            <w:vAlign w:val="center"/>
          </w:tcPr>
          <w:p w14:paraId="616374B2" w14:textId="77777777" w:rsidR="006D2CA2" w:rsidRPr="006D2CA2" w:rsidRDefault="006D2CA2" w:rsidP="00EB4C2A">
            <w:pPr>
              <w:jc w:val="center"/>
              <w:rPr>
                <w:rFonts w:cs="Arial"/>
              </w:rPr>
            </w:pPr>
            <w:r w:rsidRPr="006D2CA2">
              <w:rPr>
                <w:rFonts w:cs="Arial"/>
              </w:rPr>
              <w:t>Theme: Attitudes towards medicines</w:t>
            </w:r>
          </w:p>
        </w:tc>
      </w:tr>
      <w:tr w:rsidR="006D2CA2" w:rsidRPr="006D2CA2" w14:paraId="53C6E70C" w14:textId="77777777" w:rsidTr="00654D05">
        <w:trPr>
          <w:jc w:val="center"/>
        </w:trPr>
        <w:tc>
          <w:tcPr>
            <w:tcW w:w="1952" w:type="pct"/>
            <w:shd w:val="clear" w:color="auto" w:fill="auto"/>
          </w:tcPr>
          <w:p w14:paraId="45DAAB61" w14:textId="77777777" w:rsidR="006D2CA2" w:rsidRPr="006D2CA2" w:rsidRDefault="006D2CA2" w:rsidP="00EB4C2A">
            <w:pPr>
              <w:rPr>
                <w:rFonts w:cs="Arial"/>
                <w:vertAlign w:val="superscript"/>
              </w:rPr>
            </w:pPr>
            <w:r w:rsidRPr="006D2CA2">
              <w:rPr>
                <w:rFonts w:cs="Arial"/>
              </w:rPr>
              <w:t xml:space="preserve">Patient and carer attachment to medication </w:t>
            </w:r>
            <w:r w:rsidRPr="006D2CA2">
              <w:rPr>
                <w:rFonts w:cs="Arial"/>
                <w:vertAlign w:val="superscript"/>
              </w:rPr>
              <w:t>G, P</w:t>
            </w:r>
          </w:p>
        </w:tc>
        <w:tc>
          <w:tcPr>
            <w:tcW w:w="1740" w:type="pct"/>
            <w:shd w:val="clear" w:color="auto" w:fill="auto"/>
          </w:tcPr>
          <w:p w14:paraId="70ED8F90" w14:textId="77777777" w:rsidR="006D2CA2" w:rsidRPr="006D2CA2" w:rsidRDefault="006D2CA2" w:rsidP="00EB4C2A">
            <w:pPr>
              <w:rPr>
                <w:rFonts w:cs="Arial"/>
              </w:rPr>
            </w:pPr>
            <w:r w:rsidRPr="006D2CA2">
              <w:rPr>
                <w:rFonts w:cs="Arial"/>
              </w:rPr>
              <w:t xml:space="preserve">Patient dislike of medication </w:t>
            </w:r>
            <w:r w:rsidRPr="006D2CA2">
              <w:rPr>
                <w:rFonts w:cs="Arial"/>
                <w:vertAlign w:val="superscript"/>
              </w:rPr>
              <w:t>G, P</w:t>
            </w:r>
          </w:p>
        </w:tc>
        <w:tc>
          <w:tcPr>
            <w:tcW w:w="1308" w:type="pct"/>
            <w:vMerge w:val="restart"/>
            <w:shd w:val="clear" w:color="auto" w:fill="auto"/>
            <w:vAlign w:val="center"/>
          </w:tcPr>
          <w:p w14:paraId="64A973A8" w14:textId="3C906E62" w:rsidR="006D2CA2" w:rsidRPr="006D2CA2" w:rsidRDefault="00654D05" w:rsidP="00EB4C2A">
            <w:pPr>
              <w:jc w:val="center"/>
              <w:rPr>
                <w:rFonts w:cs="Arial"/>
              </w:rPr>
            </w:pPr>
            <w:r>
              <w:rPr>
                <w:rFonts w:cs="Arial"/>
              </w:rPr>
              <w:t xml:space="preserve">6. </w:t>
            </w:r>
            <w:r w:rsidR="006D2CA2" w:rsidRPr="006D2CA2">
              <w:rPr>
                <w:rFonts w:cs="Arial"/>
              </w:rPr>
              <w:t>Social influence</w:t>
            </w:r>
          </w:p>
        </w:tc>
      </w:tr>
      <w:tr w:rsidR="006D2CA2" w:rsidRPr="006D2CA2" w14:paraId="48F1C6BD" w14:textId="77777777" w:rsidTr="00654D05">
        <w:trPr>
          <w:jc w:val="center"/>
        </w:trPr>
        <w:tc>
          <w:tcPr>
            <w:tcW w:w="1952" w:type="pct"/>
            <w:shd w:val="clear" w:color="auto" w:fill="auto"/>
          </w:tcPr>
          <w:p w14:paraId="109A8A3C" w14:textId="77777777" w:rsidR="006D2CA2" w:rsidRPr="006D2CA2" w:rsidRDefault="006D2CA2" w:rsidP="00EB4C2A">
            <w:pPr>
              <w:rPr>
                <w:rFonts w:cs="Arial"/>
              </w:rPr>
            </w:pPr>
            <w:r w:rsidRPr="006D2CA2">
              <w:rPr>
                <w:rFonts w:cs="Arial"/>
              </w:rPr>
              <w:t xml:space="preserve">Treatment guidelines </w:t>
            </w:r>
            <w:r w:rsidRPr="006D2CA2">
              <w:rPr>
                <w:rFonts w:cs="Arial"/>
                <w:vertAlign w:val="superscript"/>
              </w:rPr>
              <w:t>G</w:t>
            </w:r>
          </w:p>
        </w:tc>
        <w:tc>
          <w:tcPr>
            <w:tcW w:w="1740" w:type="pct"/>
            <w:shd w:val="clear" w:color="auto" w:fill="auto"/>
          </w:tcPr>
          <w:p w14:paraId="13B5CF3B" w14:textId="77777777" w:rsidR="006D2CA2" w:rsidRPr="006D2CA2" w:rsidRDefault="006D2CA2" w:rsidP="00EB4C2A">
            <w:pPr>
              <w:rPr>
                <w:rFonts w:cs="Arial"/>
              </w:rPr>
            </w:pPr>
            <w:r w:rsidRPr="006D2CA2">
              <w:rPr>
                <w:rFonts w:cs="Arial"/>
              </w:rPr>
              <w:t xml:space="preserve">Primary care respecting hospital decision-making </w:t>
            </w:r>
            <w:r w:rsidRPr="006D2CA2">
              <w:rPr>
                <w:rFonts w:cs="Arial"/>
                <w:vertAlign w:val="superscript"/>
              </w:rPr>
              <w:t>P</w:t>
            </w:r>
          </w:p>
        </w:tc>
        <w:tc>
          <w:tcPr>
            <w:tcW w:w="1308" w:type="pct"/>
            <w:vMerge/>
            <w:shd w:val="clear" w:color="auto" w:fill="auto"/>
            <w:vAlign w:val="center"/>
          </w:tcPr>
          <w:p w14:paraId="40DBBD16" w14:textId="77777777" w:rsidR="006D2CA2" w:rsidRPr="006D2CA2" w:rsidRDefault="006D2CA2" w:rsidP="00EB4C2A">
            <w:pPr>
              <w:rPr>
                <w:rFonts w:cs="Arial"/>
              </w:rPr>
            </w:pPr>
          </w:p>
        </w:tc>
      </w:tr>
      <w:tr w:rsidR="006D2CA2" w:rsidRPr="006D2CA2" w14:paraId="693DE19C" w14:textId="77777777" w:rsidTr="00654D05">
        <w:trPr>
          <w:jc w:val="center"/>
        </w:trPr>
        <w:tc>
          <w:tcPr>
            <w:tcW w:w="1952" w:type="pct"/>
            <w:shd w:val="clear" w:color="auto" w:fill="auto"/>
          </w:tcPr>
          <w:p w14:paraId="7E622104" w14:textId="77777777" w:rsidR="006D2CA2" w:rsidRPr="006D2CA2" w:rsidRDefault="006D2CA2" w:rsidP="00EB4C2A">
            <w:pPr>
              <w:rPr>
                <w:rFonts w:cs="Arial"/>
              </w:rPr>
            </w:pPr>
            <w:r w:rsidRPr="006D2CA2">
              <w:rPr>
                <w:rFonts w:cs="Arial"/>
              </w:rPr>
              <w:t xml:space="preserve">Societal labelling of medicines as ‘always good’ </w:t>
            </w:r>
            <w:r w:rsidRPr="006D2CA2">
              <w:rPr>
                <w:rFonts w:cs="Arial"/>
                <w:vertAlign w:val="superscript"/>
              </w:rPr>
              <w:t>G</w:t>
            </w:r>
          </w:p>
        </w:tc>
        <w:tc>
          <w:tcPr>
            <w:tcW w:w="1740" w:type="pct"/>
            <w:shd w:val="clear" w:color="auto" w:fill="auto"/>
          </w:tcPr>
          <w:p w14:paraId="159986EC" w14:textId="77777777" w:rsidR="006D2CA2" w:rsidRPr="006D2CA2" w:rsidRDefault="006D2CA2" w:rsidP="00EB4C2A">
            <w:pPr>
              <w:rPr>
                <w:rFonts w:cs="Arial"/>
              </w:rPr>
            </w:pPr>
            <w:r w:rsidRPr="006D2CA2">
              <w:rPr>
                <w:rFonts w:cs="Arial"/>
              </w:rPr>
              <w:t xml:space="preserve">Deprescribing awareness </w:t>
            </w:r>
            <w:r w:rsidRPr="006D2CA2">
              <w:rPr>
                <w:rFonts w:cs="Arial"/>
                <w:vertAlign w:val="superscript"/>
              </w:rPr>
              <w:t>P</w:t>
            </w:r>
          </w:p>
        </w:tc>
        <w:tc>
          <w:tcPr>
            <w:tcW w:w="1308" w:type="pct"/>
            <w:vMerge/>
            <w:shd w:val="clear" w:color="auto" w:fill="auto"/>
            <w:vAlign w:val="center"/>
          </w:tcPr>
          <w:p w14:paraId="3DD9D7F0" w14:textId="77777777" w:rsidR="006D2CA2" w:rsidRPr="006D2CA2" w:rsidRDefault="006D2CA2" w:rsidP="00EB4C2A">
            <w:pPr>
              <w:rPr>
                <w:rFonts w:cs="Arial"/>
              </w:rPr>
            </w:pPr>
          </w:p>
        </w:tc>
      </w:tr>
      <w:tr w:rsidR="006D2CA2" w:rsidRPr="006D2CA2" w14:paraId="0AB18A92" w14:textId="77777777" w:rsidTr="00EB4C2A">
        <w:trPr>
          <w:jc w:val="center"/>
        </w:trPr>
        <w:tc>
          <w:tcPr>
            <w:tcW w:w="5000" w:type="pct"/>
            <w:gridSpan w:val="3"/>
            <w:shd w:val="clear" w:color="auto" w:fill="AEAAAA" w:themeFill="background2" w:themeFillShade="BF"/>
            <w:vAlign w:val="center"/>
          </w:tcPr>
          <w:p w14:paraId="06050C32" w14:textId="77777777" w:rsidR="006D2CA2" w:rsidRPr="006D2CA2" w:rsidRDefault="006D2CA2" w:rsidP="00EB4C2A">
            <w:pPr>
              <w:jc w:val="center"/>
              <w:rPr>
                <w:rFonts w:cs="Arial"/>
              </w:rPr>
            </w:pPr>
            <w:r w:rsidRPr="006D2CA2">
              <w:rPr>
                <w:rFonts w:cs="Arial"/>
              </w:rPr>
              <w:t>Theme: Consideration of outcomes</w:t>
            </w:r>
          </w:p>
        </w:tc>
      </w:tr>
      <w:tr w:rsidR="006D2CA2" w:rsidRPr="006D2CA2" w14:paraId="22036F76" w14:textId="77777777" w:rsidTr="00654D05">
        <w:trPr>
          <w:jc w:val="center"/>
        </w:trPr>
        <w:tc>
          <w:tcPr>
            <w:tcW w:w="1952" w:type="pct"/>
          </w:tcPr>
          <w:p w14:paraId="581DC38D" w14:textId="77777777" w:rsidR="006D2CA2" w:rsidRPr="006D2CA2" w:rsidRDefault="006D2CA2" w:rsidP="00EB4C2A">
            <w:pPr>
              <w:rPr>
                <w:rFonts w:cs="Arial"/>
              </w:rPr>
            </w:pPr>
            <w:r w:rsidRPr="006D2CA2">
              <w:rPr>
                <w:rFonts w:cs="Arial"/>
              </w:rPr>
              <w:t xml:space="preserve">Adverse outcomes for patients, practitioners and hospitals </w:t>
            </w:r>
            <w:r w:rsidRPr="006D2CA2">
              <w:rPr>
                <w:rFonts w:cs="Arial"/>
                <w:vertAlign w:val="superscript"/>
              </w:rPr>
              <w:t>G, P</w:t>
            </w:r>
          </w:p>
        </w:tc>
        <w:tc>
          <w:tcPr>
            <w:tcW w:w="1740" w:type="pct"/>
          </w:tcPr>
          <w:p w14:paraId="08E3E120" w14:textId="77777777" w:rsidR="006D2CA2" w:rsidRPr="006D2CA2" w:rsidRDefault="006D2CA2" w:rsidP="00EB4C2A">
            <w:pPr>
              <w:rPr>
                <w:rFonts w:cs="Arial"/>
              </w:rPr>
            </w:pPr>
            <w:r w:rsidRPr="006D2CA2">
              <w:rPr>
                <w:rFonts w:cs="Arial"/>
              </w:rPr>
              <w:t xml:space="preserve">Improved outcomes for patients, practitioners and hospitals </w:t>
            </w:r>
            <w:r w:rsidRPr="006D2CA2">
              <w:rPr>
                <w:rFonts w:cs="Arial"/>
                <w:vertAlign w:val="superscript"/>
              </w:rPr>
              <w:t>G, P</w:t>
            </w:r>
          </w:p>
        </w:tc>
        <w:tc>
          <w:tcPr>
            <w:tcW w:w="1308" w:type="pct"/>
            <w:vMerge w:val="restart"/>
            <w:vAlign w:val="center"/>
          </w:tcPr>
          <w:p w14:paraId="2940477E" w14:textId="534EF692" w:rsidR="006D2CA2" w:rsidRPr="006D2CA2" w:rsidRDefault="00654D05" w:rsidP="00EB4C2A">
            <w:pPr>
              <w:jc w:val="center"/>
              <w:rPr>
                <w:rFonts w:cs="Arial"/>
              </w:rPr>
            </w:pPr>
            <w:r>
              <w:rPr>
                <w:rFonts w:cs="Arial"/>
              </w:rPr>
              <w:t xml:space="preserve">10. </w:t>
            </w:r>
            <w:r w:rsidR="006D2CA2" w:rsidRPr="006D2CA2">
              <w:rPr>
                <w:rFonts w:cs="Arial"/>
              </w:rPr>
              <w:t>Beliefs about consequences</w:t>
            </w:r>
          </w:p>
        </w:tc>
      </w:tr>
      <w:tr w:rsidR="006D2CA2" w:rsidRPr="006D2CA2" w14:paraId="2A5A6ADB" w14:textId="77777777" w:rsidTr="00654D05">
        <w:trPr>
          <w:jc w:val="center"/>
        </w:trPr>
        <w:tc>
          <w:tcPr>
            <w:tcW w:w="1952" w:type="pct"/>
          </w:tcPr>
          <w:p w14:paraId="78D7CEAA" w14:textId="77777777" w:rsidR="006D2CA2" w:rsidRPr="006D2CA2" w:rsidRDefault="006D2CA2" w:rsidP="00EB4C2A">
            <w:pPr>
              <w:rPr>
                <w:rFonts w:cs="Arial"/>
              </w:rPr>
            </w:pPr>
            <w:r w:rsidRPr="006D2CA2">
              <w:rPr>
                <w:rFonts w:cs="Arial"/>
              </w:rPr>
              <w:t xml:space="preserve">Continuing to prescribe is less risky than deprescribing </w:t>
            </w:r>
            <w:r w:rsidRPr="006D2CA2">
              <w:rPr>
                <w:rFonts w:cs="Arial"/>
                <w:vertAlign w:val="superscript"/>
              </w:rPr>
              <w:t>P</w:t>
            </w:r>
          </w:p>
        </w:tc>
        <w:tc>
          <w:tcPr>
            <w:tcW w:w="1740" w:type="pct"/>
          </w:tcPr>
          <w:p w14:paraId="0A2056EF" w14:textId="77777777" w:rsidR="006D2CA2" w:rsidRPr="006D2CA2" w:rsidRDefault="006D2CA2" w:rsidP="00EB4C2A">
            <w:pPr>
              <w:rPr>
                <w:rFonts w:cs="Arial"/>
              </w:rPr>
            </w:pPr>
            <w:r w:rsidRPr="006D2CA2">
              <w:rPr>
                <w:rFonts w:cs="Arial"/>
              </w:rPr>
              <w:t xml:space="preserve">No difference in risk between prescribing and deprescribing </w:t>
            </w:r>
            <w:r w:rsidRPr="006D2CA2">
              <w:rPr>
                <w:rFonts w:cs="Arial"/>
                <w:vertAlign w:val="superscript"/>
              </w:rPr>
              <w:t>G</w:t>
            </w:r>
          </w:p>
        </w:tc>
        <w:tc>
          <w:tcPr>
            <w:tcW w:w="1308" w:type="pct"/>
            <w:vMerge/>
            <w:vAlign w:val="center"/>
          </w:tcPr>
          <w:p w14:paraId="15B3B604" w14:textId="77777777" w:rsidR="006D2CA2" w:rsidRPr="006D2CA2" w:rsidRDefault="006D2CA2" w:rsidP="00EB4C2A">
            <w:pPr>
              <w:rPr>
                <w:rFonts w:cs="Arial"/>
              </w:rPr>
            </w:pPr>
          </w:p>
        </w:tc>
      </w:tr>
      <w:tr w:rsidR="006D2CA2" w:rsidRPr="006D2CA2" w14:paraId="334A85A2" w14:textId="77777777" w:rsidTr="00654D05">
        <w:trPr>
          <w:jc w:val="center"/>
        </w:trPr>
        <w:tc>
          <w:tcPr>
            <w:tcW w:w="1952" w:type="pct"/>
            <w:tcBorders>
              <w:bottom w:val="single" w:sz="4" w:space="0" w:color="auto"/>
            </w:tcBorders>
          </w:tcPr>
          <w:p w14:paraId="69C21E43" w14:textId="77777777" w:rsidR="006D2CA2" w:rsidRPr="006D2CA2" w:rsidRDefault="006D2CA2" w:rsidP="00EB4C2A">
            <w:pPr>
              <w:rPr>
                <w:rFonts w:cs="Arial"/>
              </w:rPr>
            </w:pPr>
            <w:r w:rsidRPr="006D2CA2">
              <w:rPr>
                <w:rFonts w:cs="Arial"/>
              </w:rPr>
              <w:t>Fear of consequences and assuming responsibility</w:t>
            </w:r>
            <w:r w:rsidRPr="006D2CA2">
              <w:rPr>
                <w:rFonts w:cs="Arial"/>
                <w:vertAlign w:val="superscript"/>
              </w:rPr>
              <w:t xml:space="preserve"> P</w:t>
            </w:r>
          </w:p>
        </w:tc>
        <w:tc>
          <w:tcPr>
            <w:tcW w:w="1740" w:type="pct"/>
            <w:tcBorders>
              <w:bottom w:val="single" w:sz="4" w:space="0" w:color="auto"/>
            </w:tcBorders>
          </w:tcPr>
          <w:p w14:paraId="570FCDD9" w14:textId="77777777" w:rsidR="006D2CA2" w:rsidRPr="006D2CA2" w:rsidRDefault="006D2CA2" w:rsidP="00EB4C2A">
            <w:pPr>
              <w:rPr>
                <w:rFonts w:cs="Arial"/>
              </w:rPr>
            </w:pPr>
          </w:p>
        </w:tc>
        <w:tc>
          <w:tcPr>
            <w:tcW w:w="1308" w:type="pct"/>
            <w:tcBorders>
              <w:bottom w:val="single" w:sz="4" w:space="0" w:color="auto"/>
            </w:tcBorders>
            <w:vAlign w:val="center"/>
          </w:tcPr>
          <w:p w14:paraId="1458F20C" w14:textId="789E01CA" w:rsidR="006D2CA2" w:rsidRPr="006D2CA2" w:rsidRDefault="00654D05" w:rsidP="00EB4C2A">
            <w:pPr>
              <w:jc w:val="center"/>
              <w:rPr>
                <w:rFonts w:cs="Arial"/>
              </w:rPr>
            </w:pPr>
            <w:r>
              <w:rPr>
                <w:rFonts w:cs="Arial"/>
              </w:rPr>
              <w:t xml:space="preserve">14. </w:t>
            </w:r>
            <w:r w:rsidR="006D2CA2" w:rsidRPr="006D2CA2">
              <w:rPr>
                <w:rFonts w:cs="Arial"/>
              </w:rPr>
              <w:t>Emotion</w:t>
            </w:r>
          </w:p>
        </w:tc>
      </w:tr>
      <w:tr w:rsidR="006D2CA2" w:rsidRPr="006D2CA2" w14:paraId="001A1956" w14:textId="77777777" w:rsidTr="00EB4C2A">
        <w:trPr>
          <w:jc w:val="center"/>
        </w:trPr>
        <w:tc>
          <w:tcPr>
            <w:tcW w:w="5000" w:type="pct"/>
            <w:gridSpan w:val="3"/>
            <w:shd w:val="clear" w:color="auto" w:fill="AEAAAA" w:themeFill="background2" w:themeFillShade="BF"/>
            <w:vAlign w:val="center"/>
          </w:tcPr>
          <w:p w14:paraId="4CF5786F" w14:textId="77777777" w:rsidR="006D2CA2" w:rsidRPr="006D2CA2" w:rsidRDefault="006D2CA2" w:rsidP="00EB4C2A">
            <w:pPr>
              <w:jc w:val="center"/>
              <w:rPr>
                <w:rFonts w:cs="Arial"/>
              </w:rPr>
            </w:pPr>
            <w:r w:rsidRPr="006D2CA2">
              <w:rPr>
                <w:rFonts w:cs="Arial"/>
              </w:rPr>
              <w:t>Theme: Role of different healthcare professionals</w:t>
            </w:r>
          </w:p>
        </w:tc>
      </w:tr>
      <w:tr w:rsidR="006D2CA2" w:rsidRPr="006D2CA2" w14:paraId="097D14AD" w14:textId="77777777" w:rsidTr="00654D05">
        <w:trPr>
          <w:jc w:val="center"/>
        </w:trPr>
        <w:tc>
          <w:tcPr>
            <w:tcW w:w="1952" w:type="pct"/>
            <w:shd w:val="clear" w:color="auto" w:fill="auto"/>
          </w:tcPr>
          <w:p w14:paraId="044AB803" w14:textId="77777777" w:rsidR="006D2CA2" w:rsidRPr="006D2CA2" w:rsidRDefault="006D2CA2" w:rsidP="00EB4C2A">
            <w:pPr>
              <w:rPr>
                <w:rFonts w:cs="Arial"/>
              </w:rPr>
            </w:pPr>
            <w:r w:rsidRPr="006D2CA2">
              <w:rPr>
                <w:rFonts w:cs="Arial"/>
              </w:rPr>
              <w:t xml:space="preserve">Pharmacists lack confidence to make decisions </w:t>
            </w:r>
            <w:r w:rsidRPr="006D2CA2">
              <w:rPr>
                <w:rFonts w:cs="Arial"/>
                <w:vertAlign w:val="superscript"/>
              </w:rPr>
              <w:t>G, P</w:t>
            </w:r>
          </w:p>
        </w:tc>
        <w:tc>
          <w:tcPr>
            <w:tcW w:w="1740" w:type="pct"/>
            <w:shd w:val="clear" w:color="auto" w:fill="auto"/>
          </w:tcPr>
          <w:p w14:paraId="4181EE4F" w14:textId="77777777" w:rsidR="006D2CA2" w:rsidRPr="006D2CA2" w:rsidRDefault="006D2CA2" w:rsidP="00EB4C2A">
            <w:pPr>
              <w:rPr>
                <w:rFonts w:cs="Arial"/>
              </w:rPr>
            </w:pPr>
            <w:r w:rsidRPr="006D2CA2">
              <w:rPr>
                <w:rFonts w:cs="Arial"/>
              </w:rPr>
              <w:t xml:space="preserve">Confidence in decision making </w:t>
            </w:r>
            <w:r w:rsidRPr="006D2CA2">
              <w:rPr>
                <w:rFonts w:cs="Arial"/>
                <w:vertAlign w:val="superscript"/>
              </w:rPr>
              <w:t>G</w:t>
            </w:r>
          </w:p>
        </w:tc>
        <w:tc>
          <w:tcPr>
            <w:tcW w:w="1308" w:type="pct"/>
            <w:shd w:val="clear" w:color="auto" w:fill="auto"/>
            <w:vAlign w:val="center"/>
          </w:tcPr>
          <w:p w14:paraId="30A01CC9" w14:textId="346F756C" w:rsidR="006D2CA2" w:rsidRPr="006D2CA2" w:rsidRDefault="00654D05" w:rsidP="00EB4C2A">
            <w:pPr>
              <w:jc w:val="center"/>
              <w:rPr>
                <w:rFonts w:cs="Arial"/>
              </w:rPr>
            </w:pPr>
            <w:r>
              <w:rPr>
                <w:rFonts w:cs="Arial"/>
              </w:rPr>
              <w:t xml:space="preserve">8. </w:t>
            </w:r>
            <w:r w:rsidR="006D2CA2" w:rsidRPr="006D2CA2">
              <w:rPr>
                <w:rFonts w:cs="Arial"/>
              </w:rPr>
              <w:t>Beliefs about capabilities</w:t>
            </w:r>
          </w:p>
        </w:tc>
      </w:tr>
      <w:tr w:rsidR="006D2CA2" w:rsidRPr="006D2CA2" w14:paraId="4B1E329B" w14:textId="77777777" w:rsidTr="00654D05">
        <w:trPr>
          <w:jc w:val="center"/>
        </w:trPr>
        <w:tc>
          <w:tcPr>
            <w:tcW w:w="1952" w:type="pct"/>
            <w:shd w:val="clear" w:color="auto" w:fill="auto"/>
          </w:tcPr>
          <w:p w14:paraId="1E8EF988" w14:textId="77777777" w:rsidR="006D2CA2" w:rsidRPr="006D2CA2" w:rsidRDefault="006D2CA2" w:rsidP="00EB4C2A">
            <w:pPr>
              <w:rPr>
                <w:rFonts w:cs="Arial"/>
              </w:rPr>
            </w:pPr>
            <w:r w:rsidRPr="006D2CA2">
              <w:rPr>
                <w:rFonts w:cs="Arial"/>
              </w:rPr>
              <w:t xml:space="preserve">Deprescribing education is poor </w:t>
            </w:r>
            <w:r w:rsidRPr="006D2CA2">
              <w:rPr>
                <w:rFonts w:cs="Arial"/>
                <w:vertAlign w:val="superscript"/>
              </w:rPr>
              <w:t>G, P</w:t>
            </w:r>
          </w:p>
        </w:tc>
        <w:tc>
          <w:tcPr>
            <w:tcW w:w="1740" w:type="pct"/>
            <w:shd w:val="clear" w:color="auto" w:fill="auto"/>
          </w:tcPr>
          <w:p w14:paraId="6E079139" w14:textId="77777777" w:rsidR="006D2CA2" w:rsidRPr="006D2CA2" w:rsidRDefault="006D2CA2" w:rsidP="00EB4C2A">
            <w:pPr>
              <w:rPr>
                <w:rFonts w:cs="Arial"/>
              </w:rPr>
            </w:pPr>
            <w:r w:rsidRPr="006D2CA2">
              <w:rPr>
                <w:rFonts w:cs="Arial"/>
              </w:rPr>
              <w:t xml:space="preserve">Generalist knowledge and broad experience </w:t>
            </w:r>
            <w:r w:rsidRPr="006D2CA2">
              <w:rPr>
                <w:rFonts w:cs="Arial"/>
                <w:vertAlign w:val="superscript"/>
              </w:rPr>
              <w:t>G, P</w:t>
            </w:r>
          </w:p>
        </w:tc>
        <w:tc>
          <w:tcPr>
            <w:tcW w:w="1308" w:type="pct"/>
            <w:shd w:val="clear" w:color="auto" w:fill="auto"/>
            <w:vAlign w:val="center"/>
          </w:tcPr>
          <w:p w14:paraId="335B281A" w14:textId="786FB96C" w:rsidR="006D2CA2" w:rsidRPr="006D2CA2" w:rsidRDefault="00654D05" w:rsidP="00EB4C2A">
            <w:pPr>
              <w:jc w:val="center"/>
              <w:rPr>
                <w:rFonts w:cs="Arial"/>
              </w:rPr>
            </w:pPr>
            <w:r>
              <w:rPr>
                <w:rFonts w:cs="Arial"/>
              </w:rPr>
              <w:t xml:space="preserve">1. </w:t>
            </w:r>
            <w:r w:rsidR="006D2CA2" w:rsidRPr="006D2CA2">
              <w:rPr>
                <w:rFonts w:cs="Arial"/>
              </w:rPr>
              <w:t>Knowledge</w:t>
            </w:r>
          </w:p>
        </w:tc>
      </w:tr>
      <w:tr w:rsidR="006D2CA2" w:rsidRPr="006D2CA2" w14:paraId="62F2AE73" w14:textId="77777777" w:rsidTr="00654D05">
        <w:trPr>
          <w:jc w:val="center"/>
        </w:trPr>
        <w:tc>
          <w:tcPr>
            <w:tcW w:w="1952" w:type="pct"/>
            <w:shd w:val="clear" w:color="auto" w:fill="auto"/>
          </w:tcPr>
          <w:p w14:paraId="608830E2" w14:textId="77777777" w:rsidR="006D2CA2" w:rsidRPr="006D2CA2" w:rsidRDefault="006D2CA2" w:rsidP="00EB4C2A">
            <w:pPr>
              <w:rPr>
                <w:rFonts w:cs="Arial"/>
              </w:rPr>
            </w:pPr>
            <w:r w:rsidRPr="006D2CA2">
              <w:rPr>
                <w:rFonts w:cs="Arial"/>
              </w:rPr>
              <w:t xml:space="preserve">Hospitals primary role is acute care </w:t>
            </w:r>
            <w:r w:rsidRPr="006D2CA2">
              <w:rPr>
                <w:rFonts w:cs="Arial"/>
                <w:vertAlign w:val="superscript"/>
              </w:rPr>
              <w:t>P</w:t>
            </w:r>
          </w:p>
        </w:tc>
        <w:tc>
          <w:tcPr>
            <w:tcW w:w="1740" w:type="pct"/>
            <w:shd w:val="clear" w:color="auto" w:fill="auto"/>
          </w:tcPr>
          <w:p w14:paraId="63C8405E" w14:textId="77777777" w:rsidR="006D2CA2" w:rsidRPr="006D2CA2" w:rsidRDefault="006D2CA2" w:rsidP="00EB4C2A">
            <w:pPr>
              <w:rPr>
                <w:rFonts w:cs="Arial"/>
              </w:rPr>
            </w:pPr>
            <w:r w:rsidRPr="006D2CA2">
              <w:rPr>
                <w:rFonts w:cs="Arial"/>
              </w:rPr>
              <w:t xml:space="preserve">Role includes deprescribing </w:t>
            </w:r>
            <w:r w:rsidRPr="006D2CA2">
              <w:rPr>
                <w:rFonts w:cs="Arial"/>
                <w:vertAlign w:val="superscript"/>
              </w:rPr>
              <w:t>G, P</w:t>
            </w:r>
          </w:p>
        </w:tc>
        <w:tc>
          <w:tcPr>
            <w:tcW w:w="1308" w:type="pct"/>
            <w:shd w:val="clear" w:color="auto" w:fill="auto"/>
            <w:vAlign w:val="center"/>
          </w:tcPr>
          <w:p w14:paraId="145A3011" w14:textId="0BD0673B" w:rsidR="006D2CA2" w:rsidRPr="006D2CA2" w:rsidRDefault="00654D05" w:rsidP="00EB4C2A">
            <w:pPr>
              <w:jc w:val="center"/>
              <w:rPr>
                <w:rFonts w:cs="Arial"/>
              </w:rPr>
            </w:pPr>
            <w:r>
              <w:rPr>
                <w:rFonts w:cs="Arial"/>
              </w:rPr>
              <w:t xml:space="preserve">7. </w:t>
            </w:r>
            <w:r w:rsidR="006D2CA2" w:rsidRPr="006D2CA2">
              <w:rPr>
                <w:rFonts w:cs="Arial"/>
              </w:rPr>
              <w:t>Social/professional role and identity</w:t>
            </w:r>
          </w:p>
        </w:tc>
      </w:tr>
      <w:tr w:rsidR="006D2CA2" w:rsidRPr="006D2CA2" w14:paraId="13747123" w14:textId="77777777" w:rsidTr="00654D05">
        <w:trPr>
          <w:jc w:val="center"/>
        </w:trPr>
        <w:tc>
          <w:tcPr>
            <w:tcW w:w="1952" w:type="pct"/>
            <w:tcBorders>
              <w:bottom w:val="single" w:sz="4" w:space="0" w:color="auto"/>
            </w:tcBorders>
            <w:shd w:val="clear" w:color="auto" w:fill="auto"/>
          </w:tcPr>
          <w:p w14:paraId="131B6D69" w14:textId="77777777" w:rsidR="006D2CA2" w:rsidRPr="006D2CA2" w:rsidRDefault="006D2CA2" w:rsidP="00EB4C2A">
            <w:pPr>
              <w:rPr>
                <w:rFonts w:cs="Arial"/>
              </w:rPr>
            </w:pPr>
            <w:r w:rsidRPr="006D2CA2">
              <w:rPr>
                <w:rFonts w:cs="Arial"/>
              </w:rPr>
              <w:t xml:space="preserve">Pharmacists’ existing working patterns </w:t>
            </w:r>
            <w:r w:rsidRPr="006D2CA2">
              <w:rPr>
                <w:rFonts w:cs="Arial"/>
                <w:vertAlign w:val="superscript"/>
              </w:rPr>
              <w:t>G, P</w:t>
            </w:r>
          </w:p>
        </w:tc>
        <w:tc>
          <w:tcPr>
            <w:tcW w:w="1740" w:type="pct"/>
            <w:tcBorders>
              <w:bottom w:val="single" w:sz="4" w:space="0" w:color="auto"/>
            </w:tcBorders>
            <w:shd w:val="clear" w:color="auto" w:fill="auto"/>
          </w:tcPr>
          <w:p w14:paraId="1E4123BF" w14:textId="77777777" w:rsidR="006D2CA2" w:rsidRPr="006D2CA2" w:rsidRDefault="006D2CA2" w:rsidP="00EB4C2A">
            <w:pPr>
              <w:rPr>
                <w:rFonts w:cs="Arial"/>
              </w:rPr>
            </w:pPr>
            <w:r w:rsidRPr="006D2CA2">
              <w:rPr>
                <w:rFonts w:cs="Arial"/>
              </w:rPr>
              <w:t xml:space="preserve">Changing working patterns to support deprescribing </w:t>
            </w:r>
            <w:r w:rsidRPr="006D2CA2">
              <w:rPr>
                <w:rFonts w:cs="Arial"/>
                <w:vertAlign w:val="superscript"/>
              </w:rPr>
              <w:t>G, P</w:t>
            </w:r>
          </w:p>
        </w:tc>
        <w:tc>
          <w:tcPr>
            <w:tcW w:w="1308" w:type="pct"/>
            <w:tcBorders>
              <w:bottom w:val="single" w:sz="4" w:space="0" w:color="auto"/>
            </w:tcBorders>
            <w:shd w:val="clear" w:color="auto" w:fill="auto"/>
            <w:vAlign w:val="center"/>
          </w:tcPr>
          <w:p w14:paraId="44051E9E" w14:textId="5EE8264D" w:rsidR="006D2CA2" w:rsidRPr="006D2CA2" w:rsidRDefault="00654D05" w:rsidP="00EB4C2A">
            <w:pPr>
              <w:jc w:val="center"/>
              <w:rPr>
                <w:rFonts w:cs="Arial"/>
              </w:rPr>
            </w:pPr>
            <w:r>
              <w:rPr>
                <w:rFonts w:cs="Arial"/>
              </w:rPr>
              <w:t xml:space="preserve">5. </w:t>
            </w:r>
            <w:r w:rsidR="006D2CA2" w:rsidRPr="006D2CA2">
              <w:rPr>
                <w:rFonts w:cs="Arial"/>
              </w:rPr>
              <w:t>Environmental context and resources</w:t>
            </w:r>
          </w:p>
        </w:tc>
      </w:tr>
      <w:tr w:rsidR="006D2CA2" w:rsidRPr="006D2CA2" w14:paraId="28B4DD16" w14:textId="77777777" w:rsidTr="00EB4C2A">
        <w:trPr>
          <w:jc w:val="center"/>
        </w:trPr>
        <w:tc>
          <w:tcPr>
            <w:tcW w:w="5000" w:type="pct"/>
            <w:gridSpan w:val="3"/>
            <w:tcBorders>
              <w:top w:val="single" w:sz="4" w:space="0" w:color="auto"/>
            </w:tcBorders>
            <w:shd w:val="clear" w:color="auto" w:fill="AEAAAA" w:themeFill="background2" w:themeFillShade="BF"/>
            <w:vAlign w:val="center"/>
          </w:tcPr>
          <w:p w14:paraId="7525081B" w14:textId="77777777" w:rsidR="006D2CA2" w:rsidRPr="006D2CA2" w:rsidRDefault="006D2CA2" w:rsidP="00EB4C2A">
            <w:pPr>
              <w:jc w:val="center"/>
              <w:rPr>
                <w:rFonts w:cs="Arial"/>
              </w:rPr>
            </w:pPr>
            <w:r w:rsidRPr="006D2CA2">
              <w:rPr>
                <w:rFonts w:cs="Arial"/>
              </w:rPr>
              <w:t>Theme: The inpatient environment</w:t>
            </w:r>
          </w:p>
        </w:tc>
      </w:tr>
      <w:tr w:rsidR="006D2CA2" w:rsidRPr="006D2CA2" w14:paraId="0B279B71" w14:textId="77777777" w:rsidTr="00654D05">
        <w:trPr>
          <w:jc w:val="center"/>
        </w:trPr>
        <w:tc>
          <w:tcPr>
            <w:tcW w:w="1952" w:type="pct"/>
          </w:tcPr>
          <w:p w14:paraId="3D925069" w14:textId="77777777" w:rsidR="006D2CA2" w:rsidRPr="006D2CA2" w:rsidRDefault="006D2CA2" w:rsidP="00EB4C2A">
            <w:pPr>
              <w:rPr>
                <w:rFonts w:cs="Arial"/>
              </w:rPr>
            </w:pPr>
            <w:r w:rsidRPr="006D2CA2">
              <w:rPr>
                <w:rFonts w:cs="Arial"/>
              </w:rPr>
              <w:t xml:space="preserve">Deprescribing is not a hospital’s priority </w:t>
            </w:r>
            <w:r w:rsidRPr="006D2CA2">
              <w:rPr>
                <w:rFonts w:cs="Arial"/>
                <w:vertAlign w:val="superscript"/>
              </w:rPr>
              <w:t>G, P</w:t>
            </w:r>
          </w:p>
        </w:tc>
        <w:tc>
          <w:tcPr>
            <w:tcW w:w="1740" w:type="pct"/>
          </w:tcPr>
          <w:p w14:paraId="3123A78F" w14:textId="77777777" w:rsidR="006D2CA2" w:rsidRPr="006D2CA2" w:rsidRDefault="006D2CA2" w:rsidP="00EB4C2A">
            <w:pPr>
              <w:rPr>
                <w:rFonts w:cs="Arial"/>
              </w:rPr>
            </w:pPr>
            <w:r w:rsidRPr="006D2CA2">
              <w:rPr>
                <w:rFonts w:cs="Arial"/>
              </w:rPr>
              <w:t xml:space="preserve">Setting deprescribing goals </w:t>
            </w:r>
            <w:r w:rsidRPr="006D2CA2">
              <w:rPr>
                <w:rFonts w:cs="Arial"/>
                <w:vertAlign w:val="superscript"/>
              </w:rPr>
              <w:t>G, P</w:t>
            </w:r>
          </w:p>
        </w:tc>
        <w:tc>
          <w:tcPr>
            <w:tcW w:w="1308" w:type="pct"/>
            <w:vAlign w:val="center"/>
          </w:tcPr>
          <w:p w14:paraId="3FDFE381" w14:textId="27ED6FF3" w:rsidR="006D2CA2" w:rsidRPr="006D2CA2" w:rsidRDefault="00654D05" w:rsidP="00EB4C2A">
            <w:pPr>
              <w:jc w:val="center"/>
              <w:rPr>
                <w:rFonts w:cs="Arial"/>
              </w:rPr>
            </w:pPr>
            <w:r>
              <w:rPr>
                <w:rFonts w:cs="Arial"/>
              </w:rPr>
              <w:t xml:space="preserve">12. </w:t>
            </w:r>
            <w:r w:rsidR="006D2CA2" w:rsidRPr="006D2CA2">
              <w:rPr>
                <w:rFonts w:cs="Arial"/>
              </w:rPr>
              <w:t>Goals</w:t>
            </w:r>
          </w:p>
        </w:tc>
      </w:tr>
      <w:tr w:rsidR="006D2CA2" w:rsidRPr="006D2CA2" w14:paraId="13CAC12D" w14:textId="77777777" w:rsidTr="00654D05">
        <w:trPr>
          <w:jc w:val="center"/>
        </w:trPr>
        <w:tc>
          <w:tcPr>
            <w:tcW w:w="1952" w:type="pct"/>
          </w:tcPr>
          <w:p w14:paraId="0982EDC9" w14:textId="77777777" w:rsidR="006D2CA2" w:rsidRPr="006D2CA2" w:rsidRDefault="006D2CA2" w:rsidP="00EB4C2A">
            <w:pPr>
              <w:rPr>
                <w:rFonts w:cs="Arial"/>
              </w:rPr>
            </w:pPr>
            <w:r w:rsidRPr="006D2CA2">
              <w:rPr>
                <w:rFonts w:cs="Arial"/>
              </w:rPr>
              <w:t xml:space="preserve">Limited feedback on deprescribing outcomes </w:t>
            </w:r>
            <w:r w:rsidRPr="006D2CA2">
              <w:rPr>
                <w:rFonts w:cs="Arial"/>
                <w:vertAlign w:val="superscript"/>
              </w:rPr>
              <w:t>P</w:t>
            </w:r>
          </w:p>
        </w:tc>
        <w:tc>
          <w:tcPr>
            <w:tcW w:w="1740" w:type="pct"/>
          </w:tcPr>
          <w:p w14:paraId="7EE8E02D" w14:textId="77777777" w:rsidR="006D2CA2" w:rsidRPr="006D2CA2" w:rsidRDefault="006D2CA2" w:rsidP="00EB4C2A">
            <w:pPr>
              <w:rPr>
                <w:rFonts w:cs="Arial"/>
              </w:rPr>
            </w:pPr>
            <w:r w:rsidRPr="006D2CA2">
              <w:rPr>
                <w:rFonts w:cs="Arial"/>
              </w:rPr>
              <w:t xml:space="preserve">Deprescribing incentive </w:t>
            </w:r>
            <w:r w:rsidRPr="006D2CA2">
              <w:rPr>
                <w:rFonts w:cs="Arial"/>
                <w:vertAlign w:val="superscript"/>
              </w:rPr>
              <w:t>G, P</w:t>
            </w:r>
          </w:p>
        </w:tc>
        <w:tc>
          <w:tcPr>
            <w:tcW w:w="1308" w:type="pct"/>
            <w:vAlign w:val="center"/>
          </w:tcPr>
          <w:p w14:paraId="46ED2C56" w14:textId="4B72F2AD" w:rsidR="006D2CA2" w:rsidRPr="006D2CA2" w:rsidRDefault="00654D05" w:rsidP="00EB4C2A">
            <w:pPr>
              <w:jc w:val="center"/>
              <w:rPr>
                <w:rFonts w:cs="Arial"/>
              </w:rPr>
            </w:pPr>
            <w:r>
              <w:rPr>
                <w:rFonts w:cs="Arial"/>
              </w:rPr>
              <w:t xml:space="preserve">13. </w:t>
            </w:r>
            <w:r w:rsidR="006D2CA2" w:rsidRPr="006D2CA2">
              <w:rPr>
                <w:rFonts w:cs="Arial"/>
              </w:rPr>
              <w:t>Reinforcement</w:t>
            </w:r>
          </w:p>
        </w:tc>
      </w:tr>
      <w:tr w:rsidR="006D2CA2" w:rsidRPr="006D2CA2" w14:paraId="4A47B7B2" w14:textId="77777777" w:rsidTr="00654D05">
        <w:trPr>
          <w:jc w:val="center"/>
        </w:trPr>
        <w:tc>
          <w:tcPr>
            <w:tcW w:w="1952" w:type="pct"/>
          </w:tcPr>
          <w:p w14:paraId="64619E55" w14:textId="77777777" w:rsidR="006D2CA2" w:rsidRPr="006D2CA2" w:rsidRDefault="006D2CA2" w:rsidP="00EB4C2A">
            <w:pPr>
              <w:rPr>
                <w:rFonts w:cs="Arial"/>
              </w:rPr>
            </w:pPr>
            <w:r w:rsidRPr="006D2CA2">
              <w:rPr>
                <w:rFonts w:cs="Arial"/>
              </w:rPr>
              <w:t xml:space="preserve">Artificial patient status in hospital </w:t>
            </w:r>
            <w:r w:rsidRPr="006D2CA2">
              <w:rPr>
                <w:rFonts w:cs="Arial"/>
                <w:vertAlign w:val="superscript"/>
              </w:rPr>
              <w:t>G, P</w:t>
            </w:r>
          </w:p>
        </w:tc>
        <w:tc>
          <w:tcPr>
            <w:tcW w:w="1740" w:type="pct"/>
          </w:tcPr>
          <w:p w14:paraId="10040B8F" w14:textId="77777777" w:rsidR="006D2CA2" w:rsidRPr="006D2CA2" w:rsidRDefault="006D2CA2" w:rsidP="00EB4C2A">
            <w:pPr>
              <w:rPr>
                <w:rFonts w:cs="Arial"/>
              </w:rPr>
            </w:pPr>
            <w:r w:rsidRPr="006D2CA2">
              <w:rPr>
                <w:rFonts w:cs="Arial"/>
              </w:rPr>
              <w:t xml:space="preserve">Hospitals are well resourced to deprescribe </w:t>
            </w:r>
            <w:r w:rsidRPr="006D2CA2">
              <w:rPr>
                <w:rFonts w:cs="Arial"/>
                <w:vertAlign w:val="superscript"/>
              </w:rPr>
              <w:t>G, P</w:t>
            </w:r>
          </w:p>
        </w:tc>
        <w:tc>
          <w:tcPr>
            <w:tcW w:w="1308" w:type="pct"/>
            <w:vMerge w:val="restart"/>
            <w:vAlign w:val="center"/>
          </w:tcPr>
          <w:p w14:paraId="063C16EA" w14:textId="28D31670" w:rsidR="006D2CA2" w:rsidRPr="006D2CA2" w:rsidRDefault="00654D05" w:rsidP="00EB4C2A">
            <w:pPr>
              <w:jc w:val="center"/>
              <w:rPr>
                <w:rFonts w:cs="Arial"/>
              </w:rPr>
            </w:pPr>
            <w:r>
              <w:rPr>
                <w:rFonts w:cs="Arial"/>
              </w:rPr>
              <w:t xml:space="preserve">5. </w:t>
            </w:r>
            <w:r w:rsidR="006D2CA2" w:rsidRPr="006D2CA2">
              <w:rPr>
                <w:rFonts w:cs="Arial"/>
              </w:rPr>
              <w:t>Environmental context and resources</w:t>
            </w:r>
          </w:p>
        </w:tc>
      </w:tr>
      <w:tr w:rsidR="006D2CA2" w:rsidRPr="006D2CA2" w14:paraId="1730D4CD" w14:textId="77777777" w:rsidTr="00654D05">
        <w:trPr>
          <w:jc w:val="center"/>
        </w:trPr>
        <w:tc>
          <w:tcPr>
            <w:tcW w:w="1952" w:type="pct"/>
          </w:tcPr>
          <w:p w14:paraId="3C5EF358" w14:textId="77777777" w:rsidR="006D2CA2" w:rsidRPr="006D2CA2" w:rsidRDefault="006D2CA2" w:rsidP="00EB4C2A">
            <w:pPr>
              <w:rPr>
                <w:rFonts w:cs="Arial"/>
              </w:rPr>
            </w:pPr>
            <w:r w:rsidRPr="006D2CA2">
              <w:rPr>
                <w:rFonts w:cs="Arial"/>
              </w:rPr>
              <w:t xml:space="preserve">Incomplete medication history </w:t>
            </w:r>
            <w:r w:rsidRPr="006D2CA2">
              <w:rPr>
                <w:rFonts w:cs="Arial"/>
                <w:vertAlign w:val="superscript"/>
              </w:rPr>
              <w:t>G, P</w:t>
            </w:r>
          </w:p>
        </w:tc>
        <w:tc>
          <w:tcPr>
            <w:tcW w:w="1740" w:type="pct"/>
          </w:tcPr>
          <w:p w14:paraId="21AA3BFB" w14:textId="77777777" w:rsidR="006D2CA2" w:rsidRPr="006D2CA2" w:rsidRDefault="006D2CA2" w:rsidP="00EB4C2A">
            <w:pPr>
              <w:rPr>
                <w:rFonts w:cs="Arial"/>
              </w:rPr>
            </w:pPr>
            <w:r w:rsidRPr="006D2CA2">
              <w:rPr>
                <w:rFonts w:cs="Arial"/>
              </w:rPr>
              <w:t xml:space="preserve">Opportunity to trial deprescribing </w:t>
            </w:r>
            <w:r w:rsidRPr="006D2CA2">
              <w:rPr>
                <w:rFonts w:cs="Arial"/>
                <w:vertAlign w:val="superscript"/>
              </w:rPr>
              <w:t>G, P</w:t>
            </w:r>
          </w:p>
        </w:tc>
        <w:tc>
          <w:tcPr>
            <w:tcW w:w="1308" w:type="pct"/>
            <w:vMerge/>
          </w:tcPr>
          <w:p w14:paraId="1ACBCAD4" w14:textId="77777777" w:rsidR="006D2CA2" w:rsidRPr="006D2CA2" w:rsidRDefault="006D2CA2" w:rsidP="00EB4C2A">
            <w:pPr>
              <w:rPr>
                <w:rFonts w:cs="Arial"/>
              </w:rPr>
            </w:pPr>
          </w:p>
        </w:tc>
      </w:tr>
    </w:tbl>
    <w:p w14:paraId="47606F46" w14:textId="77777777" w:rsidR="006D2CA2" w:rsidRPr="006D2CA2" w:rsidRDefault="006D2CA2" w:rsidP="006D2CA2">
      <w:pPr>
        <w:spacing w:line="240" w:lineRule="auto"/>
        <w:rPr>
          <w:rFonts w:cs="Arial"/>
        </w:rPr>
      </w:pPr>
      <w:r w:rsidRPr="006D2CA2">
        <w:rPr>
          <w:rFonts w:cs="Arial"/>
          <w:vertAlign w:val="superscript"/>
        </w:rPr>
        <w:t xml:space="preserve">G </w:t>
      </w:r>
      <w:r w:rsidRPr="006D2CA2">
        <w:rPr>
          <w:rFonts w:cs="Arial"/>
        </w:rPr>
        <w:t>Geriatrician expressed barrier or enabler</w:t>
      </w:r>
    </w:p>
    <w:p w14:paraId="5999B01D" w14:textId="77777777" w:rsidR="006D2CA2" w:rsidRPr="006D2CA2" w:rsidRDefault="006D2CA2" w:rsidP="006D2CA2">
      <w:pPr>
        <w:spacing w:line="240" w:lineRule="auto"/>
        <w:rPr>
          <w:rFonts w:cs="Arial"/>
        </w:rPr>
      </w:pPr>
      <w:r w:rsidRPr="006D2CA2">
        <w:rPr>
          <w:rFonts w:cs="Arial"/>
          <w:vertAlign w:val="superscript"/>
        </w:rPr>
        <w:t xml:space="preserve">P </w:t>
      </w:r>
      <w:r w:rsidRPr="006D2CA2">
        <w:rPr>
          <w:rFonts w:cs="Arial"/>
        </w:rPr>
        <w:t>Pharmacist expressed barrier or enabler</w:t>
      </w:r>
    </w:p>
    <w:p w14:paraId="456978B0" w14:textId="1D6ADB51" w:rsidR="0079216D" w:rsidRDefault="0079216D">
      <w:pPr>
        <w:rPr>
          <w:rStyle w:val="PageNumber"/>
          <w:rFonts w:cs="Arial"/>
        </w:rPr>
      </w:pPr>
      <w:r>
        <w:rPr>
          <w:rStyle w:val="PageNumber"/>
          <w:rFonts w:cs="Arial"/>
        </w:rPr>
        <w:br w:type="page"/>
      </w:r>
    </w:p>
    <w:p w14:paraId="7A47D525" w14:textId="77777777" w:rsidR="00E135EA" w:rsidRPr="00091776" w:rsidRDefault="00E135EA" w:rsidP="00493314">
      <w:pPr>
        <w:spacing w:line="240" w:lineRule="auto"/>
        <w:rPr>
          <w:rFonts w:cs="Arial"/>
        </w:rPr>
      </w:pPr>
      <w:r w:rsidRPr="00091776">
        <w:rPr>
          <w:rFonts w:cs="Arial"/>
        </w:rPr>
        <w:lastRenderedPageBreak/>
        <w:t>Phase 3: Prioritising TDF domains for targeting in a deprescribing intervention and identifying the BCTs linked to these domains</w:t>
      </w:r>
    </w:p>
    <w:p w14:paraId="30C8EB25" w14:textId="49B04967" w:rsidR="0073438C" w:rsidRPr="00091776" w:rsidRDefault="00DF548E" w:rsidP="00493314">
      <w:pPr>
        <w:spacing w:line="240" w:lineRule="auto"/>
        <w:rPr>
          <w:rFonts w:cs="Arial"/>
        </w:rPr>
      </w:pPr>
      <w:r w:rsidRPr="00091776">
        <w:rPr>
          <w:rFonts w:cs="Arial"/>
        </w:rPr>
        <w:t>Figure 1</w:t>
      </w:r>
      <w:r w:rsidR="00047789" w:rsidRPr="00091776">
        <w:rPr>
          <w:rFonts w:cs="Arial"/>
        </w:rPr>
        <w:t xml:space="preserve"> </w:t>
      </w:r>
      <w:r w:rsidRPr="00091776">
        <w:rPr>
          <w:rFonts w:cs="Arial"/>
        </w:rPr>
        <w:t>pro</w:t>
      </w:r>
      <w:r w:rsidR="00BA2BE6" w:rsidRPr="00091776">
        <w:rPr>
          <w:rFonts w:cs="Arial"/>
        </w:rPr>
        <w:t>vides the</w:t>
      </w:r>
      <w:r w:rsidR="0079216D">
        <w:rPr>
          <w:rFonts w:cs="Arial"/>
        </w:rPr>
        <w:t xml:space="preserve"> a hospital Deprescribing Implementation Framework (</w:t>
      </w:r>
      <w:proofErr w:type="spellStart"/>
      <w:r w:rsidR="0079216D">
        <w:rPr>
          <w:rFonts w:cs="Arial"/>
        </w:rPr>
        <w:t>hDIF</w:t>
      </w:r>
      <w:proofErr w:type="spellEnd"/>
      <w:r w:rsidR="0079216D">
        <w:rPr>
          <w:rFonts w:cs="Arial"/>
        </w:rPr>
        <w:t>) of</w:t>
      </w:r>
      <w:r w:rsidR="00047789" w:rsidRPr="00091776">
        <w:rPr>
          <w:rFonts w:cs="Arial"/>
        </w:rPr>
        <w:t xml:space="preserve"> TDF domains prioritised for targeting in a</w:t>
      </w:r>
      <w:r w:rsidR="00254F79" w:rsidRPr="00091776">
        <w:rPr>
          <w:rFonts w:cs="Arial"/>
        </w:rPr>
        <w:t xml:space="preserve"> novel hospital</w:t>
      </w:r>
      <w:r w:rsidR="00047789" w:rsidRPr="00091776">
        <w:rPr>
          <w:rFonts w:cs="Arial"/>
        </w:rPr>
        <w:t xml:space="preserve"> deprescribing intervention for older people</w:t>
      </w:r>
      <w:r w:rsidR="005C6FFE" w:rsidRPr="00091776">
        <w:rPr>
          <w:rFonts w:cs="Arial"/>
        </w:rPr>
        <w:t>. For the prioritised domains,</w:t>
      </w:r>
      <w:r w:rsidR="00047789" w:rsidRPr="00091776">
        <w:rPr>
          <w:rFonts w:cs="Arial"/>
        </w:rPr>
        <w:t xml:space="preserve"> the</w:t>
      </w:r>
      <w:r w:rsidR="002E101D" w:rsidRPr="00091776">
        <w:rPr>
          <w:rFonts w:cs="Arial"/>
        </w:rPr>
        <w:t xml:space="preserve"> </w:t>
      </w:r>
      <w:r w:rsidR="00A24C41" w:rsidRPr="00091776">
        <w:rPr>
          <w:rFonts w:cs="Arial"/>
        </w:rPr>
        <w:t>44</w:t>
      </w:r>
      <w:r w:rsidR="00047789" w:rsidRPr="00091776">
        <w:rPr>
          <w:rFonts w:cs="Arial"/>
        </w:rPr>
        <w:t xml:space="preserve"> </w:t>
      </w:r>
      <w:r w:rsidR="005C6FFE" w:rsidRPr="00091776">
        <w:rPr>
          <w:rFonts w:cs="Arial"/>
        </w:rPr>
        <w:t xml:space="preserve">linked </w:t>
      </w:r>
      <w:r w:rsidR="00047789" w:rsidRPr="00091776">
        <w:rPr>
          <w:rFonts w:cs="Arial"/>
        </w:rPr>
        <w:t>BCTs</w:t>
      </w:r>
      <w:r w:rsidR="008112F4" w:rsidRPr="00091776">
        <w:rPr>
          <w:rFonts w:cs="Arial"/>
        </w:rPr>
        <w:t xml:space="preserve"> are listed</w:t>
      </w:r>
      <w:r w:rsidR="00A41713" w:rsidRPr="00091776">
        <w:rPr>
          <w:rFonts w:cs="Arial"/>
        </w:rPr>
        <w:fldChar w:fldCharType="begin" w:fldLock="1"/>
      </w:r>
      <w:r w:rsidR="00FC483E">
        <w:rPr>
          <w:rFonts w:cs="Arial"/>
        </w:rPr>
        <w:instrText>ADDIN CSL_CITATION {"citationItems":[{"id":"ITEM-1","itemData":{"DOI":"10.1111/bjhp.12102","ISBN":"2044-8287 (Electronic) 1359-107X (Linking)","ISSN":"20448287","PMID":"24815766","abstract":"Objectives. Behaviour change technique (BCT) Taxonomy v1 is a hierarchically grouped, consensus-based taxonomy of 93 BCTs for reporting intervention content. To enhance the use and understanding of BCTs, the aims of the present study were to (1) quantitatively examine the 'bottom-up' hierarchical structure of Taxonomy v1, (2) identify whether BCTs can be reliably mapped to theoretical domains using a 'top-down' theoretically driven approach, and (3) identify any overlap between the 'bottom-up' and 'top-down' groupings. Methods and design. The 'bottom-up' structure was examined for higher-order groupings using a dendrogram derived from hierarchical cluster analysis. For the theory-based 'top-down' structure, 18 experts sorted BCTs into 14 theoretical domains. Discriminant Content Validity was used to identify groupings, and chi-square tests and Pearson's residuals were used to examine the overlap between groupings. Results. Behaviour change techniques relating to 'Reward and Punishment' and 'Cues and Cue Responses' were perceived as markedly different to other BCTs. Fifty-nine of the BCTs were reliably allocated to 12 of the 14 theoretical domains; 47 were significant and 12 were of borderline significance. Thirty-four of 208 'bottom-up' 9 'top-down' pairings showed greater overlap than expected by chance. However, only six combinations achieved satisfactory evidence of similarity.","author":[{"dropping-particle":"","family":"Cane","given":"James","non-dropping-particle":"","parse-names":false,"suffix":""},{"dropping-particle":"","family":"Richardson","given":"Michelle","non-dropping-particle":"","parse-names":false,"suffix":""},{"dropping-particle":"","family":"Johnston","given":"Marie","non-dropping-particle":"","parse-names":false,"suffix":""},{"dropping-particle":"","family":"Ladha","given":"Ruhina","non-dropping-particle":"","parse-names":false,"suffix":""},{"dropping-particle":"","family":"Michie","given":"Susan","non-dropping-particle":"","parse-names":false,"suffix":""}],"container-title":"British Journal of Health Psychology","id":"ITEM-1","issue":"1","issued":{"date-parts":[["2015"]]},"page":"130-150","title":"From lists of behaviour change techniques (BCTs) to structured hierarchies: Comparison of two methods of developing a hierarchy of BCTs","type":"article-journal","volume":"20"},"uris":["http://www.mendeley.com/documents/?uuid=358ce78d-bfb3-4f8d-9277-d9b0f84b9b67"]}],"mendeley":{"formattedCitation":"[15]","plainTextFormattedCitation":"[15]","previouslyFormattedCitation":"[16]"},"properties":{"noteIndex":0},"schema":"https://github.com/citation-style-language/schema/raw/master/csl-citation.json"}</w:instrText>
      </w:r>
      <w:r w:rsidR="00A41713" w:rsidRPr="00091776">
        <w:rPr>
          <w:rFonts w:cs="Arial"/>
        </w:rPr>
        <w:fldChar w:fldCharType="separate"/>
      </w:r>
      <w:r w:rsidR="00FC483E" w:rsidRPr="00FC483E">
        <w:rPr>
          <w:rFonts w:cs="Arial"/>
          <w:noProof/>
        </w:rPr>
        <w:t>[15]</w:t>
      </w:r>
      <w:r w:rsidR="00A41713" w:rsidRPr="00091776">
        <w:rPr>
          <w:rFonts w:cs="Arial"/>
        </w:rPr>
        <w:fldChar w:fldCharType="end"/>
      </w:r>
      <w:r w:rsidR="00E72DC4" w:rsidRPr="00091776">
        <w:rPr>
          <w:rFonts w:cs="Arial"/>
        </w:rPr>
        <w:t>.</w:t>
      </w:r>
      <w:r w:rsidR="008112F4" w:rsidRPr="00091776">
        <w:rPr>
          <w:rFonts w:cs="Arial"/>
        </w:rPr>
        <w:t xml:space="preserve"> The process of selecting </w:t>
      </w:r>
      <w:r w:rsidR="00E4420A" w:rsidRPr="00091776">
        <w:rPr>
          <w:rFonts w:cs="Arial"/>
        </w:rPr>
        <w:t>from th</w:t>
      </w:r>
      <w:r w:rsidR="00A41713" w:rsidRPr="00091776">
        <w:rPr>
          <w:rFonts w:cs="Arial"/>
        </w:rPr>
        <w:t>is</w:t>
      </w:r>
      <w:r w:rsidR="00E4420A" w:rsidRPr="00091776">
        <w:rPr>
          <w:rFonts w:cs="Arial"/>
        </w:rPr>
        <w:t xml:space="preserve"> list of 44 BCTs</w:t>
      </w:r>
      <w:r w:rsidR="00D0733D" w:rsidRPr="00091776">
        <w:rPr>
          <w:rFonts w:cs="Arial"/>
        </w:rPr>
        <w:t xml:space="preserve"> according to local contexts</w:t>
      </w:r>
      <w:r w:rsidR="00E4420A" w:rsidRPr="00091776">
        <w:rPr>
          <w:rFonts w:cs="Arial"/>
        </w:rPr>
        <w:t xml:space="preserve"> is also </w:t>
      </w:r>
      <w:r w:rsidR="00A41713" w:rsidRPr="00091776">
        <w:rPr>
          <w:rFonts w:cs="Arial"/>
        </w:rPr>
        <w:t>illustrated</w:t>
      </w:r>
      <w:r w:rsidR="00E4420A" w:rsidRPr="00091776">
        <w:rPr>
          <w:rFonts w:cs="Arial"/>
        </w:rPr>
        <w:t xml:space="preserve"> in figure 1, and examples</w:t>
      </w:r>
      <w:r w:rsidR="00BF3265" w:rsidRPr="00091776">
        <w:rPr>
          <w:rFonts w:cs="Arial"/>
        </w:rPr>
        <w:t xml:space="preserve"> are provided for</w:t>
      </w:r>
      <w:r w:rsidR="00340ADA" w:rsidRPr="00091776">
        <w:rPr>
          <w:rFonts w:cs="Arial"/>
        </w:rPr>
        <w:t xml:space="preserve"> five</w:t>
      </w:r>
      <w:r w:rsidR="00E4420A" w:rsidRPr="00091776">
        <w:rPr>
          <w:rFonts w:cs="Arial"/>
        </w:rPr>
        <w:t xml:space="preserve"> hypothetically selected BCTs </w:t>
      </w:r>
      <w:r w:rsidR="00BF3265" w:rsidRPr="00091776">
        <w:rPr>
          <w:rFonts w:cs="Arial"/>
        </w:rPr>
        <w:t xml:space="preserve">that </w:t>
      </w:r>
      <w:r w:rsidR="00B74891" w:rsidRPr="00091776">
        <w:rPr>
          <w:rFonts w:cs="Arial"/>
        </w:rPr>
        <w:t xml:space="preserve">have been </w:t>
      </w:r>
      <w:r w:rsidR="0079216D" w:rsidRPr="00091776">
        <w:rPr>
          <w:rFonts w:cs="Arial"/>
        </w:rPr>
        <w:t>characterised</w:t>
      </w:r>
      <w:r w:rsidR="00BF3265" w:rsidRPr="00091776">
        <w:rPr>
          <w:rFonts w:cs="Arial"/>
        </w:rPr>
        <w:t xml:space="preserve"> by the research team.</w:t>
      </w:r>
    </w:p>
    <w:p w14:paraId="26F1CA47" w14:textId="2489B717" w:rsidR="00EC0738" w:rsidRPr="00091776" w:rsidRDefault="00047789" w:rsidP="00493314">
      <w:pPr>
        <w:spacing w:line="240" w:lineRule="auto"/>
        <w:rPr>
          <w:rStyle w:val="PageNumber"/>
          <w:rFonts w:cs="Arial"/>
        </w:rPr>
      </w:pPr>
      <w:r w:rsidRPr="00091776">
        <w:rPr>
          <w:rFonts w:cs="Arial"/>
        </w:rPr>
        <w:t>‘Social professional role a</w:t>
      </w:r>
      <w:r w:rsidR="00254F79" w:rsidRPr="00091776">
        <w:rPr>
          <w:rFonts w:cs="Arial"/>
        </w:rPr>
        <w:t xml:space="preserve">nd identity’ and ‘Knowledge’ </w:t>
      </w:r>
      <w:r w:rsidR="0073438C" w:rsidRPr="00091776">
        <w:rPr>
          <w:rFonts w:cs="Arial"/>
        </w:rPr>
        <w:t>are</w:t>
      </w:r>
      <w:r w:rsidRPr="00091776">
        <w:rPr>
          <w:rFonts w:cs="Arial"/>
        </w:rPr>
        <w:t xml:space="preserve"> not prioritised because</w:t>
      </w:r>
      <w:r w:rsidR="00254F79" w:rsidRPr="00091776">
        <w:rPr>
          <w:rFonts w:cs="Arial"/>
        </w:rPr>
        <w:t xml:space="preserve"> whilst these represented strong enablers,</w:t>
      </w:r>
      <w:r w:rsidRPr="00091776">
        <w:rPr>
          <w:rFonts w:cs="Arial"/>
        </w:rPr>
        <w:t xml:space="preserve"> both geriatricians and pharmacists asserted that deprescribing aligns with existing perceptions of their complementary roles and knowledge. </w:t>
      </w:r>
      <w:r w:rsidRPr="00091776">
        <w:rPr>
          <w:rStyle w:val="PageNumber"/>
          <w:rFonts w:cs="Arial"/>
        </w:rPr>
        <w:t xml:space="preserve">Similarly, ‘Beliefs about capabilities’ is not represented because both professions had confidence in their ability to undertake </w:t>
      </w:r>
      <w:r w:rsidR="00843C2B">
        <w:rPr>
          <w:rStyle w:val="PageNumber"/>
          <w:rFonts w:cs="Arial"/>
        </w:rPr>
        <w:t>their defined roles</w:t>
      </w:r>
      <w:r w:rsidRPr="00091776">
        <w:rPr>
          <w:rStyle w:val="PageNumber"/>
          <w:rFonts w:cs="Arial"/>
        </w:rPr>
        <w:t xml:space="preserve">. </w:t>
      </w:r>
      <w:r w:rsidRPr="00091776">
        <w:rPr>
          <w:rFonts w:cs="Arial"/>
        </w:rPr>
        <w:t xml:space="preserve">It can </w:t>
      </w:r>
      <w:r w:rsidR="00E8287A" w:rsidRPr="00091776">
        <w:rPr>
          <w:rFonts w:cs="Arial"/>
        </w:rPr>
        <w:t>be see</w:t>
      </w:r>
      <w:r w:rsidR="006368E7" w:rsidRPr="00091776">
        <w:rPr>
          <w:rFonts w:cs="Arial"/>
        </w:rPr>
        <w:t>n</w:t>
      </w:r>
      <w:r w:rsidR="00E8287A" w:rsidRPr="00091776">
        <w:rPr>
          <w:rFonts w:cs="Arial"/>
        </w:rPr>
        <w:t xml:space="preserve"> that the ‘E</w:t>
      </w:r>
      <w:r w:rsidRPr="00091776">
        <w:rPr>
          <w:rFonts w:cs="Arial"/>
        </w:rPr>
        <w:t>motion</w:t>
      </w:r>
      <w:r w:rsidR="00E8287A" w:rsidRPr="00091776">
        <w:rPr>
          <w:rFonts w:cs="Arial"/>
        </w:rPr>
        <w:t>’</w:t>
      </w:r>
      <w:r w:rsidRPr="00091776">
        <w:rPr>
          <w:rFonts w:cs="Arial"/>
        </w:rPr>
        <w:t xml:space="preserve"> domain, which was exclusively expressed </w:t>
      </w:r>
      <w:r w:rsidR="00C3510F" w:rsidRPr="00091776">
        <w:rPr>
          <w:rFonts w:cs="Arial"/>
        </w:rPr>
        <w:t xml:space="preserve">with barriers </w:t>
      </w:r>
      <w:r w:rsidRPr="00091776">
        <w:rPr>
          <w:rFonts w:cs="Arial"/>
        </w:rPr>
        <w:t xml:space="preserve">by pharmacists being fearful of assuming responsibility for any negative consequences of deprescribing, is not represented. This is in recognition of </w:t>
      </w:r>
      <w:r w:rsidR="006422BE" w:rsidRPr="00091776">
        <w:rPr>
          <w:rFonts w:cs="Arial"/>
        </w:rPr>
        <w:t xml:space="preserve">participants </w:t>
      </w:r>
      <w:r w:rsidR="0073438C" w:rsidRPr="00091776">
        <w:rPr>
          <w:rFonts w:cs="Arial"/>
        </w:rPr>
        <w:t xml:space="preserve">across both </w:t>
      </w:r>
      <w:r w:rsidR="00C67126">
        <w:rPr>
          <w:rFonts w:cs="Arial"/>
        </w:rPr>
        <w:t>professions</w:t>
      </w:r>
      <w:r w:rsidR="0073438C" w:rsidRPr="00091776">
        <w:rPr>
          <w:rFonts w:cs="Arial"/>
        </w:rPr>
        <w:t xml:space="preserve"> </w:t>
      </w:r>
      <w:r w:rsidR="006422BE" w:rsidRPr="00091776">
        <w:rPr>
          <w:rFonts w:cs="Arial"/>
        </w:rPr>
        <w:t>agreeing that geriatrician</w:t>
      </w:r>
      <w:r w:rsidR="00C67126">
        <w:rPr>
          <w:rFonts w:cs="Arial"/>
        </w:rPr>
        <w:t>s</w:t>
      </w:r>
      <w:r w:rsidR="006422BE" w:rsidRPr="00091776">
        <w:rPr>
          <w:rFonts w:cs="Arial"/>
        </w:rPr>
        <w:t xml:space="preserve"> should </w:t>
      </w:r>
      <w:r w:rsidRPr="00091776">
        <w:rPr>
          <w:rFonts w:cs="Arial"/>
        </w:rPr>
        <w:t>assum</w:t>
      </w:r>
      <w:r w:rsidR="00843C2B">
        <w:rPr>
          <w:rFonts w:cs="Arial"/>
        </w:rPr>
        <w:t>e</w:t>
      </w:r>
      <w:r w:rsidRPr="00091776">
        <w:rPr>
          <w:rFonts w:cs="Arial"/>
        </w:rPr>
        <w:t xml:space="preserve"> </w:t>
      </w:r>
      <w:r w:rsidRPr="00091776">
        <w:rPr>
          <w:rStyle w:val="PageNumber"/>
          <w:rFonts w:cs="Arial"/>
        </w:rPr>
        <w:t xml:space="preserve">overall responsibility for </w:t>
      </w:r>
      <w:r w:rsidR="002E101D" w:rsidRPr="00091776">
        <w:rPr>
          <w:rStyle w:val="PageNumber"/>
          <w:rFonts w:cs="Arial"/>
        </w:rPr>
        <w:t>deprescribing in hospital.</w:t>
      </w:r>
    </w:p>
    <w:p w14:paraId="24E9C57C" w14:textId="77777777" w:rsidR="00E9040F" w:rsidRPr="00091776" w:rsidRDefault="00511C94" w:rsidP="00493314">
      <w:pPr>
        <w:spacing w:line="240" w:lineRule="auto"/>
        <w:rPr>
          <w:rStyle w:val="PageNumber"/>
          <w:rFonts w:cs="Arial"/>
        </w:rPr>
      </w:pPr>
      <w:r w:rsidRPr="00091776">
        <w:rPr>
          <w:rStyle w:val="PageNumber"/>
          <w:rFonts w:cs="Arial"/>
        </w:rPr>
        <w:t xml:space="preserve">The three TDF domains of ‘Social influence’, ‘Environmental Context and Resources’ and ‘Goals’ represented strong barriers to both geriatricians and pharmacists deprescribing behaviour and therefore are prioritised for </w:t>
      </w:r>
      <w:r w:rsidR="00E41E58" w:rsidRPr="00091776">
        <w:rPr>
          <w:rStyle w:val="PageNumber"/>
          <w:rFonts w:cs="Arial"/>
        </w:rPr>
        <w:t>targeting</w:t>
      </w:r>
      <w:r w:rsidRPr="00091776">
        <w:rPr>
          <w:rStyle w:val="PageNumber"/>
          <w:rFonts w:cs="Arial"/>
        </w:rPr>
        <w:t xml:space="preserve">. Additionally, </w:t>
      </w:r>
      <w:r w:rsidR="001B7919" w:rsidRPr="00091776">
        <w:rPr>
          <w:rStyle w:val="PageNumber"/>
          <w:rFonts w:cs="Arial"/>
        </w:rPr>
        <w:t>for pharmacists the ‘Beliefs about consequences’ domain is prio</w:t>
      </w:r>
      <w:r w:rsidR="00E9040F" w:rsidRPr="00091776">
        <w:rPr>
          <w:rStyle w:val="PageNumber"/>
          <w:rFonts w:cs="Arial"/>
        </w:rPr>
        <w:t>ritised in recognition of their perception that continuing to prescribe a medication presents less risk than deprescribing.</w:t>
      </w:r>
    </w:p>
    <w:p w14:paraId="026E92B0" w14:textId="77777777" w:rsidR="006D2CA2" w:rsidRDefault="00C05D25" w:rsidP="00493314">
      <w:pPr>
        <w:spacing w:line="240" w:lineRule="auto"/>
        <w:rPr>
          <w:rStyle w:val="PageNumber"/>
          <w:rFonts w:cs="Arial"/>
        </w:rPr>
        <w:sectPr w:rsidR="006D2CA2" w:rsidSect="00493314">
          <w:footerReference w:type="default" r:id="rId8"/>
          <w:pgSz w:w="11906" w:h="16838"/>
          <w:pgMar w:top="1440" w:right="1440" w:bottom="1440" w:left="1440" w:header="708" w:footer="708" w:gutter="0"/>
          <w:cols w:space="708"/>
          <w:docGrid w:linePitch="360"/>
        </w:sectPr>
      </w:pPr>
      <w:r w:rsidRPr="00091776">
        <w:rPr>
          <w:rStyle w:val="PageNumber"/>
          <w:rFonts w:cs="Arial"/>
        </w:rPr>
        <w:t xml:space="preserve">The ‘Reinforcement’ domain is prioritised because participants </w:t>
      </w:r>
      <w:r w:rsidR="00E43510" w:rsidRPr="00091776">
        <w:rPr>
          <w:rStyle w:val="PageNumber"/>
          <w:rFonts w:cs="Arial"/>
        </w:rPr>
        <w:t>expressed a</w:t>
      </w:r>
      <w:r w:rsidR="009D1D52" w:rsidRPr="00091776">
        <w:rPr>
          <w:rStyle w:val="PageNumber"/>
          <w:rFonts w:cs="Arial"/>
        </w:rPr>
        <w:t xml:space="preserve"> desire for feedback on patient outcomes</w:t>
      </w:r>
      <w:r w:rsidR="008D28A9" w:rsidRPr="00091776">
        <w:rPr>
          <w:rStyle w:val="PageNumber"/>
          <w:rFonts w:cs="Arial"/>
        </w:rPr>
        <w:t xml:space="preserve"> and </w:t>
      </w:r>
      <w:r w:rsidR="00CD17E1" w:rsidRPr="00091776">
        <w:rPr>
          <w:rStyle w:val="PageNumber"/>
          <w:rFonts w:cs="Arial"/>
        </w:rPr>
        <w:t>an incentive</w:t>
      </w:r>
      <w:r w:rsidR="00023338" w:rsidRPr="00091776">
        <w:rPr>
          <w:rStyle w:val="PageNumber"/>
          <w:rFonts w:cs="Arial"/>
        </w:rPr>
        <w:t xml:space="preserve"> in order to facilitate deprescribing.</w:t>
      </w:r>
    </w:p>
    <w:p w14:paraId="7C4919F0" w14:textId="696939B6" w:rsidR="006D2CA2" w:rsidRDefault="00D43336" w:rsidP="00493314">
      <w:pPr>
        <w:spacing w:line="240" w:lineRule="auto"/>
        <w:rPr>
          <w:rStyle w:val="PageNumber"/>
          <w:rFonts w:cs="Arial"/>
        </w:rPr>
      </w:pPr>
      <w:bookmarkStart w:id="0" w:name="_GoBack"/>
      <w:r>
        <w:rPr>
          <w:rFonts w:cs="Arial"/>
          <w:noProof/>
          <w:lang w:eastAsia="en-GB"/>
        </w:rPr>
        <w:lastRenderedPageBreak/>
        <w:drawing>
          <wp:inline distT="0" distB="0" distL="0" distR="0" wp14:anchorId="04D7FBEC" wp14:editId="33DF966D">
            <wp:extent cx="9057895" cy="50065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 1.png"/>
                    <pic:cNvPicPr/>
                  </pic:nvPicPr>
                  <pic:blipFill>
                    <a:blip r:embed="rId9"/>
                    <a:stretch>
                      <a:fillRect/>
                    </a:stretch>
                  </pic:blipFill>
                  <pic:spPr>
                    <a:xfrm>
                      <a:off x="0" y="0"/>
                      <a:ext cx="9118591" cy="5040115"/>
                    </a:xfrm>
                    <a:prstGeom prst="rect">
                      <a:avLst/>
                    </a:prstGeom>
                  </pic:spPr>
                </pic:pic>
              </a:graphicData>
            </a:graphic>
          </wp:inline>
        </w:drawing>
      </w:r>
      <w:bookmarkEnd w:id="0"/>
    </w:p>
    <w:p w14:paraId="1A152B8D" w14:textId="3BDD9061" w:rsidR="00D53BF5" w:rsidRDefault="00D53BF5" w:rsidP="00D53BF5">
      <w:pPr>
        <w:spacing w:line="240" w:lineRule="auto"/>
        <w:rPr>
          <w:rFonts w:cs="Arial"/>
          <w:sz w:val="24"/>
          <w:szCs w:val="24"/>
        </w:rPr>
      </w:pPr>
      <w:r>
        <w:rPr>
          <w:rFonts w:cs="Arial"/>
          <w:b/>
          <w:sz w:val="24"/>
          <w:szCs w:val="24"/>
        </w:rPr>
        <w:t>Figure 1.</w:t>
      </w:r>
      <w:r>
        <w:rPr>
          <w:rFonts w:cs="Arial"/>
          <w:sz w:val="24"/>
          <w:szCs w:val="24"/>
        </w:rPr>
        <w:t xml:space="preserve"> </w:t>
      </w:r>
      <w:r w:rsidRPr="00092963">
        <w:rPr>
          <w:rFonts w:cs="Arial"/>
          <w:sz w:val="24"/>
          <w:szCs w:val="24"/>
        </w:rPr>
        <w:t>A</w:t>
      </w:r>
      <w:r w:rsidR="0079216D">
        <w:rPr>
          <w:rFonts w:cs="Arial"/>
          <w:sz w:val="24"/>
          <w:szCs w:val="24"/>
        </w:rPr>
        <w:t xml:space="preserve"> hospital </w:t>
      </w:r>
      <w:proofErr w:type="gramStart"/>
      <w:r w:rsidR="0079216D">
        <w:rPr>
          <w:rFonts w:cs="Arial"/>
          <w:sz w:val="24"/>
          <w:szCs w:val="24"/>
        </w:rPr>
        <w:t>Deprescribing</w:t>
      </w:r>
      <w:proofErr w:type="gramEnd"/>
      <w:r w:rsidR="0079216D">
        <w:rPr>
          <w:rFonts w:cs="Arial"/>
          <w:sz w:val="24"/>
          <w:szCs w:val="24"/>
        </w:rPr>
        <w:t xml:space="preserve"> Implementation F</w:t>
      </w:r>
      <w:r w:rsidRPr="00092963">
        <w:rPr>
          <w:rFonts w:cs="Arial"/>
          <w:sz w:val="24"/>
          <w:szCs w:val="24"/>
        </w:rPr>
        <w:t>ramework</w:t>
      </w:r>
      <w:r w:rsidR="0079216D">
        <w:rPr>
          <w:rFonts w:cs="Arial"/>
          <w:sz w:val="24"/>
          <w:szCs w:val="24"/>
        </w:rPr>
        <w:t xml:space="preserve"> </w:t>
      </w:r>
      <w:r w:rsidRPr="00092963">
        <w:rPr>
          <w:rFonts w:cs="Arial"/>
          <w:sz w:val="24"/>
          <w:szCs w:val="24"/>
        </w:rPr>
        <w:t xml:space="preserve">of </w:t>
      </w:r>
      <w:r>
        <w:rPr>
          <w:rFonts w:cs="Arial"/>
          <w:sz w:val="24"/>
          <w:szCs w:val="24"/>
        </w:rPr>
        <w:t>prioritised TDF domains</w:t>
      </w:r>
      <w:r w:rsidRPr="00092963">
        <w:rPr>
          <w:rFonts w:cs="Arial"/>
          <w:sz w:val="24"/>
          <w:szCs w:val="24"/>
        </w:rPr>
        <w:t xml:space="preserve"> and linked Behaviour Change Techniques for developing a deprescribing intervention targeting the behaviours of geriatricians and pharmacists according to local hospital contexts</w:t>
      </w:r>
    </w:p>
    <w:p w14:paraId="39347AE4" w14:textId="77777777" w:rsidR="00D53BF5" w:rsidRPr="00E765F9" w:rsidRDefault="00D53BF5" w:rsidP="00D53BF5">
      <w:pPr>
        <w:spacing w:line="240" w:lineRule="auto"/>
        <w:rPr>
          <w:rFonts w:cs="Arial"/>
          <w:sz w:val="24"/>
          <w:szCs w:val="24"/>
        </w:rPr>
      </w:pPr>
      <w:r w:rsidRPr="00E765F9">
        <w:rPr>
          <w:rFonts w:cs="Arial"/>
          <w:sz w:val="24"/>
          <w:szCs w:val="24"/>
        </w:rPr>
        <w:lastRenderedPageBreak/>
        <w:t>*Behaviour change technique is linked to multiple prioritised TDF domains</w:t>
      </w:r>
    </w:p>
    <w:p w14:paraId="2D5B5F49" w14:textId="6092B0E2" w:rsidR="00D53BF5" w:rsidRPr="00811141" w:rsidRDefault="00D53BF5" w:rsidP="00D53BF5">
      <w:pPr>
        <w:spacing w:line="240" w:lineRule="auto"/>
        <w:rPr>
          <w:rFonts w:cs="Arial"/>
          <w:sz w:val="24"/>
          <w:szCs w:val="24"/>
        </w:rPr>
      </w:pPr>
      <w:r>
        <w:rPr>
          <w:rFonts w:cs="Arial"/>
          <w:b/>
          <w:bCs/>
          <w:sz w:val="24"/>
          <w:szCs w:val="24"/>
        </w:rPr>
        <w:t>*</w:t>
      </w:r>
      <w:r w:rsidRPr="00811141">
        <w:rPr>
          <w:rFonts w:cs="Arial"/>
          <w:sz w:val="24"/>
          <w:szCs w:val="24"/>
        </w:rPr>
        <w:t xml:space="preserve">*e.g. Nominal </w:t>
      </w:r>
      <w:r>
        <w:rPr>
          <w:rFonts w:cs="Arial"/>
          <w:sz w:val="24"/>
          <w:szCs w:val="24"/>
        </w:rPr>
        <w:t xml:space="preserve">group and </w:t>
      </w:r>
      <w:r w:rsidRPr="00811141">
        <w:rPr>
          <w:rFonts w:cs="Arial"/>
          <w:sz w:val="24"/>
          <w:szCs w:val="24"/>
        </w:rPr>
        <w:t>Delphi technique</w:t>
      </w:r>
      <w:r>
        <w:rPr>
          <w:rFonts w:cs="Arial"/>
          <w:sz w:val="24"/>
          <w:szCs w:val="24"/>
        </w:rPr>
        <w:t>s</w:t>
      </w:r>
      <w:r>
        <w:rPr>
          <w:rFonts w:cs="Arial"/>
          <w:sz w:val="24"/>
          <w:szCs w:val="24"/>
        </w:rPr>
        <w:fldChar w:fldCharType="begin" w:fldLock="1"/>
      </w:r>
      <w:r w:rsidR="00FC483E">
        <w:rPr>
          <w:rFonts w:cs="Arial"/>
          <w:sz w:val="24"/>
          <w:szCs w:val="24"/>
        </w:rPr>
        <w:instrText>ADDIN CSL_CITATION {"citationItems":[{"id":"ITEM-1","itemData":{"DOI":"10.1007/s11096-016-0257-x","ISBN":"2210-7703","ISSN":"22107711","PMID":"26846316","abstract":"Introduction The Nominal Group Technique (NGT) and Delphi Technique are consensus methods used in research that is directed at problem-solving, idea-generation, or determining priorities. While consensus methods are commonly used in health services literature, few studies in pharmacy practice use these methods. This paper provides an overview of the NGT and Delphi technique, including the steps involved and the types of research questions best suited to each method, with examples from the pharmacy literature. Methodology The NGT entails face-to-face discussion in small groups, and provides a prompt result for researchers. The classic NGT involves four key stages: silent generation, round robin, clarification and voting (ranking). Variations have occurred in relation to generating ideas, and how 'consensus' is obtained from participants. The Delphi technique uses a multistage self-completed questionnaire with individual feedback, to determine consensus from a larger group of 'experts.' Questionnaires have been mailed, or more recently, e-mailed to participants. When to use The NGT has been used to explore consumer and stakeholder views, while the Delphi technique is commonly used to develop guidelines with health professionals. Method choice is influenced by various factors, including the research question, the perception of consensus required, and associated practicalities such as time and geography. Limitations The NGT requires participants to personally attend a meeting. This may prove difficult to organise and geography may limit attendance. The Delphi technique can take weeks or months to conclude, especially if multiple rounds are required, and may be complex for lay people to complete.","author":[{"dropping-particle":"","family":"McMillan","given":"Sara S.","non-dropping-particle":"","parse-names":false,"suffix":""},{"dropping-particle":"","family":"King","given":"Michelle","non-dropping-particle":"","parse-names":false,"suffix":""},{"dropping-particle":"","family":"Tully","given":"Mary P.","non-dropping-particle":"","parse-names":false,"suffix":""}],"container-title":"International Journal of Clinical Pharmacy","id":"ITEM-1","issue":"3","issued":{"date-parts":[["2016"]]},"note":"Prioritise or agree\n\nNGT\nHighly structured\nFace-to-face\nVoice heard and options considered by other participants\nFour stages - 1) silent generation, 2) round robin, 3) clarification and 4) voting (ranking or rating)\n2-14 - usually max of 7\nOne or two quesitons sent in advanced\nRank 5 ideas\nHalf a day to a day for 1-2 questions\nVariation on ideas generation - present intervention functions/BCTs\n\nDelphi\nDelphi uses interactions between group (panel) members via quesitonnaires rather than face-to-face communication. This preserves anonymity, if that is relevant. Uses multistage self-completed questionnaire with individual feedback.\n\nA sample of about 15 has been suggested. More participants increases the variety of experience, but leads to diminishing returns.\n\nFirst round questionnaire - presents a series of statements that the respondent is asked to rate on a clearly defined Likert scale. The content of the statements mayt come from a variety of sources e.g. TDF-BCT mapping??\n\nRespondents are asked to rate the item and write free-text comments that explain their rating or express disagreement with the statement's relevance.\n\nResponses from first-round questionnaire are colated and used to create the second-round quesitonnaire. Same questions just with median score, respondent's score and selection of comments. Respondent can then admend score or keep same and also add more comments.","page":"655-662","publisher":"Springer Netherlands","title":"How to use the nominal group and Delphi techniques","type":"article-journal","volume":"38"},"uris":["http://www.mendeley.com/documents/?uuid=0cd1864f-42a4-4cc4-bf7a-0f22f2325473"]}],"mendeley":{"formattedCitation":"[19]","plainTextFormattedCitation":"[19]","previouslyFormattedCitation":"[20]"},"properties":{"noteIndex":0},"schema":"https://github.com/citation-style-language/schema/raw/master/csl-citation.json"}</w:instrText>
      </w:r>
      <w:r>
        <w:rPr>
          <w:rFonts w:cs="Arial"/>
          <w:sz w:val="24"/>
          <w:szCs w:val="24"/>
        </w:rPr>
        <w:fldChar w:fldCharType="separate"/>
      </w:r>
      <w:r w:rsidR="00FC483E" w:rsidRPr="00FC483E">
        <w:rPr>
          <w:rFonts w:cs="Arial"/>
          <w:noProof/>
          <w:sz w:val="24"/>
          <w:szCs w:val="24"/>
        </w:rPr>
        <w:t>[19]</w:t>
      </w:r>
      <w:r>
        <w:rPr>
          <w:rFonts w:cs="Arial"/>
          <w:sz w:val="24"/>
          <w:szCs w:val="24"/>
        </w:rPr>
        <w:fldChar w:fldCharType="end"/>
      </w:r>
    </w:p>
    <w:p w14:paraId="256340EC" w14:textId="3E73D512" w:rsidR="00D53BF5" w:rsidRPr="00811141" w:rsidRDefault="00D53BF5" w:rsidP="00D53BF5">
      <w:pPr>
        <w:spacing w:line="240" w:lineRule="auto"/>
        <w:rPr>
          <w:rFonts w:cs="Arial"/>
          <w:sz w:val="24"/>
          <w:szCs w:val="24"/>
        </w:rPr>
      </w:pPr>
      <w:r w:rsidRPr="00811141">
        <w:rPr>
          <w:rFonts w:cs="Arial"/>
          <w:sz w:val="24"/>
          <w:szCs w:val="24"/>
        </w:rPr>
        <w:t>*</w:t>
      </w:r>
      <w:r>
        <w:rPr>
          <w:rFonts w:cs="Arial"/>
          <w:sz w:val="24"/>
          <w:szCs w:val="24"/>
        </w:rPr>
        <w:t>*</w:t>
      </w:r>
      <w:r w:rsidRPr="00811141">
        <w:rPr>
          <w:rFonts w:cs="Arial"/>
          <w:sz w:val="24"/>
          <w:szCs w:val="24"/>
        </w:rPr>
        <w:t>*Affordable, Practical, Effective/cost-effective, Acceptable, Safe and Equitable</w:t>
      </w:r>
      <w:r>
        <w:rPr>
          <w:rFonts w:cs="Arial"/>
          <w:sz w:val="24"/>
          <w:szCs w:val="24"/>
        </w:rPr>
        <w:fldChar w:fldCharType="begin" w:fldLock="1"/>
      </w:r>
      <w:r w:rsidR="00FC483E">
        <w:rPr>
          <w:rFonts w:cs="Arial"/>
          <w:sz w:val="24"/>
          <w:szCs w:val="24"/>
        </w:rPr>
        <w:instrText>ADDIN CSL_CITATION {"citationItems":[{"id":"ITEM-1","itemData":{"ISBN":"978-1-291-84605-8","author":[{"dropping-particle":"","family":"Michie","given":"Susan","non-dropping-particle":"","parse-names":false,"suffix":""},{"dropping-particle":"","family":"Atkins","given":"Lou","non-dropping-particle":"","parse-names":false,"suffix":""},{"dropping-particle":"","family":"West","given":"Robert","non-dropping-particle":"","parse-names":false,"suffix":""}],"edition":"First edit","id":"ITEM-1","issued":{"date-parts":[["2014"]]},"publisher":"Silverback Publishing","title":"The Behaviour Change Wheel: A Guide to Designing Interventions","type":"book"},"uris":["http://www.mendeley.com/documents/?uuid=ff3733ce-e3a4-4906-acd2-aebd96ab94af"]}],"mendeley":{"formattedCitation":"[20]","plainTextFormattedCitation":"[20]","previouslyFormattedCitation":"[21]"},"properties":{"noteIndex":0},"schema":"https://github.com/citation-style-language/schema/raw/master/csl-citation.json"}</w:instrText>
      </w:r>
      <w:r>
        <w:rPr>
          <w:rFonts w:cs="Arial"/>
          <w:sz w:val="24"/>
          <w:szCs w:val="24"/>
        </w:rPr>
        <w:fldChar w:fldCharType="separate"/>
      </w:r>
      <w:r w:rsidR="00FC483E" w:rsidRPr="00FC483E">
        <w:rPr>
          <w:rFonts w:cs="Arial"/>
          <w:noProof/>
          <w:sz w:val="24"/>
          <w:szCs w:val="24"/>
        </w:rPr>
        <w:t>[20]</w:t>
      </w:r>
      <w:r>
        <w:rPr>
          <w:rFonts w:cs="Arial"/>
          <w:sz w:val="24"/>
          <w:szCs w:val="24"/>
        </w:rPr>
        <w:fldChar w:fldCharType="end"/>
      </w:r>
    </w:p>
    <w:p w14:paraId="28B21E24" w14:textId="1B74F5C4" w:rsidR="006D2CA2" w:rsidRDefault="006D2CA2" w:rsidP="00493314">
      <w:pPr>
        <w:spacing w:line="240" w:lineRule="auto"/>
        <w:rPr>
          <w:rStyle w:val="PageNumber"/>
          <w:rFonts w:cs="Arial"/>
        </w:rPr>
        <w:sectPr w:rsidR="006D2CA2" w:rsidSect="006D2CA2">
          <w:pgSz w:w="16838" w:h="11906" w:orient="landscape"/>
          <w:pgMar w:top="1440" w:right="1440" w:bottom="1440" w:left="1440" w:header="708" w:footer="708" w:gutter="0"/>
          <w:cols w:space="708"/>
          <w:docGrid w:linePitch="360"/>
        </w:sectPr>
      </w:pPr>
    </w:p>
    <w:p w14:paraId="30F1D300" w14:textId="3765AE0C" w:rsidR="00A8792C" w:rsidRPr="00B74729" w:rsidRDefault="00B74729" w:rsidP="00493314">
      <w:pPr>
        <w:spacing w:line="240" w:lineRule="auto"/>
        <w:rPr>
          <w:rFonts w:cs="Arial"/>
          <w:b/>
          <w:sz w:val="24"/>
        </w:rPr>
      </w:pPr>
      <w:r>
        <w:rPr>
          <w:rFonts w:cs="Arial"/>
          <w:b/>
          <w:sz w:val="24"/>
        </w:rPr>
        <w:lastRenderedPageBreak/>
        <w:t>Discussion</w:t>
      </w:r>
    </w:p>
    <w:p w14:paraId="4838742D" w14:textId="60C32B62" w:rsidR="006C3D77" w:rsidRPr="00091776" w:rsidRDefault="000E4B63" w:rsidP="00493314">
      <w:pPr>
        <w:spacing w:line="240" w:lineRule="auto"/>
        <w:rPr>
          <w:rFonts w:cs="Arial"/>
        </w:rPr>
      </w:pPr>
      <w:r w:rsidRPr="00091776">
        <w:rPr>
          <w:rFonts w:cs="Arial"/>
        </w:rPr>
        <w:t>K</w:t>
      </w:r>
      <w:r w:rsidR="009267DA" w:rsidRPr="00091776">
        <w:rPr>
          <w:rFonts w:cs="Arial"/>
        </w:rPr>
        <w:t>ey driver</w:t>
      </w:r>
      <w:r w:rsidR="00710181" w:rsidRPr="00091776">
        <w:rPr>
          <w:rFonts w:cs="Arial"/>
        </w:rPr>
        <w:t>s</w:t>
      </w:r>
      <w:r w:rsidR="006C3D77" w:rsidRPr="00091776">
        <w:rPr>
          <w:rFonts w:cs="Arial"/>
        </w:rPr>
        <w:t xml:space="preserve"> </w:t>
      </w:r>
      <w:r w:rsidR="009267DA" w:rsidRPr="00091776">
        <w:rPr>
          <w:rFonts w:cs="Arial"/>
        </w:rPr>
        <w:t xml:space="preserve">for implementing </w:t>
      </w:r>
      <w:r w:rsidR="002364B0" w:rsidRPr="00091776">
        <w:rPr>
          <w:rFonts w:cs="Arial"/>
        </w:rPr>
        <w:t xml:space="preserve">hospital </w:t>
      </w:r>
      <w:r w:rsidR="009267DA" w:rsidRPr="00091776">
        <w:rPr>
          <w:rFonts w:cs="Arial"/>
        </w:rPr>
        <w:t xml:space="preserve">deprescribing for older people </w:t>
      </w:r>
      <w:r w:rsidR="00F82C3E" w:rsidRPr="00091776">
        <w:rPr>
          <w:rFonts w:cs="Arial"/>
        </w:rPr>
        <w:t xml:space="preserve">are that both geriatricians and pharmacists perceive it to align with their ‘Social/professional role and identity’. They are also confident in their existing </w:t>
      </w:r>
      <w:r w:rsidR="00360AA5" w:rsidRPr="00091776">
        <w:rPr>
          <w:rFonts w:cs="Arial"/>
        </w:rPr>
        <w:t>‘K</w:t>
      </w:r>
      <w:r w:rsidR="00710181" w:rsidRPr="00091776">
        <w:rPr>
          <w:rFonts w:cs="Arial"/>
        </w:rPr>
        <w:t>nowledge</w:t>
      </w:r>
      <w:r w:rsidR="00360AA5" w:rsidRPr="00091776">
        <w:rPr>
          <w:rFonts w:cs="Arial"/>
        </w:rPr>
        <w:t>’</w:t>
      </w:r>
      <w:r w:rsidR="00710181" w:rsidRPr="00091776">
        <w:rPr>
          <w:rFonts w:cs="Arial"/>
        </w:rPr>
        <w:t xml:space="preserve"> </w:t>
      </w:r>
      <w:r w:rsidR="00360AA5" w:rsidRPr="00091776">
        <w:rPr>
          <w:rFonts w:cs="Arial"/>
        </w:rPr>
        <w:t xml:space="preserve">and ‘Beliefs about capabilities’ to undertake </w:t>
      </w:r>
      <w:r w:rsidR="00710181" w:rsidRPr="00091776">
        <w:rPr>
          <w:rFonts w:cs="Arial"/>
        </w:rPr>
        <w:t>their identified roles</w:t>
      </w:r>
      <w:r w:rsidR="008551DE" w:rsidRPr="00091776">
        <w:rPr>
          <w:rFonts w:cs="Arial"/>
        </w:rPr>
        <w:t>.</w:t>
      </w:r>
      <w:r w:rsidR="00710181" w:rsidRPr="00091776">
        <w:rPr>
          <w:rFonts w:cs="Arial"/>
        </w:rPr>
        <w:t xml:space="preserve"> </w:t>
      </w:r>
      <w:r w:rsidR="006C3D77" w:rsidRPr="00091776">
        <w:rPr>
          <w:rFonts w:cs="Arial"/>
        </w:rPr>
        <w:t>This contrasts the ambivalence and perceived additional training needs of primary care physicians to undertaking this role</w:t>
      </w:r>
      <w:r w:rsidR="006C3D77" w:rsidRPr="00091776">
        <w:rPr>
          <w:rFonts w:cs="Arial"/>
        </w:rPr>
        <w:fldChar w:fldCharType="begin" w:fldLock="1"/>
      </w:r>
      <w:r w:rsidR="00FC483E">
        <w:rPr>
          <w:rFonts w:cs="Arial"/>
        </w:rPr>
        <w:instrText>ADDIN CSL_CITATION {"citationItems":[{"id":"ITEM-1","itemData":{"ISSN":"2044-6055","author":[{"dropping-particle":"","family":"Anderson","given":"Kristen","non-dropping-particle":"","parse-names":false,"suffix":""},{"dropping-particle":"","family":"Stowasser","given":"Danielle","non-dropping-particle":"","parse-names":false,"suffix":""},{"dropping-particle":"","family":"Freeman","given":"Christopher","non-dropping-particle":"","parse-names":false,"suffix":""},{"dropping-particle":"","family":"Scott","given":"Ian","non-dropping-particle":"","parse-names":false,"suffix":""}],"container-title":"BMJ open","id":"ITEM-1","issue":"12","issued":{"date-parts":[["2014"]]},"page":"e006544","publisher":"British Medical Journal Publishing Group","title":"Prescriber barriers and enablers to minimising potentially inappropriate medications in adults: a systematic review and thematic synthesis","type":"article-journal","volume":"4"},"uris":["http://www.mendeley.com/documents/?uuid=e5c07fe3-2ebb-4304-96ce-121522e3e111"]}],"mendeley":{"formattedCitation":"[5]","plainTextFormattedCitation":"[5]","previouslyFormattedCitation":"[6]"},"properties":{"noteIndex":0},"schema":"https://github.com/citation-style-language/schema/raw/master/csl-citation.json"}</w:instrText>
      </w:r>
      <w:r w:rsidR="006C3D77" w:rsidRPr="00091776">
        <w:rPr>
          <w:rFonts w:cs="Arial"/>
        </w:rPr>
        <w:fldChar w:fldCharType="separate"/>
      </w:r>
      <w:r w:rsidR="00FC483E" w:rsidRPr="00FC483E">
        <w:rPr>
          <w:rFonts w:cs="Arial"/>
          <w:noProof/>
        </w:rPr>
        <w:t>[5]</w:t>
      </w:r>
      <w:r w:rsidR="006C3D77" w:rsidRPr="00091776">
        <w:rPr>
          <w:rFonts w:cs="Arial"/>
        </w:rPr>
        <w:fldChar w:fldCharType="end"/>
      </w:r>
      <w:r w:rsidR="00E72DC4" w:rsidRPr="00091776">
        <w:rPr>
          <w:rFonts w:cs="Arial"/>
        </w:rPr>
        <w:t>.</w:t>
      </w:r>
    </w:p>
    <w:p w14:paraId="38CDBFA2" w14:textId="05E17BA3" w:rsidR="005C7903" w:rsidRPr="00091776" w:rsidRDefault="004E3CCA" w:rsidP="00493314">
      <w:pPr>
        <w:spacing w:line="240" w:lineRule="auto"/>
        <w:rPr>
          <w:rFonts w:cs="Arial"/>
        </w:rPr>
      </w:pPr>
      <w:r w:rsidRPr="00091776">
        <w:rPr>
          <w:rFonts w:cs="Arial"/>
        </w:rPr>
        <w:t>A hospital deprescribing intervention for older people led by geriatricians and supported by pharmacists was the preferred configuration.</w:t>
      </w:r>
      <w:r w:rsidR="005C7903" w:rsidRPr="00091776">
        <w:rPr>
          <w:rFonts w:cs="Arial"/>
        </w:rPr>
        <w:t xml:space="preserve"> For pharmacists to adopt this supportive role, the ‘Environmental </w:t>
      </w:r>
      <w:r w:rsidR="00230A68">
        <w:rPr>
          <w:rFonts w:cs="Arial"/>
        </w:rPr>
        <w:t>c</w:t>
      </w:r>
      <w:r w:rsidR="005C7903" w:rsidRPr="00091776">
        <w:rPr>
          <w:rFonts w:cs="Arial"/>
        </w:rPr>
        <w:t xml:space="preserve">ontext and </w:t>
      </w:r>
      <w:r w:rsidR="00230A68">
        <w:rPr>
          <w:rFonts w:cs="Arial"/>
        </w:rPr>
        <w:t>r</w:t>
      </w:r>
      <w:r w:rsidR="005C7903" w:rsidRPr="00091776">
        <w:rPr>
          <w:rFonts w:cs="Arial"/>
        </w:rPr>
        <w:t>esources’ domain needs targeting to facilitate pharmacists’ working patterns aligning with active participation in core clinical team activity</w:t>
      </w:r>
      <w:r w:rsidR="005C7903" w:rsidRPr="00091776">
        <w:rPr>
          <w:rFonts w:cs="Arial"/>
        </w:rPr>
        <w:fldChar w:fldCharType="begin" w:fldLock="1"/>
      </w:r>
      <w:r w:rsidR="00FC483E">
        <w:rPr>
          <w:rFonts w:cs="Arial"/>
        </w:rPr>
        <w:instrText>ADDIN CSL_CITATION {"citationItems":[{"id":"ITEM-1","itemData":{"ISSN":"2210-7703","author":[{"dropping-particle":"","family":"Béchet","given":"Clare","non-dropping-particle":"","parse-names":false,"suffix":""},{"dropping-particle":"","family":"Pichon","given":"Renaud","non-dropping-particle":"","parse-names":false,"suffix":""},{"dropping-particle":"","family":"Giordan","given":"André","non-dropping-particle":"","parse-names":false,"suffix":""},{"dropping-particle":"","family":"Bonnabry","given":"Pascal","non-dropping-particle":"","parse-names":false,"suffix":""}],"container-title":"International journal of clinical pharmacy","id":"ITEM-1","issue":"6","issued":{"date-parts":[["2016"]]},"page":"1483-1496","publisher":"Springer","title":"Hospital pharmacists seen through the eyes of physicians: qualitative semi-structured interviews","type":"article-journal","volume":"38"},"uris":["http://www.mendeley.com/documents/?uuid=6d09ad01-f557-4d1c-a24b-b1ad938df7be"]},{"id":"ITEM-2","itemData":{"ISSN":"1356-1820","author":[{"dropping-particle":"","family":"Makowsky","given":"Mark J","non-dropping-particle":"","parse-names":false,"suffix":""},{"dropping-particle":"","family":"Schindel","given":"Theresa J","non-dropping-particle":"","parse-names":false,"suffix":""},{"dropping-particle":"","family":"Rosenthal","given":"Meagen","non-dropping-particle":"","parse-names":false,"suffix":""},{"dropping-particle":"","family":"Campbell","given":"Katy","non-dropping-particle":"","parse-names":false,"suffix":""},{"dropping-particle":"","family":"Tsuyuki","given":"Ross T","non-dropping-particle":"","parse-names":false,"suffix":""},{"dropping-particle":"","family":"Madill","given":"Helen M","non-dropping-particle":"","parse-names":false,"suffix":""}],"container-title":"Journal of interprofessional care","id":"ITEM-2","issue":"2","issued":{"date-parts":[["2009"]]},"page":"169-184","publisher":"Taylor &amp; Francis","title":"Collaboration between pharmacists, physicians and nurse practitioners: a qualitative investigation of working relationships in the inpatient medical setting","type":"article-journal","volume":"23"},"uris":["http://www.mendeley.com/documents/?uuid=cea46e3e-2ab8-459b-afdd-01b2acfff07d"]}],"mendeley":{"formattedCitation":"[21,22]","plainTextFormattedCitation":"[21,22]","previouslyFormattedCitation":"[22,23]"},"properties":{"noteIndex":0},"schema":"https://github.com/citation-style-language/schema/raw/master/csl-citation.json"}</w:instrText>
      </w:r>
      <w:r w:rsidR="005C7903" w:rsidRPr="00091776">
        <w:rPr>
          <w:rFonts w:cs="Arial"/>
        </w:rPr>
        <w:fldChar w:fldCharType="separate"/>
      </w:r>
      <w:r w:rsidR="00FC483E" w:rsidRPr="00FC483E">
        <w:rPr>
          <w:rFonts w:cs="Arial"/>
          <w:noProof/>
        </w:rPr>
        <w:t>[21,22]</w:t>
      </w:r>
      <w:r w:rsidR="005C7903" w:rsidRPr="00091776">
        <w:rPr>
          <w:rFonts w:cs="Arial"/>
        </w:rPr>
        <w:fldChar w:fldCharType="end"/>
      </w:r>
      <w:r w:rsidR="00E72DC4" w:rsidRPr="00091776">
        <w:rPr>
          <w:rFonts w:cs="Arial"/>
        </w:rPr>
        <w:t>.</w:t>
      </w:r>
    </w:p>
    <w:p w14:paraId="483D8929" w14:textId="31B7511D" w:rsidR="002B05D2" w:rsidRPr="00091776" w:rsidRDefault="00BE2591" w:rsidP="00493314">
      <w:pPr>
        <w:spacing w:line="240" w:lineRule="auto"/>
        <w:rPr>
          <w:rFonts w:cs="Arial"/>
        </w:rPr>
      </w:pPr>
      <w:r w:rsidRPr="00091776">
        <w:rPr>
          <w:rFonts w:cs="Arial"/>
        </w:rPr>
        <w:t xml:space="preserve">The evidence suggests that deprescribing is widely acceptable to patients and </w:t>
      </w:r>
      <w:r w:rsidR="00501432" w:rsidRPr="00091776">
        <w:rPr>
          <w:rFonts w:cs="Arial"/>
        </w:rPr>
        <w:t>carers</w:t>
      </w:r>
      <w:r w:rsidR="009616B9" w:rsidRPr="00091776">
        <w:rPr>
          <w:rFonts w:cs="Arial"/>
        </w:rPr>
        <w:fldChar w:fldCharType="begin" w:fldLock="1"/>
      </w:r>
      <w:r w:rsidR="00FC483E">
        <w:rPr>
          <w:rFonts w:cs="Arial"/>
        </w:rPr>
        <w:instrText>ADDIN CSL_CITATION {"citationItems":[{"id":"ITEM-1","itemData":{"ISSN":"2042-0986","author":[{"dropping-particle":"","family":"Okeowo","given":"Daniel","non-dropping-particle":"","parse-names":false,"suffix":""},{"dropping-particle":"","family":"Patterson","given":"Alastair","non-dropping-particle":"","parse-names":false,"suffix":""},{"dropping-particle":"","family":"Boyd","given":"Cynthia","non-dropping-particle":"","parse-names":false,"suffix":""},{"dropping-particle":"","family":"Reeve","given":"Emily","non-dropping-particle":"","parse-names":false,"suffix":""},{"dropping-particle":"","family":"Gnjidic","given":"Danijela","non-dropping-particle":"","parse-names":false,"suffix":""},{"dropping-particle":"","family":"Todd","given":"Adam","non-dropping-particle":"","parse-names":false,"suffix":""}],"container-title":"Therapeutic advances in drug safety","id":"ITEM-1","issue":"11","issued":{"date-parts":[["2018"]]},"page":"619-630","publisher":"SAGE Publications Sage UK: London, England","title":"Clinical practice guidelines for older people with multimorbidity and life-limiting illness: what are the implications for deprescribing?","type":"article-journal","volume":"9"},"uris":["http://www.mendeley.com/documents/?uuid=e8180560-36e6-4d8d-bc12-bf6195e4329c"]},{"id":"ITEM-2","itemData":{"ISSN":"1440-6381","author":[{"dropping-particle":"","family":"Reeve","given":"Emily","non-dropping-particle":"","parse-names":false,"suffix":""},{"dropping-particle":"","family":"Anthony","given":"Allicia C","non-dropping-particle":"","parse-names":false,"suffix":""},{"dropping-particle":"","family":"Kouladjian O'Donnell","given":"Lisa","non-dropping-particle":"","parse-names":false,"suffix":""},{"dropping-particle":"","family":"Low","given":"Lee</w:instrText>
      </w:r>
      <w:r w:rsidR="00FC483E">
        <w:rPr>
          <w:rFonts w:ascii="Cambria Math" w:hAnsi="Cambria Math" w:cs="Cambria Math"/>
        </w:rPr>
        <w:instrText>‐</w:instrText>
      </w:r>
      <w:r w:rsidR="00FC483E">
        <w:rPr>
          <w:rFonts w:cs="Arial"/>
        </w:rPr>
        <w:instrText>Fay","non-dropping-particle":"","parse-names":false,"suffix":""},{"dropping-particle":"","family":"Ogle","given":"Susan J","non-dropping-particle":"","parse-names":false,"suffix":""},{"dropping-particle":"","family":"Glendenning","given":"James E","non-dropping-particle":"","parse-names":false,"suffix":""},{"dropping-particle":"","family":"Lorang","given":"Catriona E B","non-dropping-particle":"","parse-names":false,"suffix":""},{"dropping-particle":"","family":"Hilmer","given":"Sarah N","non-dropping-particle":"","parse-names":false,"suffix":""}],"container-title":"Australasian journal on ageing","id":"ITEM-2","issue":"4","issued":{"date-parts":[["2018"]]},"page":"E150-E154","publisher":"Wiley Online Library","title":"Development and pilot testing of the revised Patients’ Attitudes Towards Deprescribing questionnaire for people with cognitive impairment","type":"article-journal","volume":"37"},"uris":["http://www.mendeley.com/documents/?uuid=4c5d7497-e066-442c-b89a-9e1f15af3791"]},{"id":"ITEM-3","itemData":{"ISSN":"1551-7411","author":[{"dropping-particle":"","family":"Sirois","given":"Caroline","non-dropping-particle":"","parse-names":false,"suffix":""},{"dropping-particle":"","family":"Ouellet","given":"Nicole","non-dropping-particle":"","parse-names":false,"suffix":""},{"dropping-particle":"","family":"Reeve","given":"Emily","non-dropping-particle":"","parse-names":false,"suffix":""}],"container-title":"Research in Social and Administrative Pharmacy","id":"ITEM-3","issue":"4","issued":{"date-parts":[["2017"]]},"page":"864-870","publisher":"Elsevier","title":"Community-dwelling older people's attitudes towards deprescribing in Canada","type":"article-journal","volume":"13"},"uris":["http://www.mendeley.com/documents/?uuid=60a4e54e-f976-4ef7-8cd6-80cadf18b91d"]}],"mendeley":{"formattedCitation":"[23–25]","plainTextFormattedCitation":"[23–25]","previouslyFormattedCitation":"[24–26]"},"properties":{"noteIndex":0},"schema":"https://github.com/citation-style-language/schema/raw/master/csl-citation.json"}</w:instrText>
      </w:r>
      <w:r w:rsidR="009616B9" w:rsidRPr="00091776">
        <w:rPr>
          <w:rFonts w:cs="Arial"/>
        </w:rPr>
        <w:fldChar w:fldCharType="separate"/>
      </w:r>
      <w:r w:rsidR="00FC483E" w:rsidRPr="00FC483E">
        <w:rPr>
          <w:rFonts w:cs="Arial"/>
          <w:noProof/>
        </w:rPr>
        <w:t>[23–25]</w:t>
      </w:r>
      <w:r w:rsidR="009616B9" w:rsidRPr="00091776">
        <w:rPr>
          <w:rFonts w:cs="Arial"/>
        </w:rPr>
        <w:fldChar w:fldCharType="end"/>
      </w:r>
      <w:r w:rsidR="00E72DC4" w:rsidRPr="00091776">
        <w:rPr>
          <w:rFonts w:cs="Arial"/>
        </w:rPr>
        <w:t>,</w:t>
      </w:r>
      <w:r w:rsidR="009616B9" w:rsidRPr="00091776">
        <w:rPr>
          <w:rFonts w:cs="Arial"/>
        </w:rPr>
        <w:t xml:space="preserve"> </w:t>
      </w:r>
      <w:r w:rsidRPr="00091776">
        <w:rPr>
          <w:rFonts w:cs="Arial"/>
        </w:rPr>
        <w:t xml:space="preserve">yet geriatricians and pharmacists believe there to be resistance. </w:t>
      </w:r>
      <w:r w:rsidR="00BC6A83" w:rsidRPr="00091776">
        <w:rPr>
          <w:rFonts w:cs="Arial"/>
        </w:rPr>
        <w:t>An intervention should</w:t>
      </w:r>
      <w:r w:rsidRPr="00091776">
        <w:rPr>
          <w:rFonts w:cs="Arial"/>
        </w:rPr>
        <w:t xml:space="preserve"> therefore</w:t>
      </w:r>
      <w:r w:rsidR="00BC6A83" w:rsidRPr="00091776">
        <w:rPr>
          <w:rFonts w:cs="Arial"/>
        </w:rPr>
        <w:t xml:space="preserve"> target ‘Social influences’ to address</w:t>
      </w:r>
      <w:r w:rsidRPr="00091776">
        <w:rPr>
          <w:rFonts w:cs="Arial"/>
        </w:rPr>
        <w:t xml:space="preserve"> this</w:t>
      </w:r>
      <w:r w:rsidR="00BC6A83" w:rsidRPr="00091776">
        <w:rPr>
          <w:rFonts w:cs="Arial"/>
        </w:rPr>
        <w:t xml:space="preserve"> </w:t>
      </w:r>
      <w:r w:rsidR="00231348" w:rsidRPr="00091776">
        <w:rPr>
          <w:rFonts w:cs="Arial"/>
        </w:rPr>
        <w:t xml:space="preserve">misalignment between </w:t>
      </w:r>
      <w:r w:rsidR="00BC6A83" w:rsidRPr="00091776">
        <w:rPr>
          <w:rFonts w:cs="Arial"/>
        </w:rPr>
        <w:t>the evidence and practitioners’ beliefs.</w:t>
      </w:r>
    </w:p>
    <w:p w14:paraId="7BC3C587" w14:textId="6F835C2E" w:rsidR="00C34C43" w:rsidRPr="00091776" w:rsidRDefault="00C34C43" w:rsidP="00493314">
      <w:pPr>
        <w:spacing w:line="240" w:lineRule="auto"/>
        <w:rPr>
          <w:rFonts w:cs="Arial"/>
        </w:rPr>
      </w:pPr>
      <w:r w:rsidRPr="00091776">
        <w:rPr>
          <w:rFonts w:cs="Arial"/>
        </w:rPr>
        <w:t xml:space="preserve">The </w:t>
      </w:r>
      <w:r w:rsidR="00B46CE0" w:rsidRPr="00091776">
        <w:rPr>
          <w:rFonts w:cs="Arial"/>
        </w:rPr>
        <w:t>enablers to deprescribin</w:t>
      </w:r>
      <w:r w:rsidR="00925A81" w:rsidRPr="00091776">
        <w:rPr>
          <w:rFonts w:cs="Arial"/>
        </w:rPr>
        <w:t xml:space="preserve">g </w:t>
      </w:r>
      <w:r w:rsidRPr="00091776">
        <w:rPr>
          <w:rFonts w:cs="Arial"/>
        </w:rPr>
        <w:t xml:space="preserve">offered by the inpatient environment </w:t>
      </w:r>
      <w:r w:rsidR="00925A81" w:rsidRPr="00091776">
        <w:rPr>
          <w:rFonts w:cs="Arial"/>
        </w:rPr>
        <w:t>such as routine monitoring</w:t>
      </w:r>
      <w:r w:rsidRPr="00091776">
        <w:rPr>
          <w:rFonts w:cs="Arial"/>
        </w:rPr>
        <w:t xml:space="preserve"> </w:t>
      </w:r>
      <w:r w:rsidR="00925A81" w:rsidRPr="00091776">
        <w:rPr>
          <w:rFonts w:cs="Arial"/>
        </w:rPr>
        <w:t>provid</w:t>
      </w:r>
      <w:r w:rsidRPr="00091776">
        <w:rPr>
          <w:rFonts w:cs="Arial"/>
        </w:rPr>
        <w:t>e a safe</w:t>
      </w:r>
      <w:r w:rsidR="00925A81" w:rsidRPr="00091776">
        <w:rPr>
          <w:rFonts w:cs="Arial"/>
        </w:rPr>
        <w:t xml:space="preserve"> opportunity to trial deprescribing</w:t>
      </w:r>
      <w:r w:rsidRPr="00091776">
        <w:rPr>
          <w:rFonts w:cs="Arial"/>
        </w:rPr>
        <w:t xml:space="preserve">. </w:t>
      </w:r>
      <w:r w:rsidR="00230A68">
        <w:rPr>
          <w:rFonts w:cs="Arial"/>
        </w:rPr>
        <w:t>Pharmacists</w:t>
      </w:r>
      <w:r w:rsidRPr="00091776">
        <w:rPr>
          <w:rFonts w:cs="Arial"/>
        </w:rPr>
        <w:t xml:space="preserve"> were still concerned that the risks may outweigh the potential benefits of deprescribing. An intervention </w:t>
      </w:r>
      <w:r w:rsidR="00230A68">
        <w:rPr>
          <w:rFonts w:cs="Arial"/>
        </w:rPr>
        <w:t>should therefore target pharmacists’</w:t>
      </w:r>
      <w:r w:rsidRPr="00091776">
        <w:rPr>
          <w:rFonts w:cs="Arial"/>
        </w:rPr>
        <w:t xml:space="preserve"> ‘Beliefs about consequences’ to recalibrate their perceptions of the relative risks and benefits of deprescribing.</w:t>
      </w:r>
    </w:p>
    <w:p w14:paraId="207DD1DE" w14:textId="11A19AB9" w:rsidR="00C04E63" w:rsidRPr="00091776" w:rsidRDefault="00C34C43" w:rsidP="00493314">
      <w:pPr>
        <w:spacing w:line="240" w:lineRule="auto"/>
        <w:rPr>
          <w:rFonts w:cs="Arial"/>
        </w:rPr>
      </w:pPr>
      <w:r w:rsidRPr="00091776">
        <w:rPr>
          <w:rFonts w:cs="Arial"/>
        </w:rPr>
        <w:t>The inpatient environment</w:t>
      </w:r>
      <w:r w:rsidR="00B46CE0" w:rsidRPr="00091776">
        <w:rPr>
          <w:rFonts w:cs="Arial"/>
        </w:rPr>
        <w:t xml:space="preserve"> presented the barrier of prioritising acute problems over deprescribing. Targeting the ‘Goals’ domain to raise the priority of deprescribing in hospital may be an appropriate solution. Encouragingly, participants acknowledged </w:t>
      </w:r>
      <w:r w:rsidR="00EC06D1" w:rsidRPr="00091776">
        <w:rPr>
          <w:rFonts w:cs="Arial"/>
        </w:rPr>
        <w:t>the</w:t>
      </w:r>
      <w:r w:rsidR="00B46CE0" w:rsidRPr="00091776">
        <w:rPr>
          <w:rFonts w:cs="Arial"/>
        </w:rPr>
        <w:t xml:space="preserve"> scope to increase deprescribing in hospital</w:t>
      </w:r>
      <w:r w:rsidR="00B46CE0" w:rsidRPr="00091776">
        <w:rPr>
          <w:rFonts w:cs="Arial"/>
        </w:rPr>
        <w:fldChar w:fldCharType="begin" w:fldLock="1"/>
      </w:r>
      <w:r w:rsidR="00024EDE" w:rsidRPr="00091776">
        <w:rPr>
          <w:rFonts w:cs="Arial"/>
        </w:rPr>
        <w:instrText>ADDIN CSL_CITATION {"citationItems":[{"id":"ITEM-1","itemData":{"DOI":"10.1007/s11096-018-0673-1","ISSN":"2210-7711","abstract":"Background Deprescribing medication may be in response to an adverse clinical trigger (reactive) or if future gains are unlikely to outweigh future harms (proactive). A hospital admission may present an opportunity for deprescribing, however current practice is poorly understood. Objective To quantify and describe the nature of deprescribing in a UK teaching hospital. Method Prescribing and discontinuation data for admission medication from a hospital’s electronic prescribing system were extracted over 4 weeks. The rationale for discontinuation of a random sample of 200 was determined using medical records. This informed categorisation of deprescribing activity by clinicians into ‘proactive’ or ‘reactive’. Data were extrapolated to estimate the proportion of admission medications deprescribed and the proportion which were reactive and proactive. Results From 24,552 admission medicines, 977 discontinuations were recorded. Of the 200 discontinuations sampled for review, only 44 (22.0%) were confirmed deprescribing activities; categorised into 7 (15.9%) proactive and 37 (84.1%) reactive. Extrapolation yielded 0.6% (95% CI 0.5–0.7%) of all admission medications deprescribed. Conclusion Limited deprescribing activity, dominated by reactive behaviour was identified, suggesting prescribers require a clinical trigger to prompt deprescribing. There may be scope for increasing proactive deprescribing in hospital, however the extent to which this is feasible is unknown.","author":[{"dropping-particle":"","family":"Scott","given":"Sion","non-dropping-particle":"","parse-names":false,"suffix":""},{"dropping-particle":"","family":"Clark","given":"Allan","non-dropping-particle":"","parse-names":false,"suffix":""},{"dropping-particle":"","family":"Farrow","given":"Carol","non-dropping-particle":"","parse-names":false,"suffix":""},{"dropping-particle":"","family":"May","given":"Helen","non-dropping-particle":"","parse-names":false,"suffix":""},{"dropping-particle":"","family":"Patel","given":"Martyn","non-dropping-particle":"","parse-names":false,"suffix":""},{"dropping-particle":"","family":"Twigg","given":"Michael James","non-dropping-particle":"","parse-names":false,"suffix":""},{"dropping-particle":"","family":"Wright","given":"David John","non-dropping-particle":"","parse-names":false,"suffix":""},{"dropping-particle":"","family":"Bhattacharya","given":"Debi","non-dropping-particle":"","parse-names":false,"suffix":""}],"container-title":"International Journal of Clinical Pharmacy","id":"ITEM-1","issued":{"date-parts":[["2018"]]},"title":"Deprescribing admission medication at a UK teaching hospital; a report on quantity and nature of activity","type":"article-journal"},"uris":["http://www.mendeley.com/documents/?uuid=4fb38ed9-4e2f-49ba-b7d2-11fbffa96e74"]}],"mendeley":{"formattedCitation":"[3]","plainTextFormattedCitation":"[3]","previouslyFormattedCitation":"[3]"},"properties":{"noteIndex":0},"schema":"https://github.com/citation-style-language/schema/raw/master/csl-citation.json"}</w:instrText>
      </w:r>
      <w:r w:rsidR="00B46CE0" w:rsidRPr="00091776">
        <w:rPr>
          <w:rFonts w:cs="Arial"/>
        </w:rPr>
        <w:fldChar w:fldCharType="separate"/>
      </w:r>
      <w:r w:rsidR="000F47D2" w:rsidRPr="00091776">
        <w:rPr>
          <w:rFonts w:cs="Arial"/>
          <w:noProof/>
        </w:rPr>
        <w:t>[3]</w:t>
      </w:r>
      <w:r w:rsidR="00B46CE0" w:rsidRPr="00091776">
        <w:rPr>
          <w:rFonts w:cs="Arial"/>
        </w:rPr>
        <w:fldChar w:fldCharType="end"/>
      </w:r>
      <w:r w:rsidR="00E72DC4" w:rsidRPr="00091776">
        <w:rPr>
          <w:rFonts w:cs="Arial"/>
        </w:rPr>
        <w:t>.</w:t>
      </w:r>
      <w:r w:rsidR="00B46CE0" w:rsidRPr="00091776">
        <w:rPr>
          <w:rFonts w:cs="Arial"/>
        </w:rPr>
        <w:t xml:space="preserve"> </w:t>
      </w:r>
      <w:r w:rsidR="003476D9" w:rsidRPr="00091776">
        <w:rPr>
          <w:rFonts w:cs="Arial"/>
        </w:rPr>
        <w:t>The proposed enabler of incentivisation mapped to the ‘Reinforcement’ domain may be an appropriate intervention component given that it has</w:t>
      </w:r>
      <w:r w:rsidR="007B0DD1" w:rsidRPr="00091776">
        <w:rPr>
          <w:rFonts w:cs="Arial"/>
        </w:rPr>
        <w:t xml:space="preserve"> previously</w:t>
      </w:r>
      <w:r w:rsidR="003476D9" w:rsidRPr="00091776">
        <w:rPr>
          <w:rFonts w:cs="Arial"/>
        </w:rPr>
        <w:t xml:space="preserve"> demonstrated efficacy in influencing </w:t>
      </w:r>
      <w:r w:rsidR="00C04E63" w:rsidRPr="00091776">
        <w:rPr>
          <w:rFonts w:cs="Arial"/>
        </w:rPr>
        <w:t>hospital</w:t>
      </w:r>
      <w:r w:rsidR="007B0DD1" w:rsidRPr="00091776">
        <w:rPr>
          <w:rFonts w:cs="Arial"/>
        </w:rPr>
        <w:t xml:space="preserve"> antimicrobial</w:t>
      </w:r>
      <w:r w:rsidR="00C04E63" w:rsidRPr="00091776">
        <w:rPr>
          <w:rFonts w:cs="Arial"/>
        </w:rPr>
        <w:t xml:space="preserve"> </w:t>
      </w:r>
      <w:r w:rsidR="003476D9" w:rsidRPr="00091776">
        <w:rPr>
          <w:rFonts w:cs="Arial"/>
        </w:rPr>
        <w:t>prescribing behaviour</w:t>
      </w:r>
      <w:r w:rsidR="00947EAB">
        <w:rPr>
          <w:rFonts w:cs="Arial"/>
        </w:rPr>
        <w:t>s</w:t>
      </w:r>
      <w:r w:rsidR="00C04E63" w:rsidRPr="00091776">
        <w:rPr>
          <w:rFonts w:cs="Arial"/>
        </w:rPr>
        <w:fldChar w:fldCharType="begin" w:fldLock="1"/>
      </w:r>
      <w:r w:rsidR="00FC483E">
        <w:rPr>
          <w:rFonts w:cs="Arial"/>
        </w:rPr>
        <w:instrText>ADDIN CSL_CITATION {"citationItems":[{"id":"ITEM-1","itemData":{"ISSN":"0305-7453","author":[{"dropping-particle":"","family":"Islam","given":"J","non-dropping-particle":"","parse-names":false,"suffix":""},{"dropping-particle":"","family":"Ashiru-Oredope","given":"D","non-dropping-particle":"","parse-names":false,"suffix":""},{"dropping-particle":"","family":"Budd","given":"E","non-dropping-particle":"","parse-names":false,"suffix":""},{"dropping-particle":"","family":"Howard","given":"P","non-dropping-particle":"","parse-names":false,"suffix":""},{"dropping-particle":"","family":"Walker","given":"A S","non-dropping-particle":"","parse-names":false,"suffix":""},{"dropping-particle":"","family":"Hopkins","given":"S","non-dropping-particle":"","parse-names":false,"suffix":""},{"dropping-particle":"","family":"Llewelyn","given":"M J","non-dropping-particle":"","parse-names":false,"suffix":""}],"container-title":"Journal of Antimicrobial Chemotherapy","id":"ITEM-1","issue":"6","issued":{"date-parts":[["2018"]]},"page":"1708-1713","publisher":"Oxford University Press","title":"A national quality incentive scheme to reduce antibiotic overuse in hospitals: evaluation of perceptions and impact","type":"article-journal","volume":"73"},"uris":["http://www.mendeley.com/documents/?uuid=9954e781-6bff-4120-956d-fe3e78a1f49d"]}],"mendeley":{"formattedCitation":"[26]","plainTextFormattedCitation":"[26]","previouslyFormattedCitation":"[27]"},"properties":{"noteIndex":0},"schema":"https://github.com/citation-style-language/schema/raw/master/csl-citation.json"}</w:instrText>
      </w:r>
      <w:r w:rsidR="00C04E63" w:rsidRPr="00091776">
        <w:rPr>
          <w:rFonts w:cs="Arial"/>
        </w:rPr>
        <w:fldChar w:fldCharType="separate"/>
      </w:r>
      <w:r w:rsidR="00FC483E" w:rsidRPr="00FC483E">
        <w:rPr>
          <w:rFonts w:cs="Arial"/>
          <w:noProof/>
        </w:rPr>
        <w:t>[26]</w:t>
      </w:r>
      <w:r w:rsidR="00C04E63" w:rsidRPr="00091776">
        <w:rPr>
          <w:rFonts w:cs="Arial"/>
        </w:rPr>
        <w:fldChar w:fldCharType="end"/>
      </w:r>
      <w:r w:rsidR="00E72DC4" w:rsidRPr="00091776">
        <w:rPr>
          <w:rFonts w:cs="Arial"/>
        </w:rPr>
        <w:t>.</w:t>
      </w:r>
    </w:p>
    <w:p w14:paraId="15E8F503" w14:textId="17CF3BFF" w:rsidR="00C04E63" w:rsidRPr="00091776" w:rsidRDefault="00C04E63" w:rsidP="00493314">
      <w:pPr>
        <w:spacing w:line="240" w:lineRule="auto"/>
        <w:rPr>
          <w:rFonts w:cs="Arial"/>
        </w:rPr>
      </w:pPr>
      <w:r w:rsidRPr="00091776">
        <w:rPr>
          <w:rFonts w:cs="Arial"/>
        </w:rPr>
        <w:t>Sufficient medication information needs to be available to facilitate</w:t>
      </w:r>
      <w:r w:rsidR="00925A81" w:rsidRPr="00091776">
        <w:rPr>
          <w:rFonts w:cs="Arial"/>
        </w:rPr>
        <w:t xml:space="preserve"> deprescribing</w:t>
      </w:r>
      <w:r w:rsidRPr="00091776">
        <w:rPr>
          <w:rFonts w:cs="Arial"/>
        </w:rPr>
        <w:t xml:space="preserve"> decision-making; including when and why a medication was originally prescribed</w:t>
      </w:r>
      <w:r w:rsidR="001968B3" w:rsidRPr="00091776">
        <w:rPr>
          <w:rFonts w:cs="Arial"/>
        </w:rPr>
        <w:fldChar w:fldCharType="begin" w:fldLock="1"/>
      </w:r>
      <w:r w:rsidR="00FC483E">
        <w:rPr>
          <w:rFonts w:cs="Arial"/>
        </w:rPr>
        <w:instrText>ADDIN CSL_CITATION {"citationItems":[{"id":"ITEM-1","itemData":{"ISBN":"2055-2335","author":[{"dropping-particle":"","family":"Woodward","given":"Michael C","non-dropping-particle":"","parse-names":false,"suffix":""}],"container-title":"Journal of Pharmacy Practice and Research","id":"ITEM-1","issue":"4","issued":{"date-parts":[["2003"]]},"page":"323-328","title":"Deprescribing: achieving better health outcomes for older people through reducing medications","type":"article-journal","volume":"33"},"uris":["http://www.mendeley.com/documents/?uuid=40c47ff2-ab07-4614-a1b5-8aef343e07cb"]}],"mendeley":{"formattedCitation":"[27]","plainTextFormattedCitation":"[27]","previouslyFormattedCitation":"[28]"},"properties":{"noteIndex":0},"schema":"https://github.com/citation-style-language/schema/raw/master/csl-citation.json"}</w:instrText>
      </w:r>
      <w:r w:rsidR="001968B3" w:rsidRPr="00091776">
        <w:rPr>
          <w:rFonts w:cs="Arial"/>
        </w:rPr>
        <w:fldChar w:fldCharType="separate"/>
      </w:r>
      <w:r w:rsidR="00FC483E" w:rsidRPr="00FC483E">
        <w:rPr>
          <w:rFonts w:cs="Arial"/>
          <w:noProof/>
        </w:rPr>
        <w:t>[27]</w:t>
      </w:r>
      <w:r w:rsidR="001968B3" w:rsidRPr="00091776">
        <w:rPr>
          <w:rFonts w:cs="Arial"/>
        </w:rPr>
        <w:fldChar w:fldCharType="end"/>
      </w:r>
      <w:r w:rsidR="00E72DC4" w:rsidRPr="00091776">
        <w:rPr>
          <w:rFonts w:cs="Arial"/>
        </w:rPr>
        <w:t>.</w:t>
      </w:r>
      <w:r w:rsidRPr="00091776">
        <w:rPr>
          <w:rFonts w:cs="Arial"/>
        </w:rPr>
        <w:t xml:space="preserve"> The barrier of incomprehensive medication histories extends across all healthcare settings, prompting calls for routine documentation of indications and an intended duration at initial prescribing</w:t>
      </w:r>
      <w:r w:rsidRPr="00091776">
        <w:rPr>
          <w:rFonts w:cs="Arial"/>
        </w:rPr>
        <w:fldChar w:fldCharType="begin" w:fldLock="1"/>
      </w:r>
      <w:r w:rsidR="00FC483E">
        <w:rPr>
          <w:rFonts w:cs="Arial"/>
        </w:rPr>
        <w:instrText>ADDIN CSL_CITATION {"citationItems":[{"id":"ITEM-1","itemData":{"DOI":"10.1211/PJ.2018.20205686","ISSN":"2053-6186","author":[{"dropping-particle":"","family":"Pike","given":"Harriet","non-dropping-particle":"","parse-names":false,"suffix":""}],"container-title":"The Pharmaceutical Journal","id":"ITEM-1","issued":{"date-parts":[["2018"]]},"page":"11","title":"Deprescribing: the fightback against polypharmacy has begun","type":"article-journal","volume":"301"},"uris":["http://www.mendeley.com/documents/?uuid=a482509f-653a-4a33-82a3-c38f9e9b526c"]}],"mendeley":{"formattedCitation":"[28]","plainTextFormattedCitation":"[28]","previouslyFormattedCitation":"[29]"},"properties":{"noteIndex":0},"schema":"https://github.com/citation-style-language/schema/raw/master/csl-citation.json"}</w:instrText>
      </w:r>
      <w:r w:rsidRPr="00091776">
        <w:rPr>
          <w:rFonts w:cs="Arial"/>
        </w:rPr>
        <w:fldChar w:fldCharType="separate"/>
      </w:r>
      <w:r w:rsidR="00FC483E" w:rsidRPr="00FC483E">
        <w:rPr>
          <w:rFonts w:cs="Arial"/>
          <w:noProof/>
        </w:rPr>
        <w:t>[28]</w:t>
      </w:r>
      <w:r w:rsidRPr="00091776">
        <w:rPr>
          <w:rFonts w:cs="Arial"/>
        </w:rPr>
        <w:fldChar w:fldCharType="end"/>
      </w:r>
      <w:r w:rsidR="00E72DC4" w:rsidRPr="00091776">
        <w:rPr>
          <w:rFonts w:cs="Arial"/>
        </w:rPr>
        <w:t>.</w:t>
      </w:r>
      <w:r w:rsidRPr="00091776">
        <w:rPr>
          <w:rFonts w:cs="Arial"/>
        </w:rPr>
        <w:t xml:space="preserve"> Targeting the ‘Environmental context and resources’ domain through restructuring the environment may ameliorate some of these effects and additionally address the barrier of patients being acutely unwell during periods of the admission. This may take the form of an outpatient clinic, which provides time to </w:t>
      </w:r>
      <w:r w:rsidR="00B539AE" w:rsidRPr="00091776">
        <w:rPr>
          <w:rFonts w:cs="Arial"/>
        </w:rPr>
        <w:t xml:space="preserve">both </w:t>
      </w:r>
      <w:r w:rsidRPr="00091776">
        <w:rPr>
          <w:rFonts w:cs="Arial"/>
        </w:rPr>
        <w:t>gather medication information and for the patient to recover from their acute illness.</w:t>
      </w:r>
    </w:p>
    <w:p w14:paraId="250C32E2" w14:textId="5E6E8722" w:rsidR="00925A81" w:rsidRPr="00091776" w:rsidRDefault="00801375" w:rsidP="00493314">
      <w:pPr>
        <w:spacing w:line="240" w:lineRule="auto"/>
        <w:rPr>
          <w:rFonts w:cs="Arial"/>
        </w:rPr>
      </w:pPr>
      <w:r w:rsidRPr="00091776">
        <w:rPr>
          <w:rFonts w:cs="Arial"/>
        </w:rPr>
        <w:t>The influencers of whether geriatricians and pharmacists deprescribe in the hospital setting that require addressing are mapped to 44</w:t>
      </w:r>
      <w:r w:rsidR="00CD5E0D" w:rsidRPr="00091776">
        <w:rPr>
          <w:rFonts w:cs="Arial"/>
        </w:rPr>
        <w:t xml:space="preserve"> </w:t>
      </w:r>
      <w:r w:rsidRPr="00091776">
        <w:rPr>
          <w:rFonts w:cs="Arial"/>
        </w:rPr>
        <w:t>BCTs. This provides a theory</w:t>
      </w:r>
      <w:r w:rsidR="00662099" w:rsidRPr="00091776">
        <w:rPr>
          <w:rFonts w:cs="Arial"/>
        </w:rPr>
        <w:t>-</w:t>
      </w:r>
      <w:r w:rsidRPr="00091776">
        <w:rPr>
          <w:rFonts w:cs="Arial"/>
        </w:rPr>
        <w:t xml:space="preserve">informed </w:t>
      </w:r>
      <w:r w:rsidR="0079216D">
        <w:rPr>
          <w:rFonts w:cs="Arial"/>
        </w:rPr>
        <w:t xml:space="preserve">hospital </w:t>
      </w:r>
      <w:proofErr w:type="gramStart"/>
      <w:r w:rsidR="0079216D">
        <w:rPr>
          <w:rFonts w:cs="Arial"/>
        </w:rPr>
        <w:t>Deprescribing</w:t>
      </w:r>
      <w:proofErr w:type="gramEnd"/>
      <w:r w:rsidR="0079216D">
        <w:rPr>
          <w:rFonts w:cs="Arial"/>
        </w:rPr>
        <w:t xml:space="preserve"> Implementation Framework (</w:t>
      </w:r>
      <w:proofErr w:type="spellStart"/>
      <w:r w:rsidR="0079216D">
        <w:rPr>
          <w:rFonts w:cs="Arial"/>
        </w:rPr>
        <w:t>hDIF</w:t>
      </w:r>
      <w:proofErr w:type="spellEnd"/>
      <w:r w:rsidR="0079216D">
        <w:rPr>
          <w:rFonts w:cs="Arial"/>
        </w:rPr>
        <w:t>)</w:t>
      </w:r>
      <w:r w:rsidR="0079216D" w:rsidRPr="00091776">
        <w:rPr>
          <w:rFonts w:cs="Arial"/>
        </w:rPr>
        <w:t xml:space="preserve"> </w:t>
      </w:r>
      <w:r w:rsidRPr="00091776">
        <w:rPr>
          <w:rFonts w:cs="Arial"/>
        </w:rPr>
        <w:t>for developing a</w:t>
      </w:r>
      <w:r w:rsidR="0069216F">
        <w:rPr>
          <w:rFonts w:cs="Arial"/>
        </w:rPr>
        <w:t>n</w:t>
      </w:r>
      <w:r w:rsidRPr="00091776">
        <w:rPr>
          <w:rFonts w:cs="Arial"/>
        </w:rPr>
        <w:t xml:space="preserve"> intervention targeting </w:t>
      </w:r>
      <w:r w:rsidR="00925A81" w:rsidRPr="00091776">
        <w:rPr>
          <w:rFonts w:cs="Arial"/>
        </w:rPr>
        <w:t>geriatricians’ and pharmacists’</w:t>
      </w:r>
      <w:r w:rsidRPr="00091776">
        <w:rPr>
          <w:rFonts w:cs="Arial"/>
        </w:rPr>
        <w:t xml:space="preserve"> behaviour. </w:t>
      </w:r>
      <w:r w:rsidR="00A21C76" w:rsidRPr="00091776">
        <w:rPr>
          <w:rFonts w:cs="Arial"/>
        </w:rPr>
        <w:t>Patient</w:t>
      </w:r>
      <w:r w:rsidRPr="00091776">
        <w:rPr>
          <w:rFonts w:cs="Arial"/>
        </w:rPr>
        <w:t xml:space="preserve"> focussed interventions such as the EMPOWER educational brochure may complement this approach through encouraging patient engagement in deprescribing</w:t>
      </w:r>
      <w:r w:rsidRPr="00091776">
        <w:rPr>
          <w:rFonts w:cs="Arial"/>
        </w:rPr>
        <w:fldChar w:fldCharType="begin" w:fldLock="1"/>
      </w:r>
      <w:r w:rsidR="00FC483E">
        <w:rPr>
          <w:rFonts w:cs="Arial"/>
        </w:rPr>
        <w:instrText>ADDIN CSL_CITATION {"citationItems":[{"id":"ITEM-1","itemData":{"ISSN":"1471-2318","author":[{"dropping-particle":"","family":"Martin","given":"Philippe","non-dropping-particle":"","parse-names":false,"suffix":""},{"dropping-particle":"","family":"Tannenbaum","given":"Cara","non-dropping-particle":"","parse-names":false,"suffix":""}],"container-title":"BMC geriatrics","id":"ITEM-1","issue":"1","issued":{"date-parts":[["2017"]]},"page":"37","publisher":"BioMed Central","title":"Use of the EMPOWER brochure to deprescribe sedative-hypnotic drugs in older adults with mild cognitive impairment","type":"article-journal","volume":"17"},"uris":["http://www.mendeley.com/documents/?uuid=dffb20a8-ef21-45da-8947-1f50bc29b308"]}],"mendeley":{"formattedCitation":"[10]","plainTextFormattedCitation":"[10]","previouslyFormattedCitation":"[11]"},"properties":{"noteIndex":0},"schema":"https://github.com/citation-style-language/schema/raw/master/csl-citation.json"}</w:instrText>
      </w:r>
      <w:r w:rsidRPr="00091776">
        <w:rPr>
          <w:rFonts w:cs="Arial"/>
        </w:rPr>
        <w:fldChar w:fldCharType="separate"/>
      </w:r>
      <w:r w:rsidR="00FC483E" w:rsidRPr="00FC483E">
        <w:rPr>
          <w:rFonts w:cs="Arial"/>
          <w:noProof/>
        </w:rPr>
        <w:t>[10]</w:t>
      </w:r>
      <w:r w:rsidRPr="00091776">
        <w:rPr>
          <w:rFonts w:cs="Arial"/>
        </w:rPr>
        <w:fldChar w:fldCharType="end"/>
      </w:r>
      <w:r w:rsidRPr="00091776">
        <w:rPr>
          <w:rFonts w:cs="Arial"/>
        </w:rPr>
        <w:t>.</w:t>
      </w:r>
    </w:p>
    <w:p w14:paraId="6008C3D1" w14:textId="4EF7DE13" w:rsidR="00DF5AE4" w:rsidRPr="00091776" w:rsidRDefault="00DF5AE4" w:rsidP="00493314">
      <w:pPr>
        <w:spacing w:line="240" w:lineRule="auto"/>
        <w:rPr>
          <w:rFonts w:cs="Arial"/>
        </w:rPr>
      </w:pPr>
      <w:r w:rsidRPr="00091776">
        <w:rPr>
          <w:rFonts w:cs="Arial"/>
        </w:rPr>
        <w:t>Data triangulation from intra and inter-professional convergence around the key issues was frequently observed, affording confidence in the reliability of findings</w:t>
      </w:r>
      <w:r w:rsidRPr="00091776">
        <w:rPr>
          <w:rFonts w:cs="Arial"/>
        </w:rPr>
        <w:fldChar w:fldCharType="begin" w:fldLock="1"/>
      </w:r>
      <w:r w:rsidR="00FC483E">
        <w:rPr>
          <w:rFonts w:cs="Arial"/>
        </w:rPr>
        <w:instrText>ADDIN CSL_CITATION {"citationItems":[{"id":"ITEM-1","itemData":{"ISSN":"1049-7323","author":[{"dropping-particle":"","family":"Farmer","given":"Tracy","non-dropping-particle":"","parse-names":false,"suffix":""},{"dropping-particle":"","family":"Robinson","given":"Kerry","non-dropping-particle":"","parse-names":false,"suffix":""},{"dropping-particle":"","family":"Elliott","given":"Susan J","non-dropping-particle":"","parse-names":false,"suffix":""},{"dropping-particle":"","family":"Eyles","given":"John","non-dropping-particle":"","parse-names":false,"suffix":""}],"container-title":"Qualitative health research","id":"ITEM-1","issue":"3","issued":{"date-parts":[["2006"]]},"page":"377-394","publisher":"Sage Publications Sage CA: Thousand Oaks, CA","title":"Developing and implementing a triangulation protocol for qualitative health research","type":"article-journal","volume":"16"},"uris":["http://www.mendeley.com/documents/?uuid=685f3208-c17f-43d8-a4e6-f8d2e0b049e4"]}],"mendeley":{"formattedCitation":"[29]","plainTextFormattedCitation":"[29]","previouslyFormattedCitation":"[30]"},"properties":{"noteIndex":0},"schema":"https://github.com/citation-style-language/schema/raw/master/csl-citation.json"}</w:instrText>
      </w:r>
      <w:r w:rsidRPr="00091776">
        <w:rPr>
          <w:rFonts w:cs="Arial"/>
        </w:rPr>
        <w:fldChar w:fldCharType="separate"/>
      </w:r>
      <w:r w:rsidR="00FC483E" w:rsidRPr="00FC483E">
        <w:rPr>
          <w:rFonts w:cs="Arial"/>
          <w:noProof/>
        </w:rPr>
        <w:t>[29]</w:t>
      </w:r>
      <w:r w:rsidRPr="00091776">
        <w:rPr>
          <w:rFonts w:cs="Arial"/>
        </w:rPr>
        <w:fldChar w:fldCharType="end"/>
      </w:r>
      <w:r w:rsidR="00E72DC4" w:rsidRPr="00091776">
        <w:rPr>
          <w:rFonts w:cs="Arial"/>
        </w:rPr>
        <w:t>.</w:t>
      </w:r>
      <w:r w:rsidRPr="00091776">
        <w:rPr>
          <w:rFonts w:cs="Arial"/>
        </w:rPr>
        <w:t xml:space="preserve"> </w:t>
      </w:r>
      <w:r w:rsidR="00A21C76" w:rsidRPr="00091776">
        <w:rPr>
          <w:rFonts w:cs="Arial"/>
        </w:rPr>
        <w:t>The</w:t>
      </w:r>
      <w:r w:rsidRPr="00091776">
        <w:rPr>
          <w:rFonts w:cs="Arial"/>
        </w:rPr>
        <w:t xml:space="preserve"> transferability of barriers and enablers between district general and teaching hospitals indicates that the BCTs identified may be applicable to </w:t>
      </w:r>
      <w:r w:rsidR="00935374" w:rsidRPr="00091776">
        <w:rPr>
          <w:rFonts w:cs="Arial"/>
        </w:rPr>
        <w:t>other</w:t>
      </w:r>
      <w:r w:rsidRPr="00091776">
        <w:rPr>
          <w:rFonts w:cs="Arial"/>
        </w:rPr>
        <w:t xml:space="preserve"> hospital contexts</w:t>
      </w:r>
      <w:r w:rsidRPr="00091776">
        <w:rPr>
          <w:rFonts w:cs="Arial"/>
        </w:rPr>
        <w:fldChar w:fldCharType="begin" w:fldLock="1"/>
      </w:r>
      <w:r w:rsidR="00FC483E">
        <w:rPr>
          <w:rFonts w:cs="Arial"/>
        </w:rPr>
        <w:instrText>ADDIN CSL_CITATION {"citationItems":[{"id":"ITEM-1","itemData":{"DOI":"10.1080/2159676X.2017.1393221","author":[{"dropping-particle":"","family":"Smith","given":"Brett","non-dropping-particle":"","parse-names":false,"suffix":""}],"container-title":"Qualitative Research in Sport, Exercise and Health","id":"ITEM-1","issue":"1","issued":{"date-parts":[["2018"]]},"page":"137-149","publisher":"Routledge","title":"Generalizability in qualitative research: misunderstandings, opportunities and recommendations for the sport and exercise sciences","type":"article-journal","volume":"10"},"uris":["http://www.mendeley.com/documents/?uuid=44986c06-fa61-4b15-9208-304b112073ea"]}],"mendeley":{"formattedCitation":"[30]","plainTextFormattedCitation":"[30]","previouslyFormattedCitation":"[31]"},"properties":{"noteIndex":0},"schema":"https://github.com/citation-style-language/schema/raw/master/csl-citation.json"}</w:instrText>
      </w:r>
      <w:r w:rsidRPr="00091776">
        <w:rPr>
          <w:rFonts w:cs="Arial"/>
        </w:rPr>
        <w:fldChar w:fldCharType="separate"/>
      </w:r>
      <w:r w:rsidR="00FC483E" w:rsidRPr="00FC483E">
        <w:rPr>
          <w:rFonts w:cs="Arial"/>
          <w:noProof/>
        </w:rPr>
        <w:t>[30]</w:t>
      </w:r>
      <w:r w:rsidRPr="00091776">
        <w:rPr>
          <w:rFonts w:cs="Arial"/>
        </w:rPr>
        <w:fldChar w:fldCharType="end"/>
      </w:r>
      <w:r w:rsidR="00E72DC4" w:rsidRPr="00091776">
        <w:rPr>
          <w:rFonts w:cs="Arial"/>
        </w:rPr>
        <w:t>.</w:t>
      </w:r>
    </w:p>
    <w:p w14:paraId="4B4D2036" w14:textId="159C01C2" w:rsidR="002E1297" w:rsidRPr="00091776" w:rsidRDefault="002E1297" w:rsidP="00493314">
      <w:pPr>
        <w:spacing w:line="240" w:lineRule="auto"/>
        <w:rPr>
          <w:rFonts w:cs="Arial"/>
        </w:rPr>
      </w:pPr>
      <w:r w:rsidRPr="00091776">
        <w:rPr>
          <w:rFonts w:cs="Arial"/>
        </w:rPr>
        <w:t xml:space="preserve">Confining the study to the UK hospital population may limit the international transferability of findings, particularly where roles and resource factors differ from </w:t>
      </w:r>
      <w:r w:rsidR="00947EAB">
        <w:rPr>
          <w:rFonts w:cs="Arial"/>
        </w:rPr>
        <w:t>this sample</w:t>
      </w:r>
      <w:r w:rsidRPr="00091776">
        <w:rPr>
          <w:rFonts w:cs="Arial"/>
        </w:rPr>
        <w:t xml:space="preserve">. </w:t>
      </w:r>
      <w:r w:rsidR="00B43004" w:rsidRPr="00091776">
        <w:rPr>
          <w:rFonts w:cs="Arial"/>
        </w:rPr>
        <w:t>The required</w:t>
      </w:r>
      <w:r w:rsidR="006467EA" w:rsidRPr="00091776">
        <w:rPr>
          <w:rFonts w:cs="Arial"/>
        </w:rPr>
        <w:t xml:space="preserve"> specificity </w:t>
      </w:r>
      <w:r w:rsidR="00B43004" w:rsidRPr="00091776">
        <w:rPr>
          <w:rFonts w:cs="Arial"/>
        </w:rPr>
        <w:t>when</w:t>
      </w:r>
      <w:r w:rsidR="006467EA" w:rsidRPr="00091776">
        <w:rPr>
          <w:rFonts w:cs="Arial"/>
        </w:rPr>
        <w:t xml:space="preserve"> developing behaviour change interventions </w:t>
      </w:r>
      <w:r w:rsidR="00B43004" w:rsidRPr="00091776">
        <w:rPr>
          <w:rFonts w:cs="Arial"/>
        </w:rPr>
        <w:t xml:space="preserve">focussed this study on geriatricians and pharmacists, therefore the views of </w:t>
      </w:r>
      <w:r w:rsidR="003E3464" w:rsidRPr="00091776">
        <w:rPr>
          <w:rFonts w:cs="Arial"/>
        </w:rPr>
        <w:t>other potentially relevant</w:t>
      </w:r>
      <w:r w:rsidR="00B43004" w:rsidRPr="00091776">
        <w:rPr>
          <w:rFonts w:cs="Arial"/>
        </w:rPr>
        <w:t xml:space="preserve"> professional</w:t>
      </w:r>
      <w:r w:rsidR="003154D1" w:rsidRPr="00091776">
        <w:rPr>
          <w:rFonts w:cs="Arial"/>
        </w:rPr>
        <w:t>s</w:t>
      </w:r>
      <w:r w:rsidR="00B43004" w:rsidRPr="00091776">
        <w:rPr>
          <w:rFonts w:cs="Arial"/>
        </w:rPr>
        <w:t xml:space="preserve"> </w:t>
      </w:r>
      <w:r w:rsidR="00947EAB">
        <w:rPr>
          <w:rFonts w:cs="Arial"/>
        </w:rPr>
        <w:lastRenderedPageBreak/>
        <w:t>were not</w:t>
      </w:r>
      <w:r w:rsidR="00B43004" w:rsidRPr="00091776">
        <w:rPr>
          <w:rFonts w:cs="Arial"/>
        </w:rPr>
        <w:t xml:space="preserve"> captured. </w:t>
      </w:r>
      <w:r w:rsidR="00C55F9F" w:rsidRPr="00091776">
        <w:rPr>
          <w:rFonts w:cs="Arial"/>
        </w:rPr>
        <w:t>This</w:t>
      </w:r>
      <w:r w:rsidR="00B43004" w:rsidRPr="00091776">
        <w:rPr>
          <w:rFonts w:cs="Arial"/>
        </w:rPr>
        <w:t xml:space="preserve"> approach could be duplicated in other countries and other professional groups</w:t>
      </w:r>
      <w:r w:rsidR="00F31076" w:rsidRPr="00091776">
        <w:rPr>
          <w:rFonts w:cs="Arial"/>
        </w:rPr>
        <w:t xml:space="preserve"> </w:t>
      </w:r>
      <w:r w:rsidR="00B43004" w:rsidRPr="00091776">
        <w:rPr>
          <w:rFonts w:cs="Arial"/>
        </w:rPr>
        <w:t>where the deprescribing role is less likely to be assumed by geriatricians and pharmacists.</w:t>
      </w:r>
    </w:p>
    <w:p w14:paraId="68D9980C" w14:textId="30731610" w:rsidR="003476D9" w:rsidRPr="00091776" w:rsidRDefault="003476D9" w:rsidP="00493314">
      <w:pPr>
        <w:spacing w:line="240" w:lineRule="auto"/>
        <w:rPr>
          <w:rFonts w:cs="Arial"/>
        </w:rPr>
      </w:pPr>
      <w:r w:rsidRPr="00091776">
        <w:rPr>
          <w:rFonts w:cs="Arial"/>
        </w:rPr>
        <w:t xml:space="preserve">The </w:t>
      </w:r>
      <w:r w:rsidR="003154D1" w:rsidRPr="00091776">
        <w:rPr>
          <w:rFonts w:cs="Arial"/>
        </w:rPr>
        <w:t xml:space="preserve">deprescribing </w:t>
      </w:r>
      <w:r w:rsidRPr="00091776">
        <w:rPr>
          <w:rFonts w:cs="Arial"/>
        </w:rPr>
        <w:t xml:space="preserve">research </w:t>
      </w:r>
      <w:r w:rsidR="003154D1" w:rsidRPr="00091776">
        <w:rPr>
          <w:rFonts w:cs="Arial"/>
        </w:rPr>
        <w:t>agenda</w:t>
      </w:r>
      <w:r w:rsidRPr="00091776">
        <w:rPr>
          <w:rFonts w:cs="Arial"/>
        </w:rPr>
        <w:t xml:space="preserve"> </w:t>
      </w:r>
      <w:r w:rsidR="003154D1" w:rsidRPr="00091776">
        <w:rPr>
          <w:rFonts w:cs="Arial"/>
        </w:rPr>
        <w:t>should</w:t>
      </w:r>
      <w:r w:rsidRPr="00091776">
        <w:rPr>
          <w:rFonts w:cs="Arial"/>
        </w:rPr>
        <w:t xml:space="preserve"> </w:t>
      </w:r>
      <w:r w:rsidR="003154D1" w:rsidRPr="00091776">
        <w:rPr>
          <w:rFonts w:cs="Arial"/>
        </w:rPr>
        <w:t>recognise</w:t>
      </w:r>
      <w:r w:rsidRPr="00091776">
        <w:rPr>
          <w:rFonts w:cs="Arial"/>
        </w:rPr>
        <w:t xml:space="preserve"> the five TDF domains of ‘Social influence’, ‘Beliefs about consequences’, ‘Environmental context and resources’, ‘Goals’ and ‘Reinforcement’. </w:t>
      </w:r>
      <w:r w:rsidR="0079216D">
        <w:rPr>
          <w:rFonts w:cs="Arial"/>
        </w:rPr>
        <w:t xml:space="preserve">The </w:t>
      </w:r>
      <w:proofErr w:type="spellStart"/>
      <w:r w:rsidR="0079216D">
        <w:rPr>
          <w:rFonts w:cs="Arial"/>
        </w:rPr>
        <w:t>hDIF</w:t>
      </w:r>
      <w:proofErr w:type="spellEnd"/>
      <w:r w:rsidR="0079216D">
        <w:rPr>
          <w:rFonts w:cs="Arial"/>
        </w:rPr>
        <w:t xml:space="preserve"> developed</w:t>
      </w:r>
      <w:r w:rsidR="004A3C54" w:rsidRPr="00091776">
        <w:rPr>
          <w:rFonts w:cs="Arial"/>
        </w:rPr>
        <w:t xml:space="preserve"> in this study </w:t>
      </w:r>
      <w:r w:rsidR="00954E8C" w:rsidRPr="00091776">
        <w:rPr>
          <w:rFonts w:cs="Arial"/>
        </w:rPr>
        <w:t xml:space="preserve">provides </w:t>
      </w:r>
      <w:r w:rsidR="0069216F">
        <w:rPr>
          <w:rFonts w:cs="Arial"/>
        </w:rPr>
        <w:t>a</w:t>
      </w:r>
      <w:r w:rsidR="00954E8C" w:rsidRPr="00091776">
        <w:rPr>
          <w:rFonts w:cs="Arial"/>
        </w:rPr>
        <w:t xml:space="preserve"> range </w:t>
      </w:r>
      <w:r w:rsidR="0069216F">
        <w:rPr>
          <w:rFonts w:cs="Arial"/>
        </w:rPr>
        <w:t>BCTs</w:t>
      </w:r>
      <w:r w:rsidR="00954E8C" w:rsidRPr="00091776">
        <w:rPr>
          <w:rFonts w:cs="Arial"/>
        </w:rPr>
        <w:t xml:space="preserve"> for developing a hospital deprescribing intervention. Future work to </w:t>
      </w:r>
      <w:r w:rsidR="00F14BEC" w:rsidRPr="00091776">
        <w:rPr>
          <w:rFonts w:cs="Arial"/>
        </w:rPr>
        <w:t>select</w:t>
      </w:r>
      <w:r w:rsidRPr="00091776">
        <w:rPr>
          <w:rFonts w:cs="Arial"/>
        </w:rPr>
        <w:t xml:space="preserve"> </w:t>
      </w:r>
      <w:r w:rsidR="0069216F">
        <w:rPr>
          <w:rFonts w:cs="Arial"/>
        </w:rPr>
        <w:t>BCTs</w:t>
      </w:r>
      <w:r w:rsidR="00F14BEC" w:rsidRPr="00091776">
        <w:rPr>
          <w:rFonts w:cs="Arial"/>
        </w:rPr>
        <w:t xml:space="preserve"> </w:t>
      </w:r>
      <w:r w:rsidR="0079216D">
        <w:rPr>
          <w:rFonts w:cs="Arial"/>
        </w:rPr>
        <w:t xml:space="preserve">from the </w:t>
      </w:r>
      <w:proofErr w:type="spellStart"/>
      <w:r w:rsidR="0079216D">
        <w:rPr>
          <w:rFonts w:cs="Arial"/>
        </w:rPr>
        <w:t>hDIF</w:t>
      </w:r>
      <w:proofErr w:type="spellEnd"/>
      <w:r w:rsidR="00F14BEC" w:rsidRPr="00091776">
        <w:rPr>
          <w:rFonts w:cs="Arial"/>
        </w:rPr>
        <w:t xml:space="preserve"> </w:t>
      </w:r>
      <w:r w:rsidRPr="00091776">
        <w:rPr>
          <w:rFonts w:cs="Arial"/>
        </w:rPr>
        <w:t xml:space="preserve">according to </w:t>
      </w:r>
      <w:r w:rsidR="00D41DDC" w:rsidRPr="00091776">
        <w:rPr>
          <w:rFonts w:cs="Arial"/>
        </w:rPr>
        <w:t xml:space="preserve">local contexts </w:t>
      </w:r>
      <w:r w:rsidRPr="00091776">
        <w:rPr>
          <w:rFonts w:cs="Arial"/>
        </w:rPr>
        <w:t xml:space="preserve">may be achieved through consensus methods structured according to </w:t>
      </w:r>
      <w:r w:rsidR="003D2D96" w:rsidRPr="00091776">
        <w:rPr>
          <w:rFonts w:cs="Arial"/>
        </w:rPr>
        <w:t>Affordability, Practicability, Effectiveness</w:t>
      </w:r>
      <w:r w:rsidR="004B5FCD" w:rsidRPr="00091776">
        <w:rPr>
          <w:rFonts w:cs="Arial"/>
        </w:rPr>
        <w:t>/</w:t>
      </w:r>
      <w:r w:rsidR="003D2D96" w:rsidRPr="00091776">
        <w:rPr>
          <w:rFonts w:cs="Arial"/>
        </w:rPr>
        <w:t>cost-effectiveness, Acceptability, Side effects/safety and Equity (</w:t>
      </w:r>
      <w:r w:rsidRPr="00091776">
        <w:rPr>
          <w:rFonts w:cs="Arial"/>
        </w:rPr>
        <w:t>APEASE</w:t>
      </w:r>
      <w:r w:rsidR="003D2D96" w:rsidRPr="00091776">
        <w:rPr>
          <w:rFonts w:cs="Arial"/>
        </w:rPr>
        <w:t>)</w:t>
      </w:r>
      <w:r w:rsidRPr="00091776">
        <w:rPr>
          <w:rFonts w:cs="Arial"/>
        </w:rPr>
        <w:fldChar w:fldCharType="begin" w:fldLock="1"/>
      </w:r>
      <w:r w:rsidR="00FC483E">
        <w:rPr>
          <w:rFonts w:cs="Arial"/>
        </w:rPr>
        <w:instrText>ADDIN CSL_CITATION {"citationItems":[{"id":"ITEM-1","itemData":{"ISBN":"978-1-291-84605-8","author":[{"dropping-particle":"","family":"Michie","given":"Susan","non-dropping-particle":"","parse-names":false,"suffix":""},{"dropping-particle":"","family":"Atkins","given":"Lou","non-dropping-particle":"","parse-names":false,"suffix":""},{"dropping-particle":"","family":"West","given":"Robert","non-dropping-particle":"","parse-names":false,"suffix":""}],"edition":"First edit","id":"ITEM-1","issued":{"date-parts":[["2014"]]},"publisher":"Silverback Publishing","title":"The Behaviour Change Wheel: A Guide to Designing Interventions","type":"book"},"uris":["http://www.mendeley.com/documents/?uuid=ff3733ce-e3a4-4906-acd2-aebd96ab94af"]}],"mendeley":{"formattedCitation":"[20]","plainTextFormattedCitation":"[20]","previouslyFormattedCitation":"[21]"},"properties":{"noteIndex":0},"schema":"https://github.com/citation-style-language/schema/raw/master/csl-citation.json"}</w:instrText>
      </w:r>
      <w:r w:rsidRPr="00091776">
        <w:rPr>
          <w:rFonts w:cs="Arial"/>
        </w:rPr>
        <w:fldChar w:fldCharType="separate"/>
      </w:r>
      <w:r w:rsidR="00FC483E" w:rsidRPr="00FC483E">
        <w:rPr>
          <w:rFonts w:cs="Arial"/>
          <w:noProof/>
        </w:rPr>
        <w:t>[20]</w:t>
      </w:r>
      <w:r w:rsidRPr="00091776">
        <w:rPr>
          <w:rFonts w:cs="Arial"/>
        </w:rPr>
        <w:fldChar w:fldCharType="end"/>
      </w:r>
      <w:r w:rsidR="00E72DC4" w:rsidRPr="00091776">
        <w:rPr>
          <w:rFonts w:cs="Arial"/>
        </w:rPr>
        <w:t>.</w:t>
      </w:r>
    </w:p>
    <w:p w14:paraId="7EAAFBCB" w14:textId="77777777" w:rsidR="00197F46" w:rsidRPr="00091776" w:rsidRDefault="00197F46" w:rsidP="00493314">
      <w:pPr>
        <w:spacing w:line="240" w:lineRule="auto"/>
        <w:rPr>
          <w:rFonts w:cs="Arial"/>
        </w:rPr>
      </w:pPr>
    </w:p>
    <w:p w14:paraId="008A891F" w14:textId="3D53AB83" w:rsidR="00197F46" w:rsidRPr="00216DBD" w:rsidRDefault="00B74729" w:rsidP="00493314">
      <w:pPr>
        <w:spacing w:line="240" w:lineRule="auto"/>
        <w:rPr>
          <w:rFonts w:cs="Arial"/>
          <w:b/>
        </w:rPr>
      </w:pPr>
      <w:r w:rsidRPr="00216DBD">
        <w:rPr>
          <w:rFonts w:cs="Arial"/>
          <w:b/>
        </w:rPr>
        <w:t>Acknowledgements</w:t>
      </w:r>
    </w:p>
    <w:p w14:paraId="79077500" w14:textId="60E0295B" w:rsidR="004A39B0" w:rsidRDefault="00503A49" w:rsidP="00493314">
      <w:pPr>
        <w:spacing w:line="240" w:lineRule="auto"/>
        <w:rPr>
          <w:rFonts w:cs="Arial"/>
        </w:rPr>
      </w:pPr>
      <w:r w:rsidRPr="00216DBD">
        <w:rPr>
          <w:rFonts w:cs="Arial"/>
        </w:rPr>
        <w:t>We</w:t>
      </w:r>
      <w:r w:rsidR="00B8698C" w:rsidRPr="00216DBD">
        <w:rPr>
          <w:rFonts w:cs="Arial"/>
        </w:rPr>
        <w:t xml:space="preserve"> thank participating geriatricians, pharmacists and gatekeepers for their contribution to this study. The authors also thank the National Institute for Health Research Clinical Research Network for assisting with recruitment.</w:t>
      </w:r>
    </w:p>
    <w:p w14:paraId="129F7143" w14:textId="77777777" w:rsidR="003A0F55" w:rsidRPr="00216DBD" w:rsidRDefault="003A0F55" w:rsidP="00493314">
      <w:pPr>
        <w:spacing w:line="240" w:lineRule="auto"/>
        <w:rPr>
          <w:rFonts w:cs="Arial"/>
        </w:rPr>
      </w:pPr>
    </w:p>
    <w:p w14:paraId="2C6127C0" w14:textId="77777777" w:rsidR="001C3809" w:rsidRPr="00216DBD" w:rsidRDefault="001C3809" w:rsidP="001C3809">
      <w:pPr>
        <w:spacing w:line="240" w:lineRule="auto"/>
        <w:rPr>
          <w:rFonts w:cs="Arial"/>
        </w:rPr>
      </w:pPr>
      <w:r w:rsidRPr="00216DBD">
        <w:rPr>
          <w:rStyle w:val="Strong"/>
          <w:color w:val="2A2A2A"/>
          <w:bdr w:val="none" w:sz="0" w:space="0" w:color="auto" w:frame="1"/>
          <w:shd w:val="clear" w:color="auto" w:fill="FFFFFF"/>
        </w:rPr>
        <w:t>Declaration of Sources of Funding</w:t>
      </w:r>
    </w:p>
    <w:p w14:paraId="643AC7FC" w14:textId="523105CD" w:rsidR="001C3809" w:rsidRPr="00216DBD" w:rsidRDefault="001C3809" w:rsidP="00493314">
      <w:pPr>
        <w:spacing w:line="240" w:lineRule="auto"/>
        <w:rPr>
          <w:rFonts w:cs="Arial"/>
        </w:rPr>
      </w:pPr>
      <w:r w:rsidRPr="00216DBD">
        <w:rPr>
          <w:color w:val="2A2A2A"/>
          <w:shd w:val="clear" w:color="auto" w:fill="FFFFFF"/>
        </w:rPr>
        <w:t>This work was supported by Pharmacy Research UK</w:t>
      </w:r>
      <w:r w:rsidR="003B467E" w:rsidRPr="00216DBD">
        <w:rPr>
          <w:color w:val="2A2A2A"/>
          <w:shd w:val="clear" w:color="auto" w:fill="FFFFFF"/>
        </w:rPr>
        <w:t xml:space="preserve"> [grant number </w:t>
      </w:r>
      <w:r w:rsidR="005F14E0" w:rsidRPr="00216DBD">
        <w:rPr>
          <w:color w:val="2A2A2A"/>
          <w:shd w:val="clear" w:color="auto" w:fill="FFFFFF"/>
          <w:lang w:val="en-US"/>
        </w:rPr>
        <w:t>PRUK-2018-GA-3-SS</w:t>
      </w:r>
      <w:r w:rsidR="004D10A6" w:rsidRPr="00216DBD">
        <w:rPr>
          <w:color w:val="2A2A2A"/>
          <w:shd w:val="clear" w:color="auto" w:fill="FFFFFF"/>
          <w:lang w:val="en-US"/>
        </w:rPr>
        <w:t>]</w:t>
      </w:r>
      <w:r w:rsidR="00216DBD" w:rsidRPr="00216DBD">
        <w:rPr>
          <w:color w:val="2A2A2A"/>
          <w:shd w:val="clear" w:color="auto" w:fill="FFFFFF"/>
          <w:lang w:val="en-US"/>
        </w:rPr>
        <w:t xml:space="preserve"> to [SS].</w:t>
      </w:r>
    </w:p>
    <w:p w14:paraId="5DBB0CCD" w14:textId="5BE876B8" w:rsidR="00CC0AB1" w:rsidRPr="00216DBD" w:rsidRDefault="00BD4C67" w:rsidP="00493314">
      <w:pPr>
        <w:spacing w:line="240" w:lineRule="auto"/>
        <w:rPr>
          <w:rFonts w:cs="Arial"/>
        </w:rPr>
      </w:pPr>
      <w:r w:rsidRPr="00216DBD">
        <w:rPr>
          <w:rFonts w:cs="Arial"/>
        </w:rPr>
        <w:br w:type="page"/>
      </w:r>
    </w:p>
    <w:p w14:paraId="6BE70A8F" w14:textId="34634009" w:rsidR="002D7F42" w:rsidRPr="00B74729" w:rsidRDefault="00B74729" w:rsidP="00493314">
      <w:pPr>
        <w:spacing w:line="240" w:lineRule="auto"/>
        <w:rPr>
          <w:rFonts w:cs="Arial"/>
          <w:b/>
          <w:sz w:val="24"/>
        </w:rPr>
      </w:pPr>
      <w:r w:rsidRPr="00B74729">
        <w:rPr>
          <w:rFonts w:cs="Arial"/>
          <w:b/>
          <w:sz w:val="24"/>
        </w:rPr>
        <w:lastRenderedPageBreak/>
        <w:t>References</w:t>
      </w:r>
    </w:p>
    <w:p w14:paraId="1A1A2518" w14:textId="2677F243" w:rsidR="00FC483E" w:rsidRPr="00FC483E" w:rsidRDefault="002D7F42" w:rsidP="00FC483E">
      <w:pPr>
        <w:widowControl w:val="0"/>
        <w:autoSpaceDE w:val="0"/>
        <w:autoSpaceDN w:val="0"/>
        <w:adjustRightInd w:val="0"/>
        <w:spacing w:line="240" w:lineRule="auto"/>
        <w:ind w:left="640" w:hanging="640"/>
        <w:rPr>
          <w:rFonts w:cs="Arial"/>
          <w:noProof/>
          <w:szCs w:val="24"/>
        </w:rPr>
      </w:pPr>
      <w:r w:rsidRPr="00091776">
        <w:rPr>
          <w:rFonts w:cs="Arial"/>
        </w:rPr>
        <w:fldChar w:fldCharType="begin" w:fldLock="1"/>
      </w:r>
      <w:r w:rsidRPr="00091776">
        <w:rPr>
          <w:rFonts w:cs="Arial"/>
        </w:rPr>
        <w:instrText xml:space="preserve">ADDIN Mendeley Bibliography CSL_BIBLIOGRAPHY </w:instrText>
      </w:r>
      <w:r w:rsidRPr="00091776">
        <w:rPr>
          <w:rFonts w:cs="Arial"/>
        </w:rPr>
        <w:fldChar w:fldCharType="separate"/>
      </w:r>
      <w:r w:rsidR="00FC483E" w:rsidRPr="00FC483E">
        <w:rPr>
          <w:rFonts w:cs="Arial"/>
          <w:noProof/>
          <w:szCs w:val="24"/>
        </w:rPr>
        <w:t xml:space="preserve">1. </w:t>
      </w:r>
      <w:r w:rsidR="00FC483E" w:rsidRPr="00FC483E">
        <w:rPr>
          <w:rFonts w:cs="Arial"/>
          <w:noProof/>
          <w:szCs w:val="24"/>
        </w:rPr>
        <w:tab/>
        <w:t xml:space="preserve">Gallagher P, Lang PO, Cherubini A, Topinková E, Cruz-Jentoft A, Montero Errasquín B, et al. Prevalence of potentially inappropriate prescribing in an acutely ill population of older patients admitted to six European hospitals. Eur J Clin Pharmacol. 2011;67(11):1175–88. </w:t>
      </w:r>
    </w:p>
    <w:p w14:paraId="780DBF11"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 </w:t>
      </w:r>
      <w:r w:rsidRPr="00FC483E">
        <w:rPr>
          <w:rFonts w:cs="Arial"/>
          <w:noProof/>
          <w:szCs w:val="24"/>
        </w:rPr>
        <w:tab/>
        <w:t xml:space="preserve">Avery AJ, Coleman JJ. Tackling potentially inappropriate prescribing. BMJ. 2018;363. </w:t>
      </w:r>
    </w:p>
    <w:p w14:paraId="4267D59A"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3. </w:t>
      </w:r>
      <w:r w:rsidRPr="00FC483E">
        <w:rPr>
          <w:rFonts w:cs="Arial"/>
          <w:noProof/>
          <w:szCs w:val="24"/>
        </w:rPr>
        <w:tab/>
        <w:t xml:space="preserve">Scott S, Clark A, Farrow C, May H, Patel M, Twigg MJ, et al. Deprescribing admission medication at a UK teaching hospital; a report on quantity and nature of activity. Int J Clin Pharm. 2018; </w:t>
      </w:r>
    </w:p>
    <w:p w14:paraId="247A5A7A"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4. </w:t>
      </w:r>
      <w:r w:rsidRPr="00FC483E">
        <w:rPr>
          <w:rFonts w:cs="Arial"/>
          <w:noProof/>
          <w:szCs w:val="24"/>
        </w:rPr>
        <w:tab/>
        <w:t xml:space="preserve">Atkins L, Francis J, Islam R, O’Connor D, Patey A, Ivers N, et al. A guide to using the Theoretical Domains Framework of behaviour change to investigate implementation problems. Implement Sci. 2017;12(1):77. </w:t>
      </w:r>
    </w:p>
    <w:p w14:paraId="04EDB285"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5. </w:t>
      </w:r>
      <w:r w:rsidRPr="00FC483E">
        <w:rPr>
          <w:rFonts w:cs="Arial"/>
          <w:noProof/>
          <w:szCs w:val="24"/>
        </w:rPr>
        <w:tab/>
        <w:t xml:space="preserve">Anderson K, Stowasser D, Freeman C, Scott I. Prescriber barriers and enablers to minimising potentially inappropriate medications in adults: a systematic review and thematic synthesis. BMJ Open. 2014;4(12):e006544. </w:t>
      </w:r>
    </w:p>
    <w:p w14:paraId="2DE654A3"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6. </w:t>
      </w:r>
      <w:r w:rsidRPr="00FC483E">
        <w:rPr>
          <w:rFonts w:cs="Arial"/>
          <w:noProof/>
          <w:szCs w:val="24"/>
        </w:rPr>
        <w:tab/>
        <w:t xml:space="preserve">Farrell B, Black C, Thompson W, McCarthy L, Rojas-Fernandez C, Lochnan H, et al. Deprescribing antihyperglycemic agents in older persons: Evidence-based clinical practice guideline. Can Fam Physician. 2017;63(11):832–43. </w:t>
      </w:r>
    </w:p>
    <w:p w14:paraId="7849AD28"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7. </w:t>
      </w:r>
      <w:r w:rsidRPr="00FC483E">
        <w:rPr>
          <w:rFonts w:cs="Arial"/>
          <w:noProof/>
          <w:szCs w:val="24"/>
        </w:rPr>
        <w:tab/>
        <w:t xml:space="preserve">Farrell B, Pottie K, Thompson W, Boghossian T, Pizzola L, Rashid F, et al. Deprescribing proton pump inhibitors: Evidence-based clinical practice guideline. Can Fam Physician. 2017;63:354–64. </w:t>
      </w:r>
    </w:p>
    <w:p w14:paraId="3D84BD5C"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8. </w:t>
      </w:r>
      <w:r w:rsidRPr="00FC483E">
        <w:rPr>
          <w:rFonts w:cs="Arial"/>
          <w:noProof/>
          <w:szCs w:val="24"/>
        </w:rPr>
        <w:tab/>
        <w:t xml:space="preserve">Pottie K, Thompson W, Davies S, Grenier J, Sadowski CA, Welch V, et al. Deprescribing benzodiazepine receptor agonists: Evidence-based clinical practice guideline. Can Fam Physician. 2018;64(5):339–51. </w:t>
      </w:r>
    </w:p>
    <w:p w14:paraId="28614691"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9. </w:t>
      </w:r>
      <w:r w:rsidRPr="00FC483E">
        <w:rPr>
          <w:rFonts w:cs="Arial"/>
          <w:noProof/>
          <w:szCs w:val="24"/>
        </w:rPr>
        <w:tab/>
        <w:t xml:space="preserve">Bjerre LM, Farrell B, Hogel M, Graham L, Lemay G, McCarthy L, et al. Deprescribing antipsychotics for behavioural and psychological symptoms of dementia and insomnia: Evidence-based clinical practice guideline. Can Fam Physician. 2018;64(1):17–27. </w:t>
      </w:r>
    </w:p>
    <w:p w14:paraId="36DD01D7"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10. </w:t>
      </w:r>
      <w:r w:rsidRPr="00FC483E">
        <w:rPr>
          <w:rFonts w:cs="Arial"/>
          <w:noProof/>
          <w:szCs w:val="24"/>
        </w:rPr>
        <w:tab/>
        <w:t xml:space="preserve">Martin P, Tannenbaum C. Use of the EMPOWER brochure to deprescribe sedative-hypnotic drugs in older adults with mild cognitive impairment. BMC Geriatr. 2017;17(1):37. </w:t>
      </w:r>
    </w:p>
    <w:p w14:paraId="579C74CA"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11. </w:t>
      </w:r>
      <w:r w:rsidRPr="00FC483E">
        <w:rPr>
          <w:rFonts w:cs="Arial"/>
          <w:noProof/>
          <w:szCs w:val="24"/>
        </w:rPr>
        <w:tab/>
        <w:t xml:space="preserve">Thillainadesan J, Gnjidic D, Green S, Hilmer SN. Impact of Deprescribing Interventions in Older Hospitalised Patients on Prescribing and Clinical Outcomes: A Systematic Review of Randomised Trials. Drugs Aging. 2018 Apr;35(4):303–19. </w:t>
      </w:r>
    </w:p>
    <w:p w14:paraId="28394180"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12. </w:t>
      </w:r>
      <w:r w:rsidRPr="00FC483E">
        <w:rPr>
          <w:rFonts w:cs="Arial"/>
          <w:noProof/>
          <w:szCs w:val="24"/>
        </w:rPr>
        <w:tab/>
        <w:t xml:space="preserve">Papanikolaou PN, Christidi GD, Ioannidis JPA. Patient outcomes with teaching versus nonteaching healthcare: a systematic review. PLoS Med. 2006;3(9):e341. </w:t>
      </w:r>
    </w:p>
    <w:p w14:paraId="3792965B"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13. </w:t>
      </w:r>
      <w:r w:rsidRPr="00FC483E">
        <w:rPr>
          <w:rFonts w:cs="Arial"/>
          <w:noProof/>
          <w:szCs w:val="24"/>
        </w:rPr>
        <w:tab/>
        <w:t xml:space="preserve">Craig P, Dieppe P, Macintyre S, Michie S, Nazareth I, Petticrew M. Developing and evaluating complex interventions: the new Medical Research Council guidance. BMJ  Br Med J. 2008;1655. </w:t>
      </w:r>
    </w:p>
    <w:p w14:paraId="0D9EE625"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14. </w:t>
      </w:r>
      <w:r w:rsidRPr="00FC483E">
        <w:rPr>
          <w:rFonts w:cs="Arial"/>
          <w:noProof/>
          <w:szCs w:val="24"/>
        </w:rPr>
        <w:tab/>
        <w:t xml:space="preserve">Cane J, O’Connor D, Michie S. Validation of the theoretical domains framework for use in behaviour change and implementation research. Implement Sci. 2012;7(1):37. </w:t>
      </w:r>
    </w:p>
    <w:p w14:paraId="23EFDF0D"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15. </w:t>
      </w:r>
      <w:r w:rsidRPr="00FC483E">
        <w:rPr>
          <w:rFonts w:cs="Arial"/>
          <w:noProof/>
          <w:szCs w:val="24"/>
        </w:rPr>
        <w:tab/>
        <w:t xml:space="preserve">Cane J, Richardson M, Johnston M, Ladha R, Michie S. From lists of behaviour change techniques (BCTs) to structured hierarchies: Comparison of two methods of developing a hierarchy of BCTs. Br J Health Psychol. 2015;20(1):130–50. </w:t>
      </w:r>
    </w:p>
    <w:p w14:paraId="444CC5BF"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lastRenderedPageBreak/>
        <w:t xml:space="preserve">16. </w:t>
      </w:r>
      <w:r w:rsidRPr="00FC483E">
        <w:rPr>
          <w:rFonts w:cs="Arial"/>
          <w:noProof/>
          <w:szCs w:val="24"/>
        </w:rPr>
        <w:tab/>
        <w:t>Gulasingam P, Haq R, Mascarenhas Johnson A, Togo E, Moore J, Straus SE, et al. Using Implementation Science to Promote the Use of the G8 Screening Tool in Geriatric Oncology. J Am Geriatr Soc [Internet]. 2019 Apr 7;0(0). Available from: https://doi.org/10.1111/jgs.15920</w:t>
      </w:r>
    </w:p>
    <w:p w14:paraId="504B09ED"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17. </w:t>
      </w:r>
      <w:r w:rsidRPr="00FC483E">
        <w:rPr>
          <w:rFonts w:cs="Arial"/>
          <w:noProof/>
          <w:szCs w:val="24"/>
        </w:rPr>
        <w:tab/>
        <w:t xml:space="preserve">Francis JJ, Johnston M, Robertson C, Glidewell L, Entwistle V, Eccles MP, et al. What is an adequate sample size? Operationalising data saturation for theory-based interview studies. Psychol Heal. 2010;25(10):1229–45. </w:t>
      </w:r>
    </w:p>
    <w:p w14:paraId="69C8A542"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18. </w:t>
      </w:r>
      <w:r w:rsidRPr="00FC483E">
        <w:rPr>
          <w:rFonts w:cs="Arial"/>
          <w:noProof/>
          <w:szCs w:val="24"/>
        </w:rPr>
        <w:tab/>
        <w:t xml:space="preserve">Braun V, Clarke V. Using thematic analysis in psychology. Qual Res Psychol. 2006;3(2):77–101. </w:t>
      </w:r>
    </w:p>
    <w:p w14:paraId="5178BED9"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19. </w:t>
      </w:r>
      <w:r w:rsidRPr="00FC483E">
        <w:rPr>
          <w:rFonts w:cs="Arial"/>
          <w:noProof/>
          <w:szCs w:val="24"/>
        </w:rPr>
        <w:tab/>
        <w:t xml:space="preserve">McMillan SS, King M, Tully MP. How to use the nominal group and Delphi techniques. Int J Clin Pharm. 2016;38(3):655–62. </w:t>
      </w:r>
    </w:p>
    <w:p w14:paraId="203E7DED"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20. </w:t>
      </w:r>
      <w:r w:rsidRPr="00FC483E">
        <w:rPr>
          <w:rFonts w:cs="Arial"/>
          <w:noProof/>
          <w:szCs w:val="24"/>
        </w:rPr>
        <w:tab/>
        <w:t xml:space="preserve">Michie S, Atkins L, West R. The Behaviour Change Wheel: A Guide to Designing Interventions. First edit. Silverback Publishing; 2014. </w:t>
      </w:r>
    </w:p>
    <w:p w14:paraId="1871A093"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21. </w:t>
      </w:r>
      <w:r w:rsidRPr="00FC483E">
        <w:rPr>
          <w:rFonts w:cs="Arial"/>
          <w:noProof/>
          <w:szCs w:val="24"/>
        </w:rPr>
        <w:tab/>
        <w:t xml:space="preserve">Béchet C, Pichon R, Giordan A, Bonnabry P. Hospital pharmacists seen through the eyes of physicians: qualitative semi-structured interviews. Int J Clin Pharm. 2016;38(6):1483–96. </w:t>
      </w:r>
    </w:p>
    <w:p w14:paraId="5A29F913"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22. </w:t>
      </w:r>
      <w:r w:rsidRPr="00FC483E">
        <w:rPr>
          <w:rFonts w:cs="Arial"/>
          <w:noProof/>
          <w:szCs w:val="24"/>
        </w:rPr>
        <w:tab/>
        <w:t xml:space="preserve">Makowsky MJ, Schindel TJ, Rosenthal M, Campbell K, Tsuyuki RT, Madill HM. Collaboration between pharmacists, physicians and nurse practitioners: a qualitative investigation of working relationships in the inpatient medical setting. J Interprof Care. 2009;23(2):169–84. </w:t>
      </w:r>
    </w:p>
    <w:p w14:paraId="1745274B"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23. </w:t>
      </w:r>
      <w:r w:rsidRPr="00FC483E">
        <w:rPr>
          <w:rFonts w:cs="Arial"/>
          <w:noProof/>
          <w:szCs w:val="24"/>
        </w:rPr>
        <w:tab/>
        <w:t xml:space="preserve">Okeowo D, Patterson A, Boyd C, Reeve E, Gnjidic D, Todd A. Clinical practice guidelines for older people with multimorbidity and life-limiting illness: what are the implications for deprescribing? Ther Adv drug Saf. 2018;9(11):619–30. </w:t>
      </w:r>
    </w:p>
    <w:p w14:paraId="53013678"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24. </w:t>
      </w:r>
      <w:r w:rsidRPr="00FC483E">
        <w:rPr>
          <w:rFonts w:cs="Arial"/>
          <w:noProof/>
          <w:szCs w:val="24"/>
        </w:rPr>
        <w:tab/>
        <w:t xml:space="preserve">Reeve E, Anthony AC, Kouladjian O’Donnell L, Low L, Ogle SJ, Glendenning JE, et al. Development and pilot testing of the revised Patients’ Attitudes Towards Deprescribing questionnaire for people with cognitive impairment. Australas J Ageing. 2018;37(4):E150–4. </w:t>
      </w:r>
    </w:p>
    <w:p w14:paraId="70938BB5"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25. </w:t>
      </w:r>
      <w:r w:rsidRPr="00FC483E">
        <w:rPr>
          <w:rFonts w:cs="Arial"/>
          <w:noProof/>
          <w:szCs w:val="24"/>
        </w:rPr>
        <w:tab/>
        <w:t xml:space="preserve">Sirois C, Ouellet N, Reeve E. Community-dwelling older people’s attitudes towards deprescribing in Canada. Res Soc Adm Pharm. 2017;13(4):864–70. </w:t>
      </w:r>
    </w:p>
    <w:p w14:paraId="67639118"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26. </w:t>
      </w:r>
      <w:r w:rsidRPr="00FC483E">
        <w:rPr>
          <w:rFonts w:cs="Arial"/>
          <w:noProof/>
          <w:szCs w:val="24"/>
        </w:rPr>
        <w:tab/>
        <w:t xml:space="preserve">Islam J, Ashiru-Oredope D, Budd E, Howard P, Walker AS, Hopkins S, et al. A national quality incentive scheme to reduce antibiotic overuse in hospitals: evaluation of perceptions and impact. J Antimicrob Chemother. 2018;73(6):1708–13. </w:t>
      </w:r>
    </w:p>
    <w:p w14:paraId="71C226C0"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27. </w:t>
      </w:r>
      <w:r w:rsidRPr="00FC483E">
        <w:rPr>
          <w:rFonts w:cs="Arial"/>
          <w:noProof/>
          <w:szCs w:val="24"/>
        </w:rPr>
        <w:tab/>
        <w:t xml:space="preserve">Woodward MC. Deprescribing: achieving better health outcomes for older people through reducing medications. J Pharm Pract Res. 2003;33(4):323–8. </w:t>
      </w:r>
    </w:p>
    <w:p w14:paraId="40557635"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28. </w:t>
      </w:r>
      <w:r w:rsidRPr="00FC483E">
        <w:rPr>
          <w:rFonts w:cs="Arial"/>
          <w:noProof/>
          <w:szCs w:val="24"/>
        </w:rPr>
        <w:tab/>
        <w:t xml:space="preserve">Pike H. Deprescribing: the fightback against polypharmacy has begun. Pharm J. 2018;301:11. </w:t>
      </w:r>
    </w:p>
    <w:p w14:paraId="29A49CCE" w14:textId="77777777" w:rsidR="00FC483E" w:rsidRPr="00FC483E" w:rsidRDefault="00FC483E" w:rsidP="00FC483E">
      <w:pPr>
        <w:widowControl w:val="0"/>
        <w:autoSpaceDE w:val="0"/>
        <w:autoSpaceDN w:val="0"/>
        <w:adjustRightInd w:val="0"/>
        <w:spacing w:line="240" w:lineRule="auto"/>
        <w:ind w:left="640" w:hanging="640"/>
        <w:rPr>
          <w:rFonts w:cs="Arial"/>
          <w:noProof/>
          <w:szCs w:val="24"/>
        </w:rPr>
      </w:pPr>
      <w:r w:rsidRPr="00FC483E">
        <w:rPr>
          <w:rFonts w:cs="Arial"/>
          <w:noProof/>
          <w:szCs w:val="24"/>
        </w:rPr>
        <w:t xml:space="preserve">29. </w:t>
      </w:r>
      <w:r w:rsidRPr="00FC483E">
        <w:rPr>
          <w:rFonts w:cs="Arial"/>
          <w:noProof/>
          <w:szCs w:val="24"/>
        </w:rPr>
        <w:tab/>
        <w:t xml:space="preserve">Farmer T, Robinson K, Elliott SJ, Eyles J. Developing and implementing a triangulation protocol for qualitative health research. Qual Health Res. 2006;16(3):377–94. </w:t>
      </w:r>
    </w:p>
    <w:p w14:paraId="2B20649A" w14:textId="77777777" w:rsidR="00FC483E" w:rsidRPr="00FC483E" w:rsidRDefault="00FC483E" w:rsidP="00FC483E">
      <w:pPr>
        <w:widowControl w:val="0"/>
        <w:autoSpaceDE w:val="0"/>
        <w:autoSpaceDN w:val="0"/>
        <w:adjustRightInd w:val="0"/>
        <w:spacing w:line="240" w:lineRule="auto"/>
        <w:ind w:left="640" w:hanging="640"/>
        <w:rPr>
          <w:rFonts w:cs="Arial"/>
          <w:noProof/>
        </w:rPr>
      </w:pPr>
      <w:r w:rsidRPr="00FC483E">
        <w:rPr>
          <w:rFonts w:cs="Arial"/>
          <w:noProof/>
          <w:szCs w:val="24"/>
        </w:rPr>
        <w:t xml:space="preserve">30. </w:t>
      </w:r>
      <w:r w:rsidRPr="00FC483E">
        <w:rPr>
          <w:rFonts w:cs="Arial"/>
          <w:noProof/>
          <w:szCs w:val="24"/>
        </w:rPr>
        <w:tab/>
        <w:t xml:space="preserve">Smith B. Generalizability in qualitative research: misunderstandings, opportunities and recommendations for the sport and exercise sciences. Qual Res Sport Exerc Heal. 2018;10(1):137–49. </w:t>
      </w:r>
    </w:p>
    <w:p w14:paraId="29F3AF8C" w14:textId="1D71E546" w:rsidR="0012605A" w:rsidRPr="00091776" w:rsidRDefault="002D7F42" w:rsidP="00B74729">
      <w:pPr>
        <w:widowControl w:val="0"/>
        <w:autoSpaceDE w:val="0"/>
        <w:autoSpaceDN w:val="0"/>
        <w:adjustRightInd w:val="0"/>
        <w:spacing w:line="240" w:lineRule="auto"/>
        <w:rPr>
          <w:rFonts w:cs="Arial"/>
        </w:rPr>
      </w:pPr>
      <w:r w:rsidRPr="00091776">
        <w:rPr>
          <w:rFonts w:cs="Arial"/>
        </w:rPr>
        <w:fldChar w:fldCharType="end"/>
      </w:r>
    </w:p>
    <w:sectPr w:rsidR="0012605A" w:rsidRPr="00091776" w:rsidSect="006D2C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3D104" w14:textId="77777777" w:rsidR="00F96DA2" w:rsidRDefault="00F96DA2" w:rsidP="00802AB3">
      <w:pPr>
        <w:spacing w:after="0" w:line="240" w:lineRule="auto"/>
      </w:pPr>
      <w:r>
        <w:separator/>
      </w:r>
    </w:p>
  </w:endnote>
  <w:endnote w:type="continuationSeparator" w:id="0">
    <w:p w14:paraId="04B7AFB3" w14:textId="77777777" w:rsidR="00F96DA2" w:rsidRDefault="00F96DA2" w:rsidP="00802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99508" w14:textId="40F51355" w:rsidR="00EB4C2A" w:rsidRDefault="00EB4C2A">
    <w:pPr>
      <w:pStyle w:val="Footer"/>
      <w:jc w:val="right"/>
    </w:pPr>
  </w:p>
  <w:p w14:paraId="26870C54" w14:textId="77777777" w:rsidR="00EB4C2A" w:rsidRDefault="00EB4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913B64" w14:textId="77777777" w:rsidR="00F96DA2" w:rsidRDefault="00F96DA2" w:rsidP="00802AB3">
      <w:pPr>
        <w:spacing w:after="0" w:line="240" w:lineRule="auto"/>
      </w:pPr>
      <w:r>
        <w:separator/>
      </w:r>
    </w:p>
  </w:footnote>
  <w:footnote w:type="continuationSeparator" w:id="0">
    <w:p w14:paraId="0531BAD6" w14:textId="77777777" w:rsidR="00F96DA2" w:rsidRDefault="00F96DA2" w:rsidP="00802A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1EBB"/>
    <w:multiLevelType w:val="hybridMultilevel"/>
    <w:tmpl w:val="22D23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538B3"/>
    <w:multiLevelType w:val="hybridMultilevel"/>
    <w:tmpl w:val="A4643E2E"/>
    <w:lvl w:ilvl="0" w:tplc="0809000F">
      <w:start w:val="3"/>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F546938"/>
    <w:multiLevelType w:val="hybridMultilevel"/>
    <w:tmpl w:val="AFCEF7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546718"/>
    <w:multiLevelType w:val="multilevel"/>
    <w:tmpl w:val="BD34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F4C41"/>
    <w:multiLevelType w:val="hybridMultilevel"/>
    <w:tmpl w:val="0FA44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6423488"/>
    <w:multiLevelType w:val="hybridMultilevel"/>
    <w:tmpl w:val="0ED8D0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BE"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US" w:vendorID="64" w:dllVersion="6" w:nlCheck="1" w:checkStyle="1"/>
  <w:activeWritingStyle w:appName="MSWord" w:lang="en-GB" w:vendorID="64" w:dllVersion="0" w:nlCheck="1" w:checkStyle="0"/>
  <w:activeWritingStyle w:appName="MSWord" w:lang="en-GB" w:vendorID="64" w:dllVersion="131078" w:nlCheck="1" w:checkStyle="1"/>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F51"/>
    <w:rsid w:val="00000AF6"/>
    <w:rsid w:val="00002BCF"/>
    <w:rsid w:val="00004216"/>
    <w:rsid w:val="00004A3F"/>
    <w:rsid w:val="000065C2"/>
    <w:rsid w:val="000066F4"/>
    <w:rsid w:val="000126B4"/>
    <w:rsid w:val="00013131"/>
    <w:rsid w:val="00013A9A"/>
    <w:rsid w:val="00014087"/>
    <w:rsid w:val="00016C30"/>
    <w:rsid w:val="00020C77"/>
    <w:rsid w:val="00021160"/>
    <w:rsid w:val="00023338"/>
    <w:rsid w:val="000238F7"/>
    <w:rsid w:val="00024EDE"/>
    <w:rsid w:val="00026121"/>
    <w:rsid w:val="00026506"/>
    <w:rsid w:val="00026F09"/>
    <w:rsid w:val="00027132"/>
    <w:rsid w:val="0002782C"/>
    <w:rsid w:val="0003074F"/>
    <w:rsid w:val="00031356"/>
    <w:rsid w:val="00033158"/>
    <w:rsid w:val="00034233"/>
    <w:rsid w:val="00034667"/>
    <w:rsid w:val="0003609B"/>
    <w:rsid w:val="00037084"/>
    <w:rsid w:val="000371AA"/>
    <w:rsid w:val="000401A4"/>
    <w:rsid w:val="00041054"/>
    <w:rsid w:val="00043917"/>
    <w:rsid w:val="00044982"/>
    <w:rsid w:val="00044F4C"/>
    <w:rsid w:val="00047789"/>
    <w:rsid w:val="00047E7A"/>
    <w:rsid w:val="00047FEC"/>
    <w:rsid w:val="00050657"/>
    <w:rsid w:val="000517CC"/>
    <w:rsid w:val="0005424C"/>
    <w:rsid w:val="0005466B"/>
    <w:rsid w:val="000546F2"/>
    <w:rsid w:val="00054C35"/>
    <w:rsid w:val="00055780"/>
    <w:rsid w:val="0005588F"/>
    <w:rsid w:val="00056937"/>
    <w:rsid w:val="000576D7"/>
    <w:rsid w:val="000653D9"/>
    <w:rsid w:val="0006547F"/>
    <w:rsid w:val="00065518"/>
    <w:rsid w:val="00066649"/>
    <w:rsid w:val="00067859"/>
    <w:rsid w:val="00067BC5"/>
    <w:rsid w:val="00067D4C"/>
    <w:rsid w:val="0007024F"/>
    <w:rsid w:val="000705B2"/>
    <w:rsid w:val="00070F7D"/>
    <w:rsid w:val="0007236F"/>
    <w:rsid w:val="0007384D"/>
    <w:rsid w:val="00074055"/>
    <w:rsid w:val="000741C6"/>
    <w:rsid w:val="00077463"/>
    <w:rsid w:val="00077942"/>
    <w:rsid w:val="00077ABD"/>
    <w:rsid w:val="00077D3B"/>
    <w:rsid w:val="00077FD7"/>
    <w:rsid w:val="000808F7"/>
    <w:rsid w:val="00080B67"/>
    <w:rsid w:val="000834F4"/>
    <w:rsid w:val="00083A6E"/>
    <w:rsid w:val="00084B2F"/>
    <w:rsid w:val="00085214"/>
    <w:rsid w:val="00085A82"/>
    <w:rsid w:val="00086062"/>
    <w:rsid w:val="00086125"/>
    <w:rsid w:val="000874C0"/>
    <w:rsid w:val="000910E5"/>
    <w:rsid w:val="00091776"/>
    <w:rsid w:val="00092450"/>
    <w:rsid w:val="00092963"/>
    <w:rsid w:val="00093082"/>
    <w:rsid w:val="0009568D"/>
    <w:rsid w:val="00096D41"/>
    <w:rsid w:val="00097318"/>
    <w:rsid w:val="00097614"/>
    <w:rsid w:val="0009765C"/>
    <w:rsid w:val="000A02D9"/>
    <w:rsid w:val="000A0552"/>
    <w:rsid w:val="000A2048"/>
    <w:rsid w:val="000A3609"/>
    <w:rsid w:val="000A36C7"/>
    <w:rsid w:val="000A4771"/>
    <w:rsid w:val="000A54D5"/>
    <w:rsid w:val="000A581E"/>
    <w:rsid w:val="000A5830"/>
    <w:rsid w:val="000A5E8D"/>
    <w:rsid w:val="000A6AA7"/>
    <w:rsid w:val="000A74ED"/>
    <w:rsid w:val="000B122F"/>
    <w:rsid w:val="000B2A8E"/>
    <w:rsid w:val="000B3175"/>
    <w:rsid w:val="000B376C"/>
    <w:rsid w:val="000B4E98"/>
    <w:rsid w:val="000B5CD2"/>
    <w:rsid w:val="000B6269"/>
    <w:rsid w:val="000B62ED"/>
    <w:rsid w:val="000B7E4A"/>
    <w:rsid w:val="000B7FBE"/>
    <w:rsid w:val="000C2669"/>
    <w:rsid w:val="000C2F16"/>
    <w:rsid w:val="000C4A75"/>
    <w:rsid w:val="000C5123"/>
    <w:rsid w:val="000C6AE2"/>
    <w:rsid w:val="000D0846"/>
    <w:rsid w:val="000D1033"/>
    <w:rsid w:val="000D14B3"/>
    <w:rsid w:val="000D2536"/>
    <w:rsid w:val="000D2A4C"/>
    <w:rsid w:val="000D3C9E"/>
    <w:rsid w:val="000D5169"/>
    <w:rsid w:val="000D71A1"/>
    <w:rsid w:val="000D7206"/>
    <w:rsid w:val="000E0694"/>
    <w:rsid w:val="000E080D"/>
    <w:rsid w:val="000E2FC6"/>
    <w:rsid w:val="000E3474"/>
    <w:rsid w:val="000E3A19"/>
    <w:rsid w:val="000E4158"/>
    <w:rsid w:val="000E47B7"/>
    <w:rsid w:val="000E4B63"/>
    <w:rsid w:val="000E5C54"/>
    <w:rsid w:val="000E5DE2"/>
    <w:rsid w:val="000E6540"/>
    <w:rsid w:val="000E6D73"/>
    <w:rsid w:val="000E7609"/>
    <w:rsid w:val="000E79EB"/>
    <w:rsid w:val="000E7A98"/>
    <w:rsid w:val="000F0627"/>
    <w:rsid w:val="000F0A9E"/>
    <w:rsid w:val="000F3431"/>
    <w:rsid w:val="000F47D2"/>
    <w:rsid w:val="000F4C7B"/>
    <w:rsid w:val="000F4EB3"/>
    <w:rsid w:val="000F6238"/>
    <w:rsid w:val="000F62B8"/>
    <w:rsid w:val="000F7603"/>
    <w:rsid w:val="001013E1"/>
    <w:rsid w:val="0010151C"/>
    <w:rsid w:val="00102BFC"/>
    <w:rsid w:val="001050B4"/>
    <w:rsid w:val="00106FC7"/>
    <w:rsid w:val="0010736D"/>
    <w:rsid w:val="00107448"/>
    <w:rsid w:val="001100FC"/>
    <w:rsid w:val="00112C31"/>
    <w:rsid w:val="00112E9C"/>
    <w:rsid w:val="001148A8"/>
    <w:rsid w:val="00114C89"/>
    <w:rsid w:val="00116258"/>
    <w:rsid w:val="001170E7"/>
    <w:rsid w:val="0011756A"/>
    <w:rsid w:val="00120144"/>
    <w:rsid w:val="0012124F"/>
    <w:rsid w:val="001218B3"/>
    <w:rsid w:val="00121A6D"/>
    <w:rsid w:val="00122109"/>
    <w:rsid w:val="00122750"/>
    <w:rsid w:val="00124036"/>
    <w:rsid w:val="00125973"/>
    <w:rsid w:val="00125E2F"/>
    <w:rsid w:val="0012605A"/>
    <w:rsid w:val="00131899"/>
    <w:rsid w:val="00132E3F"/>
    <w:rsid w:val="0013331D"/>
    <w:rsid w:val="001358E6"/>
    <w:rsid w:val="0013717E"/>
    <w:rsid w:val="00140EDE"/>
    <w:rsid w:val="001427BD"/>
    <w:rsid w:val="001446FA"/>
    <w:rsid w:val="00145831"/>
    <w:rsid w:val="001458F6"/>
    <w:rsid w:val="001477F0"/>
    <w:rsid w:val="00150335"/>
    <w:rsid w:val="00151666"/>
    <w:rsid w:val="00151843"/>
    <w:rsid w:val="001521B3"/>
    <w:rsid w:val="00152AD5"/>
    <w:rsid w:val="00152DAE"/>
    <w:rsid w:val="0015445B"/>
    <w:rsid w:val="001548C9"/>
    <w:rsid w:val="001555C9"/>
    <w:rsid w:val="00155B17"/>
    <w:rsid w:val="00156C04"/>
    <w:rsid w:val="001578C4"/>
    <w:rsid w:val="0016078B"/>
    <w:rsid w:val="001619C1"/>
    <w:rsid w:val="00161A6F"/>
    <w:rsid w:val="00162AA9"/>
    <w:rsid w:val="0016463D"/>
    <w:rsid w:val="00164CF2"/>
    <w:rsid w:val="00165849"/>
    <w:rsid w:val="001662A4"/>
    <w:rsid w:val="001666DE"/>
    <w:rsid w:val="00166721"/>
    <w:rsid w:val="00166993"/>
    <w:rsid w:val="00167ADD"/>
    <w:rsid w:val="00170736"/>
    <w:rsid w:val="00171AC6"/>
    <w:rsid w:val="00173F9D"/>
    <w:rsid w:val="001748EF"/>
    <w:rsid w:val="00175CC3"/>
    <w:rsid w:val="001768D9"/>
    <w:rsid w:val="0017758C"/>
    <w:rsid w:val="00177A56"/>
    <w:rsid w:val="0018010B"/>
    <w:rsid w:val="00181616"/>
    <w:rsid w:val="00183939"/>
    <w:rsid w:val="00183AE4"/>
    <w:rsid w:val="001848A8"/>
    <w:rsid w:val="001849E0"/>
    <w:rsid w:val="00185722"/>
    <w:rsid w:val="00185CD4"/>
    <w:rsid w:val="00190453"/>
    <w:rsid w:val="00192996"/>
    <w:rsid w:val="00193EC9"/>
    <w:rsid w:val="00194AA4"/>
    <w:rsid w:val="00194EE5"/>
    <w:rsid w:val="00194FF6"/>
    <w:rsid w:val="00195291"/>
    <w:rsid w:val="001960D8"/>
    <w:rsid w:val="001963BF"/>
    <w:rsid w:val="001968B3"/>
    <w:rsid w:val="00197F46"/>
    <w:rsid w:val="001A031C"/>
    <w:rsid w:val="001A0CF8"/>
    <w:rsid w:val="001A288E"/>
    <w:rsid w:val="001A2F9B"/>
    <w:rsid w:val="001A3086"/>
    <w:rsid w:val="001A4C0F"/>
    <w:rsid w:val="001A4E10"/>
    <w:rsid w:val="001A5BF7"/>
    <w:rsid w:val="001A5EB7"/>
    <w:rsid w:val="001A719A"/>
    <w:rsid w:val="001A74F4"/>
    <w:rsid w:val="001A7E22"/>
    <w:rsid w:val="001B0DD1"/>
    <w:rsid w:val="001B2EFF"/>
    <w:rsid w:val="001B2F2B"/>
    <w:rsid w:val="001B3ECF"/>
    <w:rsid w:val="001B4394"/>
    <w:rsid w:val="001B49BB"/>
    <w:rsid w:val="001B4CF1"/>
    <w:rsid w:val="001B525E"/>
    <w:rsid w:val="001B61EC"/>
    <w:rsid w:val="001B64AC"/>
    <w:rsid w:val="001B7919"/>
    <w:rsid w:val="001C080D"/>
    <w:rsid w:val="001C0F21"/>
    <w:rsid w:val="001C1AB5"/>
    <w:rsid w:val="001C1EB0"/>
    <w:rsid w:val="001C22A5"/>
    <w:rsid w:val="001C25E7"/>
    <w:rsid w:val="001C31BB"/>
    <w:rsid w:val="001C363E"/>
    <w:rsid w:val="001C3809"/>
    <w:rsid w:val="001C4361"/>
    <w:rsid w:val="001C4BC6"/>
    <w:rsid w:val="001C589B"/>
    <w:rsid w:val="001C72DD"/>
    <w:rsid w:val="001C732A"/>
    <w:rsid w:val="001C7696"/>
    <w:rsid w:val="001C7E59"/>
    <w:rsid w:val="001D108B"/>
    <w:rsid w:val="001D1755"/>
    <w:rsid w:val="001D1AA4"/>
    <w:rsid w:val="001D26C1"/>
    <w:rsid w:val="001D2ADF"/>
    <w:rsid w:val="001D2D31"/>
    <w:rsid w:val="001D399F"/>
    <w:rsid w:val="001D4A29"/>
    <w:rsid w:val="001D6532"/>
    <w:rsid w:val="001D685A"/>
    <w:rsid w:val="001D69A9"/>
    <w:rsid w:val="001E02BD"/>
    <w:rsid w:val="001E11C2"/>
    <w:rsid w:val="001E19EF"/>
    <w:rsid w:val="001E1A0F"/>
    <w:rsid w:val="001E357B"/>
    <w:rsid w:val="001E3935"/>
    <w:rsid w:val="001E3A46"/>
    <w:rsid w:val="001E40FC"/>
    <w:rsid w:val="001E41D4"/>
    <w:rsid w:val="001E61F1"/>
    <w:rsid w:val="001E6859"/>
    <w:rsid w:val="001F02B1"/>
    <w:rsid w:val="001F0BCF"/>
    <w:rsid w:val="001F0CCC"/>
    <w:rsid w:val="001F20F5"/>
    <w:rsid w:val="001F3698"/>
    <w:rsid w:val="001F4B30"/>
    <w:rsid w:val="001F565E"/>
    <w:rsid w:val="001F5C74"/>
    <w:rsid w:val="001F6826"/>
    <w:rsid w:val="001F78E2"/>
    <w:rsid w:val="001F7C2E"/>
    <w:rsid w:val="00200051"/>
    <w:rsid w:val="002002FA"/>
    <w:rsid w:val="002018F5"/>
    <w:rsid w:val="002021C6"/>
    <w:rsid w:val="00202B65"/>
    <w:rsid w:val="002033B6"/>
    <w:rsid w:val="002042C5"/>
    <w:rsid w:val="0020475D"/>
    <w:rsid w:val="002048DD"/>
    <w:rsid w:val="00205000"/>
    <w:rsid w:val="00206B53"/>
    <w:rsid w:val="00210F21"/>
    <w:rsid w:val="00210FFA"/>
    <w:rsid w:val="0021147B"/>
    <w:rsid w:val="00211967"/>
    <w:rsid w:val="002124B4"/>
    <w:rsid w:val="00212952"/>
    <w:rsid w:val="00213087"/>
    <w:rsid w:val="0021328F"/>
    <w:rsid w:val="00213633"/>
    <w:rsid w:val="00216DBD"/>
    <w:rsid w:val="00216DCE"/>
    <w:rsid w:val="0022089F"/>
    <w:rsid w:val="00221322"/>
    <w:rsid w:val="00222833"/>
    <w:rsid w:val="002241D1"/>
    <w:rsid w:val="0022432C"/>
    <w:rsid w:val="00225219"/>
    <w:rsid w:val="00225485"/>
    <w:rsid w:val="00225E50"/>
    <w:rsid w:val="00227846"/>
    <w:rsid w:val="002306BE"/>
    <w:rsid w:val="00230A68"/>
    <w:rsid w:val="002311BB"/>
    <w:rsid w:val="00231348"/>
    <w:rsid w:val="002322A7"/>
    <w:rsid w:val="002323C7"/>
    <w:rsid w:val="00232CEE"/>
    <w:rsid w:val="002331BA"/>
    <w:rsid w:val="0023355B"/>
    <w:rsid w:val="00234733"/>
    <w:rsid w:val="002351BB"/>
    <w:rsid w:val="002364B0"/>
    <w:rsid w:val="0023689C"/>
    <w:rsid w:val="00236C14"/>
    <w:rsid w:val="0023757A"/>
    <w:rsid w:val="00244735"/>
    <w:rsid w:val="002449B6"/>
    <w:rsid w:val="002475F7"/>
    <w:rsid w:val="00250BDE"/>
    <w:rsid w:val="00251CC5"/>
    <w:rsid w:val="002522FB"/>
    <w:rsid w:val="00254B7F"/>
    <w:rsid w:val="00254F79"/>
    <w:rsid w:val="00257123"/>
    <w:rsid w:val="00257AF1"/>
    <w:rsid w:val="0026031F"/>
    <w:rsid w:val="0026093C"/>
    <w:rsid w:val="00260AF5"/>
    <w:rsid w:val="00260C75"/>
    <w:rsid w:val="00261914"/>
    <w:rsid w:val="00263A3D"/>
    <w:rsid w:val="00266905"/>
    <w:rsid w:val="00266BBF"/>
    <w:rsid w:val="00267B23"/>
    <w:rsid w:val="002706BB"/>
    <w:rsid w:val="002707C7"/>
    <w:rsid w:val="0027088E"/>
    <w:rsid w:val="00270A4B"/>
    <w:rsid w:val="00270D89"/>
    <w:rsid w:val="00271B8D"/>
    <w:rsid w:val="002720B2"/>
    <w:rsid w:val="00273DEC"/>
    <w:rsid w:val="0027443F"/>
    <w:rsid w:val="0027515C"/>
    <w:rsid w:val="0027546F"/>
    <w:rsid w:val="00275528"/>
    <w:rsid w:val="0027781C"/>
    <w:rsid w:val="0028071A"/>
    <w:rsid w:val="00280BB8"/>
    <w:rsid w:val="00281214"/>
    <w:rsid w:val="00281453"/>
    <w:rsid w:val="002837D0"/>
    <w:rsid w:val="00283BC6"/>
    <w:rsid w:val="00283F2E"/>
    <w:rsid w:val="00284BC2"/>
    <w:rsid w:val="00285541"/>
    <w:rsid w:val="00285A4F"/>
    <w:rsid w:val="0028726E"/>
    <w:rsid w:val="00290C4A"/>
    <w:rsid w:val="002916A7"/>
    <w:rsid w:val="00291C1D"/>
    <w:rsid w:val="00296A03"/>
    <w:rsid w:val="00297481"/>
    <w:rsid w:val="002A16EE"/>
    <w:rsid w:val="002A1F8A"/>
    <w:rsid w:val="002A22FB"/>
    <w:rsid w:val="002A2EAC"/>
    <w:rsid w:val="002A33A5"/>
    <w:rsid w:val="002A355D"/>
    <w:rsid w:val="002A39FE"/>
    <w:rsid w:val="002A3FDB"/>
    <w:rsid w:val="002A40BC"/>
    <w:rsid w:val="002A48D6"/>
    <w:rsid w:val="002A4C11"/>
    <w:rsid w:val="002A5740"/>
    <w:rsid w:val="002A6C15"/>
    <w:rsid w:val="002A6E51"/>
    <w:rsid w:val="002B05D2"/>
    <w:rsid w:val="002B0A36"/>
    <w:rsid w:val="002B27AC"/>
    <w:rsid w:val="002B338E"/>
    <w:rsid w:val="002B3E26"/>
    <w:rsid w:val="002B58EB"/>
    <w:rsid w:val="002B5F63"/>
    <w:rsid w:val="002B6BDA"/>
    <w:rsid w:val="002B6E47"/>
    <w:rsid w:val="002B6FD2"/>
    <w:rsid w:val="002B7848"/>
    <w:rsid w:val="002B78F9"/>
    <w:rsid w:val="002B7BB8"/>
    <w:rsid w:val="002C130A"/>
    <w:rsid w:val="002C1A2F"/>
    <w:rsid w:val="002C2166"/>
    <w:rsid w:val="002C2B81"/>
    <w:rsid w:val="002C2E1E"/>
    <w:rsid w:val="002C56C3"/>
    <w:rsid w:val="002C668F"/>
    <w:rsid w:val="002C6807"/>
    <w:rsid w:val="002D00DF"/>
    <w:rsid w:val="002D0E67"/>
    <w:rsid w:val="002D221B"/>
    <w:rsid w:val="002D2276"/>
    <w:rsid w:val="002D2991"/>
    <w:rsid w:val="002D2A25"/>
    <w:rsid w:val="002D2AE5"/>
    <w:rsid w:val="002D3491"/>
    <w:rsid w:val="002D4D01"/>
    <w:rsid w:val="002D6328"/>
    <w:rsid w:val="002D775F"/>
    <w:rsid w:val="002D7A7F"/>
    <w:rsid w:val="002D7F42"/>
    <w:rsid w:val="002E101D"/>
    <w:rsid w:val="002E10C8"/>
    <w:rsid w:val="002E1297"/>
    <w:rsid w:val="002E25AD"/>
    <w:rsid w:val="002E2953"/>
    <w:rsid w:val="002E54F4"/>
    <w:rsid w:val="002E5F87"/>
    <w:rsid w:val="002E6113"/>
    <w:rsid w:val="002E627F"/>
    <w:rsid w:val="002E6ACD"/>
    <w:rsid w:val="002E6BF8"/>
    <w:rsid w:val="002E72E5"/>
    <w:rsid w:val="002E78F6"/>
    <w:rsid w:val="002F0D47"/>
    <w:rsid w:val="002F31C0"/>
    <w:rsid w:val="002F3A7F"/>
    <w:rsid w:val="002F3C93"/>
    <w:rsid w:val="002F3CA5"/>
    <w:rsid w:val="002F3E41"/>
    <w:rsid w:val="002F43D0"/>
    <w:rsid w:val="002F6538"/>
    <w:rsid w:val="002F79C5"/>
    <w:rsid w:val="00300705"/>
    <w:rsid w:val="00300CFD"/>
    <w:rsid w:val="00300FA9"/>
    <w:rsid w:val="003023DE"/>
    <w:rsid w:val="00302672"/>
    <w:rsid w:val="00302EA1"/>
    <w:rsid w:val="00303570"/>
    <w:rsid w:val="00304667"/>
    <w:rsid w:val="00304A71"/>
    <w:rsid w:val="00304D90"/>
    <w:rsid w:val="00304E3E"/>
    <w:rsid w:val="00304FC9"/>
    <w:rsid w:val="00306C8A"/>
    <w:rsid w:val="00306E77"/>
    <w:rsid w:val="00306F72"/>
    <w:rsid w:val="00311F16"/>
    <w:rsid w:val="00313350"/>
    <w:rsid w:val="00313403"/>
    <w:rsid w:val="00313D96"/>
    <w:rsid w:val="003154D1"/>
    <w:rsid w:val="003167CB"/>
    <w:rsid w:val="003167E8"/>
    <w:rsid w:val="00317450"/>
    <w:rsid w:val="00317B76"/>
    <w:rsid w:val="00317B82"/>
    <w:rsid w:val="0032001B"/>
    <w:rsid w:val="00320C39"/>
    <w:rsid w:val="003211EA"/>
    <w:rsid w:val="003235BC"/>
    <w:rsid w:val="00323614"/>
    <w:rsid w:val="00323DD0"/>
    <w:rsid w:val="0032465D"/>
    <w:rsid w:val="00325E2E"/>
    <w:rsid w:val="003278F3"/>
    <w:rsid w:val="00327AB8"/>
    <w:rsid w:val="00331BDF"/>
    <w:rsid w:val="00332DFE"/>
    <w:rsid w:val="00333BB4"/>
    <w:rsid w:val="00334AC1"/>
    <w:rsid w:val="00335651"/>
    <w:rsid w:val="00335C98"/>
    <w:rsid w:val="00340ADA"/>
    <w:rsid w:val="00341516"/>
    <w:rsid w:val="003417A6"/>
    <w:rsid w:val="00342AFC"/>
    <w:rsid w:val="0034388D"/>
    <w:rsid w:val="00343BD9"/>
    <w:rsid w:val="003467D8"/>
    <w:rsid w:val="00346BC1"/>
    <w:rsid w:val="003470EB"/>
    <w:rsid w:val="003476D9"/>
    <w:rsid w:val="003513A3"/>
    <w:rsid w:val="003523AA"/>
    <w:rsid w:val="00353B62"/>
    <w:rsid w:val="00353D57"/>
    <w:rsid w:val="0035527A"/>
    <w:rsid w:val="00356DFC"/>
    <w:rsid w:val="00357620"/>
    <w:rsid w:val="00357CD2"/>
    <w:rsid w:val="00360AA5"/>
    <w:rsid w:val="00360FA7"/>
    <w:rsid w:val="00361B08"/>
    <w:rsid w:val="003631AB"/>
    <w:rsid w:val="003658BF"/>
    <w:rsid w:val="00365C0E"/>
    <w:rsid w:val="00370B8A"/>
    <w:rsid w:val="003711D7"/>
    <w:rsid w:val="003725DC"/>
    <w:rsid w:val="00372C5D"/>
    <w:rsid w:val="003732FA"/>
    <w:rsid w:val="00373907"/>
    <w:rsid w:val="00373D79"/>
    <w:rsid w:val="00374F9D"/>
    <w:rsid w:val="0037518A"/>
    <w:rsid w:val="00376D56"/>
    <w:rsid w:val="00380238"/>
    <w:rsid w:val="00380D70"/>
    <w:rsid w:val="003818EC"/>
    <w:rsid w:val="00382148"/>
    <w:rsid w:val="0038217B"/>
    <w:rsid w:val="003824E4"/>
    <w:rsid w:val="00385883"/>
    <w:rsid w:val="00387A21"/>
    <w:rsid w:val="00387F3C"/>
    <w:rsid w:val="00390477"/>
    <w:rsid w:val="00390E0D"/>
    <w:rsid w:val="00393E61"/>
    <w:rsid w:val="003944A2"/>
    <w:rsid w:val="00394813"/>
    <w:rsid w:val="00394917"/>
    <w:rsid w:val="003950AC"/>
    <w:rsid w:val="00396F35"/>
    <w:rsid w:val="003A0720"/>
    <w:rsid w:val="003A0F55"/>
    <w:rsid w:val="003A107C"/>
    <w:rsid w:val="003A129D"/>
    <w:rsid w:val="003A1C54"/>
    <w:rsid w:val="003A39D5"/>
    <w:rsid w:val="003A51E4"/>
    <w:rsid w:val="003A5B67"/>
    <w:rsid w:val="003B0CF6"/>
    <w:rsid w:val="003B1078"/>
    <w:rsid w:val="003B18B5"/>
    <w:rsid w:val="003B1E09"/>
    <w:rsid w:val="003B2033"/>
    <w:rsid w:val="003B3839"/>
    <w:rsid w:val="003B467E"/>
    <w:rsid w:val="003C11C5"/>
    <w:rsid w:val="003C271C"/>
    <w:rsid w:val="003C3069"/>
    <w:rsid w:val="003C3646"/>
    <w:rsid w:val="003C3D63"/>
    <w:rsid w:val="003C439D"/>
    <w:rsid w:val="003C4866"/>
    <w:rsid w:val="003C48C2"/>
    <w:rsid w:val="003C65AE"/>
    <w:rsid w:val="003C7472"/>
    <w:rsid w:val="003D0C16"/>
    <w:rsid w:val="003D1509"/>
    <w:rsid w:val="003D2BCA"/>
    <w:rsid w:val="003D2D96"/>
    <w:rsid w:val="003D4440"/>
    <w:rsid w:val="003D47B6"/>
    <w:rsid w:val="003D486E"/>
    <w:rsid w:val="003D4D49"/>
    <w:rsid w:val="003D550D"/>
    <w:rsid w:val="003D6935"/>
    <w:rsid w:val="003D6EF8"/>
    <w:rsid w:val="003D75C6"/>
    <w:rsid w:val="003D7628"/>
    <w:rsid w:val="003E102A"/>
    <w:rsid w:val="003E2650"/>
    <w:rsid w:val="003E3464"/>
    <w:rsid w:val="003E38D4"/>
    <w:rsid w:val="003E5F3A"/>
    <w:rsid w:val="003E6582"/>
    <w:rsid w:val="003E75F0"/>
    <w:rsid w:val="003E7F4C"/>
    <w:rsid w:val="003F172B"/>
    <w:rsid w:val="003F430C"/>
    <w:rsid w:val="003F4A07"/>
    <w:rsid w:val="003F4B0D"/>
    <w:rsid w:val="003F4BA0"/>
    <w:rsid w:val="003F5903"/>
    <w:rsid w:val="003F5CDE"/>
    <w:rsid w:val="00401BE6"/>
    <w:rsid w:val="00401D2C"/>
    <w:rsid w:val="004022BD"/>
    <w:rsid w:val="0040328E"/>
    <w:rsid w:val="00403B32"/>
    <w:rsid w:val="00404462"/>
    <w:rsid w:val="0040486B"/>
    <w:rsid w:val="00405F74"/>
    <w:rsid w:val="004063A2"/>
    <w:rsid w:val="00406E37"/>
    <w:rsid w:val="0041433B"/>
    <w:rsid w:val="0041463E"/>
    <w:rsid w:val="00416A2B"/>
    <w:rsid w:val="00422B3D"/>
    <w:rsid w:val="0042404D"/>
    <w:rsid w:val="00424229"/>
    <w:rsid w:val="004245E9"/>
    <w:rsid w:val="00424995"/>
    <w:rsid w:val="00424A86"/>
    <w:rsid w:val="0042501A"/>
    <w:rsid w:val="00430E88"/>
    <w:rsid w:val="00433511"/>
    <w:rsid w:val="00434359"/>
    <w:rsid w:val="004346B7"/>
    <w:rsid w:val="00436CAA"/>
    <w:rsid w:val="0044071C"/>
    <w:rsid w:val="004412BD"/>
    <w:rsid w:val="004427E1"/>
    <w:rsid w:val="00442BF4"/>
    <w:rsid w:val="004442C0"/>
    <w:rsid w:val="0044477A"/>
    <w:rsid w:val="00444E0C"/>
    <w:rsid w:val="004453F8"/>
    <w:rsid w:val="00446041"/>
    <w:rsid w:val="00446D05"/>
    <w:rsid w:val="00447239"/>
    <w:rsid w:val="0045031D"/>
    <w:rsid w:val="0045101B"/>
    <w:rsid w:val="00451153"/>
    <w:rsid w:val="0045317D"/>
    <w:rsid w:val="0045335B"/>
    <w:rsid w:val="0045381D"/>
    <w:rsid w:val="004556D4"/>
    <w:rsid w:val="0045744E"/>
    <w:rsid w:val="00457F1C"/>
    <w:rsid w:val="004602A7"/>
    <w:rsid w:val="00460E36"/>
    <w:rsid w:val="00460E6A"/>
    <w:rsid w:val="004624AC"/>
    <w:rsid w:val="0046627D"/>
    <w:rsid w:val="00470B78"/>
    <w:rsid w:val="004721BB"/>
    <w:rsid w:val="00472A48"/>
    <w:rsid w:val="00472BA3"/>
    <w:rsid w:val="004745AA"/>
    <w:rsid w:val="00477F5C"/>
    <w:rsid w:val="00482189"/>
    <w:rsid w:val="00483B23"/>
    <w:rsid w:val="00484B9A"/>
    <w:rsid w:val="00485127"/>
    <w:rsid w:val="004861C4"/>
    <w:rsid w:val="00486715"/>
    <w:rsid w:val="004871CA"/>
    <w:rsid w:val="00487853"/>
    <w:rsid w:val="00487E68"/>
    <w:rsid w:val="00487F99"/>
    <w:rsid w:val="00490AEC"/>
    <w:rsid w:val="00491905"/>
    <w:rsid w:val="00493314"/>
    <w:rsid w:val="00494181"/>
    <w:rsid w:val="00494205"/>
    <w:rsid w:val="004942C0"/>
    <w:rsid w:val="00495B6B"/>
    <w:rsid w:val="00495F55"/>
    <w:rsid w:val="00496C81"/>
    <w:rsid w:val="004A0226"/>
    <w:rsid w:val="004A0614"/>
    <w:rsid w:val="004A1E73"/>
    <w:rsid w:val="004A30A7"/>
    <w:rsid w:val="004A39B0"/>
    <w:rsid w:val="004A3C54"/>
    <w:rsid w:val="004A50CF"/>
    <w:rsid w:val="004A5460"/>
    <w:rsid w:val="004A569E"/>
    <w:rsid w:val="004A5E99"/>
    <w:rsid w:val="004A7F02"/>
    <w:rsid w:val="004B0AF8"/>
    <w:rsid w:val="004B1AB5"/>
    <w:rsid w:val="004B219C"/>
    <w:rsid w:val="004B2211"/>
    <w:rsid w:val="004B2662"/>
    <w:rsid w:val="004B4889"/>
    <w:rsid w:val="004B48D6"/>
    <w:rsid w:val="004B530A"/>
    <w:rsid w:val="004B55A0"/>
    <w:rsid w:val="004B58AB"/>
    <w:rsid w:val="004B5FCD"/>
    <w:rsid w:val="004B691D"/>
    <w:rsid w:val="004C0258"/>
    <w:rsid w:val="004C0B2E"/>
    <w:rsid w:val="004C1529"/>
    <w:rsid w:val="004C1F5A"/>
    <w:rsid w:val="004C39A0"/>
    <w:rsid w:val="004C3F6A"/>
    <w:rsid w:val="004C4AAE"/>
    <w:rsid w:val="004C4C0C"/>
    <w:rsid w:val="004C4C89"/>
    <w:rsid w:val="004C6C9A"/>
    <w:rsid w:val="004C772C"/>
    <w:rsid w:val="004C7988"/>
    <w:rsid w:val="004C7ECA"/>
    <w:rsid w:val="004D01F6"/>
    <w:rsid w:val="004D03AB"/>
    <w:rsid w:val="004D043B"/>
    <w:rsid w:val="004D1028"/>
    <w:rsid w:val="004D10A6"/>
    <w:rsid w:val="004D2A36"/>
    <w:rsid w:val="004D5286"/>
    <w:rsid w:val="004D6811"/>
    <w:rsid w:val="004E06B8"/>
    <w:rsid w:val="004E0B3E"/>
    <w:rsid w:val="004E0D58"/>
    <w:rsid w:val="004E27DB"/>
    <w:rsid w:val="004E2C23"/>
    <w:rsid w:val="004E3CCA"/>
    <w:rsid w:val="004E4702"/>
    <w:rsid w:val="004E4B5D"/>
    <w:rsid w:val="004E5688"/>
    <w:rsid w:val="004E5923"/>
    <w:rsid w:val="004E7DEA"/>
    <w:rsid w:val="004F13C9"/>
    <w:rsid w:val="004F1B03"/>
    <w:rsid w:val="004F219C"/>
    <w:rsid w:val="004F3494"/>
    <w:rsid w:val="004F4976"/>
    <w:rsid w:val="004F4C26"/>
    <w:rsid w:val="004F532F"/>
    <w:rsid w:val="004F59FF"/>
    <w:rsid w:val="004F6B8F"/>
    <w:rsid w:val="00500421"/>
    <w:rsid w:val="00500D02"/>
    <w:rsid w:val="00501432"/>
    <w:rsid w:val="00501E4F"/>
    <w:rsid w:val="00502D7D"/>
    <w:rsid w:val="005037D4"/>
    <w:rsid w:val="00503A49"/>
    <w:rsid w:val="00503CD1"/>
    <w:rsid w:val="00503D3E"/>
    <w:rsid w:val="00505241"/>
    <w:rsid w:val="0050756F"/>
    <w:rsid w:val="00507932"/>
    <w:rsid w:val="00511C94"/>
    <w:rsid w:val="00512577"/>
    <w:rsid w:val="00512EC1"/>
    <w:rsid w:val="00513084"/>
    <w:rsid w:val="00514597"/>
    <w:rsid w:val="00514A68"/>
    <w:rsid w:val="00515D53"/>
    <w:rsid w:val="0051624B"/>
    <w:rsid w:val="00516BA0"/>
    <w:rsid w:val="0052168D"/>
    <w:rsid w:val="005218F0"/>
    <w:rsid w:val="00521F53"/>
    <w:rsid w:val="005226C3"/>
    <w:rsid w:val="00523D66"/>
    <w:rsid w:val="0052560C"/>
    <w:rsid w:val="00527410"/>
    <w:rsid w:val="00527A12"/>
    <w:rsid w:val="00530739"/>
    <w:rsid w:val="00531048"/>
    <w:rsid w:val="005310F6"/>
    <w:rsid w:val="00532D61"/>
    <w:rsid w:val="00534311"/>
    <w:rsid w:val="00534336"/>
    <w:rsid w:val="00536068"/>
    <w:rsid w:val="00536D61"/>
    <w:rsid w:val="00537410"/>
    <w:rsid w:val="005405DB"/>
    <w:rsid w:val="005427C6"/>
    <w:rsid w:val="005432F1"/>
    <w:rsid w:val="005434BA"/>
    <w:rsid w:val="0054502C"/>
    <w:rsid w:val="005456EC"/>
    <w:rsid w:val="00546476"/>
    <w:rsid w:val="00546816"/>
    <w:rsid w:val="00547CE1"/>
    <w:rsid w:val="0055152F"/>
    <w:rsid w:val="00552D65"/>
    <w:rsid w:val="00552DA4"/>
    <w:rsid w:val="00553130"/>
    <w:rsid w:val="00554D3B"/>
    <w:rsid w:val="0055629A"/>
    <w:rsid w:val="00556E8C"/>
    <w:rsid w:val="00557EF8"/>
    <w:rsid w:val="00560A02"/>
    <w:rsid w:val="00561215"/>
    <w:rsid w:val="00561E45"/>
    <w:rsid w:val="00563EAB"/>
    <w:rsid w:val="005661C4"/>
    <w:rsid w:val="005661F1"/>
    <w:rsid w:val="005665ED"/>
    <w:rsid w:val="005674EF"/>
    <w:rsid w:val="00567876"/>
    <w:rsid w:val="005717EB"/>
    <w:rsid w:val="005719E7"/>
    <w:rsid w:val="00571BDE"/>
    <w:rsid w:val="00571C89"/>
    <w:rsid w:val="00572320"/>
    <w:rsid w:val="00572500"/>
    <w:rsid w:val="00575EDC"/>
    <w:rsid w:val="00577893"/>
    <w:rsid w:val="005811C9"/>
    <w:rsid w:val="0058485B"/>
    <w:rsid w:val="00584977"/>
    <w:rsid w:val="00585714"/>
    <w:rsid w:val="005909DC"/>
    <w:rsid w:val="00591BD3"/>
    <w:rsid w:val="00591F4C"/>
    <w:rsid w:val="00592913"/>
    <w:rsid w:val="005933D9"/>
    <w:rsid w:val="00594E6D"/>
    <w:rsid w:val="005A00D8"/>
    <w:rsid w:val="005A50E7"/>
    <w:rsid w:val="005A533A"/>
    <w:rsid w:val="005A77FC"/>
    <w:rsid w:val="005A7AC5"/>
    <w:rsid w:val="005B0FDF"/>
    <w:rsid w:val="005B22F1"/>
    <w:rsid w:val="005B2367"/>
    <w:rsid w:val="005B239A"/>
    <w:rsid w:val="005B37A8"/>
    <w:rsid w:val="005B7290"/>
    <w:rsid w:val="005B7533"/>
    <w:rsid w:val="005B76AC"/>
    <w:rsid w:val="005B7E11"/>
    <w:rsid w:val="005C0014"/>
    <w:rsid w:val="005C065D"/>
    <w:rsid w:val="005C0A47"/>
    <w:rsid w:val="005C2801"/>
    <w:rsid w:val="005C3BF5"/>
    <w:rsid w:val="005C3D7D"/>
    <w:rsid w:val="005C3E1C"/>
    <w:rsid w:val="005C69F7"/>
    <w:rsid w:val="005C6FFE"/>
    <w:rsid w:val="005C7903"/>
    <w:rsid w:val="005C797B"/>
    <w:rsid w:val="005D0421"/>
    <w:rsid w:val="005D074A"/>
    <w:rsid w:val="005D0998"/>
    <w:rsid w:val="005D2208"/>
    <w:rsid w:val="005D2403"/>
    <w:rsid w:val="005D289A"/>
    <w:rsid w:val="005D3E75"/>
    <w:rsid w:val="005D5455"/>
    <w:rsid w:val="005D672F"/>
    <w:rsid w:val="005D7472"/>
    <w:rsid w:val="005E0850"/>
    <w:rsid w:val="005E3E70"/>
    <w:rsid w:val="005E3E7C"/>
    <w:rsid w:val="005E5F47"/>
    <w:rsid w:val="005E60A4"/>
    <w:rsid w:val="005E6B13"/>
    <w:rsid w:val="005E7EB6"/>
    <w:rsid w:val="005F14E0"/>
    <w:rsid w:val="005F26A1"/>
    <w:rsid w:val="005F31DE"/>
    <w:rsid w:val="005F375A"/>
    <w:rsid w:val="005F3BE0"/>
    <w:rsid w:val="005F6329"/>
    <w:rsid w:val="005F6997"/>
    <w:rsid w:val="005F72CA"/>
    <w:rsid w:val="00600262"/>
    <w:rsid w:val="00601CA1"/>
    <w:rsid w:val="006033B1"/>
    <w:rsid w:val="00604653"/>
    <w:rsid w:val="00604732"/>
    <w:rsid w:val="006055A9"/>
    <w:rsid w:val="0060682F"/>
    <w:rsid w:val="00610FE5"/>
    <w:rsid w:val="006111CA"/>
    <w:rsid w:val="006114C8"/>
    <w:rsid w:val="00612EDC"/>
    <w:rsid w:val="00612F7D"/>
    <w:rsid w:val="006133B3"/>
    <w:rsid w:val="00613E4F"/>
    <w:rsid w:val="006145F0"/>
    <w:rsid w:val="0061559C"/>
    <w:rsid w:val="00615D90"/>
    <w:rsid w:val="006173C8"/>
    <w:rsid w:val="0062120E"/>
    <w:rsid w:val="00621F8A"/>
    <w:rsid w:val="00622DFC"/>
    <w:rsid w:val="0062423C"/>
    <w:rsid w:val="00624625"/>
    <w:rsid w:val="00624914"/>
    <w:rsid w:val="00624DA6"/>
    <w:rsid w:val="00625080"/>
    <w:rsid w:val="00625799"/>
    <w:rsid w:val="006260CC"/>
    <w:rsid w:val="0062616D"/>
    <w:rsid w:val="0062700E"/>
    <w:rsid w:val="00632A39"/>
    <w:rsid w:val="006336E4"/>
    <w:rsid w:val="00636250"/>
    <w:rsid w:val="00636378"/>
    <w:rsid w:val="006368E7"/>
    <w:rsid w:val="00636CF6"/>
    <w:rsid w:val="006379A1"/>
    <w:rsid w:val="00637DBE"/>
    <w:rsid w:val="00641F61"/>
    <w:rsid w:val="00642280"/>
    <w:rsid w:val="006422BE"/>
    <w:rsid w:val="00642B50"/>
    <w:rsid w:val="0064361C"/>
    <w:rsid w:val="00643F0F"/>
    <w:rsid w:val="006454A7"/>
    <w:rsid w:val="00645F56"/>
    <w:rsid w:val="006465B7"/>
    <w:rsid w:val="006467B3"/>
    <w:rsid w:val="006467EA"/>
    <w:rsid w:val="00646C81"/>
    <w:rsid w:val="00646CB1"/>
    <w:rsid w:val="006471E1"/>
    <w:rsid w:val="0065266E"/>
    <w:rsid w:val="00652AA2"/>
    <w:rsid w:val="00652E7B"/>
    <w:rsid w:val="00654D05"/>
    <w:rsid w:val="00654D2B"/>
    <w:rsid w:val="006562E0"/>
    <w:rsid w:val="00656491"/>
    <w:rsid w:val="00656E61"/>
    <w:rsid w:val="00656E7B"/>
    <w:rsid w:val="00656F24"/>
    <w:rsid w:val="00660DD7"/>
    <w:rsid w:val="00660F72"/>
    <w:rsid w:val="0066174A"/>
    <w:rsid w:val="00662099"/>
    <w:rsid w:val="00662ABC"/>
    <w:rsid w:val="00662D57"/>
    <w:rsid w:val="00664041"/>
    <w:rsid w:val="00664432"/>
    <w:rsid w:val="006646FE"/>
    <w:rsid w:val="0066506D"/>
    <w:rsid w:val="00665969"/>
    <w:rsid w:val="00665F19"/>
    <w:rsid w:val="00670015"/>
    <w:rsid w:val="00670E2D"/>
    <w:rsid w:val="00670FF3"/>
    <w:rsid w:val="00671E9A"/>
    <w:rsid w:val="006726EE"/>
    <w:rsid w:val="00673518"/>
    <w:rsid w:val="006739B4"/>
    <w:rsid w:val="00673D3B"/>
    <w:rsid w:val="006742CE"/>
    <w:rsid w:val="00676294"/>
    <w:rsid w:val="0067712B"/>
    <w:rsid w:val="00677584"/>
    <w:rsid w:val="00677FA4"/>
    <w:rsid w:val="00681ABA"/>
    <w:rsid w:val="00684499"/>
    <w:rsid w:val="0068546F"/>
    <w:rsid w:val="00686AF1"/>
    <w:rsid w:val="00690753"/>
    <w:rsid w:val="00690C8A"/>
    <w:rsid w:val="00691563"/>
    <w:rsid w:val="0069216F"/>
    <w:rsid w:val="006926A5"/>
    <w:rsid w:val="006938B1"/>
    <w:rsid w:val="006953A0"/>
    <w:rsid w:val="006978C4"/>
    <w:rsid w:val="006A0610"/>
    <w:rsid w:val="006A1922"/>
    <w:rsid w:val="006A2350"/>
    <w:rsid w:val="006A23E3"/>
    <w:rsid w:val="006A2B48"/>
    <w:rsid w:val="006A2D0D"/>
    <w:rsid w:val="006A30ED"/>
    <w:rsid w:val="006A4885"/>
    <w:rsid w:val="006A5F15"/>
    <w:rsid w:val="006A6297"/>
    <w:rsid w:val="006A7398"/>
    <w:rsid w:val="006B0655"/>
    <w:rsid w:val="006B07B9"/>
    <w:rsid w:val="006B15FD"/>
    <w:rsid w:val="006B1D1C"/>
    <w:rsid w:val="006B2B70"/>
    <w:rsid w:val="006B3297"/>
    <w:rsid w:val="006B35B7"/>
    <w:rsid w:val="006B3957"/>
    <w:rsid w:val="006B4535"/>
    <w:rsid w:val="006B543E"/>
    <w:rsid w:val="006B5949"/>
    <w:rsid w:val="006B678B"/>
    <w:rsid w:val="006B6B00"/>
    <w:rsid w:val="006B6CB5"/>
    <w:rsid w:val="006C2282"/>
    <w:rsid w:val="006C3A63"/>
    <w:rsid w:val="006C3D77"/>
    <w:rsid w:val="006C46D5"/>
    <w:rsid w:val="006C548D"/>
    <w:rsid w:val="006C5A77"/>
    <w:rsid w:val="006C6484"/>
    <w:rsid w:val="006C7273"/>
    <w:rsid w:val="006C77C3"/>
    <w:rsid w:val="006C7966"/>
    <w:rsid w:val="006C7B1E"/>
    <w:rsid w:val="006D1417"/>
    <w:rsid w:val="006D1FF0"/>
    <w:rsid w:val="006D2CA2"/>
    <w:rsid w:val="006D33F7"/>
    <w:rsid w:val="006E01BB"/>
    <w:rsid w:val="006E6074"/>
    <w:rsid w:val="006E6230"/>
    <w:rsid w:val="006E6DA7"/>
    <w:rsid w:val="006F04F5"/>
    <w:rsid w:val="006F0882"/>
    <w:rsid w:val="006F2D7C"/>
    <w:rsid w:val="006F2F49"/>
    <w:rsid w:val="006F3E6B"/>
    <w:rsid w:val="006F5933"/>
    <w:rsid w:val="006F5E26"/>
    <w:rsid w:val="006F6628"/>
    <w:rsid w:val="006F7D67"/>
    <w:rsid w:val="007025C3"/>
    <w:rsid w:val="00702CEE"/>
    <w:rsid w:val="007035A8"/>
    <w:rsid w:val="0070441B"/>
    <w:rsid w:val="007053E9"/>
    <w:rsid w:val="00705F37"/>
    <w:rsid w:val="007060CE"/>
    <w:rsid w:val="00706EFA"/>
    <w:rsid w:val="00707168"/>
    <w:rsid w:val="00710181"/>
    <w:rsid w:val="007106AD"/>
    <w:rsid w:val="00710F16"/>
    <w:rsid w:val="00711E44"/>
    <w:rsid w:val="007131B4"/>
    <w:rsid w:val="00714947"/>
    <w:rsid w:val="00714EF4"/>
    <w:rsid w:val="007154A6"/>
    <w:rsid w:val="007168EE"/>
    <w:rsid w:val="007177F6"/>
    <w:rsid w:val="00720669"/>
    <w:rsid w:val="00722E86"/>
    <w:rsid w:val="00723928"/>
    <w:rsid w:val="00724EE4"/>
    <w:rsid w:val="007253E1"/>
    <w:rsid w:val="0072781A"/>
    <w:rsid w:val="00727B0A"/>
    <w:rsid w:val="00730B02"/>
    <w:rsid w:val="0073196F"/>
    <w:rsid w:val="007337D7"/>
    <w:rsid w:val="007340F0"/>
    <w:rsid w:val="0073438C"/>
    <w:rsid w:val="00736886"/>
    <w:rsid w:val="0073689B"/>
    <w:rsid w:val="007403C6"/>
    <w:rsid w:val="00741FFC"/>
    <w:rsid w:val="00743A7A"/>
    <w:rsid w:val="0074637C"/>
    <w:rsid w:val="00751748"/>
    <w:rsid w:val="007545CE"/>
    <w:rsid w:val="00755D2D"/>
    <w:rsid w:val="00755DFD"/>
    <w:rsid w:val="00756E13"/>
    <w:rsid w:val="0076012E"/>
    <w:rsid w:val="007604F9"/>
    <w:rsid w:val="00760C6E"/>
    <w:rsid w:val="007626FD"/>
    <w:rsid w:val="007635D6"/>
    <w:rsid w:val="00763E74"/>
    <w:rsid w:val="00764CB0"/>
    <w:rsid w:val="0076511E"/>
    <w:rsid w:val="00766486"/>
    <w:rsid w:val="00766AA4"/>
    <w:rsid w:val="00767051"/>
    <w:rsid w:val="00767432"/>
    <w:rsid w:val="00770A6F"/>
    <w:rsid w:val="00771642"/>
    <w:rsid w:val="00771CF3"/>
    <w:rsid w:val="00775D22"/>
    <w:rsid w:val="00777B11"/>
    <w:rsid w:val="00782329"/>
    <w:rsid w:val="00783AD0"/>
    <w:rsid w:val="007848FE"/>
    <w:rsid w:val="00786277"/>
    <w:rsid w:val="00786696"/>
    <w:rsid w:val="00787424"/>
    <w:rsid w:val="0079216D"/>
    <w:rsid w:val="00792783"/>
    <w:rsid w:val="0079338E"/>
    <w:rsid w:val="00794508"/>
    <w:rsid w:val="007947A9"/>
    <w:rsid w:val="00794A10"/>
    <w:rsid w:val="0079638E"/>
    <w:rsid w:val="007A04EE"/>
    <w:rsid w:val="007A0605"/>
    <w:rsid w:val="007A0F19"/>
    <w:rsid w:val="007A14B2"/>
    <w:rsid w:val="007A15BD"/>
    <w:rsid w:val="007A36D1"/>
    <w:rsid w:val="007A36E8"/>
    <w:rsid w:val="007A55E4"/>
    <w:rsid w:val="007A795D"/>
    <w:rsid w:val="007B0B34"/>
    <w:rsid w:val="007B0D03"/>
    <w:rsid w:val="007B0DD1"/>
    <w:rsid w:val="007B23E3"/>
    <w:rsid w:val="007B2A67"/>
    <w:rsid w:val="007B2F4A"/>
    <w:rsid w:val="007B3962"/>
    <w:rsid w:val="007B3982"/>
    <w:rsid w:val="007B3C91"/>
    <w:rsid w:val="007B42F5"/>
    <w:rsid w:val="007B4697"/>
    <w:rsid w:val="007B658B"/>
    <w:rsid w:val="007B697D"/>
    <w:rsid w:val="007B7845"/>
    <w:rsid w:val="007C17EC"/>
    <w:rsid w:val="007C1DEB"/>
    <w:rsid w:val="007C22FF"/>
    <w:rsid w:val="007C3D41"/>
    <w:rsid w:val="007C4ABE"/>
    <w:rsid w:val="007C4AFB"/>
    <w:rsid w:val="007C61DC"/>
    <w:rsid w:val="007C6BE2"/>
    <w:rsid w:val="007D0658"/>
    <w:rsid w:val="007D1FBF"/>
    <w:rsid w:val="007D2127"/>
    <w:rsid w:val="007D2AED"/>
    <w:rsid w:val="007D4921"/>
    <w:rsid w:val="007D4FE4"/>
    <w:rsid w:val="007D6486"/>
    <w:rsid w:val="007D7158"/>
    <w:rsid w:val="007D7CE9"/>
    <w:rsid w:val="007D7CFE"/>
    <w:rsid w:val="007E0ED9"/>
    <w:rsid w:val="007E2656"/>
    <w:rsid w:val="007E3F75"/>
    <w:rsid w:val="007E40EC"/>
    <w:rsid w:val="007E4A21"/>
    <w:rsid w:val="007E4F42"/>
    <w:rsid w:val="007E4F94"/>
    <w:rsid w:val="007E53C6"/>
    <w:rsid w:val="007E620A"/>
    <w:rsid w:val="007E62C1"/>
    <w:rsid w:val="007E6B28"/>
    <w:rsid w:val="007E7108"/>
    <w:rsid w:val="007F098F"/>
    <w:rsid w:val="007F2A82"/>
    <w:rsid w:val="007F2FFE"/>
    <w:rsid w:val="007F3076"/>
    <w:rsid w:val="007F36FD"/>
    <w:rsid w:val="007F4255"/>
    <w:rsid w:val="007F4379"/>
    <w:rsid w:val="007F4DAA"/>
    <w:rsid w:val="007F601B"/>
    <w:rsid w:val="00800197"/>
    <w:rsid w:val="008003A4"/>
    <w:rsid w:val="00800917"/>
    <w:rsid w:val="00801375"/>
    <w:rsid w:val="00802AB3"/>
    <w:rsid w:val="00803643"/>
    <w:rsid w:val="00804DE7"/>
    <w:rsid w:val="00805044"/>
    <w:rsid w:val="00805682"/>
    <w:rsid w:val="008057AE"/>
    <w:rsid w:val="00806ADF"/>
    <w:rsid w:val="00807BDE"/>
    <w:rsid w:val="00807F94"/>
    <w:rsid w:val="0081021D"/>
    <w:rsid w:val="00810895"/>
    <w:rsid w:val="00811141"/>
    <w:rsid w:val="0081123B"/>
    <w:rsid w:val="008112F4"/>
    <w:rsid w:val="008113B8"/>
    <w:rsid w:val="00811752"/>
    <w:rsid w:val="00811831"/>
    <w:rsid w:val="00811DC2"/>
    <w:rsid w:val="00812807"/>
    <w:rsid w:val="00812C33"/>
    <w:rsid w:val="0081432B"/>
    <w:rsid w:val="00815418"/>
    <w:rsid w:val="0081546C"/>
    <w:rsid w:val="00815D98"/>
    <w:rsid w:val="00817E75"/>
    <w:rsid w:val="0082088A"/>
    <w:rsid w:val="00820A64"/>
    <w:rsid w:val="0082113A"/>
    <w:rsid w:val="008243C4"/>
    <w:rsid w:val="00825A47"/>
    <w:rsid w:val="00825CE8"/>
    <w:rsid w:val="008268E7"/>
    <w:rsid w:val="00826B0A"/>
    <w:rsid w:val="00830F92"/>
    <w:rsid w:val="00831941"/>
    <w:rsid w:val="00831A97"/>
    <w:rsid w:val="00831D68"/>
    <w:rsid w:val="00834903"/>
    <w:rsid w:val="00835FE9"/>
    <w:rsid w:val="00836185"/>
    <w:rsid w:val="00837E09"/>
    <w:rsid w:val="008402B8"/>
    <w:rsid w:val="00841712"/>
    <w:rsid w:val="00841A7C"/>
    <w:rsid w:val="0084222C"/>
    <w:rsid w:val="00843593"/>
    <w:rsid w:val="00843C2B"/>
    <w:rsid w:val="00845753"/>
    <w:rsid w:val="00845874"/>
    <w:rsid w:val="008461E0"/>
    <w:rsid w:val="008508DF"/>
    <w:rsid w:val="00850A33"/>
    <w:rsid w:val="0085167A"/>
    <w:rsid w:val="008525FA"/>
    <w:rsid w:val="00853E42"/>
    <w:rsid w:val="00854DA8"/>
    <w:rsid w:val="008551DE"/>
    <w:rsid w:val="00855361"/>
    <w:rsid w:val="008566A7"/>
    <w:rsid w:val="00856882"/>
    <w:rsid w:val="00857005"/>
    <w:rsid w:val="00860283"/>
    <w:rsid w:val="0086184C"/>
    <w:rsid w:val="00861BE1"/>
    <w:rsid w:val="0086593A"/>
    <w:rsid w:val="00865D3A"/>
    <w:rsid w:val="0086777B"/>
    <w:rsid w:val="00867A3D"/>
    <w:rsid w:val="0087063C"/>
    <w:rsid w:val="00871F66"/>
    <w:rsid w:val="0087435B"/>
    <w:rsid w:val="00874CDF"/>
    <w:rsid w:val="00875489"/>
    <w:rsid w:val="008758A7"/>
    <w:rsid w:val="0087680D"/>
    <w:rsid w:val="0087698A"/>
    <w:rsid w:val="00880C77"/>
    <w:rsid w:val="008821B4"/>
    <w:rsid w:val="00882DD8"/>
    <w:rsid w:val="00886E25"/>
    <w:rsid w:val="00887295"/>
    <w:rsid w:val="00887E55"/>
    <w:rsid w:val="00891034"/>
    <w:rsid w:val="00891762"/>
    <w:rsid w:val="008921B3"/>
    <w:rsid w:val="008932F5"/>
    <w:rsid w:val="00893743"/>
    <w:rsid w:val="008937F7"/>
    <w:rsid w:val="0089410D"/>
    <w:rsid w:val="008946D0"/>
    <w:rsid w:val="00895193"/>
    <w:rsid w:val="0089527D"/>
    <w:rsid w:val="008959E7"/>
    <w:rsid w:val="0089739A"/>
    <w:rsid w:val="008978AF"/>
    <w:rsid w:val="00897AFC"/>
    <w:rsid w:val="00897C2B"/>
    <w:rsid w:val="008A0CFD"/>
    <w:rsid w:val="008A2095"/>
    <w:rsid w:val="008A55D1"/>
    <w:rsid w:val="008A5630"/>
    <w:rsid w:val="008A6088"/>
    <w:rsid w:val="008A7B4D"/>
    <w:rsid w:val="008B1289"/>
    <w:rsid w:val="008B1A12"/>
    <w:rsid w:val="008B2A3E"/>
    <w:rsid w:val="008B38C6"/>
    <w:rsid w:val="008B63FB"/>
    <w:rsid w:val="008B65FB"/>
    <w:rsid w:val="008C0FED"/>
    <w:rsid w:val="008C1136"/>
    <w:rsid w:val="008C15E8"/>
    <w:rsid w:val="008C305B"/>
    <w:rsid w:val="008C3FB3"/>
    <w:rsid w:val="008C56EF"/>
    <w:rsid w:val="008C616D"/>
    <w:rsid w:val="008C7934"/>
    <w:rsid w:val="008D0444"/>
    <w:rsid w:val="008D28A9"/>
    <w:rsid w:val="008D48BE"/>
    <w:rsid w:val="008D523D"/>
    <w:rsid w:val="008D62E9"/>
    <w:rsid w:val="008D6599"/>
    <w:rsid w:val="008D6908"/>
    <w:rsid w:val="008D792A"/>
    <w:rsid w:val="008D79A4"/>
    <w:rsid w:val="008E09EE"/>
    <w:rsid w:val="008E1DDF"/>
    <w:rsid w:val="008E321D"/>
    <w:rsid w:val="008E32CE"/>
    <w:rsid w:val="008E3722"/>
    <w:rsid w:val="008E39C8"/>
    <w:rsid w:val="008E465B"/>
    <w:rsid w:val="008E58B8"/>
    <w:rsid w:val="008E65D2"/>
    <w:rsid w:val="008F1025"/>
    <w:rsid w:val="008F19DD"/>
    <w:rsid w:val="008F2A34"/>
    <w:rsid w:val="008F2E7C"/>
    <w:rsid w:val="008F3080"/>
    <w:rsid w:val="008F397B"/>
    <w:rsid w:val="008F7DD8"/>
    <w:rsid w:val="00900771"/>
    <w:rsid w:val="009020B3"/>
    <w:rsid w:val="0090230C"/>
    <w:rsid w:val="00903A14"/>
    <w:rsid w:val="00903CEB"/>
    <w:rsid w:val="00904797"/>
    <w:rsid w:val="009067A4"/>
    <w:rsid w:val="00910B63"/>
    <w:rsid w:val="00910CAA"/>
    <w:rsid w:val="0091130E"/>
    <w:rsid w:val="009137F9"/>
    <w:rsid w:val="009143DB"/>
    <w:rsid w:val="00915139"/>
    <w:rsid w:val="00915646"/>
    <w:rsid w:val="009159B4"/>
    <w:rsid w:val="0091782B"/>
    <w:rsid w:val="00917992"/>
    <w:rsid w:val="00920658"/>
    <w:rsid w:val="009211D0"/>
    <w:rsid w:val="009214AA"/>
    <w:rsid w:val="00921770"/>
    <w:rsid w:val="0092300C"/>
    <w:rsid w:val="00924AC5"/>
    <w:rsid w:val="00924CEE"/>
    <w:rsid w:val="00924D8C"/>
    <w:rsid w:val="00925A81"/>
    <w:rsid w:val="00925E9B"/>
    <w:rsid w:val="00925F09"/>
    <w:rsid w:val="009267DA"/>
    <w:rsid w:val="00927199"/>
    <w:rsid w:val="00927683"/>
    <w:rsid w:val="00927B99"/>
    <w:rsid w:val="009300F5"/>
    <w:rsid w:val="0093170F"/>
    <w:rsid w:val="009322FB"/>
    <w:rsid w:val="0093332C"/>
    <w:rsid w:val="00933E98"/>
    <w:rsid w:val="00935374"/>
    <w:rsid w:val="00935910"/>
    <w:rsid w:val="0093648B"/>
    <w:rsid w:val="00936C46"/>
    <w:rsid w:val="00940E39"/>
    <w:rsid w:val="00943A44"/>
    <w:rsid w:val="00944509"/>
    <w:rsid w:val="00944851"/>
    <w:rsid w:val="00946215"/>
    <w:rsid w:val="00947764"/>
    <w:rsid w:val="00947E24"/>
    <w:rsid w:val="00947EAB"/>
    <w:rsid w:val="00950544"/>
    <w:rsid w:val="009507D4"/>
    <w:rsid w:val="00951078"/>
    <w:rsid w:val="009526AA"/>
    <w:rsid w:val="0095283E"/>
    <w:rsid w:val="00952B2B"/>
    <w:rsid w:val="00952BDE"/>
    <w:rsid w:val="0095412C"/>
    <w:rsid w:val="00954635"/>
    <w:rsid w:val="00954E8C"/>
    <w:rsid w:val="00955D39"/>
    <w:rsid w:val="00955FB5"/>
    <w:rsid w:val="0095667D"/>
    <w:rsid w:val="0095721B"/>
    <w:rsid w:val="009572E0"/>
    <w:rsid w:val="00957D80"/>
    <w:rsid w:val="009601DD"/>
    <w:rsid w:val="009605B0"/>
    <w:rsid w:val="00961052"/>
    <w:rsid w:val="009616B9"/>
    <w:rsid w:val="00961893"/>
    <w:rsid w:val="009622C6"/>
    <w:rsid w:val="00963F2F"/>
    <w:rsid w:val="009657B2"/>
    <w:rsid w:val="0096697F"/>
    <w:rsid w:val="009675D4"/>
    <w:rsid w:val="009716F0"/>
    <w:rsid w:val="00971B3D"/>
    <w:rsid w:val="00971B93"/>
    <w:rsid w:val="00971E0C"/>
    <w:rsid w:val="00972199"/>
    <w:rsid w:val="00972936"/>
    <w:rsid w:val="009732A4"/>
    <w:rsid w:val="009741E5"/>
    <w:rsid w:val="0097488B"/>
    <w:rsid w:val="009751DE"/>
    <w:rsid w:val="00975A67"/>
    <w:rsid w:val="00976EDD"/>
    <w:rsid w:val="009813DD"/>
    <w:rsid w:val="00981536"/>
    <w:rsid w:val="00981CB4"/>
    <w:rsid w:val="00982005"/>
    <w:rsid w:val="00983349"/>
    <w:rsid w:val="00983471"/>
    <w:rsid w:val="00983F5A"/>
    <w:rsid w:val="00984336"/>
    <w:rsid w:val="00984431"/>
    <w:rsid w:val="00984D1F"/>
    <w:rsid w:val="00985469"/>
    <w:rsid w:val="0098626E"/>
    <w:rsid w:val="009866A7"/>
    <w:rsid w:val="00986FE1"/>
    <w:rsid w:val="00987B8D"/>
    <w:rsid w:val="00991B01"/>
    <w:rsid w:val="00992E09"/>
    <w:rsid w:val="00993418"/>
    <w:rsid w:val="0099364A"/>
    <w:rsid w:val="00995A8D"/>
    <w:rsid w:val="009966D9"/>
    <w:rsid w:val="00997380"/>
    <w:rsid w:val="009A05FE"/>
    <w:rsid w:val="009A12BE"/>
    <w:rsid w:val="009A4C00"/>
    <w:rsid w:val="009A5460"/>
    <w:rsid w:val="009A75D6"/>
    <w:rsid w:val="009B0AA7"/>
    <w:rsid w:val="009B2737"/>
    <w:rsid w:val="009B3218"/>
    <w:rsid w:val="009B4E45"/>
    <w:rsid w:val="009B4F8E"/>
    <w:rsid w:val="009B54F9"/>
    <w:rsid w:val="009B59BA"/>
    <w:rsid w:val="009B5A97"/>
    <w:rsid w:val="009B71B0"/>
    <w:rsid w:val="009B7A51"/>
    <w:rsid w:val="009C3E8C"/>
    <w:rsid w:val="009C6734"/>
    <w:rsid w:val="009C68CA"/>
    <w:rsid w:val="009C7893"/>
    <w:rsid w:val="009C7AFB"/>
    <w:rsid w:val="009C7C6C"/>
    <w:rsid w:val="009D0464"/>
    <w:rsid w:val="009D1D52"/>
    <w:rsid w:val="009D43F5"/>
    <w:rsid w:val="009D4AFF"/>
    <w:rsid w:val="009D4BE7"/>
    <w:rsid w:val="009D6212"/>
    <w:rsid w:val="009D7AA5"/>
    <w:rsid w:val="009E1C8E"/>
    <w:rsid w:val="009E2B5E"/>
    <w:rsid w:val="009E304A"/>
    <w:rsid w:val="009E4F9A"/>
    <w:rsid w:val="009E5D58"/>
    <w:rsid w:val="009E6062"/>
    <w:rsid w:val="009F0491"/>
    <w:rsid w:val="009F1511"/>
    <w:rsid w:val="009F3951"/>
    <w:rsid w:val="009F47B2"/>
    <w:rsid w:val="009F5403"/>
    <w:rsid w:val="009F5A8C"/>
    <w:rsid w:val="009F660F"/>
    <w:rsid w:val="009F73CD"/>
    <w:rsid w:val="009F7C23"/>
    <w:rsid w:val="00A01D72"/>
    <w:rsid w:val="00A023D2"/>
    <w:rsid w:val="00A028B7"/>
    <w:rsid w:val="00A03BD5"/>
    <w:rsid w:val="00A03EB3"/>
    <w:rsid w:val="00A04721"/>
    <w:rsid w:val="00A0580B"/>
    <w:rsid w:val="00A06670"/>
    <w:rsid w:val="00A06688"/>
    <w:rsid w:val="00A07E37"/>
    <w:rsid w:val="00A104D9"/>
    <w:rsid w:val="00A11D2F"/>
    <w:rsid w:val="00A1270D"/>
    <w:rsid w:val="00A12B2E"/>
    <w:rsid w:val="00A13194"/>
    <w:rsid w:val="00A14EF3"/>
    <w:rsid w:val="00A166C3"/>
    <w:rsid w:val="00A17EC5"/>
    <w:rsid w:val="00A200D3"/>
    <w:rsid w:val="00A21271"/>
    <w:rsid w:val="00A21C76"/>
    <w:rsid w:val="00A238C3"/>
    <w:rsid w:val="00A24C41"/>
    <w:rsid w:val="00A24C48"/>
    <w:rsid w:val="00A26A4B"/>
    <w:rsid w:val="00A30CB2"/>
    <w:rsid w:val="00A31FD7"/>
    <w:rsid w:val="00A32B28"/>
    <w:rsid w:val="00A35674"/>
    <w:rsid w:val="00A357F3"/>
    <w:rsid w:val="00A40DAF"/>
    <w:rsid w:val="00A40FE0"/>
    <w:rsid w:val="00A41713"/>
    <w:rsid w:val="00A41BE6"/>
    <w:rsid w:val="00A44AEC"/>
    <w:rsid w:val="00A44BB3"/>
    <w:rsid w:val="00A45062"/>
    <w:rsid w:val="00A453D3"/>
    <w:rsid w:val="00A45B41"/>
    <w:rsid w:val="00A460F0"/>
    <w:rsid w:val="00A46A2B"/>
    <w:rsid w:val="00A504D6"/>
    <w:rsid w:val="00A50733"/>
    <w:rsid w:val="00A50F8C"/>
    <w:rsid w:val="00A51365"/>
    <w:rsid w:val="00A52349"/>
    <w:rsid w:val="00A53910"/>
    <w:rsid w:val="00A55B00"/>
    <w:rsid w:val="00A569B9"/>
    <w:rsid w:val="00A5705D"/>
    <w:rsid w:val="00A573E8"/>
    <w:rsid w:val="00A5772F"/>
    <w:rsid w:val="00A6055B"/>
    <w:rsid w:val="00A60B7D"/>
    <w:rsid w:val="00A61747"/>
    <w:rsid w:val="00A6309C"/>
    <w:rsid w:val="00A6366B"/>
    <w:rsid w:val="00A6395A"/>
    <w:rsid w:val="00A639CF"/>
    <w:rsid w:val="00A647BD"/>
    <w:rsid w:val="00A66149"/>
    <w:rsid w:val="00A70448"/>
    <w:rsid w:val="00A740EC"/>
    <w:rsid w:val="00A746EB"/>
    <w:rsid w:val="00A7526A"/>
    <w:rsid w:val="00A75436"/>
    <w:rsid w:val="00A75D3A"/>
    <w:rsid w:val="00A75E2D"/>
    <w:rsid w:val="00A77373"/>
    <w:rsid w:val="00A808F8"/>
    <w:rsid w:val="00A80FFC"/>
    <w:rsid w:val="00A837D8"/>
    <w:rsid w:val="00A846BF"/>
    <w:rsid w:val="00A86A48"/>
    <w:rsid w:val="00A86A58"/>
    <w:rsid w:val="00A86A60"/>
    <w:rsid w:val="00A8792C"/>
    <w:rsid w:val="00A87EF5"/>
    <w:rsid w:val="00A90D68"/>
    <w:rsid w:val="00A931BD"/>
    <w:rsid w:val="00A938CB"/>
    <w:rsid w:val="00A94C2F"/>
    <w:rsid w:val="00A962A2"/>
    <w:rsid w:val="00A9658C"/>
    <w:rsid w:val="00AA0FAF"/>
    <w:rsid w:val="00AA1BEC"/>
    <w:rsid w:val="00AA2421"/>
    <w:rsid w:val="00AA24F5"/>
    <w:rsid w:val="00AA2726"/>
    <w:rsid w:val="00AA276E"/>
    <w:rsid w:val="00AA424A"/>
    <w:rsid w:val="00AA4B2B"/>
    <w:rsid w:val="00AA5EFD"/>
    <w:rsid w:val="00AA6462"/>
    <w:rsid w:val="00AA7132"/>
    <w:rsid w:val="00AA71B4"/>
    <w:rsid w:val="00AA745D"/>
    <w:rsid w:val="00AA74D3"/>
    <w:rsid w:val="00AA7EFA"/>
    <w:rsid w:val="00AB26FC"/>
    <w:rsid w:val="00AB28D0"/>
    <w:rsid w:val="00AB2EDD"/>
    <w:rsid w:val="00AC0362"/>
    <w:rsid w:val="00AC04FC"/>
    <w:rsid w:val="00AC25ED"/>
    <w:rsid w:val="00AC5E91"/>
    <w:rsid w:val="00AC6787"/>
    <w:rsid w:val="00AC7C04"/>
    <w:rsid w:val="00AD006A"/>
    <w:rsid w:val="00AD06DF"/>
    <w:rsid w:val="00AD57FE"/>
    <w:rsid w:val="00AD5892"/>
    <w:rsid w:val="00AD7A04"/>
    <w:rsid w:val="00AE0BA3"/>
    <w:rsid w:val="00AE15A0"/>
    <w:rsid w:val="00AE22D9"/>
    <w:rsid w:val="00AE3909"/>
    <w:rsid w:val="00AE3D6E"/>
    <w:rsid w:val="00AE62CB"/>
    <w:rsid w:val="00AE6B7A"/>
    <w:rsid w:val="00AF03D9"/>
    <w:rsid w:val="00AF0B30"/>
    <w:rsid w:val="00AF18C6"/>
    <w:rsid w:val="00AF2F84"/>
    <w:rsid w:val="00AF3568"/>
    <w:rsid w:val="00AF3759"/>
    <w:rsid w:val="00AF4A08"/>
    <w:rsid w:val="00AF5C6E"/>
    <w:rsid w:val="00AF702E"/>
    <w:rsid w:val="00AF7292"/>
    <w:rsid w:val="00AF7847"/>
    <w:rsid w:val="00B00479"/>
    <w:rsid w:val="00B00E5F"/>
    <w:rsid w:val="00B03113"/>
    <w:rsid w:val="00B04C10"/>
    <w:rsid w:val="00B04CEC"/>
    <w:rsid w:val="00B0583E"/>
    <w:rsid w:val="00B06365"/>
    <w:rsid w:val="00B06AF5"/>
    <w:rsid w:val="00B06F52"/>
    <w:rsid w:val="00B06F70"/>
    <w:rsid w:val="00B06F87"/>
    <w:rsid w:val="00B0714C"/>
    <w:rsid w:val="00B07226"/>
    <w:rsid w:val="00B07FE2"/>
    <w:rsid w:val="00B12925"/>
    <w:rsid w:val="00B12DE4"/>
    <w:rsid w:val="00B13A58"/>
    <w:rsid w:val="00B13F93"/>
    <w:rsid w:val="00B146F9"/>
    <w:rsid w:val="00B15017"/>
    <w:rsid w:val="00B17E0B"/>
    <w:rsid w:val="00B20489"/>
    <w:rsid w:val="00B20C47"/>
    <w:rsid w:val="00B21AEB"/>
    <w:rsid w:val="00B22409"/>
    <w:rsid w:val="00B2281E"/>
    <w:rsid w:val="00B22891"/>
    <w:rsid w:val="00B238B5"/>
    <w:rsid w:val="00B23E38"/>
    <w:rsid w:val="00B2552C"/>
    <w:rsid w:val="00B265A6"/>
    <w:rsid w:val="00B27033"/>
    <w:rsid w:val="00B3006D"/>
    <w:rsid w:val="00B30495"/>
    <w:rsid w:val="00B309CD"/>
    <w:rsid w:val="00B3299B"/>
    <w:rsid w:val="00B345D8"/>
    <w:rsid w:val="00B34B8B"/>
    <w:rsid w:val="00B34DE0"/>
    <w:rsid w:val="00B35183"/>
    <w:rsid w:val="00B35261"/>
    <w:rsid w:val="00B35D0F"/>
    <w:rsid w:val="00B35D48"/>
    <w:rsid w:val="00B37D57"/>
    <w:rsid w:val="00B40522"/>
    <w:rsid w:val="00B41885"/>
    <w:rsid w:val="00B43004"/>
    <w:rsid w:val="00B43621"/>
    <w:rsid w:val="00B45800"/>
    <w:rsid w:val="00B45B68"/>
    <w:rsid w:val="00B46629"/>
    <w:rsid w:val="00B46CE0"/>
    <w:rsid w:val="00B50F58"/>
    <w:rsid w:val="00B52146"/>
    <w:rsid w:val="00B523A3"/>
    <w:rsid w:val="00B5383E"/>
    <w:rsid w:val="00B539AE"/>
    <w:rsid w:val="00B5607F"/>
    <w:rsid w:val="00B565C2"/>
    <w:rsid w:val="00B57E07"/>
    <w:rsid w:val="00B603E4"/>
    <w:rsid w:val="00B61FC1"/>
    <w:rsid w:val="00B622AA"/>
    <w:rsid w:val="00B62381"/>
    <w:rsid w:val="00B62E2D"/>
    <w:rsid w:val="00B630DB"/>
    <w:rsid w:val="00B64036"/>
    <w:rsid w:val="00B65980"/>
    <w:rsid w:val="00B669B1"/>
    <w:rsid w:val="00B67DE7"/>
    <w:rsid w:val="00B70149"/>
    <w:rsid w:val="00B70380"/>
    <w:rsid w:val="00B7166B"/>
    <w:rsid w:val="00B716B1"/>
    <w:rsid w:val="00B71CB9"/>
    <w:rsid w:val="00B72D7F"/>
    <w:rsid w:val="00B74729"/>
    <w:rsid w:val="00B74891"/>
    <w:rsid w:val="00B75666"/>
    <w:rsid w:val="00B76B6C"/>
    <w:rsid w:val="00B77620"/>
    <w:rsid w:val="00B779E1"/>
    <w:rsid w:val="00B77A75"/>
    <w:rsid w:val="00B80224"/>
    <w:rsid w:val="00B80705"/>
    <w:rsid w:val="00B81B98"/>
    <w:rsid w:val="00B826FD"/>
    <w:rsid w:val="00B82C84"/>
    <w:rsid w:val="00B830FA"/>
    <w:rsid w:val="00B83927"/>
    <w:rsid w:val="00B83B04"/>
    <w:rsid w:val="00B8405C"/>
    <w:rsid w:val="00B862D9"/>
    <w:rsid w:val="00B8698C"/>
    <w:rsid w:val="00B86A51"/>
    <w:rsid w:val="00B87F90"/>
    <w:rsid w:val="00B906ED"/>
    <w:rsid w:val="00B908D0"/>
    <w:rsid w:val="00B915A7"/>
    <w:rsid w:val="00B915C1"/>
    <w:rsid w:val="00B9238D"/>
    <w:rsid w:val="00B9279C"/>
    <w:rsid w:val="00B934E8"/>
    <w:rsid w:val="00B95466"/>
    <w:rsid w:val="00B96906"/>
    <w:rsid w:val="00B972FB"/>
    <w:rsid w:val="00B975F5"/>
    <w:rsid w:val="00B9760B"/>
    <w:rsid w:val="00B9784E"/>
    <w:rsid w:val="00B97DE5"/>
    <w:rsid w:val="00BA109D"/>
    <w:rsid w:val="00BA2BE6"/>
    <w:rsid w:val="00BA5214"/>
    <w:rsid w:val="00BA56DB"/>
    <w:rsid w:val="00BA6933"/>
    <w:rsid w:val="00BA7B9C"/>
    <w:rsid w:val="00BB0CBC"/>
    <w:rsid w:val="00BB17B5"/>
    <w:rsid w:val="00BB1F51"/>
    <w:rsid w:val="00BB3C86"/>
    <w:rsid w:val="00BB43AF"/>
    <w:rsid w:val="00BB7194"/>
    <w:rsid w:val="00BC1C6A"/>
    <w:rsid w:val="00BC2798"/>
    <w:rsid w:val="00BC293B"/>
    <w:rsid w:val="00BC2A6F"/>
    <w:rsid w:val="00BC46D4"/>
    <w:rsid w:val="00BC5C53"/>
    <w:rsid w:val="00BC5F3B"/>
    <w:rsid w:val="00BC6A83"/>
    <w:rsid w:val="00BC7A4D"/>
    <w:rsid w:val="00BD028F"/>
    <w:rsid w:val="00BD085C"/>
    <w:rsid w:val="00BD1051"/>
    <w:rsid w:val="00BD2084"/>
    <w:rsid w:val="00BD24A5"/>
    <w:rsid w:val="00BD3D4F"/>
    <w:rsid w:val="00BD491A"/>
    <w:rsid w:val="00BD4C67"/>
    <w:rsid w:val="00BD5E78"/>
    <w:rsid w:val="00BE12EE"/>
    <w:rsid w:val="00BE2080"/>
    <w:rsid w:val="00BE2591"/>
    <w:rsid w:val="00BE3387"/>
    <w:rsid w:val="00BE4220"/>
    <w:rsid w:val="00BE70C6"/>
    <w:rsid w:val="00BF0F72"/>
    <w:rsid w:val="00BF115F"/>
    <w:rsid w:val="00BF3265"/>
    <w:rsid w:val="00BF5987"/>
    <w:rsid w:val="00BF6E04"/>
    <w:rsid w:val="00C0018B"/>
    <w:rsid w:val="00C016B1"/>
    <w:rsid w:val="00C02D55"/>
    <w:rsid w:val="00C0404F"/>
    <w:rsid w:val="00C04E63"/>
    <w:rsid w:val="00C050D1"/>
    <w:rsid w:val="00C0586E"/>
    <w:rsid w:val="00C05D25"/>
    <w:rsid w:val="00C05D7D"/>
    <w:rsid w:val="00C07280"/>
    <w:rsid w:val="00C07453"/>
    <w:rsid w:val="00C10E4E"/>
    <w:rsid w:val="00C119F5"/>
    <w:rsid w:val="00C127F0"/>
    <w:rsid w:val="00C13169"/>
    <w:rsid w:val="00C13690"/>
    <w:rsid w:val="00C13703"/>
    <w:rsid w:val="00C16622"/>
    <w:rsid w:val="00C16D2E"/>
    <w:rsid w:val="00C176BA"/>
    <w:rsid w:val="00C20A81"/>
    <w:rsid w:val="00C217BE"/>
    <w:rsid w:val="00C21EFA"/>
    <w:rsid w:val="00C22781"/>
    <w:rsid w:val="00C2384A"/>
    <w:rsid w:val="00C240E8"/>
    <w:rsid w:val="00C2420B"/>
    <w:rsid w:val="00C24672"/>
    <w:rsid w:val="00C24A62"/>
    <w:rsid w:val="00C24CD1"/>
    <w:rsid w:val="00C24E45"/>
    <w:rsid w:val="00C26B81"/>
    <w:rsid w:val="00C270F1"/>
    <w:rsid w:val="00C275F7"/>
    <w:rsid w:val="00C30E86"/>
    <w:rsid w:val="00C3102F"/>
    <w:rsid w:val="00C314C6"/>
    <w:rsid w:val="00C32119"/>
    <w:rsid w:val="00C32B31"/>
    <w:rsid w:val="00C34C43"/>
    <w:rsid w:val="00C3510F"/>
    <w:rsid w:val="00C37B3E"/>
    <w:rsid w:val="00C37C7C"/>
    <w:rsid w:val="00C40F27"/>
    <w:rsid w:val="00C41475"/>
    <w:rsid w:val="00C426C9"/>
    <w:rsid w:val="00C45D79"/>
    <w:rsid w:val="00C45E7E"/>
    <w:rsid w:val="00C4648D"/>
    <w:rsid w:val="00C47AE5"/>
    <w:rsid w:val="00C47C4F"/>
    <w:rsid w:val="00C5030D"/>
    <w:rsid w:val="00C506BD"/>
    <w:rsid w:val="00C50CAF"/>
    <w:rsid w:val="00C510C4"/>
    <w:rsid w:val="00C512D0"/>
    <w:rsid w:val="00C52B87"/>
    <w:rsid w:val="00C540F3"/>
    <w:rsid w:val="00C544C4"/>
    <w:rsid w:val="00C54D24"/>
    <w:rsid w:val="00C54F66"/>
    <w:rsid w:val="00C5522F"/>
    <w:rsid w:val="00C554B1"/>
    <w:rsid w:val="00C55F9F"/>
    <w:rsid w:val="00C56EB7"/>
    <w:rsid w:val="00C60EDA"/>
    <w:rsid w:val="00C60F62"/>
    <w:rsid w:val="00C618BF"/>
    <w:rsid w:val="00C633A7"/>
    <w:rsid w:val="00C64B52"/>
    <w:rsid w:val="00C65093"/>
    <w:rsid w:val="00C65F88"/>
    <w:rsid w:val="00C65F9E"/>
    <w:rsid w:val="00C6696E"/>
    <w:rsid w:val="00C66DFC"/>
    <w:rsid w:val="00C67126"/>
    <w:rsid w:val="00C678F6"/>
    <w:rsid w:val="00C71121"/>
    <w:rsid w:val="00C71227"/>
    <w:rsid w:val="00C720E3"/>
    <w:rsid w:val="00C728B7"/>
    <w:rsid w:val="00C73D53"/>
    <w:rsid w:val="00C74949"/>
    <w:rsid w:val="00C7617C"/>
    <w:rsid w:val="00C76391"/>
    <w:rsid w:val="00C769AB"/>
    <w:rsid w:val="00C80F0C"/>
    <w:rsid w:val="00C830A1"/>
    <w:rsid w:val="00C8415C"/>
    <w:rsid w:val="00C84FDD"/>
    <w:rsid w:val="00C8745E"/>
    <w:rsid w:val="00C9195F"/>
    <w:rsid w:val="00C941F7"/>
    <w:rsid w:val="00C9468E"/>
    <w:rsid w:val="00C950C8"/>
    <w:rsid w:val="00C95B7F"/>
    <w:rsid w:val="00CA01E8"/>
    <w:rsid w:val="00CA15E9"/>
    <w:rsid w:val="00CA1CAB"/>
    <w:rsid w:val="00CA2370"/>
    <w:rsid w:val="00CA25BA"/>
    <w:rsid w:val="00CA34A2"/>
    <w:rsid w:val="00CA49A6"/>
    <w:rsid w:val="00CA4A58"/>
    <w:rsid w:val="00CA6012"/>
    <w:rsid w:val="00CA7043"/>
    <w:rsid w:val="00CA79DF"/>
    <w:rsid w:val="00CB044C"/>
    <w:rsid w:val="00CB1AB4"/>
    <w:rsid w:val="00CB1C73"/>
    <w:rsid w:val="00CB1F7D"/>
    <w:rsid w:val="00CB40AD"/>
    <w:rsid w:val="00CB453D"/>
    <w:rsid w:val="00CB5029"/>
    <w:rsid w:val="00CB5343"/>
    <w:rsid w:val="00CB731B"/>
    <w:rsid w:val="00CB7F41"/>
    <w:rsid w:val="00CC0AB1"/>
    <w:rsid w:val="00CC18E4"/>
    <w:rsid w:val="00CC2D88"/>
    <w:rsid w:val="00CC367F"/>
    <w:rsid w:val="00CC39B1"/>
    <w:rsid w:val="00CC43ED"/>
    <w:rsid w:val="00CC4787"/>
    <w:rsid w:val="00CC5F1F"/>
    <w:rsid w:val="00CC618A"/>
    <w:rsid w:val="00CC668B"/>
    <w:rsid w:val="00CD0A0A"/>
    <w:rsid w:val="00CD174F"/>
    <w:rsid w:val="00CD17E1"/>
    <w:rsid w:val="00CD1C66"/>
    <w:rsid w:val="00CD2265"/>
    <w:rsid w:val="00CD2EFA"/>
    <w:rsid w:val="00CD349B"/>
    <w:rsid w:val="00CD458C"/>
    <w:rsid w:val="00CD4F27"/>
    <w:rsid w:val="00CD537E"/>
    <w:rsid w:val="00CD5E0D"/>
    <w:rsid w:val="00CD64E2"/>
    <w:rsid w:val="00CD7506"/>
    <w:rsid w:val="00CE0E8C"/>
    <w:rsid w:val="00CE222C"/>
    <w:rsid w:val="00CE69B0"/>
    <w:rsid w:val="00CE6A07"/>
    <w:rsid w:val="00CE702F"/>
    <w:rsid w:val="00CE7AD1"/>
    <w:rsid w:val="00CF1E17"/>
    <w:rsid w:val="00CF2CD7"/>
    <w:rsid w:val="00CF3EE1"/>
    <w:rsid w:val="00CF5352"/>
    <w:rsid w:val="00CF60BC"/>
    <w:rsid w:val="00CF70D2"/>
    <w:rsid w:val="00CF7222"/>
    <w:rsid w:val="00CF73F0"/>
    <w:rsid w:val="00CF7710"/>
    <w:rsid w:val="00CF797F"/>
    <w:rsid w:val="00D01067"/>
    <w:rsid w:val="00D01278"/>
    <w:rsid w:val="00D0159C"/>
    <w:rsid w:val="00D03C0F"/>
    <w:rsid w:val="00D060F4"/>
    <w:rsid w:val="00D0733D"/>
    <w:rsid w:val="00D11958"/>
    <w:rsid w:val="00D12208"/>
    <w:rsid w:val="00D1388C"/>
    <w:rsid w:val="00D13B42"/>
    <w:rsid w:val="00D14A6E"/>
    <w:rsid w:val="00D158D8"/>
    <w:rsid w:val="00D17069"/>
    <w:rsid w:val="00D20FAC"/>
    <w:rsid w:val="00D2155C"/>
    <w:rsid w:val="00D21FDB"/>
    <w:rsid w:val="00D23CB9"/>
    <w:rsid w:val="00D25901"/>
    <w:rsid w:val="00D26365"/>
    <w:rsid w:val="00D26810"/>
    <w:rsid w:val="00D26961"/>
    <w:rsid w:val="00D278D7"/>
    <w:rsid w:val="00D32B1F"/>
    <w:rsid w:val="00D34EB8"/>
    <w:rsid w:val="00D36743"/>
    <w:rsid w:val="00D3680A"/>
    <w:rsid w:val="00D37226"/>
    <w:rsid w:val="00D37930"/>
    <w:rsid w:val="00D4014A"/>
    <w:rsid w:val="00D4017B"/>
    <w:rsid w:val="00D404D1"/>
    <w:rsid w:val="00D40885"/>
    <w:rsid w:val="00D41797"/>
    <w:rsid w:val="00D41DDC"/>
    <w:rsid w:val="00D431F7"/>
    <w:rsid w:val="00D43336"/>
    <w:rsid w:val="00D43BAE"/>
    <w:rsid w:val="00D44ADE"/>
    <w:rsid w:val="00D47F80"/>
    <w:rsid w:val="00D518AF"/>
    <w:rsid w:val="00D51FAA"/>
    <w:rsid w:val="00D53BF5"/>
    <w:rsid w:val="00D577A6"/>
    <w:rsid w:val="00D57F82"/>
    <w:rsid w:val="00D6027D"/>
    <w:rsid w:val="00D603F1"/>
    <w:rsid w:val="00D60932"/>
    <w:rsid w:val="00D61D1F"/>
    <w:rsid w:val="00D61DC7"/>
    <w:rsid w:val="00D62156"/>
    <w:rsid w:val="00D63B78"/>
    <w:rsid w:val="00D63F4F"/>
    <w:rsid w:val="00D6550D"/>
    <w:rsid w:val="00D65578"/>
    <w:rsid w:val="00D659E0"/>
    <w:rsid w:val="00D67005"/>
    <w:rsid w:val="00D67A5D"/>
    <w:rsid w:val="00D70067"/>
    <w:rsid w:val="00D709F6"/>
    <w:rsid w:val="00D70ADB"/>
    <w:rsid w:val="00D71455"/>
    <w:rsid w:val="00D73F82"/>
    <w:rsid w:val="00D74EC6"/>
    <w:rsid w:val="00D77BFD"/>
    <w:rsid w:val="00D80883"/>
    <w:rsid w:val="00D82C71"/>
    <w:rsid w:val="00D83B28"/>
    <w:rsid w:val="00D84529"/>
    <w:rsid w:val="00D8485F"/>
    <w:rsid w:val="00D85306"/>
    <w:rsid w:val="00D85970"/>
    <w:rsid w:val="00D85B2E"/>
    <w:rsid w:val="00D90434"/>
    <w:rsid w:val="00D92706"/>
    <w:rsid w:val="00D95A5E"/>
    <w:rsid w:val="00D96CF1"/>
    <w:rsid w:val="00D97220"/>
    <w:rsid w:val="00DA0435"/>
    <w:rsid w:val="00DA0E36"/>
    <w:rsid w:val="00DA1708"/>
    <w:rsid w:val="00DA1EED"/>
    <w:rsid w:val="00DA23DE"/>
    <w:rsid w:val="00DA3005"/>
    <w:rsid w:val="00DA49AA"/>
    <w:rsid w:val="00DA5BD9"/>
    <w:rsid w:val="00DA5FC8"/>
    <w:rsid w:val="00DA603E"/>
    <w:rsid w:val="00DB0707"/>
    <w:rsid w:val="00DB1530"/>
    <w:rsid w:val="00DB3451"/>
    <w:rsid w:val="00DB3960"/>
    <w:rsid w:val="00DB4669"/>
    <w:rsid w:val="00DB4A88"/>
    <w:rsid w:val="00DB4E0E"/>
    <w:rsid w:val="00DB4E5B"/>
    <w:rsid w:val="00DB56ED"/>
    <w:rsid w:val="00DB63AF"/>
    <w:rsid w:val="00DC035B"/>
    <w:rsid w:val="00DC0A92"/>
    <w:rsid w:val="00DC117E"/>
    <w:rsid w:val="00DC18FE"/>
    <w:rsid w:val="00DC2228"/>
    <w:rsid w:val="00DC2769"/>
    <w:rsid w:val="00DC2F98"/>
    <w:rsid w:val="00DC34F4"/>
    <w:rsid w:val="00DC3B20"/>
    <w:rsid w:val="00DC4648"/>
    <w:rsid w:val="00DC4C6B"/>
    <w:rsid w:val="00DC5A58"/>
    <w:rsid w:val="00DC5CC1"/>
    <w:rsid w:val="00DC65D7"/>
    <w:rsid w:val="00DC6834"/>
    <w:rsid w:val="00DC6BCC"/>
    <w:rsid w:val="00DC7467"/>
    <w:rsid w:val="00DC7879"/>
    <w:rsid w:val="00DC78E5"/>
    <w:rsid w:val="00DC7BEC"/>
    <w:rsid w:val="00DC7FE9"/>
    <w:rsid w:val="00DD0C7A"/>
    <w:rsid w:val="00DD0E1B"/>
    <w:rsid w:val="00DD0EB2"/>
    <w:rsid w:val="00DD0F7C"/>
    <w:rsid w:val="00DD1387"/>
    <w:rsid w:val="00DD1526"/>
    <w:rsid w:val="00DD1755"/>
    <w:rsid w:val="00DD1E28"/>
    <w:rsid w:val="00DD1EB3"/>
    <w:rsid w:val="00DD246E"/>
    <w:rsid w:val="00DD51C9"/>
    <w:rsid w:val="00DD5F46"/>
    <w:rsid w:val="00DE0928"/>
    <w:rsid w:val="00DE14B6"/>
    <w:rsid w:val="00DE14DB"/>
    <w:rsid w:val="00DE1E7D"/>
    <w:rsid w:val="00DE3EDE"/>
    <w:rsid w:val="00DE47EB"/>
    <w:rsid w:val="00DE4ADE"/>
    <w:rsid w:val="00DE54E9"/>
    <w:rsid w:val="00DE7651"/>
    <w:rsid w:val="00DE7729"/>
    <w:rsid w:val="00DE7AB4"/>
    <w:rsid w:val="00DE7E17"/>
    <w:rsid w:val="00DE7EF1"/>
    <w:rsid w:val="00DF0601"/>
    <w:rsid w:val="00DF0C12"/>
    <w:rsid w:val="00DF0CB1"/>
    <w:rsid w:val="00DF183F"/>
    <w:rsid w:val="00DF20BA"/>
    <w:rsid w:val="00DF40DD"/>
    <w:rsid w:val="00DF48F1"/>
    <w:rsid w:val="00DF4BA0"/>
    <w:rsid w:val="00DF548E"/>
    <w:rsid w:val="00DF5AE4"/>
    <w:rsid w:val="00DF5E8A"/>
    <w:rsid w:val="00DF712F"/>
    <w:rsid w:val="00DF79CB"/>
    <w:rsid w:val="00DF7E66"/>
    <w:rsid w:val="00E003F7"/>
    <w:rsid w:val="00E00570"/>
    <w:rsid w:val="00E00A53"/>
    <w:rsid w:val="00E015A3"/>
    <w:rsid w:val="00E02ED4"/>
    <w:rsid w:val="00E03939"/>
    <w:rsid w:val="00E03E4E"/>
    <w:rsid w:val="00E0460B"/>
    <w:rsid w:val="00E04AA4"/>
    <w:rsid w:val="00E069F9"/>
    <w:rsid w:val="00E07411"/>
    <w:rsid w:val="00E077CA"/>
    <w:rsid w:val="00E135EA"/>
    <w:rsid w:val="00E138F7"/>
    <w:rsid w:val="00E17060"/>
    <w:rsid w:val="00E17531"/>
    <w:rsid w:val="00E17B6F"/>
    <w:rsid w:val="00E205B0"/>
    <w:rsid w:val="00E2179E"/>
    <w:rsid w:val="00E22CA8"/>
    <w:rsid w:val="00E232C3"/>
    <w:rsid w:val="00E246D1"/>
    <w:rsid w:val="00E24AE8"/>
    <w:rsid w:val="00E267C9"/>
    <w:rsid w:val="00E26D48"/>
    <w:rsid w:val="00E30CBF"/>
    <w:rsid w:val="00E32D8A"/>
    <w:rsid w:val="00E32E5E"/>
    <w:rsid w:val="00E32EE8"/>
    <w:rsid w:val="00E35BDE"/>
    <w:rsid w:val="00E40B4B"/>
    <w:rsid w:val="00E410A3"/>
    <w:rsid w:val="00E41E58"/>
    <w:rsid w:val="00E426D3"/>
    <w:rsid w:val="00E42E09"/>
    <w:rsid w:val="00E43510"/>
    <w:rsid w:val="00E43854"/>
    <w:rsid w:val="00E4420A"/>
    <w:rsid w:val="00E47211"/>
    <w:rsid w:val="00E47276"/>
    <w:rsid w:val="00E472E9"/>
    <w:rsid w:val="00E503B6"/>
    <w:rsid w:val="00E50631"/>
    <w:rsid w:val="00E53071"/>
    <w:rsid w:val="00E53185"/>
    <w:rsid w:val="00E54080"/>
    <w:rsid w:val="00E604BB"/>
    <w:rsid w:val="00E612A8"/>
    <w:rsid w:val="00E615C0"/>
    <w:rsid w:val="00E61733"/>
    <w:rsid w:val="00E62433"/>
    <w:rsid w:val="00E62F46"/>
    <w:rsid w:val="00E665FB"/>
    <w:rsid w:val="00E66B7A"/>
    <w:rsid w:val="00E679A6"/>
    <w:rsid w:val="00E67C86"/>
    <w:rsid w:val="00E7147A"/>
    <w:rsid w:val="00E71B49"/>
    <w:rsid w:val="00E7205A"/>
    <w:rsid w:val="00E72276"/>
    <w:rsid w:val="00E72311"/>
    <w:rsid w:val="00E72DC4"/>
    <w:rsid w:val="00E765F9"/>
    <w:rsid w:val="00E76CE8"/>
    <w:rsid w:val="00E77179"/>
    <w:rsid w:val="00E77F9B"/>
    <w:rsid w:val="00E8287A"/>
    <w:rsid w:val="00E83155"/>
    <w:rsid w:val="00E83297"/>
    <w:rsid w:val="00E846A1"/>
    <w:rsid w:val="00E849CF"/>
    <w:rsid w:val="00E84DC9"/>
    <w:rsid w:val="00E85EBA"/>
    <w:rsid w:val="00E87D53"/>
    <w:rsid w:val="00E9040F"/>
    <w:rsid w:val="00E9077C"/>
    <w:rsid w:val="00E9256A"/>
    <w:rsid w:val="00E92663"/>
    <w:rsid w:val="00E93219"/>
    <w:rsid w:val="00E938D6"/>
    <w:rsid w:val="00E94885"/>
    <w:rsid w:val="00E96039"/>
    <w:rsid w:val="00E97560"/>
    <w:rsid w:val="00E977B9"/>
    <w:rsid w:val="00EA08E8"/>
    <w:rsid w:val="00EA090C"/>
    <w:rsid w:val="00EA31C4"/>
    <w:rsid w:val="00EA3434"/>
    <w:rsid w:val="00EA42AD"/>
    <w:rsid w:val="00EA569C"/>
    <w:rsid w:val="00EA74C9"/>
    <w:rsid w:val="00EB1ABD"/>
    <w:rsid w:val="00EB1CA3"/>
    <w:rsid w:val="00EB1FA8"/>
    <w:rsid w:val="00EB2A85"/>
    <w:rsid w:val="00EB3162"/>
    <w:rsid w:val="00EB3A40"/>
    <w:rsid w:val="00EB4C2A"/>
    <w:rsid w:val="00EB6222"/>
    <w:rsid w:val="00EB657E"/>
    <w:rsid w:val="00EB6E59"/>
    <w:rsid w:val="00EB79CA"/>
    <w:rsid w:val="00EC06D1"/>
    <w:rsid w:val="00EC0738"/>
    <w:rsid w:val="00EC190F"/>
    <w:rsid w:val="00EC5052"/>
    <w:rsid w:val="00EC5B41"/>
    <w:rsid w:val="00ED08A0"/>
    <w:rsid w:val="00ED0BB2"/>
    <w:rsid w:val="00ED1AF4"/>
    <w:rsid w:val="00ED2994"/>
    <w:rsid w:val="00ED30F5"/>
    <w:rsid w:val="00ED3582"/>
    <w:rsid w:val="00ED3B4F"/>
    <w:rsid w:val="00ED45EF"/>
    <w:rsid w:val="00ED6FFA"/>
    <w:rsid w:val="00EE019B"/>
    <w:rsid w:val="00EE14CD"/>
    <w:rsid w:val="00EE183F"/>
    <w:rsid w:val="00EE1A88"/>
    <w:rsid w:val="00EE1AD8"/>
    <w:rsid w:val="00EE3567"/>
    <w:rsid w:val="00EE4E50"/>
    <w:rsid w:val="00EE59F0"/>
    <w:rsid w:val="00EE6EDD"/>
    <w:rsid w:val="00EE7024"/>
    <w:rsid w:val="00EF0219"/>
    <w:rsid w:val="00EF0A56"/>
    <w:rsid w:val="00EF0F1A"/>
    <w:rsid w:val="00EF1B9E"/>
    <w:rsid w:val="00EF29BF"/>
    <w:rsid w:val="00EF2F82"/>
    <w:rsid w:val="00EF38F3"/>
    <w:rsid w:val="00EF392A"/>
    <w:rsid w:val="00EF3EC2"/>
    <w:rsid w:val="00EF4953"/>
    <w:rsid w:val="00EF5078"/>
    <w:rsid w:val="00EF554D"/>
    <w:rsid w:val="00EF5A71"/>
    <w:rsid w:val="00EF76D2"/>
    <w:rsid w:val="00EF7D83"/>
    <w:rsid w:val="00F015B9"/>
    <w:rsid w:val="00F0290C"/>
    <w:rsid w:val="00F02B6D"/>
    <w:rsid w:val="00F0369D"/>
    <w:rsid w:val="00F037A3"/>
    <w:rsid w:val="00F064DE"/>
    <w:rsid w:val="00F067EA"/>
    <w:rsid w:val="00F07699"/>
    <w:rsid w:val="00F07D9B"/>
    <w:rsid w:val="00F1007F"/>
    <w:rsid w:val="00F125CA"/>
    <w:rsid w:val="00F12A37"/>
    <w:rsid w:val="00F12B1E"/>
    <w:rsid w:val="00F13304"/>
    <w:rsid w:val="00F141E1"/>
    <w:rsid w:val="00F14398"/>
    <w:rsid w:val="00F14A04"/>
    <w:rsid w:val="00F14BEC"/>
    <w:rsid w:val="00F14D8E"/>
    <w:rsid w:val="00F15B7C"/>
    <w:rsid w:val="00F16C2D"/>
    <w:rsid w:val="00F16D06"/>
    <w:rsid w:val="00F1704E"/>
    <w:rsid w:val="00F17908"/>
    <w:rsid w:val="00F203AC"/>
    <w:rsid w:val="00F2044A"/>
    <w:rsid w:val="00F218AE"/>
    <w:rsid w:val="00F219BC"/>
    <w:rsid w:val="00F2219E"/>
    <w:rsid w:val="00F23130"/>
    <w:rsid w:val="00F244A8"/>
    <w:rsid w:val="00F2450B"/>
    <w:rsid w:val="00F2471C"/>
    <w:rsid w:val="00F24D01"/>
    <w:rsid w:val="00F25E70"/>
    <w:rsid w:val="00F26C43"/>
    <w:rsid w:val="00F26F3E"/>
    <w:rsid w:val="00F27303"/>
    <w:rsid w:val="00F2730C"/>
    <w:rsid w:val="00F2768D"/>
    <w:rsid w:val="00F31076"/>
    <w:rsid w:val="00F31336"/>
    <w:rsid w:val="00F31346"/>
    <w:rsid w:val="00F314F4"/>
    <w:rsid w:val="00F3170B"/>
    <w:rsid w:val="00F32440"/>
    <w:rsid w:val="00F32BFE"/>
    <w:rsid w:val="00F337D1"/>
    <w:rsid w:val="00F33C8B"/>
    <w:rsid w:val="00F34072"/>
    <w:rsid w:val="00F35DDF"/>
    <w:rsid w:val="00F3609D"/>
    <w:rsid w:val="00F36C25"/>
    <w:rsid w:val="00F3779E"/>
    <w:rsid w:val="00F37B0E"/>
    <w:rsid w:val="00F42499"/>
    <w:rsid w:val="00F4396C"/>
    <w:rsid w:val="00F44804"/>
    <w:rsid w:val="00F448A8"/>
    <w:rsid w:val="00F44F29"/>
    <w:rsid w:val="00F45B8B"/>
    <w:rsid w:val="00F4702F"/>
    <w:rsid w:val="00F47C96"/>
    <w:rsid w:val="00F506AD"/>
    <w:rsid w:val="00F51B46"/>
    <w:rsid w:val="00F52B4C"/>
    <w:rsid w:val="00F53DDD"/>
    <w:rsid w:val="00F546B6"/>
    <w:rsid w:val="00F548CA"/>
    <w:rsid w:val="00F549F8"/>
    <w:rsid w:val="00F54CF5"/>
    <w:rsid w:val="00F5689E"/>
    <w:rsid w:val="00F60911"/>
    <w:rsid w:val="00F62F85"/>
    <w:rsid w:val="00F645C2"/>
    <w:rsid w:val="00F64EA5"/>
    <w:rsid w:val="00F661BB"/>
    <w:rsid w:val="00F678DC"/>
    <w:rsid w:val="00F72946"/>
    <w:rsid w:val="00F73C1C"/>
    <w:rsid w:val="00F749E8"/>
    <w:rsid w:val="00F76EA0"/>
    <w:rsid w:val="00F7795A"/>
    <w:rsid w:val="00F77EFF"/>
    <w:rsid w:val="00F80B0E"/>
    <w:rsid w:val="00F81228"/>
    <w:rsid w:val="00F815C8"/>
    <w:rsid w:val="00F81679"/>
    <w:rsid w:val="00F81DE7"/>
    <w:rsid w:val="00F82C3E"/>
    <w:rsid w:val="00F83FF1"/>
    <w:rsid w:val="00F850AE"/>
    <w:rsid w:val="00F855E2"/>
    <w:rsid w:val="00F86B69"/>
    <w:rsid w:val="00F87240"/>
    <w:rsid w:val="00F878A3"/>
    <w:rsid w:val="00F905D9"/>
    <w:rsid w:val="00F917BF"/>
    <w:rsid w:val="00F92039"/>
    <w:rsid w:val="00F92621"/>
    <w:rsid w:val="00F926DD"/>
    <w:rsid w:val="00F92990"/>
    <w:rsid w:val="00F92B31"/>
    <w:rsid w:val="00F93B85"/>
    <w:rsid w:val="00F93DA4"/>
    <w:rsid w:val="00F953A8"/>
    <w:rsid w:val="00F96DA2"/>
    <w:rsid w:val="00F972AF"/>
    <w:rsid w:val="00FA08A4"/>
    <w:rsid w:val="00FA2571"/>
    <w:rsid w:val="00FA33AD"/>
    <w:rsid w:val="00FA3531"/>
    <w:rsid w:val="00FA4B09"/>
    <w:rsid w:val="00FA58EB"/>
    <w:rsid w:val="00FA5E6F"/>
    <w:rsid w:val="00FA7030"/>
    <w:rsid w:val="00FA735B"/>
    <w:rsid w:val="00FA7D13"/>
    <w:rsid w:val="00FB0594"/>
    <w:rsid w:val="00FB0602"/>
    <w:rsid w:val="00FB1432"/>
    <w:rsid w:val="00FB18BD"/>
    <w:rsid w:val="00FB218B"/>
    <w:rsid w:val="00FB3B57"/>
    <w:rsid w:val="00FB63E8"/>
    <w:rsid w:val="00FB6F1E"/>
    <w:rsid w:val="00FB703B"/>
    <w:rsid w:val="00FC09A3"/>
    <w:rsid w:val="00FC1842"/>
    <w:rsid w:val="00FC2915"/>
    <w:rsid w:val="00FC4742"/>
    <w:rsid w:val="00FC483E"/>
    <w:rsid w:val="00FC51C4"/>
    <w:rsid w:val="00FC7414"/>
    <w:rsid w:val="00FC7423"/>
    <w:rsid w:val="00FD389F"/>
    <w:rsid w:val="00FD6390"/>
    <w:rsid w:val="00FD7006"/>
    <w:rsid w:val="00FE0B91"/>
    <w:rsid w:val="00FE10B4"/>
    <w:rsid w:val="00FE178E"/>
    <w:rsid w:val="00FE1CB4"/>
    <w:rsid w:val="00FE4115"/>
    <w:rsid w:val="00FE5A4C"/>
    <w:rsid w:val="00FE7280"/>
    <w:rsid w:val="00FE77B9"/>
    <w:rsid w:val="00FF12EE"/>
    <w:rsid w:val="00FF174E"/>
    <w:rsid w:val="00FF4970"/>
    <w:rsid w:val="00FF50AF"/>
    <w:rsid w:val="00FF5780"/>
    <w:rsid w:val="00FF76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B3B17F1"/>
  <w15:docId w15:val="{7B40FCAB-67EF-4CBE-BD52-A923F2989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6FFA"/>
    <w:rPr>
      <w:rFonts w:ascii="Arial" w:hAnsi="Arial"/>
    </w:rPr>
  </w:style>
  <w:style w:type="paragraph" w:styleId="Heading1">
    <w:name w:val="heading 1"/>
    <w:basedOn w:val="Normal"/>
    <w:next w:val="Normal"/>
    <w:link w:val="Heading1Char"/>
    <w:uiPriority w:val="9"/>
    <w:qFormat/>
    <w:rsid w:val="00865D3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unhideWhenUsed/>
    <w:qFormat/>
    <w:rsid w:val="00865D3A"/>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unhideWhenUsed/>
    <w:qFormat/>
    <w:rsid w:val="00865D3A"/>
    <w:pPr>
      <w:keepNext/>
      <w:keepLines/>
      <w:spacing w:before="40" w:after="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7545C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3B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5D3A"/>
    <w:rPr>
      <w:rFonts w:ascii="Arial" w:eastAsiaTheme="majorEastAsia" w:hAnsi="Arial" w:cstheme="majorBidi"/>
      <w:sz w:val="26"/>
      <w:szCs w:val="26"/>
    </w:rPr>
  </w:style>
  <w:style w:type="character" w:styleId="PageNumber">
    <w:name w:val="page number"/>
    <w:basedOn w:val="DefaultParagraphFont"/>
    <w:uiPriority w:val="99"/>
    <w:semiHidden/>
    <w:unhideWhenUsed/>
    <w:rsid w:val="002D7F42"/>
  </w:style>
  <w:style w:type="character" w:customStyle="1" w:styleId="Heading1Char">
    <w:name w:val="Heading 1 Char"/>
    <w:basedOn w:val="DefaultParagraphFont"/>
    <w:link w:val="Heading1"/>
    <w:uiPriority w:val="9"/>
    <w:rsid w:val="00865D3A"/>
    <w:rPr>
      <w:rFonts w:ascii="Arial" w:eastAsiaTheme="majorEastAsia" w:hAnsi="Arial" w:cstheme="majorBidi"/>
      <w:sz w:val="32"/>
      <w:szCs w:val="32"/>
    </w:rPr>
  </w:style>
  <w:style w:type="character" w:customStyle="1" w:styleId="Heading3Char">
    <w:name w:val="Heading 3 Char"/>
    <w:basedOn w:val="DefaultParagraphFont"/>
    <w:link w:val="Heading3"/>
    <w:uiPriority w:val="9"/>
    <w:rsid w:val="00865D3A"/>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7545CE"/>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236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A03BD5"/>
    <w:rPr>
      <w:rFonts w:asciiTheme="majorHAnsi" w:eastAsiaTheme="majorEastAsia" w:hAnsiTheme="majorHAnsi" w:cstheme="majorBidi"/>
      <w:color w:val="2E74B5" w:themeColor="accent1" w:themeShade="BF"/>
    </w:rPr>
  </w:style>
  <w:style w:type="paragraph" w:styleId="Caption">
    <w:name w:val="caption"/>
    <w:basedOn w:val="Normal"/>
    <w:next w:val="Normal"/>
    <w:uiPriority w:val="35"/>
    <w:unhideWhenUsed/>
    <w:qFormat/>
    <w:rsid w:val="00865D3A"/>
    <w:pPr>
      <w:spacing w:after="200" w:line="240" w:lineRule="auto"/>
    </w:pPr>
    <w:rPr>
      <w:i/>
      <w:iCs/>
      <w:sz w:val="18"/>
      <w:szCs w:val="18"/>
    </w:rPr>
  </w:style>
  <w:style w:type="character" w:styleId="CommentReference">
    <w:name w:val="annotation reference"/>
    <w:basedOn w:val="DefaultParagraphFont"/>
    <w:uiPriority w:val="99"/>
    <w:semiHidden/>
    <w:unhideWhenUsed/>
    <w:rsid w:val="00612F7D"/>
    <w:rPr>
      <w:sz w:val="16"/>
      <w:szCs w:val="16"/>
    </w:rPr>
  </w:style>
  <w:style w:type="paragraph" w:styleId="CommentText">
    <w:name w:val="annotation text"/>
    <w:basedOn w:val="Normal"/>
    <w:link w:val="CommentTextChar"/>
    <w:uiPriority w:val="99"/>
    <w:semiHidden/>
    <w:unhideWhenUsed/>
    <w:rsid w:val="00612F7D"/>
    <w:pPr>
      <w:spacing w:line="240" w:lineRule="auto"/>
    </w:pPr>
    <w:rPr>
      <w:sz w:val="20"/>
      <w:szCs w:val="20"/>
    </w:rPr>
  </w:style>
  <w:style w:type="character" w:customStyle="1" w:styleId="CommentTextChar">
    <w:name w:val="Comment Text Char"/>
    <w:basedOn w:val="DefaultParagraphFont"/>
    <w:link w:val="CommentText"/>
    <w:uiPriority w:val="99"/>
    <w:semiHidden/>
    <w:rsid w:val="00612F7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2F7D"/>
    <w:rPr>
      <w:b/>
      <w:bCs/>
    </w:rPr>
  </w:style>
  <w:style w:type="character" w:customStyle="1" w:styleId="CommentSubjectChar">
    <w:name w:val="Comment Subject Char"/>
    <w:basedOn w:val="CommentTextChar"/>
    <w:link w:val="CommentSubject"/>
    <w:uiPriority w:val="99"/>
    <w:semiHidden/>
    <w:rsid w:val="00612F7D"/>
    <w:rPr>
      <w:rFonts w:ascii="Arial" w:hAnsi="Arial"/>
      <w:b/>
      <w:bCs/>
      <w:sz w:val="20"/>
      <w:szCs w:val="20"/>
    </w:rPr>
  </w:style>
  <w:style w:type="paragraph" w:styleId="BalloonText">
    <w:name w:val="Balloon Text"/>
    <w:basedOn w:val="Normal"/>
    <w:link w:val="BalloonTextChar"/>
    <w:uiPriority w:val="99"/>
    <w:semiHidden/>
    <w:unhideWhenUsed/>
    <w:rsid w:val="00612F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F7D"/>
    <w:rPr>
      <w:rFonts w:ascii="Segoe UI" w:hAnsi="Segoe UI" w:cs="Segoe UI"/>
      <w:sz w:val="18"/>
      <w:szCs w:val="18"/>
    </w:rPr>
  </w:style>
  <w:style w:type="paragraph" w:styleId="Revision">
    <w:name w:val="Revision"/>
    <w:hidden/>
    <w:uiPriority w:val="99"/>
    <w:semiHidden/>
    <w:rsid w:val="0023757A"/>
    <w:pPr>
      <w:spacing w:after="0" w:line="240" w:lineRule="auto"/>
    </w:pPr>
    <w:rPr>
      <w:rFonts w:ascii="Arial" w:hAnsi="Arial"/>
    </w:rPr>
  </w:style>
  <w:style w:type="paragraph" w:customStyle="1" w:styleId="EndNoteBibliography">
    <w:name w:val="EndNote Bibliography"/>
    <w:basedOn w:val="Normal"/>
    <w:link w:val="EndNoteBibliographyChar"/>
    <w:rsid w:val="00501E4F"/>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501E4F"/>
    <w:rPr>
      <w:rFonts w:ascii="Calibri" w:hAnsi="Calibri"/>
      <w:noProof/>
      <w:lang w:val="en-US"/>
    </w:rPr>
  </w:style>
  <w:style w:type="paragraph" w:styleId="Header">
    <w:name w:val="header"/>
    <w:basedOn w:val="Normal"/>
    <w:link w:val="HeaderChar"/>
    <w:uiPriority w:val="99"/>
    <w:unhideWhenUsed/>
    <w:rsid w:val="00802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2AB3"/>
    <w:rPr>
      <w:rFonts w:ascii="Arial" w:hAnsi="Arial"/>
    </w:rPr>
  </w:style>
  <w:style w:type="paragraph" w:styleId="Footer">
    <w:name w:val="footer"/>
    <w:basedOn w:val="Normal"/>
    <w:link w:val="FooterChar"/>
    <w:uiPriority w:val="99"/>
    <w:unhideWhenUsed/>
    <w:rsid w:val="00802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2AB3"/>
    <w:rPr>
      <w:rFonts w:ascii="Arial" w:hAnsi="Arial"/>
    </w:rPr>
  </w:style>
  <w:style w:type="paragraph" w:styleId="ListParagraph">
    <w:name w:val="List Paragraph"/>
    <w:basedOn w:val="Normal"/>
    <w:uiPriority w:val="34"/>
    <w:qFormat/>
    <w:rsid w:val="00835FE9"/>
    <w:pPr>
      <w:ind w:left="720"/>
      <w:contextualSpacing/>
    </w:pPr>
  </w:style>
  <w:style w:type="character" w:styleId="Hyperlink">
    <w:name w:val="Hyperlink"/>
    <w:basedOn w:val="DefaultParagraphFont"/>
    <w:uiPriority w:val="99"/>
    <w:unhideWhenUsed/>
    <w:rsid w:val="00FE178E"/>
    <w:rPr>
      <w:color w:val="0563C1" w:themeColor="hyperlink"/>
      <w:u w:val="single"/>
    </w:rPr>
  </w:style>
  <w:style w:type="character" w:styleId="LineNumber">
    <w:name w:val="line number"/>
    <w:basedOn w:val="DefaultParagraphFont"/>
    <w:uiPriority w:val="99"/>
    <w:semiHidden/>
    <w:unhideWhenUsed/>
    <w:rsid w:val="00EE019B"/>
  </w:style>
  <w:style w:type="character" w:styleId="Strong">
    <w:name w:val="Strong"/>
    <w:basedOn w:val="DefaultParagraphFont"/>
    <w:uiPriority w:val="22"/>
    <w:qFormat/>
    <w:rsid w:val="006257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866510">
      <w:bodyDiv w:val="1"/>
      <w:marLeft w:val="0"/>
      <w:marRight w:val="0"/>
      <w:marTop w:val="0"/>
      <w:marBottom w:val="0"/>
      <w:divBdr>
        <w:top w:val="none" w:sz="0" w:space="0" w:color="auto"/>
        <w:left w:val="none" w:sz="0" w:space="0" w:color="auto"/>
        <w:bottom w:val="none" w:sz="0" w:space="0" w:color="auto"/>
        <w:right w:val="none" w:sz="0" w:space="0" w:color="auto"/>
      </w:divBdr>
      <w:divsChild>
        <w:div w:id="1863129535">
          <w:marLeft w:val="0"/>
          <w:marRight w:val="0"/>
          <w:marTop w:val="0"/>
          <w:marBottom w:val="0"/>
          <w:divBdr>
            <w:top w:val="none" w:sz="0" w:space="0" w:color="auto"/>
            <w:left w:val="none" w:sz="0" w:space="0" w:color="auto"/>
            <w:bottom w:val="none" w:sz="0" w:space="0" w:color="auto"/>
            <w:right w:val="none" w:sz="0" w:space="0" w:color="auto"/>
          </w:divBdr>
        </w:div>
      </w:divsChild>
    </w:div>
    <w:div w:id="728652307">
      <w:bodyDiv w:val="1"/>
      <w:marLeft w:val="0"/>
      <w:marRight w:val="0"/>
      <w:marTop w:val="0"/>
      <w:marBottom w:val="0"/>
      <w:divBdr>
        <w:top w:val="none" w:sz="0" w:space="0" w:color="auto"/>
        <w:left w:val="none" w:sz="0" w:space="0" w:color="auto"/>
        <w:bottom w:val="none" w:sz="0" w:space="0" w:color="auto"/>
        <w:right w:val="none" w:sz="0" w:space="0" w:color="auto"/>
      </w:divBdr>
    </w:div>
    <w:div w:id="844591450">
      <w:bodyDiv w:val="1"/>
      <w:marLeft w:val="0"/>
      <w:marRight w:val="0"/>
      <w:marTop w:val="0"/>
      <w:marBottom w:val="0"/>
      <w:divBdr>
        <w:top w:val="none" w:sz="0" w:space="0" w:color="auto"/>
        <w:left w:val="none" w:sz="0" w:space="0" w:color="auto"/>
        <w:bottom w:val="none" w:sz="0" w:space="0" w:color="auto"/>
        <w:right w:val="none" w:sz="0" w:space="0" w:color="auto"/>
      </w:divBdr>
    </w:div>
    <w:div w:id="867715213">
      <w:bodyDiv w:val="1"/>
      <w:marLeft w:val="0"/>
      <w:marRight w:val="0"/>
      <w:marTop w:val="0"/>
      <w:marBottom w:val="0"/>
      <w:divBdr>
        <w:top w:val="none" w:sz="0" w:space="0" w:color="auto"/>
        <w:left w:val="none" w:sz="0" w:space="0" w:color="auto"/>
        <w:bottom w:val="none" w:sz="0" w:space="0" w:color="auto"/>
        <w:right w:val="none" w:sz="0" w:space="0" w:color="auto"/>
      </w:divBdr>
    </w:div>
    <w:div w:id="1081559554">
      <w:bodyDiv w:val="1"/>
      <w:marLeft w:val="0"/>
      <w:marRight w:val="0"/>
      <w:marTop w:val="0"/>
      <w:marBottom w:val="0"/>
      <w:divBdr>
        <w:top w:val="none" w:sz="0" w:space="0" w:color="auto"/>
        <w:left w:val="none" w:sz="0" w:space="0" w:color="auto"/>
        <w:bottom w:val="none" w:sz="0" w:space="0" w:color="auto"/>
        <w:right w:val="none" w:sz="0" w:space="0" w:color="auto"/>
      </w:divBdr>
    </w:div>
    <w:div w:id="1201934423">
      <w:bodyDiv w:val="1"/>
      <w:marLeft w:val="0"/>
      <w:marRight w:val="0"/>
      <w:marTop w:val="0"/>
      <w:marBottom w:val="0"/>
      <w:divBdr>
        <w:top w:val="none" w:sz="0" w:space="0" w:color="auto"/>
        <w:left w:val="none" w:sz="0" w:space="0" w:color="auto"/>
        <w:bottom w:val="none" w:sz="0" w:space="0" w:color="auto"/>
        <w:right w:val="none" w:sz="0" w:space="0" w:color="auto"/>
      </w:divBdr>
    </w:div>
    <w:div w:id="1374841303">
      <w:bodyDiv w:val="1"/>
      <w:marLeft w:val="0"/>
      <w:marRight w:val="0"/>
      <w:marTop w:val="0"/>
      <w:marBottom w:val="0"/>
      <w:divBdr>
        <w:top w:val="none" w:sz="0" w:space="0" w:color="auto"/>
        <w:left w:val="none" w:sz="0" w:space="0" w:color="auto"/>
        <w:bottom w:val="none" w:sz="0" w:space="0" w:color="auto"/>
        <w:right w:val="none" w:sz="0" w:space="0" w:color="auto"/>
      </w:divBdr>
    </w:div>
    <w:div w:id="1839299331">
      <w:bodyDiv w:val="1"/>
      <w:marLeft w:val="0"/>
      <w:marRight w:val="0"/>
      <w:marTop w:val="0"/>
      <w:marBottom w:val="0"/>
      <w:divBdr>
        <w:top w:val="none" w:sz="0" w:space="0" w:color="auto"/>
        <w:left w:val="none" w:sz="0" w:space="0" w:color="auto"/>
        <w:bottom w:val="none" w:sz="0" w:space="0" w:color="auto"/>
        <w:right w:val="none" w:sz="0" w:space="0" w:color="auto"/>
      </w:divBdr>
    </w:div>
    <w:div w:id="201086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E9BCF9-947F-4405-A974-4D57C643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18669</Words>
  <Characters>106415</Characters>
  <Application>Microsoft Office Word</Application>
  <DocSecurity>0</DocSecurity>
  <Lines>886</Lines>
  <Paragraphs>249</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124835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Sion Scott (PHA - Postgraduate Researcher)</dc:creator>
  <cp:keywords/>
  <dc:description/>
  <cp:lastModifiedBy>Sion Scott (PHA - Staff)</cp:lastModifiedBy>
  <cp:revision>4</cp:revision>
  <cp:lastPrinted>2018-08-16T13:28:00Z</cp:lastPrinted>
  <dcterms:created xsi:type="dcterms:W3CDTF">2019-07-24T17:46:00Z</dcterms:created>
  <dcterms:modified xsi:type="dcterms:W3CDTF">2019-08-13T14:18:00Z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16th edition (author-date)</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http://www.zotero.org/styles/jama</vt:lpwstr>
  </property>
  <property fmtid="{D5CDD505-2E9C-101B-9397-08002B2CF9AE}" pid="13" name="Mendeley Recent Style Name 5_1">
    <vt:lpwstr>JAMA (The Journal of the American Medical Association)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http://csl.mendeley.com/styles/483727951/vancouver</vt:lpwstr>
  </property>
  <property fmtid="{D5CDD505-2E9C-101B-9397-08002B2CF9AE}" pid="19" name="Mendeley Recent Style Name 8_1">
    <vt:lpwstr>Vancouver - Sion Scott</vt:lpwstr>
  </property>
  <property fmtid="{D5CDD505-2E9C-101B-9397-08002B2CF9AE}" pid="20" name="Mendeley Recent Style Id 9_1">
    <vt:lpwstr>http://csl.mendeley.com/styles/483727951/vancouver-2</vt:lpwstr>
  </property>
  <property fmtid="{D5CDD505-2E9C-101B-9397-08002B2CF9AE}" pid="21" name="Mendeley Recent Style Name 9_1">
    <vt:lpwstr>Vancouver - Sion Scott</vt:lpwstr>
  </property>
  <property fmtid="{D5CDD505-2E9C-101B-9397-08002B2CF9AE}" pid="22" name="Mendeley Document_1">
    <vt:lpwstr>True</vt:lpwstr>
  </property>
  <property fmtid="{D5CDD505-2E9C-101B-9397-08002B2CF9AE}" pid="23" name="Mendeley Unique User Id_1">
    <vt:lpwstr>630eea47-b322-3db1-b9f5-4a84c227a624</vt:lpwstr>
  </property>
  <property fmtid="{D5CDD505-2E9C-101B-9397-08002B2CF9AE}" pid="24" name="Mendeley Citation Style_1">
    <vt:lpwstr>http://csl.mendeley.com/styles/483727951/vancouver-2</vt:lpwstr>
  </property>
  <property fmtid="{D5CDD505-2E9C-101B-9397-08002B2CF9AE}" pid="25" name="_NewReviewCycle">
    <vt:lpwstr/>
  </property>
  <property fmtid="{D5CDD505-2E9C-101B-9397-08002B2CF9AE}" pid="26" name="_AdHocReviewCycleID">
    <vt:i4>-2011314658</vt:i4>
  </property>
  <property fmtid="{D5CDD505-2E9C-101B-9397-08002B2CF9AE}" pid="27" name="_EmailSubject">
    <vt:lpwstr>FW: Age and Ageing AA-19-0363.R1</vt:lpwstr>
  </property>
  <property fmtid="{D5CDD505-2E9C-101B-9397-08002B2CF9AE}" pid="28" name="_AuthorEmail">
    <vt:lpwstr>Sion.Scott@uea.ac.uk</vt:lpwstr>
  </property>
  <property fmtid="{D5CDD505-2E9C-101B-9397-08002B2CF9AE}" pid="29" name="_AuthorEmailDisplayName">
    <vt:lpwstr>Sion Scott (PHA - Staff)</vt:lpwstr>
  </property>
  <property fmtid="{D5CDD505-2E9C-101B-9397-08002B2CF9AE}" pid="31" name="_PreviousAdHocReviewCycleID">
    <vt:i4>-1084555756</vt:i4>
  </property>
</Properties>
</file>