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605" w:rsidRDefault="0030054F" w:rsidP="0030054F">
      <w:pPr>
        <w:jc w:val="center"/>
      </w:pPr>
      <w:r>
        <w:t xml:space="preserve">Pressurizing the Politics of </w:t>
      </w:r>
      <w:r>
        <w:rPr>
          <w:i/>
        </w:rPr>
        <w:t>The Crucible</w:t>
      </w:r>
      <w:r>
        <w:t>: The Possibilities of a Brechtian Production of Arthur Miller’s Classic Play</w:t>
      </w:r>
    </w:p>
    <w:p w:rsidR="0030054F" w:rsidRDefault="0030054F" w:rsidP="0030054F">
      <w:pPr>
        <w:jc w:val="center"/>
      </w:pPr>
    </w:p>
    <w:p w:rsidR="0030054F" w:rsidRDefault="0030054F" w:rsidP="0030054F">
      <w:pPr>
        <w:jc w:val="center"/>
      </w:pPr>
    </w:p>
    <w:p w:rsidR="0030054F" w:rsidRDefault="00636378" w:rsidP="00AA4512">
      <w:pPr>
        <w:ind w:left="4395"/>
        <w:jc w:val="right"/>
      </w:pPr>
      <w:r w:rsidRPr="00636378">
        <w:rPr>
          <w:smallCaps/>
        </w:rPr>
        <w:t>the philosopher</w:t>
      </w:r>
      <w:r>
        <w:t>: Generally your playwrights take such incidents from real life as would arouse sufficient interest in real life, and tailor them in such a way as to make them effective on the stage. Even when they make things up, their inventions are such that […] it seems as though the incidents have been lifted from real life. All you ought to do is take the incidents themselves as seriously as possible, and the playwright’s use of them as lightly as possible.</w:t>
      </w:r>
    </w:p>
    <w:p w:rsidR="00636378" w:rsidRDefault="00636378" w:rsidP="00636378">
      <w:pPr>
        <w:ind w:left="4678"/>
        <w:jc w:val="right"/>
      </w:pPr>
    </w:p>
    <w:p w:rsidR="00636378" w:rsidRDefault="00636378" w:rsidP="00636378">
      <w:pPr>
        <w:ind w:left="4678"/>
        <w:jc w:val="right"/>
      </w:pPr>
      <w:r>
        <w:t>Bertolt Brecht</w:t>
      </w:r>
      <w:r w:rsidR="00083A09">
        <w:rPr>
          <w:rStyle w:val="FootnoteReference"/>
        </w:rPr>
        <w:footnoteReference w:id="1"/>
      </w:r>
    </w:p>
    <w:p w:rsidR="00636378" w:rsidRDefault="00636378" w:rsidP="00636378">
      <w:pPr>
        <w:ind w:left="4678"/>
        <w:jc w:val="right"/>
      </w:pPr>
    </w:p>
    <w:p w:rsidR="00636378" w:rsidRDefault="00636378" w:rsidP="00636378"/>
    <w:p w:rsidR="00636378" w:rsidRDefault="00867D41" w:rsidP="00636378">
      <w:r>
        <w:t>The epigraph to this article sets out</w:t>
      </w:r>
      <w:r w:rsidR="00ED5573">
        <w:t xml:space="preserve"> how Brecht, through the voice of the Philosopher in </w:t>
      </w:r>
      <w:r w:rsidR="00ED5573">
        <w:rPr>
          <w:i/>
        </w:rPr>
        <w:t>Buying Brass</w:t>
      </w:r>
      <w:r w:rsidR="00ED5573">
        <w:t>,</w:t>
      </w:r>
      <w:r>
        <w:t xml:space="preserve"> approach</w:t>
      </w:r>
      <w:r w:rsidR="00ED5573">
        <w:t>ed</w:t>
      </w:r>
      <w:r>
        <w:t xml:space="preserve"> directing dramatic texts, </w:t>
      </w:r>
      <w:r w:rsidR="0095512F">
        <w:t>an attitude</w:t>
      </w:r>
      <w:r>
        <w:t xml:space="preserve"> he applied when staging his own work</w:t>
      </w:r>
      <w:r w:rsidR="007B7E38">
        <w:t>,</w:t>
      </w:r>
      <w:r w:rsidR="0005233B">
        <w:rPr>
          <w:rStyle w:val="FootnoteReference"/>
        </w:rPr>
        <w:footnoteReference w:id="2"/>
      </w:r>
      <w:r>
        <w:t xml:space="preserve"> as well as that of other</w:t>
      </w:r>
      <w:r w:rsidR="00ED5573">
        <w:t>s</w:t>
      </w:r>
      <w:r>
        <w:t>.</w:t>
      </w:r>
      <w:r w:rsidR="0005233B">
        <w:t xml:space="preserve"> </w:t>
      </w:r>
      <w:r w:rsidR="00ED5573">
        <w:t xml:space="preserve">As he states, </w:t>
      </w:r>
      <w:r w:rsidR="0051359B">
        <w:t xml:space="preserve"> for a play to qualify for production, it had to be realistic</w:t>
      </w:r>
      <w:r w:rsidR="0005233B">
        <w:t xml:space="preserve">, </w:t>
      </w:r>
      <w:r w:rsidR="0051359B">
        <w:t>close</w:t>
      </w:r>
      <w:r w:rsidR="0005233B">
        <w:t xml:space="preserve"> to ‘real life’ as he </w:t>
      </w:r>
      <w:r w:rsidR="00ED5573">
        <w:t>puts</w:t>
      </w:r>
      <w:r w:rsidR="0005233B">
        <w:t xml:space="preserve"> it. Realism to Brecht, however, was</w:t>
      </w:r>
      <w:r w:rsidR="00ED5573">
        <w:t xml:space="preserve"> not so much about the playwright’s ability to recreate the veneer of reality, but to sustain the credibility of the action</w:t>
      </w:r>
      <w:r w:rsidR="004E0605">
        <w:t xml:space="preserve"> and its social causes</w:t>
      </w:r>
      <w:r w:rsidR="00ED5573">
        <w:t>.</w:t>
      </w:r>
      <w:r w:rsidR="007B7E38">
        <w:rPr>
          <w:rStyle w:val="FootnoteReference"/>
        </w:rPr>
        <w:footnoteReference w:id="3"/>
      </w:r>
      <w:r w:rsidR="00ED5573">
        <w:t xml:space="preserve"> With this</w:t>
      </w:r>
      <w:r w:rsidR="0012080F">
        <w:t xml:space="preserve"> realistic </w:t>
      </w:r>
      <w:r w:rsidR="00ED5573">
        <w:t xml:space="preserve">foundation in place, </w:t>
      </w:r>
      <w:r w:rsidR="006C32D7">
        <w:t>Brecht</w:t>
      </w:r>
      <w:r w:rsidR="00ED5573">
        <w:t xml:space="preserve"> could</w:t>
      </w:r>
      <w:r w:rsidR="0005233B">
        <w:t xml:space="preserve"> posit a pro</w:t>
      </w:r>
      <w:r w:rsidR="00B6331C">
        <w:t>ductive tension between what had been written and how it wa</w:t>
      </w:r>
      <w:r w:rsidR="0005233B">
        <w:t xml:space="preserve">s to be performed. </w:t>
      </w:r>
      <w:r w:rsidR="00B210F5">
        <w:t xml:space="preserve">Of course, this tension exists in all theatrical productions because there is a </w:t>
      </w:r>
      <w:r w:rsidR="006C32D7">
        <w:t>categorical discrepancy</w:t>
      </w:r>
      <w:r w:rsidR="00B210F5">
        <w:t xml:space="preserve"> between a collection of words</w:t>
      </w:r>
      <w:r w:rsidR="00C116CE">
        <w:t xml:space="preserve"> on the page</w:t>
      </w:r>
      <w:r w:rsidR="00B210F5">
        <w:t xml:space="preserve"> and their articulation and embodiment on a stage. Brecht, however, makes the argument for a practice that actively prob</w:t>
      </w:r>
      <w:r w:rsidR="00FC72DD">
        <w:t>lematizes the relationship in favour of the director’s interpretation, based on the realism of the action.</w:t>
      </w:r>
    </w:p>
    <w:p w:rsidR="00201DB0" w:rsidRDefault="00FC72DD" w:rsidP="00636378">
      <w:r>
        <w:tab/>
        <w:t>This is not a call for directorial originality as an end in itself. Brecht had argued against such a position</w:t>
      </w:r>
      <w:r w:rsidR="00083A09">
        <w:rPr>
          <w:rStyle w:val="FootnoteReference"/>
        </w:rPr>
        <w:footnoteReference w:id="4"/>
      </w:r>
      <w:r>
        <w:t xml:space="preserve"> as mere novelty, preferring to understand originality as </w:t>
      </w:r>
      <w:r w:rsidR="002F11AF">
        <w:t>not accepting previous receptions of dramatic material and subjecting the material to rigorous analysis</w:t>
      </w:r>
      <w:r>
        <w:t xml:space="preserve">. </w:t>
      </w:r>
      <w:r w:rsidR="006C32D7">
        <w:t>His</w:t>
      </w:r>
      <w:r>
        <w:t xml:space="preserve"> directorial interpretations were founded on </w:t>
      </w:r>
      <w:r w:rsidR="009071FA">
        <w:t>a</w:t>
      </w:r>
      <w:r>
        <w:t xml:space="preserve"> </w:t>
      </w:r>
      <w:r w:rsidR="009071FA">
        <w:t xml:space="preserve">materialist </w:t>
      </w:r>
      <w:r>
        <w:t>dialectical</w:t>
      </w:r>
      <w:r w:rsidR="009071FA">
        <w:rPr>
          <w:rStyle w:val="FootnoteReference"/>
        </w:rPr>
        <w:footnoteReference w:id="5"/>
      </w:r>
      <w:r>
        <w:t xml:space="preserve"> approach to</w:t>
      </w:r>
      <w:r w:rsidR="006C32D7">
        <w:t xml:space="preserve"> negotiating</w:t>
      </w:r>
      <w:r>
        <w:t xml:space="preserve"> reality. That is, he sought out the </w:t>
      </w:r>
      <w:r>
        <w:lastRenderedPageBreak/>
        <w:t>contradictions that informed the</w:t>
      </w:r>
      <w:r w:rsidR="000C1118">
        <w:t xml:space="preserve"> realistic</w:t>
      </w:r>
      <w:r>
        <w:t xml:space="preserve"> speeches and the actions</w:t>
      </w:r>
      <w:r w:rsidR="006C32D7">
        <w:t>,</w:t>
      </w:r>
      <w:r>
        <w:t xml:space="preserve"> </w:t>
      </w:r>
      <w:r w:rsidR="00E04922">
        <w:t xml:space="preserve">and </w:t>
      </w:r>
      <w:r w:rsidR="0012080F">
        <w:t>then worked with his cast</w:t>
      </w:r>
      <w:r w:rsidR="00E04922">
        <w:t xml:space="preserve"> to find appropriate means to present them in live performance.</w:t>
      </w:r>
      <w:r w:rsidR="00C116CE">
        <w:t xml:space="preserve"> </w:t>
      </w:r>
    </w:p>
    <w:p w:rsidR="00E04922" w:rsidRDefault="0012080F" w:rsidP="002A7690">
      <w:pPr>
        <w:ind w:firstLine="720"/>
      </w:pPr>
      <w:r>
        <w:t>In doing this,</w:t>
      </w:r>
      <w:r w:rsidR="00E04922">
        <w:t xml:space="preserve"> </w:t>
      </w:r>
      <w:r w:rsidR="00635B21">
        <w:t>he</w:t>
      </w:r>
      <w:r w:rsidR="00E04922">
        <w:t xml:space="preserve"> wanted to offer the audience an understanding of the play</w:t>
      </w:r>
      <w:r w:rsidR="006C32D7">
        <w:t xml:space="preserve"> in question</w:t>
      </w:r>
      <w:r w:rsidR="00E04922">
        <w:t xml:space="preserve"> that potentially differed greatly from the meanings at least implied by the playwright</w:t>
      </w:r>
      <w:r>
        <w:t xml:space="preserve"> and/or that had been handed down in the play’s production history</w:t>
      </w:r>
      <w:r w:rsidR="002F11AF">
        <w:t xml:space="preserve">. </w:t>
      </w:r>
      <w:r w:rsidR="00E04922">
        <w:t>These</w:t>
      </w:r>
      <w:r w:rsidR="00C116CE">
        <w:t xml:space="preserve"> new</w:t>
      </w:r>
      <w:r w:rsidR="00E04922">
        <w:t xml:space="preserve"> meanings were concerned with the politics that often go unspoken between people</w:t>
      </w:r>
      <w:r w:rsidR="00C116CE">
        <w:t xml:space="preserve"> and their</w:t>
      </w:r>
      <w:r w:rsidR="000C1118">
        <w:t xml:space="preserve"> concrete</w:t>
      </w:r>
      <w:r w:rsidR="00C116CE">
        <w:t xml:space="preserve"> social contexts</w:t>
      </w:r>
      <w:r w:rsidR="00E04922">
        <w:t xml:space="preserve">. Brecht wished to reveal the assumptions and the ideological underpinnings of everyday communication and behaviour. </w:t>
      </w:r>
      <w:r w:rsidR="004A71A2">
        <w:t xml:space="preserve">By pointing </w:t>
      </w:r>
      <w:r w:rsidR="00C116CE">
        <w:t>to</w:t>
      </w:r>
      <w:r w:rsidR="004A71A2">
        <w:t xml:space="preserve"> the contradictions that may have informed the</w:t>
      </w:r>
      <w:r w:rsidR="00C116CE">
        <w:t xml:space="preserve"> problems and conflicts of realistic plays</w:t>
      </w:r>
      <w:r w:rsidR="004A71A2">
        <w:t>, Brecht was offering spectators causes rather than symptoms</w:t>
      </w:r>
      <w:r w:rsidR="000C1118">
        <w:t>,</w:t>
      </w:r>
      <w:r w:rsidR="004A71A2">
        <w:t xml:space="preserve"> </w:t>
      </w:r>
      <w:r w:rsidR="00C116CE">
        <w:t>inviting them to address the former rather than the latter when considering the</w:t>
      </w:r>
      <w:r w:rsidR="00635B21">
        <w:t xml:space="preserve"> problems of a</w:t>
      </w:r>
      <w:r w:rsidR="00C116CE">
        <w:t xml:space="preserve"> play as a whole</w:t>
      </w:r>
      <w:r w:rsidR="004A71A2">
        <w:t xml:space="preserve">. The additional </w:t>
      </w:r>
      <w:r w:rsidR="00635B21">
        <w:t>suggestion</w:t>
      </w:r>
      <w:r w:rsidR="004A71A2">
        <w:t xml:space="preserve">, </w:t>
      </w:r>
      <w:r w:rsidR="00C867E0">
        <w:t>predicated</w:t>
      </w:r>
      <w:r w:rsidR="004A71A2">
        <w:t xml:space="preserve"> on the realistic nature of the drama, was that </w:t>
      </w:r>
      <w:r w:rsidR="006C32D7">
        <w:t>spectators</w:t>
      </w:r>
      <w:r w:rsidR="004A71A2">
        <w:t xml:space="preserve"> could then take the theatre’s method of analysing reality</w:t>
      </w:r>
      <w:r w:rsidR="00AE474F">
        <w:t>, highlighted through its heighten</w:t>
      </w:r>
      <w:r w:rsidR="0005795F">
        <w:t>ed</w:t>
      </w:r>
      <w:r w:rsidR="00AE474F">
        <w:t xml:space="preserve"> performance of realistic relationships,</w:t>
      </w:r>
      <w:r w:rsidR="004A71A2">
        <w:t xml:space="preserve"> </w:t>
      </w:r>
      <w:r w:rsidR="00C116CE">
        <w:t xml:space="preserve">and apply it to the problems </w:t>
      </w:r>
      <w:r w:rsidR="006C32D7">
        <w:t>they</w:t>
      </w:r>
      <w:r w:rsidR="00C116CE">
        <w:t xml:space="preserve"> encountered in everyday life</w:t>
      </w:r>
      <w:r w:rsidR="004A71A2">
        <w:t>.</w:t>
      </w:r>
    </w:p>
    <w:p w:rsidR="004A71A2" w:rsidRPr="004A71A2" w:rsidRDefault="004A71A2" w:rsidP="007A652F">
      <w:r>
        <w:tab/>
        <w:t xml:space="preserve">This article will consider what happens when such an approach is applied to a realistic play, </w:t>
      </w:r>
      <w:r>
        <w:rPr>
          <w:i/>
        </w:rPr>
        <w:t>The Crucible</w:t>
      </w:r>
      <w:r w:rsidR="0005795F">
        <w:t xml:space="preserve"> by Arthur Miller (1953)</w:t>
      </w:r>
      <w:r>
        <w:t xml:space="preserve">. </w:t>
      </w:r>
      <w:r w:rsidR="00192635" w:rsidRPr="00192635">
        <w:t>The production offers an introduction to how a tradition of interpretation, with its own implied politics, can be challenged and re-presented.</w:t>
      </w:r>
      <w:r w:rsidR="00192635">
        <w:t xml:space="preserve"> The process that led to the production, as set out in the sections below, was experimental in that it proceeded from a critical interpretation, but did not know</w:t>
      </w:r>
      <w:r w:rsidR="0005795F">
        <w:t xml:space="preserve"> in advance</w:t>
      </w:r>
      <w:r w:rsidR="00192635">
        <w:t xml:space="preserve"> how such a</w:t>
      </w:r>
      <w:r w:rsidR="008B7868">
        <w:t>n understanding of the play</w:t>
      </w:r>
      <w:r w:rsidR="00192635">
        <w:t xml:space="preserve"> would be represented in theatrical practice. The issues were complex</w:t>
      </w:r>
      <w:r w:rsidR="008B7868">
        <w:t>, and the solutions were arrived at through a sustained engagement with fundamental Brechtian categories, co</w:t>
      </w:r>
      <w:r w:rsidR="0005795F">
        <w:t>nsidered in greater depth below</w:t>
      </w:r>
      <w:r w:rsidR="00192635">
        <w:t xml:space="preserve">. </w:t>
      </w:r>
      <w:r>
        <w:t xml:space="preserve">While I am presenting Miller’s play as a case study, </w:t>
      </w:r>
      <w:r w:rsidR="008B7868">
        <w:t>it should also be clear that the description and analysis should</w:t>
      </w:r>
      <w:r>
        <w:t xml:space="preserve"> serve more generally as a model </w:t>
      </w:r>
      <w:r w:rsidR="008C742C">
        <w:t>for</w:t>
      </w:r>
      <w:r>
        <w:t xml:space="preserve"> how a</w:t>
      </w:r>
      <w:r w:rsidR="000C1118">
        <w:t>ny realistic</w:t>
      </w:r>
      <w:r>
        <w:t xml:space="preserve"> play can be approached and </w:t>
      </w:r>
      <w:r w:rsidR="0029059B">
        <w:t>fundamentally</w:t>
      </w:r>
      <w:r>
        <w:t xml:space="preserve"> reassessed in performance using Brecht’s </w:t>
      </w:r>
      <w:r w:rsidR="00907350">
        <w:t xml:space="preserve">dialectical </w:t>
      </w:r>
      <w:r>
        <w:t>methods and staging strategies. All the following arguments and examples are taken from my own public production</w:t>
      </w:r>
      <w:r w:rsidR="00907350">
        <w:t xml:space="preserve"> of the play</w:t>
      </w:r>
      <w:r>
        <w:t xml:space="preserve"> with students at the University of Yo</w:t>
      </w:r>
      <w:r w:rsidR="00907350">
        <w:t>rk in October 2017</w:t>
      </w:r>
      <w:r>
        <w:t>.</w:t>
      </w:r>
      <w:r>
        <w:rPr>
          <w:rStyle w:val="FootnoteReference"/>
        </w:rPr>
        <w:footnoteReference w:id="6"/>
      </w:r>
      <w:r w:rsidR="00192635">
        <w:t xml:space="preserve"> </w:t>
      </w:r>
    </w:p>
    <w:p w:rsidR="00636378" w:rsidRDefault="00636378" w:rsidP="00636378"/>
    <w:p w:rsidR="00636378" w:rsidRDefault="00636378" w:rsidP="00636378"/>
    <w:p w:rsidR="00636378" w:rsidRDefault="00472D67" w:rsidP="007A652F">
      <w:r>
        <w:t xml:space="preserve">Politics with a </w:t>
      </w:r>
      <w:r w:rsidR="00E84C63">
        <w:t>Capital</w:t>
      </w:r>
      <w:r>
        <w:t xml:space="preserve"> and a S</w:t>
      </w:r>
      <w:r w:rsidR="00BD05CF">
        <w:t>mall ‘p’</w:t>
      </w:r>
    </w:p>
    <w:p w:rsidR="00BD05CF" w:rsidRDefault="00BD05CF" w:rsidP="00636378"/>
    <w:p w:rsidR="00BD05CF" w:rsidRDefault="00BD5E0F" w:rsidP="007A652F">
      <w:r>
        <w:t xml:space="preserve">Anyone reading or watching </w:t>
      </w:r>
      <w:r>
        <w:rPr>
          <w:i/>
        </w:rPr>
        <w:t>The Crucible</w:t>
      </w:r>
      <w:r>
        <w:t xml:space="preserve"> will be struck by its political subject matter. A community is whipped into a state of </w:t>
      </w:r>
      <w:r w:rsidR="00790AE3">
        <w:t>animosity</w:t>
      </w:r>
      <w:r w:rsidR="005E03C4">
        <w:t xml:space="preserve"> and recrimination</w:t>
      </w:r>
      <w:r>
        <w:t xml:space="preserve"> after witchcraft is</w:t>
      </w:r>
      <w:r w:rsidR="00E84C63">
        <w:t xml:space="preserve"> apparently</w:t>
      </w:r>
      <w:r>
        <w:t xml:space="preserve"> </w:t>
      </w:r>
      <w:r w:rsidR="00790AE3">
        <w:t>identified in a group of girls</w:t>
      </w:r>
      <w:r>
        <w:t>. Trials ensue and many of those who have been denounced are hanged for refusing to confess</w:t>
      </w:r>
      <w:r w:rsidR="00907350">
        <w:t xml:space="preserve"> to colluding with dark forces</w:t>
      </w:r>
      <w:r>
        <w:t xml:space="preserve">. As Christopher </w:t>
      </w:r>
      <w:proofErr w:type="spellStart"/>
      <w:r>
        <w:t>Bigsby</w:t>
      </w:r>
      <w:proofErr w:type="spellEnd"/>
      <w:r>
        <w:t xml:space="preserve"> notes: </w:t>
      </w:r>
      <w:r w:rsidRPr="00BD5E0F">
        <w:t xml:space="preserve">‘Beyond anything else, </w:t>
      </w:r>
      <w:r w:rsidRPr="00BD5E0F">
        <w:rPr>
          <w:i/>
        </w:rPr>
        <w:t>The Crucible</w:t>
      </w:r>
      <w:r w:rsidRPr="00BD5E0F">
        <w:t xml:space="preserve"> is a study in power and the mechanisms by which power is sustained, challenged and lost’</w:t>
      </w:r>
      <w:r>
        <w:t>.</w:t>
      </w:r>
      <w:r w:rsidR="00083A09">
        <w:rPr>
          <w:rStyle w:val="FootnoteReference"/>
        </w:rPr>
        <w:footnoteReference w:id="7"/>
      </w:r>
      <w:r>
        <w:t xml:space="preserve"> The political theme of the play is clear: the Puritans of Salem enforce a set of rules that </w:t>
      </w:r>
      <w:r w:rsidR="00907350">
        <w:t>a</w:t>
      </w:r>
      <w:r>
        <w:t xml:space="preserve"> con</w:t>
      </w:r>
      <w:r w:rsidR="00907350">
        <w:t>temporary audience</w:t>
      </w:r>
      <w:r>
        <w:t xml:space="preserve"> will </w:t>
      </w:r>
      <w:r w:rsidR="00907350">
        <w:t xml:space="preserve">most likely </w:t>
      </w:r>
      <w:r>
        <w:t>consider</w:t>
      </w:r>
      <w:r w:rsidR="00907350">
        <w:t xml:space="preserve"> capricious,</w:t>
      </w:r>
      <w:r>
        <w:t xml:space="preserve"> </w:t>
      </w:r>
      <w:r w:rsidR="00907350">
        <w:t>dubious and pernicious</w:t>
      </w:r>
      <w:r w:rsidR="00724950">
        <w:t>, but which have real consequences for all involved</w:t>
      </w:r>
      <w:r w:rsidR="00E84C63">
        <w:t xml:space="preserve"> in the play’s world</w:t>
      </w:r>
      <w:r w:rsidR="00724950">
        <w:t xml:space="preserve">. </w:t>
      </w:r>
      <w:r w:rsidR="00790AE3">
        <w:t>Those in power construct a public forum</w:t>
      </w:r>
      <w:r w:rsidR="00762A0C">
        <w:t xml:space="preserve"> in order</w:t>
      </w:r>
      <w:r w:rsidR="00790AE3">
        <w:t xml:space="preserve"> to effect outcomes conducive to themselves. </w:t>
      </w:r>
      <w:r w:rsidR="00724950">
        <w:t>This is what I call ‘politics with a capital “</w:t>
      </w:r>
      <w:r w:rsidR="00DD2EDD">
        <w:t>p</w:t>
      </w:r>
      <w:r w:rsidR="00724950">
        <w:t>”’</w:t>
      </w:r>
      <w:r w:rsidR="00907350">
        <w:t xml:space="preserve">: the </w:t>
      </w:r>
      <w:r w:rsidR="00762A0C">
        <w:t xml:space="preserve">overt </w:t>
      </w:r>
      <w:r w:rsidR="00907350">
        <w:t xml:space="preserve">exercise of power </w:t>
      </w:r>
      <w:r w:rsidR="00772DC9">
        <w:t>at</w:t>
      </w:r>
      <w:r w:rsidR="00907350">
        <w:t xml:space="preserve"> a macro level</w:t>
      </w:r>
      <w:r w:rsidR="00724950">
        <w:t>.</w:t>
      </w:r>
    </w:p>
    <w:p w:rsidR="00724950" w:rsidRDefault="00724950" w:rsidP="007A652F">
      <w:r>
        <w:tab/>
        <w:t xml:space="preserve">There is also a more subtle version of the power game that regulates relationships in ways that often remain implicit, tacit or </w:t>
      </w:r>
      <w:r w:rsidR="00772DC9">
        <w:t>uncommented</w:t>
      </w:r>
      <w:r w:rsidR="005E03C4">
        <w:t xml:space="preserve"> upon</w:t>
      </w:r>
      <w:r w:rsidR="00772DC9">
        <w:t>. This is because these structures are the basis of everyday encounters</w:t>
      </w:r>
      <w:r>
        <w:t xml:space="preserve">. </w:t>
      </w:r>
      <w:r w:rsidR="005E03C4">
        <w:t>Such configurations of power are</w:t>
      </w:r>
      <w:r>
        <w:t xml:space="preserve"> more akin to Aristotle’s definition of politics as the ‘philosophy of human affairs’</w:t>
      </w:r>
      <w:r>
        <w:rPr>
          <w:rStyle w:val="FootnoteReference"/>
        </w:rPr>
        <w:footnoteReference w:id="8"/>
      </w:r>
      <w:r>
        <w:t xml:space="preserve"> </w:t>
      </w:r>
      <w:r w:rsidR="00DD2EDD">
        <w:t xml:space="preserve">in which politics penetrates all aspects of human interaction. </w:t>
      </w:r>
      <w:r w:rsidR="00DD2EDD">
        <w:lastRenderedPageBreak/>
        <w:t>Lenin’s reported definition of politics as ‘who? whom?’</w:t>
      </w:r>
      <w:r w:rsidR="00083A09">
        <w:rPr>
          <w:rStyle w:val="FootnoteReference"/>
        </w:rPr>
        <w:footnoteReference w:id="9"/>
      </w:r>
      <w:r w:rsidR="00DD2EDD">
        <w:t xml:space="preserve"> then adds the dimension of unequal power relations in terms of who is permitted, tolerated or forbidden from doing</w:t>
      </w:r>
      <w:r w:rsidR="00772DC9">
        <w:t xml:space="preserve"> something to someone else. </w:t>
      </w:r>
      <w:r w:rsidR="00762A0C">
        <w:t>More recently, Foucault called this ‘micropolitics’.</w:t>
      </w:r>
      <w:r w:rsidR="00762A0C">
        <w:rPr>
          <w:rStyle w:val="FootnoteReference"/>
        </w:rPr>
        <w:footnoteReference w:id="10"/>
      </w:r>
      <w:r w:rsidR="00762A0C">
        <w:t xml:space="preserve"> </w:t>
      </w:r>
      <w:r w:rsidR="00772DC9">
        <w:t>These relationships</w:t>
      </w:r>
      <w:r w:rsidR="00DD2EDD">
        <w:t xml:space="preserve">, I suggest, </w:t>
      </w:r>
      <w:r w:rsidR="00772DC9">
        <w:t>constitute</w:t>
      </w:r>
      <w:r w:rsidR="00DD2EDD">
        <w:t xml:space="preserve"> a ‘politics with a small “p”’. While there is clearly a relationship between the two</w:t>
      </w:r>
      <w:r w:rsidR="006B57B0">
        <w:t xml:space="preserve"> ‘p’s</w:t>
      </w:r>
      <w:r w:rsidR="00DD2EDD">
        <w:t xml:space="preserve"> – they are both predicated on the exercise and experience of power – the one is more overt and identifiable; the other more covert and</w:t>
      </w:r>
      <w:r w:rsidR="005E03C4" w:rsidRPr="005E03C4">
        <w:t xml:space="preserve"> </w:t>
      </w:r>
      <w:r w:rsidR="005E03C4">
        <w:t>artful</w:t>
      </w:r>
      <w:r w:rsidR="00DD2EDD">
        <w:t>.</w:t>
      </w:r>
    </w:p>
    <w:p w:rsidR="00DD2EDD" w:rsidRDefault="00DD2EDD" w:rsidP="007A652F">
      <w:r>
        <w:tab/>
        <w:t>Critics have not been slow</w:t>
      </w:r>
      <w:r w:rsidR="00313A59">
        <w:t xml:space="preserve"> in recent decades</w:t>
      </w:r>
      <w:r>
        <w:t xml:space="preserve"> in drawing attention to the politics with a small ‘p’ tha</w:t>
      </w:r>
      <w:r w:rsidR="00313A59">
        <w:t xml:space="preserve">t underpin the more </w:t>
      </w:r>
      <w:r w:rsidR="00E84C63">
        <w:t>evident</w:t>
      </w:r>
      <w:r w:rsidR="00313A59">
        <w:t xml:space="preserve"> manifestations of power in </w:t>
      </w:r>
      <w:r w:rsidR="00313A59">
        <w:rPr>
          <w:i/>
        </w:rPr>
        <w:t>The Crucible</w:t>
      </w:r>
      <w:r w:rsidR="00313A59">
        <w:t xml:space="preserve">. </w:t>
      </w:r>
      <w:proofErr w:type="spellStart"/>
      <w:r w:rsidR="00313A59">
        <w:t>Iska</w:t>
      </w:r>
      <w:proofErr w:type="spellEnd"/>
      <w:r w:rsidR="00313A59">
        <w:t xml:space="preserve"> Alter opens her feminist critique of the play with the </w:t>
      </w:r>
      <w:r w:rsidR="00772DC9">
        <w:t>contention</w:t>
      </w:r>
      <w:r w:rsidR="00313A59">
        <w:t>: ‘</w:t>
      </w:r>
      <w:r w:rsidR="00313A59" w:rsidRPr="00313A59">
        <w:t xml:space="preserve">It hardly needs to be argued that Arthur Miller is </w:t>
      </w:r>
      <w:proofErr w:type="spellStart"/>
      <w:r w:rsidR="00313A59" w:rsidRPr="00313A59">
        <w:t>preeminently</w:t>
      </w:r>
      <w:proofErr w:type="spellEnd"/>
      <w:r w:rsidR="00313A59" w:rsidRPr="00313A59">
        <w:t xml:space="preserve"> [sic] a playwright concerned with exploring the dimensions of male authority and defining the constituents of male identity within patriarchal systems of culture’</w:t>
      </w:r>
      <w:r w:rsidR="008D3FD9">
        <w:t>.</w:t>
      </w:r>
      <w:r w:rsidR="00083A09">
        <w:rPr>
          <w:rStyle w:val="FootnoteReference"/>
        </w:rPr>
        <w:footnoteReference w:id="11"/>
      </w:r>
      <w:r w:rsidR="008D3FD9">
        <w:t xml:space="preserve"> The emphasis on the male playwright’s interests are clear in the play. John Proctor is the central character. As the acts unfold, we learn that he has committed adultery with his servant Abigail Williams and that his bold quest to expose the iniquities of the court both redeem him from his sin and lead to his heroic death, standing up for the truth rather than signing a false confession.</w:t>
      </w:r>
      <w:r w:rsidR="00772DC9">
        <w:t xml:space="preserve"> His freedom to act like this is predicated on the privileges he enjoys as a man in a patriarchal society.</w:t>
      </w:r>
      <w:r w:rsidR="003125F2">
        <w:t xml:space="preserve"> None of the numerous women condemned to hang are afforded an opportunity to defend </w:t>
      </w:r>
      <w:r w:rsidR="003125F2" w:rsidRPr="005654C8">
        <w:rPr>
          <w:i/>
        </w:rPr>
        <w:t>their</w:t>
      </w:r>
      <w:r w:rsidR="003125F2">
        <w:t xml:space="preserve"> principles.</w:t>
      </w:r>
    </w:p>
    <w:p w:rsidR="008D3FD9" w:rsidRDefault="008D3FD9" w:rsidP="007A652F">
      <w:r>
        <w:tab/>
        <w:t>Wendy Schissel extends the critique to the actual representation of women in the play: ‘</w:t>
      </w:r>
      <w:r w:rsidRPr="008D3FD9">
        <w:t xml:space="preserve">In forty years of criticism very little has been said about the ways in which </w:t>
      </w:r>
      <w:r w:rsidRPr="008D3FD9">
        <w:rPr>
          <w:i/>
        </w:rPr>
        <w:t>The Crucible</w:t>
      </w:r>
      <w:r w:rsidRPr="008D3FD9">
        <w:t xml:space="preserve"> reinforces stereotypes of femme fatales and cold and unforgiving wives in order to assert apparently universal virtues’</w:t>
      </w:r>
      <w:r>
        <w:t>.</w:t>
      </w:r>
      <w:r w:rsidR="00040744">
        <w:rPr>
          <w:rStyle w:val="FootnoteReference"/>
        </w:rPr>
        <w:footnoteReference w:id="12"/>
      </w:r>
      <w:r w:rsidR="000A089B">
        <w:t xml:space="preserve"> </w:t>
      </w:r>
      <w:r w:rsidR="00706275">
        <w:t xml:space="preserve">She is referencing Abigail as seductress and Proctor’s wife Elizabeth as the frigid </w:t>
      </w:r>
      <w:r w:rsidR="009B4CD5">
        <w:t>spouse</w:t>
      </w:r>
      <w:r w:rsidR="00706275">
        <w:t xml:space="preserve">. </w:t>
      </w:r>
      <w:r w:rsidR="000A089B">
        <w:t>The connec</w:t>
      </w:r>
      <w:r w:rsidR="00706275">
        <w:t xml:space="preserve">tion between representation and </w:t>
      </w:r>
      <w:proofErr w:type="spellStart"/>
      <w:r w:rsidR="00706275">
        <w:t>unhistoricized</w:t>
      </w:r>
      <w:proofErr w:type="spellEnd"/>
      <w:r w:rsidR="00706275">
        <w:t xml:space="preserve"> values is a familiar </w:t>
      </w:r>
      <w:r w:rsidR="00772DC9">
        <w:t xml:space="preserve">trope in the study of ideology because ideology </w:t>
      </w:r>
      <w:r w:rsidR="00AC35C0">
        <w:t xml:space="preserve">tends </w:t>
      </w:r>
      <w:r w:rsidR="00706275">
        <w:t xml:space="preserve">to hide </w:t>
      </w:r>
      <w:r w:rsidR="00772DC9">
        <w:t>its artifice</w:t>
      </w:r>
      <w:r w:rsidR="00706275">
        <w:t xml:space="preserve"> through the twin mechanisms of naturalization and universalization.</w:t>
      </w:r>
      <w:r w:rsidR="00040744">
        <w:rPr>
          <w:rStyle w:val="FootnoteReference"/>
        </w:rPr>
        <w:footnoteReference w:id="13"/>
      </w:r>
      <w:r w:rsidR="00706275">
        <w:t xml:space="preserve"> </w:t>
      </w:r>
      <w:proofErr w:type="spellStart"/>
      <w:r w:rsidR="00706275">
        <w:t>Schissel</w:t>
      </w:r>
      <w:proofErr w:type="spellEnd"/>
      <w:r w:rsidR="00706275">
        <w:t xml:space="preserve"> </w:t>
      </w:r>
      <w:r w:rsidR="00AC37D9">
        <w:t>attacks Miller’s realistic aesthetic as the means</w:t>
      </w:r>
      <w:r w:rsidR="003125F2">
        <w:t xml:space="preserve"> through which he smuggles such familiar</w:t>
      </w:r>
      <w:r w:rsidR="00AC37D9">
        <w:t xml:space="preserve"> depictions.</w:t>
      </w:r>
    </w:p>
    <w:p w:rsidR="00294779" w:rsidRDefault="00706275" w:rsidP="00636378">
      <w:r>
        <w:tab/>
      </w:r>
      <w:r w:rsidRPr="00706275">
        <w:t>Cristina C. Caruso</w:t>
      </w:r>
      <w:r>
        <w:t xml:space="preserve"> then connects these problematic representations with the play’s structure and implied meaning: ‘</w:t>
      </w:r>
      <w:r w:rsidR="00BE3612" w:rsidRPr="00BE3612">
        <w:t>In dramatic terms, Miller is as determined as his forefathers to keep the patriarchal myth breathing, to edit out the marginal female characters who might interfere with this myth. Though the character Proctor might be guilty of lechery, he redeems his good name and his place in history by the end of the play’</w:t>
      </w:r>
      <w:r w:rsidR="00BE3612">
        <w:t>.</w:t>
      </w:r>
      <w:r w:rsidR="00040744">
        <w:rPr>
          <w:rStyle w:val="FootnoteReference"/>
        </w:rPr>
        <w:footnoteReference w:id="14"/>
      </w:r>
      <w:r w:rsidR="0095019C">
        <w:t xml:space="preserve"> Miller creates a moral landscape in which certain sins can be </w:t>
      </w:r>
      <w:r w:rsidR="009B4CD5">
        <w:t>vitiated</w:t>
      </w:r>
      <w:r w:rsidR="0095019C">
        <w:t xml:space="preserve"> because they are not only the fault of the sinner. In the play, the blame is at least partially lain at the door of Abigail as a manipulative vixen and Elizabeth as a sexually inhospitable wife</w:t>
      </w:r>
      <w:r w:rsidR="003125F2">
        <w:t xml:space="preserve"> (even though she had borne Proctor two sons and a third child is on the way)</w:t>
      </w:r>
      <w:r w:rsidR="00926C4D">
        <w:t xml:space="preserve">. </w:t>
      </w:r>
    </w:p>
    <w:p w:rsidR="00706275" w:rsidRDefault="00772DC9" w:rsidP="00294779">
      <w:pPr>
        <w:ind w:firstLine="720"/>
      </w:pPr>
      <w:r>
        <w:t>Caruso criticizes Miller’s plot construction for the malign and unmarked gendered representations that are necessary to engineer Proctor’s apotheosis.</w:t>
      </w:r>
      <w:r w:rsidR="00AC37D9">
        <w:t xml:space="preserve"> </w:t>
      </w:r>
      <w:r w:rsidR="00926C4D">
        <w:t>This is perhaps most apparent in Elizabeth’s</w:t>
      </w:r>
      <w:r w:rsidR="00472D67">
        <w:t xml:space="preserve"> remarkable</w:t>
      </w:r>
      <w:r w:rsidR="00926C4D">
        <w:t xml:space="preserve"> confession of frigidity in Act IV, but also in the play’s curtain line, when she says ‘He have his goodness now. God forbid I take it from him!</w:t>
      </w:r>
      <w:r w:rsidR="001F4293">
        <w:t>’</w:t>
      </w:r>
      <w:r w:rsidR="0095019C">
        <w:t>.</w:t>
      </w:r>
      <w:r w:rsidR="00040744">
        <w:rPr>
          <w:rStyle w:val="FootnoteReference"/>
        </w:rPr>
        <w:footnoteReference w:id="15"/>
      </w:r>
      <w:r w:rsidR="009B4CD5">
        <w:t xml:space="preserve"> Elizabeth’s approval of Proctor’s </w:t>
      </w:r>
      <w:r w:rsidR="00AC37D9">
        <w:t>‘goodness’</w:t>
      </w:r>
      <w:r w:rsidR="009B4CD5">
        <w:t xml:space="preserve"> serves to erase the ease with which he </w:t>
      </w:r>
      <w:r w:rsidR="003125F2">
        <w:t>has</w:t>
      </w:r>
      <w:r w:rsidR="00AC37D9">
        <w:t xml:space="preserve"> resorted</w:t>
      </w:r>
      <w:r w:rsidR="007869F4">
        <w:t xml:space="preserve"> to violence</w:t>
      </w:r>
      <w:r w:rsidR="00AC37D9">
        <w:t xml:space="preserve"> in the play</w:t>
      </w:r>
      <w:r w:rsidR="003125F2">
        <w:t xml:space="preserve"> and his quick </w:t>
      </w:r>
      <w:r w:rsidR="003125F2">
        <w:lastRenderedPageBreak/>
        <w:t>anger in the face of his own wife’s pain</w:t>
      </w:r>
      <w:r w:rsidR="00AC37D9">
        <w:t>. It also</w:t>
      </w:r>
      <w:r w:rsidR="007869F4">
        <w:t xml:space="preserve"> explicitly fails to mention the dire economic conseque</w:t>
      </w:r>
      <w:r w:rsidR="00AC37D9">
        <w:t>nces that the surviving family</w:t>
      </w:r>
      <w:r w:rsidR="007869F4">
        <w:t xml:space="preserve"> will face after the breadwinner’s voluntary </w:t>
      </w:r>
      <w:r w:rsidR="003125F2">
        <w:t>self-</w:t>
      </w:r>
      <w:r w:rsidR="007869F4">
        <w:t>sacrifice.</w:t>
      </w:r>
      <w:r w:rsidR="00AC37D9">
        <w:t xml:space="preserve"> Miller avoids material circumstances to celebrate an act of principle</w:t>
      </w:r>
      <w:r w:rsidR="000D6483">
        <w:t xml:space="preserve"> –</w:t>
      </w:r>
      <w:r w:rsidR="001F4293">
        <w:t xml:space="preserve"> a privilege and luxury afforded to the male protagonist</w:t>
      </w:r>
      <w:r w:rsidR="00AC37D9">
        <w:t xml:space="preserve">. Such a position </w:t>
      </w:r>
      <w:r w:rsidR="003125F2">
        <w:t>is difficult to leave unmentioned</w:t>
      </w:r>
      <w:r w:rsidR="00AC37D9">
        <w:t xml:space="preserve"> in a Brechtian theatre</w:t>
      </w:r>
      <w:r w:rsidR="00294779">
        <w:t xml:space="preserve"> (and in our production, Elizabeth ironized the ‘I’ in the curtain line to highlight her position as a woman in that society)</w:t>
      </w:r>
      <w:r w:rsidR="00AC37D9">
        <w:t>.</w:t>
      </w:r>
    </w:p>
    <w:p w:rsidR="0095019C" w:rsidRDefault="0095019C" w:rsidP="00636378">
      <w:r>
        <w:tab/>
        <w:t xml:space="preserve">There are other </w:t>
      </w:r>
      <w:r w:rsidR="007869F4">
        <w:t xml:space="preserve">gendered </w:t>
      </w:r>
      <w:r>
        <w:t xml:space="preserve">instances of power relations that </w:t>
      </w:r>
      <w:r w:rsidR="007869F4">
        <w:t xml:space="preserve">a more politicized production may seek to </w:t>
      </w:r>
      <w:r w:rsidR="00AC37D9">
        <w:t>foreground</w:t>
      </w:r>
      <w:r>
        <w:t xml:space="preserve">. </w:t>
      </w:r>
      <w:r w:rsidR="003366B0">
        <w:t>Jeffrey D. Mason states that ‘</w:t>
      </w:r>
      <w:r w:rsidR="001F4293">
        <w:t>p</w:t>
      </w:r>
      <w:r w:rsidR="003366B0" w:rsidRPr="003366B0">
        <w:t>ower flows to those who claim to be able to recognize evil’</w:t>
      </w:r>
      <w:r w:rsidR="003366B0">
        <w:t>,</w:t>
      </w:r>
      <w:r w:rsidR="00040744">
        <w:rPr>
          <w:rStyle w:val="FootnoteReference"/>
        </w:rPr>
        <w:footnoteReference w:id="16"/>
      </w:r>
      <w:r w:rsidR="003366B0">
        <w:t xml:space="preserve"> that is, to the black slave Tituba who is </w:t>
      </w:r>
      <w:r w:rsidR="00AC37D9">
        <w:t xml:space="preserve">coerced </w:t>
      </w:r>
      <w:r w:rsidR="003366B0">
        <w:t>in</w:t>
      </w:r>
      <w:r w:rsidR="00AC37D9">
        <w:t>to</w:t>
      </w:r>
      <w:r w:rsidR="003366B0">
        <w:t xml:space="preserve"> making the first denunciations</w:t>
      </w:r>
      <w:r w:rsidR="003366B0" w:rsidRPr="003366B0">
        <w:t xml:space="preserve"> </w:t>
      </w:r>
      <w:r w:rsidR="003366B0">
        <w:t>and</w:t>
      </w:r>
      <w:r w:rsidR="003366B0" w:rsidRPr="003366B0">
        <w:t xml:space="preserve"> </w:t>
      </w:r>
      <w:r w:rsidR="003366B0">
        <w:t xml:space="preserve">to the girls who </w:t>
      </w:r>
      <w:r w:rsidR="002D2429">
        <w:t>accuse</w:t>
      </w:r>
      <w:r w:rsidR="003366B0">
        <w:t xml:space="preserve"> the adult villagers as star witnesses at the trials. </w:t>
      </w:r>
      <w:r w:rsidR="002D2429">
        <w:t>Mason’s</w:t>
      </w:r>
      <w:r w:rsidR="003366B0">
        <w:t xml:space="preserve"> is a curious assertion that does not bear dialectical interrogation. Tituba</w:t>
      </w:r>
      <w:r w:rsidR="00D20E6C">
        <w:t xml:space="preserve"> and the girls</w:t>
      </w:r>
      <w:r w:rsidR="003366B0">
        <w:t xml:space="preserve"> may </w:t>
      </w:r>
      <w:r w:rsidR="003366B0">
        <w:rPr>
          <w:i/>
        </w:rPr>
        <w:t>appear</w:t>
      </w:r>
      <w:r w:rsidR="003366B0">
        <w:t xml:space="preserve"> to have power</w:t>
      </w:r>
      <w:r w:rsidR="00D20E6C">
        <w:t xml:space="preserve">, but a </w:t>
      </w:r>
      <w:r w:rsidR="00C54C10">
        <w:t>material</w:t>
      </w:r>
      <w:r w:rsidR="00D20E6C">
        <w:t xml:space="preserve"> analysis </w:t>
      </w:r>
      <w:r w:rsidR="00294779">
        <w:t>undermines</w:t>
      </w:r>
      <w:r w:rsidR="00D20E6C">
        <w:t xml:space="preserve"> this position: the powerful men of the village</w:t>
      </w:r>
      <w:r w:rsidR="007869F4">
        <w:t xml:space="preserve"> and the state</w:t>
      </w:r>
      <w:r w:rsidR="00D20E6C">
        <w:t xml:space="preserve"> confer power on them</w:t>
      </w:r>
      <w:r w:rsidR="00294779">
        <w:t xml:space="preserve"> only</w:t>
      </w:r>
      <w:r w:rsidR="00D20E6C">
        <w:t xml:space="preserve"> when it is expedient to serve their purposes</w:t>
      </w:r>
      <w:r w:rsidR="00C54C10">
        <w:t>. This is a response to the question ‘cui bono?’ which appears not to have been asked in most productions in which Tituba and the girls attain a veneer of power</w:t>
      </w:r>
      <w:r w:rsidR="00742FA7">
        <w:t xml:space="preserve"> and respect</w:t>
      </w:r>
      <w:r w:rsidR="00C54C10">
        <w:t xml:space="preserve"> in order to move the plot to its conclusion</w:t>
      </w:r>
      <w:r w:rsidR="00D20E6C">
        <w:t>. A Brechtian production would thus seek to expose the real</w:t>
      </w:r>
      <w:r w:rsidR="001F4293">
        <w:t xml:space="preserve"> social</w:t>
      </w:r>
      <w:r w:rsidR="00D20E6C">
        <w:t xml:space="preserve"> relationships at play</w:t>
      </w:r>
      <w:r w:rsidR="002D2429">
        <w:t>, not to perpetuate an illusion</w:t>
      </w:r>
      <w:r w:rsidR="00D20E6C">
        <w:t>.</w:t>
      </w:r>
    </w:p>
    <w:p w:rsidR="00D20E6C" w:rsidRDefault="00D20E6C" w:rsidP="00636378">
      <w:r>
        <w:tab/>
        <w:t>The final political issue overlooked or left uncommented in most productions of the play is one identified by David Savran: ‘</w:t>
      </w:r>
      <w:r w:rsidRPr="00D20E6C">
        <w:t>Arthur Miller’s body of work serves as a vast stage on which the liberal humanist subject—that allegedly seamless individual, conceived as author and origin of meaning and action—attempts to construct a linear, unified history’</w:t>
      </w:r>
      <w:r>
        <w:t>.</w:t>
      </w:r>
      <w:r w:rsidR="00040744">
        <w:rPr>
          <w:rStyle w:val="FootnoteReference"/>
        </w:rPr>
        <w:footnoteReference w:id="17"/>
      </w:r>
      <w:r>
        <w:t xml:space="preserve"> This general positioning of predominantly male characters overlooks the many historical and social contexts that inform their opinions, actions and behaviour. As such, Miller </w:t>
      </w:r>
      <w:r w:rsidR="007869F4">
        <w:t>creates</w:t>
      </w:r>
      <w:r w:rsidR="004008AB">
        <w:t xml:space="preserve"> </w:t>
      </w:r>
      <w:proofErr w:type="spellStart"/>
      <w:r w:rsidR="004008AB">
        <w:t>blindspots</w:t>
      </w:r>
      <w:proofErr w:type="spellEnd"/>
      <w:r w:rsidR="004008AB">
        <w:t xml:space="preserve"> in</w:t>
      </w:r>
      <w:r>
        <w:t xml:space="preserve"> his dramatic conceptualization by acc</w:t>
      </w:r>
      <w:r w:rsidR="004008AB">
        <w:t>epting a notion of individualism</w:t>
      </w:r>
      <w:r>
        <w:t xml:space="preserve"> which is itself historical and ideological. A Brechtian production would </w:t>
      </w:r>
      <w:r w:rsidR="00CC2020">
        <w:t>peer</w:t>
      </w:r>
      <w:r>
        <w:t xml:space="preserve"> behind the </w:t>
      </w:r>
      <w:r w:rsidR="00C54C10">
        <w:t>appearance</w:t>
      </w:r>
      <w:r>
        <w:t xml:space="preserve"> of individual choice and freedom in order to </w:t>
      </w:r>
      <w:r w:rsidR="00FB4EF8">
        <w:t>represent</w:t>
      </w:r>
      <w:r>
        <w:t xml:space="preserve"> the circumstances under which such illusions can flourish, exposing them in the process.</w:t>
      </w:r>
    </w:p>
    <w:p w:rsidR="00D20E6C" w:rsidRPr="00926C4D" w:rsidRDefault="00D20E6C" w:rsidP="00636378">
      <w:r>
        <w:tab/>
      </w:r>
      <w:r w:rsidR="00926C4D">
        <w:t xml:space="preserve">As is obvious, </w:t>
      </w:r>
      <w:r w:rsidR="00CC2020">
        <w:t xml:space="preserve">existing </w:t>
      </w:r>
      <w:r w:rsidR="00926C4D">
        <w:t>criticism has been</w:t>
      </w:r>
      <w:r w:rsidR="00FB4EF8">
        <w:t xml:space="preserve"> amply</w:t>
      </w:r>
      <w:r w:rsidR="00926C4D">
        <w:t xml:space="preserve"> able to identify the ideological landscape that has informed many fundamental assumptions that drive </w:t>
      </w:r>
      <w:r w:rsidR="00926C4D">
        <w:rPr>
          <w:i/>
        </w:rPr>
        <w:t>The Crucible</w:t>
      </w:r>
      <w:r w:rsidR="00294779">
        <w:t xml:space="preserve"> in performance</w:t>
      </w:r>
      <w:r w:rsidR="00FB4EF8">
        <w:t xml:space="preserve">. </w:t>
      </w:r>
      <w:r w:rsidR="00C54C10">
        <w:t>This scholarship, which forms a now accepted critique of this much-staged play, has rarely, however, informed real productions.</w:t>
      </w:r>
      <w:r w:rsidR="00472D67">
        <w:rPr>
          <w:rStyle w:val="FootnoteReference"/>
        </w:rPr>
        <w:footnoteReference w:id="18"/>
      </w:r>
      <w:r w:rsidR="00926C4D">
        <w:t xml:space="preserve"> Before considering the practical theatrical </w:t>
      </w:r>
      <w:r w:rsidR="004008AB">
        <w:t>approaches</w:t>
      </w:r>
      <w:r w:rsidR="006D6E31">
        <w:t xml:space="preserve"> Brecht offers to address</w:t>
      </w:r>
      <w:r w:rsidR="00926C4D">
        <w:t xml:space="preserve"> these political shortcomings, I will examine Miller’s relationship to his</w:t>
      </w:r>
      <w:r w:rsidR="00624CBF">
        <w:t xml:space="preserve"> own</w:t>
      </w:r>
      <w:r w:rsidR="00926C4D">
        <w:t xml:space="preserve"> work and the dramaturgical means he develops to retain control over production.</w:t>
      </w:r>
      <w:r w:rsidR="004008AB">
        <w:t xml:space="preserve"> That is, I will note what</w:t>
      </w:r>
      <w:r w:rsidR="006D6E31">
        <w:t xml:space="preserve"> obstacles</w:t>
      </w:r>
      <w:r w:rsidR="004008AB">
        <w:t xml:space="preserve"> Miller puts in the way of a more critical appraisal of his play in performance.</w:t>
      </w:r>
    </w:p>
    <w:p w:rsidR="00636378" w:rsidRDefault="00636378" w:rsidP="00636378"/>
    <w:p w:rsidR="00636378" w:rsidRDefault="00636378" w:rsidP="00636378"/>
    <w:p w:rsidR="00636378" w:rsidRDefault="00472D67" w:rsidP="00636378">
      <w:r>
        <w:t>The Problematic Voice of the Author</w:t>
      </w:r>
    </w:p>
    <w:p w:rsidR="00636378" w:rsidRDefault="00636378" w:rsidP="00636378"/>
    <w:p w:rsidR="00636378" w:rsidRDefault="007B7A83" w:rsidP="00636378">
      <w:r>
        <w:t xml:space="preserve">The text of </w:t>
      </w:r>
      <w:r>
        <w:rPr>
          <w:i/>
        </w:rPr>
        <w:t>The Crucible</w:t>
      </w:r>
      <w:r>
        <w:t xml:space="preserve"> </w:t>
      </w:r>
      <w:r w:rsidR="00B177DD">
        <w:t>has</w:t>
      </w:r>
      <w:r>
        <w:t xml:space="preserve"> several key formal features</w:t>
      </w:r>
      <w:r w:rsidR="00B177DD">
        <w:t xml:space="preserve"> that make it distinctive</w:t>
      </w:r>
      <w:r>
        <w:t>. Its language is a styli</w:t>
      </w:r>
      <w:r w:rsidR="00B177DD">
        <w:t>zed English, designed to evoke the</w:t>
      </w:r>
      <w:r>
        <w:t xml:space="preserve"> </w:t>
      </w:r>
      <w:r w:rsidR="00B177DD">
        <w:t>historical setting</w:t>
      </w:r>
      <w:r>
        <w:t>. It is not an accurate simulation of the English of the time; rather, it suggests something old which is nonetheless comprehensible to the contemporary audience. It is also unadorned, positioning it as a version of realistic</w:t>
      </w:r>
      <w:r w:rsidR="000F72D6">
        <w:t xml:space="preserve"> rather than poetic</w:t>
      </w:r>
      <w:r>
        <w:t xml:space="preserve"> </w:t>
      </w:r>
      <w:r>
        <w:lastRenderedPageBreak/>
        <w:t xml:space="preserve">speech. Miller stated </w:t>
      </w:r>
      <w:r w:rsidRPr="007B7A83">
        <w:t>‘</w:t>
      </w:r>
      <w:r w:rsidRPr="007B7A83">
        <w:rPr>
          <w:i/>
        </w:rPr>
        <w:t>The Crucible</w:t>
      </w:r>
      <w:r w:rsidRPr="007B7A83">
        <w:t xml:space="preserve"> was in part a reaction against some of the weeping surrounding</w:t>
      </w:r>
      <w:r>
        <w:t xml:space="preserve"> [</w:t>
      </w:r>
      <w:r>
        <w:rPr>
          <w:i/>
        </w:rPr>
        <w:t>The Death of a</w:t>
      </w:r>
      <w:r>
        <w:t>]</w:t>
      </w:r>
      <w:r w:rsidRPr="007B7A83">
        <w:t xml:space="preserve"> </w:t>
      </w:r>
      <w:r w:rsidRPr="007B7A83">
        <w:rPr>
          <w:i/>
        </w:rPr>
        <w:t>Salesman</w:t>
      </w:r>
      <w:r w:rsidRPr="007B7A83">
        <w:t>. I wanted a more acerbic kind of play. I wanted to create as much knowing as feeling’</w:t>
      </w:r>
      <w:r>
        <w:t>.</w:t>
      </w:r>
      <w:r w:rsidR="00040744">
        <w:rPr>
          <w:rStyle w:val="FootnoteReference"/>
        </w:rPr>
        <w:footnoteReference w:id="19"/>
      </w:r>
      <w:r w:rsidR="00712A6A">
        <w:t xml:space="preserve"> There is thus a kind of distancing built into the language, an attempt to use its unusual formulations to create room for reflection. However, as Savran notes, </w:t>
      </w:r>
      <w:r w:rsidR="00712A6A" w:rsidRPr="00712A6A">
        <w:t>‘</w:t>
      </w:r>
      <w:r w:rsidR="00712A6A">
        <w:t>t</w:t>
      </w:r>
      <w:r w:rsidR="00712A6A" w:rsidRPr="00712A6A">
        <w:t>he sovereign subject that towers above Miller’s work is particularly well suited for representation by an actor trained in “the Method”, a solemnly psychological approach to acting</w:t>
      </w:r>
      <w:r w:rsidR="00712A6A">
        <w:t>’.</w:t>
      </w:r>
      <w:r w:rsidR="00040744">
        <w:rPr>
          <w:rStyle w:val="FootnoteReference"/>
        </w:rPr>
        <w:footnoteReference w:id="20"/>
      </w:r>
      <w:r w:rsidR="00712A6A">
        <w:t xml:space="preserve"> Method acting is primarily concerned with </w:t>
      </w:r>
      <w:r w:rsidR="00B177DD">
        <w:t>representing</w:t>
      </w:r>
      <w:r w:rsidR="00712A6A">
        <w:t xml:space="preserve"> the kinds of behaviours encountered in everyday life, </w:t>
      </w:r>
      <w:r w:rsidR="00E8176B">
        <w:t>opening possibilities for close identification between</w:t>
      </w:r>
      <w:r w:rsidR="006D6E31">
        <w:t xml:space="preserve"> the actor and character, and between</w:t>
      </w:r>
      <w:r w:rsidR="00E8176B">
        <w:t xml:space="preserve"> the stage and the auditorium</w:t>
      </w:r>
      <w:r w:rsidR="00AD29AC">
        <w:t>.</w:t>
      </w:r>
      <w:r w:rsidR="00B177DD">
        <w:t xml:space="preserve"> Miller’s idiom thus does little to create a wedge between stage and auditorium due to its consistency and evenness.</w:t>
      </w:r>
    </w:p>
    <w:p w:rsidR="00E8176B" w:rsidRPr="00E8176B" w:rsidRDefault="00E8176B" w:rsidP="00636378">
      <w:r>
        <w:tab/>
      </w:r>
      <w:r w:rsidR="00B177DD">
        <w:t>The means that promote identification</w:t>
      </w:r>
      <w:r>
        <w:t xml:space="preserve"> </w:t>
      </w:r>
      <w:r w:rsidR="00B177DD">
        <w:t>are</w:t>
      </w:r>
      <w:r>
        <w:t xml:space="preserve"> exacerbated by the heightened emotion of certain sections, as directed by the text. The initial denunciations at the end of Act I are to be delivered ‘</w:t>
      </w:r>
      <w:r>
        <w:rPr>
          <w:i/>
        </w:rPr>
        <w:t>enraptured</w:t>
      </w:r>
      <w:r>
        <w:t>’, ‘</w:t>
      </w:r>
      <w:r>
        <w:rPr>
          <w:i/>
        </w:rPr>
        <w:t>hysterically</w:t>
      </w:r>
      <w:r>
        <w:t>’ and with ‘</w:t>
      </w:r>
      <w:r>
        <w:rPr>
          <w:i/>
        </w:rPr>
        <w:t>ecstatic cries</w:t>
      </w:r>
      <w:r>
        <w:t>’ (</w:t>
      </w:r>
      <w:r w:rsidR="00040744">
        <w:t>C</w:t>
      </w:r>
      <w:r>
        <w:t xml:space="preserve"> 46). Similarly, Proctor’s</w:t>
      </w:r>
      <w:r w:rsidR="006706CF">
        <w:t xml:space="preserve"> speeches at the tr</w:t>
      </w:r>
      <w:r w:rsidR="000F72D6">
        <w:t>ia</w:t>
      </w:r>
      <w:r w:rsidR="006706CF">
        <w:t>l in Act III and</w:t>
      </w:r>
      <w:r>
        <w:t xml:space="preserve"> monologues in Act IV, in which he defends his decisions to refuse signing the confession, are alive wi</w:t>
      </w:r>
      <w:r w:rsidR="004C0C84">
        <w:t xml:space="preserve">th passion and feeling. Temper and </w:t>
      </w:r>
      <w:r>
        <w:t>anger, fervour</w:t>
      </w:r>
      <w:r w:rsidR="004F01FA">
        <w:t xml:space="preserve"> and ardour are present in the four acts. Yet when they are performed </w:t>
      </w:r>
      <w:r w:rsidR="009024CD">
        <w:t>‘straight’</w:t>
      </w:r>
      <w:r w:rsidR="004F01FA">
        <w:t>, they</w:t>
      </w:r>
      <w:r w:rsidR="009024CD">
        <w:t xml:space="preserve"> can</w:t>
      </w:r>
      <w:r w:rsidR="004F01FA">
        <w:t xml:space="preserve"> have the effect of collapsing the distance </w:t>
      </w:r>
      <w:r w:rsidR="004C0C84">
        <w:t xml:space="preserve">potentially </w:t>
      </w:r>
      <w:r w:rsidR="004F01FA">
        <w:t>established by the language</w:t>
      </w:r>
      <w:r w:rsidR="006706CF">
        <w:t xml:space="preserve"> – their </w:t>
      </w:r>
      <w:r w:rsidR="0085797E">
        <w:t>forcefulness</w:t>
      </w:r>
      <w:r w:rsidR="006706CF">
        <w:t xml:space="preserve"> is a</w:t>
      </w:r>
      <w:r w:rsidR="009024CD">
        <w:t>n</w:t>
      </w:r>
      <w:r w:rsidR="006706CF">
        <w:t xml:space="preserve"> </w:t>
      </w:r>
      <w:r w:rsidR="009024CD">
        <w:t>emotional</w:t>
      </w:r>
      <w:r w:rsidR="006706CF">
        <w:t xml:space="preserve"> to the audience</w:t>
      </w:r>
      <w:r w:rsidR="004F01FA">
        <w:t xml:space="preserve">. It is difficult to believe that Miller wants the </w:t>
      </w:r>
      <w:r w:rsidR="006706CF">
        <w:t>spectators</w:t>
      </w:r>
      <w:r w:rsidR="004F01FA">
        <w:t xml:space="preserve"> to reflect on Proctor’s act of self-sacrifice for the principle of truth, but to accept his heroic stance. Miller</w:t>
      </w:r>
      <w:r w:rsidR="008E3B82">
        <w:t xml:space="preserve"> conversely</w:t>
      </w:r>
      <w:r w:rsidR="004F01FA">
        <w:t xml:space="preserve"> fails to answer </w:t>
      </w:r>
      <w:proofErr w:type="spellStart"/>
      <w:r w:rsidR="004F01FA">
        <w:t>Schissel’s</w:t>
      </w:r>
      <w:proofErr w:type="spellEnd"/>
      <w:r w:rsidR="004F01FA">
        <w:t xml:space="preserve"> question: ‘</w:t>
      </w:r>
      <w:r w:rsidR="004F01FA" w:rsidRPr="004F01FA">
        <w:t>But what of Elizabeth's suffering?</w:t>
      </w:r>
      <w:r w:rsidR="004F01FA">
        <w:t>’.</w:t>
      </w:r>
      <w:r w:rsidR="00040744">
        <w:rPr>
          <w:rStyle w:val="FootnoteReference"/>
        </w:rPr>
        <w:footnoteReference w:id="21"/>
      </w:r>
      <w:r w:rsidR="004F01FA">
        <w:t xml:space="preserve"> </w:t>
      </w:r>
      <w:r w:rsidR="008E3B82">
        <w:t>The text remains silent; Elizabeth utters no heartfelt plea or reproach.</w:t>
      </w:r>
    </w:p>
    <w:p w:rsidR="00AD29AC" w:rsidRDefault="00AD29AC" w:rsidP="00636378">
      <w:r>
        <w:tab/>
      </w:r>
      <w:r w:rsidR="000A69D2">
        <w:t>Miller</w:t>
      </w:r>
      <w:r w:rsidR="006706CF">
        <w:t xml:space="preserve"> also</w:t>
      </w:r>
      <w:r w:rsidR="000A69D2">
        <w:t xml:space="preserve"> inserts many commentaries into the text that are not meant to be performed, but to inform the actors. The texts are inflected with </w:t>
      </w:r>
      <w:r w:rsidR="000A69D2" w:rsidRPr="008A36B6">
        <w:t>an</w:t>
      </w:r>
      <w:r w:rsidR="000A69D2">
        <w:t xml:space="preserve"> understanding of individuals as having innate qualities. Abigail has ‘an endless capacity for dissembling’ (</w:t>
      </w:r>
      <w:r w:rsidR="00040744">
        <w:t>C</w:t>
      </w:r>
      <w:r w:rsidR="000A69D2">
        <w:t xml:space="preserve"> 10) while the landowner Thomas Putnam</w:t>
      </w:r>
      <w:r w:rsidR="008E3B82">
        <w:t xml:space="preserve"> acts according to</w:t>
      </w:r>
      <w:r w:rsidR="00F447BD">
        <w:t xml:space="preserve"> ‘his vindictive nature’ (ibid. 15). Such articulations of the characters as</w:t>
      </w:r>
      <w:r w:rsidR="008E3B82">
        <w:t xml:space="preserve"> being</w:t>
      </w:r>
      <w:r w:rsidR="00F447BD">
        <w:t xml:space="preserve"> ‘like this’ or ‘like that’ undermine the liveliness of the script and foreclose options that </w:t>
      </w:r>
      <w:r w:rsidR="000F72D6">
        <w:t xml:space="preserve">might </w:t>
      </w:r>
      <w:r w:rsidR="00F447BD">
        <w:t xml:space="preserve">disagree with Miller’s interpretations. A materialist dialectical analysis of Putnam, for instance, would look to his social context as an active agent in the formation of </w:t>
      </w:r>
      <w:r w:rsidR="008E3B82">
        <w:t xml:space="preserve">apparently </w:t>
      </w:r>
      <w:r w:rsidR="00F447BD">
        <w:t xml:space="preserve">personal qualities. As </w:t>
      </w:r>
      <w:proofErr w:type="spellStart"/>
      <w:r w:rsidR="00F447BD">
        <w:t>Bigsby</w:t>
      </w:r>
      <w:proofErr w:type="spellEnd"/>
      <w:r w:rsidR="00F447BD">
        <w:t xml:space="preserve"> notes (but Miller </w:t>
      </w:r>
      <w:r w:rsidR="006706CF">
        <w:t>fails</w:t>
      </w:r>
      <w:r w:rsidR="00F447BD">
        <w:t xml:space="preserve"> to mention), a Royal Charter</w:t>
      </w:r>
      <w:r w:rsidR="00337CB9">
        <w:t xml:space="preserve"> </w:t>
      </w:r>
      <w:r w:rsidR="00B46C72">
        <w:t>had been revoked in the America</w:t>
      </w:r>
      <w:r w:rsidR="00337CB9">
        <w:t xml:space="preserve"> o</w:t>
      </w:r>
      <w:r w:rsidR="00B46C72">
        <w:t>f the late seventeenth century,</w:t>
      </w:r>
      <w:r w:rsidR="00337CB9">
        <w:t xml:space="preserve"> cancelling</w:t>
      </w:r>
      <w:r w:rsidR="00E8176B">
        <w:t xml:space="preserve"> all</w:t>
      </w:r>
      <w:r w:rsidR="00F447BD">
        <w:t xml:space="preserve"> land titles</w:t>
      </w:r>
      <w:r w:rsidR="00E8176B">
        <w:t xml:space="preserve"> at the time</w:t>
      </w:r>
      <w:r w:rsidR="00337CB9">
        <w:t xml:space="preserve"> and</w:t>
      </w:r>
      <w:r w:rsidR="00F447BD">
        <w:t xml:space="preserve"> provoking </w:t>
      </w:r>
      <w:r w:rsidR="008E3B82">
        <w:t>widespread</w:t>
      </w:r>
      <w:r w:rsidR="00F447BD">
        <w:t xml:space="preserve"> mutual suspicion.</w:t>
      </w:r>
      <w:r w:rsidR="00040744">
        <w:rPr>
          <w:rStyle w:val="FootnoteReference"/>
        </w:rPr>
        <w:footnoteReference w:id="22"/>
      </w:r>
      <w:r w:rsidR="00F447BD">
        <w:t xml:space="preserve"> With this in mind, a person of coin could easily pursue his own ends and pursue them</w:t>
      </w:r>
      <w:r w:rsidR="002578B1">
        <w:t xml:space="preserve"> with a determination that could be</w:t>
      </w:r>
      <w:r w:rsidR="008E3B82">
        <w:t xml:space="preserve"> understood as</w:t>
      </w:r>
      <w:r w:rsidR="002578B1">
        <w:t xml:space="preserve"> vindictive. But this does not suggest that his nature is such, rather, that the</w:t>
      </w:r>
      <w:r w:rsidR="00E8176B">
        <w:t xml:space="preserve"> uncertain</w:t>
      </w:r>
      <w:r w:rsidR="002578B1">
        <w:t xml:space="preserve"> legal situation </w:t>
      </w:r>
      <w:r w:rsidR="00E8176B">
        <w:t>prepares the ground for</w:t>
      </w:r>
      <w:r w:rsidR="008E3B82">
        <w:t xml:space="preserve"> such </w:t>
      </w:r>
      <w:r w:rsidR="004C0C84">
        <w:t>focused</w:t>
      </w:r>
      <w:r w:rsidR="00E8176B">
        <w:t xml:space="preserve"> acquisitive action</w:t>
      </w:r>
      <w:r w:rsidR="002578B1">
        <w:t>.</w:t>
      </w:r>
      <w:r w:rsidR="008E3B82">
        <w:t xml:space="preserve"> The analysis does not excuse Putnam for his deeds – he choose</w:t>
      </w:r>
      <w:r w:rsidR="0085797E">
        <w:t>s</w:t>
      </w:r>
      <w:r w:rsidR="008E3B82">
        <w:t xml:space="preserve"> his own actions – but it proposes an additional </w:t>
      </w:r>
      <w:r w:rsidR="006706CF">
        <w:t>element</w:t>
      </w:r>
      <w:r w:rsidR="00B46C72">
        <w:t xml:space="preserve"> in the interpretation of the self</w:t>
      </w:r>
      <w:r w:rsidR="008E3B82">
        <w:t>: the social context.</w:t>
      </w:r>
    </w:p>
    <w:p w:rsidR="003B790D" w:rsidRDefault="008E3B82" w:rsidP="00636378">
      <w:r>
        <w:tab/>
        <w:t>Authorial c</w:t>
      </w:r>
      <w:r w:rsidR="00E8176B">
        <w:t>ontrol is also present in the ample stage directions Miller provides.</w:t>
      </w:r>
      <w:r w:rsidR="004F01FA">
        <w:t xml:space="preserve"> These, understandably, support the performance of </w:t>
      </w:r>
      <w:r w:rsidR="00B46C72">
        <w:t>reproducing the surface of</w:t>
      </w:r>
      <w:r w:rsidR="0085797E">
        <w:t xml:space="preserve"> everyday life</w:t>
      </w:r>
      <w:r>
        <w:t xml:space="preserve">. They also reinforce </w:t>
      </w:r>
      <w:r w:rsidR="004F01FA">
        <w:t>Miller’s interpretation of his characters as possessing innate characteristics and behaving in ways he considers appropriate for the design of the play.</w:t>
      </w:r>
      <w:r w:rsidR="003B790D">
        <w:t xml:space="preserve"> Consider the following exchange between Proctor and Elizabeth towards the beginning of Act II:</w:t>
      </w:r>
    </w:p>
    <w:p w:rsidR="003B790D" w:rsidRDefault="003B790D" w:rsidP="00636378"/>
    <w:p w:rsidR="003B790D" w:rsidRDefault="003B790D" w:rsidP="00636378">
      <w:r>
        <w:tab/>
      </w:r>
      <w:r w:rsidRPr="003B790D">
        <w:rPr>
          <w:smallCaps/>
        </w:rPr>
        <w:t>proctor</w:t>
      </w:r>
      <w:r>
        <w:t xml:space="preserve"> (</w:t>
      </w:r>
      <w:r>
        <w:rPr>
          <w:i/>
        </w:rPr>
        <w:t>with a grin</w:t>
      </w:r>
      <w:r>
        <w:t xml:space="preserve">): </w:t>
      </w:r>
      <w:r>
        <w:tab/>
      </w:r>
      <w:r>
        <w:tab/>
        <w:t>I mean to please you, Elizabeth.</w:t>
      </w:r>
    </w:p>
    <w:p w:rsidR="00E8176B" w:rsidRDefault="003B790D" w:rsidP="00636378">
      <w:r>
        <w:tab/>
      </w:r>
      <w:proofErr w:type="spellStart"/>
      <w:r w:rsidRPr="003B790D">
        <w:rPr>
          <w:smallCaps/>
        </w:rPr>
        <w:t>elizabeth</w:t>
      </w:r>
      <w:proofErr w:type="spellEnd"/>
      <w:r>
        <w:t xml:space="preserve"> (</w:t>
      </w:r>
      <w:r>
        <w:rPr>
          <w:i/>
        </w:rPr>
        <w:t>it is hard to say</w:t>
      </w:r>
      <w:r>
        <w:t>):</w:t>
      </w:r>
      <w:r>
        <w:tab/>
        <w:t>I know it, John.</w:t>
      </w:r>
      <w:r w:rsidR="004F01FA">
        <w:t xml:space="preserve"> </w:t>
      </w:r>
    </w:p>
    <w:p w:rsidR="003B790D" w:rsidRDefault="003B790D" w:rsidP="00636378"/>
    <w:p w:rsidR="003B790D" w:rsidRDefault="003B790D" w:rsidP="003B790D">
      <w:pPr>
        <w:ind w:left="720"/>
      </w:pPr>
      <w:r>
        <w:rPr>
          <w:i/>
        </w:rPr>
        <w:t>He gets up, goes to her, kisses her. She receives it. With a certain disappointment, he returns to the table.</w:t>
      </w:r>
    </w:p>
    <w:p w:rsidR="003B790D" w:rsidRDefault="003B790D" w:rsidP="003B790D">
      <w:pPr>
        <w:ind w:left="720"/>
      </w:pPr>
    </w:p>
    <w:p w:rsidR="003B790D" w:rsidRDefault="003B790D" w:rsidP="003B790D">
      <w:pPr>
        <w:ind w:left="720"/>
      </w:pPr>
      <w:r w:rsidRPr="003B790D">
        <w:rPr>
          <w:smallCaps/>
        </w:rPr>
        <w:t>proctor</w:t>
      </w:r>
      <w:r>
        <w:t xml:space="preserve"> (</w:t>
      </w:r>
      <w:r>
        <w:rPr>
          <w:i/>
        </w:rPr>
        <w:t>as gently as he can</w:t>
      </w:r>
      <w:r>
        <w:t>):</w:t>
      </w:r>
      <w:r>
        <w:tab/>
        <w:t>Cider?</w:t>
      </w:r>
    </w:p>
    <w:p w:rsidR="003B790D" w:rsidRDefault="003B790D" w:rsidP="003B790D">
      <w:pPr>
        <w:ind w:left="720"/>
      </w:pPr>
      <w:proofErr w:type="spellStart"/>
      <w:r w:rsidRPr="003B790D">
        <w:rPr>
          <w:smallCaps/>
        </w:rPr>
        <w:lastRenderedPageBreak/>
        <w:t>elizabeth</w:t>
      </w:r>
      <w:proofErr w:type="spellEnd"/>
      <w:r>
        <w:t xml:space="preserve"> (</w:t>
      </w:r>
      <w:r>
        <w:rPr>
          <w:i/>
        </w:rPr>
        <w:t>with a sense of reprimanding herself for having forgot</w:t>
      </w:r>
      <w:r>
        <w:t>): Aye!</w:t>
      </w:r>
    </w:p>
    <w:p w:rsidR="003B790D" w:rsidRDefault="003B790D" w:rsidP="003B790D">
      <w:pPr>
        <w:ind w:left="720"/>
      </w:pPr>
    </w:p>
    <w:p w:rsidR="003B790D" w:rsidRPr="003B790D" w:rsidRDefault="003B790D" w:rsidP="003B790D">
      <w:pPr>
        <w:ind w:left="720"/>
      </w:pPr>
      <w:r>
        <w:t>(</w:t>
      </w:r>
      <w:r w:rsidR="00BC2CFC">
        <w:t>C</w:t>
      </w:r>
      <w:r>
        <w:t xml:space="preserve"> 48)</w:t>
      </w:r>
    </w:p>
    <w:p w:rsidR="00636378" w:rsidRDefault="00636378" w:rsidP="00636378"/>
    <w:p w:rsidR="00636378" w:rsidRDefault="003B790D" w:rsidP="00636378">
      <w:r>
        <w:t>The stage directions articulate a strained relationship. Elizabeth cannot a</w:t>
      </w:r>
      <w:r w:rsidR="008E3B82">
        <w:t>ccept Proctor’s good intentions</w:t>
      </w:r>
      <w:r w:rsidR="0085797E">
        <w:t xml:space="preserve"> because</w:t>
      </w:r>
      <w:r>
        <w:t xml:space="preserve"> </w:t>
      </w:r>
      <w:r w:rsidR="00902B06">
        <w:t>she continues</w:t>
      </w:r>
      <w:r>
        <w:t xml:space="preserve"> </w:t>
      </w:r>
      <w:r w:rsidR="00902B06">
        <w:t xml:space="preserve">to resent </w:t>
      </w:r>
      <w:r>
        <w:t xml:space="preserve">Proctor’s infidelity with Abigail. </w:t>
      </w:r>
      <w:r w:rsidR="00902B06">
        <w:t xml:space="preserve">She also accepts the domestic lapse with the drink as her own fault. In both cases, Elizabeth treats the problems as a personal matter. </w:t>
      </w:r>
      <w:r>
        <w:t>Yet</w:t>
      </w:r>
      <w:r w:rsidR="000C31C9">
        <w:t xml:space="preserve"> while the response to the affair may well be something to be worked through at home, the failure to provide the drink is predicated on the </w:t>
      </w:r>
      <w:r>
        <w:t xml:space="preserve">gender roles </w:t>
      </w:r>
      <w:r w:rsidR="000C31C9">
        <w:t xml:space="preserve">of the day. That Elizabeth does not protest, but accepts the neglect of her domestic duties as a personal failing reflects Miller’s </w:t>
      </w:r>
      <w:r w:rsidR="0085797E">
        <w:t>tacit acceptance of the division of labour</w:t>
      </w:r>
      <w:r w:rsidR="00B46C72">
        <w:t xml:space="preserve"> at that time</w:t>
      </w:r>
      <w:r w:rsidR="000C31C9">
        <w:t xml:space="preserve">. In addition, there is a </w:t>
      </w:r>
      <w:r w:rsidR="00AC174D">
        <w:t>contradiction</w:t>
      </w:r>
      <w:r w:rsidR="000C31C9">
        <w:t xml:space="preserve"> between Proctor meaning to please her</w:t>
      </w:r>
      <w:r w:rsidR="00AC174D">
        <w:t xml:space="preserve"> (acknowledging a shortcoming born of his privilege)</w:t>
      </w:r>
      <w:r w:rsidR="000C31C9">
        <w:t xml:space="preserve"> and then expecting his drink to be served</w:t>
      </w:r>
      <w:r w:rsidR="00AC174D">
        <w:t xml:space="preserve"> (maintaining his gendered privilege)</w:t>
      </w:r>
      <w:r w:rsidR="000C31C9">
        <w:t>. While the stage directions do not recognize this</w:t>
      </w:r>
      <w:r w:rsidR="00423DDB">
        <w:t>, a</w:t>
      </w:r>
      <w:r w:rsidR="000C31C9">
        <w:t xml:space="preserve"> dialectical performance, discussed below, can.</w:t>
      </w:r>
    </w:p>
    <w:p w:rsidR="00425AD4" w:rsidRDefault="00624CBF" w:rsidP="00636378">
      <w:r>
        <w:tab/>
      </w:r>
      <w:r w:rsidR="00F85EFF">
        <w:t>It should be clear from this brief discussion that Miller is careful to control key elements of potential productions through his paratextual</w:t>
      </w:r>
      <w:r w:rsidR="00F85EFF" w:rsidRPr="004C0C84">
        <w:t xml:space="preserve"> </w:t>
      </w:r>
      <w:r w:rsidR="00F85EFF">
        <w:t>restrictions. Without this control, the play runs the risk of generating meanings that the author does not desire. Yet my</w:t>
      </w:r>
      <w:r>
        <w:t xml:space="preserve"> analysis </w:t>
      </w:r>
      <w:r w:rsidR="00F85EFF">
        <w:t xml:space="preserve">also </w:t>
      </w:r>
      <w:r>
        <w:t>reveals that t</w:t>
      </w:r>
      <w:r w:rsidRPr="00624CBF">
        <w:t xml:space="preserve">here is a clear contradiction between the democratic, truth-seeking themes of the play and the surreptitious </w:t>
      </w:r>
      <w:r w:rsidR="00F85EFF">
        <w:t xml:space="preserve">dramaturgical </w:t>
      </w:r>
      <w:r w:rsidRPr="00624CBF">
        <w:t xml:space="preserve">constructions that allow those themes to gain traction. That is, the democratic </w:t>
      </w:r>
      <w:r>
        <w:t>content</w:t>
      </w:r>
      <w:r w:rsidRPr="00624CBF">
        <w:t xml:space="preserve"> of the play </w:t>
      </w:r>
      <w:r>
        <w:t>is</w:t>
      </w:r>
      <w:r w:rsidRPr="00624CBF">
        <w:t xml:space="preserve"> in tension with </w:t>
      </w:r>
      <w:r>
        <w:t>its</w:t>
      </w:r>
      <w:r w:rsidRPr="00624CBF">
        <w:t xml:space="preserve"> anti-democratic form that seeks to coerce agreement through empathy.</w:t>
      </w:r>
      <w:r w:rsidR="00F85EFF">
        <w:t xml:space="preserve"> Brecht criticized empathy as a way of bypassing rational cognition, but came to realize that empathy could not simply be jettisoned, even in a radical, new theatre.</w:t>
      </w:r>
      <w:r w:rsidR="00F85EFF">
        <w:rPr>
          <w:rStyle w:val="FootnoteReference"/>
        </w:rPr>
        <w:footnoteReference w:id="23"/>
      </w:r>
      <w:r w:rsidR="00F85EFF">
        <w:t xml:space="preserve"> I will consider, below, how a Brechtian production might confront th</w:t>
      </w:r>
      <w:r w:rsidR="00A13466">
        <w:t>is</w:t>
      </w:r>
      <w:r w:rsidR="00F85EFF">
        <w:t xml:space="preserve"> problem.</w:t>
      </w:r>
    </w:p>
    <w:p w:rsidR="00691ABB" w:rsidRDefault="00691ABB" w:rsidP="00636378">
      <w:r>
        <w:tab/>
      </w:r>
      <w:r w:rsidR="003E0284">
        <w:t>Perhaps the most famous infringement of the play</w:t>
      </w:r>
      <w:r w:rsidR="00A13466">
        <w:t>’s</w:t>
      </w:r>
      <w:r w:rsidR="003E0284">
        <w:t xml:space="preserve"> text</w:t>
      </w:r>
      <w:r w:rsidR="00A13466">
        <w:t>ual</w:t>
      </w:r>
      <w:r w:rsidR="003E0284">
        <w:t xml:space="preserve"> integrity was the Wooster Group’s </w:t>
      </w:r>
      <w:r w:rsidR="003E0284">
        <w:rPr>
          <w:i/>
        </w:rPr>
        <w:t>L.S.D. (…Just the High Points…)</w:t>
      </w:r>
      <w:r w:rsidR="003E0284">
        <w:t xml:space="preserve"> (1984). The production assembled a variety of textual elements, yet Miller objected to the fragmentary inclusion of </w:t>
      </w:r>
      <w:r w:rsidR="003E0284">
        <w:rPr>
          <w:i/>
        </w:rPr>
        <w:t>The Crucible</w:t>
      </w:r>
      <w:r w:rsidR="003E0284">
        <w:t xml:space="preserve">, including his </w:t>
      </w:r>
      <w:r w:rsidR="005632D1">
        <w:t xml:space="preserve">paratextual </w:t>
      </w:r>
      <w:r w:rsidR="003E0284">
        <w:t>character sketches.</w:t>
      </w:r>
      <w:r w:rsidR="00A13466">
        <w:rPr>
          <w:rStyle w:val="FootnoteReference"/>
        </w:rPr>
        <w:footnoteReference w:id="24"/>
      </w:r>
      <w:r w:rsidR="003E0284">
        <w:t xml:space="preserve"> </w:t>
      </w:r>
      <w:r w:rsidR="005632D1">
        <w:t>The Group’s</w:t>
      </w:r>
      <w:r>
        <w:t xml:space="preserve"> employment of </w:t>
      </w:r>
      <w:r w:rsidR="007D52B6">
        <w:t>extracts</w:t>
      </w:r>
      <w:r>
        <w:t xml:space="preserve"> from </w:t>
      </w:r>
      <w:r w:rsidR="003E0284">
        <w:t xml:space="preserve">the play </w:t>
      </w:r>
      <w:r>
        <w:t>was radical and ran counter to any implied sense of how the play was to be staged by cutting it up and presenting it as elements in a montage. A Brechtian challenge to the text works in a different way, in that it retains the text as written, but seeks to intervene in the performance in order to problematize the play’s politics with a small ‘p’</w:t>
      </w:r>
      <w:r w:rsidR="007D52B6">
        <w:t xml:space="preserve"> and</w:t>
      </w:r>
      <w:r w:rsidR="00AC174D">
        <w:t>, in turn,</w:t>
      </w:r>
      <w:r w:rsidR="007D52B6">
        <w:t xml:space="preserve"> comment on</w:t>
      </w:r>
      <w:r w:rsidR="00961DE7">
        <w:t xml:space="preserve"> its treatment of the broader political themes</w:t>
      </w:r>
      <w:r>
        <w:t>.</w:t>
      </w:r>
    </w:p>
    <w:p w:rsidR="00691ABB" w:rsidRDefault="00691ABB" w:rsidP="00636378"/>
    <w:p w:rsidR="00691ABB" w:rsidRDefault="00691ABB" w:rsidP="00636378"/>
    <w:p w:rsidR="00691ABB" w:rsidRDefault="00691ABB" w:rsidP="00636378">
      <w:r>
        <w:t xml:space="preserve">The Precedence of </w:t>
      </w:r>
      <w:r w:rsidR="003101A3">
        <w:t xml:space="preserve">Social </w:t>
      </w:r>
      <w:r>
        <w:t>Process</w:t>
      </w:r>
      <w:r w:rsidR="0085797E">
        <w:t>es</w:t>
      </w:r>
      <w:r>
        <w:t xml:space="preserve"> in a Brechtian Theatre</w:t>
      </w:r>
    </w:p>
    <w:p w:rsidR="00691ABB" w:rsidRDefault="00691ABB" w:rsidP="00636378"/>
    <w:p w:rsidR="00FC5957" w:rsidRDefault="00691ABB" w:rsidP="00636378">
      <w:r>
        <w:t>A dialectical theatre is an interrogative theatre: it asks questions o</w:t>
      </w:r>
      <w:r w:rsidR="009E48C3">
        <w:t>f everything that is</w:t>
      </w:r>
      <w:r>
        <w:t xml:space="preserve"> represented on stage, but not with the aim of extracting </w:t>
      </w:r>
      <w:r w:rsidR="0085797E">
        <w:t>psychological</w:t>
      </w:r>
      <w:r>
        <w:t xml:space="preserve"> ‘motivations’. Instead, it seeks to understand the connections between individual and society</w:t>
      </w:r>
      <w:r w:rsidR="005819F1">
        <w:t xml:space="preserve"> in a bid to query the natural in human behaviour and to qualify it with social and historical context. </w:t>
      </w:r>
    </w:p>
    <w:p w:rsidR="00BD5849" w:rsidRDefault="005819F1" w:rsidP="00FC5957">
      <w:pPr>
        <w:ind w:firstLine="720"/>
      </w:pPr>
      <w:r>
        <w:t>As an example</w:t>
      </w:r>
      <w:r w:rsidR="009262E8">
        <w:t xml:space="preserve"> of such an approach</w:t>
      </w:r>
      <w:r>
        <w:t>, it may be useful to return</w:t>
      </w:r>
      <w:r w:rsidR="00457BB7">
        <w:t xml:space="preserve"> </w:t>
      </w:r>
      <w:r>
        <w:t>to the opening of Act II. When first rehearsing this section</w:t>
      </w:r>
      <w:r w:rsidR="009E48C3">
        <w:t xml:space="preserve"> in our Brechtian production</w:t>
      </w:r>
      <w:r>
        <w:t xml:space="preserve">, the actors spoke to each other as </w:t>
      </w:r>
      <w:r w:rsidR="00AE40D5">
        <w:t xml:space="preserve">would </w:t>
      </w:r>
      <w:r>
        <w:t xml:space="preserve">a modern-day husband and wife. The exchanges were lively and dynamic. Yet what had been forgotten was the </w:t>
      </w:r>
      <w:r w:rsidR="00A25042">
        <w:t xml:space="preserve">relationship between men and women in the Puritan America of the late seventeenth century. As a result, Proctor </w:t>
      </w:r>
      <w:r w:rsidR="009E48C3">
        <w:t>was directed to sit</w:t>
      </w:r>
      <w:r w:rsidR="00BD5849">
        <w:t xml:space="preserve"> at the table looking comfortable, while Elizabeth stood behind him</w:t>
      </w:r>
      <w:r w:rsidR="00AE40D5">
        <w:t>,</w:t>
      </w:r>
      <w:r w:rsidR="00BD5849">
        <w:t xml:space="preserve"> her hands held in front of her, </w:t>
      </w:r>
      <w:r w:rsidR="00DE6103">
        <w:t xml:space="preserve">with her head slightly lowered [image </w:t>
      </w:r>
      <w:proofErr w:type="spellStart"/>
      <w:r w:rsidR="00DE6103">
        <w:t>Proct</w:t>
      </w:r>
      <w:proofErr w:type="spellEnd"/>
      <w:r w:rsidR="00DE6103">
        <w:t xml:space="preserve"> and Eliz 1a]</w:t>
      </w:r>
      <w:r w:rsidR="00BD5849">
        <w:t xml:space="preserve">. </w:t>
      </w:r>
    </w:p>
    <w:p w:rsidR="00921FF1" w:rsidRDefault="00BD5849" w:rsidP="00BD5849">
      <w:pPr>
        <w:ind w:firstLine="720"/>
      </w:pPr>
      <w:r>
        <w:t xml:space="preserve">This positioning is what Brecht called the </w:t>
      </w:r>
      <w:r>
        <w:rPr>
          <w:i/>
        </w:rPr>
        <w:t>Arrangement</w:t>
      </w:r>
      <w:r>
        <w:t xml:space="preserve"> of the scene</w:t>
      </w:r>
      <w:r w:rsidR="008159DC">
        <w:t>, the visual analogue of social relations</w:t>
      </w:r>
      <w:r>
        <w:t xml:space="preserve">. The deliberate </w:t>
      </w:r>
      <w:r w:rsidR="009E48C3">
        <w:t>placement and articulation</w:t>
      </w:r>
      <w:r>
        <w:t xml:space="preserve"> of the</w:t>
      </w:r>
      <w:r w:rsidR="009E48C3">
        <w:t xml:space="preserve"> actors’</w:t>
      </w:r>
      <w:r>
        <w:t xml:space="preserve"> bodies denotes a gestic approach to the actor</w:t>
      </w:r>
      <w:r w:rsidR="008159DC">
        <w:t>, which</w:t>
      </w:r>
      <w:r>
        <w:t xml:space="preserve"> strives to contextualize the body in the norms and values of its time</w:t>
      </w:r>
      <w:r w:rsidR="009E48C3">
        <w:t xml:space="preserve"> in the stage world</w:t>
      </w:r>
      <w:r w:rsidR="008159DC">
        <w:t xml:space="preserve">. </w:t>
      </w:r>
      <w:r w:rsidR="00921FF1">
        <w:t xml:space="preserve">Historicization was Brecht’s term for this staging procedure, and, as Tom Kuhn notes, </w:t>
      </w:r>
      <w:r w:rsidR="00921FF1">
        <w:lastRenderedPageBreak/>
        <w:t>such a contextualization ha</w:t>
      </w:r>
      <w:r w:rsidR="002A50BF">
        <w:t>s</w:t>
      </w:r>
      <w:r w:rsidR="00921FF1">
        <w:t xml:space="preserve"> a ‘two-way’ dynamic: ‘</w:t>
      </w:r>
      <w:r w:rsidR="00921FF1" w:rsidRPr="00921FF1">
        <w:t>there may be active analogies between past and present, and there may be continuities</w:t>
      </w:r>
      <w:r w:rsidR="00921FF1">
        <w:t>’</w:t>
      </w:r>
      <w:r>
        <w:t>.</w:t>
      </w:r>
      <w:r w:rsidR="00921FF1">
        <w:rPr>
          <w:rStyle w:val="FootnoteReference"/>
        </w:rPr>
        <w:footnoteReference w:id="25"/>
      </w:r>
      <w:r>
        <w:t xml:space="preserve"> </w:t>
      </w:r>
    </w:p>
    <w:p w:rsidR="00457BB7" w:rsidRDefault="00BD5849" w:rsidP="00BD5849">
      <w:pPr>
        <w:ind w:firstLine="720"/>
      </w:pPr>
      <w:r>
        <w:rPr>
          <w:i/>
        </w:rPr>
        <w:t>Gestus</w:t>
      </w:r>
      <w:r>
        <w:t xml:space="preserve">, in the context of </w:t>
      </w:r>
      <w:r w:rsidR="00060FC4">
        <w:t>the actor</w:t>
      </w:r>
      <w:r>
        <w:t xml:space="preserve">, was Brecht’s </w:t>
      </w:r>
      <w:r w:rsidR="00527ADC">
        <w:t>proposal</w:t>
      </w:r>
      <w:r>
        <w:t xml:space="preserve"> to connect the body to its place in society. This general shaping was then refined in that that body finds itself in changing circumstances throughout </w:t>
      </w:r>
      <w:r w:rsidR="00457BB7">
        <w:t>its performance</w:t>
      </w:r>
      <w:r w:rsidR="00527ADC">
        <w:t>,</w:t>
      </w:r>
      <w:r w:rsidR="00457BB7">
        <w:t xml:space="preserve"> in the form of </w:t>
      </w:r>
      <w:r w:rsidR="00457BB7">
        <w:rPr>
          <w:i/>
        </w:rPr>
        <w:t>Haltung</w:t>
      </w:r>
      <w:r w:rsidR="00457BB7">
        <w:t>. This is the German word for both ‘attitude’ and ‘comportment’, and encourages the actor</w:t>
      </w:r>
      <w:r w:rsidR="009E48C3">
        <w:t>s</w:t>
      </w:r>
      <w:r w:rsidR="00457BB7">
        <w:t xml:space="preserve"> to show their attitude</w:t>
      </w:r>
      <w:r w:rsidR="009E48C3">
        <w:t>s</w:t>
      </w:r>
      <w:r w:rsidR="00457BB7">
        <w:t xml:space="preserve"> towards a person, an idea or a situation physically. The aim is to make changes in </w:t>
      </w:r>
      <w:r w:rsidR="00457BB7">
        <w:rPr>
          <w:i/>
        </w:rPr>
        <w:t>Haltung</w:t>
      </w:r>
      <w:r w:rsidR="00457BB7">
        <w:t xml:space="preserve"> striking</w:t>
      </w:r>
      <w:r w:rsidR="009E48C3">
        <w:t>, reflecting an active</w:t>
      </w:r>
      <w:r w:rsidR="00457BB7">
        <w:t xml:space="preserve"> relationship between individual and situation. In doing this, the characters </w:t>
      </w:r>
      <w:r w:rsidR="00527ADC">
        <w:t>show</w:t>
      </w:r>
      <w:r w:rsidR="00457BB7">
        <w:t xml:space="preserve"> qualities that may contradict each other, loosen a sense of ‘natural’ response, and open up a more fluid understanding of how change</w:t>
      </w:r>
      <w:r w:rsidR="00E54483">
        <w:t>d circumstances</w:t>
      </w:r>
      <w:r w:rsidR="00457BB7">
        <w:t xml:space="preserve"> can affect behaviour</w:t>
      </w:r>
      <w:r>
        <w:t>.</w:t>
      </w:r>
      <w:r w:rsidR="00457BB7">
        <w:t xml:space="preserve"> Indeed, the term ‘character’ is sometimes misleading, as it </w:t>
      </w:r>
      <w:r w:rsidR="009262E8">
        <w:t>implies</w:t>
      </w:r>
      <w:r w:rsidR="00457BB7">
        <w:t xml:space="preserve"> that individuals have characteristics, much like Miller </w:t>
      </w:r>
      <w:r w:rsidR="009262E8">
        <w:t>proposes</w:t>
      </w:r>
      <w:r w:rsidR="00457BB7">
        <w:t xml:space="preserve"> in his commentaries. We preferred to use the term ‘figure’ as something more flexible and in line with Brecht’s dialectical anthropology.</w:t>
      </w:r>
    </w:p>
    <w:p w:rsidR="00BD5849" w:rsidRDefault="00BD5849" w:rsidP="00457BB7">
      <w:pPr>
        <w:ind w:firstLine="720"/>
      </w:pPr>
      <w:r>
        <w:t xml:space="preserve"> </w:t>
      </w:r>
      <w:r w:rsidR="00457BB7">
        <w:t xml:space="preserve">The physicalized </w:t>
      </w:r>
      <w:r w:rsidR="00B0184F">
        <w:t>explication</w:t>
      </w:r>
      <w:r w:rsidR="00457BB7">
        <w:t xml:space="preserve"> of the social context</w:t>
      </w:r>
      <w:r>
        <w:t xml:space="preserve"> not only set up the relationship</w:t>
      </w:r>
      <w:r w:rsidR="00457BB7">
        <w:t xml:space="preserve"> between Proctor and Elizabeth</w:t>
      </w:r>
      <w:r>
        <w:t xml:space="preserve"> </w:t>
      </w:r>
      <w:r w:rsidR="00B0184F">
        <w:t>visually</w:t>
      </w:r>
      <w:r>
        <w:t xml:space="preserve"> for the audience, but also helped the actors negotiate the text far more concretely. As a result, the extract, quoted above, assumed different qualities from those </w:t>
      </w:r>
      <w:r w:rsidR="004452B9">
        <w:t>articulated</w:t>
      </w:r>
      <w:r>
        <w:t xml:space="preserve"> by the stage directions.</w:t>
      </w:r>
      <w:r w:rsidR="00457BB7">
        <w:t xml:space="preserve"> </w:t>
      </w:r>
      <w:r>
        <w:t xml:space="preserve">The contradiction between Proctor’s belief that he ‘means to please’ Elizabeth and his </w:t>
      </w:r>
      <w:r w:rsidR="00771650">
        <w:t>expectation of being served refreshment</w:t>
      </w:r>
      <w:r>
        <w:t xml:space="preserve"> was brought out by </w:t>
      </w:r>
      <w:r w:rsidR="00457BB7">
        <w:t xml:space="preserve">changes in Elizabeth’s </w:t>
      </w:r>
      <w:r w:rsidR="00457BB7">
        <w:rPr>
          <w:i/>
        </w:rPr>
        <w:t>Haltung</w:t>
      </w:r>
      <w:r w:rsidR="004452B9">
        <w:t>.</w:t>
      </w:r>
      <w:r w:rsidR="00457BB7">
        <w:t xml:space="preserve"> Her </w:t>
      </w:r>
      <w:r w:rsidR="00697EF5">
        <w:t>understanding</w:t>
      </w:r>
      <w:r w:rsidR="00457BB7">
        <w:t xml:space="preserve"> response to his opening line was immediately undercut by his expectation of drink. Elizabeth moved from a relaxed posture to one that stiffened to fetch the ewer, which was slammed down on the table. Proctor did not register the gesture of resentment</w:t>
      </w:r>
      <w:r w:rsidR="00E54483">
        <w:t>, drawing attention, we hoped, to this blindness</w:t>
      </w:r>
      <w:r w:rsidR="00457BB7">
        <w:t>.</w:t>
      </w:r>
    </w:p>
    <w:p w:rsidR="00583E4F" w:rsidRDefault="00921FF1" w:rsidP="004D0DE9">
      <w:pPr>
        <w:ind w:firstLine="720"/>
      </w:pPr>
      <w:r>
        <w:t>T</w:t>
      </w:r>
      <w:r w:rsidR="00C51439">
        <w:t>he action develops a logic of cause and effect, and a process</w:t>
      </w:r>
      <w:r w:rsidR="00B0184F">
        <w:t xml:space="preserve">, predicated on the social contexts of the </w:t>
      </w:r>
      <w:r w:rsidR="004D0DE9">
        <w:t>play</w:t>
      </w:r>
      <w:r w:rsidR="00B0184F">
        <w:t>,</w:t>
      </w:r>
      <w:r w:rsidR="00C51439">
        <w:t xml:space="preserve"> unfolds before the audience’s eyes.</w:t>
      </w:r>
      <w:r w:rsidR="007266DC">
        <w:t xml:space="preserve"> Brecht </w:t>
      </w:r>
      <w:r w:rsidR="004D0DE9">
        <w:t>noted</w:t>
      </w:r>
      <w:r w:rsidR="007266DC">
        <w:t xml:space="preserve">: </w:t>
      </w:r>
      <w:r w:rsidR="007266DC" w:rsidRPr="007266DC">
        <w:t>‘don’t put everything under one hat; on the contrary, always pull out a new rabbit from the hat. This is an art that’s hardly understood in the theatre’</w:t>
      </w:r>
      <w:r w:rsidR="007266DC">
        <w:t>.</w:t>
      </w:r>
      <w:r w:rsidR="00BC2CFC">
        <w:rPr>
          <w:rStyle w:val="FootnoteReference"/>
        </w:rPr>
        <w:footnoteReference w:id="26"/>
      </w:r>
      <w:r w:rsidR="00AB30FB">
        <w:t xml:space="preserve"> Such </w:t>
      </w:r>
      <w:r w:rsidR="004D0DE9">
        <w:t>advice</w:t>
      </w:r>
      <w:r w:rsidR="000C15A9">
        <w:t xml:space="preserve"> has led me to institute</w:t>
      </w:r>
      <w:r w:rsidR="00AB30FB">
        <w:t xml:space="preserve"> a rule for the actors: ‘don’t walk and talk’. By this, I mean that the actor can deliver a line, move or make a gesture, but not at the same time.</w:t>
      </w:r>
      <w:r w:rsidR="00583E4F">
        <w:t xml:space="preserve"> </w:t>
      </w:r>
      <w:r>
        <w:t>The chain of meaning that emerge</w:t>
      </w:r>
      <w:r w:rsidR="00B03A9C">
        <w:t>s</w:t>
      </w:r>
      <w:r>
        <w:t xml:space="preserve"> de-naturalize</w:t>
      </w:r>
      <w:r w:rsidR="00B03A9C">
        <w:t>s</w:t>
      </w:r>
      <w:r>
        <w:t xml:space="preserve"> the behaviours of the figures, due to the production’s willingness to </w:t>
      </w:r>
      <w:r w:rsidR="0008292D">
        <w:t>present conflicting actions and attitudes side by side, as in the example of Elizabeth, above. By robbing a figure of her or his autonomy, the audience is invited to ask why this is the case</w:t>
      </w:r>
      <w:r w:rsidR="00B03A9C">
        <w:t xml:space="preserve"> and</w:t>
      </w:r>
      <w:r w:rsidR="0008292D">
        <w:t xml:space="preserve"> which factors prevail on her to bring about such uneven responses.</w:t>
      </w:r>
    </w:p>
    <w:p w:rsidR="00583E4F" w:rsidRDefault="00583E4F" w:rsidP="00457BB7">
      <w:pPr>
        <w:ind w:firstLine="720"/>
      </w:pPr>
    </w:p>
    <w:p w:rsidR="00583E4F" w:rsidRDefault="00583E4F" w:rsidP="00457BB7">
      <w:pPr>
        <w:ind w:firstLine="720"/>
      </w:pPr>
    </w:p>
    <w:p w:rsidR="00583E4F" w:rsidRDefault="00583E4F" w:rsidP="00583E4F">
      <w:r>
        <w:t>Enabling Critical Spectatorship</w:t>
      </w:r>
    </w:p>
    <w:p w:rsidR="00583E4F" w:rsidRDefault="00583E4F" w:rsidP="00583E4F"/>
    <w:p w:rsidR="0008292D" w:rsidRDefault="0008292D" w:rsidP="0008292D">
      <w:r>
        <w:t xml:space="preserve">While the production does not provide </w:t>
      </w:r>
      <w:r w:rsidR="00EA0C3C">
        <w:t>‘</w:t>
      </w:r>
      <w:r>
        <w:t>the answers</w:t>
      </w:r>
      <w:r w:rsidR="00EA0C3C">
        <w:t>’</w:t>
      </w:r>
      <w:r>
        <w:t xml:space="preserve"> and invites the audience to make their own connections between the figures’ </w:t>
      </w:r>
      <w:r w:rsidR="00236BE7">
        <w:t>actions</w:t>
      </w:r>
      <w:r>
        <w:t xml:space="preserve"> and their social context, it couches its approaches to meaning in an overarching set of interpretations of the text</w:t>
      </w:r>
      <w:r w:rsidR="00EA0C3C">
        <w:t xml:space="preserve">. It is important to stress here that interpretation is never absolute. As Bernd </w:t>
      </w:r>
      <w:proofErr w:type="spellStart"/>
      <w:r w:rsidR="00EA0C3C">
        <w:t>Stegemann</w:t>
      </w:r>
      <w:proofErr w:type="spellEnd"/>
      <w:r w:rsidR="00EA0C3C">
        <w:t xml:space="preserve"> notes, there is a tension between ‘actuality’ and ‘reality’, </w:t>
      </w:r>
      <w:r w:rsidR="002F4DBB">
        <w:t>where</w:t>
      </w:r>
      <w:r w:rsidR="00EA0C3C">
        <w:t xml:space="preserve"> actuality is something that happens and reality is an individual’s </w:t>
      </w:r>
      <w:r w:rsidR="008E096B">
        <w:t xml:space="preserve">response to or </w:t>
      </w:r>
      <w:r w:rsidR="00EA0C3C">
        <w:t>interpretation of it</w:t>
      </w:r>
      <w:r>
        <w:t xml:space="preserve">. </w:t>
      </w:r>
      <w:r w:rsidR="00EA0C3C">
        <w:t xml:space="preserve">In other words, </w:t>
      </w:r>
      <w:r w:rsidR="00562EB5">
        <w:t>what we call reality</w:t>
      </w:r>
      <w:r w:rsidR="00EA0C3C">
        <w:t xml:space="preserve"> is always relative. Yet, as a Marxist, he reiterates that one</w:t>
      </w:r>
      <w:r w:rsidR="008C48B7">
        <w:t>’</w:t>
      </w:r>
      <w:r w:rsidR="00EA0C3C">
        <w:t>s perspective is defined by one’s class</w:t>
      </w:r>
      <w:r w:rsidR="008C48B7">
        <w:t xml:space="preserve">, so reality </w:t>
      </w:r>
      <w:r w:rsidR="008C48B7">
        <w:rPr>
          <w:i/>
        </w:rPr>
        <w:t>is</w:t>
      </w:r>
      <w:r w:rsidR="008C48B7">
        <w:t xml:space="preserve"> </w:t>
      </w:r>
      <w:r w:rsidR="008E096B">
        <w:t xml:space="preserve">subjectively </w:t>
      </w:r>
      <w:r w:rsidR="008C48B7">
        <w:t>different</w:t>
      </w:r>
      <w:r w:rsidR="00562EB5">
        <w:t>iated</w:t>
      </w:r>
      <w:r w:rsidR="008C48B7">
        <w:t>, but collectively experienced</w:t>
      </w:r>
      <w:r w:rsidR="00EA0C3C">
        <w:t>.</w:t>
      </w:r>
      <w:r w:rsidR="002F4DBB">
        <w:rPr>
          <w:rStyle w:val="FootnoteReference"/>
        </w:rPr>
        <w:footnoteReference w:id="27"/>
      </w:r>
      <w:r w:rsidR="00EA0C3C">
        <w:t xml:space="preserve"> </w:t>
      </w:r>
      <w:r>
        <w:t xml:space="preserve">Brecht </w:t>
      </w:r>
      <w:r w:rsidR="008C48B7">
        <w:t>considered</w:t>
      </w:r>
      <w:r>
        <w:t xml:space="preserve"> that </w:t>
      </w:r>
      <w:r w:rsidR="00562EB5">
        <w:t>the plethora of meanings of any given actuality</w:t>
      </w:r>
      <w:r>
        <w:t xml:space="preserve"> was to be delimited by a framework he called the </w:t>
      </w:r>
      <w:r>
        <w:rPr>
          <w:i/>
        </w:rPr>
        <w:t>Fabel</w:t>
      </w:r>
      <w:r>
        <w:t>.</w:t>
      </w:r>
    </w:p>
    <w:p w:rsidR="00457BB7" w:rsidRDefault="008C48B7" w:rsidP="0008292D">
      <w:pPr>
        <w:ind w:firstLine="720"/>
      </w:pPr>
      <w:r>
        <w:t xml:space="preserve">The </w:t>
      </w:r>
      <w:r>
        <w:rPr>
          <w:i/>
        </w:rPr>
        <w:t>Fabel</w:t>
      </w:r>
      <w:r>
        <w:t xml:space="preserve"> was the dialectical interpretation of the plot, and it informed the whole architecture of the production in question. </w:t>
      </w:r>
      <w:r w:rsidR="00541FC3">
        <w:t>Brecht believed, like Aristotle, that action, and not</w:t>
      </w:r>
      <w:r w:rsidR="007A1B0D">
        <w:t xml:space="preserve"> the</w:t>
      </w:r>
      <w:r w:rsidR="00541FC3">
        <w:t xml:space="preserve"> figures, </w:t>
      </w:r>
      <w:r w:rsidR="007A1B0D">
        <w:t>was</w:t>
      </w:r>
      <w:r w:rsidR="00A50676">
        <w:t xml:space="preserve"> at the heart of drama</w:t>
      </w:r>
      <w:r w:rsidR="00541FC3">
        <w:t xml:space="preserve">: </w:t>
      </w:r>
      <w:r w:rsidR="00541FC3" w:rsidRPr="00541FC3">
        <w:t xml:space="preserve">‘we work out situations, and the </w:t>
      </w:r>
      <w:r w:rsidR="00541FC3" w:rsidRPr="00541FC3">
        <w:rPr>
          <w:i/>
        </w:rPr>
        <w:t>Fabel</w:t>
      </w:r>
      <w:r w:rsidR="00541FC3" w:rsidRPr="00541FC3">
        <w:t xml:space="preserve"> has the final say. We construct the </w:t>
      </w:r>
      <w:r w:rsidR="00541FC3" w:rsidRPr="00541FC3">
        <w:rPr>
          <w:i/>
        </w:rPr>
        <w:t>Fabel</w:t>
      </w:r>
      <w:r w:rsidR="00541FC3" w:rsidRPr="00541FC3">
        <w:t xml:space="preserve">, </w:t>
      </w:r>
      <w:r w:rsidR="00541FC3" w:rsidRPr="00541FC3">
        <w:lastRenderedPageBreak/>
        <w:t xml:space="preserve">not characters that are then thrown into the </w:t>
      </w:r>
      <w:r w:rsidR="00541FC3" w:rsidRPr="00541FC3">
        <w:rPr>
          <w:i/>
        </w:rPr>
        <w:t>Fabel</w:t>
      </w:r>
      <w:r w:rsidR="00541FC3">
        <w:t>’</w:t>
      </w:r>
      <w:r w:rsidR="00EE0FAC">
        <w:t>.</w:t>
      </w:r>
      <w:r w:rsidR="00EE0FAC">
        <w:rPr>
          <w:rStyle w:val="FootnoteReference"/>
        </w:rPr>
        <w:footnoteReference w:id="28"/>
      </w:r>
      <w:r w:rsidR="00EE0FAC">
        <w:t xml:space="preserve"> In our </w:t>
      </w:r>
      <w:r w:rsidR="007A1B0D">
        <w:t>approach to</w:t>
      </w:r>
      <w:r w:rsidR="00EE0FAC">
        <w:t xml:space="preserve"> </w:t>
      </w:r>
      <w:r w:rsidR="00EE0FAC">
        <w:rPr>
          <w:i/>
        </w:rPr>
        <w:t>The Crucible</w:t>
      </w:r>
      <w:r w:rsidR="00EE0FAC">
        <w:t xml:space="preserve">, the </w:t>
      </w:r>
      <w:r w:rsidR="00EE0FAC">
        <w:rPr>
          <w:i/>
        </w:rPr>
        <w:t>Fabel</w:t>
      </w:r>
      <w:r w:rsidR="00EE0FAC">
        <w:t xml:space="preserve"> helped us inflect the action with </w:t>
      </w:r>
      <w:r w:rsidR="008E096B">
        <w:t>a</w:t>
      </w:r>
      <w:r w:rsidR="00EE0FAC">
        <w:t xml:space="preserve"> </w:t>
      </w:r>
      <w:r w:rsidR="00BF5553">
        <w:t>materialist dialectical analysis of the events and the play’s dramaturgy</w:t>
      </w:r>
      <w:r w:rsidR="00EE0FAC">
        <w:t xml:space="preserve">. This interpretation addressed the political shortcomings of the play identified by critics, above, and </w:t>
      </w:r>
      <w:r w:rsidR="00BF5553">
        <w:t>enriched these with</w:t>
      </w:r>
      <w:r w:rsidR="00EE0FAC">
        <w:t xml:space="preserve"> some </w:t>
      </w:r>
      <w:r w:rsidR="00BF5553">
        <w:t>additional</w:t>
      </w:r>
      <w:r w:rsidR="00EE0FAC">
        <w:t xml:space="preserve"> insights into the onstage relationships.</w:t>
      </w:r>
    </w:p>
    <w:p w:rsidR="00EE0FAC" w:rsidRPr="008C48B7" w:rsidRDefault="00EE0FAC" w:rsidP="00583E4F">
      <w:r>
        <w:tab/>
        <w:t>According to Miller, the play is</w:t>
      </w:r>
      <w:r w:rsidR="001D4EB8">
        <w:t xml:space="preserve"> unequivocally</w:t>
      </w:r>
      <w:r>
        <w:t xml:space="preserve"> about </w:t>
      </w:r>
      <w:r w:rsidR="001D4EB8">
        <w:t>one man</w:t>
      </w:r>
      <w:r>
        <w:t xml:space="preserve">: </w:t>
      </w:r>
      <w:r w:rsidR="001D4EB8" w:rsidRPr="001D4EB8">
        <w:t>‘The centre of the play is the guilt of John Proctor, and the working out of that guilt’</w:t>
      </w:r>
      <w:r w:rsidR="001D4EB8">
        <w:t>.</w:t>
      </w:r>
      <w:r w:rsidR="00E20FCE">
        <w:rPr>
          <w:rStyle w:val="FootnoteReference"/>
        </w:rPr>
        <w:footnoteReference w:id="29"/>
      </w:r>
      <w:r w:rsidR="001D4EB8">
        <w:t xml:space="preserve"> There was also a more personal aspect involved: ‘</w:t>
      </w:r>
      <w:r w:rsidR="001D4EB8" w:rsidRPr="001D4EB8">
        <w:t>My own marriage of twelve years was teetering and I knew more than I wished to know about where the blame lay. That John Proctor the sinner might overturn his paralyzing personal guilt and become the most forthright voice against the madness around him was a reassurance to me, and, I suppose, an inspiration</w:t>
      </w:r>
      <w:r w:rsidR="001D4EB8">
        <w:t>’</w:t>
      </w:r>
      <w:r w:rsidR="008A6B79">
        <w:t>.</w:t>
      </w:r>
      <w:r w:rsidR="00E20FCE">
        <w:rPr>
          <w:rStyle w:val="FootnoteReference"/>
        </w:rPr>
        <w:footnoteReference w:id="30"/>
      </w:r>
      <w:r w:rsidR="008A6B79">
        <w:t xml:space="preserve"> </w:t>
      </w:r>
      <w:r w:rsidR="00BF5553">
        <w:t xml:space="preserve">The elision of protagonist with author helps us understand not only Miller’s construction of the redemption narrative, but also his need to limit the possibilities of performing Proctor. </w:t>
      </w:r>
      <w:r w:rsidR="008A6B79">
        <w:t xml:space="preserve">This focus on the individual is also supported by other pronouncements from the playwright: </w:t>
      </w:r>
      <w:r w:rsidR="008A6B79" w:rsidRPr="008A6B79">
        <w:t>‘[…] the central impulse for writing at all was not the social but the interior psychological question, which was the question of that guilt residing in Salem which the hysteria merely unleashed, but did not create’</w:t>
      </w:r>
      <w:r w:rsidR="008A6B79">
        <w:t>.</w:t>
      </w:r>
      <w:r w:rsidR="00E20FCE">
        <w:rPr>
          <w:rStyle w:val="FootnoteReference"/>
        </w:rPr>
        <w:footnoteReference w:id="31"/>
      </w:r>
      <w:r w:rsidR="008A6B79">
        <w:t xml:space="preserve"> This constellation of thoughts illuminates the political questions raised earlier in this article and manifestly </w:t>
      </w:r>
      <w:r w:rsidR="007A1B0D">
        <w:t>opposes</w:t>
      </w:r>
      <w:r w:rsidR="008A6B79">
        <w:t xml:space="preserve"> an interpretation that seeks to locate the action in its socio-historical context. </w:t>
      </w:r>
      <w:r w:rsidR="008C48B7">
        <w:t xml:space="preserve">Miller’s </w:t>
      </w:r>
      <w:r w:rsidR="008C48B7">
        <w:rPr>
          <w:i/>
        </w:rPr>
        <w:t>Fabel</w:t>
      </w:r>
      <w:r w:rsidR="008C48B7">
        <w:t xml:space="preserve"> is thus one of Proctor’s fall and rise, and uses the historical setting as a kind of ‘local colour’.</w:t>
      </w:r>
    </w:p>
    <w:p w:rsidR="00B92560" w:rsidRDefault="008C48B7" w:rsidP="003101A3">
      <w:pPr>
        <w:ind w:firstLine="720"/>
      </w:pPr>
      <w:r>
        <w:t xml:space="preserve">Our Brechtian production sought the opposite: </w:t>
      </w:r>
      <w:r w:rsidR="004035F3">
        <w:t>to interpret the setting</w:t>
      </w:r>
      <w:r w:rsidR="00CB54C9">
        <w:t xml:space="preserve"> itself</w:t>
      </w:r>
      <w:r w:rsidR="004035F3">
        <w:t xml:space="preserve"> and to present it as an active agent in the lives of the figures</w:t>
      </w:r>
      <w:r>
        <w:t xml:space="preserve">. </w:t>
      </w:r>
      <w:r w:rsidR="00A50676">
        <w:t>Broadly speaking, o</w:t>
      </w:r>
      <w:r w:rsidR="008A6B79">
        <w:t xml:space="preserve">ur </w:t>
      </w:r>
      <w:r w:rsidR="008A6B79">
        <w:rPr>
          <w:i/>
        </w:rPr>
        <w:t>Fabel</w:t>
      </w:r>
      <w:r w:rsidR="008A6B79">
        <w:t xml:space="preserve"> sought to construct the social context</w:t>
      </w:r>
      <w:r w:rsidR="004035F3">
        <w:t xml:space="preserve"> in terms of class, gender and race</w:t>
      </w:r>
      <w:r w:rsidR="008A6B79">
        <w:t xml:space="preserve"> in Act I and then develop a</w:t>
      </w:r>
      <w:r w:rsidR="004035F3">
        <w:t xml:space="preserve"> more detailed</w:t>
      </w:r>
      <w:r w:rsidR="008A6B79">
        <w:t xml:space="preserve"> understanding of gender relations in Act II in order to effect a critique of Miller’s treatment of Proctor in Act IV. Act III was to serve as an example of how </w:t>
      </w:r>
      <w:r w:rsidR="004035F3">
        <w:t xml:space="preserve">class- and </w:t>
      </w:r>
      <w:r w:rsidR="008A6B79">
        <w:t>gendered power went about its business in the court.</w:t>
      </w:r>
      <w:r w:rsidR="003101A3" w:rsidRPr="003101A3">
        <w:t xml:space="preserve"> </w:t>
      </w:r>
      <w:r w:rsidR="00337CB9">
        <w:t>Each of these ambitions represent a fundamental ideological critique of Miller’s dramaturgy, starting points for practical negotiations with the play’s dramatic material.</w:t>
      </w:r>
      <w:r w:rsidR="004035F3">
        <w:t xml:space="preserve"> </w:t>
      </w:r>
    </w:p>
    <w:p w:rsidR="008A6B79" w:rsidRDefault="008A6B79" w:rsidP="00583E4F">
      <w:r>
        <w:tab/>
      </w:r>
      <w:r w:rsidR="00B3719D">
        <w:t>The first act introduces</w:t>
      </w:r>
      <w:r>
        <w:t xml:space="preserve"> almost all </w:t>
      </w:r>
      <w:r w:rsidR="00B3719D">
        <w:t>the Salem villagers</w:t>
      </w:r>
      <w:r w:rsidR="003E3088">
        <w:t xml:space="preserve"> as they enter and exit</w:t>
      </w:r>
      <w:r w:rsidR="00B3719D">
        <w:t xml:space="preserve"> an upper bedroom in Parris’s house. It was fairly </w:t>
      </w:r>
      <w:r w:rsidR="00E638EE">
        <w:t>straightforward</w:t>
      </w:r>
      <w:r w:rsidR="00B3719D">
        <w:t xml:space="preserve"> to establish</w:t>
      </w:r>
      <w:r w:rsidR="00E638EE">
        <w:t xml:space="preserve"> the basis of</w:t>
      </w:r>
      <w:r w:rsidR="00B3719D">
        <w:t xml:space="preserve"> the social hierarchy through gestic acting</w:t>
      </w:r>
      <w:r w:rsidR="003E3088">
        <w:t xml:space="preserve"> and </w:t>
      </w:r>
      <w:r w:rsidR="003E3088">
        <w:rPr>
          <w:i/>
        </w:rPr>
        <w:t>Arrangement</w:t>
      </w:r>
      <w:r w:rsidR="00B3719D">
        <w:t xml:space="preserve">. The servant girls mostly stood with heads bowed; the farmers showed an amount of deference to the clerics; and the Putnams were always looking down their noses at everyone </w:t>
      </w:r>
      <w:r w:rsidR="003E3088">
        <w:t>else. This image [Act I tableau</w:t>
      </w:r>
      <w:r w:rsidR="00B3719D">
        <w:t>1] shows the different</w:t>
      </w:r>
      <w:r w:rsidR="00AC4C11">
        <w:t xml:space="preserve"> social</w:t>
      </w:r>
      <w:r w:rsidR="00B3719D">
        <w:t xml:space="preserve"> strata when Reverend Hale is about to conduct his examination of the bedridden Betty. Hale, in black, lectures Parris, who should be his social equal, but is intimidated by his learni</w:t>
      </w:r>
      <w:r w:rsidR="00E638EE">
        <w:t>ng and authority. Rebecca Nurse</w:t>
      </w:r>
      <w:r w:rsidR="00B3719D">
        <w:t xml:space="preserve"> stands respectfully upstage of them with her head slightly lowered, while Abigail assumes the deferential position of a servant. The Putnams are haughty, while Giles looks on with head slightly bowed, observing the doings of his social betters.</w:t>
      </w:r>
    </w:p>
    <w:p w:rsidR="004035F3" w:rsidRDefault="00B3719D" w:rsidP="00583E4F">
      <w:r>
        <w:tab/>
        <w:t>A dialectical theatre is not, however, a theatre of fixed qualities and characteristics; that would be little better than a character-based production in which the characters were prisoners of their innate personalities. Thus, when the girls confer after</w:t>
      </w:r>
      <w:r w:rsidR="00CE3B2C">
        <w:t xml:space="preserve"> the adults have left the bedroom, they assume energetic and upright stances, with Abigail very much trying to control events. Yet here, too, there is a hierarchy, with Mary Warren, the Proctors’ servant, finding herself at the bottom of the pecking order. Indeed, her weakness was signalled by Abigail giving her orders without directly addressing her: there was no need to look her in the eyes to ensure compliance. </w:t>
      </w:r>
    </w:p>
    <w:p w:rsidR="00120AF7" w:rsidRDefault="00CE3B2C" w:rsidP="004035F3">
      <w:pPr>
        <w:ind w:firstLine="720"/>
      </w:pPr>
      <w:r>
        <w:lastRenderedPageBreak/>
        <w:t xml:space="preserve">Similarly, Tituba, socially the lowest of the low as a black female slave, was shown in a range of </w:t>
      </w:r>
      <w:r>
        <w:rPr>
          <w:i/>
        </w:rPr>
        <w:t>Haltungen</w:t>
      </w:r>
      <w:r w:rsidR="00E638EE">
        <w:t>. When she wa</w:t>
      </w:r>
      <w:r>
        <w:t xml:space="preserve">s summoned to answer Hale’s questions regarding the alleged witchcraft at the end of the act, she </w:t>
      </w:r>
      <w:r w:rsidR="00E638EE">
        <w:t>wa</w:t>
      </w:r>
      <w:r>
        <w:t>s terrified and easily cowed</w:t>
      </w:r>
      <w:r w:rsidR="004035F3">
        <w:t xml:space="preserve"> by the apparently well-read reverend</w:t>
      </w:r>
      <w:r>
        <w:t xml:space="preserve">. Yet it </w:t>
      </w:r>
      <w:r w:rsidR="00E638EE">
        <w:t>did</w:t>
      </w:r>
      <w:r>
        <w:t xml:space="preserve"> not take long for the penny to drop and for her to realize her role in the process. As such, the actor was directed to l</w:t>
      </w:r>
      <w:r w:rsidR="00E638EE">
        <w:t>ook away from Hale after he asked</w:t>
      </w:r>
      <w:r>
        <w:t xml:space="preserve"> his questions, searching</w:t>
      </w:r>
      <w:r w:rsidR="00120AF7">
        <w:t xml:space="preserve"> thoughtfully</w:t>
      </w:r>
      <w:r>
        <w:t xml:space="preserve"> for a satisfactory answer. When the Putnams suggest</w:t>
      </w:r>
      <w:r w:rsidR="00E638EE">
        <w:t>ed</w:t>
      </w:r>
      <w:r>
        <w:t xml:space="preserve"> the names of the first two women Tituba </w:t>
      </w:r>
      <w:r w:rsidR="00A50676">
        <w:t>would</w:t>
      </w:r>
      <w:r>
        <w:t xml:space="preserve"> </w:t>
      </w:r>
      <w:r w:rsidR="00E638EE">
        <w:t>later denounce, she looked</w:t>
      </w:r>
      <w:r>
        <w:t xml:space="preserve"> round at them</w:t>
      </w:r>
      <w:r w:rsidR="00A50676">
        <w:t xml:space="preserve"> directly</w:t>
      </w:r>
      <w:r>
        <w:t xml:space="preserve"> to show the audience that </w:t>
      </w:r>
      <w:r w:rsidRPr="004035F3">
        <w:rPr>
          <w:i/>
        </w:rPr>
        <w:t>they</w:t>
      </w:r>
      <w:r>
        <w:t xml:space="preserve"> </w:t>
      </w:r>
      <w:r w:rsidR="00E638EE">
        <w:t xml:space="preserve">had </w:t>
      </w:r>
      <w:r>
        <w:t xml:space="preserve">provided the </w:t>
      </w:r>
      <w:r w:rsidR="00E638EE">
        <w:t>route</w:t>
      </w:r>
      <w:r>
        <w:t xml:space="preserve"> to h</w:t>
      </w:r>
      <w:r w:rsidR="00E638EE">
        <w:t>er own survival and that she had</w:t>
      </w:r>
      <w:r>
        <w:t xml:space="preserve"> not chosen these </w:t>
      </w:r>
      <w:r w:rsidR="00E638EE">
        <w:t>unfortunate</w:t>
      </w:r>
      <w:r>
        <w:t xml:space="preserve"> victims</w:t>
      </w:r>
      <w:r w:rsidR="00337CB9">
        <w:t xml:space="preserve"> herself</w:t>
      </w:r>
      <w:r>
        <w:t xml:space="preserve">. </w:t>
      </w:r>
    </w:p>
    <w:p w:rsidR="00B3719D" w:rsidRDefault="00120AF7" w:rsidP="004035F3">
      <w:pPr>
        <w:ind w:firstLine="720"/>
      </w:pPr>
      <w:r>
        <w:t>S</w:t>
      </w:r>
      <w:r w:rsidR="00CE3B2C">
        <w:t xml:space="preserve">he </w:t>
      </w:r>
      <w:r w:rsidR="00E638EE">
        <w:t>got</w:t>
      </w:r>
      <w:r w:rsidR="00CE3B2C">
        <w:t xml:space="preserve"> her moment of power when</w:t>
      </w:r>
      <w:r w:rsidR="00E638EE">
        <w:t xml:space="preserve"> Parris asked</w:t>
      </w:r>
      <w:r w:rsidR="00CE3B2C">
        <w:t xml:space="preserve"> her for names, but she </w:t>
      </w:r>
      <w:r w:rsidR="00E638EE">
        <w:t>told</w:t>
      </w:r>
      <w:r w:rsidR="00CE3B2C">
        <w:t xml:space="preserve"> him how the Devil </w:t>
      </w:r>
      <w:r w:rsidR="00E638EE">
        <w:t>instructed</w:t>
      </w:r>
      <w:r w:rsidR="00CE3B2C">
        <w:t xml:space="preserve"> her to murder him. In this production, this was a</w:t>
      </w:r>
      <w:r w:rsidR="00E638EE">
        <w:t xml:space="preserve"> social</w:t>
      </w:r>
      <w:r w:rsidR="00CE3B2C">
        <w:t xml:space="preserve"> moment of revenge for the years of abject servitude. The actor was directed to speak at speed, exuding confidence</w:t>
      </w:r>
      <w:r w:rsidR="004035F3">
        <w:t>, a quality not seen beforehand,</w:t>
      </w:r>
      <w:r w:rsidR="00CE3B2C">
        <w:t xml:space="preserve"> as if she had been waiting for a long time to turn the tables</w:t>
      </w:r>
      <w:r w:rsidR="003B462D">
        <w:t>. The Devil served Tituba as a useful bogeyman, and there was no sense that she actually believed in his existence</w:t>
      </w:r>
      <w:r w:rsidR="00CE3B2C">
        <w:t>.</w:t>
      </w:r>
      <w:r w:rsidR="00E638EE">
        <w:t xml:space="preserve"> </w:t>
      </w:r>
      <w:r w:rsidR="003B462D">
        <w:t>She</w:t>
      </w:r>
      <w:r w:rsidR="00E638EE">
        <w:t xml:space="preserve"> enjoyed her moment of influence, but was also aware that it was only </w:t>
      </w:r>
      <w:r>
        <w:t>fleeting</w:t>
      </w:r>
      <w:r w:rsidR="00E638EE">
        <w:t>.</w:t>
      </w:r>
      <w:r w:rsidR="00CE3B2C">
        <w:t xml:space="preserve"> And before she finally made her first denunciations, she looked back to the Putnams as if to say ‘this is what you wanted, wasn’t it?’</w:t>
      </w:r>
      <w:r w:rsidR="004035F3">
        <w:t xml:space="preserve"> – she acknowledged the locus of power</w:t>
      </w:r>
      <w:r>
        <w:t xml:space="preserve"> in the scene</w:t>
      </w:r>
      <w:r w:rsidR="004035F3">
        <w:t>.</w:t>
      </w:r>
      <w:r w:rsidR="00C31720">
        <w:t xml:space="preserve"> In short, this sequence, like the others in the production, moved from point to point, accounting for actions rather than allowing them to imply that they had originated with any of the given figures themselves.</w:t>
      </w:r>
    </w:p>
    <w:p w:rsidR="003E3088" w:rsidRDefault="003E3088" w:rsidP="003E3088">
      <w:pPr>
        <w:ind w:firstLine="720"/>
      </w:pPr>
      <w:r>
        <w:t>An example of maintaining the visibility of social contexts can be found in Miller’s frequent use of the vocatives ‘woman’ and ‘mister’. The former is used by men to demonstrate their ‘innate’ superiority over female addressees; the latter is almost exclusively used by powerful men</w:t>
      </w:r>
      <w:r>
        <w:rPr>
          <w:rStyle w:val="FootnoteReference"/>
        </w:rPr>
        <w:footnoteReference w:id="32"/>
      </w:r>
      <w:r>
        <w:t xml:space="preserve"> to remind those men beneath them of their ‘rightful’ place</w:t>
      </w:r>
      <w:r w:rsidR="004035F3">
        <w:t xml:space="preserve"> in the class hierarchy</w:t>
      </w:r>
      <w:r>
        <w:t xml:space="preserve">. In both cases, the appellations serve as useful markers for social division, yet they can get lost in the flow of the </w:t>
      </w:r>
      <w:r w:rsidR="00120AF7">
        <w:t>dialogue</w:t>
      </w:r>
      <w:r>
        <w:t>. In order to remedy this, all the figures using the</w:t>
      </w:r>
      <w:r w:rsidR="00425A53">
        <w:t>se words</w:t>
      </w:r>
      <w:r>
        <w:t xml:space="preserve"> were directed to take a beat, look their addressee up and down, and then deliver the word with a note of disdain. In maintaining this protocol, the production was able to create a lasting gestural motif that ran through all the acts</w:t>
      </w:r>
      <w:r w:rsidR="004035F3">
        <w:t xml:space="preserve">. </w:t>
      </w:r>
      <w:r w:rsidR="00FE15AD">
        <w:t>Brecht noted in his early theories on epic theatre that the quality of quotation had the effect of diluting individual qualities: ‘tables of gestures (the personal is interchangeable)’</w:t>
      </w:r>
      <w:r>
        <w:t>.</w:t>
      </w:r>
      <w:r w:rsidR="00FE15AD">
        <w:rPr>
          <w:rStyle w:val="FootnoteReference"/>
        </w:rPr>
        <w:footnoteReference w:id="33"/>
      </w:r>
      <w:r>
        <w:t xml:space="preserve"> </w:t>
      </w:r>
      <w:r w:rsidR="00D30221">
        <w:t>The repeated gesture had the effect of pointing to society and not the individual</w:t>
      </w:r>
      <w:r w:rsidR="00B30ACA">
        <w:t xml:space="preserve"> as the source of </w:t>
      </w:r>
      <w:r w:rsidR="0054777D">
        <w:t xml:space="preserve">the interpersonal </w:t>
      </w:r>
      <w:r w:rsidR="00B30ACA">
        <w:t>differentiation</w:t>
      </w:r>
      <w:r w:rsidR="00D30221">
        <w:t xml:space="preserve">. </w:t>
      </w:r>
      <w:r>
        <w:t>Yet this approach had an additional benefit in that it could be extended to one more theme.</w:t>
      </w:r>
    </w:p>
    <w:p w:rsidR="009B6BAF" w:rsidRDefault="003E3088" w:rsidP="00CC21E4">
      <w:pPr>
        <w:ind w:firstLine="720"/>
      </w:pPr>
      <w:r>
        <w:t xml:space="preserve">I noted above how the girls in court only </w:t>
      </w:r>
      <w:r w:rsidRPr="00D30221">
        <w:rPr>
          <w:i/>
        </w:rPr>
        <w:t>appear</w:t>
      </w:r>
      <w:r>
        <w:t xml:space="preserve"> to have any power because it is granted to them temporarily to further the powerful men’s ends. In order to show this dialectical position, the judges used the same beat, gesture and tone when using the word ‘child’ or ‘children’ to address the girls. The inclusion of this established motif registered the girls’ lack of power while they </w:t>
      </w:r>
      <w:r w:rsidR="00DC21C9">
        <w:t>nonetheless remained</w:t>
      </w:r>
      <w:r>
        <w:t xml:space="preserve"> central to the successful conviction of the defendants. </w:t>
      </w:r>
      <w:r w:rsidR="00D30221">
        <w:t xml:space="preserve">The gesture helped entrench a dialectic of </w:t>
      </w:r>
      <w:r w:rsidR="0054777D">
        <w:t>influence</w:t>
      </w:r>
      <w:r w:rsidR="00D30221">
        <w:t xml:space="preserve"> and impotence.</w:t>
      </w:r>
    </w:p>
    <w:p w:rsidR="00043431" w:rsidRDefault="007603AB" w:rsidP="00BB5669">
      <w:r>
        <w:tab/>
        <w:t xml:space="preserve">I have already discussed the opening of Act II, above, in which Elizabeth’s place is clearly marked </w:t>
      </w:r>
      <w:r w:rsidR="00CC21E4">
        <w:t>as inferior to Proctor’s. Yet s</w:t>
      </w:r>
      <w:r>
        <w:t>he, too, benefits from certain social privileges</w:t>
      </w:r>
      <w:r w:rsidR="0034527C">
        <w:t>, and so when Mary returned</w:t>
      </w:r>
      <w:r>
        <w:t xml:space="preserve"> from the court, </w:t>
      </w:r>
      <w:r w:rsidR="0034527C">
        <w:t>Elizabeth assumed</w:t>
      </w:r>
      <w:r>
        <w:t xml:space="preserve"> </w:t>
      </w:r>
      <w:r w:rsidR="00BE6290">
        <w:t xml:space="preserve">the same ‘master-of-the-house’ </w:t>
      </w:r>
      <w:r w:rsidR="00BE6290">
        <w:rPr>
          <w:i/>
        </w:rPr>
        <w:t>Haltung</w:t>
      </w:r>
      <w:r w:rsidR="00BE6290">
        <w:t xml:space="preserve"> as Proct</w:t>
      </w:r>
      <w:r w:rsidR="0034527C">
        <w:t>or [image ‘Masters of the house</w:t>
      </w:r>
      <w:r w:rsidR="00BE6290">
        <w:t xml:space="preserve">1’]. The shifts between dutiful wife and the master’s wife show the audience the different roles she plays, and the same applies to all the figures, meek Mary included. When she </w:t>
      </w:r>
      <w:r w:rsidR="0034527C">
        <w:t>told the Proctors that she wa</w:t>
      </w:r>
      <w:r w:rsidR="00BE6290">
        <w:t>s an officer o</w:t>
      </w:r>
      <w:r w:rsidR="0034527C">
        <w:t>f the court and when she demanded</w:t>
      </w:r>
      <w:r w:rsidR="00BE6290">
        <w:t xml:space="preserve"> respect after speaking up for Elizabeth when </w:t>
      </w:r>
      <w:r w:rsidR="00D30221">
        <w:t>the latter</w:t>
      </w:r>
      <w:r w:rsidR="00BE6290">
        <w:t xml:space="preserve"> was accused in court, she straightened her back and raised her head to suggest that the social balance had shifted, however, slightly.</w:t>
      </w:r>
      <w:r w:rsidR="00030DD1">
        <w:t xml:space="preserve"> Powerful and weak physicalities interchanged, suggesting that the audience consider the bigger picture rather than </w:t>
      </w:r>
      <w:r w:rsidR="00085D71">
        <w:t>accounting for the</w:t>
      </w:r>
      <w:r w:rsidR="00030DD1">
        <w:t xml:space="preserve"> inconsistencies </w:t>
      </w:r>
      <w:r w:rsidR="00B30ACA">
        <w:t>in</w:t>
      </w:r>
      <w:r w:rsidR="00030DD1">
        <w:t xml:space="preserve"> the individual figures</w:t>
      </w:r>
      <w:r w:rsidR="00085D71">
        <w:t xml:space="preserve"> themselves</w:t>
      </w:r>
      <w:r w:rsidR="00030DD1">
        <w:t>.</w:t>
      </w:r>
    </w:p>
    <w:p w:rsidR="00BB5669" w:rsidRDefault="00BF4094" w:rsidP="00583E4F">
      <w:r>
        <w:tab/>
        <w:t>Proctor himself was not granted the usual indulgences of</w:t>
      </w:r>
      <w:r w:rsidR="00FE7AC9">
        <w:t xml:space="preserve"> a conventionally</w:t>
      </w:r>
      <w:r>
        <w:t xml:space="preserve"> realist production, either. </w:t>
      </w:r>
      <w:r w:rsidR="00CB65EE">
        <w:t xml:space="preserve">There, as </w:t>
      </w:r>
      <w:proofErr w:type="spellStart"/>
      <w:r w:rsidR="00CB65EE" w:rsidRPr="00CB65EE">
        <w:t>Mojtaba</w:t>
      </w:r>
      <w:proofErr w:type="spellEnd"/>
      <w:r w:rsidR="00CB65EE" w:rsidRPr="00CB65EE">
        <w:t xml:space="preserve"> </w:t>
      </w:r>
      <w:proofErr w:type="spellStart"/>
      <w:r w:rsidR="00CB65EE" w:rsidRPr="00CB65EE">
        <w:t>Jeihouni</w:t>
      </w:r>
      <w:proofErr w:type="spellEnd"/>
      <w:r w:rsidR="00CB65EE" w:rsidRPr="00CB65EE">
        <w:t xml:space="preserve"> and </w:t>
      </w:r>
      <w:proofErr w:type="spellStart"/>
      <w:r w:rsidR="00CB65EE" w:rsidRPr="00CB65EE">
        <w:t>Noorbakhsh</w:t>
      </w:r>
      <w:proofErr w:type="spellEnd"/>
      <w:r w:rsidR="00CB65EE" w:rsidRPr="00CB65EE">
        <w:t xml:space="preserve"> </w:t>
      </w:r>
      <w:proofErr w:type="spellStart"/>
      <w:r w:rsidR="00CB65EE" w:rsidRPr="00CB65EE">
        <w:t>Hooti</w:t>
      </w:r>
      <w:proofErr w:type="spellEnd"/>
      <w:r w:rsidR="00CB65EE">
        <w:t xml:space="preserve"> continue to assert, we find:</w:t>
      </w:r>
      <w:r w:rsidR="00CB65EE" w:rsidRPr="00CB65EE">
        <w:t xml:space="preserve"> </w:t>
      </w:r>
      <w:r w:rsidR="00CB65EE">
        <w:t>‘a</w:t>
      </w:r>
      <w:r w:rsidR="00CB65EE" w:rsidRPr="00CB65EE">
        <w:t xml:space="preserve"> self-</w:t>
      </w:r>
      <w:r w:rsidR="00CB65EE" w:rsidRPr="00CB65EE">
        <w:lastRenderedPageBreak/>
        <w:t xml:space="preserve">determining subject, </w:t>
      </w:r>
      <w:r w:rsidR="00CB65EE">
        <w:t>[who]</w:t>
      </w:r>
      <w:r w:rsidR="00CB65EE" w:rsidRPr="00CB65EE">
        <w:t xml:space="preserve"> turns toward uncompromising self-criticism only to challenge the greater evil of moral complacency. […] Despite some lapses into acquiescence, John Proctor can be seen as an</w:t>
      </w:r>
      <w:r w:rsidR="00E20FCE">
        <w:t>archic, autonomous, and ethical</w:t>
      </w:r>
      <w:r w:rsidR="00CB65EE" w:rsidRPr="00CB65EE">
        <w:t>’</w:t>
      </w:r>
      <w:r w:rsidR="00CB65EE">
        <w:t>.</w:t>
      </w:r>
      <w:r w:rsidR="00E20FCE">
        <w:rPr>
          <w:rStyle w:val="FootnoteReference"/>
        </w:rPr>
        <w:footnoteReference w:id="34"/>
      </w:r>
      <w:r w:rsidR="00CB65EE">
        <w:t xml:space="preserve"> Such a position confers a heroic aura </w:t>
      </w:r>
      <w:r w:rsidR="00FE7AC9">
        <w:t>on</w:t>
      </w:r>
      <w:r w:rsidR="00CB65EE">
        <w:t xml:space="preserve"> Proctor’s </w:t>
      </w:r>
      <w:r w:rsidR="00E95F51">
        <w:t>demise</w:t>
      </w:r>
      <w:r w:rsidR="00CB65EE">
        <w:t xml:space="preserve">. Yet, as noted already, his action is </w:t>
      </w:r>
      <w:r w:rsidR="00FE7AC9">
        <w:t>not unambiguously positive</w:t>
      </w:r>
      <w:r w:rsidR="00CB65EE">
        <w:t xml:space="preserve">: he not only sacrifices himself, but also his wife and family in satisfying his commitment to one truth while remaining blind to any consequence for those left behind. </w:t>
      </w:r>
    </w:p>
    <w:p w:rsidR="00BF4094" w:rsidRDefault="00BB5669" w:rsidP="00BB5669">
      <w:pPr>
        <w:ind w:firstLine="720"/>
      </w:pPr>
      <w:r>
        <w:t xml:space="preserve">In order to </w:t>
      </w:r>
      <w:r w:rsidR="000051F8">
        <w:t>effect</w:t>
      </w:r>
      <w:r>
        <w:t xml:space="preserve"> a more critical stance from the spectator</w:t>
      </w:r>
      <w:r w:rsidR="00CB65EE">
        <w:t xml:space="preserve">, the production highlighted the self-pity and pathos in Proctor’s final justifying speeches. Additionally, when he says to himself </w:t>
      </w:r>
      <w:r w:rsidR="001F17F5">
        <w:t>and then</w:t>
      </w:r>
      <w:r w:rsidR="00CB65EE">
        <w:t xml:space="preserve"> to his wife: ‘God in Heaven, what is John Proctor, what is John Proctor? I think it is honest, I think so; I am no saint. […] Would you give them such a lie? Say it</w:t>
      </w:r>
      <w:r w:rsidR="001F17F5">
        <w:t>. Would you ever given them this? You would not’ (</w:t>
      </w:r>
      <w:r w:rsidR="00E20FCE">
        <w:t>C</w:t>
      </w:r>
      <w:r w:rsidR="001F17F5">
        <w:t xml:space="preserve"> 125). In a ‘straight’ production, this </w:t>
      </w:r>
      <w:r>
        <w:t>represents</w:t>
      </w:r>
      <w:r w:rsidR="001F17F5">
        <w:t xml:space="preserve"> Proctor’s desire to do the right thing and </w:t>
      </w:r>
      <w:r>
        <w:t>his</w:t>
      </w:r>
      <w:r w:rsidR="001F17F5">
        <w:t xml:space="preserve"> acknowledgement that Elizabeth would not lie. In our production, the first lines were delivered as a kind of self-deception; that the man we have seen railing against his wife, failing to take Abigail to task</w:t>
      </w:r>
      <w:r w:rsidR="000051F8">
        <w:t xml:space="preserve"> for her false evidence</w:t>
      </w:r>
      <w:r w:rsidR="001F17F5">
        <w:t xml:space="preserve"> immediately, and wielding violence on his servant cannot be correct in his judgement of himself. The lines to Elizabeth were given as a furious reproach: she would not have the strength of character to follow his lead. As such, the portrayal of Proctor aimed at criticism of his apparent heroism, framing Proctor as a deluded martyr who was still displaying the misogynist traits seen earlier in the production.</w:t>
      </w:r>
    </w:p>
    <w:p w:rsidR="004C4D5C" w:rsidRDefault="004C4D5C" w:rsidP="007A652F">
      <w:r>
        <w:tab/>
        <w:t xml:space="preserve">Another significant aspect of Brechtian stagecraft addresses a more common feminist critique. As Elin Diamond notes: </w:t>
      </w:r>
    </w:p>
    <w:p w:rsidR="004C4D5C" w:rsidRDefault="004C4D5C" w:rsidP="00583E4F"/>
    <w:p w:rsidR="004C4D5C" w:rsidRPr="00BE6290" w:rsidRDefault="004C4D5C" w:rsidP="007A652F">
      <w:pPr>
        <w:ind w:left="720"/>
      </w:pPr>
      <w:r w:rsidRPr="004C4D5C">
        <w:t>The body, particularly the female body, by virtue of entering the stage space, enters representation</w:t>
      </w:r>
      <w:r w:rsidR="00115D77">
        <w:t xml:space="preserve"> </w:t>
      </w:r>
      <w:r w:rsidRPr="004C4D5C">
        <w:t>-</w:t>
      </w:r>
      <w:r w:rsidR="00115D77">
        <w:t xml:space="preserve"> </w:t>
      </w:r>
      <w:r w:rsidRPr="004C4D5C">
        <w:t>it is not just there, a live, unmediated presence, but rather (</w:t>
      </w:r>
      <w:r w:rsidR="00BB5669">
        <w:t>1</w:t>
      </w:r>
      <w:r w:rsidRPr="004C4D5C">
        <w:t>) a signifying element in a dramatic fiction; (2) a part of a theatrical sign syst</w:t>
      </w:r>
      <w:r>
        <w:t>em whose conventions of gestur</w:t>
      </w:r>
      <w:r w:rsidRPr="004C4D5C">
        <w:t>ing, voicing, and impersonating are referen</w:t>
      </w:r>
      <w:r>
        <w:t>ts for both performer and audi</w:t>
      </w:r>
      <w:r w:rsidRPr="004C4D5C">
        <w:t>ence; and (3) a sign in a system governed by a particular apparatus, usually owned and operated by men for the pleasure of a viewing public whose major wage earners are mal</w:t>
      </w:r>
      <w:r>
        <w:t>e</w:t>
      </w:r>
      <w:r w:rsidR="00E20FCE">
        <w:t>.</w:t>
      </w:r>
      <w:r w:rsidR="00E20FCE">
        <w:rPr>
          <w:rStyle w:val="FootnoteReference"/>
        </w:rPr>
        <w:footnoteReference w:id="35"/>
      </w:r>
    </w:p>
    <w:p w:rsidR="00636378" w:rsidRDefault="00636378" w:rsidP="00636378"/>
    <w:p w:rsidR="00636378" w:rsidRPr="00BF4094" w:rsidRDefault="00115D77" w:rsidP="007A652F">
      <w:r>
        <w:t xml:space="preserve">She observes a societal self-and-other system working in representation, where the female body is entangled in representation while the (white) male body can enjoy its status </w:t>
      </w:r>
      <w:r w:rsidR="00E20FCE">
        <w:t>as ‘a live, unmediated presence’</w:t>
      </w:r>
      <w:r>
        <w:t>. The male self is the norm; the female other is the exception and attracts a special standing as a result. Brec</w:t>
      </w:r>
      <w:r w:rsidR="00BF4094">
        <w:t xml:space="preserve">htian theatre, as understood in this production, traps all the figures in a representational system through </w:t>
      </w:r>
      <w:r w:rsidR="00BB5669">
        <w:t>its insistence on framing each body as socially significant and moving figures around the stage in a careful dance, where the choreographer is always off-stage</w:t>
      </w:r>
      <w:r w:rsidR="00BF4094">
        <w:t xml:space="preserve">. Everyone is subject to the rigours of representation, and is </w:t>
      </w:r>
      <w:r w:rsidR="002934CD">
        <w:t>open to</w:t>
      </w:r>
      <w:r w:rsidR="00BF4094">
        <w:t xml:space="preserve"> the audience’s critical evaluation.</w:t>
      </w:r>
    </w:p>
    <w:p w:rsidR="00636378" w:rsidRDefault="00636378" w:rsidP="00636378"/>
    <w:p w:rsidR="00636378" w:rsidRDefault="00636378" w:rsidP="00636378"/>
    <w:p w:rsidR="005536FF" w:rsidRDefault="003A4D83" w:rsidP="007A652F">
      <w:r>
        <w:t>Combining</w:t>
      </w:r>
      <w:r w:rsidR="005536FF">
        <w:t xml:space="preserve"> </w:t>
      </w:r>
      <w:r w:rsidR="00334C68">
        <w:t xml:space="preserve">Historicization and </w:t>
      </w:r>
      <w:r w:rsidR="005536FF">
        <w:t>the Comic in</w:t>
      </w:r>
      <w:r>
        <w:t xml:space="preserve"> the</w:t>
      </w:r>
      <w:r w:rsidR="005536FF">
        <w:t xml:space="preserve"> </w:t>
      </w:r>
      <w:r w:rsidR="00FE7AC9">
        <w:t>Develop</w:t>
      </w:r>
      <w:r>
        <w:t>ment of</w:t>
      </w:r>
      <w:r w:rsidR="00FE7AC9">
        <w:t xml:space="preserve"> a</w:t>
      </w:r>
      <w:r w:rsidR="005536FF">
        <w:t xml:space="preserve"> Critical Attitude</w:t>
      </w:r>
    </w:p>
    <w:p w:rsidR="005536FF" w:rsidRDefault="005536FF" w:rsidP="00636378"/>
    <w:p w:rsidR="005536FF" w:rsidRDefault="005536FF" w:rsidP="007A652F">
      <w:r>
        <w:t xml:space="preserve">In a lecture </w:t>
      </w:r>
      <w:r w:rsidR="00140485">
        <w:t xml:space="preserve">in </w:t>
      </w:r>
      <w:r>
        <w:t>1999</w:t>
      </w:r>
      <w:r w:rsidR="001D028F">
        <w:t xml:space="preserve"> on </w:t>
      </w:r>
      <w:r w:rsidR="001D028F">
        <w:rPr>
          <w:i/>
        </w:rPr>
        <w:t>The Crucible</w:t>
      </w:r>
      <w:r>
        <w:t>, Miller reflected that he ‘</w:t>
      </w:r>
      <w:r w:rsidRPr="005536FF">
        <w:t xml:space="preserve">wished </w:t>
      </w:r>
      <w:r>
        <w:t>[he’d]</w:t>
      </w:r>
      <w:r w:rsidRPr="005536FF">
        <w:t xml:space="preserve"> had the temperament to do an absurd comedy, which is what the situation so often deserved’</w:t>
      </w:r>
      <w:r>
        <w:t>.</w:t>
      </w:r>
      <w:r w:rsidR="00E45912">
        <w:t xml:space="preserve"> Yet what he did write became, as he noted in the same lecture, ‘</w:t>
      </w:r>
      <w:r w:rsidR="00E45912" w:rsidRPr="00E45912">
        <w:t>the tr</w:t>
      </w:r>
      <w:r w:rsidR="009F1ECC">
        <w:t>agedy of heroic resistance to a</w:t>
      </w:r>
      <w:r w:rsidR="00E45912" w:rsidRPr="00E45912">
        <w:t xml:space="preserve"> society possessed to the point of ruin’</w:t>
      </w:r>
      <w:r w:rsidR="00E45912">
        <w:t>.</w:t>
      </w:r>
      <w:r w:rsidR="00421674">
        <w:rPr>
          <w:rStyle w:val="FootnoteReference"/>
        </w:rPr>
        <w:footnoteReference w:id="36"/>
      </w:r>
      <w:r w:rsidR="00E45912">
        <w:t xml:space="preserve"> It is difficult to find laughter in many of the productions of the play, and for good reason: the absurd situation leads to real deaths and suffering. That said, the playwright did acknowledge the </w:t>
      </w:r>
      <w:r w:rsidR="00E45912">
        <w:lastRenderedPageBreak/>
        <w:t xml:space="preserve">presence of humour in the text, but averred that </w:t>
      </w:r>
      <w:r w:rsidR="00E45912">
        <w:rPr>
          <w:i/>
        </w:rPr>
        <w:t>The Crucible</w:t>
      </w:r>
      <w:r w:rsidR="00E45912">
        <w:t xml:space="preserve"> could only be understood as a comedy by God.</w:t>
      </w:r>
      <w:r w:rsidR="00700190">
        <w:rPr>
          <w:rStyle w:val="FootnoteReference"/>
        </w:rPr>
        <w:footnoteReference w:id="37"/>
      </w:r>
      <w:r w:rsidR="00E45912">
        <w:t xml:space="preserve"> There is a gravity to the play that reflects its serious subject matter.</w:t>
      </w:r>
    </w:p>
    <w:p w:rsidR="00E45912" w:rsidRDefault="00E45912" w:rsidP="00636378">
      <w:r>
        <w:tab/>
        <w:t>Brecht</w:t>
      </w:r>
      <w:r w:rsidR="00140485">
        <w:t>, however,</w:t>
      </w:r>
      <w:r>
        <w:t xml:space="preserve"> was not put off by such a </w:t>
      </w:r>
      <w:r w:rsidR="00463F9F">
        <w:t>position</w:t>
      </w:r>
      <w:r>
        <w:t xml:space="preserve">. He wrote on humour: ‘You can talk humorously and seriously about serious things and humorously and seriously about humorous things. Generally speaking, people without a sense of humour find it more difficult to understand the </w:t>
      </w:r>
      <w:r>
        <w:rPr>
          <w:i/>
        </w:rPr>
        <w:t>Great Method</w:t>
      </w:r>
      <w:r>
        <w:t xml:space="preserve"> [= dialectics]’.</w:t>
      </w:r>
      <w:r w:rsidR="00700190">
        <w:rPr>
          <w:rStyle w:val="FootnoteReference"/>
        </w:rPr>
        <w:footnoteReference w:id="38"/>
      </w:r>
      <w:r w:rsidR="00463F9F">
        <w:t xml:space="preserve"> The dialectic is always inverting accepted wisdoms and revealing aspects that will surprise and astonish. Such</w:t>
      </w:r>
      <w:r w:rsidR="001D028F">
        <w:t xml:space="preserve"> a</w:t>
      </w:r>
      <w:r w:rsidR="00463F9F">
        <w:t xml:space="preserve"> disappointment of expectations is the foundation of the comic.</w:t>
      </w:r>
    </w:p>
    <w:p w:rsidR="00B33B0D" w:rsidRDefault="00463F9F" w:rsidP="00636378">
      <w:r>
        <w:tab/>
        <w:t>Brecht was also keen to point out h</w:t>
      </w:r>
      <w:r w:rsidR="001D028F">
        <w:t>ow values and behaviours change</w:t>
      </w:r>
      <w:r>
        <w:t xml:space="preserve"> over time</w:t>
      </w:r>
      <w:r w:rsidR="001D028F">
        <w:t>. A</w:t>
      </w:r>
      <w:r>
        <w:t xml:space="preserve"> theatre that could show such shifts with a view to connecting socio-historical context to action on stage was one that historicized</w:t>
      </w:r>
      <w:r w:rsidR="001D028F">
        <w:t xml:space="preserve"> dramatic texts</w:t>
      </w:r>
      <w:r>
        <w:t xml:space="preserve">. As should be clear from the discussion, above, this production sought to historicize </w:t>
      </w:r>
      <w:r>
        <w:rPr>
          <w:i/>
        </w:rPr>
        <w:t>The Crucible</w:t>
      </w:r>
      <w:r>
        <w:t xml:space="preserve"> by paying close attention to the social hierarchies and gender relations of the time. </w:t>
      </w:r>
      <w:r w:rsidR="00B33B0D">
        <w:t xml:space="preserve">Conventional productions tend not to historicize, but merely to </w:t>
      </w:r>
      <w:r w:rsidR="00157A9C">
        <w:t>evoke the past through costume</w:t>
      </w:r>
      <w:r w:rsidR="00B33B0D">
        <w:t>: history is visually, but not socially present. Historicization offers the audience palpable differences between the past and the present</w:t>
      </w:r>
      <w:r w:rsidR="001D028F">
        <w:t xml:space="preserve"> in order</w:t>
      </w:r>
      <w:r w:rsidR="00B33B0D">
        <w:t xml:space="preserve"> to achieve two different, yet related ends. First, the process signals that change in human societies is possible; the past </w:t>
      </w:r>
      <w:r w:rsidR="00B33B0D">
        <w:rPr>
          <w:i/>
        </w:rPr>
        <w:t>is</w:t>
      </w:r>
      <w:r w:rsidR="00B33B0D">
        <w:t xml:space="preserve"> a different place. Second, it invites the audience to account for the differences between past and present</w:t>
      </w:r>
      <w:r w:rsidR="00653EC5">
        <w:t xml:space="preserve"> and to recognize continuities</w:t>
      </w:r>
      <w:r w:rsidR="00B33B0D">
        <w:t>. T</w:t>
      </w:r>
      <w:r>
        <w:t>he view from the present back to the past can also admit the comic</w:t>
      </w:r>
      <w:r w:rsidR="00B33B0D">
        <w:t>, a category that disrupts identification by the very act of laughing at someone or something</w:t>
      </w:r>
      <w:r w:rsidR="00653EC5">
        <w:t>. Indeed, Ralf Simon argues that Brecht approved of comedy as a mechanism for interrupting identification and engendering distance. Yet he goes on to speculate that Brecht would have preferred if the audience refrained from laughing itself: ‘for him, laugher is cognitively too inconsequential</w:t>
      </w:r>
      <w:r w:rsidR="007431B5">
        <w:t>’</w:t>
      </w:r>
      <w:r>
        <w:t>.</w:t>
      </w:r>
      <w:r w:rsidR="007431B5">
        <w:rPr>
          <w:rStyle w:val="FootnoteReference"/>
        </w:rPr>
        <w:footnoteReference w:id="39"/>
      </w:r>
      <w:r w:rsidR="00B33B0D">
        <w:t xml:space="preserve"> Our Brechtian production</w:t>
      </w:r>
      <w:r w:rsidR="001D028F">
        <w:t xml:space="preserve"> also</w:t>
      </w:r>
      <w:r w:rsidR="00B33B0D">
        <w:t xml:space="preserve"> deployed humour at various junctures as a means of engendering a more critical attitude towards the events on stage</w:t>
      </w:r>
      <w:r w:rsidR="00F55984">
        <w:t>, but sought laughter in order to register the success of the strategy</w:t>
      </w:r>
      <w:r w:rsidR="00507DB7">
        <w:t xml:space="preserve"> and to affect the atmosphere in the auditorium as a whole</w:t>
      </w:r>
      <w:r w:rsidR="00B33B0D">
        <w:t>.</w:t>
      </w:r>
    </w:p>
    <w:p w:rsidR="00C1450C" w:rsidRDefault="00B33B0D" w:rsidP="00636378">
      <w:r>
        <w:tab/>
        <w:t>It was important to undermine the play’s earnestness, an</w:t>
      </w:r>
      <w:r w:rsidR="00592A92">
        <w:t>d a central prong of this attack</w:t>
      </w:r>
      <w:r>
        <w:t xml:space="preserve"> was to ridicule the superstitious underpinnings of the witc</w:t>
      </w:r>
      <w:r w:rsidR="00592A92">
        <w:t>h-hunt itself. When</w:t>
      </w:r>
      <w:r w:rsidR="00E95F51">
        <w:t>, for instance,</w:t>
      </w:r>
      <w:r w:rsidR="00592A92">
        <w:t xml:space="preserve"> Parris is</w:t>
      </w:r>
      <w:r>
        <w:t xml:space="preserve"> about to leave the bedroom midway through Act I, he gives solemn advice to Abiga</w:t>
      </w:r>
      <w:r w:rsidR="00C1450C">
        <w:t>i</w:t>
      </w:r>
      <w:r>
        <w:t>l regarding his unconscious daughter Betty: ‘</w:t>
      </w:r>
      <w:r w:rsidR="00C1450C">
        <w:t>If she starts for the window, cry for me at once. […] There is a terrible power in her arms today’ (</w:t>
      </w:r>
      <w:r w:rsidR="00700190">
        <w:t>C</w:t>
      </w:r>
      <w:r w:rsidR="00C1450C">
        <w:t xml:space="preserve"> 18). </w:t>
      </w:r>
      <w:r w:rsidR="00592A92">
        <w:t>In our production</w:t>
      </w:r>
      <w:r w:rsidR="00C1450C">
        <w:t xml:space="preserve">, Parris sheepishly imitated a bird, flapping its wings, and </w:t>
      </w:r>
      <w:r w:rsidR="00020AED">
        <w:t xml:space="preserve">then </w:t>
      </w:r>
      <w:r w:rsidR="00C1450C">
        <w:t xml:space="preserve">departed. The gestures comically heightened his absurd belief that Betty could fly. </w:t>
      </w:r>
      <w:r w:rsidR="00592A92">
        <w:t>His earnestness contrasted with his performance’s silliness, preserving his commitment to his opinion while indicating something quite different to the audience.</w:t>
      </w:r>
    </w:p>
    <w:p w:rsidR="00E70967" w:rsidRDefault="00C1450C" w:rsidP="00C1450C">
      <w:pPr>
        <w:ind w:firstLine="720"/>
      </w:pPr>
      <w:r>
        <w:t xml:space="preserve">Later in the act, Reverend Hale arrives. Parris has summoned him as an expert in witchcraft, but by the end of Act III he finally realizes the </w:t>
      </w:r>
      <w:r w:rsidR="00592A92">
        <w:t>charade in which he has been participating</w:t>
      </w:r>
      <w:r w:rsidR="00E95F51">
        <w:t xml:space="preserve"> and rejects it</w:t>
      </w:r>
      <w:r>
        <w:t>. In</w:t>
      </w:r>
      <w:r w:rsidR="00592A92">
        <w:t xml:space="preserve"> order to make his shift all the more striking</w:t>
      </w:r>
      <w:r>
        <w:t xml:space="preserve">, </w:t>
      </w:r>
      <w:r w:rsidR="00592A92">
        <w:t>he was introduced in our production</w:t>
      </w:r>
      <w:r>
        <w:t xml:space="preserve"> as a well-meaning</w:t>
      </w:r>
      <w:r w:rsidR="00592A92">
        <w:t>, but potentially dangerous</w:t>
      </w:r>
      <w:r>
        <w:t xml:space="preserve"> charlatan, whose learning was not based on evidence, but fanciful beliefs. Thus, when he conducted his examination of Betty and pronounced his Latin </w:t>
      </w:r>
      <w:r w:rsidR="00592A92">
        <w:t>words of</w:t>
      </w:r>
      <w:r>
        <w:t xml:space="preserve"> exorcism, he performed exaggerated gestures and spoke in ‘the grand style’ to ensure that the audience was not taken in by the practices of the day. </w:t>
      </w:r>
    </w:p>
    <w:p w:rsidR="00B33B0D" w:rsidRDefault="00C1450C" w:rsidP="007A652F">
      <w:pPr>
        <w:ind w:firstLine="720"/>
      </w:pPr>
      <w:r>
        <w:t xml:space="preserve">He became far more menacing, however, when he interrogated Tituba to </w:t>
      </w:r>
      <w:r w:rsidR="00E70967">
        <w:t>solicit</w:t>
      </w:r>
      <w:r>
        <w:t xml:space="preserve"> her denunciation. </w:t>
      </w:r>
      <w:r w:rsidR="00D20D35">
        <w:t>Here he command</w:t>
      </w:r>
      <w:r w:rsidR="009F0E63">
        <w:t>s</w:t>
      </w:r>
      <w:r w:rsidR="00D20D35">
        <w:t xml:space="preserve"> her to wake Betty and compels her to confess by invoking her love of God. In this sequence, Hale gestured wildly, pointing to Betty and to the heavens. Tituba then mirrored his movements back to him, showing the audience by looking outwards at times, that she was not taken in, but was following</w:t>
      </w:r>
      <w:r w:rsidR="00592A92">
        <w:t xml:space="preserve"> his strange ritual</w:t>
      </w:r>
      <w:r w:rsidR="00D20D35">
        <w:t xml:space="preserve"> in order to stay alive. The </w:t>
      </w:r>
      <w:r w:rsidR="00BA3DF6">
        <w:t>procedure</w:t>
      </w:r>
      <w:r w:rsidR="00D20D35">
        <w:t xml:space="preserve"> was revealed as a sham, and the audience was invited to laugh at the unacceptable means that led to the first denunciations.</w:t>
      </w:r>
    </w:p>
    <w:p w:rsidR="00D20D35" w:rsidRDefault="00D20D35" w:rsidP="007A652F">
      <w:pPr>
        <w:ind w:firstLine="720"/>
      </w:pPr>
      <w:r>
        <w:lastRenderedPageBreak/>
        <w:t>Other elements of</w:t>
      </w:r>
      <w:r w:rsidR="00E70967">
        <w:t xml:space="preserve"> orthodox</w:t>
      </w:r>
      <w:r>
        <w:t xml:space="preserve"> Brechtian </w:t>
      </w:r>
      <w:r w:rsidR="00592A92">
        <w:t>stagecraft</w:t>
      </w:r>
      <w:r>
        <w:t xml:space="preserve"> also helped to criticize the figures on stage. Brecht’s notion of </w:t>
      </w:r>
      <w:r>
        <w:rPr>
          <w:i/>
        </w:rPr>
        <w:t>Haltung</w:t>
      </w:r>
      <w:r>
        <w:t xml:space="preserve"> is</w:t>
      </w:r>
      <w:r w:rsidR="00E70967">
        <w:t xml:space="preserve"> in itself</w:t>
      </w:r>
      <w:r>
        <w:t xml:space="preserve"> an effective means for generating comedy because a figure changes when the situation changes, something that can raise laughter when the change is drastic and unexpected. For instance, when Parris reports in Act IV that Abigail has absconded and taken his savings with her, he</w:t>
      </w:r>
      <w:r w:rsidR="00E02C35">
        <w:t>, remarkably,</w:t>
      </w:r>
      <w:r>
        <w:t xml:space="preserve"> concludes that he is not to blame. Here, the actor assumed a different </w:t>
      </w:r>
      <w:r>
        <w:rPr>
          <w:i/>
        </w:rPr>
        <w:t>Haltung</w:t>
      </w:r>
      <w:r>
        <w:t xml:space="preserve"> for each section of the sequence from shock to self-pity and </w:t>
      </w:r>
      <w:r w:rsidR="00BA3DF6">
        <w:t>ultimately</w:t>
      </w:r>
      <w:r w:rsidR="00383B7A">
        <w:t xml:space="preserve"> guilt-free</w:t>
      </w:r>
      <w:r>
        <w:t xml:space="preserve"> self-righteousness. The final position was the pay-off to the speeches, as Parris, so sincere in his outrage and his pecuniary </w:t>
      </w:r>
      <w:r w:rsidR="00592A92">
        <w:t>misery, wa</w:t>
      </w:r>
      <w:r w:rsidR="00243E03">
        <w:t>s brazen enough to cast off all</w:t>
      </w:r>
      <w:r w:rsidR="00592A92">
        <w:t xml:space="preserve"> personal</w:t>
      </w:r>
      <w:r w:rsidR="00243E03">
        <w:t xml:space="preserve"> </w:t>
      </w:r>
      <w:r w:rsidR="00CE128C">
        <w:t>liability</w:t>
      </w:r>
      <w:r w:rsidR="00243E03">
        <w:t>.</w:t>
      </w:r>
    </w:p>
    <w:p w:rsidR="00383B7A" w:rsidRDefault="00243E03" w:rsidP="006D2893">
      <w:pPr>
        <w:ind w:firstLine="720"/>
      </w:pPr>
      <w:r>
        <w:t xml:space="preserve">Perhaps the most unexpected comic intervention came in Act IV. Here, the production invited the audience </w:t>
      </w:r>
      <w:r w:rsidR="00592A92">
        <w:t>to laugh at Proctor, a man who wa</w:t>
      </w:r>
      <w:r>
        <w:t>s about to go to the gallows. The basis for this decision was a need to distance the audience from Proctor’s act in order to question the conditions that gave rise to it. Proctor makes several speeches in which he</w:t>
      </w:r>
      <w:r w:rsidR="003145E0">
        <w:t xml:space="preserve"> emotionally</w:t>
      </w:r>
      <w:r>
        <w:t xml:space="preserve"> justifies his act of self-sacrifice</w:t>
      </w:r>
      <w:r w:rsidR="003145E0">
        <w:t>. However, as stated above, Proctor’s decision is not without its consequences for his family. He makes his decision to protect his good name, something based on privileging himself over his family, a trait of the individualist.</w:t>
      </w:r>
      <w:r w:rsidR="00383B7A" w:rsidRPr="00383B7A">
        <w:t xml:space="preserve"> </w:t>
      </w:r>
      <w:r w:rsidR="00383B7A">
        <w:t>Accordingly</w:t>
      </w:r>
      <w:r w:rsidR="003145E0">
        <w:t>, Proctor’s justifications were often performed</w:t>
      </w:r>
      <w:r w:rsidR="006D2893">
        <w:t xml:space="preserve"> with his head turned down and at an angle to indicate</w:t>
      </w:r>
      <w:r w:rsidR="00D67097">
        <w:t xml:space="preserve"> an introverted</w:t>
      </w:r>
      <w:bookmarkStart w:id="0" w:name="_GoBack"/>
      <w:bookmarkEnd w:id="0"/>
      <w:r w:rsidR="006D2893">
        <w:t xml:space="preserve"> self-pity. At such points, Elizabeth offered additional visual </w:t>
      </w:r>
      <w:r w:rsidR="00700190">
        <w:t>con</w:t>
      </w:r>
      <w:r w:rsidR="00CE128C">
        <w:t>trast</w:t>
      </w:r>
      <w:r w:rsidR="006D2893">
        <w:t xml:space="preserve"> in that she crossed her arms wearily as if to say ‘there he goes again’. </w:t>
      </w:r>
    </w:p>
    <w:p w:rsidR="00636378" w:rsidRDefault="006D2893" w:rsidP="006D2893">
      <w:pPr>
        <w:ind w:firstLine="720"/>
      </w:pPr>
      <w:r>
        <w:t xml:space="preserve">This gesture was heightened in Proctor’s final speech to Elizabeth where he offers her advice: ‘Give them no tear! Tears pleasure them! Show </w:t>
      </w:r>
      <w:proofErr w:type="spellStart"/>
      <w:r>
        <w:t>honor</w:t>
      </w:r>
      <w:proofErr w:type="spellEnd"/>
      <w:r>
        <w:t xml:space="preserve"> now, show a stony heart and sink them with it!’ (</w:t>
      </w:r>
      <w:r w:rsidR="00700190">
        <w:t>C</w:t>
      </w:r>
      <w:r>
        <w:t xml:space="preserve"> 130). In our interpretation, the advice was patronizing, stated the obvious, and positioned Proctor, as ever, as the wise patriarch and Elizabeth as the passive </w:t>
      </w:r>
      <w:r w:rsidR="00C052CD">
        <w:t>female</w:t>
      </w:r>
      <w:r>
        <w:t xml:space="preserve">. In order to lampoon the speech, Elizabeth, who had already disconnected herself from the scene by inclining herself away from the action, let out a yawn [image Eliz yawn1]. The </w:t>
      </w:r>
      <w:r w:rsidR="00C052CD">
        <w:t>gesture</w:t>
      </w:r>
      <w:r>
        <w:t xml:space="preserve"> always elicited laughter from the audience</w:t>
      </w:r>
      <w:r w:rsidR="00106264">
        <w:t xml:space="preserve">. The aim was not to ridicule Proctor as such, but to distance the audience from him. This was to allow a more considered evaluation of his action, </w:t>
      </w:r>
      <w:r w:rsidR="00383B7A">
        <w:t>interrupting the gravity of the situation with an unexpected action</w:t>
      </w:r>
      <w:r w:rsidR="00106264">
        <w:t>.</w:t>
      </w:r>
    </w:p>
    <w:p w:rsidR="00106264" w:rsidRDefault="00106264" w:rsidP="006D2893">
      <w:pPr>
        <w:ind w:firstLine="720"/>
      </w:pPr>
      <w:r>
        <w:t xml:space="preserve">The introduction of the comic served two primary objectives: to historicize the action and to frustrate identification. Both were designed to empower the audience to </w:t>
      </w:r>
      <w:r w:rsidR="00BA3DF6">
        <w:t>reach</w:t>
      </w:r>
      <w:r>
        <w:t xml:space="preserve"> informed judgements about the figures and the decisions they made in the context of the historical period</w:t>
      </w:r>
      <w:r w:rsidR="00383B7A">
        <w:t xml:space="preserve"> as performed in the present of 2017</w:t>
      </w:r>
      <w:r>
        <w:t xml:space="preserve">. The main obstacle was Miller’s own dramaturgy, which is configured in such a way that it closes down interpretive avenues that might be critical of Proctor and his redemption. Mason argues that </w:t>
      </w:r>
      <w:r w:rsidRPr="00106264">
        <w:t xml:space="preserve">distance is always implicit in a contemporary audience’s responses to </w:t>
      </w:r>
      <w:r w:rsidRPr="00106264">
        <w:rPr>
          <w:i/>
        </w:rPr>
        <w:t>The Crucible</w:t>
      </w:r>
      <w:r w:rsidRPr="00106264">
        <w:t xml:space="preserve"> because we know that no-one on stage actually compacted with the Devil</w:t>
      </w:r>
      <w:r>
        <w:t>.</w:t>
      </w:r>
      <w:r w:rsidR="00700190">
        <w:rPr>
          <w:rStyle w:val="FootnoteReference"/>
        </w:rPr>
        <w:footnoteReference w:id="40"/>
      </w:r>
      <w:r>
        <w:t xml:space="preserve"> I have suggested </w:t>
      </w:r>
      <w:r w:rsidR="00DE59BF">
        <w:t xml:space="preserve">instead </w:t>
      </w:r>
      <w:r>
        <w:t>that this distance collapses</w:t>
      </w:r>
      <w:r w:rsidR="009A4669">
        <w:t xml:space="preserve"> due to Miller’s realistic construction of the characters</w:t>
      </w:r>
      <w:r w:rsidR="00C052CD">
        <w:t>, their compelling emotional speeches</w:t>
      </w:r>
      <w:r w:rsidR="009A4669">
        <w:t xml:space="preserve"> and the earnestness that is usually present in performance. Comedy provides distance because it is able to disappoint expectations. Such disappointments reinterpret dramatic material and present it in a different frame. Such a frame helps draw attention to elements that go unspoken in conventional productions and make the</w:t>
      </w:r>
      <w:r w:rsidR="00C052CD">
        <w:t xml:space="preserve"> politically</w:t>
      </w:r>
      <w:r w:rsidR="009A4669">
        <w:t xml:space="preserve"> invisible visible.</w:t>
      </w:r>
    </w:p>
    <w:p w:rsidR="009A4669" w:rsidRDefault="009A4669" w:rsidP="006D2893">
      <w:pPr>
        <w:ind w:firstLine="720"/>
      </w:pPr>
    </w:p>
    <w:p w:rsidR="009A4669" w:rsidRDefault="009A4669" w:rsidP="006D2893">
      <w:pPr>
        <w:ind w:firstLine="720"/>
      </w:pPr>
    </w:p>
    <w:p w:rsidR="009A4669" w:rsidRDefault="009A4669" w:rsidP="009A4669">
      <w:r>
        <w:t>The Viability of a Brechtian Intervention</w:t>
      </w:r>
    </w:p>
    <w:p w:rsidR="009A4669" w:rsidRDefault="009A4669" w:rsidP="009A4669"/>
    <w:p w:rsidR="009A4669" w:rsidRDefault="009A4669" w:rsidP="009A4669">
      <w:r>
        <w:t xml:space="preserve">It is difficult to believe that Miller would have approved of this </w:t>
      </w:r>
      <w:r w:rsidR="00F85A64">
        <w:t xml:space="preserve">production of </w:t>
      </w:r>
      <w:r w:rsidR="00F85A64">
        <w:rPr>
          <w:i/>
        </w:rPr>
        <w:t>The Crucible</w:t>
      </w:r>
      <w:r w:rsidR="00F85A64">
        <w:t xml:space="preserve">. </w:t>
      </w:r>
      <w:r w:rsidR="00C052CD">
        <w:t>On the one hand, he</w:t>
      </w:r>
      <w:r w:rsidR="00F85A64">
        <w:t xml:space="preserve"> wrote in an introduction to the play: ‘</w:t>
      </w:r>
      <w:r w:rsidR="00F85A64" w:rsidRPr="00F85A64">
        <w:t xml:space="preserve">The work of </w:t>
      </w:r>
      <w:proofErr w:type="spellStart"/>
      <w:r w:rsidR="00F85A64" w:rsidRPr="00F85A64">
        <w:t>Berchtold</w:t>
      </w:r>
      <w:proofErr w:type="spellEnd"/>
      <w:r w:rsidR="00F85A64" w:rsidRPr="00F85A64">
        <w:t xml:space="preserve"> [sic] Brecht inevitably rises up in any such quest [for a new form to deal with the play’s problems]. It seems to me that, while I cannot agree with his concept of the human situation, his solution to the problem of consciousness is admirably honest and theatrically powerful’</w:t>
      </w:r>
      <w:r w:rsidR="00F85A64">
        <w:t>.</w:t>
      </w:r>
      <w:r w:rsidR="00700190">
        <w:rPr>
          <w:rStyle w:val="FootnoteReference"/>
        </w:rPr>
        <w:footnoteReference w:id="41"/>
      </w:r>
      <w:r w:rsidR="00F85A64">
        <w:t xml:space="preserve"> It is not quite certain what he means by ‘consciousness’, but he did elaborate on his understanding of Brecht</w:t>
      </w:r>
      <w:r w:rsidR="00C052CD">
        <w:t xml:space="preserve"> elsewhere</w:t>
      </w:r>
      <w:r w:rsidR="00F85A64">
        <w:t>: ‘</w:t>
      </w:r>
      <w:r w:rsidR="00F85A64" w:rsidRPr="00F85A64">
        <w:t xml:space="preserve">[…] it’s a bitter end of the world where man is a voice of his class function, and that’s it. Brecht has a lot of that in him but he’s too much of a </w:t>
      </w:r>
      <w:r w:rsidR="00F85A64" w:rsidRPr="00F85A64">
        <w:lastRenderedPageBreak/>
        <w:t>poet to be enslaved by it’</w:t>
      </w:r>
      <w:r w:rsidR="003C109A">
        <w:t>.</w:t>
      </w:r>
      <w:r w:rsidR="00700190">
        <w:rPr>
          <w:rStyle w:val="FootnoteReference"/>
        </w:rPr>
        <w:footnoteReference w:id="42"/>
      </w:r>
      <w:r w:rsidR="003C109A">
        <w:t xml:space="preserve"> Here Miller falls into a trap </w:t>
      </w:r>
      <w:r w:rsidR="00700190">
        <w:t xml:space="preserve">originally </w:t>
      </w:r>
      <w:r w:rsidR="00F42835">
        <w:t>prepared</w:t>
      </w:r>
      <w:r w:rsidR="003C109A">
        <w:t xml:space="preserve"> by the Cold War </w:t>
      </w:r>
      <w:r w:rsidR="00D5771E">
        <w:t>arguments</w:t>
      </w:r>
      <w:r w:rsidR="003C109A">
        <w:t xml:space="preserve"> of Martin </w:t>
      </w:r>
      <w:proofErr w:type="spellStart"/>
      <w:r w:rsidR="003C109A">
        <w:t>Esslin</w:t>
      </w:r>
      <w:proofErr w:type="spellEnd"/>
      <w:r w:rsidR="00F42835">
        <w:t>.</w:t>
      </w:r>
      <w:r w:rsidR="00700190">
        <w:rPr>
          <w:rStyle w:val="FootnoteReference"/>
        </w:rPr>
        <w:footnoteReference w:id="43"/>
      </w:r>
      <w:r w:rsidR="00F42835">
        <w:t xml:space="preserve"> He </w:t>
      </w:r>
      <w:r w:rsidR="004F1C10">
        <w:t>wanted</w:t>
      </w:r>
      <w:r w:rsidR="00F42835">
        <w:t xml:space="preserve"> to cleave the work from the politics in order to salvage the former from the latter without countenancing that the one cannot exist without the other.</w:t>
      </w:r>
      <w:r w:rsidR="00383B7A">
        <w:rPr>
          <w:rStyle w:val="FootnoteReference"/>
        </w:rPr>
        <w:footnoteReference w:id="44"/>
      </w:r>
      <w:r w:rsidR="003E33AC">
        <w:t xml:space="preserve"> Miller misunderstands the richness of a dialectical production,</w:t>
      </w:r>
      <w:r w:rsidR="008E23F0">
        <w:rPr>
          <w:rStyle w:val="FootnoteReference"/>
        </w:rPr>
        <w:footnoteReference w:id="45"/>
      </w:r>
      <w:r w:rsidR="003E33AC">
        <w:t xml:space="preserve"> something that militates against an essentialist notion of what class might denote and how it might be </w:t>
      </w:r>
      <w:r w:rsidR="00BA3DF6">
        <w:t xml:space="preserve">differently </w:t>
      </w:r>
      <w:r w:rsidR="003E33AC">
        <w:t>represented on stage</w:t>
      </w:r>
      <w:r w:rsidR="00E3634B">
        <w:t xml:space="preserve"> by a host of individuals</w:t>
      </w:r>
      <w:r w:rsidR="003E33AC">
        <w:t>.</w:t>
      </w:r>
    </w:p>
    <w:p w:rsidR="00F42835" w:rsidRDefault="00F42835" w:rsidP="009A4669">
      <w:r>
        <w:tab/>
        <w:t>The production discussed in this essay</w:t>
      </w:r>
      <w:r w:rsidR="004F1C10">
        <w:t xml:space="preserve"> proceeded from a dialectical analysis of the drama and sought appropriate stagecraft to present the </w:t>
      </w:r>
      <w:r w:rsidR="004F1C10">
        <w:rPr>
          <w:i/>
        </w:rPr>
        <w:t>Fabel</w:t>
      </w:r>
      <w:r w:rsidR="004F1C10">
        <w:t xml:space="preserve">. From the outset, the aim was to criticize Miller’s ideological construction of a male hero with a view to offering audiences a very different interpretation to that </w:t>
      </w:r>
      <w:r w:rsidR="00DE59BF">
        <w:t xml:space="preserve">which </w:t>
      </w:r>
      <w:r w:rsidR="004F1C10">
        <w:t xml:space="preserve">has graced stages for the past </w:t>
      </w:r>
      <w:r w:rsidR="00DE59BF">
        <w:t xml:space="preserve">several </w:t>
      </w:r>
      <w:r w:rsidR="004F1C10">
        <w:t xml:space="preserve">decades. The interpretation was not, however, based on how characters were to be understood. Characters are not independent of their social context in Brechtian theatre, and so previous productions that have </w:t>
      </w:r>
      <w:r w:rsidR="00F44C3B">
        <w:t>presented Abigail, for example, as a real child or with childish naivety have not proceeded from a</w:t>
      </w:r>
      <w:r w:rsidR="00D35EE7">
        <w:t>n immanent</w:t>
      </w:r>
      <w:r w:rsidR="00F44C3B">
        <w:t xml:space="preserve"> analysis of the play that would reveal the loaded nature of </w:t>
      </w:r>
      <w:r w:rsidR="00F44C3B">
        <w:rPr>
          <w:i/>
        </w:rPr>
        <w:t>all</w:t>
      </w:r>
      <w:r w:rsidR="00F44C3B">
        <w:t xml:space="preserve"> the representation in </w:t>
      </w:r>
      <w:r w:rsidR="00F44C3B">
        <w:rPr>
          <w:i/>
        </w:rPr>
        <w:t>The Crucible</w:t>
      </w:r>
      <w:r w:rsidR="00F44C3B">
        <w:t xml:space="preserve">. </w:t>
      </w:r>
      <w:r w:rsidR="003E33AC">
        <w:t xml:space="preserve">The individual is not an autonomous entity here, but one that is always caught in networks of social forces. </w:t>
      </w:r>
      <w:r w:rsidR="00F44C3B">
        <w:t xml:space="preserve">Brecht invites theatre-makers to undertake a total critique of a play in order to show the connections between individual and society. </w:t>
      </w:r>
      <w:r w:rsidR="00F44C3B">
        <w:rPr>
          <w:i/>
        </w:rPr>
        <w:t>The Crucible</w:t>
      </w:r>
      <w:r w:rsidR="00F44C3B">
        <w:t xml:space="preserve"> lends itself well to such an examination because of its tight dramaturgy and the heavy-handed authorial interventions that try to control meaning. </w:t>
      </w:r>
      <w:r w:rsidR="00D5771E">
        <w:t>T</w:t>
      </w:r>
      <w:r w:rsidR="00F44C3B">
        <w:t>his article has argued that a materialist dialectical analysis can lead to staging dec</w:t>
      </w:r>
      <w:r w:rsidR="009B56BC">
        <w:t>isions that re-evaluate a classic play as an exercise in ideological criticism</w:t>
      </w:r>
      <w:r w:rsidR="00E3634B">
        <w:t xml:space="preserve"> and performance</w:t>
      </w:r>
      <w:r w:rsidR="009B56BC">
        <w:t>. What emerge</w:t>
      </w:r>
      <w:r w:rsidR="00DE59BF">
        <w:t>s</w:t>
      </w:r>
      <w:r w:rsidR="009B56BC">
        <w:t xml:space="preserve"> </w:t>
      </w:r>
      <w:r w:rsidR="00DE59BF">
        <w:t>i</w:t>
      </w:r>
      <w:r w:rsidR="009B56BC">
        <w:t>s a coherent approach that challenge</w:t>
      </w:r>
      <w:r w:rsidR="00DE59BF">
        <w:t>s</w:t>
      </w:r>
      <w:r w:rsidR="009B56BC">
        <w:t xml:space="preserve"> </w:t>
      </w:r>
      <w:r w:rsidR="00E3634B">
        <w:t>a</w:t>
      </w:r>
      <w:r w:rsidR="009B56BC">
        <w:t xml:space="preserve"> dominant reception of the play and offer</w:t>
      </w:r>
      <w:r w:rsidR="00DE59BF">
        <w:t>s</w:t>
      </w:r>
      <w:r w:rsidR="009B56BC">
        <w:t xml:space="preserve"> the audience a reinterpretation for its consideration.</w:t>
      </w:r>
    </w:p>
    <w:p w:rsidR="009B56BC" w:rsidRPr="00F44C3B" w:rsidRDefault="009B56BC" w:rsidP="009A4669">
      <w:r>
        <w:tab/>
        <w:t>Brechtian theatre is rooted in a dialectical and materialist approach to understanding realistically constructed stage worlds. Going back to the epigraph that opened this article, I suggest that Brecht can prize open seemingly closed texts by respecting the action while treating the playwright’s implied meanings with scepticism</w:t>
      </w:r>
      <w:r w:rsidR="008E23F0">
        <w:t xml:space="preserve"> and, indeed, hostility</w:t>
      </w:r>
      <w:r>
        <w:t>.</w:t>
      </w:r>
      <w:r w:rsidR="00225A2D">
        <w:t xml:space="preserve"> The role of historical and sociological research is important in supporting the material reality of the </w:t>
      </w:r>
      <w:r w:rsidR="008E23F0">
        <w:t>action that is to be depicted</w:t>
      </w:r>
      <w:r w:rsidR="00225A2D">
        <w:t>, while a penetrating dialectical analysis of the apparently self-evident can reveal richness and contradiction. The goal is not to produce novelty for novelty’s sake, but to represent society and the individuals that inhabit it as dynamic and interdependent. Such an approach embodies the political credo that change is both possible and achievable, or as Brecht put it, ‘Contradictions are our hope!’.</w:t>
      </w:r>
      <w:r w:rsidR="00700190">
        <w:rPr>
          <w:rStyle w:val="FootnoteReference"/>
        </w:rPr>
        <w:footnoteReference w:id="46"/>
      </w:r>
      <w:r w:rsidR="00225A2D">
        <w:t xml:space="preserve"> </w:t>
      </w:r>
    </w:p>
    <w:p w:rsidR="00DD2EDD" w:rsidRPr="0005233B" w:rsidRDefault="00DD2EDD" w:rsidP="00DD2EDD"/>
    <w:sectPr w:rsidR="00DD2EDD" w:rsidRPr="0005233B" w:rsidSect="00A725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050" w:rsidRDefault="00492050" w:rsidP="00636378">
      <w:r>
        <w:separator/>
      </w:r>
    </w:p>
  </w:endnote>
  <w:endnote w:type="continuationSeparator" w:id="0">
    <w:p w:rsidR="00492050" w:rsidRDefault="00492050" w:rsidP="0063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050" w:rsidRDefault="00492050" w:rsidP="00636378">
      <w:r>
        <w:separator/>
      </w:r>
    </w:p>
  </w:footnote>
  <w:footnote w:type="continuationSeparator" w:id="0">
    <w:p w:rsidR="00492050" w:rsidRDefault="00492050" w:rsidP="00636378">
      <w:r>
        <w:continuationSeparator/>
      </w:r>
    </w:p>
  </w:footnote>
  <w:footnote w:id="1">
    <w:p w:rsidR="00083A09" w:rsidRDefault="00083A09">
      <w:pPr>
        <w:pStyle w:val="FootnoteText"/>
      </w:pPr>
      <w:r>
        <w:rPr>
          <w:rStyle w:val="FootnoteReference"/>
        </w:rPr>
        <w:footnoteRef/>
      </w:r>
      <w:r>
        <w:t xml:space="preserve"> Bertolt Brecht, </w:t>
      </w:r>
      <w:r>
        <w:rPr>
          <w:i/>
        </w:rPr>
        <w:t>Buying Brass</w:t>
      </w:r>
      <w:r>
        <w:t xml:space="preserve">, in Brecht, </w:t>
      </w:r>
      <w:r>
        <w:rPr>
          <w:i/>
        </w:rPr>
        <w:t xml:space="preserve">Brecht on Performance. </w:t>
      </w:r>
      <w:proofErr w:type="spellStart"/>
      <w:r>
        <w:rPr>
          <w:i/>
        </w:rPr>
        <w:t>Messingkauf</w:t>
      </w:r>
      <w:proofErr w:type="spellEnd"/>
      <w:r>
        <w:rPr>
          <w:i/>
        </w:rPr>
        <w:t xml:space="preserve"> and </w:t>
      </w:r>
      <w:proofErr w:type="spellStart"/>
      <w:r>
        <w:rPr>
          <w:i/>
        </w:rPr>
        <w:t>Modelbooks</w:t>
      </w:r>
      <w:proofErr w:type="spellEnd"/>
      <w:r>
        <w:t>, ed. by Tom Kuhn, Steve Giles and Marc Silberman (London: Bloomsbury, 2015), pp. 11-125</w:t>
      </w:r>
      <w:r w:rsidR="003179D4">
        <w:t>.</w:t>
      </w:r>
    </w:p>
  </w:footnote>
  <w:footnote w:id="2">
    <w:p w:rsidR="00592A92" w:rsidRPr="00867D41" w:rsidRDefault="00592A92" w:rsidP="0005233B">
      <w:pPr>
        <w:pStyle w:val="FootnoteText"/>
      </w:pPr>
      <w:r>
        <w:rPr>
          <w:rStyle w:val="FootnoteReference"/>
        </w:rPr>
        <w:footnoteRef/>
      </w:r>
      <w:r>
        <w:t xml:space="preserve"> Perhaps the best-known example is when Brecht registered amazement at scenes from his own play </w:t>
      </w:r>
      <w:r>
        <w:rPr>
          <w:i/>
        </w:rPr>
        <w:t>The Caucasian Chalk Circle</w:t>
      </w:r>
      <w:r>
        <w:t xml:space="preserve"> when directing a production in 1953-4 (</w:t>
      </w:r>
      <w:r w:rsidR="00083A09">
        <w:t xml:space="preserve">Hans Bunge, </w:t>
      </w:r>
      <w:proofErr w:type="spellStart"/>
      <w:r w:rsidR="00083A09">
        <w:rPr>
          <w:i/>
        </w:rPr>
        <w:t>Tagebuch</w:t>
      </w:r>
      <w:proofErr w:type="spellEnd"/>
      <w:r w:rsidR="00083A09">
        <w:rPr>
          <w:i/>
        </w:rPr>
        <w:t xml:space="preserve"> </w:t>
      </w:r>
      <w:proofErr w:type="spellStart"/>
      <w:r w:rsidR="00083A09">
        <w:rPr>
          <w:i/>
        </w:rPr>
        <w:t>einer</w:t>
      </w:r>
      <w:proofErr w:type="spellEnd"/>
      <w:r w:rsidR="00083A09">
        <w:rPr>
          <w:i/>
        </w:rPr>
        <w:t xml:space="preserve"> </w:t>
      </w:r>
      <w:proofErr w:type="spellStart"/>
      <w:r w:rsidR="00083A09">
        <w:rPr>
          <w:i/>
        </w:rPr>
        <w:t>Inszenierung</w:t>
      </w:r>
      <w:proofErr w:type="spellEnd"/>
      <w:r w:rsidR="00083A09">
        <w:rPr>
          <w:i/>
        </w:rPr>
        <w:t xml:space="preserve">. Bertolt Brecht </w:t>
      </w:r>
      <w:proofErr w:type="spellStart"/>
      <w:r w:rsidR="00083A09">
        <w:rPr>
          <w:i/>
        </w:rPr>
        <w:t>führt</w:t>
      </w:r>
      <w:proofErr w:type="spellEnd"/>
      <w:r w:rsidR="00083A09">
        <w:rPr>
          <w:i/>
        </w:rPr>
        <w:t xml:space="preserve"> </w:t>
      </w:r>
      <w:proofErr w:type="spellStart"/>
      <w:r w:rsidR="00083A09">
        <w:rPr>
          <w:i/>
        </w:rPr>
        <w:t>Regie</w:t>
      </w:r>
      <w:proofErr w:type="spellEnd"/>
      <w:r w:rsidR="00083A09">
        <w:rPr>
          <w:i/>
        </w:rPr>
        <w:t xml:space="preserve"> </w:t>
      </w:r>
      <w:proofErr w:type="spellStart"/>
      <w:r w:rsidR="00083A09">
        <w:rPr>
          <w:i/>
        </w:rPr>
        <w:t>bei</w:t>
      </w:r>
      <w:proofErr w:type="spellEnd"/>
      <w:r w:rsidR="00083A09">
        <w:rPr>
          <w:i/>
        </w:rPr>
        <w:t xml:space="preserve"> </w:t>
      </w:r>
      <w:proofErr w:type="spellStart"/>
      <w:r w:rsidR="00083A09">
        <w:rPr>
          <w:i/>
        </w:rPr>
        <w:t>seinem</w:t>
      </w:r>
      <w:proofErr w:type="spellEnd"/>
      <w:r w:rsidR="00083A09">
        <w:rPr>
          <w:i/>
        </w:rPr>
        <w:t xml:space="preserve"> </w:t>
      </w:r>
      <w:proofErr w:type="spellStart"/>
      <w:r w:rsidR="00083A09">
        <w:rPr>
          <w:i/>
        </w:rPr>
        <w:t>Stück</w:t>
      </w:r>
      <w:proofErr w:type="spellEnd"/>
      <w:r w:rsidR="00083A09">
        <w:rPr>
          <w:i/>
        </w:rPr>
        <w:t xml:space="preserve"> ‘Der </w:t>
      </w:r>
      <w:proofErr w:type="spellStart"/>
      <w:r w:rsidR="00083A09">
        <w:rPr>
          <w:i/>
        </w:rPr>
        <w:t>kaukasische</w:t>
      </w:r>
      <w:proofErr w:type="spellEnd"/>
      <w:r w:rsidR="00083A09">
        <w:rPr>
          <w:i/>
        </w:rPr>
        <w:t xml:space="preserve"> </w:t>
      </w:r>
      <w:proofErr w:type="spellStart"/>
      <w:r w:rsidR="00083A09">
        <w:rPr>
          <w:i/>
        </w:rPr>
        <w:t>Kreidekreis</w:t>
      </w:r>
      <w:proofErr w:type="spellEnd"/>
      <w:r w:rsidR="00083A09">
        <w:rPr>
          <w:i/>
        </w:rPr>
        <w:t>’</w:t>
      </w:r>
      <w:r w:rsidR="00083A09">
        <w:t>, entry for 27 November 1953, Bertolt Brecht Archive, 944/1-105</w:t>
      </w:r>
      <w:r>
        <w:t>)</w:t>
      </w:r>
      <w:r w:rsidR="00083A09">
        <w:t>.</w:t>
      </w:r>
    </w:p>
  </w:footnote>
  <w:footnote w:id="3">
    <w:p w:rsidR="007B7E38" w:rsidRDefault="007B7E38">
      <w:pPr>
        <w:pStyle w:val="FootnoteText"/>
      </w:pPr>
      <w:r>
        <w:rPr>
          <w:rStyle w:val="FootnoteReference"/>
        </w:rPr>
        <w:footnoteRef/>
      </w:r>
      <w:r>
        <w:t xml:space="preserve"> See David Barnett, </w:t>
      </w:r>
      <w:r>
        <w:rPr>
          <w:rFonts w:ascii="Calibri" w:hAnsi="Calibri" w:cs="Calibri"/>
          <w:color w:val="000000"/>
          <w:sz w:val="22"/>
          <w:szCs w:val="22"/>
        </w:rPr>
        <w:t xml:space="preserve">‘Dialectics and the Brechtian Tradition. Some Thoughts on Politicized Performance’, </w:t>
      </w:r>
      <w:r>
        <w:rPr>
          <w:rFonts w:ascii="Calibri" w:hAnsi="Calibri" w:cs="Calibri"/>
          <w:i/>
          <w:iCs/>
          <w:color w:val="000000"/>
          <w:sz w:val="22"/>
          <w:szCs w:val="22"/>
        </w:rPr>
        <w:t>Performance Research</w:t>
      </w:r>
      <w:r>
        <w:rPr>
          <w:rFonts w:ascii="Calibri" w:hAnsi="Calibri" w:cs="Calibri"/>
          <w:color w:val="000000"/>
          <w:sz w:val="22"/>
          <w:szCs w:val="22"/>
        </w:rPr>
        <w:t>, 21: 3 (2016), pp. 6-15</w:t>
      </w:r>
      <w:r w:rsidR="0005795F">
        <w:rPr>
          <w:rFonts w:ascii="Calibri" w:hAnsi="Calibri" w:cs="Calibri"/>
          <w:color w:val="000000"/>
          <w:sz w:val="22"/>
          <w:szCs w:val="22"/>
        </w:rPr>
        <w:t>, here p. 8</w:t>
      </w:r>
      <w:r w:rsidR="003179D4">
        <w:rPr>
          <w:rFonts w:ascii="Calibri" w:hAnsi="Calibri" w:cs="Calibri"/>
          <w:color w:val="000000"/>
          <w:sz w:val="22"/>
          <w:szCs w:val="22"/>
        </w:rPr>
        <w:t>,</w:t>
      </w:r>
      <w:r w:rsidR="0005795F">
        <w:rPr>
          <w:rFonts w:ascii="Calibri" w:hAnsi="Calibri" w:cs="Calibri"/>
          <w:color w:val="000000"/>
          <w:sz w:val="22"/>
          <w:szCs w:val="22"/>
        </w:rPr>
        <w:t xml:space="preserve"> for both Brecht’s definition of ‘realistic’ and a commentary.</w:t>
      </w:r>
    </w:p>
  </w:footnote>
  <w:footnote w:id="4">
    <w:p w:rsidR="00083A09" w:rsidRDefault="00083A09">
      <w:pPr>
        <w:pStyle w:val="FootnoteText"/>
      </w:pPr>
      <w:r>
        <w:rPr>
          <w:rStyle w:val="FootnoteReference"/>
        </w:rPr>
        <w:footnoteRef/>
      </w:r>
      <w:r>
        <w:t xml:space="preserve"> </w:t>
      </w:r>
      <w:r w:rsidR="00FE15AD">
        <w:t xml:space="preserve">See </w:t>
      </w:r>
      <w:r>
        <w:t xml:space="preserve">Bertolt </w:t>
      </w:r>
      <w:r w:rsidRPr="00FC72DD">
        <w:t>Brecht, ‘[</w:t>
      </w:r>
      <w:proofErr w:type="spellStart"/>
      <w:r w:rsidRPr="00FC72DD">
        <w:t>Originale</w:t>
      </w:r>
      <w:proofErr w:type="spellEnd"/>
      <w:r w:rsidRPr="00FC72DD">
        <w:t xml:space="preserve"> </w:t>
      </w:r>
      <w:proofErr w:type="spellStart"/>
      <w:r w:rsidRPr="00FC72DD">
        <w:t>Auffassungen</w:t>
      </w:r>
      <w:proofErr w:type="spellEnd"/>
      <w:r w:rsidRPr="00FC72DD">
        <w:t xml:space="preserve"> </w:t>
      </w:r>
      <w:proofErr w:type="spellStart"/>
      <w:r w:rsidRPr="00FC72DD">
        <w:t>zu</w:t>
      </w:r>
      <w:proofErr w:type="spellEnd"/>
      <w:r w:rsidRPr="00FC72DD">
        <w:t xml:space="preserve"> </w:t>
      </w:r>
      <w:proofErr w:type="spellStart"/>
      <w:r w:rsidRPr="00FC72DD">
        <w:t>Brechtstücken</w:t>
      </w:r>
      <w:proofErr w:type="spellEnd"/>
      <w:r w:rsidRPr="00FC72DD">
        <w:t xml:space="preserve">]’, in Brecht, </w:t>
      </w:r>
      <w:r>
        <w:rPr>
          <w:i/>
        </w:rPr>
        <w:t xml:space="preserve">Grosse </w:t>
      </w:r>
      <w:proofErr w:type="spellStart"/>
      <w:r>
        <w:rPr>
          <w:i/>
        </w:rPr>
        <w:t>kommentierte</w:t>
      </w:r>
      <w:proofErr w:type="spellEnd"/>
      <w:r>
        <w:rPr>
          <w:i/>
        </w:rPr>
        <w:t xml:space="preserve"> Berliner und </w:t>
      </w:r>
      <w:proofErr w:type="spellStart"/>
      <w:r>
        <w:rPr>
          <w:i/>
        </w:rPr>
        <w:t>Frankurter</w:t>
      </w:r>
      <w:proofErr w:type="spellEnd"/>
      <w:r>
        <w:rPr>
          <w:i/>
        </w:rPr>
        <w:t xml:space="preserve"> </w:t>
      </w:r>
      <w:proofErr w:type="spellStart"/>
      <w:r>
        <w:rPr>
          <w:i/>
        </w:rPr>
        <w:t>Ausgabe</w:t>
      </w:r>
      <w:proofErr w:type="spellEnd"/>
      <w:r>
        <w:t xml:space="preserve">. ed. by Werner Hecht, Jan Knopf, Werner </w:t>
      </w:r>
      <w:proofErr w:type="spellStart"/>
      <w:r>
        <w:t>Mittenzwei</w:t>
      </w:r>
      <w:proofErr w:type="spellEnd"/>
      <w:r>
        <w:t xml:space="preserve"> and Klaus-Detlef Müller</w:t>
      </w:r>
      <w:r w:rsidRPr="00FC72DD">
        <w:t xml:space="preserve">, vol. </w:t>
      </w:r>
      <w:r>
        <w:t>2</w:t>
      </w:r>
      <w:r w:rsidRPr="00FC72DD">
        <w:t xml:space="preserve">3 (Berlin and Frankfurt/Main: Aufbau and </w:t>
      </w:r>
      <w:proofErr w:type="spellStart"/>
      <w:r w:rsidRPr="00FC72DD">
        <w:t>Suhrkamp</w:t>
      </w:r>
      <w:proofErr w:type="spellEnd"/>
      <w:r w:rsidRPr="00FC72DD">
        <w:t>, 1993), p. 127</w:t>
      </w:r>
      <w:r w:rsidR="00FE15AD">
        <w:t xml:space="preserve">. Subsequent reference to this </w:t>
      </w:r>
      <w:r w:rsidR="003179D4">
        <w:t>edition</w:t>
      </w:r>
      <w:r w:rsidR="00FE15AD">
        <w:t xml:space="preserve"> appears as ‘BFA’ followed by a volume and page number.</w:t>
      </w:r>
    </w:p>
  </w:footnote>
  <w:footnote w:id="5">
    <w:p w:rsidR="00592A92" w:rsidRPr="000C1118" w:rsidRDefault="00592A92" w:rsidP="007A652F">
      <w:r>
        <w:rPr>
          <w:rStyle w:val="FootnoteReference"/>
        </w:rPr>
        <w:footnoteRef/>
      </w:r>
      <w:r>
        <w:t xml:space="preserve"> Not, however, a dial</w:t>
      </w:r>
      <w:r w:rsidR="0012080F">
        <w:t>ectical materialist one, which wa</w:t>
      </w:r>
      <w:r>
        <w:t xml:space="preserve">s too closely associated with </w:t>
      </w:r>
      <w:r w:rsidR="00635B21">
        <w:t>codified and approved</w:t>
      </w:r>
      <w:r>
        <w:t xml:space="preserve"> Marxist narrative orthodoxy. Compare the revised and accurate translation of the term in §45 of the ‘Short Organon for the Theatre’ in the new edition of </w:t>
      </w:r>
      <w:r>
        <w:rPr>
          <w:i/>
        </w:rPr>
        <w:t>Brecht on Theatre</w:t>
      </w:r>
      <w:r>
        <w:t xml:space="preserve"> as opposed to John Willett’s in the first.</w:t>
      </w:r>
    </w:p>
  </w:footnote>
  <w:footnote w:id="6">
    <w:p w:rsidR="00592A92" w:rsidRDefault="00592A92">
      <w:pPr>
        <w:pStyle w:val="FootnoteText"/>
      </w:pPr>
      <w:r>
        <w:rPr>
          <w:rStyle w:val="FootnoteReference"/>
        </w:rPr>
        <w:footnoteRef/>
      </w:r>
      <w:r>
        <w:t xml:space="preserve"> The production was a part of my ‘Brecht in Practice’ research project, funded by the Arts and Humanities Research Council (AH/N003047/1). A full documentation can be found at </w:t>
      </w:r>
      <w:hyperlink r:id="rId1" w:history="1">
        <w:r w:rsidRPr="00BD05CF">
          <w:rPr>
            <w:rStyle w:val="Hyperlink"/>
          </w:rPr>
          <w:t>brechtinpractice.org/plays/crucible</w:t>
        </w:r>
      </w:hyperlink>
      <w:r>
        <w:t>.</w:t>
      </w:r>
    </w:p>
  </w:footnote>
  <w:footnote w:id="7">
    <w:p w:rsidR="00083A09" w:rsidRDefault="00083A09">
      <w:pPr>
        <w:pStyle w:val="FootnoteText"/>
      </w:pPr>
      <w:r>
        <w:rPr>
          <w:rStyle w:val="FootnoteReference"/>
        </w:rPr>
        <w:footnoteRef/>
      </w:r>
      <w:r>
        <w:t xml:space="preserve"> </w:t>
      </w:r>
      <w:r w:rsidRPr="00BD5E0F">
        <w:t>Christopher</w:t>
      </w:r>
      <w:r>
        <w:t xml:space="preserve"> </w:t>
      </w:r>
      <w:proofErr w:type="spellStart"/>
      <w:r w:rsidRPr="00BD5E0F">
        <w:t>Bigsby</w:t>
      </w:r>
      <w:proofErr w:type="spellEnd"/>
      <w:r w:rsidRPr="00BD5E0F">
        <w:t xml:space="preserve">, </w:t>
      </w:r>
      <w:r>
        <w:t>(2005),</w:t>
      </w:r>
      <w:r w:rsidRPr="00BD5E0F">
        <w:t xml:space="preserve"> </w:t>
      </w:r>
      <w:r w:rsidRPr="00BD5E0F">
        <w:rPr>
          <w:i/>
        </w:rPr>
        <w:t>Arthur Miller. A Critical Study</w:t>
      </w:r>
      <w:r w:rsidRPr="00BD5E0F">
        <w:t xml:space="preserve"> (Cambridge: CUP</w:t>
      </w:r>
      <w:r>
        <w:t>, 2005</w:t>
      </w:r>
      <w:r w:rsidRPr="00BD5E0F">
        <w:t>)</w:t>
      </w:r>
      <w:r>
        <w:t>, p. 150.</w:t>
      </w:r>
    </w:p>
  </w:footnote>
  <w:footnote w:id="8">
    <w:p w:rsidR="00592A92" w:rsidRDefault="00592A92">
      <w:pPr>
        <w:pStyle w:val="FootnoteText"/>
      </w:pPr>
      <w:r>
        <w:rPr>
          <w:rStyle w:val="FootnoteReference"/>
        </w:rPr>
        <w:footnoteRef/>
      </w:r>
      <w:r>
        <w:t xml:space="preserve"> I take this translation from</w:t>
      </w:r>
      <w:r w:rsidR="00083A09" w:rsidRPr="00724950">
        <w:t xml:space="preserve"> Dustin</w:t>
      </w:r>
      <w:r w:rsidR="00083A09" w:rsidRPr="00083A09">
        <w:t xml:space="preserve"> </w:t>
      </w:r>
      <w:proofErr w:type="spellStart"/>
      <w:r w:rsidR="00083A09" w:rsidRPr="00724950">
        <w:t>Sebell</w:t>
      </w:r>
      <w:proofErr w:type="spellEnd"/>
      <w:r w:rsidR="00083A09">
        <w:t>, ‘</w:t>
      </w:r>
      <w:r w:rsidR="00083A09" w:rsidRPr="00724950">
        <w:t>The Problem of Political Science: Political Relevance</w:t>
      </w:r>
      <w:r w:rsidR="00083A09">
        <w:t xml:space="preserve"> </w:t>
      </w:r>
      <w:r w:rsidR="00083A09" w:rsidRPr="00724950">
        <w:t>and Scientiﬁc Rigor in Aristotle’s “Philosophy of</w:t>
      </w:r>
      <w:r w:rsidR="00083A09">
        <w:t xml:space="preserve"> </w:t>
      </w:r>
      <w:r w:rsidR="00083A09" w:rsidRPr="00724950">
        <w:t>Human Affairs”</w:t>
      </w:r>
      <w:r w:rsidR="00083A09">
        <w:t xml:space="preserve">’, </w:t>
      </w:r>
      <w:r w:rsidR="00083A09" w:rsidRPr="00724950">
        <w:t xml:space="preserve"> </w:t>
      </w:r>
      <w:r w:rsidR="00083A09" w:rsidRPr="00724950">
        <w:rPr>
          <w:i/>
        </w:rPr>
        <w:t>American Journal of Political Science</w:t>
      </w:r>
      <w:r w:rsidR="00083A09" w:rsidRPr="00724950">
        <w:t xml:space="preserve">, </w:t>
      </w:r>
      <w:r w:rsidR="00083A09">
        <w:t>60: 1 (2016), p</w:t>
      </w:r>
      <w:r w:rsidR="00083A09" w:rsidRPr="00724950">
        <w:t>p. 85–96</w:t>
      </w:r>
      <w:r w:rsidR="00083A09">
        <w:t>, here p.</w:t>
      </w:r>
      <w:r>
        <w:t xml:space="preserve"> 85.</w:t>
      </w:r>
    </w:p>
  </w:footnote>
  <w:footnote w:id="9">
    <w:p w:rsidR="00083A09" w:rsidRDefault="00083A09">
      <w:pPr>
        <w:pStyle w:val="FootnoteText"/>
      </w:pPr>
      <w:r>
        <w:rPr>
          <w:rStyle w:val="FootnoteReference"/>
        </w:rPr>
        <w:footnoteRef/>
      </w:r>
      <w:r>
        <w:t xml:space="preserve"> Leon Trotsky, </w:t>
      </w:r>
      <w:r w:rsidR="006152F9">
        <w:t>‘</w:t>
      </w:r>
      <w:r>
        <w:t>Towards Capitalism or Towards Socialism? The Language of Figures</w:t>
      </w:r>
      <w:r w:rsidR="006152F9">
        <w:t>’</w:t>
      </w:r>
      <w:r>
        <w:t xml:space="preserve">, </w:t>
      </w:r>
      <w:proofErr w:type="spellStart"/>
      <w:r>
        <w:t>wr</w:t>
      </w:r>
      <w:proofErr w:type="spellEnd"/>
      <w:r>
        <w:t xml:space="preserve">. 1925, </w:t>
      </w:r>
      <w:hyperlink r:id="rId2" w:history="1">
        <w:r w:rsidRPr="00645744">
          <w:rPr>
            <w:rStyle w:val="Hyperlink"/>
          </w:rPr>
          <w:t>https://www.marxists.org/archive/trotsky/1925/11/towards.htm</w:t>
        </w:r>
      </w:hyperlink>
      <w:r>
        <w:t xml:space="preserve"> [accessed </w:t>
      </w:r>
      <w:r w:rsidR="007B7E38">
        <w:t>1 August 2019</w:t>
      </w:r>
      <w:r>
        <w:t>]</w:t>
      </w:r>
    </w:p>
  </w:footnote>
  <w:footnote w:id="10">
    <w:p w:rsidR="00762A0C" w:rsidRPr="00762A0C" w:rsidRDefault="00762A0C">
      <w:pPr>
        <w:pStyle w:val="FootnoteText"/>
      </w:pPr>
      <w:r>
        <w:rPr>
          <w:rStyle w:val="FootnoteReference"/>
        </w:rPr>
        <w:footnoteRef/>
      </w:r>
      <w:r>
        <w:t xml:space="preserve"> See, for example, Christian Gilliam, </w:t>
      </w:r>
      <w:r>
        <w:rPr>
          <w:i/>
        </w:rPr>
        <w:t>Immanence and Micropolitics: Sartre, Merleau-Ponty, Foucault and Deleuze</w:t>
      </w:r>
      <w:r>
        <w:t xml:space="preserve"> (Edinburgh: Edinburgh UP, 2017).</w:t>
      </w:r>
    </w:p>
  </w:footnote>
  <w:footnote w:id="11">
    <w:p w:rsidR="00083A09" w:rsidRDefault="00083A09">
      <w:pPr>
        <w:pStyle w:val="FootnoteText"/>
      </w:pPr>
      <w:r>
        <w:rPr>
          <w:rStyle w:val="FootnoteReference"/>
        </w:rPr>
        <w:footnoteRef/>
      </w:r>
      <w:r>
        <w:t xml:space="preserve"> </w:t>
      </w:r>
      <w:proofErr w:type="spellStart"/>
      <w:r w:rsidRPr="00313A59">
        <w:t>Iska</w:t>
      </w:r>
      <w:proofErr w:type="spellEnd"/>
      <w:r>
        <w:t xml:space="preserve"> </w:t>
      </w:r>
      <w:r w:rsidRPr="00313A59">
        <w:t>Alter</w:t>
      </w:r>
      <w:r>
        <w:t>,</w:t>
      </w:r>
      <w:r w:rsidRPr="00313A59">
        <w:t xml:space="preserve"> ‘Betrayal and Blessedness: Explorations of Feminine Power in </w:t>
      </w:r>
      <w:r w:rsidRPr="00313A59">
        <w:rPr>
          <w:i/>
        </w:rPr>
        <w:t>The Crucible</w:t>
      </w:r>
      <w:r w:rsidRPr="00313A59">
        <w:t xml:space="preserve">, </w:t>
      </w:r>
      <w:r w:rsidRPr="00313A59">
        <w:rPr>
          <w:i/>
        </w:rPr>
        <w:t>A View from the Bridge</w:t>
      </w:r>
      <w:r w:rsidRPr="00313A59">
        <w:t xml:space="preserve">, and </w:t>
      </w:r>
      <w:r w:rsidRPr="00313A59">
        <w:rPr>
          <w:i/>
        </w:rPr>
        <w:t>After the Fall</w:t>
      </w:r>
      <w:r w:rsidRPr="00313A59">
        <w:t xml:space="preserve">’, in June Schlueter (ed.), </w:t>
      </w:r>
      <w:r w:rsidRPr="00313A59">
        <w:rPr>
          <w:i/>
        </w:rPr>
        <w:t xml:space="preserve">Feminist </w:t>
      </w:r>
      <w:proofErr w:type="spellStart"/>
      <w:r w:rsidRPr="00313A59">
        <w:rPr>
          <w:i/>
        </w:rPr>
        <w:t>Rereadings</w:t>
      </w:r>
      <w:proofErr w:type="spellEnd"/>
      <w:r w:rsidRPr="00313A59">
        <w:rPr>
          <w:i/>
        </w:rPr>
        <w:t xml:space="preserve"> of Modern American Drama</w:t>
      </w:r>
      <w:r w:rsidRPr="00313A59">
        <w:t xml:space="preserve"> (London and Toronto: Associated University Presses</w:t>
      </w:r>
      <w:r>
        <w:t>, 1989</w:t>
      </w:r>
      <w:r w:rsidRPr="00313A59">
        <w:t>), pp. 116-45</w:t>
      </w:r>
      <w:r>
        <w:t>, here p. 116.</w:t>
      </w:r>
    </w:p>
  </w:footnote>
  <w:footnote w:id="12">
    <w:p w:rsidR="00040744" w:rsidRDefault="00040744" w:rsidP="007A652F">
      <w:r>
        <w:rPr>
          <w:rStyle w:val="FootnoteReference"/>
        </w:rPr>
        <w:footnoteRef/>
      </w:r>
      <w:r>
        <w:t xml:space="preserve"> </w:t>
      </w:r>
      <w:r w:rsidRPr="008D3FD9">
        <w:t xml:space="preserve">Wendy </w:t>
      </w:r>
      <w:proofErr w:type="spellStart"/>
      <w:r w:rsidRPr="008D3FD9">
        <w:t>Schissel</w:t>
      </w:r>
      <w:proofErr w:type="spellEnd"/>
      <w:r w:rsidRPr="008D3FD9">
        <w:t xml:space="preserve">, </w:t>
      </w:r>
      <w:proofErr w:type="spellStart"/>
      <w:r w:rsidRPr="008D3FD9">
        <w:t>‘Re</w:t>
      </w:r>
      <w:proofErr w:type="spellEnd"/>
      <w:r w:rsidRPr="008D3FD9">
        <w:t xml:space="preserve">(dis)covering the Witches in Arthur Miller’s </w:t>
      </w:r>
      <w:r w:rsidRPr="008D3FD9">
        <w:rPr>
          <w:i/>
        </w:rPr>
        <w:t>The Crucible</w:t>
      </w:r>
      <w:r w:rsidRPr="008D3FD9">
        <w:t xml:space="preserve">: A Feminist Reading’, </w:t>
      </w:r>
      <w:r w:rsidRPr="008D3FD9">
        <w:rPr>
          <w:i/>
        </w:rPr>
        <w:t>Modern Drama</w:t>
      </w:r>
      <w:r w:rsidRPr="008D3FD9">
        <w:t>, 37: 3</w:t>
      </w:r>
      <w:r>
        <w:t xml:space="preserve"> (1994)</w:t>
      </w:r>
      <w:r w:rsidRPr="008D3FD9">
        <w:t>, pp. 461-473</w:t>
      </w:r>
      <w:r>
        <w:t>, here p. 461.</w:t>
      </w:r>
    </w:p>
  </w:footnote>
  <w:footnote w:id="13">
    <w:p w:rsidR="00040744" w:rsidRDefault="00040744">
      <w:pPr>
        <w:pStyle w:val="FootnoteText"/>
      </w:pPr>
      <w:r>
        <w:rPr>
          <w:rStyle w:val="FootnoteReference"/>
        </w:rPr>
        <w:footnoteRef/>
      </w:r>
      <w:r>
        <w:t xml:space="preserve"> </w:t>
      </w:r>
      <w:r w:rsidRPr="0093195A">
        <w:t xml:space="preserve">Terry Eagleton, </w:t>
      </w:r>
      <w:r w:rsidRPr="0093195A">
        <w:rPr>
          <w:i/>
        </w:rPr>
        <w:t>Ideology: An Introduction</w:t>
      </w:r>
      <w:r w:rsidRPr="0093195A">
        <w:t>, new and updated edition (London: Verso</w:t>
      </w:r>
      <w:r>
        <w:t>, 2007</w:t>
      </w:r>
      <w:r w:rsidRPr="0093195A">
        <w:t>)</w:t>
      </w:r>
      <w:r>
        <w:t>, pp. 56-61.</w:t>
      </w:r>
    </w:p>
  </w:footnote>
  <w:footnote w:id="14">
    <w:p w:rsidR="00040744" w:rsidRDefault="00040744">
      <w:pPr>
        <w:pStyle w:val="FootnoteText"/>
      </w:pPr>
      <w:r>
        <w:rPr>
          <w:rStyle w:val="FootnoteReference"/>
        </w:rPr>
        <w:footnoteRef/>
      </w:r>
      <w:r>
        <w:t xml:space="preserve"> </w:t>
      </w:r>
      <w:r w:rsidRPr="00BE3612">
        <w:t>Cristina C.</w:t>
      </w:r>
      <w:r>
        <w:t xml:space="preserve"> </w:t>
      </w:r>
      <w:r w:rsidRPr="00BE3612">
        <w:t>Caruso</w:t>
      </w:r>
      <w:r>
        <w:t>,</w:t>
      </w:r>
      <w:r w:rsidRPr="00BE3612">
        <w:t xml:space="preserve"> </w:t>
      </w:r>
      <w:r>
        <w:t>(1995)</w:t>
      </w:r>
      <w:r w:rsidRPr="00BE3612">
        <w:t xml:space="preserve">, ‘“One Finds What One Seeks”: Arthur Miller’s </w:t>
      </w:r>
      <w:r w:rsidRPr="00BE3612">
        <w:rPr>
          <w:i/>
        </w:rPr>
        <w:t>The Crucible</w:t>
      </w:r>
      <w:r w:rsidRPr="00BE3612">
        <w:t xml:space="preserve"> as a Regeneration of the American Myth of Violence’, </w:t>
      </w:r>
      <w:r w:rsidRPr="00BE3612">
        <w:rPr>
          <w:i/>
        </w:rPr>
        <w:t>The Journal of American Drama and Theatre</w:t>
      </w:r>
      <w:r w:rsidRPr="00BE3612">
        <w:t>, 7: 3</w:t>
      </w:r>
      <w:r>
        <w:t xml:space="preserve"> (1995)</w:t>
      </w:r>
      <w:r w:rsidRPr="00BE3612">
        <w:t>, pp.30-42</w:t>
      </w:r>
      <w:r>
        <w:t>, here p. 38.</w:t>
      </w:r>
    </w:p>
  </w:footnote>
  <w:footnote w:id="15">
    <w:p w:rsidR="00040744" w:rsidRDefault="00040744">
      <w:pPr>
        <w:pStyle w:val="FootnoteText"/>
      </w:pPr>
      <w:r>
        <w:rPr>
          <w:rStyle w:val="FootnoteReference"/>
        </w:rPr>
        <w:footnoteRef/>
      </w:r>
      <w:r>
        <w:t xml:space="preserve"> Arthur Miller, </w:t>
      </w:r>
      <w:r>
        <w:rPr>
          <w:i/>
        </w:rPr>
        <w:t>The Crucible</w:t>
      </w:r>
      <w:r>
        <w:t xml:space="preserve">, ed. by Susan C. W. </w:t>
      </w:r>
      <w:proofErr w:type="spellStart"/>
      <w:r>
        <w:t>Abbotson</w:t>
      </w:r>
      <w:proofErr w:type="spellEnd"/>
      <w:r>
        <w:t xml:space="preserve"> (London, Bloomsbury, 2010), p 131. Subsequent references to the text appear as a bracketed ‘C’ followed by a page number.</w:t>
      </w:r>
    </w:p>
  </w:footnote>
  <w:footnote w:id="16">
    <w:p w:rsidR="00040744" w:rsidRDefault="00040744">
      <w:pPr>
        <w:pStyle w:val="FootnoteText"/>
      </w:pPr>
      <w:r>
        <w:rPr>
          <w:rStyle w:val="FootnoteReference"/>
        </w:rPr>
        <w:footnoteRef/>
      </w:r>
      <w:r>
        <w:t xml:space="preserve"> </w:t>
      </w:r>
      <w:r w:rsidRPr="0095019C">
        <w:t>Jeffrey D.</w:t>
      </w:r>
      <w:r>
        <w:t xml:space="preserve"> </w:t>
      </w:r>
      <w:r w:rsidRPr="0095019C">
        <w:t>Mason</w:t>
      </w:r>
      <w:r>
        <w:t>,</w:t>
      </w:r>
      <w:r w:rsidRPr="0095019C">
        <w:t xml:space="preserve"> </w:t>
      </w:r>
      <w:r w:rsidRPr="0095019C">
        <w:rPr>
          <w:i/>
        </w:rPr>
        <w:t xml:space="preserve">Stone Tower. The Political </w:t>
      </w:r>
      <w:proofErr w:type="spellStart"/>
      <w:r w:rsidRPr="0095019C">
        <w:rPr>
          <w:i/>
        </w:rPr>
        <w:t>Theater</w:t>
      </w:r>
      <w:proofErr w:type="spellEnd"/>
      <w:r w:rsidRPr="0095019C">
        <w:rPr>
          <w:i/>
        </w:rPr>
        <w:t xml:space="preserve"> of Arthur Miller</w:t>
      </w:r>
      <w:r w:rsidRPr="0095019C">
        <w:t xml:space="preserve"> (Ann Arbor: University of Michigan Press,</w:t>
      </w:r>
      <w:r>
        <w:t xml:space="preserve"> 2008</w:t>
      </w:r>
      <w:r w:rsidRPr="0095019C">
        <w:t>)</w:t>
      </w:r>
      <w:r>
        <w:t>, p. 109.</w:t>
      </w:r>
    </w:p>
  </w:footnote>
  <w:footnote w:id="17">
    <w:p w:rsidR="00040744" w:rsidRDefault="00040744">
      <w:pPr>
        <w:pStyle w:val="FootnoteText"/>
      </w:pPr>
      <w:r>
        <w:rPr>
          <w:rStyle w:val="FootnoteReference"/>
        </w:rPr>
        <w:footnoteRef/>
      </w:r>
      <w:r>
        <w:t xml:space="preserve"> </w:t>
      </w:r>
      <w:r w:rsidRPr="00D20E6C">
        <w:t>David</w:t>
      </w:r>
      <w:r>
        <w:t xml:space="preserve"> </w:t>
      </w:r>
      <w:proofErr w:type="spellStart"/>
      <w:r w:rsidRPr="00D20E6C">
        <w:t>Savran</w:t>
      </w:r>
      <w:proofErr w:type="spellEnd"/>
      <w:r>
        <w:t>,</w:t>
      </w:r>
      <w:r w:rsidRPr="00D20E6C">
        <w:t xml:space="preserve"> </w:t>
      </w:r>
      <w:r w:rsidRPr="00D20E6C">
        <w:rPr>
          <w:i/>
        </w:rPr>
        <w:t>Communists, Cowboys, and Queers. The Politics of Masculinity in the Work of Arthur Miller and Tennessee Williams</w:t>
      </w:r>
      <w:r w:rsidRPr="00D20E6C">
        <w:t xml:space="preserve"> (Minneapolis and London: University of Minnesota Press</w:t>
      </w:r>
      <w:r>
        <w:t>, 1992</w:t>
      </w:r>
      <w:r w:rsidRPr="00D20E6C">
        <w:t>)</w:t>
      </w:r>
      <w:r>
        <w:t>, p. 29.</w:t>
      </w:r>
    </w:p>
  </w:footnote>
  <w:footnote w:id="18">
    <w:p w:rsidR="00592A92" w:rsidRDefault="00592A92">
      <w:pPr>
        <w:pStyle w:val="FootnoteText"/>
      </w:pPr>
      <w:r>
        <w:rPr>
          <w:rStyle w:val="FootnoteReference"/>
        </w:rPr>
        <w:footnoteRef/>
      </w:r>
      <w:r>
        <w:t xml:space="preserve"> A quick survey of recent productions or those posted online on YouTube, for example, betrays a very standar</w:t>
      </w:r>
      <w:r w:rsidR="00CC2020">
        <w:t xml:space="preserve">d production history in which </w:t>
      </w:r>
      <w:r>
        <w:t>Stanislavskian</w:t>
      </w:r>
      <w:r w:rsidR="00CC2020">
        <w:t xml:space="preserve"> approaches and</w:t>
      </w:r>
      <w:r>
        <w:t xml:space="preserve"> aesthetic</w:t>
      </w:r>
      <w:r w:rsidR="00CC2020">
        <w:t>s tend</w:t>
      </w:r>
      <w:r>
        <w:t xml:space="preserve"> to dominate (although there is an amount of melodrama to be found in the online student productions, too). The only concrete interpretational variations tend to centre on Abigail, with some productions presenting her as a confused teenager rather than an evil temptress. Yet even here, this is a question of </w:t>
      </w:r>
      <w:r w:rsidRPr="00472D67">
        <w:rPr>
          <w:i/>
        </w:rPr>
        <w:t>character</w:t>
      </w:r>
      <w:r>
        <w:t xml:space="preserve">. As will be shown at the end of this article, simply inflecting a character differently does little to affect the ideological underpinning of </w:t>
      </w:r>
      <w:r w:rsidR="00C54C10">
        <w:t xml:space="preserve">all </w:t>
      </w:r>
      <w:r>
        <w:t>the individuals on a stage.</w:t>
      </w:r>
    </w:p>
  </w:footnote>
  <w:footnote w:id="19">
    <w:p w:rsidR="00040744" w:rsidRDefault="00040744">
      <w:pPr>
        <w:pStyle w:val="FootnoteText"/>
      </w:pPr>
      <w:r>
        <w:rPr>
          <w:rStyle w:val="FootnoteReference"/>
        </w:rPr>
        <w:footnoteRef/>
      </w:r>
      <w:r>
        <w:t xml:space="preserve"> Miller, in </w:t>
      </w:r>
      <w:r w:rsidRPr="007B7A83">
        <w:t>Mel</w:t>
      </w:r>
      <w:r>
        <w:t xml:space="preserve"> </w:t>
      </w:r>
      <w:proofErr w:type="spellStart"/>
      <w:r w:rsidRPr="007B7A83">
        <w:t>Gussow</w:t>
      </w:r>
      <w:proofErr w:type="spellEnd"/>
      <w:r>
        <w:t>,</w:t>
      </w:r>
      <w:r w:rsidRPr="007B7A83">
        <w:t xml:space="preserve"> </w:t>
      </w:r>
      <w:r w:rsidRPr="007B7A83">
        <w:rPr>
          <w:i/>
        </w:rPr>
        <w:t>Conversations with Miller</w:t>
      </w:r>
      <w:r>
        <w:t xml:space="preserve"> (London: Nick Hern, 2002</w:t>
      </w:r>
      <w:r w:rsidRPr="007B7A83">
        <w:t>)</w:t>
      </w:r>
      <w:r>
        <w:t>, p. 87.</w:t>
      </w:r>
    </w:p>
  </w:footnote>
  <w:footnote w:id="20">
    <w:p w:rsidR="00040744" w:rsidRDefault="00040744">
      <w:pPr>
        <w:pStyle w:val="FootnoteText"/>
      </w:pPr>
      <w:r>
        <w:rPr>
          <w:rStyle w:val="FootnoteReference"/>
        </w:rPr>
        <w:footnoteRef/>
      </w:r>
      <w:r>
        <w:t xml:space="preserve"> </w:t>
      </w:r>
      <w:proofErr w:type="spellStart"/>
      <w:r>
        <w:t>Savran</w:t>
      </w:r>
      <w:proofErr w:type="spellEnd"/>
      <w:r>
        <w:t>, p. 32.</w:t>
      </w:r>
    </w:p>
  </w:footnote>
  <w:footnote w:id="21">
    <w:p w:rsidR="00040744" w:rsidRDefault="00040744">
      <w:pPr>
        <w:pStyle w:val="FootnoteText"/>
      </w:pPr>
      <w:r>
        <w:rPr>
          <w:rStyle w:val="FootnoteReference"/>
        </w:rPr>
        <w:footnoteRef/>
      </w:r>
      <w:r>
        <w:t xml:space="preserve"> </w:t>
      </w:r>
      <w:proofErr w:type="spellStart"/>
      <w:r>
        <w:t>Schissel</w:t>
      </w:r>
      <w:proofErr w:type="spellEnd"/>
      <w:r>
        <w:t>, p. 469.</w:t>
      </w:r>
    </w:p>
  </w:footnote>
  <w:footnote w:id="22">
    <w:p w:rsidR="00040744" w:rsidRDefault="00040744">
      <w:pPr>
        <w:pStyle w:val="FootnoteText"/>
      </w:pPr>
      <w:r>
        <w:rPr>
          <w:rStyle w:val="FootnoteReference"/>
        </w:rPr>
        <w:footnoteRef/>
      </w:r>
      <w:r>
        <w:t xml:space="preserve"> </w:t>
      </w:r>
      <w:r w:rsidR="00BC2CFC">
        <w:t xml:space="preserve">See </w:t>
      </w:r>
      <w:proofErr w:type="spellStart"/>
      <w:r>
        <w:t>Bigsby</w:t>
      </w:r>
      <w:proofErr w:type="spellEnd"/>
      <w:r>
        <w:t>, p. 147.</w:t>
      </w:r>
    </w:p>
  </w:footnote>
  <w:footnote w:id="23">
    <w:p w:rsidR="00F85EFF" w:rsidRPr="00F85EFF" w:rsidRDefault="00F85EFF">
      <w:pPr>
        <w:pStyle w:val="FootnoteText"/>
      </w:pPr>
      <w:r>
        <w:rPr>
          <w:rStyle w:val="FootnoteReference"/>
        </w:rPr>
        <w:footnoteRef/>
      </w:r>
      <w:r>
        <w:t xml:space="preserve"> See John J. White, </w:t>
      </w:r>
      <w:r>
        <w:rPr>
          <w:i/>
        </w:rPr>
        <w:t>Bertolt Brecht’s Dramatic Theory</w:t>
      </w:r>
      <w:r>
        <w:t xml:space="preserve"> (Rochester NY: Camden House, 2004), pp. 292-3.</w:t>
      </w:r>
    </w:p>
  </w:footnote>
  <w:footnote w:id="24">
    <w:p w:rsidR="00A13466" w:rsidRDefault="00A13466" w:rsidP="00A13466">
      <w:pPr>
        <w:pStyle w:val="FootnoteText"/>
      </w:pPr>
      <w:r>
        <w:rPr>
          <w:rStyle w:val="FootnoteReference"/>
        </w:rPr>
        <w:footnoteRef/>
      </w:r>
      <w:r>
        <w:t xml:space="preserve"> See </w:t>
      </w:r>
      <w:r w:rsidRPr="00425AD4">
        <w:t>David</w:t>
      </w:r>
      <w:r>
        <w:t xml:space="preserve"> </w:t>
      </w:r>
      <w:proofErr w:type="spellStart"/>
      <w:r w:rsidRPr="00425AD4">
        <w:t>Savran</w:t>
      </w:r>
      <w:proofErr w:type="spellEnd"/>
      <w:r w:rsidRPr="00425AD4">
        <w:t xml:space="preserve">, </w:t>
      </w:r>
      <w:r w:rsidRPr="00425AD4">
        <w:rPr>
          <w:i/>
        </w:rPr>
        <w:t>The Wooster Group 1975-85: Breaking the Rules</w:t>
      </w:r>
      <w:r w:rsidRPr="00425AD4">
        <w:t xml:space="preserve"> (Ann Arbor: UMI</w:t>
      </w:r>
      <w:r>
        <w:t>, 1986</w:t>
      </w:r>
      <w:r w:rsidRPr="00425AD4">
        <w:t>)</w:t>
      </w:r>
      <w:r>
        <w:t>, pp. 169-220.</w:t>
      </w:r>
    </w:p>
  </w:footnote>
  <w:footnote w:id="25">
    <w:p w:rsidR="00921FF1" w:rsidRDefault="00921FF1" w:rsidP="00921FF1">
      <w:pPr>
        <w:pStyle w:val="FootnoteText"/>
      </w:pPr>
      <w:r>
        <w:rPr>
          <w:rStyle w:val="FootnoteReference"/>
        </w:rPr>
        <w:footnoteRef/>
      </w:r>
      <w:r>
        <w:t xml:space="preserve"> Tom Kuhn, ‘Brecht Reads Bruegel: </w:t>
      </w:r>
      <w:r w:rsidRPr="00921FF1">
        <w:rPr>
          <w:i/>
        </w:rPr>
        <w:t>Verfremdung</w:t>
      </w:r>
      <w:r>
        <w:t xml:space="preserve">, Gestic Realism and the Second Phase of Brechtian Theory’, </w:t>
      </w:r>
      <w:proofErr w:type="spellStart"/>
      <w:r w:rsidRPr="00921FF1">
        <w:rPr>
          <w:i/>
        </w:rPr>
        <w:t>Monatshefte</w:t>
      </w:r>
      <w:proofErr w:type="spellEnd"/>
      <w:r>
        <w:t>, 2013 Spring; 105: 1 (2013), pp. 101-122, here p. 105.</w:t>
      </w:r>
    </w:p>
  </w:footnote>
  <w:footnote w:id="26">
    <w:p w:rsidR="00BC2CFC" w:rsidRDefault="00BC2CFC" w:rsidP="00BC2CFC">
      <w:pPr>
        <w:pStyle w:val="FootnoteText"/>
      </w:pPr>
      <w:r>
        <w:rPr>
          <w:rStyle w:val="FootnoteReference"/>
        </w:rPr>
        <w:footnoteRef/>
      </w:r>
      <w:r>
        <w:t xml:space="preserve"> Brecht, in </w:t>
      </w:r>
      <w:r w:rsidRPr="007266DC">
        <w:t xml:space="preserve">Heinz </w:t>
      </w:r>
      <w:proofErr w:type="spellStart"/>
      <w:r>
        <w:t>Kahlau</w:t>
      </w:r>
      <w:proofErr w:type="spellEnd"/>
      <w:r>
        <w:t>,</w:t>
      </w:r>
      <w:r w:rsidRPr="007266DC">
        <w:t xml:space="preserve"> ‘Notate </w:t>
      </w:r>
      <w:proofErr w:type="spellStart"/>
      <w:r w:rsidRPr="007266DC">
        <w:rPr>
          <w:i/>
        </w:rPr>
        <w:t>Winterschlacht</w:t>
      </w:r>
      <w:proofErr w:type="spellEnd"/>
      <w:r>
        <w:t>’, undated, pp. 35, here p. 25</w:t>
      </w:r>
      <w:r w:rsidRPr="007266DC">
        <w:t>, Berliner Ensemble</w:t>
      </w:r>
      <w:r>
        <w:t xml:space="preserve"> Archive, File 18. </w:t>
      </w:r>
      <w:r w:rsidR="00FE15AD">
        <w:t xml:space="preserve">Translations from the German are mine unless otherwise </w:t>
      </w:r>
      <w:proofErr w:type="spellStart"/>
      <w:r w:rsidR="00FE15AD">
        <w:t>acknlowledged</w:t>
      </w:r>
      <w:proofErr w:type="spellEnd"/>
      <w:r>
        <w:t>.</w:t>
      </w:r>
    </w:p>
  </w:footnote>
  <w:footnote w:id="27">
    <w:p w:rsidR="002F4DBB" w:rsidRPr="00EA0C3C" w:rsidRDefault="002F4DBB" w:rsidP="002F4DBB">
      <w:pPr>
        <w:pStyle w:val="FootnoteText"/>
      </w:pPr>
      <w:r>
        <w:rPr>
          <w:rStyle w:val="FootnoteReference"/>
        </w:rPr>
        <w:footnoteRef/>
      </w:r>
      <w:r>
        <w:t xml:space="preserve"> Bernd </w:t>
      </w:r>
      <w:proofErr w:type="spellStart"/>
      <w:r>
        <w:t>Stegemann</w:t>
      </w:r>
      <w:proofErr w:type="spellEnd"/>
      <w:r>
        <w:t xml:space="preserve">, </w:t>
      </w:r>
      <w:r>
        <w:rPr>
          <w:i/>
        </w:rPr>
        <w:t xml:space="preserve">Lob des </w:t>
      </w:r>
      <w:proofErr w:type="spellStart"/>
      <w:r>
        <w:rPr>
          <w:i/>
        </w:rPr>
        <w:t>Realismus</w:t>
      </w:r>
      <w:proofErr w:type="spellEnd"/>
      <w:r>
        <w:t xml:space="preserve"> (Berlin: </w:t>
      </w:r>
      <w:proofErr w:type="spellStart"/>
      <w:r>
        <w:t>Theater</w:t>
      </w:r>
      <w:proofErr w:type="spellEnd"/>
      <w:r>
        <w:t xml:space="preserve"> der Zeit, 2015), pp. 77 and 17, respectively.</w:t>
      </w:r>
    </w:p>
  </w:footnote>
  <w:footnote w:id="28">
    <w:p w:rsidR="00592A92" w:rsidRPr="00EE0FAC" w:rsidRDefault="00592A92">
      <w:pPr>
        <w:pStyle w:val="FootnoteText"/>
      </w:pPr>
      <w:r>
        <w:rPr>
          <w:rStyle w:val="FootnoteReference"/>
        </w:rPr>
        <w:footnoteRef/>
      </w:r>
      <w:r>
        <w:t xml:space="preserve"> </w:t>
      </w:r>
      <w:r w:rsidR="00E20FCE">
        <w:t xml:space="preserve">Bertolt </w:t>
      </w:r>
      <w:r w:rsidR="00E20FCE" w:rsidRPr="00541FC3">
        <w:t>Brecht, ‘</w:t>
      </w:r>
      <w:r w:rsidR="00E20FCE">
        <w:t xml:space="preserve">About our </w:t>
      </w:r>
      <w:proofErr w:type="spellStart"/>
      <w:r w:rsidR="00E20FCE">
        <w:t>Stagings</w:t>
      </w:r>
      <w:proofErr w:type="spellEnd"/>
      <w:r w:rsidR="00E20FCE" w:rsidRPr="00541FC3">
        <w:t xml:space="preserve">’, in Brecht, </w:t>
      </w:r>
      <w:r w:rsidR="00E20FCE" w:rsidRPr="00541FC3">
        <w:rPr>
          <w:i/>
        </w:rPr>
        <w:t>Brecht on Theatre</w:t>
      </w:r>
      <w:r w:rsidR="00E20FCE" w:rsidRPr="00541FC3">
        <w:t xml:space="preserve">, third edition, ed. by Marc Silberman, Steve Giles and Tom Kuhn </w:t>
      </w:r>
      <w:r w:rsidR="00E20FCE">
        <w:t xml:space="preserve">(London: Bloomsbury, 2015), p. 274. </w:t>
      </w:r>
      <w:r>
        <w:t>I have substituted the word ‘</w:t>
      </w:r>
      <w:r>
        <w:rPr>
          <w:i/>
        </w:rPr>
        <w:t>Fabel</w:t>
      </w:r>
      <w:r>
        <w:t>’ for ‘plot’ in the English translation for clarity. As will become evident, the two are not the same.</w:t>
      </w:r>
    </w:p>
  </w:footnote>
  <w:footnote w:id="29">
    <w:p w:rsidR="00E20FCE" w:rsidRDefault="00E20FCE">
      <w:pPr>
        <w:pStyle w:val="FootnoteText"/>
      </w:pPr>
      <w:r>
        <w:rPr>
          <w:rStyle w:val="FootnoteReference"/>
        </w:rPr>
        <w:footnoteRef/>
      </w:r>
      <w:r>
        <w:t xml:space="preserve"> Miller, in </w:t>
      </w:r>
      <w:proofErr w:type="spellStart"/>
      <w:r>
        <w:t>Gussow</w:t>
      </w:r>
      <w:proofErr w:type="spellEnd"/>
      <w:r>
        <w:t>, p. 102.</w:t>
      </w:r>
    </w:p>
  </w:footnote>
  <w:footnote w:id="30">
    <w:p w:rsidR="00E20FCE" w:rsidRDefault="00E20FCE">
      <w:pPr>
        <w:pStyle w:val="FootnoteText"/>
      </w:pPr>
      <w:r>
        <w:rPr>
          <w:rStyle w:val="FootnoteReference"/>
        </w:rPr>
        <w:footnoteRef/>
      </w:r>
      <w:r>
        <w:t xml:space="preserve"> </w:t>
      </w:r>
      <w:r w:rsidRPr="008A6B79">
        <w:t>Arthur</w:t>
      </w:r>
      <w:r>
        <w:t xml:space="preserve"> </w:t>
      </w:r>
      <w:r w:rsidRPr="008A6B79">
        <w:t xml:space="preserve">Miller, ‘Why I Wrote </w:t>
      </w:r>
      <w:r w:rsidRPr="008A6B79">
        <w:rPr>
          <w:i/>
        </w:rPr>
        <w:t>The Crucible</w:t>
      </w:r>
      <w:r w:rsidRPr="008A6B79">
        <w:t xml:space="preserve">. An Artist’s Answer to Politics’, </w:t>
      </w:r>
      <w:r w:rsidRPr="008A6B79">
        <w:rPr>
          <w:i/>
        </w:rPr>
        <w:t>The New Yorker</w:t>
      </w:r>
      <w:r w:rsidRPr="008A6B79">
        <w:t xml:space="preserve">, 21 October </w:t>
      </w:r>
      <w:r>
        <w:t xml:space="preserve">1996 </w:t>
      </w:r>
      <w:r w:rsidRPr="008A6B79">
        <w:t>(</w:t>
      </w:r>
      <w:r>
        <w:t xml:space="preserve">available at </w:t>
      </w:r>
      <w:hyperlink r:id="rId3" w:history="1">
        <w:r w:rsidRPr="008A6B79">
          <w:rPr>
            <w:rStyle w:val="Hyperlink"/>
          </w:rPr>
          <w:t>http://www.plosin.com/beatbegins/archive/millercrucible.htm</w:t>
        </w:r>
      </w:hyperlink>
      <w:r w:rsidRPr="008A6B79">
        <w:t>)</w:t>
      </w:r>
      <w:r>
        <w:t xml:space="preserve"> [accessed </w:t>
      </w:r>
      <w:r w:rsidR="007B7E38">
        <w:t>1 August 2019</w:t>
      </w:r>
      <w:r>
        <w:t>].</w:t>
      </w:r>
    </w:p>
  </w:footnote>
  <w:footnote w:id="31">
    <w:p w:rsidR="00E20FCE" w:rsidRDefault="00E20FCE">
      <w:pPr>
        <w:pStyle w:val="FootnoteText"/>
      </w:pPr>
      <w:r>
        <w:rPr>
          <w:rStyle w:val="FootnoteReference"/>
        </w:rPr>
        <w:footnoteRef/>
      </w:r>
      <w:r>
        <w:t xml:space="preserve"> </w:t>
      </w:r>
      <w:r w:rsidRPr="008A6B79">
        <w:t>Arthur</w:t>
      </w:r>
      <w:r>
        <w:t xml:space="preserve"> </w:t>
      </w:r>
      <w:r w:rsidRPr="008A6B79">
        <w:t>Miller</w:t>
      </w:r>
      <w:r>
        <w:t>,</w:t>
      </w:r>
      <w:r w:rsidRPr="008A6B79">
        <w:t xml:space="preserve"> ‘Introduction to the Collected Plays’, in Miller, </w:t>
      </w:r>
      <w:r w:rsidRPr="008A6B79">
        <w:rPr>
          <w:i/>
        </w:rPr>
        <w:t>Plays</w:t>
      </w:r>
      <w:r w:rsidRPr="008A6B79">
        <w:t>, vol. 1 (London: Methuen, 1988), pp. 3-55</w:t>
      </w:r>
      <w:r>
        <w:t>, here p. 42.</w:t>
      </w:r>
    </w:p>
  </w:footnote>
  <w:footnote w:id="32">
    <w:p w:rsidR="00592A92" w:rsidRDefault="00592A92" w:rsidP="003E3088">
      <w:pPr>
        <w:pStyle w:val="FootnoteText"/>
      </w:pPr>
      <w:r>
        <w:rPr>
          <w:rStyle w:val="FootnoteReference"/>
        </w:rPr>
        <w:footnoteRef/>
      </w:r>
      <w:r>
        <w:t xml:space="preserve"> The exception here is when Proctor uses the term ironically towards Judge </w:t>
      </w:r>
      <w:proofErr w:type="spellStart"/>
      <w:r>
        <w:t>Danforth</w:t>
      </w:r>
      <w:proofErr w:type="spellEnd"/>
      <w:r>
        <w:t xml:space="preserve">, mocking the mismatch of his high social position and his blindness to the girls’ deceptions in court (see Miller 2010 106). </w:t>
      </w:r>
    </w:p>
  </w:footnote>
  <w:footnote w:id="33">
    <w:p w:rsidR="00FE15AD" w:rsidRDefault="00FE15AD">
      <w:pPr>
        <w:pStyle w:val="FootnoteText"/>
      </w:pPr>
      <w:r>
        <w:rPr>
          <w:rStyle w:val="FootnoteReference"/>
        </w:rPr>
        <w:footnoteRef/>
      </w:r>
      <w:r>
        <w:t xml:space="preserve"> Brecht, ‘[</w:t>
      </w:r>
      <w:proofErr w:type="spellStart"/>
      <w:r>
        <w:t>Plagiat</w:t>
      </w:r>
      <w:proofErr w:type="spellEnd"/>
      <w:r>
        <w:t xml:space="preserve"> </w:t>
      </w:r>
      <w:proofErr w:type="spellStart"/>
      <w:r>
        <w:t>als</w:t>
      </w:r>
      <w:proofErr w:type="spellEnd"/>
      <w:r>
        <w:t xml:space="preserve"> Kunst]’, in BFA 21 318.</w:t>
      </w:r>
    </w:p>
  </w:footnote>
  <w:footnote w:id="34">
    <w:p w:rsidR="00E20FCE" w:rsidRDefault="00E20FCE">
      <w:pPr>
        <w:pStyle w:val="FootnoteText"/>
      </w:pPr>
      <w:r>
        <w:rPr>
          <w:rStyle w:val="FootnoteReference"/>
        </w:rPr>
        <w:footnoteRef/>
      </w:r>
      <w:r>
        <w:t xml:space="preserve"> </w:t>
      </w:r>
      <w:proofErr w:type="spellStart"/>
      <w:r w:rsidRPr="00CB65EE">
        <w:t>Mojtaba</w:t>
      </w:r>
      <w:proofErr w:type="spellEnd"/>
      <w:r w:rsidRPr="00CB65EE">
        <w:t xml:space="preserve"> </w:t>
      </w:r>
      <w:proofErr w:type="spellStart"/>
      <w:r w:rsidRPr="00CB65EE">
        <w:t>Jeihouni</w:t>
      </w:r>
      <w:proofErr w:type="spellEnd"/>
      <w:r w:rsidRPr="00CB65EE">
        <w:t xml:space="preserve"> and </w:t>
      </w:r>
      <w:proofErr w:type="spellStart"/>
      <w:r w:rsidRPr="00CB65EE">
        <w:t>Noorbakhsh</w:t>
      </w:r>
      <w:proofErr w:type="spellEnd"/>
      <w:r w:rsidRPr="00CB65EE">
        <w:t xml:space="preserve"> </w:t>
      </w:r>
      <w:proofErr w:type="spellStart"/>
      <w:r w:rsidRPr="00CB65EE">
        <w:t>Hooti</w:t>
      </w:r>
      <w:proofErr w:type="spellEnd"/>
      <w:r w:rsidRPr="00CB65EE">
        <w:t xml:space="preserve">, ‘“Because It Is My Name!” Miller, Proctor, and Parrhesia in </w:t>
      </w:r>
      <w:r w:rsidRPr="00CB65EE">
        <w:rPr>
          <w:i/>
        </w:rPr>
        <w:t>The Crucible</w:t>
      </w:r>
      <w:r w:rsidRPr="00CB65EE">
        <w:t xml:space="preserve">’, </w:t>
      </w:r>
      <w:r w:rsidRPr="00CB65EE">
        <w:rPr>
          <w:i/>
        </w:rPr>
        <w:t xml:space="preserve">Orbis </w:t>
      </w:r>
      <w:proofErr w:type="spellStart"/>
      <w:r w:rsidRPr="00CB65EE">
        <w:rPr>
          <w:i/>
        </w:rPr>
        <w:t>Litterarum</w:t>
      </w:r>
      <w:proofErr w:type="spellEnd"/>
      <w:r w:rsidRPr="00CB65EE">
        <w:t>, 73: 2</w:t>
      </w:r>
      <w:r>
        <w:t xml:space="preserve"> (2018)</w:t>
      </w:r>
      <w:r w:rsidRPr="00CB65EE">
        <w:t>, pp. 103-126</w:t>
      </w:r>
      <w:r>
        <w:t>, here p. 105.</w:t>
      </w:r>
    </w:p>
  </w:footnote>
  <w:footnote w:id="35">
    <w:p w:rsidR="00E20FCE" w:rsidRDefault="00E20FCE">
      <w:pPr>
        <w:pStyle w:val="FootnoteText"/>
      </w:pPr>
      <w:r>
        <w:rPr>
          <w:rStyle w:val="FootnoteReference"/>
        </w:rPr>
        <w:footnoteRef/>
      </w:r>
      <w:r>
        <w:t xml:space="preserve"> </w:t>
      </w:r>
      <w:r w:rsidRPr="00A85F5A">
        <w:t>Elin Diamond</w:t>
      </w:r>
      <w:r>
        <w:t>, (1988),</w:t>
      </w:r>
      <w:r w:rsidRPr="00A85F5A">
        <w:t xml:space="preserve"> </w:t>
      </w:r>
      <w:r>
        <w:t>‘</w:t>
      </w:r>
      <w:r w:rsidRPr="00A85F5A">
        <w:t>Brechtian Theory/ Feminist Theory: Toward a Gestic Feminist Criticism</w:t>
      </w:r>
      <w:r>
        <w:t xml:space="preserve">’, </w:t>
      </w:r>
      <w:r w:rsidRPr="00A85F5A">
        <w:rPr>
          <w:i/>
        </w:rPr>
        <w:t>The Drama Review</w:t>
      </w:r>
      <w:r>
        <w:t>,</w:t>
      </w:r>
      <w:r w:rsidRPr="00A85F5A">
        <w:t xml:space="preserve"> </w:t>
      </w:r>
      <w:r>
        <w:t xml:space="preserve">32: </w:t>
      </w:r>
      <w:r w:rsidRPr="00A85F5A">
        <w:t>1</w:t>
      </w:r>
      <w:r>
        <w:t xml:space="preserve"> (1988)</w:t>
      </w:r>
      <w:r w:rsidRPr="00A85F5A">
        <w:t>, pp. 82-94</w:t>
      </w:r>
      <w:r>
        <w:t>, here p. 89.</w:t>
      </w:r>
    </w:p>
  </w:footnote>
  <w:footnote w:id="36">
    <w:p w:rsidR="00421674" w:rsidRDefault="00421674" w:rsidP="00421674">
      <w:pPr>
        <w:pStyle w:val="FootnoteText"/>
      </w:pPr>
      <w:r>
        <w:rPr>
          <w:rStyle w:val="FootnoteReference"/>
        </w:rPr>
        <w:footnoteRef/>
      </w:r>
      <w:r>
        <w:t xml:space="preserve"> </w:t>
      </w:r>
      <w:r w:rsidRPr="00334C68">
        <w:t>Arthur</w:t>
      </w:r>
      <w:r>
        <w:t xml:space="preserve"> </w:t>
      </w:r>
      <w:r w:rsidRPr="00334C68">
        <w:t>Miller</w:t>
      </w:r>
      <w:r>
        <w:t>,</w:t>
      </w:r>
      <w:r w:rsidRPr="00334C68">
        <w:t xml:space="preserve"> ‘</w:t>
      </w:r>
      <w:r w:rsidRPr="00334C68">
        <w:rPr>
          <w:i/>
        </w:rPr>
        <w:t>The Crucible</w:t>
      </w:r>
      <w:r w:rsidRPr="00334C68">
        <w:t xml:space="preserve"> in History’, in Miller, The Crucible</w:t>
      </w:r>
      <w:r w:rsidRPr="00334C68">
        <w:rPr>
          <w:i/>
        </w:rPr>
        <w:t xml:space="preserve"> in History and Other Essays</w:t>
      </w:r>
      <w:r w:rsidRPr="00334C68">
        <w:t xml:space="preserve"> (London: Methuen</w:t>
      </w:r>
      <w:r>
        <w:t>, 2000</w:t>
      </w:r>
      <w:r w:rsidRPr="00334C68">
        <w:t>), pp. 3-55</w:t>
      </w:r>
      <w:r>
        <w:t>, here p</w:t>
      </w:r>
      <w:r w:rsidR="00653EC5">
        <w:t>p</w:t>
      </w:r>
      <w:r>
        <w:t>. 39</w:t>
      </w:r>
      <w:r w:rsidR="00653EC5">
        <w:t xml:space="preserve"> and 35, respectively.</w:t>
      </w:r>
    </w:p>
  </w:footnote>
  <w:footnote w:id="37">
    <w:p w:rsidR="00700190" w:rsidRDefault="00700190">
      <w:pPr>
        <w:pStyle w:val="FootnoteText"/>
      </w:pPr>
      <w:r>
        <w:rPr>
          <w:rStyle w:val="FootnoteReference"/>
        </w:rPr>
        <w:footnoteRef/>
      </w:r>
      <w:r>
        <w:t xml:space="preserve"> Miller, in </w:t>
      </w:r>
      <w:proofErr w:type="spellStart"/>
      <w:r>
        <w:t>Gussow</w:t>
      </w:r>
      <w:proofErr w:type="spellEnd"/>
      <w:r>
        <w:t>, p. 35.</w:t>
      </w:r>
    </w:p>
  </w:footnote>
  <w:footnote w:id="38">
    <w:p w:rsidR="00700190" w:rsidRDefault="00700190">
      <w:pPr>
        <w:pStyle w:val="FootnoteText"/>
      </w:pPr>
      <w:r>
        <w:rPr>
          <w:rStyle w:val="FootnoteReference"/>
        </w:rPr>
        <w:footnoteRef/>
      </w:r>
      <w:r>
        <w:t xml:space="preserve"> Bertolt</w:t>
      </w:r>
      <w:r w:rsidRPr="00700190">
        <w:t xml:space="preserve"> </w:t>
      </w:r>
      <w:r>
        <w:t xml:space="preserve">Brecht, </w:t>
      </w:r>
      <w:r>
        <w:rPr>
          <w:i/>
        </w:rPr>
        <w:t>Bertolt Brecht’s Me-</w:t>
      </w:r>
      <w:proofErr w:type="spellStart"/>
      <w:r>
        <w:rPr>
          <w:i/>
        </w:rPr>
        <w:t>ti</w:t>
      </w:r>
      <w:proofErr w:type="spellEnd"/>
      <w:r>
        <w:rPr>
          <w:i/>
        </w:rPr>
        <w:t>: Book of Interventions in the Flow of Things</w:t>
      </w:r>
      <w:r>
        <w:t xml:space="preserve">, edited and translated by Antony </w:t>
      </w:r>
      <w:proofErr w:type="spellStart"/>
      <w:r>
        <w:t>Tatlow</w:t>
      </w:r>
      <w:proofErr w:type="spellEnd"/>
      <w:r>
        <w:t xml:space="preserve"> (London: Bloomsbury, 2016), p. 81.</w:t>
      </w:r>
    </w:p>
  </w:footnote>
  <w:footnote w:id="39">
    <w:p w:rsidR="007431B5" w:rsidRDefault="007431B5">
      <w:pPr>
        <w:pStyle w:val="FootnoteText"/>
      </w:pPr>
      <w:r>
        <w:rPr>
          <w:rStyle w:val="FootnoteReference"/>
        </w:rPr>
        <w:footnoteRef/>
      </w:r>
      <w:r>
        <w:t xml:space="preserve"> Ralf Simon, ‘</w:t>
      </w:r>
      <w:proofErr w:type="spellStart"/>
      <w:r w:rsidRPr="007431B5">
        <w:t>Zur</w:t>
      </w:r>
      <w:proofErr w:type="spellEnd"/>
      <w:r w:rsidRPr="007431B5">
        <w:t xml:space="preserve"> </w:t>
      </w:r>
      <w:proofErr w:type="spellStart"/>
      <w:r w:rsidRPr="007431B5">
        <w:t>poetischen</w:t>
      </w:r>
      <w:proofErr w:type="spellEnd"/>
      <w:r w:rsidRPr="007431B5">
        <w:t xml:space="preserve"> Anthropologie der </w:t>
      </w:r>
      <w:proofErr w:type="spellStart"/>
      <w:r w:rsidRPr="007431B5">
        <w:t>Komödie</w:t>
      </w:r>
      <w:proofErr w:type="spellEnd"/>
      <w:r w:rsidRPr="007431B5">
        <w:t xml:space="preserve"> in </w:t>
      </w:r>
      <w:proofErr w:type="spellStart"/>
      <w:r w:rsidRPr="007431B5">
        <w:t>Brechts</w:t>
      </w:r>
      <w:proofErr w:type="spellEnd"/>
      <w:r w:rsidRPr="007431B5">
        <w:t xml:space="preserve"> </w:t>
      </w:r>
      <w:proofErr w:type="spellStart"/>
      <w:r w:rsidRPr="007431B5">
        <w:rPr>
          <w:i/>
        </w:rPr>
        <w:t>Messingkauf</w:t>
      </w:r>
      <w:proofErr w:type="spellEnd"/>
      <w:r>
        <w:t xml:space="preserve">’, </w:t>
      </w:r>
      <w:r>
        <w:rPr>
          <w:i/>
        </w:rPr>
        <w:t>Brecht Yearbook</w:t>
      </w:r>
      <w:r>
        <w:t>, 24 (1999), pp. 276-90, here p. 280.</w:t>
      </w:r>
    </w:p>
  </w:footnote>
  <w:footnote w:id="40">
    <w:p w:rsidR="00700190" w:rsidRDefault="00700190">
      <w:pPr>
        <w:pStyle w:val="FootnoteText"/>
      </w:pPr>
      <w:r>
        <w:rPr>
          <w:rStyle w:val="FootnoteReference"/>
        </w:rPr>
        <w:footnoteRef/>
      </w:r>
      <w:r>
        <w:t xml:space="preserve"> See Mason, 108.</w:t>
      </w:r>
    </w:p>
  </w:footnote>
  <w:footnote w:id="41">
    <w:p w:rsidR="00700190" w:rsidRDefault="00700190">
      <w:pPr>
        <w:pStyle w:val="FootnoteText"/>
      </w:pPr>
      <w:r>
        <w:rPr>
          <w:rStyle w:val="FootnoteReference"/>
        </w:rPr>
        <w:footnoteRef/>
      </w:r>
      <w:r>
        <w:t xml:space="preserve"> Miller, ‘Introduction’, p. 45.</w:t>
      </w:r>
    </w:p>
  </w:footnote>
  <w:footnote w:id="42">
    <w:p w:rsidR="00700190" w:rsidRDefault="00700190">
      <w:pPr>
        <w:pStyle w:val="FootnoteText"/>
      </w:pPr>
      <w:r>
        <w:rPr>
          <w:rStyle w:val="FootnoteReference"/>
        </w:rPr>
        <w:footnoteRef/>
      </w:r>
      <w:r>
        <w:t xml:space="preserve"> </w:t>
      </w:r>
      <w:r w:rsidRPr="00F85A64">
        <w:t>Arthur</w:t>
      </w:r>
      <w:r>
        <w:t xml:space="preserve"> </w:t>
      </w:r>
      <w:r w:rsidRPr="00F85A64">
        <w:t>Miller</w:t>
      </w:r>
      <w:r>
        <w:t>,</w:t>
      </w:r>
      <w:r w:rsidRPr="00F85A64">
        <w:t xml:space="preserve"> </w:t>
      </w:r>
      <w:r w:rsidRPr="00F85A64">
        <w:rPr>
          <w:i/>
        </w:rPr>
        <w:t>The Theatre Essays of Arthur Miller</w:t>
      </w:r>
      <w:r w:rsidRPr="00F85A64">
        <w:t>, edited and introduced by Ro</w:t>
      </w:r>
      <w:r>
        <w:t>bert A. Martin (London: Methuen, 1994</w:t>
      </w:r>
      <w:r w:rsidRPr="00F85A64">
        <w:t>)</w:t>
      </w:r>
      <w:r>
        <w:t>, p. 272.</w:t>
      </w:r>
    </w:p>
  </w:footnote>
  <w:footnote w:id="43">
    <w:p w:rsidR="00700190" w:rsidRDefault="00700190">
      <w:pPr>
        <w:pStyle w:val="FootnoteText"/>
      </w:pPr>
      <w:r>
        <w:rPr>
          <w:rStyle w:val="FootnoteReference"/>
        </w:rPr>
        <w:footnoteRef/>
      </w:r>
      <w:r>
        <w:t xml:space="preserve"> See Martin </w:t>
      </w:r>
      <w:proofErr w:type="spellStart"/>
      <w:r>
        <w:t>Esslin</w:t>
      </w:r>
      <w:proofErr w:type="spellEnd"/>
      <w:r>
        <w:t xml:space="preserve">, </w:t>
      </w:r>
      <w:r>
        <w:rPr>
          <w:i/>
        </w:rPr>
        <w:t>Brecht: A Choice of Evils. A Critical Study of the Man, his Work, and his O</w:t>
      </w:r>
      <w:r w:rsidRPr="00F42835">
        <w:rPr>
          <w:i/>
        </w:rPr>
        <w:t>pinions</w:t>
      </w:r>
      <w:r>
        <w:t xml:space="preserve"> (London: Eyre and </w:t>
      </w:r>
      <w:proofErr w:type="spellStart"/>
      <w:r>
        <w:t>Spottiswoode</w:t>
      </w:r>
      <w:proofErr w:type="spellEnd"/>
      <w:r>
        <w:t>, 1959).</w:t>
      </w:r>
    </w:p>
  </w:footnote>
  <w:footnote w:id="44">
    <w:p w:rsidR="00383B7A" w:rsidRPr="00383B7A" w:rsidRDefault="00383B7A" w:rsidP="00383B7A">
      <w:pPr>
        <w:pStyle w:val="FootnoteText"/>
      </w:pPr>
      <w:r>
        <w:rPr>
          <w:rStyle w:val="FootnoteReference"/>
        </w:rPr>
        <w:footnoteRef/>
      </w:r>
      <w:r>
        <w:t xml:space="preserve"> And in doing this, started a tradition that can be traced to John </w:t>
      </w:r>
      <w:proofErr w:type="spellStart"/>
      <w:r>
        <w:t>Fuegi</w:t>
      </w:r>
      <w:proofErr w:type="spellEnd"/>
      <w:r>
        <w:t xml:space="preserve"> in his </w:t>
      </w:r>
      <w:r w:rsidRPr="00383B7A">
        <w:rPr>
          <w:i/>
          <w:iCs/>
        </w:rPr>
        <w:t>Bertolt Brecht: Chaos according to Plan</w:t>
      </w:r>
      <w:r w:rsidRPr="00383B7A">
        <w:rPr>
          <w:iCs/>
        </w:rPr>
        <w:t xml:space="preserve"> </w:t>
      </w:r>
      <w:r w:rsidRPr="00383B7A">
        <w:t>(</w:t>
      </w:r>
      <w:proofErr w:type="spellStart"/>
      <w:r w:rsidRPr="00383B7A">
        <w:t>Cambridge:Cambridge</w:t>
      </w:r>
      <w:proofErr w:type="spellEnd"/>
      <w:r w:rsidRPr="00383B7A">
        <w:t xml:space="preserve"> University</w:t>
      </w:r>
      <w:r>
        <w:t xml:space="preserve"> </w:t>
      </w:r>
      <w:r w:rsidRPr="00383B7A">
        <w:t xml:space="preserve">Press, 1987), </w:t>
      </w:r>
      <w:r>
        <w:t>which de-politicizes</w:t>
      </w:r>
      <w:r w:rsidR="00E3634B">
        <w:t xml:space="preserve"> Brecht’s stagecraft (</w:t>
      </w:r>
      <w:r w:rsidRPr="00383B7A">
        <w:t>particularly pp. 110–86</w:t>
      </w:r>
      <w:r w:rsidR="00E3634B">
        <w:t>).</w:t>
      </w:r>
    </w:p>
  </w:footnote>
  <w:footnote w:id="45">
    <w:p w:rsidR="008E23F0" w:rsidRPr="008E23F0" w:rsidRDefault="008E23F0">
      <w:pPr>
        <w:pStyle w:val="FootnoteText"/>
        <w:rPr>
          <w:i/>
        </w:rPr>
      </w:pPr>
      <w:r>
        <w:rPr>
          <w:rStyle w:val="FootnoteReference"/>
        </w:rPr>
        <w:footnoteRef/>
      </w:r>
      <w:r>
        <w:t xml:space="preserve"> This may have something to do with the somewhat </w:t>
      </w:r>
      <w:r w:rsidR="000F7948">
        <w:t>black-and-white</w:t>
      </w:r>
      <w:r>
        <w:t xml:space="preserve"> approach</w:t>
      </w:r>
      <w:r w:rsidRPr="008E23F0">
        <w:t xml:space="preserve"> </w:t>
      </w:r>
      <w:r>
        <w:t xml:space="preserve">Jean-Paul Sartre took in his </w:t>
      </w:r>
      <w:r w:rsidR="000F7948">
        <w:t xml:space="preserve">Marxist </w:t>
      </w:r>
      <w:r>
        <w:t>adaptation of the play</w:t>
      </w:r>
      <w:r w:rsidR="000F7948">
        <w:t xml:space="preserve"> for the cinema</w:t>
      </w:r>
      <w:r>
        <w:t xml:space="preserve">, </w:t>
      </w:r>
      <w:r w:rsidRPr="008E23F0">
        <w:rPr>
          <w:i/>
        </w:rPr>
        <w:t xml:space="preserve">Les </w:t>
      </w:r>
      <w:proofErr w:type="spellStart"/>
      <w:r w:rsidRPr="008E23F0">
        <w:rPr>
          <w:i/>
        </w:rPr>
        <w:t>Sorcières</w:t>
      </w:r>
      <w:proofErr w:type="spellEnd"/>
      <w:r w:rsidRPr="008E23F0">
        <w:rPr>
          <w:i/>
        </w:rPr>
        <w:t xml:space="preserve"> de Salem</w:t>
      </w:r>
      <w:r>
        <w:t xml:space="preserve"> (1957). Miller understood the film as </w:t>
      </w:r>
      <w:r w:rsidR="000F7948">
        <w:t xml:space="preserve">reducing </w:t>
      </w:r>
      <w:r>
        <w:t>‘</w:t>
      </w:r>
      <w:r w:rsidRPr="008E23F0">
        <w:t>man to a digit in the social dialectic</w:t>
      </w:r>
      <w:r>
        <w:t>’ (Miller in Mason</w:t>
      </w:r>
      <w:r w:rsidR="00E3634B">
        <w:t>, p.</w:t>
      </w:r>
      <w:r>
        <w:t xml:space="preserve"> 40).</w:t>
      </w:r>
      <w:r>
        <w:rPr>
          <w:i/>
        </w:rPr>
        <w:t xml:space="preserve"> </w:t>
      </w:r>
    </w:p>
  </w:footnote>
  <w:footnote w:id="46">
    <w:p w:rsidR="00700190" w:rsidRDefault="00700190">
      <w:pPr>
        <w:pStyle w:val="FootnoteText"/>
      </w:pPr>
      <w:r>
        <w:rPr>
          <w:rStyle w:val="FootnoteReference"/>
        </w:rPr>
        <w:footnoteRef/>
      </w:r>
      <w:r>
        <w:t xml:space="preserve"> Bertolt Brecht, ‘</w:t>
      </w:r>
      <w:r w:rsidRPr="0015232D">
        <w:t>The</w:t>
      </w:r>
      <w:r>
        <w:rPr>
          <w:i/>
        </w:rPr>
        <w:t xml:space="preserve"> Threepenny </w:t>
      </w:r>
      <w:r w:rsidRPr="0015232D">
        <w:t>Lawsuit</w:t>
      </w:r>
      <w:r>
        <w:t xml:space="preserve">’, in Brecht, </w:t>
      </w:r>
      <w:r>
        <w:rPr>
          <w:i/>
        </w:rPr>
        <w:t>Bertolt Brecht on Film and Radio</w:t>
      </w:r>
      <w:r>
        <w:t xml:space="preserve"> (London: Methuen, 2000), pp. 147-99, here p. 148.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4F"/>
    <w:rsid w:val="000051F8"/>
    <w:rsid w:val="00020AED"/>
    <w:rsid w:val="000229B3"/>
    <w:rsid w:val="00030DD1"/>
    <w:rsid w:val="00032408"/>
    <w:rsid w:val="00040744"/>
    <w:rsid w:val="00042AFA"/>
    <w:rsid w:val="00043431"/>
    <w:rsid w:val="0005233B"/>
    <w:rsid w:val="0005795F"/>
    <w:rsid w:val="00060FC4"/>
    <w:rsid w:val="0008292D"/>
    <w:rsid w:val="00083A09"/>
    <w:rsid w:val="00084EA1"/>
    <w:rsid w:val="00085D71"/>
    <w:rsid w:val="0009025C"/>
    <w:rsid w:val="000A089B"/>
    <w:rsid w:val="000A69D2"/>
    <w:rsid w:val="000C1118"/>
    <w:rsid w:val="000C15A9"/>
    <w:rsid w:val="000C31C9"/>
    <w:rsid w:val="000D6483"/>
    <w:rsid w:val="000F72D6"/>
    <w:rsid w:val="000F7948"/>
    <w:rsid w:val="00106264"/>
    <w:rsid w:val="00115D77"/>
    <w:rsid w:val="0012080F"/>
    <w:rsid w:val="00120AF7"/>
    <w:rsid w:val="00134806"/>
    <w:rsid w:val="00140485"/>
    <w:rsid w:val="0015232D"/>
    <w:rsid w:val="00157A9C"/>
    <w:rsid w:val="00184E1A"/>
    <w:rsid w:val="00192635"/>
    <w:rsid w:val="001B0CE7"/>
    <w:rsid w:val="001D028F"/>
    <w:rsid w:val="001D4EB8"/>
    <w:rsid w:val="001F17F5"/>
    <w:rsid w:val="001F3964"/>
    <w:rsid w:val="001F4293"/>
    <w:rsid w:val="00201DB0"/>
    <w:rsid w:val="002150D6"/>
    <w:rsid w:val="00225A2D"/>
    <w:rsid w:val="00226A4F"/>
    <w:rsid w:val="00236BE7"/>
    <w:rsid w:val="00243E03"/>
    <w:rsid w:val="002578B1"/>
    <w:rsid w:val="0029059B"/>
    <w:rsid w:val="002934CD"/>
    <w:rsid w:val="00294779"/>
    <w:rsid w:val="002A50BF"/>
    <w:rsid w:val="002A7690"/>
    <w:rsid w:val="002B4016"/>
    <w:rsid w:val="002D2429"/>
    <w:rsid w:val="002D4C69"/>
    <w:rsid w:val="002F11AF"/>
    <w:rsid w:val="002F4DBB"/>
    <w:rsid w:val="0030054F"/>
    <w:rsid w:val="003101A3"/>
    <w:rsid w:val="003125F2"/>
    <w:rsid w:val="00313A59"/>
    <w:rsid w:val="003145E0"/>
    <w:rsid w:val="003179D4"/>
    <w:rsid w:val="00334C68"/>
    <w:rsid w:val="003366B0"/>
    <w:rsid w:val="00337CB9"/>
    <w:rsid w:val="0034527C"/>
    <w:rsid w:val="0036374C"/>
    <w:rsid w:val="00383B7A"/>
    <w:rsid w:val="003A4D83"/>
    <w:rsid w:val="003B462D"/>
    <w:rsid w:val="003B790D"/>
    <w:rsid w:val="003C109A"/>
    <w:rsid w:val="003C142A"/>
    <w:rsid w:val="003E0284"/>
    <w:rsid w:val="003E3088"/>
    <w:rsid w:val="003E33AC"/>
    <w:rsid w:val="003E7CB9"/>
    <w:rsid w:val="004008AB"/>
    <w:rsid w:val="004035F3"/>
    <w:rsid w:val="00410213"/>
    <w:rsid w:val="00421674"/>
    <w:rsid w:val="00423DDB"/>
    <w:rsid w:val="00425A53"/>
    <w:rsid w:val="00425AD4"/>
    <w:rsid w:val="004452B9"/>
    <w:rsid w:val="00457BB7"/>
    <w:rsid w:val="00463F9F"/>
    <w:rsid w:val="00470E64"/>
    <w:rsid w:val="004727B2"/>
    <w:rsid w:val="00472D67"/>
    <w:rsid w:val="00492050"/>
    <w:rsid w:val="004A71A2"/>
    <w:rsid w:val="004C0B1C"/>
    <w:rsid w:val="004C0C84"/>
    <w:rsid w:val="004C1B1B"/>
    <w:rsid w:val="004C4D5C"/>
    <w:rsid w:val="004D0DE9"/>
    <w:rsid w:val="004E0605"/>
    <w:rsid w:val="004E1C38"/>
    <w:rsid w:val="004F01FA"/>
    <w:rsid w:val="004F1C10"/>
    <w:rsid w:val="00507DB7"/>
    <w:rsid w:val="0051359B"/>
    <w:rsid w:val="00527ADC"/>
    <w:rsid w:val="00541FC3"/>
    <w:rsid w:val="0054777D"/>
    <w:rsid w:val="005536FF"/>
    <w:rsid w:val="00562EB5"/>
    <w:rsid w:val="005632D1"/>
    <w:rsid w:val="005654C8"/>
    <w:rsid w:val="005819F1"/>
    <w:rsid w:val="00583E4F"/>
    <w:rsid w:val="00592A92"/>
    <w:rsid w:val="005E03C4"/>
    <w:rsid w:val="006152F9"/>
    <w:rsid w:val="00624CBF"/>
    <w:rsid w:val="00635524"/>
    <w:rsid w:val="00635B21"/>
    <w:rsid w:val="00636378"/>
    <w:rsid w:val="00640296"/>
    <w:rsid w:val="00653EC5"/>
    <w:rsid w:val="006706CF"/>
    <w:rsid w:val="00680B5B"/>
    <w:rsid w:val="00691ABB"/>
    <w:rsid w:val="00697EF5"/>
    <w:rsid w:val="006A063D"/>
    <w:rsid w:val="006B57B0"/>
    <w:rsid w:val="006C32D7"/>
    <w:rsid w:val="006D2893"/>
    <w:rsid w:val="006D6E31"/>
    <w:rsid w:val="00700190"/>
    <w:rsid w:val="00706275"/>
    <w:rsid w:val="00712A6A"/>
    <w:rsid w:val="00724950"/>
    <w:rsid w:val="007266DC"/>
    <w:rsid w:val="00732539"/>
    <w:rsid w:val="00742FA7"/>
    <w:rsid w:val="007431B5"/>
    <w:rsid w:val="007603AB"/>
    <w:rsid w:val="00762A0C"/>
    <w:rsid w:val="00765774"/>
    <w:rsid w:val="00771650"/>
    <w:rsid w:val="00772DC9"/>
    <w:rsid w:val="007869F4"/>
    <w:rsid w:val="00790AE3"/>
    <w:rsid w:val="007A1B0D"/>
    <w:rsid w:val="007A652F"/>
    <w:rsid w:val="007B7A83"/>
    <w:rsid w:val="007B7E38"/>
    <w:rsid w:val="007D0BB4"/>
    <w:rsid w:val="007D52B6"/>
    <w:rsid w:val="00811E0E"/>
    <w:rsid w:val="008159DC"/>
    <w:rsid w:val="0085797E"/>
    <w:rsid w:val="00867D41"/>
    <w:rsid w:val="008A36B6"/>
    <w:rsid w:val="008A6B79"/>
    <w:rsid w:val="008B7868"/>
    <w:rsid w:val="008C48B7"/>
    <w:rsid w:val="008C6E9F"/>
    <w:rsid w:val="008C742C"/>
    <w:rsid w:val="008D304E"/>
    <w:rsid w:val="008D3FD9"/>
    <w:rsid w:val="008E096B"/>
    <w:rsid w:val="008E23F0"/>
    <w:rsid w:val="008E3B82"/>
    <w:rsid w:val="009024CD"/>
    <w:rsid w:val="00902B06"/>
    <w:rsid w:val="009071FA"/>
    <w:rsid w:val="00907350"/>
    <w:rsid w:val="00921FF1"/>
    <w:rsid w:val="009262E8"/>
    <w:rsid w:val="00926C4D"/>
    <w:rsid w:val="0093195A"/>
    <w:rsid w:val="0095019C"/>
    <w:rsid w:val="0095512F"/>
    <w:rsid w:val="009606D7"/>
    <w:rsid w:val="00961DE7"/>
    <w:rsid w:val="009A1785"/>
    <w:rsid w:val="009A4669"/>
    <w:rsid w:val="009B4CD5"/>
    <w:rsid w:val="009B56BC"/>
    <w:rsid w:val="009B6BAF"/>
    <w:rsid w:val="009E48C3"/>
    <w:rsid w:val="009F0E63"/>
    <w:rsid w:val="009F1ECC"/>
    <w:rsid w:val="009F221D"/>
    <w:rsid w:val="00A07BD2"/>
    <w:rsid w:val="00A13466"/>
    <w:rsid w:val="00A25042"/>
    <w:rsid w:val="00A50676"/>
    <w:rsid w:val="00A72570"/>
    <w:rsid w:val="00A85F5A"/>
    <w:rsid w:val="00AA168A"/>
    <w:rsid w:val="00AA4512"/>
    <w:rsid w:val="00AB30FB"/>
    <w:rsid w:val="00AC174D"/>
    <w:rsid w:val="00AC35C0"/>
    <w:rsid w:val="00AC37D9"/>
    <w:rsid w:val="00AC4C11"/>
    <w:rsid w:val="00AD29AC"/>
    <w:rsid w:val="00AE40D5"/>
    <w:rsid w:val="00AE474F"/>
    <w:rsid w:val="00B009B9"/>
    <w:rsid w:val="00B0184F"/>
    <w:rsid w:val="00B03A9C"/>
    <w:rsid w:val="00B1024F"/>
    <w:rsid w:val="00B14DAE"/>
    <w:rsid w:val="00B177DD"/>
    <w:rsid w:val="00B210F5"/>
    <w:rsid w:val="00B30ACA"/>
    <w:rsid w:val="00B33B0D"/>
    <w:rsid w:val="00B3719D"/>
    <w:rsid w:val="00B46C72"/>
    <w:rsid w:val="00B52764"/>
    <w:rsid w:val="00B61B20"/>
    <w:rsid w:val="00B6331C"/>
    <w:rsid w:val="00B900BB"/>
    <w:rsid w:val="00B92560"/>
    <w:rsid w:val="00BA3DF6"/>
    <w:rsid w:val="00BB5669"/>
    <w:rsid w:val="00BC2CFC"/>
    <w:rsid w:val="00BD05CF"/>
    <w:rsid w:val="00BD5849"/>
    <w:rsid w:val="00BD5E0F"/>
    <w:rsid w:val="00BE3612"/>
    <w:rsid w:val="00BE4605"/>
    <w:rsid w:val="00BE6290"/>
    <w:rsid w:val="00BE62EE"/>
    <w:rsid w:val="00BF4094"/>
    <w:rsid w:val="00BF5553"/>
    <w:rsid w:val="00C052CD"/>
    <w:rsid w:val="00C116CE"/>
    <w:rsid w:val="00C1450C"/>
    <w:rsid w:val="00C31720"/>
    <w:rsid w:val="00C50C8A"/>
    <w:rsid w:val="00C51439"/>
    <w:rsid w:val="00C54C10"/>
    <w:rsid w:val="00C867E0"/>
    <w:rsid w:val="00C96ABD"/>
    <w:rsid w:val="00CA4B90"/>
    <w:rsid w:val="00CB54C9"/>
    <w:rsid w:val="00CB65EE"/>
    <w:rsid w:val="00CC2020"/>
    <w:rsid w:val="00CC21E4"/>
    <w:rsid w:val="00CC2ECA"/>
    <w:rsid w:val="00CE128C"/>
    <w:rsid w:val="00CE3B2C"/>
    <w:rsid w:val="00D20D35"/>
    <w:rsid w:val="00D20E6C"/>
    <w:rsid w:val="00D30221"/>
    <w:rsid w:val="00D317D0"/>
    <w:rsid w:val="00D35EE7"/>
    <w:rsid w:val="00D40A32"/>
    <w:rsid w:val="00D5771E"/>
    <w:rsid w:val="00D67097"/>
    <w:rsid w:val="00D814CF"/>
    <w:rsid w:val="00DA5CCC"/>
    <w:rsid w:val="00DC21C9"/>
    <w:rsid w:val="00DD2EDD"/>
    <w:rsid w:val="00DE47BB"/>
    <w:rsid w:val="00DE59BF"/>
    <w:rsid w:val="00DE6103"/>
    <w:rsid w:val="00E02C35"/>
    <w:rsid w:val="00E04922"/>
    <w:rsid w:val="00E20FCE"/>
    <w:rsid w:val="00E3634B"/>
    <w:rsid w:val="00E45912"/>
    <w:rsid w:val="00E54483"/>
    <w:rsid w:val="00E638EE"/>
    <w:rsid w:val="00E70967"/>
    <w:rsid w:val="00E8176B"/>
    <w:rsid w:val="00E84C63"/>
    <w:rsid w:val="00E95F51"/>
    <w:rsid w:val="00EA0C3C"/>
    <w:rsid w:val="00ED5573"/>
    <w:rsid w:val="00ED5F77"/>
    <w:rsid w:val="00EE0FAC"/>
    <w:rsid w:val="00F23023"/>
    <w:rsid w:val="00F42835"/>
    <w:rsid w:val="00F447BD"/>
    <w:rsid w:val="00F44C3B"/>
    <w:rsid w:val="00F4539E"/>
    <w:rsid w:val="00F55984"/>
    <w:rsid w:val="00F85A64"/>
    <w:rsid w:val="00F85EFF"/>
    <w:rsid w:val="00FB4EF8"/>
    <w:rsid w:val="00FC5754"/>
    <w:rsid w:val="00FC5957"/>
    <w:rsid w:val="00FC72DD"/>
    <w:rsid w:val="00FD1D9F"/>
    <w:rsid w:val="00FE15AD"/>
    <w:rsid w:val="00FE7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9C24"/>
  <w15:docId w15:val="{E89BD646-5E49-48D6-9DCA-F07E7D66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570"/>
  </w:style>
  <w:style w:type="paragraph" w:styleId="Heading1">
    <w:name w:val="heading 1"/>
    <w:basedOn w:val="Normal"/>
    <w:next w:val="Normal"/>
    <w:link w:val="Heading1Char"/>
    <w:uiPriority w:val="9"/>
    <w:qFormat/>
    <w:rsid w:val="00F4283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6378"/>
    <w:rPr>
      <w:sz w:val="20"/>
      <w:szCs w:val="20"/>
    </w:rPr>
  </w:style>
  <w:style w:type="character" w:customStyle="1" w:styleId="FootnoteTextChar">
    <w:name w:val="Footnote Text Char"/>
    <w:basedOn w:val="DefaultParagraphFont"/>
    <w:link w:val="FootnoteText"/>
    <w:uiPriority w:val="99"/>
    <w:semiHidden/>
    <w:rsid w:val="00636378"/>
    <w:rPr>
      <w:sz w:val="20"/>
      <w:szCs w:val="20"/>
    </w:rPr>
  </w:style>
  <w:style w:type="character" w:styleId="FootnoteReference">
    <w:name w:val="footnote reference"/>
    <w:basedOn w:val="DefaultParagraphFont"/>
    <w:uiPriority w:val="99"/>
    <w:semiHidden/>
    <w:unhideWhenUsed/>
    <w:rsid w:val="00636378"/>
    <w:rPr>
      <w:vertAlign w:val="superscript"/>
    </w:rPr>
  </w:style>
  <w:style w:type="character" w:styleId="Hyperlink">
    <w:name w:val="Hyperlink"/>
    <w:basedOn w:val="DefaultParagraphFont"/>
    <w:uiPriority w:val="99"/>
    <w:unhideWhenUsed/>
    <w:rsid w:val="00BD05CF"/>
    <w:rPr>
      <w:color w:val="0563C1" w:themeColor="hyperlink"/>
      <w:u w:val="single"/>
    </w:rPr>
  </w:style>
  <w:style w:type="character" w:customStyle="1" w:styleId="Heading1Char">
    <w:name w:val="Heading 1 Char"/>
    <w:basedOn w:val="DefaultParagraphFont"/>
    <w:link w:val="Heading1"/>
    <w:uiPriority w:val="9"/>
    <w:rsid w:val="00F4283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50676"/>
    <w:rPr>
      <w:sz w:val="16"/>
      <w:szCs w:val="16"/>
    </w:rPr>
  </w:style>
  <w:style w:type="paragraph" w:styleId="CommentText">
    <w:name w:val="annotation text"/>
    <w:basedOn w:val="Normal"/>
    <w:link w:val="CommentTextChar"/>
    <w:uiPriority w:val="99"/>
    <w:semiHidden/>
    <w:unhideWhenUsed/>
    <w:rsid w:val="00A50676"/>
    <w:rPr>
      <w:sz w:val="20"/>
      <w:szCs w:val="20"/>
    </w:rPr>
  </w:style>
  <w:style w:type="character" w:customStyle="1" w:styleId="CommentTextChar">
    <w:name w:val="Comment Text Char"/>
    <w:basedOn w:val="DefaultParagraphFont"/>
    <w:link w:val="CommentText"/>
    <w:uiPriority w:val="99"/>
    <w:semiHidden/>
    <w:rsid w:val="00A50676"/>
    <w:rPr>
      <w:sz w:val="20"/>
      <w:szCs w:val="20"/>
    </w:rPr>
  </w:style>
  <w:style w:type="paragraph" w:styleId="CommentSubject">
    <w:name w:val="annotation subject"/>
    <w:basedOn w:val="CommentText"/>
    <w:next w:val="CommentText"/>
    <w:link w:val="CommentSubjectChar"/>
    <w:uiPriority w:val="99"/>
    <w:semiHidden/>
    <w:unhideWhenUsed/>
    <w:rsid w:val="00A50676"/>
    <w:rPr>
      <w:b/>
      <w:bCs/>
    </w:rPr>
  </w:style>
  <w:style w:type="character" w:customStyle="1" w:styleId="CommentSubjectChar">
    <w:name w:val="Comment Subject Char"/>
    <w:basedOn w:val="CommentTextChar"/>
    <w:link w:val="CommentSubject"/>
    <w:uiPriority w:val="99"/>
    <w:semiHidden/>
    <w:rsid w:val="00A50676"/>
    <w:rPr>
      <w:b/>
      <w:bCs/>
      <w:sz w:val="20"/>
      <w:szCs w:val="20"/>
    </w:rPr>
  </w:style>
  <w:style w:type="paragraph" w:styleId="BalloonText">
    <w:name w:val="Balloon Text"/>
    <w:basedOn w:val="Normal"/>
    <w:link w:val="BalloonTextChar"/>
    <w:uiPriority w:val="99"/>
    <w:semiHidden/>
    <w:unhideWhenUsed/>
    <w:rsid w:val="00A50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676"/>
    <w:rPr>
      <w:rFonts w:ascii="Segoe UI" w:hAnsi="Segoe UI" w:cs="Segoe UI"/>
      <w:sz w:val="18"/>
      <w:szCs w:val="18"/>
    </w:rPr>
  </w:style>
  <w:style w:type="character" w:styleId="FollowedHyperlink">
    <w:name w:val="FollowedHyperlink"/>
    <w:basedOn w:val="DefaultParagraphFont"/>
    <w:uiPriority w:val="99"/>
    <w:semiHidden/>
    <w:unhideWhenUsed/>
    <w:rsid w:val="007B7E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83200">
      <w:bodyDiv w:val="1"/>
      <w:marLeft w:val="0"/>
      <w:marRight w:val="0"/>
      <w:marTop w:val="0"/>
      <w:marBottom w:val="0"/>
      <w:divBdr>
        <w:top w:val="none" w:sz="0" w:space="0" w:color="auto"/>
        <w:left w:val="none" w:sz="0" w:space="0" w:color="auto"/>
        <w:bottom w:val="none" w:sz="0" w:space="0" w:color="auto"/>
        <w:right w:val="none" w:sz="0" w:space="0" w:color="auto"/>
      </w:divBdr>
    </w:div>
    <w:div w:id="758868440">
      <w:bodyDiv w:val="1"/>
      <w:marLeft w:val="0"/>
      <w:marRight w:val="0"/>
      <w:marTop w:val="0"/>
      <w:marBottom w:val="0"/>
      <w:divBdr>
        <w:top w:val="none" w:sz="0" w:space="0" w:color="auto"/>
        <w:left w:val="none" w:sz="0" w:space="0" w:color="auto"/>
        <w:bottom w:val="none" w:sz="0" w:space="0" w:color="auto"/>
        <w:right w:val="none" w:sz="0" w:space="0" w:color="auto"/>
      </w:divBdr>
    </w:div>
    <w:div w:id="1167208748">
      <w:bodyDiv w:val="1"/>
      <w:marLeft w:val="0"/>
      <w:marRight w:val="0"/>
      <w:marTop w:val="0"/>
      <w:marBottom w:val="0"/>
      <w:divBdr>
        <w:top w:val="none" w:sz="0" w:space="0" w:color="auto"/>
        <w:left w:val="none" w:sz="0" w:space="0" w:color="auto"/>
        <w:bottom w:val="none" w:sz="0" w:space="0" w:color="auto"/>
        <w:right w:val="none" w:sz="0" w:space="0" w:color="auto"/>
      </w:divBdr>
      <w:divsChild>
        <w:div w:id="553732887">
          <w:marLeft w:val="0"/>
          <w:marRight w:val="0"/>
          <w:marTop w:val="0"/>
          <w:marBottom w:val="4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plosin.com/beatbegins/archive/millercrucible.htm" TargetMode="External"/><Relationship Id="rId2" Type="http://schemas.openxmlformats.org/officeDocument/2006/relationships/hyperlink" Target="https://www.marxists.org/archive/trotsky/1925/11/towards.htm" TargetMode="External"/><Relationship Id="rId1" Type="http://schemas.openxmlformats.org/officeDocument/2006/relationships/hyperlink" Target="file:///\\userfs\djb571\w2k\Research\Crucible%20Article\brechtinpractice.org\plays\cruc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E763-C118-4F29-A6EC-376A6B33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13</Pages>
  <Words>7298</Words>
  <Characters>41602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djb29</dc:creator>
  <cp:keywords/>
  <dc:description/>
  <cp:lastModifiedBy>DJB</cp:lastModifiedBy>
  <cp:revision>37</cp:revision>
  <dcterms:created xsi:type="dcterms:W3CDTF">2019-08-08T10:45:00Z</dcterms:created>
  <dcterms:modified xsi:type="dcterms:W3CDTF">2019-08-09T12:11:00Z</dcterms:modified>
</cp:coreProperties>
</file>