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72CC" w14:textId="77777777" w:rsidR="002F5B49" w:rsidRPr="00494ED5" w:rsidRDefault="002F5B49" w:rsidP="00494ED5">
      <w:pPr>
        <w:spacing w:after="240" w:line="360" w:lineRule="auto"/>
        <w:ind w:left="360"/>
        <w:jc w:val="center"/>
        <w:rPr>
          <w:rFonts w:ascii="Garamond" w:hAnsi="Garamond"/>
          <w:b/>
          <w:bCs/>
          <w:u w:val="single"/>
        </w:rPr>
      </w:pPr>
      <w:r w:rsidRPr="00494ED5">
        <w:rPr>
          <w:rFonts w:ascii="Garamond" w:hAnsi="Garamond"/>
          <w:b/>
          <w:bCs/>
          <w:u w:val="single"/>
        </w:rPr>
        <w:t>Recent Work</w:t>
      </w:r>
    </w:p>
    <w:p w14:paraId="266C7F84" w14:textId="2BB319D7" w:rsidR="00E75B23" w:rsidRPr="00195FCC" w:rsidRDefault="002F5B49" w:rsidP="00494ED5">
      <w:pPr>
        <w:spacing w:after="240" w:line="360" w:lineRule="auto"/>
        <w:ind w:left="360"/>
        <w:jc w:val="center"/>
        <w:rPr>
          <w:rFonts w:ascii="Garamond" w:hAnsi="Garamond"/>
          <w:b/>
          <w:bCs/>
        </w:rPr>
      </w:pPr>
      <w:r w:rsidRPr="00195FCC">
        <w:rPr>
          <w:rFonts w:ascii="Garamond" w:hAnsi="Garamond"/>
          <w:b/>
          <w:bCs/>
        </w:rPr>
        <w:t>F</w:t>
      </w:r>
      <w:r w:rsidR="00E75B23" w:rsidRPr="00195FCC">
        <w:rPr>
          <w:rFonts w:ascii="Garamond" w:hAnsi="Garamond"/>
          <w:b/>
          <w:bCs/>
        </w:rPr>
        <w:t>irst-person thought</w:t>
      </w:r>
    </w:p>
    <w:p w14:paraId="2F750FDB" w14:textId="67345E43" w:rsidR="002F5B49" w:rsidRPr="00195FCC" w:rsidRDefault="002F5B49" w:rsidP="00494ED5">
      <w:pPr>
        <w:spacing w:after="240" w:line="360" w:lineRule="auto"/>
        <w:ind w:left="360"/>
        <w:jc w:val="center"/>
        <w:rPr>
          <w:rFonts w:ascii="Garamond" w:hAnsi="Garamond"/>
          <w:b/>
          <w:bCs/>
        </w:rPr>
      </w:pPr>
      <w:r w:rsidRPr="00195FCC">
        <w:rPr>
          <w:rFonts w:ascii="Garamond" w:hAnsi="Garamond"/>
          <w:b/>
          <w:bCs/>
        </w:rPr>
        <w:t>Daniel Morgan and Léa Salje</w:t>
      </w:r>
    </w:p>
    <w:p w14:paraId="7EA3850E" w14:textId="07A2EC61" w:rsidR="00C2604D" w:rsidRPr="00195FCC" w:rsidRDefault="00E75B23" w:rsidP="00494ED5">
      <w:pPr>
        <w:pStyle w:val="ListParagraph"/>
        <w:numPr>
          <w:ilvl w:val="0"/>
          <w:numId w:val="5"/>
        </w:numPr>
        <w:spacing w:after="240" w:line="360" w:lineRule="auto"/>
        <w:rPr>
          <w:rFonts w:ascii="Garamond" w:hAnsi="Garamond"/>
          <w:b/>
          <w:bCs/>
        </w:rPr>
      </w:pPr>
      <w:r w:rsidRPr="00195FCC">
        <w:rPr>
          <w:rFonts w:ascii="Garamond" w:hAnsi="Garamond"/>
          <w:b/>
          <w:bCs/>
        </w:rPr>
        <w:t>Introduction</w:t>
      </w:r>
    </w:p>
    <w:p w14:paraId="403BECA3" w14:textId="2CE63BF6" w:rsidR="001A6F06" w:rsidRPr="00195FCC" w:rsidRDefault="00231641" w:rsidP="00494ED5">
      <w:pPr>
        <w:spacing w:after="240" w:line="360" w:lineRule="auto"/>
        <w:jc w:val="both"/>
        <w:rPr>
          <w:rFonts w:ascii="Garamond" w:hAnsi="Garamond"/>
        </w:rPr>
      </w:pPr>
      <w:r w:rsidRPr="00195FCC">
        <w:rPr>
          <w:rFonts w:ascii="Garamond" w:hAnsi="Garamond"/>
        </w:rPr>
        <w:t xml:space="preserve">Subjects </w:t>
      </w:r>
      <w:r w:rsidR="001A6F06" w:rsidRPr="00195FCC">
        <w:rPr>
          <w:rFonts w:ascii="Garamond" w:hAnsi="Garamond"/>
        </w:rPr>
        <w:t xml:space="preserve">have </w:t>
      </w:r>
      <w:r w:rsidR="003E6BC8" w:rsidRPr="00195FCC">
        <w:rPr>
          <w:rFonts w:ascii="Garamond" w:hAnsi="Garamond"/>
        </w:rPr>
        <w:t>various</w:t>
      </w:r>
      <w:r w:rsidRPr="00195FCC">
        <w:rPr>
          <w:rFonts w:ascii="Garamond" w:hAnsi="Garamond"/>
        </w:rPr>
        <w:t xml:space="preserve"> </w:t>
      </w:r>
      <w:r w:rsidR="001A6F06" w:rsidRPr="00195FCC">
        <w:rPr>
          <w:rFonts w:ascii="Garamond" w:hAnsi="Garamond"/>
        </w:rPr>
        <w:t xml:space="preserve">ways of thinking about </w:t>
      </w:r>
      <w:r w:rsidR="007D2965" w:rsidRPr="00195FCC">
        <w:rPr>
          <w:rFonts w:ascii="Garamond" w:hAnsi="Garamond"/>
        </w:rPr>
        <w:t>themselves</w:t>
      </w:r>
      <w:r w:rsidR="00EB3D66" w:rsidRPr="00195FCC">
        <w:rPr>
          <w:rFonts w:ascii="Garamond" w:hAnsi="Garamond"/>
        </w:rPr>
        <w:t xml:space="preserve">. </w:t>
      </w:r>
      <w:r w:rsidR="00992EF1" w:rsidRPr="00195FCC">
        <w:rPr>
          <w:rFonts w:ascii="Garamond" w:hAnsi="Garamond"/>
        </w:rPr>
        <w:t>Here are</w:t>
      </w:r>
      <w:r w:rsidR="00427FFD" w:rsidRPr="00195FCC">
        <w:rPr>
          <w:rFonts w:ascii="Garamond" w:hAnsi="Garamond"/>
        </w:rPr>
        <w:t xml:space="preserve"> three examples</w:t>
      </w:r>
      <w:r w:rsidR="00992EF1" w:rsidRPr="00195FCC">
        <w:rPr>
          <w:rFonts w:ascii="Garamond" w:hAnsi="Garamond"/>
        </w:rPr>
        <w:t>:</w:t>
      </w:r>
      <w:r w:rsidR="003A530B" w:rsidRPr="00195FCC">
        <w:rPr>
          <w:rFonts w:ascii="Garamond" w:hAnsi="Garamond"/>
        </w:rPr>
        <w:t xml:space="preserve"> </w:t>
      </w:r>
      <w:r w:rsidR="007D2965" w:rsidRPr="00195FCC">
        <w:rPr>
          <w:rFonts w:ascii="Garamond" w:hAnsi="Garamond"/>
        </w:rPr>
        <w:t xml:space="preserve">a subject can think of herself </w:t>
      </w:r>
      <w:r w:rsidR="001A6F06" w:rsidRPr="00195FCC">
        <w:rPr>
          <w:rFonts w:ascii="Garamond" w:hAnsi="Garamond"/>
        </w:rPr>
        <w:t>under a</w:t>
      </w:r>
      <w:r w:rsidRPr="00195FCC">
        <w:rPr>
          <w:rFonts w:ascii="Garamond" w:hAnsi="Garamond"/>
        </w:rPr>
        <w:t>n appropriate</w:t>
      </w:r>
      <w:r w:rsidR="001A6F06" w:rsidRPr="00195FCC">
        <w:rPr>
          <w:rFonts w:ascii="Garamond" w:hAnsi="Garamond"/>
        </w:rPr>
        <w:t xml:space="preserve"> description</w:t>
      </w:r>
      <w:r w:rsidR="00427FFD" w:rsidRPr="00195FCC">
        <w:rPr>
          <w:rFonts w:ascii="Garamond" w:hAnsi="Garamond"/>
        </w:rPr>
        <w:t xml:space="preserve"> (</w:t>
      </w:r>
      <w:r w:rsidR="00427FFD" w:rsidRPr="00195FCC">
        <w:rPr>
          <w:rFonts w:ascii="Garamond" w:hAnsi="Garamond"/>
          <w:i/>
          <w:iCs/>
        </w:rPr>
        <w:t>the</w:t>
      </w:r>
      <w:r w:rsidR="00D83CBA" w:rsidRPr="00195FCC">
        <w:rPr>
          <w:rFonts w:ascii="Garamond" w:hAnsi="Garamond"/>
          <w:i/>
          <w:iCs/>
        </w:rPr>
        <w:t xml:space="preserve"> hiker</w:t>
      </w:r>
      <w:r w:rsidR="00427FFD" w:rsidRPr="00195FCC">
        <w:rPr>
          <w:rFonts w:ascii="Garamond" w:hAnsi="Garamond"/>
          <w:i/>
          <w:iCs/>
        </w:rPr>
        <w:t>)</w:t>
      </w:r>
      <w:r w:rsidR="001A6F06" w:rsidRPr="00195FCC">
        <w:rPr>
          <w:rFonts w:ascii="Garamond" w:hAnsi="Garamond"/>
        </w:rPr>
        <w:t>, demonstratively</w:t>
      </w:r>
      <w:r w:rsidR="00427FFD" w:rsidRPr="00195FCC">
        <w:rPr>
          <w:rFonts w:ascii="Garamond" w:hAnsi="Garamond"/>
        </w:rPr>
        <w:t xml:space="preserve"> (</w:t>
      </w:r>
      <w:r w:rsidR="00427FFD" w:rsidRPr="00195FCC">
        <w:rPr>
          <w:rFonts w:ascii="Garamond" w:hAnsi="Garamond"/>
          <w:i/>
          <w:iCs/>
        </w:rPr>
        <w:t>that person)</w:t>
      </w:r>
      <w:r w:rsidR="001A6F06" w:rsidRPr="00195FCC">
        <w:rPr>
          <w:rFonts w:ascii="Garamond" w:hAnsi="Garamond"/>
        </w:rPr>
        <w:t xml:space="preserve">, </w:t>
      </w:r>
      <w:r w:rsidR="003A530B" w:rsidRPr="00195FCC">
        <w:rPr>
          <w:rFonts w:ascii="Garamond" w:hAnsi="Garamond"/>
        </w:rPr>
        <w:t>or</w:t>
      </w:r>
      <w:r w:rsidR="003E6BC8" w:rsidRPr="00195FCC">
        <w:rPr>
          <w:rFonts w:ascii="Garamond" w:hAnsi="Garamond"/>
        </w:rPr>
        <w:t xml:space="preserve"> by</w:t>
      </w:r>
      <w:r w:rsidR="003A530B" w:rsidRPr="00195FCC">
        <w:rPr>
          <w:rFonts w:ascii="Garamond" w:hAnsi="Garamond"/>
        </w:rPr>
        <w:t xml:space="preserve"> </w:t>
      </w:r>
      <w:r w:rsidR="00137E95" w:rsidRPr="00195FCC">
        <w:rPr>
          <w:rFonts w:ascii="Garamond" w:hAnsi="Garamond"/>
        </w:rPr>
        <w:t xml:space="preserve">mentally mouthing </w:t>
      </w:r>
      <w:r w:rsidR="007D2965" w:rsidRPr="00195FCC">
        <w:rPr>
          <w:rFonts w:ascii="Garamond" w:hAnsi="Garamond"/>
        </w:rPr>
        <w:t>her</w:t>
      </w:r>
      <w:r w:rsidR="001A6F06" w:rsidRPr="00195FCC">
        <w:rPr>
          <w:rFonts w:ascii="Garamond" w:hAnsi="Garamond"/>
        </w:rPr>
        <w:t xml:space="preserve"> name</w:t>
      </w:r>
      <w:r w:rsidR="00427FFD" w:rsidRPr="00195FCC">
        <w:rPr>
          <w:rFonts w:ascii="Garamond" w:hAnsi="Garamond"/>
        </w:rPr>
        <w:t xml:space="preserve"> (</w:t>
      </w:r>
      <w:r w:rsidR="00427FFD" w:rsidRPr="00195FCC">
        <w:rPr>
          <w:rFonts w:ascii="Garamond" w:hAnsi="Garamond"/>
          <w:i/>
          <w:iCs/>
        </w:rPr>
        <w:t>NN)</w:t>
      </w:r>
      <w:r w:rsidR="001A6F06" w:rsidRPr="00195FCC">
        <w:rPr>
          <w:rFonts w:ascii="Garamond" w:hAnsi="Garamond"/>
        </w:rPr>
        <w:t xml:space="preserve">. </w:t>
      </w:r>
      <w:r w:rsidRPr="00195FCC">
        <w:rPr>
          <w:rFonts w:ascii="Garamond" w:hAnsi="Garamond"/>
        </w:rPr>
        <w:t>When</w:t>
      </w:r>
      <w:r w:rsidR="00AE28A5" w:rsidRPr="00195FCC">
        <w:rPr>
          <w:rFonts w:ascii="Garamond" w:hAnsi="Garamond"/>
        </w:rPr>
        <w:t>ever</w:t>
      </w:r>
      <w:r w:rsidRPr="00195FCC">
        <w:rPr>
          <w:rFonts w:ascii="Garamond" w:hAnsi="Garamond"/>
        </w:rPr>
        <w:t xml:space="preserve"> a subject thinks of herself in </w:t>
      </w:r>
      <w:r w:rsidR="0075449E" w:rsidRPr="00195FCC">
        <w:rPr>
          <w:rFonts w:ascii="Garamond" w:hAnsi="Garamond"/>
        </w:rPr>
        <w:t>one</w:t>
      </w:r>
      <w:r w:rsidRPr="00195FCC">
        <w:rPr>
          <w:rFonts w:ascii="Garamond" w:hAnsi="Garamond"/>
        </w:rPr>
        <w:t xml:space="preserve"> of these ways, there is a further question whether she also realises that it is </w:t>
      </w:r>
      <w:r w:rsidRPr="00BD703E">
        <w:rPr>
          <w:rFonts w:ascii="Garamond" w:hAnsi="Garamond"/>
        </w:rPr>
        <w:t xml:space="preserve">she </w:t>
      </w:r>
      <w:r w:rsidRPr="00720382">
        <w:rPr>
          <w:rFonts w:ascii="Garamond" w:hAnsi="Garamond"/>
        </w:rPr>
        <w:t>herself</w:t>
      </w:r>
      <w:r w:rsidRPr="00195FCC">
        <w:rPr>
          <w:rFonts w:ascii="Garamond" w:hAnsi="Garamond"/>
        </w:rPr>
        <w:t xml:space="preserve"> she is thereby thinking of</w:t>
      </w:r>
      <w:r w:rsidRPr="00195FCC">
        <w:rPr>
          <w:rFonts w:ascii="Garamond" w:hAnsi="Garamond"/>
          <w:i/>
          <w:iCs/>
        </w:rPr>
        <w:t xml:space="preserve">. </w:t>
      </w:r>
      <w:r w:rsidR="00834082">
        <w:rPr>
          <w:rFonts w:ascii="Garamond" w:hAnsi="Garamond"/>
        </w:rPr>
        <w:t>By contrast, t</w:t>
      </w:r>
      <w:r w:rsidR="00A654F2" w:rsidRPr="00195FCC">
        <w:rPr>
          <w:rFonts w:ascii="Garamond" w:hAnsi="Garamond"/>
        </w:rPr>
        <w:t>here is a</w:t>
      </w:r>
      <w:r w:rsidR="00E806DA" w:rsidRPr="00195FCC">
        <w:rPr>
          <w:rFonts w:ascii="Garamond" w:hAnsi="Garamond"/>
        </w:rPr>
        <w:t xml:space="preserve">nother way of thinking of </w:t>
      </w:r>
      <w:r w:rsidR="00E12787" w:rsidRPr="00195FCC">
        <w:rPr>
          <w:rFonts w:ascii="Garamond" w:hAnsi="Garamond"/>
        </w:rPr>
        <w:t xml:space="preserve">oneself </w:t>
      </w:r>
      <w:r w:rsidR="00834082">
        <w:rPr>
          <w:rFonts w:ascii="Garamond" w:hAnsi="Garamond"/>
        </w:rPr>
        <w:t>deserving of</w:t>
      </w:r>
      <w:r w:rsidR="00E806DA" w:rsidRPr="00195FCC">
        <w:rPr>
          <w:rFonts w:ascii="Garamond" w:hAnsi="Garamond"/>
        </w:rPr>
        <w:t xml:space="preserve"> a place on this list</w:t>
      </w:r>
      <w:r w:rsidR="00834082">
        <w:rPr>
          <w:rFonts w:ascii="Garamond" w:hAnsi="Garamond"/>
        </w:rPr>
        <w:t xml:space="preserve"> that seemingly differs in this respect</w:t>
      </w:r>
      <w:r w:rsidR="00E806DA" w:rsidRPr="00195FCC">
        <w:rPr>
          <w:rFonts w:ascii="Garamond" w:hAnsi="Garamond"/>
        </w:rPr>
        <w:t xml:space="preserve"> </w:t>
      </w:r>
      <w:r w:rsidR="00A654F2" w:rsidRPr="00195FCC">
        <w:rPr>
          <w:rFonts w:ascii="Garamond" w:hAnsi="Garamond"/>
        </w:rPr>
        <w:t xml:space="preserve">– </w:t>
      </w:r>
      <w:r w:rsidR="00E806DA" w:rsidRPr="00195FCC">
        <w:rPr>
          <w:rFonts w:ascii="Garamond" w:hAnsi="Garamond"/>
        </w:rPr>
        <w:t xml:space="preserve">the way of thinking of </w:t>
      </w:r>
      <w:r w:rsidR="00544487" w:rsidRPr="00195FCC">
        <w:rPr>
          <w:rFonts w:ascii="Garamond" w:hAnsi="Garamond"/>
        </w:rPr>
        <w:t>oneself</w:t>
      </w:r>
      <w:r w:rsidR="00E806DA" w:rsidRPr="00195FCC">
        <w:rPr>
          <w:rFonts w:ascii="Garamond" w:hAnsi="Garamond"/>
        </w:rPr>
        <w:t xml:space="preserve"> </w:t>
      </w:r>
      <w:r w:rsidR="00E806DA" w:rsidRPr="00195FCC">
        <w:rPr>
          <w:rFonts w:ascii="Garamond" w:hAnsi="Garamond"/>
          <w:i/>
          <w:iCs/>
        </w:rPr>
        <w:t>first-personally</w:t>
      </w:r>
      <w:r w:rsidR="00F507E0" w:rsidRPr="00195FCC">
        <w:rPr>
          <w:rFonts w:ascii="Garamond" w:hAnsi="Garamond"/>
        </w:rPr>
        <w:t>,</w:t>
      </w:r>
      <w:r w:rsidR="00F507E0" w:rsidRPr="00195FCC">
        <w:rPr>
          <w:rFonts w:ascii="Garamond" w:hAnsi="Garamond"/>
          <w:i/>
          <w:iCs/>
        </w:rPr>
        <w:t xml:space="preserve"> </w:t>
      </w:r>
      <w:r w:rsidR="00F507E0" w:rsidRPr="00195FCC">
        <w:rPr>
          <w:rFonts w:ascii="Garamond" w:hAnsi="Garamond"/>
        </w:rPr>
        <w:t xml:space="preserve">or </w:t>
      </w:r>
      <w:r w:rsidR="00F507E0" w:rsidRPr="00195FCC">
        <w:rPr>
          <w:rFonts w:ascii="Garamond" w:hAnsi="Garamond"/>
          <w:i/>
          <w:iCs/>
        </w:rPr>
        <w:t xml:space="preserve">de se </w:t>
      </w:r>
      <w:r w:rsidR="00F507E0" w:rsidRPr="00195FCC">
        <w:rPr>
          <w:rFonts w:ascii="Garamond" w:hAnsi="Garamond"/>
        </w:rPr>
        <w:t>(we’ll use these</w:t>
      </w:r>
      <w:r w:rsidR="00E12787" w:rsidRPr="00195FCC">
        <w:rPr>
          <w:rFonts w:ascii="Garamond" w:hAnsi="Garamond"/>
        </w:rPr>
        <w:t xml:space="preserve"> terms</w:t>
      </w:r>
      <w:r w:rsidR="00F507E0" w:rsidRPr="00195FCC">
        <w:rPr>
          <w:rFonts w:ascii="Garamond" w:hAnsi="Garamond"/>
        </w:rPr>
        <w:t xml:space="preserve"> interchangeably)</w:t>
      </w:r>
      <w:r w:rsidR="00E806DA" w:rsidRPr="00195FCC">
        <w:rPr>
          <w:rFonts w:ascii="Garamond" w:hAnsi="Garamond"/>
          <w:i/>
          <w:iCs/>
        </w:rPr>
        <w:t xml:space="preserve">. </w:t>
      </w:r>
      <w:r w:rsidR="00AF423C" w:rsidRPr="00195FCC">
        <w:rPr>
          <w:rFonts w:ascii="Garamond" w:hAnsi="Garamond"/>
        </w:rPr>
        <w:t>As a heuristic, we might say that this</w:t>
      </w:r>
      <w:r w:rsidR="0026095F" w:rsidRPr="00195FCC">
        <w:rPr>
          <w:rFonts w:ascii="Garamond" w:hAnsi="Garamond"/>
        </w:rPr>
        <w:t xml:space="preserve"> is</w:t>
      </w:r>
      <w:r w:rsidR="00E12787" w:rsidRPr="00195FCC">
        <w:rPr>
          <w:rFonts w:ascii="Garamond" w:hAnsi="Garamond"/>
        </w:rPr>
        <w:t xml:space="preserve"> the kind of thought about herself that a thinker would </w:t>
      </w:r>
      <w:r w:rsidR="00EE6E7E" w:rsidRPr="00195FCC">
        <w:rPr>
          <w:rFonts w:ascii="Garamond" w:hAnsi="Garamond"/>
        </w:rPr>
        <w:t xml:space="preserve">naturally express </w:t>
      </w:r>
      <w:r w:rsidR="0079227C" w:rsidRPr="00195FCC">
        <w:rPr>
          <w:rFonts w:ascii="Garamond" w:hAnsi="Garamond"/>
        </w:rPr>
        <w:t xml:space="preserve">using a </w:t>
      </w:r>
      <w:r w:rsidR="00BB2D43" w:rsidRPr="00195FCC">
        <w:rPr>
          <w:rFonts w:ascii="Garamond" w:hAnsi="Garamond"/>
        </w:rPr>
        <w:t>first-person</w:t>
      </w:r>
      <w:r w:rsidR="0079227C" w:rsidRPr="00195FCC">
        <w:rPr>
          <w:rFonts w:ascii="Garamond" w:hAnsi="Garamond"/>
        </w:rPr>
        <w:t xml:space="preserve"> pronoun in language</w:t>
      </w:r>
      <w:r w:rsidR="00F216F7" w:rsidRPr="00195FCC">
        <w:rPr>
          <w:rFonts w:ascii="Garamond" w:hAnsi="Garamond"/>
        </w:rPr>
        <w:t xml:space="preserve"> (</w:t>
      </w:r>
      <w:r w:rsidR="00137E95" w:rsidRPr="00195FCC">
        <w:rPr>
          <w:rFonts w:ascii="Garamond" w:hAnsi="Garamond"/>
        </w:rPr>
        <w:t>“</w:t>
      </w:r>
      <w:r w:rsidR="00F216F7" w:rsidRPr="00195FCC">
        <w:rPr>
          <w:rFonts w:ascii="Garamond" w:hAnsi="Garamond"/>
          <w:i/>
          <w:iCs/>
        </w:rPr>
        <w:t>I</w:t>
      </w:r>
      <w:r w:rsidR="00F216F7" w:rsidRPr="00195FCC">
        <w:rPr>
          <w:rFonts w:ascii="Garamond" w:hAnsi="Garamond"/>
        </w:rPr>
        <w:t xml:space="preserve"> am F</w:t>
      </w:r>
      <w:r w:rsidR="00137E95" w:rsidRPr="00195FCC">
        <w:rPr>
          <w:rFonts w:ascii="Garamond" w:hAnsi="Garamond"/>
        </w:rPr>
        <w:t xml:space="preserve">”, or “The </w:t>
      </w:r>
      <w:r w:rsidR="000A4D69" w:rsidRPr="00195FCC">
        <w:rPr>
          <w:rFonts w:ascii="Garamond" w:hAnsi="Garamond"/>
        </w:rPr>
        <w:t>F</w:t>
      </w:r>
      <w:r w:rsidR="00137E95" w:rsidRPr="00195FCC">
        <w:rPr>
          <w:rFonts w:ascii="Garamond" w:hAnsi="Garamond"/>
        </w:rPr>
        <w:t xml:space="preserve"> is </w:t>
      </w:r>
      <w:r w:rsidR="00137E95" w:rsidRPr="00195FCC">
        <w:rPr>
          <w:rFonts w:ascii="Garamond" w:hAnsi="Garamond"/>
          <w:i/>
          <w:iCs/>
        </w:rPr>
        <w:t>me</w:t>
      </w:r>
      <w:r w:rsidR="00137E95" w:rsidRPr="00195FCC">
        <w:rPr>
          <w:rFonts w:ascii="Garamond" w:hAnsi="Garamond"/>
        </w:rPr>
        <w:t>”</w:t>
      </w:r>
      <w:r w:rsidR="00F216F7" w:rsidRPr="00195FCC">
        <w:rPr>
          <w:rFonts w:ascii="Garamond" w:hAnsi="Garamond"/>
        </w:rPr>
        <w:t>)</w:t>
      </w:r>
      <w:r w:rsidR="0079227C" w:rsidRPr="00195FCC">
        <w:rPr>
          <w:rFonts w:ascii="Garamond" w:hAnsi="Garamond"/>
        </w:rPr>
        <w:t xml:space="preserve">. </w:t>
      </w:r>
    </w:p>
    <w:p w14:paraId="1A0A0C35" w14:textId="179720D0" w:rsidR="00576F1D" w:rsidRPr="00195FCC" w:rsidRDefault="00AE28A5" w:rsidP="00494ED5">
      <w:pPr>
        <w:spacing w:after="240" w:line="360" w:lineRule="auto"/>
        <w:jc w:val="both"/>
        <w:rPr>
          <w:rFonts w:ascii="Garamond" w:hAnsi="Garamond"/>
          <w:lang w:val="en-US"/>
        </w:rPr>
      </w:pPr>
      <w:r w:rsidRPr="00195FCC">
        <w:rPr>
          <w:rFonts w:ascii="Garamond" w:hAnsi="Garamond"/>
        </w:rPr>
        <w:t xml:space="preserve">It’s easy to feel that </w:t>
      </w:r>
      <w:r w:rsidR="00CA278F" w:rsidRPr="00195FCC">
        <w:rPr>
          <w:rFonts w:ascii="Garamond" w:hAnsi="Garamond"/>
          <w:i/>
          <w:iCs/>
        </w:rPr>
        <w:t>de se</w:t>
      </w:r>
      <w:r w:rsidRPr="00195FCC">
        <w:rPr>
          <w:rFonts w:ascii="Garamond" w:hAnsi="Garamond"/>
        </w:rPr>
        <w:t xml:space="preserve"> thought doesn’t just deserve a place on </w:t>
      </w:r>
      <w:r w:rsidR="0043698B" w:rsidRPr="00195FCC">
        <w:rPr>
          <w:rFonts w:ascii="Garamond" w:hAnsi="Garamond"/>
        </w:rPr>
        <w:t>our</w:t>
      </w:r>
      <w:r w:rsidRPr="00195FCC">
        <w:rPr>
          <w:rFonts w:ascii="Garamond" w:hAnsi="Garamond"/>
        </w:rPr>
        <w:t xml:space="preserve"> list</w:t>
      </w:r>
      <w:r w:rsidR="00E860EA" w:rsidRPr="00195FCC">
        <w:rPr>
          <w:rFonts w:ascii="Garamond" w:hAnsi="Garamond"/>
        </w:rPr>
        <w:t>;</w:t>
      </w:r>
      <w:r w:rsidR="00A26017" w:rsidRPr="00195FCC">
        <w:rPr>
          <w:rFonts w:ascii="Garamond" w:hAnsi="Garamond"/>
        </w:rPr>
        <w:t xml:space="preserve"> it deserves a </w:t>
      </w:r>
      <w:r w:rsidR="00DE4983" w:rsidRPr="00195FCC">
        <w:rPr>
          <w:rFonts w:ascii="Garamond" w:hAnsi="Garamond"/>
        </w:rPr>
        <w:t>top spot</w:t>
      </w:r>
      <w:r w:rsidR="00A26017" w:rsidRPr="00195FCC">
        <w:rPr>
          <w:rFonts w:ascii="Garamond" w:hAnsi="Garamond"/>
        </w:rPr>
        <w:t>.</w:t>
      </w:r>
      <w:r w:rsidR="0018562D" w:rsidRPr="00195FCC">
        <w:rPr>
          <w:rFonts w:ascii="Garamond" w:hAnsi="Garamond"/>
        </w:rPr>
        <w:t xml:space="preserve"> After all, even </w:t>
      </w:r>
      <w:r w:rsidR="00BE195C" w:rsidRPr="00195FCC">
        <w:rPr>
          <w:rFonts w:ascii="Garamond" w:hAnsi="Garamond"/>
        </w:rPr>
        <w:t>if</w:t>
      </w:r>
      <w:r w:rsidR="0018562D" w:rsidRPr="00195FCC">
        <w:rPr>
          <w:rFonts w:ascii="Garamond" w:hAnsi="Garamond"/>
        </w:rPr>
        <w:t xml:space="preserve"> </w:t>
      </w:r>
      <w:r w:rsidR="00E12787" w:rsidRPr="00195FCC">
        <w:rPr>
          <w:rFonts w:ascii="Garamond" w:hAnsi="Garamond"/>
        </w:rPr>
        <w:t>a subject</w:t>
      </w:r>
      <w:r w:rsidR="0018562D" w:rsidRPr="00195FCC">
        <w:rPr>
          <w:rFonts w:ascii="Garamond" w:hAnsi="Garamond"/>
        </w:rPr>
        <w:t xml:space="preserve"> </w:t>
      </w:r>
      <w:r w:rsidR="0018562D" w:rsidRPr="00195FCC">
        <w:rPr>
          <w:rFonts w:ascii="Garamond" w:hAnsi="Garamond"/>
          <w:i/>
          <w:iCs/>
        </w:rPr>
        <w:t>can</w:t>
      </w:r>
      <w:r w:rsidR="0018562D" w:rsidRPr="00195FCC">
        <w:rPr>
          <w:rFonts w:ascii="Garamond" w:hAnsi="Garamond"/>
        </w:rPr>
        <w:t xml:space="preserve"> think of </w:t>
      </w:r>
      <w:r w:rsidR="00E12787" w:rsidRPr="00195FCC">
        <w:rPr>
          <w:rFonts w:ascii="Garamond" w:hAnsi="Garamond"/>
        </w:rPr>
        <w:t>her</w:t>
      </w:r>
      <w:r w:rsidR="0018562D" w:rsidRPr="00195FCC">
        <w:rPr>
          <w:rFonts w:ascii="Garamond" w:hAnsi="Garamond"/>
        </w:rPr>
        <w:t>self</w:t>
      </w:r>
      <w:r w:rsidR="009A2519" w:rsidRPr="00195FCC">
        <w:rPr>
          <w:rFonts w:ascii="Garamond" w:hAnsi="Garamond"/>
        </w:rPr>
        <w:t xml:space="preserve"> in the three initial ways mentioned above</w:t>
      </w:r>
      <w:r w:rsidR="0018562D" w:rsidRPr="00195FCC">
        <w:rPr>
          <w:rFonts w:ascii="Garamond" w:hAnsi="Garamond"/>
        </w:rPr>
        <w:t xml:space="preserve">, surely </w:t>
      </w:r>
      <w:r w:rsidR="00E12787" w:rsidRPr="00195FCC">
        <w:rPr>
          <w:rFonts w:ascii="Garamond" w:hAnsi="Garamond"/>
        </w:rPr>
        <w:t>her</w:t>
      </w:r>
      <w:r w:rsidR="0018562D" w:rsidRPr="00195FCC">
        <w:rPr>
          <w:rFonts w:ascii="Garamond" w:hAnsi="Garamond"/>
        </w:rPr>
        <w:t xml:space="preserve"> first-personal way of thinking of </w:t>
      </w:r>
      <w:r w:rsidR="00E12787" w:rsidRPr="00195FCC">
        <w:rPr>
          <w:rFonts w:ascii="Garamond" w:hAnsi="Garamond"/>
        </w:rPr>
        <w:t>her</w:t>
      </w:r>
      <w:r w:rsidR="0018562D" w:rsidRPr="00195FCC">
        <w:rPr>
          <w:rFonts w:ascii="Garamond" w:hAnsi="Garamond"/>
        </w:rPr>
        <w:t xml:space="preserve">self looms much larger in </w:t>
      </w:r>
      <w:r w:rsidR="00E12787" w:rsidRPr="00195FCC">
        <w:rPr>
          <w:rFonts w:ascii="Garamond" w:hAnsi="Garamond"/>
        </w:rPr>
        <w:t xml:space="preserve">her </w:t>
      </w:r>
      <w:r w:rsidR="0018562D" w:rsidRPr="00195FCC">
        <w:rPr>
          <w:rFonts w:ascii="Garamond" w:hAnsi="Garamond"/>
        </w:rPr>
        <w:t>mental life than the others</w:t>
      </w:r>
      <w:r w:rsidR="007D6F7F" w:rsidRPr="00195FCC">
        <w:rPr>
          <w:rFonts w:ascii="Garamond" w:hAnsi="Garamond"/>
        </w:rPr>
        <w:t xml:space="preserve">, </w:t>
      </w:r>
      <w:r w:rsidR="0018562D" w:rsidRPr="00195FCC">
        <w:rPr>
          <w:rFonts w:ascii="Garamond" w:hAnsi="Garamond"/>
        </w:rPr>
        <w:t xml:space="preserve">both </w:t>
      </w:r>
      <w:r w:rsidR="00FA28E3" w:rsidRPr="00195FCC">
        <w:rPr>
          <w:rFonts w:ascii="Garamond" w:hAnsi="Garamond"/>
        </w:rPr>
        <w:t>with respect to</w:t>
      </w:r>
      <w:r w:rsidR="0018562D" w:rsidRPr="00195FCC">
        <w:rPr>
          <w:rFonts w:ascii="Garamond" w:hAnsi="Garamond"/>
        </w:rPr>
        <w:t xml:space="preserve"> how often</w:t>
      </w:r>
      <w:r w:rsidR="00CE4BFA" w:rsidRPr="00195FCC">
        <w:rPr>
          <w:rFonts w:ascii="Garamond" w:hAnsi="Garamond"/>
        </w:rPr>
        <w:t xml:space="preserve"> </w:t>
      </w:r>
      <w:r w:rsidR="00E12787" w:rsidRPr="00195FCC">
        <w:rPr>
          <w:rFonts w:ascii="Garamond" w:hAnsi="Garamond"/>
        </w:rPr>
        <w:t>she</w:t>
      </w:r>
      <w:r w:rsidR="00AB4967" w:rsidRPr="00195FCC">
        <w:rPr>
          <w:rFonts w:ascii="Garamond" w:hAnsi="Garamond"/>
        </w:rPr>
        <w:t xml:space="preserve"> think</w:t>
      </w:r>
      <w:r w:rsidR="00720382">
        <w:rPr>
          <w:rFonts w:ascii="Garamond" w:hAnsi="Garamond"/>
        </w:rPr>
        <w:t>s</w:t>
      </w:r>
      <w:r w:rsidR="00AB4967" w:rsidRPr="00195FCC">
        <w:rPr>
          <w:rFonts w:ascii="Garamond" w:hAnsi="Garamond"/>
        </w:rPr>
        <w:t xml:space="preserve"> of </w:t>
      </w:r>
      <w:r w:rsidR="00E12787" w:rsidRPr="00195FCC">
        <w:rPr>
          <w:rFonts w:ascii="Garamond" w:hAnsi="Garamond"/>
        </w:rPr>
        <w:t>her</w:t>
      </w:r>
      <w:r w:rsidR="00AB4967" w:rsidRPr="00195FCC">
        <w:rPr>
          <w:rFonts w:ascii="Garamond" w:hAnsi="Garamond"/>
        </w:rPr>
        <w:t xml:space="preserve">self </w:t>
      </w:r>
      <w:r w:rsidR="00E12787" w:rsidRPr="00195FCC">
        <w:rPr>
          <w:rFonts w:ascii="Garamond" w:hAnsi="Garamond"/>
        </w:rPr>
        <w:t xml:space="preserve">in </w:t>
      </w:r>
      <w:r w:rsidR="00AA3003" w:rsidRPr="00195FCC">
        <w:rPr>
          <w:rFonts w:ascii="Garamond" w:hAnsi="Garamond"/>
        </w:rPr>
        <w:t>that way</w:t>
      </w:r>
      <w:r w:rsidR="00AB4967" w:rsidRPr="00195FCC">
        <w:rPr>
          <w:rFonts w:ascii="Garamond" w:hAnsi="Garamond"/>
        </w:rPr>
        <w:t xml:space="preserve"> and how </w:t>
      </w:r>
      <w:r w:rsidR="0050710B" w:rsidRPr="00195FCC">
        <w:rPr>
          <w:rFonts w:ascii="Garamond" w:hAnsi="Garamond"/>
        </w:rPr>
        <w:t>important</w:t>
      </w:r>
      <w:r w:rsidR="005C6671" w:rsidRPr="00195FCC">
        <w:rPr>
          <w:rFonts w:ascii="Garamond" w:hAnsi="Garamond"/>
        </w:rPr>
        <w:t xml:space="preserve"> </w:t>
      </w:r>
      <w:r w:rsidR="00E12787" w:rsidRPr="00195FCC">
        <w:rPr>
          <w:rFonts w:ascii="Garamond" w:hAnsi="Garamond"/>
        </w:rPr>
        <w:t>the</w:t>
      </w:r>
      <w:r w:rsidR="005C6671" w:rsidRPr="00195FCC">
        <w:rPr>
          <w:rFonts w:ascii="Garamond" w:hAnsi="Garamond"/>
        </w:rPr>
        <w:t xml:space="preserve"> capacity </w:t>
      </w:r>
      <w:r w:rsidR="00F31981" w:rsidRPr="00195FCC">
        <w:rPr>
          <w:rFonts w:ascii="Garamond" w:hAnsi="Garamond"/>
        </w:rPr>
        <w:t>to</w:t>
      </w:r>
      <w:r w:rsidR="00AA3003" w:rsidRPr="00195FCC">
        <w:rPr>
          <w:rFonts w:ascii="Garamond" w:hAnsi="Garamond"/>
        </w:rPr>
        <w:t xml:space="preserve"> </w:t>
      </w:r>
      <w:r w:rsidR="00F430CC" w:rsidRPr="00195FCC">
        <w:rPr>
          <w:rFonts w:ascii="Garamond" w:hAnsi="Garamond"/>
        </w:rPr>
        <w:t xml:space="preserve">do </w:t>
      </w:r>
      <w:r w:rsidR="00AA3003" w:rsidRPr="00195FCC">
        <w:rPr>
          <w:rFonts w:ascii="Garamond" w:hAnsi="Garamond"/>
        </w:rPr>
        <w:t>so</w:t>
      </w:r>
      <w:r w:rsidR="00F31981" w:rsidRPr="00195FCC">
        <w:rPr>
          <w:rFonts w:ascii="Garamond" w:hAnsi="Garamond"/>
        </w:rPr>
        <w:t xml:space="preserve"> is to </w:t>
      </w:r>
      <w:r w:rsidR="00E12787" w:rsidRPr="00195FCC">
        <w:rPr>
          <w:rFonts w:ascii="Garamond" w:hAnsi="Garamond"/>
        </w:rPr>
        <w:t>her</w:t>
      </w:r>
      <w:r w:rsidR="00EC25C5" w:rsidRPr="00195FCC">
        <w:rPr>
          <w:rFonts w:ascii="Garamond" w:hAnsi="Garamond"/>
        </w:rPr>
        <w:t xml:space="preserve"> normal functioning. </w:t>
      </w:r>
      <w:r w:rsidR="0026265B" w:rsidRPr="00195FCC">
        <w:rPr>
          <w:rFonts w:ascii="Garamond" w:hAnsi="Garamond"/>
        </w:rPr>
        <w:t>Historically, first-person thought has attracted a great deal of philosophical attention</w:t>
      </w:r>
      <w:r w:rsidR="00240AE4">
        <w:rPr>
          <w:rFonts w:ascii="Garamond" w:hAnsi="Garamond"/>
        </w:rPr>
        <w:t>. A</w:t>
      </w:r>
      <w:r w:rsidR="00D36B11" w:rsidRPr="00195FCC">
        <w:rPr>
          <w:rFonts w:ascii="Garamond" w:hAnsi="Garamond"/>
        </w:rPr>
        <w:t>s Peacocke writes</w:t>
      </w:r>
      <w:r w:rsidR="006E062A" w:rsidRPr="00195FCC">
        <w:rPr>
          <w:rFonts w:ascii="Garamond" w:hAnsi="Garamond"/>
        </w:rPr>
        <w:t xml:space="preserve">, </w:t>
      </w:r>
      <w:r w:rsidR="000729FE" w:rsidRPr="00195FCC">
        <w:rPr>
          <w:rFonts w:ascii="Garamond" w:hAnsi="Garamond"/>
        </w:rPr>
        <w:t>‘[a]</w:t>
      </w:r>
      <w:r w:rsidR="008235C6" w:rsidRPr="00195FCC">
        <w:rPr>
          <w:rFonts w:ascii="Garamond" w:hAnsi="Garamond"/>
          <w:lang w:val="en-US"/>
        </w:rPr>
        <w:t xml:space="preserve">rticulating the phenomena distinctive of the </w:t>
      </w:r>
      <w:r w:rsidR="00BB2D43" w:rsidRPr="00195FCC">
        <w:rPr>
          <w:rFonts w:ascii="Garamond" w:hAnsi="Garamond"/>
          <w:lang w:val="en-US"/>
        </w:rPr>
        <w:t>first-person</w:t>
      </w:r>
      <w:r w:rsidR="008235C6" w:rsidRPr="00195FCC">
        <w:rPr>
          <w:rFonts w:ascii="Garamond" w:hAnsi="Garamond"/>
          <w:lang w:val="en-US"/>
        </w:rPr>
        <w:t xml:space="preserve"> has drawn forth some of the most striking contributions from the greatest philosophers</w:t>
      </w:r>
      <w:r w:rsidR="000729FE" w:rsidRPr="00195FCC">
        <w:rPr>
          <w:rFonts w:ascii="Garamond" w:hAnsi="Garamond"/>
          <w:lang w:val="en-US"/>
        </w:rPr>
        <w:t xml:space="preserve"> …’</w:t>
      </w:r>
      <w:r w:rsidR="008235C6" w:rsidRPr="00195FCC">
        <w:rPr>
          <w:rFonts w:ascii="Garamond" w:hAnsi="Garamond"/>
          <w:lang w:val="en-US"/>
        </w:rPr>
        <w:t xml:space="preserve"> (2008</w:t>
      </w:r>
      <w:r w:rsidR="00DF48F0" w:rsidRPr="00195FCC">
        <w:rPr>
          <w:rFonts w:ascii="Garamond" w:hAnsi="Garamond"/>
          <w:lang w:val="en-US"/>
        </w:rPr>
        <w:t xml:space="preserve">: </w:t>
      </w:r>
      <w:r w:rsidR="008235C6" w:rsidRPr="00195FCC">
        <w:rPr>
          <w:rFonts w:ascii="Garamond" w:hAnsi="Garamond"/>
          <w:lang w:val="en-US"/>
        </w:rPr>
        <w:t>77)</w:t>
      </w:r>
      <w:r w:rsidR="006E062A" w:rsidRPr="00195FCC">
        <w:rPr>
          <w:rFonts w:ascii="Garamond" w:hAnsi="Garamond"/>
          <w:lang w:val="en-US"/>
        </w:rPr>
        <w:t>.</w:t>
      </w:r>
      <w:r w:rsidR="00554D03" w:rsidRPr="00195FCC">
        <w:rPr>
          <w:rFonts w:ascii="Garamond" w:hAnsi="Garamond"/>
          <w:lang w:val="en-US"/>
        </w:rPr>
        <w:t xml:space="preserve"> The aim of this article is to </w:t>
      </w:r>
      <w:r w:rsidR="00AF423C" w:rsidRPr="00195FCC">
        <w:rPr>
          <w:rFonts w:ascii="Garamond" w:hAnsi="Garamond"/>
          <w:lang w:val="en-US"/>
        </w:rPr>
        <w:t>frame</w:t>
      </w:r>
      <w:r w:rsidR="00554D03" w:rsidRPr="00195FCC">
        <w:rPr>
          <w:rFonts w:ascii="Garamond" w:hAnsi="Garamond"/>
          <w:lang w:val="en-US"/>
        </w:rPr>
        <w:t xml:space="preserve"> some of the </w:t>
      </w:r>
      <w:r w:rsidR="00240AE4">
        <w:rPr>
          <w:rFonts w:ascii="Garamond" w:hAnsi="Garamond"/>
          <w:lang w:val="en-US"/>
        </w:rPr>
        <w:t xml:space="preserve">more recent </w:t>
      </w:r>
      <w:r w:rsidR="00554D03" w:rsidRPr="00195FCC">
        <w:rPr>
          <w:rFonts w:ascii="Garamond" w:hAnsi="Garamond"/>
          <w:lang w:val="en-US"/>
        </w:rPr>
        <w:t>movements and insights</w:t>
      </w:r>
      <w:r w:rsidR="009061AB" w:rsidRPr="00195FCC">
        <w:rPr>
          <w:rFonts w:ascii="Garamond" w:hAnsi="Garamond"/>
          <w:lang w:val="en-US"/>
        </w:rPr>
        <w:t xml:space="preserve"> in th</w:t>
      </w:r>
      <w:r w:rsidR="002F5B49" w:rsidRPr="00195FCC">
        <w:rPr>
          <w:rFonts w:ascii="Garamond" w:hAnsi="Garamond"/>
          <w:lang w:val="en-US"/>
        </w:rPr>
        <w:t>e</w:t>
      </w:r>
      <w:r w:rsidR="009061AB" w:rsidRPr="00195FCC">
        <w:rPr>
          <w:rFonts w:ascii="Garamond" w:hAnsi="Garamond"/>
          <w:lang w:val="en-US"/>
        </w:rPr>
        <w:t xml:space="preserve"> area </w:t>
      </w:r>
      <w:r w:rsidR="00B37B25" w:rsidRPr="00195FCC">
        <w:rPr>
          <w:rFonts w:ascii="Garamond" w:hAnsi="Garamond"/>
          <w:lang w:val="en-US"/>
        </w:rPr>
        <w:t>from</w:t>
      </w:r>
      <w:r w:rsidR="00554D03" w:rsidRPr="00195FCC">
        <w:rPr>
          <w:rFonts w:ascii="Garamond" w:hAnsi="Garamond"/>
          <w:lang w:val="en-US"/>
        </w:rPr>
        <w:t xml:space="preserve"> the last decade or so. </w:t>
      </w:r>
    </w:p>
    <w:p w14:paraId="73E2139A" w14:textId="78472D2A" w:rsidR="00A47CE7" w:rsidRPr="00195FCC" w:rsidRDefault="00576F1D" w:rsidP="00397B1C">
      <w:pPr>
        <w:spacing w:after="240" w:line="360" w:lineRule="auto"/>
        <w:jc w:val="both"/>
        <w:rPr>
          <w:rFonts w:ascii="Garamond" w:hAnsi="Garamond"/>
          <w:lang w:val="en-US"/>
        </w:rPr>
      </w:pPr>
      <w:r w:rsidRPr="00195FCC">
        <w:rPr>
          <w:rFonts w:ascii="Garamond" w:hAnsi="Garamond"/>
          <w:lang w:val="en-US"/>
        </w:rPr>
        <w:t xml:space="preserve">First, what is </w:t>
      </w:r>
      <w:r w:rsidRPr="00195FCC">
        <w:rPr>
          <w:rFonts w:ascii="Garamond" w:hAnsi="Garamond"/>
          <w:i/>
          <w:iCs/>
          <w:lang w:val="en-US"/>
        </w:rPr>
        <w:t>de se</w:t>
      </w:r>
      <w:r w:rsidRPr="00195FCC">
        <w:rPr>
          <w:rFonts w:ascii="Garamond" w:hAnsi="Garamond"/>
          <w:lang w:val="en-US"/>
        </w:rPr>
        <w:t xml:space="preserve"> thought? </w:t>
      </w:r>
      <w:r w:rsidR="00A47CE7" w:rsidRPr="00195FCC">
        <w:rPr>
          <w:rFonts w:ascii="Garamond" w:hAnsi="Garamond"/>
          <w:lang w:val="en-US"/>
        </w:rPr>
        <w:t xml:space="preserve">We’ve </w:t>
      </w:r>
      <w:r w:rsidR="00E12787" w:rsidRPr="00195FCC">
        <w:rPr>
          <w:rFonts w:ascii="Garamond" w:hAnsi="Garamond"/>
          <w:lang w:val="en-US"/>
        </w:rPr>
        <w:t xml:space="preserve">offered as a heuristic a relation to </w:t>
      </w:r>
      <w:r w:rsidR="00A47CE7" w:rsidRPr="00195FCC">
        <w:rPr>
          <w:rFonts w:ascii="Garamond" w:hAnsi="Garamond"/>
          <w:lang w:val="en-US"/>
        </w:rPr>
        <w:t xml:space="preserve">a bit of language: the first-person pronoun. But you might wonder whether this is really its </w:t>
      </w:r>
      <w:r w:rsidR="00397B1C">
        <w:rPr>
          <w:rFonts w:ascii="Garamond" w:hAnsi="Garamond"/>
          <w:lang w:val="en-US"/>
        </w:rPr>
        <w:t xml:space="preserve">most explanatorily important </w:t>
      </w:r>
      <w:r w:rsidR="00A47CE7" w:rsidRPr="00195FCC">
        <w:rPr>
          <w:rFonts w:ascii="Garamond" w:hAnsi="Garamond"/>
          <w:lang w:val="en-US"/>
        </w:rPr>
        <w:t xml:space="preserve">property. One might think that a deeper characterisation </w:t>
      </w:r>
      <w:r w:rsidR="005272BD">
        <w:rPr>
          <w:rFonts w:ascii="Garamond" w:hAnsi="Garamond"/>
          <w:lang w:val="en-US"/>
        </w:rPr>
        <w:t xml:space="preserve">will be available </w:t>
      </w:r>
      <w:r w:rsidR="009F0CCC">
        <w:rPr>
          <w:rFonts w:ascii="Garamond" w:hAnsi="Garamond"/>
          <w:lang w:val="en-US"/>
        </w:rPr>
        <w:t xml:space="preserve">in terms of </w:t>
      </w:r>
      <w:r w:rsidR="00AF423C" w:rsidRPr="00195FCC">
        <w:rPr>
          <w:rFonts w:ascii="Garamond" w:hAnsi="Garamond"/>
          <w:lang w:val="en-US"/>
        </w:rPr>
        <w:t xml:space="preserve">something more intrinsic </w:t>
      </w:r>
      <w:r w:rsidR="005272BD">
        <w:rPr>
          <w:rFonts w:ascii="Garamond" w:hAnsi="Garamond"/>
          <w:lang w:val="en-US"/>
        </w:rPr>
        <w:t>–</w:t>
      </w:r>
      <w:r w:rsidR="002F5B49" w:rsidRPr="00195FCC">
        <w:rPr>
          <w:rFonts w:ascii="Garamond" w:hAnsi="Garamond"/>
          <w:lang w:val="en-US"/>
        </w:rPr>
        <w:t xml:space="preserve"> </w:t>
      </w:r>
      <w:r w:rsidR="00AF423C" w:rsidRPr="00195FCC">
        <w:rPr>
          <w:rFonts w:ascii="Garamond" w:hAnsi="Garamond"/>
          <w:lang w:val="en-US"/>
        </w:rPr>
        <w:t xml:space="preserve">e.g. the story about how </w:t>
      </w:r>
      <w:r w:rsidR="00397B1C">
        <w:rPr>
          <w:rFonts w:ascii="Garamond" w:hAnsi="Garamond"/>
          <w:i/>
          <w:iCs/>
          <w:lang w:val="en-US"/>
        </w:rPr>
        <w:t>de se</w:t>
      </w:r>
      <w:r w:rsidR="00AF423C" w:rsidRPr="00195FCC">
        <w:rPr>
          <w:rFonts w:ascii="Garamond" w:hAnsi="Garamond"/>
          <w:lang w:val="en-US"/>
        </w:rPr>
        <w:t xml:space="preserve"> thoughts achieve their reference.</w:t>
      </w:r>
      <w:r w:rsidR="00A47CE7" w:rsidRPr="00195FCC">
        <w:rPr>
          <w:rFonts w:ascii="Garamond" w:hAnsi="Garamond"/>
          <w:lang w:val="en-US"/>
        </w:rPr>
        <w:t xml:space="preserve"> </w:t>
      </w:r>
      <w:r w:rsidR="00397B1C">
        <w:rPr>
          <w:rFonts w:ascii="Garamond" w:hAnsi="Garamond"/>
          <w:lang w:val="en-US"/>
        </w:rPr>
        <w:t>Such a characteri</w:t>
      </w:r>
      <w:r w:rsidR="009F1A6E">
        <w:rPr>
          <w:rFonts w:ascii="Garamond" w:hAnsi="Garamond"/>
          <w:lang w:val="en-US"/>
        </w:rPr>
        <w:t>s</w:t>
      </w:r>
      <w:r w:rsidR="00397B1C">
        <w:rPr>
          <w:rFonts w:ascii="Garamond" w:hAnsi="Garamond"/>
          <w:lang w:val="en-US"/>
        </w:rPr>
        <w:t>ation would inevitably import controversy</w:t>
      </w:r>
      <w:r w:rsidRPr="00195FCC">
        <w:rPr>
          <w:rFonts w:ascii="Garamond" w:hAnsi="Garamond"/>
          <w:lang w:val="en-US"/>
        </w:rPr>
        <w:t xml:space="preserve">. </w:t>
      </w:r>
      <w:r w:rsidR="00AB34BC">
        <w:rPr>
          <w:rFonts w:ascii="Garamond" w:hAnsi="Garamond"/>
          <w:lang w:val="en-US"/>
        </w:rPr>
        <w:t>The most popular</w:t>
      </w:r>
      <w:r w:rsidR="00A47CE7" w:rsidRPr="00195FCC">
        <w:rPr>
          <w:rFonts w:ascii="Garamond" w:hAnsi="Garamond"/>
          <w:lang w:val="en-US"/>
        </w:rPr>
        <w:t xml:space="preserve"> </w:t>
      </w:r>
      <w:r w:rsidR="00397B1C">
        <w:rPr>
          <w:rFonts w:ascii="Garamond" w:hAnsi="Garamond"/>
          <w:lang w:val="en-US"/>
        </w:rPr>
        <w:t xml:space="preserve">contemporary </w:t>
      </w:r>
      <w:r w:rsidR="00A47CE7" w:rsidRPr="00195FCC">
        <w:rPr>
          <w:rFonts w:ascii="Garamond" w:hAnsi="Garamond"/>
          <w:lang w:val="en-US"/>
        </w:rPr>
        <w:t xml:space="preserve">view is that </w:t>
      </w:r>
      <w:r w:rsidR="00A47CE7" w:rsidRPr="00195FCC">
        <w:rPr>
          <w:rFonts w:ascii="Garamond" w:hAnsi="Garamond"/>
          <w:i/>
          <w:iCs/>
          <w:lang w:val="en-US"/>
        </w:rPr>
        <w:t>de se</w:t>
      </w:r>
      <w:r w:rsidR="00A47CE7" w:rsidRPr="00195FCC">
        <w:rPr>
          <w:rFonts w:ascii="Garamond" w:hAnsi="Garamond"/>
          <w:lang w:val="en-US"/>
        </w:rPr>
        <w:t xml:space="preserve"> thoughts are governed by a rule that they refer to whoever is thinking them</w:t>
      </w:r>
      <w:r w:rsidR="00494ED5">
        <w:rPr>
          <w:rFonts w:ascii="Garamond" w:hAnsi="Garamond"/>
          <w:lang w:val="en-US"/>
        </w:rPr>
        <w:t>.</w:t>
      </w:r>
      <w:r w:rsidR="006F3B67">
        <w:rPr>
          <w:rStyle w:val="FootnoteReference"/>
          <w:rFonts w:ascii="Garamond" w:hAnsi="Garamond"/>
          <w:lang w:val="en-US"/>
        </w:rPr>
        <w:footnoteReference w:id="1"/>
      </w:r>
      <w:r w:rsidR="00AB34BC">
        <w:rPr>
          <w:rFonts w:ascii="Garamond" w:hAnsi="Garamond"/>
          <w:lang w:val="en-US"/>
        </w:rPr>
        <w:t xml:space="preserve"> </w:t>
      </w:r>
      <w:r w:rsidR="00A47CE7" w:rsidRPr="00195FCC">
        <w:rPr>
          <w:rFonts w:ascii="Garamond" w:hAnsi="Garamond"/>
          <w:lang w:val="en-US"/>
        </w:rPr>
        <w:t>However, not everyone agrees</w:t>
      </w:r>
      <w:r w:rsidR="00AB34BC">
        <w:rPr>
          <w:rFonts w:ascii="Garamond" w:hAnsi="Garamond"/>
          <w:lang w:val="en-US"/>
        </w:rPr>
        <w:t>.</w:t>
      </w:r>
      <w:r w:rsidR="00A47CE7" w:rsidRPr="00195FCC">
        <w:rPr>
          <w:rFonts w:ascii="Garamond" w:hAnsi="Garamond"/>
          <w:lang w:val="en-US"/>
        </w:rPr>
        <w:t xml:space="preserve"> </w:t>
      </w:r>
      <w:r w:rsidR="00AB34BC">
        <w:rPr>
          <w:rFonts w:ascii="Garamond" w:hAnsi="Garamond"/>
          <w:lang w:val="en-US"/>
        </w:rPr>
        <w:t xml:space="preserve">Some are tempted to deny that </w:t>
      </w:r>
      <w:r w:rsidR="00AB34BC">
        <w:rPr>
          <w:rFonts w:ascii="Garamond" w:hAnsi="Garamond"/>
          <w:i/>
          <w:iCs/>
          <w:lang w:val="en-US"/>
        </w:rPr>
        <w:t xml:space="preserve">de se </w:t>
      </w:r>
      <w:r w:rsidR="00AB34BC">
        <w:rPr>
          <w:rFonts w:ascii="Garamond" w:hAnsi="Garamond"/>
          <w:lang w:val="en-US"/>
        </w:rPr>
        <w:t>thought is referential at all.</w:t>
      </w:r>
      <w:r w:rsidR="009F0CCC">
        <w:rPr>
          <w:rStyle w:val="FootnoteReference"/>
          <w:rFonts w:ascii="Garamond" w:hAnsi="Garamond"/>
          <w:lang w:val="en-US"/>
        </w:rPr>
        <w:footnoteReference w:id="2"/>
      </w:r>
      <w:r w:rsidR="009F0CCC">
        <w:rPr>
          <w:rFonts w:ascii="Garamond" w:hAnsi="Garamond"/>
          <w:lang w:val="en-US"/>
        </w:rPr>
        <w:t xml:space="preserve"> </w:t>
      </w:r>
      <w:r w:rsidR="00AB34BC">
        <w:rPr>
          <w:rFonts w:ascii="Garamond" w:hAnsi="Garamond"/>
          <w:lang w:val="en-US"/>
        </w:rPr>
        <w:t xml:space="preserve">Some think that </w:t>
      </w:r>
      <w:r w:rsidR="00AB34BC">
        <w:rPr>
          <w:rFonts w:ascii="Garamond" w:hAnsi="Garamond"/>
          <w:lang w:val="en-US"/>
        </w:rPr>
        <w:lastRenderedPageBreak/>
        <w:t xml:space="preserve">different instances of </w:t>
      </w:r>
      <w:r w:rsidR="00AB34BC">
        <w:rPr>
          <w:rFonts w:ascii="Garamond" w:hAnsi="Garamond"/>
          <w:i/>
          <w:iCs/>
          <w:lang w:val="en-US"/>
        </w:rPr>
        <w:t xml:space="preserve">de se </w:t>
      </w:r>
      <w:r w:rsidR="00AB34BC">
        <w:rPr>
          <w:rFonts w:ascii="Garamond" w:hAnsi="Garamond"/>
          <w:lang w:val="en-US"/>
        </w:rPr>
        <w:t xml:space="preserve">thought might </w:t>
      </w:r>
      <w:r w:rsidR="00D846D7">
        <w:rPr>
          <w:rFonts w:ascii="Garamond" w:hAnsi="Garamond"/>
          <w:lang w:val="en-US"/>
        </w:rPr>
        <w:t>be associated with different referential stories</w:t>
      </w:r>
      <w:r w:rsidR="00A47CE7" w:rsidRPr="00AB34BC">
        <w:rPr>
          <w:rFonts w:ascii="Garamond" w:hAnsi="Garamond"/>
          <w:lang w:val="en-US"/>
        </w:rPr>
        <w:t>.</w:t>
      </w:r>
      <w:r w:rsidR="009F0CCC">
        <w:rPr>
          <w:rStyle w:val="FootnoteReference"/>
          <w:rFonts w:ascii="Garamond" w:hAnsi="Garamond"/>
          <w:lang w:val="en-US"/>
        </w:rPr>
        <w:footnoteReference w:id="3"/>
      </w:r>
      <w:r w:rsidR="00A47CE7" w:rsidRPr="00195FCC">
        <w:rPr>
          <w:rFonts w:ascii="Garamond" w:hAnsi="Garamond"/>
          <w:lang w:val="en-US"/>
        </w:rPr>
        <w:t xml:space="preserve"> </w:t>
      </w:r>
      <w:r w:rsidR="00D846D7">
        <w:rPr>
          <w:rFonts w:ascii="Garamond" w:hAnsi="Garamond"/>
          <w:lang w:val="en-US"/>
        </w:rPr>
        <w:t>Finally, s</w:t>
      </w:r>
      <w:r w:rsidR="00A47CE7" w:rsidRPr="00195FCC">
        <w:rPr>
          <w:rFonts w:ascii="Garamond" w:hAnsi="Garamond"/>
          <w:lang w:val="en-US"/>
        </w:rPr>
        <w:t xml:space="preserve">ome think that </w:t>
      </w:r>
      <w:r w:rsidR="00D846D7">
        <w:rPr>
          <w:rFonts w:ascii="Garamond" w:hAnsi="Garamond"/>
          <w:i/>
          <w:iCs/>
          <w:lang w:val="en-US"/>
        </w:rPr>
        <w:t xml:space="preserve">de se </w:t>
      </w:r>
      <w:r w:rsidR="00D846D7">
        <w:rPr>
          <w:rFonts w:ascii="Garamond" w:hAnsi="Garamond"/>
          <w:lang w:val="en-US"/>
        </w:rPr>
        <w:t>thoughts might have similar referential stories to perceptual demonstrative thoughts</w:t>
      </w:r>
      <w:r w:rsidR="00A47CE7" w:rsidRPr="00AB34BC">
        <w:rPr>
          <w:rFonts w:ascii="Garamond" w:hAnsi="Garamond"/>
          <w:lang w:val="en-US"/>
        </w:rPr>
        <w:t>.</w:t>
      </w:r>
      <w:r w:rsidR="009F0CCC">
        <w:rPr>
          <w:rStyle w:val="FootnoteReference"/>
          <w:rFonts w:ascii="Garamond" w:hAnsi="Garamond"/>
          <w:lang w:val="en-US"/>
        </w:rPr>
        <w:footnoteReference w:id="4"/>
      </w:r>
      <w:r w:rsidR="00A47CE7" w:rsidRPr="00195FCC">
        <w:rPr>
          <w:rFonts w:ascii="Garamond" w:hAnsi="Garamond"/>
          <w:lang w:val="en-US"/>
        </w:rPr>
        <w:t xml:space="preserve"> But all these people can agree that there is some distinctive kind of thought associated with the first</w:t>
      </w:r>
      <w:r w:rsidR="00CF7F67" w:rsidRPr="00195FCC">
        <w:rPr>
          <w:rFonts w:ascii="Garamond" w:hAnsi="Garamond"/>
          <w:lang w:val="en-US"/>
        </w:rPr>
        <w:t>-</w:t>
      </w:r>
      <w:r w:rsidR="00A47CE7" w:rsidRPr="00195FCC">
        <w:rPr>
          <w:rFonts w:ascii="Garamond" w:hAnsi="Garamond"/>
          <w:lang w:val="en-US"/>
        </w:rPr>
        <w:t xml:space="preserve">person pronoun. </w:t>
      </w:r>
      <w:r w:rsidR="00CF7F67" w:rsidRPr="00195FCC">
        <w:rPr>
          <w:rFonts w:ascii="Garamond" w:hAnsi="Garamond"/>
          <w:lang w:val="en-US"/>
        </w:rPr>
        <w:t>Since w</w:t>
      </w:r>
      <w:r w:rsidR="00A47CE7" w:rsidRPr="00195FCC">
        <w:rPr>
          <w:rFonts w:ascii="Garamond" w:hAnsi="Garamond"/>
          <w:lang w:val="en-US"/>
        </w:rPr>
        <w:t xml:space="preserve">e want to use the term </w:t>
      </w:r>
      <w:r w:rsidR="00A47CE7" w:rsidRPr="00195FCC">
        <w:rPr>
          <w:rFonts w:ascii="Garamond" w:hAnsi="Garamond"/>
          <w:i/>
          <w:iCs/>
          <w:lang w:val="en-US"/>
        </w:rPr>
        <w:t xml:space="preserve">de se </w:t>
      </w:r>
      <w:r w:rsidR="00A47CE7" w:rsidRPr="00195FCC">
        <w:rPr>
          <w:rFonts w:ascii="Garamond" w:hAnsi="Garamond"/>
          <w:lang w:val="en-US"/>
        </w:rPr>
        <w:t>in such a way as to make it as un</w:t>
      </w:r>
      <w:r w:rsidR="00E1069A">
        <w:rPr>
          <w:rFonts w:ascii="Garamond" w:hAnsi="Garamond"/>
          <w:lang w:val="en-US"/>
        </w:rPr>
        <w:t>conten</w:t>
      </w:r>
      <w:r w:rsidR="00A47CE7" w:rsidRPr="00195FCC">
        <w:rPr>
          <w:rFonts w:ascii="Garamond" w:hAnsi="Garamond"/>
          <w:lang w:val="en-US"/>
        </w:rPr>
        <w:t xml:space="preserve">tious as possible, nothing we say will depend on anything beyond the </w:t>
      </w:r>
      <w:r w:rsidR="002F5B49" w:rsidRPr="00195FCC">
        <w:rPr>
          <w:rFonts w:ascii="Garamond" w:hAnsi="Garamond"/>
          <w:lang w:val="en-US"/>
        </w:rPr>
        <w:t xml:space="preserve">linguistic </w:t>
      </w:r>
      <w:r w:rsidR="00A47CE7" w:rsidRPr="00195FCC">
        <w:rPr>
          <w:rFonts w:ascii="Garamond" w:hAnsi="Garamond"/>
          <w:lang w:val="en-US"/>
        </w:rPr>
        <w:t xml:space="preserve">characterisation </w:t>
      </w:r>
      <w:r w:rsidR="00D95BAC" w:rsidRPr="00195FCC">
        <w:rPr>
          <w:rFonts w:ascii="Garamond" w:hAnsi="Garamond"/>
          <w:lang w:val="en-US"/>
        </w:rPr>
        <w:t>(unless otherwise mentioned)</w:t>
      </w:r>
      <w:r w:rsidR="00A47CE7" w:rsidRPr="00195FCC">
        <w:rPr>
          <w:rFonts w:ascii="Garamond" w:hAnsi="Garamond"/>
          <w:lang w:val="en-US"/>
        </w:rPr>
        <w:t xml:space="preserve">. </w:t>
      </w:r>
      <w:r w:rsidR="00D114CC" w:rsidRPr="00195FCC">
        <w:rPr>
          <w:rFonts w:ascii="Garamond" w:hAnsi="Garamond"/>
          <w:lang w:val="en-US"/>
        </w:rPr>
        <w:t xml:space="preserve"> </w:t>
      </w:r>
    </w:p>
    <w:p w14:paraId="3992A995" w14:textId="74A30DC4" w:rsidR="009F0CCC" w:rsidRDefault="002D4B29" w:rsidP="00494ED5">
      <w:pPr>
        <w:spacing w:after="240" w:line="360" w:lineRule="auto"/>
        <w:jc w:val="both"/>
        <w:rPr>
          <w:rFonts w:ascii="Garamond" w:hAnsi="Garamond"/>
        </w:rPr>
      </w:pPr>
      <w:r w:rsidRPr="00195FCC">
        <w:rPr>
          <w:rFonts w:ascii="Garamond" w:hAnsi="Garamond"/>
        </w:rPr>
        <w:t xml:space="preserve">The domain of first-person thought is not characterised by a central organising question. </w:t>
      </w:r>
      <w:r w:rsidR="008B13A0" w:rsidRPr="00195FCC">
        <w:rPr>
          <w:rFonts w:ascii="Garamond" w:hAnsi="Garamond"/>
        </w:rPr>
        <w:t>Instead</w:t>
      </w:r>
      <w:r w:rsidR="00D05EDE" w:rsidRPr="00195FCC">
        <w:rPr>
          <w:rFonts w:ascii="Garamond" w:hAnsi="Garamond"/>
        </w:rPr>
        <w:t>,</w:t>
      </w:r>
      <w:r w:rsidRPr="00195FCC">
        <w:rPr>
          <w:rFonts w:ascii="Garamond" w:hAnsi="Garamond"/>
        </w:rPr>
        <w:t xml:space="preserve"> it </w:t>
      </w:r>
      <w:r w:rsidR="00B350E4" w:rsidRPr="00195FCC">
        <w:rPr>
          <w:rFonts w:ascii="Garamond" w:hAnsi="Garamond"/>
        </w:rPr>
        <w:t>makes up</w:t>
      </w:r>
      <w:r w:rsidRPr="00195FCC">
        <w:rPr>
          <w:rFonts w:ascii="Garamond" w:hAnsi="Garamond"/>
        </w:rPr>
        <w:t xml:space="preserve"> a </w:t>
      </w:r>
      <w:r w:rsidR="008457D9" w:rsidRPr="00195FCC">
        <w:rPr>
          <w:rFonts w:ascii="Garamond" w:hAnsi="Garamond"/>
        </w:rPr>
        <w:t xml:space="preserve">somewhat </w:t>
      </w:r>
      <w:r w:rsidRPr="00195FCC">
        <w:rPr>
          <w:rFonts w:ascii="Garamond" w:hAnsi="Garamond"/>
        </w:rPr>
        <w:t xml:space="preserve">disorderly collection of questions – sometimes interconnected, sometimes not – about the cognitive, metaphysical, and normative significance of </w:t>
      </w:r>
      <w:r w:rsidR="00BB2D43" w:rsidRPr="00195FCC">
        <w:rPr>
          <w:rFonts w:ascii="Garamond" w:hAnsi="Garamond"/>
        </w:rPr>
        <w:t>first-person</w:t>
      </w:r>
      <w:r w:rsidRPr="00195FCC">
        <w:rPr>
          <w:rFonts w:ascii="Garamond" w:hAnsi="Garamond"/>
        </w:rPr>
        <w:t xml:space="preserve"> thought</w:t>
      </w:r>
      <w:r w:rsidR="0037487D" w:rsidRPr="00195FCC">
        <w:rPr>
          <w:rFonts w:ascii="Garamond" w:hAnsi="Garamond"/>
        </w:rPr>
        <w:t xml:space="preserve">, as well as </w:t>
      </w:r>
      <w:r w:rsidRPr="00195FCC">
        <w:rPr>
          <w:rFonts w:ascii="Garamond" w:hAnsi="Garamond"/>
        </w:rPr>
        <w:t xml:space="preserve">questions about how best to model </w:t>
      </w:r>
      <w:r w:rsidR="00B350E4" w:rsidRPr="00195FCC">
        <w:rPr>
          <w:rFonts w:ascii="Garamond" w:hAnsi="Garamond"/>
        </w:rPr>
        <w:t>it</w:t>
      </w:r>
      <w:r w:rsidR="0037487D" w:rsidRPr="00195FCC">
        <w:rPr>
          <w:rFonts w:ascii="Garamond" w:hAnsi="Garamond"/>
        </w:rPr>
        <w:t>,</w:t>
      </w:r>
      <w:r w:rsidRPr="00195FCC">
        <w:rPr>
          <w:rFonts w:ascii="Garamond" w:hAnsi="Garamond"/>
        </w:rPr>
        <w:t xml:space="preserve"> and how to reconcile our philosophical theories in this area with </w:t>
      </w:r>
      <w:r w:rsidR="007C2E19" w:rsidRPr="00195FCC">
        <w:rPr>
          <w:rFonts w:ascii="Garamond" w:hAnsi="Garamond"/>
        </w:rPr>
        <w:t>findings</w:t>
      </w:r>
      <w:r w:rsidRPr="00195FCC">
        <w:rPr>
          <w:rFonts w:ascii="Garamond" w:hAnsi="Garamond"/>
        </w:rPr>
        <w:t xml:space="preserve"> from the cognitive sciences.</w:t>
      </w:r>
      <w:r w:rsidR="00F507E0" w:rsidRPr="00195FCC">
        <w:rPr>
          <w:rFonts w:ascii="Garamond" w:hAnsi="Garamond"/>
        </w:rPr>
        <w:t xml:space="preserve"> </w:t>
      </w:r>
      <w:r w:rsidRPr="00195FCC">
        <w:rPr>
          <w:rFonts w:ascii="Garamond" w:hAnsi="Garamond"/>
        </w:rPr>
        <w:t xml:space="preserve">Just a few </w:t>
      </w:r>
      <w:r w:rsidR="002F0076" w:rsidRPr="00195FCC">
        <w:rPr>
          <w:rFonts w:ascii="Garamond" w:hAnsi="Garamond"/>
        </w:rPr>
        <w:t>topics</w:t>
      </w:r>
      <w:r w:rsidRPr="00195FCC">
        <w:rPr>
          <w:rFonts w:ascii="Garamond" w:hAnsi="Garamond"/>
        </w:rPr>
        <w:t xml:space="preserve"> that we might have</w:t>
      </w:r>
      <w:r w:rsidR="009370B4" w:rsidRPr="00195FCC">
        <w:rPr>
          <w:rFonts w:ascii="Garamond" w:hAnsi="Garamond"/>
        </w:rPr>
        <w:t xml:space="preserve">, </w:t>
      </w:r>
      <w:r w:rsidR="00A11AB6" w:rsidRPr="00195FCC">
        <w:rPr>
          <w:rFonts w:ascii="Garamond" w:hAnsi="Garamond"/>
        </w:rPr>
        <w:t>but have not</w:t>
      </w:r>
      <w:r w:rsidR="009370B4" w:rsidRPr="00195FCC">
        <w:rPr>
          <w:rFonts w:ascii="Garamond" w:hAnsi="Garamond"/>
        </w:rPr>
        <w:t>,</w:t>
      </w:r>
      <w:r w:rsidRPr="00195FCC">
        <w:rPr>
          <w:rFonts w:ascii="Garamond" w:hAnsi="Garamond"/>
        </w:rPr>
        <w:t xml:space="preserve"> discussed in this </w:t>
      </w:r>
      <w:r w:rsidR="00A11AB6" w:rsidRPr="00195FCC">
        <w:rPr>
          <w:rFonts w:ascii="Garamond" w:hAnsi="Garamond"/>
        </w:rPr>
        <w:t xml:space="preserve">article </w:t>
      </w:r>
      <w:r w:rsidRPr="00195FCC">
        <w:rPr>
          <w:rFonts w:ascii="Garamond" w:hAnsi="Garamond"/>
        </w:rPr>
        <w:t>include</w:t>
      </w:r>
      <w:r w:rsidR="00397B1C">
        <w:rPr>
          <w:rFonts w:ascii="Garamond" w:hAnsi="Garamond"/>
        </w:rPr>
        <w:t>:</w:t>
      </w:r>
      <w:r w:rsidR="00623BFD" w:rsidRPr="00195FCC">
        <w:rPr>
          <w:rFonts w:ascii="Garamond" w:hAnsi="Garamond"/>
        </w:rPr>
        <w:t xml:space="preserve"> </w:t>
      </w:r>
      <w:r w:rsidRPr="00195FCC">
        <w:rPr>
          <w:rFonts w:ascii="Garamond" w:hAnsi="Garamond"/>
        </w:rPr>
        <w:t>the</w:t>
      </w:r>
      <w:r w:rsidR="00523F7C" w:rsidRPr="00195FCC">
        <w:rPr>
          <w:rFonts w:ascii="Garamond" w:hAnsi="Garamond"/>
        </w:rPr>
        <w:t xml:space="preserve"> continued development of</w:t>
      </w:r>
      <w:r w:rsidRPr="00195FCC">
        <w:rPr>
          <w:rFonts w:ascii="Garamond" w:hAnsi="Garamond"/>
        </w:rPr>
        <w:t xml:space="preserve"> </w:t>
      </w:r>
      <w:r w:rsidR="00523F7C" w:rsidRPr="00195FCC">
        <w:rPr>
          <w:rFonts w:ascii="Garamond" w:hAnsi="Garamond"/>
        </w:rPr>
        <w:t>arguments in the</w:t>
      </w:r>
      <w:r w:rsidRPr="00195FCC">
        <w:rPr>
          <w:rFonts w:ascii="Garamond" w:hAnsi="Garamond"/>
        </w:rPr>
        <w:t xml:space="preserve"> metaphysics of personal identity</w:t>
      </w:r>
      <w:r w:rsidR="00523F7C" w:rsidRPr="00195FCC">
        <w:rPr>
          <w:rFonts w:ascii="Garamond" w:hAnsi="Garamond"/>
        </w:rPr>
        <w:t xml:space="preserve"> that draw on premises involving claims about </w:t>
      </w:r>
      <w:r w:rsidR="00F65447" w:rsidRPr="00195FCC">
        <w:rPr>
          <w:rFonts w:ascii="Garamond" w:hAnsi="Garamond"/>
          <w:i/>
          <w:iCs/>
        </w:rPr>
        <w:t>de se</w:t>
      </w:r>
      <w:r w:rsidR="00523F7C" w:rsidRPr="00195FCC">
        <w:rPr>
          <w:rFonts w:ascii="Garamond" w:hAnsi="Garamond"/>
        </w:rPr>
        <w:t xml:space="preserve"> thought</w:t>
      </w:r>
      <w:r w:rsidR="003C1F9F">
        <w:rPr>
          <w:rStyle w:val="FootnoteReference"/>
          <w:rFonts w:ascii="Garamond" w:hAnsi="Garamond"/>
        </w:rPr>
        <w:footnoteReference w:id="5"/>
      </w:r>
      <w:r w:rsidR="009F0CCC">
        <w:rPr>
          <w:rFonts w:ascii="Garamond" w:hAnsi="Garamond"/>
        </w:rPr>
        <w:t xml:space="preserve">; </w:t>
      </w:r>
      <w:r w:rsidRPr="00195FCC">
        <w:rPr>
          <w:rFonts w:ascii="Garamond" w:hAnsi="Garamond"/>
        </w:rPr>
        <w:t xml:space="preserve">a mini-resurgence of interest in the </w:t>
      </w:r>
      <w:r w:rsidRPr="00195FCC">
        <w:rPr>
          <w:rFonts w:ascii="Garamond" w:hAnsi="Garamond"/>
          <w:i/>
          <w:iCs/>
        </w:rPr>
        <w:t>Cogito</w:t>
      </w:r>
      <w:r w:rsidRPr="00195FCC">
        <w:rPr>
          <w:rFonts w:ascii="Garamond" w:hAnsi="Garamond"/>
        </w:rPr>
        <w:t>, and related epistemic issues</w:t>
      </w:r>
      <w:r w:rsidR="009F0CCC">
        <w:rPr>
          <w:rStyle w:val="FootnoteReference"/>
          <w:rFonts w:ascii="Garamond" w:hAnsi="Garamond"/>
        </w:rPr>
        <w:footnoteReference w:id="6"/>
      </w:r>
      <w:r w:rsidR="00D846D7" w:rsidRPr="00195FCC">
        <w:rPr>
          <w:rFonts w:ascii="Garamond" w:hAnsi="Garamond"/>
        </w:rPr>
        <w:t>;</w:t>
      </w:r>
      <w:r w:rsidR="001B285D">
        <w:rPr>
          <w:rFonts w:ascii="Garamond" w:hAnsi="Garamond"/>
        </w:rPr>
        <w:t xml:space="preserve"> </w:t>
      </w:r>
      <w:r w:rsidR="00A07F25" w:rsidRPr="00195FCC">
        <w:rPr>
          <w:rFonts w:ascii="Garamond" w:hAnsi="Garamond"/>
        </w:rPr>
        <w:t xml:space="preserve">an increased interest in the </w:t>
      </w:r>
      <w:r w:rsidRPr="00195FCC">
        <w:rPr>
          <w:rFonts w:ascii="Garamond" w:hAnsi="Garamond"/>
        </w:rPr>
        <w:t>‘sense of mineness’</w:t>
      </w:r>
      <w:r w:rsidR="00BC131B" w:rsidRPr="00195FCC">
        <w:rPr>
          <w:rFonts w:ascii="Garamond" w:hAnsi="Garamond"/>
        </w:rPr>
        <w:t xml:space="preserve"> (</w:t>
      </w:r>
      <w:r w:rsidRPr="00195FCC">
        <w:rPr>
          <w:rFonts w:ascii="Garamond" w:hAnsi="Garamond"/>
        </w:rPr>
        <w:t>and</w:t>
      </w:r>
      <w:r w:rsidR="00A07F25" w:rsidRPr="00195FCC">
        <w:rPr>
          <w:rFonts w:ascii="Garamond" w:hAnsi="Garamond"/>
        </w:rPr>
        <w:t xml:space="preserve"> relatedly, in</w:t>
      </w:r>
      <w:r w:rsidRPr="00195FCC">
        <w:rPr>
          <w:rFonts w:ascii="Garamond" w:hAnsi="Garamond"/>
        </w:rPr>
        <w:t xml:space="preserve"> the role </w:t>
      </w:r>
      <w:r w:rsidR="00A07F25" w:rsidRPr="00195FCC">
        <w:rPr>
          <w:rFonts w:ascii="Garamond" w:hAnsi="Garamond"/>
        </w:rPr>
        <w:t>that</w:t>
      </w:r>
      <w:r w:rsidR="002F5B49" w:rsidRPr="00195FCC">
        <w:rPr>
          <w:rFonts w:ascii="Garamond" w:hAnsi="Garamond"/>
        </w:rPr>
        <w:t xml:space="preserve"> some argue</w:t>
      </w:r>
      <w:r w:rsidR="00A07F25" w:rsidRPr="00195FCC">
        <w:rPr>
          <w:rFonts w:ascii="Garamond" w:hAnsi="Garamond"/>
        </w:rPr>
        <w:t xml:space="preserve"> </w:t>
      </w:r>
      <w:r w:rsidR="007327BD" w:rsidRPr="00195FCC">
        <w:rPr>
          <w:rFonts w:ascii="Garamond" w:hAnsi="Garamond"/>
          <w:i/>
          <w:iCs/>
        </w:rPr>
        <w:t>de se</w:t>
      </w:r>
      <w:r w:rsidRPr="00195FCC">
        <w:rPr>
          <w:rFonts w:ascii="Garamond" w:hAnsi="Garamond"/>
        </w:rPr>
        <w:t xml:space="preserve"> thought plays in a full account of conscious experience</w:t>
      </w:r>
      <w:r w:rsidR="00D846D7">
        <w:rPr>
          <w:rFonts w:ascii="Garamond" w:hAnsi="Garamond"/>
        </w:rPr>
        <w:t>)</w:t>
      </w:r>
      <w:r w:rsidR="009F0CCC">
        <w:rPr>
          <w:rStyle w:val="FootnoteReference"/>
          <w:rFonts w:ascii="Garamond" w:hAnsi="Garamond"/>
        </w:rPr>
        <w:footnoteReference w:id="7"/>
      </w:r>
      <w:r w:rsidR="00E12787" w:rsidRPr="00195FCC">
        <w:rPr>
          <w:rFonts w:ascii="Garamond" w:hAnsi="Garamond"/>
        </w:rPr>
        <w:t xml:space="preserve">; the relation of sophisticated forms of </w:t>
      </w:r>
      <w:r w:rsidR="00E12787" w:rsidRPr="00195FCC">
        <w:rPr>
          <w:rFonts w:ascii="Garamond" w:hAnsi="Garamond"/>
          <w:i/>
          <w:iCs/>
        </w:rPr>
        <w:t xml:space="preserve">de se </w:t>
      </w:r>
      <w:r w:rsidR="00E12787" w:rsidRPr="00195FCC">
        <w:rPr>
          <w:rFonts w:ascii="Garamond" w:hAnsi="Garamond"/>
        </w:rPr>
        <w:t>thought to more primitive</w:t>
      </w:r>
      <w:r w:rsidR="00397B1C">
        <w:rPr>
          <w:rFonts w:ascii="Garamond" w:hAnsi="Garamond"/>
        </w:rPr>
        <w:t>, including non-conceptual</w:t>
      </w:r>
      <w:r w:rsidR="00E12787" w:rsidRPr="00195FCC">
        <w:rPr>
          <w:rFonts w:ascii="Garamond" w:hAnsi="Garamond"/>
        </w:rPr>
        <w:t xml:space="preserve"> precursors</w:t>
      </w:r>
      <w:r w:rsidR="009F0CCC">
        <w:rPr>
          <w:rStyle w:val="FootnoteReference"/>
          <w:rFonts w:ascii="Garamond" w:hAnsi="Garamond"/>
        </w:rPr>
        <w:footnoteReference w:id="8"/>
      </w:r>
      <w:r w:rsidR="009F0CCC">
        <w:rPr>
          <w:rFonts w:ascii="Garamond" w:hAnsi="Garamond"/>
        </w:rPr>
        <w:t xml:space="preserve">; </w:t>
      </w:r>
      <w:r w:rsidR="00722637">
        <w:rPr>
          <w:rFonts w:ascii="Garamond" w:hAnsi="Garamond"/>
        </w:rPr>
        <w:t xml:space="preserve">how much the </w:t>
      </w:r>
      <w:r w:rsidR="00722637">
        <w:rPr>
          <w:rFonts w:ascii="Garamond" w:hAnsi="Garamond"/>
          <w:i/>
          <w:iCs/>
        </w:rPr>
        <w:t xml:space="preserve">de se </w:t>
      </w:r>
      <w:r w:rsidR="00722637">
        <w:rPr>
          <w:rFonts w:ascii="Garamond" w:hAnsi="Garamond"/>
        </w:rPr>
        <w:t xml:space="preserve">has in common with the </w:t>
      </w:r>
      <w:r w:rsidR="00722637">
        <w:rPr>
          <w:rFonts w:ascii="Garamond" w:hAnsi="Garamond"/>
          <w:i/>
          <w:iCs/>
        </w:rPr>
        <w:t>de nunc</w:t>
      </w:r>
      <w:r w:rsidR="00722637">
        <w:rPr>
          <w:rStyle w:val="FootnoteReference"/>
          <w:rFonts w:ascii="Garamond" w:hAnsi="Garamond"/>
          <w:i/>
          <w:iCs/>
        </w:rPr>
        <w:footnoteReference w:id="9"/>
      </w:r>
      <w:r w:rsidR="00722637">
        <w:rPr>
          <w:rFonts w:ascii="Garamond" w:hAnsi="Garamond"/>
        </w:rPr>
        <w:t xml:space="preserve">; </w:t>
      </w:r>
      <w:r w:rsidR="002F5B49" w:rsidRPr="00195FCC">
        <w:rPr>
          <w:rFonts w:ascii="Garamond" w:hAnsi="Garamond"/>
        </w:rPr>
        <w:t xml:space="preserve">and even </w:t>
      </w:r>
      <w:r w:rsidR="00810264" w:rsidRPr="00195FCC">
        <w:rPr>
          <w:rFonts w:ascii="Garamond" w:hAnsi="Garamond"/>
        </w:rPr>
        <w:t xml:space="preserve">the possibility of leveraging </w:t>
      </w:r>
      <w:r w:rsidR="00810264" w:rsidRPr="00195FCC">
        <w:rPr>
          <w:rFonts w:ascii="Garamond" w:hAnsi="Garamond"/>
          <w:i/>
          <w:iCs/>
        </w:rPr>
        <w:t xml:space="preserve">de se </w:t>
      </w:r>
      <w:r w:rsidR="00810264" w:rsidRPr="00195FCC">
        <w:rPr>
          <w:rFonts w:ascii="Garamond" w:hAnsi="Garamond"/>
        </w:rPr>
        <w:t>phenomena in support of absolute idealism</w:t>
      </w:r>
      <w:r w:rsidR="009F0CCC">
        <w:rPr>
          <w:rFonts w:ascii="Garamond" w:hAnsi="Garamond"/>
        </w:rPr>
        <w:t>.</w:t>
      </w:r>
      <w:r w:rsidR="009F0CCC">
        <w:rPr>
          <w:rStyle w:val="FootnoteReference"/>
          <w:rFonts w:ascii="Garamond" w:hAnsi="Garamond"/>
        </w:rPr>
        <w:footnoteReference w:id="10"/>
      </w:r>
      <w:r w:rsidRPr="00195FCC">
        <w:rPr>
          <w:rFonts w:ascii="Garamond" w:hAnsi="Garamond"/>
        </w:rPr>
        <w:t xml:space="preserve"> </w:t>
      </w:r>
    </w:p>
    <w:p w14:paraId="6BE951BB" w14:textId="244B5066" w:rsidR="006F6A11" w:rsidRDefault="00D27BBB" w:rsidP="00DE59FE">
      <w:pPr>
        <w:spacing w:line="360" w:lineRule="auto"/>
        <w:jc w:val="both"/>
        <w:rPr>
          <w:rFonts w:ascii="Garamond" w:hAnsi="Garamond"/>
          <w:i/>
          <w:iCs/>
        </w:rPr>
      </w:pPr>
      <w:r w:rsidRPr="00195FCC">
        <w:rPr>
          <w:rFonts w:ascii="Garamond" w:hAnsi="Garamond"/>
        </w:rPr>
        <w:t>Instead w</w:t>
      </w:r>
      <w:r w:rsidR="00131EAE" w:rsidRPr="00195FCC">
        <w:rPr>
          <w:rFonts w:ascii="Garamond" w:hAnsi="Garamond"/>
        </w:rPr>
        <w:t>e have chosen t</w:t>
      </w:r>
      <w:r w:rsidR="00810264" w:rsidRPr="00195FCC">
        <w:rPr>
          <w:rFonts w:ascii="Garamond" w:hAnsi="Garamond"/>
        </w:rPr>
        <w:t>wo</w:t>
      </w:r>
      <w:r w:rsidR="00131EAE" w:rsidRPr="00195FCC">
        <w:rPr>
          <w:rFonts w:ascii="Garamond" w:hAnsi="Garamond"/>
        </w:rPr>
        <w:t xml:space="preserve"> </w:t>
      </w:r>
      <w:r w:rsidR="004D6E60">
        <w:rPr>
          <w:rFonts w:ascii="Garamond" w:hAnsi="Garamond"/>
        </w:rPr>
        <w:t>areas</w:t>
      </w:r>
      <w:r w:rsidR="00131EAE" w:rsidRPr="00195FCC">
        <w:rPr>
          <w:rFonts w:ascii="Garamond" w:hAnsi="Garamond"/>
        </w:rPr>
        <w:t xml:space="preserve"> to discuss in detail: </w:t>
      </w:r>
      <w:r w:rsidR="00A47CE7" w:rsidRPr="00195FCC">
        <w:rPr>
          <w:rFonts w:ascii="Garamond" w:hAnsi="Garamond"/>
        </w:rPr>
        <w:t xml:space="preserve">scepticism about </w:t>
      </w:r>
      <w:r w:rsidR="00AD7E0F" w:rsidRPr="00195FCC">
        <w:rPr>
          <w:rFonts w:ascii="Garamond" w:hAnsi="Garamond"/>
        </w:rPr>
        <w:t>the distinctive philosophical importance</w:t>
      </w:r>
      <w:r w:rsidR="00810264" w:rsidRPr="00195FCC">
        <w:rPr>
          <w:rFonts w:ascii="Garamond" w:hAnsi="Garamond"/>
        </w:rPr>
        <w:t xml:space="preserve"> of</w:t>
      </w:r>
      <w:r w:rsidR="00AD7E0F" w:rsidRPr="00195FCC">
        <w:rPr>
          <w:rFonts w:ascii="Garamond" w:hAnsi="Garamond"/>
        </w:rPr>
        <w:t xml:space="preserve"> </w:t>
      </w:r>
      <w:r w:rsidR="00A47CE7" w:rsidRPr="00195FCC">
        <w:rPr>
          <w:rFonts w:ascii="Garamond" w:hAnsi="Garamond"/>
          <w:i/>
          <w:iCs/>
        </w:rPr>
        <w:t>de se</w:t>
      </w:r>
      <w:r w:rsidR="00A47CE7" w:rsidRPr="00195FCC">
        <w:rPr>
          <w:rFonts w:ascii="Garamond" w:hAnsi="Garamond"/>
        </w:rPr>
        <w:t xml:space="preserve"> thought (§</w:t>
      </w:r>
      <w:r w:rsidR="001921C5">
        <w:rPr>
          <w:rFonts w:ascii="Garamond" w:hAnsi="Garamond"/>
        </w:rPr>
        <w:t>2</w:t>
      </w:r>
      <w:r w:rsidR="00A47CE7" w:rsidRPr="00195FCC">
        <w:rPr>
          <w:rFonts w:ascii="Garamond" w:hAnsi="Garamond"/>
        </w:rPr>
        <w:t xml:space="preserve">), </w:t>
      </w:r>
      <w:r w:rsidR="00810264" w:rsidRPr="00195FCC">
        <w:rPr>
          <w:rFonts w:ascii="Garamond" w:hAnsi="Garamond"/>
        </w:rPr>
        <w:t xml:space="preserve">and </w:t>
      </w:r>
      <w:r w:rsidR="00131EAE" w:rsidRPr="00195FCC">
        <w:rPr>
          <w:rFonts w:ascii="Garamond" w:hAnsi="Garamond"/>
        </w:rPr>
        <w:t>immunity to error through misidentification</w:t>
      </w:r>
      <w:r w:rsidR="00DE59FE">
        <w:rPr>
          <w:rFonts w:ascii="Garamond" w:hAnsi="Garamond"/>
        </w:rPr>
        <w:t xml:space="preserve"> (IEM)</w:t>
      </w:r>
      <w:r w:rsidR="00131EAE" w:rsidRPr="00195FCC">
        <w:rPr>
          <w:rFonts w:ascii="Garamond" w:hAnsi="Garamond"/>
        </w:rPr>
        <w:t xml:space="preserve"> </w:t>
      </w:r>
      <w:r w:rsidR="00BC6B69">
        <w:rPr>
          <w:rFonts w:ascii="Garamond" w:hAnsi="Garamond"/>
        </w:rPr>
        <w:t xml:space="preserve">as it shows up in </w:t>
      </w:r>
      <w:r w:rsidR="00BC6B69">
        <w:rPr>
          <w:rFonts w:ascii="Garamond" w:hAnsi="Garamond"/>
          <w:i/>
          <w:iCs/>
        </w:rPr>
        <w:t xml:space="preserve">de se </w:t>
      </w:r>
      <w:r w:rsidR="00BC6B69">
        <w:rPr>
          <w:rFonts w:ascii="Garamond" w:hAnsi="Garamond"/>
        </w:rPr>
        <w:t xml:space="preserve">thought </w:t>
      </w:r>
      <w:r w:rsidR="00131EAE" w:rsidRPr="00195FCC">
        <w:rPr>
          <w:rFonts w:ascii="Garamond" w:hAnsi="Garamond"/>
        </w:rPr>
        <w:t>(§</w:t>
      </w:r>
      <w:r w:rsidR="001921C5">
        <w:rPr>
          <w:rFonts w:ascii="Garamond" w:hAnsi="Garamond"/>
        </w:rPr>
        <w:t>3</w:t>
      </w:r>
      <w:r w:rsidR="00131EAE" w:rsidRPr="00195FCC">
        <w:rPr>
          <w:rFonts w:ascii="Garamond" w:hAnsi="Garamond"/>
        </w:rPr>
        <w:t>)</w:t>
      </w:r>
      <w:r w:rsidR="00810264" w:rsidRPr="00195FCC">
        <w:rPr>
          <w:rFonts w:ascii="Garamond" w:hAnsi="Garamond"/>
        </w:rPr>
        <w:t xml:space="preserve">. </w:t>
      </w:r>
      <w:r w:rsidR="00082EC8">
        <w:rPr>
          <w:rFonts w:ascii="Garamond" w:hAnsi="Garamond"/>
        </w:rPr>
        <w:t>The reason for this selection is that these</w:t>
      </w:r>
      <w:r w:rsidR="004D6E60">
        <w:rPr>
          <w:rFonts w:ascii="Garamond" w:hAnsi="Garamond"/>
        </w:rPr>
        <w:t xml:space="preserve"> strike us as two of the most active areas involving the </w:t>
      </w:r>
      <w:r w:rsidR="004D6E60">
        <w:rPr>
          <w:rFonts w:ascii="Garamond" w:hAnsi="Garamond"/>
          <w:i/>
          <w:iCs/>
        </w:rPr>
        <w:t>de se</w:t>
      </w:r>
      <w:r w:rsidR="004D6E60">
        <w:rPr>
          <w:rFonts w:ascii="Garamond" w:hAnsi="Garamond"/>
        </w:rPr>
        <w:t xml:space="preserve">: </w:t>
      </w:r>
      <w:r w:rsidR="00082EC8">
        <w:rPr>
          <w:rFonts w:ascii="Garamond" w:hAnsi="Garamond"/>
        </w:rPr>
        <w:t>i</w:t>
      </w:r>
      <w:r w:rsidR="004D6E60">
        <w:rPr>
          <w:rFonts w:ascii="Garamond" w:hAnsi="Garamond"/>
        </w:rPr>
        <w:t xml:space="preserve">n both cases, there has been </w:t>
      </w:r>
      <w:r w:rsidR="007D0BC6" w:rsidRPr="00195FCC">
        <w:rPr>
          <w:rFonts w:ascii="Garamond" w:hAnsi="Garamond"/>
        </w:rPr>
        <w:t>notable</w:t>
      </w:r>
      <w:r w:rsidR="00131EAE" w:rsidRPr="00195FCC">
        <w:rPr>
          <w:rFonts w:ascii="Garamond" w:hAnsi="Garamond"/>
        </w:rPr>
        <w:t xml:space="preserve"> movement in the state of the debate</w:t>
      </w:r>
      <w:r w:rsidR="007D0BC6" w:rsidRPr="00195FCC">
        <w:rPr>
          <w:rFonts w:ascii="Garamond" w:hAnsi="Garamond"/>
        </w:rPr>
        <w:t xml:space="preserve"> in the last ten years</w:t>
      </w:r>
      <w:r w:rsidR="00F507E0" w:rsidRPr="00195FCC">
        <w:rPr>
          <w:rFonts w:ascii="Garamond" w:hAnsi="Garamond"/>
        </w:rPr>
        <w:t xml:space="preserve">, </w:t>
      </w:r>
      <w:r w:rsidR="006F6A11" w:rsidRPr="00195FCC">
        <w:rPr>
          <w:rFonts w:ascii="Garamond" w:hAnsi="Garamond"/>
        </w:rPr>
        <w:t xml:space="preserve">partly as a result of </w:t>
      </w:r>
      <w:r w:rsidR="006F6A11">
        <w:rPr>
          <w:rFonts w:ascii="Garamond" w:hAnsi="Garamond"/>
        </w:rPr>
        <w:t xml:space="preserve">contributions from </w:t>
      </w:r>
      <w:r w:rsidR="006F6A11" w:rsidRPr="00271731">
        <w:rPr>
          <w:rFonts w:ascii="Garamond" w:hAnsi="Garamond"/>
        </w:rPr>
        <w:t xml:space="preserve">different authors </w:t>
      </w:r>
      <w:r w:rsidR="006F6A11">
        <w:rPr>
          <w:rFonts w:ascii="Garamond" w:hAnsi="Garamond"/>
        </w:rPr>
        <w:t>rebounding off each other</w:t>
      </w:r>
      <w:r w:rsidR="006F6A11" w:rsidRPr="00271731">
        <w:rPr>
          <w:rFonts w:ascii="Garamond" w:hAnsi="Garamond"/>
        </w:rPr>
        <w:t xml:space="preserve"> in a</w:t>
      </w:r>
      <w:r w:rsidR="006F6A11" w:rsidRPr="00195FCC">
        <w:rPr>
          <w:rFonts w:ascii="Garamond" w:hAnsi="Garamond"/>
        </w:rPr>
        <w:t xml:space="preserve"> sustained way.</w:t>
      </w:r>
      <w:r w:rsidR="00DE59FE">
        <w:rPr>
          <w:rFonts w:ascii="Garamond" w:hAnsi="Garamond"/>
        </w:rPr>
        <w:t xml:space="preserve"> </w:t>
      </w:r>
    </w:p>
    <w:p w14:paraId="78583164" w14:textId="77777777" w:rsidR="00DE59FE" w:rsidRDefault="00DE59FE" w:rsidP="00DE59FE">
      <w:pPr>
        <w:spacing w:line="360" w:lineRule="auto"/>
        <w:jc w:val="both"/>
      </w:pPr>
    </w:p>
    <w:p w14:paraId="5178EE76" w14:textId="7A64290D" w:rsidR="00380C67" w:rsidRPr="00195FCC" w:rsidRDefault="001921C5" w:rsidP="006F6A11">
      <w:pPr>
        <w:spacing w:after="240" w:line="360" w:lineRule="auto"/>
        <w:jc w:val="both"/>
        <w:rPr>
          <w:rFonts w:ascii="Garamond" w:hAnsi="Garamond"/>
          <w:b/>
          <w:bCs/>
          <w:i/>
          <w:iCs/>
        </w:rPr>
      </w:pPr>
      <w:r>
        <w:rPr>
          <w:rFonts w:ascii="Garamond" w:hAnsi="Garamond"/>
          <w:b/>
          <w:bCs/>
        </w:rPr>
        <w:t>2</w:t>
      </w:r>
      <w:r w:rsidR="00380C67" w:rsidRPr="00195FCC">
        <w:rPr>
          <w:rFonts w:ascii="Garamond" w:hAnsi="Garamond"/>
          <w:b/>
          <w:bCs/>
        </w:rPr>
        <w:t>. Scepticism</w:t>
      </w:r>
      <w:r w:rsidR="00380C67" w:rsidRPr="00195FCC">
        <w:rPr>
          <w:rFonts w:ascii="Garamond" w:hAnsi="Garamond"/>
          <w:b/>
          <w:bCs/>
          <w:i/>
          <w:iCs/>
        </w:rPr>
        <w:t xml:space="preserve"> </w:t>
      </w:r>
      <w:r w:rsidR="00380C67" w:rsidRPr="00195FCC">
        <w:rPr>
          <w:rFonts w:ascii="Garamond" w:hAnsi="Garamond"/>
          <w:b/>
          <w:bCs/>
        </w:rPr>
        <w:t xml:space="preserve">about the importance of the </w:t>
      </w:r>
      <w:r w:rsidR="00380C67" w:rsidRPr="00195FCC">
        <w:rPr>
          <w:rFonts w:ascii="Garamond" w:hAnsi="Garamond"/>
          <w:b/>
          <w:bCs/>
          <w:i/>
          <w:iCs/>
        </w:rPr>
        <w:t>de se</w:t>
      </w:r>
    </w:p>
    <w:p w14:paraId="2760F724" w14:textId="0005CC51" w:rsidR="00380C67" w:rsidRPr="00195FCC" w:rsidRDefault="00380C67" w:rsidP="00494ED5">
      <w:pPr>
        <w:spacing w:after="240" w:line="360" w:lineRule="auto"/>
        <w:jc w:val="both"/>
        <w:rPr>
          <w:rFonts w:ascii="Garamond" w:hAnsi="Garamond"/>
        </w:rPr>
      </w:pPr>
      <w:r w:rsidRPr="00195FCC">
        <w:rPr>
          <w:rFonts w:ascii="Garamond" w:hAnsi="Garamond"/>
        </w:rPr>
        <w:lastRenderedPageBreak/>
        <w:t xml:space="preserve">One apparently pressing philosophical task concerning the </w:t>
      </w:r>
      <w:r w:rsidRPr="00195FCC">
        <w:rPr>
          <w:rFonts w:ascii="Garamond" w:hAnsi="Garamond"/>
          <w:i/>
          <w:iCs/>
        </w:rPr>
        <w:t xml:space="preserve">de se </w:t>
      </w:r>
      <w:r w:rsidRPr="00195FCC">
        <w:rPr>
          <w:rFonts w:ascii="Garamond" w:hAnsi="Garamond"/>
        </w:rPr>
        <w:t xml:space="preserve">is to get a clear picture of the distinctive features it has </w:t>
      </w:r>
      <w:r w:rsidR="00017174">
        <w:rPr>
          <w:rFonts w:ascii="Garamond" w:hAnsi="Garamond"/>
        </w:rPr>
        <w:t xml:space="preserve">that are </w:t>
      </w:r>
      <w:r w:rsidRPr="00195FCC">
        <w:rPr>
          <w:rFonts w:ascii="Garamond" w:hAnsi="Garamond"/>
        </w:rPr>
        <w:t xml:space="preserve">relevant to various aspects of mind – e.g. intentional action, emotion, perception, reasoning, understanding. The liveliest, most joined up, recent debate has focused on </w:t>
      </w:r>
      <w:r w:rsidR="00D02788">
        <w:rPr>
          <w:rFonts w:ascii="Garamond" w:hAnsi="Garamond"/>
        </w:rPr>
        <w:t xml:space="preserve">intentional </w:t>
      </w:r>
      <w:r w:rsidRPr="00195FCC">
        <w:rPr>
          <w:rFonts w:ascii="Garamond" w:hAnsi="Garamond"/>
        </w:rPr>
        <w:t>action, so we’ll focus on that</w:t>
      </w:r>
      <w:r w:rsidR="002F5B49" w:rsidRPr="00195FCC">
        <w:rPr>
          <w:rFonts w:ascii="Garamond" w:hAnsi="Garamond"/>
        </w:rPr>
        <w:t>, while leaving open the extent to which the dialectic around action might mirror other areas</w:t>
      </w:r>
      <w:r w:rsidRPr="00195FCC">
        <w:rPr>
          <w:rFonts w:ascii="Garamond" w:hAnsi="Garamond"/>
        </w:rPr>
        <w:t>. The discussion</w:t>
      </w:r>
      <w:r w:rsidR="000D4D81">
        <w:rPr>
          <w:rFonts w:ascii="Garamond" w:hAnsi="Garamond"/>
        </w:rPr>
        <w:t xml:space="preserve"> here</w:t>
      </w:r>
      <w:r w:rsidRPr="00195FCC">
        <w:rPr>
          <w:rFonts w:ascii="Garamond" w:hAnsi="Garamond"/>
        </w:rPr>
        <w:t xml:space="preserve"> is </w:t>
      </w:r>
      <w:r w:rsidR="00240AE4">
        <w:rPr>
          <w:rFonts w:ascii="Garamond" w:hAnsi="Garamond"/>
        </w:rPr>
        <w:t>very</w:t>
      </w:r>
      <w:r w:rsidRPr="00195FCC">
        <w:rPr>
          <w:rFonts w:ascii="Garamond" w:hAnsi="Garamond"/>
        </w:rPr>
        <w:t xml:space="preserve"> example</w:t>
      </w:r>
      <w:r w:rsidR="000D4D81">
        <w:rPr>
          <w:rFonts w:ascii="Garamond" w:hAnsi="Garamond"/>
        </w:rPr>
        <w:t>-</w:t>
      </w:r>
      <w:r w:rsidRPr="00195FCC">
        <w:rPr>
          <w:rFonts w:ascii="Garamond" w:hAnsi="Garamond"/>
        </w:rPr>
        <w:t>driven, and the diet of examples ha</w:t>
      </w:r>
      <w:r w:rsidR="004572B4" w:rsidRPr="00195FCC">
        <w:rPr>
          <w:rFonts w:ascii="Garamond" w:hAnsi="Garamond"/>
        </w:rPr>
        <w:t>s</w:t>
      </w:r>
      <w:r w:rsidRPr="00195FCC">
        <w:rPr>
          <w:rFonts w:ascii="Garamond" w:hAnsi="Garamond"/>
        </w:rPr>
        <w:t xml:space="preserve"> been around since the 70s. What is newer in the last ten years is an acknowledgement that it’s not clear what those familiar examples establish.</w:t>
      </w:r>
      <w:r w:rsidRPr="00195FCC">
        <w:rPr>
          <w:rStyle w:val="FootnoteReference"/>
          <w:rFonts w:ascii="Garamond" w:hAnsi="Garamond"/>
        </w:rPr>
        <w:footnoteReference w:id="11"/>
      </w:r>
      <w:r w:rsidRPr="00195FCC">
        <w:rPr>
          <w:rFonts w:ascii="Garamond" w:hAnsi="Garamond"/>
        </w:rPr>
        <w:t xml:space="preserve"> This is stimulated by a resourcefully defended minority position according to which they do </w:t>
      </w:r>
      <w:r w:rsidRPr="00195FCC">
        <w:rPr>
          <w:rFonts w:ascii="Garamond" w:hAnsi="Garamond"/>
          <w:i/>
          <w:iCs/>
        </w:rPr>
        <w:t xml:space="preserve">not </w:t>
      </w:r>
      <w:r w:rsidRPr="00195FCC">
        <w:rPr>
          <w:rFonts w:ascii="Garamond" w:hAnsi="Garamond"/>
        </w:rPr>
        <w:t>establish anything of interest</w:t>
      </w:r>
      <w:r w:rsidR="00436D74">
        <w:rPr>
          <w:rFonts w:ascii="Garamond" w:hAnsi="Garamond"/>
        </w:rPr>
        <w:t xml:space="preserve"> about the </w:t>
      </w:r>
      <w:r w:rsidR="00436D74">
        <w:rPr>
          <w:rFonts w:ascii="Garamond" w:hAnsi="Garamond"/>
          <w:i/>
          <w:iCs/>
        </w:rPr>
        <w:t>de se</w:t>
      </w:r>
      <w:r w:rsidRPr="00195FCC">
        <w:rPr>
          <w:rFonts w:ascii="Garamond" w:hAnsi="Garamond"/>
        </w:rPr>
        <w:t>.</w:t>
      </w:r>
      <w:r w:rsidRPr="00195FCC">
        <w:rPr>
          <w:rStyle w:val="FootnoteReference"/>
          <w:rFonts w:ascii="Garamond" w:hAnsi="Garamond"/>
        </w:rPr>
        <w:footnoteReference w:id="12"/>
      </w:r>
      <w:r w:rsidRPr="00195FCC">
        <w:rPr>
          <w:rFonts w:ascii="Garamond" w:hAnsi="Garamond"/>
        </w:rPr>
        <w:t xml:space="preserve"> We’ll call this position </w:t>
      </w:r>
      <w:r w:rsidRPr="00195FCC">
        <w:rPr>
          <w:rFonts w:ascii="Garamond" w:hAnsi="Garamond"/>
          <w:i/>
          <w:iCs/>
        </w:rPr>
        <w:t xml:space="preserve">de se </w:t>
      </w:r>
      <w:r w:rsidRPr="00AF35C0">
        <w:rPr>
          <w:rFonts w:ascii="Garamond" w:hAnsi="Garamond"/>
          <w:i/>
          <w:iCs/>
        </w:rPr>
        <w:t>scepticism</w:t>
      </w:r>
      <w:r w:rsidRPr="00195FCC">
        <w:rPr>
          <w:rFonts w:ascii="Garamond" w:hAnsi="Garamond"/>
        </w:rPr>
        <w:t xml:space="preserve">, and opponents of the position </w:t>
      </w:r>
      <w:r w:rsidRPr="00195FCC">
        <w:rPr>
          <w:rFonts w:ascii="Garamond" w:hAnsi="Garamond"/>
          <w:i/>
          <w:iCs/>
        </w:rPr>
        <w:t xml:space="preserve">de se </w:t>
      </w:r>
      <w:r w:rsidRPr="00AF35C0">
        <w:rPr>
          <w:rFonts w:ascii="Garamond" w:hAnsi="Garamond"/>
          <w:i/>
          <w:iCs/>
        </w:rPr>
        <w:t>fans</w:t>
      </w:r>
      <w:r w:rsidRPr="00195FCC">
        <w:rPr>
          <w:rFonts w:ascii="Garamond" w:hAnsi="Garamond"/>
        </w:rPr>
        <w:t xml:space="preserve">. Relatively few have found </w:t>
      </w:r>
      <w:r w:rsidRPr="00195FCC">
        <w:rPr>
          <w:rFonts w:ascii="Garamond" w:hAnsi="Garamond"/>
          <w:i/>
          <w:iCs/>
        </w:rPr>
        <w:t xml:space="preserve">de se </w:t>
      </w:r>
      <w:r w:rsidRPr="00195FCC">
        <w:rPr>
          <w:rFonts w:ascii="Garamond" w:hAnsi="Garamond"/>
        </w:rPr>
        <w:t xml:space="preserve">scepticism wholly convincing, but the versions of </w:t>
      </w:r>
      <w:r w:rsidRPr="00195FCC">
        <w:rPr>
          <w:rFonts w:ascii="Garamond" w:hAnsi="Garamond"/>
          <w:i/>
          <w:iCs/>
        </w:rPr>
        <w:t xml:space="preserve">de se </w:t>
      </w:r>
      <w:r w:rsidRPr="00195FCC">
        <w:rPr>
          <w:rFonts w:ascii="Garamond" w:hAnsi="Garamond"/>
        </w:rPr>
        <w:t xml:space="preserve">fandom that have emerged in response to it are instructively different. </w:t>
      </w:r>
    </w:p>
    <w:p w14:paraId="1CF8ECFC" w14:textId="3366E5F5" w:rsidR="00050FDF" w:rsidRPr="00195FCC" w:rsidRDefault="00380C67" w:rsidP="00494ED5">
      <w:pPr>
        <w:spacing w:after="240" w:line="360" w:lineRule="auto"/>
        <w:jc w:val="both"/>
        <w:rPr>
          <w:rFonts w:ascii="Garamond" w:hAnsi="Garamond"/>
        </w:rPr>
      </w:pPr>
      <w:r w:rsidRPr="00195FCC">
        <w:rPr>
          <w:rFonts w:ascii="Garamond" w:hAnsi="Garamond"/>
        </w:rPr>
        <w:t>Here is one of the influential cases</w:t>
      </w:r>
      <w:r w:rsidR="002F5B49" w:rsidRPr="00195FCC">
        <w:rPr>
          <w:rFonts w:ascii="Garamond" w:hAnsi="Garamond"/>
        </w:rPr>
        <w:t>:</w:t>
      </w:r>
      <w:r w:rsidRPr="00195FCC">
        <w:rPr>
          <w:rFonts w:ascii="Garamond" w:hAnsi="Garamond"/>
        </w:rPr>
        <w:t xml:space="preserve"> Perry is following a trail of sugar along a supermarket floor, looking for the messy shopper who is creating the trail. At some point, Perry realizes </w:t>
      </w:r>
      <w:r w:rsidR="00436D74">
        <w:rPr>
          <w:rFonts w:ascii="Garamond" w:hAnsi="Garamond"/>
        </w:rPr>
        <w:t>‘I am the messy shopper’</w:t>
      </w:r>
      <w:r w:rsidRPr="00195FCC">
        <w:rPr>
          <w:rFonts w:ascii="Garamond" w:hAnsi="Garamond"/>
        </w:rPr>
        <w:t>. Having realized this, Perry stops following the trail and sorts out his own trolley (Perry 1979: 3).</w:t>
      </w:r>
    </w:p>
    <w:p w14:paraId="6D4B6307" w14:textId="4F978002" w:rsidR="00380C67" w:rsidRPr="00195FCC" w:rsidRDefault="00380C67" w:rsidP="00494ED5">
      <w:pPr>
        <w:spacing w:after="240" w:line="360" w:lineRule="auto"/>
        <w:jc w:val="both"/>
        <w:rPr>
          <w:rFonts w:ascii="Garamond" w:hAnsi="Garamond"/>
        </w:rPr>
      </w:pPr>
      <w:r w:rsidRPr="00195FCC">
        <w:rPr>
          <w:rFonts w:ascii="Garamond" w:hAnsi="Garamond"/>
          <w:i/>
          <w:iCs/>
        </w:rPr>
        <w:t xml:space="preserve">De se </w:t>
      </w:r>
      <w:r w:rsidRPr="00195FCC">
        <w:rPr>
          <w:rFonts w:ascii="Garamond" w:hAnsi="Garamond"/>
        </w:rPr>
        <w:t>sceptics have acknowledged that cases like this one show that going from thinking of oneself in a non-</w:t>
      </w:r>
      <w:r w:rsidRPr="00195FCC">
        <w:rPr>
          <w:rFonts w:ascii="Garamond" w:hAnsi="Garamond"/>
          <w:i/>
          <w:iCs/>
        </w:rPr>
        <w:t xml:space="preserve">de se </w:t>
      </w:r>
      <w:r w:rsidRPr="00195FCC">
        <w:rPr>
          <w:rFonts w:ascii="Garamond" w:hAnsi="Garamond"/>
        </w:rPr>
        <w:t xml:space="preserve">way to a </w:t>
      </w:r>
      <w:r w:rsidRPr="00195FCC">
        <w:rPr>
          <w:rFonts w:ascii="Garamond" w:hAnsi="Garamond"/>
          <w:i/>
          <w:iCs/>
        </w:rPr>
        <w:t xml:space="preserve">de se </w:t>
      </w:r>
      <w:r w:rsidRPr="00195FCC">
        <w:rPr>
          <w:rFonts w:ascii="Garamond" w:hAnsi="Garamond"/>
        </w:rPr>
        <w:t xml:space="preserve">way can make a difference to how one acts (as Perry </w:t>
      </w:r>
      <w:r w:rsidR="00D02788">
        <w:rPr>
          <w:rFonts w:ascii="Garamond" w:hAnsi="Garamond"/>
        </w:rPr>
        <w:t>noted</w:t>
      </w:r>
      <w:r w:rsidRPr="00195FCC">
        <w:rPr>
          <w:rFonts w:ascii="Garamond" w:hAnsi="Garamond"/>
        </w:rPr>
        <w:t xml:space="preserve">). But they point out that that </w:t>
      </w:r>
      <w:r w:rsidR="00D74B4F">
        <w:rPr>
          <w:rFonts w:ascii="Garamond" w:hAnsi="Garamond"/>
        </w:rPr>
        <w:t xml:space="preserve">just </w:t>
      </w:r>
      <w:r w:rsidRPr="00195FCC">
        <w:rPr>
          <w:rFonts w:ascii="Garamond" w:hAnsi="Garamond"/>
        </w:rPr>
        <w:t>seems to a special case of the more general point that how one acts depends not just on what things one is thinking about, but how one is thinking about them. We can create the same kind of effect using a</w:t>
      </w:r>
      <w:r w:rsidR="00D02788">
        <w:rPr>
          <w:rFonts w:ascii="Garamond" w:hAnsi="Garamond"/>
        </w:rPr>
        <w:t xml:space="preserve"> non</w:t>
      </w:r>
      <w:r w:rsidR="00D74B4F">
        <w:rPr>
          <w:rFonts w:ascii="Garamond" w:hAnsi="Garamond"/>
        </w:rPr>
        <w:t>-</w:t>
      </w:r>
      <w:r w:rsidR="00D02788">
        <w:rPr>
          <w:rFonts w:ascii="Garamond" w:hAnsi="Garamond"/>
          <w:i/>
          <w:iCs/>
        </w:rPr>
        <w:t>de se</w:t>
      </w:r>
      <w:r w:rsidRPr="00195FCC">
        <w:rPr>
          <w:rFonts w:ascii="Garamond" w:hAnsi="Garamond"/>
        </w:rPr>
        <w:t xml:space="preserve"> example in which an agent moves from using one proper name to another co-referential one. E.g. </w:t>
      </w:r>
      <w:r w:rsidR="00D02788">
        <w:rPr>
          <w:rFonts w:ascii="Garamond" w:hAnsi="Garamond"/>
        </w:rPr>
        <w:t>Lois</w:t>
      </w:r>
      <w:r w:rsidRPr="00195FCC">
        <w:rPr>
          <w:rFonts w:ascii="Garamond" w:hAnsi="Garamond"/>
        </w:rPr>
        <w:t xml:space="preserve"> hails a man </w:t>
      </w:r>
      <w:r w:rsidR="00D02788">
        <w:rPr>
          <w:rFonts w:ascii="Garamond" w:hAnsi="Garamond"/>
        </w:rPr>
        <w:t>s</w:t>
      </w:r>
      <w:r w:rsidRPr="00195FCC">
        <w:rPr>
          <w:rFonts w:ascii="Garamond" w:hAnsi="Garamond"/>
        </w:rPr>
        <w:t xml:space="preserve">he had previously ignored because </w:t>
      </w:r>
      <w:r w:rsidR="00D02788">
        <w:rPr>
          <w:rFonts w:ascii="Garamond" w:hAnsi="Garamond"/>
        </w:rPr>
        <w:t>s</w:t>
      </w:r>
      <w:r w:rsidRPr="00195FCC">
        <w:rPr>
          <w:rFonts w:ascii="Garamond" w:hAnsi="Garamond"/>
        </w:rPr>
        <w:t xml:space="preserve">he comes to realize that the </w:t>
      </w:r>
      <w:r w:rsidR="00D02788">
        <w:rPr>
          <w:rFonts w:ascii="Garamond" w:hAnsi="Garamond"/>
        </w:rPr>
        <w:t>man</w:t>
      </w:r>
      <w:r w:rsidRPr="00195FCC">
        <w:rPr>
          <w:rFonts w:ascii="Garamond" w:hAnsi="Garamond"/>
        </w:rPr>
        <w:t>, who</w:t>
      </w:r>
      <w:r w:rsidR="00EC2E91">
        <w:rPr>
          <w:rFonts w:ascii="Garamond" w:hAnsi="Garamond"/>
        </w:rPr>
        <w:t>m</w:t>
      </w:r>
      <w:r w:rsidRPr="00195FCC">
        <w:rPr>
          <w:rFonts w:ascii="Garamond" w:hAnsi="Garamond"/>
        </w:rPr>
        <w:t xml:space="preserve"> </w:t>
      </w:r>
      <w:r w:rsidR="00D02788">
        <w:rPr>
          <w:rFonts w:ascii="Garamond" w:hAnsi="Garamond"/>
        </w:rPr>
        <w:t>s</w:t>
      </w:r>
      <w:r w:rsidRPr="00195FCC">
        <w:rPr>
          <w:rFonts w:ascii="Garamond" w:hAnsi="Garamond"/>
        </w:rPr>
        <w:t xml:space="preserve">he had already recognized as Clark Kent, is Superman, the very person </w:t>
      </w:r>
      <w:r w:rsidR="00D02788">
        <w:rPr>
          <w:rFonts w:ascii="Garamond" w:hAnsi="Garamond"/>
        </w:rPr>
        <w:t>s</w:t>
      </w:r>
      <w:r w:rsidRPr="00195FCC">
        <w:rPr>
          <w:rFonts w:ascii="Garamond" w:hAnsi="Garamond"/>
        </w:rPr>
        <w:t xml:space="preserve">he’d been wanting to talk to. </w:t>
      </w:r>
      <w:r w:rsidR="00D02788">
        <w:rPr>
          <w:rFonts w:ascii="Garamond" w:hAnsi="Garamond"/>
        </w:rPr>
        <w:t xml:space="preserve">In slogan form: </w:t>
      </w:r>
      <w:r w:rsidR="00D02788">
        <w:rPr>
          <w:rFonts w:ascii="Garamond" w:hAnsi="Garamond"/>
          <w:i/>
          <w:iCs/>
        </w:rPr>
        <w:t>d</w:t>
      </w:r>
      <w:r w:rsidRPr="00195FCC">
        <w:rPr>
          <w:rFonts w:ascii="Garamond" w:hAnsi="Garamond"/>
          <w:i/>
          <w:iCs/>
        </w:rPr>
        <w:t xml:space="preserve">e se </w:t>
      </w:r>
      <w:r w:rsidRPr="00195FCC">
        <w:rPr>
          <w:rFonts w:ascii="Garamond" w:hAnsi="Garamond"/>
        </w:rPr>
        <w:t xml:space="preserve">cases are just </w:t>
      </w:r>
      <w:r w:rsidR="00D02788">
        <w:rPr>
          <w:rFonts w:ascii="Garamond" w:hAnsi="Garamond"/>
        </w:rPr>
        <w:t xml:space="preserve">opacity </w:t>
      </w:r>
      <w:r w:rsidRPr="00195FCC">
        <w:rPr>
          <w:rFonts w:ascii="Garamond" w:hAnsi="Garamond"/>
        </w:rPr>
        <w:t xml:space="preserve">cases. </w:t>
      </w:r>
    </w:p>
    <w:p w14:paraId="0022F8A9" w14:textId="0A49AAF3" w:rsidR="00380C67" w:rsidRPr="00195FCC" w:rsidRDefault="00380C67" w:rsidP="00494ED5">
      <w:pPr>
        <w:spacing w:after="240" w:line="360" w:lineRule="auto"/>
        <w:jc w:val="both"/>
        <w:rPr>
          <w:rFonts w:ascii="Garamond" w:hAnsi="Garamond"/>
        </w:rPr>
      </w:pPr>
      <w:r w:rsidRPr="00195FCC">
        <w:rPr>
          <w:rFonts w:ascii="Garamond" w:hAnsi="Garamond"/>
        </w:rPr>
        <w:t>On these grounds, Cappelen and Dever (</w:t>
      </w:r>
      <w:r w:rsidR="00050FDF" w:rsidRPr="00195FCC">
        <w:rPr>
          <w:rFonts w:ascii="Garamond" w:hAnsi="Garamond"/>
        </w:rPr>
        <w:t>2013</w:t>
      </w:r>
      <w:r w:rsidRPr="00195FCC">
        <w:rPr>
          <w:rFonts w:ascii="Garamond" w:hAnsi="Garamond"/>
        </w:rPr>
        <w:t xml:space="preserve">) </w:t>
      </w:r>
      <w:r w:rsidR="00050FDF" w:rsidRPr="00195FCC">
        <w:rPr>
          <w:rFonts w:ascii="Garamond" w:hAnsi="Garamond"/>
        </w:rPr>
        <w:t xml:space="preserve">and Magidor (2015) </w:t>
      </w:r>
      <w:r w:rsidRPr="00195FCC">
        <w:rPr>
          <w:rFonts w:ascii="Garamond" w:hAnsi="Garamond"/>
        </w:rPr>
        <w:t xml:space="preserve">both argue that in order for there to be a distinctive connection between the </w:t>
      </w:r>
      <w:r w:rsidRPr="00195FCC">
        <w:rPr>
          <w:rFonts w:ascii="Garamond" w:hAnsi="Garamond"/>
          <w:i/>
          <w:iCs/>
        </w:rPr>
        <w:t xml:space="preserve">de se </w:t>
      </w:r>
      <w:r w:rsidRPr="00195FCC">
        <w:rPr>
          <w:rFonts w:ascii="Garamond" w:hAnsi="Garamond"/>
        </w:rPr>
        <w:t xml:space="preserve">and action, the </w:t>
      </w:r>
      <w:r w:rsidRPr="00195FCC">
        <w:rPr>
          <w:rFonts w:ascii="Garamond" w:hAnsi="Garamond"/>
          <w:i/>
          <w:iCs/>
        </w:rPr>
        <w:t xml:space="preserve">de se </w:t>
      </w:r>
      <w:r w:rsidRPr="00195FCC">
        <w:rPr>
          <w:rFonts w:ascii="Garamond" w:hAnsi="Garamond"/>
        </w:rPr>
        <w:t xml:space="preserve">would have to be involved in </w:t>
      </w:r>
      <w:r w:rsidRPr="00195FCC">
        <w:rPr>
          <w:rFonts w:ascii="Garamond" w:hAnsi="Garamond"/>
          <w:i/>
          <w:iCs/>
        </w:rPr>
        <w:t xml:space="preserve">every </w:t>
      </w:r>
      <w:r w:rsidRPr="00195FCC">
        <w:rPr>
          <w:rFonts w:ascii="Garamond" w:hAnsi="Garamond"/>
        </w:rPr>
        <w:t xml:space="preserve">explanation of action, thus raising the bar on what the fan of the </w:t>
      </w:r>
      <w:r w:rsidRPr="00195FCC">
        <w:rPr>
          <w:rFonts w:ascii="Garamond" w:hAnsi="Garamond"/>
          <w:i/>
          <w:iCs/>
        </w:rPr>
        <w:t xml:space="preserve">de se </w:t>
      </w:r>
      <w:r w:rsidR="00D02788">
        <w:rPr>
          <w:rFonts w:ascii="Garamond" w:hAnsi="Garamond"/>
        </w:rPr>
        <w:t xml:space="preserve">seems to need to </w:t>
      </w:r>
      <w:r w:rsidRPr="00195FCC">
        <w:rPr>
          <w:rFonts w:ascii="Garamond" w:hAnsi="Garamond"/>
        </w:rPr>
        <w:t>show. They then note that simply inspecting a few cases, such as Perry’s case</w:t>
      </w:r>
      <w:r w:rsidRPr="00195FCC">
        <w:rPr>
          <w:rFonts w:ascii="Garamond" w:hAnsi="Garamond"/>
          <w:i/>
          <w:iCs/>
        </w:rPr>
        <w:t xml:space="preserve">, </w:t>
      </w:r>
      <w:r w:rsidRPr="00195FCC">
        <w:rPr>
          <w:rFonts w:ascii="Garamond" w:hAnsi="Garamond"/>
        </w:rPr>
        <w:t xml:space="preserve">provides no support for that universal generalization. Constructively, they offer a recipe for generating examples of </w:t>
      </w:r>
      <w:r w:rsidRPr="00195FCC">
        <w:rPr>
          <w:rFonts w:ascii="Garamond" w:hAnsi="Garamond"/>
        </w:rPr>
        <w:lastRenderedPageBreak/>
        <w:t xml:space="preserve">action in whose explanation no </w:t>
      </w:r>
      <w:r w:rsidRPr="00195FCC">
        <w:rPr>
          <w:rFonts w:ascii="Garamond" w:hAnsi="Garamond"/>
          <w:i/>
          <w:iCs/>
        </w:rPr>
        <w:t xml:space="preserve">de se </w:t>
      </w:r>
      <w:r w:rsidRPr="00195FCC">
        <w:rPr>
          <w:rFonts w:ascii="Garamond" w:hAnsi="Garamond"/>
        </w:rPr>
        <w:t>attitude figures. The key ingredient is that that the agent lacks any self-directed attitude at all</w:t>
      </w:r>
      <w:r w:rsidR="00050FDF" w:rsidRPr="00195FCC">
        <w:rPr>
          <w:rFonts w:ascii="Garamond" w:hAnsi="Garamond"/>
        </w:rPr>
        <w:t xml:space="preserve"> – so the question of whether that attitude must be </w:t>
      </w:r>
      <w:r w:rsidR="00050FDF" w:rsidRPr="00195FCC">
        <w:rPr>
          <w:rFonts w:ascii="Garamond" w:hAnsi="Garamond"/>
          <w:i/>
          <w:iCs/>
        </w:rPr>
        <w:t xml:space="preserve">de se </w:t>
      </w:r>
      <w:r w:rsidR="00050FDF" w:rsidRPr="00195FCC">
        <w:rPr>
          <w:rFonts w:ascii="Garamond" w:hAnsi="Garamond"/>
        </w:rPr>
        <w:t>does not arise</w:t>
      </w:r>
      <w:r w:rsidRPr="00195FCC">
        <w:rPr>
          <w:rFonts w:ascii="Garamond" w:hAnsi="Garamond"/>
        </w:rPr>
        <w:t xml:space="preserve">.  The agent forms an intention that a certain state of affairs obtain – </w:t>
      </w:r>
      <w:r w:rsidR="00D02788">
        <w:rPr>
          <w:rFonts w:ascii="Garamond" w:hAnsi="Garamond"/>
        </w:rPr>
        <w:t xml:space="preserve">e.g. </w:t>
      </w:r>
      <w:r w:rsidRPr="00195FCC">
        <w:rPr>
          <w:rFonts w:ascii="Garamond" w:hAnsi="Garamond"/>
        </w:rPr>
        <w:t xml:space="preserve">that a certain door is closed, that a charity is donated to – and </w:t>
      </w:r>
      <w:r w:rsidR="00D02788">
        <w:rPr>
          <w:rFonts w:ascii="Garamond" w:hAnsi="Garamond"/>
        </w:rPr>
        <w:t>that</w:t>
      </w:r>
      <w:r w:rsidRPr="00195FCC">
        <w:rPr>
          <w:rFonts w:ascii="Garamond" w:hAnsi="Garamond"/>
        </w:rPr>
        <w:t xml:space="preserve"> triggers their action. Granted, to bring</w:t>
      </w:r>
      <w:r w:rsidR="00D02788">
        <w:rPr>
          <w:rFonts w:ascii="Garamond" w:hAnsi="Garamond"/>
        </w:rPr>
        <w:t xml:space="preserve"> such a</w:t>
      </w:r>
      <w:r w:rsidRPr="00195FCC">
        <w:rPr>
          <w:rFonts w:ascii="Garamond" w:hAnsi="Garamond"/>
        </w:rPr>
        <w:t xml:space="preserve"> result about</w:t>
      </w:r>
      <w:r w:rsidR="00050FDF" w:rsidRPr="00195FCC">
        <w:rPr>
          <w:rFonts w:ascii="Garamond" w:hAnsi="Garamond"/>
        </w:rPr>
        <w:t>,</w:t>
      </w:r>
      <w:r w:rsidRPr="00195FCC">
        <w:rPr>
          <w:rFonts w:ascii="Garamond" w:hAnsi="Garamond"/>
        </w:rPr>
        <w:t xml:space="preserve"> the agent</w:t>
      </w:r>
      <w:r w:rsidRPr="00195FCC">
        <w:rPr>
          <w:rFonts w:ascii="Garamond" w:hAnsi="Garamond"/>
          <w:i/>
          <w:iCs/>
        </w:rPr>
        <w:t xml:space="preserve"> </w:t>
      </w:r>
      <w:r w:rsidRPr="00195FCC">
        <w:rPr>
          <w:rFonts w:ascii="Garamond" w:hAnsi="Garamond"/>
        </w:rPr>
        <w:t xml:space="preserve">will have </w:t>
      </w:r>
      <w:r w:rsidR="00436D74">
        <w:rPr>
          <w:rFonts w:ascii="Garamond" w:hAnsi="Garamond"/>
        </w:rPr>
        <w:t xml:space="preserve">to </w:t>
      </w:r>
      <w:r w:rsidRPr="00195FCC">
        <w:rPr>
          <w:rFonts w:ascii="Garamond" w:hAnsi="Garamond"/>
        </w:rPr>
        <w:t xml:space="preserve">do something else – e.g. move their body in a certain way. But, the suggestion is, this need not involve the formation of a </w:t>
      </w:r>
      <w:r w:rsidR="00050FDF" w:rsidRPr="00195FCC">
        <w:rPr>
          <w:rFonts w:ascii="Garamond" w:hAnsi="Garamond"/>
        </w:rPr>
        <w:t>self-referential</w:t>
      </w:r>
      <w:r w:rsidRPr="00195FCC">
        <w:rPr>
          <w:rFonts w:ascii="Garamond" w:hAnsi="Garamond"/>
          <w:i/>
          <w:iCs/>
        </w:rPr>
        <w:t xml:space="preserve"> </w:t>
      </w:r>
      <w:r w:rsidRPr="00195FCC">
        <w:rPr>
          <w:rFonts w:ascii="Garamond" w:hAnsi="Garamond"/>
        </w:rPr>
        <w:t xml:space="preserve">attitude (e.g. a </w:t>
      </w:r>
      <w:r w:rsidRPr="00195FCC">
        <w:rPr>
          <w:rFonts w:ascii="Garamond" w:hAnsi="Garamond"/>
          <w:i/>
          <w:iCs/>
        </w:rPr>
        <w:t>de se</w:t>
      </w:r>
      <w:r w:rsidRPr="00195FCC">
        <w:rPr>
          <w:rFonts w:ascii="Garamond" w:hAnsi="Garamond"/>
        </w:rPr>
        <w:t xml:space="preserve"> intention the agent would express with ‘I walk over to the door and turn my hand’). The agent may simply be wired up so that when they form intentions whose contents are </w:t>
      </w:r>
      <w:r w:rsidR="00D02788">
        <w:rPr>
          <w:rFonts w:ascii="Garamond" w:hAnsi="Garamond"/>
        </w:rPr>
        <w:t xml:space="preserve">‘actionable’ </w:t>
      </w:r>
      <w:r w:rsidRPr="00195FCC">
        <w:rPr>
          <w:rFonts w:ascii="Garamond" w:hAnsi="Garamond"/>
        </w:rPr>
        <w:t>states of affair, their subpersonal systems cause their bodies to move in such a way as to cause those states of affairs to</w:t>
      </w:r>
      <w:r w:rsidR="00050FDF" w:rsidRPr="00195FCC">
        <w:rPr>
          <w:rFonts w:ascii="Garamond" w:hAnsi="Garamond"/>
        </w:rPr>
        <w:t xml:space="preserve"> obtain</w:t>
      </w:r>
      <w:r w:rsidRPr="00195FCC">
        <w:rPr>
          <w:rFonts w:ascii="Garamond" w:hAnsi="Garamond"/>
        </w:rPr>
        <w:t xml:space="preserve">. It’s uncontroversial that there comes a point at which the selection of means to our ultimate ends does not involve having a </w:t>
      </w:r>
      <w:r w:rsidR="00050FDF" w:rsidRPr="00195FCC">
        <w:rPr>
          <w:rFonts w:ascii="Garamond" w:hAnsi="Garamond"/>
        </w:rPr>
        <w:t>further</w:t>
      </w:r>
      <w:r w:rsidRPr="00195FCC">
        <w:rPr>
          <w:rFonts w:ascii="Garamond" w:hAnsi="Garamond"/>
        </w:rPr>
        <w:t xml:space="preserve"> thought (e.g. moving my arm might involve a shift in my shoulder blade, even if I do not </w:t>
      </w:r>
      <w:r w:rsidR="00D02788">
        <w:rPr>
          <w:rFonts w:ascii="Garamond" w:hAnsi="Garamond"/>
        </w:rPr>
        <w:t>have a further thought</w:t>
      </w:r>
      <w:r w:rsidRPr="00195FCC">
        <w:rPr>
          <w:rFonts w:ascii="Garamond" w:hAnsi="Garamond"/>
        </w:rPr>
        <w:t xml:space="preserve"> about my shoulder blade). There is, the proposal is, no guarantee that the self will always be in view by the time this point is reached. </w:t>
      </w:r>
    </w:p>
    <w:p w14:paraId="58AA1B46" w14:textId="226CBE29" w:rsidR="00380C67" w:rsidRDefault="00380C67" w:rsidP="00494ED5">
      <w:pPr>
        <w:spacing w:after="240" w:line="360" w:lineRule="auto"/>
        <w:jc w:val="both"/>
        <w:rPr>
          <w:rFonts w:ascii="Garamond" w:hAnsi="Garamond"/>
        </w:rPr>
      </w:pPr>
      <w:r w:rsidRPr="00195FCC">
        <w:rPr>
          <w:rFonts w:ascii="Garamond" w:hAnsi="Garamond"/>
        </w:rPr>
        <w:t xml:space="preserve">This ‘action without self-reference’ idea could be given in different strengths. It could be outlining an in-principle, metaphysical possibility </w:t>
      </w:r>
      <w:r w:rsidR="00D02788">
        <w:rPr>
          <w:rFonts w:ascii="Garamond" w:hAnsi="Garamond"/>
        </w:rPr>
        <w:t>for</w:t>
      </w:r>
      <w:r w:rsidRPr="00195FCC">
        <w:rPr>
          <w:rFonts w:ascii="Garamond" w:hAnsi="Garamond"/>
        </w:rPr>
        <w:t xml:space="preserve"> agency. Or it could be outlining a possibility that human agents instantiate as they go about their business. Cappelen and Dever</w:t>
      </w:r>
      <w:r w:rsidR="00050FDF" w:rsidRPr="00195FCC">
        <w:rPr>
          <w:rFonts w:ascii="Garamond" w:hAnsi="Garamond"/>
        </w:rPr>
        <w:t xml:space="preserve"> (2013: 40)</w:t>
      </w:r>
      <w:r w:rsidRPr="00195FCC">
        <w:rPr>
          <w:rFonts w:ascii="Garamond" w:hAnsi="Garamond"/>
        </w:rPr>
        <w:t xml:space="preserve"> are explicit that they need</w:t>
      </w:r>
      <w:r w:rsidRPr="00195FCC">
        <w:rPr>
          <w:rFonts w:ascii="Garamond" w:hAnsi="Garamond"/>
          <w:i/>
          <w:iCs/>
        </w:rPr>
        <w:t xml:space="preserve"> </w:t>
      </w:r>
      <w:r w:rsidRPr="00195FCC">
        <w:rPr>
          <w:rFonts w:ascii="Garamond" w:hAnsi="Garamond"/>
        </w:rPr>
        <w:t>only claim the in-principl</w:t>
      </w:r>
      <w:r w:rsidR="00E7710E">
        <w:rPr>
          <w:rFonts w:ascii="Garamond" w:hAnsi="Garamond"/>
        </w:rPr>
        <w:t>e</w:t>
      </w:r>
      <w:r w:rsidRPr="00195FCC">
        <w:rPr>
          <w:rFonts w:ascii="Garamond" w:hAnsi="Garamond"/>
        </w:rPr>
        <w:t xml:space="preserve"> possibility. Their idea is that a need for the </w:t>
      </w:r>
      <w:r w:rsidRPr="00195FCC">
        <w:rPr>
          <w:rFonts w:ascii="Garamond" w:hAnsi="Garamond"/>
          <w:i/>
          <w:iCs/>
        </w:rPr>
        <w:t>de se</w:t>
      </w:r>
      <w:r w:rsidRPr="00195FCC">
        <w:rPr>
          <w:rFonts w:ascii="Garamond" w:hAnsi="Garamond"/>
        </w:rPr>
        <w:t xml:space="preserve"> that is local to human agents would be of little interest, and could not in any case be discovered without detailed scientific investigation,</w:t>
      </w:r>
      <w:r w:rsidR="00D02788">
        <w:rPr>
          <w:rFonts w:ascii="Garamond" w:hAnsi="Garamond"/>
        </w:rPr>
        <w:t xml:space="preserve"> of a sort fans of the </w:t>
      </w:r>
      <w:r w:rsidR="00D02788">
        <w:rPr>
          <w:rFonts w:ascii="Garamond" w:hAnsi="Garamond"/>
          <w:i/>
          <w:iCs/>
        </w:rPr>
        <w:t xml:space="preserve">de se </w:t>
      </w:r>
      <w:r w:rsidR="00D02788">
        <w:rPr>
          <w:rFonts w:ascii="Garamond" w:hAnsi="Garamond"/>
        </w:rPr>
        <w:t>have never rested their claims on. S</w:t>
      </w:r>
      <w:r w:rsidRPr="00195FCC">
        <w:rPr>
          <w:rFonts w:ascii="Garamond" w:hAnsi="Garamond"/>
        </w:rPr>
        <w:t xml:space="preserve">o considering whether an agent that was also a God could act without the </w:t>
      </w:r>
      <w:r w:rsidRPr="00195FCC">
        <w:rPr>
          <w:rFonts w:ascii="Garamond" w:hAnsi="Garamond"/>
          <w:i/>
          <w:iCs/>
        </w:rPr>
        <w:t>de se</w:t>
      </w:r>
      <w:r w:rsidRPr="00195FCC">
        <w:rPr>
          <w:rFonts w:ascii="Garamond" w:hAnsi="Garamond"/>
        </w:rPr>
        <w:t xml:space="preserve">, for example, would be dialectically legitimate. Most </w:t>
      </w:r>
      <w:r w:rsidR="00D02788">
        <w:rPr>
          <w:rFonts w:ascii="Garamond" w:hAnsi="Garamond"/>
        </w:rPr>
        <w:t xml:space="preserve">fans of the </w:t>
      </w:r>
      <w:r w:rsidRPr="00195FCC">
        <w:rPr>
          <w:rFonts w:ascii="Garamond" w:hAnsi="Garamond"/>
          <w:i/>
          <w:iCs/>
        </w:rPr>
        <w:t xml:space="preserve">de se </w:t>
      </w:r>
      <w:r w:rsidRPr="00195FCC">
        <w:rPr>
          <w:rFonts w:ascii="Garamond" w:hAnsi="Garamond"/>
        </w:rPr>
        <w:t xml:space="preserve">are, on the face of it, not restricting their claims to any particular category of agents (e.g. human agents, embodied agents, agents who are not Gods). A notable exception here is García-Carpintero (2017) who argues that the need for the </w:t>
      </w:r>
      <w:r w:rsidRPr="00195FCC">
        <w:rPr>
          <w:rFonts w:ascii="Garamond" w:hAnsi="Garamond"/>
          <w:i/>
          <w:iCs/>
        </w:rPr>
        <w:t xml:space="preserve">de se </w:t>
      </w:r>
      <w:r w:rsidRPr="00195FCC">
        <w:rPr>
          <w:rFonts w:ascii="Garamond" w:hAnsi="Garamond"/>
        </w:rPr>
        <w:t>is a deep contingent fact about human agency</w:t>
      </w:r>
      <w:r w:rsidR="00D02788">
        <w:rPr>
          <w:rFonts w:ascii="Garamond" w:hAnsi="Garamond"/>
        </w:rPr>
        <w:t>, and not less interesting for that</w:t>
      </w:r>
      <w:r w:rsidR="00BC65B1" w:rsidRPr="00195FCC">
        <w:rPr>
          <w:rFonts w:ascii="Garamond" w:hAnsi="Garamond"/>
        </w:rPr>
        <w:t xml:space="preserve">. </w:t>
      </w:r>
      <w:r w:rsidRPr="00195FCC">
        <w:rPr>
          <w:rFonts w:ascii="Garamond" w:hAnsi="Garamond"/>
        </w:rPr>
        <w:t xml:space="preserve">Prosser (2015) </w:t>
      </w:r>
      <w:r w:rsidR="00A208DB">
        <w:rPr>
          <w:rFonts w:ascii="Garamond" w:hAnsi="Garamond"/>
        </w:rPr>
        <w:t>explores</w:t>
      </w:r>
      <w:r w:rsidRPr="00195FCC">
        <w:rPr>
          <w:rFonts w:ascii="Garamond" w:hAnsi="Garamond"/>
        </w:rPr>
        <w:t xml:space="preserve"> some of the</w:t>
      </w:r>
      <w:r w:rsidR="00A208DB">
        <w:rPr>
          <w:rFonts w:ascii="Garamond" w:hAnsi="Garamond"/>
        </w:rPr>
        <w:t xml:space="preserve"> conceptual</w:t>
      </w:r>
      <w:r w:rsidRPr="00195FCC">
        <w:rPr>
          <w:rFonts w:ascii="Garamond" w:hAnsi="Garamond"/>
        </w:rPr>
        <w:t xml:space="preserve"> issues around God</w:t>
      </w:r>
      <w:r w:rsidR="00050FDF" w:rsidRPr="00195FCC">
        <w:rPr>
          <w:rFonts w:ascii="Garamond" w:hAnsi="Garamond"/>
        </w:rPr>
        <w:t>ly</w:t>
      </w:r>
      <w:r w:rsidRPr="00195FCC">
        <w:rPr>
          <w:rFonts w:ascii="Garamond" w:hAnsi="Garamond"/>
        </w:rPr>
        <w:t xml:space="preserve"> acti</w:t>
      </w:r>
      <w:r w:rsidR="00050FDF" w:rsidRPr="00195FCC">
        <w:rPr>
          <w:rFonts w:ascii="Garamond" w:hAnsi="Garamond"/>
        </w:rPr>
        <w:t xml:space="preserve">vity and the </w:t>
      </w:r>
      <w:r w:rsidR="00BC65B1" w:rsidRPr="00195FCC">
        <w:rPr>
          <w:rFonts w:ascii="Garamond" w:hAnsi="Garamond"/>
          <w:i/>
          <w:iCs/>
        </w:rPr>
        <w:t>de se</w:t>
      </w:r>
      <w:r w:rsidRPr="00195FCC">
        <w:rPr>
          <w:rFonts w:ascii="Garamond" w:hAnsi="Garamond"/>
        </w:rPr>
        <w:t xml:space="preserve">. </w:t>
      </w:r>
    </w:p>
    <w:p w14:paraId="10E528E5" w14:textId="6EC080E0" w:rsidR="00380C67" w:rsidRPr="00195FCC" w:rsidRDefault="00380C67" w:rsidP="00494ED5">
      <w:pPr>
        <w:spacing w:after="240" w:line="360" w:lineRule="auto"/>
        <w:jc w:val="both"/>
        <w:rPr>
          <w:rFonts w:ascii="Garamond" w:hAnsi="Garamond"/>
        </w:rPr>
      </w:pPr>
      <w:r w:rsidRPr="00195FCC">
        <w:rPr>
          <w:rFonts w:ascii="Garamond" w:hAnsi="Garamond"/>
        </w:rPr>
        <w:t>A second choice</w:t>
      </w:r>
      <w:r w:rsidR="00E7710E">
        <w:rPr>
          <w:rFonts w:ascii="Garamond" w:hAnsi="Garamond"/>
        </w:rPr>
        <w:t>-</w:t>
      </w:r>
      <w:r w:rsidRPr="00195FCC">
        <w:rPr>
          <w:rFonts w:ascii="Garamond" w:hAnsi="Garamond"/>
        </w:rPr>
        <w:t xml:space="preserve">point for </w:t>
      </w:r>
      <w:r w:rsidRPr="00195FCC">
        <w:rPr>
          <w:rFonts w:ascii="Garamond" w:hAnsi="Garamond"/>
          <w:i/>
          <w:iCs/>
        </w:rPr>
        <w:t xml:space="preserve">de se </w:t>
      </w:r>
      <w:r w:rsidR="00E7710E">
        <w:rPr>
          <w:rFonts w:ascii="Garamond" w:hAnsi="Garamond"/>
        </w:rPr>
        <w:t xml:space="preserve">fans </w:t>
      </w:r>
      <w:r w:rsidRPr="00195FCC">
        <w:rPr>
          <w:rFonts w:ascii="Garamond" w:hAnsi="Garamond"/>
        </w:rPr>
        <w:t>is whether they want to claim that all action</w:t>
      </w:r>
      <w:r w:rsidR="00C917A8">
        <w:rPr>
          <w:rFonts w:ascii="Garamond" w:hAnsi="Garamond"/>
        </w:rPr>
        <w:t>-</w:t>
      </w:r>
      <w:r w:rsidRPr="00195FCC">
        <w:rPr>
          <w:rFonts w:ascii="Garamond" w:hAnsi="Garamond"/>
        </w:rPr>
        <w:t xml:space="preserve">explanations involve the </w:t>
      </w:r>
      <w:r w:rsidRPr="00195FCC">
        <w:rPr>
          <w:rFonts w:ascii="Garamond" w:hAnsi="Garamond"/>
          <w:i/>
          <w:iCs/>
        </w:rPr>
        <w:t xml:space="preserve">de se </w:t>
      </w:r>
      <w:r w:rsidRPr="00195FCC">
        <w:rPr>
          <w:rFonts w:ascii="Garamond" w:hAnsi="Garamond"/>
        </w:rPr>
        <w:t xml:space="preserve">(and therefore that there must be something wrong with the </w:t>
      </w:r>
      <w:r w:rsidR="007E58C1">
        <w:rPr>
          <w:rFonts w:ascii="Garamond" w:hAnsi="Garamond"/>
        </w:rPr>
        <w:t>‘</w:t>
      </w:r>
      <w:r w:rsidRPr="00195FCC">
        <w:rPr>
          <w:rFonts w:ascii="Garamond" w:hAnsi="Garamond"/>
        </w:rPr>
        <w:t>action without self-reference</w:t>
      </w:r>
      <w:r w:rsidR="007E58C1">
        <w:rPr>
          <w:rFonts w:ascii="Garamond" w:hAnsi="Garamond"/>
        </w:rPr>
        <w:t>’</w:t>
      </w:r>
      <w:r w:rsidRPr="00195FCC">
        <w:rPr>
          <w:rFonts w:ascii="Garamond" w:hAnsi="Garamond"/>
        </w:rPr>
        <w:t xml:space="preserve"> proposal). Many clearly do.</w:t>
      </w:r>
      <w:r w:rsidRPr="00195FCC">
        <w:rPr>
          <w:rStyle w:val="FootnoteReference"/>
          <w:rFonts w:ascii="Garamond" w:hAnsi="Garamond"/>
        </w:rPr>
        <w:footnoteReference w:id="13"/>
      </w:r>
      <w:r w:rsidRPr="00195FCC">
        <w:rPr>
          <w:rFonts w:ascii="Garamond" w:hAnsi="Garamond"/>
        </w:rPr>
        <w:t xml:space="preserve"> </w:t>
      </w:r>
      <w:r w:rsidR="00BC65B1" w:rsidRPr="000D495C">
        <w:rPr>
          <w:rFonts w:ascii="Garamond" w:hAnsi="Garamond"/>
        </w:rPr>
        <w:t>Gjelsvik</w:t>
      </w:r>
      <w:r w:rsidR="00BC65B1" w:rsidRPr="00195FCC">
        <w:rPr>
          <w:rFonts w:ascii="Garamond" w:hAnsi="Garamond"/>
        </w:rPr>
        <w:t xml:space="preserve"> </w:t>
      </w:r>
      <w:r w:rsidRPr="00195FCC">
        <w:rPr>
          <w:rFonts w:ascii="Garamond" w:hAnsi="Garamond"/>
        </w:rPr>
        <w:t>appeals to an Anscombian view on</w:t>
      </w:r>
      <w:r w:rsidR="00BC65B1" w:rsidRPr="00195FCC">
        <w:rPr>
          <w:rFonts w:ascii="Garamond" w:hAnsi="Garamond"/>
        </w:rPr>
        <w:t xml:space="preserve"> which</w:t>
      </w:r>
      <w:r w:rsidRPr="00195FCC">
        <w:rPr>
          <w:rFonts w:ascii="Garamond" w:hAnsi="Garamond"/>
        </w:rPr>
        <w:t xml:space="preserve"> doing something intentionally involves having practical knowledge of </w:t>
      </w:r>
      <w:r w:rsidRPr="00195FCC">
        <w:rPr>
          <w:rFonts w:ascii="Garamond" w:hAnsi="Garamond"/>
          <w:i/>
          <w:iCs/>
        </w:rPr>
        <w:t>I am doing it</w:t>
      </w:r>
      <w:r w:rsidRPr="00195FCC">
        <w:rPr>
          <w:rFonts w:ascii="Garamond" w:hAnsi="Garamond"/>
        </w:rPr>
        <w:t>. Babb appeals to a Casta</w:t>
      </w:r>
      <w:r w:rsidR="00BC65B1" w:rsidRPr="00195FCC">
        <w:rPr>
          <w:rFonts w:ascii="Garamond" w:hAnsi="Garamond"/>
        </w:rPr>
        <w:t>ñ</w:t>
      </w:r>
      <w:r w:rsidRPr="00195FCC">
        <w:rPr>
          <w:rFonts w:ascii="Garamond" w:hAnsi="Garamond"/>
        </w:rPr>
        <w:t xml:space="preserve">eda inspired view on which intentional action always involves intention and intentions are, as such, </w:t>
      </w:r>
      <w:r w:rsidRPr="00195FCC">
        <w:rPr>
          <w:rFonts w:ascii="Garamond" w:hAnsi="Garamond"/>
          <w:i/>
          <w:iCs/>
        </w:rPr>
        <w:t xml:space="preserve">de se </w:t>
      </w:r>
      <w:r w:rsidRPr="00195FCC">
        <w:rPr>
          <w:rFonts w:ascii="Garamond" w:hAnsi="Garamond"/>
        </w:rPr>
        <w:t xml:space="preserve">(the intention </w:t>
      </w:r>
      <w:r w:rsidRPr="00195FCC">
        <w:rPr>
          <w:rFonts w:ascii="Garamond" w:hAnsi="Garamond"/>
          <w:i/>
          <w:iCs/>
        </w:rPr>
        <w:t>that</w:t>
      </w:r>
      <w:r w:rsidRPr="00195FCC">
        <w:rPr>
          <w:rFonts w:ascii="Garamond" w:hAnsi="Garamond"/>
        </w:rPr>
        <w:t xml:space="preserve"> </w:t>
      </w:r>
      <w:r w:rsidRPr="00195FCC">
        <w:rPr>
          <w:rFonts w:ascii="Garamond" w:hAnsi="Garamond"/>
          <w:i/>
          <w:iCs/>
        </w:rPr>
        <w:t>the door be closed</w:t>
      </w:r>
      <w:r w:rsidRPr="00195FCC">
        <w:rPr>
          <w:rFonts w:ascii="Garamond" w:hAnsi="Garamond"/>
        </w:rPr>
        <w:t xml:space="preserve"> is</w:t>
      </w:r>
      <w:r w:rsidR="00D02788">
        <w:rPr>
          <w:rFonts w:ascii="Garamond" w:hAnsi="Garamond"/>
        </w:rPr>
        <w:t xml:space="preserve"> really an intention</w:t>
      </w:r>
      <w:r w:rsidRPr="00195FCC">
        <w:rPr>
          <w:rFonts w:ascii="Garamond" w:hAnsi="Garamond"/>
        </w:rPr>
        <w:t xml:space="preserve"> </w:t>
      </w:r>
      <w:r w:rsidRPr="00195FCC">
        <w:rPr>
          <w:rFonts w:ascii="Garamond" w:hAnsi="Garamond"/>
          <w:i/>
          <w:iCs/>
        </w:rPr>
        <w:t>that</w:t>
      </w:r>
      <w:r w:rsidRPr="00195FCC">
        <w:rPr>
          <w:rFonts w:ascii="Garamond" w:hAnsi="Garamond"/>
        </w:rPr>
        <w:t xml:space="preserve"> </w:t>
      </w:r>
      <w:r w:rsidRPr="00195FCC">
        <w:rPr>
          <w:rFonts w:ascii="Garamond" w:hAnsi="Garamond"/>
          <w:i/>
          <w:iCs/>
        </w:rPr>
        <w:t>I bring it about that the door is closed</w:t>
      </w:r>
      <w:r w:rsidRPr="00195FCC">
        <w:rPr>
          <w:rFonts w:ascii="Garamond" w:hAnsi="Garamond"/>
        </w:rPr>
        <w:t xml:space="preserve">). The involvement of the </w:t>
      </w:r>
      <w:r w:rsidRPr="00195FCC">
        <w:rPr>
          <w:rFonts w:ascii="Garamond" w:hAnsi="Garamond"/>
          <w:i/>
          <w:iCs/>
        </w:rPr>
        <w:t xml:space="preserve">de se </w:t>
      </w:r>
      <w:r w:rsidRPr="00195FCC">
        <w:rPr>
          <w:rFonts w:ascii="Garamond" w:hAnsi="Garamond"/>
        </w:rPr>
        <w:t xml:space="preserve">in every case of action falls </w:t>
      </w:r>
      <w:r w:rsidR="00D02788">
        <w:rPr>
          <w:rFonts w:ascii="Garamond" w:hAnsi="Garamond"/>
        </w:rPr>
        <w:t xml:space="preserve">rather </w:t>
      </w:r>
      <w:r w:rsidRPr="00195FCC">
        <w:rPr>
          <w:rFonts w:ascii="Garamond" w:hAnsi="Garamond"/>
        </w:rPr>
        <w:t xml:space="preserve">directly out of either of </w:t>
      </w:r>
      <w:r w:rsidRPr="00195FCC">
        <w:rPr>
          <w:rFonts w:ascii="Garamond" w:hAnsi="Garamond"/>
        </w:rPr>
        <w:lastRenderedPageBreak/>
        <w:t>these</w:t>
      </w:r>
      <w:r w:rsidR="004572B4" w:rsidRPr="00195FCC">
        <w:rPr>
          <w:rFonts w:ascii="Garamond" w:hAnsi="Garamond"/>
        </w:rPr>
        <w:t xml:space="preserve"> theories</w:t>
      </w:r>
      <w:r w:rsidRPr="00195FCC">
        <w:rPr>
          <w:rFonts w:ascii="Garamond" w:hAnsi="Garamond"/>
        </w:rPr>
        <w:t xml:space="preserve">. On either view, it looks as though an account of the relationship between action and the </w:t>
      </w:r>
      <w:r w:rsidRPr="00195FCC">
        <w:rPr>
          <w:rFonts w:ascii="Garamond" w:hAnsi="Garamond"/>
          <w:i/>
          <w:iCs/>
        </w:rPr>
        <w:t xml:space="preserve">de se </w:t>
      </w:r>
      <w:r w:rsidRPr="00195FCC">
        <w:rPr>
          <w:rFonts w:ascii="Garamond" w:hAnsi="Garamond"/>
        </w:rPr>
        <w:t>is supported – indirectly – by the full range of evidential considerations that the overall theory of action (</w:t>
      </w:r>
      <w:r w:rsidR="00D02788">
        <w:rPr>
          <w:rFonts w:ascii="Garamond" w:hAnsi="Garamond"/>
        </w:rPr>
        <w:t>and</w:t>
      </w:r>
      <w:r w:rsidRPr="00195FCC">
        <w:rPr>
          <w:rFonts w:ascii="Garamond" w:hAnsi="Garamond"/>
        </w:rPr>
        <w:t xml:space="preserve">, in Babb’s case, theory of intention) is supported by. In that case, it’s hardly surprising that simply inspecting a few </w:t>
      </w:r>
      <w:r w:rsidR="00D02788">
        <w:rPr>
          <w:rFonts w:ascii="Garamond" w:hAnsi="Garamond"/>
          <w:i/>
          <w:iCs/>
        </w:rPr>
        <w:t xml:space="preserve">de se </w:t>
      </w:r>
      <w:r w:rsidRPr="00195FCC">
        <w:rPr>
          <w:rFonts w:ascii="Garamond" w:hAnsi="Garamond"/>
        </w:rPr>
        <w:t>cases</w:t>
      </w:r>
      <w:r w:rsidR="00D02788">
        <w:rPr>
          <w:rFonts w:ascii="Garamond" w:hAnsi="Garamond"/>
        </w:rPr>
        <w:t xml:space="preserve"> </w:t>
      </w:r>
      <w:r w:rsidRPr="00195FCC">
        <w:rPr>
          <w:rFonts w:ascii="Garamond" w:hAnsi="Garamond"/>
        </w:rPr>
        <w:t>and seeing what our intuitions about them are, is not enough to show what the relationship is.</w:t>
      </w:r>
    </w:p>
    <w:p w14:paraId="2B49512D" w14:textId="797E3E2E" w:rsidR="00720382" w:rsidRDefault="00380C67" w:rsidP="00494ED5">
      <w:pPr>
        <w:spacing w:after="240" w:line="360" w:lineRule="auto"/>
        <w:jc w:val="both"/>
        <w:rPr>
          <w:rFonts w:ascii="Garamond" w:hAnsi="Garamond"/>
        </w:rPr>
      </w:pPr>
      <w:r w:rsidRPr="00195FCC">
        <w:rPr>
          <w:rFonts w:ascii="Garamond" w:hAnsi="Garamond"/>
        </w:rPr>
        <w:t xml:space="preserve">Other fans of the </w:t>
      </w:r>
      <w:r w:rsidRPr="00195FCC">
        <w:rPr>
          <w:rFonts w:ascii="Garamond" w:hAnsi="Garamond"/>
          <w:i/>
          <w:iCs/>
        </w:rPr>
        <w:t>de se</w:t>
      </w:r>
      <w:r w:rsidRPr="00195FCC">
        <w:rPr>
          <w:rFonts w:ascii="Garamond" w:hAnsi="Garamond"/>
        </w:rPr>
        <w:t xml:space="preserve"> have seemed not to commit to t</w:t>
      </w:r>
      <w:r w:rsidR="00310B80">
        <w:rPr>
          <w:rFonts w:ascii="Garamond" w:hAnsi="Garamond"/>
        </w:rPr>
        <w:t>he maximally strong claim that a</w:t>
      </w:r>
      <w:r w:rsidRPr="00195FCC">
        <w:rPr>
          <w:rFonts w:ascii="Garamond" w:hAnsi="Garamond"/>
        </w:rPr>
        <w:t>ll action</w:t>
      </w:r>
      <w:r w:rsidR="00310B80">
        <w:rPr>
          <w:rFonts w:ascii="Garamond" w:hAnsi="Garamond"/>
        </w:rPr>
        <w:t>-</w:t>
      </w:r>
      <w:r w:rsidRPr="00195FCC">
        <w:rPr>
          <w:rFonts w:ascii="Garamond" w:hAnsi="Garamond"/>
        </w:rPr>
        <w:t xml:space="preserve">explanations involve the </w:t>
      </w:r>
      <w:r w:rsidRPr="00195FCC">
        <w:rPr>
          <w:rFonts w:ascii="Garamond" w:hAnsi="Garamond"/>
          <w:i/>
          <w:iCs/>
        </w:rPr>
        <w:t>de se</w:t>
      </w:r>
      <w:r w:rsidRPr="00195FCC">
        <w:rPr>
          <w:rFonts w:ascii="Garamond" w:hAnsi="Garamond"/>
        </w:rPr>
        <w:t>. But, as noted, the only alternative</w:t>
      </w:r>
      <w:r w:rsidR="00BC65B1" w:rsidRPr="00195FCC">
        <w:rPr>
          <w:rFonts w:ascii="Garamond" w:hAnsi="Garamond"/>
        </w:rPr>
        <w:t xml:space="preserve"> </w:t>
      </w:r>
      <w:r w:rsidR="00BC65B1" w:rsidRPr="00195FCC">
        <w:rPr>
          <w:rFonts w:ascii="Garamond" w:hAnsi="Garamond"/>
          <w:i/>
          <w:iCs/>
        </w:rPr>
        <w:t xml:space="preserve">de se </w:t>
      </w:r>
      <w:r w:rsidR="00BC65B1" w:rsidRPr="00195FCC">
        <w:rPr>
          <w:rFonts w:ascii="Garamond" w:hAnsi="Garamond"/>
        </w:rPr>
        <w:t>s</w:t>
      </w:r>
      <w:r w:rsidR="004572B4" w:rsidRPr="00195FCC">
        <w:rPr>
          <w:rFonts w:ascii="Garamond" w:hAnsi="Garamond"/>
        </w:rPr>
        <w:t>c</w:t>
      </w:r>
      <w:r w:rsidR="00BC65B1" w:rsidRPr="00195FCC">
        <w:rPr>
          <w:rFonts w:ascii="Garamond" w:hAnsi="Garamond"/>
        </w:rPr>
        <w:t>eptics tend to consider</w:t>
      </w:r>
      <w:r w:rsidR="00D02788">
        <w:rPr>
          <w:rFonts w:ascii="Garamond" w:hAnsi="Garamond"/>
        </w:rPr>
        <w:t xml:space="preserve"> </w:t>
      </w:r>
      <w:r w:rsidR="00AC0FA0">
        <w:rPr>
          <w:rFonts w:ascii="Garamond" w:hAnsi="Garamond"/>
        </w:rPr>
        <w:t>–</w:t>
      </w:r>
      <w:r w:rsidR="00D02788">
        <w:rPr>
          <w:rFonts w:ascii="Garamond" w:hAnsi="Garamond"/>
        </w:rPr>
        <w:t xml:space="preserve"> </w:t>
      </w:r>
      <w:r w:rsidR="00AC0FA0">
        <w:rPr>
          <w:rFonts w:ascii="Garamond" w:hAnsi="Garamond"/>
        </w:rPr>
        <w:t>the cla</w:t>
      </w:r>
      <w:r w:rsidR="005946B8">
        <w:rPr>
          <w:rFonts w:ascii="Garamond" w:hAnsi="Garamond"/>
        </w:rPr>
        <w:t>i</w:t>
      </w:r>
      <w:r w:rsidR="00AC0FA0">
        <w:rPr>
          <w:rFonts w:ascii="Garamond" w:hAnsi="Garamond"/>
        </w:rPr>
        <w:t>m that s</w:t>
      </w:r>
      <w:r w:rsidRPr="00195FCC">
        <w:rPr>
          <w:rFonts w:ascii="Garamond" w:hAnsi="Garamond"/>
        </w:rPr>
        <w:t>ome action</w:t>
      </w:r>
      <w:r w:rsidR="00C917A8">
        <w:rPr>
          <w:rFonts w:ascii="Garamond" w:hAnsi="Garamond"/>
        </w:rPr>
        <w:t>-</w:t>
      </w:r>
      <w:r w:rsidRPr="00195FCC">
        <w:rPr>
          <w:rFonts w:ascii="Garamond" w:hAnsi="Garamond"/>
        </w:rPr>
        <w:t xml:space="preserve">explanations involve the </w:t>
      </w:r>
      <w:r w:rsidRPr="00195FCC">
        <w:rPr>
          <w:rFonts w:ascii="Garamond" w:hAnsi="Garamond"/>
          <w:i/>
          <w:iCs/>
        </w:rPr>
        <w:t>de se</w:t>
      </w:r>
      <w:r w:rsidRPr="00195FCC">
        <w:rPr>
          <w:rFonts w:ascii="Garamond" w:hAnsi="Garamond"/>
        </w:rPr>
        <w:t xml:space="preserve"> </w:t>
      </w:r>
      <w:r w:rsidR="00D02788">
        <w:rPr>
          <w:rFonts w:ascii="Garamond" w:hAnsi="Garamond"/>
        </w:rPr>
        <w:t>– seems too weak to be interesting</w:t>
      </w:r>
      <w:r w:rsidRPr="00195FCC">
        <w:rPr>
          <w:rFonts w:ascii="Garamond" w:hAnsi="Garamond"/>
        </w:rPr>
        <w:t xml:space="preserve">. So what other kind of claim might such a fan of the </w:t>
      </w:r>
      <w:r w:rsidRPr="00195FCC">
        <w:rPr>
          <w:rFonts w:ascii="Garamond" w:hAnsi="Garamond"/>
          <w:i/>
          <w:iCs/>
        </w:rPr>
        <w:t xml:space="preserve">de se </w:t>
      </w:r>
      <w:r w:rsidRPr="00195FCC">
        <w:rPr>
          <w:rFonts w:ascii="Garamond" w:hAnsi="Garamond"/>
        </w:rPr>
        <w:t>appeal to? A candidate is: ‘Some action</w:t>
      </w:r>
      <w:r w:rsidR="00C917A8">
        <w:rPr>
          <w:rFonts w:ascii="Garamond" w:hAnsi="Garamond"/>
        </w:rPr>
        <w:t>-</w:t>
      </w:r>
      <w:r w:rsidRPr="00195FCC">
        <w:rPr>
          <w:rFonts w:ascii="Garamond" w:hAnsi="Garamond"/>
        </w:rPr>
        <w:t xml:space="preserve">explanations involve the </w:t>
      </w:r>
      <w:r w:rsidRPr="00195FCC">
        <w:rPr>
          <w:rFonts w:ascii="Garamond" w:hAnsi="Garamond"/>
          <w:i/>
          <w:iCs/>
        </w:rPr>
        <w:t xml:space="preserve">de se </w:t>
      </w:r>
      <w:r w:rsidRPr="00195FCC">
        <w:rPr>
          <w:rFonts w:ascii="Garamond" w:hAnsi="Garamond"/>
        </w:rPr>
        <w:t xml:space="preserve">in a way that otherwise attractive theory T cannot deal with’. Here the role of the </w:t>
      </w:r>
      <w:r w:rsidRPr="00195FCC">
        <w:rPr>
          <w:rFonts w:ascii="Garamond" w:hAnsi="Garamond"/>
          <w:i/>
          <w:iCs/>
        </w:rPr>
        <w:t xml:space="preserve">de se </w:t>
      </w:r>
      <w:r w:rsidRPr="00195FCC">
        <w:rPr>
          <w:rFonts w:ascii="Garamond" w:hAnsi="Garamond"/>
        </w:rPr>
        <w:t>is not just as a phenomenon with special features, but as a special problem</w:t>
      </w:r>
      <w:r w:rsidR="004572B4" w:rsidRPr="00195FCC">
        <w:rPr>
          <w:rFonts w:ascii="Garamond" w:hAnsi="Garamond"/>
        </w:rPr>
        <w:t xml:space="preserve"> or challenge</w:t>
      </w:r>
      <w:r w:rsidRPr="00195FCC">
        <w:rPr>
          <w:rFonts w:ascii="Garamond" w:hAnsi="Garamond"/>
        </w:rPr>
        <w:t xml:space="preserve"> </w:t>
      </w:r>
      <w:r w:rsidR="00C06858">
        <w:rPr>
          <w:rFonts w:ascii="Garamond" w:hAnsi="Garamond"/>
        </w:rPr>
        <w:t>–</w:t>
      </w:r>
      <w:r w:rsidR="002E356E">
        <w:rPr>
          <w:rFonts w:ascii="Garamond" w:hAnsi="Garamond"/>
        </w:rPr>
        <w:t xml:space="preserve"> </w:t>
      </w:r>
      <w:r w:rsidRPr="00195FCC">
        <w:rPr>
          <w:rFonts w:ascii="Garamond" w:hAnsi="Garamond"/>
        </w:rPr>
        <w:t>in this case, for theory T.</w:t>
      </w:r>
      <w:r w:rsidRPr="00195FCC">
        <w:rPr>
          <w:rFonts w:ascii="Garamond" w:hAnsi="Garamond"/>
          <w:vertAlign w:val="superscript"/>
        </w:rPr>
        <w:footnoteReference w:id="14"/>
      </w:r>
      <w:r w:rsidRPr="00195FCC">
        <w:rPr>
          <w:rFonts w:ascii="Garamond" w:hAnsi="Garamond"/>
          <w:vertAlign w:val="superscript"/>
        </w:rPr>
        <w:t xml:space="preserve"> </w:t>
      </w:r>
      <w:r w:rsidRPr="00195FCC">
        <w:rPr>
          <w:rFonts w:ascii="Garamond" w:hAnsi="Garamond"/>
        </w:rPr>
        <w:t xml:space="preserve">Lewis conceived of </w:t>
      </w:r>
      <w:r w:rsidRPr="00195FCC">
        <w:rPr>
          <w:rFonts w:ascii="Garamond" w:hAnsi="Garamond"/>
          <w:i/>
          <w:iCs/>
        </w:rPr>
        <w:t xml:space="preserve">de se </w:t>
      </w:r>
      <w:r w:rsidRPr="00195FCC">
        <w:rPr>
          <w:rFonts w:ascii="Garamond" w:hAnsi="Garamond"/>
        </w:rPr>
        <w:t>cases</w:t>
      </w:r>
      <w:r w:rsidR="00550B0E">
        <w:rPr>
          <w:rFonts w:ascii="Garamond" w:hAnsi="Garamond"/>
        </w:rPr>
        <w:t xml:space="preserve"> in this way</w:t>
      </w:r>
      <w:r w:rsidRPr="00195FCC">
        <w:rPr>
          <w:rFonts w:ascii="Garamond" w:hAnsi="Garamond"/>
        </w:rPr>
        <w:t xml:space="preserve">, seeing </w:t>
      </w:r>
      <w:r w:rsidR="002E356E">
        <w:rPr>
          <w:rFonts w:ascii="Garamond" w:hAnsi="Garamond"/>
        </w:rPr>
        <w:t xml:space="preserve">them </w:t>
      </w:r>
      <w:r w:rsidRPr="00195FCC">
        <w:rPr>
          <w:rFonts w:ascii="Garamond" w:hAnsi="Garamond"/>
        </w:rPr>
        <w:t>as producing a problem for the possible worlds theory</w:t>
      </w:r>
      <w:r w:rsidR="004021A6">
        <w:rPr>
          <w:rFonts w:ascii="Garamond" w:hAnsi="Garamond"/>
        </w:rPr>
        <w:t xml:space="preserve"> of propositional attitudes</w:t>
      </w:r>
      <w:r w:rsidRPr="00195FCC">
        <w:rPr>
          <w:rFonts w:ascii="Garamond" w:hAnsi="Garamond"/>
        </w:rPr>
        <w:t xml:space="preserve"> </w:t>
      </w:r>
      <w:r w:rsidR="004021A6">
        <w:rPr>
          <w:rFonts w:ascii="Garamond" w:hAnsi="Garamond"/>
        </w:rPr>
        <w:t xml:space="preserve">he thought </w:t>
      </w:r>
      <w:r w:rsidRPr="00195FCC">
        <w:rPr>
          <w:rFonts w:ascii="Garamond" w:hAnsi="Garamond"/>
        </w:rPr>
        <w:t>otherwise attractive</w:t>
      </w:r>
      <w:r w:rsidR="004572B4" w:rsidRPr="00195FCC">
        <w:rPr>
          <w:rFonts w:ascii="Garamond" w:hAnsi="Garamond"/>
        </w:rPr>
        <w:t>.</w:t>
      </w:r>
      <w:r w:rsidR="00550B0E">
        <w:rPr>
          <w:rFonts w:ascii="Garamond" w:hAnsi="Garamond"/>
        </w:rPr>
        <w:t xml:space="preserve"> So did Perry, with respect to a</w:t>
      </w:r>
      <w:r w:rsidR="009F1A6E">
        <w:rPr>
          <w:rFonts w:ascii="Garamond" w:hAnsi="Garamond"/>
        </w:rPr>
        <w:t>ny theory that endorses what he calls ‘the doctrine of propositions’ (</w:t>
      </w:r>
      <w:r w:rsidR="00E73765">
        <w:rPr>
          <w:rFonts w:ascii="Garamond" w:hAnsi="Garamond"/>
        </w:rPr>
        <w:t>1979</w:t>
      </w:r>
      <w:r w:rsidR="009F1A6E">
        <w:rPr>
          <w:rFonts w:ascii="Garamond" w:hAnsi="Garamond"/>
        </w:rPr>
        <w:t>)</w:t>
      </w:r>
      <w:r w:rsidR="00550B0E">
        <w:rPr>
          <w:rFonts w:ascii="Garamond" w:hAnsi="Garamond"/>
        </w:rPr>
        <w:t>.</w:t>
      </w:r>
      <w:r w:rsidR="004572B4" w:rsidRPr="00195FCC">
        <w:rPr>
          <w:rFonts w:ascii="Garamond" w:hAnsi="Garamond"/>
        </w:rPr>
        <w:t xml:space="preserve"> </w:t>
      </w:r>
      <w:r w:rsidRPr="00195FCC">
        <w:rPr>
          <w:rFonts w:ascii="Garamond" w:hAnsi="Garamond"/>
        </w:rPr>
        <w:t xml:space="preserve">In the last decade, </w:t>
      </w:r>
      <w:r w:rsidR="002E356E" w:rsidRPr="00195FCC">
        <w:rPr>
          <w:rFonts w:ascii="Garamond" w:hAnsi="Garamond"/>
          <w:i/>
          <w:iCs/>
        </w:rPr>
        <w:t xml:space="preserve">de se </w:t>
      </w:r>
      <w:r w:rsidR="002E356E" w:rsidRPr="00195FCC">
        <w:rPr>
          <w:rFonts w:ascii="Garamond" w:hAnsi="Garamond"/>
        </w:rPr>
        <w:t xml:space="preserve">sceptics </w:t>
      </w:r>
      <w:r w:rsidR="002E356E">
        <w:rPr>
          <w:rFonts w:ascii="Garamond" w:hAnsi="Garamond"/>
        </w:rPr>
        <w:t xml:space="preserve">have put a </w:t>
      </w:r>
      <w:r w:rsidRPr="00195FCC">
        <w:rPr>
          <w:rFonts w:ascii="Garamond" w:hAnsi="Garamond"/>
        </w:rPr>
        <w:t>great deal of</w:t>
      </w:r>
      <w:r w:rsidR="00F0426C" w:rsidRPr="00195FCC">
        <w:rPr>
          <w:rFonts w:ascii="Garamond" w:hAnsi="Garamond"/>
        </w:rPr>
        <w:t xml:space="preserve"> pressure </w:t>
      </w:r>
      <w:r w:rsidR="004572B4" w:rsidRPr="00195FCC">
        <w:rPr>
          <w:rFonts w:ascii="Garamond" w:hAnsi="Garamond"/>
        </w:rPr>
        <w:t xml:space="preserve">on </w:t>
      </w:r>
      <w:r w:rsidRPr="00195FCC">
        <w:rPr>
          <w:rFonts w:ascii="Garamond" w:hAnsi="Garamond"/>
        </w:rPr>
        <w:t xml:space="preserve">whether the ‘otherwise attractive’ condition is </w:t>
      </w:r>
      <w:r w:rsidR="00D942D9">
        <w:rPr>
          <w:rFonts w:ascii="Garamond" w:hAnsi="Garamond"/>
        </w:rPr>
        <w:t xml:space="preserve">ever </w:t>
      </w:r>
      <w:r w:rsidR="002E356E" w:rsidRPr="00195FCC">
        <w:rPr>
          <w:rFonts w:ascii="Garamond" w:hAnsi="Garamond"/>
        </w:rPr>
        <w:t xml:space="preserve">really </w:t>
      </w:r>
      <w:r w:rsidRPr="00195FCC">
        <w:rPr>
          <w:rFonts w:ascii="Garamond" w:hAnsi="Garamond"/>
        </w:rPr>
        <w:t>met</w:t>
      </w:r>
      <w:r w:rsidR="00887C65">
        <w:rPr>
          <w:rFonts w:ascii="Garamond" w:hAnsi="Garamond"/>
        </w:rPr>
        <w:t>.</w:t>
      </w:r>
      <w:r w:rsidRPr="00195FCC">
        <w:rPr>
          <w:rFonts w:ascii="Garamond" w:hAnsi="Garamond"/>
        </w:rPr>
        <w:t xml:space="preserve"> </w:t>
      </w:r>
      <w:r w:rsidR="00887C65">
        <w:rPr>
          <w:rFonts w:ascii="Garamond" w:hAnsi="Garamond"/>
        </w:rPr>
        <w:t xml:space="preserve">Perhaps </w:t>
      </w:r>
      <w:r w:rsidR="004021A6">
        <w:rPr>
          <w:rFonts w:ascii="Garamond" w:hAnsi="Garamond"/>
        </w:rPr>
        <w:t xml:space="preserve">theories that can’t deal with </w:t>
      </w:r>
      <w:r w:rsidR="004021A6">
        <w:rPr>
          <w:rFonts w:ascii="Garamond" w:hAnsi="Garamond"/>
          <w:i/>
          <w:iCs/>
        </w:rPr>
        <w:t xml:space="preserve">de se </w:t>
      </w:r>
      <w:r w:rsidR="004021A6">
        <w:rPr>
          <w:rFonts w:ascii="Garamond" w:hAnsi="Garamond"/>
        </w:rPr>
        <w:t>case</w:t>
      </w:r>
      <w:r w:rsidR="00185686">
        <w:rPr>
          <w:rFonts w:ascii="Garamond" w:hAnsi="Garamond"/>
        </w:rPr>
        <w:t>s</w:t>
      </w:r>
      <w:r w:rsidR="005946B8">
        <w:rPr>
          <w:rFonts w:ascii="Garamond" w:hAnsi="Garamond"/>
        </w:rPr>
        <w:t xml:space="preserve"> equally can’t deal with non-</w:t>
      </w:r>
      <w:r w:rsidR="005946B8">
        <w:rPr>
          <w:rFonts w:ascii="Garamond" w:hAnsi="Garamond"/>
          <w:i/>
          <w:iCs/>
        </w:rPr>
        <w:t>de se</w:t>
      </w:r>
      <w:r w:rsidR="005946B8">
        <w:rPr>
          <w:rFonts w:ascii="Garamond" w:hAnsi="Garamond"/>
        </w:rPr>
        <w:t xml:space="preserve"> cases, </w:t>
      </w:r>
      <w:r w:rsidR="00D715AE">
        <w:rPr>
          <w:rFonts w:ascii="Garamond" w:hAnsi="Garamond"/>
        </w:rPr>
        <w:t>in which case the</w:t>
      </w:r>
      <w:r w:rsidR="005946B8">
        <w:rPr>
          <w:rFonts w:ascii="Garamond" w:hAnsi="Garamond"/>
        </w:rPr>
        <w:t xml:space="preserve"> </w:t>
      </w:r>
      <w:r w:rsidR="005946B8">
        <w:rPr>
          <w:rFonts w:ascii="Garamond" w:hAnsi="Garamond"/>
          <w:i/>
          <w:iCs/>
        </w:rPr>
        <w:t>de se</w:t>
      </w:r>
      <w:r w:rsidR="005946B8">
        <w:rPr>
          <w:rFonts w:ascii="Garamond" w:hAnsi="Garamond"/>
        </w:rPr>
        <w:t xml:space="preserve"> doesn’t raise a </w:t>
      </w:r>
      <w:r w:rsidR="005946B8" w:rsidRPr="00D715AE">
        <w:rPr>
          <w:rFonts w:ascii="Garamond" w:hAnsi="Garamond"/>
          <w:i/>
          <w:iCs/>
        </w:rPr>
        <w:t xml:space="preserve">special </w:t>
      </w:r>
      <w:r w:rsidR="005946B8">
        <w:rPr>
          <w:rFonts w:ascii="Garamond" w:hAnsi="Garamond"/>
        </w:rPr>
        <w:t>problem after all</w:t>
      </w:r>
      <w:r w:rsidR="004021A6">
        <w:rPr>
          <w:rFonts w:ascii="Garamond" w:hAnsi="Garamond"/>
        </w:rPr>
        <w:t>.</w:t>
      </w:r>
      <w:r w:rsidR="00D715AE">
        <w:rPr>
          <w:rFonts w:ascii="Garamond" w:hAnsi="Garamond"/>
        </w:rPr>
        <w:t xml:space="preserve"> </w:t>
      </w:r>
      <w:r w:rsidR="00D715AE" w:rsidRPr="00D34F39">
        <w:rPr>
          <w:rFonts w:ascii="Garamond" w:hAnsi="Garamond"/>
        </w:rPr>
        <w:t>One reason th</w:t>
      </w:r>
      <w:r w:rsidR="00D715AE">
        <w:rPr>
          <w:rFonts w:ascii="Garamond" w:hAnsi="Garamond"/>
        </w:rPr>
        <w:t>is</w:t>
      </w:r>
      <w:r w:rsidR="00D715AE" w:rsidRPr="00D34F39">
        <w:rPr>
          <w:rFonts w:ascii="Garamond" w:hAnsi="Garamond"/>
        </w:rPr>
        <w:t xml:space="preserve"> </w:t>
      </w:r>
      <w:r w:rsidR="00D715AE">
        <w:rPr>
          <w:rFonts w:ascii="Garamond" w:hAnsi="Garamond"/>
        </w:rPr>
        <w:t>issue</w:t>
      </w:r>
      <w:r w:rsidR="00D715AE" w:rsidRPr="00D34F39">
        <w:rPr>
          <w:rFonts w:ascii="Garamond" w:hAnsi="Garamond"/>
        </w:rPr>
        <w:t xml:space="preserve"> matters is that what </w:t>
      </w:r>
      <w:r w:rsidR="00D715AE">
        <w:rPr>
          <w:rFonts w:ascii="Garamond" w:hAnsi="Garamond"/>
        </w:rPr>
        <w:t xml:space="preserve">form </w:t>
      </w:r>
      <w:r w:rsidR="00D715AE" w:rsidRPr="00D34F39">
        <w:rPr>
          <w:rFonts w:ascii="Garamond" w:hAnsi="Garamond"/>
        </w:rPr>
        <w:t xml:space="preserve">a more adequate framework will </w:t>
      </w:r>
      <w:r w:rsidR="00D715AE">
        <w:rPr>
          <w:rFonts w:ascii="Garamond" w:hAnsi="Garamond"/>
        </w:rPr>
        <w:t>take</w:t>
      </w:r>
      <w:r w:rsidR="00D715AE" w:rsidRPr="00D34F39">
        <w:rPr>
          <w:rFonts w:ascii="Garamond" w:hAnsi="Garamond"/>
        </w:rPr>
        <w:t xml:space="preserve"> is plausibly sensitive to the range of cases that were making difficulty for the</w:t>
      </w:r>
      <w:r w:rsidR="00D715AE">
        <w:rPr>
          <w:rFonts w:ascii="Garamond" w:hAnsi="Garamond"/>
        </w:rPr>
        <w:t xml:space="preserve"> previous</w:t>
      </w:r>
      <w:r w:rsidR="00D715AE" w:rsidRPr="00D34F39">
        <w:rPr>
          <w:rFonts w:ascii="Garamond" w:hAnsi="Garamond"/>
        </w:rPr>
        <w:t xml:space="preserve"> framework. Moving to a framework</w:t>
      </w:r>
      <w:r w:rsidR="00D715AE">
        <w:rPr>
          <w:rFonts w:ascii="Garamond" w:hAnsi="Garamond"/>
        </w:rPr>
        <w:t xml:space="preserve"> like Lewis’s centered-worlds theory,</w:t>
      </w:r>
      <w:r w:rsidR="00D715AE" w:rsidRPr="00D34F39">
        <w:rPr>
          <w:rFonts w:ascii="Garamond" w:hAnsi="Garamond"/>
        </w:rPr>
        <w:t xml:space="preserve"> whose chief innovation is that it has a special bit of machinery to deal with </w:t>
      </w:r>
      <w:r w:rsidR="00D715AE" w:rsidRPr="00D34F39">
        <w:rPr>
          <w:rFonts w:ascii="Garamond" w:hAnsi="Garamond"/>
          <w:i/>
          <w:iCs/>
        </w:rPr>
        <w:t xml:space="preserve">de se </w:t>
      </w:r>
      <w:r w:rsidR="00D715AE" w:rsidRPr="00D34F39">
        <w:rPr>
          <w:rFonts w:ascii="Garamond" w:hAnsi="Garamond"/>
        </w:rPr>
        <w:t>cases</w:t>
      </w:r>
      <w:r w:rsidR="00D715AE">
        <w:rPr>
          <w:rFonts w:ascii="Garamond" w:hAnsi="Garamond"/>
        </w:rPr>
        <w:t>,</w:t>
      </w:r>
      <w:r w:rsidR="00D715AE" w:rsidRPr="00D34F39">
        <w:rPr>
          <w:rFonts w:ascii="Garamond" w:hAnsi="Garamond"/>
        </w:rPr>
        <w:t xml:space="preserve"> looks like a bad bet, if the problem provoking the move isn’t </w:t>
      </w:r>
      <w:r w:rsidR="00D715AE">
        <w:rPr>
          <w:rFonts w:ascii="Garamond" w:hAnsi="Garamond"/>
        </w:rPr>
        <w:t>in fact special</w:t>
      </w:r>
      <w:r w:rsidR="00D715AE" w:rsidRPr="00D34F39">
        <w:rPr>
          <w:rFonts w:ascii="Garamond" w:hAnsi="Garamond"/>
        </w:rPr>
        <w:t xml:space="preserve"> to the </w:t>
      </w:r>
      <w:r w:rsidR="00D715AE" w:rsidRPr="00D34F39">
        <w:rPr>
          <w:rFonts w:ascii="Garamond" w:hAnsi="Garamond"/>
          <w:i/>
          <w:iCs/>
        </w:rPr>
        <w:t>de se</w:t>
      </w:r>
      <w:r w:rsidR="00D715AE" w:rsidRPr="00D34F39">
        <w:rPr>
          <w:rFonts w:ascii="Garamond" w:hAnsi="Garamond"/>
        </w:rPr>
        <w:t>.</w:t>
      </w:r>
      <w:r w:rsidRPr="00195FCC">
        <w:rPr>
          <w:rStyle w:val="FootnoteReference"/>
          <w:rFonts w:ascii="Garamond" w:hAnsi="Garamond"/>
        </w:rPr>
        <w:footnoteReference w:id="15"/>
      </w:r>
      <w:r w:rsidR="00887C65">
        <w:rPr>
          <w:rFonts w:ascii="Garamond" w:hAnsi="Garamond"/>
        </w:rPr>
        <w:t xml:space="preserve"> </w:t>
      </w:r>
    </w:p>
    <w:p w14:paraId="1FAA450E" w14:textId="196DFB2B" w:rsidR="00380C67" w:rsidRPr="00195FCC" w:rsidRDefault="00380C67" w:rsidP="00494ED5">
      <w:pPr>
        <w:spacing w:after="240" w:line="360" w:lineRule="auto"/>
        <w:jc w:val="both"/>
        <w:rPr>
          <w:rFonts w:ascii="Garamond" w:hAnsi="Garamond"/>
        </w:rPr>
      </w:pPr>
      <w:r w:rsidRPr="00195FCC">
        <w:rPr>
          <w:rFonts w:ascii="Garamond" w:hAnsi="Garamond"/>
        </w:rPr>
        <w:t xml:space="preserve">This has led in turn to greater </w:t>
      </w:r>
      <w:r w:rsidR="00887C65">
        <w:rPr>
          <w:rFonts w:ascii="Garamond" w:hAnsi="Garamond"/>
        </w:rPr>
        <w:t xml:space="preserve">precision </w:t>
      </w:r>
      <w:r w:rsidRPr="00195FCC">
        <w:rPr>
          <w:rFonts w:ascii="Garamond" w:hAnsi="Garamond"/>
        </w:rPr>
        <w:t xml:space="preserve">from those who think </w:t>
      </w:r>
      <w:r w:rsidR="004021A6">
        <w:rPr>
          <w:rFonts w:ascii="Garamond" w:hAnsi="Garamond"/>
          <w:i/>
          <w:iCs/>
        </w:rPr>
        <w:t xml:space="preserve">de se </w:t>
      </w:r>
      <w:r w:rsidR="004021A6">
        <w:rPr>
          <w:rFonts w:ascii="Garamond" w:hAnsi="Garamond"/>
        </w:rPr>
        <w:t xml:space="preserve">cases are a </w:t>
      </w:r>
      <w:r w:rsidRPr="00195FCC">
        <w:rPr>
          <w:rFonts w:ascii="Garamond" w:hAnsi="Garamond"/>
        </w:rPr>
        <w:t xml:space="preserve">distinctive problem </w:t>
      </w:r>
      <w:r w:rsidR="004021A6">
        <w:rPr>
          <w:rFonts w:ascii="Garamond" w:hAnsi="Garamond"/>
        </w:rPr>
        <w:t xml:space="preserve">about </w:t>
      </w:r>
      <w:r w:rsidR="00887C65">
        <w:rPr>
          <w:rFonts w:ascii="Garamond" w:hAnsi="Garamond"/>
        </w:rPr>
        <w:t>how the</w:t>
      </w:r>
      <w:r w:rsidR="002E356E">
        <w:rPr>
          <w:rFonts w:ascii="Garamond" w:hAnsi="Garamond"/>
        </w:rPr>
        <w:t xml:space="preserve"> distinctive</w:t>
      </w:r>
      <w:r w:rsidR="00887C65">
        <w:rPr>
          <w:rFonts w:ascii="Garamond" w:hAnsi="Garamond"/>
        </w:rPr>
        <w:t xml:space="preserve"> problem is supposed to arise. </w:t>
      </w:r>
      <w:r w:rsidRPr="00195FCC">
        <w:rPr>
          <w:rFonts w:ascii="Garamond" w:hAnsi="Garamond"/>
        </w:rPr>
        <w:t>For example, Ninan</w:t>
      </w:r>
      <w:r w:rsidR="004572B4" w:rsidRPr="00195FCC">
        <w:rPr>
          <w:rFonts w:ascii="Garamond" w:hAnsi="Garamond"/>
        </w:rPr>
        <w:t xml:space="preserve"> (2016)</w:t>
      </w:r>
      <w:r w:rsidRPr="00195FCC">
        <w:rPr>
          <w:rFonts w:ascii="Garamond" w:hAnsi="Garamond"/>
        </w:rPr>
        <w:t xml:space="preserve"> (who presents </w:t>
      </w:r>
      <w:r w:rsidR="00887C65">
        <w:rPr>
          <w:rFonts w:ascii="Garamond" w:hAnsi="Garamond"/>
        </w:rPr>
        <w:t>his</w:t>
      </w:r>
      <w:r w:rsidRPr="00195FCC">
        <w:rPr>
          <w:rFonts w:ascii="Garamond" w:hAnsi="Garamond"/>
        </w:rPr>
        <w:t xml:space="preserve"> position as a rational reconstruction of ideas that were already present in Perry and Lewis) argues</w:t>
      </w:r>
      <w:r w:rsidR="00887C65">
        <w:rPr>
          <w:rFonts w:ascii="Garamond" w:hAnsi="Garamond"/>
        </w:rPr>
        <w:t xml:space="preserve"> roughly</w:t>
      </w:r>
      <w:r w:rsidRPr="00195FCC">
        <w:rPr>
          <w:rFonts w:ascii="Garamond" w:hAnsi="Garamond"/>
        </w:rPr>
        <w:t xml:space="preserve"> as follows. Consider a case where </w:t>
      </w:r>
      <w:r w:rsidR="004572B4" w:rsidRPr="00195FCC">
        <w:rPr>
          <w:rFonts w:ascii="Garamond" w:hAnsi="Garamond"/>
        </w:rPr>
        <w:t>one agent</w:t>
      </w:r>
      <w:r w:rsidRPr="00195FCC">
        <w:rPr>
          <w:rFonts w:ascii="Garamond" w:hAnsi="Garamond"/>
        </w:rPr>
        <w:t xml:space="preserve"> believe</w:t>
      </w:r>
      <w:r w:rsidR="004572B4" w:rsidRPr="00195FCC">
        <w:rPr>
          <w:rFonts w:ascii="Garamond" w:hAnsi="Garamond"/>
        </w:rPr>
        <w:t xml:space="preserve">s </w:t>
      </w:r>
      <w:r w:rsidRPr="00195FCC">
        <w:rPr>
          <w:rFonts w:ascii="Garamond" w:hAnsi="Garamond"/>
        </w:rPr>
        <w:t xml:space="preserve">‘I am being chased by a bear’ and </w:t>
      </w:r>
      <w:r w:rsidR="004572B4" w:rsidRPr="00195FCC">
        <w:rPr>
          <w:rFonts w:ascii="Garamond" w:hAnsi="Garamond"/>
        </w:rPr>
        <w:t>another</w:t>
      </w:r>
      <w:r w:rsidRPr="00195FCC">
        <w:rPr>
          <w:rFonts w:ascii="Garamond" w:hAnsi="Garamond"/>
        </w:rPr>
        <w:t xml:space="preserve"> believe</w:t>
      </w:r>
      <w:r w:rsidR="004572B4" w:rsidRPr="00195FCC">
        <w:rPr>
          <w:rFonts w:ascii="Garamond" w:hAnsi="Garamond"/>
        </w:rPr>
        <w:t>s</w:t>
      </w:r>
      <w:r w:rsidRPr="00195FCC">
        <w:rPr>
          <w:rFonts w:ascii="Garamond" w:hAnsi="Garamond"/>
        </w:rPr>
        <w:t>, of</w:t>
      </w:r>
      <w:r w:rsidR="004572B4" w:rsidRPr="00195FCC">
        <w:rPr>
          <w:rFonts w:ascii="Garamond" w:hAnsi="Garamond"/>
        </w:rPr>
        <w:t xml:space="preserve"> her</w:t>
      </w:r>
      <w:r w:rsidRPr="00195FCC">
        <w:rPr>
          <w:rFonts w:ascii="Garamond" w:hAnsi="Garamond"/>
        </w:rPr>
        <w:t xml:space="preserve">, ‘You am being chased by a bear’.  It looks as though this is a case in which </w:t>
      </w:r>
      <w:r w:rsidR="004572B4" w:rsidRPr="00195FCC">
        <w:rPr>
          <w:rFonts w:ascii="Garamond" w:hAnsi="Garamond"/>
        </w:rPr>
        <w:t xml:space="preserve">the two agents </w:t>
      </w:r>
      <w:r w:rsidRPr="00195FCC">
        <w:rPr>
          <w:rFonts w:ascii="Garamond" w:hAnsi="Garamond"/>
        </w:rPr>
        <w:t xml:space="preserve">should count as having </w:t>
      </w:r>
      <w:r w:rsidRPr="00195FCC">
        <w:rPr>
          <w:rFonts w:ascii="Garamond" w:hAnsi="Garamond"/>
          <w:i/>
          <w:iCs/>
        </w:rPr>
        <w:t>different beliefs</w:t>
      </w:r>
      <w:r w:rsidRPr="00195FCC">
        <w:rPr>
          <w:rFonts w:ascii="Garamond" w:hAnsi="Garamond"/>
        </w:rPr>
        <w:t xml:space="preserve">, since </w:t>
      </w:r>
      <w:r w:rsidR="004572B4" w:rsidRPr="00195FCC">
        <w:rPr>
          <w:rFonts w:ascii="Garamond" w:hAnsi="Garamond"/>
        </w:rPr>
        <w:t xml:space="preserve">their </w:t>
      </w:r>
      <w:r w:rsidRPr="00195FCC">
        <w:rPr>
          <w:rFonts w:ascii="Garamond" w:hAnsi="Garamond"/>
        </w:rPr>
        <w:t xml:space="preserve">expected actions are </w:t>
      </w:r>
      <w:r w:rsidRPr="00195FCC">
        <w:rPr>
          <w:rFonts w:ascii="Garamond" w:hAnsi="Garamond"/>
        </w:rPr>
        <w:lastRenderedPageBreak/>
        <w:t xml:space="preserve">different (even if </w:t>
      </w:r>
      <w:r w:rsidR="004572B4" w:rsidRPr="00195FCC">
        <w:rPr>
          <w:rFonts w:ascii="Garamond" w:hAnsi="Garamond"/>
        </w:rPr>
        <w:t>they</w:t>
      </w:r>
      <w:r w:rsidRPr="00195FCC">
        <w:rPr>
          <w:rFonts w:ascii="Garamond" w:hAnsi="Garamond"/>
        </w:rPr>
        <w:t xml:space="preserve"> both desire the same thing, </w:t>
      </w:r>
      <w:r w:rsidR="004572B4" w:rsidRPr="00195FCC">
        <w:rPr>
          <w:rFonts w:ascii="Garamond" w:hAnsi="Garamond"/>
        </w:rPr>
        <w:t xml:space="preserve">e.g. </w:t>
      </w:r>
      <w:r w:rsidRPr="00E7710E">
        <w:rPr>
          <w:rFonts w:ascii="Garamond" w:hAnsi="Garamond"/>
          <w:i/>
          <w:iCs/>
        </w:rPr>
        <w:t xml:space="preserve">that </w:t>
      </w:r>
      <w:r w:rsidR="004572B4" w:rsidRPr="00E7710E">
        <w:rPr>
          <w:rFonts w:ascii="Garamond" w:hAnsi="Garamond"/>
          <w:i/>
          <w:iCs/>
        </w:rPr>
        <w:t xml:space="preserve">nobody </w:t>
      </w:r>
      <w:r w:rsidRPr="00E7710E">
        <w:rPr>
          <w:rFonts w:ascii="Garamond" w:hAnsi="Garamond"/>
          <w:i/>
          <w:iCs/>
        </w:rPr>
        <w:t>be eaten</w:t>
      </w:r>
      <w:r w:rsidRPr="00195FCC">
        <w:rPr>
          <w:rFonts w:ascii="Garamond" w:hAnsi="Garamond"/>
        </w:rPr>
        <w:t>).</w:t>
      </w:r>
      <w:r w:rsidR="004572B4" w:rsidRPr="00195FCC">
        <w:rPr>
          <w:rFonts w:ascii="Garamond" w:hAnsi="Garamond"/>
        </w:rPr>
        <w:t xml:space="preserve"> </w:t>
      </w:r>
      <w:r w:rsidRPr="00195FCC">
        <w:rPr>
          <w:rFonts w:ascii="Garamond" w:hAnsi="Garamond"/>
        </w:rPr>
        <w:t xml:space="preserve">However, it also looks as though </w:t>
      </w:r>
      <w:r w:rsidR="004572B4" w:rsidRPr="00195FCC">
        <w:rPr>
          <w:rFonts w:ascii="Garamond" w:hAnsi="Garamond"/>
        </w:rPr>
        <w:t xml:space="preserve">they </w:t>
      </w:r>
      <w:r w:rsidR="00D942D9">
        <w:rPr>
          <w:rFonts w:ascii="Garamond" w:hAnsi="Garamond"/>
        </w:rPr>
        <w:t xml:space="preserve">are in complete </w:t>
      </w:r>
      <w:r w:rsidRPr="00195FCC">
        <w:rPr>
          <w:rFonts w:ascii="Garamond" w:hAnsi="Garamond"/>
        </w:rPr>
        <w:t>agree</w:t>
      </w:r>
      <w:r w:rsidR="00D942D9">
        <w:rPr>
          <w:rFonts w:ascii="Garamond" w:hAnsi="Garamond"/>
        </w:rPr>
        <w:t>ment</w:t>
      </w:r>
      <w:r w:rsidRPr="00195FCC">
        <w:rPr>
          <w:rFonts w:ascii="Garamond" w:hAnsi="Garamond"/>
          <w:i/>
          <w:iCs/>
        </w:rPr>
        <w:t xml:space="preserve"> </w:t>
      </w:r>
      <w:r w:rsidRPr="00195FCC">
        <w:rPr>
          <w:rFonts w:ascii="Garamond" w:hAnsi="Garamond"/>
        </w:rPr>
        <w:t xml:space="preserve">on how things are. This puts pressure on any theory on which there is a single notion of </w:t>
      </w:r>
      <w:r w:rsidRPr="00746151">
        <w:rPr>
          <w:rFonts w:ascii="Garamond" w:hAnsi="Garamond"/>
        </w:rPr>
        <w:t>content</w:t>
      </w:r>
      <w:r w:rsidRPr="00195FCC">
        <w:rPr>
          <w:rFonts w:ascii="Garamond" w:hAnsi="Garamond"/>
          <w:i/>
          <w:iCs/>
        </w:rPr>
        <w:t xml:space="preserve"> </w:t>
      </w:r>
      <w:r w:rsidRPr="00195FCC">
        <w:rPr>
          <w:rFonts w:ascii="Garamond" w:hAnsi="Garamond"/>
        </w:rPr>
        <w:t xml:space="preserve">that plays a role in capturing what it is for two subjects to agree, and that is also fine-grained enough to individuate mental states. </w:t>
      </w:r>
      <w:r w:rsidR="004572B4" w:rsidRPr="00195FCC">
        <w:rPr>
          <w:rFonts w:ascii="Garamond" w:hAnsi="Garamond"/>
        </w:rPr>
        <w:t>The second</w:t>
      </w:r>
      <w:r w:rsidR="00D942D9">
        <w:rPr>
          <w:rFonts w:ascii="Garamond" w:hAnsi="Garamond"/>
        </w:rPr>
        <w:t xml:space="preserve">, equally essential, </w:t>
      </w:r>
      <w:r w:rsidR="004572B4" w:rsidRPr="00195FCC">
        <w:rPr>
          <w:rFonts w:ascii="Garamond" w:hAnsi="Garamond"/>
        </w:rPr>
        <w:t>part of the argument is the</w:t>
      </w:r>
      <w:r w:rsidRPr="00195FCC">
        <w:rPr>
          <w:rFonts w:ascii="Garamond" w:hAnsi="Garamond"/>
        </w:rPr>
        <w:t xml:space="preserve"> claim that it </w:t>
      </w:r>
      <w:r w:rsidRPr="00195FCC">
        <w:rPr>
          <w:rFonts w:ascii="Garamond" w:hAnsi="Garamond"/>
          <w:i/>
          <w:iCs/>
        </w:rPr>
        <w:t>isn’t</w:t>
      </w:r>
      <w:r w:rsidRPr="00195FCC">
        <w:rPr>
          <w:rFonts w:ascii="Garamond" w:hAnsi="Garamond"/>
        </w:rPr>
        <w:t xml:space="preserve"> possible to come up with non</w:t>
      </w:r>
      <w:r w:rsidR="00C656B5">
        <w:rPr>
          <w:rFonts w:ascii="Garamond" w:hAnsi="Garamond"/>
        </w:rPr>
        <w:t>-</w:t>
      </w:r>
      <w:r w:rsidRPr="00195FCC">
        <w:rPr>
          <w:rFonts w:ascii="Garamond" w:hAnsi="Garamond"/>
          <w:i/>
          <w:iCs/>
        </w:rPr>
        <w:t xml:space="preserve">de se </w:t>
      </w:r>
      <w:r w:rsidRPr="00195FCC">
        <w:rPr>
          <w:rFonts w:ascii="Garamond" w:hAnsi="Garamond"/>
        </w:rPr>
        <w:t>cases that</w:t>
      </w:r>
      <w:r w:rsidR="004572B4" w:rsidRPr="00195FCC">
        <w:rPr>
          <w:rFonts w:ascii="Garamond" w:hAnsi="Garamond"/>
        </w:rPr>
        <w:t xml:space="preserve"> show the same thing. Ninan’s </w:t>
      </w:r>
      <w:r w:rsidRPr="00195FCC">
        <w:rPr>
          <w:rFonts w:ascii="Garamond" w:hAnsi="Garamond"/>
        </w:rPr>
        <w:t xml:space="preserve">idea here is that </w:t>
      </w:r>
      <w:r w:rsidR="004572B4" w:rsidRPr="00195FCC">
        <w:rPr>
          <w:rFonts w:ascii="Garamond" w:hAnsi="Garamond"/>
        </w:rPr>
        <w:t xml:space="preserve">if two subjects </w:t>
      </w:r>
      <w:r w:rsidRPr="00195FCC">
        <w:rPr>
          <w:rFonts w:ascii="Garamond" w:hAnsi="Garamond"/>
        </w:rPr>
        <w:t>cou</w:t>
      </w:r>
      <w:r w:rsidR="004572B4" w:rsidRPr="00195FCC">
        <w:rPr>
          <w:rFonts w:ascii="Garamond" w:hAnsi="Garamond"/>
        </w:rPr>
        <w:t xml:space="preserve">nt </w:t>
      </w:r>
      <w:r w:rsidRPr="00195FCC">
        <w:rPr>
          <w:rFonts w:ascii="Garamond" w:hAnsi="Garamond"/>
        </w:rPr>
        <w:t xml:space="preserve">as agreeing in virtue of both believing, of Superman, that he has a certain property then </w:t>
      </w:r>
      <w:r w:rsidR="004572B4" w:rsidRPr="00195FCC">
        <w:rPr>
          <w:rFonts w:ascii="Garamond" w:hAnsi="Garamond"/>
        </w:rPr>
        <w:t>they</w:t>
      </w:r>
      <w:r w:rsidRPr="00195FCC">
        <w:rPr>
          <w:rFonts w:ascii="Garamond" w:hAnsi="Garamond"/>
        </w:rPr>
        <w:t xml:space="preserve">’ll express </w:t>
      </w:r>
      <w:r w:rsidR="004572B4" w:rsidRPr="00195FCC">
        <w:rPr>
          <w:rFonts w:ascii="Garamond" w:hAnsi="Garamond"/>
        </w:rPr>
        <w:t>their</w:t>
      </w:r>
      <w:r w:rsidRPr="00195FCC">
        <w:rPr>
          <w:rFonts w:ascii="Garamond" w:hAnsi="Garamond"/>
        </w:rPr>
        <w:t xml:space="preserve"> belief with the same sentence (it won’t be that </w:t>
      </w:r>
      <w:r w:rsidR="00F0426C" w:rsidRPr="00195FCC">
        <w:rPr>
          <w:rFonts w:ascii="Garamond" w:hAnsi="Garamond"/>
        </w:rPr>
        <w:t>one</w:t>
      </w:r>
      <w:r w:rsidRPr="00195FCC">
        <w:rPr>
          <w:rFonts w:ascii="Garamond" w:hAnsi="Garamond"/>
        </w:rPr>
        <w:t xml:space="preserve"> think</w:t>
      </w:r>
      <w:r w:rsidR="00F0426C" w:rsidRPr="00195FCC">
        <w:rPr>
          <w:rFonts w:ascii="Garamond" w:hAnsi="Garamond"/>
        </w:rPr>
        <w:t>s</w:t>
      </w:r>
      <w:r w:rsidRPr="00195FCC">
        <w:rPr>
          <w:rFonts w:ascii="Garamond" w:hAnsi="Garamond"/>
        </w:rPr>
        <w:t xml:space="preserve"> ‘Superman is being chased by a bear’ and </w:t>
      </w:r>
      <w:r w:rsidR="00F0426C" w:rsidRPr="00195FCC">
        <w:rPr>
          <w:rFonts w:ascii="Garamond" w:hAnsi="Garamond"/>
        </w:rPr>
        <w:t>the other</w:t>
      </w:r>
      <w:r w:rsidRPr="00195FCC">
        <w:rPr>
          <w:rFonts w:ascii="Garamond" w:hAnsi="Garamond"/>
        </w:rPr>
        <w:t xml:space="preserve"> think</w:t>
      </w:r>
      <w:r w:rsidR="00F0426C" w:rsidRPr="00195FCC">
        <w:rPr>
          <w:rFonts w:ascii="Garamond" w:hAnsi="Garamond"/>
        </w:rPr>
        <w:t>s</w:t>
      </w:r>
      <w:r w:rsidRPr="00195FCC">
        <w:rPr>
          <w:rFonts w:ascii="Garamond" w:hAnsi="Garamond"/>
        </w:rPr>
        <w:t xml:space="preserve"> ‘Clark is being chased by a bear’). But in th</w:t>
      </w:r>
      <w:r w:rsidR="002E356E">
        <w:rPr>
          <w:rFonts w:ascii="Garamond" w:hAnsi="Garamond"/>
        </w:rPr>
        <w:t>is</w:t>
      </w:r>
      <w:r w:rsidRPr="00195FCC">
        <w:rPr>
          <w:rFonts w:ascii="Garamond" w:hAnsi="Garamond"/>
        </w:rPr>
        <w:t xml:space="preserve"> case, </w:t>
      </w:r>
      <w:r w:rsidR="00F0426C" w:rsidRPr="00195FCC">
        <w:rPr>
          <w:rFonts w:ascii="Garamond" w:hAnsi="Garamond"/>
        </w:rPr>
        <w:t>Ninan thinks, there is no particular obstacle to saying the</w:t>
      </w:r>
      <w:r w:rsidR="00D942D9">
        <w:rPr>
          <w:rFonts w:ascii="Garamond" w:hAnsi="Garamond"/>
        </w:rPr>
        <w:t xml:space="preserve"> two subjects</w:t>
      </w:r>
      <w:r w:rsidR="00F0426C" w:rsidRPr="00195FCC">
        <w:rPr>
          <w:rFonts w:ascii="Garamond" w:hAnsi="Garamond"/>
        </w:rPr>
        <w:t xml:space="preserve"> have the same belief, since we don’t in fact expect very different actions arising from the belief</w:t>
      </w:r>
      <w:r w:rsidR="00D942D9">
        <w:rPr>
          <w:rFonts w:ascii="Garamond" w:hAnsi="Garamond"/>
        </w:rPr>
        <w:t xml:space="preserve"> each has</w:t>
      </w:r>
      <w:r w:rsidR="00F0426C" w:rsidRPr="00195FCC">
        <w:rPr>
          <w:rFonts w:ascii="Garamond" w:hAnsi="Garamond"/>
        </w:rPr>
        <w:t>.</w:t>
      </w:r>
      <w:r w:rsidRPr="00195FCC">
        <w:rPr>
          <w:rFonts w:ascii="Garamond" w:hAnsi="Garamond"/>
        </w:rPr>
        <w:t xml:space="preserve"> This argument, if s</w:t>
      </w:r>
      <w:r w:rsidR="0061708D">
        <w:rPr>
          <w:rFonts w:ascii="Garamond" w:hAnsi="Garamond"/>
        </w:rPr>
        <w:t>ound</w:t>
      </w:r>
      <w:r w:rsidRPr="00195FCC">
        <w:rPr>
          <w:rFonts w:ascii="Garamond" w:hAnsi="Garamond"/>
        </w:rPr>
        <w:t xml:space="preserve">, would seem to be a vindication of the claim that the </w:t>
      </w:r>
      <w:r w:rsidRPr="00195FCC">
        <w:rPr>
          <w:rFonts w:ascii="Garamond" w:hAnsi="Garamond"/>
          <w:i/>
          <w:iCs/>
        </w:rPr>
        <w:t xml:space="preserve">de se </w:t>
      </w:r>
      <w:r w:rsidR="00550B0E">
        <w:rPr>
          <w:rFonts w:ascii="Garamond" w:hAnsi="Garamond"/>
        </w:rPr>
        <w:t>plays a</w:t>
      </w:r>
      <w:r w:rsidR="00D942D9">
        <w:rPr>
          <w:rFonts w:ascii="Garamond" w:hAnsi="Garamond"/>
        </w:rPr>
        <w:t xml:space="preserve"> distinctive</w:t>
      </w:r>
      <w:r w:rsidR="00550B0E">
        <w:rPr>
          <w:rFonts w:ascii="Garamond" w:hAnsi="Garamond"/>
        </w:rPr>
        <w:t xml:space="preserve"> role in relation to </w:t>
      </w:r>
      <w:r w:rsidR="00D942D9">
        <w:rPr>
          <w:rFonts w:ascii="Garamond" w:hAnsi="Garamond"/>
        </w:rPr>
        <w:t>action.</w:t>
      </w:r>
      <w:r w:rsidR="002E356E" w:rsidRPr="002E356E">
        <w:rPr>
          <w:rFonts w:ascii="Garamond" w:hAnsi="Garamond"/>
          <w:vertAlign w:val="superscript"/>
        </w:rPr>
        <w:footnoteReference w:id="16"/>
      </w:r>
      <w:r w:rsidR="002E356E">
        <w:rPr>
          <w:rFonts w:ascii="Garamond" w:hAnsi="Garamond"/>
        </w:rPr>
        <w:t xml:space="preserve"> </w:t>
      </w:r>
      <w:r w:rsidRPr="00195FCC">
        <w:rPr>
          <w:rFonts w:ascii="Garamond" w:hAnsi="Garamond"/>
        </w:rPr>
        <w:t xml:space="preserve">But </w:t>
      </w:r>
      <w:r w:rsidR="002E356E">
        <w:rPr>
          <w:rFonts w:ascii="Garamond" w:hAnsi="Garamond"/>
        </w:rPr>
        <w:t xml:space="preserve">notice that </w:t>
      </w:r>
      <w:r w:rsidRPr="00195FCC">
        <w:rPr>
          <w:rFonts w:ascii="Garamond" w:hAnsi="Garamond"/>
        </w:rPr>
        <w:t xml:space="preserve">there’s no incompatibility between </w:t>
      </w:r>
      <w:r w:rsidR="002E356E">
        <w:rPr>
          <w:rFonts w:ascii="Garamond" w:hAnsi="Garamond"/>
        </w:rPr>
        <w:t>the soundness of the argument</w:t>
      </w:r>
      <w:r w:rsidR="00F0426C" w:rsidRPr="00195FCC">
        <w:rPr>
          <w:rFonts w:ascii="Garamond" w:hAnsi="Garamond"/>
        </w:rPr>
        <w:t xml:space="preserve"> </w:t>
      </w:r>
      <w:r w:rsidRPr="00195FCC">
        <w:rPr>
          <w:rFonts w:ascii="Garamond" w:hAnsi="Garamond"/>
        </w:rPr>
        <w:t xml:space="preserve">and the </w:t>
      </w:r>
      <w:r w:rsidR="00195FCC" w:rsidRPr="00195FCC">
        <w:rPr>
          <w:rFonts w:ascii="Garamond" w:hAnsi="Garamond"/>
        </w:rPr>
        <w:t>in</w:t>
      </w:r>
      <w:r w:rsidR="00C656B5">
        <w:rPr>
          <w:rFonts w:ascii="Garamond" w:hAnsi="Garamond"/>
        </w:rPr>
        <w:t>-</w:t>
      </w:r>
      <w:r w:rsidR="00195FCC" w:rsidRPr="00195FCC">
        <w:rPr>
          <w:rFonts w:ascii="Garamond" w:hAnsi="Garamond"/>
        </w:rPr>
        <w:t>principl</w:t>
      </w:r>
      <w:r w:rsidR="002401BD">
        <w:rPr>
          <w:rFonts w:ascii="Garamond" w:hAnsi="Garamond"/>
        </w:rPr>
        <w:t>e</w:t>
      </w:r>
      <w:r w:rsidR="00195FCC" w:rsidRPr="00195FCC">
        <w:rPr>
          <w:rFonts w:ascii="Garamond" w:hAnsi="Garamond"/>
        </w:rPr>
        <w:t xml:space="preserve"> </w:t>
      </w:r>
      <w:r w:rsidRPr="00195FCC">
        <w:rPr>
          <w:rFonts w:ascii="Garamond" w:hAnsi="Garamond"/>
        </w:rPr>
        <w:t xml:space="preserve">possibility, or even </w:t>
      </w:r>
      <w:r w:rsidR="00195FCC" w:rsidRPr="00195FCC">
        <w:rPr>
          <w:rFonts w:ascii="Garamond" w:hAnsi="Garamond"/>
        </w:rPr>
        <w:t>everyday</w:t>
      </w:r>
      <w:r w:rsidRPr="00195FCC">
        <w:rPr>
          <w:rFonts w:ascii="Garamond" w:hAnsi="Garamond"/>
        </w:rPr>
        <w:t xml:space="preserve"> occurrence, of action without self-reference.</w:t>
      </w:r>
      <w:r w:rsidR="00F0426C" w:rsidRPr="00195FCC">
        <w:rPr>
          <w:rFonts w:ascii="Garamond" w:hAnsi="Garamond"/>
        </w:rPr>
        <w:t xml:space="preserve"> </w:t>
      </w:r>
      <w:r w:rsidR="005E168E">
        <w:rPr>
          <w:rFonts w:ascii="Garamond" w:hAnsi="Garamond"/>
        </w:rPr>
        <w:t>At least s</w:t>
      </w:r>
      <w:r w:rsidR="00F0426C" w:rsidRPr="00195FCC">
        <w:rPr>
          <w:rFonts w:ascii="Garamond" w:hAnsi="Garamond"/>
        </w:rPr>
        <w:t xml:space="preserve">ome </w:t>
      </w:r>
      <w:r w:rsidR="00F0426C" w:rsidRPr="00195FCC">
        <w:rPr>
          <w:rFonts w:ascii="Garamond" w:hAnsi="Garamond"/>
          <w:i/>
          <w:iCs/>
        </w:rPr>
        <w:t xml:space="preserve">de se </w:t>
      </w:r>
      <w:r w:rsidR="00F0426C" w:rsidRPr="00195FCC">
        <w:rPr>
          <w:rFonts w:ascii="Garamond" w:hAnsi="Garamond"/>
        </w:rPr>
        <w:t xml:space="preserve">fans may </w:t>
      </w:r>
      <w:r w:rsidR="00195FCC" w:rsidRPr="00195FCC">
        <w:rPr>
          <w:rFonts w:ascii="Garamond" w:hAnsi="Garamond"/>
        </w:rPr>
        <w:t xml:space="preserve">thus </w:t>
      </w:r>
      <w:r w:rsidR="00F0426C" w:rsidRPr="00195FCC">
        <w:rPr>
          <w:rFonts w:ascii="Garamond" w:hAnsi="Garamond"/>
        </w:rPr>
        <w:t>be tempted to regard the claim that all action</w:t>
      </w:r>
      <w:r w:rsidR="00C917A8">
        <w:rPr>
          <w:rFonts w:ascii="Garamond" w:hAnsi="Garamond"/>
        </w:rPr>
        <w:t>-</w:t>
      </w:r>
      <w:r w:rsidR="00F0426C" w:rsidRPr="00195FCC">
        <w:rPr>
          <w:rFonts w:ascii="Garamond" w:hAnsi="Garamond"/>
        </w:rPr>
        <w:t xml:space="preserve">explanations involve the </w:t>
      </w:r>
      <w:r w:rsidR="00F0426C" w:rsidRPr="00195FCC">
        <w:rPr>
          <w:rFonts w:ascii="Garamond" w:hAnsi="Garamond"/>
          <w:i/>
          <w:iCs/>
        </w:rPr>
        <w:t xml:space="preserve">de se </w:t>
      </w:r>
      <w:r w:rsidR="00F0426C" w:rsidRPr="00195FCC">
        <w:rPr>
          <w:rFonts w:ascii="Garamond" w:hAnsi="Garamond"/>
        </w:rPr>
        <w:t xml:space="preserve">as a red herring. </w:t>
      </w:r>
    </w:p>
    <w:p w14:paraId="3047590C" w14:textId="782D1BED" w:rsidR="00DB4CBB" w:rsidRPr="00195FCC" w:rsidRDefault="00380C67" w:rsidP="00494ED5">
      <w:pPr>
        <w:spacing w:after="240" w:line="360" w:lineRule="auto"/>
        <w:jc w:val="both"/>
        <w:rPr>
          <w:rFonts w:ascii="Garamond" w:hAnsi="Garamond"/>
        </w:rPr>
      </w:pPr>
      <w:r w:rsidRPr="00195FCC">
        <w:rPr>
          <w:rFonts w:ascii="Garamond" w:hAnsi="Garamond"/>
        </w:rPr>
        <w:t>Most of the action discussed in this literature has been of a fairly unsophisticated humdrum sort – spilling sugar, hailing people, avoiding bears etc. S</w:t>
      </w:r>
      <w:r w:rsidR="00D942D9">
        <w:rPr>
          <w:rFonts w:ascii="Garamond" w:hAnsi="Garamond"/>
        </w:rPr>
        <w:t>everal</w:t>
      </w:r>
      <w:r w:rsidRPr="00195FCC">
        <w:rPr>
          <w:rFonts w:ascii="Garamond" w:hAnsi="Garamond"/>
        </w:rPr>
        <w:t xml:space="preserve"> recent contributions move towards normatively richer territory. Setiya</w:t>
      </w:r>
      <w:r w:rsidR="00195FCC" w:rsidRPr="00195FCC">
        <w:rPr>
          <w:rFonts w:ascii="Garamond" w:hAnsi="Garamond"/>
        </w:rPr>
        <w:t xml:space="preserve"> (2015) </w:t>
      </w:r>
      <w:r w:rsidRPr="00195FCC">
        <w:rPr>
          <w:rFonts w:ascii="Garamond" w:hAnsi="Garamond"/>
        </w:rPr>
        <w:t xml:space="preserve">discusses what he takes to be a widely accepted view that we have a distinctive kind of reason to favour ourselves, conceived </w:t>
      </w:r>
      <w:r w:rsidRPr="00195FCC">
        <w:rPr>
          <w:rFonts w:ascii="Garamond" w:hAnsi="Garamond"/>
          <w:i/>
          <w:iCs/>
        </w:rPr>
        <w:t>de se</w:t>
      </w:r>
      <w:r w:rsidRPr="00195FCC">
        <w:rPr>
          <w:rFonts w:ascii="Garamond" w:hAnsi="Garamond"/>
        </w:rPr>
        <w:t>. He argues that we in fact do not and that our tendency to favour ourselves is the primordial case of love at first sight. Paul</w:t>
      </w:r>
      <w:r w:rsidR="00D846D7">
        <w:rPr>
          <w:rFonts w:ascii="Garamond" w:hAnsi="Garamond"/>
        </w:rPr>
        <w:t xml:space="preserve"> (2017</w:t>
      </w:r>
      <w:r w:rsidR="00A208DB">
        <w:rPr>
          <w:rFonts w:ascii="Garamond" w:hAnsi="Garamond"/>
        </w:rPr>
        <w:t>a, 2017b</w:t>
      </w:r>
      <w:r w:rsidR="00D846D7">
        <w:rPr>
          <w:rFonts w:ascii="Garamond" w:hAnsi="Garamond"/>
        </w:rPr>
        <w:t xml:space="preserve">) </w:t>
      </w:r>
      <w:r w:rsidRPr="00195FCC">
        <w:rPr>
          <w:rFonts w:ascii="Garamond" w:hAnsi="Garamond"/>
        </w:rPr>
        <w:t xml:space="preserve">argues that there is a notion of empathy that is </w:t>
      </w:r>
      <w:r w:rsidR="00D942D9">
        <w:rPr>
          <w:rFonts w:ascii="Garamond" w:hAnsi="Garamond"/>
        </w:rPr>
        <w:t xml:space="preserve">both </w:t>
      </w:r>
      <w:r w:rsidRPr="00195FCC">
        <w:rPr>
          <w:rFonts w:ascii="Garamond" w:hAnsi="Garamond"/>
        </w:rPr>
        <w:t xml:space="preserve">essentially </w:t>
      </w:r>
      <w:r w:rsidRPr="00195FCC">
        <w:rPr>
          <w:rFonts w:ascii="Garamond" w:hAnsi="Garamond"/>
          <w:i/>
          <w:iCs/>
        </w:rPr>
        <w:t>de se</w:t>
      </w:r>
      <w:r w:rsidRPr="00195FCC">
        <w:rPr>
          <w:rFonts w:ascii="Garamond" w:hAnsi="Garamond"/>
        </w:rPr>
        <w:t>, and crucial to explaining our moral assessment and decision-making – being able to imaginatively project oneself into the first-person perspective of another.</w:t>
      </w:r>
      <w:r w:rsidR="00746151" w:rsidRPr="00195FCC">
        <w:rPr>
          <w:rStyle w:val="FootnoteReference"/>
          <w:rFonts w:ascii="Garamond" w:hAnsi="Garamond"/>
        </w:rPr>
        <w:footnoteReference w:id="17"/>
      </w:r>
      <w:r w:rsidRPr="00195FCC">
        <w:rPr>
          <w:rFonts w:ascii="Garamond" w:hAnsi="Garamond"/>
        </w:rPr>
        <w:t xml:space="preserve"> She also argues for a notion of </w:t>
      </w:r>
      <w:r w:rsidRPr="00195FCC">
        <w:rPr>
          <w:rFonts w:ascii="Garamond" w:hAnsi="Garamond"/>
          <w:i/>
          <w:iCs/>
        </w:rPr>
        <w:t>self-understanding</w:t>
      </w:r>
      <w:r w:rsidRPr="00195FCC">
        <w:rPr>
          <w:rFonts w:ascii="Garamond" w:hAnsi="Garamond"/>
        </w:rPr>
        <w:t xml:space="preserve"> that is essentially </w:t>
      </w:r>
      <w:r w:rsidRPr="00195FCC">
        <w:rPr>
          <w:rFonts w:ascii="Garamond" w:hAnsi="Garamond"/>
          <w:i/>
          <w:iCs/>
        </w:rPr>
        <w:t>de se</w:t>
      </w:r>
      <w:r w:rsidR="00746151">
        <w:rPr>
          <w:rFonts w:ascii="Garamond" w:hAnsi="Garamond"/>
        </w:rPr>
        <w:t>.</w:t>
      </w:r>
      <w:r w:rsidRPr="00195FCC">
        <w:rPr>
          <w:rFonts w:ascii="Garamond" w:hAnsi="Garamond"/>
        </w:rPr>
        <w:t xml:space="preserve"> Titelbaum (</w:t>
      </w:r>
      <w:r w:rsidR="00D846D7">
        <w:rPr>
          <w:rFonts w:ascii="Garamond" w:hAnsi="Garamond"/>
        </w:rPr>
        <w:t>2017</w:t>
      </w:r>
      <w:r w:rsidRPr="00195FCC">
        <w:rPr>
          <w:rFonts w:ascii="Garamond" w:hAnsi="Garamond"/>
        </w:rPr>
        <w:t xml:space="preserve">) argues that facts about the outcomes of one’s own reasoning processes may have a different evidential significance than facts about the outcomes of others. O’Brien (2011) argues that </w:t>
      </w:r>
      <w:r w:rsidRPr="00195FCC">
        <w:rPr>
          <w:rFonts w:ascii="Garamond" w:hAnsi="Garamond"/>
          <w:i/>
          <w:iCs/>
        </w:rPr>
        <w:t>de se</w:t>
      </w:r>
      <w:r w:rsidRPr="00195FCC">
        <w:rPr>
          <w:rFonts w:ascii="Garamond" w:hAnsi="Garamond"/>
        </w:rPr>
        <w:t xml:space="preserve"> thought – or more specifically, the subjective perspective it entails – is </w:t>
      </w:r>
      <w:r w:rsidR="00D942D9">
        <w:rPr>
          <w:rFonts w:ascii="Garamond" w:hAnsi="Garamond"/>
        </w:rPr>
        <w:t>one</w:t>
      </w:r>
      <w:r w:rsidRPr="00195FCC">
        <w:rPr>
          <w:rFonts w:ascii="Garamond" w:hAnsi="Garamond"/>
        </w:rPr>
        <w:t xml:space="preserve"> of the preconditions for the various shades of self-conscious emotion, e.g. shame, guilt, </w:t>
      </w:r>
      <w:r w:rsidRPr="00195FCC">
        <w:rPr>
          <w:rFonts w:ascii="Garamond" w:hAnsi="Garamond"/>
        </w:rPr>
        <w:lastRenderedPageBreak/>
        <w:t xml:space="preserve">pride. From the point of view of evaluating </w:t>
      </w:r>
      <w:r w:rsidRPr="00195FCC">
        <w:rPr>
          <w:rFonts w:ascii="Garamond" w:hAnsi="Garamond"/>
          <w:i/>
          <w:iCs/>
        </w:rPr>
        <w:t xml:space="preserve">de se </w:t>
      </w:r>
      <w:r w:rsidRPr="00195FCC">
        <w:rPr>
          <w:rFonts w:ascii="Garamond" w:hAnsi="Garamond"/>
        </w:rPr>
        <w:t>skeptic</w:t>
      </w:r>
      <w:r w:rsidR="00D942D9">
        <w:rPr>
          <w:rFonts w:ascii="Garamond" w:hAnsi="Garamond"/>
        </w:rPr>
        <w:t>ism</w:t>
      </w:r>
      <w:r w:rsidRPr="00195FCC">
        <w:rPr>
          <w:rFonts w:ascii="Garamond" w:hAnsi="Garamond"/>
        </w:rPr>
        <w:t xml:space="preserve">, the range of points at which the </w:t>
      </w:r>
      <w:r w:rsidRPr="00195FCC">
        <w:rPr>
          <w:rFonts w:ascii="Garamond" w:hAnsi="Garamond"/>
          <w:i/>
          <w:iCs/>
        </w:rPr>
        <w:t xml:space="preserve">de se </w:t>
      </w:r>
      <w:r w:rsidRPr="00195FCC">
        <w:rPr>
          <w:rFonts w:ascii="Garamond" w:hAnsi="Garamond"/>
        </w:rPr>
        <w:t>might appear important makes the sceptical position more challenging to defend. Anyone who accepts the various features has an explanatory task of explaining why they are all aspects of a single kind of</w:t>
      </w:r>
      <w:r w:rsidR="00D942D9">
        <w:rPr>
          <w:rFonts w:ascii="Garamond" w:hAnsi="Garamond"/>
        </w:rPr>
        <w:t xml:space="preserve"> thought</w:t>
      </w:r>
      <w:r w:rsidRPr="00195FCC">
        <w:rPr>
          <w:rFonts w:ascii="Garamond" w:hAnsi="Garamond"/>
        </w:rPr>
        <w:t>.</w:t>
      </w:r>
      <w:r w:rsidRPr="00195FCC">
        <w:rPr>
          <w:rFonts w:ascii="Garamond" w:hAnsi="Garamond"/>
          <w:vertAlign w:val="superscript"/>
        </w:rPr>
        <w:footnoteReference w:id="18"/>
      </w:r>
    </w:p>
    <w:p w14:paraId="3870310E" w14:textId="7AB78156" w:rsidR="00267468" w:rsidRPr="00A22304" w:rsidRDefault="001921C5" w:rsidP="00AF35C0">
      <w:pPr>
        <w:spacing w:after="240" w:line="360" w:lineRule="auto"/>
        <w:rPr>
          <w:rFonts w:ascii="Garamond" w:hAnsi="Garamond"/>
          <w:b/>
          <w:bCs/>
        </w:rPr>
      </w:pPr>
      <w:r>
        <w:rPr>
          <w:rFonts w:ascii="Garamond" w:hAnsi="Garamond"/>
          <w:b/>
          <w:bCs/>
        </w:rPr>
        <w:t>3.</w:t>
      </w:r>
      <w:r w:rsidR="00267468" w:rsidRPr="00A22304">
        <w:rPr>
          <w:rFonts w:ascii="Garamond" w:hAnsi="Garamond"/>
          <w:b/>
          <w:bCs/>
        </w:rPr>
        <w:t xml:space="preserve"> Immunity to error through misidentification</w:t>
      </w:r>
    </w:p>
    <w:p w14:paraId="5BC81E13" w14:textId="1214AF9F" w:rsidR="00D715AE" w:rsidRPr="00720382" w:rsidRDefault="00267468" w:rsidP="00494ED5">
      <w:pPr>
        <w:spacing w:after="240" w:line="360" w:lineRule="auto"/>
        <w:jc w:val="both"/>
        <w:rPr>
          <w:rFonts w:ascii="Garamond" w:eastAsia="Times New Roman" w:hAnsi="Garamond" w:cs="Calibri"/>
          <w:i/>
          <w:iCs/>
          <w:color w:val="000000" w:themeColor="text1"/>
          <w:lang w:eastAsia="en-GB"/>
        </w:rPr>
      </w:pPr>
      <w:r w:rsidRPr="00DB6160">
        <w:rPr>
          <w:rFonts w:ascii="Garamond" w:hAnsi="Garamond"/>
        </w:rPr>
        <w:t>A second live sub</w:t>
      </w:r>
      <w:r w:rsidR="00B61C03" w:rsidRPr="00DB6160">
        <w:rPr>
          <w:rFonts w:ascii="Garamond" w:hAnsi="Garamond"/>
        </w:rPr>
        <w:t>-area</w:t>
      </w:r>
      <w:r w:rsidRPr="00DB6160">
        <w:rPr>
          <w:rFonts w:ascii="Garamond" w:hAnsi="Garamond"/>
        </w:rPr>
        <w:t xml:space="preserve"> in </w:t>
      </w:r>
      <w:r w:rsidRPr="00DB6160">
        <w:rPr>
          <w:rFonts w:ascii="Garamond" w:hAnsi="Garamond"/>
          <w:i/>
          <w:iCs/>
        </w:rPr>
        <w:t>de se</w:t>
      </w:r>
      <w:r w:rsidRPr="00DB6160">
        <w:rPr>
          <w:rFonts w:ascii="Garamond" w:hAnsi="Garamond"/>
        </w:rPr>
        <w:t xml:space="preserve"> thought </w:t>
      </w:r>
      <w:r w:rsidR="00864310">
        <w:rPr>
          <w:rFonts w:ascii="Garamond" w:hAnsi="Garamond"/>
        </w:rPr>
        <w:t>involves</w:t>
      </w:r>
      <w:r w:rsidRPr="00DB6160">
        <w:rPr>
          <w:rFonts w:ascii="Garamond" w:hAnsi="Garamond"/>
        </w:rPr>
        <w:t xml:space="preserve"> </w:t>
      </w:r>
      <w:r w:rsidR="00864310">
        <w:rPr>
          <w:rFonts w:ascii="Garamond" w:hAnsi="Garamond"/>
        </w:rPr>
        <w:t xml:space="preserve">a pair of epistemic properties – </w:t>
      </w:r>
      <w:r w:rsidRPr="00DB6160">
        <w:rPr>
          <w:rFonts w:ascii="Garamond" w:hAnsi="Garamond"/>
          <w:i/>
          <w:iCs/>
        </w:rPr>
        <w:t xml:space="preserve">error through misidentification </w:t>
      </w:r>
      <w:r w:rsidRPr="00DB6160">
        <w:rPr>
          <w:rFonts w:ascii="Garamond" w:hAnsi="Garamond"/>
        </w:rPr>
        <w:t xml:space="preserve">(EM) and </w:t>
      </w:r>
      <w:r w:rsidRPr="00DB6160">
        <w:rPr>
          <w:rFonts w:ascii="Garamond" w:hAnsi="Garamond"/>
          <w:i/>
          <w:iCs/>
        </w:rPr>
        <w:t>immunity to error through misidentification</w:t>
      </w:r>
      <w:r w:rsidRPr="00DB6160">
        <w:rPr>
          <w:rFonts w:ascii="Garamond" w:hAnsi="Garamond"/>
        </w:rPr>
        <w:t xml:space="preserve"> (IEM)</w:t>
      </w:r>
      <w:r w:rsidR="00864310">
        <w:rPr>
          <w:rFonts w:ascii="Garamond" w:hAnsi="Garamond"/>
        </w:rPr>
        <w:t xml:space="preserve"> –</w:t>
      </w:r>
      <w:r w:rsidR="007E507B" w:rsidRPr="00DB6160">
        <w:rPr>
          <w:rFonts w:ascii="Garamond" w:hAnsi="Garamond"/>
        </w:rPr>
        <w:t xml:space="preserve"> as </w:t>
      </w:r>
      <w:r w:rsidR="00DB6160" w:rsidRPr="00DB6160">
        <w:rPr>
          <w:rFonts w:ascii="Garamond" w:hAnsi="Garamond"/>
        </w:rPr>
        <w:t>they show up in</w:t>
      </w:r>
      <w:r w:rsidR="007E507B" w:rsidRPr="00DB6160">
        <w:rPr>
          <w:rFonts w:ascii="Garamond" w:hAnsi="Garamond"/>
        </w:rPr>
        <w:t xml:space="preserve"> </w:t>
      </w:r>
      <w:r w:rsidR="007E507B" w:rsidRPr="00DB6160">
        <w:rPr>
          <w:rFonts w:ascii="Garamond" w:hAnsi="Garamond"/>
          <w:i/>
          <w:iCs/>
        </w:rPr>
        <w:t>de se</w:t>
      </w:r>
      <w:r w:rsidR="007E507B" w:rsidRPr="00DB6160">
        <w:rPr>
          <w:rFonts w:ascii="Garamond" w:hAnsi="Garamond"/>
        </w:rPr>
        <w:t xml:space="preserve"> thoughts</w:t>
      </w:r>
      <w:r w:rsidRPr="00DB6160">
        <w:rPr>
          <w:rFonts w:ascii="Garamond" w:hAnsi="Garamond"/>
        </w:rPr>
        <w:t xml:space="preserve">. Take a thought of the form </w:t>
      </w:r>
      <w:r w:rsidRPr="00DB6160">
        <w:rPr>
          <w:rFonts w:ascii="Garamond" w:hAnsi="Garamond"/>
          <w:i/>
          <w:iCs/>
        </w:rPr>
        <w:t xml:space="preserve">Fa. </w:t>
      </w:r>
      <w:r w:rsidRPr="00DB6160">
        <w:rPr>
          <w:rFonts w:ascii="Garamond" w:hAnsi="Garamond"/>
        </w:rPr>
        <w:t xml:space="preserve">Here are two ways it is potentially vulnerable to error: the thinker might be right that </w:t>
      </w:r>
      <w:r w:rsidRPr="00DB6160">
        <w:rPr>
          <w:rFonts w:ascii="Garamond" w:hAnsi="Garamond"/>
          <w:i/>
          <w:iCs/>
        </w:rPr>
        <w:t>something</w:t>
      </w:r>
      <w:r w:rsidRPr="00DB6160">
        <w:rPr>
          <w:rFonts w:ascii="Garamond" w:hAnsi="Garamond"/>
        </w:rPr>
        <w:t xml:space="preserve"> is </w:t>
      </w:r>
      <w:r w:rsidRPr="00DB6160">
        <w:rPr>
          <w:rFonts w:ascii="Garamond" w:hAnsi="Garamond"/>
          <w:i/>
          <w:iCs/>
        </w:rPr>
        <w:t>F</w:t>
      </w:r>
      <w:r w:rsidRPr="00DB6160">
        <w:rPr>
          <w:rFonts w:ascii="Garamond" w:hAnsi="Garamond"/>
        </w:rPr>
        <w:t xml:space="preserve"> but be wrong in identifying that thing as </w:t>
      </w:r>
      <w:r w:rsidRPr="00DB6160">
        <w:rPr>
          <w:rFonts w:ascii="Garamond" w:hAnsi="Garamond"/>
          <w:i/>
          <w:iCs/>
        </w:rPr>
        <w:t>a</w:t>
      </w:r>
      <w:r w:rsidRPr="00DB6160">
        <w:rPr>
          <w:rFonts w:ascii="Garamond" w:hAnsi="Garamond"/>
        </w:rPr>
        <w:t xml:space="preserve">; or she might be right that </w:t>
      </w:r>
      <w:r w:rsidRPr="00DB6160">
        <w:rPr>
          <w:rFonts w:ascii="Garamond" w:hAnsi="Garamond"/>
          <w:i/>
          <w:iCs/>
        </w:rPr>
        <w:t xml:space="preserve">a </w:t>
      </w:r>
      <w:r w:rsidRPr="00DB6160">
        <w:rPr>
          <w:rFonts w:ascii="Garamond" w:hAnsi="Garamond"/>
        </w:rPr>
        <w:t xml:space="preserve">is </w:t>
      </w:r>
      <w:r w:rsidRPr="00DB6160">
        <w:rPr>
          <w:rFonts w:ascii="Garamond" w:hAnsi="Garamond"/>
          <w:i/>
          <w:iCs/>
        </w:rPr>
        <w:t>something</w:t>
      </w:r>
      <w:r w:rsidRPr="00DB6160">
        <w:rPr>
          <w:rFonts w:ascii="Garamond" w:hAnsi="Garamond"/>
        </w:rPr>
        <w:t xml:space="preserve">, but wrong about whether it is </w:t>
      </w:r>
      <w:r w:rsidRPr="00DB6160">
        <w:rPr>
          <w:rFonts w:ascii="Garamond" w:hAnsi="Garamond"/>
          <w:i/>
          <w:iCs/>
        </w:rPr>
        <w:t>F</w:t>
      </w:r>
      <w:r w:rsidRPr="00DB6160">
        <w:rPr>
          <w:rFonts w:ascii="Garamond" w:hAnsi="Garamond"/>
        </w:rPr>
        <w:t xml:space="preserve">. Roughly, IEM is immunity against the first kind of mistake. Most people think that a privileged class of </w:t>
      </w:r>
      <w:r w:rsidRPr="00DB6160">
        <w:rPr>
          <w:rFonts w:ascii="Garamond" w:hAnsi="Garamond"/>
          <w:i/>
          <w:iCs/>
        </w:rPr>
        <w:t xml:space="preserve">de se </w:t>
      </w:r>
      <w:r w:rsidRPr="00DB6160">
        <w:rPr>
          <w:rFonts w:ascii="Garamond" w:hAnsi="Garamond"/>
        </w:rPr>
        <w:t xml:space="preserve">thoughts </w:t>
      </w:r>
      <w:r w:rsidR="00E1057F">
        <w:rPr>
          <w:rFonts w:ascii="Garamond" w:hAnsi="Garamond"/>
        </w:rPr>
        <w:t>is</w:t>
      </w:r>
      <w:r w:rsidRPr="00DB6160">
        <w:rPr>
          <w:rFonts w:ascii="Garamond" w:hAnsi="Garamond"/>
        </w:rPr>
        <w:t xml:space="preserve"> IEM. </w:t>
      </w:r>
      <w:r w:rsidR="00864310">
        <w:rPr>
          <w:rFonts w:ascii="Garamond" w:hAnsi="Garamond"/>
        </w:rPr>
        <w:t>(</w:t>
      </w:r>
      <w:r w:rsidRPr="00DB6160">
        <w:rPr>
          <w:rFonts w:ascii="Garamond" w:hAnsi="Garamond"/>
        </w:rPr>
        <w:t>If</w:t>
      </w:r>
      <w:r w:rsidR="00864310">
        <w:rPr>
          <w:rFonts w:ascii="Garamond" w:hAnsi="Garamond"/>
        </w:rPr>
        <w:t xml:space="preserve"> </w:t>
      </w:r>
      <w:r w:rsidRPr="00DB6160">
        <w:rPr>
          <w:rFonts w:ascii="Garamond" w:hAnsi="Garamond"/>
        </w:rPr>
        <w:t xml:space="preserve">I judge in the normal way that </w:t>
      </w:r>
      <w:r w:rsidRPr="00DB6160">
        <w:rPr>
          <w:rFonts w:ascii="Garamond" w:hAnsi="Garamond"/>
          <w:i/>
        </w:rPr>
        <w:t>I feel nervous</w:t>
      </w:r>
      <w:r w:rsidRPr="00DB6160">
        <w:rPr>
          <w:rFonts w:ascii="Garamond" w:hAnsi="Garamond"/>
        </w:rPr>
        <w:t xml:space="preserve">, then it’s hard to see how I could be wrong about </w:t>
      </w:r>
      <w:r w:rsidRPr="00DB6160">
        <w:rPr>
          <w:rFonts w:ascii="Garamond" w:hAnsi="Garamond"/>
          <w:i/>
        </w:rPr>
        <w:t>who</w:t>
      </w:r>
      <w:r w:rsidRPr="00DB6160">
        <w:rPr>
          <w:rFonts w:ascii="Garamond" w:hAnsi="Garamond"/>
        </w:rPr>
        <w:t xml:space="preserve"> feels nervous.</w:t>
      </w:r>
      <w:r w:rsidR="00864310">
        <w:rPr>
          <w:rFonts w:ascii="Garamond" w:hAnsi="Garamond"/>
        </w:rPr>
        <w:t>)</w:t>
      </w:r>
      <w:r w:rsidRPr="00DB6160">
        <w:rPr>
          <w:rFonts w:ascii="Garamond" w:hAnsi="Garamond"/>
        </w:rPr>
        <w:t xml:space="preserve"> </w:t>
      </w:r>
      <w:r w:rsidR="00864310">
        <w:rPr>
          <w:rFonts w:ascii="Garamond" w:hAnsi="Garamond"/>
        </w:rPr>
        <w:t>Most</w:t>
      </w:r>
      <w:r w:rsidR="00DB6160" w:rsidRPr="00DB6160">
        <w:rPr>
          <w:rFonts w:ascii="Garamond" w:hAnsi="Garamond"/>
        </w:rPr>
        <w:t xml:space="preserve"> people</w:t>
      </w:r>
      <w:r w:rsidR="00957E0E">
        <w:rPr>
          <w:rFonts w:ascii="Garamond" w:hAnsi="Garamond"/>
        </w:rPr>
        <w:t xml:space="preserve"> </w:t>
      </w:r>
      <w:r w:rsidR="00A1280A">
        <w:rPr>
          <w:rFonts w:ascii="Garamond" w:hAnsi="Garamond"/>
        </w:rPr>
        <w:t>also</w:t>
      </w:r>
      <w:r w:rsidR="00DB6160" w:rsidRPr="00DB6160">
        <w:rPr>
          <w:rFonts w:ascii="Garamond" w:hAnsi="Garamond"/>
        </w:rPr>
        <w:t xml:space="preserve"> </w:t>
      </w:r>
      <w:r w:rsidR="00864310">
        <w:rPr>
          <w:rFonts w:ascii="Garamond" w:hAnsi="Garamond"/>
        </w:rPr>
        <w:t>deny</w:t>
      </w:r>
      <w:r w:rsidR="00DB6160" w:rsidRPr="00DB6160">
        <w:rPr>
          <w:rFonts w:ascii="Garamond" w:hAnsi="Garamond"/>
        </w:rPr>
        <w:t xml:space="preserve"> that </w:t>
      </w:r>
      <w:r w:rsidR="00DB6160" w:rsidRPr="00DB6160">
        <w:rPr>
          <w:rFonts w:ascii="Garamond" w:hAnsi="Garamond"/>
          <w:i/>
          <w:iCs/>
        </w:rPr>
        <w:t>de se</w:t>
      </w:r>
      <w:r w:rsidR="00DB6160" w:rsidRPr="00DB6160">
        <w:rPr>
          <w:rFonts w:ascii="Garamond" w:hAnsi="Garamond"/>
        </w:rPr>
        <w:t xml:space="preserve"> thoughts are the </w:t>
      </w:r>
      <w:r w:rsidR="00DB6160" w:rsidRPr="00A1280A">
        <w:rPr>
          <w:rFonts w:ascii="Garamond" w:hAnsi="Garamond"/>
          <w:i/>
          <w:iCs/>
        </w:rPr>
        <w:t>only</w:t>
      </w:r>
      <w:r w:rsidR="00DB6160" w:rsidRPr="00DB6160">
        <w:rPr>
          <w:rFonts w:ascii="Garamond" w:hAnsi="Garamond"/>
        </w:rPr>
        <w:t xml:space="preserve"> ones </w:t>
      </w:r>
      <w:r w:rsidR="00DB6160">
        <w:rPr>
          <w:rFonts w:ascii="Garamond" w:hAnsi="Garamond"/>
        </w:rPr>
        <w:t>associated with</w:t>
      </w:r>
      <w:r w:rsidR="00DB6160" w:rsidRPr="00DB6160">
        <w:rPr>
          <w:rFonts w:ascii="Garamond" w:hAnsi="Garamond"/>
        </w:rPr>
        <w:t xml:space="preserve"> this property – it</w:t>
      </w:r>
      <w:r w:rsidR="00DB6160">
        <w:rPr>
          <w:rFonts w:ascii="Garamond" w:hAnsi="Garamond"/>
        </w:rPr>
        <w:t>’s</w:t>
      </w:r>
      <w:r w:rsidR="00DB6160" w:rsidRPr="00DB6160">
        <w:rPr>
          <w:rFonts w:ascii="Garamond" w:hAnsi="Garamond"/>
        </w:rPr>
        <w:t xml:space="preserve"> </w:t>
      </w:r>
      <w:r w:rsidR="008F27F8">
        <w:rPr>
          <w:rFonts w:ascii="Garamond" w:hAnsi="Garamond"/>
        </w:rPr>
        <w:t>normally</w:t>
      </w:r>
      <w:r w:rsidR="00DB6160">
        <w:rPr>
          <w:rFonts w:ascii="Garamond" w:hAnsi="Garamond"/>
        </w:rPr>
        <w:t xml:space="preserve"> </w:t>
      </w:r>
      <w:r w:rsidR="00654DEC">
        <w:rPr>
          <w:rFonts w:ascii="Garamond" w:hAnsi="Garamond"/>
        </w:rPr>
        <w:t>also taken</w:t>
      </w:r>
      <w:r w:rsidR="00DB6160">
        <w:rPr>
          <w:rFonts w:ascii="Garamond" w:hAnsi="Garamond"/>
        </w:rPr>
        <w:t xml:space="preserve"> </w:t>
      </w:r>
      <w:r w:rsidR="00654DEC">
        <w:rPr>
          <w:rFonts w:ascii="Garamond" w:hAnsi="Garamond"/>
        </w:rPr>
        <w:t xml:space="preserve">to be </w:t>
      </w:r>
      <w:r w:rsidR="00DB6160">
        <w:rPr>
          <w:rFonts w:ascii="Garamond" w:hAnsi="Garamond"/>
        </w:rPr>
        <w:t>a property of</w:t>
      </w:r>
      <w:r w:rsidR="00DB6160" w:rsidRPr="00DB6160">
        <w:rPr>
          <w:rFonts w:ascii="Garamond" w:hAnsi="Garamond"/>
        </w:rPr>
        <w:t xml:space="preserve"> </w:t>
      </w:r>
      <w:r w:rsidR="00DB6160" w:rsidRPr="00DB6160">
        <w:rPr>
          <w:rFonts w:ascii="Garamond" w:eastAsia="Times New Roman" w:hAnsi="Garamond" w:cs="Calibri"/>
          <w:color w:val="000000" w:themeColor="text1"/>
          <w:lang w:eastAsia="en-GB"/>
        </w:rPr>
        <w:t>(some) demonstrative, other indexical</w:t>
      </w:r>
      <w:r w:rsidR="00DB6160">
        <w:rPr>
          <w:rFonts w:ascii="Garamond" w:eastAsia="Times New Roman" w:hAnsi="Garamond" w:cs="Calibri"/>
          <w:color w:val="000000" w:themeColor="text1"/>
          <w:lang w:eastAsia="en-GB"/>
        </w:rPr>
        <w:t xml:space="preserve">, and </w:t>
      </w:r>
      <w:r w:rsidR="00DB6160" w:rsidRPr="00DB6160">
        <w:rPr>
          <w:rFonts w:ascii="Garamond" w:eastAsia="Times New Roman" w:hAnsi="Garamond" w:cs="Calibri"/>
          <w:color w:val="000000" w:themeColor="text1"/>
          <w:lang w:eastAsia="en-GB"/>
        </w:rPr>
        <w:t>mathematical thoughts, and thoughts involving descriptive names.</w:t>
      </w:r>
      <w:r w:rsidR="006365FF" w:rsidRPr="00DB6160">
        <w:rPr>
          <w:rStyle w:val="FootnoteReference"/>
          <w:rFonts w:ascii="Garamond" w:hAnsi="Garamond"/>
        </w:rPr>
        <w:footnoteReference w:id="19"/>
      </w:r>
      <w:r w:rsidR="00DB6160" w:rsidRPr="00DB6160">
        <w:rPr>
          <w:rFonts w:ascii="Garamond" w:eastAsia="Times New Roman" w:hAnsi="Garamond" w:cs="Calibri"/>
          <w:color w:val="000000" w:themeColor="text1"/>
          <w:lang w:eastAsia="en-GB"/>
        </w:rPr>
        <w:t xml:space="preserve"> As a matter of fact, however, most work on IEM has been work on IEM as it applies to </w:t>
      </w:r>
      <w:r w:rsidR="00DB6160" w:rsidRPr="00DB6160">
        <w:rPr>
          <w:rFonts w:ascii="Garamond" w:eastAsia="Times New Roman" w:hAnsi="Garamond" w:cs="Calibri"/>
          <w:i/>
          <w:iCs/>
          <w:color w:val="000000" w:themeColor="text1"/>
          <w:lang w:eastAsia="en-GB"/>
        </w:rPr>
        <w:t xml:space="preserve">de se </w:t>
      </w:r>
      <w:r w:rsidR="00DB6160" w:rsidRPr="00DB6160">
        <w:rPr>
          <w:rFonts w:ascii="Garamond" w:eastAsia="Times New Roman" w:hAnsi="Garamond" w:cs="Calibri"/>
          <w:color w:val="000000" w:themeColor="text1"/>
          <w:lang w:eastAsia="en-GB"/>
        </w:rPr>
        <w:t>though</w:t>
      </w:r>
      <w:r w:rsidR="00654DEC">
        <w:rPr>
          <w:rFonts w:ascii="Garamond" w:eastAsia="Times New Roman" w:hAnsi="Garamond" w:cs="Calibri"/>
          <w:color w:val="000000" w:themeColor="text1"/>
          <w:lang w:eastAsia="en-GB"/>
        </w:rPr>
        <w:t xml:space="preserve">t. This </w:t>
      </w:r>
      <w:r w:rsidR="009D3168">
        <w:rPr>
          <w:rFonts w:ascii="Garamond" w:eastAsia="Times New Roman" w:hAnsi="Garamond" w:cs="Calibri"/>
          <w:color w:val="000000" w:themeColor="text1"/>
          <w:lang w:eastAsia="en-GB"/>
        </w:rPr>
        <w:t xml:space="preserve">means that </w:t>
      </w:r>
      <w:r w:rsidR="004B5BB4">
        <w:rPr>
          <w:rFonts w:ascii="Garamond" w:eastAsia="Times New Roman" w:hAnsi="Garamond" w:cs="Calibri"/>
          <w:color w:val="000000" w:themeColor="text1"/>
          <w:lang w:eastAsia="en-GB"/>
        </w:rPr>
        <w:t>debates about IEM</w:t>
      </w:r>
      <w:r w:rsidR="004C7CE8">
        <w:rPr>
          <w:rFonts w:ascii="Garamond" w:eastAsia="Times New Roman" w:hAnsi="Garamond" w:cs="Calibri"/>
          <w:color w:val="000000" w:themeColor="text1"/>
          <w:lang w:eastAsia="en-GB"/>
        </w:rPr>
        <w:t xml:space="preserve"> are</w:t>
      </w:r>
      <w:r w:rsidR="00DB6160">
        <w:rPr>
          <w:rFonts w:ascii="Garamond" w:eastAsia="Times New Roman" w:hAnsi="Garamond" w:cs="Calibri"/>
          <w:color w:val="000000" w:themeColor="text1"/>
          <w:lang w:eastAsia="en-GB"/>
        </w:rPr>
        <w:t xml:space="preserve"> intermingled</w:t>
      </w:r>
      <w:r w:rsidR="004B5BB4">
        <w:rPr>
          <w:rFonts w:ascii="Garamond" w:eastAsia="Times New Roman" w:hAnsi="Garamond" w:cs="Calibri"/>
          <w:color w:val="000000" w:themeColor="text1"/>
          <w:lang w:eastAsia="en-GB"/>
        </w:rPr>
        <w:t xml:space="preserve"> with </w:t>
      </w:r>
      <w:r w:rsidR="004C7CE8">
        <w:rPr>
          <w:rFonts w:ascii="Garamond" w:eastAsia="Times New Roman" w:hAnsi="Garamond" w:cs="Calibri"/>
          <w:color w:val="000000" w:themeColor="text1"/>
          <w:lang w:eastAsia="en-GB"/>
        </w:rPr>
        <w:t>the</w:t>
      </w:r>
      <w:r w:rsidR="009D3168">
        <w:rPr>
          <w:rFonts w:ascii="Garamond" w:eastAsia="Times New Roman" w:hAnsi="Garamond" w:cs="Calibri"/>
          <w:color w:val="000000" w:themeColor="text1"/>
          <w:lang w:eastAsia="en-GB"/>
        </w:rPr>
        <w:t xml:space="preserve"> </w:t>
      </w:r>
      <w:r w:rsidR="004B5BB4">
        <w:rPr>
          <w:rFonts w:ascii="Garamond" w:eastAsia="Times New Roman" w:hAnsi="Garamond" w:cs="Calibri"/>
          <w:i/>
          <w:iCs/>
          <w:color w:val="000000" w:themeColor="text1"/>
          <w:lang w:eastAsia="en-GB"/>
        </w:rPr>
        <w:t>de se</w:t>
      </w:r>
      <w:r w:rsidR="004B5BB4">
        <w:rPr>
          <w:rFonts w:ascii="Garamond" w:eastAsia="Times New Roman" w:hAnsi="Garamond" w:cs="Calibri"/>
          <w:color w:val="000000" w:themeColor="text1"/>
          <w:lang w:eastAsia="en-GB"/>
        </w:rPr>
        <w:t xml:space="preserve"> </w:t>
      </w:r>
      <w:r w:rsidR="00DB6160">
        <w:rPr>
          <w:rFonts w:ascii="Garamond" w:eastAsia="Times New Roman" w:hAnsi="Garamond" w:cs="Calibri"/>
          <w:color w:val="000000" w:themeColor="text1"/>
          <w:lang w:eastAsia="en-GB"/>
        </w:rPr>
        <w:t xml:space="preserve">in a way that has substantially affected the moves and positions that have emerged. </w:t>
      </w:r>
      <w:r w:rsidR="00720382">
        <w:rPr>
          <w:rFonts w:ascii="Garamond" w:eastAsia="Times New Roman" w:hAnsi="Garamond" w:cs="Calibri"/>
          <w:color w:val="000000" w:themeColor="text1"/>
          <w:lang w:eastAsia="en-GB"/>
        </w:rPr>
        <w:t>(A</w:t>
      </w:r>
      <w:r w:rsidR="00720382" w:rsidRPr="00DB6160">
        <w:rPr>
          <w:rFonts w:ascii="Garamond" w:eastAsia="Times New Roman" w:hAnsi="Garamond" w:cs="Calibri"/>
          <w:color w:val="000000" w:themeColor="text1"/>
          <w:lang w:eastAsia="en-GB"/>
        </w:rPr>
        <w:t>s we will see</w:t>
      </w:r>
      <w:r w:rsidR="00720382">
        <w:rPr>
          <w:rFonts w:ascii="Garamond" w:eastAsia="Times New Roman" w:hAnsi="Garamond" w:cs="Calibri"/>
          <w:color w:val="000000" w:themeColor="text1"/>
          <w:lang w:eastAsia="en-GB"/>
        </w:rPr>
        <w:t xml:space="preserve"> in a moment, an especially pronounced version of this preferential treatment can be seen in recent views of IEM that explicitly draw on metasemantic features of the </w:t>
      </w:r>
      <w:r w:rsidR="00720382">
        <w:rPr>
          <w:rFonts w:ascii="Garamond" w:eastAsia="Times New Roman" w:hAnsi="Garamond" w:cs="Calibri"/>
          <w:i/>
          <w:iCs/>
          <w:color w:val="000000" w:themeColor="text1"/>
          <w:lang w:eastAsia="en-GB"/>
        </w:rPr>
        <w:t>de se.</w:t>
      </w:r>
      <w:r w:rsidR="00720382">
        <w:rPr>
          <w:rFonts w:ascii="Garamond" w:eastAsia="Times New Roman" w:hAnsi="Garamond" w:cs="Calibri"/>
          <w:color w:val="000000" w:themeColor="text1"/>
          <w:lang w:eastAsia="en-GB"/>
        </w:rPr>
        <w:t>)</w:t>
      </w:r>
      <w:r w:rsidR="00720382">
        <w:rPr>
          <w:rFonts w:ascii="Garamond" w:eastAsia="Times New Roman" w:hAnsi="Garamond" w:cs="Calibri"/>
          <w:i/>
          <w:iCs/>
          <w:color w:val="000000" w:themeColor="text1"/>
          <w:lang w:eastAsia="en-GB"/>
        </w:rPr>
        <w:t xml:space="preserve"> </w:t>
      </w:r>
      <w:r w:rsidR="00720382">
        <w:rPr>
          <w:rFonts w:ascii="Garamond" w:eastAsia="Times New Roman" w:hAnsi="Garamond" w:cs="Calibri"/>
          <w:color w:val="000000" w:themeColor="text1"/>
          <w:lang w:eastAsia="en-GB"/>
        </w:rPr>
        <w:t>Moreover,</w:t>
      </w:r>
      <w:r w:rsidR="00D715AE">
        <w:rPr>
          <w:rFonts w:ascii="Garamond" w:eastAsia="Times New Roman" w:hAnsi="Garamond" w:cs="Calibri"/>
          <w:color w:val="000000" w:themeColor="text1"/>
          <w:lang w:eastAsia="en-GB"/>
        </w:rPr>
        <w:t xml:space="preserve"> some theorists have looked to IEM as a </w:t>
      </w:r>
      <w:r w:rsidR="00FC7334">
        <w:rPr>
          <w:rFonts w:ascii="Garamond" w:eastAsia="Times New Roman" w:hAnsi="Garamond" w:cs="Calibri"/>
          <w:color w:val="000000" w:themeColor="text1"/>
          <w:lang w:eastAsia="en-GB"/>
        </w:rPr>
        <w:t xml:space="preserve">precisely definable notion that might help more render more tractable questions concerning the </w:t>
      </w:r>
      <w:r w:rsidR="00FC7334">
        <w:rPr>
          <w:rFonts w:ascii="Garamond" w:eastAsia="Times New Roman" w:hAnsi="Garamond" w:cs="Calibri"/>
          <w:i/>
          <w:iCs/>
          <w:color w:val="000000" w:themeColor="text1"/>
          <w:lang w:eastAsia="en-GB"/>
        </w:rPr>
        <w:t>de se</w:t>
      </w:r>
      <w:r w:rsidR="00FC7334">
        <w:rPr>
          <w:rFonts w:ascii="Garamond" w:eastAsia="Times New Roman" w:hAnsi="Garamond" w:cs="Calibri"/>
          <w:color w:val="000000" w:themeColor="text1"/>
          <w:lang w:eastAsia="en-GB"/>
        </w:rPr>
        <w:t xml:space="preserve"> that seem to be of maximal philosophical interest but whose existing formulations make hard to adjudicate.</w:t>
      </w:r>
      <w:r w:rsidR="00720382">
        <w:rPr>
          <w:rStyle w:val="FootnoteReference"/>
          <w:rFonts w:ascii="Garamond" w:eastAsia="Times New Roman" w:hAnsi="Garamond" w:cs="Calibri"/>
          <w:color w:val="000000" w:themeColor="text1"/>
          <w:lang w:eastAsia="en-GB"/>
        </w:rPr>
        <w:footnoteReference w:id="20"/>
      </w:r>
      <w:r w:rsidR="00FC7334">
        <w:rPr>
          <w:rFonts w:ascii="Garamond" w:eastAsia="Times New Roman" w:hAnsi="Garamond" w:cs="Calibri"/>
          <w:color w:val="000000" w:themeColor="text1"/>
          <w:lang w:eastAsia="en-GB"/>
        </w:rPr>
        <w:t xml:space="preserve">  </w:t>
      </w:r>
    </w:p>
    <w:p w14:paraId="5B32543E" w14:textId="60F8CA49" w:rsidR="00267468" w:rsidRPr="00A22304" w:rsidRDefault="00267468" w:rsidP="00494ED5">
      <w:pPr>
        <w:spacing w:after="240" w:line="360" w:lineRule="auto"/>
        <w:jc w:val="both"/>
        <w:rPr>
          <w:rFonts w:ascii="Garamond" w:hAnsi="Garamond"/>
        </w:rPr>
      </w:pPr>
      <w:r w:rsidRPr="00A22304">
        <w:rPr>
          <w:rFonts w:ascii="Garamond" w:hAnsi="Garamond"/>
        </w:rPr>
        <w:t xml:space="preserve">IEM is not a new concept. Its potted history normally begins with Wittgenstein’s brief remarks in </w:t>
      </w:r>
      <w:r w:rsidRPr="00A22304">
        <w:rPr>
          <w:rFonts w:ascii="Garamond" w:hAnsi="Garamond"/>
          <w:i/>
          <w:iCs/>
        </w:rPr>
        <w:t>The Blue Book</w:t>
      </w:r>
      <w:r w:rsidRPr="00A22304">
        <w:rPr>
          <w:rFonts w:ascii="Garamond" w:hAnsi="Garamond"/>
        </w:rPr>
        <w:t xml:space="preserve"> (1958), through Shoemaker’s elaboration of the phenomenon and coining of the phrase (1968), to Evans’s (1982) influential account that (among other things) made it standard to relativise IEM to the grounds on which a thought is formed. The debate since then has been characterised by a spirited, if sometimes less than fully coordinated, search for the correct formulation, explanation, and account of the significance of IEM. This more recent literature can sometimes be difficult to piece together, partly because different views of IEM are often developed </w:t>
      </w:r>
      <w:r w:rsidRPr="00A22304">
        <w:rPr>
          <w:rFonts w:ascii="Garamond" w:hAnsi="Garamond"/>
        </w:rPr>
        <w:lastRenderedPageBreak/>
        <w:t xml:space="preserve">in the context of pursuing different broader projects. However, the last decade or so </w:t>
      </w:r>
      <w:r w:rsidR="00305371">
        <w:rPr>
          <w:rFonts w:ascii="Garamond" w:hAnsi="Garamond"/>
        </w:rPr>
        <w:t xml:space="preserve">in this debate </w:t>
      </w:r>
      <w:r w:rsidRPr="00A22304">
        <w:rPr>
          <w:rFonts w:ascii="Garamond" w:hAnsi="Garamond"/>
        </w:rPr>
        <w:t xml:space="preserve">has seen a new and interesting division in party-lines, which we will focus on here. </w:t>
      </w:r>
    </w:p>
    <w:p w14:paraId="34D6B121" w14:textId="068618FF" w:rsidR="00267468" w:rsidRPr="00A22304" w:rsidRDefault="00267468" w:rsidP="00494ED5">
      <w:pPr>
        <w:spacing w:after="240" w:line="360" w:lineRule="auto"/>
        <w:jc w:val="both"/>
        <w:rPr>
          <w:rFonts w:ascii="Garamond" w:hAnsi="Garamond"/>
        </w:rPr>
      </w:pPr>
      <w:r w:rsidRPr="00A22304">
        <w:rPr>
          <w:rFonts w:ascii="Garamond" w:hAnsi="Garamond"/>
        </w:rPr>
        <w:t xml:space="preserve">The first camp emerging from </w:t>
      </w:r>
      <w:r w:rsidR="0031320D">
        <w:rPr>
          <w:rFonts w:ascii="Garamond" w:hAnsi="Garamond"/>
        </w:rPr>
        <w:t>the</w:t>
      </w:r>
      <w:r w:rsidRPr="00A22304">
        <w:rPr>
          <w:rFonts w:ascii="Garamond" w:hAnsi="Garamond"/>
        </w:rPr>
        <w:t xml:space="preserve"> split is the </w:t>
      </w:r>
      <w:r w:rsidRPr="00A22304">
        <w:rPr>
          <w:rFonts w:ascii="Garamond" w:hAnsi="Garamond"/>
          <w:i/>
          <w:iCs/>
        </w:rPr>
        <w:t xml:space="preserve">identification-freedom </w:t>
      </w:r>
      <w:r w:rsidRPr="00A22304">
        <w:rPr>
          <w:rFonts w:ascii="Garamond" w:hAnsi="Garamond"/>
        </w:rPr>
        <w:t xml:space="preserve">approach, characterised by the claim that the presence of IEM is always explained by the absence of an identificatory-component in the thought’s grounds. </w:t>
      </w:r>
      <w:r w:rsidR="00BD2E87">
        <w:rPr>
          <w:rFonts w:ascii="Garamond" w:hAnsi="Garamond"/>
        </w:rPr>
        <w:t xml:space="preserve">If the thought </w:t>
      </w:r>
      <w:r w:rsidR="00BD2E87">
        <w:rPr>
          <w:rFonts w:ascii="Garamond" w:hAnsi="Garamond"/>
          <w:i/>
          <w:iCs/>
        </w:rPr>
        <w:t>I am F</w:t>
      </w:r>
      <w:r w:rsidR="00BD2E87">
        <w:rPr>
          <w:rFonts w:ascii="Garamond" w:hAnsi="Garamond"/>
        </w:rPr>
        <w:t xml:space="preserve"> isn’t reached by putting </w:t>
      </w:r>
      <w:r w:rsidR="00BD2E87" w:rsidRPr="00A22304">
        <w:rPr>
          <w:rFonts w:ascii="Garamond" w:hAnsi="Garamond"/>
        </w:rPr>
        <w:t xml:space="preserve">together a distinct thought of the form </w:t>
      </w:r>
      <w:r w:rsidR="00BD2E87" w:rsidRPr="00A22304">
        <w:rPr>
          <w:rFonts w:ascii="Garamond" w:hAnsi="Garamond"/>
          <w:i/>
          <w:iCs/>
        </w:rPr>
        <w:t xml:space="preserve">b is F </w:t>
      </w:r>
      <w:r w:rsidR="00BD2E87" w:rsidRPr="00A22304">
        <w:rPr>
          <w:rFonts w:ascii="Garamond" w:hAnsi="Garamond"/>
        </w:rPr>
        <w:t>with an identity</w:t>
      </w:r>
      <w:r w:rsidR="00BD2E87">
        <w:rPr>
          <w:rFonts w:ascii="Garamond" w:hAnsi="Garamond"/>
        </w:rPr>
        <w:t xml:space="preserve"> </w:t>
      </w:r>
      <w:r w:rsidR="00BD2E87" w:rsidRPr="00A22304">
        <w:rPr>
          <w:rFonts w:ascii="Garamond" w:hAnsi="Garamond"/>
        </w:rPr>
        <w:t xml:space="preserve">of the form </w:t>
      </w:r>
      <w:r w:rsidR="00BD2E87" w:rsidRPr="00A22304">
        <w:rPr>
          <w:rFonts w:ascii="Garamond" w:hAnsi="Garamond"/>
          <w:i/>
          <w:iCs/>
        </w:rPr>
        <w:t>b=I</w:t>
      </w:r>
      <w:r w:rsidR="00BD2E87">
        <w:rPr>
          <w:rFonts w:ascii="Garamond" w:hAnsi="Garamond"/>
        </w:rPr>
        <w:t xml:space="preserve">, </w:t>
      </w:r>
      <w:r w:rsidR="002C0A39">
        <w:rPr>
          <w:rFonts w:ascii="Garamond" w:hAnsi="Garamond"/>
        </w:rPr>
        <w:t xml:space="preserve">then </w:t>
      </w:r>
      <w:r w:rsidR="00BD2E87">
        <w:rPr>
          <w:rFonts w:ascii="Garamond" w:hAnsi="Garamond"/>
        </w:rPr>
        <w:t>it looks as though there is no point at which</w:t>
      </w:r>
      <w:r w:rsidRPr="00A22304">
        <w:rPr>
          <w:rFonts w:ascii="Garamond" w:hAnsi="Garamond"/>
        </w:rPr>
        <w:t xml:space="preserve"> an error of </w:t>
      </w:r>
      <w:r w:rsidRPr="00A22304">
        <w:rPr>
          <w:rFonts w:ascii="Garamond" w:hAnsi="Garamond"/>
          <w:i/>
          <w:iCs/>
        </w:rPr>
        <w:t>mis</w:t>
      </w:r>
      <w:r w:rsidRPr="00A22304">
        <w:rPr>
          <w:rFonts w:ascii="Garamond" w:hAnsi="Garamond"/>
        </w:rPr>
        <w:t>identification c</w:t>
      </w:r>
      <w:r w:rsidR="00BD2E87">
        <w:rPr>
          <w:rFonts w:ascii="Garamond" w:hAnsi="Garamond"/>
        </w:rPr>
        <w:t>ould</w:t>
      </w:r>
      <w:r w:rsidRPr="00A22304">
        <w:rPr>
          <w:rFonts w:ascii="Garamond" w:hAnsi="Garamond"/>
        </w:rPr>
        <w:t xml:space="preserve"> </w:t>
      </w:r>
      <w:r w:rsidR="00C155B9">
        <w:rPr>
          <w:rFonts w:ascii="Garamond" w:hAnsi="Garamond"/>
        </w:rPr>
        <w:t>get</w:t>
      </w:r>
      <w:r w:rsidR="00BD2E87">
        <w:rPr>
          <w:rFonts w:ascii="Garamond" w:hAnsi="Garamond"/>
        </w:rPr>
        <w:t xml:space="preserve"> introduced</w:t>
      </w:r>
      <w:r w:rsidRPr="00A22304">
        <w:rPr>
          <w:rFonts w:ascii="Garamond" w:hAnsi="Garamond"/>
        </w:rPr>
        <w:t>. After all, a misidentification is just an identification that has gone wrong</w:t>
      </w:r>
      <w:r w:rsidR="00BD2E87">
        <w:rPr>
          <w:rFonts w:ascii="Garamond" w:hAnsi="Garamond"/>
        </w:rPr>
        <w:t xml:space="preserve">, and grounds of this sort </w:t>
      </w:r>
      <w:r w:rsidR="00E31AD0">
        <w:rPr>
          <w:rFonts w:ascii="Garamond" w:hAnsi="Garamond"/>
        </w:rPr>
        <w:t>do not</w:t>
      </w:r>
      <w:r w:rsidR="00BD2E87">
        <w:rPr>
          <w:rFonts w:ascii="Garamond" w:hAnsi="Garamond"/>
        </w:rPr>
        <w:t xml:space="preserve"> involve an identification</w:t>
      </w:r>
      <w:r w:rsidRPr="00A22304">
        <w:rPr>
          <w:rFonts w:ascii="Garamond" w:hAnsi="Garamond"/>
        </w:rPr>
        <w:t xml:space="preserve">. </w:t>
      </w:r>
      <w:r w:rsidR="00BD2E87">
        <w:rPr>
          <w:rFonts w:ascii="Garamond" w:hAnsi="Garamond"/>
        </w:rPr>
        <w:t xml:space="preserve">On the </w:t>
      </w:r>
      <w:r w:rsidR="00BD2E87">
        <w:rPr>
          <w:rFonts w:ascii="Garamond" w:hAnsi="Garamond"/>
          <w:i/>
          <w:iCs/>
        </w:rPr>
        <w:t xml:space="preserve">identification-freedom </w:t>
      </w:r>
      <w:r w:rsidR="00BD2E87">
        <w:rPr>
          <w:rFonts w:ascii="Garamond" w:hAnsi="Garamond"/>
        </w:rPr>
        <w:t>approach,</w:t>
      </w:r>
      <w:r w:rsidRPr="00A22304">
        <w:rPr>
          <w:rFonts w:ascii="Garamond" w:hAnsi="Garamond"/>
        </w:rPr>
        <w:t xml:space="preserve"> </w:t>
      </w:r>
      <w:r w:rsidR="00F059BD">
        <w:rPr>
          <w:rFonts w:ascii="Garamond" w:hAnsi="Garamond"/>
        </w:rPr>
        <w:t xml:space="preserve">then, </w:t>
      </w:r>
      <w:r w:rsidRPr="00A22304">
        <w:rPr>
          <w:rFonts w:ascii="Garamond" w:hAnsi="Garamond"/>
        </w:rPr>
        <w:t xml:space="preserve">a </w:t>
      </w:r>
      <w:r w:rsidRPr="00A22304">
        <w:rPr>
          <w:rFonts w:ascii="Garamond" w:hAnsi="Garamond"/>
          <w:i/>
          <w:iCs/>
        </w:rPr>
        <w:t xml:space="preserve">de se </w:t>
      </w:r>
      <w:r w:rsidRPr="00A22304">
        <w:rPr>
          <w:rFonts w:ascii="Garamond" w:hAnsi="Garamond"/>
        </w:rPr>
        <w:t>thought</w:t>
      </w:r>
      <w:r w:rsidR="00C155B9">
        <w:rPr>
          <w:rFonts w:ascii="Garamond" w:hAnsi="Garamond"/>
        </w:rPr>
        <w:t xml:space="preserve"> is IEM when, and because, </w:t>
      </w:r>
      <w:r w:rsidRPr="00A22304">
        <w:rPr>
          <w:rFonts w:ascii="Garamond" w:hAnsi="Garamond"/>
        </w:rPr>
        <w:t xml:space="preserve">it is formed in a way that involves directly apprehending oneself in an exclusively </w:t>
      </w:r>
      <w:r w:rsidRPr="00A22304">
        <w:rPr>
          <w:rFonts w:ascii="Garamond" w:hAnsi="Garamond"/>
          <w:i/>
          <w:iCs/>
        </w:rPr>
        <w:t xml:space="preserve">de se </w:t>
      </w:r>
      <w:r w:rsidRPr="00A22304">
        <w:rPr>
          <w:rFonts w:ascii="Garamond" w:hAnsi="Garamond"/>
        </w:rPr>
        <w:t>way</w:t>
      </w:r>
      <w:r w:rsidR="00C155B9">
        <w:rPr>
          <w:rFonts w:ascii="Garamond" w:hAnsi="Garamond"/>
        </w:rPr>
        <w:t xml:space="preserve">. </w:t>
      </w:r>
      <w:r w:rsidR="00E31AD0">
        <w:rPr>
          <w:rFonts w:ascii="Garamond" w:hAnsi="Garamond"/>
        </w:rPr>
        <w:t>A merit of this approach to</w:t>
      </w:r>
      <w:r w:rsidR="00B95CBD">
        <w:rPr>
          <w:rFonts w:ascii="Garamond" w:hAnsi="Garamond"/>
          <w:i/>
          <w:iCs/>
        </w:rPr>
        <w:t xml:space="preserve"> </w:t>
      </w:r>
      <w:r w:rsidR="00E31AD0">
        <w:rPr>
          <w:rFonts w:ascii="Garamond" w:hAnsi="Garamond"/>
        </w:rPr>
        <w:t>IEM is that it</w:t>
      </w:r>
      <w:r w:rsidRPr="00A22304">
        <w:rPr>
          <w:rFonts w:ascii="Garamond" w:hAnsi="Garamond"/>
        </w:rPr>
        <w:t xml:space="preserve"> ‘liberates us from any need for metaphysical or metasemantic extravagance in trying to account for the phenomenon.’ (</w:t>
      </w:r>
      <w:r w:rsidR="00C155B9">
        <w:rPr>
          <w:rFonts w:ascii="Garamond" w:hAnsi="Garamond"/>
        </w:rPr>
        <w:t>Wright</w:t>
      </w:r>
      <w:r w:rsidR="00E31AD0">
        <w:rPr>
          <w:rFonts w:ascii="Garamond" w:hAnsi="Garamond"/>
        </w:rPr>
        <w:t>,</w:t>
      </w:r>
      <w:r w:rsidR="00C155B9">
        <w:rPr>
          <w:rFonts w:ascii="Garamond" w:hAnsi="Garamond"/>
        </w:rPr>
        <w:t xml:space="preserve"> </w:t>
      </w:r>
      <w:r w:rsidRPr="00A22304">
        <w:rPr>
          <w:rFonts w:ascii="Garamond" w:hAnsi="Garamond"/>
        </w:rPr>
        <w:t>2012: 255)</w:t>
      </w:r>
    </w:p>
    <w:p w14:paraId="2B561A54" w14:textId="7F9B9BCB" w:rsidR="00267468" w:rsidRPr="00A22304" w:rsidRDefault="00267468" w:rsidP="00494ED5">
      <w:pPr>
        <w:spacing w:after="240" w:line="360" w:lineRule="auto"/>
        <w:jc w:val="both"/>
        <w:rPr>
          <w:rFonts w:ascii="Garamond" w:hAnsi="Garamond"/>
        </w:rPr>
      </w:pPr>
      <w:r w:rsidRPr="00A22304">
        <w:rPr>
          <w:rFonts w:ascii="Garamond" w:hAnsi="Garamond"/>
        </w:rPr>
        <w:t>There are a number of internal disagreements among contemporary identity-freedom theorists.</w:t>
      </w:r>
      <w:r w:rsidRPr="00A22304">
        <w:rPr>
          <w:rStyle w:val="FootnoteReference"/>
          <w:rFonts w:ascii="Garamond" w:hAnsi="Garamond"/>
        </w:rPr>
        <w:footnoteReference w:id="21"/>
      </w:r>
      <w:r w:rsidR="00223D11">
        <w:rPr>
          <w:rFonts w:ascii="Garamond" w:hAnsi="Garamond"/>
        </w:rPr>
        <w:t xml:space="preserve"> </w:t>
      </w:r>
      <w:r w:rsidRPr="00A22304">
        <w:rPr>
          <w:rFonts w:ascii="Garamond" w:hAnsi="Garamond"/>
        </w:rPr>
        <w:t xml:space="preserve">One is how to </w:t>
      </w:r>
      <w:r w:rsidR="00C155B9">
        <w:rPr>
          <w:rFonts w:ascii="Garamond" w:hAnsi="Garamond"/>
        </w:rPr>
        <w:t>understand</w:t>
      </w:r>
      <w:r w:rsidRPr="00A22304">
        <w:rPr>
          <w:rFonts w:ascii="Garamond" w:hAnsi="Garamond"/>
        </w:rPr>
        <w:t xml:space="preserve"> the idea of </w:t>
      </w:r>
      <w:r w:rsidRPr="00A22304">
        <w:rPr>
          <w:rFonts w:ascii="Garamond" w:hAnsi="Garamond"/>
          <w:i/>
          <w:iCs/>
        </w:rPr>
        <w:t>grounds.</w:t>
      </w:r>
      <w:r w:rsidRPr="00A22304">
        <w:rPr>
          <w:rFonts w:ascii="Garamond" w:hAnsi="Garamond"/>
        </w:rPr>
        <w:t xml:space="preserve"> Nearly no-one thinks that the possibility of EM </w:t>
      </w:r>
      <w:r w:rsidR="004101F2">
        <w:rPr>
          <w:rFonts w:ascii="Garamond" w:hAnsi="Garamond"/>
        </w:rPr>
        <w:t>requires</w:t>
      </w:r>
      <w:r w:rsidRPr="00A22304">
        <w:rPr>
          <w:rFonts w:ascii="Garamond" w:hAnsi="Garamond"/>
        </w:rPr>
        <w:t xml:space="preserve"> the performance of a conscious inference (</w:t>
      </w:r>
      <w:r w:rsidRPr="00A22304">
        <w:rPr>
          <w:rFonts w:ascii="Garamond" w:hAnsi="Garamond"/>
          <w:i/>
          <w:iCs/>
        </w:rPr>
        <w:t xml:space="preserve">b is F, I = b, </w:t>
      </w:r>
      <w:r w:rsidRPr="00A22304">
        <w:rPr>
          <w:rFonts w:ascii="Garamond" w:hAnsi="Garamond"/>
        </w:rPr>
        <w:t xml:space="preserve">so </w:t>
      </w:r>
      <w:r w:rsidRPr="00A22304">
        <w:rPr>
          <w:rFonts w:ascii="Garamond" w:hAnsi="Garamond"/>
          <w:i/>
          <w:iCs/>
        </w:rPr>
        <w:t>I am F</w:t>
      </w:r>
      <w:r w:rsidRPr="00A22304">
        <w:rPr>
          <w:rFonts w:ascii="Garamond" w:hAnsi="Garamond"/>
        </w:rPr>
        <w:t>)</w:t>
      </w:r>
      <w:r w:rsidRPr="00A22304">
        <w:rPr>
          <w:rFonts w:ascii="Garamond" w:hAnsi="Garamond"/>
          <w:i/>
          <w:iCs/>
        </w:rPr>
        <w:t xml:space="preserve">. </w:t>
      </w:r>
      <w:r w:rsidRPr="00A22304">
        <w:rPr>
          <w:rFonts w:ascii="Garamond" w:hAnsi="Garamond"/>
        </w:rPr>
        <w:t xml:space="preserve">But there are still varyingly demanding ways of understanding what </w:t>
      </w:r>
      <w:r w:rsidRPr="00A22304">
        <w:rPr>
          <w:rFonts w:ascii="Garamond" w:hAnsi="Garamond"/>
          <w:i/>
          <w:iCs/>
        </w:rPr>
        <w:t>is</w:t>
      </w:r>
      <w:r w:rsidRPr="00A22304">
        <w:rPr>
          <w:rFonts w:ascii="Garamond" w:hAnsi="Garamond"/>
        </w:rPr>
        <w:t xml:space="preserve"> needed. Does the identity component need to be part of a rational reconstruction of the subject’s </w:t>
      </w:r>
      <w:r w:rsidR="004101F2">
        <w:rPr>
          <w:rFonts w:ascii="Garamond" w:hAnsi="Garamond"/>
        </w:rPr>
        <w:t>reasoning</w:t>
      </w:r>
      <w:r w:rsidRPr="00A22304">
        <w:rPr>
          <w:rFonts w:ascii="Garamond" w:hAnsi="Garamond"/>
        </w:rPr>
        <w:t>? Would it suffice for it to be part of a thinker’s presuppositional background to which she has default entitlement, if not ready access? Or does it need to be accessible to the subject, at least in principle? Different identity-freedom theorists answer these questions differently, resulting in formulations of IEM-properties of different strengths that sort cases differently.</w:t>
      </w:r>
      <w:r w:rsidRPr="00AF35C0">
        <w:rPr>
          <w:rStyle w:val="FootnoteReference"/>
          <w:rFonts w:ascii="Garamond" w:hAnsi="Garamond"/>
        </w:rPr>
        <w:footnoteReference w:id="22"/>
      </w:r>
    </w:p>
    <w:p w14:paraId="213CCC1A" w14:textId="47B89CBD" w:rsidR="00267468" w:rsidRPr="00A22304" w:rsidRDefault="00267468" w:rsidP="00494ED5">
      <w:pPr>
        <w:spacing w:after="240" w:line="360" w:lineRule="auto"/>
        <w:jc w:val="both"/>
        <w:rPr>
          <w:rFonts w:ascii="Garamond" w:hAnsi="Garamond"/>
        </w:rPr>
      </w:pPr>
      <w:r w:rsidRPr="00A22304">
        <w:rPr>
          <w:rFonts w:ascii="Garamond" w:hAnsi="Garamond"/>
        </w:rPr>
        <w:t xml:space="preserve">The most urgent current issue for the identity-freedom camp, however, is an external challenge </w:t>
      </w:r>
      <w:r w:rsidR="00351447">
        <w:rPr>
          <w:rFonts w:ascii="Garamond" w:hAnsi="Garamond"/>
        </w:rPr>
        <w:t xml:space="preserve">descending </w:t>
      </w:r>
      <w:r w:rsidRPr="00A22304">
        <w:rPr>
          <w:rFonts w:ascii="Garamond" w:hAnsi="Garamond"/>
        </w:rPr>
        <w:t xml:space="preserve">from Pryor’s </w:t>
      </w:r>
      <w:r w:rsidR="00BD2E87">
        <w:rPr>
          <w:rFonts w:ascii="Garamond" w:hAnsi="Garamond"/>
        </w:rPr>
        <w:t>influential</w:t>
      </w:r>
      <w:r w:rsidRPr="00A22304">
        <w:rPr>
          <w:rFonts w:ascii="Garamond" w:hAnsi="Garamond"/>
        </w:rPr>
        <w:t xml:space="preserve"> 1999 distinction between two kinds of error (and immunity) through misidentification.</w:t>
      </w:r>
      <w:r w:rsidR="00F059BD" w:rsidRPr="00351447">
        <w:rPr>
          <w:rFonts w:ascii="Garamond" w:hAnsi="Garamond"/>
          <w:vertAlign w:val="superscript"/>
        </w:rPr>
        <w:footnoteReference w:id="23"/>
      </w:r>
      <w:r w:rsidRPr="00A22304">
        <w:rPr>
          <w:rFonts w:ascii="Garamond" w:hAnsi="Garamond"/>
        </w:rPr>
        <w:t xml:space="preserve"> The first, </w:t>
      </w:r>
      <w:r w:rsidRPr="00A22304">
        <w:rPr>
          <w:rFonts w:ascii="Garamond" w:hAnsi="Garamond"/>
          <w:i/>
          <w:iCs/>
        </w:rPr>
        <w:t>de re</w:t>
      </w:r>
      <w:r w:rsidRPr="00A22304">
        <w:rPr>
          <w:rFonts w:ascii="Garamond" w:hAnsi="Garamond"/>
        </w:rPr>
        <w:t xml:space="preserve"> </w:t>
      </w:r>
      <w:r w:rsidRPr="00A22304">
        <w:rPr>
          <w:rFonts w:ascii="Garamond" w:hAnsi="Garamond"/>
          <w:i/>
          <w:iCs/>
        </w:rPr>
        <w:t>misidentification</w:t>
      </w:r>
      <w:r w:rsidRPr="00A22304">
        <w:rPr>
          <w:rFonts w:ascii="Garamond" w:hAnsi="Garamond"/>
        </w:rPr>
        <w:t xml:space="preserve">, fits neatly with the identity-freedom approach: where there is </w:t>
      </w:r>
      <w:r w:rsidRPr="00A22304">
        <w:rPr>
          <w:rFonts w:ascii="Garamond" w:hAnsi="Garamond"/>
          <w:i/>
          <w:iCs/>
        </w:rPr>
        <w:t xml:space="preserve">de re </w:t>
      </w:r>
      <w:r w:rsidRPr="00A22304">
        <w:rPr>
          <w:rFonts w:ascii="Garamond" w:hAnsi="Garamond"/>
        </w:rPr>
        <w:t xml:space="preserve">misidentification, the belief’s grounds involve a false identity-belief. </w:t>
      </w:r>
      <w:r w:rsidRPr="00A22304">
        <w:rPr>
          <w:rFonts w:ascii="Garamond" w:hAnsi="Garamond"/>
        </w:rPr>
        <w:lastRenderedPageBreak/>
        <w:t xml:space="preserve">The second is the notion of </w:t>
      </w:r>
      <w:r w:rsidRPr="00A22304">
        <w:rPr>
          <w:rFonts w:ascii="Garamond" w:hAnsi="Garamond"/>
          <w:i/>
          <w:iCs/>
        </w:rPr>
        <w:t>wh</w:t>
      </w:r>
      <w:r w:rsidRPr="00A22304">
        <w:rPr>
          <w:rFonts w:ascii="Garamond" w:hAnsi="Garamond"/>
        </w:rPr>
        <w:t>-</w:t>
      </w:r>
      <w:r w:rsidRPr="00A22304">
        <w:rPr>
          <w:rFonts w:ascii="Garamond" w:hAnsi="Garamond"/>
          <w:i/>
          <w:iCs/>
        </w:rPr>
        <w:t>misidentification</w:t>
      </w:r>
      <w:r w:rsidRPr="00A22304">
        <w:rPr>
          <w:rFonts w:ascii="Garamond" w:hAnsi="Garamond"/>
        </w:rPr>
        <w:t xml:space="preserve">, and is still usually introduced with Pryor’s original example: </w:t>
      </w:r>
    </w:p>
    <w:p w14:paraId="346ED524" w14:textId="77777777" w:rsidR="00267468" w:rsidRPr="00A22304" w:rsidRDefault="00267468" w:rsidP="00AF35C0">
      <w:pPr>
        <w:spacing w:after="240"/>
        <w:ind w:left="720"/>
        <w:jc w:val="both"/>
        <w:rPr>
          <w:rFonts w:ascii="Garamond" w:hAnsi="Garamond"/>
          <w:i/>
          <w:iCs/>
        </w:rPr>
      </w:pPr>
      <w:r w:rsidRPr="00A22304">
        <w:rPr>
          <w:rFonts w:ascii="Garamond" w:hAnsi="Garamond"/>
        </w:rPr>
        <w:t xml:space="preserve">I smell a skunky odor, and see several animals rummaging around in my garden. (…) Approaching closer and sniffing I form the belief, of the smallest of animals, that it is a skunk in my garden. This belief is mistaken. There are several skunks in my garden, but none of them is the small animal I see. (1999: 281). </w:t>
      </w:r>
    </w:p>
    <w:p w14:paraId="003FAD95" w14:textId="04BACB20" w:rsidR="00444D81" w:rsidRDefault="00267468" w:rsidP="00494ED5">
      <w:pPr>
        <w:spacing w:after="240" w:line="360" w:lineRule="auto"/>
        <w:jc w:val="both"/>
        <w:rPr>
          <w:rFonts w:ascii="Garamond" w:hAnsi="Garamond"/>
        </w:rPr>
      </w:pPr>
      <w:r w:rsidRPr="00A22304">
        <w:rPr>
          <w:rFonts w:ascii="Garamond" w:hAnsi="Garamond"/>
        </w:rPr>
        <w:t xml:space="preserve">My grounds for the belief </w:t>
      </w:r>
      <w:r w:rsidRPr="00A22304">
        <w:rPr>
          <w:rFonts w:ascii="Garamond" w:hAnsi="Garamond"/>
          <w:i/>
          <w:iCs/>
        </w:rPr>
        <w:t>That is a skunk</w:t>
      </w:r>
      <w:r w:rsidRPr="00A22304">
        <w:rPr>
          <w:rFonts w:ascii="Garamond" w:hAnsi="Garamond"/>
        </w:rPr>
        <w:t xml:space="preserve"> </w:t>
      </w:r>
      <w:r w:rsidR="00444D81">
        <w:rPr>
          <w:rFonts w:ascii="Garamond" w:hAnsi="Garamond"/>
        </w:rPr>
        <w:t>seems</w:t>
      </w:r>
      <w:r w:rsidRPr="00A22304">
        <w:rPr>
          <w:rFonts w:ascii="Garamond" w:hAnsi="Garamond"/>
        </w:rPr>
        <w:t xml:space="preserve"> not</w:t>
      </w:r>
      <w:r w:rsidR="00444D81">
        <w:rPr>
          <w:rFonts w:ascii="Garamond" w:hAnsi="Garamond"/>
        </w:rPr>
        <w:t xml:space="preserve"> to</w:t>
      </w:r>
      <w:r w:rsidRPr="00A22304">
        <w:rPr>
          <w:rFonts w:ascii="Garamond" w:hAnsi="Garamond"/>
        </w:rPr>
        <w:t xml:space="preserve"> rest on a false identity of the form </w:t>
      </w:r>
      <w:r w:rsidRPr="00A22304">
        <w:rPr>
          <w:rFonts w:ascii="Garamond" w:hAnsi="Garamond"/>
          <w:i/>
          <w:iCs/>
        </w:rPr>
        <w:t>a=b</w:t>
      </w:r>
      <w:r w:rsidRPr="00A22304">
        <w:rPr>
          <w:rFonts w:ascii="Garamond" w:hAnsi="Garamond"/>
        </w:rPr>
        <w:t>. Instead, I have grounds for an existentially general belief about a property-instantiation (</w:t>
      </w:r>
      <w:r w:rsidRPr="00A22304">
        <w:rPr>
          <w:rFonts w:ascii="Garamond" w:hAnsi="Garamond"/>
          <w:i/>
          <w:iCs/>
          <w:u w:val="single"/>
        </w:rPr>
        <w:t>Something</w:t>
      </w:r>
      <w:r w:rsidRPr="00A22304">
        <w:rPr>
          <w:rFonts w:ascii="Garamond" w:hAnsi="Garamond"/>
          <w:i/>
          <w:iCs/>
        </w:rPr>
        <w:t xml:space="preserve"> hereabouts is a skunk</w:t>
      </w:r>
      <w:r w:rsidRPr="00A22304">
        <w:rPr>
          <w:rFonts w:ascii="Garamond" w:hAnsi="Garamond"/>
        </w:rPr>
        <w:t xml:space="preserve">, based on smell), but I have picked out the wrong witness to that existential. It is still appropriate to say that my thought is mistaken through a misidentification. But it is a ‘misidentification’ in the sense of </w:t>
      </w:r>
      <w:r w:rsidR="00351447">
        <w:rPr>
          <w:rFonts w:ascii="Garamond" w:hAnsi="Garamond"/>
        </w:rPr>
        <w:t xml:space="preserve">being </w:t>
      </w:r>
      <w:r w:rsidRPr="00A22304">
        <w:rPr>
          <w:rFonts w:ascii="Garamond" w:hAnsi="Garamond"/>
        </w:rPr>
        <w:t xml:space="preserve">a faulty ‘singling out’ of the right witness, rather than a faulty identity of the form </w:t>
      </w:r>
      <w:r w:rsidRPr="00A22304">
        <w:rPr>
          <w:rFonts w:ascii="Garamond" w:hAnsi="Garamond"/>
          <w:i/>
          <w:iCs/>
        </w:rPr>
        <w:t xml:space="preserve">a=b.  </w:t>
      </w:r>
      <w:r w:rsidR="00351447">
        <w:rPr>
          <w:rFonts w:ascii="Garamond" w:hAnsi="Garamond"/>
        </w:rPr>
        <w:t xml:space="preserve">Such cases appear to show that the fact </w:t>
      </w:r>
      <w:r w:rsidRPr="00A22304">
        <w:rPr>
          <w:rFonts w:ascii="Garamond" w:hAnsi="Garamond"/>
        </w:rPr>
        <w:t xml:space="preserve">a thought includes nothing of the form </w:t>
      </w:r>
      <w:r w:rsidRPr="00A22304">
        <w:rPr>
          <w:rFonts w:ascii="Garamond" w:hAnsi="Garamond"/>
          <w:i/>
          <w:iCs/>
        </w:rPr>
        <w:t>a=b</w:t>
      </w:r>
      <w:r w:rsidRPr="00A22304">
        <w:rPr>
          <w:rFonts w:ascii="Garamond" w:hAnsi="Garamond"/>
        </w:rPr>
        <w:t xml:space="preserve"> in its grounds</w:t>
      </w:r>
      <w:r w:rsidR="00351447">
        <w:rPr>
          <w:rFonts w:ascii="Garamond" w:hAnsi="Garamond"/>
        </w:rPr>
        <w:t xml:space="preserve"> is compatible with its </w:t>
      </w:r>
      <w:r w:rsidR="00351447">
        <w:rPr>
          <w:rFonts w:ascii="Garamond" w:hAnsi="Garamond"/>
          <w:i/>
          <w:iCs/>
        </w:rPr>
        <w:t xml:space="preserve">not </w:t>
      </w:r>
      <w:r w:rsidRPr="00A22304">
        <w:rPr>
          <w:rFonts w:ascii="Garamond" w:hAnsi="Garamond"/>
        </w:rPr>
        <w:t xml:space="preserve">being IEM. </w:t>
      </w:r>
      <w:r w:rsidR="00351447">
        <w:rPr>
          <w:rFonts w:ascii="Garamond" w:hAnsi="Garamond"/>
        </w:rPr>
        <w:t>That puts pressure on the claim that a thought’s</w:t>
      </w:r>
      <w:r w:rsidR="00351447" w:rsidRPr="00351447">
        <w:rPr>
          <w:rFonts w:ascii="Garamond" w:hAnsi="Garamond"/>
        </w:rPr>
        <w:t xml:space="preserve"> including nothing of the form </w:t>
      </w:r>
      <w:r w:rsidR="00351447" w:rsidRPr="00351447">
        <w:rPr>
          <w:rFonts w:ascii="Garamond" w:hAnsi="Garamond"/>
          <w:i/>
          <w:iCs/>
        </w:rPr>
        <w:t xml:space="preserve">a=b </w:t>
      </w:r>
      <w:r w:rsidR="00351447" w:rsidRPr="00351447">
        <w:rPr>
          <w:rFonts w:ascii="Garamond" w:hAnsi="Garamond"/>
        </w:rPr>
        <w:t xml:space="preserve">in its grounds </w:t>
      </w:r>
      <w:r w:rsidR="00444D81">
        <w:rPr>
          <w:rFonts w:ascii="Garamond" w:hAnsi="Garamond"/>
        </w:rPr>
        <w:t>is ever enough to</w:t>
      </w:r>
      <w:r w:rsidR="00351447">
        <w:rPr>
          <w:rFonts w:ascii="Garamond" w:hAnsi="Garamond"/>
        </w:rPr>
        <w:t xml:space="preserve"> explain its being IEM, even in case of thoughts that have both properties.</w:t>
      </w:r>
      <w:r w:rsidR="000A0266">
        <w:rPr>
          <w:rFonts w:ascii="Garamond" w:hAnsi="Garamond"/>
        </w:rPr>
        <w:t xml:space="preserve"> </w:t>
      </w:r>
      <w:r w:rsidRPr="00A22304">
        <w:rPr>
          <w:rStyle w:val="FootnoteReference"/>
          <w:rFonts w:ascii="Garamond" w:hAnsi="Garamond"/>
        </w:rPr>
        <w:footnoteReference w:id="24"/>
      </w:r>
      <w:r w:rsidRPr="00A22304">
        <w:rPr>
          <w:rFonts w:ascii="Garamond" w:hAnsi="Garamond"/>
        </w:rPr>
        <w:t xml:space="preserve"> </w:t>
      </w:r>
    </w:p>
    <w:p w14:paraId="0EACB329" w14:textId="3C15F99F" w:rsidR="00267468" w:rsidRPr="00A22304" w:rsidRDefault="00267468" w:rsidP="00494ED5">
      <w:pPr>
        <w:spacing w:after="240" w:line="360" w:lineRule="auto"/>
        <w:jc w:val="both"/>
        <w:rPr>
          <w:rFonts w:ascii="Garamond" w:hAnsi="Garamond"/>
        </w:rPr>
      </w:pPr>
      <w:r w:rsidRPr="00A22304">
        <w:rPr>
          <w:rFonts w:ascii="Garamond" w:hAnsi="Garamond"/>
        </w:rPr>
        <w:t xml:space="preserve">Coliva kicked off a lively response to this challenge in her (2006), by arguing that all seeming cases of </w:t>
      </w:r>
      <w:r w:rsidRPr="00A22304">
        <w:rPr>
          <w:rFonts w:ascii="Garamond" w:hAnsi="Garamond"/>
          <w:i/>
          <w:iCs/>
        </w:rPr>
        <w:t>wh-</w:t>
      </w:r>
      <w:r w:rsidRPr="00A22304">
        <w:rPr>
          <w:rFonts w:ascii="Garamond" w:hAnsi="Garamond"/>
        </w:rPr>
        <w:t xml:space="preserve">EM can be reduced to </w:t>
      </w:r>
      <w:r w:rsidRPr="00A22304">
        <w:rPr>
          <w:rFonts w:ascii="Garamond" w:hAnsi="Garamond"/>
          <w:i/>
          <w:iCs/>
        </w:rPr>
        <w:t>de re-</w:t>
      </w:r>
      <w:r w:rsidRPr="00A22304">
        <w:rPr>
          <w:rFonts w:ascii="Garamond" w:hAnsi="Garamond"/>
        </w:rPr>
        <w:t xml:space="preserve">EM. Her strategy is to show that even in these cases, the grounds for the subject’s thought still involve a (mis)identity. It’s just that one side of </w:t>
      </w:r>
      <w:r w:rsidR="00351447">
        <w:rPr>
          <w:rFonts w:ascii="Garamond" w:hAnsi="Garamond"/>
        </w:rPr>
        <w:t>the identity</w:t>
      </w:r>
      <w:r w:rsidRPr="00A22304">
        <w:rPr>
          <w:rFonts w:ascii="Garamond" w:hAnsi="Garamond"/>
        </w:rPr>
        <w:t xml:space="preserve"> will feature a non-</w:t>
      </w:r>
      <w:r w:rsidRPr="00A22304">
        <w:rPr>
          <w:rFonts w:ascii="Garamond" w:hAnsi="Garamond"/>
          <w:i/>
          <w:iCs/>
        </w:rPr>
        <w:t>de re –</w:t>
      </w:r>
      <w:r w:rsidRPr="00A22304">
        <w:rPr>
          <w:rFonts w:ascii="Garamond" w:hAnsi="Garamond"/>
        </w:rPr>
        <w:t xml:space="preserve"> but still singular – concept. For example, she offers the following reconstruction of the false identity involved in the skunk example:</w:t>
      </w:r>
    </w:p>
    <w:p w14:paraId="1261DB67" w14:textId="77777777" w:rsidR="00267468" w:rsidRPr="00A22304" w:rsidRDefault="00267468" w:rsidP="00494ED5">
      <w:pPr>
        <w:spacing w:after="240" w:line="360" w:lineRule="auto"/>
        <w:ind w:left="720"/>
        <w:jc w:val="both"/>
        <w:rPr>
          <w:rFonts w:ascii="Garamond" w:hAnsi="Garamond"/>
        </w:rPr>
      </w:pPr>
      <w:r w:rsidRPr="00A22304">
        <w:rPr>
          <w:rFonts w:ascii="Garamond" w:hAnsi="Garamond"/>
        </w:rPr>
        <w:t>‘</w:t>
      </w:r>
      <w:r w:rsidRPr="00A22304">
        <w:rPr>
          <w:rFonts w:ascii="Garamond" w:hAnsi="Garamond"/>
          <w:i/>
          <w:iCs/>
        </w:rPr>
        <w:t>This animal (I can now see)</w:t>
      </w:r>
      <w:r w:rsidRPr="00A22304">
        <w:rPr>
          <w:rFonts w:ascii="Garamond" w:hAnsi="Garamond"/>
        </w:rPr>
        <w:t xml:space="preserve"> = </w:t>
      </w:r>
      <w:r w:rsidRPr="00A22304">
        <w:rPr>
          <w:rFonts w:ascii="Garamond" w:hAnsi="Garamond"/>
          <w:i/>
          <w:iCs/>
        </w:rPr>
        <w:t>the animal (in my garden) which is actually responsible for this odor I can smell</w:t>
      </w:r>
      <w:r w:rsidRPr="00A22304">
        <w:rPr>
          <w:rFonts w:ascii="Garamond" w:hAnsi="Garamond"/>
        </w:rPr>
        <w:t xml:space="preserve">’. (2006: 412) </w:t>
      </w:r>
    </w:p>
    <w:p w14:paraId="4F2AB80A" w14:textId="49AF5B30" w:rsidR="00267468" w:rsidRPr="00A22304" w:rsidRDefault="00267468" w:rsidP="00494ED5">
      <w:pPr>
        <w:spacing w:after="240" w:line="360" w:lineRule="auto"/>
        <w:jc w:val="both"/>
        <w:rPr>
          <w:rFonts w:ascii="Garamond" w:hAnsi="Garamond"/>
        </w:rPr>
      </w:pPr>
      <w:r w:rsidRPr="00A22304">
        <w:rPr>
          <w:rFonts w:ascii="Garamond" w:hAnsi="Garamond"/>
        </w:rPr>
        <w:t xml:space="preserve">Objectors have variously responded that this strategy illegitimately makes use of a uniqueness assumption (who says there was only </w:t>
      </w:r>
      <w:r w:rsidRPr="00A22304">
        <w:rPr>
          <w:rFonts w:ascii="Garamond" w:hAnsi="Garamond"/>
          <w:i/>
          <w:iCs/>
        </w:rPr>
        <w:t xml:space="preserve">one </w:t>
      </w:r>
      <w:r w:rsidRPr="00A22304">
        <w:rPr>
          <w:rFonts w:ascii="Garamond" w:hAnsi="Garamond"/>
        </w:rPr>
        <w:t xml:space="preserve">thing I was smelling in the original case?), relies on idiosyncrasies of the showcase example, </w:t>
      </w:r>
      <w:r w:rsidR="004101F2">
        <w:rPr>
          <w:rFonts w:ascii="Garamond" w:hAnsi="Garamond"/>
        </w:rPr>
        <w:t>or</w:t>
      </w:r>
      <w:r w:rsidRPr="00A22304">
        <w:rPr>
          <w:rFonts w:ascii="Garamond" w:hAnsi="Garamond"/>
        </w:rPr>
        <w:t xml:space="preserve"> that the descriptive singular concepts invoked by this strategy will always be too trivial to provide genuinely informative identity-beliefs.</w:t>
      </w:r>
      <w:r w:rsidRPr="00A22304">
        <w:rPr>
          <w:rStyle w:val="FootnoteReference"/>
          <w:rFonts w:ascii="Garamond" w:hAnsi="Garamond"/>
        </w:rPr>
        <w:footnoteReference w:id="25"/>
      </w:r>
      <w:r w:rsidRPr="00A22304">
        <w:rPr>
          <w:rFonts w:ascii="Garamond" w:hAnsi="Garamond"/>
        </w:rPr>
        <w:t xml:space="preserve"> </w:t>
      </w:r>
    </w:p>
    <w:p w14:paraId="34E32542" w14:textId="280BC2BF" w:rsidR="00267468" w:rsidRPr="00A22304" w:rsidRDefault="00267468" w:rsidP="00494ED5">
      <w:pPr>
        <w:spacing w:after="240" w:line="360" w:lineRule="auto"/>
        <w:jc w:val="both"/>
        <w:rPr>
          <w:rFonts w:ascii="Garamond" w:hAnsi="Garamond"/>
        </w:rPr>
      </w:pPr>
      <w:r w:rsidRPr="00A22304">
        <w:rPr>
          <w:rFonts w:ascii="Garamond" w:hAnsi="Garamond"/>
        </w:rPr>
        <w:t>The second emerging camp</w:t>
      </w:r>
      <w:r w:rsidR="002C0A39">
        <w:rPr>
          <w:rFonts w:ascii="Garamond" w:hAnsi="Garamond"/>
        </w:rPr>
        <w:t xml:space="preserve"> from the recent split in these debates</w:t>
      </w:r>
      <w:r w:rsidRPr="00A22304">
        <w:rPr>
          <w:rFonts w:ascii="Garamond" w:hAnsi="Garamond"/>
        </w:rPr>
        <w:t xml:space="preserve"> is arguably better suited to accommodating </w:t>
      </w:r>
      <w:r w:rsidRPr="00A22304">
        <w:rPr>
          <w:rFonts w:ascii="Garamond" w:hAnsi="Garamond"/>
          <w:i/>
          <w:iCs/>
        </w:rPr>
        <w:t>wh-</w:t>
      </w:r>
      <w:r w:rsidRPr="00A22304">
        <w:rPr>
          <w:rFonts w:ascii="Garamond" w:hAnsi="Garamond"/>
        </w:rPr>
        <w:t xml:space="preserve">EM. Call it the </w:t>
      </w:r>
      <w:r w:rsidRPr="00A22304">
        <w:rPr>
          <w:rFonts w:ascii="Garamond" w:hAnsi="Garamond"/>
          <w:i/>
          <w:iCs/>
        </w:rPr>
        <w:t>metasemantic</w:t>
      </w:r>
      <w:r w:rsidRPr="00A22304">
        <w:rPr>
          <w:rFonts w:ascii="Garamond" w:hAnsi="Garamond"/>
        </w:rPr>
        <w:t xml:space="preserve"> approach</w:t>
      </w:r>
      <w:r w:rsidR="002E356E">
        <w:rPr>
          <w:rFonts w:ascii="Garamond" w:hAnsi="Garamond"/>
        </w:rPr>
        <w:t xml:space="preserve"> (and recall that this is the kind of ‘metasemantic extravagance’ </w:t>
      </w:r>
      <w:r w:rsidR="00444D81">
        <w:rPr>
          <w:rFonts w:ascii="Garamond" w:hAnsi="Garamond"/>
        </w:rPr>
        <w:t xml:space="preserve">Wright </w:t>
      </w:r>
      <w:r w:rsidR="006A0365">
        <w:rPr>
          <w:rFonts w:ascii="Garamond" w:hAnsi="Garamond"/>
        </w:rPr>
        <w:t>hoped</w:t>
      </w:r>
      <w:r w:rsidR="002E356E">
        <w:rPr>
          <w:rFonts w:ascii="Garamond" w:hAnsi="Garamond"/>
        </w:rPr>
        <w:t xml:space="preserve"> </w:t>
      </w:r>
      <w:r w:rsidR="00444D81">
        <w:rPr>
          <w:rFonts w:ascii="Garamond" w:hAnsi="Garamond"/>
        </w:rPr>
        <w:t xml:space="preserve">the identification-freedom </w:t>
      </w:r>
      <w:r w:rsidR="00550B0E">
        <w:rPr>
          <w:rFonts w:ascii="Garamond" w:hAnsi="Garamond"/>
        </w:rPr>
        <w:t xml:space="preserve">approach </w:t>
      </w:r>
      <w:r w:rsidR="00444D81">
        <w:rPr>
          <w:rFonts w:ascii="Garamond" w:hAnsi="Garamond"/>
        </w:rPr>
        <w:t xml:space="preserve">might help us </w:t>
      </w:r>
      <w:r w:rsidR="00444D81">
        <w:rPr>
          <w:rFonts w:ascii="Garamond" w:hAnsi="Garamond"/>
        </w:rPr>
        <w:lastRenderedPageBreak/>
        <w:t>avoid)</w:t>
      </w:r>
      <w:r w:rsidR="00550B0E">
        <w:rPr>
          <w:rFonts w:ascii="Garamond" w:hAnsi="Garamond"/>
        </w:rPr>
        <w:t>.</w:t>
      </w:r>
      <w:r w:rsidR="00444D81">
        <w:rPr>
          <w:rFonts w:ascii="Garamond" w:hAnsi="Garamond"/>
        </w:rPr>
        <w:t xml:space="preserve"> </w:t>
      </w:r>
      <w:r w:rsidRPr="00A22304">
        <w:rPr>
          <w:rFonts w:ascii="Garamond" w:hAnsi="Garamond"/>
        </w:rPr>
        <w:t xml:space="preserve">The metasemantic approach is newer and more heterogenous than the identification-freedom approach, but can be grouped by a unifying ambition to provide an explanation of the IEM of </w:t>
      </w:r>
      <w:r w:rsidRPr="00A22304">
        <w:rPr>
          <w:rFonts w:ascii="Garamond" w:hAnsi="Garamond"/>
          <w:i/>
          <w:iCs/>
        </w:rPr>
        <w:t>de se</w:t>
      </w:r>
      <w:r w:rsidRPr="00A22304">
        <w:rPr>
          <w:rFonts w:ascii="Garamond" w:hAnsi="Garamond"/>
        </w:rPr>
        <w:t xml:space="preserve"> thoughts that springs from a</w:t>
      </w:r>
      <w:r w:rsidR="002C0A39">
        <w:rPr>
          <w:rFonts w:ascii="Garamond" w:hAnsi="Garamond"/>
        </w:rPr>
        <w:t>n</w:t>
      </w:r>
      <w:r w:rsidRPr="00A22304">
        <w:rPr>
          <w:rFonts w:ascii="Garamond" w:hAnsi="Garamond"/>
        </w:rPr>
        <w:t xml:space="preserve"> account of</w:t>
      </w:r>
      <w:r w:rsidR="00550B0E">
        <w:rPr>
          <w:rFonts w:ascii="Garamond" w:hAnsi="Garamond"/>
        </w:rPr>
        <w:t xml:space="preserve"> how the reference of</w:t>
      </w:r>
      <w:r w:rsidRPr="00A22304">
        <w:rPr>
          <w:rFonts w:ascii="Garamond" w:hAnsi="Garamond"/>
        </w:rPr>
        <w:t xml:space="preserve"> </w:t>
      </w:r>
      <w:r w:rsidRPr="00A22304">
        <w:rPr>
          <w:rFonts w:ascii="Garamond" w:hAnsi="Garamond"/>
          <w:i/>
          <w:iCs/>
        </w:rPr>
        <w:t>de se</w:t>
      </w:r>
      <w:r w:rsidR="00550B0E">
        <w:rPr>
          <w:rFonts w:ascii="Garamond" w:hAnsi="Garamond"/>
          <w:i/>
          <w:iCs/>
        </w:rPr>
        <w:t xml:space="preserve"> </w:t>
      </w:r>
      <w:r w:rsidR="00550B0E">
        <w:rPr>
          <w:rFonts w:ascii="Garamond" w:hAnsi="Garamond"/>
        </w:rPr>
        <w:t>thoughts is fixed</w:t>
      </w:r>
      <w:r w:rsidRPr="00A22304">
        <w:rPr>
          <w:rFonts w:ascii="Garamond" w:hAnsi="Garamond"/>
        </w:rPr>
        <w:t xml:space="preserve">, rather than just from the grounds of particular </w:t>
      </w:r>
      <w:r w:rsidRPr="00A22304">
        <w:rPr>
          <w:rFonts w:ascii="Garamond" w:hAnsi="Garamond"/>
          <w:i/>
          <w:iCs/>
        </w:rPr>
        <w:t>de se</w:t>
      </w:r>
      <w:r w:rsidRPr="00A22304">
        <w:rPr>
          <w:rFonts w:ascii="Garamond" w:hAnsi="Garamond"/>
        </w:rPr>
        <w:t xml:space="preserve"> thoughts</w:t>
      </w:r>
      <w:r w:rsidRPr="00A22304">
        <w:rPr>
          <w:rFonts w:ascii="Garamond" w:hAnsi="Garamond"/>
          <w:i/>
          <w:iCs/>
        </w:rPr>
        <w:t xml:space="preserve">. </w:t>
      </w:r>
      <w:r w:rsidRPr="00A22304">
        <w:rPr>
          <w:rFonts w:ascii="Garamond" w:hAnsi="Garamond"/>
        </w:rPr>
        <w:t>As Peacocke writes:</w:t>
      </w:r>
    </w:p>
    <w:p w14:paraId="091935B6" w14:textId="77777777" w:rsidR="00267468" w:rsidRPr="00A22304" w:rsidRDefault="00267468" w:rsidP="00AF35C0">
      <w:pPr>
        <w:spacing w:after="240"/>
        <w:ind w:left="720"/>
        <w:jc w:val="both"/>
        <w:rPr>
          <w:rFonts w:ascii="Garamond" w:hAnsi="Garamond"/>
        </w:rPr>
      </w:pPr>
      <w:r w:rsidRPr="00A22304">
        <w:rPr>
          <w:rFonts w:ascii="Garamond" w:hAnsi="Garamond"/>
        </w:rPr>
        <w:t xml:space="preserve">Whenever there are phenomena distinctive of a given concept, a good theory of that concept should explain those phenomena. This general point applies when the phenomena are those of immunity to error through misidentification, and the concept is the first person concept </w:t>
      </w:r>
      <w:r w:rsidRPr="00A22304">
        <w:rPr>
          <w:rFonts w:ascii="Garamond" w:hAnsi="Garamond"/>
          <w:i/>
          <w:iCs/>
        </w:rPr>
        <w:t>I</w:t>
      </w:r>
      <w:r w:rsidRPr="00A22304">
        <w:rPr>
          <w:rFonts w:ascii="Garamond" w:hAnsi="Garamond"/>
        </w:rPr>
        <w:t xml:space="preserve">. (2012: 144) </w:t>
      </w:r>
    </w:p>
    <w:p w14:paraId="272E4DB4" w14:textId="5A5823F4" w:rsidR="00267468" w:rsidRPr="00A22304" w:rsidRDefault="00267468" w:rsidP="00494ED5">
      <w:pPr>
        <w:spacing w:after="240" w:line="360" w:lineRule="auto"/>
        <w:jc w:val="both"/>
        <w:rPr>
          <w:rFonts w:ascii="Garamond" w:hAnsi="Garamond"/>
        </w:rPr>
      </w:pPr>
      <w:r w:rsidRPr="00A22304">
        <w:rPr>
          <w:rFonts w:ascii="Garamond" w:hAnsi="Garamond"/>
        </w:rPr>
        <w:t xml:space="preserve">Different contributors to this approach follow this injunction in different ways depending on their preferred metasemantic account of the </w:t>
      </w:r>
      <w:r w:rsidRPr="00A22304">
        <w:rPr>
          <w:rFonts w:ascii="Garamond" w:hAnsi="Garamond"/>
          <w:i/>
          <w:iCs/>
        </w:rPr>
        <w:t>de se</w:t>
      </w:r>
      <w:r w:rsidRPr="00A22304">
        <w:rPr>
          <w:rFonts w:ascii="Garamond" w:hAnsi="Garamond"/>
        </w:rPr>
        <w:t xml:space="preserve"> – the view that introspective impressions play a role in fixing the reference of </w:t>
      </w:r>
      <w:r w:rsidRPr="00A22304">
        <w:rPr>
          <w:rFonts w:ascii="Garamond" w:hAnsi="Garamond"/>
          <w:i/>
          <w:iCs/>
        </w:rPr>
        <w:t xml:space="preserve">de se </w:t>
      </w:r>
      <w:r w:rsidRPr="00A22304">
        <w:rPr>
          <w:rFonts w:ascii="Garamond" w:hAnsi="Garamond"/>
        </w:rPr>
        <w:t>thoughts (Palmira (ms), García-</w:t>
      </w:r>
      <w:r w:rsidR="00397B1C">
        <w:rPr>
          <w:rFonts w:ascii="Garamond" w:hAnsi="Garamond"/>
        </w:rPr>
        <w:t>Carpintero</w:t>
      </w:r>
      <w:r w:rsidRPr="00A22304">
        <w:rPr>
          <w:rFonts w:ascii="Garamond" w:hAnsi="Garamond"/>
        </w:rPr>
        <w:t xml:space="preserve"> (2018)) or where those thoughts are otherwise fixed in the manner of perceptual demonstratives (Morgan 2015), will explain cases of </w:t>
      </w:r>
      <w:r w:rsidRPr="00A22304">
        <w:rPr>
          <w:rFonts w:ascii="Garamond" w:hAnsi="Garamond"/>
          <w:i/>
          <w:iCs/>
        </w:rPr>
        <w:t>de se</w:t>
      </w:r>
      <w:r w:rsidRPr="00A22304">
        <w:rPr>
          <w:rFonts w:ascii="Garamond" w:hAnsi="Garamond"/>
        </w:rPr>
        <w:t xml:space="preserve"> IEM differently from a view on which it is a version the token-reflexive reference rule that does the explanatory work (Peacocke 2012, 2014; Hu 2017)</w:t>
      </w:r>
      <w:r w:rsidRPr="00A22304">
        <w:rPr>
          <w:rStyle w:val="FootnoteReference"/>
          <w:rFonts w:ascii="Garamond" w:hAnsi="Garamond"/>
        </w:rPr>
        <w:footnoteReference w:id="26"/>
      </w:r>
      <w:r w:rsidRPr="00A22304">
        <w:rPr>
          <w:rFonts w:ascii="Garamond" w:hAnsi="Garamond"/>
        </w:rPr>
        <w:t xml:space="preserve">. It is not possible to survey all the options here. We will instead present one prominent version of the approach from Recanati (2007, 2009, 2012). </w:t>
      </w:r>
    </w:p>
    <w:p w14:paraId="3667A9EA" w14:textId="17526C54" w:rsidR="00267468" w:rsidRPr="00A22304" w:rsidRDefault="00267468" w:rsidP="00494ED5">
      <w:pPr>
        <w:spacing w:after="240" w:line="360" w:lineRule="auto"/>
        <w:jc w:val="both"/>
        <w:rPr>
          <w:rFonts w:ascii="Garamond" w:hAnsi="Garamond"/>
        </w:rPr>
      </w:pPr>
      <w:r w:rsidRPr="00A22304">
        <w:rPr>
          <w:rFonts w:ascii="Garamond" w:hAnsi="Garamond"/>
        </w:rPr>
        <w:t xml:space="preserve">Recanati posits a category he calls </w:t>
      </w:r>
      <w:r w:rsidRPr="00A22304">
        <w:rPr>
          <w:rFonts w:ascii="Garamond" w:hAnsi="Garamond"/>
          <w:i/>
          <w:iCs/>
        </w:rPr>
        <w:t>implicit</w:t>
      </w:r>
      <w:r w:rsidRPr="00A22304">
        <w:rPr>
          <w:rFonts w:ascii="Garamond" w:hAnsi="Garamond"/>
        </w:rPr>
        <w:t xml:space="preserve"> </w:t>
      </w:r>
      <w:r w:rsidRPr="00A22304">
        <w:rPr>
          <w:rFonts w:ascii="Garamond" w:hAnsi="Garamond"/>
          <w:i/>
          <w:iCs/>
        </w:rPr>
        <w:t>de se</w:t>
      </w:r>
      <w:r w:rsidRPr="00A22304">
        <w:rPr>
          <w:rFonts w:ascii="Garamond" w:hAnsi="Garamond"/>
        </w:rPr>
        <w:t xml:space="preserve"> thoughts, whose distinguishing feature is that although they systematically concern the thought’s thinker, that thinker is not represented</w:t>
      </w:r>
      <w:r w:rsidRPr="00A22304">
        <w:rPr>
          <w:rFonts w:ascii="Garamond" w:hAnsi="Garamond"/>
          <w:i/>
          <w:iCs/>
        </w:rPr>
        <w:t xml:space="preserve"> </w:t>
      </w:r>
      <w:r w:rsidRPr="00A22304">
        <w:rPr>
          <w:rFonts w:ascii="Garamond" w:hAnsi="Garamond"/>
        </w:rPr>
        <w:t xml:space="preserve">in the thought’s content. The thought’s content is </w:t>
      </w:r>
      <w:r w:rsidRPr="00A22304">
        <w:rPr>
          <w:rFonts w:ascii="Garamond" w:hAnsi="Garamond"/>
          <w:i/>
          <w:iCs/>
        </w:rPr>
        <w:t>thetic</w:t>
      </w:r>
      <w:r w:rsidRPr="00A22304">
        <w:rPr>
          <w:rFonts w:ascii="Garamond" w:hAnsi="Garamond"/>
        </w:rPr>
        <w:t xml:space="preserve"> (or gappy), and has a truth-value only when evaluated relative to a particular subject</w:t>
      </w:r>
      <w:r w:rsidR="00DD7E2D">
        <w:rPr>
          <w:rFonts w:ascii="Garamond" w:hAnsi="Garamond"/>
        </w:rPr>
        <w:t>.</w:t>
      </w:r>
      <w:r w:rsidR="00DD7E2D">
        <w:rPr>
          <w:rStyle w:val="FootnoteReference"/>
          <w:rFonts w:ascii="Garamond" w:hAnsi="Garamond"/>
        </w:rPr>
        <w:footnoteReference w:id="27"/>
      </w:r>
      <w:r w:rsidR="00DD7E2D">
        <w:rPr>
          <w:rFonts w:ascii="Garamond" w:hAnsi="Garamond"/>
        </w:rPr>
        <w:t xml:space="preserve"> </w:t>
      </w:r>
      <w:r w:rsidRPr="00A22304">
        <w:rPr>
          <w:rFonts w:ascii="Garamond" w:hAnsi="Garamond"/>
        </w:rPr>
        <w:t xml:space="preserve">When these thoughts are based directly on experience, the subject is delivered by the </w:t>
      </w:r>
      <w:r w:rsidRPr="00A22304">
        <w:rPr>
          <w:rFonts w:ascii="Garamond" w:hAnsi="Garamond"/>
          <w:i/>
          <w:iCs/>
        </w:rPr>
        <w:t>mode</w:t>
      </w:r>
      <w:r w:rsidRPr="00A22304">
        <w:rPr>
          <w:rFonts w:ascii="Garamond" w:hAnsi="Garamond"/>
        </w:rPr>
        <w:t xml:space="preserve"> of the experience (approximately, the type of experiential state) – not because the mode fills in a representation of the subject, but because it constrains who the subject must be. When I have the thought I would express as “My arms are outstretched” on the basis of proprioception, the content of my thought </w:t>
      </w:r>
      <w:r w:rsidR="0061708D">
        <w:rPr>
          <w:rFonts w:ascii="Garamond" w:hAnsi="Garamond"/>
        </w:rPr>
        <w:t xml:space="preserve">is </w:t>
      </w:r>
      <w:r w:rsidR="004B1B9C">
        <w:rPr>
          <w:rFonts w:ascii="Garamond" w:hAnsi="Garamond"/>
        </w:rPr>
        <w:t xml:space="preserve">something </w:t>
      </w:r>
      <w:r w:rsidRPr="00A22304">
        <w:rPr>
          <w:rFonts w:ascii="Garamond" w:hAnsi="Garamond"/>
        </w:rPr>
        <w:t xml:space="preserve">like the open sentence </w:t>
      </w:r>
      <w:r w:rsidRPr="00A22304">
        <w:rPr>
          <w:rFonts w:ascii="Garamond" w:hAnsi="Garamond"/>
          <w:i/>
          <w:iCs/>
        </w:rPr>
        <w:t>‘</w:t>
      </w:r>
      <w:r w:rsidRPr="00A22304">
        <w:rPr>
          <w:rFonts w:ascii="Garamond" w:hAnsi="Garamond"/>
        </w:rPr>
        <w:t>___</w:t>
      </w:r>
      <w:r w:rsidRPr="00A22304">
        <w:rPr>
          <w:rFonts w:ascii="Garamond" w:hAnsi="Garamond"/>
          <w:i/>
          <w:iCs/>
        </w:rPr>
        <w:t xml:space="preserve"> arms are outstretched’</w:t>
      </w:r>
      <w:r w:rsidRPr="00A22304">
        <w:rPr>
          <w:rFonts w:ascii="Garamond" w:hAnsi="Garamond"/>
        </w:rPr>
        <w:t xml:space="preserve">. The proprioceptive mode on which it is based, however, delivers </w:t>
      </w:r>
      <w:r w:rsidRPr="00A22304">
        <w:rPr>
          <w:rFonts w:ascii="Garamond" w:hAnsi="Garamond"/>
          <w:i/>
          <w:iCs/>
        </w:rPr>
        <w:t>me</w:t>
      </w:r>
      <w:r w:rsidRPr="00A22304">
        <w:rPr>
          <w:rFonts w:ascii="Garamond" w:hAnsi="Garamond"/>
        </w:rPr>
        <w:t xml:space="preserve"> as its relevant circumstance of evaluation, because proprioception can only ever deliver information about oneself. Now, according to Recanati such implicit thoughts based directly on experience will always be IEM. Why?</w:t>
      </w:r>
      <w:r w:rsidR="007758F1">
        <w:rPr>
          <w:rFonts w:ascii="Garamond" w:hAnsi="Garamond"/>
        </w:rPr>
        <w:t xml:space="preserve"> </w:t>
      </w:r>
      <w:r w:rsidR="00C50A25">
        <w:rPr>
          <w:rFonts w:ascii="Garamond" w:hAnsi="Garamond"/>
        </w:rPr>
        <w:t>Because g</w:t>
      </w:r>
      <w:r w:rsidRPr="00A22304">
        <w:rPr>
          <w:rFonts w:ascii="Garamond" w:hAnsi="Garamond"/>
        </w:rPr>
        <w:t xml:space="preserve">iven that I am not represented at all in either the content of the thought or experience on which it is based, the basic conditions for any error of </w:t>
      </w:r>
      <w:r w:rsidRPr="00A22304">
        <w:rPr>
          <w:rFonts w:ascii="Garamond" w:hAnsi="Garamond"/>
          <w:i/>
          <w:iCs/>
        </w:rPr>
        <w:t>mis</w:t>
      </w:r>
      <w:r w:rsidRPr="00A22304">
        <w:rPr>
          <w:rFonts w:ascii="Garamond" w:hAnsi="Garamond"/>
        </w:rPr>
        <w:t>identification (in either sense) are not met.</w:t>
      </w:r>
      <w:r w:rsidRPr="00A22304">
        <w:rPr>
          <w:rStyle w:val="FootnoteReference"/>
          <w:rFonts w:ascii="Garamond" w:hAnsi="Garamond"/>
        </w:rPr>
        <w:footnoteReference w:id="28"/>
      </w:r>
      <w:r w:rsidRPr="00A22304">
        <w:rPr>
          <w:rFonts w:ascii="Garamond" w:hAnsi="Garamond"/>
        </w:rPr>
        <w:t xml:space="preserve"> </w:t>
      </w:r>
    </w:p>
    <w:p w14:paraId="41EE4056" w14:textId="345F52D3" w:rsidR="00267468" w:rsidRPr="00A22304" w:rsidRDefault="00267468" w:rsidP="00494ED5">
      <w:pPr>
        <w:spacing w:after="240" w:line="360" w:lineRule="auto"/>
        <w:jc w:val="both"/>
        <w:rPr>
          <w:rFonts w:ascii="Garamond" w:hAnsi="Garamond"/>
        </w:rPr>
      </w:pPr>
      <w:r w:rsidRPr="00A22304">
        <w:rPr>
          <w:rFonts w:ascii="Garamond" w:hAnsi="Garamond"/>
        </w:rPr>
        <w:lastRenderedPageBreak/>
        <w:t xml:space="preserve">Since nothing in this style of account depends on specific claims about the thought’s grounds, it isn’t </w:t>
      </w:r>
      <w:r w:rsidRPr="00A22304">
        <w:rPr>
          <w:rFonts w:ascii="Garamond" w:hAnsi="Garamond"/>
          <w:i/>
        </w:rPr>
        <w:t>per se</w:t>
      </w:r>
      <w:r w:rsidRPr="00A22304">
        <w:rPr>
          <w:rFonts w:ascii="Garamond" w:hAnsi="Garamond"/>
        </w:rPr>
        <w:t xml:space="preserve"> committed to the claim that IEM is always explained by the absence of an identity-component in those grounds. As a result, metasemantic approaches seem better positioned</w:t>
      </w:r>
      <w:r w:rsidR="00550B0E">
        <w:rPr>
          <w:rFonts w:ascii="Garamond" w:hAnsi="Garamond"/>
        </w:rPr>
        <w:t xml:space="preserve"> </w:t>
      </w:r>
      <w:r w:rsidRPr="00A22304">
        <w:rPr>
          <w:rFonts w:ascii="Garamond" w:hAnsi="Garamond"/>
        </w:rPr>
        <w:t>to accommodate the notion of wh-IEM. This advantage is unlikely to impress opponents following Coliva, who anyway think that the</w:t>
      </w:r>
      <w:r w:rsidR="00550B0E">
        <w:rPr>
          <w:rFonts w:ascii="Garamond" w:hAnsi="Garamond"/>
        </w:rPr>
        <w:t xml:space="preserve"> idea of an independent</w:t>
      </w:r>
      <w:r w:rsidRPr="00A22304">
        <w:rPr>
          <w:rFonts w:ascii="Garamond" w:hAnsi="Garamond"/>
        </w:rPr>
        <w:t xml:space="preserve"> notion of wh-IEM is spurious.</w:t>
      </w:r>
      <w:r w:rsidRPr="00A22304">
        <w:rPr>
          <w:rStyle w:val="FootnoteReference"/>
          <w:rFonts w:ascii="Garamond" w:hAnsi="Garamond"/>
        </w:rPr>
        <w:footnoteReference w:id="29"/>
      </w:r>
      <w:r w:rsidRPr="00A22304">
        <w:rPr>
          <w:rFonts w:ascii="Garamond" w:hAnsi="Garamond"/>
        </w:rPr>
        <w:t xml:space="preserve"> Other objections that have been raised against versions of the metasemantic approach include the comparative complexity of the account, the worry that explanations at this level cannot account for the basis-relativity or non-universality of </w:t>
      </w:r>
      <w:r w:rsidRPr="00A22304">
        <w:rPr>
          <w:rFonts w:ascii="Garamond" w:hAnsi="Garamond"/>
          <w:i/>
          <w:iCs/>
        </w:rPr>
        <w:t xml:space="preserve">de se </w:t>
      </w:r>
      <w:r w:rsidRPr="00A22304">
        <w:rPr>
          <w:rFonts w:ascii="Garamond" w:hAnsi="Garamond"/>
        </w:rPr>
        <w:t xml:space="preserve">IEM, the fact that the appeal of any one of these accounts of IEM is hostage to the appeal of a specific metasemantic view of the </w:t>
      </w:r>
      <w:r w:rsidRPr="00A22304">
        <w:rPr>
          <w:rFonts w:ascii="Garamond" w:hAnsi="Garamond"/>
          <w:i/>
          <w:iCs/>
        </w:rPr>
        <w:t>de se</w:t>
      </w:r>
      <w:r w:rsidRPr="00A22304">
        <w:rPr>
          <w:rFonts w:ascii="Garamond" w:hAnsi="Garamond"/>
        </w:rPr>
        <w:t xml:space="preserve">, and suspicions about the scope on this approach for a unifying account of IEM beyond the case of the </w:t>
      </w:r>
      <w:r w:rsidRPr="00A22304">
        <w:rPr>
          <w:rFonts w:ascii="Garamond" w:hAnsi="Garamond"/>
          <w:i/>
          <w:iCs/>
        </w:rPr>
        <w:t>de se</w:t>
      </w:r>
      <w:r w:rsidRPr="00A22304">
        <w:rPr>
          <w:rFonts w:ascii="Garamond" w:hAnsi="Garamond"/>
        </w:rPr>
        <w:t>.</w:t>
      </w:r>
      <w:r w:rsidRPr="00A22304">
        <w:rPr>
          <w:rStyle w:val="FootnoteReference"/>
          <w:rFonts w:ascii="Garamond" w:hAnsi="Garamond"/>
        </w:rPr>
        <w:footnoteReference w:id="30"/>
      </w:r>
      <w:r w:rsidRPr="00A22304">
        <w:rPr>
          <w:rFonts w:ascii="Garamond" w:hAnsi="Garamond"/>
        </w:rPr>
        <w:t xml:space="preserve"> </w:t>
      </w:r>
    </w:p>
    <w:p w14:paraId="3D12E64D" w14:textId="4BD3BD45" w:rsidR="0061708D" w:rsidRPr="00A22304" w:rsidRDefault="00267468" w:rsidP="00494ED5">
      <w:pPr>
        <w:spacing w:after="240" w:line="360" w:lineRule="auto"/>
        <w:jc w:val="both"/>
        <w:rPr>
          <w:rFonts w:ascii="Garamond" w:hAnsi="Garamond"/>
        </w:rPr>
      </w:pPr>
      <w:r w:rsidRPr="00A22304">
        <w:rPr>
          <w:rFonts w:ascii="Garamond" w:hAnsi="Garamond"/>
        </w:rPr>
        <w:t xml:space="preserve">The two approaches to </w:t>
      </w:r>
      <w:r w:rsidRPr="00A22304">
        <w:rPr>
          <w:rFonts w:ascii="Garamond" w:hAnsi="Garamond"/>
          <w:i/>
          <w:iCs/>
        </w:rPr>
        <w:t xml:space="preserve">de se </w:t>
      </w:r>
      <w:r w:rsidRPr="00A22304">
        <w:rPr>
          <w:rFonts w:ascii="Garamond" w:hAnsi="Garamond"/>
        </w:rPr>
        <w:t xml:space="preserve">IEM explanation described in this section are pitched at a high level of abstraction. There has also been plenty of ground-level work in the last ten years about the extension of </w:t>
      </w:r>
      <w:r w:rsidRPr="00A22304">
        <w:rPr>
          <w:rFonts w:ascii="Garamond" w:hAnsi="Garamond"/>
          <w:i/>
          <w:iCs/>
        </w:rPr>
        <w:t xml:space="preserve">de se </w:t>
      </w:r>
      <w:r w:rsidRPr="00A22304">
        <w:rPr>
          <w:rFonts w:ascii="Garamond" w:hAnsi="Garamond"/>
        </w:rPr>
        <w:t>IEM</w:t>
      </w:r>
      <w:r w:rsidRPr="00A22304">
        <w:rPr>
          <w:rFonts w:ascii="Garamond" w:hAnsi="Garamond"/>
          <w:i/>
          <w:iCs/>
        </w:rPr>
        <w:t xml:space="preserve">. </w:t>
      </w:r>
      <w:r w:rsidR="003C0A0B">
        <w:rPr>
          <w:rFonts w:ascii="Garamond" w:hAnsi="Garamond"/>
        </w:rPr>
        <w:t>I</w:t>
      </w:r>
      <w:r w:rsidRPr="00A22304">
        <w:rPr>
          <w:rFonts w:ascii="Garamond" w:hAnsi="Garamond"/>
        </w:rPr>
        <w:t xml:space="preserve">t is striking that these first-order debates are similarly characterised by a lack of agreement: most (but not all) consider the IEM of introspective </w:t>
      </w:r>
      <w:r w:rsidRPr="00A22304">
        <w:rPr>
          <w:rFonts w:ascii="Garamond" w:hAnsi="Garamond"/>
          <w:i/>
          <w:iCs/>
        </w:rPr>
        <w:t>de se</w:t>
      </w:r>
      <w:r w:rsidRPr="00A22304">
        <w:rPr>
          <w:rFonts w:ascii="Garamond" w:hAnsi="Garamond"/>
        </w:rPr>
        <w:t xml:space="preserve"> judgments to be non-negotiable, but other candidates – </w:t>
      </w:r>
      <w:r w:rsidR="00821091">
        <w:rPr>
          <w:rFonts w:ascii="Garamond" w:hAnsi="Garamond"/>
        </w:rPr>
        <w:t xml:space="preserve">including </w:t>
      </w:r>
      <w:r w:rsidRPr="00A22304">
        <w:rPr>
          <w:rFonts w:ascii="Garamond" w:hAnsi="Garamond"/>
        </w:rPr>
        <w:t xml:space="preserve">bodily awareness, agentive, and memory </w:t>
      </w:r>
      <w:r w:rsidRPr="00A22304">
        <w:rPr>
          <w:rFonts w:ascii="Garamond" w:hAnsi="Garamond"/>
          <w:i/>
          <w:iCs/>
        </w:rPr>
        <w:t>de se</w:t>
      </w:r>
      <w:r w:rsidRPr="00A22304">
        <w:rPr>
          <w:rFonts w:ascii="Garamond" w:hAnsi="Garamond"/>
        </w:rPr>
        <w:t xml:space="preserve"> judgments – remain controversial.</w:t>
      </w:r>
      <w:r w:rsidRPr="00A22304">
        <w:rPr>
          <w:rStyle w:val="FootnoteReference"/>
          <w:rFonts w:ascii="Garamond" w:hAnsi="Garamond"/>
        </w:rPr>
        <w:footnoteReference w:id="31"/>
      </w:r>
      <w:r w:rsidRPr="00A22304">
        <w:rPr>
          <w:rFonts w:ascii="Garamond" w:hAnsi="Garamond"/>
        </w:rPr>
        <w:t xml:space="preserve"> </w:t>
      </w:r>
    </w:p>
    <w:p w14:paraId="329DCD7B" w14:textId="726EAB37" w:rsidR="002F5B49" w:rsidRPr="00267468" w:rsidRDefault="00520058" w:rsidP="00494ED5">
      <w:pPr>
        <w:spacing w:after="240" w:line="360" w:lineRule="auto"/>
        <w:jc w:val="both"/>
        <w:rPr>
          <w:rFonts w:ascii="Garamond" w:hAnsi="Garamond"/>
        </w:rPr>
      </w:pPr>
      <w:r>
        <w:rPr>
          <w:rFonts w:ascii="Garamond" w:hAnsi="Garamond"/>
        </w:rPr>
        <w:t>Indeed, t</w:t>
      </w:r>
      <w:r w:rsidR="00267468" w:rsidRPr="00A22304">
        <w:rPr>
          <w:rFonts w:ascii="Garamond" w:hAnsi="Garamond"/>
        </w:rPr>
        <w:t>h</w:t>
      </w:r>
      <w:r w:rsidR="0061708D">
        <w:rPr>
          <w:rFonts w:ascii="Garamond" w:hAnsi="Garamond"/>
        </w:rPr>
        <w:t xml:space="preserve">e absence of fixed points in the debate about </w:t>
      </w:r>
      <w:r w:rsidR="0061708D">
        <w:rPr>
          <w:rFonts w:ascii="Garamond" w:hAnsi="Garamond"/>
          <w:i/>
          <w:iCs/>
        </w:rPr>
        <w:t xml:space="preserve">de se </w:t>
      </w:r>
      <w:r w:rsidR="0061708D">
        <w:rPr>
          <w:rFonts w:ascii="Garamond" w:hAnsi="Garamond"/>
        </w:rPr>
        <w:t xml:space="preserve">IEM </w:t>
      </w:r>
      <w:r w:rsidR="0061708D" w:rsidRPr="00A22304">
        <w:rPr>
          <w:rFonts w:ascii="Garamond" w:hAnsi="Garamond"/>
        </w:rPr>
        <w:t>might raise alarm bells for some.</w:t>
      </w:r>
      <w:r w:rsidR="0061708D" w:rsidRPr="00A22304">
        <w:rPr>
          <w:rStyle w:val="FootnoteReference"/>
          <w:rFonts w:ascii="Garamond" w:hAnsi="Garamond"/>
        </w:rPr>
        <w:footnoteReference w:id="32"/>
      </w:r>
      <w:r w:rsidR="0061708D">
        <w:rPr>
          <w:rFonts w:ascii="Garamond" w:hAnsi="Garamond"/>
        </w:rPr>
        <w:t xml:space="preserve"> </w:t>
      </w:r>
      <w:r w:rsidR="00904664">
        <w:rPr>
          <w:rFonts w:ascii="Garamond" w:hAnsi="Garamond"/>
        </w:rPr>
        <w:t>T</w:t>
      </w:r>
      <w:r w:rsidR="0061708D">
        <w:rPr>
          <w:rFonts w:ascii="Garamond" w:hAnsi="Garamond"/>
        </w:rPr>
        <w:t>here is disagreement</w:t>
      </w:r>
      <w:r w:rsidR="00904664">
        <w:rPr>
          <w:rFonts w:ascii="Garamond" w:hAnsi="Garamond"/>
        </w:rPr>
        <w:t xml:space="preserve"> </w:t>
      </w:r>
      <w:r w:rsidR="003C0A0B">
        <w:rPr>
          <w:rFonts w:ascii="Garamond" w:hAnsi="Garamond"/>
        </w:rPr>
        <w:t xml:space="preserve">in this literature </w:t>
      </w:r>
      <w:r w:rsidR="00904664">
        <w:rPr>
          <w:rFonts w:ascii="Garamond" w:hAnsi="Garamond"/>
        </w:rPr>
        <w:t>on, in summary</w:t>
      </w:r>
      <w:r w:rsidR="00CA739C">
        <w:rPr>
          <w:rFonts w:ascii="Garamond" w:hAnsi="Garamond"/>
        </w:rPr>
        <w:t>,</w:t>
      </w:r>
      <w:r w:rsidR="0061708D">
        <w:rPr>
          <w:rFonts w:ascii="Garamond" w:hAnsi="Garamond"/>
        </w:rPr>
        <w:t xml:space="preserve"> </w:t>
      </w:r>
      <w:r>
        <w:rPr>
          <w:rFonts w:ascii="Garamond" w:hAnsi="Garamond"/>
        </w:rPr>
        <w:t xml:space="preserve">all of </w:t>
      </w:r>
      <w:r w:rsidR="0061708D">
        <w:rPr>
          <w:rFonts w:ascii="Garamond" w:hAnsi="Garamond"/>
        </w:rPr>
        <w:t xml:space="preserve">the following: what the extension of </w:t>
      </w:r>
      <w:r w:rsidR="0061708D">
        <w:rPr>
          <w:rFonts w:ascii="Garamond" w:hAnsi="Garamond"/>
          <w:i/>
          <w:iCs/>
        </w:rPr>
        <w:t xml:space="preserve">de se </w:t>
      </w:r>
      <w:r w:rsidR="0061708D">
        <w:rPr>
          <w:rFonts w:ascii="Garamond" w:hAnsi="Garamond"/>
        </w:rPr>
        <w:t xml:space="preserve">IEM is; </w:t>
      </w:r>
      <w:r>
        <w:rPr>
          <w:rFonts w:ascii="Garamond" w:hAnsi="Garamond"/>
        </w:rPr>
        <w:t xml:space="preserve">what the best explanation of </w:t>
      </w:r>
      <w:r w:rsidR="00CA739C">
        <w:rPr>
          <w:rFonts w:ascii="Garamond" w:hAnsi="Garamond"/>
        </w:rPr>
        <w:t xml:space="preserve">it </w:t>
      </w:r>
      <w:r>
        <w:rPr>
          <w:rFonts w:ascii="Garamond" w:hAnsi="Garamond"/>
        </w:rPr>
        <w:t xml:space="preserve">is; whether </w:t>
      </w:r>
      <w:r w:rsidR="00CA739C">
        <w:rPr>
          <w:rFonts w:ascii="Garamond" w:hAnsi="Garamond"/>
        </w:rPr>
        <w:t xml:space="preserve">it </w:t>
      </w:r>
      <w:r>
        <w:rPr>
          <w:rFonts w:ascii="Garamond" w:hAnsi="Garamond"/>
        </w:rPr>
        <w:t>subdivides into importantly different sub-categories</w:t>
      </w:r>
      <w:r w:rsidR="00CA739C">
        <w:rPr>
          <w:rFonts w:ascii="Garamond" w:hAnsi="Garamond"/>
        </w:rPr>
        <w:t xml:space="preserve"> (and, if so, which these are)</w:t>
      </w:r>
      <w:r>
        <w:rPr>
          <w:rFonts w:ascii="Garamond" w:hAnsi="Garamond"/>
        </w:rPr>
        <w:t xml:space="preserve">; what significance </w:t>
      </w:r>
      <w:r w:rsidR="00CA739C">
        <w:rPr>
          <w:rFonts w:ascii="Garamond" w:hAnsi="Garamond"/>
        </w:rPr>
        <w:t xml:space="preserve">it has </w:t>
      </w:r>
      <w:r>
        <w:rPr>
          <w:rFonts w:ascii="Garamond" w:hAnsi="Garamond"/>
        </w:rPr>
        <w:t xml:space="preserve">for an understanding of </w:t>
      </w:r>
      <w:r>
        <w:rPr>
          <w:rFonts w:ascii="Garamond" w:hAnsi="Garamond"/>
          <w:i/>
          <w:iCs/>
        </w:rPr>
        <w:t xml:space="preserve">de se </w:t>
      </w:r>
      <w:r>
        <w:rPr>
          <w:rFonts w:ascii="Garamond" w:hAnsi="Garamond"/>
        </w:rPr>
        <w:t>thought</w:t>
      </w:r>
      <w:r w:rsidR="00645266">
        <w:rPr>
          <w:rFonts w:ascii="Garamond" w:hAnsi="Garamond"/>
        </w:rPr>
        <w:t xml:space="preserve">; </w:t>
      </w:r>
      <w:r w:rsidR="007D32D9">
        <w:rPr>
          <w:rFonts w:ascii="Garamond" w:hAnsi="Garamond"/>
        </w:rPr>
        <w:t xml:space="preserve">and </w:t>
      </w:r>
      <w:r w:rsidR="00645266">
        <w:rPr>
          <w:rFonts w:ascii="Garamond" w:hAnsi="Garamond"/>
        </w:rPr>
        <w:t>whether the phenomenon of IEM has similar interest in non</w:t>
      </w:r>
      <w:r w:rsidR="001751F8">
        <w:rPr>
          <w:rFonts w:ascii="Garamond" w:hAnsi="Garamond"/>
        </w:rPr>
        <w:t>-</w:t>
      </w:r>
      <w:r w:rsidR="00645266">
        <w:rPr>
          <w:rFonts w:ascii="Garamond" w:hAnsi="Garamond"/>
          <w:i/>
          <w:iCs/>
        </w:rPr>
        <w:t xml:space="preserve">de se </w:t>
      </w:r>
      <w:r w:rsidR="00645266">
        <w:rPr>
          <w:rFonts w:ascii="Garamond" w:hAnsi="Garamond"/>
        </w:rPr>
        <w:t xml:space="preserve">cases as in </w:t>
      </w:r>
      <w:r w:rsidR="00645266">
        <w:rPr>
          <w:rFonts w:ascii="Garamond" w:hAnsi="Garamond"/>
          <w:i/>
          <w:iCs/>
        </w:rPr>
        <w:t xml:space="preserve">de se </w:t>
      </w:r>
      <w:r w:rsidR="00645266">
        <w:rPr>
          <w:rFonts w:ascii="Garamond" w:hAnsi="Garamond"/>
        </w:rPr>
        <w:t>case</w:t>
      </w:r>
      <w:r w:rsidR="000552B5">
        <w:rPr>
          <w:rFonts w:ascii="Garamond" w:hAnsi="Garamond"/>
        </w:rPr>
        <w:t>s</w:t>
      </w:r>
      <w:r>
        <w:rPr>
          <w:rFonts w:ascii="Garamond" w:hAnsi="Garamond"/>
        </w:rPr>
        <w:t>.</w:t>
      </w:r>
      <w:r w:rsidR="005C7BE1">
        <w:rPr>
          <w:rFonts w:ascii="Garamond" w:hAnsi="Garamond"/>
        </w:rPr>
        <w:t xml:space="preserve"> What’s more, t</w:t>
      </w:r>
      <w:r>
        <w:rPr>
          <w:rFonts w:ascii="Garamond" w:hAnsi="Garamond"/>
        </w:rPr>
        <w:t xml:space="preserve">he discussion has been intricate </w:t>
      </w:r>
      <w:r w:rsidR="005C7BE1">
        <w:rPr>
          <w:rFonts w:ascii="Garamond" w:hAnsi="Garamond"/>
        </w:rPr>
        <w:t xml:space="preserve">and long-running </w:t>
      </w:r>
      <w:r>
        <w:rPr>
          <w:rFonts w:ascii="Garamond" w:hAnsi="Garamond"/>
        </w:rPr>
        <w:t xml:space="preserve">enough that </w:t>
      </w:r>
      <w:r w:rsidR="00CA739C">
        <w:rPr>
          <w:rFonts w:ascii="Garamond" w:hAnsi="Garamond"/>
        </w:rPr>
        <w:t>an author of a paper</w:t>
      </w:r>
      <w:r>
        <w:rPr>
          <w:rFonts w:ascii="Garamond" w:hAnsi="Garamond"/>
        </w:rPr>
        <w:t xml:space="preserve"> might easily</w:t>
      </w:r>
      <w:r w:rsidR="00904664">
        <w:rPr>
          <w:rFonts w:ascii="Garamond" w:hAnsi="Garamond"/>
        </w:rPr>
        <w:t>,</w:t>
      </w:r>
      <w:r>
        <w:rPr>
          <w:rFonts w:ascii="Garamond" w:hAnsi="Garamond"/>
        </w:rPr>
        <w:t xml:space="preserve"> </w:t>
      </w:r>
      <w:r w:rsidR="00904664">
        <w:rPr>
          <w:rFonts w:ascii="Garamond" w:hAnsi="Garamond"/>
        </w:rPr>
        <w:t xml:space="preserve">and quite reasonably, </w:t>
      </w:r>
      <w:r w:rsidR="009E3951" w:rsidRPr="00AF35C0">
        <w:rPr>
          <w:rFonts w:ascii="Garamond" w:hAnsi="Garamond"/>
        </w:rPr>
        <w:t xml:space="preserve">concentrate on a highly localised aspect of one of these </w:t>
      </w:r>
      <w:r w:rsidR="009E3951" w:rsidRPr="00AF35C0">
        <w:rPr>
          <w:rFonts w:ascii="Garamond" w:hAnsi="Garamond"/>
        </w:rPr>
        <w:lastRenderedPageBreak/>
        <w:t>questions</w:t>
      </w:r>
      <w:r w:rsidR="00904664" w:rsidRPr="009E3951">
        <w:rPr>
          <w:rFonts w:ascii="Garamond" w:hAnsi="Garamond"/>
        </w:rPr>
        <w:t xml:space="preserve">, </w:t>
      </w:r>
      <w:r w:rsidR="00904664">
        <w:rPr>
          <w:rFonts w:ascii="Garamond" w:hAnsi="Garamond"/>
        </w:rPr>
        <w:t xml:space="preserve">without engaging </w:t>
      </w:r>
      <w:r w:rsidR="006D2237">
        <w:rPr>
          <w:rFonts w:ascii="Garamond" w:hAnsi="Garamond"/>
        </w:rPr>
        <w:t xml:space="preserve">with </w:t>
      </w:r>
      <w:r w:rsidR="00904664">
        <w:rPr>
          <w:rFonts w:ascii="Garamond" w:hAnsi="Garamond"/>
        </w:rPr>
        <w:t xml:space="preserve">the </w:t>
      </w:r>
      <w:r w:rsidR="00CA739C">
        <w:rPr>
          <w:rFonts w:ascii="Garamond" w:hAnsi="Garamond"/>
        </w:rPr>
        <w:t xml:space="preserve">overall </w:t>
      </w:r>
      <w:r w:rsidR="00904664">
        <w:rPr>
          <w:rFonts w:ascii="Garamond" w:hAnsi="Garamond"/>
        </w:rPr>
        <w:t xml:space="preserve">question of why their doing so matters. This would </w:t>
      </w:r>
      <w:r w:rsidR="00CA739C">
        <w:rPr>
          <w:rFonts w:ascii="Garamond" w:hAnsi="Garamond"/>
        </w:rPr>
        <w:t xml:space="preserve">be </w:t>
      </w:r>
      <w:r w:rsidR="00904664">
        <w:rPr>
          <w:rFonts w:ascii="Garamond" w:hAnsi="Garamond"/>
        </w:rPr>
        <w:t>unproblematic in the context of a shared</w:t>
      </w:r>
      <w:r w:rsidR="00C7470F">
        <w:rPr>
          <w:rFonts w:ascii="Garamond" w:hAnsi="Garamond"/>
        </w:rPr>
        <w:t>, unvoiced</w:t>
      </w:r>
      <w:r w:rsidR="00904664">
        <w:rPr>
          <w:rFonts w:ascii="Garamond" w:hAnsi="Garamond"/>
        </w:rPr>
        <w:t xml:space="preserve"> understanding of what is up for grabs in the debate. But it isn’t obvious that such an understanding exists.</w:t>
      </w:r>
      <w:r>
        <w:rPr>
          <w:rFonts w:ascii="Garamond" w:hAnsi="Garamond"/>
        </w:rPr>
        <w:t xml:space="preserve"> </w:t>
      </w:r>
      <w:r w:rsidR="00BB58CE">
        <w:rPr>
          <w:rFonts w:ascii="Garamond" w:hAnsi="Garamond"/>
        </w:rPr>
        <w:t xml:space="preserve">What does this mean for the future of these debates? </w:t>
      </w:r>
      <w:r w:rsidR="00CA739C">
        <w:rPr>
          <w:rFonts w:ascii="Garamond" w:hAnsi="Garamond"/>
        </w:rPr>
        <w:t>As with post-Gettier attempts to rehabilitate the JTB account of knowledge</w:t>
      </w:r>
      <w:r w:rsidR="0055716C">
        <w:rPr>
          <w:rFonts w:ascii="Garamond" w:hAnsi="Garamond"/>
        </w:rPr>
        <w:t xml:space="preserve">, </w:t>
      </w:r>
      <w:r w:rsidR="00916DEE">
        <w:rPr>
          <w:rFonts w:ascii="Garamond" w:hAnsi="Garamond"/>
        </w:rPr>
        <w:t>which</w:t>
      </w:r>
      <w:r w:rsidR="0055716C">
        <w:rPr>
          <w:rFonts w:ascii="Garamond" w:hAnsi="Garamond"/>
        </w:rPr>
        <w:t xml:space="preserve"> eventually resulted in wholesale changes of approach to</w:t>
      </w:r>
      <w:r w:rsidR="00BB58CE">
        <w:rPr>
          <w:rFonts w:ascii="Garamond" w:hAnsi="Garamond"/>
        </w:rPr>
        <w:t xml:space="preserve"> the relevant subdiscipline</w:t>
      </w:r>
      <w:r w:rsidR="00CA739C">
        <w:rPr>
          <w:rFonts w:ascii="Garamond" w:hAnsi="Garamond"/>
        </w:rPr>
        <w:t xml:space="preserve">, there is the possibility that at a certain point </w:t>
      </w:r>
      <w:r w:rsidR="003C0A0B">
        <w:rPr>
          <w:rFonts w:ascii="Garamond" w:hAnsi="Garamond"/>
          <w:i/>
          <w:iCs/>
        </w:rPr>
        <w:t xml:space="preserve">de se </w:t>
      </w:r>
      <w:r w:rsidR="003C0A0B">
        <w:rPr>
          <w:rFonts w:ascii="Garamond" w:hAnsi="Garamond"/>
        </w:rPr>
        <w:t>theorists</w:t>
      </w:r>
      <w:r w:rsidR="00CA739C">
        <w:rPr>
          <w:rFonts w:ascii="Garamond" w:hAnsi="Garamond"/>
        </w:rPr>
        <w:t xml:space="preserve"> will just start playing a different game.</w:t>
      </w:r>
      <w:r w:rsidR="00C7470F">
        <w:rPr>
          <w:rFonts w:ascii="Garamond" w:hAnsi="Garamond"/>
        </w:rPr>
        <w:t xml:space="preserve"> </w:t>
      </w:r>
      <w:r w:rsidR="00904664">
        <w:rPr>
          <w:rFonts w:ascii="Garamond" w:hAnsi="Garamond"/>
        </w:rPr>
        <w:t xml:space="preserve">Perhaps the concept of IEM is a tool that initially appeared helpful in </w:t>
      </w:r>
      <w:r w:rsidR="00C7470F">
        <w:rPr>
          <w:rFonts w:ascii="Garamond" w:hAnsi="Garamond"/>
        </w:rPr>
        <w:t>understanding</w:t>
      </w:r>
      <w:r w:rsidR="00904664">
        <w:rPr>
          <w:rFonts w:ascii="Garamond" w:hAnsi="Garamond"/>
        </w:rPr>
        <w:t xml:space="preserve"> the </w:t>
      </w:r>
      <w:r w:rsidR="00904664">
        <w:rPr>
          <w:rFonts w:ascii="Garamond" w:hAnsi="Garamond"/>
          <w:i/>
          <w:iCs/>
        </w:rPr>
        <w:t>de se</w:t>
      </w:r>
      <w:r w:rsidR="00904664">
        <w:rPr>
          <w:rFonts w:ascii="Garamond" w:hAnsi="Garamond"/>
        </w:rPr>
        <w:t>, but turned out not to be</w:t>
      </w:r>
      <w:r w:rsidR="006A4C24">
        <w:rPr>
          <w:rFonts w:ascii="Garamond" w:hAnsi="Garamond"/>
        </w:rPr>
        <w:t>.</w:t>
      </w:r>
      <w:r w:rsidR="003C0A0B">
        <w:rPr>
          <w:rFonts w:ascii="Garamond" w:hAnsi="Garamond"/>
        </w:rPr>
        <w:t xml:space="preserve"> </w:t>
      </w:r>
      <w:r w:rsidR="006A4C24">
        <w:rPr>
          <w:rFonts w:ascii="Garamond" w:hAnsi="Garamond"/>
        </w:rPr>
        <w:t>This would</w:t>
      </w:r>
      <w:r w:rsidR="006F2BFF">
        <w:rPr>
          <w:rFonts w:ascii="Garamond" w:hAnsi="Garamond"/>
        </w:rPr>
        <w:t>,</w:t>
      </w:r>
      <w:r w:rsidR="006A4C24">
        <w:rPr>
          <w:rFonts w:ascii="Garamond" w:hAnsi="Garamond"/>
        </w:rPr>
        <w:t xml:space="preserve"> </w:t>
      </w:r>
      <w:r w:rsidR="003C0A0B">
        <w:rPr>
          <w:rFonts w:ascii="Garamond" w:hAnsi="Garamond"/>
        </w:rPr>
        <w:t>of course</w:t>
      </w:r>
      <w:r w:rsidR="006F2BFF">
        <w:rPr>
          <w:rFonts w:ascii="Garamond" w:hAnsi="Garamond"/>
        </w:rPr>
        <w:t>,</w:t>
      </w:r>
      <w:r w:rsidR="003C0A0B">
        <w:rPr>
          <w:rFonts w:ascii="Garamond" w:hAnsi="Garamond"/>
        </w:rPr>
        <w:t xml:space="preserve"> </w:t>
      </w:r>
      <w:r w:rsidR="006A4C24">
        <w:rPr>
          <w:rFonts w:ascii="Garamond" w:hAnsi="Garamond"/>
        </w:rPr>
        <w:t xml:space="preserve">be </w:t>
      </w:r>
      <w:r w:rsidR="003C0A0B">
        <w:rPr>
          <w:rFonts w:ascii="Garamond" w:hAnsi="Garamond"/>
        </w:rPr>
        <w:t>compatible with think</w:t>
      </w:r>
      <w:r w:rsidR="006A4C24">
        <w:rPr>
          <w:rFonts w:ascii="Garamond" w:hAnsi="Garamond"/>
        </w:rPr>
        <w:t>ing</w:t>
      </w:r>
      <w:r w:rsidR="003C0A0B">
        <w:rPr>
          <w:rFonts w:ascii="Garamond" w:hAnsi="Garamond"/>
        </w:rPr>
        <w:t xml:space="preserve"> that many of the ostensibly IEM</w:t>
      </w:r>
      <w:r w:rsidR="006A4C24">
        <w:rPr>
          <w:rFonts w:ascii="Garamond" w:hAnsi="Garamond"/>
        </w:rPr>
        <w:t>-</w:t>
      </w:r>
      <w:r w:rsidR="003C0A0B">
        <w:rPr>
          <w:rFonts w:ascii="Garamond" w:hAnsi="Garamond"/>
        </w:rPr>
        <w:t xml:space="preserve">focused </w:t>
      </w:r>
      <w:r w:rsidR="004A74AB">
        <w:rPr>
          <w:rFonts w:ascii="Garamond" w:hAnsi="Garamond"/>
        </w:rPr>
        <w:t>papers contain</w:t>
      </w:r>
      <w:r w:rsidR="006A4C24">
        <w:rPr>
          <w:rFonts w:ascii="Garamond" w:hAnsi="Garamond"/>
        </w:rPr>
        <w:t xml:space="preserve"> important</w:t>
      </w:r>
      <w:r w:rsidR="004A74AB">
        <w:rPr>
          <w:rFonts w:ascii="Garamond" w:hAnsi="Garamond"/>
        </w:rPr>
        <w:t xml:space="preserve"> insights – for example, about the nature of various bodily illusion</w:t>
      </w:r>
      <w:r w:rsidR="006F2BFF">
        <w:rPr>
          <w:rFonts w:ascii="Garamond" w:hAnsi="Garamond"/>
        </w:rPr>
        <w:t xml:space="preserve">s, or the notion of </w:t>
      </w:r>
      <w:r w:rsidR="004A74AB">
        <w:rPr>
          <w:rFonts w:ascii="Garamond" w:hAnsi="Garamond"/>
        </w:rPr>
        <w:t>though</w:t>
      </w:r>
      <w:r w:rsidR="00C60421">
        <w:rPr>
          <w:rFonts w:ascii="Garamond" w:hAnsi="Garamond"/>
        </w:rPr>
        <w:t>t</w:t>
      </w:r>
      <w:r w:rsidR="004A74AB">
        <w:rPr>
          <w:rFonts w:ascii="Garamond" w:hAnsi="Garamond"/>
        </w:rPr>
        <w:t>-authorship – that are achieved</w:t>
      </w:r>
      <w:r w:rsidR="006F2BFF">
        <w:rPr>
          <w:rFonts w:ascii="Garamond" w:hAnsi="Garamond"/>
        </w:rPr>
        <w:t>,</w:t>
      </w:r>
      <w:r w:rsidR="004A74AB">
        <w:rPr>
          <w:rFonts w:ascii="Garamond" w:hAnsi="Garamond"/>
        </w:rPr>
        <w:t xml:space="preserve"> as it were</w:t>
      </w:r>
      <w:r w:rsidR="006F2BFF">
        <w:rPr>
          <w:rFonts w:ascii="Garamond" w:hAnsi="Garamond"/>
        </w:rPr>
        <w:t>,</w:t>
      </w:r>
      <w:r w:rsidR="004A74AB">
        <w:rPr>
          <w:rFonts w:ascii="Garamond" w:hAnsi="Garamond"/>
        </w:rPr>
        <w:t xml:space="preserve"> on the way to a claim about IEM</w:t>
      </w:r>
      <w:r w:rsidR="00904664">
        <w:rPr>
          <w:rFonts w:ascii="Garamond" w:hAnsi="Garamond"/>
        </w:rPr>
        <w:t xml:space="preserve">. An opposing view would be that it is simply a datum that certain </w:t>
      </w:r>
      <w:r w:rsidR="00904664">
        <w:rPr>
          <w:rFonts w:ascii="Garamond" w:hAnsi="Garamond"/>
          <w:i/>
          <w:iCs/>
        </w:rPr>
        <w:t xml:space="preserve">de se </w:t>
      </w:r>
      <w:r w:rsidR="00904664">
        <w:rPr>
          <w:rFonts w:ascii="Garamond" w:hAnsi="Garamond"/>
        </w:rPr>
        <w:t xml:space="preserve">judgments </w:t>
      </w:r>
      <w:r w:rsidR="00CA739C">
        <w:rPr>
          <w:rFonts w:ascii="Garamond" w:hAnsi="Garamond"/>
        </w:rPr>
        <w:t xml:space="preserve">are IEM </w:t>
      </w:r>
      <w:r w:rsidR="00904664">
        <w:rPr>
          <w:rFonts w:ascii="Garamond" w:hAnsi="Garamond"/>
        </w:rPr>
        <w:t>– however unclear it is exactly which</w:t>
      </w:r>
      <w:r w:rsidR="006F2BFF">
        <w:rPr>
          <w:rFonts w:ascii="Garamond" w:hAnsi="Garamond"/>
        </w:rPr>
        <w:t xml:space="preserve"> the</w:t>
      </w:r>
      <w:r w:rsidR="00916DEE">
        <w:rPr>
          <w:rFonts w:ascii="Garamond" w:hAnsi="Garamond"/>
        </w:rPr>
        <w:t>se</w:t>
      </w:r>
      <w:r w:rsidR="006F2BFF">
        <w:rPr>
          <w:rFonts w:ascii="Garamond" w:hAnsi="Garamond"/>
        </w:rPr>
        <w:t xml:space="preserve"> </w:t>
      </w:r>
      <w:r w:rsidR="00904664">
        <w:rPr>
          <w:rFonts w:ascii="Garamond" w:hAnsi="Garamond"/>
        </w:rPr>
        <w:t xml:space="preserve">are, </w:t>
      </w:r>
      <w:r w:rsidR="006F2BFF">
        <w:rPr>
          <w:rFonts w:ascii="Garamond" w:hAnsi="Garamond"/>
        </w:rPr>
        <w:t>or</w:t>
      </w:r>
      <w:r w:rsidR="00904664">
        <w:rPr>
          <w:rFonts w:ascii="Garamond" w:hAnsi="Garamond"/>
        </w:rPr>
        <w:t xml:space="preserve"> how best to define the phenomenon</w:t>
      </w:r>
      <w:r w:rsidR="00C7470F">
        <w:rPr>
          <w:rFonts w:ascii="Garamond" w:hAnsi="Garamond"/>
        </w:rPr>
        <w:t xml:space="preserve"> in general terms </w:t>
      </w:r>
      <w:r w:rsidR="00904664">
        <w:rPr>
          <w:rFonts w:ascii="Garamond" w:hAnsi="Garamond"/>
        </w:rPr>
        <w:t xml:space="preserve">– and </w:t>
      </w:r>
      <w:r w:rsidR="00CA739C">
        <w:rPr>
          <w:rFonts w:ascii="Garamond" w:hAnsi="Garamond"/>
        </w:rPr>
        <w:t xml:space="preserve">eschewing the topic would just involve ignoring a question because it has proven hard to answer. </w:t>
      </w:r>
    </w:p>
    <w:p w14:paraId="7FAD486C" w14:textId="44897420" w:rsidR="00380C67" w:rsidRPr="00AF35C0" w:rsidRDefault="00932E23" w:rsidP="00494ED5">
      <w:pPr>
        <w:spacing w:after="240" w:line="360" w:lineRule="auto"/>
        <w:rPr>
          <w:rFonts w:ascii="Garamond" w:hAnsi="Garamond"/>
          <w:b/>
          <w:bCs/>
        </w:rPr>
      </w:pPr>
      <w:r w:rsidRPr="00AF35C0">
        <w:rPr>
          <w:rFonts w:ascii="Garamond" w:hAnsi="Garamond"/>
          <w:b/>
          <w:bCs/>
        </w:rPr>
        <w:t>4</w:t>
      </w:r>
      <w:r w:rsidR="00380C67" w:rsidRPr="00AF35C0">
        <w:rPr>
          <w:rFonts w:ascii="Garamond" w:hAnsi="Garamond"/>
          <w:b/>
          <w:bCs/>
        </w:rPr>
        <w:t>. Conclusion</w:t>
      </w:r>
    </w:p>
    <w:p w14:paraId="3C0A9574" w14:textId="748AAEB8" w:rsidR="00CA7EDC" w:rsidRDefault="00CA7EDC" w:rsidP="00CA7EDC">
      <w:pPr>
        <w:spacing w:after="240" w:line="360" w:lineRule="auto"/>
        <w:jc w:val="both"/>
        <w:rPr>
          <w:rFonts w:ascii="Garamond" w:hAnsi="Garamond"/>
        </w:rPr>
      </w:pPr>
      <w:r w:rsidRPr="00EA6CC3">
        <w:rPr>
          <w:rFonts w:ascii="Garamond" w:hAnsi="Garamond"/>
        </w:rPr>
        <w:t>None of the debates about</w:t>
      </w:r>
      <w:r>
        <w:rPr>
          <w:rFonts w:ascii="Garamond" w:hAnsi="Garamond"/>
        </w:rPr>
        <w:t xml:space="preserve"> the</w:t>
      </w:r>
      <w:r w:rsidRPr="00EA6CC3">
        <w:rPr>
          <w:rFonts w:ascii="Garamond" w:hAnsi="Garamond"/>
        </w:rPr>
        <w:t xml:space="preserve"> </w:t>
      </w:r>
      <w:r w:rsidRPr="00EA6CC3">
        <w:rPr>
          <w:rFonts w:ascii="Garamond" w:hAnsi="Garamond"/>
          <w:i/>
          <w:iCs/>
        </w:rPr>
        <w:t>de se</w:t>
      </w:r>
      <w:r>
        <w:rPr>
          <w:rFonts w:ascii="Garamond" w:hAnsi="Garamond"/>
          <w:i/>
          <w:iCs/>
        </w:rPr>
        <w:t xml:space="preserve"> </w:t>
      </w:r>
      <w:r>
        <w:rPr>
          <w:rFonts w:ascii="Garamond" w:hAnsi="Garamond"/>
        </w:rPr>
        <w:t>– about its significance, distinctive features, or even existence – show any sign of letting up. As a topic with a long history, the continuing vigour of these discussions are test</w:t>
      </w:r>
      <w:r w:rsidR="009F1A6E">
        <w:rPr>
          <w:rFonts w:ascii="Garamond" w:hAnsi="Garamond"/>
        </w:rPr>
        <w:t>a</w:t>
      </w:r>
      <w:r>
        <w:rPr>
          <w:rFonts w:ascii="Garamond" w:hAnsi="Garamond"/>
        </w:rPr>
        <w:t xml:space="preserve">ment to the tenacity and depth of the philosophical puzzles that give rise to them. While there is a widely shared instinct that there is something special about the </w:t>
      </w:r>
      <w:r>
        <w:rPr>
          <w:rFonts w:ascii="Garamond" w:hAnsi="Garamond"/>
          <w:i/>
          <w:iCs/>
        </w:rPr>
        <w:t xml:space="preserve">de se </w:t>
      </w:r>
      <w:r>
        <w:rPr>
          <w:rFonts w:ascii="Garamond" w:hAnsi="Garamond"/>
        </w:rPr>
        <w:t xml:space="preserve">that is illustrated by </w:t>
      </w:r>
      <w:r>
        <w:rPr>
          <w:rFonts w:ascii="Garamond" w:hAnsi="Garamond"/>
          <w:i/>
          <w:iCs/>
        </w:rPr>
        <w:t xml:space="preserve">de se </w:t>
      </w:r>
      <w:r>
        <w:rPr>
          <w:rFonts w:ascii="Garamond" w:hAnsi="Garamond"/>
        </w:rPr>
        <w:t xml:space="preserve">cases, it has proven surprisingly difficult to distil that significance into a single, simple point. And while there is a persistent sense that </w:t>
      </w:r>
      <w:r>
        <w:rPr>
          <w:rFonts w:ascii="Garamond" w:hAnsi="Garamond"/>
          <w:i/>
          <w:iCs/>
        </w:rPr>
        <w:t>de se</w:t>
      </w:r>
      <w:r>
        <w:rPr>
          <w:rFonts w:ascii="Garamond" w:hAnsi="Garamond"/>
        </w:rPr>
        <w:t xml:space="preserve"> IEM tracks something of real importance, decades of sustained effort haven’t yet given us a clear shared idea of what that is. What is clear, however, is that there is a rich seam of philosophical material in this area that ramifies across mind, language, morality, theory of action, metaphysics of the self – indeed arguably across all areas of human-centred philosophy.</w:t>
      </w:r>
      <w:r w:rsidR="00D34F39">
        <w:rPr>
          <w:rStyle w:val="FootnoteReference"/>
          <w:rFonts w:ascii="Garamond" w:hAnsi="Garamond"/>
        </w:rPr>
        <w:footnoteReference w:id="33"/>
      </w:r>
      <w:r>
        <w:rPr>
          <w:rFonts w:ascii="Garamond" w:hAnsi="Garamond"/>
        </w:rPr>
        <w:t xml:space="preserve"> </w:t>
      </w:r>
    </w:p>
    <w:p w14:paraId="188629D6" w14:textId="3CD18208" w:rsidR="003C0A0B" w:rsidRDefault="003C0A0B" w:rsidP="00494ED5">
      <w:pPr>
        <w:spacing w:after="240" w:line="360" w:lineRule="auto"/>
        <w:jc w:val="both"/>
        <w:rPr>
          <w:rFonts w:ascii="Garamond" w:hAnsi="Garamond"/>
        </w:rPr>
      </w:pPr>
    </w:p>
    <w:p w14:paraId="0D7E9337" w14:textId="2CDFC5FA" w:rsidR="00436D74" w:rsidRDefault="006F02E6" w:rsidP="00E1069A">
      <w:r>
        <w:rPr>
          <w:rFonts w:ascii="Garamond" w:hAnsi="Garamond"/>
          <w:b/>
          <w:bCs/>
        </w:rPr>
        <w:br w:type="page"/>
      </w:r>
    </w:p>
    <w:p w14:paraId="7527CD23" w14:textId="316C9012" w:rsidR="00436D74" w:rsidRDefault="00005F09" w:rsidP="00494ED5">
      <w:pPr>
        <w:spacing w:after="240" w:line="360" w:lineRule="auto"/>
        <w:jc w:val="both"/>
        <w:rPr>
          <w:rFonts w:ascii="Garamond" w:hAnsi="Garamond"/>
          <w:b/>
          <w:bCs/>
        </w:rPr>
      </w:pPr>
      <w:r w:rsidRPr="006F02E6">
        <w:rPr>
          <w:rFonts w:ascii="Garamond" w:hAnsi="Garamond"/>
          <w:b/>
          <w:bCs/>
        </w:rPr>
        <w:lastRenderedPageBreak/>
        <w:t>References</w:t>
      </w:r>
    </w:p>
    <w:p w14:paraId="415B9587" w14:textId="4DFAB7D3" w:rsidR="00EA6CC3" w:rsidRDefault="00EA6CC3" w:rsidP="00494ED5">
      <w:pPr>
        <w:pStyle w:val="NormalWeb"/>
        <w:spacing w:line="360" w:lineRule="auto"/>
        <w:rPr>
          <w:rFonts w:ascii="Garamond" w:hAnsi="Garamond"/>
        </w:rPr>
      </w:pPr>
      <w:r w:rsidRPr="00195FCC">
        <w:rPr>
          <w:rFonts w:ascii="Garamond" w:hAnsi="Garamond"/>
        </w:rPr>
        <w:t xml:space="preserve">Babb, M (2016) ‘The Essential Indexicality of Intentional Action’ </w:t>
      </w:r>
      <w:r w:rsidRPr="00195FCC">
        <w:rPr>
          <w:rFonts w:ascii="Garamond" w:hAnsi="Garamond"/>
          <w:i/>
          <w:iCs/>
        </w:rPr>
        <w:t>The Philosophical Quarterly</w:t>
      </w:r>
      <w:r w:rsidRPr="00195FCC">
        <w:rPr>
          <w:rFonts w:ascii="Garamond" w:hAnsi="Garamond"/>
        </w:rPr>
        <w:t xml:space="preserve">. Vol 66 no 264 439-457. </w:t>
      </w:r>
    </w:p>
    <w:p w14:paraId="71032F52"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Bermúdez, J.L. (2012), ‘Memory judgments and immunity to error through misidentification’, </w:t>
      </w:r>
      <w:r w:rsidRPr="00494ED5">
        <w:rPr>
          <w:rFonts w:ascii="Garamond" w:hAnsi="Garamond" w:cstheme="minorHAnsi"/>
          <w:i/>
          <w:iCs/>
          <w:color w:val="000000" w:themeColor="text1"/>
        </w:rPr>
        <w:t>Graxer Philosophische Studien</w:t>
      </w:r>
      <w:r w:rsidRPr="00494ED5">
        <w:rPr>
          <w:rFonts w:ascii="Garamond" w:hAnsi="Garamond" w:cstheme="minorHAnsi"/>
          <w:color w:val="000000" w:themeColor="text1"/>
        </w:rPr>
        <w:t>, 84:1</w:t>
      </w:r>
    </w:p>
    <w:p w14:paraId="266AF9F0" w14:textId="4B709FD5" w:rsidR="000B0B92"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Bermúdez, J.L. (2013), ‘Immunity to error through misidentification and past-tense memory judgments’, </w:t>
      </w:r>
      <w:r w:rsidRPr="00494ED5">
        <w:rPr>
          <w:rFonts w:ascii="Garamond" w:hAnsi="Garamond" w:cstheme="minorHAnsi"/>
          <w:i/>
          <w:iCs/>
          <w:color w:val="000000" w:themeColor="text1"/>
        </w:rPr>
        <w:t>Analysis</w:t>
      </w:r>
      <w:r w:rsidRPr="00494ED5">
        <w:rPr>
          <w:rFonts w:ascii="Garamond" w:hAnsi="Garamond" w:cstheme="minorHAnsi"/>
          <w:color w:val="000000" w:themeColor="text1"/>
        </w:rPr>
        <w:t>, 73:2</w:t>
      </w:r>
    </w:p>
    <w:p w14:paraId="3AB09B7A" w14:textId="5383B27E" w:rsidR="00AE1870" w:rsidRPr="00AE1870" w:rsidRDefault="00AE1870" w:rsidP="000B0B92">
      <w:pPr>
        <w:tabs>
          <w:tab w:val="left" w:pos="1848"/>
        </w:tabs>
        <w:spacing w:after="240" w:line="360" w:lineRule="auto"/>
        <w:jc w:val="both"/>
        <w:rPr>
          <w:rFonts w:ascii="Garamond" w:hAnsi="Garamond" w:cstheme="minorHAnsi"/>
          <w:color w:val="000000" w:themeColor="text1"/>
        </w:rPr>
      </w:pPr>
      <w:r w:rsidRPr="00195FCC">
        <w:rPr>
          <w:rFonts w:ascii="Garamond" w:hAnsi="Garamond"/>
        </w:rPr>
        <w:t>Bermúdez, José Luis</w:t>
      </w:r>
      <w:r>
        <w:rPr>
          <w:rFonts w:ascii="Garamond" w:hAnsi="Garamond"/>
        </w:rPr>
        <w:t xml:space="preserve"> (2016), </w:t>
      </w:r>
      <w:r>
        <w:rPr>
          <w:rFonts w:ascii="Garamond" w:hAnsi="Garamond"/>
          <w:i/>
          <w:iCs/>
        </w:rPr>
        <w:t>Understanding ‘I’</w:t>
      </w:r>
      <w:r>
        <w:rPr>
          <w:rFonts w:ascii="Garamond" w:hAnsi="Garamond"/>
        </w:rPr>
        <w:t>, Oxford: OUP</w:t>
      </w:r>
    </w:p>
    <w:p w14:paraId="21A556F7" w14:textId="6838D9F2" w:rsidR="000B0B92" w:rsidRDefault="00EA6CC3" w:rsidP="00494ED5">
      <w:pPr>
        <w:pStyle w:val="NormalWeb"/>
        <w:spacing w:line="360" w:lineRule="auto"/>
        <w:rPr>
          <w:rFonts w:ascii="Garamond" w:hAnsi="Garamond"/>
        </w:rPr>
      </w:pPr>
      <w:r w:rsidRPr="00195FCC">
        <w:rPr>
          <w:rFonts w:ascii="Garamond" w:hAnsi="Garamond"/>
        </w:rPr>
        <w:t xml:space="preserve">Bermúdez, José Luis (2017) ‘Yes, indexicals really are essential’ </w:t>
      </w:r>
      <w:r w:rsidRPr="00195FCC">
        <w:rPr>
          <w:rFonts w:ascii="Garamond" w:hAnsi="Garamond"/>
          <w:i/>
          <w:iCs/>
        </w:rPr>
        <w:t xml:space="preserve">Analysis </w:t>
      </w:r>
      <w:r w:rsidRPr="00195FCC">
        <w:rPr>
          <w:rFonts w:ascii="Garamond" w:hAnsi="Garamond"/>
        </w:rPr>
        <w:t xml:space="preserve">77 (4): 690-694 </w:t>
      </w:r>
      <w:r w:rsidR="00BC65B1" w:rsidRPr="00195FCC">
        <w:rPr>
          <w:rFonts w:ascii="Garamond" w:hAnsi="Garamond"/>
        </w:rPr>
        <w:br/>
        <w:t>Bermudez, J.L. 2017. Understanding ‘‘I’’: Language and Thought. Oxford: Oxford University Press.</w:t>
      </w:r>
    </w:p>
    <w:p w14:paraId="3528DC1D" w14:textId="680E0F73" w:rsidR="00EA6CC3" w:rsidRDefault="00EA6CC3" w:rsidP="00494ED5">
      <w:pPr>
        <w:pStyle w:val="NormalWeb"/>
        <w:spacing w:line="360" w:lineRule="auto"/>
        <w:rPr>
          <w:rFonts w:ascii="Garamond" w:hAnsi="Garamond"/>
        </w:rPr>
      </w:pPr>
      <w:r w:rsidRPr="00195FCC">
        <w:rPr>
          <w:rFonts w:ascii="Garamond" w:hAnsi="Garamond"/>
        </w:rPr>
        <w:t xml:space="preserve">Boer, S., and Lycan, W.G. (1980), ‘Who me?’, </w:t>
      </w:r>
      <w:r w:rsidRPr="00195FCC">
        <w:rPr>
          <w:rFonts w:ascii="Garamond" w:hAnsi="Garamond"/>
          <w:i/>
          <w:iCs/>
        </w:rPr>
        <w:t xml:space="preserve">Philosophical Review </w:t>
      </w:r>
      <w:r w:rsidRPr="00195FCC">
        <w:rPr>
          <w:rFonts w:ascii="Garamond" w:hAnsi="Garamond"/>
        </w:rPr>
        <w:t>89: 130–157.</w:t>
      </w:r>
      <w:r w:rsidR="00BC65B1" w:rsidRPr="00195FCC">
        <w:rPr>
          <w:rFonts w:ascii="Garamond" w:hAnsi="Garamond"/>
        </w:rPr>
        <w:br/>
        <w:t xml:space="preserve">Cappelen, H. and J. Dever. 2013. The Inessential Indexical: On the Philosophical Insignificance of Perspective and the First Person. Oxford: Oxford University Press. </w:t>
      </w:r>
    </w:p>
    <w:p w14:paraId="3A82B35F" w14:textId="20939962" w:rsidR="00D942D9" w:rsidRDefault="00D942D9" w:rsidP="00494ED5">
      <w:pPr>
        <w:pStyle w:val="NormalWeb"/>
        <w:spacing w:line="360" w:lineRule="auto"/>
        <w:rPr>
          <w:rFonts w:ascii="Garamond" w:hAnsi="Garamond"/>
        </w:rPr>
      </w:pPr>
      <w:r w:rsidRPr="00D942D9">
        <w:rPr>
          <w:rFonts w:ascii="Garamond" w:hAnsi="Garamond"/>
        </w:rPr>
        <w:t>Herman Cappelen &amp; Josh Dever (2017) Empathy and transformative experience without the first person point of view (a reply to L. A. Paul), Inquiry, 60:3, 315-336</w:t>
      </w:r>
    </w:p>
    <w:p w14:paraId="63856A8C" w14:textId="387B49AF" w:rsidR="00A44876" w:rsidRDefault="00C7470F" w:rsidP="00494ED5">
      <w:pPr>
        <w:pStyle w:val="NormalWeb"/>
        <w:spacing w:line="360" w:lineRule="auto"/>
        <w:rPr>
          <w:rFonts w:ascii="Garamond" w:hAnsi="Garamond"/>
        </w:rPr>
      </w:pPr>
      <w:r>
        <w:rPr>
          <w:rFonts w:ascii="Garamond" w:hAnsi="Garamond"/>
        </w:rPr>
        <w:t>Campbell, John</w:t>
      </w:r>
      <w:r w:rsidR="00D726A9">
        <w:rPr>
          <w:rFonts w:ascii="Garamond" w:hAnsi="Garamond"/>
        </w:rPr>
        <w:t xml:space="preserve"> (2012a)</w:t>
      </w:r>
      <w:r>
        <w:rPr>
          <w:rFonts w:ascii="Garamond" w:hAnsi="Garamond"/>
        </w:rPr>
        <w:t xml:space="preserve">. ‘Lichtenberg and the Cogito’, </w:t>
      </w:r>
      <w:r>
        <w:rPr>
          <w:rFonts w:ascii="Garamond" w:hAnsi="Garamond"/>
          <w:i/>
          <w:iCs/>
        </w:rPr>
        <w:t xml:space="preserve">Proceedings of the Aristotelian Society </w:t>
      </w:r>
      <w:r w:rsidRPr="00C7470F">
        <w:rPr>
          <w:rFonts w:ascii="Garamond" w:hAnsi="Garamond"/>
        </w:rPr>
        <w:t>Vol. 112, pp. 361-378.</w:t>
      </w:r>
    </w:p>
    <w:p w14:paraId="1ABF7A3E" w14:textId="37FA1146" w:rsidR="000B0B92" w:rsidRPr="00494ED5"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hAnsi="Garamond" w:cstheme="minorHAnsi"/>
          <w:color w:val="000000" w:themeColor="text1"/>
        </w:rPr>
        <w:t>Campbell, John (2012</w:t>
      </w:r>
      <w:r w:rsidR="00C7470F">
        <w:rPr>
          <w:rFonts w:ascii="Garamond" w:hAnsi="Garamond" w:cstheme="minorHAnsi"/>
          <w:color w:val="000000" w:themeColor="text1"/>
        </w:rPr>
        <w:t>b</w:t>
      </w:r>
      <w:r w:rsidRPr="00494ED5">
        <w:rPr>
          <w:rFonts w:ascii="Garamond" w:hAnsi="Garamond" w:cstheme="minorHAnsi"/>
          <w:color w:val="000000" w:themeColor="text1"/>
        </w:rPr>
        <w:t xml:space="preserve">), ‘On the thesis that ‘I’ is not a referring term’, </w:t>
      </w:r>
      <w:r w:rsidRPr="00494ED5">
        <w:rPr>
          <w:rFonts w:ascii="Garamond" w:eastAsia="Times New Roman" w:hAnsi="Garamond" w:cstheme="minorHAnsi"/>
          <w:bCs/>
          <w:color w:val="000000" w:themeColor="text1"/>
          <w:lang w:eastAsia="en-GB"/>
        </w:rPr>
        <w:t>in 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Cambridge University Press.</w:t>
      </w:r>
    </w:p>
    <w:p w14:paraId="3EC156F8" w14:textId="77777777" w:rsidR="000B0B92" w:rsidRPr="00494ED5" w:rsidRDefault="000B0B92" w:rsidP="000B0B92">
      <w:pPr>
        <w:spacing w:after="240" w:line="360" w:lineRule="auto"/>
        <w:jc w:val="both"/>
        <w:rPr>
          <w:rFonts w:ascii="Garamond" w:eastAsia="Times New Roman" w:hAnsi="Garamond" w:cstheme="minorHAnsi"/>
          <w:color w:val="000000" w:themeColor="text1"/>
          <w:shd w:val="clear" w:color="auto" w:fill="FFFFFF"/>
          <w:lang w:eastAsia="en-GB"/>
        </w:rPr>
      </w:pPr>
      <w:r w:rsidRPr="00494ED5">
        <w:rPr>
          <w:rFonts w:ascii="Garamond" w:eastAsia="Times New Roman" w:hAnsi="Garamond" w:cstheme="minorHAnsi"/>
          <w:color w:val="000000" w:themeColor="text1"/>
          <w:shd w:val="clear" w:color="auto" w:fill="FFFFFF"/>
          <w:lang w:eastAsia="en-GB"/>
        </w:rPr>
        <w:t xml:space="preserve">Chen, Cheryl (2011), ‘Bodily awareness and immunity to error through misidentification’, </w:t>
      </w:r>
      <w:r w:rsidRPr="00494ED5">
        <w:rPr>
          <w:rFonts w:ascii="Garamond" w:eastAsia="Times New Roman" w:hAnsi="Garamond" w:cstheme="minorHAnsi"/>
          <w:i/>
          <w:iCs/>
          <w:color w:val="000000" w:themeColor="text1"/>
          <w:shd w:val="clear" w:color="auto" w:fill="FFFFFF"/>
          <w:lang w:eastAsia="en-GB"/>
        </w:rPr>
        <w:t>European Journal of Philosophy</w:t>
      </w:r>
      <w:r w:rsidRPr="00494ED5">
        <w:rPr>
          <w:rFonts w:ascii="Garamond" w:eastAsia="Times New Roman" w:hAnsi="Garamond" w:cstheme="minorHAnsi"/>
          <w:color w:val="000000" w:themeColor="text1"/>
          <w:shd w:val="clear" w:color="auto" w:fill="FFFFFF"/>
          <w:lang w:eastAsia="en-GB"/>
        </w:rPr>
        <w:t>, 19:1</w:t>
      </w:r>
    </w:p>
    <w:p w14:paraId="1A3235A6" w14:textId="77777777" w:rsidR="000B0B92" w:rsidRPr="00494ED5"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eastAsia="Times New Roman" w:hAnsi="Garamond" w:cstheme="minorHAnsi"/>
          <w:bCs/>
          <w:color w:val="000000" w:themeColor="text1"/>
          <w:lang w:eastAsia="en-GB"/>
        </w:rPr>
        <w:t xml:space="preserve">Coliva, Annalisa (2006), ‘Error through misidentification: some varieties’, </w:t>
      </w:r>
      <w:r w:rsidRPr="00494ED5">
        <w:rPr>
          <w:rFonts w:ascii="Garamond" w:eastAsia="Times New Roman" w:hAnsi="Garamond" w:cstheme="minorHAnsi"/>
          <w:bCs/>
          <w:i/>
          <w:iCs/>
          <w:color w:val="000000" w:themeColor="text1"/>
          <w:lang w:eastAsia="en-GB"/>
        </w:rPr>
        <w:t>Journal of Philosophy</w:t>
      </w:r>
      <w:r w:rsidRPr="00494ED5">
        <w:rPr>
          <w:rFonts w:ascii="Garamond" w:eastAsia="Times New Roman" w:hAnsi="Garamond" w:cstheme="minorHAnsi"/>
          <w:bCs/>
          <w:color w:val="000000" w:themeColor="text1"/>
          <w:lang w:eastAsia="en-GB"/>
        </w:rPr>
        <w:t>, 103:8</w:t>
      </w:r>
    </w:p>
    <w:p w14:paraId="10DBACE4" w14:textId="2C157DF0" w:rsidR="000B0B92" w:rsidRPr="000B0B92"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eastAsia="Times New Roman" w:hAnsi="Garamond" w:cstheme="minorHAnsi"/>
          <w:bCs/>
          <w:color w:val="000000" w:themeColor="text1"/>
          <w:lang w:eastAsia="en-GB"/>
        </w:rPr>
        <w:t xml:space="preserve">Coliva, Annalisa (2017), ‘Stopping points: ‘I’, immunity and the real guarantee’, </w:t>
      </w:r>
      <w:r w:rsidRPr="00494ED5">
        <w:rPr>
          <w:rFonts w:ascii="Garamond" w:eastAsia="Times New Roman" w:hAnsi="Garamond" w:cstheme="minorHAnsi"/>
          <w:bCs/>
          <w:i/>
          <w:iCs/>
          <w:color w:val="000000" w:themeColor="text1"/>
          <w:lang w:eastAsia="en-GB"/>
        </w:rPr>
        <w:t xml:space="preserve">Inquiry, </w:t>
      </w:r>
      <w:r w:rsidRPr="00494ED5">
        <w:rPr>
          <w:rFonts w:ascii="Garamond" w:eastAsia="Times New Roman" w:hAnsi="Garamond" w:cstheme="minorHAnsi"/>
          <w:bCs/>
          <w:color w:val="000000" w:themeColor="text1"/>
          <w:lang w:eastAsia="en-GB"/>
        </w:rPr>
        <w:t>60:3</w:t>
      </w:r>
    </w:p>
    <w:p w14:paraId="56847068" w14:textId="77777777" w:rsidR="000B0B92" w:rsidRPr="00494ED5" w:rsidRDefault="000B0B92" w:rsidP="000B0B92">
      <w:pPr>
        <w:spacing w:after="240" w:line="360" w:lineRule="auto"/>
        <w:jc w:val="both"/>
        <w:rPr>
          <w:rFonts w:ascii="Garamond" w:hAnsi="Garamond" w:cstheme="minorHAnsi"/>
          <w:bCs/>
          <w:color w:val="000000" w:themeColor="text1"/>
        </w:rPr>
      </w:pPr>
      <w:r w:rsidRPr="00494ED5">
        <w:rPr>
          <w:rFonts w:ascii="Garamond" w:hAnsi="Garamond" w:cstheme="minorHAnsi"/>
          <w:bCs/>
          <w:color w:val="000000" w:themeColor="text1"/>
        </w:rPr>
        <w:t xml:space="preserve">De Vignemont, Frédérique (2011), ‘A self for the body’, </w:t>
      </w:r>
      <w:r w:rsidRPr="00494ED5">
        <w:rPr>
          <w:rFonts w:ascii="Garamond" w:eastAsia="Times New Roman" w:hAnsi="Garamond" w:cstheme="minorHAnsi"/>
          <w:i/>
          <w:iCs/>
          <w:color w:val="000000" w:themeColor="text1"/>
          <w:shd w:val="clear" w:color="auto" w:fill="FFFFFF"/>
          <w:lang w:eastAsia="en-GB"/>
        </w:rPr>
        <w:t>Metaphilosophy</w:t>
      </w:r>
      <w:r w:rsidRPr="00494ED5">
        <w:rPr>
          <w:rFonts w:ascii="Garamond" w:eastAsia="Times New Roman" w:hAnsi="Garamond" w:cstheme="minorHAnsi"/>
          <w:color w:val="000000" w:themeColor="text1"/>
          <w:shd w:val="clear" w:color="auto" w:fill="FFFFFF"/>
          <w:lang w:eastAsia="en-GB"/>
        </w:rPr>
        <w:t> 42 (3):230-247.</w:t>
      </w:r>
    </w:p>
    <w:p w14:paraId="31D92DDC" w14:textId="7DD51151" w:rsidR="000B0B92"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hAnsi="Garamond" w:cstheme="minorHAnsi"/>
          <w:bCs/>
          <w:color w:val="000000" w:themeColor="text1"/>
        </w:rPr>
        <w:lastRenderedPageBreak/>
        <w:t xml:space="preserve">De Vignemont, Frédérique (2012), ‘Bodily Immunity to Error’, </w:t>
      </w:r>
      <w:r w:rsidRPr="00494ED5">
        <w:rPr>
          <w:rFonts w:ascii="Garamond" w:eastAsia="Times New Roman" w:hAnsi="Garamond" w:cstheme="minorHAnsi"/>
          <w:bCs/>
          <w:color w:val="000000" w:themeColor="text1"/>
          <w:lang w:eastAsia="en-GB"/>
        </w:rPr>
        <w:t>in 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Cambridge University Press.</w:t>
      </w:r>
    </w:p>
    <w:p w14:paraId="74450534" w14:textId="77777777" w:rsidR="000B0B92" w:rsidRDefault="000B0B92" w:rsidP="000B0B92">
      <w:pPr>
        <w:pStyle w:val="NormalWeb"/>
        <w:spacing w:line="360" w:lineRule="auto"/>
        <w:rPr>
          <w:rFonts w:ascii="Garamond" w:hAnsi="Garamond"/>
        </w:rPr>
      </w:pPr>
      <w:r w:rsidRPr="00195FCC">
        <w:rPr>
          <w:rFonts w:ascii="Garamond" w:hAnsi="Garamond"/>
        </w:rPr>
        <w:t xml:space="preserve">Devitt, M. (2013), ‘The myth of the problematic de se’, forthcoming in Alessandro Capone and Neil Feit (eds.), </w:t>
      </w:r>
      <w:r w:rsidRPr="00195FCC">
        <w:rPr>
          <w:rFonts w:ascii="Garamond" w:hAnsi="Garamond"/>
          <w:i/>
          <w:iCs/>
        </w:rPr>
        <w:t>Attitudes De se: Linguistics, Epistemology, Metaphysics</w:t>
      </w:r>
      <w:r w:rsidRPr="00195FCC">
        <w:rPr>
          <w:rFonts w:ascii="Garamond" w:hAnsi="Garamond"/>
        </w:rPr>
        <w:t>, CSLI.</w:t>
      </w:r>
    </w:p>
    <w:p w14:paraId="72063C52" w14:textId="75DB8886" w:rsidR="000B0B92" w:rsidRDefault="000B0B92" w:rsidP="000B0B92">
      <w:pPr>
        <w:rPr>
          <w:rFonts w:ascii="Garamond" w:eastAsia="Times New Roman" w:hAnsi="Garamond" w:cs="Times New Roman"/>
        </w:rPr>
      </w:pPr>
      <w:r w:rsidRPr="00AB34BC">
        <w:rPr>
          <w:rFonts w:ascii="Garamond" w:eastAsia="Times New Roman" w:hAnsi="Garamond" w:cs="Times New Roman"/>
          <w:color w:val="0A0A0A"/>
          <w:shd w:val="clear" w:color="auto" w:fill="FFFFFF"/>
        </w:rPr>
        <w:t>James Doyle. </w:t>
      </w:r>
      <w:r w:rsidRPr="00AB34BC">
        <w:rPr>
          <w:rFonts w:ascii="Garamond" w:eastAsia="Times New Roman" w:hAnsi="Garamond" w:cs="Times New Roman"/>
          <w:i/>
          <w:iCs/>
          <w:color w:val="0A0A0A"/>
        </w:rPr>
        <w:t>No Morality, No Self: Anscombe’s Radical Skepticism</w:t>
      </w:r>
      <w:r w:rsidRPr="00AB34BC">
        <w:rPr>
          <w:rFonts w:ascii="Garamond" w:eastAsia="Times New Roman" w:hAnsi="Garamond" w:cs="Times New Roman"/>
          <w:color w:val="0A0A0A"/>
          <w:shd w:val="clear" w:color="auto" w:fill="FFFFFF"/>
        </w:rPr>
        <w:t>. Harvard: Harvard University Press, 2018</w:t>
      </w:r>
    </w:p>
    <w:p w14:paraId="021183EE" w14:textId="77777777" w:rsidR="000B0B92" w:rsidRPr="000B0B92" w:rsidRDefault="000B0B92" w:rsidP="000B0B92">
      <w:pPr>
        <w:rPr>
          <w:rFonts w:ascii="Garamond" w:eastAsia="Times New Roman" w:hAnsi="Garamond" w:cs="Times New Roman"/>
        </w:rPr>
      </w:pPr>
    </w:p>
    <w:p w14:paraId="73C10FDC" w14:textId="77777777" w:rsidR="000B0B92" w:rsidRPr="00494ED5"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eastAsia="Times New Roman" w:hAnsi="Garamond" w:cstheme="minorHAnsi"/>
          <w:bCs/>
          <w:color w:val="000000" w:themeColor="text1"/>
          <w:lang w:eastAsia="en-GB"/>
        </w:rPr>
        <w:t>Evans, G. (1982) The Varieties of Reference, McDowell, J. (ed.), Oxford: Oxford University Press</w:t>
      </w:r>
    </w:p>
    <w:p w14:paraId="3E67690B" w14:textId="53ECB91E" w:rsidR="000B0B92" w:rsidRPr="000B0B92"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Fernández, Jordi (2014), ‘Memory and immunity to error through misidentification’, </w:t>
      </w:r>
      <w:r w:rsidRPr="00494ED5">
        <w:rPr>
          <w:rFonts w:ascii="Garamond" w:hAnsi="Garamond" w:cstheme="minorHAnsi"/>
          <w:i/>
          <w:iCs/>
          <w:color w:val="000000" w:themeColor="text1"/>
        </w:rPr>
        <w:t>Review of Philosophy and Psychology</w:t>
      </w:r>
      <w:r w:rsidRPr="00494ED5">
        <w:rPr>
          <w:rFonts w:ascii="Garamond" w:hAnsi="Garamond" w:cstheme="minorHAnsi"/>
          <w:color w:val="000000" w:themeColor="text1"/>
        </w:rPr>
        <w:t>, 5:3</w:t>
      </w:r>
    </w:p>
    <w:p w14:paraId="2035A776" w14:textId="63231515" w:rsidR="000B0B92" w:rsidRPr="00494ED5" w:rsidRDefault="000B0B92" w:rsidP="000B0B92">
      <w:pPr>
        <w:pStyle w:val="NormalWeb"/>
        <w:rPr>
          <w:rFonts w:ascii="Garamond" w:hAnsi="Garamond"/>
        </w:rPr>
      </w:pPr>
      <w:r>
        <w:rPr>
          <w:rFonts w:ascii="Garamond" w:hAnsi="Garamond"/>
        </w:rPr>
        <w:t xml:space="preserve">García-Carpintero, M and Torre, S (eds.) (2016), </w:t>
      </w:r>
      <w:r>
        <w:rPr>
          <w:rFonts w:ascii="Garamond" w:hAnsi="Garamond"/>
          <w:i/>
          <w:iCs/>
        </w:rPr>
        <w:t>De Se Thought and Communication</w:t>
      </w:r>
      <w:r>
        <w:rPr>
          <w:rFonts w:ascii="Garamond" w:hAnsi="Garamond"/>
        </w:rPr>
        <w:t>, Oxford University Press.</w:t>
      </w:r>
    </w:p>
    <w:p w14:paraId="456612E3"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Gallagher, Shaun (2012), ‘First-person perspective and immunity to error through misidentification’, in </w:t>
      </w:r>
      <w:r w:rsidRPr="00494ED5">
        <w:rPr>
          <w:rFonts w:ascii="Garamond" w:hAnsi="Garamond" w:cstheme="minorHAnsi"/>
          <w:i/>
          <w:iCs/>
          <w:color w:val="000000" w:themeColor="text1"/>
        </w:rPr>
        <w:t>Consciousness and Subjectivity</w:t>
      </w:r>
      <w:r w:rsidRPr="00494ED5">
        <w:rPr>
          <w:rFonts w:ascii="Garamond" w:hAnsi="Garamond" w:cstheme="minorHAnsi"/>
          <w:color w:val="000000" w:themeColor="text1"/>
        </w:rPr>
        <w:t>, Miguens and Preyer (eds.), Ontos Verlag.</w:t>
      </w:r>
    </w:p>
    <w:p w14:paraId="77EF7111" w14:textId="7D939871" w:rsidR="000B0B92" w:rsidRPr="00494ED5" w:rsidRDefault="000B0B92" w:rsidP="000B0B92">
      <w:pPr>
        <w:spacing w:after="240" w:line="360" w:lineRule="auto"/>
        <w:jc w:val="both"/>
        <w:rPr>
          <w:rFonts w:ascii="Garamond" w:eastAsia="Times New Roman" w:hAnsi="Garamond" w:cstheme="minorHAnsi"/>
          <w:color w:val="000000" w:themeColor="text1"/>
          <w:shd w:val="clear" w:color="auto" w:fill="FFFFFF"/>
          <w:lang w:eastAsia="en-GB"/>
        </w:rPr>
      </w:pPr>
      <w:r w:rsidRPr="00494ED5">
        <w:rPr>
          <w:rFonts w:ascii="Garamond" w:hAnsi="Garamond" w:cstheme="minorHAnsi"/>
          <w:bCs/>
          <w:color w:val="000000" w:themeColor="text1"/>
        </w:rPr>
        <w:t>García-Carp</w:t>
      </w:r>
      <w:r w:rsidR="0063751D">
        <w:rPr>
          <w:rFonts w:ascii="Garamond" w:hAnsi="Garamond" w:cstheme="minorHAnsi"/>
          <w:bCs/>
          <w:color w:val="000000" w:themeColor="text1"/>
        </w:rPr>
        <w:t>i</w:t>
      </w:r>
      <w:r w:rsidRPr="00494ED5">
        <w:rPr>
          <w:rFonts w:ascii="Garamond" w:hAnsi="Garamond" w:cstheme="minorHAnsi"/>
          <w:bCs/>
          <w:color w:val="000000" w:themeColor="text1"/>
        </w:rPr>
        <w:t>n</w:t>
      </w:r>
      <w:r w:rsidR="0063751D">
        <w:rPr>
          <w:rFonts w:ascii="Garamond" w:hAnsi="Garamond" w:cstheme="minorHAnsi"/>
          <w:bCs/>
          <w:color w:val="000000" w:themeColor="text1"/>
        </w:rPr>
        <w:t>te</w:t>
      </w:r>
      <w:r w:rsidRPr="00494ED5">
        <w:rPr>
          <w:rFonts w:ascii="Garamond" w:hAnsi="Garamond" w:cstheme="minorHAnsi"/>
          <w:bCs/>
          <w:color w:val="000000" w:themeColor="text1"/>
        </w:rPr>
        <w:t xml:space="preserve">ro, Manuel (2013), ‘The self file and immunity to error through misidentification’, in </w:t>
      </w:r>
      <w:r w:rsidRPr="00494ED5">
        <w:rPr>
          <w:rFonts w:ascii="Garamond" w:eastAsia="Times New Roman" w:hAnsi="Garamond" w:cstheme="minorHAnsi"/>
          <w:i/>
          <w:iCs/>
          <w:color w:val="000000" w:themeColor="text1"/>
          <w:shd w:val="clear" w:color="auto" w:fill="FFFFFF"/>
          <w:lang w:eastAsia="en-GB"/>
        </w:rPr>
        <w:t>Disputatio</w:t>
      </w:r>
      <w:r w:rsidRPr="00494ED5">
        <w:rPr>
          <w:rFonts w:ascii="Garamond" w:eastAsia="Times New Roman" w:hAnsi="Garamond" w:cstheme="minorHAnsi"/>
          <w:color w:val="000000" w:themeColor="text1"/>
          <w:shd w:val="clear" w:color="auto" w:fill="FFFFFF"/>
          <w:lang w:eastAsia="en-GB"/>
        </w:rPr>
        <w:t> 5 (36):191-206.</w:t>
      </w:r>
    </w:p>
    <w:p w14:paraId="37D19AE1" w14:textId="2057050B" w:rsidR="000B0B92" w:rsidRPr="00494ED5" w:rsidRDefault="000B0B92" w:rsidP="000B0B92">
      <w:pPr>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García-Carp</w:t>
      </w:r>
      <w:r w:rsidR="0063751D">
        <w:rPr>
          <w:rFonts w:ascii="Garamond" w:hAnsi="Garamond" w:cstheme="minorHAnsi"/>
          <w:color w:val="000000" w:themeColor="text1"/>
        </w:rPr>
        <w:t>i</w:t>
      </w:r>
      <w:r w:rsidRPr="00494ED5">
        <w:rPr>
          <w:rFonts w:ascii="Garamond" w:hAnsi="Garamond" w:cstheme="minorHAnsi"/>
          <w:color w:val="000000" w:themeColor="text1"/>
        </w:rPr>
        <w:t>nt</w:t>
      </w:r>
      <w:r w:rsidR="0063751D">
        <w:rPr>
          <w:rFonts w:ascii="Garamond" w:hAnsi="Garamond" w:cstheme="minorHAnsi"/>
          <w:color w:val="000000" w:themeColor="text1"/>
        </w:rPr>
        <w:t>e</w:t>
      </w:r>
      <w:r w:rsidRPr="00494ED5">
        <w:rPr>
          <w:rFonts w:ascii="Garamond" w:hAnsi="Garamond" w:cstheme="minorHAnsi"/>
          <w:color w:val="000000" w:themeColor="text1"/>
        </w:rPr>
        <w:t>ro, Manuel (2018), ‘</w:t>
      </w:r>
      <w:r w:rsidRPr="00494ED5">
        <w:rPr>
          <w:rFonts w:ascii="Garamond" w:hAnsi="Garamond" w:cstheme="minorHAnsi"/>
          <w:i/>
          <w:iCs/>
          <w:color w:val="000000" w:themeColor="text1"/>
        </w:rPr>
        <w:t>De se</w:t>
      </w:r>
      <w:r w:rsidRPr="00494ED5">
        <w:rPr>
          <w:rFonts w:ascii="Garamond" w:hAnsi="Garamond" w:cstheme="minorHAnsi"/>
          <w:color w:val="000000" w:themeColor="text1"/>
        </w:rPr>
        <w:t xml:space="preserve"> thoughts and immunity to error through misidentification’, </w:t>
      </w:r>
      <w:r w:rsidRPr="00494ED5">
        <w:rPr>
          <w:rFonts w:ascii="Garamond" w:hAnsi="Garamond" w:cstheme="minorHAnsi"/>
          <w:i/>
          <w:iCs/>
          <w:color w:val="000000" w:themeColor="text1"/>
        </w:rPr>
        <w:t>Synthese</w:t>
      </w:r>
      <w:r w:rsidRPr="00494ED5">
        <w:rPr>
          <w:rFonts w:ascii="Garamond" w:hAnsi="Garamond" w:cstheme="minorHAnsi"/>
          <w:color w:val="000000" w:themeColor="text1"/>
        </w:rPr>
        <w:t>, 195:8</w:t>
      </w:r>
    </w:p>
    <w:p w14:paraId="7F2F6D65" w14:textId="77777777" w:rsidR="000B0B92" w:rsidRPr="00494ED5" w:rsidRDefault="000B0B92" w:rsidP="000B0B92">
      <w:pPr>
        <w:spacing w:after="240" w:line="360" w:lineRule="auto"/>
        <w:jc w:val="both"/>
        <w:rPr>
          <w:rFonts w:ascii="Garamond" w:eastAsia="Times New Roman" w:hAnsi="Garamond" w:cstheme="minorHAnsi"/>
          <w:color w:val="000000" w:themeColor="text1"/>
          <w:shd w:val="clear" w:color="auto" w:fill="FFFFFF"/>
          <w:lang w:eastAsia="en-GB"/>
        </w:rPr>
      </w:pPr>
      <w:r w:rsidRPr="00494ED5">
        <w:rPr>
          <w:rFonts w:ascii="Garamond" w:eastAsia="Times New Roman" w:hAnsi="Garamond" w:cstheme="minorHAnsi"/>
          <w:color w:val="000000" w:themeColor="text1"/>
          <w:shd w:val="clear" w:color="auto" w:fill="FFFFFF"/>
          <w:lang w:eastAsia="en-GB"/>
        </w:rPr>
        <w:t xml:space="preserve">Guillot, Marie (2013), ‘The limits of selflessness: semantic relativism and the epistemology of </w:t>
      </w:r>
      <w:r w:rsidRPr="00494ED5">
        <w:rPr>
          <w:rFonts w:ascii="Garamond" w:eastAsia="Times New Roman" w:hAnsi="Garamond" w:cstheme="minorHAnsi"/>
          <w:i/>
          <w:iCs/>
          <w:color w:val="000000" w:themeColor="text1"/>
          <w:shd w:val="clear" w:color="auto" w:fill="FFFFFF"/>
          <w:lang w:eastAsia="en-GB"/>
        </w:rPr>
        <w:t>de se</w:t>
      </w:r>
      <w:r w:rsidRPr="00494ED5">
        <w:rPr>
          <w:rFonts w:ascii="Garamond" w:eastAsia="Times New Roman" w:hAnsi="Garamond" w:cstheme="minorHAnsi"/>
          <w:color w:val="000000" w:themeColor="text1"/>
          <w:shd w:val="clear" w:color="auto" w:fill="FFFFFF"/>
          <w:lang w:eastAsia="en-GB"/>
        </w:rPr>
        <w:t xml:space="preserve"> thoughts’, </w:t>
      </w:r>
      <w:r w:rsidRPr="00494ED5">
        <w:rPr>
          <w:rFonts w:ascii="Garamond" w:eastAsia="Times New Roman" w:hAnsi="Garamond" w:cstheme="minorHAnsi"/>
          <w:i/>
          <w:iCs/>
          <w:color w:val="000000" w:themeColor="text1"/>
          <w:shd w:val="clear" w:color="auto" w:fill="FFFFFF"/>
          <w:lang w:eastAsia="en-GB"/>
        </w:rPr>
        <w:t>Synthese</w:t>
      </w:r>
      <w:r w:rsidRPr="00494ED5">
        <w:rPr>
          <w:rFonts w:ascii="Garamond" w:eastAsia="Times New Roman" w:hAnsi="Garamond" w:cstheme="minorHAnsi"/>
          <w:color w:val="000000" w:themeColor="text1"/>
          <w:shd w:val="clear" w:color="auto" w:fill="FFFFFF"/>
          <w:lang w:eastAsia="en-GB"/>
        </w:rPr>
        <w:t>, 190:10</w:t>
      </w:r>
    </w:p>
    <w:p w14:paraId="03967732" w14:textId="30C2B9E8" w:rsidR="000B0B92"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Guillot, Marie (2014), ‘Identification-free at last. Semantic relativism, Evans’s Legacy and a unified approach to immunity to error through misidentification’, </w:t>
      </w:r>
      <w:r w:rsidRPr="00494ED5">
        <w:rPr>
          <w:rFonts w:ascii="Garamond" w:hAnsi="Garamond" w:cstheme="minorHAnsi"/>
          <w:i/>
          <w:iCs/>
          <w:color w:val="000000" w:themeColor="text1"/>
        </w:rPr>
        <w:t>Teorema: international journal of philosophy</w:t>
      </w:r>
    </w:p>
    <w:p w14:paraId="27949FDA" w14:textId="7CD61F27" w:rsidR="00BB27A8" w:rsidRPr="00BB27A8" w:rsidRDefault="00BB27A8" w:rsidP="000B0B92">
      <w:pPr>
        <w:tabs>
          <w:tab w:val="left" w:pos="1848"/>
        </w:tabs>
        <w:spacing w:after="240" w:line="360" w:lineRule="auto"/>
        <w:jc w:val="both"/>
        <w:rPr>
          <w:rFonts w:ascii="Garamond" w:hAnsi="Garamond" w:cstheme="minorHAnsi"/>
          <w:color w:val="000000" w:themeColor="text1"/>
        </w:rPr>
      </w:pPr>
      <w:r>
        <w:rPr>
          <w:rFonts w:ascii="Garamond" w:hAnsi="Garamond" w:cstheme="minorHAnsi"/>
          <w:color w:val="000000" w:themeColor="text1"/>
        </w:rPr>
        <w:t xml:space="preserve">Guillot, Marie, and Manuel García-Carpentiro (forthcoming), </w:t>
      </w:r>
      <w:r>
        <w:rPr>
          <w:rFonts w:ascii="Garamond" w:hAnsi="Garamond" w:cstheme="minorHAnsi"/>
          <w:i/>
          <w:iCs/>
          <w:color w:val="000000" w:themeColor="text1"/>
        </w:rPr>
        <w:t>The Sense of Mineness</w:t>
      </w:r>
      <w:r>
        <w:rPr>
          <w:rFonts w:ascii="Garamond" w:hAnsi="Garamond" w:cstheme="minorHAnsi"/>
          <w:color w:val="000000" w:themeColor="text1"/>
        </w:rPr>
        <w:t>, Oxford: Oxford University Press</w:t>
      </w:r>
    </w:p>
    <w:p w14:paraId="499C3811" w14:textId="5F57C61E" w:rsidR="00AB34BC" w:rsidRDefault="003618D8" w:rsidP="003618D8">
      <w:pPr>
        <w:pStyle w:val="NormalWeb"/>
        <w:rPr>
          <w:rFonts w:ascii="Garamond" w:hAnsi="Garamond"/>
        </w:rPr>
      </w:pPr>
      <w:r w:rsidRPr="003618D8">
        <w:rPr>
          <w:rFonts w:ascii="Garamond" w:hAnsi="Garamond"/>
        </w:rPr>
        <w:t>Gjelsvik</w:t>
      </w:r>
      <w:r>
        <w:rPr>
          <w:rFonts w:ascii="Garamond" w:hAnsi="Garamond"/>
        </w:rPr>
        <w:t>, O.</w:t>
      </w:r>
      <w:r w:rsidRPr="003618D8">
        <w:rPr>
          <w:rFonts w:ascii="Garamond" w:hAnsi="Garamond"/>
        </w:rPr>
        <w:t> (2017) </w:t>
      </w:r>
      <w:r w:rsidR="00C7470F">
        <w:rPr>
          <w:rFonts w:ascii="Garamond" w:hAnsi="Garamond"/>
        </w:rPr>
        <w:t>‘</w:t>
      </w:r>
      <w:r w:rsidRPr="003618D8">
        <w:rPr>
          <w:rFonts w:ascii="Garamond" w:hAnsi="Garamond"/>
        </w:rPr>
        <w:t>Indexicals: what they are essential for</w:t>
      </w:r>
      <w:r w:rsidR="00C7470F">
        <w:rPr>
          <w:rFonts w:ascii="Garamond" w:hAnsi="Garamond"/>
        </w:rPr>
        <w:t>’</w:t>
      </w:r>
      <w:r w:rsidRPr="003618D8">
        <w:rPr>
          <w:rFonts w:ascii="Garamond" w:hAnsi="Garamond"/>
        </w:rPr>
        <w:t>, </w:t>
      </w:r>
      <w:r w:rsidRPr="003618D8">
        <w:rPr>
          <w:rFonts w:ascii="Garamond" w:hAnsi="Garamond"/>
          <w:i/>
          <w:iCs/>
        </w:rPr>
        <w:t>Inquiry</w:t>
      </w:r>
      <w:r w:rsidRPr="003618D8">
        <w:rPr>
          <w:rFonts w:ascii="Garamond" w:hAnsi="Garamond"/>
        </w:rPr>
        <w:t xml:space="preserve">, 60:3, 295-314, </w:t>
      </w:r>
    </w:p>
    <w:p w14:paraId="0CEAEE57" w14:textId="44F82831" w:rsidR="000B0B92" w:rsidRPr="0063751D" w:rsidRDefault="000B0B92" w:rsidP="0063751D">
      <w:pPr>
        <w:spacing w:after="240" w:line="360" w:lineRule="auto"/>
        <w:jc w:val="both"/>
        <w:rPr>
          <w:rFonts w:ascii="Garamond" w:eastAsia="Times New Roman" w:hAnsi="Garamond" w:cstheme="minorHAnsi"/>
          <w:color w:val="000000" w:themeColor="text1"/>
          <w:lang w:eastAsia="en-GB"/>
        </w:rPr>
      </w:pPr>
      <w:r w:rsidRPr="00494ED5">
        <w:rPr>
          <w:rFonts w:ascii="Garamond" w:eastAsia="Times New Roman" w:hAnsi="Garamond" w:cstheme="minorHAnsi"/>
          <w:color w:val="000000" w:themeColor="text1"/>
          <w:lang w:eastAsia="en-GB"/>
        </w:rPr>
        <w:t xml:space="preserve">Hamilton, Andy (2009), ‘Memory and self-consciousness: immunity to error through misidentification’, </w:t>
      </w:r>
      <w:r w:rsidRPr="00494ED5">
        <w:rPr>
          <w:rFonts w:ascii="Garamond" w:eastAsia="Times New Roman" w:hAnsi="Garamond" w:cstheme="minorHAnsi"/>
          <w:i/>
          <w:iCs/>
          <w:color w:val="000000" w:themeColor="text1"/>
          <w:lang w:eastAsia="en-GB"/>
        </w:rPr>
        <w:t>Synthese</w:t>
      </w:r>
      <w:r w:rsidRPr="00494ED5">
        <w:rPr>
          <w:rFonts w:ascii="Garamond" w:eastAsia="Times New Roman" w:hAnsi="Garamond" w:cstheme="minorHAnsi"/>
          <w:color w:val="000000" w:themeColor="text1"/>
          <w:lang w:eastAsia="en-GB"/>
        </w:rPr>
        <w:t>, 171:3</w:t>
      </w:r>
    </w:p>
    <w:p w14:paraId="645787CF" w14:textId="5CDF2FE7" w:rsidR="00FC7334" w:rsidRPr="00720382" w:rsidRDefault="00EA6CC3" w:rsidP="00720382">
      <w:pPr>
        <w:pStyle w:val="NormalWeb"/>
        <w:spacing w:line="360" w:lineRule="auto"/>
        <w:rPr>
          <w:rFonts w:ascii="Garamond" w:hAnsi="Garamond"/>
        </w:rPr>
      </w:pPr>
      <w:r>
        <w:rPr>
          <w:rFonts w:ascii="Garamond" w:hAnsi="Garamond"/>
        </w:rPr>
        <w:t>Hamilton, A</w:t>
      </w:r>
      <w:r w:rsidR="003618D8">
        <w:rPr>
          <w:rFonts w:ascii="Garamond" w:hAnsi="Garamond"/>
        </w:rPr>
        <w:t>.</w:t>
      </w:r>
      <w:r>
        <w:rPr>
          <w:rFonts w:ascii="Garamond" w:hAnsi="Garamond"/>
        </w:rPr>
        <w:t xml:space="preserve"> (2013) </w:t>
      </w:r>
      <w:r>
        <w:rPr>
          <w:rFonts w:ascii="Garamond" w:hAnsi="Garamond"/>
          <w:i/>
          <w:iCs/>
        </w:rPr>
        <w:t xml:space="preserve">The Self in Question: Memory, the Body and Self-Consciousness </w:t>
      </w:r>
      <w:r>
        <w:rPr>
          <w:rFonts w:ascii="Garamond" w:hAnsi="Garamond"/>
        </w:rPr>
        <w:t>Palgrave Macmillan</w:t>
      </w:r>
      <w:r w:rsidRPr="00195FCC">
        <w:rPr>
          <w:rFonts w:ascii="Garamond" w:hAnsi="Garamond"/>
        </w:rPr>
        <w:t xml:space="preserve"> </w:t>
      </w:r>
    </w:p>
    <w:p w14:paraId="573ABB77" w14:textId="0D815F34" w:rsidR="00FC7334" w:rsidRDefault="00FC7334" w:rsidP="00722637">
      <w:pPr>
        <w:spacing w:after="240" w:line="360" w:lineRule="auto"/>
        <w:jc w:val="both"/>
        <w:rPr>
          <w:rFonts w:ascii="Garamond" w:hAnsi="Garamond"/>
        </w:rPr>
      </w:pPr>
      <w:r>
        <w:rPr>
          <w:rFonts w:ascii="Garamond" w:hAnsi="Garamond"/>
        </w:rPr>
        <w:lastRenderedPageBreak/>
        <w:t xml:space="preserve">Howell, R. </w:t>
      </w:r>
      <w:r w:rsidR="00720382" w:rsidRPr="00436D74">
        <w:rPr>
          <w:rFonts w:ascii="Garamond" w:hAnsi="Garamond"/>
        </w:rPr>
        <w:t>(2007)</w:t>
      </w:r>
      <w:r w:rsidR="00720382">
        <w:rPr>
          <w:rFonts w:ascii="Garamond" w:hAnsi="Garamond"/>
        </w:rPr>
        <w:t xml:space="preserve"> </w:t>
      </w:r>
      <w:r>
        <w:rPr>
          <w:rFonts w:ascii="Garamond" w:hAnsi="Garamond"/>
        </w:rPr>
        <w:t xml:space="preserve">‘Immunity to error and subjectivity’ </w:t>
      </w:r>
      <w:r>
        <w:rPr>
          <w:rFonts w:ascii="Garamond" w:hAnsi="Garamond"/>
          <w:i/>
          <w:iCs/>
        </w:rPr>
        <w:t xml:space="preserve">Canadian Journal of Philosophy </w:t>
      </w:r>
      <w:r w:rsidRPr="00436D74">
        <w:rPr>
          <w:rFonts w:ascii="Garamond" w:hAnsi="Garamond"/>
        </w:rPr>
        <w:t xml:space="preserve">37 (4):581-604 </w:t>
      </w:r>
    </w:p>
    <w:p w14:paraId="3491B7AE"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Hu, Ivan (2017), ‘The Epistemology of Immunity to Error Through Misidentification’, </w:t>
      </w:r>
      <w:r w:rsidRPr="00494ED5">
        <w:rPr>
          <w:rFonts w:ascii="Garamond" w:hAnsi="Garamond" w:cstheme="minorHAnsi"/>
          <w:i/>
          <w:iCs/>
          <w:color w:val="000000" w:themeColor="text1"/>
        </w:rPr>
        <w:t>Journal of Philosophy</w:t>
      </w:r>
      <w:r w:rsidRPr="00494ED5">
        <w:rPr>
          <w:rFonts w:ascii="Garamond" w:hAnsi="Garamond" w:cstheme="minorHAnsi"/>
          <w:color w:val="000000" w:themeColor="text1"/>
        </w:rPr>
        <w:t>, 114:3</w:t>
      </w:r>
    </w:p>
    <w:p w14:paraId="796FBFA9" w14:textId="25BDE30B" w:rsidR="000B0B92" w:rsidRPr="004069AB" w:rsidRDefault="000B0B92" w:rsidP="004069AB">
      <w:pPr>
        <w:spacing w:after="240" w:line="360" w:lineRule="auto"/>
        <w:jc w:val="both"/>
        <w:rPr>
          <w:rFonts w:ascii="Garamond" w:eastAsia="Times New Roman" w:hAnsi="Garamond" w:cstheme="minorHAnsi"/>
          <w:bCs/>
          <w:color w:val="000000" w:themeColor="text1"/>
          <w:lang w:eastAsia="en-GB"/>
        </w:rPr>
      </w:pPr>
      <w:r w:rsidRPr="00494ED5">
        <w:rPr>
          <w:rFonts w:ascii="Garamond" w:eastAsia="Times New Roman" w:hAnsi="Garamond" w:cstheme="minorHAnsi"/>
          <w:color w:val="000000" w:themeColor="text1"/>
          <w:shd w:val="clear" w:color="auto" w:fill="FFFFFF"/>
          <w:lang w:eastAsia="en-GB"/>
        </w:rPr>
        <w:t xml:space="preserve">Ismael, Jenann (2012), ‘Immunity to error as an artefact of transition between representational media’, </w:t>
      </w:r>
      <w:r w:rsidRPr="00494ED5">
        <w:rPr>
          <w:rFonts w:ascii="Garamond" w:eastAsia="Times New Roman" w:hAnsi="Garamond" w:cstheme="minorHAnsi"/>
          <w:bCs/>
          <w:color w:val="000000" w:themeColor="text1"/>
          <w:lang w:eastAsia="en-GB"/>
        </w:rPr>
        <w:t>in 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Cambridge University Press.</w:t>
      </w:r>
    </w:p>
    <w:p w14:paraId="3770B22A" w14:textId="00BBF4E4" w:rsidR="000B0B92" w:rsidRPr="004069AB" w:rsidRDefault="000B0B92" w:rsidP="004069AB">
      <w:pPr>
        <w:pStyle w:val="NormalWeb"/>
        <w:spacing w:line="360" w:lineRule="auto"/>
        <w:rPr>
          <w:rFonts w:ascii="Garamond" w:hAnsi="Garamond"/>
        </w:rPr>
      </w:pPr>
      <w:r>
        <w:rPr>
          <w:rFonts w:ascii="Garamond" w:hAnsi="Garamond"/>
        </w:rPr>
        <w:t>J</w:t>
      </w:r>
      <w:r w:rsidRPr="00D846D7">
        <w:rPr>
          <w:rFonts w:ascii="Garamond" w:hAnsi="Garamond"/>
        </w:rPr>
        <w:t xml:space="preserve">ohnston, Mark (2010). </w:t>
      </w:r>
      <w:r w:rsidRPr="00D846D7">
        <w:rPr>
          <w:rFonts w:ascii="Garamond" w:hAnsi="Garamond"/>
          <w:i/>
          <w:iCs/>
        </w:rPr>
        <w:t>Surviving Death</w:t>
      </w:r>
      <w:r w:rsidRPr="00D846D7">
        <w:rPr>
          <w:rFonts w:ascii="Garamond" w:hAnsi="Garamond"/>
        </w:rPr>
        <w:t xml:space="preserve">. Princeton University Press. </w:t>
      </w:r>
    </w:p>
    <w:p w14:paraId="073EF82C" w14:textId="45AE84C7" w:rsidR="000B0B92" w:rsidRPr="004069AB" w:rsidRDefault="000B0B92" w:rsidP="004069AB">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Kang, Shao-Pu (2016), ‘The body swap illusion, and immunity to error through misidentification’, </w:t>
      </w:r>
      <w:r w:rsidRPr="00494ED5">
        <w:rPr>
          <w:rFonts w:ascii="Garamond" w:hAnsi="Garamond" w:cstheme="minorHAnsi"/>
          <w:i/>
          <w:iCs/>
          <w:color w:val="000000" w:themeColor="text1"/>
        </w:rPr>
        <w:t>Journal of Philosophy</w:t>
      </w:r>
      <w:r w:rsidRPr="00494ED5">
        <w:rPr>
          <w:rFonts w:ascii="Garamond" w:hAnsi="Garamond" w:cstheme="minorHAnsi"/>
          <w:color w:val="000000" w:themeColor="text1"/>
        </w:rPr>
        <w:t>, 113:9</w:t>
      </w:r>
    </w:p>
    <w:p w14:paraId="43C64981" w14:textId="532897BE" w:rsidR="000B0B92" w:rsidRPr="004069AB" w:rsidRDefault="000B0B92" w:rsidP="004069AB">
      <w:pPr>
        <w:spacing w:after="240" w:line="360" w:lineRule="auto"/>
        <w:jc w:val="both"/>
        <w:rPr>
          <w:rFonts w:ascii="Garamond" w:eastAsia="Times New Roman" w:hAnsi="Garamond" w:cstheme="minorHAnsi"/>
          <w:color w:val="000000" w:themeColor="text1"/>
          <w:shd w:val="clear" w:color="auto" w:fill="FFFFFF"/>
          <w:lang w:eastAsia="en-GB"/>
        </w:rPr>
      </w:pPr>
      <w:r w:rsidRPr="00494ED5">
        <w:rPr>
          <w:rFonts w:ascii="Garamond" w:eastAsia="Times New Roman" w:hAnsi="Garamond" w:cstheme="minorHAnsi"/>
          <w:color w:val="000000" w:themeColor="text1"/>
          <w:shd w:val="clear" w:color="auto" w:fill="FFFFFF"/>
          <w:lang w:eastAsia="en-GB"/>
        </w:rPr>
        <w:t xml:space="preserve">Lane, Timothy and Caleb Liang (2011), ‘Self-consciousness and immunity’, </w:t>
      </w:r>
      <w:r w:rsidRPr="00494ED5">
        <w:rPr>
          <w:rFonts w:ascii="Garamond" w:eastAsia="Times New Roman" w:hAnsi="Garamond" w:cstheme="minorHAnsi"/>
          <w:i/>
          <w:iCs/>
          <w:color w:val="000000" w:themeColor="text1"/>
          <w:shd w:val="clear" w:color="auto" w:fill="FFFFFF"/>
          <w:lang w:eastAsia="en-GB"/>
        </w:rPr>
        <w:t>Journal of Philosophy</w:t>
      </w:r>
      <w:r w:rsidRPr="00494ED5">
        <w:rPr>
          <w:rFonts w:ascii="Garamond" w:eastAsia="Times New Roman" w:hAnsi="Garamond" w:cstheme="minorHAnsi"/>
          <w:color w:val="000000" w:themeColor="text1"/>
          <w:shd w:val="clear" w:color="auto" w:fill="FFFFFF"/>
          <w:lang w:eastAsia="en-GB"/>
        </w:rPr>
        <w:t>, 108:2</w:t>
      </w:r>
    </w:p>
    <w:p w14:paraId="28FEB6DA" w14:textId="77777777" w:rsidR="000B0B92" w:rsidRPr="00EA6CC3" w:rsidRDefault="000B0B92" w:rsidP="000B0B92">
      <w:pPr>
        <w:pStyle w:val="NormalWeb"/>
        <w:spacing w:line="360" w:lineRule="auto"/>
        <w:rPr>
          <w:rFonts w:ascii="Garamond" w:hAnsi="Garamond"/>
        </w:rPr>
      </w:pPr>
      <w:r w:rsidRPr="00195FCC">
        <w:rPr>
          <w:rFonts w:ascii="Garamond" w:hAnsi="Garamond"/>
        </w:rPr>
        <w:t xml:space="preserve">Lewis, D (1979). ‘Attitudes </w:t>
      </w:r>
      <w:r w:rsidRPr="00195FCC">
        <w:rPr>
          <w:rFonts w:ascii="Garamond" w:hAnsi="Garamond"/>
          <w:i/>
          <w:iCs/>
        </w:rPr>
        <w:t xml:space="preserve">De Dicto </w:t>
      </w:r>
      <w:r w:rsidRPr="00195FCC">
        <w:rPr>
          <w:rFonts w:ascii="Garamond" w:hAnsi="Garamond"/>
        </w:rPr>
        <w:t xml:space="preserve">and </w:t>
      </w:r>
      <w:r w:rsidRPr="00195FCC">
        <w:rPr>
          <w:rFonts w:ascii="Garamond" w:hAnsi="Garamond"/>
          <w:i/>
          <w:iCs/>
        </w:rPr>
        <w:t>De Se’</w:t>
      </w:r>
      <w:r w:rsidRPr="00195FCC">
        <w:rPr>
          <w:rFonts w:ascii="Garamond" w:hAnsi="Garamond"/>
        </w:rPr>
        <w:t xml:space="preserve">, </w:t>
      </w:r>
      <w:r w:rsidRPr="00195FCC">
        <w:rPr>
          <w:rFonts w:ascii="Garamond" w:hAnsi="Garamond"/>
          <w:i/>
          <w:iCs/>
        </w:rPr>
        <w:t xml:space="preserve">The Philosophical Review </w:t>
      </w:r>
      <w:r w:rsidRPr="00195FCC">
        <w:rPr>
          <w:rFonts w:ascii="Garamond" w:hAnsi="Garamond"/>
        </w:rPr>
        <w:t xml:space="preserve">88: 513-543. </w:t>
      </w:r>
    </w:p>
    <w:p w14:paraId="4EB98CA1" w14:textId="575223F9" w:rsidR="000B0B92" w:rsidRDefault="000B0B92" w:rsidP="000B0B92">
      <w:pPr>
        <w:pStyle w:val="NormalWeb"/>
        <w:spacing w:line="360" w:lineRule="auto"/>
        <w:rPr>
          <w:rFonts w:ascii="Garamond" w:hAnsi="Garamond"/>
        </w:rPr>
      </w:pPr>
      <w:r w:rsidRPr="00195FCC">
        <w:rPr>
          <w:rFonts w:ascii="Garamond" w:hAnsi="Garamond"/>
        </w:rPr>
        <w:t xml:space="preserve">Perry, J. 1979. The essential indexical. Philosophical Review 86: 874–97. </w:t>
      </w:r>
    </w:p>
    <w:p w14:paraId="410FD84F" w14:textId="5754AA5A" w:rsidR="000B0B92" w:rsidRPr="000B0B92" w:rsidRDefault="000B0B92" w:rsidP="000B0B92">
      <w:pPr>
        <w:rPr>
          <w:rFonts w:ascii="Garamond" w:eastAsia="Times New Roman" w:hAnsi="Garamond" w:cs="Times New Roman"/>
        </w:rPr>
      </w:pPr>
      <w:r w:rsidRPr="006F3B67">
        <w:rPr>
          <w:rFonts w:ascii="Garamond" w:eastAsia="Times New Roman" w:hAnsi="Garamond" w:cs="Times New Roman"/>
        </w:rPr>
        <w:t>Liu</w:t>
      </w:r>
      <w:r>
        <w:rPr>
          <w:rFonts w:ascii="Garamond" w:eastAsia="Times New Roman" w:hAnsi="Garamond" w:cs="Times New Roman"/>
        </w:rPr>
        <w:t>, J.</w:t>
      </w:r>
      <w:r w:rsidRPr="006F3B67">
        <w:rPr>
          <w:rFonts w:ascii="Garamond" w:eastAsia="Times New Roman" w:hAnsi="Garamond" w:cs="Times New Roman"/>
        </w:rPr>
        <w:t xml:space="preserve"> and  Perry</w:t>
      </w:r>
      <w:r>
        <w:rPr>
          <w:rFonts w:ascii="Garamond" w:eastAsia="Times New Roman" w:hAnsi="Garamond" w:cs="Times New Roman"/>
        </w:rPr>
        <w:t>, J</w:t>
      </w:r>
      <w:r w:rsidRPr="006F3B67">
        <w:rPr>
          <w:rFonts w:ascii="Garamond" w:eastAsia="Times New Roman" w:hAnsi="Garamond" w:cs="Times New Roman"/>
        </w:rPr>
        <w:t>(eds.)</w:t>
      </w:r>
      <w:r>
        <w:rPr>
          <w:rFonts w:ascii="Garamond" w:eastAsia="Times New Roman" w:hAnsi="Garamond" w:cs="Times New Roman"/>
        </w:rPr>
        <w:t xml:space="preserve"> (2011) </w:t>
      </w:r>
      <w:r w:rsidRPr="006F3B67">
        <w:rPr>
          <w:rFonts w:ascii="Garamond" w:eastAsia="Times New Roman" w:hAnsi="Garamond" w:cs="Times New Roman"/>
          <w:i/>
          <w:iCs/>
          <w:bdr w:val="none" w:sz="0" w:space="0" w:color="auto" w:frame="1"/>
        </w:rPr>
        <w:t>Consciousness and the Self: New Essays</w:t>
      </w:r>
      <w:r w:rsidR="004069AB">
        <w:rPr>
          <w:rFonts w:ascii="Garamond" w:eastAsia="Times New Roman" w:hAnsi="Garamond" w:cs="Times New Roman"/>
        </w:rPr>
        <w:t xml:space="preserve">., Cambridge University Press. </w:t>
      </w:r>
    </w:p>
    <w:p w14:paraId="3F54E89C" w14:textId="77777777" w:rsidR="000B0B92" w:rsidRDefault="000B0B92" w:rsidP="000B0B92">
      <w:pPr>
        <w:pStyle w:val="NormalWeb"/>
        <w:spacing w:line="360" w:lineRule="auto"/>
        <w:rPr>
          <w:rFonts w:ascii="Garamond" w:hAnsi="Garamond"/>
        </w:rPr>
      </w:pPr>
      <w:r>
        <w:rPr>
          <w:rFonts w:ascii="Garamond" w:hAnsi="Garamond"/>
        </w:rPr>
        <w:t xml:space="preserve">Longuenesse, B (2017). </w:t>
      </w:r>
      <w:r>
        <w:rPr>
          <w:rFonts w:ascii="Garamond" w:hAnsi="Garamond"/>
          <w:i/>
          <w:iCs/>
        </w:rPr>
        <w:t>I, Me, Mine: Back to Kant, and Back Again</w:t>
      </w:r>
      <w:r>
        <w:rPr>
          <w:rFonts w:ascii="Garamond" w:hAnsi="Garamond"/>
        </w:rPr>
        <w:t xml:space="preserve">, Oxford University Press. </w:t>
      </w:r>
    </w:p>
    <w:p w14:paraId="376C86A2" w14:textId="71D818FF" w:rsidR="000B0B92" w:rsidRDefault="000B0B92" w:rsidP="000B0B92">
      <w:pPr>
        <w:pStyle w:val="NormalWeb"/>
        <w:spacing w:line="360" w:lineRule="auto"/>
        <w:rPr>
          <w:rFonts w:ascii="Garamond" w:hAnsi="Garamond"/>
        </w:rPr>
      </w:pPr>
      <w:r>
        <w:rPr>
          <w:rFonts w:ascii="Garamond" w:hAnsi="Garamond"/>
        </w:rPr>
        <w:t xml:space="preserve">Longworth, G (2014). ‘You and me’, </w:t>
      </w:r>
      <w:r>
        <w:rPr>
          <w:rFonts w:ascii="Garamond" w:hAnsi="Garamond"/>
          <w:i/>
          <w:iCs/>
        </w:rPr>
        <w:t xml:space="preserve">Philosophical Explorations </w:t>
      </w:r>
      <w:r w:rsidRPr="003618D8">
        <w:rPr>
          <w:rFonts w:ascii="Garamond" w:hAnsi="Garamond"/>
        </w:rPr>
        <w:t>17 (3):289-303 (2014)</w:t>
      </w:r>
    </w:p>
    <w:p w14:paraId="0A43E7F3" w14:textId="3F3E0860" w:rsidR="00E65BBF" w:rsidRPr="00E65BBF" w:rsidRDefault="00E65BBF" w:rsidP="000B0B92">
      <w:pPr>
        <w:pStyle w:val="NormalWeb"/>
        <w:spacing w:line="360" w:lineRule="auto"/>
        <w:rPr>
          <w:rFonts w:ascii="Garamond" w:hAnsi="Garamond"/>
        </w:rPr>
      </w:pPr>
      <w:r>
        <w:rPr>
          <w:rFonts w:ascii="Garamond" w:hAnsi="Garamond"/>
        </w:rPr>
        <w:t xml:space="preserve">Madden, Rory (2011), ‘Intention and the Self’, in </w:t>
      </w:r>
      <w:r>
        <w:rPr>
          <w:rFonts w:ascii="Garamond" w:hAnsi="Garamond"/>
          <w:i/>
          <w:iCs/>
        </w:rPr>
        <w:t>Proceedings of the Aristotelian Society</w:t>
      </w:r>
      <w:r>
        <w:rPr>
          <w:rFonts w:ascii="Garamond" w:hAnsi="Garamond"/>
        </w:rPr>
        <w:t>, Vol. CXI</w:t>
      </w:r>
    </w:p>
    <w:p w14:paraId="756F0C31" w14:textId="01BD28F0" w:rsidR="001C0BBC" w:rsidRPr="001C0BBC" w:rsidRDefault="001C0BBC" w:rsidP="000B0B92">
      <w:pPr>
        <w:pStyle w:val="NormalWeb"/>
        <w:spacing w:line="360" w:lineRule="auto"/>
        <w:rPr>
          <w:rFonts w:ascii="Garamond" w:hAnsi="Garamond"/>
        </w:rPr>
      </w:pPr>
      <w:r>
        <w:rPr>
          <w:rFonts w:ascii="Garamond" w:hAnsi="Garamond"/>
        </w:rPr>
        <w:t xml:space="preserve">Madden, Rory (2013), ‘Could a Brain in a Vat Self-Refer?’, </w:t>
      </w:r>
      <w:r>
        <w:rPr>
          <w:rFonts w:ascii="Garamond" w:hAnsi="Garamond"/>
          <w:i/>
          <w:iCs/>
        </w:rPr>
        <w:t>European Journal of Philosophy</w:t>
      </w:r>
      <w:r>
        <w:rPr>
          <w:rFonts w:ascii="Garamond" w:hAnsi="Garamond"/>
        </w:rPr>
        <w:t>, 21:1</w:t>
      </w:r>
    </w:p>
    <w:p w14:paraId="55962607" w14:textId="1DFD6BAB" w:rsidR="00A44876" w:rsidRPr="0063751D" w:rsidRDefault="00A44876" w:rsidP="000B0B92">
      <w:pPr>
        <w:pStyle w:val="NormalWeb"/>
        <w:spacing w:line="360" w:lineRule="auto"/>
      </w:pPr>
      <w:r>
        <w:rPr>
          <w:rFonts w:ascii="Garamond" w:hAnsi="Garamond"/>
        </w:rPr>
        <w:t>Martin, M.G.F (2014) ‘In the Eye of Another: Comments on Christopher Peacocke’s Interpersonal Self-Consciousness’.</w:t>
      </w:r>
      <w:r w:rsidRPr="00A44876">
        <w:rPr>
          <w:rFonts w:ascii="Arial" w:hAnsi="Arial" w:cs="Arial"/>
          <w:color w:val="333333"/>
          <w:sz w:val="23"/>
          <w:szCs w:val="23"/>
          <w:shd w:val="clear" w:color="auto" w:fill="FFFFFF"/>
        </w:rPr>
        <w:t xml:space="preserve"> </w:t>
      </w:r>
      <w:r w:rsidRPr="00A44876">
        <w:rPr>
          <w:rFonts w:ascii="Garamond" w:hAnsi="Garamond"/>
          <w:i/>
          <w:iCs/>
        </w:rPr>
        <w:t>Philosophical Studies</w:t>
      </w:r>
      <w:r w:rsidRPr="00A44876">
        <w:rPr>
          <w:rFonts w:ascii="Garamond" w:hAnsi="Garamond"/>
        </w:rPr>
        <w:t> 170 (1):</w:t>
      </w:r>
      <w:r w:rsidR="003C0A0B">
        <w:rPr>
          <w:rFonts w:ascii="Garamond" w:hAnsi="Garamond"/>
        </w:rPr>
        <w:t xml:space="preserve"> </w:t>
      </w:r>
      <w:r w:rsidRPr="00A44876">
        <w:rPr>
          <w:rFonts w:ascii="Garamond" w:hAnsi="Garamond"/>
        </w:rPr>
        <w:t>25-38.</w:t>
      </w:r>
    </w:p>
    <w:p w14:paraId="6BDACBB8" w14:textId="163F7CB8" w:rsidR="000B0B92" w:rsidRPr="000B0B92" w:rsidRDefault="000B0B92" w:rsidP="000B0B92">
      <w:pPr>
        <w:pStyle w:val="NormalWeb"/>
        <w:spacing w:line="360" w:lineRule="auto"/>
        <w:rPr>
          <w:rFonts w:ascii="Garamond" w:hAnsi="Garamond"/>
        </w:rPr>
      </w:pPr>
      <w:r w:rsidRPr="00195FCC">
        <w:rPr>
          <w:rFonts w:ascii="Garamond" w:hAnsi="Garamond"/>
        </w:rPr>
        <w:t xml:space="preserve">Magidor, O (2015). ‘The Myth of the De Se’, </w:t>
      </w:r>
      <w:r w:rsidRPr="00195FCC">
        <w:rPr>
          <w:rFonts w:ascii="Garamond" w:hAnsi="Garamond"/>
          <w:i/>
          <w:iCs/>
        </w:rPr>
        <w:t xml:space="preserve">Philosophical Perspectives </w:t>
      </w:r>
      <w:r w:rsidRPr="00195FCC">
        <w:rPr>
          <w:rFonts w:ascii="Garamond" w:hAnsi="Garamond"/>
        </w:rPr>
        <w:t xml:space="preserve">29 (1): 249-283. </w:t>
      </w:r>
    </w:p>
    <w:p w14:paraId="03052077" w14:textId="77777777" w:rsidR="000B0B92" w:rsidRPr="00494ED5" w:rsidRDefault="000B0B92" w:rsidP="000B0B92">
      <w:pPr>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McGlynn, Aidan (2016), ‘Immunity to Error through Misidentification and the Epistemology of </w:t>
      </w:r>
      <w:r w:rsidRPr="00494ED5">
        <w:rPr>
          <w:rFonts w:ascii="Garamond" w:hAnsi="Garamond" w:cstheme="minorHAnsi"/>
          <w:i/>
          <w:iCs/>
          <w:color w:val="000000" w:themeColor="text1"/>
        </w:rPr>
        <w:t>de se</w:t>
      </w:r>
      <w:r w:rsidRPr="00494ED5">
        <w:rPr>
          <w:rFonts w:ascii="Garamond" w:hAnsi="Garamond" w:cstheme="minorHAnsi"/>
          <w:color w:val="000000" w:themeColor="text1"/>
        </w:rPr>
        <w:t xml:space="preserve"> Thoughts’, in </w:t>
      </w:r>
      <w:r w:rsidRPr="00494ED5">
        <w:rPr>
          <w:rFonts w:ascii="Garamond" w:hAnsi="Garamond" w:cstheme="minorHAnsi"/>
          <w:i/>
          <w:iCs/>
          <w:color w:val="000000" w:themeColor="text1"/>
        </w:rPr>
        <w:t>About Oneself: de se thought and communication</w:t>
      </w:r>
      <w:r w:rsidRPr="00494ED5">
        <w:rPr>
          <w:rFonts w:ascii="Garamond" w:hAnsi="Garamond" w:cstheme="minorHAnsi"/>
          <w:color w:val="000000" w:themeColor="text1"/>
        </w:rPr>
        <w:t>, Oxford: OUP</w:t>
      </w:r>
    </w:p>
    <w:p w14:paraId="76BB3810" w14:textId="4854D034" w:rsidR="000B0B92" w:rsidRPr="00494ED5" w:rsidRDefault="000B0B92" w:rsidP="000B0B92">
      <w:pPr>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McGlynn, Aidan (ms), ‘Immunity to wh-misidentification’</w:t>
      </w:r>
      <w:r w:rsidR="004069AB">
        <w:rPr>
          <w:rFonts w:ascii="Garamond" w:hAnsi="Garamond" w:cstheme="minorHAnsi"/>
          <w:color w:val="000000" w:themeColor="text1"/>
        </w:rPr>
        <w:t>.</w:t>
      </w:r>
    </w:p>
    <w:p w14:paraId="0762BEEC" w14:textId="77777777" w:rsidR="000B0B92" w:rsidRPr="00494ED5" w:rsidRDefault="000B0B92" w:rsidP="000B0B92">
      <w:pPr>
        <w:spacing w:after="240" w:line="360" w:lineRule="auto"/>
        <w:jc w:val="both"/>
        <w:rPr>
          <w:rFonts w:ascii="Garamond" w:eastAsia="Times New Roman" w:hAnsi="Garamond" w:cstheme="minorHAnsi"/>
          <w:color w:val="000000" w:themeColor="text1"/>
          <w:lang w:eastAsia="en-GB"/>
        </w:rPr>
      </w:pPr>
      <w:r w:rsidRPr="00494ED5">
        <w:rPr>
          <w:rFonts w:ascii="Garamond" w:eastAsia="Times New Roman" w:hAnsi="Garamond" w:cstheme="minorHAnsi"/>
          <w:color w:val="000000" w:themeColor="text1"/>
          <w:lang w:eastAsia="en-GB"/>
        </w:rPr>
        <w:lastRenderedPageBreak/>
        <w:t xml:space="preserve">Merlo, Giovanni (2017), ‘Three questions about immunity to error through misidentification’, </w:t>
      </w:r>
      <w:r w:rsidRPr="00494ED5">
        <w:rPr>
          <w:rFonts w:ascii="Garamond" w:eastAsia="Times New Roman" w:hAnsi="Garamond" w:cstheme="minorHAnsi"/>
          <w:i/>
          <w:iCs/>
          <w:color w:val="000000" w:themeColor="text1"/>
          <w:lang w:eastAsia="en-GB"/>
        </w:rPr>
        <w:t>Erkenntnis</w:t>
      </w:r>
      <w:r w:rsidRPr="00494ED5">
        <w:rPr>
          <w:rFonts w:ascii="Garamond" w:eastAsia="Times New Roman" w:hAnsi="Garamond" w:cstheme="minorHAnsi"/>
          <w:color w:val="000000" w:themeColor="text1"/>
          <w:lang w:eastAsia="en-GB"/>
        </w:rPr>
        <w:t>, 82:3</w:t>
      </w:r>
    </w:p>
    <w:p w14:paraId="72430693" w14:textId="77777777" w:rsidR="000B0B92" w:rsidRPr="00494ED5"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hAnsi="Garamond" w:cstheme="minorHAnsi"/>
          <w:color w:val="000000" w:themeColor="text1"/>
        </w:rPr>
        <w:t xml:space="preserve">Morgan, Daniel (2012), ‘Immunity to error through misidentification: what does it tell us about the </w:t>
      </w:r>
      <w:r w:rsidRPr="00494ED5">
        <w:rPr>
          <w:rFonts w:ascii="Garamond" w:hAnsi="Garamond" w:cstheme="minorHAnsi"/>
          <w:i/>
          <w:iCs/>
          <w:color w:val="000000" w:themeColor="text1"/>
        </w:rPr>
        <w:t>de se</w:t>
      </w:r>
      <w:r w:rsidRPr="00494ED5">
        <w:rPr>
          <w:rFonts w:ascii="Garamond" w:hAnsi="Garamond" w:cstheme="minorHAnsi"/>
          <w:color w:val="000000" w:themeColor="text1"/>
        </w:rPr>
        <w:t xml:space="preserve">?’, </w:t>
      </w:r>
      <w:r w:rsidRPr="00494ED5">
        <w:rPr>
          <w:rFonts w:ascii="Garamond" w:eastAsia="Times New Roman" w:hAnsi="Garamond" w:cstheme="minorHAnsi"/>
          <w:bCs/>
          <w:color w:val="000000" w:themeColor="text1"/>
          <w:lang w:eastAsia="en-GB"/>
        </w:rPr>
        <w:t>in 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Cambridge University Press.</w:t>
      </w:r>
    </w:p>
    <w:p w14:paraId="10602101" w14:textId="77777777" w:rsidR="000B0B92" w:rsidRPr="00494ED5" w:rsidRDefault="000B0B92" w:rsidP="000B0B92">
      <w:pPr>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Morgan, Daniel (2015), ‘The Demonstrative Model of First-Person Thought’, </w:t>
      </w:r>
      <w:r w:rsidRPr="00494ED5">
        <w:rPr>
          <w:rFonts w:ascii="Garamond" w:hAnsi="Garamond" w:cstheme="minorHAnsi"/>
          <w:i/>
          <w:iCs/>
          <w:color w:val="000000" w:themeColor="text1"/>
        </w:rPr>
        <w:t>Philosophical Studies</w:t>
      </w:r>
      <w:r w:rsidRPr="00494ED5">
        <w:rPr>
          <w:rFonts w:ascii="Garamond" w:hAnsi="Garamond" w:cstheme="minorHAnsi"/>
          <w:color w:val="000000" w:themeColor="text1"/>
        </w:rPr>
        <w:t>, 172:7</w:t>
      </w:r>
    </w:p>
    <w:p w14:paraId="52DED08B" w14:textId="45ABD38C" w:rsidR="000B0B92"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Morgan, Daniel (2018</w:t>
      </w:r>
      <w:r w:rsidR="00720382">
        <w:rPr>
          <w:rFonts w:ascii="Garamond" w:hAnsi="Garamond" w:cstheme="minorHAnsi"/>
          <w:color w:val="000000" w:themeColor="text1"/>
        </w:rPr>
        <w:t>a</w:t>
      </w:r>
      <w:r w:rsidRPr="00494ED5">
        <w:rPr>
          <w:rFonts w:ascii="Garamond" w:hAnsi="Garamond" w:cstheme="minorHAnsi"/>
          <w:color w:val="000000" w:themeColor="text1"/>
        </w:rPr>
        <w:t xml:space="preserve">), ‘Thinking About the Body as Subject’, </w:t>
      </w:r>
      <w:r w:rsidRPr="00494ED5">
        <w:rPr>
          <w:rFonts w:ascii="Garamond" w:hAnsi="Garamond" w:cstheme="minorHAnsi"/>
          <w:i/>
          <w:iCs/>
          <w:color w:val="000000" w:themeColor="text1"/>
        </w:rPr>
        <w:t>Canadian Journal of Philosophy</w:t>
      </w:r>
      <w:r w:rsidRPr="00494ED5">
        <w:rPr>
          <w:rFonts w:ascii="Garamond" w:hAnsi="Garamond" w:cstheme="minorHAnsi"/>
          <w:color w:val="000000" w:themeColor="text1"/>
        </w:rPr>
        <w:t>, 49:4</w:t>
      </w:r>
    </w:p>
    <w:p w14:paraId="7DF1DF7C" w14:textId="6BDF7660" w:rsidR="00A44876" w:rsidRDefault="00A44876" w:rsidP="00A44876">
      <w:pPr>
        <w:pStyle w:val="NormalWeb"/>
        <w:rPr>
          <w:rFonts w:ascii="Garamond" w:hAnsi="Garamond"/>
        </w:rPr>
      </w:pPr>
      <w:r>
        <w:rPr>
          <w:rFonts w:ascii="Garamond" w:hAnsi="Garamond"/>
        </w:rPr>
        <w:t>Morgan, D (2018</w:t>
      </w:r>
      <w:r w:rsidR="00720382">
        <w:rPr>
          <w:rFonts w:ascii="Garamond" w:hAnsi="Garamond"/>
        </w:rPr>
        <w:t>b</w:t>
      </w:r>
      <w:r>
        <w:rPr>
          <w:rFonts w:ascii="Garamond" w:hAnsi="Garamond"/>
        </w:rPr>
        <w:t xml:space="preserve">). ‘Impersonal Intentions’. </w:t>
      </w:r>
      <w:r>
        <w:rPr>
          <w:rFonts w:ascii="Garamond" w:hAnsi="Garamond"/>
          <w:i/>
          <w:iCs/>
        </w:rPr>
        <w:t>The Philosophical Quarterly</w:t>
      </w:r>
      <w:r>
        <w:rPr>
          <w:rFonts w:ascii="Garamond" w:hAnsi="Garamond"/>
        </w:rPr>
        <w:t xml:space="preserve">, Volume 68, Issue 271 376–384. </w:t>
      </w:r>
    </w:p>
    <w:p w14:paraId="7DC5DF19" w14:textId="74ED3D1B" w:rsidR="00AB11D7" w:rsidRPr="00AB11D7" w:rsidRDefault="00AB11D7" w:rsidP="00A44876">
      <w:pPr>
        <w:pStyle w:val="NormalWeb"/>
        <w:rPr>
          <w:rFonts w:ascii="Garamond" w:hAnsi="Garamond"/>
        </w:rPr>
      </w:pPr>
      <w:r>
        <w:rPr>
          <w:rFonts w:ascii="Garamond" w:hAnsi="Garamond"/>
        </w:rPr>
        <w:t>Morgan, D (2019</w:t>
      </w:r>
      <w:r w:rsidR="00722637">
        <w:rPr>
          <w:rFonts w:ascii="Garamond" w:hAnsi="Garamond"/>
        </w:rPr>
        <w:t>a</w:t>
      </w:r>
      <w:r>
        <w:rPr>
          <w:rFonts w:ascii="Garamond" w:hAnsi="Garamond"/>
        </w:rPr>
        <w:t xml:space="preserve">), ‘Temporal </w:t>
      </w:r>
      <w:r w:rsidR="00CB373B">
        <w:rPr>
          <w:rFonts w:ascii="Garamond" w:hAnsi="Garamond"/>
        </w:rPr>
        <w:t>i</w:t>
      </w:r>
      <w:r>
        <w:rPr>
          <w:rFonts w:ascii="Garamond" w:hAnsi="Garamond"/>
        </w:rPr>
        <w:t xml:space="preserve">ndexicals are essential’. </w:t>
      </w:r>
      <w:r>
        <w:rPr>
          <w:rFonts w:ascii="Garamond" w:hAnsi="Garamond"/>
          <w:i/>
          <w:iCs/>
        </w:rPr>
        <w:t xml:space="preserve">Analysis </w:t>
      </w:r>
      <w:r>
        <w:rPr>
          <w:rFonts w:ascii="Garamond" w:hAnsi="Garamond"/>
        </w:rPr>
        <w:t>Volume 79</w:t>
      </w:r>
      <w:r w:rsidR="00CB373B">
        <w:rPr>
          <w:rFonts w:ascii="Garamond" w:hAnsi="Garamond"/>
        </w:rPr>
        <w:t xml:space="preserve"> (3) (452-61).</w:t>
      </w:r>
    </w:p>
    <w:p w14:paraId="62FA7F88" w14:textId="4C4E27AC" w:rsidR="000B0B92" w:rsidRDefault="000B0B92" w:rsidP="000B0B92">
      <w:pPr>
        <w:pStyle w:val="NormalWeb"/>
        <w:spacing w:line="360" w:lineRule="auto"/>
        <w:rPr>
          <w:rFonts w:ascii="Garamond" w:hAnsi="Garamond"/>
          <w:i/>
          <w:iCs/>
        </w:rPr>
      </w:pPr>
      <w:r>
        <w:rPr>
          <w:rFonts w:ascii="Garamond" w:hAnsi="Garamond"/>
        </w:rPr>
        <w:t>Morgan, D (2019</w:t>
      </w:r>
      <w:r w:rsidR="00722637">
        <w:rPr>
          <w:rFonts w:ascii="Garamond" w:hAnsi="Garamond"/>
        </w:rPr>
        <w:t>b</w:t>
      </w:r>
      <w:r>
        <w:rPr>
          <w:rFonts w:ascii="Garamond" w:hAnsi="Garamond"/>
        </w:rPr>
        <w:t xml:space="preserve">). ‘Accidentally about me’. </w:t>
      </w:r>
      <w:r>
        <w:rPr>
          <w:rFonts w:ascii="Garamond" w:hAnsi="Garamond"/>
          <w:i/>
          <w:iCs/>
        </w:rPr>
        <w:t xml:space="preserve">Mind </w:t>
      </w:r>
    </w:p>
    <w:p w14:paraId="747DCD46" w14:textId="74192F6A" w:rsidR="000B0B92" w:rsidRDefault="000B0B92" w:rsidP="000B0B92">
      <w:pPr>
        <w:pStyle w:val="NormalWeb"/>
        <w:spacing w:line="360" w:lineRule="auto"/>
        <w:rPr>
          <w:rFonts w:ascii="Garamond" w:hAnsi="Garamond"/>
        </w:rPr>
      </w:pPr>
      <w:r w:rsidRPr="00490CBE">
        <w:rPr>
          <w:rFonts w:ascii="Garamond" w:hAnsi="Garamond"/>
        </w:rPr>
        <w:t>Musholt,</w:t>
      </w:r>
      <w:r>
        <w:rPr>
          <w:rFonts w:ascii="Garamond" w:hAnsi="Garamond"/>
        </w:rPr>
        <w:t xml:space="preserve"> K.</w:t>
      </w:r>
      <w:r w:rsidRPr="00490CBE">
        <w:rPr>
          <w:rFonts w:ascii="Garamond" w:hAnsi="Garamond"/>
        </w:rPr>
        <w:t> </w:t>
      </w:r>
      <w:r w:rsidRPr="00490CBE">
        <w:rPr>
          <w:rFonts w:ascii="Garamond" w:hAnsi="Garamond"/>
          <w:i/>
          <w:iCs/>
        </w:rPr>
        <w:t>Thinking about Oneself: From Nonconceptual Content to the Concept of a Self</w:t>
      </w:r>
      <w:r w:rsidRPr="00490CBE">
        <w:rPr>
          <w:rFonts w:ascii="Garamond" w:hAnsi="Garamond"/>
        </w:rPr>
        <w:t>, MIT Press, 2015</w:t>
      </w:r>
    </w:p>
    <w:p w14:paraId="274A9D35" w14:textId="78C44356" w:rsidR="000B0B92" w:rsidRPr="004069AB" w:rsidRDefault="000B0B92" w:rsidP="000B0B92">
      <w:pPr>
        <w:pStyle w:val="NormalWeb"/>
        <w:spacing w:line="360" w:lineRule="auto"/>
        <w:rPr>
          <w:rFonts w:ascii="Garamond" w:hAnsi="Garamond"/>
        </w:rPr>
      </w:pPr>
      <w:r w:rsidRPr="00195FCC">
        <w:rPr>
          <w:rFonts w:ascii="Garamond" w:hAnsi="Garamond"/>
        </w:rPr>
        <w:t xml:space="preserve">Moss, S., (2012), ‘Updating as communication’, </w:t>
      </w:r>
      <w:r w:rsidRPr="00195FCC">
        <w:rPr>
          <w:rFonts w:ascii="Garamond" w:hAnsi="Garamond"/>
          <w:i/>
          <w:iCs/>
        </w:rPr>
        <w:t xml:space="preserve">Philosophy and Phenomenological Research </w:t>
      </w:r>
      <w:r w:rsidRPr="00195FCC">
        <w:rPr>
          <w:rFonts w:ascii="Garamond" w:hAnsi="Garamond"/>
        </w:rPr>
        <w:t xml:space="preserve">85: 225–48. </w:t>
      </w:r>
    </w:p>
    <w:p w14:paraId="48F352A4" w14:textId="619D4EB3" w:rsidR="000B0B92" w:rsidRDefault="000B0B92" w:rsidP="000B0B92">
      <w:pPr>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O’Brien, Lucy (2007), </w:t>
      </w:r>
      <w:r w:rsidRPr="00494ED5">
        <w:rPr>
          <w:rFonts w:ascii="Garamond" w:hAnsi="Garamond" w:cstheme="minorHAnsi"/>
          <w:i/>
          <w:iCs/>
          <w:color w:val="000000" w:themeColor="text1"/>
        </w:rPr>
        <w:t>Self-Knowing Agents</w:t>
      </w:r>
      <w:r w:rsidRPr="00494ED5">
        <w:rPr>
          <w:rFonts w:ascii="Garamond" w:hAnsi="Garamond" w:cstheme="minorHAnsi"/>
          <w:color w:val="000000" w:themeColor="text1"/>
        </w:rPr>
        <w:t>, Oxford: OUP</w:t>
      </w:r>
    </w:p>
    <w:p w14:paraId="6AE10C9B" w14:textId="7E7DB3B2" w:rsidR="0039654E" w:rsidRPr="0039654E" w:rsidRDefault="0039654E" w:rsidP="000B0B92">
      <w:pPr>
        <w:spacing w:after="240" w:line="360" w:lineRule="auto"/>
        <w:jc w:val="both"/>
        <w:rPr>
          <w:rFonts w:ascii="Garamond" w:hAnsi="Garamond" w:cstheme="minorHAnsi"/>
          <w:color w:val="000000" w:themeColor="text1"/>
        </w:rPr>
      </w:pPr>
      <w:r>
        <w:rPr>
          <w:rFonts w:ascii="Garamond" w:hAnsi="Garamond" w:cstheme="minorHAnsi"/>
          <w:color w:val="000000" w:themeColor="text1"/>
        </w:rPr>
        <w:t xml:space="preserve">O’Brien, Lucy (2015), ‘Ambulo Ergo Sum’, </w:t>
      </w:r>
      <w:r>
        <w:rPr>
          <w:rFonts w:ascii="Garamond" w:hAnsi="Garamond" w:cstheme="minorHAnsi"/>
          <w:i/>
          <w:iCs/>
          <w:color w:val="000000" w:themeColor="text1"/>
        </w:rPr>
        <w:t>Royal Institute of Philosophy Supplement</w:t>
      </w:r>
      <w:r>
        <w:rPr>
          <w:rFonts w:ascii="Garamond" w:hAnsi="Garamond" w:cstheme="minorHAnsi"/>
          <w:color w:val="000000" w:themeColor="text1"/>
        </w:rPr>
        <w:t>, 76:57-75</w:t>
      </w:r>
    </w:p>
    <w:p w14:paraId="0F949B55" w14:textId="767DDF5D" w:rsidR="003618D8" w:rsidRDefault="003618D8" w:rsidP="00494ED5">
      <w:pPr>
        <w:pStyle w:val="NormalWeb"/>
        <w:spacing w:line="360" w:lineRule="auto"/>
        <w:rPr>
          <w:rFonts w:ascii="Garamond" w:hAnsi="Garamond"/>
        </w:rPr>
      </w:pPr>
      <w:r>
        <w:rPr>
          <w:rFonts w:ascii="Garamond" w:hAnsi="Garamond"/>
        </w:rPr>
        <w:t xml:space="preserve">Paul, L (2017a) </w:t>
      </w:r>
      <w:r w:rsidRPr="003618D8">
        <w:rPr>
          <w:rFonts w:ascii="Garamond" w:hAnsi="Garamond"/>
        </w:rPr>
        <w:t>‘De se preferences and empathy for future selves’</w:t>
      </w:r>
      <w:r>
        <w:rPr>
          <w:rFonts w:ascii="Garamond" w:hAnsi="Garamond"/>
        </w:rPr>
        <w:t xml:space="preserve">, </w:t>
      </w:r>
      <w:r>
        <w:rPr>
          <w:rFonts w:ascii="Garamond" w:hAnsi="Garamond"/>
          <w:i/>
          <w:iCs/>
        </w:rPr>
        <w:t xml:space="preserve">Philosophical Perspectives </w:t>
      </w:r>
      <w:r>
        <w:rPr>
          <w:rFonts w:ascii="Garamond" w:hAnsi="Garamond"/>
        </w:rPr>
        <w:t>31 (1): 7-39.</w:t>
      </w:r>
    </w:p>
    <w:p w14:paraId="268E0336" w14:textId="00F7AB75" w:rsidR="000B0B92" w:rsidRDefault="003618D8" w:rsidP="000B0B92">
      <w:pPr>
        <w:pStyle w:val="NormalWeb"/>
        <w:spacing w:line="360" w:lineRule="auto"/>
        <w:rPr>
          <w:rFonts w:ascii="Garamond" w:hAnsi="Garamond"/>
        </w:rPr>
      </w:pPr>
      <w:r>
        <w:rPr>
          <w:rFonts w:ascii="Garamond" w:hAnsi="Garamond"/>
        </w:rPr>
        <w:t xml:space="preserve">Paul, L. A (2017b) ‘First person modes of presentation and the structure of empathy’ </w:t>
      </w:r>
      <w:r>
        <w:rPr>
          <w:rFonts w:ascii="Garamond" w:hAnsi="Garamond"/>
          <w:i/>
          <w:iCs/>
        </w:rPr>
        <w:t>Inquiry: An Interdisciplinary Journal of Philosophy</w:t>
      </w:r>
      <w:r w:rsidRPr="003618D8">
        <w:rPr>
          <w:rFonts w:ascii="Garamond" w:hAnsi="Garamond"/>
        </w:rPr>
        <w:t xml:space="preserve"> 60 (3):189-207 </w:t>
      </w:r>
    </w:p>
    <w:p w14:paraId="311DF487"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Palmira, Michele (2019), ‘Arithmetic judgments, first-person judgments, and immunity to error through misidentification’, </w:t>
      </w:r>
      <w:r w:rsidRPr="00494ED5">
        <w:rPr>
          <w:rFonts w:ascii="Garamond" w:hAnsi="Garamond" w:cstheme="minorHAnsi"/>
          <w:i/>
          <w:iCs/>
          <w:color w:val="000000" w:themeColor="text1"/>
        </w:rPr>
        <w:t>Review of Philosophy and Psychology</w:t>
      </w:r>
      <w:r w:rsidRPr="00494ED5">
        <w:rPr>
          <w:rFonts w:ascii="Garamond" w:hAnsi="Garamond" w:cstheme="minorHAnsi"/>
          <w:color w:val="000000" w:themeColor="text1"/>
        </w:rPr>
        <w:t>, 10:1</w:t>
      </w:r>
    </w:p>
    <w:p w14:paraId="653AA493"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Palmira, Michele (ms), ‘Immunity, thought insertion and the first person concept’</w:t>
      </w:r>
    </w:p>
    <w:p w14:paraId="15C88AD3" w14:textId="4529700C" w:rsidR="000B0B92"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Parrott, Matthew (2017), ‘Subjective Misidentification and Thought Insertion’, </w:t>
      </w:r>
      <w:r w:rsidRPr="00494ED5">
        <w:rPr>
          <w:rFonts w:ascii="Garamond" w:hAnsi="Garamond" w:cstheme="minorHAnsi"/>
          <w:i/>
          <w:iCs/>
          <w:color w:val="000000" w:themeColor="text1"/>
        </w:rPr>
        <w:t>Mind and Language</w:t>
      </w:r>
      <w:r w:rsidRPr="00494ED5">
        <w:rPr>
          <w:rFonts w:ascii="Garamond" w:hAnsi="Garamond" w:cstheme="minorHAnsi"/>
          <w:color w:val="000000" w:themeColor="text1"/>
        </w:rPr>
        <w:t>, 32:1</w:t>
      </w:r>
    </w:p>
    <w:p w14:paraId="61BC578C" w14:textId="777BC0B8" w:rsidR="0039654E" w:rsidRPr="0039654E" w:rsidRDefault="0039654E" w:rsidP="000B0B92">
      <w:pPr>
        <w:tabs>
          <w:tab w:val="left" w:pos="1848"/>
        </w:tabs>
        <w:spacing w:after="240" w:line="360" w:lineRule="auto"/>
        <w:jc w:val="both"/>
        <w:rPr>
          <w:rFonts w:ascii="Garamond" w:hAnsi="Garamond" w:cstheme="minorHAnsi"/>
          <w:color w:val="000000" w:themeColor="text1"/>
        </w:rPr>
      </w:pPr>
      <w:r>
        <w:rPr>
          <w:rFonts w:ascii="Garamond" w:hAnsi="Garamond" w:cstheme="minorHAnsi"/>
          <w:color w:val="000000" w:themeColor="text1"/>
        </w:rPr>
        <w:lastRenderedPageBreak/>
        <w:t xml:space="preserve">Peacocke, Christopher (2012), ‘Descartes Defended’ in </w:t>
      </w:r>
      <w:r>
        <w:rPr>
          <w:rFonts w:ascii="Garamond" w:hAnsi="Garamond" w:cstheme="minorHAnsi"/>
          <w:i/>
          <w:iCs/>
          <w:color w:val="000000" w:themeColor="text1"/>
        </w:rPr>
        <w:t>Aristotelian Society Supplementary Volumes</w:t>
      </w:r>
      <w:r>
        <w:rPr>
          <w:rFonts w:ascii="Garamond" w:hAnsi="Garamond" w:cstheme="minorHAnsi"/>
          <w:color w:val="000000" w:themeColor="text1"/>
        </w:rPr>
        <w:t>, 86:1</w:t>
      </w:r>
    </w:p>
    <w:p w14:paraId="498277F3" w14:textId="387952AA" w:rsidR="000B0B92"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hAnsi="Garamond" w:cstheme="minorHAnsi"/>
          <w:color w:val="000000" w:themeColor="text1"/>
        </w:rPr>
        <w:t xml:space="preserve">Peacocke, Christopher (2012), ‘Explaining </w:t>
      </w:r>
      <w:r w:rsidRPr="00494ED5">
        <w:rPr>
          <w:rFonts w:ascii="Garamond" w:hAnsi="Garamond" w:cstheme="minorHAnsi"/>
          <w:i/>
          <w:iCs/>
          <w:color w:val="000000" w:themeColor="text1"/>
        </w:rPr>
        <w:t>de se</w:t>
      </w:r>
      <w:r w:rsidRPr="00494ED5">
        <w:rPr>
          <w:rFonts w:ascii="Garamond" w:hAnsi="Garamond" w:cstheme="minorHAnsi"/>
          <w:color w:val="000000" w:themeColor="text1"/>
        </w:rPr>
        <w:t xml:space="preserve"> phenomena’, </w:t>
      </w:r>
      <w:r w:rsidRPr="00494ED5">
        <w:rPr>
          <w:rFonts w:ascii="Garamond" w:eastAsia="Times New Roman" w:hAnsi="Garamond" w:cstheme="minorHAnsi"/>
          <w:bCs/>
          <w:color w:val="000000" w:themeColor="text1"/>
          <w:lang w:eastAsia="en-GB"/>
        </w:rPr>
        <w:t>in 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Cambridge University Press.</w:t>
      </w:r>
    </w:p>
    <w:p w14:paraId="16B275D5" w14:textId="5133E240" w:rsidR="004069AB" w:rsidRDefault="004069AB" w:rsidP="000B0B92">
      <w:pPr>
        <w:spacing w:after="240" w:line="360" w:lineRule="auto"/>
        <w:jc w:val="both"/>
        <w:rPr>
          <w:rFonts w:ascii="Garamond" w:eastAsia="Times New Roman" w:hAnsi="Garamond" w:cstheme="minorHAnsi"/>
          <w:bCs/>
          <w:color w:val="000000" w:themeColor="text1"/>
          <w:lang w:eastAsia="en-GB"/>
        </w:rPr>
      </w:pPr>
      <w:r>
        <w:rPr>
          <w:rFonts w:ascii="Garamond" w:eastAsia="Times New Roman" w:hAnsi="Garamond" w:cstheme="minorHAnsi"/>
          <w:bCs/>
          <w:color w:val="000000" w:themeColor="text1"/>
          <w:lang w:eastAsia="en-GB"/>
        </w:rPr>
        <w:t>Peacocke, C (2014</w:t>
      </w:r>
      <w:r w:rsidR="0063751D">
        <w:rPr>
          <w:rFonts w:ascii="Garamond" w:eastAsia="Times New Roman" w:hAnsi="Garamond" w:cstheme="minorHAnsi"/>
          <w:bCs/>
          <w:color w:val="000000" w:themeColor="text1"/>
          <w:lang w:eastAsia="en-GB"/>
        </w:rPr>
        <w:t>a</w:t>
      </w:r>
      <w:r>
        <w:rPr>
          <w:rFonts w:ascii="Garamond" w:eastAsia="Times New Roman" w:hAnsi="Garamond" w:cstheme="minorHAnsi"/>
          <w:bCs/>
          <w:color w:val="000000" w:themeColor="text1"/>
          <w:lang w:eastAsia="en-GB"/>
        </w:rPr>
        <w:t xml:space="preserve">), </w:t>
      </w:r>
      <w:r>
        <w:rPr>
          <w:rFonts w:ascii="Garamond" w:eastAsia="Times New Roman" w:hAnsi="Garamond" w:cstheme="minorHAnsi"/>
          <w:bCs/>
          <w:i/>
          <w:iCs/>
          <w:color w:val="000000" w:themeColor="text1"/>
          <w:lang w:eastAsia="en-GB"/>
        </w:rPr>
        <w:t xml:space="preserve">The Mirror of the World </w:t>
      </w:r>
      <w:r w:rsidRPr="004069AB">
        <w:rPr>
          <w:rFonts w:ascii="Garamond" w:eastAsia="Times New Roman" w:hAnsi="Garamond" w:cstheme="minorHAnsi"/>
          <w:bCs/>
          <w:i/>
          <w:iCs/>
          <w:color w:val="000000" w:themeColor="text1"/>
          <w:lang w:eastAsia="en-GB"/>
        </w:rPr>
        <w:t>Subjects, Consciousness, and Self-Consciousness</w:t>
      </w:r>
      <w:r>
        <w:rPr>
          <w:rFonts w:ascii="Garamond" w:eastAsia="Times New Roman" w:hAnsi="Garamond" w:cstheme="minorHAnsi"/>
          <w:bCs/>
          <w:i/>
          <w:iCs/>
          <w:color w:val="000000" w:themeColor="text1"/>
          <w:lang w:eastAsia="en-GB"/>
        </w:rPr>
        <w:t xml:space="preserve">, </w:t>
      </w:r>
      <w:r>
        <w:rPr>
          <w:rFonts w:ascii="Garamond" w:eastAsia="Times New Roman" w:hAnsi="Garamond" w:cstheme="minorHAnsi"/>
          <w:bCs/>
          <w:color w:val="000000" w:themeColor="text1"/>
          <w:lang w:eastAsia="en-GB"/>
        </w:rPr>
        <w:t xml:space="preserve">Oxford University Press. </w:t>
      </w:r>
    </w:p>
    <w:p w14:paraId="096FA297" w14:textId="0DD9DE3C" w:rsidR="00A44876" w:rsidRDefault="0063751D" w:rsidP="000B0B92">
      <w:pPr>
        <w:spacing w:after="240" w:line="360" w:lineRule="auto"/>
        <w:jc w:val="both"/>
        <w:rPr>
          <w:rFonts w:ascii="Garamond" w:eastAsia="Times New Roman" w:hAnsi="Garamond" w:cstheme="minorHAnsi"/>
          <w:bCs/>
          <w:color w:val="000000" w:themeColor="text1"/>
          <w:lang w:eastAsia="en-GB"/>
        </w:rPr>
      </w:pPr>
      <w:r>
        <w:rPr>
          <w:rFonts w:ascii="Garamond" w:eastAsia="Times New Roman" w:hAnsi="Garamond" w:cstheme="minorHAnsi"/>
          <w:bCs/>
          <w:color w:val="000000" w:themeColor="text1"/>
          <w:lang w:eastAsia="en-GB"/>
        </w:rPr>
        <w:t xml:space="preserve">Peacocke, C (2014b), ‘Interpersonal Self-Consciousness’, </w:t>
      </w:r>
      <w:r>
        <w:rPr>
          <w:rFonts w:ascii="Garamond" w:eastAsia="Times New Roman" w:hAnsi="Garamond" w:cstheme="minorHAnsi"/>
          <w:bCs/>
          <w:i/>
          <w:iCs/>
          <w:color w:val="000000" w:themeColor="text1"/>
          <w:lang w:eastAsia="en-GB"/>
        </w:rPr>
        <w:t>Philosophical Studies</w:t>
      </w:r>
      <w:r>
        <w:rPr>
          <w:rFonts w:ascii="Garamond" w:eastAsia="Times New Roman" w:hAnsi="Garamond" w:cstheme="minorHAnsi"/>
          <w:bCs/>
          <w:color w:val="000000" w:themeColor="text1"/>
          <w:lang w:eastAsia="en-GB"/>
        </w:rPr>
        <w:t xml:space="preserve"> </w:t>
      </w:r>
      <w:r w:rsidR="00A44876" w:rsidRPr="00A44876">
        <w:rPr>
          <w:rFonts w:ascii="Garamond" w:eastAsia="Times New Roman" w:hAnsi="Garamond" w:cstheme="minorHAnsi"/>
          <w:bCs/>
          <w:color w:val="000000" w:themeColor="text1"/>
          <w:lang w:eastAsia="en-GB"/>
        </w:rPr>
        <w:t>170 (1):1-24 (2014)</w:t>
      </w:r>
    </w:p>
    <w:p w14:paraId="7A2F63C8" w14:textId="0D15DB6E" w:rsidR="00E73765" w:rsidRPr="00E73765" w:rsidRDefault="00E73765" w:rsidP="000B0B92">
      <w:pPr>
        <w:spacing w:after="240" w:line="360" w:lineRule="auto"/>
        <w:jc w:val="both"/>
        <w:rPr>
          <w:rFonts w:ascii="Garamond" w:eastAsia="Times New Roman" w:hAnsi="Garamond" w:cstheme="minorHAnsi"/>
          <w:bCs/>
          <w:color w:val="000000" w:themeColor="text1"/>
          <w:lang w:eastAsia="en-GB"/>
        </w:rPr>
      </w:pPr>
      <w:r>
        <w:rPr>
          <w:rFonts w:ascii="Garamond" w:eastAsia="Times New Roman" w:hAnsi="Garamond" w:cstheme="minorHAnsi"/>
          <w:bCs/>
          <w:color w:val="000000" w:themeColor="text1"/>
          <w:lang w:eastAsia="en-GB"/>
        </w:rPr>
        <w:t xml:space="preserve">Perry, John, (1979), ‘The Problem of the Essential Indexical’, </w:t>
      </w:r>
      <w:r>
        <w:rPr>
          <w:rFonts w:ascii="Garamond" w:eastAsia="Times New Roman" w:hAnsi="Garamond" w:cstheme="minorHAnsi"/>
          <w:bCs/>
          <w:i/>
          <w:iCs/>
          <w:color w:val="000000" w:themeColor="text1"/>
          <w:lang w:eastAsia="en-GB"/>
        </w:rPr>
        <w:t>Noûs</w:t>
      </w:r>
      <w:r>
        <w:rPr>
          <w:rFonts w:ascii="Garamond" w:eastAsia="Times New Roman" w:hAnsi="Garamond" w:cstheme="minorHAnsi"/>
          <w:bCs/>
          <w:color w:val="000000" w:themeColor="text1"/>
          <w:lang w:eastAsia="en-GB"/>
        </w:rPr>
        <w:t>, 13:1</w:t>
      </w:r>
    </w:p>
    <w:p w14:paraId="2D408111" w14:textId="77777777" w:rsidR="000B0B92" w:rsidRPr="00494ED5"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eastAsia="Times New Roman" w:hAnsi="Garamond" w:cstheme="minorHAnsi"/>
          <w:bCs/>
          <w:color w:val="000000" w:themeColor="text1"/>
          <w:lang w:eastAsia="en-GB"/>
        </w:rPr>
        <w:t>Prosser, Simon (2012), ‘Sources of immunity to error through misidentification’, in 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Cambridge University Press.</w:t>
      </w:r>
    </w:p>
    <w:p w14:paraId="797CBAF8" w14:textId="1BDA4297" w:rsidR="00A208DB" w:rsidRPr="000B0B92"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Pryor, James (1999), ‘Immunity to error through misidentification’, </w:t>
      </w:r>
      <w:r w:rsidRPr="00494ED5">
        <w:rPr>
          <w:rFonts w:ascii="Garamond" w:hAnsi="Garamond" w:cstheme="minorHAnsi"/>
          <w:i/>
          <w:iCs/>
          <w:color w:val="000000" w:themeColor="text1"/>
        </w:rPr>
        <w:t>Philosophical Topics</w:t>
      </w:r>
      <w:r w:rsidRPr="00494ED5">
        <w:rPr>
          <w:rFonts w:ascii="Garamond" w:hAnsi="Garamond" w:cstheme="minorHAnsi"/>
          <w:color w:val="000000" w:themeColor="text1"/>
        </w:rPr>
        <w:t>, 26:1/2</w:t>
      </w:r>
    </w:p>
    <w:p w14:paraId="5774C523" w14:textId="68323D94" w:rsidR="00EA6CC3" w:rsidRPr="00195FCC" w:rsidRDefault="00EA6CC3" w:rsidP="00494ED5">
      <w:pPr>
        <w:pStyle w:val="NormalWeb"/>
        <w:spacing w:line="360" w:lineRule="auto"/>
        <w:rPr>
          <w:rFonts w:ascii="Garamond" w:hAnsi="Garamond"/>
        </w:rPr>
      </w:pPr>
      <w:r w:rsidRPr="00136B4B">
        <w:rPr>
          <w:rFonts w:ascii="Garamond" w:hAnsi="Garamond"/>
        </w:rPr>
        <w:t xml:space="preserve">Perry, J. (1979). “The Problem of the Essential Indexical”. Nous, 13(1), 3–21. Reprinted in Perry 1993, 3–52. </w:t>
      </w:r>
      <w:r w:rsidR="004069AB">
        <w:rPr>
          <w:rFonts w:ascii="Garamond" w:hAnsi="Garamond"/>
        </w:rPr>
        <w:t>???? pages got more!</w:t>
      </w:r>
    </w:p>
    <w:p w14:paraId="37B918EF" w14:textId="0289778A" w:rsidR="000B0B92" w:rsidRPr="00136B4B" w:rsidRDefault="00EA6CC3" w:rsidP="000B0B92">
      <w:pPr>
        <w:pStyle w:val="NormalWeb"/>
        <w:spacing w:line="360" w:lineRule="auto"/>
        <w:rPr>
          <w:rFonts w:ascii="Garamond" w:hAnsi="Garamond"/>
        </w:rPr>
      </w:pPr>
      <w:r w:rsidRPr="00136B4B">
        <w:rPr>
          <w:rFonts w:ascii="Garamond" w:hAnsi="Garamond"/>
        </w:rPr>
        <w:t>Perry, J. (1993). The Problem of the Essential Indexical and Other Essays. New York: Oxford University Press</w:t>
      </w:r>
      <w:r w:rsidRPr="00195FCC">
        <w:rPr>
          <w:rFonts w:ascii="Garamond" w:hAnsi="Garamond"/>
        </w:rPr>
        <w:t>.</w:t>
      </w:r>
      <w:r w:rsidRPr="00136B4B">
        <w:rPr>
          <w:rFonts w:ascii="Garamond" w:hAnsi="Garamond"/>
        </w:rPr>
        <w:t xml:space="preserve"> </w:t>
      </w:r>
    </w:p>
    <w:p w14:paraId="01225238" w14:textId="2866E5A8" w:rsidR="00EA6CC3" w:rsidRDefault="000B0B92" w:rsidP="00494ED5">
      <w:pPr>
        <w:pStyle w:val="NormalWeb"/>
        <w:spacing w:line="360" w:lineRule="auto"/>
        <w:rPr>
          <w:rFonts w:ascii="Garamond" w:hAnsi="Garamond"/>
        </w:rPr>
      </w:pPr>
      <w:r w:rsidRPr="00195FCC">
        <w:rPr>
          <w:rFonts w:ascii="Garamond" w:hAnsi="Garamond"/>
        </w:rPr>
        <w:t xml:space="preserve">Prosser, S &amp; Recanati, F (eds.) (2012). </w:t>
      </w:r>
      <w:r w:rsidRPr="00195FCC">
        <w:rPr>
          <w:rFonts w:ascii="Garamond" w:hAnsi="Garamond"/>
          <w:i/>
          <w:iCs/>
        </w:rPr>
        <w:t xml:space="preserve">Immunity to Error Through Misidentification: New Essays. </w:t>
      </w:r>
      <w:r w:rsidRPr="00195FCC">
        <w:rPr>
          <w:rFonts w:ascii="Garamond" w:hAnsi="Garamond"/>
        </w:rPr>
        <w:t>Cambridge University Press.</w:t>
      </w:r>
    </w:p>
    <w:p w14:paraId="4FDF7ED9" w14:textId="1D51893A" w:rsidR="000B0B92" w:rsidRPr="000B0B92" w:rsidRDefault="000B0B92" w:rsidP="000B0B92">
      <w:pPr>
        <w:spacing w:after="240" w:line="360" w:lineRule="auto"/>
        <w:rPr>
          <w:rFonts w:ascii="Garamond" w:hAnsi="Garamond"/>
        </w:rPr>
      </w:pPr>
      <w:r>
        <w:rPr>
          <w:rFonts w:ascii="Garamond" w:hAnsi="Garamond"/>
        </w:rPr>
        <w:t xml:space="preserve">Simon Prosser (2015) ‘Why are indexicals essential?’ </w:t>
      </w:r>
      <w:r w:rsidRPr="00195FCC">
        <w:rPr>
          <w:rFonts w:ascii="Garamond" w:hAnsi="Garamond"/>
          <w:i/>
          <w:iCs/>
        </w:rPr>
        <w:t>Proceedings of the Aristotelian Society</w:t>
      </w:r>
      <w:r w:rsidRPr="00195FCC">
        <w:rPr>
          <w:rFonts w:ascii="Garamond" w:hAnsi="Garamond"/>
        </w:rPr>
        <w:t xml:space="preserve">, 115 (2015), vol. 3. </w:t>
      </w:r>
    </w:p>
    <w:p w14:paraId="4C1223D9"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Recanati, François (2007), </w:t>
      </w:r>
      <w:r w:rsidRPr="00494ED5">
        <w:rPr>
          <w:rFonts w:ascii="Garamond" w:hAnsi="Garamond" w:cstheme="minorHAnsi"/>
          <w:i/>
          <w:iCs/>
          <w:color w:val="000000" w:themeColor="text1"/>
        </w:rPr>
        <w:t>Perspectival Thought: a plea for moderate relativism</w:t>
      </w:r>
      <w:r w:rsidRPr="00494ED5">
        <w:rPr>
          <w:rFonts w:ascii="Garamond" w:hAnsi="Garamond" w:cstheme="minorHAnsi"/>
          <w:color w:val="000000" w:themeColor="text1"/>
        </w:rPr>
        <w:t xml:space="preserve">, Oxford: OUP </w:t>
      </w:r>
    </w:p>
    <w:p w14:paraId="6EF60D94"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Recanati, François (2009), </w:t>
      </w:r>
      <w:r w:rsidRPr="00494ED5">
        <w:rPr>
          <w:rFonts w:ascii="Garamond" w:hAnsi="Garamond" w:cstheme="minorHAnsi"/>
          <w:i/>
          <w:iCs/>
          <w:color w:val="000000" w:themeColor="text1"/>
        </w:rPr>
        <w:t xml:space="preserve">De re </w:t>
      </w:r>
      <w:r w:rsidRPr="00494ED5">
        <w:rPr>
          <w:rFonts w:ascii="Garamond" w:hAnsi="Garamond" w:cstheme="minorHAnsi"/>
          <w:color w:val="000000" w:themeColor="text1"/>
        </w:rPr>
        <w:t xml:space="preserve">and </w:t>
      </w:r>
      <w:r w:rsidRPr="00494ED5">
        <w:rPr>
          <w:rFonts w:ascii="Garamond" w:hAnsi="Garamond" w:cstheme="minorHAnsi"/>
          <w:i/>
          <w:iCs/>
          <w:color w:val="000000" w:themeColor="text1"/>
        </w:rPr>
        <w:t>de se</w:t>
      </w:r>
      <w:r w:rsidRPr="00494ED5">
        <w:rPr>
          <w:rFonts w:ascii="Garamond" w:hAnsi="Garamond" w:cstheme="minorHAnsi"/>
          <w:color w:val="000000" w:themeColor="text1"/>
        </w:rPr>
        <w:t xml:space="preserve">, </w:t>
      </w:r>
      <w:r w:rsidRPr="00494ED5">
        <w:rPr>
          <w:rFonts w:ascii="Garamond" w:hAnsi="Garamond" w:cstheme="minorHAnsi"/>
          <w:i/>
          <w:iCs/>
          <w:color w:val="000000" w:themeColor="text1"/>
        </w:rPr>
        <w:t>Dialectica</w:t>
      </w:r>
      <w:r w:rsidRPr="00494ED5">
        <w:rPr>
          <w:rFonts w:ascii="Garamond" w:hAnsi="Garamond" w:cstheme="minorHAnsi"/>
          <w:color w:val="000000" w:themeColor="text1"/>
        </w:rPr>
        <w:t>, 63: 3</w:t>
      </w:r>
    </w:p>
    <w:p w14:paraId="7073C71F" w14:textId="77777777" w:rsidR="000B0B92" w:rsidRPr="00494ED5"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hAnsi="Garamond" w:cstheme="minorHAnsi"/>
          <w:color w:val="000000" w:themeColor="text1"/>
        </w:rPr>
        <w:t xml:space="preserve">Recanati, François (2012), ‘Immunity to error through misidentification: what it is and where it comes from’, in </w:t>
      </w:r>
      <w:r w:rsidRPr="00494ED5">
        <w:rPr>
          <w:rFonts w:ascii="Garamond" w:eastAsia="Times New Roman" w:hAnsi="Garamond" w:cstheme="minorHAnsi"/>
          <w:bCs/>
          <w:color w:val="000000" w:themeColor="text1"/>
          <w:lang w:eastAsia="en-GB"/>
        </w:rPr>
        <w:t>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Cambridge University Press.</w:t>
      </w:r>
    </w:p>
    <w:p w14:paraId="24AAE0E2" w14:textId="77777777" w:rsidR="000B0B92" w:rsidRPr="00494ED5" w:rsidRDefault="000B0B92" w:rsidP="000B0B92">
      <w:pPr>
        <w:spacing w:after="240" w:line="360" w:lineRule="auto"/>
        <w:jc w:val="both"/>
        <w:rPr>
          <w:rFonts w:ascii="Garamond" w:eastAsia="Times New Roman" w:hAnsi="Garamond" w:cstheme="minorHAnsi"/>
          <w:color w:val="000000" w:themeColor="text1"/>
          <w:lang w:eastAsia="en-GB"/>
        </w:rPr>
      </w:pPr>
      <w:r w:rsidRPr="00494ED5">
        <w:rPr>
          <w:rFonts w:ascii="Garamond" w:eastAsia="Times New Roman" w:hAnsi="Garamond" w:cstheme="minorHAnsi"/>
          <w:color w:val="000000" w:themeColor="text1"/>
          <w:lang w:eastAsia="en-GB"/>
        </w:rPr>
        <w:lastRenderedPageBreak/>
        <w:t xml:space="preserve">Romdenh-Romluc, Komarine (2013), ‘First-person awareness of intentions and immunity to error through misidentification’, </w:t>
      </w:r>
      <w:r w:rsidRPr="00494ED5">
        <w:rPr>
          <w:rFonts w:ascii="Garamond" w:eastAsia="Times New Roman" w:hAnsi="Garamond" w:cstheme="minorHAnsi"/>
          <w:i/>
          <w:iCs/>
          <w:color w:val="000000" w:themeColor="text1"/>
          <w:lang w:eastAsia="en-GB"/>
        </w:rPr>
        <w:t>International Journal of Philosophical Studies</w:t>
      </w:r>
      <w:r w:rsidRPr="00494ED5">
        <w:rPr>
          <w:rFonts w:ascii="Garamond" w:eastAsia="Times New Roman" w:hAnsi="Garamond" w:cstheme="minorHAnsi"/>
          <w:color w:val="000000" w:themeColor="text1"/>
          <w:lang w:eastAsia="en-GB"/>
        </w:rPr>
        <w:t>, 21:4</w:t>
      </w:r>
    </w:p>
    <w:p w14:paraId="6AD5E67E" w14:textId="542D1584" w:rsidR="00EA6CC3" w:rsidRDefault="00EA6CC3" w:rsidP="00494ED5">
      <w:pPr>
        <w:pStyle w:val="NormalWeb"/>
        <w:spacing w:line="360" w:lineRule="auto"/>
        <w:rPr>
          <w:rFonts w:ascii="Garamond" w:hAnsi="Garamond"/>
        </w:rPr>
      </w:pPr>
      <w:r w:rsidRPr="009627EF">
        <w:rPr>
          <w:rFonts w:ascii="Garamond" w:hAnsi="Garamond"/>
        </w:rPr>
        <w:t>Rödl,</w:t>
      </w:r>
      <w:r w:rsidR="000B0B92">
        <w:rPr>
          <w:rFonts w:ascii="Garamond" w:hAnsi="Garamond"/>
        </w:rPr>
        <w:t xml:space="preserve"> S.</w:t>
      </w:r>
      <w:r w:rsidRPr="009627EF">
        <w:rPr>
          <w:rFonts w:ascii="Garamond" w:hAnsi="Garamond"/>
        </w:rPr>
        <w:t> </w:t>
      </w:r>
      <w:r w:rsidRPr="009627EF">
        <w:rPr>
          <w:rFonts w:ascii="Garamond" w:hAnsi="Garamond"/>
          <w:i/>
          <w:iCs/>
        </w:rPr>
        <w:t>Self-Consciousness and Objectivity: An Introduction to Absolute Idealism,</w:t>
      </w:r>
      <w:r w:rsidRPr="009627EF">
        <w:rPr>
          <w:rFonts w:ascii="Garamond" w:hAnsi="Garamond"/>
        </w:rPr>
        <w:t> Harvard University Press, 2018</w:t>
      </w:r>
      <w:r>
        <w:rPr>
          <w:rFonts w:ascii="Garamond" w:hAnsi="Garamond"/>
        </w:rPr>
        <w:t>.</w:t>
      </w:r>
    </w:p>
    <w:p w14:paraId="7FE66C99" w14:textId="23015F1D" w:rsidR="000B0B92" w:rsidRDefault="000B0B92" w:rsidP="000B0B92">
      <w:pPr>
        <w:spacing w:after="240" w:line="360" w:lineRule="auto"/>
        <w:jc w:val="both"/>
        <w:rPr>
          <w:rFonts w:ascii="Garamond" w:eastAsia="Times New Roman" w:hAnsi="Garamond" w:cstheme="minorHAnsi"/>
          <w:bCs/>
          <w:color w:val="000000" w:themeColor="text1"/>
          <w:lang w:eastAsia="en-GB"/>
        </w:rPr>
      </w:pPr>
      <w:r w:rsidRPr="00494ED5">
        <w:rPr>
          <w:rFonts w:ascii="Garamond" w:eastAsia="Times New Roman" w:hAnsi="Garamond" w:cstheme="minorHAnsi"/>
          <w:bCs/>
          <w:color w:val="000000" w:themeColor="text1"/>
          <w:lang w:eastAsia="en-GB"/>
        </w:rPr>
        <w:t>Shoemaker, S. (1968) Self-reference and self-awareness, Journal of Philosophy, 65 (19), pp. 555–567</w:t>
      </w:r>
    </w:p>
    <w:p w14:paraId="06AAADF6" w14:textId="2729E213" w:rsidR="004069AB" w:rsidRPr="004069AB" w:rsidRDefault="004069AB" w:rsidP="004069AB">
      <w:pPr>
        <w:spacing w:after="240" w:line="360" w:lineRule="auto"/>
        <w:rPr>
          <w:rFonts w:ascii="Garamond" w:hAnsi="Garamond"/>
        </w:rPr>
      </w:pPr>
      <w:r>
        <w:rPr>
          <w:rFonts w:ascii="Garamond" w:hAnsi="Garamond"/>
        </w:rPr>
        <w:t xml:space="preserve">Salje, L. 2017 ‘Thinking about you’ </w:t>
      </w:r>
      <w:r w:rsidRPr="000B0B92">
        <w:rPr>
          <w:rFonts w:ascii="Garamond" w:hAnsi="Garamond"/>
          <w:i/>
          <w:iCs/>
        </w:rPr>
        <w:t>Mind</w:t>
      </w:r>
      <w:r w:rsidRPr="000B0B92">
        <w:rPr>
          <w:rFonts w:ascii="Garamond" w:hAnsi="Garamond"/>
        </w:rPr>
        <w:t> 126 (503):817-840.</w:t>
      </w:r>
    </w:p>
    <w:p w14:paraId="45E11BFF"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Salje, Léa (2016), ‘The subjective perspective in introspection’, </w:t>
      </w:r>
      <w:r w:rsidRPr="00494ED5">
        <w:rPr>
          <w:rFonts w:ascii="Garamond" w:hAnsi="Garamond" w:cstheme="minorHAnsi"/>
          <w:i/>
          <w:iCs/>
          <w:color w:val="000000" w:themeColor="text1"/>
        </w:rPr>
        <w:t>Journal of Consciousness Studies</w:t>
      </w:r>
      <w:r w:rsidRPr="00494ED5">
        <w:rPr>
          <w:rFonts w:ascii="Garamond" w:hAnsi="Garamond" w:cstheme="minorHAnsi"/>
          <w:color w:val="000000" w:themeColor="text1"/>
        </w:rPr>
        <w:t>, 23:3-4</w:t>
      </w:r>
    </w:p>
    <w:p w14:paraId="67FBED8F"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Salje, Léa (2017), ‘Crossed wires about crossed wires: somatosensation and immunity to error through misidentification’, </w:t>
      </w:r>
      <w:r w:rsidRPr="00494ED5">
        <w:rPr>
          <w:rFonts w:ascii="Garamond" w:hAnsi="Garamond" w:cstheme="minorHAnsi"/>
          <w:i/>
          <w:iCs/>
          <w:color w:val="000000" w:themeColor="text1"/>
        </w:rPr>
        <w:t>Dialectica</w:t>
      </w:r>
      <w:r w:rsidRPr="00494ED5">
        <w:rPr>
          <w:rFonts w:ascii="Garamond" w:hAnsi="Garamond" w:cstheme="minorHAnsi"/>
          <w:color w:val="000000" w:themeColor="text1"/>
        </w:rPr>
        <w:t>, 71:1</w:t>
      </w:r>
    </w:p>
    <w:p w14:paraId="46D584AE"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Schwenkler, John (2013a), ‘The objects of bodily awareness’, </w:t>
      </w:r>
      <w:r w:rsidRPr="00494ED5">
        <w:rPr>
          <w:rFonts w:ascii="Garamond" w:hAnsi="Garamond" w:cstheme="minorHAnsi"/>
          <w:i/>
          <w:iCs/>
          <w:color w:val="000000" w:themeColor="text1"/>
        </w:rPr>
        <w:t>Philosophical Studies</w:t>
      </w:r>
      <w:r w:rsidRPr="00494ED5">
        <w:rPr>
          <w:rFonts w:ascii="Garamond" w:hAnsi="Garamond" w:cstheme="minorHAnsi"/>
          <w:color w:val="000000" w:themeColor="text1"/>
        </w:rPr>
        <w:t>, 162:2</w:t>
      </w:r>
    </w:p>
    <w:p w14:paraId="084FD91C" w14:textId="77777777" w:rsidR="000B0B92" w:rsidRPr="00494ED5" w:rsidRDefault="000B0B92" w:rsidP="000B0B92">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Schwenkler, John (2013b), ‘Review: ‘Immunity to Error through Misidentification’ edited by Simon Prosser and François Recanati’, </w:t>
      </w:r>
      <w:r w:rsidRPr="00494ED5">
        <w:rPr>
          <w:rFonts w:ascii="Garamond" w:hAnsi="Garamond" w:cstheme="minorHAnsi"/>
          <w:i/>
          <w:iCs/>
          <w:color w:val="000000" w:themeColor="text1"/>
        </w:rPr>
        <w:t>Analysis</w:t>
      </w:r>
      <w:r w:rsidRPr="00494ED5">
        <w:rPr>
          <w:rFonts w:ascii="Garamond" w:hAnsi="Garamond" w:cstheme="minorHAnsi"/>
          <w:color w:val="000000" w:themeColor="text1"/>
        </w:rPr>
        <w:t xml:space="preserve"> 73:1</w:t>
      </w:r>
    </w:p>
    <w:p w14:paraId="4105359C" w14:textId="40A4957A" w:rsidR="000B0B92" w:rsidRDefault="000B0B92" w:rsidP="004069AB">
      <w:pPr>
        <w:tabs>
          <w:tab w:val="left" w:pos="1848"/>
        </w:tabs>
        <w:spacing w:after="240" w:line="360" w:lineRule="auto"/>
        <w:jc w:val="both"/>
        <w:rPr>
          <w:rFonts w:ascii="Garamond" w:hAnsi="Garamond" w:cstheme="minorHAnsi"/>
          <w:color w:val="000000" w:themeColor="text1"/>
        </w:rPr>
      </w:pPr>
      <w:r w:rsidRPr="00494ED5">
        <w:rPr>
          <w:rFonts w:ascii="Garamond" w:hAnsi="Garamond" w:cstheme="minorHAnsi"/>
          <w:color w:val="000000" w:themeColor="text1"/>
        </w:rPr>
        <w:t xml:space="preserve">Smith, Joel (2006), ‘Which immunity to error?’, </w:t>
      </w:r>
      <w:r w:rsidRPr="00494ED5">
        <w:rPr>
          <w:rFonts w:ascii="Garamond" w:hAnsi="Garamond" w:cstheme="minorHAnsi"/>
          <w:i/>
          <w:iCs/>
          <w:color w:val="000000" w:themeColor="text1"/>
        </w:rPr>
        <w:t>Philosophical Studies</w:t>
      </w:r>
      <w:r w:rsidRPr="00494ED5">
        <w:rPr>
          <w:rFonts w:ascii="Garamond" w:hAnsi="Garamond" w:cstheme="minorHAnsi"/>
          <w:color w:val="000000" w:themeColor="text1"/>
        </w:rPr>
        <w:t>, 130:2</w:t>
      </w:r>
    </w:p>
    <w:p w14:paraId="05075047" w14:textId="79FAA164" w:rsidR="00393CFC" w:rsidRPr="00393CFC" w:rsidRDefault="00393CFC" w:rsidP="004069AB">
      <w:pPr>
        <w:tabs>
          <w:tab w:val="left" w:pos="1848"/>
        </w:tabs>
        <w:spacing w:after="240" w:line="360" w:lineRule="auto"/>
        <w:jc w:val="both"/>
        <w:rPr>
          <w:rFonts w:ascii="Garamond" w:hAnsi="Garamond" w:cstheme="minorHAnsi"/>
          <w:color w:val="000000" w:themeColor="text1"/>
        </w:rPr>
      </w:pPr>
      <w:r>
        <w:rPr>
          <w:rFonts w:ascii="Garamond" w:hAnsi="Garamond" w:cstheme="minorHAnsi"/>
          <w:color w:val="000000" w:themeColor="text1"/>
        </w:rPr>
        <w:t xml:space="preserve">Smith, Joel (2018), ‘The first-person plural and immunity to error’, </w:t>
      </w:r>
      <w:r>
        <w:rPr>
          <w:rFonts w:ascii="Garamond" w:hAnsi="Garamond" w:cstheme="minorHAnsi"/>
          <w:i/>
          <w:iCs/>
          <w:color w:val="000000" w:themeColor="text1"/>
        </w:rPr>
        <w:t>Disputatio</w:t>
      </w:r>
      <w:r>
        <w:rPr>
          <w:rFonts w:ascii="Garamond" w:hAnsi="Garamond" w:cstheme="minorHAnsi"/>
          <w:color w:val="000000" w:themeColor="text1"/>
        </w:rPr>
        <w:t>, 10:49</w:t>
      </w:r>
    </w:p>
    <w:p w14:paraId="0AAF3AB3" w14:textId="77777777" w:rsidR="00EA6CC3" w:rsidRPr="00EA6CC3" w:rsidRDefault="00EA6CC3" w:rsidP="00494ED5">
      <w:pPr>
        <w:pStyle w:val="NormalWeb"/>
        <w:spacing w:line="360" w:lineRule="auto"/>
        <w:rPr>
          <w:rFonts w:ascii="Garamond" w:hAnsi="Garamond"/>
        </w:rPr>
      </w:pPr>
      <w:r w:rsidRPr="00195FCC">
        <w:rPr>
          <w:rFonts w:ascii="Garamond" w:hAnsi="Garamond"/>
        </w:rPr>
        <w:t>Spencer, C. (2007), ‘Is there a problem of the essential indexical?’, in Michael O’Rouke and</w:t>
      </w:r>
      <w:r>
        <w:rPr>
          <w:rFonts w:ascii="Garamond" w:hAnsi="Garamond"/>
        </w:rPr>
        <w:t xml:space="preserve"> </w:t>
      </w:r>
      <w:r w:rsidRPr="00195FCC">
        <w:rPr>
          <w:rFonts w:ascii="Garamond" w:hAnsi="Garamond"/>
        </w:rPr>
        <w:t xml:space="preserve">Corey Washington (eds.), </w:t>
      </w:r>
      <w:r w:rsidRPr="00195FCC">
        <w:rPr>
          <w:rFonts w:ascii="Garamond" w:hAnsi="Garamond"/>
          <w:i/>
          <w:iCs/>
        </w:rPr>
        <w:t>Situating Semantics: Essays on the Philosophy of John Perry</w:t>
      </w:r>
      <w:r w:rsidRPr="00195FCC">
        <w:rPr>
          <w:rFonts w:ascii="Garamond" w:hAnsi="Garamond"/>
        </w:rPr>
        <w:t>, MIT Press, pp. 179–197</w:t>
      </w:r>
    </w:p>
    <w:p w14:paraId="2BA3EC64" w14:textId="2487262A" w:rsidR="00BC65B1" w:rsidRDefault="00EA6CC3" w:rsidP="00494ED5">
      <w:pPr>
        <w:pStyle w:val="NormalWeb"/>
        <w:spacing w:line="360" w:lineRule="auto"/>
        <w:rPr>
          <w:rFonts w:ascii="Garamond" w:hAnsi="Garamond"/>
        </w:rPr>
      </w:pPr>
      <w:r w:rsidRPr="00195FCC">
        <w:rPr>
          <w:rFonts w:ascii="Garamond" w:hAnsi="Garamond"/>
        </w:rPr>
        <w:t xml:space="preserve">Stanley, J. (2011), </w:t>
      </w:r>
      <w:r w:rsidRPr="00195FCC">
        <w:rPr>
          <w:rFonts w:ascii="Garamond" w:hAnsi="Garamond"/>
          <w:i/>
          <w:iCs/>
        </w:rPr>
        <w:t>Know How</w:t>
      </w:r>
      <w:r w:rsidRPr="00195FCC">
        <w:rPr>
          <w:rFonts w:ascii="Garamond" w:hAnsi="Garamond"/>
        </w:rPr>
        <w:t>, Oxford University Press.</w:t>
      </w:r>
      <w:r w:rsidR="00BC65B1" w:rsidRPr="00195FCC">
        <w:rPr>
          <w:rFonts w:ascii="Garamond" w:hAnsi="Garamond"/>
        </w:rPr>
        <w:t xml:space="preserve"> </w:t>
      </w:r>
    </w:p>
    <w:p w14:paraId="7DBE1A03" w14:textId="1F7C4486" w:rsidR="00BE70BF" w:rsidRPr="00494ED5" w:rsidRDefault="000B0B92" w:rsidP="000B0B92">
      <w:pPr>
        <w:pStyle w:val="NormalWeb"/>
        <w:spacing w:line="360" w:lineRule="auto"/>
        <w:rPr>
          <w:rFonts w:ascii="Garamond" w:hAnsi="Garamond" w:cstheme="minorHAnsi"/>
          <w:color w:val="000000" w:themeColor="text1"/>
          <w:lang w:eastAsia="en-GB"/>
        </w:rPr>
      </w:pPr>
      <w:r>
        <w:rPr>
          <w:rFonts w:ascii="Garamond" w:hAnsi="Garamond"/>
        </w:rPr>
        <w:t xml:space="preserve">Titelbaum, M (2017). ‘One’s own reasoning’, </w:t>
      </w:r>
      <w:r>
        <w:rPr>
          <w:rFonts w:ascii="Garamond" w:hAnsi="Garamond"/>
          <w:i/>
          <w:iCs/>
        </w:rPr>
        <w:t>Inquiry: An Interdisciplinary Journal of Philosophy</w:t>
      </w:r>
      <w:r w:rsidRPr="003618D8">
        <w:rPr>
          <w:rFonts w:ascii="Garamond" w:hAnsi="Garamond"/>
        </w:rPr>
        <w:t xml:space="preserve"> </w:t>
      </w:r>
      <w:r w:rsidRPr="00A208DB">
        <w:rPr>
          <w:rFonts w:ascii="Garamond" w:hAnsi="Garamond"/>
        </w:rPr>
        <w:t>60 (3):208-232.</w:t>
      </w:r>
    </w:p>
    <w:p w14:paraId="7B4A768A" w14:textId="77777777" w:rsidR="00BE70BF" w:rsidRPr="00494ED5" w:rsidRDefault="00BE70BF" w:rsidP="00494ED5">
      <w:pPr>
        <w:spacing w:after="240" w:line="360" w:lineRule="auto"/>
        <w:jc w:val="both"/>
        <w:rPr>
          <w:rFonts w:ascii="Garamond" w:eastAsia="Times New Roman" w:hAnsi="Garamond" w:cstheme="minorHAnsi"/>
          <w:bCs/>
          <w:color w:val="000000" w:themeColor="text1"/>
          <w:lang w:eastAsia="en-GB"/>
        </w:rPr>
      </w:pPr>
      <w:r w:rsidRPr="00494ED5">
        <w:rPr>
          <w:rFonts w:ascii="Garamond" w:eastAsia="Times New Roman" w:hAnsi="Garamond" w:cstheme="minorHAnsi"/>
          <w:bCs/>
          <w:color w:val="000000" w:themeColor="text1"/>
          <w:lang w:eastAsia="en-GB"/>
        </w:rPr>
        <w:t>Wittgenstein, L. (1958) The Blue and Brown Books: Preliminary Studies for the ‘Philosophical Investigations’, Oxford: Blackwell Publishing</w:t>
      </w:r>
    </w:p>
    <w:p w14:paraId="72B2758E" w14:textId="77777777" w:rsidR="00BE70BF" w:rsidRPr="00494ED5" w:rsidRDefault="00BE70BF" w:rsidP="00494ED5">
      <w:pPr>
        <w:shd w:val="clear" w:color="auto" w:fill="FFFFFF"/>
        <w:spacing w:after="240" w:line="360" w:lineRule="auto"/>
        <w:jc w:val="both"/>
        <w:outlineLvl w:val="0"/>
        <w:rPr>
          <w:rFonts w:ascii="Garamond" w:eastAsia="Times New Roman" w:hAnsi="Garamond" w:cstheme="minorHAnsi"/>
          <w:bCs/>
          <w:color w:val="000000" w:themeColor="text1"/>
          <w:kern w:val="36"/>
          <w:lang w:eastAsia="en-GB"/>
        </w:rPr>
      </w:pPr>
      <w:r w:rsidRPr="00494ED5">
        <w:rPr>
          <w:rFonts w:ascii="Garamond" w:eastAsia="Times New Roman" w:hAnsi="Garamond" w:cstheme="minorHAnsi"/>
          <w:bCs/>
          <w:color w:val="000000" w:themeColor="text1"/>
          <w:kern w:val="36"/>
          <w:lang w:eastAsia="en-GB"/>
        </w:rPr>
        <w:lastRenderedPageBreak/>
        <w:t xml:space="preserve">Wright, Crispin (2012) ‘Reflections on François Recanati's,'Immunity to error through misidentification: what it is and where it comes from', </w:t>
      </w:r>
      <w:r w:rsidRPr="00494ED5">
        <w:rPr>
          <w:rFonts w:ascii="Garamond" w:eastAsia="Times New Roman" w:hAnsi="Garamond" w:cstheme="minorHAnsi"/>
          <w:bCs/>
          <w:color w:val="000000" w:themeColor="text1"/>
          <w:lang w:eastAsia="en-GB"/>
        </w:rPr>
        <w:t>in Simon Prosser &amp; Francois Recanati (eds.), </w:t>
      </w:r>
      <w:r w:rsidRPr="00494ED5">
        <w:rPr>
          <w:rFonts w:ascii="Garamond" w:eastAsia="Times New Roman" w:hAnsi="Garamond" w:cstheme="minorHAnsi"/>
          <w:bCs/>
          <w:i/>
          <w:iCs/>
          <w:color w:val="000000" w:themeColor="text1"/>
          <w:lang w:eastAsia="en-GB"/>
        </w:rPr>
        <w:t>Immunity to Error Through Misidentification: New Essays</w:t>
      </w:r>
      <w:r w:rsidRPr="00494ED5">
        <w:rPr>
          <w:rFonts w:ascii="Garamond" w:eastAsia="Times New Roman" w:hAnsi="Garamond" w:cstheme="minorHAnsi"/>
          <w:bCs/>
          <w:color w:val="000000" w:themeColor="text1"/>
          <w:lang w:eastAsia="en-GB"/>
        </w:rPr>
        <w:t xml:space="preserve">. Cambridge University Press. </w:t>
      </w:r>
    </w:p>
    <w:p w14:paraId="756CE421" w14:textId="77777777" w:rsidR="006F3B67" w:rsidRPr="006F3B67" w:rsidRDefault="006F3B67" w:rsidP="006F3B67">
      <w:pPr>
        <w:rPr>
          <w:rFonts w:ascii="Times New Roman" w:eastAsia="Times New Roman" w:hAnsi="Times New Roman" w:cs="Times New Roman"/>
        </w:rPr>
      </w:pPr>
    </w:p>
    <w:p w14:paraId="3FC5F59C" w14:textId="77777777" w:rsidR="00BE70BF" w:rsidRPr="00494ED5" w:rsidRDefault="00BE70BF" w:rsidP="00494ED5">
      <w:pPr>
        <w:pStyle w:val="NormalWeb"/>
        <w:spacing w:line="360" w:lineRule="auto"/>
        <w:rPr>
          <w:rFonts w:ascii="Garamond" w:hAnsi="Garamond"/>
        </w:rPr>
      </w:pPr>
    </w:p>
    <w:sectPr w:rsidR="00BE70BF" w:rsidRPr="00494ED5" w:rsidSect="00CB620C">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F7153" w14:textId="77777777" w:rsidR="00CE16BB" w:rsidRDefault="00CE16BB" w:rsidP="000729FE">
      <w:r>
        <w:separator/>
      </w:r>
    </w:p>
  </w:endnote>
  <w:endnote w:type="continuationSeparator" w:id="0">
    <w:p w14:paraId="434F8DE9" w14:textId="77777777" w:rsidR="00CE16BB" w:rsidRDefault="00CE16BB" w:rsidP="0007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B291" w14:textId="77777777" w:rsidR="00CE16BB" w:rsidRDefault="00CE16BB" w:rsidP="000729FE">
      <w:r>
        <w:separator/>
      </w:r>
    </w:p>
  </w:footnote>
  <w:footnote w:type="continuationSeparator" w:id="0">
    <w:p w14:paraId="316ECBA7" w14:textId="77777777" w:rsidR="00CE16BB" w:rsidRDefault="00CE16BB" w:rsidP="000729FE">
      <w:r>
        <w:continuationSeparator/>
      </w:r>
    </w:p>
  </w:footnote>
  <w:footnote w:id="1">
    <w:p w14:paraId="545CA8C9" w14:textId="42F2CF60" w:rsidR="00520058" w:rsidRPr="00720382" w:rsidRDefault="00520058"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 Campbell (2012), Peacocke (2014), O’ Brien (2007).</w:t>
      </w:r>
    </w:p>
  </w:footnote>
  <w:footnote w:id="2">
    <w:p w14:paraId="2F1FAB52" w14:textId="01EB4C80" w:rsidR="009F0CCC" w:rsidRPr="00720382" w:rsidRDefault="009F0CCC"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w:t>
      </w:r>
      <w:r w:rsidRPr="00720382">
        <w:rPr>
          <w:rFonts w:ascii="Garamond" w:hAnsi="Garamond"/>
          <w:lang w:val="en-US"/>
        </w:rPr>
        <w:t xml:space="preserve">See Doyle </w:t>
      </w:r>
      <w:r w:rsidR="00E43287" w:rsidRPr="00720382">
        <w:rPr>
          <w:rFonts w:ascii="Garamond" w:hAnsi="Garamond"/>
          <w:lang w:val="en-US"/>
        </w:rPr>
        <w:t>(</w:t>
      </w:r>
      <w:r w:rsidRPr="00720382">
        <w:rPr>
          <w:rFonts w:ascii="Garamond" w:hAnsi="Garamond"/>
          <w:lang w:val="en-US"/>
        </w:rPr>
        <w:t>2018</w:t>
      </w:r>
      <w:r w:rsidR="00E43287" w:rsidRPr="00720382">
        <w:rPr>
          <w:rFonts w:ascii="Garamond" w:hAnsi="Garamond"/>
          <w:lang w:val="en-US"/>
        </w:rPr>
        <w:t>)</w:t>
      </w:r>
    </w:p>
  </w:footnote>
  <w:footnote w:id="3">
    <w:p w14:paraId="7A81E3BF" w14:textId="7E015B85" w:rsidR="009F0CCC" w:rsidRPr="00720382" w:rsidRDefault="009F0CCC"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w:t>
      </w:r>
      <w:r w:rsidRPr="00720382">
        <w:rPr>
          <w:rFonts w:ascii="Garamond" w:hAnsi="Garamond"/>
          <w:lang w:val="en-US"/>
        </w:rPr>
        <w:t>See Longuenesse (2017) and Johnston (2010)</w:t>
      </w:r>
    </w:p>
  </w:footnote>
  <w:footnote w:id="4">
    <w:p w14:paraId="35A20E9C" w14:textId="1BD29A3D" w:rsidR="009F0CCC" w:rsidRPr="00720382" w:rsidRDefault="009F0CCC"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w:t>
      </w:r>
      <w:r w:rsidRPr="00720382">
        <w:rPr>
          <w:rFonts w:ascii="Garamond" w:hAnsi="Garamond"/>
          <w:lang w:val="en-US"/>
        </w:rPr>
        <w:t>See Morgan</w:t>
      </w:r>
      <w:r w:rsidR="006A21BD" w:rsidRPr="00720382">
        <w:rPr>
          <w:rFonts w:ascii="Garamond" w:hAnsi="Garamond"/>
          <w:lang w:val="en-US"/>
        </w:rPr>
        <w:t xml:space="preserve"> </w:t>
      </w:r>
      <w:r w:rsidRPr="00720382">
        <w:rPr>
          <w:rFonts w:ascii="Garamond" w:hAnsi="Garamond"/>
          <w:lang w:val="en-US"/>
        </w:rPr>
        <w:t>(2015) and Setiya (2015).</w:t>
      </w:r>
    </w:p>
  </w:footnote>
  <w:footnote w:id="5">
    <w:p w14:paraId="35C5C89E" w14:textId="29DBD71C" w:rsidR="003C1F9F" w:rsidRPr="00720382" w:rsidRDefault="003C1F9F" w:rsidP="00E1069A">
      <w:pPr>
        <w:contextualSpacing/>
        <w:jc w:val="both"/>
        <w:rPr>
          <w:rFonts w:ascii="Garamond" w:hAnsi="Garamond"/>
          <w:sz w:val="20"/>
          <w:szCs w:val="20"/>
        </w:rPr>
      </w:pPr>
      <w:r w:rsidRPr="00720382">
        <w:rPr>
          <w:rStyle w:val="FootnoteReference"/>
          <w:rFonts w:ascii="Garamond" w:hAnsi="Garamond"/>
          <w:sz w:val="20"/>
          <w:szCs w:val="20"/>
        </w:rPr>
        <w:footnoteRef/>
      </w:r>
      <w:r w:rsidRPr="00720382">
        <w:rPr>
          <w:rFonts w:ascii="Garamond" w:hAnsi="Garamond"/>
          <w:sz w:val="20"/>
          <w:szCs w:val="20"/>
        </w:rPr>
        <w:t xml:space="preserve"> See Hamilton </w:t>
      </w:r>
      <w:r w:rsidR="0039654E" w:rsidRPr="00720382">
        <w:rPr>
          <w:rFonts w:ascii="Garamond" w:hAnsi="Garamond"/>
          <w:sz w:val="20"/>
          <w:szCs w:val="20"/>
        </w:rPr>
        <w:t>(</w:t>
      </w:r>
      <w:r w:rsidRPr="00720382">
        <w:rPr>
          <w:rFonts w:ascii="Garamond" w:hAnsi="Garamond"/>
          <w:sz w:val="20"/>
          <w:szCs w:val="20"/>
        </w:rPr>
        <w:t>2013</w:t>
      </w:r>
      <w:r w:rsidR="0039654E" w:rsidRPr="00720382">
        <w:rPr>
          <w:rFonts w:ascii="Garamond" w:hAnsi="Garamond"/>
          <w:sz w:val="20"/>
          <w:szCs w:val="20"/>
        </w:rPr>
        <w:t>)</w:t>
      </w:r>
      <w:r w:rsidR="001C0BBC" w:rsidRPr="00720382">
        <w:rPr>
          <w:rFonts w:ascii="Garamond" w:hAnsi="Garamond"/>
          <w:sz w:val="20"/>
          <w:szCs w:val="20"/>
        </w:rPr>
        <w:t>,</w:t>
      </w:r>
      <w:r w:rsidRPr="00720382">
        <w:rPr>
          <w:rFonts w:ascii="Garamond" w:hAnsi="Garamond"/>
          <w:sz w:val="20"/>
          <w:szCs w:val="20"/>
        </w:rPr>
        <w:t xml:space="preserve"> Peacocke (2014)</w:t>
      </w:r>
      <w:r w:rsidR="001C0BBC" w:rsidRPr="00720382">
        <w:rPr>
          <w:rFonts w:ascii="Garamond" w:hAnsi="Garamond"/>
          <w:sz w:val="20"/>
          <w:szCs w:val="20"/>
        </w:rPr>
        <w:t>, Madden (</w:t>
      </w:r>
      <w:r w:rsidR="00E65BBF" w:rsidRPr="00720382">
        <w:rPr>
          <w:rFonts w:ascii="Garamond" w:hAnsi="Garamond"/>
          <w:sz w:val="20"/>
          <w:szCs w:val="20"/>
        </w:rPr>
        <w:t xml:space="preserve">2011, </w:t>
      </w:r>
      <w:r w:rsidR="001C0BBC" w:rsidRPr="00720382">
        <w:rPr>
          <w:rFonts w:ascii="Garamond" w:hAnsi="Garamond"/>
          <w:sz w:val="20"/>
          <w:szCs w:val="20"/>
        </w:rPr>
        <w:t>201</w:t>
      </w:r>
      <w:r w:rsidR="00E65BBF" w:rsidRPr="00720382">
        <w:rPr>
          <w:rFonts w:ascii="Garamond" w:hAnsi="Garamond"/>
          <w:sz w:val="20"/>
          <w:szCs w:val="20"/>
        </w:rPr>
        <w:t>3</w:t>
      </w:r>
      <w:r w:rsidR="001C0BBC" w:rsidRPr="00720382">
        <w:rPr>
          <w:rFonts w:ascii="Garamond" w:hAnsi="Garamond"/>
          <w:sz w:val="20"/>
          <w:szCs w:val="20"/>
        </w:rPr>
        <w:t>)</w:t>
      </w:r>
    </w:p>
  </w:footnote>
  <w:footnote w:id="6">
    <w:p w14:paraId="45F74517" w14:textId="28EF3284" w:rsidR="009F0CCC" w:rsidRPr="00720382" w:rsidRDefault="009F0CCC"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 P</w:t>
      </w:r>
      <w:r w:rsidR="0039654E" w:rsidRPr="00720382">
        <w:rPr>
          <w:rFonts w:ascii="Garamond" w:hAnsi="Garamond"/>
        </w:rPr>
        <w:t>e</w:t>
      </w:r>
      <w:r w:rsidRPr="00720382">
        <w:rPr>
          <w:rFonts w:ascii="Garamond" w:hAnsi="Garamond"/>
        </w:rPr>
        <w:t xml:space="preserve">acocke </w:t>
      </w:r>
      <w:r w:rsidR="0039654E" w:rsidRPr="00720382">
        <w:rPr>
          <w:rFonts w:ascii="Garamond" w:hAnsi="Garamond"/>
        </w:rPr>
        <w:t>(</w:t>
      </w:r>
      <w:r w:rsidRPr="00720382">
        <w:rPr>
          <w:rFonts w:ascii="Garamond" w:hAnsi="Garamond"/>
        </w:rPr>
        <w:t>2012</w:t>
      </w:r>
      <w:r w:rsidR="0039654E" w:rsidRPr="00720382">
        <w:rPr>
          <w:rFonts w:ascii="Garamond" w:hAnsi="Garamond"/>
        </w:rPr>
        <w:t>)</w:t>
      </w:r>
      <w:r w:rsidR="00720382" w:rsidRPr="00720382">
        <w:rPr>
          <w:rFonts w:ascii="Garamond" w:hAnsi="Garamond"/>
        </w:rPr>
        <w:t xml:space="preserve">, </w:t>
      </w:r>
      <w:r w:rsidRPr="00720382">
        <w:rPr>
          <w:rFonts w:ascii="Garamond" w:hAnsi="Garamond"/>
        </w:rPr>
        <w:t xml:space="preserve">Campbell </w:t>
      </w:r>
      <w:r w:rsidR="0039654E" w:rsidRPr="00720382">
        <w:rPr>
          <w:rFonts w:ascii="Garamond" w:hAnsi="Garamond"/>
        </w:rPr>
        <w:t>(</w:t>
      </w:r>
      <w:r w:rsidRPr="00720382">
        <w:rPr>
          <w:rFonts w:ascii="Garamond" w:hAnsi="Garamond"/>
        </w:rPr>
        <w:t>2012</w:t>
      </w:r>
      <w:r w:rsidR="0039654E" w:rsidRPr="00720382">
        <w:rPr>
          <w:rFonts w:ascii="Garamond" w:hAnsi="Garamond"/>
        </w:rPr>
        <w:t>)</w:t>
      </w:r>
      <w:r w:rsidR="0064104F" w:rsidRPr="00720382">
        <w:rPr>
          <w:rFonts w:ascii="Garamond" w:hAnsi="Garamond"/>
        </w:rPr>
        <w:t xml:space="preserve">, and O’Brien </w:t>
      </w:r>
      <w:r w:rsidR="0039654E" w:rsidRPr="00720382">
        <w:rPr>
          <w:rFonts w:ascii="Garamond" w:hAnsi="Garamond"/>
        </w:rPr>
        <w:t>(2015)</w:t>
      </w:r>
    </w:p>
  </w:footnote>
  <w:footnote w:id="7">
    <w:p w14:paraId="795E0DFF" w14:textId="794103D1" w:rsidR="009F0CCC" w:rsidRPr="00720382" w:rsidRDefault="009F0CCC"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 Guillot and García-Carpintero </w:t>
      </w:r>
      <w:r w:rsidR="00BB27A8" w:rsidRPr="00720382">
        <w:rPr>
          <w:rFonts w:ascii="Garamond" w:hAnsi="Garamond"/>
        </w:rPr>
        <w:t>(</w:t>
      </w:r>
      <w:r w:rsidRPr="00720382">
        <w:rPr>
          <w:rFonts w:ascii="Garamond" w:hAnsi="Garamond"/>
        </w:rPr>
        <w:t>forthcoming</w:t>
      </w:r>
      <w:r w:rsidR="00BB27A8" w:rsidRPr="00720382">
        <w:rPr>
          <w:rFonts w:ascii="Garamond" w:hAnsi="Garamond"/>
        </w:rPr>
        <w:t>)</w:t>
      </w:r>
    </w:p>
  </w:footnote>
  <w:footnote w:id="8">
    <w:p w14:paraId="46CE8FB8" w14:textId="619E204A" w:rsidR="009F0CCC" w:rsidRPr="00720382" w:rsidRDefault="009F0CCC"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 Musholt </w:t>
      </w:r>
      <w:r w:rsidR="00D27489" w:rsidRPr="00720382">
        <w:rPr>
          <w:rFonts w:ascii="Garamond" w:hAnsi="Garamond"/>
        </w:rPr>
        <w:t>(</w:t>
      </w:r>
      <w:r w:rsidRPr="00720382">
        <w:rPr>
          <w:rFonts w:ascii="Garamond" w:hAnsi="Garamond"/>
        </w:rPr>
        <w:t>2015</w:t>
      </w:r>
      <w:r w:rsidR="00D27489" w:rsidRPr="00720382">
        <w:rPr>
          <w:rFonts w:ascii="Garamond" w:hAnsi="Garamond"/>
        </w:rPr>
        <w:t>)</w:t>
      </w:r>
      <w:r w:rsidR="00AE1870">
        <w:rPr>
          <w:rFonts w:ascii="Garamond" w:hAnsi="Garamond"/>
        </w:rPr>
        <w:t>, Bermùdez (201</w:t>
      </w:r>
      <w:r w:rsidR="00746151">
        <w:rPr>
          <w:rFonts w:ascii="Garamond" w:hAnsi="Garamond"/>
        </w:rPr>
        <w:t>6</w:t>
      </w:r>
      <w:r w:rsidR="00AE1870">
        <w:rPr>
          <w:rFonts w:ascii="Garamond" w:hAnsi="Garamond"/>
        </w:rPr>
        <w:t>)</w:t>
      </w:r>
      <w:r w:rsidR="001B285D" w:rsidRPr="00720382">
        <w:rPr>
          <w:rFonts w:ascii="Garamond" w:hAnsi="Garamond"/>
        </w:rPr>
        <w:t xml:space="preserve"> and Peacocke (</w:t>
      </w:r>
      <w:r w:rsidR="00BD703E" w:rsidRPr="00720382">
        <w:rPr>
          <w:rFonts w:ascii="Garamond" w:hAnsi="Garamond"/>
        </w:rPr>
        <w:t>2014)</w:t>
      </w:r>
    </w:p>
  </w:footnote>
  <w:footnote w:id="9">
    <w:p w14:paraId="4AD4C256" w14:textId="2437C2F3" w:rsidR="00722637" w:rsidRPr="00720382" w:rsidRDefault="00722637" w:rsidP="00E1069A">
      <w:pPr>
        <w:pStyle w:val="FootnoteText"/>
        <w:jc w:val="both"/>
        <w:rPr>
          <w:rFonts w:ascii="Garamond" w:hAnsi="Garamond"/>
        </w:rPr>
      </w:pPr>
      <w:r w:rsidRPr="00720382">
        <w:rPr>
          <w:rStyle w:val="FootnoteReference"/>
          <w:rFonts w:ascii="Garamond" w:hAnsi="Garamond"/>
        </w:rPr>
        <w:footnoteRef/>
      </w:r>
      <w:r w:rsidRPr="00720382">
        <w:rPr>
          <w:rFonts w:ascii="Garamond" w:hAnsi="Garamond"/>
        </w:rPr>
        <w:t xml:space="preserve"> See Morgan (2019a)</w:t>
      </w:r>
    </w:p>
  </w:footnote>
  <w:footnote w:id="10">
    <w:p w14:paraId="447A8D73" w14:textId="6AFFA21D" w:rsidR="009F0CCC" w:rsidRPr="00720382" w:rsidRDefault="009F0CCC" w:rsidP="00E1069A">
      <w:pPr>
        <w:pStyle w:val="FootnoteText"/>
        <w:contextualSpacing/>
        <w:jc w:val="both"/>
        <w:rPr>
          <w:rFonts w:ascii="Garamond" w:hAnsi="Garamond"/>
        </w:rPr>
      </w:pPr>
      <w:r w:rsidRPr="00720382">
        <w:rPr>
          <w:rStyle w:val="FootnoteReference"/>
          <w:rFonts w:ascii="Garamond" w:hAnsi="Garamond"/>
        </w:rPr>
        <w:footnoteRef/>
      </w:r>
      <w:r w:rsidR="00722637" w:rsidRPr="00720382">
        <w:rPr>
          <w:rFonts w:ascii="Garamond" w:hAnsi="Garamond"/>
        </w:rPr>
        <w:t xml:space="preserve"> </w:t>
      </w:r>
      <w:r w:rsidRPr="00720382">
        <w:rPr>
          <w:rFonts w:ascii="Garamond" w:hAnsi="Garamond"/>
        </w:rPr>
        <w:t xml:space="preserve">See Rödl </w:t>
      </w:r>
      <w:r w:rsidR="00D27489" w:rsidRPr="00720382">
        <w:rPr>
          <w:rFonts w:ascii="Garamond" w:hAnsi="Garamond"/>
        </w:rPr>
        <w:t>(</w:t>
      </w:r>
      <w:r w:rsidRPr="00720382">
        <w:rPr>
          <w:rFonts w:ascii="Garamond" w:hAnsi="Garamond"/>
        </w:rPr>
        <w:t>2018</w:t>
      </w:r>
      <w:r w:rsidR="00D27489" w:rsidRPr="00720382">
        <w:rPr>
          <w:rFonts w:ascii="Garamond" w:hAnsi="Garamond"/>
        </w:rPr>
        <w:t>)</w:t>
      </w:r>
      <w:r w:rsidRPr="00720382">
        <w:rPr>
          <w:rFonts w:ascii="Garamond" w:hAnsi="Garamond"/>
        </w:rPr>
        <w:t xml:space="preserve">  </w:t>
      </w:r>
    </w:p>
  </w:footnote>
  <w:footnote w:id="11">
    <w:p w14:paraId="2FE42A0E" w14:textId="77777777" w:rsidR="00520058" w:rsidRPr="00720382" w:rsidRDefault="00520058"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 for example Prosser (2015: 211), Ninan (2016:86) and Torre (2018:172).</w:t>
      </w:r>
    </w:p>
  </w:footnote>
  <w:footnote w:id="12">
    <w:p w14:paraId="18472C54" w14:textId="46F53BA8" w:rsidR="00520058" w:rsidRPr="00720382" w:rsidRDefault="00520058"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 Cappelen and Dever (2013), and Magidor (2015). Other defenders of views in the same broad area – in that they also </w:t>
      </w:r>
      <w:r w:rsidR="00673E78" w:rsidRPr="00720382">
        <w:rPr>
          <w:rFonts w:ascii="Garamond" w:hAnsi="Garamond"/>
        </w:rPr>
        <w:t xml:space="preserve">think </w:t>
      </w:r>
      <w:r w:rsidRPr="00720382">
        <w:rPr>
          <w:rFonts w:ascii="Garamond" w:hAnsi="Garamond"/>
        </w:rPr>
        <w:t xml:space="preserve">exaggerated claims have been made about the </w:t>
      </w:r>
      <w:r w:rsidRPr="00720382">
        <w:rPr>
          <w:rFonts w:ascii="Garamond" w:hAnsi="Garamond"/>
          <w:i/>
          <w:iCs/>
        </w:rPr>
        <w:t xml:space="preserve">de se </w:t>
      </w:r>
      <w:r w:rsidRPr="00720382">
        <w:rPr>
          <w:rFonts w:ascii="Garamond" w:hAnsi="Garamond"/>
        </w:rPr>
        <w:t>– include Devitt (2013), Millikan (1990), Spencer (2007) and Stanley (2011).</w:t>
      </w:r>
    </w:p>
    <w:p w14:paraId="2464E9A3" w14:textId="77777777" w:rsidR="00520058" w:rsidRPr="00720382" w:rsidRDefault="00520058" w:rsidP="00E1069A">
      <w:pPr>
        <w:pStyle w:val="FootnoteText"/>
        <w:contextualSpacing/>
        <w:jc w:val="both"/>
        <w:rPr>
          <w:rFonts w:ascii="Garamond" w:hAnsi="Garamond"/>
        </w:rPr>
      </w:pPr>
    </w:p>
    <w:p w14:paraId="5F2E2A0F" w14:textId="4E8B2E2B" w:rsidR="00520058" w:rsidRPr="00720382" w:rsidRDefault="00520058" w:rsidP="00E1069A">
      <w:pPr>
        <w:pStyle w:val="FootnoteText"/>
        <w:contextualSpacing/>
        <w:jc w:val="both"/>
        <w:rPr>
          <w:rFonts w:ascii="Garamond" w:hAnsi="Garamond"/>
        </w:rPr>
      </w:pPr>
    </w:p>
  </w:footnote>
  <w:footnote w:id="13">
    <w:p w14:paraId="09106C87" w14:textId="6D54DCDB" w:rsidR="00520058" w:rsidRPr="00720382" w:rsidRDefault="00520058"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w:t>
      </w:r>
      <w:r w:rsidR="00E7710E" w:rsidRPr="00720382">
        <w:rPr>
          <w:rFonts w:ascii="Garamond" w:hAnsi="Garamond"/>
        </w:rPr>
        <w:t>, e.g.,</w:t>
      </w:r>
      <w:r w:rsidRPr="00720382">
        <w:rPr>
          <w:rFonts w:ascii="Garamond" w:hAnsi="Garamond"/>
        </w:rPr>
        <w:t xml:space="preserve"> Babb (2016), Bermúdez (2017), Gjelsvik (2017), Morgan (2019</w:t>
      </w:r>
      <w:r w:rsidR="00722637" w:rsidRPr="00720382">
        <w:rPr>
          <w:rFonts w:ascii="Garamond" w:hAnsi="Garamond"/>
        </w:rPr>
        <w:t>b</w:t>
      </w:r>
      <w:r w:rsidRPr="00720382">
        <w:rPr>
          <w:rFonts w:ascii="Garamond" w:hAnsi="Garamond"/>
        </w:rPr>
        <w:t>).</w:t>
      </w:r>
    </w:p>
  </w:footnote>
  <w:footnote w:id="14">
    <w:p w14:paraId="288AFED4" w14:textId="2BD1728E" w:rsidR="00520058" w:rsidRPr="00720382" w:rsidRDefault="00520058"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Magidor (2016: 249) makes this helpful distinction</w:t>
      </w:r>
      <w:r w:rsidR="00720382" w:rsidRPr="00720382">
        <w:rPr>
          <w:rFonts w:ascii="Garamond" w:hAnsi="Garamond"/>
        </w:rPr>
        <w:t xml:space="preserve"> between treating the </w:t>
      </w:r>
      <w:r w:rsidR="00720382" w:rsidRPr="00720382">
        <w:rPr>
          <w:rFonts w:ascii="Garamond" w:hAnsi="Garamond"/>
          <w:i/>
          <w:iCs/>
        </w:rPr>
        <w:t>de se</w:t>
      </w:r>
      <w:r w:rsidR="00720382" w:rsidRPr="00720382">
        <w:rPr>
          <w:rFonts w:ascii="Garamond" w:hAnsi="Garamond"/>
        </w:rPr>
        <w:t xml:space="preserve"> as having special </w:t>
      </w:r>
      <w:r w:rsidR="00720382" w:rsidRPr="00720382">
        <w:rPr>
          <w:rFonts w:ascii="Garamond" w:hAnsi="Garamond"/>
          <w:i/>
          <w:iCs/>
        </w:rPr>
        <w:t>features</w:t>
      </w:r>
      <w:r w:rsidR="00720382" w:rsidRPr="00720382">
        <w:rPr>
          <w:rFonts w:ascii="Garamond" w:hAnsi="Garamond"/>
        </w:rPr>
        <w:t xml:space="preserve"> vs. posing a special </w:t>
      </w:r>
      <w:r w:rsidR="00720382" w:rsidRPr="00720382">
        <w:rPr>
          <w:rFonts w:ascii="Garamond" w:hAnsi="Garamond"/>
          <w:i/>
          <w:iCs/>
        </w:rPr>
        <w:t>problem</w:t>
      </w:r>
      <w:r w:rsidR="00720382" w:rsidRPr="00720382">
        <w:rPr>
          <w:rFonts w:ascii="Garamond" w:hAnsi="Garamond"/>
        </w:rPr>
        <w:t xml:space="preserve">. </w:t>
      </w:r>
    </w:p>
  </w:footnote>
  <w:footnote w:id="15">
    <w:p w14:paraId="775EE2AE" w14:textId="7B2457E1" w:rsidR="00520058" w:rsidRPr="00720382" w:rsidRDefault="00520058"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See Magidor (2016) for </w:t>
      </w:r>
      <w:r w:rsidR="00D715AE" w:rsidRPr="00720382">
        <w:rPr>
          <w:rFonts w:ascii="Garamond" w:hAnsi="Garamond"/>
        </w:rPr>
        <w:t>argument that</w:t>
      </w:r>
      <w:r w:rsidRPr="00720382">
        <w:rPr>
          <w:rFonts w:ascii="Garamond" w:hAnsi="Garamond"/>
        </w:rPr>
        <w:t xml:space="preserve"> Lewis is</w:t>
      </w:r>
      <w:r w:rsidR="00D715AE" w:rsidRPr="00720382">
        <w:rPr>
          <w:rFonts w:ascii="Garamond" w:hAnsi="Garamond"/>
        </w:rPr>
        <w:t xml:space="preserve"> wrong</w:t>
      </w:r>
      <w:r w:rsidRPr="00720382">
        <w:rPr>
          <w:rFonts w:ascii="Garamond" w:hAnsi="Garamond"/>
        </w:rPr>
        <w:t xml:space="preserve"> to think that, with generous enough appeal to descriptivism, the possible worlds framework that can’t deal with the </w:t>
      </w:r>
      <w:r w:rsidRPr="00720382">
        <w:rPr>
          <w:rFonts w:ascii="Garamond" w:hAnsi="Garamond"/>
          <w:i/>
          <w:iCs/>
        </w:rPr>
        <w:t>de se</w:t>
      </w:r>
      <w:r w:rsidRPr="00720382">
        <w:rPr>
          <w:rFonts w:ascii="Garamond" w:hAnsi="Garamond"/>
        </w:rPr>
        <w:t xml:space="preserve"> can deal with all non </w:t>
      </w:r>
      <w:r w:rsidRPr="00720382">
        <w:rPr>
          <w:rFonts w:ascii="Garamond" w:hAnsi="Garamond"/>
          <w:i/>
          <w:iCs/>
        </w:rPr>
        <w:t xml:space="preserve">de se </w:t>
      </w:r>
      <w:r w:rsidRPr="00720382">
        <w:rPr>
          <w:rFonts w:ascii="Garamond" w:hAnsi="Garamond"/>
        </w:rPr>
        <w:t>cases of opacity. Cappelen and Dever (2013) explore a</w:t>
      </w:r>
      <w:r w:rsidR="00D715AE" w:rsidRPr="00720382">
        <w:rPr>
          <w:rFonts w:ascii="Garamond" w:hAnsi="Garamond"/>
        </w:rPr>
        <w:t xml:space="preserve"> different</w:t>
      </w:r>
      <w:r w:rsidRPr="00720382">
        <w:rPr>
          <w:rFonts w:ascii="Garamond" w:hAnsi="Garamond"/>
        </w:rPr>
        <w:t xml:space="preserve"> complaint against Lewis’s centred-world</w:t>
      </w:r>
      <w:r w:rsidR="00746151">
        <w:rPr>
          <w:rFonts w:ascii="Garamond" w:hAnsi="Garamond"/>
        </w:rPr>
        <w:t>s</w:t>
      </w:r>
      <w:r w:rsidRPr="00720382">
        <w:rPr>
          <w:rFonts w:ascii="Garamond" w:hAnsi="Garamond"/>
        </w:rPr>
        <w:t xml:space="preserve"> theory: that the special bit of machinery it involves </w:t>
      </w:r>
      <w:r w:rsidR="00454AF1" w:rsidRPr="00720382">
        <w:rPr>
          <w:rFonts w:ascii="Garamond" w:hAnsi="Garamond"/>
        </w:rPr>
        <w:t>–</w:t>
      </w:r>
      <w:r w:rsidRPr="00720382">
        <w:rPr>
          <w:rFonts w:ascii="Garamond" w:hAnsi="Garamond"/>
        </w:rPr>
        <w:t xml:space="preserve"> the notion of self-ascription – is unexplanatory of </w:t>
      </w:r>
      <w:r w:rsidRPr="00720382">
        <w:rPr>
          <w:rFonts w:ascii="Garamond" w:hAnsi="Garamond"/>
          <w:i/>
          <w:iCs/>
        </w:rPr>
        <w:t xml:space="preserve">de se </w:t>
      </w:r>
      <w:r w:rsidRPr="00720382">
        <w:rPr>
          <w:rFonts w:ascii="Garamond" w:hAnsi="Garamond"/>
        </w:rPr>
        <w:t>ness. For more on the centered-possible worlds framework, see many of the essays in García-Carpintero and Torre (eds</w:t>
      </w:r>
      <w:r w:rsidR="00454AF1" w:rsidRPr="00720382">
        <w:rPr>
          <w:rFonts w:ascii="Garamond" w:hAnsi="Garamond"/>
        </w:rPr>
        <w:t>.</w:t>
      </w:r>
      <w:r w:rsidRPr="00720382">
        <w:rPr>
          <w:rFonts w:ascii="Garamond" w:hAnsi="Garamond"/>
        </w:rPr>
        <w:t xml:space="preserve">) (2016). </w:t>
      </w:r>
    </w:p>
  </w:footnote>
  <w:footnote w:id="16">
    <w:p w14:paraId="38B92182" w14:textId="46F16E35" w:rsidR="00520058" w:rsidRPr="00720382" w:rsidRDefault="00520058" w:rsidP="00E1069A">
      <w:pPr>
        <w:pStyle w:val="FootnoteText"/>
        <w:contextualSpacing/>
        <w:jc w:val="both"/>
        <w:rPr>
          <w:rFonts w:ascii="Garamond" w:hAnsi="Garamond"/>
          <w:i/>
          <w:iCs/>
        </w:rPr>
      </w:pPr>
      <w:r w:rsidRPr="00720382">
        <w:rPr>
          <w:rStyle w:val="FootnoteReference"/>
          <w:rFonts w:ascii="Garamond" w:hAnsi="Garamond"/>
        </w:rPr>
        <w:footnoteRef/>
      </w:r>
      <w:r w:rsidRPr="00720382">
        <w:rPr>
          <w:rFonts w:ascii="Garamond" w:hAnsi="Garamond"/>
        </w:rPr>
        <w:t xml:space="preserve"> The argument involves an ‘I’-‘you’ case. Leaving aside the question of whether such cases pose a special problem for otherwise well-motivated theories, there has been a recent mini-explosion of interest, especially from those working in the neo-Fregean tradition, of how to think about the </w:t>
      </w:r>
      <w:r w:rsidRPr="00720382">
        <w:rPr>
          <w:rFonts w:ascii="Garamond" w:hAnsi="Garamond"/>
          <w:i/>
          <w:iCs/>
        </w:rPr>
        <w:t xml:space="preserve">de te, </w:t>
      </w:r>
      <w:r w:rsidRPr="00720382">
        <w:rPr>
          <w:rFonts w:ascii="Garamond" w:hAnsi="Garamond"/>
        </w:rPr>
        <w:t xml:space="preserve">either in its own right or in its relationship with the </w:t>
      </w:r>
      <w:r w:rsidRPr="00720382">
        <w:rPr>
          <w:rFonts w:ascii="Garamond" w:hAnsi="Garamond"/>
          <w:i/>
          <w:iCs/>
        </w:rPr>
        <w:t>de se</w:t>
      </w:r>
      <w:r w:rsidRPr="00720382">
        <w:rPr>
          <w:rFonts w:ascii="Garamond" w:hAnsi="Garamond"/>
        </w:rPr>
        <w:t xml:space="preserve">. Longworth (2014) argues that some </w:t>
      </w:r>
      <w:r w:rsidRPr="00720382">
        <w:rPr>
          <w:rFonts w:ascii="Garamond" w:hAnsi="Garamond"/>
          <w:i/>
          <w:iCs/>
        </w:rPr>
        <w:t xml:space="preserve">de te </w:t>
      </w:r>
      <w:r w:rsidRPr="00720382">
        <w:rPr>
          <w:rFonts w:ascii="Garamond" w:hAnsi="Garamond"/>
        </w:rPr>
        <w:t xml:space="preserve">thoughts are </w:t>
      </w:r>
      <w:r w:rsidRPr="00720382">
        <w:rPr>
          <w:rFonts w:ascii="Garamond" w:hAnsi="Garamond"/>
          <w:i/>
          <w:iCs/>
        </w:rPr>
        <w:t>de se</w:t>
      </w:r>
      <w:r w:rsidRPr="00720382">
        <w:rPr>
          <w:rFonts w:ascii="Garamond" w:hAnsi="Garamond"/>
        </w:rPr>
        <w:t xml:space="preserve"> thoughts. Salje</w:t>
      </w:r>
      <w:r w:rsidR="008F1EE4" w:rsidRPr="00720382">
        <w:rPr>
          <w:rFonts w:ascii="Garamond" w:hAnsi="Garamond"/>
        </w:rPr>
        <w:t xml:space="preserve"> (2017)</w:t>
      </w:r>
      <w:r w:rsidRPr="00720382">
        <w:rPr>
          <w:rFonts w:ascii="Garamond" w:hAnsi="Garamond"/>
        </w:rPr>
        <w:t xml:space="preserve"> argues that there is an </w:t>
      </w:r>
      <w:r w:rsidR="006A0365" w:rsidRPr="00720382">
        <w:rPr>
          <w:rFonts w:ascii="Garamond" w:hAnsi="Garamond"/>
        </w:rPr>
        <w:t>irreducible</w:t>
      </w:r>
      <w:r w:rsidRPr="00720382">
        <w:rPr>
          <w:rFonts w:ascii="Garamond" w:hAnsi="Garamond"/>
        </w:rPr>
        <w:t xml:space="preserve"> mode of presentation associated with </w:t>
      </w:r>
      <w:r w:rsidRPr="00720382">
        <w:rPr>
          <w:rFonts w:ascii="Garamond" w:hAnsi="Garamond"/>
          <w:i/>
          <w:iCs/>
        </w:rPr>
        <w:t>you</w:t>
      </w:r>
      <w:r w:rsidRPr="00720382">
        <w:rPr>
          <w:rFonts w:ascii="Garamond" w:hAnsi="Garamond"/>
        </w:rPr>
        <w:t xml:space="preserve">. Peacocke (2014b) and Martin (2014) debate the right way to think about interpersonal self-consciousness, in which one is aware of oneself as figuring as an object in someone else’s consciousness, and the connection to the </w:t>
      </w:r>
      <w:r w:rsidRPr="00720382">
        <w:rPr>
          <w:rFonts w:ascii="Garamond" w:hAnsi="Garamond"/>
          <w:i/>
          <w:iCs/>
        </w:rPr>
        <w:t>de te</w:t>
      </w:r>
      <w:r w:rsidRPr="00720382">
        <w:rPr>
          <w:rFonts w:ascii="Garamond" w:hAnsi="Garamond"/>
        </w:rPr>
        <w:t xml:space="preserve">. For more on the relationship between the </w:t>
      </w:r>
      <w:r w:rsidRPr="00720382">
        <w:rPr>
          <w:rFonts w:ascii="Garamond" w:hAnsi="Garamond"/>
          <w:i/>
          <w:iCs/>
        </w:rPr>
        <w:t xml:space="preserve">de se </w:t>
      </w:r>
      <w:r w:rsidRPr="00720382">
        <w:rPr>
          <w:rFonts w:ascii="Garamond" w:hAnsi="Garamond"/>
        </w:rPr>
        <w:t xml:space="preserve">and </w:t>
      </w:r>
      <w:r w:rsidRPr="00720382">
        <w:rPr>
          <w:rFonts w:ascii="Garamond" w:hAnsi="Garamond"/>
          <w:i/>
          <w:iCs/>
        </w:rPr>
        <w:t>de te</w:t>
      </w:r>
      <w:r w:rsidRPr="00720382">
        <w:rPr>
          <w:rFonts w:ascii="Garamond" w:hAnsi="Garamond"/>
        </w:rPr>
        <w:t xml:space="preserve">, see many of the essays in the </w:t>
      </w:r>
      <w:r w:rsidRPr="00720382">
        <w:rPr>
          <w:rFonts w:ascii="Garamond" w:hAnsi="Garamond"/>
          <w:i/>
          <w:iCs/>
        </w:rPr>
        <w:t>Philosophical Explorations</w:t>
      </w:r>
      <w:r w:rsidR="00551C17" w:rsidRPr="00720382">
        <w:rPr>
          <w:rFonts w:ascii="Garamond" w:hAnsi="Garamond"/>
          <w:i/>
          <w:iCs/>
        </w:rPr>
        <w:t xml:space="preserve"> </w:t>
      </w:r>
      <w:r w:rsidR="00551C17" w:rsidRPr="00720382">
        <w:rPr>
          <w:rFonts w:ascii="Garamond" w:hAnsi="Garamond"/>
        </w:rPr>
        <w:t>(2014)</w:t>
      </w:r>
      <w:r w:rsidR="00975DE4" w:rsidRPr="00720382">
        <w:rPr>
          <w:rFonts w:ascii="Garamond" w:hAnsi="Garamond"/>
        </w:rPr>
        <w:t xml:space="preserve"> </w:t>
      </w:r>
      <w:r w:rsidRPr="00720382">
        <w:rPr>
          <w:rFonts w:ascii="Garamond" w:hAnsi="Garamond"/>
        </w:rPr>
        <w:t xml:space="preserve">special issue on ‘you’-thought. </w:t>
      </w:r>
    </w:p>
  </w:footnote>
  <w:footnote w:id="17">
    <w:p w14:paraId="00426743" w14:textId="77777777" w:rsidR="00746151" w:rsidRPr="00720382" w:rsidRDefault="00746151" w:rsidP="00746151">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Cappelen and Dever (2017) reply to Paul by denying that the notion of empathy that matters in moral psychology involves the </w:t>
      </w:r>
      <w:r w:rsidRPr="00720382">
        <w:rPr>
          <w:rFonts w:ascii="Garamond" w:hAnsi="Garamond"/>
          <w:i/>
          <w:iCs/>
        </w:rPr>
        <w:t>de se</w:t>
      </w:r>
      <w:r w:rsidRPr="00720382">
        <w:rPr>
          <w:rFonts w:ascii="Garamond" w:hAnsi="Garamond"/>
        </w:rPr>
        <w:t xml:space="preserve">. </w:t>
      </w:r>
    </w:p>
  </w:footnote>
  <w:footnote w:id="18">
    <w:p w14:paraId="01CF46AF" w14:textId="4C5E3538" w:rsidR="00520058" w:rsidRPr="00720382" w:rsidRDefault="00520058"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For attempts to derive various </w:t>
      </w:r>
      <w:r w:rsidRPr="00720382">
        <w:rPr>
          <w:rFonts w:ascii="Garamond" w:hAnsi="Garamond"/>
          <w:i/>
          <w:iCs/>
        </w:rPr>
        <w:t xml:space="preserve">de se </w:t>
      </w:r>
      <w:r w:rsidRPr="00720382">
        <w:rPr>
          <w:rFonts w:ascii="Garamond" w:hAnsi="Garamond"/>
        </w:rPr>
        <w:t xml:space="preserve">phenomena from the reference rule he takes to govern </w:t>
      </w:r>
      <w:r w:rsidRPr="00720382">
        <w:rPr>
          <w:rFonts w:ascii="Garamond" w:hAnsi="Garamond"/>
          <w:i/>
          <w:iCs/>
        </w:rPr>
        <w:t xml:space="preserve">de se </w:t>
      </w:r>
      <w:r w:rsidRPr="00720382">
        <w:rPr>
          <w:rFonts w:ascii="Garamond" w:hAnsi="Garamond"/>
        </w:rPr>
        <w:t xml:space="preserve">thought, see Peacocke (2012). </w:t>
      </w:r>
    </w:p>
  </w:footnote>
  <w:footnote w:id="19">
    <w:p w14:paraId="59406427" w14:textId="4F673ABA" w:rsidR="006365FF" w:rsidRPr="00720382" w:rsidRDefault="006365FF" w:rsidP="00E1069A">
      <w:pPr>
        <w:contextualSpacing/>
        <w:jc w:val="both"/>
        <w:rPr>
          <w:rFonts w:ascii="Garamond" w:eastAsia="Times New Roman" w:hAnsi="Garamond" w:cs="Times New Roman"/>
          <w:color w:val="000000" w:themeColor="text1"/>
          <w:sz w:val="20"/>
          <w:szCs w:val="20"/>
          <w:lang w:eastAsia="en-GB"/>
        </w:rPr>
      </w:pPr>
      <w:r w:rsidRPr="00720382">
        <w:rPr>
          <w:rStyle w:val="FootnoteReference"/>
          <w:rFonts w:ascii="Garamond" w:hAnsi="Garamond"/>
          <w:color w:val="000000" w:themeColor="text1"/>
          <w:sz w:val="20"/>
          <w:szCs w:val="20"/>
        </w:rPr>
        <w:footnoteRef/>
      </w:r>
      <w:r w:rsidRPr="00720382">
        <w:rPr>
          <w:rFonts w:ascii="Garamond" w:hAnsi="Garamond"/>
          <w:color w:val="000000" w:themeColor="text1"/>
          <w:sz w:val="20"/>
          <w:szCs w:val="20"/>
        </w:rPr>
        <w:t xml:space="preserve"> </w:t>
      </w:r>
      <w:r w:rsidRPr="00720382">
        <w:rPr>
          <w:rFonts w:ascii="Garamond" w:eastAsia="Times New Roman" w:hAnsi="Garamond" w:cs="Calibri"/>
          <w:color w:val="000000" w:themeColor="text1"/>
          <w:sz w:val="20"/>
          <w:szCs w:val="20"/>
          <w:lang w:eastAsia="en-GB"/>
        </w:rPr>
        <w:t xml:space="preserve">See also Smith (2018) for a discussion about whether it also applies to </w:t>
      </w:r>
      <w:r w:rsidRPr="00720382">
        <w:rPr>
          <w:rFonts w:ascii="Garamond" w:eastAsia="Times New Roman" w:hAnsi="Garamond" w:cs="Calibri"/>
          <w:i/>
          <w:iCs/>
          <w:color w:val="000000" w:themeColor="text1"/>
          <w:sz w:val="20"/>
          <w:szCs w:val="20"/>
          <w:lang w:eastAsia="en-GB"/>
        </w:rPr>
        <w:t>plural</w:t>
      </w:r>
      <w:r w:rsidRPr="00720382">
        <w:rPr>
          <w:rFonts w:ascii="Garamond" w:eastAsia="Times New Roman" w:hAnsi="Garamond" w:cs="Calibri"/>
          <w:color w:val="000000" w:themeColor="text1"/>
          <w:sz w:val="20"/>
          <w:szCs w:val="20"/>
          <w:lang w:eastAsia="en-GB"/>
        </w:rPr>
        <w:t xml:space="preserve"> first-person reference</w:t>
      </w:r>
      <w:r w:rsidR="00223D11" w:rsidRPr="00720382">
        <w:rPr>
          <w:rFonts w:ascii="Garamond" w:eastAsia="Times New Roman" w:hAnsi="Garamond" w:cs="Calibri"/>
          <w:color w:val="000000" w:themeColor="text1"/>
          <w:sz w:val="20"/>
          <w:szCs w:val="20"/>
          <w:lang w:eastAsia="en-GB"/>
        </w:rPr>
        <w:t xml:space="preserve"> (</w:t>
      </w:r>
      <w:r w:rsidR="00223D11" w:rsidRPr="00720382">
        <w:rPr>
          <w:rFonts w:ascii="Garamond" w:eastAsia="Times New Roman" w:hAnsi="Garamond" w:cs="Calibri"/>
          <w:i/>
          <w:iCs/>
          <w:color w:val="000000" w:themeColor="text1"/>
          <w:sz w:val="20"/>
          <w:szCs w:val="20"/>
          <w:lang w:eastAsia="en-GB"/>
        </w:rPr>
        <w:t>we</w:t>
      </w:r>
      <w:r w:rsidR="00223D11" w:rsidRPr="00720382">
        <w:rPr>
          <w:rFonts w:ascii="Garamond" w:eastAsia="Times New Roman" w:hAnsi="Garamond" w:cs="Calibri"/>
          <w:color w:val="000000" w:themeColor="text1"/>
          <w:sz w:val="20"/>
          <w:szCs w:val="20"/>
          <w:lang w:eastAsia="en-GB"/>
        </w:rPr>
        <w:t>-thought)</w:t>
      </w:r>
      <w:r w:rsidRPr="00720382">
        <w:rPr>
          <w:rFonts w:ascii="Garamond" w:eastAsia="Times New Roman" w:hAnsi="Garamond" w:cs="Calibri"/>
          <w:color w:val="000000" w:themeColor="text1"/>
          <w:sz w:val="20"/>
          <w:szCs w:val="20"/>
          <w:lang w:eastAsia="en-GB"/>
        </w:rPr>
        <w:t xml:space="preserve">. </w:t>
      </w:r>
    </w:p>
  </w:footnote>
  <w:footnote w:id="20">
    <w:p w14:paraId="627A1F56" w14:textId="0EE8FABD" w:rsidR="00720382" w:rsidRPr="00720382" w:rsidRDefault="00720382" w:rsidP="00E1069A">
      <w:pPr>
        <w:pStyle w:val="FootnoteText"/>
        <w:jc w:val="both"/>
        <w:rPr>
          <w:rFonts w:ascii="Garamond" w:hAnsi="Garamond"/>
        </w:rPr>
      </w:pPr>
      <w:r w:rsidRPr="00720382">
        <w:rPr>
          <w:rStyle w:val="FootnoteReference"/>
          <w:rFonts w:ascii="Garamond" w:hAnsi="Garamond"/>
        </w:rPr>
        <w:footnoteRef/>
      </w:r>
      <w:r w:rsidRPr="00720382">
        <w:rPr>
          <w:rFonts w:ascii="Garamond" w:hAnsi="Garamond"/>
        </w:rPr>
        <w:t xml:space="preserve"> See, e.g. Morgan </w:t>
      </w:r>
      <w:r>
        <w:rPr>
          <w:rFonts w:ascii="Garamond" w:hAnsi="Garamond"/>
        </w:rPr>
        <w:t>(</w:t>
      </w:r>
      <w:r w:rsidRPr="00720382">
        <w:rPr>
          <w:rFonts w:ascii="Garamond" w:hAnsi="Garamond"/>
        </w:rPr>
        <w:t>2018</w:t>
      </w:r>
      <w:r>
        <w:rPr>
          <w:rFonts w:ascii="Garamond" w:hAnsi="Garamond"/>
        </w:rPr>
        <w:t>a)</w:t>
      </w:r>
    </w:p>
  </w:footnote>
  <w:footnote w:id="21">
    <w:p w14:paraId="258764DF" w14:textId="6602EB2E" w:rsidR="00520058" w:rsidRPr="00720382" w:rsidRDefault="00520058" w:rsidP="00E1069A">
      <w:pPr>
        <w:contextualSpacing/>
        <w:jc w:val="both"/>
        <w:rPr>
          <w:rFonts w:ascii="Garamond" w:hAnsi="Garamond"/>
          <w:sz w:val="20"/>
          <w:szCs w:val="20"/>
        </w:rPr>
      </w:pPr>
      <w:r w:rsidRPr="00720382">
        <w:rPr>
          <w:rStyle w:val="FootnoteReference"/>
          <w:rFonts w:ascii="Garamond" w:hAnsi="Garamond"/>
          <w:color w:val="000000" w:themeColor="text1"/>
          <w:sz w:val="20"/>
          <w:szCs w:val="20"/>
        </w:rPr>
        <w:footnoteRef/>
      </w:r>
      <w:r w:rsidRPr="00720382">
        <w:rPr>
          <w:rFonts w:ascii="Garamond" w:hAnsi="Garamond"/>
          <w:color w:val="000000" w:themeColor="text1"/>
          <w:sz w:val="20"/>
          <w:szCs w:val="20"/>
        </w:rPr>
        <w:t xml:space="preserve"> One prominent continuing issue is whether to admit different grades of IEM, such as absolute/logical/de jure/de facto, or to only treat one of these as genuine IEM</w:t>
      </w:r>
      <w:r w:rsidR="00E66DB9" w:rsidRPr="00720382">
        <w:rPr>
          <w:rFonts w:ascii="Garamond" w:hAnsi="Garamond"/>
          <w:color w:val="000000" w:themeColor="text1"/>
          <w:sz w:val="20"/>
          <w:szCs w:val="20"/>
        </w:rPr>
        <w:t xml:space="preserve"> (see, e.g.,</w:t>
      </w:r>
      <w:r w:rsidR="005F16EF" w:rsidRPr="00720382">
        <w:rPr>
          <w:rFonts w:ascii="Garamond" w:hAnsi="Garamond"/>
          <w:color w:val="000000" w:themeColor="text1"/>
          <w:sz w:val="20"/>
          <w:szCs w:val="20"/>
        </w:rPr>
        <w:t xml:space="preserve"> Coliva (2012, 2017), Recanati (2012), Prosser (2012), García-Carpentiro (2013, 2015), McGlynn (2016).)</w:t>
      </w:r>
      <w:r w:rsidRPr="00720382">
        <w:rPr>
          <w:rFonts w:ascii="Garamond" w:hAnsi="Garamond"/>
          <w:color w:val="000000" w:themeColor="text1"/>
          <w:sz w:val="20"/>
          <w:szCs w:val="20"/>
        </w:rPr>
        <w:t xml:space="preserve"> Another is how to treat the presence of indubitably known identities</w:t>
      </w:r>
      <w:r w:rsidR="005F16EF" w:rsidRPr="00720382">
        <w:rPr>
          <w:rFonts w:ascii="Garamond" w:hAnsi="Garamond"/>
          <w:color w:val="000000" w:themeColor="text1"/>
          <w:sz w:val="20"/>
          <w:szCs w:val="20"/>
        </w:rPr>
        <w:t xml:space="preserve"> (See, e.g., Smith (2006) and Coliva (2017).</w:t>
      </w:r>
    </w:p>
  </w:footnote>
  <w:footnote w:id="22">
    <w:p w14:paraId="56358CDC" w14:textId="7348D5C7"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Sometimes this issue is posed in terms of </w:t>
      </w:r>
      <w:r w:rsidRPr="00720382">
        <w:rPr>
          <w:rFonts w:ascii="Garamond" w:hAnsi="Garamond"/>
          <w:i/>
          <w:iCs/>
          <w:color w:val="000000" w:themeColor="text1"/>
        </w:rPr>
        <w:t>justificational architecture</w:t>
      </w:r>
      <w:r w:rsidRPr="00720382">
        <w:rPr>
          <w:rFonts w:ascii="Garamond" w:hAnsi="Garamond"/>
          <w:color w:val="000000" w:themeColor="text1"/>
        </w:rPr>
        <w:t xml:space="preserve">, </w:t>
      </w:r>
      <w:r w:rsidRPr="00720382">
        <w:rPr>
          <w:rFonts w:ascii="Garamond" w:hAnsi="Garamond"/>
          <w:i/>
          <w:iCs/>
          <w:color w:val="000000" w:themeColor="text1"/>
        </w:rPr>
        <w:t>doxastic or epistemic structure, formative structure</w:t>
      </w:r>
      <w:r w:rsidRPr="00720382">
        <w:rPr>
          <w:rFonts w:ascii="Garamond" w:hAnsi="Garamond"/>
          <w:color w:val="000000" w:themeColor="text1"/>
        </w:rPr>
        <w:t xml:space="preserve">, or </w:t>
      </w:r>
      <w:r w:rsidRPr="00720382">
        <w:rPr>
          <w:rFonts w:ascii="Garamond" w:hAnsi="Garamond"/>
          <w:i/>
          <w:iCs/>
          <w:color w:val="000000" w:themeColor="text1"/>
        </w:rPr>
        <w:t>explanatory/causal basis</w:t>
      </w:r>
      <w:r w:rsidRPr="00720382">
        <w:rPr>
          <w:rFonts w:ascii="Garamond" w:hAnsi="Garamond"/>
          <w:color w:val="000000" w:themeColor="text1"/>
        </w:rPr>
        <w:t xml:space="preserve">, or discussed in the context of a distinction between </w:t>
      </w:r>
      <w:r w:rsidRPr="00720382">
        <w:rPr>
          <w:rFonts w:ascii="Garamond" w:hAnsi="Garamond"/>
          <w:i/>
          <w:iCs/>
          <w:color w:val="000000" w:themeColor="text1"/>
        </w:rPr>
        <w:t>liberal</w:t>
      </w:r>
      <w:r w:rsidRPr="00720382">
        <w:rPr>
          <w:rFonts w:ascii="Garamond" w:hAnsi="Garamond"/>
          <w:color w:val="000000" w:themeColor="text1"/>
        </w:rPr>
        <w:t xml:space="preserve"> and </w:t>
      </w:r>
      <w:r w:rsidRPr="00720382">
        <w:rPr>
          <w:rFonts w:ascii="Garamond" w:hAnsi="Garamond"/>
          <w:i/>
          <w:iCs/>
          <w:color w:val="000000" w:themeColor="text1"/>
        </w:rPr>
        <w:t xml:space="preserve">conservative </w:t>
      </w:r>
      <w:r w:rsidRPr="00720382">
        <w:rPr>
          <w:rFonts w:ascii="Garamond" w:hAnsi="Garamond"/>
          <w:color w:val="000000" w:themeColor="text1"/>
        </w:rPr>
        <w:t>views of epistemic justification; for more discussion see Coliva (2006, 2012), Wright (2012), McGlynn (2016, ms), Morgan (2018), and García-Carpintero (2013, 2018).</w:t>
      </w:r>
    </w:p>
  </w:footnote>
  <w:footnote w:id="23">
    <w:p w14:paraId="3A9515A5" w14:textId="77777777" w:rsidR="00F059BD" w:rsidRPr="00720382" w:rsidRDefault="00F059BD" w:rsidP="00F059BD">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Pryor 1999; several recent writers have attempted to improve on Pryor’s original formulation (e.g. Hu (2017), Merlo (2017), Morgan (2018), Recanati (2012), McGlynn 2016, ms)</w:t>
      </w:r>
    </w:p>
  </w:footnote>
  <w:footnote w:id="24">
    <w:p w14:paraId="78665387" w14:textId="1403A677"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See, e.g., Guillot (2014) and García-Carpintero (2013, 2018) for this</w:t>
      </w:r>
      <w:r w:rsidR="00983FBD">
        <w:rPr>
          <w:rFonts w:ascii="Garamond" w:hAnsi="Garamond"/>
          <w:color w:val="000000" w:themeColor="text1"/>
        </w:rPr>
        <w:t xml:space="preserve"> </w:t>
      </w:r>
      <w:r w:rsidRPr="00720382">
        <w:rPr>
          <w:rFonts w:ascii="Garamond" w:hAnsi="Garamond"/>
          <w:color w:val="000000" w:themeColor="text1"/>
        </w:rPr>
        <w:t>objection to the identification-freedom view.</w:t>
      </w:r>
    </w:p>
  </w:footnote>
  <w:footnote w:id="25">
    <w:p w14:paraId="089F676B" w14:textId="25F2E301"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For objectors to Coliva’s strategy, see Wright (2012), McGlynn (2016, ms), Garcia-Carpintero (2018) and Palmira (2019); Recanati (2012) and Prosser (2012) both endorse versions of Coliva’s strategy.</w:t>
      </w:r>
      <w:bookmarkStart w:id="0" w:name="_GoBack"/>
      <w:bookmarkEnd w:id="0"/>
    </w:p>
  </w:footnote>
  <w:footnote w:id="26">
    <w:p w14:paraId="664F33A2" w14:textId="77777777"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See also Prosser (2012).</w:t>
      </w:r>
    </w:p>
  </w:footnote>
  <w:footnote w:id="27">
    <w:p w14:paraId="0B4BBDA4" w14:textId="6D055A40" w:rsidR="00DD7E2D" w:rsidRPr="00720382" w:rsidRDefault="00DD7E2D" w:rsidP="00E1069A">
      <w:pPr>
        <w:pStyle w:val="FootnoteText"/>
        <w:contextualSpacing/>
        <w:jc w:val="both"/>
        <w:rPr>
          <w:rFonts w:ascii="Garamond" w:hAnsi="Garamond"/>
        </w:rPr>
      </w:pPr>
      <w:r w:rsidRPr="00720382">
        <w:rPr>
          <w:rStyle w:val="FootnoteReference"/>
          <w:rFonts w:ascii="Garamond" w:hAnsi="Garamond"/>
        </w:rPr>
        <w:footnoteRef/>
      </w:r>
      <w:r w:rsidRPr="00720382">
        <w:rPr>
          <w:rFonts w:ascii="Garamond" w:hAnsi="Garamond"/>
        </w:rPr>
        <w:t xml:space="preserve"> This is the treatment Lewis gives of all </w:t>
      </w:r>
      <w:r w:rsidRPr="00720382">
        <w:rPr>
          <w:rFonts w:ascii="Garamond" w:hAnsi="Garamond"/>
          <w:i/>
          <w:iCs/>
        </w:rPr>
        <w:t>de se</w:t>
      </w:r>
      <w:r w:rsidRPr="00720382">
        <w:rPr>
          <w:rFonts w:ascii="Garamond" w:hAnsi="Garamond"/>
        </w:rPr>
        <w:t xml:space="preserve"> attitudes.</w:t>
      </w:r>
    </w:p>
  </w:footnote>
  <w:footnote w:id="28">
    <w:p w14:paraId="077CBDCC" w14:textId="3758BFCF"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Cf.</w:t>
      </w:r>
      <w:r w:rsidR="00BA0A8B" w:rsidRPr="00720382">
        <w:rPr>
          <w:rFonts w:ascii="Garamond" w:hAnsi="Garamond"/>
          <w:color w:val="000000" w:themeColor="text1"/>
        </w:rPr>
        <w:t xml:space="preserve"> accounts of IEM by</w:t>
      </w:r>
      <w:r w:rsidRPr="00720382">
        <w:rPr>
          <w:rFonts w:ascii="Garamond" w:hAnsi="Garamond"/>
          <w:color w:val="000000" w:themeColor="text1"/>
        </w:rPr>
        <w:t xml:space="preserve"> Ismael (2012) and Guillot (2013). Recanati also thinks that there is a second layer of </w:t>
      </w:r>
      <w:r w:rsidRPr="00720382">
        <w:rPr>
          <w:rFonts w:ascii="Garamond" w:hAnsi="Garamond"/>
          <w:i/>
          <w:iCs/>
          <w:color w:val="000000" w:themeColor="text1"/>
        </w:rPr>
        <w:t>de se</w:t>
      </w:r>
      <w:r w:rsidRPr="00720382">
        <w:rPr>
          <w:rFonts w:ascii="Garamond" w:hAnsi="Garamond"/>
          <w:color w:val="000000" w:themeColor="text1"/>
        </w:rPr>
        <w:t xml:space="preserve"> thoughts with IEM – </w:t>
      </w:r>
      <w:r w:rsidRPr="00720382">
        <w:rPr>
          <w:rFonts w:ascii="Garamond" w:hAnsi="Garamond"/>
          <w:i/>
          <w:iCs/>
          <w:color w:val="000000" w:themeColor="text1"/>
        </w:rPr>
        <w:t>explicit de se</w:t>
      </w:r>
      <w:r w:rsidRPr="00720382">
        <w:rPr>
          <w:rFonts w:ascii="Garamond" w:hAnsi="Garamond"/>
          <w:color w:val="000000" w:themeColor="text1"/>
        </w:rPr>
        <w:t xml:space="preserve"> thoughts – that </w:t>
      </w:r>
      <w:r w:rsidRPr="00720382">
        <w:rPr>
          <w:rFonts w:ascii="Garamond" w:hAnsi="Garamond"/>
          <w:i/>
          <w:iCs/>
          <w:color w:val="000000" w:themeColor="text1"/>
        </w:rPr>
        <w:t>do</w:t>
      </w:r>
      <w:r w:rsidRPr="00720382">
        <w:rPr>
          <w:rFonts w:ascii="Garamond" w:hAnsi="Garamond"/>
          <w:color w:val="000000" w:themeColor="text1"/>
        </w:rPr>
        <w:t xml:space="preserve"> explicitly represent the thought’s subject. These </w:t>
      </w:r>
      <w:r w:rsidRPr="00720382">
        <w:rPr>
          <w:rFonts w:ascii="Garamond" w:hAnsi="Garamond"/>
          <w:i/>
          <w:iCs/>
          <w:color w:val="000000" w:themeColor="text1"/>
        </w:rPr>
        <w:t>de se</w:t>
      </w:r>
      <w:r w:rsidRPr="00720382">
        <w:rPr>
          <w:rFonts w:ascii="Garamond" w:hAnsi="Garamond"/>
          <w:color w:val="000000" w:themeColor="text1"/>
        </w:rPr>
        <w:t xml:space="preserve"> thoughts are reached by a non-inferential process called ‘reflection’ from implicit </w:t>
      </w:r>
      <w:r w:rsidRPr="00720382">
        <w:rPr>
          <w:rFonts w:ascii="Garamond" w:hAnsi="Garamond"/>
          <w:i/>
          <w:iCs/>
          <w:color w:val="000000" w:themeColor="text1"/>
        </w:rPr>
        <w:t>de se</w:t>
      </w:r>
      <w:r w:rsidRPr="00720382">
        <w:rPr>
          <w:rFonts w:ascii="Garamond" w:hAnsi="Garamond"/>
          <w:color w:val="000000" w:themeColor="text1"/>
        </w:rPr>
        <w:t xml:space="preserve"> thoughts – since no inference is involved, there is no new opportunity for a misidentification to be introduced. This addition to the account is not important for our purposes.</w:t>
      </w:r>
    </w:p>
  </w:footnote>
  <w:footnote w:id="29">
    <w:p w14:paraId="5789FCD2" w14:textId="77777777"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See also Smith (2006) for another argument against wh-IEM, and McGlynn (ms) for a response; see also Salje (2016) for an objection to a closely related formulation of IEM. </w:t>
      </w:r>
    </w:p>
  </w:footnote>
  <w:footnote w:id="30">
    <w:p w14:paraId="63B4E997" w14:textId="77777777"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See, e.g. Wright (2012), Morgan (2012), Coliva (2017) and Hu (2017). See also Campbell (2012) for an argument that </w:t>
      </w:r>
      <w:r w:rsidRPr="00720382">
        <w:rPr>
          <w:rFonts w:ascii="Garamond" w:hAnsi="Garamond"/>
          <w:i/>
          <w:iCs/>
          <w:color w:val="000000" w:themeColor="text1"/>
        </w:rPr>
        <w:t>de se</w:t>
      </w:r>
      <w:r w:rsidRPr="00720382">
        <w:rPr>
          <w:rFonts w:ascii="Garamond" w:hAnsi="Garamond"/>
          <w:color w:val="000000" w:themeColor="text1"/>
        </w:rPr>
        <w:t xml:space="preserve"> thought is </w:t>
      </w:r>
      <w:r w:rsidRPr="00720382">
        <w:rPr>
          <w:rFonts w:ascii="Garamond" w:hAnsi="Garamond"/>
          <w:i/>
          <w:iCs/>
          <w:color w:val="000000" w:themeColor="text1"/>
        </w:rPr>
        <w:t>unique</w:t>
      </w:r>
      <w:r w:rsidRPr="00720382">
        <w:rPr>
          <w:rFonts w:ascii="Garamond" w:hAnsi="Garamond"/>
          <w:color w:val="000000" w:themeColor="text1"/>
        </w:rPr>
        <w:t xml:space="preserve"> in resisting a metasemantic explanation of IEM. </w:t>
      </w:r>
    </w:p>
  </w:footnote>
  <w:footnote w:id="31">
    <w:p w14:paraId="2E7235E0" w14:textId="4AEEDA3F"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For some recent discussions of the IEM of introspective judgments see García-Carpintero (2018), Hu (2017), Parrott (2017); of bodily awareness judgments De Vignemont (2011, 2012), Schwenkler (2013a), Morgan (2018), Salje (2017), Lane and Liang (2011), Gallagher (2012), Kang (2016); of action judgments O’Brien (2007, 2012), Romdenh-Romluc (2013), Lane and Liang (2011); and of memory judgments Fernandez (2014), Bermudez (2012, 2013), Hamilton (2009).  </w:t>
      </w:r>
    </w:p>
  </w:footnote>
  <w:footnote w:id="32">
    <w:p w14:paraId="0D870332" w14:textId="586A79F4" w:rsidR="00520058" w:rsidRPr="00720382" w:rsidRDefault="00520058" w:rsidP="00E1069A">
      <w:pPr>
        <w:pStyle w:val="FootnoteText"/>
        <w:contextualSpacing/>
        <w:jc w:val="both"/>
        <w:rPr>
          <w:rFonts w:ascii="Garamond" w:hAnsi="Garamond"/>
          <w:color w:val="000000" w:themeColor="text1"/>
        </w:rPr>
      </w:pPr>
      <w:r w:rsidRPr="00720382">
        <w:rPr>
          <w:rStyle w:val="FootnoteReference"/>
          <w:rFonts w:ascii="Garamond" w:hAnsi="Garamond"/>
          <w:color w:val="000000" w:themeColor="text1"/>
        </w:rPr>
        <w:footnoteRef/>
      </w:r>
      <w:r w:rsidRPr="00720382">
        <w:rPr>
          <w:rFonts w:ascii="Garamond" w:hAnsi="Garamond"/>
          <w:color w:val="000000" w:themeColor="text1"/>
        </w:rPr>
        <w:t xml:space="preserve"> E.g. Schwenkler (2013b)</w:t>
      </w:r>
      <w:r w:rsidR="00722637" w:rsidRPr="00720382">
        <w:rPr>
          <w:rFonts w:ascii="Garamond" w:hAnsi="Garamond"/>
          <w:color w:val="000000" w:themeColor="text1"/>
        </w:rPr>
        <w:t xml:space="preserve"> and Howell (2007)</w:t>
      </w:r>
      <w:r w:rsidRPr="00720382">
        <w:rPr>
          <w:rFonts w:ascii="Garamond" w:hAnsi="Garamond"/>
          <w:color w:val="000000" w:themeColor="text1"/>
        </w:rPr>
        <w:t>. A more extreme reaction to the state of this literature is to deny the existence of IEM altogether (e.g. Cappelen and Dever 2013).</w:t>
      </w:r>
    </w:p>
  </w:footnote>
  <w:footnote w:id="33">
    <w:p w14:paraId="075DCCF2" w14:textId="5512F9E5" w:rsidR="00D34F39" w:rsidRPr="00720382" w:rsidRDefault="00D34F39" w:rsidP="00E1069A">
      <w:pPr>
        <w:pStyle w:val="FootnoteText"/>
        <w:jc w:val="both"/>
        <w:rPr>
          <w:rFonts w:ascii="Garamond" w:hAnsi="Garamond"/>
        </w:rPr>
      </w:pPr>
      <w:r w:rsidRPr="00720382">
        <w:rPr>
          <w:rStyle w:val="FootnoteReference"/>
          <w:rFonts w:ascii="Garamond" w:hAnsi="Garamond"/>
        </w:rPr>
        <w:footnoteRef/>
      </w:r>
      <w:r w:rsidRPr="00720382">
        <w:rPr>
          <w:rFonts w:ascii="Garamond" w:hAnsi="Garamond"/>
        </w:rPr>
        <w:t xml:space="preserve"> For discussion </w:t>
      </w:r>
      <w:r w:rsidR="00E1069A">
        <w:rPr>
          <w:rFonts w:ascii="Garamond" w:hAnsi="Garamond"/>
        </w:rPr>
        <w:t>and</w:t>
      </w:r>
      <w:r w:rsidRPr="00720382">
        <w:rPr>
          <w:rFonts w:ascii="Garamond" w:hAnsi="Garamond"/>
        </w:rPr>
        <w:t xml:space="preserve"> comments we owe thanks to Jessica Begon, Aidan McGlynn, Dilip Ninan, Michele Palmira and John Schwenkler.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0011228"/>
      <w:docPartObj>
        <w:docPartGallery w:val="Page Numbers (Top of Page)"/>
        <w:docPartUnique/>
      </w:docPartObj>
    </w:sdtPr>
    <w:sdtEndPr>
      <w:rPr>
        <w:rStyle w:val="PageNumber"/>
      </w:rPr>
    </w:sdtEndPr>
    <w:sdtContent>
      <w:p w14:paraId="788A734B" w14:textId="359B15D5" w:rsidR="00520058" w:rsidRDefault="00520058" w:rsidP="0052005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718AD" w14:textId="77777777" w:rsidR="00520058" w:rsidRDefault="00520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50199489"/>
      <w:docPartObj>
        <w:docPartGallery w:val="Page Numbers (Top of Page)"/>
        <w:docPartUnique/>
      </w:docPartObj>
    </w:sdtPr>
    <w:sdtEndPr>
      <w:rPr>
        <w:rStyle w:val="PageNumber"/>
      </w:rPr>
    </w:sdtEndPr>
    <w:sdtContent>
      <w:p w14:paraId="088392B8" w14:textId="39CA5205" w:rsidR="00520058" w:rsidRPr="00834082" w:rsidRDefault="00520058" w:rsidP="00520058">
        <w:pPr>
          <w:pStyle w:val="Header"/>
          <w:framePr w:wrap="none" w:vAnchor="text" w:hAnchor="margin" w:xAlign="center" w:y="1"/>
          <w:rPr>
            <w:rStyle w:val="PageNumber"/>
            <w:rFonts w:ascii="Garamond" w:hAnsi="Garamond"/>
          </w:rPr>
        </w:pPr>
        <w:r w:rsidRPr="00834082">
          <w:rPr>
            <w:rStyle w:val="PageNumber"/>
            <w:rFonts w:ascii="Garamond" w:hAnsi="Garamond"/>
          </w:rPr>
          <w:fldChar w:fldCharType="begin"/>
        </w:r>
        <w:r w:rsidRPr="00834082">
          <w:rPr>
            <w:rStyle w:val="PageNumber"/>
            <w:rFonts w:ascii="Garamond" w:hAnsi="Garamond"/>
          </w:rPr>
          <w:instrText xml:space="preserve"> PAGE </w:instrText>
        </w:r>
        <w:r w:rsidRPr="00834082">
          <w:rPr>
            <w:rStyle w:val="PageNumber"/>
            <w:rFonts w:ascii="Garamond" w:hAnsi="Garamond"/>
          </w:rPr>
          <w:fldChar w:fldCharType="separate"/>
        </w:r>
        <w:r w:rsidRPr="00834082">
          <w:rPr>
            <w:rStyle w:val="PageNumber"/>
            <w:rFonts w:ascii="Garamond" w:hAnsi="Garamond"/>
            <w:noProof/>
          </w:rPr>
          <w:t>1</w:t>
        </w:r>
        <w:r w:rsidRPr="00834082">
          <w:rPr>
            <w:rStyle w:val="PageNumber"/>
            <w:rFonts w:ascii="Garamond" w:hAnsi="Garamond"/>
          </w:rPr>
          <w:fldChar w:fldCharType="end"/>
        </w:r>
      </w:p>
    </w:sdtContent>
  </w:sdt>
  <w:p w14:paraId="05F44EE6" w14:textId="77777777" w:rsidR="00520058" w:rsidRPr="00834082" w:rsidRDefault="00520058">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5CDB"/>
    <w:multiLevelType w:val="hybridMultilevel"/>
    <w:tmpl w:val="90E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5325F"/>
    <w:multiLevelType w:val="multilevel"/>
    <w:tmpl w:val="2FC27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5192E"/>
    <w:multiLevelType w:val="hybridMultilevel"/>
    <w:tmpl w:val="A25AD442"/>
    <w:lvl w:ilvl="0" w:tplc="569ABED6">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C44CE5"/>
    <w:multiLevelType w:val="hybridMultilevel"/>
    <w:tmpl w:val="DD40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26287"/>
    <w:multiLevelType w:val="hybridMultilevel"/>
    <w:tmpl w:val="B1C204CE"/>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992C98"/>
    <w:multiLevelType w:val="hybridMultilevel"/>
    <w:tmpl w:val="110C7CF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9E0FA7"/>
    <w:multiLevelType w:val="hybridMultilevel"/>
    <w:tmpl w:val="78302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23"/>
    <w:rsid w:val="00005F09"/>
    <w:rsid w:val="00017174"/>
    <w:rsid w:val="00050E4F"/>
    <w:rsid w:val="00050FDF"/>
    <w:rsid w:val="000552B5"/>
    <w:rsid w:val="00057818"/>
    <w:rsid w:val="00070BDC"/>
    <w:rsid w:val="000729FE"/>
    <w:rsid w:val="000815C5"/>
    <w:rsid w:val="00082EC8"/>
    <w:rsid w:val="00085D8A"/>
    <w:rsid w:val="000A0266"/>
    <w:rsid w:val="000A2372"/>
    <w:rsid w:val="000A4D69"/>
    <w:rsid w:val="000B0B92"/>
    <w:rsid w:val="000B0CA8"/>
    <w:rsid w:val="000D4D81"/>
    <w:rsid w:val="000E5CF5"/>
    <w:rsid w:val="000F099D"/>
    <w:rsid w:val="000F3AEB"/>
    <w:rsid w:val="000F4683"/>
    <w:rsid w:val="00112A62"/>
    <w:rsid w:val="00123293"/>
    <w:rsid w:val="00131EAE"/>
    <w:rsid w:val="0013595A"/>
    <w:rsid w:val="00137E95"/>
    <w:rsid w:val="00146DBB"/>
    <w:rsid w:val="00153750"/>
    <w:rsid w:val="001751F8"/>
    <w:rsid w:val="0018562D"/>
    <w:rsid w:val="00185686"/>
    <w:rsid w:val="001921C5"/>
    <w:rsid w:val="00195FCC"/>
    <w:rsid w:val="001A6F06"/>
    <w:rsid w:val="001B285D"/>
    <w:rsid w:val="001C0BBC"/>
    <w:rsid w:val="001F03C3"/>
    <w:rsid w:val="00202A58"/>
    <w:rsid w:val="0020326B"/>
    <w:rsid w:val="00210EF7"/>
    <w:rsid w:val="00223D11"/>
    <w:rsid w:val="00231641"/>
    <w:rsid w:val="002401BD"/>
    <w:rsid w:val="00240AE4"/>
    <w:rsid w:val="0026095F"/>
    <w:rsid w:val="0026265B"/>
    <w:rsid w:val="00267468"/>
    <w:rsid w:val="00295CAF"/>
    <w:rsid w:val="002A336B"/>
    <w:rsid w:val="002C0A39"/>
    <w:rsid w:val="002D4B29"/>
    <w:rsid w:val="002D7A12"/>
    <w:rsid w:val="002E356E"/>
    <w:rsid w:val="002E4ACD"/>
    <w:rsid w:val="002F0076"/>
    <w:rsid w:val="002F21A6"/>
    <w:rsid w:val="002F5B49"/>
    <w:rsid w:val="00305371"/>
    <w:rsid w:val="00310B80"/>
    <w:rsid w:val="00312458"/>
    <w:rsid w:val="0031320D"/>
    <w:rsid w:val="00327035"/>
    <w:rsid w:val="00351447"/>
    <w:rsid w:val="003618D8"/>
    <w:rsid w:val="0037487D"/>
    <w:rsid w:val="00380C67"/>
    <w:rsid w:val="00393CFC"/>
    <w:rsid w:val="0039654E"/>
    <w:rsid w:val="00397B1C"/>
    <w:rsid w:val="003A530B"/>
    <w:rsid w:val="003C0A0B"/>
    <w:rsid w:val="003C1F9F"/>
    <w:rsid w:val="003E6BC8"/>
    <w:rsid w:val="003F1831"/>
    <w:rsid w:val="003F22B8"/>
    <w:rsid w:val="003F2ED3"/>
    <w:rsid w:val="004021A6"/>
    <w:rsid w:val="004069AB"/>
    <w:rsid w:val="004101F2"/>
    <w:rsid w:val="00427FFD"/>
    <w:rsid w:val="0043698B"/>
    <w:rsid w:val="00436D74"/>
    <w:rsid w:val="00444270"/>
    <w:rsid w:val="00444D81"/>
    <w:rsid w:val="004454E1"/>
    <w:rsid w:val="0044582A"/>
    <w:rsid w:val="004466D1"/>
    <w:rsid w:val="004537CD"/>
    <w:rsid w:val="00454AF1"/>
    <w:rsid w:val="004572B4"/>
    <w:rsid w:val="00474B1E"/>
    <w:rsid w:val="00477D6B"/>
    <w:rsid w:val="00494ED5"/>
    <w:rsid w:val="004A1496"/>
    <w:rsid w:val="004A74AB"/>
    <w:rsid w:val="004B1B9C"/>
    <w:rsid w:val="004B5BB4"/>
    <w:rsid w:val="004C7CE8"/>
    <w:rsid w:val="004D02A2"/>
    <w:rsid w:val="004D6E60"/>
    <w:rsid w:val="004E4ADA"/>
    <w:rsid w:val="004F4BDA"/>
    <w:rsid w:val="0050710B"/>
    <w:rsid w:val="00520058"/>
    <w:rsid w:val="0052174F"/>
    <w:rsid w:val="00523F7C"/>
    <w:rsid w:val="005272BD"/>
    <w:rsid w:val="0053647E"/>
    <w:rsid w:val="00536777"/>
    <w:rsid w:val="00544487"/>
    <w:rsid w:val="00550B0E"/>
    <w:rsid w:val="00551C17"/>
    <w:rsid w:val="00554D03"/>
    <w:rsid w:val="0055716C"/>
    <w:rsid w:val="005727F6"/>
    <w:rsid w:val="00576F1D"/>
    <w:rsid w:val="005946B8"/>
    <w:rsid w:val="005C6671"/>
    <w:rsid w:val="005C7595"/>
    <w:rsid w:val="005C7BE1"/>
    <w:rsid w:val="005E168E"/>
    <w:rsid w:val="005F16EF"/>
    <w:rsid w:val="0061708D"/>
    <w:rsid w:val="00623BFD"/>
    <w:rsid w:val="00626F46"/>
    <w:rsid w:val="00634734"/>
    <w:rsid w:val="006365A1"/>
    <w:rsid w:val="006365FF"/>
    <w:rsid w:val="0063751D"/>
    <w:rsid w:val="0064104F"/>
    <w:rsid w:val="00645266"/>
    <w:rsid w:val="00646A83"/>
    <w:rsid w:val="00646AF5"/>
    <w:rsid w:val="0065212B"/>
    <w:rsid w:val="006531BC"/>
    <w:rsid w:val="006540BF"/>
    <w:rsid w:val="00654DEC"/>
    <w:rsid w:val="00664F3E"/>
    <w:rsid w:val="00673E78"/>
    <w:rsid w:val="00687C6C"/>
    <w:rsid w:val="006A0365"/>
    <w:rsid w:val="006A21BD"/>
    <w:rsid w:val="006A4C24"/>
    <w:rsid w:val="006B4092"/>
    <w:rsid w:val="006B45E0"/>
    <w:rsid w:val="006D2237"/>
    <w:rsid w:val="006D2F29"/>
    <w:rsid w:val="006D5394"/>
    <w:rsid w:val="006E062A"/>
    <w:rsid w:val="006F02E6"/>
    <w:rsid w:val="006F2BFF"/>
    <w:rsid w:val="006F3B67"/>
    <w:rsid w:val="006F459C"/>
    <w:rsid w:val="006F51A9"/>
    <w:rsid w:val="006F6A11"/>
    <w:rsid w:val="00704E50"/>
    <w:rsid w:val="00720382"/>
    <w:rsid w:val="00722637"/>
    <w:rsid w:val="00725144"/>
    <w:rsid w:val="0073041C"/>
    <w:rsid w:val="007327BD"/>
    <w:rsid w:val="00736EC0"/>
    <w:rsid w:val="0074090F"/>
    <w:rsid w:val="007434F5"/>
    <w:rsid w:val="00746151"/>
    <w:rsid w:val="0075449E"/>
    <w:rsid w:val="0076688E"/>
    <w:rsid w:val="007758F1"/>
    <w:rsid w:val="007837AA"/>
    <w:rsid w:val="0079227C"/>
    <w:rsid w:val="007A1B00"/>
    <w:rsid w:val="007B1B9E"/>
    <w:rsid w:val="007C2E19"/>
    <w:rsid w:val="007C3987"/>
    <w:rsid w:val="007D0BC6"/>
    <w:rsid w:val="007D2965"/>
    <w:rsid w:val="007D32D9"/>
    <w:rsid w:val="007D6F7F"/>
    <w:rsid w:val="007E0E11"/>
    <w:rsid w:val="007E3C68"/>
    <w:rsid w:val="007E507B"/>
    <w:rsid w:val="007E58C1"/>
    <w:rsid w:val="007F145B"/>
    <w:rsid w:val="007F22BD"/>
    <w:rsid w:val="00804345"/>
    <w:rsid w:val="00810264"/>
    <w:rsid w:val="0081032A"/>
    <w:rsid w:val="00810C57"/>
    <w:rsid w:val="00814499"/>
    <w:rsid w:val="008162B4"/>
    <w:rsid w:val="00821091"/>
    <w:rsid w:val="008235C6"/>
    <w:rsid w:val="008266BC"/>
    <w:rsid w:val="00834082"/>
    <w:rsid w:val="00836755"/>
    <w:rsid w:val="008457D9"/>
    <w:rsid w:val="0086007F"/>
    <w:rsid w:val="00864310"/>
    <w:rsid w:val="00887C65"/>
    <w:rsid w:val="008B13A0"/>
    <w:rsid w:val="008F187A"/>
    <w:rsid w:val="008F1EE4"/>
    <w:rsid w:val="008F27F8"/>
    <w:rsid w:val="008F6E81"/>
    <w:rsid w:val="00901756"/>
    <w:rsid w:val="00904664"/>
    <w:rsid w:val="009061AB"/>
    <w:rsid w:val="00916DEE"/>
    <w:rsid w:val="00932E23"/>
    <w:rsid w:val="009370B4"/>
    <w:rsid w:val="0094216B"/>
    <w:rsid w:val="00947DAD"/>
    <w:rsid w:val="009534C9"/>
    <w:rsid w:val="00957E0E"/>
    <w:rsid w:val="00975DE4"/>
    <w:rsid w:val="00983FBD"/>
    <w:rsid w:val="00992EF1"/>
    <w:rsid w:val="009A2519"/>
    <w:rsid w:val="009C07D7"/>
    <w:rsid w:val="009D3168"/>
    <w:rsid w:val="009E3951"/>
    <w:rsid w:val="009F0CCC"/>
    <w:rsid w:val="009F1A6E"/>
    <w:rsid w:val="009F237E"/>
    <w:rsid w:val="009F4B26"/>
    <w:rsid w:val="00A01D75"/>
    <w:rsid w:val="00A07F25"/>
    <w:rsid w:val="00A11AB6"/>
    <w:rsid w:val="00A1280A"/>
    <w:rsid w:val="00A14544"/>
    <w:rsid w:val="00A208DB"/>
    <w:rsid w:val="00A26017"/>
    <w:rsid w:val="00A342FC"/>
    <w:rsid w:val="00A44876"/>
    <w:rsid w:val="00A47CE7"/>
    <w:rsid w:val="00A654F2"/>
    <w:rsid w:val="00A65D3E"/>
    <w:rsid w:val="00A66406"/>
    <w:rsid w:val="00A8444F"/>
    <w:rsid w:val="00AA3003"/>
    <w:rsid w:val="00AA43CB"/>
    <w:rsid w:val="00AB11D7"/>
    <w:rsid w:val="00AB34BC"/>
    <w:rsid w:val="00AB43CE"/>
    <w:rsid w:val="00AB4967"/>
    <w:rsid w:val="00AB6AE9"/>
    <w:rsid w:val="00AC0FA0"/>
    <w:rsid w:val="00AD7E0F"/>
    <w:rsid w:val="00AE1870"/>
    <w:rsid w:val="00AE23BC"/>
    <w:rsid w:val="00AE28A5"/>
    <w:rsid w:val="00AF3459"/>
    <w:rsid w:val="00AF35C0"/>
    <w:rsid w:val="00AF423C"/>
    <w:rsid w:val="00B350E4"/>
    <w:rsid w:val="00B37B25"/>
    <w:rsid w:val="00B435BA"/>
    <w:rsid w:val="00B61C03"/>
    <w:rsid w:val="00B64A30"/>
    <w:rsid w:val="00B836F1"/>
    <w:rsid w:val="00B95CBD"/>
    <w:rsid w:val="00BA0A8B"/>
    <w:rsid w:val="00BA41F4"/>
    <w:rsid w:val="00BB27A8"/>
    <w:rsid w:val="00BB2D43"/>
    <w:rsid w:val="00BB58CE"/>
    <w:rsid w:val="00BC131B"/>
    <w:rsid w:val="00BC65B1"/>
    <w:rsid w:val="00BC6B69"/>
    <w:rsid w:val="00BD16F2"/>
    <w:rsid w:val="00BD2E87"/>
    <w:rsid w:val="00BD41D9"/>
    <w:rsid w:val="00BD6952"/>
    <w:rsid w:val="00BD703E"/>
    <w:rsid w:val="00BE195C"/>
    <w:rsid w:val="00BE70BF"/>
    <w:rsid w:val="00BF48BC"/>
    <w:rsid w:val="00BF6807"/>
    <w:rsid w:val="00C06858"/>
    <w:rsid w:val="00C15065"/>
    <w:rsid w:val="00C155B9"/>
    <w:rsid w:val="00C16461"/>
    <w:rsid w:val="00C218FD"/>
    <w:rsid w:val="00C2604D"/>
    <w:rsid w:val="00C50A25"/>
    <w:rsid w:val="00C523E2"/>
    <w:rsid w:val="00C572E1"/>
    <w:rsid w:val="00C57780"/>
    <w:rsid w:val="00C60421"/>
    <w:rsid w:val="00C65077"/>
    <w:rsid w:val="00C656B5"/>
    <w:rsid w:val="00C7470F"/>
    <w:rsid w:val="00C871E3"/>
    <w:rsid w:val="00C917A8"/>
    <w:rsid w:val="00CA278F"/>
    <w:rsid w:val="00CA739C"/>
    <w:rsid w:val="00CA7EDC"/>
    <w:rsid w:val="00CB373B"/>
    <w:rsid w:val="00CB620C"/>
    <w:rsid w:val="00CB6957"/>
    <w:rsid w:val="00CC2BAA"/>
    <w:rsid w:val="00CE16BB"/>
    <w:rsid w:val="00CE4A4A"/>
    <w:rsid w:val="00CE4BFA"/>
    <w:rsid w:val="00CF7F67"/>
    <w:rsid w:val="00D02788"/>
    <w:rsid w:val="00D04236"/>
    <w:rsid w:val="00D05EDE"/>
    <w:rsid w:val="00D114CC"/>
    <w:rsid w:val="00D22D3C"/>
    <w:rsid w:val="00D27489"/>
    <w:rsid w:val="00D27BBB"/>
    <w:rsid w:val="00D34F39"/>
    <w:rsid w:val="00D36B11"/>
    <w:rsid w:val="00D4003A"/>
    <w:rsid w:val="00D715AE"/>
    <w:rsid w:val="00D726A9"/>
    <w:rsid w:val="00D74B4F"/>
    <w:rsid w:val="00D75D9A"/>
    <w:rsid w:val="00D83CBA"/>
    <w:rsid w:val="00D846D7"/>
    <w:rsid w:val="00D91001"/>
    <w:rsid w:val="00D942D9"/>
    <w:rsid w:val="00D95BAC"/>
    <w:rsid w:val="00DB4CBB"/>
    <w:rsid w:val="00DB6160"/>
    <w:rsid w:val="00DC242B"/>
    <w:rsid w:val="00DD4E8B"/>
    <w:rsid w:val="00DD7E2D"/>
    <w:rsid w:val="00DE4983"/>
    <w:rsid w:val="00DE59FE"/>
    <w:rsid w:val="00DF22E4"/>
    <w:rsid w:val="00DF48F0"/>
    <w:rsid w:val="00DF4A9F"/>
    <w:rsid w:val="00DF7466"/>
    <w:rsid w:val="00E1057F"/>
    <w:rsid w:val="00E1069A"/>
    <w:rsid w:val="00E12787"/>
    <w:rsid w:val="00E31AD0"/>
    <w:rsid w:val="00E35274"/>
    <w:rsid w:val="00E358FE"/>
    <w:rsid w:val="00E43287"/>
    <w:rsid w:val="00E64C57"/>
    <w:rsid w:val="00E65BBF"/>
    <w:rsid w:val="00E66DB9"/>
    <w:rsid w:val="00E73765"/>
    <w:rsid w:val="00E75B23"/>
    <w:rsid w:val="00E7710E"/>
    <w:rsid w:val="00E806DA"/>
    <w:rsid w:val="00E860EA"/>
    <w:rsid w:val="00E93DC2"/>
    <w:rsid w:val="00EA6CC3"/>
    <w:rsid w:val="00EB3D66"/>
    <w:rsid w:val="00EB5CDB"/>
    <w:rsid w:val="00EC25C5"/>
    <w:rsid w:val="00EC2E91"/>
    <w:rsid w:val="00EC5469"/>
    <w:rsid w:val="00ED7752"/>
    <w:rsid w:val="00EE6E7E"/>
    <w:rsid w:val="00EF16CD"/>
    <w:rsid w:val="00F0426C"/>
    <w:rsid w:val="00F059BD"/>
    <w:rsid w:val="00F10A1E"/>
    <w:rsid w:val="00F14C1E"/>
    <w:rsid w:val="00F216F7"/>
    <w:rsid w:val="00F26A76"/>
    <w:rsid w:val="00F31981"/>
    <w:rsid w:val="00F430CC"/>
    <w:rsid w:val="00F463EB"/>
    <w:rsid w:val="00F507E0"/>
    <w:rsid w:val="00F508E6"/>
    <w:rsid w:val="00F60679"/>
    <w:rsid w:val="00F64A6E"/>
    <w:rsid w:val="00F65447"/>
    <w:rsid w:val="00F86F99"/>
    <w:rsid w:val="00FA28E3"/>
    <w:rsid w:val="00FC167A"/>
    <w:rsid w:val="00FC7334"/>
    <w:rsid w:val="00FF061E"/>
    <w:rsid w:val="00FF3168"/>
    <w:rsid w:val="00FF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309030"/>
  <w15:chartTrackingRefBased/>
  <w15:docId w15:val="{E4D3CC99-8AD0-DE49-949A-C21B00B4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208D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23"/>
    <w:pPr>
      <w:ind w:left="720"/>
      <w:contextualSpacing/>
    </w:pPr>
  </w:style>
  <w:style w:type="paragraph" w:styleId="FootnoteText">
    <w:name w:val="footnote text"/>
    <w:basedOn w:val="Normal"/>
    <w:link w:val="FootnoteTextChar"/>
    <w:uiPriority w:val="99"/>
    <w:semiHidden/>
    <w:unhideWhenUsed/>
    <w:rsid w:val="000729FE"/>
    <w:rPr>
      <w:sz w:val="20"/>
      <w:szCs w:val="20"/>
    </w:rPr>
  </w:style>
  <w:style w:type="character" w:customStyle="1" w:styleId="FootnoteTextChar">
    <w:name w:val="Footnote Text Char"/>
    <w:basedOn w:val="DefaultParagraphFont"/>
    <w:link w:val="FootnoteText"/>
    <w:uiPriority w:val="99"/>
    <w:semiHidden/>
    <w:rsid w:val="000729FE"/>
    <w:rPr>
      <w:sz w:val="20"/>
      <w:szCs w:val="20"/>
    </w:rPr>
  </w:style>
  <w:style w:type="character" w:styleId="FootnoteReference">
    <w:name w:val="footnote reference"/>
    <w:basedOn w:val="DefaultParagraphFont"/>
    <w:uiPriority w:val="99"/>
    <w:semiHidden/>
    <w:unhideWhenUsed/>
    <w:rsid w:val="000729FE"/>
    <w:rPr>
      <w:vertAlign w:val="superscript"/>
    </w:rPr>
  </w:style>
  <w:style w:type="paragraph" w:styleId="NormalWeb">
    <w:name w:val="Normal (Web)"/>
    <w:basedOn w:val="Normal"/>
    <w:uiPriority w:val="99"/>
    <w:unhideWhenUsed/>
    <w:rsid w:val="00050FD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94ED5"/>
    <w:pPr>
      <w:tabs>
        <w:tab w:val="center" w:pos="4680"/>
        <w:tab w:val="right" w:pos="9360"/>
      </w:tabs>
    </w:pPr>
  </w:style>
  <w:style w:type="character" w:customStyle="1" w:styleId="HeaderChar">
    <w:name w:val="Header Char"/>
    <w:basedOn w:val="DefaultParagraphFont"/>
    <w:link w:val="Header"/>
    <w:uiPriority w:val="99"/>
    <w:rsid w:val="00494ED5"/>
  </w:style>
  <w:style w:type="character" w:styleId="PageNumber">
    <w:name w:val="page number"/>
    <w:basedOn w:val="DefaultParagraphFont"/>
    <w:uiPriority w:val="99"/>
    <w:semiHidden/>
    <w:unhideWhenUsed/>
    <w:rsid w:val="00494ED5"/>
  </w:style>
  <w:style w:type="character" w:customStyle="1" w:styleId="apple-converted-space">
    <w:name w:val="apple-converted-space"/>
    <w:basedOn w:val="DefaultParagraphFont"/>
    <w:rsid w:val="006F3B67"/>
  </w:style>
  <w:style w:type="character" w:styleId="Emphasis">
    <w:name w:val="Emphasis"/>
    <w:basedOn w:val="DefaultParagraphFont"/>
    <w:uiPriority w:val="20"/>
    <w:qFormat/>
    <w:rsid w:val="00AB34BC"/>
    <w:rPr>
      <w:i/>
      <w:iCs/>
    </w:rPr>
  </w:style>
  <w:style w:type="character" w:styleId="Strong">
    <w:name w:val="Strong"/>
    <w:basedOn w:val="DefaultParagraphFont"/>
    <w:uiPriority w:val="22"/>
    <w:qFormat/>
    <w:rsid w:val="00AB34BC"/>
    <w:rPr>
      <w:b/>
      <w:bCs/>
    </w:rPr>
  </w:style>
  <w:style w:type="character" w:styleId="Hyperlink">
    <w:name w:val="Hyperlink"/>
    <w:basedOn w:val="DefaultParagraphFont"/>
    <w:uiPriority w:val="99"/>
    <w:unhideWhenUsed/>
    <w:rsid w:val="00A208DB"/>
    <w:rPr>
      <w:color w:val="0563C1" w:themeColor="hyperlink"/>
      <w:u w:val="single"/>
    </w:rPr>
  </w:style>
  <w:style w:type="character" w:styleId="UnresolvedMention">
    <w:name w:val="Unresolved Mention"/>
    <w:basedOn w:val="DefaultParagraphFont"/>
    <w:uiPriority w:val="99"/>
    <w:semiHidden/>
    <w:unhideWhenUsed/>
    <w:rsid w:val="00A208DB"/>
    <w:rPr>
      <w:color w:val="605E5C"/>
      <w:shd w:val="clear" w:color="auto" w:fill="E1DFDD"/>
    </w:rPr>
  </w:style>
  <w:style w:type="character" w:customStyle="1" w:styleId="Heading1Char">
    <w:name w:val="Heading 1 Char"/>
    <w:basedOn w:val="DefaultParagraphFont"/>
    <w:link w:val="Heading1"/>
    <w:uiPriority w:val="9"/>
    <w:rsid w:val="00A208DB"/>
    <w:rPr>
      <w:rFonts w:ascii="Times New Roman" w:eastAsia="Times New Roman" w:hAnsi="Times New Roman" w:cs="Times New Roman"/>
      <w:b/>
      <w:bCs/>
      <w:kern w:val="36"/>
      <w:sz w:val="48"/>
      <w:szCs w:val="48"/>
    </w:rPr>
  </w:style>
  <w:style w:type="character" w:customStyle="1" w:styleId="name">
    <w:name w:val="name"/>
    <w:basedOn w:val="DefaultParagraphFont"/>
    <w:rsid w:val="00A208DB"/>
  </w:style>
  <w:style w:type="character" w:customStyle="1" w:styleId="articletitle">
    <w:name w:val="articletitle"/>
    <w:basedOn w:val="DefaultParagraphFont"/>
    <w:rsid w:val="00A208DB"/>
  </w:style>
  <w:style w:type="character" w:customStyle="1" w:styleId="hi">
    <w:name w:val="hi"/>
    <w:basedOn w:val="DefaultParagraphFont"/>
    <w:rsid w:val="00A208DB"/>
  </w:style>
  <w:style w:type="character" w:customStyle="1" w:styleId="pubyear">
    <w:name w:val="pubyear"/>
    <w:basedOn w:val="DefaultParagraphFont"/>
    <w:rsid w:val="00A208DB"/>
  </w:style>
  <w:style w:type="character" w:customStyle="1" w:styleId="pubinfo">
    <w:name w:val="pubinfo"/>
    <w:basedOn w:val="DefaultParagraphFont"/>
    <w:rsid w:val="00A208DB"/>
  </w:style>
  <w:style w:type="character" w:styleId="HTMLCite">
    <w:name w:val="HTML Cite"/>
    <w:basedOn w:val="DefaultParagraphFont"/>
    <w:uiPriority w:val="99"/>
    <w:semiHidden/>
    <w:unhideWhenUsed/>
    <w:rsid w:val="00A44876"/>
    <w:rPr>
      <w:i/>
      <w:iCs/>
    </w:rPr>
  </w:style>
  <w:style w:type="character" w:styleId="FollowedHyperlink">
    <w:name w:val="FollowedHyperlink"/>
    <w:basedOn w:val="DefaultParagraphFont"/>
    <w:uiPriority w:val="99"/>
    <w:semiHidden/>
    <w:unhideWhenUsed/>
    <w:rsid w:val="00A44876"/>
    <w:rPr>
      <w:color w:val="954F72" w:themeColor="followedHyperlink"/>
      <w:u w:val="single"/>
    </w:rPr>
  </w:style>
  <w:style w:type="paragraph" w:styleId="Footer">
    <w:name w:val="footer"/>
    <w:basedOn w:val="Normal"/>
    <w:link w:val="FooterChar"/>
    <w:uiPriority w:val="99"/>
    <w:unhideWhenUsed/>
    <w:rsid w:val="00834082"/>
    <w:pPr>
      <w:tabs>
        <w:tab w:val="center" w:pos="4680"/>
        <w:tab w:val="right" w:pos="9360"/>
      </w:tabs>
    </w:pPr>
  </w:style>
  <w:style w:type="character" w:customStyle="1" w:styleId="FooterChar">
    <w:name w:val="Footer Char"/>
    <w:basedOn w:val="DefaultParagraphFont"/>
    <w:link w:val="Footer"/>
    <w:uiPriority w:val="99"/>
    <w:rsid w:val="00834082"/>
  </w:style>
  <w:style w:type="paragraph" w:styleId="BalloonText">
    <w:name w:val="Balloon Text"/>
    <w:basedOn w:val="Normal"/>
    <w:link w:val="BalloonTextChar"/>
    <w:uiPriority w:val="99"/>
    <w:semiHidden/>
    <w:unhideWhenUsed/>
    <w:rsid w:val="008340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408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C2E91"/>
    <w:rPr>
      <w:sz w:val="16"/>
      <w:szCs w:val="16"/>
    </w:rPr>
  </w:style>
  <w:style w:type="paragraph" w:styleId="CommentText">
    <w:name w:val="annotation text"/>
    <w:basedOn w:val="Normal"/>
    <w:link w:val="CommentTextChar"/>
    <w:uiPriority w:val="99"/>
    <w:unhideWhenUsed/>
    <w:rsid w:val="00EC2E91"/>
    <w:rPr>
      <w:sz w:val="20"/>
      <w:szCs w:val="20"/>
    </w:rPr>
  </w:style>
  <w:style w:type="character" w:customStyle="1" w:styleId="CommentTextChar">
    <w:name w:val="Comment Text Char"/>
    <w:basedOn w:val="DefaultParagraphFont"/>
    <w:link w:val="CommentText"/>
    <w:uiPriority w:val="99"/>
    <w:rsid w:val="00EC2E91"/>
    <w:rPr>
      <w:sz w:val="20"/>
      <w:szCs w:val="20"/>
    </w:rPr>
  </w:style>
  <w:style w:type="paragraph" w:styleId="CommentSubject">
    <w:name w:val="annotation subject"/>
    <w:basedOn w:val="CommentText"/>
    <w:next w:val="CommentText"/>
    <w:link w:val="CommentSubjectChar"/>
    <w:uiPriority w:val="99"/>
    <w:semiHidden/>
    <w:unhideWhenUsed/>
    <w:rsid w:val="00EC2E91"/>
    <w:rPr>
      <w:b/>
      <w:bCs/>
    </w:rPr>
  </w:style>
  <w:style w:type="character" w:customStyle="1" w:styleId="CommentSubjectChar">
    <w:name w:val="Comment Subject Char"/>
    <w:basedOn w:val="CommentTextChar"/>
    <w:link w:val="CommentSubject"/>
    <w:uiPriority w:val="99"/>
    <w:semiHidden/>
    <w:rsid w:val="00EC2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854">
      <w:bodyDiv w:val="1"/>
      <w:marLeft w:val="0"/>
      <w:marRight w:val="0"/>
      <w:marTop w:val="0"/>
      <w:marBottom w:val="0"/>
      <w:divBdr>
        <w:top w:val="none" w:sz="0" w:space="0" w:color="auto"/>
        <w:left w:val="none" w:sz="0" w:space="0" w:color="auto"/>
        <w:bottom w:val="none" w:sz="0" w:space="0" w:color="auto"/>
        <w:right w:val="none" w:sz="0" w:space="0" w:color="auto"/>
      </w:divBdr>
      <w:divsChild>
        <w:div w:id="103114866">
          <w:marLeft w:val="0"/>
          <w:marRight w:val="0"/>
          <w:marTop w:val="75"/>
          <w:marBottom w:val="75"/>
          <w:divBdr>
            <w:top w:val="none" w:sz="0" w:space="0" w:color="auto"/>
            <w:left w:val="none" w:sz="0" w:space="0" w:color="auto"/>
            <w:bottom w:val="none" w:sz="0" w:space="0" w:color="auto"/>
            <w:right w:val="none" w:sz="0" w:space="0" w:color="auto"/>
          </w:divBdr>
        </w:div>
        <w:div w:id="165944305">
          <w:marLeft w:val="0"/>
          <w:marRight w:val="0"/>
          <w:marTop w:val="0"/>
          <w:marBottom w:val="0"/>
          <w:divBdr>
            <w:top w:val="none" w:sz="0" w:space="0" w:color="auto"/>
            <w:left w:val="none" w:sz="0" w:space="0" w:color="auto"/>
            <w:bottom w:val="none" w:sz="0" w:space="0" w:color="auto"/>
            <w:right w:val="none" w:sz="0" w:space="0" w:color="auto"/>
          </w:divBdr>
        </w:div>
      </w:divsChild>
    </w:div>
    <w:div w:id="329675219">
      <w:bodyDiv w:val="1"/>
      <w:marLeft w:val="0"/>
      <w:marRight w:val="0"/>
      <w:marTop w:val="0"/>
      <w:marBottom w:val="0"/>
      <w:divBdr>
        <w:top w:val="none" w:sz="0" w:space="0" w:color="auto"/>
        <w:left w:val="none" w:sz="0" w:space="0" w:color="auto"/>
        <w:bottom w:val="none" w:sz="0" w:space="0" w:color="auto"/>
        <w:right w:val="none" w:sz="0" w:space="0" w:color="auto"/>
      </w:divBdr>
    </w:div>
    <w:div w:id="354616796">
      <w:bodyDiv w:val="1"/>
      <w:marLeft w:val="0"/>
      <w:marRight w:val="0"/>
      <w:marTop w:val="0"/>
      <w:marBottom w:val="0"/>
      <w:divBdr>
        <w:top w:val="none" w:sz="0" w:space="0" w:color="auto"/>
        <w:left w:val="none" w:sz="0" w:space="0" w:color="auto"/>
        <w:bottom w:val="none" w:sz="0" w:space="0" w:color="auto"/>
        <w:right w:val="none" w:sz="0" w:space="0" w:color="auto"/>
      </w:divBdr>
      <w:divsChild>
        <w:div w:id="1966084605">
          <w:marLeft w:val="0"/>
          <w:marRight w:val="0"/>
          <w:marTop w:val="75"/>
          <w:marBottom w:val="75"/>
          <w:divBdr>
            <w:top w:val="none" w:sz="0" w:space="0" w:color="auto"/>
            <w:left w:val="none" w:sz="0" w:space="0" w:color="auto"/>
            <w:bottom w:val="none" w:sz="0" w:space="0" w:color="auto"/>
            <w:right w:val="none" w:sz="0" w:space="0" w:color="auto"/>
          </w:divBdr>
        </w:div>
        <w:div w:id="545990219">
          <w:marLeft w:val="0"/>
          <w:marRight w:val="0"/>
          <w:marTop w:val="0"/>
          <w:marBottom w:val="0"/>
          <w:divBdr>
            <w:top w:val="none" w:sz="0" w:space="0" w:color="auto"/>
            <w:left w:val="none" w:sz="0" w:space="0" w:color="auto"/>
            <w:bottom w:val="none" w:sz="0" w:space="0" w:color="auto"/>
            <w:right w:val="none" w:sz="0" w:space="0" w:color="auto"/>
          </w:divBdr>
        </w:div>
      </w:divsChild>
    </w:div>
    <w:div w:id="423455594">
      <w:bodyDiv w:val="1"/>
      <w:marLeft w:val="0"/>
      <w:marRight w:val="0"/>
      <w:marTop w:val="0"/>
      <w:marBottom w:val="0"/>
      <w:divBdr>
        <w:top w:val="none" w:sz="0" w:space="0" w:color="auto"/>
        <w:left w:val="none" w:sz="0" w:space="0" w:color="auto"/>
        <w:bottom w:val="none" w:sz="0" w:space="0" w:color="auto"/>
        <w:right w:val="none" w:sz="0" w:space="0" w:color="auto"/>
      </w:divBdr>
    </w:div>
    <w:div w:id="480973516">
      <w:bodyDiv w:val="1"/>
      <w:marLeft w:val="0"/>
      <w:marRight w:val="0"/>
      <w:marTop w:val="0"/>
      <w:marBottom w:val="0"/>
      <w:divBdr>
        <w:top w:val="none" w:sz="0" w:space="0" w:color="auto"/>
        <w:left w:val="none" w:sz="0" w:space="0" w:color="auto"/>
        <w:bottom w:val="none" w:sz="0" w:space="0" w:color="auto"/>
        <w:right w:val="none" w:sz="0" w:space="0" w:color="auto"/>
      </w:divBdr>
      <w:divsChild>
        <w:div w:id="346369792">
          <w:marLeft w:val="0"/>
          <w:marRight w:val="0"/>
          <w:marTop w:val="0"/>
          <w:marBottom w:val="0"/>
          <w:divBdr>
            <w:top w:val="none" w:sz="0" w:space="0" w:color="auto"/>
            <w:left w:val="none" w:sz="0" w:space="0" w:color="auto"/>
            <w:bottom w:val="none" w:sz="0" w:space="0" w:color="auto"/>
            <w:right w:val="none" w:sz="0" w:space="0" w:color="auto"/>
          </w:divBdr>
          <w:divsChild>
            <w:div w:id="1214924242">
              <w:marLeft w:val="0"/>
              <w:marRight w:val="0"/>
              <w:marTop w:val="0"/>
              <w:marBottom w:val="0"/>
              <w:divBdr>
                <w:top w:val="none" w:sz="0" w:space="0" w:color="auto"/>
                <w:left w:val="none" w:sz="0" w:space="0" w:color="auto"/>
                <w:bottom w:val="none" w:sz="0" w:space="0" w:color="auto"/>
                <w:right w:val="none" w:sz="0" w:space="0" w:color="auto"/>
              </w:divBdr>
              <w:divsChild>
                <w:div w:id="1650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7529">
      <w:bodyDiv w:val="1"/>
      <w:marLeft w:val="0"/>
      <w:marRight w:val="0"/>
      <w:marTop w:val="0"/>
      <w:marBottom w:val="0"/>
      <w:divBdr>
        <w:top w:val="none" w:sz="0" w:space="0" w:color="auto"/>
        <w:left w:val="none" w:sz="0" w:space="0" w:color="auto"/>
        <w:bottom w:val="none" w:sz="0" w:space="0" w:color="auto"/>
        <w:right w:val="none" w:sz="0" w:space="0" w:color="auto"/>
      </w:divBdr>
    </w:div>
    <w:div w:id="674112461">
      <w:bodyDiv w:val="1"/>
      <w:marLeft w:val="0"/>
      <w:marRight w:val="0"/>
      <w:marTop w:val="0"/>
      <w:marBottom w:val="0"/>
      <w:divBdr>
        <w:top w:val="none" w:sz="0" w:space="0" w:color="auto"/>
        <w:left w:val="none" w:sz="0" w:space="0" w:color="auto"/>
        <w:bottom w:val="none" w:sz="0" w:space="0" w:color="auto"/>
        <w:right w:val="none" w:sz="0" w:space="0" w:color="auto"/>
      </w:divBdr>
    </w:div>
    <w:div w:id="752243589">
      <w:bodyDiv w:val="1"/>
      <w:marLeft w:val="0"/>
      <w:marRight w:val="0"/>
      <w:marTop w:val="0"/>
      <w:marBottom w:val="0"/>
      <w:divBdr>
        <w:top w:val="none" w:sz="0" w:space="0" w:color="auto"/>
        <w:left w:val="none" w:sz="0" w:space="0" w:color="auto"/>
        <w:bottom w:val="none" w:sz="0" w:space="0" w:color="auto"/>
        <w:right w:val="none" w:sz="0" w:space="0" w:color="auto"/>
      </w:divBdr>
      <w:divsChild>
        <w:div w:id="1377007820">
          <w:marLeft w:val="0"/>
          <w:marRight w:val="0"/>
          <w:marTop w:val="0"/>
          <w:marBottom w:val="0"/>
          <w:divBdr>
            <w:top w:val="none" w:sz="0" w:space="0" w:color="auto"/>
            <w:left w:val="none" w:sz="0" w:space="0" w:color="auto"/>
            <w:bottom w:val="none" w:sz="0" w:space="0" w:color="auto"/>
            <w:right w:val="none" w:sz="0" w:space="0" w:color="auto"/>
          </w:divBdr>
        </w:div>
        <w:div w:id="1645700961">
          <w:marLeft w:val="0"/>
          <w:marRight w:val="0"/>
          <w:marTop w:val="0"/>
          <w:marBottom w:val="0"/>
          <w:divBdr>
            <w:top w:val="none" w:sz="0" w:space="0" w:color="auto"/>
            <w:left w:val="none" w:sz="0" w:space="0" w:color="auto"/>
            <w:bottom w:val="none" w:sz="0" w:space="0" w:color="auto"/>
            <w:right w:val="none" w:sz="0" w:space="0" w:color="auto"/>
          </w:divBdr>
        </w:div>
        <w:div w:id="506407803">
          <w:marLeft w:val="0"/>
          <w:marRight w:val="0"/>
          <w:marTop w:val="0"/>
          <w:marBottom w:val="0"/>
          <w:divBdr>
            <w:top w:val="none" w:sz="0" w:space="0" w:color="auto"/>
            <w:left w:val="none" w:sz="0" w:space="0" w:color="auto"/>
            <w:bottom w:val="none" w:sz="0" w:space="0" w:color="auto"/>
            <w:right w:val="none" w:sz="0" w:space="0" w:color="auto"/>
          </w:divBdr>
        </w:div>
      </w:divsChild>
    </w:div>
    <w:div w:id="841973003">
      <w:bodyDiv w:val="1"/>
      <w:marLeft w:val="0"/>
      <w:marRight w:val="0"/>
      <w:marTop w:val="0"/>
      <w:marBottom w:val="0"/>
      <w:divBdr>
        <w:top w:val="none" w:sz="0" w:space="0" w:color="auto"/>
        <w:left w:val="none" w:sz="0" w:space="0" w:color="auto"/>
        <w:bottom w:val="none" w:sz="0" w:space="0" w:color="auto"/>
        <w:right w:val="none" w:sz="0" w:space="0" w:color="auto"/>
      </w:divBdr>
      <w:divsChild>
        <w:div w:id="1103500117">
          <w:marLeft w:val="0"/>
          <w:marRight w:val="0"/>
          <w:marTop w:val="0"/>
          <w:marBottom w:val="0"/>
          <w:divBdr>
            <w:top w:val="none" w:sz="0" w:space="0" w:color="auto"/>
            <w:left w:val="none" w:sz="0" w:space="0" w:color="auto"/>
            <w:bottom w:val="none" w:sz="0" w:space="0" w:color="auto"/>
            <w:right w:val="none" w:sz="0" w:space="0" w:color="auto"/>
          </w:divBdr>
          <w:divsChild>
            <w:div w:id="2066251093">
              <w:marLeft w:val="0"/>
              <w:marRight w:val="0"/>
              <w:marTop w:val="0"/>
              <w:marBottom w:val="0"/>
              <w:divBdr>
                <w:top w:val="none" w:sz="0" w:space="0" w:color="auto"/>
                <w:left w:val="none" w:sz="0" w:space="0" w:color="auto"/>
                <w:bottom w:val="none" w:sz="0" w:space="0" w:color="auto"/>
                <w:right w:val="none" w:sz="0" w:space="0" w:color="auto"/>
              </w:divBdr>
              <w:divsChild>
                <w:div w:id="14560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992">
      <w:bodyDiv w:val="1"/>
      <w:marLeft w:val="0"/>
      <w:marRight w:val="0"/>
      <w:marTop w:val="0"/>
      <w:marBottom w:val="0"/>
      <w:divBdr>
        <w:top w:val="none" w:sz="0" w:space="0" w:color="auto"/>
        <w:left w:val="none" w:sz="0" w:space="0" w:color="auto"/>
        <w:bottom w:val="none" w:sz="0" w:space="0" w:color="auto"/>
        <w:right w:val="none" w:sz="0" w:space="0" w:color="auto"/>
      </w:divBdr>
      <w:divsChild>
        <w:div w:id="520558421">
          <w:marLeft w:val="0"/>
          <w:marRight w:val="0"/>
          <w:marTop w:val="0"/>
          <w:marBottom w:val="0"/>
          <w:divBdr>
            <w:top w:val="none" w:sz="0" w:space="0" w:color="auto"/>
            <w:left w:val="none" w:sz="0" w:space="0" w:color="auto"/>
            <w:bottom w:val="none" w:sz="0" w:space="0" w:color="auto"/>
            <w:right w:val="none" w:sz="0" w:space="0" w:color="auto"/>
          </w:divBdr>
          <w:divsChild>
            <w:div w:id="583414411">
              <w:marLeft w:val="0"/>
              <w:marRight w:val="0"/>
              <w:marTop w:val="0"/>
              <w:marBottom w:val="0"/>
              <w:divBdr>
                <w:top w:val="none" w:sz="0" w:space="0" w:color="auto"/>
                <w:left w:val="none" w:sz="0" w:space="0" w:color="auto"/>
                <w:bottom w:val="none" w:sz="0" w:space="0" w:color="auto"/>
                <w:right w:val="none" w:sz="0" w:space="0" w:color="auto"/>
              </w:divBdr>
              <w:divsChild>
                <w:div w:id="4611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6543">
      <w:bodyDiv w:val="1"/>
      <w:marLeft w:val="0"/>
      <w:marRight w:val="0"/>
      <w:marTop w:val="0"/>
      <w:marBottom w:val="0"/>
      <w:divBdr>
        <w:top w:val="none" w:sz="0" w:space="0" w:color="auto"/>
        <w:left w:val="none" w:sz="0" w:space="0" w:color="auto"/>
        <w:bottom w:val="none" w:sz="0" w:space="0" w:color="auto"/>
        <w:right w:val="none" w:sz="0" w:space="0" w:color="auto"/>
      </w:divBdr>
    </w:div>
    <w:div w:id="1213273794">
      <w:bodyDiv w:val="1"/>
      <w:marLeft w:val="0"/>
      <w:marRight w:val="0"/>
      <w:marTop w:val="0"/>
      <w:marBottom w:val="0"/>
      <w:divBdr>
        <w:top w:val="none" w:sz="0" w:space="0" w:color="auto"/>
        <w:left w:val="none" w:sz="0" w:space="0" w:color="auto"/>
        <w:bottom w:val="none" w:sz="0" w:space="0" w:color="auto"/>
        <w:right w:val="none" w:sz="0" w:space="0" w:color="auto"/>
      </w:divBdr>
    </w:div>
    <w:div w:id="1246839307">
      <w:bodyDiv w:val="1"/>
      <w:marLeft w:val="0"/>
      <w:marRight w:val="0"/>
      <w:marTop w:val="0"/>
      <w:marBottom w:val="0"/>
      <w:divBdr>
        <w:top w:val="none" w:sz="0" w:space="0" w:color="auto"/>
        <w:left w:val="none" w:sz="0" w:space="0" w:color="auto"/>
        <w:bottom w:val="none" w:sz="0" w:space="0" w:color="auto"/>
        <w:right w:val="none" w:sz="0" w:space="0" w:color="auto"/>
      </w:divBdr>
      <w:divsChild>
        <w:div w:id="1541698352">
          <w:marLeft w:val="0"/>
          <w:marRight w:val="0"/>
          <w:marTop w:val="75"/>
          <w:marBottom w:val="75"/>
          <w:divBdr>
            <w:top w:val="none" w:sz="0" w:space="0" w:color="auto"/>
            <w:left w:val="none" w:sz="0" w:space="0" w:color="auto"/>
            <w:bottom w:val="none" w:sz="0" w:space="0" w:color="auto"/>
            <w:right w:val="none" w:sz="0" w:space="0" w:color="auto"/>
          </w:divBdr>
        </w:div>
        <w:div w:id="627510305">
          <w:marLeft w:val="0"/>
          <w:marRight w:val="0"/>
          <w:marTop w:val="0"/>
          <w:marBottom w:val="0"/>
          <w:divBdr>
            <w:top w:val="none" w:sz="0" w:space="0" w:color="auto"/>
            <w:left w:val="none" w:sz="0" w:space="0" w:color="auto"/>
            <w:bottom w:val="none" w:sz="0" w:space="0" w:color="auto"/>
            <w:right w:val="none" w:sz="0" w:space="0" w:color="auto"/>
          </w:divBdr>
        </w:div>
      </w:divsChild>
    </w:div>
    <w:div w:id="1313171528">
      <w:bodyDiv w:val="1"/>
      <w:marLeft w:val="0"/>
      <w:marRight w:val="0"/>
      <w:marTop w:val="0"/>
      <w:marBottom w:val="0"/>
      <w:divBdr>
        <w:top w:val="none" w:sz="0" w:space="0" w:color="auto"/>
        <w:left w:val="none" w:sz="0" w:space="0" w:color="auto"/>
        <w:bottom w:val="none" w:sz="0" w:space="0" w:color="auto"/>
        <w:right w:val="none" w:sz="0" w:space="0" w:color="auto"/>
      </w:divBdr>
      <w:divsChild>
        <w:div w:id="247084174">
          <w:marLeft w:val="0"/>
          <w:marRight w:val="0"/>
          <w:marTop w:val="0"/>
          <w:marBottom w:val="0"/>
          <w:divBdr>
            <w:top w:val="none" w:sz="0" w:space="0" w:color="auto"/>
            <w:left w:val="none" w:sz="0" w:space="0" w:color="auto"/>
            <w:bottom w:val="none" w:sz="0" w:space="0" w:color="auto"/>
            <w:right w:val="none" w:sz="0" w:space="0" w:color="auto"/>
          </w:divBdr>
          <w:divsChild>
            <w:div w:id="1310406794">
              <w:marLeft w:val="0"/>
              <w:marRight w:val="0"/>
              <w:marTop w:val="0"/>
              <w:marBottom w:val="0"/>
              <w:divBdr>
                <w:top w:val="none" w:sz="0" w:space="0" w:color="auto"/>
                <w:left w:val="none" w:sz="0" w:space="0" w:color="auto"/>
                <w:bottom w:val="none" w:sz="0" w:space="0" w:color="auto"/>
                <w:right w:val="none" w:sz="0" w:space="0" w:color="auto"/>
              </w:divBdr>
              <w:divsChild>
                <w:div w:id="796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8118">
      <w:bodyDiv w:val="1"/>
      <w:marLeft w:val="0"/>
      <w:marRight w:val="0"/>
      <w:marTop w:val="0"/>
      <w:marBottom w:val="0"/>
      <w:divBdr>
        <w:top w:val="none" w:sz="0" w:space="0" w:color="auto"/>
        <w:left w:val="none" w:sz="0" w:space="0" w:color="auto"/>
        <w:bottom w:val="none" w:sz="0" w:space="0" w:color="auto"/>
        <w:right w:val="none" w:sz="0" w:space="0" w:color="auto"/>
      </w:divBdr>
    </w:div>
    <w:div w:id="1480339709">
      <w:bodyDiv w:val="1"/>
      <w:marLeft w:val="0"/>
      <w:marRight w:val="0"/>
      <w:marTop w:val="0"/>
      <w:marBottom w:val="0"/>
      <w:divBdr>
        <w:top w:val="none" w:sz="0" w:space="0" w:color="auto"/>
        <w:left w:val="none" w:sz="0" w:space="0" w:color="auto"/>
        <w:bottom w:val="none" w:sz="0" w:space="0" w:color="auto"/>
        <w:right w:val="none" w:sz="0" w:space="0" w:color="auto"/>
      </w:divBdr>
    </w:div>
    <w:div w:id="1519350108">
      <w:bodyDiv w:val="1"/>
      <w:marLeft w:val="0"/>
      <w:marRight w:val="0"/>
      <w:marTop w:val="0"/>
      <w:marBottom w:val="0"/>
      <w:divBdr>
        <w:top w:val="none" w:sz="0" w:space="0" w:color="auto"/>
        <w:left w:val="none" w:sz="0" w:space="0" w:color="auto"/>
        <w:bottom w:val="none" w:sz="0" w:space="0" w:color="auto"/>
        <w:right w:val="none" w:sz="0" w:space="0" w:color="auto"/>
      </w:divBdr>
    </w:div>
    <w:div w:id="1612592703">
      <w:bodyDiv w:val="1"/>
      <w:marLeft w:val="0"/>
      <w:marRight w:val="0"/>
      <w:marTop w:val="0"/>
      <w:marBottom w:val="0"/>
      <w:divBdr>
        <w:top w:val="none" w:sz="0" w:space="0" w:color="auto"/>
        <w:left w:val="none" w:sz="0" w:space="0" w:color="auto"/>
        <w:bottom w:val="none" w:sz="0" w:space="0" w:color="auto"/>
        <w:right w:val="none" w:sz="0" w:space="0" w:color="auto"/>
      </w:divBdr>
    </w:div>
    <w:div w:id="1648363662">
      <w:bodyDiv w:val="1"/>
      <w:marLeft w:val="0"/>
      <w:marRight w:val="0"/>
      <w:marTop w:val="0"/>
      <w:marBottom w:val="0"/>
      <w:divBdr>
        <w:top w:val="none" w:sz="0" w:space="0" w:color="auto"/>
        <w:left w:val="none" w:sz="0" w:space="0" w:color="auto"/>
        <w:bottom w:val="none" w:sz="0" w:space="0" w:color="auto"/>
        <w:right w:val="none" w:sz="0" w:space="0" w:color="auto"/>
      </w:divBdr>
      <w:divsChild>
        <w:div w:id="1834829511">
          <w:marLeft w:val="0"/>
          <w:marRight w:val="0"/>
          <w:marTop w:val="0"/>
          <w:marBottom w:val="0"/>
          <w:divBdr>
            <w:top w:val="none" w:sz="0" w:space="0" w:color="auto"/>
            <w:left w:val="none" w:sz="0" w:space="0" w:color="auto"/>
            <w:bottom w:val="none" w:sz="0" w:space="0" w:color="auto"/>
            <w:right w:val="none" w:sz="0" w:space="0" w:color="auto"/>
          </w:divBdr>
        </w:div>
        <w:div w:id="1874999005">
          <w:marLeft w:val="0"/>
          <w:marRight w:val="0"/>
          <w:marTop w:val="0"/>
          <w:marBottom w:val="0"/>
          <w:divBdr>
            <w:top w:val="none" w:sz="0" w:space="0" w:color="auto"/>
            <w:left w:val="none" w:sz="0" w:space="0" w:color="auto"/>
            <w:bottom w:val="none" w:sz="0" w:space="0" w:color="auto"/>
            <w:right w:val="none" w:sz="0" w:space="0" w:color="auto"/>
          </w:divBdr>
        </w:div>
        <w:div w:id="1701201267">
          <w:marLeft w:val="0"/>
          <w:marRight w:val="0"/>
          <w:marTop w:val="0"/>
          <w:marBottom w:val="0"/>
          <w:divBdr>
            <w:top w:val="none" w:sz="0" w:space="0" w:color="auto"/>
            <w:left w:val="none" w:sz="0" w:space="0" w:color="auto"/>
            <w:bottom w:val="none" w:sz="0" w:space="0" w:color="auto"/>
            <w:right w:val="none" w:sz="0" w:space="0" w:color="auto"/>
          </w:divBdr>
        </w:div>
      </w:divsChild>
    </w:div>
    <w:div w:id="1709455068">
      <w:bodyDiv w:val="1"/>
      <w:marLeft w:val="0"/>
      <w:marRight w:val="0"/>
      <w:marTop w:val="0"/>
      <w:marBottom w:val="0"/>
      <w:divBdr>
        <w:top w:val="none" w:sz="0" w:space="0" w:color="auto"/>
        <w:left w:val="none" w:sz="0" w:space="0" w:color="auto"/>
        <w:bottom w:val="none" w:sz="0" w:space="0" w:color="auto"/>
        <w:right w:val="none" w:sz="0" w:space="0" w:color="auto"/>
      </w:divBdr>
      <w:divsChild>
        <w:div w:id="1936940592">
          <w:marLeft w:val="0"/>
          <w:marRight w:val="0"/>
          <w:marTop w:val="75"/>
          <w:marBottom w:val="75"/>
          <w:divBdr>
            <w:top w:val="none" w:sz="0" w:space="0" w:color="auto"/>
            <w:left w:val="none" w:sz="0" w:space="0" w:color="auto"/>
            <w:bottom w:val="none" w:sz="0" w:space="0" w:color="auto"/>
            <w:right w:val="none" w:sz="0" w:space="0" w:color="auto"/>
          </w:divBdr>
        </w:div>
        <w:div w:id="227154692">
          <w:marLeft w:val="0"/>
          <w:marRight w:val="0"/>
          <w:marTop w:val="0"/>
          <w:marBottom w:val="0"/>
          <w:divBdr>
            <w:top w:val="none" w:sz="0" w:space="0" w:color="auto"/>
            <w:left w:val="none" w:sz="0" w:space="0" w:color="auto"/>
            <w:bottom w:val="none" w:sz="0" w:space="0" w:color="auto"/>
            <w:right w:val="none" w:sz="0" w:space="0" w:color="auto"/>
          </w:divBdr>
        </w:div>
      </w:divsChild>
    </w:div>
    <w:div w:id="2016837230">
      <w:bodyDiv w:val="1"/>
      <w:marLeft w:val="0"/>
      <w:marRight w:val="0"/>
      <w:marTop w:val="0"/>
      <w:marBottom w:val="0"/>
      <w:divBdr>
        <w:top w:val="none" w:sz="0" w:space="0" w:color="auto"/>
        <w:left w:val="none" w:sz="0" w:space="0" w:color="auto"/>
        <w:bottom w:val="none" w:sz="0" w:space="0" w:color="auto"/>
        <w:right w:val="none" w:sz="0" w:space="0" w:color="auto"/>
      </w:divBdr>
    </w:div>
    <w:div w:id="2038963808">
      <w:bodyDiv w:val="1"/>
      <w:marLeft w:val="0"/>
      <w:marRight w:val="0"/>
      <w:marTop w:val="0"/>
      <w:marBottom w:val="0"/>
      <w:divBdr>
        <w:top w:val="none" w:sz="0" w:space="0" w:color="auto"/>
        <w:left w:val="none" w:sz="0" w:space="0" w:color="auto"/>
        <w:bottom w:val="none" w:sz="0" w:space="0" w:color="auto"/>
        <w:right w:val="none" w:sz="0" w:space="0" w:color="auto"/>
      </w:divBdr>
      <w:divsChild>
        <w:div w:id="2039885855">
          <w:marLeft w:val="0"/>
          <w:marRight w:val="0"/>
          <w:marTop w:val="75"/>
          <w:marBottom w:val="75"/>
          <w:divBdr>
            <w:top w:val="none" w:sz="0" w:space="0" w:color="auto"/>
            <w:left w:val="none" w:sz="0" w:space="0" w:color="auto"/>
            <w:bottom w:val="none" w:sz="0" w:space="0" w:color="auto"/>
            <w:right w:val="none" w:sz="0" w:space="0" w:color="auto"/>
          </w:divBdr>
        </w:div>
        <w:div w:id="800225795">
          <w:marLeft w:val="0"/>
          <w:marRight w:val="0"/>
          <w:marTop w:val="0"/>
          <w:marBottom w:val="0"/>
          <w:divBdr>
            <w:top w:val="none" w:sz="0" w:space="0" w:color="auto"/>
            <w:left w:val="none" w:sz="0" w:space="0" w:color="auto"/>
            <w:bottom w:val="none" w:sz="0" w:space="0" w:color="auto"/>
            <w:right w:val="none" w:sz="0" w:space="0" w:color="auto"/>
          </w:divBdr>
        </w:div>
      </w:divsChild>
    </w:div>
    <w:div w:id="2128235015">
      <w:bodyDiv w:val="1"/>
      <w:marLeft w:val="0"/>
      <w:marRight w:val="0"/>
      <w:marTop w:val="0"/>
      <w:marBottom w:val="0"/>
      <w:divBdr>
        <w:top w:val="none" w:sz="0" w:space="0" w:color="auto"/>
        <w:left w:val="none" w:sz="0" w:space="0" w:color="auto"/>
        <w:bottom w:val="none" w:sz="0" w:space="0" w:color="auto"/>
        <w:right w:val="none" w:sz="0" w:space="0" w:color="auto"/>
      </w:divBdr>
      <w:divsChild>
        <w:div w:id="468791283">
          <w:marLeft w:val="0"/>
          <w:marRight w:val="0"/>
          <w:marTop w:val="75"/>
          <w:marBottom w:val="75"/>
          <w:divBdr>
            <w:top w:val="none" w:sz="0" w:space="0" w:color="auto"/>
            <w:left w:val="none" w:sz="0" w:space="0" w:color="auto"/>
            <w:bottom w:val="none" w:sz="0" w:space="0" w:color="auto"/>
            <w:right w:val="none" w:sz="0" w:space="0" w:color="auto"/>
          </w:divBdr>
        </w:div>
        <w:div w:id="14813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19</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Salje</dc:creator>
  <cp:keywords/>
  <dc:description/>
  <cp:lastModifiedBy>Lea Salje</cp:lastModifiedBy>
  <cp:revision>13</cp:revision>
  <cp:lastPrinted>2019-08-28T11:20:00Z</cp:lastPrinted>
  <dcterms:created xsi:type="dcterms:W3CDTF">2019-08-26T09:04:00Z</dcterms:created>
  <dcterms:modified xsi:type="dcterms:W3CDTF">2019-08-28T12:03:00Z</dcterms:modified>
</cp:coreProperties>
</file>