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10F87" w14:textId="6147AA65" w:rsidR="00EF3E63" w:rsidRPr="00CD6884" w:rsidRDefault="00EF3E63" w:rsidP="00EF3E63">
      <w:pPr>
        <w:ind w:firstLine="0"/>
        <w:jc w:val="center"/>
      </w:pPr>
      <w:r w:rsidRPr="00CD6884">
        <w:t>The value of consensus priors: A response to Simpson</w:t>
      </w:r>
    </w:p>
    <w:p w14:paraId="6DED84BC" w14:textId="77777777" w:rsidR="00EF3E63" w:rsidRPr="00CD6884" w:rsidRDefault="00EF3E63" w:rsidP="00EF3E63">
      <w:pPr>
        <w:ind w:firstLine="0"/>
        <w:jc w:val="center"/>
      </w:pPr>
    </w:p>
    <w:p w14:paraId="4C0A0034" w14:textId="77777777" w:rsidR="00EF3E63" w:rsidRPr="00CD6884" w:rsidRDefault="00EF3E63" w:rsidP="00EF3E63">
      <w:pPr>
        <w:ind w:firstLine="0"/>
        <w:jc w:val="center"/>
      </w:pPr>
    </w:p>
    <w:p w14:paraId="36B6B7EA" w14:textId="77777777" w:rsidR="00EF3E63" w:rsidRPr="00CD6884" w:rsidRDefault="00EF3E63" w:rsidP="00EF3E63">
      <w:pPr>
        <w:ind w:firstLine="0"/>
        <w:jc w:val="center"/>
      </w:pPr>
      <w:r w:rsidRPr="00CD6884">
        <w:t>Hugues Lortie-Forgues</w:t>
      </w:r>
    </w:p>
    <w:p w14:paraId="1ABA4A80" w14:textId="77777777" w:rsidR="00EF3E63" w:rsidRPr="00CD6884" w:rsidRDefault="00EF3E63" w:rsidP="00EF3E63">
      <w:pPr>
        <w:ind w:firstLine="0"/>
        <w:jc w:val="center"/>
      </w:pPr>
      <w:r w:rsidRPr="00CD6884">
        <w:t>University of York</w:t>
      </w:r>
    </w:p>
    <w:p w14:paraId="77C8D6B4" w14:textId="77777777" w:rsidR="00EF3E63" w:rsidRPr="00CD6884" w:rsidRDefault="00EF3E63" w:rsidP="00EF3E63">
      <w:pPr>
        <w:ind w:firstLine="0"/>
        <w:jc w:val="center"/>
      </w:pPr>
    </w:p>
    <w:p w14:paraId="6EE1BF28" w14:textId="77777777" w:rsidR="00EF3E63" w:rsidRPr="00CD6884" w:rsidDel="001E47F5" w:rsidRDefault="00EF3E63" w:rsidP="00EF3E63">
      <w:pPr>
        <w:ind w:firstLine="0"/>
        <w:jc w:val="center"/>
      </w:pPr>
      <w:r w:rsidRPr="00CD6884" w:rsidDel="001E47F5">
        <w:t xml:space="preserve">Matthew </w:t>
      </w:r>
      <w:proofErr w:type="spellStart"/>
      <w:r w:rsidRPr="00CD6884" w:rsidDel="001E47F5">
        <w:t>Inglis</w:t>
      </w:r>
      <w:proofErr w:type="spellEnd"/>
    </w:p>
    <w:p w14:paraId="656F66D4" w14:textId="77777777" w:rsidR="00EF3E63" w:rsidRPr="00CD6884" w:rsidDel="001E47F5" w:rsidRDefault="00EF3E63" w:rsidP="00EF3E63">
      <w:pPr>
        <w:ind w:firstLine="0"/>
        <w:jc w:val="center"/>
      </w:pPr>
      <w:r w:rsidRPr="00CD6884" w:rsidDel="001E47F5">
        <w:t>Loughborough University</w:t>
      </w:r>
    </w:p>
    <w:p w14:paraId="7DC8B23F" w14:textId="77777777" w:rsidR="00EF3E63" w:rsidRPr="00CD6884" w:rsidRDefault="00EF3E63" w:rsidP="00EF3E63">
      <w:pPr>
        <w:ind w:firstLine="0"/>
      </w:pPr>
    </w:p>
    <w:p w14:paraId="176B15EC" w14:textId="77777777" w:rsidR="00EF3E63" w:rsidRPr="00CD6884" w:rsidRDefault="00EF3E63" w:rsidP="00EF3E63">
      <w:pPr>
        <w:ind w:firstLine="0"/>
      </w:pPr>
    </w:p>
    <w:p w14:paraId="0234BC1B" w14:textId="77777777" w:rsidR="00EF3E63" w:rsidRPr="00CD6884" w:rsidRDefault="00EF3E63" w:rsidP="00EF3E63">
      <w:pPr>
        <w:ind w:firstLine="0"/>
      </w:pPr>
    </w:p>
    <w:p w14:paraId="3C210238" w14:textId="77777777" w:rsidR="00EF3E63" w:rsidRPr="00CD6884" w:rsidRDefault="00EF3E63" w:rsidP="00EF3E63">
      <w:r w:rsidRPr="00CD6884">
        <w:t>Department of Education</w:t>
      </w:r>
    </w:p>
    <w:p w14:paraId="595EF0D7" w14:textId="77777777" w:rsidR="00EF3E63" w:rsidRPr="00CD6884" w:rsidRDefault="00EF3E63" w:rsidP="00EF3E63">
      <w:r w:rsidRPr="00CD6884">
        <w:t>University of York</w:t>
      </w:r>
    </w:p>
    <w:p w14:paraId="2A4A586D" w14:textId="77777777" w:rsidR="00EF3E63" w:rsidRPr="00CD6884" w:rsidRDefault="00EF3E63" w:rsidP="00EF3E63">
      <w:r w:rsidRPr="00CD6884">
        <w:t>York</w:t>
      </w:r>
    </w:p>
    <w:p w14:paraId="012F0BCB" w14:textId="77777777" w:rsidR="00EF3E63" w:rsidRPr="00CD6884" w:rsidRDefault="00EF3E63" w:rsidP="00EF3E63">
      <w:r w:rsidRPr="00CD6884">
        <w:t xml:space="preserve">YO10 5DD </w:t>
      </w:r>
    </w:p>
    <w:p w14:paraId="04E41516" w14:textId="77777777" w:rsidR="00EF3E63" w:rsidRPr="00CD6884" w:rsidRDefault="00EF3E63" w:rsidP="00EF3E63">
      <w:r w:rsidRPr="00CD6884">
        <w:t>United Kingdom</w:t>
      </w:r>
    </w:p>
    <w:p w14:paraId="3D099229" w14:textId="77777777" w:rsidR="00EF3E63" w:rsidRPr="00CD6884" w:rsidRDefault="00EF3E63" w:rsidP="00EF3E63">
      <w:r w:rsidRPr="00CD6884">
        <w:t xml:space="preserve">Email: </w:t>
      </w:r>
      <w:hyperlink r:id="rId8" w:history="1">
        <w:r w:rsidRPr="00CD6884">
          <w:rPr>
            <w:rStyle w:val="Hyperlink"/>
          </w:rPr>
          <w:t>hugues.lortie-forgues@york.ac.uk</w:t>
        </w:r>
      </w:hyperlink>
    </w:p>
    <w:p w14:paraId="73934E0B" w14:textId="77777777" w:rsidR="00EF3E63" w:rsidRDefault="00EF3E63">
      <w:pPr>
        <w:spacing w:line="240" w:lineRule="auto"/>
        <w:ind w:firstLine="0"/>
        <w:rPr>
          <w:rFonts w:cs="Arial"/>
          <w:bCs/>
          <w:szCs w:val="26"/>
        </w:rPr>
      </w:pPr>
    </w:p>
    <w:p w14:paraId="7C527AF4" w14:textId="77777777" w:rsidR="0007421F" w:rsidRDefault="0007421F">
      <w:pPr>
        <w:spacing w:line="240" w:lineRule="auto"/>
        <w:ind w:firstLine="0"/>
        <w:rPr>
          <w:rFonts w:cs="Arial"/>
          <w:bCs/>
          <w:szCs w:val="26"/>
        </w:rPr>
      </w:pPr>
      <w:r>
        <w:rPr>
          <w:i/>
        </w:rPr>
        <w:br w:type="page"/>
      </w:r>
    </w:p>
    <w:bookmarkStart w:id="0" w:name="_GoBack"/>
    <w:bookmarkEnd w:id="0"/>
    <w:p w14:paraId="272DB873" w14:textId="1A16EB6D" w:rsidR="00E87C9E" w:rsidRPr="00CD6884" w:rsidRDefault="00E87C9E" w:rsidP="00881268">
      <w:pPr>
        <w:pStyle w:val="Heading3"/>
        <w:rPr>
          <w:i w:val="0"/>
        </w:rPr>
      </w:pPr>
      <w:r w:rsidRPr="00CD6884">
        <w:rPr>
          <w:i w:val="0"/>
        </w:rPr>
        <w:lastRenderedPageBreak/>
        <w:fldChar w:fldCharType="begin"/>
      </w:r>
      <w:r w:rsidRPr="00CD6884">
        <w:rPr>
          <w:i w:val="0"/>
        </w:rPr>
        <w:instrText xml:space="preserve"> TOC \o "1-5" \h \z \u </w:instrText>
      </w:r>
      <w:r w:rsidRPr="00CD6884">
        <w:rPr>
          <w:i w:val="0"/>
        </w:rPr>
        <w:fldChar w:fldCharType="end"/>
      </w:r>
      <w:bookmarkStart w:id="1" w:name="_Toc148968871"/>
      <w:bookmarkStart w:id="2" w:name="_Toc148968919"/>
      <w:bookmarkStart w:id="3" w:name="_Toc148969019"/>
      <w:r w:rsidRPr="00CD6884">
        <w:rPr>
          <w:i w:val="0"/>
        </w:rPr>
        <w:t>Abstract</w:t>
      </w:r>
      <w:bookmarkEnd w:id="1"/>
      <w:bookmarkEnd w:id="2"/>
      <w:bookmarkEnd w:id="3"/>
    </w:p>
    <w:p w14:paraId="6435A231" w14:textId="4442F4B3" w:rsidR="00907913" w:rsidRPr="00CD6884" w:rsidRDefault="00263008" w:rsidP="00367F53">
      <w:pPr>
        <w:tabs>
          <w:tab w:val="left" w:pos="3578"/>
        </w:tabs>
        <w:ind w:firstLine="0"/>
        <w:jc w:val="both"/>
        <w:sectPr w:rsidR="00907913" w:rsidRPr="00CD6884" w:rsidSect="00CD6884">
          <w:headerReference w:type="default" r:id="rId9"/>
          <w:pgSz w:w="12240" w:h="15840" w:code="1"/>
          <w:pgMar w:top="1440" w:right="1440" w:bottom="1440" w:left="1440" w:header="720" w:footer="720" w:gutter="0"/>
          <w:cols w:space="720"/>
          <w:noEndnote/>
          <w:docGrid w:linePitch="326"/>
        </w:sectPr>
      </w:pPr>
      <w:r w:rsidRPr="00CD6884">
        <w:t>In this response we first show that Simpson’s proposed analysis answers a different and less interesting question than ours. We then justify the choice of prior for our Bayes factors calculations, but also demonstrate that the substantive conclusions of our article are not substantially affected by varying this choice.</w:t>
      </w:r>
      <w:r w:rsidR="00650ACA" w:rsidRPr="00CD6884">
        <w:tab/>
      </w:r>
    </w:p>
    <w:p w14:paraId="21A2114C" w14:textId="77777777" w:rsidR="00EF3E63" w:rsidRPr="00CD6884" w:rsidRDefault="00EF3E63" w:rsidP="00EF3E63">
      <w:pPr>
        <w:ind w:firstLine="0"/>
        <w:jc w:val="center"/>
      </w:pPr>
      <w:bookmarkStart w:id="4" w:name="_Toc148968875"/>
      <w:bookmarkStart w:id="5" w:name="_Toc148968926"/>
      <w:bookmarkStart w:id="6" w:name="_Toc148969026"/>
      <w:r w:rsidRPr="00CD6884">
        <w:lastRenderedPageBreak/>
        <w:t>The value of consensus priors: A response to Simpson</w:t>
      </w:r>
    </w:p>
    <w:p w14:paraId="0E0C6468" w14:textId="721D5959" w:rsidR="009A3858" w:rsidRPr="00CD6884" w:rsidRDefault="009A3858" w:rsidP="00CC6D6F">
      <w:r w:rsidRPr="00CD6884">
        <w:t xml:space="preserve">In our article </w:t>
      </w:r>
      <w:r w:rsidR="004628EC" w:rsidRPr="00CD6884">
        <w:t>‘</w:t>
      </w:r>
      <w:r w:rsidRPr="00CD6884">
        <w:t>Rigorous Large-Scale Educational RCTs Are Uninformative: Should We Be Concerned?</w:t>
      </w:r>
      <w:r w:rsidR="004628EC" w:rsidRPr="00CD6884">
        <w:t>’</w:t>
      </w:r>
      <w:r w:rsidRPr="00CD6884">
        <w:t xml:space="preserve"> we </w:t>
      </w:r>
      <w:r w:rsidR="00AA3A45" w:rsidRPr="00CD6884">
        <w:t>demonstrated</w:t>
      </w:r>
      <w:r w:rsidRPr="00CD6884">
        <w:t xml:space="preserve"> that a surprisingly large number of educational trials are uninformative. Simpson makes two criticisms of our article. First, he suggests that we should have used a subjective Bayes approach to setting priors</w:t>
      </w:r>
      <w:r w:rsidR="004628EC" w:rsidRPr="00CD6884">
        <w:t xml:space="preserve"> </w:t>
      </w:r>
      <w:r w:rsidR="008525DB" w:rsidRPr="00CD6884">
        <w:t xml:space="preserve">by </w:t>
      </w:r>
      <w:r w:rsidRPr="00CD6884">
        <w:t>defin</w:t>
      </w:r>
      <w:r w:rsidR="008525DB" w:rsidRPr="00CD6884">
        <w:t>ing</w:t>
      </w:r>
      <w:r w:rsidRPr="00CD6884">
        <w:t xml:space="preserve"> </w:t>
      </w:r>
      <w:r w:rsidR="004628EC" w:rsidRPr="00CD6884">
        <w:t xml:space="preserve">our alternative hypotheses based on </w:t>
      </w:r>
      <w:r w:rsidRPr="00CD6884">
        <w:t xml:space="preserve">the personal beliefs of trial designers. Second, he argues that our primary analysis relies upon too narrow a range of plausible effect sizes, and that </w:t>
      </w:r>
      <w:r w:rsidR="004628EC" w:rsidRPr="00CD6884">
        <w:t xml:space="preserve">therefore </w:t>
      </w:r>
      <w:r w:rsidRPr="00CD6884">
        <w:t xml:space="preserve">we should have used a </w:t>
      </w:r>
      <w:r w:rsidR="004628EC" w:rsidRPr="00CD6884">
        <w:t>more diffuse</w:t>
      </w:r>
      <w:r w:rsidRPr="00CD6884">
        <w:t xml:space="preserve"> prior. We disagree on both counts.</w:t>
      </w:r>
    </w:p>
    <w:p w14:paraId="714038F5" w14:textId="5472797D" w:rsidR="009A3858" w:rsidRPr="00CD6884" w:rsidRDefault="007E5D3C" w:rsidP="009A3858">
      <w:r w:rsidRPr="00CD6884">
        <w:t xml:space="preserve">Simpson’s comment focuses on our use of </w:t>
      </w:r>
      <w:r w:rsidR="009A3858" w:rsidRPr="00CD6884">
        <w:t>Bayes factors</w:t>
      </w:r>
      <w:r w:rsidRPr="00CD6884">
        <w:t xml:space="preserve">, rather than any of the frequentist analyses we reported. Bayes factors </w:t>
      </w:r>
      <w:r w:rsidR="009A3858" w:rsidRPr="00CD6884">
        <w:t>compare two competing hypotheses</w:t>
      </w:r>
      <w:r w:rsidR="00BF4F2F" w:rsidRPr="00CD6884">
        <w:t>:</w:t>
      </w:r>
      <w:r w:rsidR="009A3858" w:rsidRPr="00CD6884">
        <w:t xml:space="preserve"> </w:t>
      </w:r>
      <w:r w:rsidRPr="00CD6884">
        <w:t>t</w:t>
      </w:r>
      <w:r w:rsidR="009A3858" w:rsidRPr="00CD6884">
        <w:t xml:space="preserve">ypically a null hypothesis of no effect and an alternative hypothesis which asserts that the true effect size is from some prior distribution. Because Bayes factors are inherently comparative, it is important that readers are interested in the two hypotheses being compared. So the choice of prior distribution for the alternative hypothesis is important. </w:t>
      </w:r>
    </w:p>
    <w:p w14:paraId="75D3A6E2" w14:textId="7746F10B" w:rsidR="009A3858" w:rsidRPr="00CD6884" w:rsidRDefault="009A3858" w:rsidP="009A3858">
      <w:r w:rsidRPr="00CD6884">
        <w:t>There are two broad</w:t>
      </w:r>
      <w:r w:rsidR="00B95F42" w:rsidRPr="00CD6884">
        <w:t xml:space="preserve"> philosophical</w:t>
      </w:r>
      <w:r w:rsidRPr="00CD6884">
        <w:t xml:space="preserve"> approaches to choosing priors in Bayesian statistics (e.g., </w:t>
      </w:r>
      <w:proofErr w:type="spellStart"/>
      <w:r w:rsidRPr="00CD6884">
        <w:t>Baguley</w:t>
      </w:r>
      <w:proofErr w:type="spellEnd"/>
      <w:r w:rsidRPr="00CD6884">
        <w:t xml:space="preserve">, 2012; Berger, 2006; </w:t>
      </w:r>
      <w:proofErr w:type="spellStart"/>
      <w:r w:rsidRPr="00CD6884">
        <w:t>Spiegelhalter</w:t>
      </w:r>
      <w:proofErr w:type="spellEnd"/>
      <w:r w:rsidRPr="00CD6884">
        <w:t xml:space="preserve"> &amp; Rice, 2009). The so-called subjective Bayes approach, which is apparently strongly </w:t>
      </w:r>
      <w:r w:rsidR="00B95F42" w:rsidRPr="00CD6884">
        <w:t>favored</w:t>
      </w:r>
      <w:r w:rsidRPr="00CD6884">
        <w:t xml:space="preserve"> by Simpson, views the selection of priors as a matter of capturing </w:t>
      </w:r>
      <w:r w:rsidR="00AA3A45" w:rsidRPr="00CD6884">
        <w:t>the beliefs of an individual</w:t>
      </w:r>
      <w:r w:rsidRPr="00CD6884">
        <w:t xml:space="preserve">, usually the researcher conducting the study, about the probable outcomes of the study. In contrast, the objective Bayes approach involves selecting priors that capture </w:t>
      </w:r>
      <w:r w:rsidR="004628EC" w:rsidRPr="00CD6884">
        <w:t>the</w:t>
      </w:r>
      <w:r w:rsidRPr="00CD6884">
        <w:t xml:space="preserve"> range of plausible effects</w:t>
      </w:r>
      <w:r w:rsidR="0084552F" w:rsidRPr="00CD6884">
        <w:t xml:space="preserve"> </w:t>
      </w:r>
      <w:r w:rsidRPr="00CD6884">
        <w:t xml:space="preserve">that are likely to be endorsed by researchers not directly involved in the study, and which </w:t>
      </w:r>
      <w:r w:rsidR="004628EC" w:rsidRPr="00CD6884">
        <w:t>“</w:t>
      </w:r>
      <w:r w:rsidRPr="00CD6884">
        <w:t>apply over a wide range of contexts and domains</w:t>
      </w:r>
      <w:r w:rsidR="004628EC" w:rsidRPr="00CD6884">
        <w:t>”</w:t>
      </w:r>
      <w:r w:rsidRPr="00CD6884">
        <w:t xml:space="preserve"> (</w:t>
      </w:r>
      <w:proofErr w:type="spellStart"/>
      <w:r w:rsidRPr="00CD6884">
        <w:t>Baguley</w:t>
      </w:r>
      <w:proofErr w:type="spellEnd"/>
      <w:r w:rsidRPr="00CD6884">
        <w:t>, 2012, p. 396). In our analysis we adopted a broadly objective approach</w:t>
      </w:r>
      <w:r w:rsidR="004628EC" w:rsidRPr="00CD6884">
        <w:t xml:space="preserve"> </w:t>
      </w:r>
      <w:r w:rsidR="0084552F" w:rsidRPr="00CD6884">
        <w:t xml:space="preserve">by using </w:t>
      </w:r>
      <w:r w:rsidR="00AA3A45" w:rsidRPr="00CD6884">
        <w:t>a</w:t>
      </w:r>
      <w:r w:rsidR="00FA1175" w:rsidRPr="00CD6884">
        <w:t xml:space="preserve"> similar</w:t>
      </w:r>
      <w:r w:rsidR="00AA3A45" w:rsidRPr="00CD6884">
        <w:t xml:space="preserve"> prior</w:t>
      </w:r>
      <w:r w:rsidRPr="00CD6884">
        <w:t xml:space="preserve"> to th</w:t>
      </w:r>
      <w:r w:rsidR="00BF4F2F" w:rsidRPr="00CD6884">
        <w:t>ose</w:t>
      </w:r>
      <w:r w:rsidRPr="00CD6884">
        <w:t xml:space="preserve"> default priors widely used in psychological research </w:t>
      </w:r>
      <w:r w:rsidR="00784ED1" w:rsidRPr="00CD6884">
        <w:t>and implemented in software</w:t>
      </w:r>
      <w:r w:rsidR="004628EC" w:rsidRPr="00CD6884">
        <w:t xml:space="preserve"> packages</w:t>
      </w:r>
      <w:r w:rsidR="00784ED1" w:rsidRPr="00CD6884">
        <w:t xml:space="preserve"> such as JASP </w:t>
      </w:r>
      <w:r w:rsidRPr="00CD6884">
        <w:t xml:space="preserve">(e.g., de </w:t>
      </w:r>
      <w:proofErr w:type="spellStart"/>
      <w:r w:rsidRPr="00CD6884">
        <w:t>Vries</w:t>
      </w:r>
      <w:proofErr w:type="spellEnd"/>
      <w:r w:rsidRPr="00CD6884">
        <w:t xml:space="preserve"> </w:t>
      </w:r>
      <w:r w:rsidRPr="00CD6884">
        <w:lastRenderedPageBreak/>
        <w:t xml:space="preserve">and Morey, 2013; </w:t>
      </w:r>
      <w:proofErr w:type="spellStart"/>
      <w:r w:rsidRPr="00CD6884">
        <w:t>Rouder</w:t>
      </w:r>
      <w:proofErr w:type="spellEnd"/>
      <w:r w:rsidR="001635F0" w:rsidRPr="00CD6884">
        <w:t xml:space="preserve">, </w:t>
      </w:r>
      <w:proofErr w:type="spellStart"/>
      <w:r w:rsidR="001635F0" w:rsidRPr="00CD6884">
        <w:t>Speckman</w:t>
      </w:r>
      <w:proofErr w:type="spellEnd"/>
      <w:r w:rsidR="001635F0" w:rsidRPr="00CD6884">
        <w:t>, Sun &amp; Morey, 2009;</w:t>
      </w:r>
      <w:r w:rsidRPr="00CD6884">
        <w:t xml:space="preserve"> </w:t>
      </w:r>
      <w:proofErr w:type="spellStart"/>
      <w:r w:rsidRPr="00CD6884">
        <w:t>Wagenmakers</w:t>
      </w:r>
      <w:proofErr w:type="spellEnd"/>
      <w:r w:rsidRPr="00CD6884">
        <w:t xml:space="preserve"> et al</w:t>
      </w:r>
      <w:r w:rsidR="00784ED1" w:rsidRPr="00CD6884">
        <w:t>.</w:t>
      </w:r>
      <w:r w:rsidRPr="00CD6884">
        <w:t>, 2018</w:t>
      </w:r>
      <w:r w:rsidR="00784ED1" w:rsidRPr="00CD6884">
        <w:t>a, 2018b)</w:t>
      </w:r>
      <w:r w:rsidRPr="00CD6884">
        <w:t>.</w:t>
      </w:r>
    </w:p>
    <w:p w14:paraId="0D83ECE2" w14:textId="73103D8C" w:rsidR="009A3858" w:rsidRPr="00CD6884" w:rsidRDefault="009A3858" w:rsidP="009A3858">
      <w:r w:rsidRPr="00CD6884">
        <w:t xml:space="preserve">While we would not dismiss the subjective Bayes approach </w:t>
      </w:r>
      <w:r w:rsidR="005E55B3" w:rsidRPr="00CD6884">
        <w:t>favored</w:t>
      </w:r>
      <w:r w:rsidRPr="00CD6884">
        <w:t xml:space="preserve"> by Simpson, it answers a different</w:t>
      </w:r>
      <w:r w:rsidR="005E55B3" w:rsidRPr="00CD6884">
        <w:t>,</w:t>
      </w:r>
      <w:r w:rsidRPr="00CD6884">
        <w:t xml:space="preserve"> and in our view less interesting</w:t>
      </w:r>
      <w:r w:rsidR="005E55B3" w:rsidRPr="00CD6884">
        <w:t>,</w:t>
      </w:r>
      <w:r w:rsidRPr="00CD6884">
        <w:t xml:space="preserve"> question. If you believe the primary purpose of </w:t>
      </w:r>
      <w:r w:rsidR="007C3859" w:rsidRPr="00CD6884">
        <w:t xml:space="preserve">rigorous large-scale </w:t>
      </w:r>
      <w:r w:rsidRPr="00CD6884">
        <w:t>educational RCTs is to calibrate the personal beliefs of the researcher who conducted the trial, then Simpson</w:t>
      </w:r>
      <w:r w:rsidR="004628EC" w:rsidRPr="00CD6884">
        <w:t>’</w:t>
      </w:r>
      <w:r w:rsidRPr="00CD6884">
        <w:t xml:space="preserve">s proposal is </w:t>
      </w:r>
      <w:r w:rsidR="00D638C8" w:rsidRPr="00CD6884">
        <w:t>the</w:t>
      </w:r>
      <w:r w:rsidRPr="00CD6884">
        <w:t xml:space="preserve"> more appropriate analysis. It would allow such researchers to draw </w:t>
      </w:r>
      <w:r w:rsidR="00D01DEB" w:rsidRPr="00CD6884">
        <w:t>the</w:t>
      </w:r>
      <w:r w:rsidRPr="00CD6884">
        <w:t xml:space="preserve"> conclusion described by Morey, </w:t>
      </w:r>
      <w:proofErr w:type="spellStart"/>
      <w:r w:rsidRPr="00CD6884">
        <w:t>Wagenmakers</w:t>
      </w:r>
      <w:proofErr w:type="spellEnd"/>
      <w:r w:rsidRPr="00CD6884">
        <w:t xml:space="preserve"> and </w:t>
      </w:r>
      <w:proofErr w:type="spellStart"/>
      <w:r w:rsidRPr="00CD6884">
        <w:t>Rouder</w:t>
      </w:r>
      <w:proofErr w:type="spellEnd"/>
      <w:r w:rsidRPr="00CD6884">
        <w:t xml:space="preserve"> (2016) as </w:t>
      </w:r>
      <w:r w:rsidR="001635F0" w:rsidRPr="00CD6884">
        <w:t>“</w:t>
      </w:r>
      <w:r w:rsidRPr="00CD6884">
        <w:t>if you were me, you would believe this</w:t>
      </w:r>
      <w:r w:rsidR="001635F0" w:rsidRPr="00CD6884">
        <w:t>”</w:t>
      </w:r>
      <w:r w:rsidRPr="00CD6884">
        <w:t xml:space="preserve"> (p. 17). If</w:t>
      </w:r>
      <w:r w:rsidR="004628EC" w:rsidRPr="00CD6884">
        <w:t xml:space="preserve"> instead</w:t>
      </w:r>
      <w:r w:rsidRPr="00CD6884">
        <w:t xml:space="preserve">, like us, you believe that </w:t>
      </w:r>
      <w:r w:rsidR="007C3859" w:rsidRPr="00CD6884">
        <w:t xml:space="preserve">rigorous large-scale </w:t>
      </w:r>
      <w:r w:rsidRPr="00CD6884">
        <w:t xml:space="preserve">educational trials should be of interest to the wider research community, then priors should be based on the beliefs </w:t>
      </w:r>
      <w:r w:rsidR="005C617B" w:rsidRPr="00CD6884">
        <w:t>of</w:t>
      </w:r>
      <w:r w:rsidRPr="00CD6884">
        <w:t xml:space="preserve"> that </w:t>
      </w:r>
      <w:r w:rsidR="00060B76" w:rsidRPr="00CD6884">
        <w:t xml:space="preserve">wider </w:t>
      </w:r>
      <w:r w:rsidRPr="00CD6884">
        <w:t>community. Morey et al. (2016)</w:t>
      </w:r>
      <w:r w:rsidR="00E1286D" w:rsidRPr="00CD6884">
        <w:t xml:space="preserve"> directly</w:t>
      </w:r>
      <w:r w:rsidRPr="00CD6884">
        <w:t xml:space="preserve"> critiqu</w:t>
      </w:r>
      <w:r w:rsidR="004628EC" w:rsidRPr="00CD6884">
        <w:t>ed</w:t>
      </w:r>
      <w:r w:rsidRPr="00CD6884">
        <w:t xml:space="preserve"> the position </w:t>
      </w:r>
      <w:r w:rsidR="004628EC" w:rsidRPr="00CD6884">
        <w:t>favored</w:t>
      </w:r>
      <w:r w:rsidRPr="00CD6884">
        <w:t xml:space="preserve"> by Simpson by saying that </w:t>
      </w:r>
      <w:r w:rsidR="00E40120" w:rsidRPr="00CD6884">
        <w:t>“</w:t>
      </w:r>
      <w:r w:rsidRPr="00CD6884">
        <w:t>In the context of a scientific argument it is much more useful to have priors that approximate what a reasonable, but somewhat removed researcher w</w:t>
      </w:r>
      <w:r w:rsidR="0046339D" w:rsidRPr="00CD6884">
        <w:t>ould</w:t>
      </w:r>
      <w:r w:rsidRPr="00CD6884">
        <w:t xml:space="preserve"> have in the situation.</w:t>
      </w:r>
      <w:r w:rsidR="00E40120" w:rsidRPr="00CD6884">
        <w:t>”</w:t>
      </w:r>
      <w:r w:rsidRPr="00CD6884">
        <w:t xml:space="preserve"> (p. 18). </w:t>
      </w:r>
      <w:r w:rsidR="00E40120" w:rsidRPr="00CD6884">
        <w:t xml:space="preserve">They referred to this </w:t>
      </w:r>
      <w:r w:rsidR="00AA3A45" w:rsidRPr="00CD6884">
        <w:t xml:space="preserve">flavor of the objective Bayes </w:t>
      </w:r>
      <w:r w:rsidR="00E40120" w:rsidRPr="00CD6884">
        <w:t xml:space="preserve">approach as using </w:t>
      </w:r>
      <w:r w:rsidR="004628EC" w:rsidRPr="00CD6884">
        <w:t>‘</w:t>
      </w:r>
      <w:r w:rsidR="00E40120" w:rsidRPr="00CD6884">
        <w:t xml:space="preserve">consensus priors’. </w:t>
      </w:r>
    </w:p>
    <w:p w14:paraId="7C5B01CD" w14:textId="527E457A" w:rsidR="009A3858" w:rsidRPr="00CD6884" w:rsidRDefault="009A3858" w:rsidP="009A3858">
      <w:r w:rsidRPr="00CD6884">
        <w:t xml:space="preserve">But does the </w:t>
      </w:r>
      <w:r w:rsidR="00E1286D" w:rsidRPr="00CD6884">
        <w:t xml:space="preserve">specific </w:t>
      </w:r>
      <w:r w:rsidR="00E40120" w:rsidRPr="00CD6884">
        <w:t xml:space="preserve">consensus </w:t>
      </w:r>
      <w:r w:rsidRPr="00CD6884">
        <w:t>prior we used</w:t>
      </w:r>
      <w:r w:rsidR="004628EC" w:rsidRPr="00CD6884">
        <w:t xml:space="preserve"> in our primary analysis</w:t>
      </w:r>
      <w:r w:rsidRPr="00CD6884">
        <w:t xml:space="preserve">, a half normal distribution </w:t>
      </w:r>
      <w:r w:rsidR="00D73FA0" w:rsidRPr="00CD6884">
        <w:t xml:space="preserve">centered at 0 with a standard deviation of 0.2, </w:t>
      </w:r>
      <w:proofErr w:type="gramStart"/>
      <w:r w:rsidRPr="00CD6884">
        <w:t>HN(</w:t>
      </w:r>
      <w:proofErr w:type="gramEnd"/>
      <w:r w:rsidRPr="00CD6884">
        <w:t>0,0.2)</w:t>
      </w:r>
      <w:r w:rsidR="00AA3A45" w:rsidRPr="00CD6884">
        <w:t>,</w:t>
      </w:r>
      <w:r w:rsidRPr="00CD6884">
        <w:t xml:space="preserve"> </w:t>
      </w:r>
      <w:r w:rsidR="00E40120" w:rsidRPr="00CD6884">
        <w:t xml:space="preserve">actually </w:t>
      </w:r>
      <w:r w:rsidRPr="00CD6884">
        <w:t xml:space="preserve">approximate </w:t>
      </w:r>
      <w:r w:rsidR="00E40120" w:rsidRPr="00CD6884">
        <w:t>what a reasonable, but somewhat removed, researcher would believe</w:t>
      </w:r>
      <w:r w:rsidRPr="00CD6884">
        <w:t xml:space="preserve">? Recall that this prior suggests that effect sizes </w:t>
      </w:r>
      <w:r w:rsidR="00AA3A45" w:rsidRPr="00CD6884">
        <w:t xml:space="preserve">found in rigorous </w:t>
      </w:r>
      <w:r w:rsidR="00FB0F94" w:rsidRPr="00CD6884">
        <w:t xml:space="preserve">large-scale </w:t>
      </w:r>
      <w:r w:rsidR="00AA3A45" w:rsidRPr="00CD6884">
        <w:t xml:space="preserve">RCTs </w:t>
      </w:r>
      <w:r w:rsidR="0078574F" w:rsidRPr="00CD6884">
        <w:t>that</w:t>
      </w:r>
      <w:r w:rsidR="00AA3A45" w:rsidRPr="00CD6884">
        <w:t xml:space="preserve"> test effective interventions</w:t>
      </w:r>
      <w:r w:rsidRPr="00CD6884">
        <w:t xml:space="preserve"> </w:t>
      </w:r>
      <w:r w:rsidR="008518C0" w:rsidRPr="00CD6884">
        <w:t xml:space="preserve">will </w:t>
      </w:r>
      <w:r w:rsidR="00AA3A45" w:rsidRPr="00CD6884">
        <w:t>mostly fall between</w:t>
      </w:r>
      <w:r w:rsidRPr="00CD6884">
        <w:t xml:space="preserve"> 0 </w:t>
      </w:r>
      <w:r w:rsidR="00AA3A45" w:rsidRPr="00CD6884">
        <w:t>and</w:t>
      </w:r>
      <w:r w:rsidRPr="00CD6884">
        <w:t xml:space="preserve"> 0.4, with effects below 0.2 around twice as likely as effects above 0.2. Simpson</w:t>
      </w:r>
      <w:r w:rsidR="000F73B2" w:rsidRPr="00CD6884">
        <w:t xml:space="preserve"> argues</w:t>
      </w:r>
      <w:r w:rsidRPr="00CD6884">
        <w:t xml:space="preserve"> that, because Hattie</w:t>
      </w:r>
      <w:r w:rsidR="004628EC" w:rsidRPr="00CD6884">
        <w:t>’</w:t>
      </w:r>
      <w:r w:rsidRPr="00CD6884">
        <w:t xml:space="preserve">s (2009) </w:t>
      </w:r>
      <w:r w:rsidR="004628EC" w:rsidRPr="00CD6884">
        <w:t>“</w:t>
      </w:r>
      <w:r w:rsidRPr="00CD6884">
        <w:t>hinge point</w:t>
      </w:r>
      <w:r w:rsidR="004628EC" w:rsidRPr="00CD6884">
        <w:t>”</w:t>
      </w:r>
      <w:r w:rsidRPr="00CD6884">
        <w:t xml:space="preserve"> is 0.4, we should have used a prior that captures a wider range of plausible effects. He further suggest</w:t>
      </w:r>
      <w:r w:rsidR="008518C0" w:rsidRPr="00CD6884">
        <w:t>s</w:t>
      </w:r>
      <w:r w:rsidRPr="00CD6884">
        <w:t xml:space="preserve"> that we </w:t>
      </w:r>
      <w:r w:rsidR="0026714B" w:rsidRPr="00CD6884">
        <w:t xml:space="preserve">reached our </w:t>
      </w:r>
      <w:proofErr w:type="gramStart"/>
      <w:r w:rsidR="0026714B" w:rsidRPr="00CD6884">
        <w:t>HN(</w:t>
      </w:r>
      <w:proofErr w:type="gramEnd"/>
      <w:r w:rsidR="0026714B" w:rsidRPr="00CD6884">
        <w:t xml:space="preserve">0, 0.2) prior by </w:t>
      </w:r>
      <w:r w:rsidRPr="00CD6884">
        <w:t>adjust</w:t>
      </w:r>
      <w:r w:rsidR="0026714B" w:rsidRPr="00CD6884">
        <w:t>ing</w:t>
      </w:r>
      <w:r w:rsidRPr="00CD6884">
        <w:t xml:space="preserve"> Hattie</w:t>
      </w:r>
      <w:r w:rsidR="004628EC" w:rsidRPr="00CD6884">
        <w:t>’</w:t>
      </w:r>
      <w:r w:rsidRPr="00CD6884">
        <w:t>s figure</w:t>
      </w:r>
      <w:r w:rsidR="0026714B" w:rsidRPr="00CD6884">
        <w:t xml:space="preserve"> from 0.4</w:t>
      </w:r>
      <w:r w:rsidRPr="00CD6884">
        <w:t xml:space="preserve"> to 0.2 to account for our </w:t>
      </w:r>
      <w:r w:rsidR="004628EC" w:rsidRPr="00CD6884">
        <w:t>“</w:t>
      </w:r>
      <w:r w:rsidRPr="00CD6884">
        <w:t>own view of the literature</w:t>
      </w:r>
      <w:r w:rsidR="004628EC" w:rsidRPr="00CD6884">
        <w:t>’</w:t>
      </w:r>
      <w:r w:rsidRPr="00CD6884">
        <w:t>s effect size inflation</w:t>
      </w:r>
      <w:r w:rsidR="004628EC" w:rsidRPr="00CD6884">
        <w:t>”</w:t>
      </w:r>
      <w:r w:rsidRPr="00CD6884">
        <w:t>. This is incorrect. Because Hattie</w:t>
      </w:r>
      <w:r w:rsidR="004628EC" w:rsidRPr="00CD6884">
        <w:t>’</w:t>
      </w:r>
      <w:r w:rsidRPr="00CD6884">
        <w:t>s estimate includes a combination of randomi</w:t>
      </w:r>
      <w:r w:rsidR="004628EC" w:rsidRPr="00CD6884">
        <w:t>z</w:t>
      </w:r>
      <w:r w:rsidRPr="00CD6884">
        <w:t>ed, non-randomi</w:t>
      </w:r>
      <w:r w:rsidR="004628EC" w:rsidRPr="00CD6884">
        <w:t>z</w:t>
      </w:r>
      <w:r w:rsidRPr="00CD6884">
        <w:t>ed</w:t>
      </w:r>
      <w:r w:rsidR="007E6AAA" w:rsidRPr="00CD6884">
        <w:t>,</w:t>
      </w:r>
      <w:r w:rsidRPr="00CD6884">
        <w:t xml:space="preserve"> and correlational studies, it does not provide useful information about the range of effects we might expect in rigorous </w:t>
      </w:r>
      <w:r w:rsidRPr="00CD6884">
        <w:lastRenderedPageBreak/>
        <w:t xml:space="preserve">large-scale RCTs. Instead, as stated in our article, we based our prior of </w:t>
      </w:r>
      <w:proofErr w:type="gramStart"/>
      <w:r w:rsidRPr="00CD6884">
        <w:t>HN(</w:t>
      </w:r>
      <w:proofErr w:type="gramEnd"/>
      <w:r w:rsidRPr="00CD6884">
        <w:t xml:space="preserve">0,0.2) on Cheung and </w:t>
      </w:r>
      <w:proofErr w:type="spellStart"/>
      <w:r w:rsidRPr="00CD6884">
        <w:t>Slavin</w:t>
      </w:r>
      <w:r w:rsidR="004628EC" w:rsidRPr="00CD6884">
        <w:t>’</w:t>
      </w:r>
      <w:r w:rsidRPr="00CD6884">
        <w:t>s</w:t>
      </w:r>
      <w:proofErr w:type="spellEnd"/>
      <w:r w:rsidRPr="00CD6884">
        <w:t xml:space="preserve"> (2016) analysis of how </w:t>
      </w:r>
      <w:r w:rsidR="004628EC" w:rsidRPr="00CD6884">
        <w:t xml:space="preserve">different </w:t>
      </w:r>
      <w:r w:rsidRPr="00CD6884">
        <w:t>study characteristics influence effect sizes. Th</w:t>
      </w:r>
      <w:r w:rsidR="004628EC" w:rsidRPr="00CD6884">
        <w:t xml:space="preserve">e mean effect size </w:t>
      </w:r>
      <w:r w:rsidR="001D0E72" w:rsidRPr="00CD6884">
        <w:t xml:space="preserve">of the </w:t>
      </w:r>
      <w:r w:rsidR="004628EC" w:rsidRPr="00CD6884">
        <w:t xml:space="preserve">randomized studies in their sample was </w:t>
      </w:r>
      <w:r w:rsidRPr="00CD6884">
        <w:t xml:space="preserve">0.16, although </w:t>
      </w:r>
      <w:r w:rsidR="004628EC" w:rsidRPr="00CD6884">
        <w:t xml:space="preserve">they </w:t>
      </w:r>
      <w:r w:rsidRPr="00CD6884">
        <w:t xml:space="preserve">noted that smaller effects than this </w:t>
      </w:r>
      <w:r w:rsidR="004628EC" w:rsidRPr="00CD6884">
        <w:t>might</w:t>
      </w:r>
      <w:r w:rsidRPr="00CD6884">
        <w:t xml:space="preserve"> be expected in studies with large samples and </w:t>
      </w:r>
      <w:r w:rsidR="008F5041" w:rsidRPr="00CD6884">
        <w:t xml:space="preserve">distant </w:t>
      </w:r>
      <w:r w:rsidRPr="00CD6884">
        <w:t>independent measures</w:t>
      </w:r>
      <w:r w:rsidR="008F5041" w:rsidRPr="00CD6884">
        <w:t xml:space="preserve"> (</w:t>
      </w:r>
      <w:r w:rsidR="00F87CD5" w:rsidRPr="00CD6884">
        <w:t>features present in the</w:t>
      </w:r>
      <w:r w:rsidR="00AF2472" w:rsidRPr="00CD6884">
        <w:t xml:space="preserve"> </w:t>
      </w:r>
      <w:r w:rsidR="00AA38A4" w:rsidRPr="00CD6884">
        <w:t>Education Endowment Foundation (</w:t>
      </w:r>
      <w:r w:rsidR="00AF2472" w:rsidRPr="00CD6884">
        <w:t>EEF</w:t>
      </w:r>
      <w:r w:rsidR="00AA38A4" w:rsidRPr="00CD6884">
        <w:t>)</w:t>
      </w:r>
      <w:r w:rsidR="00AF2472" w:rsidRPr="00CD6884">
        <w:t xml:space="preserve"> and </w:t>
      </w:r>
      <w:r w:rsidR="00AA38A4" w:rsidRPr="00CD6884">
        <w:t>National Center for Educational Evaluation and Regional Assistance (</w:t>
      </w:r>
      <w:r w:rsidR="00AF2472" w:rsidRPr="00CD6884">
        <w:t>NCEE</w:t>
      </w:r>
      <w:r w:rsidR="00AA38A4" w:rsidRPr="00CD6884">
        <w:t>)</w:t>
      </w:r>
      <w:r w:rsidR="00AF2472" w:rsidRPr="00CD6884">
        <w:t xml:space="preserve"> trials</w:t>
      </w:r>
      <w:r w:rsidR="00F87CD5" w:rsidRPr="00CD6884">
        <w:t xml:space="preserve"> </w:t>
      </w:r>
      <w:r w:rsidR="00AA38A4" w:rsidRPr="00CD6884">
        <w:t>we studied</w:t>
      </w:r>
      <w:r w:rsidR="00F87CD5" w:rsidRPr="00CD6884">
        <w:t>)</w:t>
      </w:r>
      <w:r w:rsidRPr="00CD6884">
        <w:t xml:space="preserve">. Because Cheung and </w:t>
      </w:r>
      <w:proofErr w:type="spellStart"/>
      <w:r w:rsidRPr="00CD6884">
        <w:t>Slavin</w:t>
      </w:r>
      <w:r w:rsidR="004628EC" w:rsidRPr="00CD6884">
        <w:t>’</w:t>
      </w:r>
      <w:r w:rsidRPr="00CD6884">
        <w:t>s</w:t>
      </w:r>
      <w:proofErr w:type="spellEnd"/>
      <w:r w:rsidRPr="00CD6884">
        <w:t xml:space="preserve"> estimate includes both studies that tested effective interventions and those that tested ineffective interventions (i.e. it mixe</w:t>
      </w:r>
      <w:r w:rsidR="004628EC" w:rsidRPr="00CD6884">
        <w:t>d</w:t>
      </w:r>
      <w:r w:rsidRPr="00CD6884">
        <w:t xml:space="preserve"> true nulls and true alternatives), and because our prior </w:t>
      </w:r>
      <w:r w:rsidR="004628EC" w:rsidRPr="00CD6884">
        <w:t xml:space="preserve">needed to only capture </w:t>
      </w:r>
      <w:r w:rsidR="0031716A" w:rsidRPr="00CD6884">
        <w:t>a</w:t>
      </w:r>
      <w:r w:rsidR="004628EC" w:rsidRPr="00CD6884">
        <w:t xml:space="preserve"> plausible range of effects associated with</w:t>
      </w:r>
      <w:r w:rsidRPr="00CD6884">
        <w:t xml:space="preserve"> effective interventions (i.e. we were </w:t>
      </w:r>
      <w:r w:rsidR="0030152E" w:rsidRPr="00CD6884">
        <w:t>modeling</w:t>
      </w:r>
      <w:r w:rsidRPr="00CD6884">
        <w:t xml:space="preserve"> the alternative hypothesis), we felt</w:t>
      </w:r>
      <w:r w:rsidR="00AA3A45" w:rsidRPr="00CD6884">
        <w:t>,</w:t>
      </w:r>
      <w:r w:rsidRPr="00CD6884">
        <w:t xml:space="preserve"> </w:t>
      </w:r>
      <w:r w:rsidR="00AA3A45" w:rsidRPr="00CD6884">
        <w:t xml:space="preserve">and still feel, that </w:t>
      </w:r>
      <w:proofErr w:type="gramStart"/>
      <w:r w:rsidRPr="00CD6884">
        <w:t>HN(</w:t>
      </w:r>
      <w:proofErr w:type="gramEnd"/>
      <w:r w:rsidRPr="00CD6884">
        <w:t xml:space="preserve">0,0.2) was </w:t>
      </w:r>
      <w:r w:rsidR="004628EC" w:rsidRPr="00CD6884">
        <w:t xml:space="preserve">a </w:t>
      </w:r>
      <w:r w:rsidRPr="00CD6884">
        <w:t>reasonable</w:t>
      </w:r>
      <w:r w:rsidR="004628EC" w:rsidRPr="00CD6884">
        <w:t xml:space="preserve"> choice</w:t>
      </w:r>
      <w:r w:rsidRPr="00CD6884">
        <w:t xml:space="preserve">. </w:t>
      </w:r>
    </w:p>
    <w:p w14:paraId="0AA032FA" w14:textId="5CDC5F13" w:rsidR="009A3858" w:rsidRPr="00CD6884" w:rsidRDefault="009A3858" w:rsidP="009A3858">
      <w:r w:rsidRPr="00CD6884">
        <w:t>However, because other researchers might disagree, we also conducted a robustness check</w:t>
      </w:r>
      <w:r w:rsidR="004628EC" w:rsidRPr="00CD6884">
        <w:t xml:space="preserve">. </w:t>
      </w:r>
      <w:r w:rsidR="0031716A" w:rsidRPr="00CD6884">
        <w:t>In other words, w</w:t>
      </w:r>
      <w:r w:rsidRPr="00CD6884">
        <w:t xml:space="preserve">e repeated our analysis with a variety of </w:t>
      </w:r>
      <w:r w:rsidR="004628EC" w:rsidRPr="00CD6884">
        <w:t xml:space="preserve">different </w:t>
      </w:r>
      <w:r w:rsidRPr="00CD6884">
        <w:t>priors</w:t>
      </w:r>
      <w:r w:rsidR="004628EC" w:rsidRPr="00CD6884">
        <w:t>, and included the findings</w:t>
      </w:r>
      <w:r w:rsidRPr="00CD6884">
        <w:t xml:space="preserve"> in the supplemental materials to the original paper. An expanded version of this </w:t>
      </w:r>
      <w:r w:rsidR="004628EC" w:rsidRPr="00CD6884">
        <w:t>robustness check</w:t>
      </w:r>
      <w:r w:rsidR="00930841" w:rsidRPr="00CD6884">
        <w:t xml:space="preserve"> analysis</w:t>
      </w:r>
      <w:r w:rsidR="004628EC" w:rsidRPr="00CD6884">
        <w:t xml:space="preserve"> </w:t>
      </w:r>
      <w:r w:rsidRPr="00CD6884">
        <w:t>is given in Table 1.</w:t>
      </w:r>
    </w:p>
    <w:p w14:paraId="5C8333A5" w14:textId="3E2695F9" w:rsidR="009A3858" w:rsidRPr="00CD6884" w:rsidRDefault="009A3858" w:rsidP="009A3858">
      <w:r w:rsidRPr="00CD6884">
        <w:t xml:space="preserve">If you believe </w:t>
      </w:r>
      <w:r w:rsidR="00BF4F2F" w:rsidRPr="00CD6884">
        <w:t xml:space="preserve">that </w:t>
      </w:r>
      <w:r w:rsidR="00F1275F" w:rsidRPr="00CD6884">
        <w:t xml:space="preserve">most researchers </w:t>
      </w:r>
      <w:r w:rsidR="00BF4F2F" w:rsidRPr="00CD6884">
        <w:t>are as optimistic as Simpson, in the sense that they believe</w:t>
      </w:r>
      <w:r w:rsidR="00F1275F" w:rsidRPr="00CD6884">
        <w:t xml:space="preserve"> </w:t>
      </w:r>
      <w:r w:rsidRPr="00CD6884">
        <w:t>that</w:t>
      </w:r>
      <w:r w:rsidR="00CA23CA" w:rsidRPr="00CD6884">
        <w:t xml:space="preserve"> </w:t>
      </w:r>
      <w:r w:rsidR="00656D5E" w:rsidRPr="00CD6884">
        <w:t>EEF/NCEE-style</w:t>
      </w:r>
      <w:r w:rsidRPr="00CD6884">
        <w:t xml:space="preserve"> RCTs </w:t>
      </w:r>
      <w:r w:rsidR="008B54D7" w:rsidRPr="00CD6884">
        <w:t>which</w:t>
      </w:r>
      <w:r w:rsidR="00AA3A45" w:rsidRPr="00CD6884">
        <w:t xml:space="preserve"> test effective interventions </w:t>
      </w:r>
      <w:r w:rsidRPr="00CD6884">
        <w:t>will find standardi</w:t>
      </w:r>
      <w:r w:rsidR="004628EC" w:rsidRPr="00CD6884">
        <w:t>z</w:t>
      </w:r>
      <w:r w:rsidRPr="00CD6884">
        <w:t xml:space="preserve">ed effect sizes larger than 0.4 a third of the time, then you will be most interested in the </w:t>
      </w:r>
      <w:proofErr w:type="gramStart"/>
      <w:r w:rsidRPr="00CD6884">
        <w:t>HN(</w:t>
      </w:r>
      <w:proofErr w:type="gramEnd"/>
      <w:r w:rsidRPr="00CD6884">
        <w:t>0,</w:t>
      </w:r>
      <w:r w:rsidR="00576952" w:rsidRPr="00CD6884">
        <w:t xml:space="preserve"> </w:t>
      </w:r>
      <w:r w:rsidRPr="00CD6884">
        <w:t xml:space="preserve">0.4) line of </w:t>
      </w:r>
      <w:r w:rsidR="002545A0" w:rsidRPr="00CD6884">
        <w:t>Table 1</w:t>
      </w:r>
      <w:r w:rsidRPr="00CD6884">
        <w:t xml:space="preserve">. If you agree with us, and believe that </w:t>
      </w:r>
      <w:r w:rsidR="00F1275F" w:rsidRPr="00CD6884">
        <w:t xml:space="preserve">most </w:t>
      </w:r>
      <w:r w:rsidR="000C30EA" w:rsidRPr="00CD6884">
        <w:t>would think</w:t>
      </w:r>
      <w:r w:rsidR="00F1275F" w:rsidRPr="00CD6884">
        <w:t xml:space="preserve"> that </w:t>
      </w:r>
      <w:r w:rsidR="004628EC" w:rsidRPr="00CD6884">
        <w:t xml:space="preserve">effects larger than 0.4 are very unlikely in </w:t>
      </w:r>
      <w:r w:rsidR="00AA3A45" w:rsidRPr="00CD6884">
        <w:t>these kinds of trials</w:t>
      </w:r>
      <w:r w:rsidRPr="00CD6884">
        <w:t xml:space="preserve">, then you will be more interested in the analysis we conducted </w:t>
      </w:r>
      <w:r w:rsidR="00576952" w:rsidRPr="00CD6884">
        <w:t>(shown in row HN(0, 0.2)).</w:t>
      </w:r>
    </w:p>
    <w:p w14:paraId="53B2F36D" w14:textId="06154C9F" w:rsidR="000D7AA5" w:rsidRPr="00CD6884" w:rsidRDefault="004628EC" w:rsidP="00D73FA0">
      <w:r w:rsidRPr="00CD6884">
        <w:t xml:space="preserve">However, crucially </w:t>
      </w:r>
      <w:r w:rsidR="009A3858" w:rsidRPr="00CD6884">
        <w:t xml:space="preserve">Table 1 reveals that our substantive conclusion </w:t>
      </w:r>
      <w:r w:rsidR="00AF2472" w:rsidRPr="00CD6884">
        <w:t xml:space="preserve">is </w:t>
      </w:r>
      <w:r w:rsidR="009A3858" w:rsidRPr="00CD6884">
        <w:t>not dramatically altered regardless of which prior you favor. In every case, a surprisingly large proportion of</w:t>
      </w:r>
      <w:r w:rsidR="00834A2B" w:rsidRPr="00CD6884">
        <w:t xml:space="preserve"> the EEF and NCEE</w:t>
      </w:r>
      <w:r w:rsidR="009A3858" w:rsidRPr="00CD6884">
        <w:t xml:space="preserve"> trials</w:t>
      </w:r>
      <w:r w:rsidR="00834A2B" w:rsidRPr="00CD6884">
        <w:t xml:space="preserve"> in our sample</w:t>
      </w:r>
      <w:r w:rsidR="009A3858" w:rsidRPr="00CD6884">
        <w:t xml:space="preserve"> are uninformative (in the sense that they have Bayes </w:t>
      </w:r>
      <w:r w:rsidR="009A3858" w:rsidRPr="00CD6884">
        <w:lastRenderedPageBreak/>
        <w:t xml:space="preserve">factors between 3 and 1/3). We believe this should concern </w:t>
      </w:r>
      <w:r w:rsidRPr="00CD6884">
        <w:t>the educational research community</w:t>
      </w:r>
      <w:r w:rsidR="009A3858" w:rsidRPr="00CD6884">
        <w:t>.</w:t>
      </w:r>
    </w:p>
    <w:p w14:paraId="2BDEACDE" w14:textId="77777777" w:rsidR="00A162D9" w:rsidRPr="00CD6884" w:rsidRDefault="00A162D9">
      <w:pPr>
        <w:spacing w:line="240" w:lineRule="auto"/>
        <w:ind w:firstLine="0"/>
        <w:rPr>
          <w:rFonts w:cs="Arial"/>
          <w:bCs/>
          <w:i/>
          <w:szCs w:val="26"/>
        </w:rPr>
      </w:pPr>
      <w:r w:rsidRPr="00CD6884">
        <w:br w:type="page"/>
      </w:r>
    </w:p>
    <w:p w14:paraId="19BCA18E" w14:textId="6EED979F" w:rsidR="00E87C9E" w:rsidRPr="00CD6884" w:rsidRDefault="00E87C9E" w:rsidP="00862C7A">
      <w:pPr>
        <w:pStyle w:val="Heading3"/>
        <w:rPr>
          <w:b/>
          <w:i w:val="0"/>
        </w:rPr>
      </w:pPr>
      <w:r w:rsidRPr="00CD6884">
        <w:rPr>
          <w:b/>
          <w:i w:val="0"/>
        </w:rPr>
        <w:lastRenderedPageBreak/>
        <w:t>References</w:t>
      </w:r>
      <w:bookmarkEnd w:id="4"/>
      <w:bookmarkEnd w:id="5"/>
      <w:bookmarkEnd w:id="6"/>
    </w:p>
    <w:p w14:paraId="7E6BA16A" w14:textId="3F814605" w:rsidR="009A3858" w:rsidRPr="00CD6884" w:rsidRDefault="009A3858" w:rsidP="00862C7A">
      <w:pPr>
        <w:ind w:left="720" w:hanging="720"/>
      </w:pPr>
      <w:proofErr w:type="spellStart"/>
      <w:r w:rsidRPr="00CD6884">
        <w:t>Baguley</w:t>
      </w:r>
      <w:proofErr w:type="spellEnd"/>
      <w:r w:rsidRPr="00CD6884">
        <w:t xml:space="preserve">, T. (2012). </w:t>
      </w:r>
      <w:r w:rsidRPr="00CD6884">
        <w:rPr>
          <w:i/>
        </w:rPr>
        <w:t>Serious Stats: A Guide to Advanced Statistics for the Behavioral Sciences</w:t>
      </w:r>
      <w:r w:rsidRPr="00CD6884">
        <w:t>. Basingstoke</w:t>
      </w:r>
      <w:r w:rsidR="00784ED1" w:rsidRPr="00CD6884">
        <w:t>, UK</w:t>
      </w:r>
      <w:r w:rsidRPr="00CD6884">
        <w:t>: Palgrave Macmillan.</w:t>
      </w:r>
    </w:p>
    <w:p w14:paraId="649E69D3" w14:textId="345797DF" w:rsidR="001635F0" w:rsidRPr="00CD6884" w:rsidRDefault="001635F0" w:rsidP="00862C7A">
      <w:pPr>
        <w:ind w:left="720" w:hanging="720"/>
      </w:pPr>
      <w:r w:rsidRPr="00CD6884">
        <w:t xml:space="preserve">Berger, J. (2006). The case for objective Bayesian analysis. </w:t>
      </w:r>
      <w:r w:rsidRPr="00CD6884">
        <w:rPr>
          <w:i/>
        </w:rPr>
        <w:t>Bayesian Analysis, 1</w:t>
      </w:r>
      <w:r w:rsidRPr="00CD6884">
        <w:t>(3), 385-402.</w:t>
      </w:r>
    </w:p>
    <w:p w14:paraId="055EE793" w14:textId="6F626D4B" w:rsidR="00F31BA1" w:rsidRPr="00CD6884" w:rsidRDefault="007B5E53" w:rsidP="00862C7A">
      <w:pPr>
        <w:ind w:left="720" w:hanging="720"/>
      </w:pPr>
      <w:r w:rsidRPr="00CD6884">
        <w:t xml:space="preserve">Cheung, A., &amp; </w:t>
      </w:r>
      <w:proofErr w:type="spellStart"/>
      <w:r w:rsidRPr="00CD6884">
        <w:t>Slavin</w:t>
      </w:r>
      <w:proofErr w:type="spellEnd"/>
      <w:r w:rsidRPr="00CD6884">
        <w:t xml:space="preserve">, R. E. (2016). How methodological features of research studies affect effect sizes. </w:t>
      </w:r>
      <w:r w:rsidRPr="00CD6884">
        <w:rPr>
          <w:i/>
        </w:rPr>
        <w:t>Educational Researcher, 45</w:t>
      </w:r>
      <w:r w:rsidRPr="00CD6884">
        <w:t>(5), 283–292.</w:t>
      </w:r>
    </w:p>
    <w:p w14:paraId="2E07D8FF" w14:textId="3542E083" w:rsidR="001635F0" w:rsidRPr="00CD6884" w:rsidRDefault="001635F0" w:rsidP="00862C7A">
      <w:pPr>
        <w:ind w:left="720" w:hanging="720"/>
      </w:pPr>
      <w:proofErr w:type="gramStart"/>
      <w:r w:rsidRPr="00CD6884">
        <w:t>de</w:t>
      </w:r>
      <w:proofErr w:type="gramEnd"/>
      <w:r w:rsidRPr="00CD6884">
        <w:t xml:space="preserve"> </w:t>
      </w:r>
      <w:proofErr w:type="spellStart"/>
      <w:r w:rsidRPr="00CD6884">
        <w:t>Vries</w:t>
      </w:r>
      <w:proofErr w:type="spellEnd"/>
      <w:r w:rsidRPr="00CD6884">
        <w:t xml:space="preserve">, R. M., &amp; Morey, R. D. (2013). Bayesian hypothesis testing for single-subject designs. </w:t>
      </w:r>
      <w:r w:rsidRPr="00CD6884">
        <w:rPr>
          <w:i/>
        </w:rPr>
        <w:t>Psychological Methods, 18</w:t>
      </w:r>
      <w:r w:rsidRPr="00CD6884">
        <w:t>(2), 165-185.</w:t>
      </w:r>
    </w:p>
    <w:p w14:paraId="61ABCA7E" w14:textId="2717D0FD" w:rsidR="00784ED1" w:rsidRPr="00CD6884" w:rsidRDefault="00784ED1" w:rsidP="00862C7A">
      <w:pPr>
        <w:ind w:left="720" w:hanging="720"/>
      </w:pPr>
      <w:r w:rsidRPr="00CD6884">
        <w:t xml:space="preserve">Hattie, J. A. C. (2009). </w:t>
      </w:r>
      <w:r w:rsidRPr="00CD6884">
        <w:rPr>
          <w:i/>
        </w:rPr>
        <w:t>Visible learning: A synthesis of 800+ meta-analyses on achievement</w:t>
      </w:r>
      <w:r w:rsidRPr="00CD6884">
        <w:t>. Oxford, UK: Routledge.</w:t>
      </w:r>
    </w:p>
    <w:p w14:paraId="4D2FB422" w14:textId="23F1614E" w:rsidR="007B5E53" w:rsidRPr="00CD6884" w:rsidRDefault="007B5E53" w:rsidP="00862C7A">
      <w:pPr>
        <w:ind w:left="720" w:hanging="720"/>
      </w:pPr>
      <w:r w:rsidRPr="00CD6884">
        <w:t xml:space="preserve">Morey, R. D., </w:t>
      </w:r>
      <w:proofErr w:type="spellStart"/>
      <w:r w:rsidRPr="00CD6884">
        <w:t>Wagenmakers</w:t>
      </w:r>
      <w:proofErr w:type="spellEnd"/>
      <w:r w:rsidRPr="00CD6884">
        <w:t xml:space="preserve">, E.-J., &amp; </w:t>
      </w:r>
      <w:proofErr w:type="spellStart"/>
      <w:r w:rsidRPr="00CD6884">
        <w:t>Rouder</w:t>
      </w:r>
      <w:proofErr w:type="spellEnd"/>
      <w:r w:rsidRPr="00CD6884">
        <w:t xml:space="preserve">, J. N. (2016). Calibrated Bayes Factors Should Not Be Used: A Reply to </w:t>
      </w:r>
      <w:proofErr w:type="spellStart"/>
      <w:r w:rsidRPr="00CD6884">
        <w:t>Hoijtink</w:t>
      </w:r>
      <w:proofErr w:type="spellEnd"/>
      <w:r w:rsidRPr="00CD6884">
        <w:t xml:space="preserve">, van </w:t>
      </w:r>
      <w:proofErr w:type="spellStart"/>
      <w:r w:rsidRPr="00CD6884">
        <w:t>Kooten</w:t>
      </w:r>
      <w:proofErr w:type="spellEnd"/>
      <w:r w:rsidRPr="00CD6884">
        <w:t xml:space="preserve">, and </w:t>
      </w:r>
      <w:proofErr w:type="spellStart"/>
      <w:r w:rsidRPr="00CD6884">
        <w:t>Hulsker</w:t>
      </w:r>
      <w:proofErr w:type="spellEnd"/>
      <w:r w:rsidRPr="00CD6884">
        <w:t xml:space="preserve">. </w:t>
      </w:r>
      <w:r w:rsidRPr="00CD6884">
        <w:rPr>
          <w:i/>
        </w:rPr>
        <w:t>Multivariate Behavioral Research, 51</w:t>
      </w:r>
      <w:r w:rsidRPr="00CD6884">
        <w:t>(1), 11-19.</w:t>
      </w:r>
    </w:p>
    <w:p w14:paraId="7E2EAC59" w14:textId="385DBC53" w:rsidR="001635F0" w:rsidRPr="00CD6884" w:rsidRDefault="001635F0" w:rsidP="00862C7A">
      <w:pPr>
        <w:ind w:left="720" w:hanging="720"/>
      </w:pPr>
      <w:proofErr w:type="spellStart"/>
      <w:r w:rsidRPr="00CD6884">
        <w:t>Rouder</w:t>
      </w:r>
      <w:proofErr w:type="spellEnd"/>
      <w:r w:rsidRPr="00CD6884">
        <w:t xml:space="preserve">, J. N., Morey, R. D., </w:t>
      </w:r>
      <w:proofErr w:type="spellStart"/>
      <w:r w:rsidRPr="00CD6884">
        <w:t>Speckman</w:t>
      </w:r>
      <w:proofErr w:type="spellEnd"/>
      <w:r w:rsidRPr="00CD6884">
        <w:t xml:space="preserve">, P. L., &amp; Province, J. M. (2012). Default Bayes factors for ANOVA designs. </w:t>
      </w:r>
      <w:r w:rsidRPr="00CD6884">
        <w:rPr>
          <w:i/>
        </w:rPr>
        <w:t>Journal of Mathematical Psychology, 56</w:t>
      </w:r>
      <w:r w:rsidRPr="00CD6884">
        <w:t>(5), 356–374.</w:t>
      </w:r>
    </w:p>
    <w:p w14:paraId="10E691A3" w14:textId="41D9908F" w:rsidR="001635F0" w:rsidRPr="00CD6884" w:rsidRDefault="001635F0" w:rsidP="00862C7A">
      <w:pPr>
        <w:ind w:left="720" w:hanging="720"/>
      </w:pPr>
      <w:proofErr w:type="spellStart"/>
      <w:r w:rsidRPr="00CD6884">
        <w:t>Rouder</w:t>
      </w:r>
      <w:proofErr w:type="spellEnd"/>
      <w:r w:rsidRPr="00CD6884">
        <w:t xml:space="preserve">, J. N., </w:t>
      </w:r>
      <w:proofErr w:type="spellStart"/>
      <w:r w:rsidRPr="00CD6884">
        <w:t>Speckman</w:t>
      </w:r>
      <w:proofErr w:type="spellEnd"/>
      <w:r w:rsidRPr="00CD6884">
        <w:t xml:space="preserve">, P. L., Sun, D., Morey, R. D., &amp; Iverson, G. (2009). Bayesian </w:t>
      </w:r>
      <w:r w:rsidRPr="00CD6884">
        <w:rPr>
          <w:i/>
        </w:rPr>
        <w:t>t</w:t>
      </w:r>
      <w:r w:rsidRPr="00CD6884">
        <w:t xml:space="preserve"> tests for accepting and rejecting the null hypothesis. </w:t>
      </w:r>
      <w:proofErr w:type="spellStart"/>
      <w:r w:rsidRPr="00CD6884">
        <w:rPr>
          <w:i/>
        </w:rPr>
        <w:t>Psychonomic</w:t>
      </w:r>
      <w:proofErr w:type="spellEnd"/>
      <w:r w:rsidRPr="00CD6884">
        <w:rPr>
          <w:i/>
        </w:rPr>
        <w:t xml:space="preserve"> Bulletin &amp; Review, 16</w:t>
      </w:r>
      <w:r w:rsidRPr="00CD6884">
        <w:t>(2), 225-237.</w:t>
      </w:r>
    </w:p>
    <w:p w14:paraId="55D4E971" w14:textId="670F05DD" w:rsidR="009A3858" w:rsidRPr="00CD6884" w:rsidRDefault="009A3858" w:rsidP="00862C7A">
      <w:pPr>
        <w:ind w:left="720" w:hanging="720"/>
      </w:pPr>
      <w:proofErr w:type="spellStart"/>
      <w:r w:rsidRPr="00CD6884">
        <w:t>Spiegelhalter</w:t>
      </w:r>
      <w:proofErr w:type="spellEnd"/>
      <w:r w:rsidRPr="00CD6884">
        <w:t xml:space="preserve">, D. J., and Rice, K. (2009) Bayesian Statistics. </w:t>
      </w:r>
      <w:proofErr w:type="spellStart"/>
      <w:r w:rsidRPr="00CD6884">
        <w:rPr>
          <w:i/>
        </w:rPr>
        <w:t>Scholarpedia</w:t>
      </w:r>
      <w:proofErr w:type="spellEnd"/>
      <w:r w:rsidRPr="00CD6884">
        <w:rPr>
          <w:i/>
        </w:rPr>
        <w:t>, 4</w:t>
      </w:r>
      <w:r w:rsidRPr="00CD6884">
        <w:t>(8), 5230.</w:t>
      </w:r>
    </w:p>
    <w:p w14:paraId="4660EDFD" w14:textId="1AF6A94A" w:rsidR="00784ED1" w:rsidRPr="00CD6884" w:rsidRDefault="00784ED1" w:rsidP="00862C7A">
      <w:pPr>
        <w:ind w:left="720" w:hanging="720"/>
      </w:pPr>
      <w:proofErr w:type="spellStart"/>
      <w:r w:rsidRPr="00CD6884">
        <w:t>Wagenmakers</w:t>
      </w:r>
      <w:proofErr w:type="spellEnd"/>
      <w:r w:rsidRPr="00CD6884">
        <w:t xml:space="preserve">, E. J., </w:t>
      </w:r>
      <w:proofErr w:type="spellStart"/>
      <w:r w:rsidRPr="00CD6884">
        <w:t>Marsman</w:t>
      </w:r>
      <w:proofErr w:type="spellEnd"/>
      <w:r w:rsidRPr="00CD6884">
        <w:t xml:space="preserve">, M., Jamil, T., Ly, A., </w:t>
      </w:r>
      <w:proofErr w:type="spellStart"/>
      <w:r w:rsidRPr="00CD6884">
        <w:t>Verhagen</w:t>
      </w:r>
      <w:proofErr w:type="spellEnd"/>
      <w:r w:rsidRPr="00CD6884">
        <w:t>, J., Love, J</w:t>
      </w:r>
      <w:proofErr w:type="gramStart"/>
      <w:r w:rsidRPr="00CD6884">
        <w:t>., ...</w:t>
      </w:r>
      <w:proofErr w:type="gramEnd"/>
      <w:r w:rsidRPr="00CD6884">
        <w:t xml:space="preserve"> &amp; Matzke, D. (2018). Bayesian inference for psychology. Part I: Theoretical advantages and practical ramifications. </w:t>
      </w:r>
      <w:proofErr w:type="spellStart"/>
      <w:r w:rsidRPr="00CD6884">
        <w:rPr>
          <w:i/>
        </w:rPr>
        <w:t>Psychonomic</w:t>
      </w:r>
      <w:proofErr w:type="spellEnd"/>
      <w:r w:rsidRPr="00CD6884">
        <w:rPr>
          <w:i/>
        </w:rPr>
        <w:t xml:space="preserve"> Bulletin &amp; Review, 25</w:t>
      </w:r>
      <w:r w:rsidRPr="00CD6884">
        <w:t>(1), 35-57.</w:t>
      </w:r>
    </w:p>
    <w:p w14:paraId="03C9301D" w14:textId="27B11C67" w:rsidR="0041443E" w:rsidRPr="00CD6884" w:rsidRDefault="00784ED1" w:rsidP="00862C7A">
      <w:pPr>
        <w:ind w:left="720" w:hanging="720"/>
      </w:pPr>
      <w:proofErr w:type="spellStart"/>
      <w:r w:rsidRPr="00CD6884">
        <w:t>Wagenmakers</w:t>
      </w:r>
      <w:proofErr w:type="spellEnd"/>
      <w:r w:rsidRPr="00CD6884">
        <w:t xml:space="preserve">, E. J., Love, J., </w:t>
      </w:r>
      <w:proofErr w:type="spellStart"/>
      <w:r w:rsidRPr="00CD6884">
        <w:t>Marsman</w:t>
      </w:r>
      <w:proofErr w:type="spellEnd"/>
      <w:r w:rsidRPr="00CD6884">
        <w:t xml:space="preserve">, M., Jamil, T., Ly, A., </w:t>
      </w:r>
      <w:proofErr w:type="spellStart"/>
      <w:r w:rsidRPr="00CD6884">
        <w:t>Verhagen</w:t>
      </w:r>
      <w:proofErr w:type="spellEnd"/>
      <w:r w:rsidRPr="00CD6884">
        <w:t>, J</w:t>
      </w:r>
      <w:proofErr w:type="gramStart"/>
      <w:r w:rsidRPr="00CD6884">
        <w:t>., ...</w:t>
      </w:r>
      <w:proofErr w:type="gramEnd"/>
      <w:r w:rsidRPr="00CD6884">
        <w:t xml:space="preserve"> &amp; </w:t>
      </w:r>
      <w:proofErr w:type="spellStart"/>
      <w:r w:rsidRPr="00CD6884">
        <w:t>Meerhoff</w:t>
      </w:r>
      <w:proofErr w:type="spellEnd"/>
      <w:r w:rsidRPr="00CD6884">
        <w:t xml:space="preserve">, F. (2018). Bayesian inference for psychology. Part II: Example applications with JASP. </w:t>
      </w:r>
      <w:proofErr w:type="spellStart"/>
      <w:r w:rsidRPr="00CD6884">
        <w:rPr>
          <w:i/>
        </w:rPr>
        <w:t>Psychonomic</w:t>
      </w:r>
      <w:proofErr w:type="spellEnd"/>
      <w:r w:rsidRPr="00CD6884">
        <w:rPr>
          <w:i/>
        </w:rPr>
        <w:t xml:space="preserve"> Bulletin &amp; Review, 25</w:t>
      </w:r>
      <w:r w:rsidRPr="00CD6884">
        <w:t>(1), 58-76.</w:t>
      </w:r>
    </w:p>
    <w:p w14:paraId="509B7256" w14:textId="51D8410E" w:rsidR="0041443E" w:rsidRDefault="0041443E">
      <w:pPr>
        <w:spacing w:line="240" w:lineRule="auto"/>
        <w:ind w:firstLine="0"/>
      </w:pPr>
    </w:p>
    <w:p w14:paraId="70448E20" w14:textId="54864193" w:rsidR="00F93B45" w:rsidRDefault="00F93B45">
      <w:pPr>
        <w:spacing w:line="240" w:lineRule="auto"/>
        <w:ind w:firstLine="0"/>
      </w:pPr>
    </w:p>
    <w:p w14:paraId="2623C957" w14:textId="77777777" w:rsidR="00F93B45" w:rsidRPr="00497CEA" w:rsidRDefault="00F93B45" w:rsidP="00F93B45">
      <w:pPr>
        <w:spacing w:line="360" w:lineRule="auto"/>
        <w:ind w:firstLine="0"/>
      </w:pPr>
      <w:r w:rsidRPr="00497CEA">
        <w:t>Table 1</w:t>
      </w:r>
    </w:p>
    <w:p w14:paraId="45EFD244" w14:textId="77777777" w:rsidR="00F93B45" w:rsidRPr="00497CEA" w:rsidRDefault="00F93B45" w:rsidP="00F93B45">
      <w:pPr>
        <w:spacing w:line="360" w:lineRule="auto"/>
        <w:ind w:firstLine="0"/>
        <w:rPr>
          <w:i/>
        </w:rPr>
      </w:pPr>
      <w:r w:rsidRPr="00497CEA">
        <w:rPr>
          <w:i/>
        </w:rPr>
        <w:t>The percentage of trials in our sample that were uninformative (had Bayes factors between 3 and 1/3), that favored the null, H</w:t>
      </w:r>
      <w:r w:rsidRPr="00497CEA">
        <w:rPr>
          <w:i/>
          <w:vertAlign w:val="subscript"/>
        </w:rPr>
        <w:t>0</w:t>
      </w:r>
      <w:r w:rsidRPr="00497CEA">
        <w:rPr>
          <w:i/>
        </w:rPr>
        <w:t xml:space="preserve"> (had Bayes factors below 1/3), and that favored the alternative, H</w:t>
      </w:r>
      <w:r w:rsidRPr="00497CEA">
        <w:rPr>
          <w:i/>
          <w:vertAlign w:val="subscript"/>
        </w:rPr>
        <w:t>a</w:t>
      </w:r>
      <w:r w:rsidRPr="00497CEA">
        <w:rPr>
          <w:i/>
        </w:rPr>
        <w:t xml:space="preserve"> (had Bayes factors above 3), under various different priors for the alternative hypothesis. </w:t>
      </w:r>
    </w:p>
    <w:p w14:paraId="0C6FCBFE" w14:textId="051B4E46" w:rsidR="0041443E" w:rsidRDefault="0041443E" w:rsidP="00513497">
      <w:pPr>
        <w:ind w:firstLine="0"/>
      </w:pPr>
    </w:p>
    <w:tbl>
      <w:tblPr>
        <w:tblW w:w="0" w:type="auto"/>
        <w:tblLook w:val="04A0" w:firstRow="1" w:lastRow="0" w:firstColumn="1" w:lastColumn="0" w:noHBand="0" w:noVBand="1"/>
      </w:tblPr>
      <w:tblGrid>
        <w:gridCol w:w="2003"/>
        <w:gridCol w:w="1190"/>
        <w:gridCol w:w="276"/>
        <w:gridCol w:w="1836"/>
        <w:gridCol w:w="1603"/>
        <w:gridCol w:w="1594"/>
      </w:tblGrid>
      <w:tr w:rsidR="00F93B45" w:rsidRPr="00F93B45" w14:paraId="1FD38213" w14:textId="77777777" w:rsidTr="00F93B45">
        <w:trPr>
          <w:trHeight w:val="375"/>
        </w:trPr>
        <w:tc>
          <w:tcPr>
            <w:tcW w:w="0" w:type="auto"/>
            <w:gridSpan w:val="2"/>
            <w:tcBorders>
              <w:top w:val="single" w:sz="8" w:space="0" w:color="auto"/>
              <w:left w:val="nil"/>
              <w:bottom w:val="single" w:sz="8" w:space="0" w:color="auto"/>
              <w:right w:val="nil"/>
            </w:tcBorders>
            <w:shd w:val="clear" w:color="000000" w:fill="FFFFFF"/>
            <w:vAlign w:val="center"/>
            <w:hideMark/>
          </w:tcPr>
          <w:p w14:paraId="4560953D"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H</w:t>
            </w:r>
            <w:r w:rsidRPr="00F93B45">
              <w:rPr>
                <w:color w:val="000000"/>
                <w:vertAlign w:val="subscript"/>
                <w:lang w:val="en-GB" w:eastAsia="en-GB"/>
              </w:rPr>
              <w:t>a</w:t>
            </w:r>
            <w:r w:rsidRPr="00F93B45">
              <w:rPr>
                <w:color w:val="000000"/>
                <w:lang w:val="en-GB" w:eastAsia="en-GB"/>
              </w:rPr>
              <w:t xml:space="preserve"> Prior</w:t>
            </w:r>
          </w:p>
        </w:tc>
        <w:tc>
          <w:tcPr>
            <w:tcW w:w="0" w:type="auto"/>
            <w:tcBorders>
              <w:top w:val="single" w:sz="8" w:space="0" w:color="auto"/>
              <w:left w:val="nil"/>
              <w:bottom w:val="nil"/>
              <w:right w:val="nil"/>
            </w:tcBorders>
            <w:shd w:val="clear" w:color="000000" w:fill="FFFFFF"/>
            <w:noWrap/>
            <w:vAlign w:val="center"/>
            <w:hideMark/>
          </w:tcPr>
          <w:p w14:paraId="254A30AF" w14:textId="77777777" w:rsidR="00F93B45" w:rsidRPr="00F93B45" w:rsidRDefault="00F93B45" w:rsidP="00F93B45">
            <w:pPr>
              <w:spacing w:line="240" w:lineRule="auto"/>
              <w:ind w:firstLine="0"/>
              <w:rPr>
                <w:color w:val="000000"/>
                <w:lang w:val="en-GB" w:eastAsia="en-GB"/>
              </w:rPr>
            </w:pPr>
            <w:r w:rsidRPr="00F93B45">
              <w:rPr>
                <w:color w:val="000000"/>
                <w:lang w:val="en-GB" w:eastAsia="en-GB"/>
              </w:rPr>
              <w:t> </w:t>
            </w:r>
          </w:p>
        </w:tc>
        <w:tc>
          <w:tcPr>
            <w:tcW w:w="0" w:type="auto"/>
            <w:gridSpan w:val="3"/>
            <w:tcBorders>
              <w:top w:val="single" w:sz="8" w:space="0" w:color="auto"/>
              <w:left w:val="nil"/>
              <w:bottom w:val="nil"/>
              <w:right w:val="nil"/>
            </w:tcBorders>
            <w:shd w:val="clear" w:color="000000" w:fill="FFFFFF"/>
            <w:noWrap/>
            <w:vAlign w:val="center"/>
            <w:hideMark/>
          </w:tcPr>
          <w:p w14:paraId="2A3A7627" w14:textId="77777777" w:rsidR="00F93B45" w:rsidRPr="00F93B45" w:rsidRDefault="00F93B45" w:rsidP="00F93B45">
            <w:pPr>
              <w:spacing w:line="240" w:lineRule="auto"/>
              <w:ind w:firstLine="0"/>
              <w:rPr>
                <w:color w:val="000000"/>
                <w:lang w:val="en-GB" w:eastAsia="en-GB"/>
              </w:rPr>
            </w:pPr>
            <w:r w:rsidRPr="00F93B45">
              <w:rPr>
                <w:color w:val="000000"/>
                <w:lang w:val="en-GB" w:eastAsia="en-GB"/>
              </w:rPr>
              <w:t> </w:t>
            </w:r>
          </w:p>
        </w:tc>
      </w:tr>
      <w:tr w:rsidR="00F93B45" w:rsidRPr="00F93B45" w14:paraId="0957F7F4" w14:textId="77777777" w:rsidTr="00F93B45">
        <w:trPr>
          <w:trHeight w:val="390"/>
        </w:trPr>
        <w:tc>
          <w:tcPr>
            <w:tcW w:w="0" w:type="auto"/>
            <w:tcBorders>
              <w:top w:val="nil"/>
              <w:left w:val="nil"/>
              <w:bottom w:val="single" w:sz="8" w:space="0" w:color="auto"/>
              <w:right w:val="nil"/>
            </w:tcBorders>
            <w:shd w:val="clear" w:color="000000" w:fill="FFFFFF"/>
            <w:vAlign w:val="center"/>
            <w:hideMark/>
          </w:tcPr>
          <w:p w14:paraId="1031C675"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Distribution</w:t>
            </w:r>
          </w:p>
        </w:tc>
        <w:tc>
          <w:tcPr>
            <w:tcW w:w="0" w:type="auto"/>
            <w:tcBorders>
              <w:top w:val="nil"/>
              <w:left w:val="nil"/>
              <w:bottom w:val="single" w:sz="8" w:space="0" w:color="auto"/>
              <w:right w:val="nil"/>
            </w:tcBorders>
            <w:shd w:val="clear" w:color="000000" w:fill="FFFFFF"/>
            <w:vAlign w:val="center"/>
            <w:hideMark/>
          </w:tcPr>
          <w:p w14:paraId="609728C7"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Mean, SD</w:t>
            </w:r>
          </w:p>
        </w:tc>
        <w:tc>
          <w:tcPr>
            <w:tcW w:w="0" w:type="auto"/>
            <w:tcBorders>
              <w:top w:val="nil"/>
              <w:left w:val="nil"/>
              <w:bottom w:val="single" w:sz="8" w:space="0" w:color="auto"/>
              <w:right w:val="nil"/>
            </w:tcBorders>
            <w:shd w:val="clear" w:color="000000" w:fill="FFFFFF"/>
            <w:vAlign w:val="center"/>
            <w:hideMark/>
          </w:tcPr>
          <w:p w14:paraId="220455ED"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single" w:sz="8" w:space="0" w:color="auto"/>
              <w:right w:val="nil"/>
            </w:tcBorders>
            <w:shd w:val="clear" w:color="000000" w:fill="FFFFFF"/>
            <w:vAlign w:val="center"/>
            <w:hideMark/>
          </w:tcPr>
          <w:p w14:paraId="1B6133B3"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uninformative</w:t>
            </w:r>
          </w:p>
        </w:tc>
        <w:tc>
          <w:tcPr>
            <w:tcW w:w="0" w:type="auto"/>
            <w:tcBorders>
              <w:top w:val="nil"/>
              <w:left w:val="nil"/>
              <w:bottom w:val="single" w:sz="8" w:space="0" w:color="auto"/>
              <w:right w:val="nil"/>
            </w:tcBorders>
            <w:shd w:val="clear" w:color="000000" w:fill="FFFFFF"/>
            <w:vAlign w:val="center"/>
            <w:hideMark/>
          </w:tcPr>
          <w:p w14:paraId="7B092241"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xml:space="preserve">% </w:t>
            </w:r>
            <w:proofErr w:type="spellStart"/>
            <w:r w:rsidRPr="00F93B45">
              <w:rPr>
                <w:color w:val="000000"/>
                <w:lang w:val="en-GB" w:eastAsia="en-GB"/>
              </w:rPr>
              <w:t>favoring</w:t>
            </w:r>
            <w:proofErr w:type="spellEnd"/>
            <w:r w:rsidRPr="00F93B45">
              <w:rPr>
                <w:color w:val="000000"/>
                <w:lang w:val="en-GB" w:eastAsia="en-GB"/>
              </w:rPr>
              <w:t xml:space="preserve"> H</w:t>
            </w:r>
            <w:r w:rsidRPr="00F93B45">
              <w:rPr>
                <w:color w:val="000000"/>
                <w:vertAlign w:val="subscript"/>
                <w:lang w:val="en-GB" w:eastAsia="en-GB"/>
              </w:rPr>
              <w:t>0</w:t>
            </w:r>
          </w:p>
        </w:tc>
        <w:tc>
          <w:tcPr>
            <w:tcW w:w="0" w:type="auto"/>
            <w:tcBorders>
              <w:top w:val="nil"/>
              <w:left w:val="nil"/>
              <w:bottom w:val="single" w:sz="8" w:space="0" w:color="auto"/>
              <w:right w:val="nil"/>
            </w:tcBorders>
            <w:shd w:val="clear" w:color="000000" w:fill="FFFFFF"/>
            <w:vAlign w:val="center"/>
            <w:hideMark/>
          </w:tcPr>
          <w:p w14:paraId="28741BB7"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xml:space="preserve">% </w:t>
            </w:r>
            <w:proofErr w:type="spellStart"/>
            <w:r w:rsidRPr="00F93B45">
              <w:rPr>
                <w:color w:val="000000"/>
                <w:lang w:val="en-GB" w:eastAsia="en-GB"/>
              </w:rPr>
              <w:t>favoring</w:t>
            </w:r>
            <w:proofErr w:type="spellEnd"/>
            <w:r w:rsidRPr="00F93B45">
              <w:rPr>
                <w:color w:val="000000"/>
                <w:lang w:val="en-GB" w:eastAsia="en-GB"/>
              </w:rPr>
              <w:t xml:space="preserve"> H</w:t>
            </w:r>
            <w:r w:rsidRPr="00F93B45">
              <w:rPr>
                <w:color w:val="000000"/>
                <w:vertAlign w:val="subscript"/>
                <w:lang w:val="en-GB" w:eastAsia="en-GB"/>
              </w:rPr>
              <w:t>a</w:t>
            </w:r>
          </w:p>
        </w:tc>
      </w:tr>
      <w:tr w:rsidR="00F93B45" w:rsidRPr="00F93B45" w14:paraId="27BD7147" w14:textId="77777777" w:rsidTr="00F93B45">
        <w:trPr>
          <w:trHeight w:val="315"/>
        </w:trPr>
        <w:tc>
          <w:tcPr>
            <w:tcW w:w="0" w:type="auto"/>
            <w:tcBorders>
              <w:top w:val="nil"/>
              <w:left w:val="nil"/>
              <w:bottom w:val="nil"/>
              <w:right w:val="nil"/>
            </w:tcBorders>
            <w:shd w:val="clear" w:color="000000" w:fill="FFFFFF"/>
            <w:noWrap/>
            <w:vAlign w:val="center"/>
            <w:hideMark/>
          </w:tcPr>
          <w:p w14:paraId="0ECFEF29"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Half Normal (HN)</w:t>
            </w:r>
          </w:p>
        </w:tc>
        <w:tc>
          <w:tcPr>
            <w:tcW w:w="0" w:type="auto"/>
            <w:tcBorders>
              <w:top w:val="nil"/>
              <w:left w:val="nil"/>
              <w:bottom w:val="nil"/>
              <w:right w:val="nil"/>
            </w:tcBorders>
            <w:shd w:val="clear" w:color="000000" w:fill="FFFFFF"/>
            <w:vAlign w:val="center"/>
            <w:hideMark/>
          </w:tcPr>
          <w:p w14:paraId="5A16AF1E"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0, .2</w:t>
            </w:r>
          </w:p>
        </w:tc>
        <w:tc>
          <w:tcPr>
            <w:tcW w:w="0" w:type="auto"/>
            <w:tcBorders>
              <w:top w:val="nil"/>
              <w:left w:val="nil"/>
              <w:bottom w:val="nil"/>
              <w:right w:val="nil"/>
            </w:tcBorders>
            <w:shd w:val="clear" w:color="000000" w:fill="FFFFFF"/>
            <w:vAlign w:val="center"/>
            <w:hideMark/>
          </w:tcPr>
          <w:p w14:paraId="3348E6B8"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0EC7EC00"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40</w:t>
            </w:r>
          </w:p>
        </w:tc>
        <w:tc>
          <w:tcPr>
            <w:tcW w:w="0" w:type="auto"/>
            <w:tcBorders>
              <w:top w:val="nil"/>
              <w:left w:val="nil"/>
              <w:bottom w:val="nil"/>
              <w:right w:val="nil"/>
            </w:tcBorders>
            <w:shd w:val="clear" w:color="000000" w:fill="FFFFFF"/>
            <w:vAlign w:val="center"/>
            <w:hideMark/>
          </w:tcPr>
          <w:p w14:paraId="26B57699"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38</w:t>
            </w:r>
          </w:p>
        </w:tc>
        <w:tc>
          <w:tcPr>
            <w:tcW w:w="0" w:type="auto"/>
            <w:tcBorders>
              <w:top w:val="nil"/>
              <w:left w:val="nil"/>
              <w:bottom w:val="nil"/>
              <w:right w:val="nil"/>
            </w:tcBorders>
            <w:shd w:val="clear" w:color="000000" w:fill="FFFFFF"/>
            <w:vAlign w:val="center"/>
            <w:hideMark/>
          </w:tcPr>
          <w:p w14:paraId="1A9380B5"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23</w:t>
            </w:r>
          </w:p>
        </w:tc>
      </w:tr>
      <w:tr w:rsidR="00F93B45" w:rsidRPr="00F93B45" w14:paraId="2D351469" w14:textId="77777777" w:rsidTr="00F93B45">
        <w:trPr>
          <w:trHeight w:val="315"/>
        </w:trPr>
        <w:tc>
          <w:tcPr>
            <w:tcW w:w="0" w:type="auto"/>
            <w:tcBorders>
              <w:top w:val="nil"/>
              <w:left w:val="nil"/>
              <w:bottom w:val="nil"/>
              <w:right w:val="nil"/>
            </w:tcBorders>
            <w:shd w:val="clear" w:color="000000" w:fill="FFFFFF"/>
            <w:noWrap/>
            <w:vAlign w:val="center"/>
            <w:hideMark/>
          </w:tcPr>
          <w:p w14:paraId="29AF7C3F"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4C3E535B"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0, .3</w:t>
            </w:r>
          </w:p>
        </w:tc>
        <w:tc>
          <w:tcPr>
            <w:tcW w:w="0" w:type="auto"/>
            <w:tcBorders>
              <w:top w:val="nil"/>
              <w:left w:val="nil"/>
              <w:bottom w:val="nil"/>
              <w:right w:val="nil"/>
            </w:tcBorders>
            <w:shd w:val="clear" w:color="000000" w:fill="FFFFFF"/>
            <w:vAlign w:val="center"/>
            <w:hideMark/>
          </w:tcPr>
          <w:p w14:paraId="0E109511"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2D3359D6"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35</w:t>
            </w:r>
          </w:p>
        </w:tc>
        <w:tc>
          <w:tcPr>
            <w:tcW w:w="0" w:type="auto"/>
            <w:tcBorders>
              <w:top w:val="nil"/>
              <w:left w:val="nil"/>
              <w:bottom w:val="nil"/>
              <w:right w:val="nil"/>
            </w:tcBorders>
            <w:shd w:val="clear" w:color="000000" w:fill="FFFFFF"/>
            <w:vAlign w:val="center"/>
            <w:hideMark/>
          </w:tcPr>
          <w:p w14:paraId="260A241C"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45</w:t>
            </w:r>
          </w:p>
        </w:tc>
        <w:tc>
          <w:tcPr>
            <w:tcW w:w="0" w:type="auto"/>
            <w:tcBorders>
              <w:top w:val="nil"/>
              <w:left w:val="nil"/>
              <w:bottom w:val="nil"/>
              <w:right w:val="nil"/>
            </w:tcBorders>
            <w:shd w:val="clear" w:color="000000" w:fill="FFFFFF"/>
            <w:vAlign w:val="center"/>
            <w:hideMark/>
          </w:tcPr>
          <w:p w14:paraId="6E1816F1"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20</w:t>
            </w:r>
          </w:p>
        </w:tc>
      </w:tr>
      <w:tr w:rsidR="00F93B45" w:rsidRPr="00F93B45" w14:paraId="7B7090ED" w14:textId="77777777" w:rsidTr="00F93B45">
        <w:trPr>
          <w:trHeight w:val="315"/>
        </w:trPr>
        <w:tc>
          <w:tcPr>
            <w:tcW w:w="0" w:type="auto"/>
            <w:tcBorders>
              <w:top w:val="nil"/>
              <w:left w:val="nil"/>
              <w:bottom w:val="nil"/>
              <w:right w:val="nil"/>
            </w:tcBorders>
            <w:shd w:val="clear" w:color="000000" w:fill="FFFFFF"/>
            <w:noWrap/>
            <w:vAlign w:val="center"/>
            <w:hideMark/>
          </w:tcPr>
          <w:p w14:paraId="685CD988"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4D122AFF"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0, .4</w:t>
            </w:r>
          </w:p>
        </w:tc>
        <w:tc>
          <w:tcPr>
            <w:tcW w:w="0" w:type="auto"/>
            <w:tcBorders>
              <w:top w:val="nil"/>
              <w:left w:val="nil"/>
              <w:bottom w:val="nil"/>
              <w:right w:val="nil"/>
            </w:tcBorders>
            <w:shd w:val="clear" w:color="000000" w:fill="FFFFFF"/>
            <w:vAlign w:val="center"/>
            <w:hideMark/>
          </w:tcPr>
          <w:p w14:paraId="4D084464"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51347C4E"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29</w:t>
            </w:r>
          </w:p>
        </w:tc>
        <w:tc>
          <w:tcPr>
            <w:tcW w:w="0" w:type="auto"/>
            <w:tcBorders>
              <w:top w:val="nil"/>
              <w:left w:val="nil"/>
              <w:bottom w:val="nil"/>
              <w:right w:val="nil"/>
            </w:tcBorders>
            <w:shd w:val="clear" w:color="000000" w:fill="FFFFFF"/>
            <w:vAlign w:val="center"/>
            <w:hideMark/>
          </w:tcPr>
          <w:p w14:paraId="65919D37"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52</w:t>
            </w:r>
          </w:p>
        </w:tc>
        <w:tc>
          <w:tcPr>
            <w:tcW w:w="0" w:type="auto"/>
            <w:tcBorders>
              <w:top w:val="nil"/>
              <w:left w:val="nil"/>
              <w:bottom w:val="nil"/>
              <w:right w:val="nil"/>
            </w:tcBorders>
            <w:shd w:val="clear" w:color="000000" w:fill="FFFFFF"/>
            <w:vAlign w:val="center"/>
            <w:hideMark/>
          </w:tcPr>
          <w:p w14:paraId="1E4941DE"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18</w:t>
            </w:r>
          </w:p>
        </w:tc>
      </w:tr>
      <w:tr w:rsidR="00F93B45" w:rsidRPr="00F93B45" w14:paraId="0D8FFB3A" w14:textId="77777777" w:rsidTr="00F93B45">
        <w:trPr>
          <w:trHeight w:val="315"/>
        </w:trPr>
        <w:tc>
          <w:tcPr>
            <w:tcW w:w="0" w:type="auto"/>
            <w:tcBorders>
              <w:top w:val="nil"/>
              <w:left w:val="nil"/>
              <w:bottom w:val="nil"/>
              <w:right w:val="nil"/>
            </w:tcBorders>
            <w:shd w:val="clear" w:color="000000" w:fill="FFFFFF"/>
            <w:noWrap/>
            <w:vAlign w:val="center"/>
            <w:hideMark/>
          </w:tcPr>
          <w:p w14:paraId="2874C58A"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22CB1946"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0, .5</w:t>
            </w:r>
          </w:p>
        </w:tc>
        <w:tc>
          <w:tcPr>
            <w:tcW w:w="0" w:type="auto"/>
            <w:tcBorders>
              <w:top w:val="nil"/>
              <w:left w:val="nil"/>
              <w:bottom w:val="nil"/>
              <w:right w:val="nil"/>
            </w:tcBorders>
            <w:shd w:val="clear" w:color="000000" w:fill="FFFFFF"/>
            <w:vAlign w:val="center"/>
            <w:hideMark/>
          </w:tcPr>
          <w:p w14:paraId="6495599C"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509BA4F1"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28</w:t>
            </w:r>
          </w:p>
        </w:tc>
        <w:tc>
          <w:tcPr>
            <w:tcW w:w="0" w:type="auto"/>
            <w:tcBorders>
              <w:top w:val="nil"/>
              <w:left w:val="nil"/>
              <w:bottom w:val="nil"/>
              <w:right w:val="nil"/>
            </w:tcBorders>
            <w:shd w:val="clear" w:color="000000" w:fill="FFFFFF"/>
            <w:vAlign w:val="center"/>
            <w:hideMark/>
          </w:tcPr>
          <w:p w14:paraId="7E138145"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56</w:t>
            </w:r>
          </w:p>
        </w:tc>
        <w:tc>
          <w:tcPr>
            <w:tcW w:w="0" w:type="auto"/>
            <w:tcBorders>
              <w:top w:val="nil"/>
              <w:left w:val="nil"/>
              <w:bottom w:val="nil"/>
              <w:right w:val="nil"/>
            </w:tcBorders>
            <w:shd w:val="clear" w:color="000000" w:fill="FFFFFF"/>
            <w:vAlign w:val="center"/>
            <w:hideMark/>
          </w:tcPr>
          <w:p w14:paraId="4D533E75"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16</w:t>
            </w:r>
          </w:p>
        </w:tc>
      </w:tr>
      <w:tr w:rsidR="00F93B45" w:rsidRPr="00F93B45" w14:paraId="06DF9D40" w14:textId="77777777" w:rsidTr="00F93B45">
        <w:trPr>
          <w:trHeight w:val="315"/>
        </w:trPr>
        <w:tc>
          <w:tcPr>
            <w:tcW w:w="0" w:type="auto"/>
            <w:tcBorders>
              <w:top w:val="nil"/>
              <w:left w:val="nil"/>
              <w:bottom w:val="nil"/>
              <w:right w:val="nil"/>
            </w:tcBorders>
            <w:shd w:val="clear" w:color="000000" w:fill="FFFFFF"/>
            <w:noWrap/>
            <w:vAlign w:val="center"/>
            <w:hideMark/>
          </w:tcPr>
          <w:p w14:paraId="67A5A90C"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59532E6A"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6728786A"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16A06788"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22B08AE6"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69CD5FC3"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r>
      <w:tr w:rsidR="00F93B45" w:rsidRPr="00F93B45" w14:paraId="3BA75FEA" w14:textId="77777777" w:rsidTr="00F93B45">
        <w:trPr>
          <w:trHeight w:val="315"/>
        </w:trPr>
        <w:tc>
          <w:tcPr>
            <w:tcW w:w="0" w:type="auto"/>
            <w:tcBorders>
              <w:top w:val="nil"/>
              <w:left w:val="nil"/>
              <w:bottom w:val="nil"/>
              <w:right w:val="nil"/>
            </w:tcBorders>
            <w:shd w:val="clear" w:color="000000" w:fill="FFFFFF"/>
            <w:noWrap/>
            <w:vAlign w:val="center"/>
            <w:hideMark/>
          </w:tcPr>
          <w:p w14:paraId="4BA058D2"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Normal (N)</w:t>
            </w:r>
          </w:p>
        </w:tc>
        <w:tc>
          <w:tcPr>
            <w:tcW w:w="0" w:type="auto"/>
            <w:tcBorders>
              <w:top w:val="nil"/>
              <w:left w:val="nil"/>
              <w:bottom w:val="nil"/>
              <w:right w:val="nil"/>
            </w:tcBorders>
            <w:shd w:val="clear" w:color="000000" w:fill="FFFFFF"/>
            <w:vAlign w:val="center"/>
            <w:hideMark/>
          </w:tcPr>
          <w:p w14:paraId="617C4F72"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0, .2</w:t>
            </w:r>
          </w:p>
        </w:tc>
        <w:tc>
          <w:tcPr>
            <w:tcW w:w="0" w:type="auto"/>
            <w:tcBorders>
              <w:top w:val="nil"/>
              <w:left w:val="nil"/>
              <w:bottom w:val="nil"/>
              <w:right w:val="nil"/>
            </w:tcBorders>
            <w:shd w:val="clear" w:color="000000" w:fill="FFFFFF"/>
            <w:vAlign w:val="center"/>
            <w:hideMark/>
          </w:tcPr>
          <w:p w14:paraId="7900BC7A"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2C4B7C06"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57</w:t>
            </w:r>
          </w:p>
        </w:tc>
        <w:tc>
          <w:tcPr>
            <w:tcW w:w="0" w:type="auto"/>
            <w:tcBorders>
              <w:top w:val="nil"/>
              <w:left w:val="nil"/>
              <w:bottom w:val="nil"/>
              <w:right w:val="nil"/>
            </w:tcBorders>
            <w:shd w:val="clear" w:color="000000" w:fill="FFFFFF"/>
            <w:vAlign w:val="center"/>
            <w:hideMark/>
          </w:tcPr>
          <w:p w14:paraId="66E1B4A4"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27</w:t>
            </w:r>
          </w:p>
        </w:tc>
        <w:tc>
          <w:tcPr>
            <w:tcW w:w="0" w:type="auto"/>
            <w:tcBorders>
              <w:top w:val="nil"/>
              <w:left w:val="nil"/>
              <w:bottom w:val="nil"/>
              <w:right w:val="nil"/>
            </w:tcBorders>
            <w:shd w:val="clear" w:color="000000" w:fill="FFFFFF"/>
            <w:vAlign w:val="center"/>
            <w:hideMark/>
          </w:tcPr>
          <w:p w14:paraId="7BDBD5D6"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16</w:t>
            </w:r>
          </w:p>
        </w:tc>
      </w:tr>
      <w:tr w:rsidR="00F93B45" w:rsidRPr="00F93B45" w14:paraId="27AC76F2" w14:textId="77777777" w:rsidTr="00F93B45">
        <w:trPr>
          <w:trHeight w:val="315"/>
        </w:trPr>
        <w:tc>
          <w:tcPr>
            <w:tcW w:w="0" w:type="auto"/>
            <w:tcBorders>
              <w:top w:val="nil"/>
              <w:left w:val="nil"/>
              <w:bottom w:val="nil"/>
              <w:right w:val="nil"/>
            </w:tcBorders>
            <w:shd w:val="clear" w:color="000000" w:fill="FFFFFF"/>
            <w:noWrap/>
            <w:vAlign w:val="center"/>
            <w:hideMark/>
          </w:tcPr>
          <w:p w14:paraId="1F176083"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5EDE4686"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0, .3</w:t>
            </w:r>
          </w:p>
        </w:tc>
        <w:tc>
          <w:tcPr>
            <w:tcW w:w="0" w:type="auto"/>
            <w:tcBorders>
              <w:top w:val="nil"/>
              <w:left w:val="nil"/>
              <w:bottom w:val="nil"/>
              <w:right w:val="nil"/>
            </w:tcBorders>
            <w:shd w:val="clear" w:color="000000" w:fill="FFFFFF"/>
            <w:vAlign w:val="center"/>
            <w:hideMark/>
          </w:tcPr>
          <w:p w14:paraId="104460B8"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2A3F24BF"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43</w:t>
            </w:r>
          </w:p>
        </w:tc>
        <w:tc>
          <w:tcPr>
            <w:tcW w:w="0" w:type="auto"/>
            <w:tcBorders>
              <w:top w:val="nil"/>
              <w:left w:val="nil"/>
              <w:bottom w:val="nil"/>
              <w:right w:val="nil"/>
            </w:tcBorders>
            <w:shd w:val="clear" w:color="000000" w:fill="FFFFFF"/>
            <w:vAlign w:val="center"/>
            <w:hideMark/>
          </w:tcPr>
          <w:p w14:paraId="53718C2D"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43</w:t>
            </w:r>
          </w:p>
        </w:tc>
        <w:tc>
          <w:tcPr>
            <w:tcW w:w="0" w:type="auto"/>
            <w:tcBorders>
              <w:top w:val="nil"/>
              <w:left w:val="nil"/>
              <w:bottom w:val="nil"/>
              <w:right w:val="nil"/>
            </w:tcBorders>
            <w:shd w:val="clear" w:color="000000" w:fill="FFFFFF"/>
            <w:vAlign w:val="center"/>
            <w:hideMark/>
          </w:tcPr>
          <w:p w14:paraId="461B7D8D"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14</w:t>
            </w:r>
          </w:p>
        </w:tc>
      </w:tr>
      <w:tr w:rsidR="00F93B45" w:rsidRPr="00F93B45" w14:paraId="49694B15" w14:textId="77777777" w:rsidTr="00F93B45">
        <w:trPr>
          <w:trHeight w:val="315"/>
        </w:trPr>
        <w:tc>
          <w:tcPr>
            <w:tcW w:w="0" w:type="auto"/>
            <w:tcBorders>
              <w:top w:val="nil"/>
              <w:left w:val="nil"/>
              <w:bottom w:val="nil"/>
              <w:right w:val="nil"/>
            </w:tcBorders>
            <w:shd w:val="clear" w:color="000000" w:fill="FFFFFF"/>
            <w:noWrap/>
            <w:vAlign w:val="center"/>
            <w:hideMark/>
          </w:tcPr>
          <w:p w14:paraId="1E5BEAE6"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474F29E2"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0, .4</w:t>
            </w:r>
          </w:p>
        </w:tc>
        <w:tc>
          <w:tcPr>
            <w:tcW w:w="0" w:type="auto"/>
            <w:tcBorders>
              <w:top w:val="nil"/>
              <w:left w:val="nil"/>
              <w:bottom w:val="nil"/>
              <w:right w:val="nil"/>
            </w:tcBorders>
            <w:shd w:val="clear" w:color="000000" w:fill="FFFFFF"/>
            <w:vAlign w:val="center"/>
            <w:hideMark/>
          </w:tcPr>
          <w:p w14:paraId="4306A303"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70A870BF"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38</w:t>
            </w:r>
          </w:p>
        </w:tc>
        <w:tc>
          <w:tcPr>
            <w:tcW w:w="0" w:type="auto"/>
            <w:tcBorders>
              <w:top w:val="nil"/>
              <w:left w:val="nil"/>
              <w:bottom w:val="nil"/>
              <w:right w:val="nil"/>
            </w:tcBorders>
            <w:shd w:val="clear" w:color="000000" w:fill="FFFFFF"/>
            <w:vAlign w:val="center"/>
            <w:hideMark/>
          </w:tcPr>
          <w:p w14:paraId="08FA343E"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51</w:t>
            </w:r>
          </w:p>
        </w:tc>
        <w:tc>
          <w:tcPr>
            <w:tcW w:w="0" w:type="auto"/>
            <w:tcBorders>
              <w:top w:val="nil"/>
              <w:left w:val="nil"/>
              <w:bottom w:val="nil"/>
              <w:right w:val="nil"/>
            </w:tcBorders>
            <w:shd w:val="clear" w:color="000000" w:fill="FFFFFF"/>
            <w:vAlign w:val="center"/>
            <w:hideMark/>
          </w:tcPr>
          <w:p w14:paraId="01B2F4E3"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11</w:t>
            </w:r>
          </w:p>
        </w:tc>
      </w:tr>
      <w:tr w:rsidR="00F93B45" w:rsidRPr="00F93B45" w14:paraId="4E4F57C1" w14:textId="77777777" w:rsidTr="00F93B45">
        <w:trPr>
          <w:trHeight w:val="315"/>
        </w:trPr>
        <w:tc>
          <w:tcPr>
            <w:tcW w:w="0" w:type="auto"/>
            <w:tcBorders>
              <w:top w:val="nil"/>
              <w:left w:val="nil"/>
              <w:bottom w:val="nil"/>
              <w:right w:val="nil"/>
            </w:tcBorders>
            <w:shd w:val="clear" w:color="000000" w:fill="FFFFFF"/>
            <w:noWrap/>
            <w:vAlign w:val="center"/>
            <w:hideMark/>
          </w:tcPr>
          <w:p w14:paraId="67723B52"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245AAFB4"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0, .5</w:t>
            </w:r>
          </w:p>
        </w:tc>
        <w:tc>
          <w:tcPr>
            <w:tcW w:w="0" w:type="auto"/>
            <w:tcBorders>
              <w:top w:val="nil"/>
              <w:left w:val="nil"/>
              <w:bottom w:val="nil"/>
              <w:right w:val="nil"/>
            </w:tcBorders>
            <w:shd w:val="clear" w:color="000000" w:fill="FFFFFF"/>
            <w:vAlign w:val="center"/>
            <w:hideMark/>
          </w:tcPr>
          <w:p w14:paraId="461349FB"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6D0A07DC"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33</w:t>
            </w:r>
          </w:p>
        </w:tc>
        <w:tc>
          <w:tcPr>
            <w:tcW w:w="0" w:type="auto"/>
            <w:tcBorders>
              <w:top w:val="nil"/>
              <w:left w:val="nil"/>
              <w:bottom w:val="nil"/>
              <w:right w:val="nil"/>
            </w:tcBorders>
            <w:shd w:val="clear" w:color="000000" w:fill="FFFFFF"/>
            <w:vAlign w:val="center"/>
            <w:hideMark/>
          </w:tcPr>
          <w:p w14:paraId="34DC6F6B"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57</w:t>
            </w:r>
          </w:p>
        </w:tc>
        <w:tc>
          <w:tcPr>
            <w:tcW w:w="0" w:type="auto"/>
            <w:tcBorders>
              <w:top w:val="nil"/>
              <w:left w:val="nil"/>
              <w:bottom w:val="nil"/>
              <w:right w:val="nil"/>
            </w:tcBorders>
            <w:shd w:val="clear" w:color="000000" w:fill="FFFFFF"/>
            <w:vAlign w:val="center"/>
            <w:hideMark/>
          </w:tcPr>
          <w:p w14:paraId="07AB3650"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10</w:t>
            </w:r>
          </w:p>
        </w:tc>
      </w:tr>
      <w:tr w:rsidR="00F93B45" w:rsidRPr="00F93B45" w14:paraId="2F364A45" w14:textId="77777777" w:rsidTr="00F93B45">
        <w:trPr>
          <w:trHeight w:val="315"/>
        </w:trPr>
        <w:tc>
          <w:tcPr>
            <w:tcW w:w="0" w:type="auto"/>
            <w:tcBorders>
              <w:top w:val="nil"/>
              <w:left w:val="nil"/>
              <w:bottom w:val="nil"/>
              <w:right w:val="nil"/>
            </w:tcBorders>
            <w:shd w:val="clear" w:color="000000" w:fill="FFFFFF"/>
            <w:noWrap/>
            <w:vAlign w:val="center"/>
            <w:hideMark/>
          </w:tcPr>
          <w:p w14:paraId="54E665E6"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25DFF9C7"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1C7E1D3D"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2D346DC0"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4F632841"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2A0C26B9"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r>
      <w:tr w:rsidR="00F93B45" w:rsidRPr="00F93B45" w14:paraId="50C13E82" w14:textId="77777777" w:rsidTr="00F93B45">
        <w:trPr>
          <w:trHeight w:val="315"/>
        </w:trPr>
        <w:tc>
          <w:tcPr>
            <w:tcW w:w="0" w:type="auto"/>
            <w:tcBorders>
              <w:top w:val="nil"/>
              <w:left w:val="nil"/>
              <w:bottom w:val="nil"/>
              <w:right w:val="nil"/>
            </w:tcBorders>
            <w:shd w:val="clear" w:color="000000" w:fill="FFFFFF"/>
            <w:noWrap/>
            <w:vAlign w:val="center"/>
            <w:hideMark/>
          </w:tcPr>
          <w:p w14:paraId="50CC0258"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Normal (N)</w:t>
            </w:r>
          </w:p>
        </w:tc>
        <w:tc>
          <w:tcPr>
            <w:tcW w:w="0" w:type="auto"/>
            <w:tcBorders>
              <w:top w:val="nil"/>
              <w:left w:val="nil"/>
              <w:bottom w:val="nil"/>
              <w:right w:val="nil"/>
            </w:tcBorders>
            <w:shd w:val="clear" w:color="000000" w:fill="FFFFFF"/>
            <w:vAlign w:val="center"/>
            <w:hideMark/>
          </w:tcPr>
          <w:p w14:paraId="3D82DC89"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.2, .1</w:t>
            </w:r>
          </w:p>
        </w:tc>
        <w:tc>
          <w:tcPr>
            <w:tcW w:w="0" w:type="auto"/>
            <w:tcBorders>
              <w:top w:val="nil"/>
              <w:left w:val="nil"/>
              <w:bottom w:val="nil"/>
              <w:right w:val="nil"/>
            </w:tcBorders>
            <w:shd w:val="clear" w:color="000000" w:fill="FFFFFF"/>
            <w:vAlign w:val="center"/>
            <w:hideMark/>
          </w:tcPr>
          <w:p w14:paraId="60534331"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75459D51"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29</w:t>
            </w:r>
          </w:p>
        </w:tc>
        <w:tc>
          <w:tcPr>
            <w:tcW w:w="0" w:type="auto"/>
            <w:tcBorders>
              <w:top w:val="nil"/>
              <w:left w:val="nil"/>
              <w:bottom w:val="nil"/>
              <w:right w:val="nil"/>
            </w:tcBorders>
            <w:shd w:val="clear" w:color="000000" w:fill="FFFFFF"/>
            <w:vAlign w:val="center"/>
            <w:hideMark/>
          </w:tcPr>
          <w:p w14:paraId="0AB1298F"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49</w:t>
            </w:r>
          </w:p>
        </w:tc>
        <w:tc>
          <w:tcPr>
            <w:tcW w:w="0" w:type="auto"/>
            <w:tcBorders>
              <w:top w:val="nil"/>
              <w:left w:val="nil"/>
              <w:bottom w:val="nil"/>
              <w:right w:val="nil"/>
            </w:tcBorders>
            <w:shd w:val="clear" w:color="000000" w:fill="FFFFFF"/>
            <w:vAlign w:val="center"/>
            <w:hideMark/>
          </w:tcPr>
          <w:p w14:paraId="4994139D"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22</w:t>
            </w:r>
          </w:p>
        </w:tc>
      </w:tr>
      <w:tr w:rsidR="00F93B45" w:rsidRPr="00F93B45" w14:paraId="4851CEEF" w14:textId="77777777" w:rsidTr="00F93B45">
        <w:trPr>
          <w:trHeight w:val="315"/>
        </w:trPr>
        <w:tc>
          <w:tcPr>
            <w:tcW w:w="0" w:type="auto"/>
            <w:tcBorders>
              <w:top w:val="nil"/>
              <w:left w:val="nil"/>
              <w:bottom w:val="nil"/>
              <w:right w:val="nil"/>
            </w:tcBorders>
            <w:shd w:val="clear" w:color="000000" w:fill="FFFFFF"/>
            <w:noWrap/>
            <w:vAlign w:val="center"/>
            <w:hideMark/>
          </w:tcPr>
          <w:p w14:paraId="2087DE37"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1764A76B"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.2, .2</w:t>
            </w:r>
          </w:p>
        </w:tc>
        <w:tc>
          <w:tcPr>
            <w:tcW w:w="0" w:type="auto"/>
            <w:tcBorders>
              <w:top w:val="nil"/>
              <w:left w:val="nil"/>
              <w:bottom w:val="nil"/>
              <w:right w:val="nil"/>
            </w:tcBorders>
            <w:shd w:val="clear" w:color="000000" w:fill="FFFFFF"/>
            <w:vAlign w:val="center"/>
            <w:hideMark/>
          </w:tcPr>
          <w:p w14:paraId="0B7779A2"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0181F374"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38</w:t>
            </w:r>
          </w:p>
        </w:tc>
        <w:tc>
          <w:tcPr>
            <w:tcW w:w="0" w:type="auto"/>
            <w:tcBorders>
              <w:top w:val="nil"/>
              <w:left w:val="nil"/>
              <w:bottom w:val="nil"/>
              <w:right w:val="nil"/>
            </w:tcBorders>
            <w:shd w:val="clear" w:color="000000" w:fill="FFFFFF"/>
            <w:vAlign w:val="center"/>
            <w:hideMark/>
          </w:tcPr>
          <w:p w14:paraId="71655412"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45</w:t>
            </w:r>
          </w:p>
        </w:tc>
        <w:tc>
          <w:tcPr>
            <w:tcW w:w="0" w:type="auto"/>
            <w:tcBorders>
              <w:top w:val="nil"/>
              <w:left w:val="nil"/>
              <w:bottom w:val="nil"/>
              <w:right w:val="nil"/>
            </w:tcBorders>
            <w:shd w:val="clear" w:color="000000" w:fill="FFFFFF"/>
            <w:vAlign w:val="center"/>
            <w:hideMark/>
          </w:tcPr>
          <w:p w14:paraId="575739D0"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18</w:t>
            </w:r>
          </w:p>
        </w:tc>
      </w:tr>
      <w:tr w:rsidR="00F93B45" w:rsidRPr="00F93B45" w14:paraId="0A7155CA" w14:textId="77777777" w:rsidTr="00F93B45">
        <w:trPr>
          <w:trHeight w:val="315"/>
        </w:trPr>
        <w:tc>
          <w:tcPr>
            <w:tcW w:w="0" w:type="auto"/>
            <w:tcBorders>
              <w:top w:val="nil"/>
              <w:left w:val="nil"/>
              <w:bottom w:val="nil"/>
              <w:right w:val="nil"/>
            </w:tcBorders>
            <w:shd w:val="clear" w:color="000000" w:fill="FFFFFF"/>
            <w:noWrap/>
            <w:vAlign w:val="center"/>
            <w:hideMark/>
          </w:tcPr>
          <w:p w14:paraId="057C6FA9"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11D448CA"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.2, .3</w:t>
            </w:r>
          </w:p>
        </w:tc>
        <w:tc>
          <w:tcPr>
            <w:tcW w:w="0" w:type="auto"/>
            <w:tcBorders>
              <w:top w:val="nil"/>
              <w:left w:val="nil"/>
              <w:bottom w:val="nil"/>
              <w:right w:val="nil"/>
            </w:tcBorders>
            <w:shd w:val="clear" w:color="000000" w:fill="FFFFFF"/>
            <w:vAlign w:val="center"/>
            <w:hideMark/>
          </w:tcPr>
          <w:p w14:paraId="17F92F2C"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nil"/>
              <w:right w:val="nil"/>
            </w:tcBorders>
            <w:shd w:val="clear" w:color="000000" w:fill="FFFFFF"/>
            <w:vAlign w:val="center"/>
            <w:hideMark/>
          </w:tcPr>
          <w:p w14:paraId="4D9370E4"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37</w:t>
            </w:r>
          </w:p>
        </w:tc>
        <w:tc>
          <w:tcPr>
            <w:tcW w:w="0" w:type="auto"/>
            <w:tcBorders>
              <w:top w:val="nil"/>
              <w:left w:val="nil"/>
              <w:bottom w:val="nil"/>
              <w:right w:val="nil"/>
            </w:tcBorders>
            <w:shd w:val="clear" w:color="000000" w:fill="FFFFFF"/>
            <w:vAlign w:val="center"/>
            <w:hideMark/>
          </w:tcPr>
          <w:p w14:paraId="2C5EC6BA"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48</w:t>
            </w:r>
          </w:p>
        </w:tc>
        <w:tc>
          <w:tcPr>
            <w:tcW w:w="0" w:type="auto"/>
            <w:tcBorders>
              <w:top w:val="nil"/>
              <w:left w:val="nil"/>
              <w:bottom w:val="nil"/>
              <w:right w:val="nil"/>
            </w:tcBorders>
            <w:shd w:val="clear" w:color="000000" w:fill="FFFFFF"/>
            <w:vAlign w:val="center"/>
            <w:hideMark/>
          </w:tcPr>
          <w:p w14:paraId="4AFA96A0"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15</w:t>
            </w:r>
          </w:p>
        </w:tc>
      </w:tr>
      <w:tr w:rsidR="00F93B45" w:rsidRPr="00F93B45" w14:paraId="2C29729E" w14:textId="77777777" w:rsidTr="00F93B45">
        <w:trPr>
          <w:trHeight w:val="330"/>
        </w:trPr>
        <w:tc>
          <w:tcPr>
            <w:tcW w:w="0" w:type="auto"/>
            <w:tcBorders>
              <w:top w:val="nil"/>
              <w:left w:val="nil"/>
              <w:bottom w:val="single" w:sz="8" w:space="0" w:color="auto"/>
              <w:right w:val="nil"/>
            </w:tcBorders>
            <w:shd w:val="clear" w:color="000000" w:fill="FFFFFF"/>
            <w:noWrap/>
            <w:vAlign w:val="center"/>
            <w:hideMark/>
          </w:tcPr>
          <w:p w14:paraId="38F4DBCF"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single" w:sz="8" w:space="0" w:color="auto"/>
              <w:right w:val="nil"/>
            </w:tcBorders>
            <w:shd w:val="clear" w:color="000000" w:fill="FFFFFF"/>
            <w:vAlign w:val="center"/>
            <w:hideMark/>
          </w:tcPr>
          <w:p w14:paraId="24A15B3C"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.2, .4</w:t>
            </w:r>
          </w:p>
        </w:tc>
        <w:tc>
          <w:tcPr>
            <w:tcW w:w="0" w:type="auto"/>
            <w:tcBorders>
              <w:top w:val="nil"/>
              <w:left w:val="nil"/>
              <w:bottom w:val="single" w:sz="8" w:space="0" w:color="auto"/>
              <w:right w:val="nil"/>
            </w:tcBorders>
            <w:shd w:val="clear" w:color="000000" w:fill="FFFFFF"/>
            <w:vAlign w:val="center"/>
            <w:hideMark/>
          </w:tcPr>
          <w:p w14:paraId="5D35C7C4" w14:textId="77777777" w:rsidR="00F93B45" w:rsidRPr="00F93B45" w:rsidRDefault="00F93B45" w:rsidP="00F93B45">
            <w:pPr>
              <w:spacing w:line="240" w:lineRule="auto"/>
              <w:ind w:firstLine="0"/>
              <w:jc w:val="center"/>
              <w:rPr>
                <w:color w:val="000000"/>
                <w:lang w:val="en-GB" w:eastAsia="en-GB"/>
              </w:rPr>
            </w:pPr>
            <w:r w:rsidRPr="00F93B45">
              <w:rPr>
                <w:color w:val="000000"/>
                <w:lang w:val="en-GB" w:eastAsia="en-GB"/>
              </w:rPr>
              <w:t> </w:t>
            </w:r>
          </w:p>
        </w:tc>
        <w:tc>
          <w:tcPr>
            <w:tcW w:w="0" w:type="auto"/>
            <w:tcBorders>
              <w:top w:val="nil"/>
              <w:left w:val="nil"/>
              <w:bottom w:val="single" w:sz="8" w:space="0" w:color="auto"/>
              <w:right w:val="nil"/>
            </w:tcBorders>
            <w:shd w:val="clear" w:color="000000" w:fill="FFFFFF"/>
            <w:vAlign w:val="center"/>
            <w:hideMark/>
          </w:tcPr>
          <w:p w14:paraId="733D822B"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30</w:t>
            </w:r>
          </w:p>
        </w:tc>
        <w:tc>
          <w:tcPr>
            <w:tcW w:w="0" w:type="auto"/>
            <w:tcBorders>
              <w:top w:val="nil"/>
              <w:left w:val="nil"/>
              <w:bottom w:val="single" w:sz="8" w:space="0" w:color="auto"/>
              <w:right w:val="nil"/>
            </w:tcBorders>
            <w:shd w:val="clear" w:color="000000" w:fill="FFFFFF"/>
            <w:vAlign w:val="center"/>
            <w:hideMark/>
          </w:tcPr>
          <w:p w14:paraId="19B78EE7"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55</w:t>
            </w:r>
          </w:p>
        </w:tc>
        <w:tc>
          <w:tcPr>
            <w:tcW w:w="0" w:type="auto"/>
            <w:tcBorders>
              <w:top w:val="nil"/>
              <w:left w:val="nil"/>
              <w:bottom w:val="single" w:sz="8" w:space="0" w:color="auto"/>
              <w:right w:val="nil"/>
            </w:tcBorders>
            <w:shd w:val="clear" w:color="000000" w:fill="FFFFFF"/>
            <w:vAlign w:val="center"/>
            <w:hideMark/>
          </w:tcPr>
          <w:p w14:paraId="31F20152" w14:textId="77777777" w:rsidR="00F93B45" w:rsidRPr="00F93B45" w:rsidRDefault="00F93B45" w:rsidP="00F93B45">
            <w:pPr>
              <w:spacing w:line="240" w:lineRule="auto"/>
              <w:ind w:firstLine="0"/>
              <w:jc w:val="center"/>
              <w:rPr>
                <w:color w:val="000000"/>
                <w:lang w:val="en-GB" w:eastAsia="en-GB"/>
              </w:rPr>
            </w:pPr>
            <w:r w:rsidRPr="00F93B45">
              <w:rPr>
                <w:color w:val="000000"/>
                <w:lang w:eastAsia="en-GB"/>
              </w:rPr>
              <w:t>14</w:t>
            </w:r>
          </w:p>
        </w:tc>
      </w:tr>
    </w:tbl>
    <w:p w14:paraId="29F52878" w14:textId="77777777" w:rsidR="00F93B45" w:rsidRPr="004628EC" w:rsidRDefault="00F93B45" w:rsidP="00513497">
      <w:pPr>
        <w:ind w:firstLine="0"/>
      </w:pPr>
    </w:p>
    <w:sectPr w:rsidR="00F93B45" w:rsidRPr="004628EC" w:rsidSect="00E87C9E">
      <w:pgSz w:w="11899" w:h="16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9739F" w14:textId="77777777" w:rsidR="000D1E3C" w:rsidRDefault="000D1E3C">
      <w:r>
        <w:separator/>
      </w:r>
    </w:p>
  </w:endnote>
  <w:endnote w:type="continuationSeparator" w:id="0">
    <w:p w14:paraId="7754FD24" w14:textId="77777777" w:rsidR="000D1E3C" w:rsidRDefault="000D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1D4AE" w14:textId="77777777" w:rsidR="000D1E3C" w:rsidRDefault="000D1E3C">
      <w:r>
        <w:separator/>
      </w:r>
    </w:p>
  </w:footnote>
  <w:footnote w:type="continuationSeparator" w:id="0">
    <w:p w14:paraId="7B136930" w14:textId="77777777" w:rsidR="000D1E3C" w:rsidRDefault="000D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A4DA" w14:textId="783378AF" w:rsidR="00C25045" w:rsidRDefault="007B5E53" w:rsidP="00E87C9E">
    <w:pPr>
      <w:pStyle w:val="Header"/>
      <w:tabs>
        <w:tab w:val="clear" w:pos="4320"/>
        <w:tab w:val="clear" w:pos="8640"/>
        <w:tab w:val="right" w:pos="9000"/>
        <w:tab w:val="right" w:pos="9360"/>
      </w:tabs>
    </w:pPr>
    <w:r>
      <w:t>RESPONSE TO SIMPSON</w:t>
    </w:r>
    <w:r w:rsidR="00C25045">
      <w:t xml:space="preserve"> </w:t>
    </w:r>
    <w:r w:rsidR="00C25045">
      <w:tab/>
    </w:r>
    <w:r w:rsidR="00C25045">
      <w:fldChar w:fldCharType="begin"/>
    </w:r>
    <w:r w:rsidR="00C25045">
      <w:instrText xml:space="preserve"> PAGE </w:instrText>
    </w:r>
    <w:r w:rsidR="00C25045">
      <w:fldChar w:fldCharType="separate"/>
    </w:r>
    <w:r w:rsidR="0007421F">
      <w:rPr>
        <w:noProof/>
      </w:rPr>
      <w:t>8</w:t>
    </w:r>
    <w:r w:rsidR="00C2504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E29E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8C1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6EC9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C24A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467B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60C1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A83C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DE88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3A3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005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10CD6"/>
    <w:multiLevelType w:val="hybridMultilevel"/>
    <w:tmpl w:val="4F20F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93190"/>
    <w:multiLevelType w:val="hybridMultilevel"/>
    <w:tmpl w:val="DEC6F2A4"/>
    <w:lvl w:ilvl="0" w:tplc="B0C406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1"/>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CE"/>
    <w:rsid w:val="0000006A"/>
    <w:rsid w:val="00003E66"/>
    <w:rsid w:val="0000462D"/>
    <w:rsid w:val="00005018"/>
    <w:rsid w:val="0000745B"/>
    <w:rsid w:val="00007D35"/>
    <w:rsid w:val="00011293"/>
    <w:rsid w:val="000119DD"/>
    <w:rsid w:val="00013B03"/>
    <w:rsid w:val="00014FBA"/>
    <w:rsid w:val="00015CA6"/>
    <w:rsid w:val="00015CE4"/>
    <w:rsid w:val="00016CD5"/>
    <w:rsid w:val="00016EAA"/>
    <w:rsid w:val="0001706F"/>
    <w:rsid w:val="00020319"/>
    <w:rsid w:val="00021109"/>
    <w:rsid w:val="00022856"/>
    <w:rsid w:val="00022A78"/>
    <w:rsid w:val="00022DC1"/>
    <w:rsid w:val="000230A3"/>
    <w:rsid w:val="000230D7"/>
    <w:rsid w:val="00024809"/>
    <w:rsid w:val="00024A7A"/>
    <w:rsid w:val="00031E48"/>
    <w:rsid w:val="00031ECC"/>
    <w:rsid w:val="00032480"/>
    <w:rsid w:val="000330DC"/>
    <w:rsid w:val="000331BC"/>
    <w:rsid w:val="00033726"/>
    <w:rsid w:val="000340AC"/>
    <w:rsid w:val="000349D3"/>
    <w:rsid w:val="00035188"/>
    <w:rsid w:val="00036189"/>
    <w:rsid w:val="000365B3"/>
    <w:rsid w:val="00036DD1"/>
    <w:rsid w:val="00037029"/>
    <w:rsid w:val="00040062"/>
    <w:rsid w:val="00042445"/>
    <w:rsid w:val="00044122"/>
    <w:rsid w:val="000442CE"/>
    <w:rsid w:val="00044EA8"/>
    <w:rsid w:val="00046934"/>
    <w:rsid w:val="000471F6"/>
    <w:rsid w:val="00047D89"/>
    <w:rsid w:val="00050B0D"/>
    <w:rsid w:val="00050F05"/>
    <w:rsid w:val="00050FBF"/>
    <w:rsid w:val="000530B5"/>
    <w:rsid w:val="00054B23"/>
    <w:rsid w:val="00055AFC"/>
    <w:rsid w:val="0005605F"/>
    <w:rsid w:val="00056119"/>
    <w:rsid w:val="00060B76"/>
    <w:rsid w:val="000614C8"/>
    <w:rsid w:val="0006226B"/>
    <w:rsid w:val="00062433"/>
    <w:rsid w:val="000637EC"/>
    <w:rsid w:val="00064E1E"/>
    <w:rsid w:val="00066297"/>
    <w:rsid w:val="000677F9"/>
    <w:rsid w:val="0006798F"/>
    <w:rsid w:val="000706B9"/>
    <w:rsid w:val="000727DF"/>
    <w:rsid w:val="0007421F"/>
    <w:rsid w:val="0007454D"/>
    <w:rsid w:val="0007504E"/>
    <w:rsid w:val="00075DC7"/>
    <w:rsid w:val="00076C96"/>
    <w:rsid w:val="00077F8A"/>
    <w:rsid w:val="00081036"/>
    <w:rsid w:val="00083943"/>
    <w:rsid w:val="00084310"/>
    <w:rsid w:val="00084E34"/>
    <w:rsid w:val="00085DEB"/>
    <w:rsid w:val="00085ED6"/>
    <w:rsid w:val="0009041E"/>
    <w:rsid w:val="00091F5F"/>
    <w:rsid w:val="0009244E"/>
    <w:rsid w:val="00097709"/>
    <w:rsid w:val="000A04CC"/>
    <w:rsid w:val="000A14B7"/>
    <w:rsid w:val="000A4F7A"/>
    <w:rsid w:val="000A50B3"/>
    <w:rsid w:val="000A5A2F"/>
    <w:rsid w:val="000B0494"/>
    <w:rsid w:val="000B13BA"/>
    <w:rsid w:val="000B6268"/>
    <w:rsid w:val="000C30EA"/>
    <w:rsid w:val="000C32CC"/>
    <w:rsid w:val="000C42E6"/>
    <w:rsid w:val="000C4D7A"/>
    <w:rsid w:val="000C7383"/>
    <w:rsid w:val="000D0F93"/>
    <w:rsid w:val="000D1CA8"/>
    <w:rsid w:val="000D1E3C"/>
    <w:rsid w:val="000D6469"/>
    <w:rsid w:val="000D66B1"/>
    <w:rsid w:val="000D68DB"/>
    <w:rsid w:val="000D7AA5"/>
    <w:rsid w:val="000E0CC3"/>
    <w:rsid w:val="000E1449"/>
    <w:rsid w:val="000E165E"/>
    <w:rsid w:val="000E2617"/>
    <w:rsid w:val="000E4998"/>
    <w:rsid w:val="000E54DE"/>
    <w:rsid w:val="000F01D1"/>
    <w:rsid w:val="000F11F3"/>
    <w:rsid w:val="000F231C"/>
    <w:rsid w:val="000F2ECC"/>
    <w:rsid w:val="000F45CC"/>
    <w:rsid w:val="000F4CED"/>
    <w:rsid w:val="000F530F"/>
    <w:rsid w:val="000F6E5D"/>
    <w:rsid w:val="000F73B2"/>
    <w:rsid w:val="000F74F6"/>
    <w:rsid w:val="000F76DE"/>
    <w:rsid w:val="000F7C4D"/>
    <w:rsid w:val="00100C93"/>
    <w:rsid w:val="00101655"/>
    <w:rsid w:val="001017A0"/>
    <w:rsid w:val="0010255E"/>
    <w:rsid w:val="001025CB"/>
    <w:rsid w:val="001036E0"/>
    <w:rsid w:val="00103958"/>
    <w:rsid w:val="00104634"/>
    <w:rsid w:val="001058E3"/>
    <w:rsid w:val="00105B5C"/>
    <w:rsid w:val="00106AB9"/>
    <w:rsid w:val="00106D03"/>
    <w:rsid w:val="00107B76"/>
    <w:rsid w:val="00110024"/>
    <w:rsid w:val="00110F17"/>
    <w:rsid w:val="00111167"/>
    <w:rsid w:val="0011132E"/>
    <w:rsid w:val="00112B50"/>
    <w:rsid w:val="001158E2"/>
    <w:rsid w:val="00116A92"/>
    <w:rsid w:val="0011713C"/>
    <w:rsid w:val="001179DB"/>
    <w:rsid w:val="00120874"/>
    <w:rsid w:val="001209EA"/>
    <w:rsid w:val="00120A7A"/>
    <w:rsid w:val="00125140"/>
    <w:rsid w:val="0012534A"/>
    <w:rsid w:val="00126806"/>
    <w:rsid w:val="0012733D"/>
    <w:rsid w:val="00127374"/>
    <w:rsid w:val="00127C3A"/>
    <w:rsid w:val="00130044"/>
    <w:rsid w:val="00130CFB"/>
    <w:rsid w:val="0013150F"/>
    <w:rsid w:val="00133B8C"/>
    <w:rsid w:val="00134D6E"/>
    <w:rsid w:val="001354B6"/>
    <w:rsid w:val="001354F9"/>
    <w:rsid w:val="00135740"/>
    <w:rsid w:val="00136831"/>
    <w:rsid w:val="00136F01"/>
    <w:rsid w:val="00137526"/>
    <w:rsid w:val="00137A32"/>
    <w:rsid w:val="00137B22"/>
    <w:rsid w:val="0014045D"/>
    <w:rsid w:val="00140CC1"/>
    <w:rsid w:val="001433D0"/>
    <w:rsid w:val="00143BA6"/>
    <w:rsid w:val="001457A8"/>
    <w:rsid w:val="001501CA"/>
    <w:rsid w:val="00150E89"/>
    <w:rsid w:val="00152D2F"/>
    <w:rsid w:val="00156D4C"/>
    <w:rsid w:val="00157C80"/>
    <w:rsid w:val="00160565"/>
    <w:rsid w:val="00160A01"/>
    <w:rsid w:val="0016119D"/>
    <w:rsid w:val="00162CC2"/>
    <w:rsid w:val="001635F0"/>
    <w:rsid w:val="00163F34"/>
    <w:rsid w:val="001667AA"/>
    <w:rsid w:val="00166B05"/>
    <w:rsid w:val="0017131E"/>
    <w:rsid w:val="001715C4"/>
    <w:rsid w:val="00173CA3"/>
    <w:rsid w:val="00174CF9"/>
    <w:rsid w:val="0017527B"/>
    <w:rsid w:val="001753D8"/>
    <w:rsid w:val="0017596F"/>
    <w:rsid w:val="00177578"/>
    <w:rsid w:val="00181198"/>
    <w:rsid w:val="001814AC"/>
    <w:rsid w:val="001816EC"/>
    <w:rsid w:val="001817EA"/>
    <w:rsid w:val="00185092"/>
    <w:rsid w:val="00190AF1"/>
    <w:rsid w:val="00191528"/>
    <w:rsid w:val="00193B65"/>
    <w:rsid w:val="00193CDE"/>
    <w:rsid w:val="0019460C"/>
    <w:rsid w:val="00194F63"/>
    <w:rsid w:val="00196EA4"/>
    <w:rsid w:val="001A0316"/>
    <w:rsid w:val="001A0F80"/>
    <w:rsid w:val="001A0FA9"/>
    <w:rsid w:val="001A1399"/>
    <w:rsid w:val="001A14BA"/>
    <w:rsid w:val="001A204B"/>
    <w:rsid w:val="001A2D06"/>
    <w:rsid w:val="001A39BA"/>
    <w:rsid w:val="001A43BB"/>
    <w:rsid w:val="001A5ED4"/>
    <w:rsid w:val="001A5EE8"/>
    <w:rsid w:val="001A6058"/>
    <w:rsid w:val="001B0021"/>
    <w:rsid w:val="001B03D2"/>
    <w:rsid w:val="001B0CBB"/>
    <w:rsid w:val="001B10F7"/>
    <w:rsid w:val="001B325E"/>
    <w:rsid w:val="001B3DE6"/>
    <w:rsid w:val="001B3EEB"/>
    <w:rsid w:val="001B41CC"/>
    <w:rsid w:val="001B4A95"/>
    <w:rsid w:val="001B4BA5"/>
    <w:rsid w:val="001C0104"/>
    <w:rsid w:val="001C03CF"/>
    <w:rsid w:val="001C1115"/>
    <w:rsid w:val="001C1A42"/>
    <w:rsid w:val="001C2067"/>
    <w:rsid w:val="001C3421"/>
    <w:rsid w:val="001C380E"/>
    <w:rsid w:val="001C3BAC"/>
    <w:rsid w:val="001C49D3"/>
    <w:rsid w:val="001C4F8D"/>
    <w:rsid w:val="001C549E"/>
    <w:rsid w:val="001C7EA7"/>
    <w:rsid w:val="001D0115"/>
    <w:rsid w:val="001D0E72"/>
    <w:rsid w:val="001D1F67"/>
    <w:rsid w:val="001D216D"/>
    <w:rsid w:val="001D23D0"/>
    <w:rsid w:val="001D4682"/>
    <w:rsid w:val="001D49A7"/>
    <w:rsid w:val="001D4EC9"/>
    <w:rsid w:val="001D4EF1"/>
    <w:rsid w:val="001D6FF1"/>
    <w:rsid w:val="001E01BE"/>
    <w:rsid w:val="001E18D9"/>
    <w:rsid w:val="001E1DF1"/>
    <w:rsid w:val="001E325B"/>
    <w:rsid w:val="001E4023"/>
    <w:rsid w:val="001E477B"/>
    <w:rsid w:val="001E47F5"/>
    <w:rsid w:val="001F2146"/>
    <w:rsid w:val="001F294D"/>
    <w:rsid w:val="001F56B3"/>
    <w:rsid w:val="001F570C"/>
    <w:rsid w:val="001F5A49"/>
    <w:rsid w:val="00200030"/>
    <w:rsid w:val="002035C7"/>
    <w:rsid w:val="00204F2E"/>
    <w:rsid w:val="0021255E"/>
    <w:rsid w:val="00215686"/>
    <w:rsid w:val="00220D0B"/>
    <w:rsid w:val="00221741"/>
    <w:rsid w:val="00221E53"/>
    <w:rsid w:val="00224023"/>
    <w:rsid w:val="002267B1"/>
    <w:rsid w:val="0023125D"/>
    <w:rsid w:val="00232EBD"/>
    <w:rsid w:val="00233374"/>
    <w:rsid w:val="002344FF"/>
    <w:rsid w:val="00236FA2"/>
    <w:rsid w:val="0024117F"/>
    <w:rsid w:val="002414E7"/>
    <w:rsid w:val="0024232B"/>
    <w:rsid w:val="00242F99"/>
    <w:rsid w:val="00246708"/>
    <w:rsid w:val="00252575"/>
    <w:rsid w:val="00253CD7"/>
    <w:rsid w:val="002545A0"/>
    <w:rsid w:val="00255A50"/>
    <w:rsid w:val="00260187"/>
    <w:rsid w:val="00260F6D"/>
    <w:rsid w:val="00261CC9"/>
    <w:rsid w:val="00263008"/>
    <w:rsid w:val="00264BBA"/>
    <w:rsid w:val="002664BB"/>
    <w:rsid w:val="00266A65"/>
    <w:rsid w:val="00266F73"/>
    <w:rsid w:val="0026714B"/>
    <w:rsid w:val="002671EA"/>
    <w:rsid w:val="002674A5"/>
    <w:rsid w:val="00270EDF"/>
    <w:rsid w:val="00272EB9"/>
    <w:rsid w:val="0027445E"/>
    <w:rsid w:val="00274A4C"/>
    <w:rsid w:val="00275742"/>
    <w:rsid w:val="00275FE2"/>
    <w:rsid w:val="00280087"/>
    <w:rsid w:val="0028194F"/>
    <w:rsid w:val="00282413"/>
    <w:rsid w:val="0028337B"/>
    <w:rsid w:val="0028382F"/>
    <w:rsid w:val="00285E09"/>
    <w:rsid w:val="00291699"/>
    <w:rsid w:val="00293909"/>
    <w:rsid w:val="002940B8"/>
    <w:rsid w:val="002949D6"/>
    <w:rsid w:val="0029699D"/>
    <w:rsid w:val="002A054F"/>
    <w:rsid w:val="002A07F7"/>
    <w:rsid w:val="002A425F"/>
    <w:rsid w:val="002A4BC4"/>
    <w:rsid w:val="002A69B2"/>
    <w:rsid w:val="002B044B"/>
    <w:rsid w:val="002B263B"/>
    <w:rsid w:val="002B4420"/>
    <w:rsid w:val="002B5C1A"/>
    <w:rsid w:val="002B5FEF"/>
    <w:rsid w:val="002B6562"/>
    <w:rsid w:val="002C0041"/>
    <w:rsid w:val="002C2AF7"/>
    <w:rsid w:val="002C4C18"/>
    <w:rsid w:val="002C5040"/>
    <w:rsid w:val="002C712E"/>
    <w:rsid w:val="002C74CB"/>
    <w:rsid w:val="002D4936"/>
    <w:rsid w:val="002D63FD"/>
    <w:rsid w:val="002D7C45"/>
    <w:rsid w:val="002E1A0A"/>
    <w:rsid w:val="002E516B"/>
    <w:rsid w:val="002E5A1C"/>
    <w:rsid w:val="002F09F2"/>
    <w:rsid w:val="002F1A2F"/>
    <w:rsid w:val="002F2E66"/>
    <w:rsid w:val="002F32D0"/>
    <w:rsid w:val="002F4098"/>
    <w:rsid w:val="002F428F"/>
    <w:rsid w:val="002F6153"/>
    <w:rsid w:val="002F64A2"/>
    <w:rsid w:val="002F6E3B"/>
    <w:rsid w:val="002F73FD"/>
    <w:rsid w:val="0030152E"/>
    <w:rsid w:val="003018C1"/>
    <w:rsid w:val="00301E89"/>
    <w:rsid w:val="003032A5"/>
    <w:rsid w:val="003039AA"/>
    <w:rsid w:val="00305B57"/>
    <w:rsid w:val="00306519"/>
    <w:rsid w:val="00310335"/>
    <w:rsid w:val="0031077B"/>
    <w:rsid w:val="00311DFB"/>
    <w:rsid w:val="003144A5"/>
    <w:rsid w:val="00314709"/>
    <w:rsid w:val="0031588B"/>
    <w:rsid w:val="0031716A"/>
    <w:rsid w:val="00317630"/>
    <w:rsid w:val="003201A8"/>
    <w:rsid w:val="003233C7"/>
    <w:rsid w:val="0032486F"/>
    <w:rsid w:val="00324C9B"/>
    <w:rsid w:val="003250FD"/>
    <w:rsid w:val="00326FE1"/>
    <w:rsid w:val="003278E9"/>
    <w:rsid w:val="003279B7"/>
    <w:rsid w:val="00330294"/>
    <w:rsid w:val="00330729"/>
    <w:rsid w:val="003333CA"/>
    <w:rsid w:val="00333684"/>
    <w:rsid w:val="00333EAE"/>
    <w:rsid w:val="003340AD"/>
    <w:rsid w:val="00334FEF"/>
    <w:rsid w:val="00335211"/>
    <w:rsid w:val="00335697"/>
    <w:rsid w:val="00336AEB"/>
    <w:rsid w:val="00340E15"/>
    <w:rsid w:val="00342480"/>
    <w:rsid w:val="00342A41"/>
    <w:rsid w:val="003444F9"/>
    <w:rsid w:val="00345485"/>
    <w:rsid w:val="00345866"/>
    <w:rsid w:val="00347831"/>
    <w:rsid w:val="003529D6"/>
    <w:rsid w:val="00360170"/>
    <w:rsid w:val="00360C4E"/>
    <w:rsid w:val="00362352"/>
    <w:rsid w:val="00362B0F"/>
    <w:rsid w:val="00362F59"/>
    <w:rsid w:val="0036454C"/>
    <w:rsid w:val="00366302"/>
    <w:rsid w:val="00367DF8"/>
    <w:rsid w:val="00367F53"/>
    <w:rsid w:val="003743C9"/>
    <w:rsid w:val="00375BE1"/>
    <w:rsid w:val="00376084"/>
    <w:rsid w:val="0037680B"/>
    <w:rsid w:val="00377A3D"/>
    <w:rsid w:val="00380E39"/>
    <w:rsid w:val="00380FD0"/>
    <w:rsid w:val="00381775"/>
    <w:rsid w:val="00381AFB"/>
    <w:rsid w:val="003825BB"/>
    <w:rsid w:val="00383A90"/>
    <w:rsid w:val="00385B52"/>
    <w:rsid w:val="00386C45"/>
    <w:rsid w:val="00386E44"/>
    <w:rsid w:val="00390AFD"/>
    <w:rsid w:val="003918E7"/>
    <w:rsid w:val="0039194E"/>
    <w:rsid w:val="00392FD4"/>
    <w:rsid w:val="003937C5"/>
    <w:rsid w:val="00393A6C"/>
    <w:rsid w:val="0039430F"/>
    <w:rsid w:val="00395B6B"/>
    <w:rsid w:val="0039699F"/>
    <w:rsid w:val="00397049"/>
    <w:rsid w:val="003A2194"/>
    <w:rsid w:val="003A281F"/>
    <w:rsid w:val="003A2F81"/>
    <w:rsid w:val="003A32F7"/>
    <w:rsid w:val="003A5044"/>
    <w:rsid w:val="003A5F4D"/>
    <w:rsid w:val="003A60D4"/>
    <w:rsid w:val="003A658F"/>
    <w:rsid w:val="003A7F58"/>
    <w:rsid w:val="003B13A9"/>
    <w:rsid w:val="003B2E50"/>
    <w:rsid w:val="003B4F79"/>
    <w:rsid w:val="003B6392"/>
    <w:rsid w:val="003B697C"/>
    <w:rsid w:val="003C10BE"/>
    <w:rsid w:val="003C605A"/>
    <w:rsid w:val="003C7C00"/>
    <w:rsid w:val="003C7DAC"/>
    <w:rsid w:val="003D039A"/>
    <w:rsid w:val="003D1CF9"/>
    <w:rsid w:val="003D57C5"/>
    <w:rsid w:val="003E07E5"/>
    <w:rsid w:val="003E33AE"/>
    <w:rsid w:val="003E4890"/>
    <w:rsid w:val="003E6C27"/>
    <w:rsid w:val="003E6EB1"/>
    <w:rsid w:val="003E7B22"/>
    <w:rsid w:val="003F18BA"/>
    <w:rsid w:val="003F1FB1"/>
    <w:rsid w:val="003F2697"/>
    <w:rsid w:val="003F34F5"/>
    <w:rsid w:val="003F4516"/>
    <w:rsid w:val="003F67A2"/>
    <w:rsid w:val="003F771F"/>
    <w:rsid w:val="003F79DD"/>
    <w:rsid w:val="0040272F"/>
    <w:rsid w:val="00402868"/>
    <w:rsid w:val="0040403B"/>
    <w:rsid w:val="00404D54"/>
    <w:rsid w:val="0040502F"/>
    <w:rsid w:val="004076B7"/>
    <w:rsid w:val="00411CDD"/>
    <w:rsid w:val="00413C0B"/>
    <w:rsid w:val="0041412F"/>
    <w:rsid w:val="0041443E"/>
    <w:rsid w:val="00415EBE"/>
    <w:rsid w:val="004213AF"/>
    <w:rsid w:val="00421642"/>
    <w:rsid w:val="00421798"/>
    <w:rsid w:val="00423BC1"/>
    <w:rsid w:val="00425D42"/>
    <w:rsid w:val="0042631B"/>
    <w:rsid w:val="00426452"/>
    <w:rsid w:val="004266AA"/>
    <w:rsid w:val="00426EB4"/>
    <w:rsid w:val="00427D09"/>
    <w:rsid w:val="0043016D"/>
    <w:rsid w:val="004306C1"/>
    <w:rsid w:val="00434852"/>
    <w:rsid w:val="004353D1"/>
    <w:rsid w:val="004356B3"/>
    <w:rsid w:val="00435F7F"/>
    <w:rsid w:val="004360CA"/>
    <w:rsid w:val="004377F7"/>
    <w:rsid w:val="00437DE5"/>
    <w:rsid w:val="00441CAB"/>
    <w:rsid w:val="00444C7C"/>
    <w:rsid w:val="00444F3F"/>
    <w:rsid w:val="00446566"/>
    <w:rsid w:val="004465D1"/>
    <w:rsid w:val="004466B1"/>
    <w:rsid w:val="00447839"/>
    <w:rsid w:val="0045052B"/>
    <w:rsid w:val="00453600"/>
    <w:rsid w:val="0045417D"/>
    <w:rsid w:val="00454E93"/>
    <w:rsid w:val="004559BC"/>
    <w:rsid w:val="00455EDF"/>
    <w:rsid w:val="004628EC"/>
    <w:rsid w:val="0046339D"/>
    <w:rsid w:val="00465497"/>
    <w:rsid w:val="00467A52"/>
    <w:rsid w:val="00471575"/>
    <w:rsid w:val="00474DBB"/>
    <w:rsid w:val="004820B6"/>
    <w:rsid w:val="004843BB"/>
    <w:rsid w:val="00484F51"/>
    <w:rsid w:val="004858AE"/>
    <w:rsid w:val="00485D63"/>
    <w:rsid w:val="00486598"/>
    <w:rsid w:val="00491469"/>
    <w:rsid w:val="00491F17"/>
    <w:rsid w:val="0049275E"/>
    <w:rsid w:val="0049281A"/>
    <w:rsid w:val="0049392E"/>
    <w:rsid w:val="0049592A"/>
    <w:rsid w:val="00496537"/>
    <w:rsid w:val="00496579"/>
    <w:rsid w:val="004972DB"/>
    <w:rsid w:val="00497725"/>
    <w:rsid w:val="004977A9"/>
    <w:rsid w:val="004A0735"/>
    <w:rsid w:val="004A079F"/>
    <w:rsid w:val="004A0A45"/>
    <w:rsid w:val="004A1E45"/>
    <w:rsid w:val="004A3B2E"/>
    <w:rsid w:val="004A3E4A"/>
    <w:rsid w:val="004A4533"/>
    <w:rsid w:val="004A4BC0"/>
    <w:rsid w:val="004A4E0C"/>
    <w:rsid w:val="004A5ECC"/>
    <w:rsid w:val="004A60A2"/>
    <w:rsid w:val="004A6FC8"/>
    <w:rsid w:val="004A7253"/>
    <w:rsid w:val="004B0919"/>
    <w:rsid w:val="004B0F99"/>
    <w:rsid w:val="004B1E39"/>
    <w:rsid w:val="004B5E14"/>
    <w:rsid w:val="004B6DD2"/>
    <w:rsid w:val="004B7627"/>
    <w:rsid w:val="004B76C5"/>
    <w:rsid w:val="004C0237"/>
    <w:rsid w:val="004C273D"/>
    <w:rsid w:val="004C3661"/>
    <w:rsid w:val="004C60FA"/>
    <w:rsid w:val="004C6DE2"/>
    <w:rsid w:val="004C79A6"/>
    <w:rsid w:val="004D16EE"/>
    <w:rsid w:val="004D24BD"/>
    <w:rsid w:val="004D2A5E"/>
    <w:rsid w:val="004D374C"/>
    <w:rsid w:val="004D3F18"/>
    <w:rsid w:val="004D520E"/>
    <w:rsid w:val="004D52D5"/>
    <w:rsid w:val="004D5CD3"/>
    <w:rsid w:val="004E2232"/>
    <w:rsid w:val="004E2A02"/>
    <w:rsid w:val="004F120F"/>
    <w:rsid w:val="004F208C"/>
    <w:rsid w:val="004F2A01"/>
    <w:rsid w:val="004F2D43"/>
    <w:rsid w:val="004F3C55"/>
    <w:rsid w:val="004F5E93"/>
    <w:rsid w:val="004F610C"/>
    <w:rsid w:val="004F7017"/>
    <w:rsid w:val="004F7529"/>
    <w:rsid w:val="004F7571"/>
    <w:rsid w:val="004F7639"/>
    <w:rsid w:val="004F7C39"/>
    <w:rsid w:val="004F7E91"/>
    <w:rsid w:val="00501796"/>
    <w:rsid w:val="0050260C"/>
    <w:rsid w:val="0050456D"/>
    <w:rsid w:val="00504DEF"/>
    <w:rsid w:val="0050702F"/>
    <w:rsid w:val="0050756C"/>
    <w:rsid w:val="00507851"/>
    <w:rsid w:val="00513497"/>
    <w:rsid w:val="0051429A"/>
    <w:rsid w:val="00516814"/>
    <w:rsid w:val="005168A1"/>
    <w:rsid w:val="00517135"/>
    <w:rsid w:val="0051782C"/>
    <w:rsid w:val="005178C1"/>
    <w:rsid w:val="005217BB"/>
    <w:rsid w:val="00522319"/>
    <w:rsid w:val="00524397"/>
    <w:rsid w:val="005250A1"/>
    <w:rsid w:val="00526C28"/>
    <w:rsid w:val="00533028"/>
    <w:rsid w:val="00534038"/>
    <w:rsid w:val="00534A5F"/>
    <w:rsid w:val="0053708C"/>
    <w:rsid w:val="00537B5B"/>
    <w:rsid w:val="00540737"/>
    <w:rsid w:val="00541D3A"/>
    <w:rsid w:val="005443F2"/>
    <w:rsid w:val="00544E89"/>
    <w:rsid w:val="00546497"/>
    <w:rsid w:val="00546D34"/>
    <w:rsid w:val="005543CE"/>
    <w:rsid w:val="005543E2"/>
    <w:rsid w:val="00555030"/>
    <w:rsid w:val="00557417"/>
    <w:rsid w:val="0056180A"/>
    <w:rsid w:val="0056376B"/>
    <w:rsid w:val="00565A30"/>
    <w:rsid w:val="00565B7A"/>
    <w:rsid w:val="00566D9F"/>
    <w:rsid w:val="0057234F"/>
    <w:rsid w:val="00572A49"/>
    <w:rsid w:val="00573D24"/>
    <w:rsid w:val="005745FF"/>
    <w:rsid w:val="00575171"/>
    <w:rsid w:val="00575D74"/>
    <w:rsid w:val="005766DA"/>
    <w:rsid w:val="005768F2"/>
    <w:rsid w:val="00576952"/>
    <w:rsid w:val="0057707E"/>
    <w:rsid w:val="00577A66"/>
    <w:rsid w:val="00577EA0"/>
    <w:rsid w:val="005809B0"/>
    <w:rsid w:val="00580A87"/>
    <w:rsid w:val="005812D5"/>
    <w:rsid w:val="0058270B"/>
    <w:rsid w:val="005842A5"/>
    <w:rsid w:val="005876FF"/>
    <w:rsid w:val="00590383"/>
    <w:rsid w:val="005917BF"/>
    <w:rsid w:val="00591F69"/>
    <w:rsid w:val="00592C7F"/>
    <w:rsid w:val="00596BA9"/>
    <w:rsid w:val="005A0C93"/>
    <w:rsid w:val="005A1793"/>
    <w:rsid w:val="005A2895"/>
    <w:rsid w:val="005A2BB9"/>
    <w:rsid w:val="005A4C3E"/>
    <w:rsid w:val="005B1589"/>
    <w:rsid w:val="005B1C18"/>
    <w:rsid w:val="005B214F"/>
    <w:rsid w:val="005B23E2"/>
    <w:rsid w:val="005B460E"/>
    <w:rsid w:val="005C0859"/>
    <w:rsid w:val="005C0A9A"/>
    <w:rsid w:val="005C5CC6"/>
    <w:rsid w:val="005C617B"/>
    <w:rsid w:val="005C6668"/>
    <w:rsid w:val="005C66E1"/>
    <w:rsid w:val="005C6D63"/>
    <w:rsid w:val="005D175B"/>
    <w:rsid w:val="005D1BCF"/>
    <w:rsid w:val="005D2154"/>
    <w:rsid w:val="005D46F9"/>
    <w:rsid w:val="005D4DFC"/>
    <w:rsid w:val="005D7C88"/>
    <w:rsid w:val="005E2D75"/>
    <w:rsid w:val="005E3E03"/>
    <w:rsid w:val="005E49F3"/>
    <w:rsid w:val="005E55B3"/>
    <w:rsid w:val="005E660D"/>
    <w:rsid w:val="005E7CDA"/>
    <w:rsid w:val="005F032D"/>
    <w:rsid w:val="005F0C91"/>
    <w:rsid w:val="005F0F5A"/>
    <w:rsid w:val="005F3A1F"/>
    <w:rsid w:val="005F3AD3"/>
    <w:rsid w:val="005F3FAE"/>
    <w:rsid w:val="005F413C"/>
    <w:rsid w:val="005F45CE"/>
    <w:rsid w:val="005F6ADC"/>
    <w:rsid w:val="00600163"/>
    <w:rsid w:val="0060308E"/>
    <w:rsid w:val="006030E1"/>
    <w:rsid w:val="00603992"/>
    <w:rsid w:val="00604469"/>
    <w:rsid w:val="006044F0"/>
    <w:rsid w:val="00605101"/>
    <w:rsid w:val="0060545D"/>
    <w:rsid w:val="006067F3"/>
    <w:rsid w:val="00606F5C"/>
    <w:rsid w:val="00610141"/>
    <w:rsid w:val="006113F8"/>
    <w:rsid w:val="0061368B"/>
    <w:rsid w:val="00615DDD"/>
    <w:rsid w:val="00621D89"/>
    <w:rsid w:val="00622323"/>
    <w:rsid w:val="00623F53"/>
    <w:rsid w:val="00627706"/>
    <w:rsid w:val="00631687"/>
    <w:rsid w:val="00631C06"/>
    <w:rsid w:val="00632AD4"/>
    <w:rsid w:val="006340A0"/>
    <w:rsid w:val="0063647B"/>
    <w:rsid w:val="00636991"/>
    <w:rsid w:val="006369CC"/>
    <w:rsid w:val="00636ECF"/>
    <w:rsid w:val="00641193"/>
    <w:rsid w:val="00641C8F"/>
    <w:rsid w:val="006428DD"/>
    <w:rsid w:val="00642F4D"/>
    <w:rsid w:val="00643249"/>
    <w:rsid w:val="00644C87"/>
    <w:rsid w:val="006461E4"/>
    <w:rsid w:val="00650ACA"/>
    <w:rsid w:val="006531B0"/>
    <w:rsid w:val="00654980"/>
    <w:rsid w:val="00655F90"/>
    <w:rsid w:val="0065653A"/>
    <w:rsid w:val="00656D5E"/>
    <w:rsid w:val="00657B6E"/>
    <w:rsid w:val="00660103"/>
    <w:rsid w:val="00660D89"/>
    <w:rsid w:val="006641F7"/>
    <w:rsid w:val="00664231"/>
    <w:rsid w:val="0066467A"/>
    <w:rsid w:val="00664858"/>
    <w:rsid w:val="006648AB"/>
    <w:rsid w:val="00664BCE"/>
    <w:rsid w:val="00666B14"/>
    <w:rsid w:val="006706B7"/>
    <w:rsid w:val="00671070"/>
    <w:rsid w:val="00671AE5"/>
    <w:rsid w:val="006730E5"/>
    <w:rsid w:val="00673B32"/>
    <w:rsid w:val="00673F33"/>
    <w:rsid w:val="00674057"/>
    <w:rsid w:val="00674D3B"/>
    <w:rsid w:val="00675B2E"/>
    <w:rsid w:val="00676685"/>
    <w:rsid w:val="00677CBE"/>
    <w:rsid w:val="006820DE"/>
    <w:rsid w:val="00683486"/>
    <w:rsid w:val="00683F65"/>
    <w:rsid w:val="00684CEA"/>
    <w:rsid w:val="0068739F"/>
    <w:rsid w:val="006879AB"/>
    <w:rsid w:val="0069009E"/>
    <w:rsid w:val="006906EF"/>
    <w:rsid w:val="00693005"/>
    <w:rsid w:val="00693340"/>
    <w:rsid w:val="00695825"/>
    <w:rsid w:val="00695AC0"/>
    <w:rsid w:val="006961C2"/>
    <w:rsid w:val="006970A9"/>
    <w:rsid w:val="00697861"/>
    <w:rsid w:val="00697ECD"/>
    <w:rsid w:val="006A3FE0"/>
    <w:rsid w:val="006A521D"/>
    <w:rsid w:val="006A67B9"/>
    <w:rsid w:val="006B02AC"/>
    <w:rsid w:val="006B156A"/>
    <w:rsid w:val="006B1B90"/>
    <w:rsid w:val="006B2B1C"/>
    <w:rsid w:val="006C53A2"/>
    <w:rsid w:val="006D04AF"/>
    <w:rsid w:val="006D0E2B"/>
    <w:rsid w:val="006D170B"/>
    <w:rsid w:val="006D1D84"/>
    <w:rsid w:val="006D329E"/>
    <w:rsid w:val="006D65F9"/>
    <w:rsid w:val="006E2D29"/>
    <w:rsid w:val="006E502D"/>
    <w:rsid w:val="006E7386"/>
    <w:rsid w:val="006F03A7"/>
    <w:rsid w:val="006F040E"/>
    <w:rsid w:val="006F1040"/>
    <w:rsid w:val="006F2BFD"/>
    <w:rsid w:val="006F2C0E"/>
    <w:rsid w:val="006F389C"/>
    <w:rsid w:val="006F4DE5"/>
    <w:rsid w:val="006F5240"/>
    <w:rsid w:val="006F639F"/>
    <w:rsid w:val="0070001F"/>
    <w:rsid w:val="00705152"/>
    <w:rsid w:val="00705CC1"/>
    <w:rsid w:val="00706129"/>
    <w:rsid w:val="007109E5"/>
    <w:rsid w:val="0071214E"/>
    <w:rsid w:val="00712CC8"/>
    <w:rsid w:val="00712F8B"/>
    <w:rsid w:val="00715CAA"/>
    <w:rsid w:val="00715F90"/>
    <w:rsid w:val="007178EB"/>
    <w:rsid w:val="00717F8D"/>
    <w:rsid w:val="00720DA9"/>
    <w:rsid w:val="00721160"/>
    <w:rsid w:val="00722975"/>
    <w:rsid w:val="0072318C"/>
    <w:rsid w:val="00733329"/>
    <w:rsid w:val="00733687"/>
    <w:rsid w:val="007338D7"/>
    <w:rsid w:val="00735240"/>
    <w:rsid w:val="0073652C"/>
    <w:rsid w:val="00736689"/>
    <w:rsid w:val="007369DF"/>
    <w:rsid w:val="00736A0E"/>
    <w:rsid w:val="00736CDE"/>
    <w:rsid w:val="00736F1A"/>
    <w:rsid w:val="00742852"/>
    <w:rsid w:val="00742E1B"/>
    <w:rsid w:val="0074352A"/>
    <w:rsid w:val="00746191"/>
    <w:rsid w:val="007465D5"/>
    <w:rsid w:val="007470F6"/>
    <w:rsid w:val="00751E73"/>
    <w:rsid w:val="007520AB"/>
    <w:rsid w:val="00756294"/>
    <w:rsid w:val="00756C29"/>
    <w:rsid w:val="00760B88"/>
    <w:rsid w:val="00761A33"/>
    <w:rsid w:val="00761E31"/>
    <w:rsid w:val="00765FD7"/>
    <w:rsid w:val="0076687A"/>
    <w:rsid w:val="00770706"/>
    <w:rsid w:val="0077117B"/>
    <w:rsid w:val="00772677"/>
    <w:rsid w:val="00772887"/>
    <w:rsid w:val="00773758"/>
    <w:rsid w:val="00773E15"/>
    <w:rsid w:val="00776732"/>
    <w:rsid w:val="00780DD7"/>
    <w:rsid w:val="00781DBB"/>
    <w:rsid w:val="00782807"/>
    <w:rsid w:val="00783BFB"/>
    <w:rsid w:val="00784ED1"/>
    <w:rsid w:val="0078574F"/>
    <w:rsid w:val="00786AA1"/>
    <w:rsid w:val="00787487"/>
    <w:rsid w:val="0078799F"/>
    <w:rsid w:val="00790015"/>
    <w:rsid w:val="00790564"/>
    <w:rsid w:val="00790BC5"/>
    <w:rsid w:val="0079114F"/>
    <w:rsid w:val="0079246B"/>
    <w:rsid w:val="00793A74"/>
    <w:rsid w:val="0079404A"/>
    <w:rsid w:val="00794C3F"/>
    <w:rsid w:val="00796224"/>
    <w:rsid w:val="007972FD"/>
    <w:rsid w:val="007A32B9"/>
    <w:rsid w:val="007A38AA"/>
    <w:rsid w:val="007A3920"/>
    <w:rsid w:val="007A39EE"/>
    <w:rsid w:val="007A4FCC"/>
    <w:rsid w:val="007A521E"/>
    <w:rsid w:val="007A5820"/>
    <w:rsid w:val="007A6BE4"/>
    <w:rsid w:val="007A7228"/>
    <w:rsid w:val="007A7FDF"/>
    <w:rsid w:val="007B0EFB"/>
    <w:rsid w:val="007B3D6C"/>
    <w:rsid w:val="007B3F5F"/>
    <w:rsid w:val="007B40D8"/>
    <w:rsid w:val="007B5716"/>
    <w:rsid w:val="007B5E53"/>
    <w:rsid w:val="007B6E4E"/>
    <w:rsid w:val="007B789A"/>
    <w:rsid w:val="007C031D"/>
    <w:rsid w:val="007C3859"/>
    <w:rsid w:val="007C3F46"/>
    <w:rsid w:val="007C40A7"/>
    <w:rsid w:val="007C6663"/>
    <w:rsid w:val="007C744D"/>
    <w:rsid w:val="007C7907"/>
    <w:rsid w:val="007D3132"/>
    <w:rsid w:val="007D4764"/>
    <w:rsid w:val="007E2A1B"/>
    <w:rsid w:val="007E3937"/>
    <w:rsid w:val="007E4F8F"/>
    <w:rsid w:val="007E511A"/>
    <w:rsid w:val="007E5D3C"/>
    <w:rsid w:val="007E5E11"/>
    <w:rsid w:val="007E6AAA"/>
    <w:rsid w:val="007E6B84"/>
    <w:rsid w:val="007F04D3"/>
    <w:rsid w:val="007F2239"/>
    <w:rsid w:val="007F2DBC"/>
    <w:rsid w:val="007F3FCA"/>
    <w:rsid w:val="007F4900"/>
    <w:rsid w:val="007F677D"/>
    <w:rsid w:val="00801571"/>
    <w:rsid w:val="00802E4F"/>
    <w:rsid w:val="008032BE"/>
    <w:rsid w:val="00805F1F"/>
    <w:rsid w:val="0080701C"/>
    <w:rsid w:val="008076F8"/>
    <w:rsid w:val="00810290"/>
    <w:rsid w:val="00810C48"/>
    <w:rsid w:val="008114C4"/>
    <w:rsid w:val="00813883"/>
    <w:rsid w:val="00813B22"/>
    <w:rsid w:val="00823846"/>
    <w:rsid w:val="008247EE"/>
    <w:rsid w:val="00824BDF"/>
    <w:rsid w:val="0082644B"/>
    <w:rsid w:val="008269D1"/>
    <w:rsid w:val="0083024A"/>
    <w:rsid w:val="00831B0B"/>
    <w:rsid w:val="00831C3A"/>
    <w:rsid w:val="00831EDC"/>
    <w:rsid w:val="00832259"/>
    <w:rsid w:val="0083439E"/>
    <w:rsid w:val="00834A2B"/>
    <w:rsid w:val="00835AF5"/>
    <w:rsid w:val="00835B50"/>
    <w:rsid w:val="008367B8"/>
    <w:rsid w:val="00841FC0"/>
    <w:rsid w:val="008421D6"/>
    <w:rsid w:val="008422B9"/>
    <w:rsid w:val="008434FE"/>
    <w:rsid w:val="00843F01"/>
    <w:rsid w:val="00844817"/>
    <w:rsid w:val="00845166"/>
    <w:rsid w:val="008453D4"/>
    <w:rsid w:val="0084552F"/>
    <w:rsid w:val="00846123"/>
    <w:rsid w:val="00846CE8"/>
    <w:rsid w:val="008502F2"/>
    <w:rsid w:val="008518C0"/>
    <w:rsid w:val="008525DB"/>
    <w:rsid w:val="00852C03"/>
    <w:rsid w:val="00852CA6"/>
    <w:rsid w:val="008570F0"/>
    <w:rsid w:val="008571FD"/>
    <w:rsid w:val="00857B1D"/>
    <w:rsid w:val="00862C7A"/>
    <w:rsid w:val="008640C2"/>
    <w:rsid w:val="00864253"/>
    <w:rsid w:val="00866714"/>
    <w:rsid w:val="00866E9E"/>
    <w:rsid w:val="0087294D"/>
    <w:rsid w:val="00874EDA"/>
    <w:rsid w:val="008759E8"/>
    <w:rsid w:val="00876073"/>
    <w:rsid w:val="008808F4"/>
    <w:rsid w:val="00881268"/>
    <w:rsid w:val="008819FB"/>
    <w:rsid w:val="008822EE"/>
    <w:rsid w:val="008828C6"/>
    <w:rsid w:val="00882CDB"/>
    <w:rsid w:val="00886E1F"/>
    <w:rsid w:val="008875D4"/>
    <w:rsid w:val="00887EB4"/>
    <w:rsid w:val="0089313B"/>
    <w:rsid w:val="008932B9"/>
    <w:rsid w:val="00896D76"/>
    <w:rsid w:val="008A029A"/>
    <w:rsid w:val="008A02DF"/>
    <w:rsid w:val="008A2B2A"/>
    <w:rsid w:val="008A38C6"/>
    <w:rsid w:val="008A4C50"/>
    <w:rsid w:val="008A4E65"/>
    <w:rsid w:val="008A5660"/>
    <w:rsid w:val="008A7C1D"/>
    <w:rsid w:val="008B0BB1"/>
    <w:rsid w:val="008B0D34"/>
    <w:rsid w:val="008B1EAB"/>
    <w:rsid w:val="008B2187"/>
    <w:rsid w:val="008B38A3"/>
    <w:rsid w:val="008B3A3B"/>
    <w:rsid w:val="008B3FB3"/>
    <w:rsid w:val="008B421E"/>
    <w:rsid w:val="008B4415"/>
    <w:rsid w:val="008B46E4"/>
    <w:rsid w:val="008B485E"/>
    <w:rsid w:val="008B4B03"/>
    <w:rsid w:val="008B4BA3"/>
    <w:rsid w:val="008B54D7"/>
    <w:rsid w:val="008B70DB"/>
    <w:rsid w:val="008C0898"/>
    <w:rsid w:val="008C0A70"/>
    <w:rsid w:val="008C0D8E"/>
    <w:rsid w:val="008C359E"/>
    <w:rsid w:val="008C3F95"/>
    <w:rsid w:val="008C57AE"/>
    <w:rsid w:val="008D04B0"/>
    <w:rsid w:val="008D1402"/>
    <w:rsid w:val="008D6FD5"/>
    <w:rsid w:val="008D7E5A"/>
    <w:rsid w:val="008E114C"/>
    <w:rsid w:val="008E1FEC"/>
    <w:rsid w:val="008E5C60"/>
    <w:rsid w:val="008E634B"/>
    <w:rsid w:val="008E6D87"/>
    <w:rsid w:val="008F0D93"/>
    <w:rsid w:val="008F0F6D"/>
    <w:rsid w:val="008F1541"/>
    <w:rsid w:val="008F3324"/>
    <w:rsid w:val="008F3D50"/>
    <w:rsid w:val="008F463F"/>
    <w:rsid w:val="008F4C5E"/>
    <w:rsid w:val="008F5041"/>
    <w:rsid w:val="008F5CCD"/>
    <w:rsid w:val="008F767F"/>
    <w:rsid w:val="00900A98"/>
    <w:rsid w:val="00900E8E"/>
    <w:rsid w:val="00901136"/>
    <w:rsid w:val="00901285"/>
    <w:rsid w:val="009014C8"/>
    <w:rsid w:val="00901FE2"/>
    <w:rsid w:val="00903805"/>
    <w:rsid w:val="009043C3"/>
    <w:rsid w:val="00905671"/>
    <w:rsid w:val="009062D2"/>
    <w:rsid w:val="009073E8"/>
    <w:rsid w:val="00907913"/>
    <w:rsid w:val="00910A65"/>
    <w:rsid w:val="00911D03"/>
    <w:rsid w:val="00913363"/>
    <w:rsid w:val="00913D47"/>
    <w:rsid w:val="00914DAD"/>
    <w:rsid w:val="0091599C"/>
    <w:rsid w:val="0091639A"/>
    <w:rsid w:val="00920679"/>
    <w:rsid w:val="0092164C"/>
    <w:rsid w:val="00922B08"/>
    <w:rsid w:val="00922E0D"/>
    <w:rsid w:val="00923465"/>
    <w:rsid w:val="009238D9"/>
    <w:rsid w:val="00923FA7"/>
    <w:rsid w:val="00924A4C"/>
    <w:rsid w:val="00924E71"/>
    <w:rsid w:val="0092575D"/>
    <w:rsid w:val="00926B35"/>
    <w:rsid w:val="00930328"/>
    <w:rsid w:val="00930841"/>
    <w:rsid w:val="00930C65"/>
    <w:rsid w:val="00932012"/>
    <w:rsid w:val="00932431"/>
    <w:rsid w:val="009342C1"/>
    <w:rsid w:val="0093656A"/>
    <w:rsid w:val="009371C2"/>
    <w:rsid w:val="00941DEE"/>
    <w:rsid w:val="00941F71"/>
    <w:rsid w:val="0094263E"/>
    <w:rsid w:val="00942EC5"/>
    <w:rsid w:val="009439DA"/>
    <w:rsid w:val="009464A3"/>
    <w:rsid w:val="00946D93"/>
    <w:rsid w:val="00947781"/>
    <w:rsid w:val="0095183C"/>
    <w:rsid w:val="00952198"/>
    <w:rsid w:val="00956E04"/>
    <w:rsid w:val="0095709E"/>
    <w:rsid w:val="0096012E"/>
    <w:rsid w:val="009647E9"/>
    <w:rsid w:val="009674F0"/>
    <w:rsid w:val="00967794"/>
    <w:rsid w:val="00970AB0"/>
    <w:rsid w:val="0097204B"/>
    <w:rsid w:val="0097214E"/>
    <w:rsid w:val="0097221F"/>
    <w:rsid w:val="009743DE"/>
    <w:rsid w:val="009758B3"/>
    <w:rsid w:val="0097608F"/>
    <w:rsid w:val="009770A8"/>
    <w:rsid w:val="009811A2"/>
    <w:rsid w:val="00982EA4"/>
    <w:rsid w:val="00984038"/>
    <w:rsid w:val="0098486E"/>
    <w:rsid w:val="00984C93"/>
    <w:rsid w:val="00986444"/>
    <w:rsid w:val="009875DD"/>
    <w:rsid w:val="00993AF6"/>
    <w:rsid w:val="00993DC3"/>
    <w:rsid w:val="0099510C"/>
    <w:rsid w:val="00995F9C"/>
    <w:rsid w:val="0099748D"/>
    <w:rsid w:val="009A014C"/>
    <w:rsid w:val="009A04D6"/>
    <w:rsid w:val="009A11C9"/>
    <w:rsid w:val="009A13F3"/>
    <w:rsid w:val="009A2DAD"/>
    <w:rsid w:val="009A369B"/>
    <w:rsid w:val="009A3858"/>
    <w:rsid w:val="009A427A"/>
    <w:rsid w:val="009A737E"/>
    <w:rsid w:val="009B056F"/>
    <w:rsid w:val="009B26F5"/>
    <w:rsid w:val="009B271F"/>
    <w:rsid w:val="009B3FCB"/>
    <w:rsid w:val="009B41C7"/>
    <w:rsid w:val="009B7B59"/>
    <w:rsid w:val="009C1F42"/>
    <w:rsid w:val="009C2174"/>
    <w:rsid w:val="009C26E0"/>
    <w:rsid w:val="009C2F8C"/>
    <w:rsid w:val="009C4353"/>
    <w:rsid w:val="009C4385"/>
    <w:rsid w:val="009C5477"/>
    <w:rsid w:val="009C626A"/>
    <w:rsid w:val="009D01CE"/>
    <w:rsid w:val="009D0F75"/>
    <w:rsid w:val="009D184B"/>
    <w:rsid w:val="009D1920"/>
    <w:rsid w:val="009D2171"/>
    <w:rsid w:val="009D2510"/>
    <w:rsid w:val="009D3AD2"/>
    <w:rsid w:val="009D3C9F"/>
    <w:rsid w:val="009D4BFB"/>
    <w:rsid w:val="009D5F44"/>
    <w:rsid w:val="009D5FEA"/>
    <w:rsid w:val="009D61B5"/>
    <w:rsid w:val="009D6D1E"/>
    <w:rsid w:val="009E01F1"/>
    <w:rsid w:val="009E030C"/>
    <w:rsid w:val="009E218B"/>
    <w:rsid w:val="009E2826"/>
    <w:rsid w:val="009E4AC1"/>
    <w:rsid w:val="009E7DC4"/>
    <w:rsid w:val="009F5FA6"/>
    <w:rsid w:val="00A029E0"/>
    <w:rsid w:val="00A06EDF"/>
    <w:rsid w:val="00A077E9"/>
    <w:rsid w:val="00A11415"/>
    <w:rsid w:val="00A133BA"/>
    <w:rsid w:val="00A13787"/>
    <w:rsid w:val="00A162D9"/>
    <w:rsid w:val="00A16720"/>
    <w:rsid w:val="00A16D02"/>
    <w:rsid w:val="00A16F44"/>
    <w:rsid w:val="00A20EE7"/>
    <w:rsid w:val="00A22228"/>
    <w:rsid w:val="00A2371B"/>
    <w:rsid w:val="00A23F54"/>
    <w:rsid w:val="00A30879"/>
    <w:rsid w:val="00A30A05"/>
    <w:rsid w:val="00A30BB4"/>
    <w:rsid w:val="00A33DBC"/>
    <w:rsid w:val="00A351AE"/>
    <w:rsid w:val="00A369A5"/>
    <w:rsid w:val="00A40B25"/>
    <w:rsid w:val="00A42049"/>
    <w:rsid w:val="00A435C3"/>
    <w:rsid w:val="00A45765"/>
    <w:rsid w:val="00A46B90"/>
    <w:rsid w:val="00A46FD6"/>
    <w:rsid w:val="00A47FCF"/>
    <w:rsid w:val="00A51771"/>
    <w:rsid w:val="00A51E5A"/>
    <w:rsid w:val="00A54837"/>
    <w:rsid w:val="00A558F1"/>
    <w:rsid w:val="00A56E1C"/>
    <w:rsid w:val="00A6125B"/>
    <w:rsid w:val="00A6208C"/>
    <w:rsid w:val="00A62812"/>
    <w:rsid w:val="00A6569B"/>
    <w:rsid w:val="00A66A5D"/>
    <w:rsid w:val="00A6705F"/>
    <w:rsid w:val="00A67F36"/>
    <w:rsid w:val="00A70A1A"/>
    <w:rsid w:val="00A71062"/>
    <w:rsid w:val="00A725E6"/>
    <w:rsid w:val="00A736FC"/>
    <w:rsid w:val="00A75758"/>
    <w:rsid w:val="00A80871"/>
    <w:rsid w:val="00A80996"/>
    <w:rsid w:val="00A81895"/>
    <w:rsid w:val="00A84958"/>
    <w:rsid w:val="00A85A46"/>
    <w:rsid w:val="00A86926"/>
    <w:rsid w:val="00A87733"/>
    <w:rsid w:val="00A90A5B"/>
    <w:rsid w:val="00A914CE"/>
    <w:rsid w:val="00A915D4"/>
    <w:rsid w:val="00A920CA"/>
    <w:rsid w:val="00A9288E"/>
    <w:rsid w:val="00A92E52"/>
    <w:rsid w:val="00A938D6"/>
    <w:rsid w:val="00A9421A"/>
    <w:rsid w:val="00A943D1"/>
    <w:rsid w:val="00AA2B81"/>
    <w:rsid w:val="00AA38A4"/>
    <w:rsid w:val="00AA3A45"/>
    <w:rsid w:val="00AB05D6"/>
    <w:rsid w:val="00AB2EA8"/>
    <w:rsid w:val="00AB35EC"/>
    <w:rsid w:val="00AB419D"/>
    <w:rsid w:val="00AB7151"/>
    <w:rsid w:val="00AB7ACB"/>
    <w:rsid w:val="00AC0045"/>
    <w:rsid w:val="00AC0132"/>
    <w:rsid w:val="00AC1F77"/>
    <w:rsid w:val="00AC2014"/>
    <w:rsid w:val="00AC21A4"/>
    <w:rsid w:val="00AC37E3"/>
    <w:rsid w:val="00AC37F7"/>
    <w:rsid w:val="00AC5232"/>
    <w:rsid w:val="00AC595A"/>
    <w:rsid w:val="00AC6581"/>
    <w:rsid w:val="00AC79CC"/>
    <w:rsid w:val="00AD0BB1"/>
    <w:rsid w:val="00AD1B55"/>
    <w:rsid w:val="00AD2E05"/>
    <w:rsid w:val="00AD4C75"/>
    <w:rsid w:val="00AD6B99"/>
    <w:rsid w:val="00AD7765"/>
    <w:rsid w:val="00AE055C"/>
    <w:rsid w:val="00AE2C1A"/>
    <w:rsid w:val="00AE324E"/>
    <w:rsid w:val="00AE424B"/>
    <w:rsid w:val="00AE46FB"/>
    <w:rsid w:val="00AE4718"/>
    <w:rsid w:val="00AE69B8"/>
    <w:rsid w:val="00AF2472"/>
    <w:rsid w:val="00AF2DCB"/>
    <w:rsid w:val="00AF370A"/>
    <w:rsid w:val="00AF4BB2"/>
    <w:rsid w:val="00AF4E8F"/>
    <w:rsid w:val="00AF5103"/>
    <w:rsid w:val="00AF569C"/>
    <w:rsid w:val="00B012B4"/>
    <w:rsid w:val="00B01950"/>
    <w:rsid w:val="00B0300C"/>
    <w:rsid w:val="00B0395D"/>
    <w:rsid w:val="00B05036"/>
    <w:rsid w:val="00B05B9C"/>
    <w:rsid w:val="00B05C3E"/>
    <w:rsid w:val="00B05C77"/>
    <w:rsid w:val="00B06D72"/>
    <w:rsid w:val="00B06F0F"/>
    <w:rsid w:val="00B076E3"/>
    <w:rsid w:val="00B13DE2"/>
    <w:rsid w:val="00B1465C"/>
    <w:rsid w:val="00B14B8D"/>
    <w:rsid w:val="00B14C21"/>
    <w:rsid w:val="00B15167"/>
    <w:rsid w:val="00B160E1"/>
    <w:rsid w:val="00B169A7"/>
    <w:rsid w:val="00B17266"/>
    <w:rsid w:val="00B1733E"/>
    <w:rsid w:val="00B17376"/>
    <w:rsid w:val="00B2004B"/>
    <w:rsid w:val="00B2212E"/>
    <w:rsid w:val="00B22ED6"/>
    <w:rsid w:val="00B22FCE"/>
    <w:rsid w:val="00B2313D"/>
    <w:rsid w:val="00B23C29"/>
    <w:rsid w:val="00B2459B"/>
    <w:rsid w:val="00B24DF3"/>
    <w:rsid w:val="00B25752"/>
    <w:rsid w:val="00B25D90"/>
    <w:rsid w:val="00B30CC2"/>
    <w:rsid w:val="00B31DD0"/>
    <w:rsid w:val="00B33C79"/>
    <w:rsid w:val="00B35568"/>
    <w:rsid w:val="00B36550"/>
    <w:rsid w:val="00B36E8D"/>
    <w:rsid w:val="00B3734E"/>
    <w:rsid w:val="00B405FD"/>
    <w:rsid w:val="00B407EC"/>
    <w:rsid w:val="00B5091F"/>
    <w:rsid w:val="00B50C57"/>
    <w:rsid w:val="00B5160F"/>
    <w:rsid w:val="00B524E9"/>
    <w:rsid w:val="00B55D67"/>
    <w:rsid w:val="00B55F2C"/>
    <w:rsid w:val="00B57A4B"/>
    <w:rsid w:val="00B60683"/>
    <w:rsid w:val="00B6151B"/>
    <w:rsid w:val="00B67A26"/>
    <w:rsid w:val="00B70BDD"/>
    <w:rsid w:val="00B71526"/>
    <w:rsid w:val="00B723A7"/>
    <w:rsid w:val="00B7378A"/>
    <w:rsid w:val="00B73887"/>
    <w:rsid w:val="00B740AB"/>
    <w:rsid w:val="00B74165"/>
    <w:rsid w:val="00B75A3D"/>
    <w:rsid w:val="00B80D68"/>
    <w:rsid w:val="00B80EA3"/>
    <w:rsid w:val="00B85692"/>
    <w:rsid w:val="00B90025"/>
    <w:rsid w:val="00B9085B"/>
    <w:rsid w:val="00B910E8"/>
    <w:rsid w:val="00B91BC4"/>
    <w:rsid w:val="00B92463"/>
    <w:rsid w:val="00B92A86"/>
    <w:rsid w:val="00B93ACE"/>
    <w:rsid w:val="00B95F42"/>
    <w:rsid w:val="00B969DD"/>
    <w:rsid w:val="00BA1132"/>
    <w:rsid w:val="00BA30E1"/>
    <w:rsid w:val="00BA5B0E"/>
    <w:rsid w:val="00BA7327"/>
    <w:rsid w:val="00BB0A3F"/>
    <w:rsid w:val="00BB13EA"/>
    <w:rsid w:val="00BB18B8"/>
    <w:rsid w:val="00BB276D"/>
    <w:rsid w:val="00BB3BEB"/>
    <w:rsid w:val="00BB4C32"/>
    <w:rsid w:val="00BB6EA5"/>
    <w:rsid w:val="00BB7763"/>
    <w:rsid w:val="00BC135A"/>
    <w:rsid w:val="00BC1DE9"/>
    <w:rsid w:val="00BC2B33"/>
    <w:rsid w:val="00BC2DEB"/>
    <w:rsid w:val="00BC397C"/>
    <w:rsid w:val="00BC4CEA"/>
    <w:rsid w:val="00BC57B4"/>
    <w:rsid w:val="00BC5FAF"/>
    <w:rsid w:val="00BD1224"/>
    <w:rsid w:val="00BD3516"/>
    <w:rsid w:val="00BD3BCB"/>
    <w:rsid w:val="00BD3E6F"/>
    <w:rsid w:val="00BD545F"/>
    <w:rsid w:val="00BD54A5"/>
    <w:rsid w:val="00BD62BB"/>
    <w:rsid w:val="00BE015B"/>
    <w:rsid w:val="00BE0BF8"/>
    <w:rsid w:val="00BE1CE1"/>
    <w:rsid w:val="00BE2C5B"/>
    <w:rsid w:val="00BE3067"/>
    <w:rsid w:val="00BE5C65"/>
    <w:rsid w:val="00BE7457"/>
    <w:rsid w:val="00BF065E"/>
    <w:rsid w:val="00BF07B5"/>
    <w:rsid w:val="00BF0F26"/>
    <w:rsid w:val="00BF20E1"/>
    <w:rsid w:val="00BF2676"/>
    <w:rsid w:val="00BF298F"/>
    <w:rsid w:val="00BF3E61"/>
    <w:rsid w:val="00BF4F2F"/>
    <w:rsid w:val="00BF5656"/>
    <w:rsid w:val="00BF5E6F"/>
    <w:rsid w:val="00C00613"/>
    <w:rsid w:val="00C01560"/>
    <w:rsid w:val="00C02C78"/>
    <w:rsid w:val="00C03796"/>
    <w:rsid w:val="00C04138"/>
    <w:rsid w:val="00C1030A"/>
    <w:rsid w:val="00C13894"/>
    <w:rsid w:val="00C13CCD"/>
    <w:rsid w:val="00C149E5"/>
    <w:rsid w:val="00C157CA"/>
    <w:rsid w:val="00C15CE9"/>
    <w:rsid w:val="00C16F5E"/>
    <w:rsid w:val="00C16FB0"/>
    <w:rsid w:val="00C20E81"/>
    <w:rsid w:val="00C2107D"/>
    <w:rsid w:val="00C210C7"/>
    <w:rsid w:val="00C2276A"/>
    <w:rsid w:val="00C23B52"/>
    <w:rsid w:val="00C24815"/>
    <w:rsid w:val="00C25045"/>
    <w:rsid w:val="00C25C35"/>
    <w:rsid w:val="00C27003"/>
    <w:rsid w:val="00C302D9"/>
    <w:rsid w:val="00C30DD9"/>
    <w:rsid w:val="00C31C6F"/>
    <w:rsid w:val="00C34F41"/>
    <w:rsid w:val="00C35506"/>
    <w:rsid w:val="00C40D74"/>
    <w:rsid w:val="00C42B75"/>
    <w:rsid w:val="00C42F9A"/>
    <w:rsid w:val="00C44106"/>
    <w:rsid w:val="00C44F93"/>
    <w:rsid w:val="00C4564E"/>
    <w:rsid w:val="00C50B31"/>
    <w:rsid w:val="00C52D70"/>
    <w:rsid w:val="00C54BF4"/>
    <w:rsid w:val="00C557C0"/>
    <w:rsid w:val="00C6009A"/>
    <w:rsid w:val="00C60D26"/>
    <w:rsid w:val="00C60D51"/>
    <w:rsid w:val="00C626D5"/>
    <w:rsid w:val="00C62A82"/>
    <w:rsid w:val="00C63AC0"/>
    <w:rsid w:val="00C6455A"/>
    <w:rsid w:val="00C700A3"/>
    <w:rsid w:val="00C702DD"/>
    <w:rsid w:val="00C71E8E"/>
    <w:rsid w:val="00C729CC"/>
    <w:rsid w:val="00C731B0"/>
    <w:rsid w:val="00C734C2"/>
    <w:rsid w:val="00C73648"/>
    <w:rsid w:val="00C73AA9"/>
    <w:rsid w:val="00C73C91"/>
    <w:rsid w:val="00C74A65"/>
    <w:rsid w:val="00C74DF6"/>
    <w:rsid w:val="00C7746A"/>
    <w:rsid w:val="00C7747A"/>
    <w:rsid w:val="00C807E9"/>
    <w:rsid w:val="00C80F7A"/>
    <w:rsid w:val="00C81120"/>
    <w:rsid w:val="00C82C51"/>
    <w:rsid w:val="00C8432D"/>
    <w:rsid w:val="00C8575C"/>
    <w:rsid w:val="00C85F14"/>
    <w:rsid w:val="00C87159"/>
    <w:rsid w:val="00C92780"/>
    <w:rsid w:val="00C930B6"/>
    <w:rsid w:val="00C937E4"/>
    <w:rsid w:val="00C94E43"/>
    <w:rsid w:val="00C959EB"/>
    <w:rsid w:val="00C97096"/>
    <w:rsid w:val="00C978E4"/>
    <w:rsid w:val="00CA23CA"/>
    <w:rsid w:val="00CA3697"/>
    <w:rsid w:val="00CA4887"/>
    <w:rsid w:val="00CA5F64"/>
    <w:rsid w:val="00CA6BD6"/>
    <w:rsid w:val="00CB1209"/>
    <w:rsid w:val="00CB1227"/>
    <w:rsid w:val="00CB2368"/>
    <w:rsid w:val="00CB2C5E"/>
    <w:rsid w:val="00CB4B6B"/>
    <w:rsid w:val="00CB644A"/>
    <w:rsid w:val="00CB6974"/>
    <w:rsid w:val="00CB6FBD"/>
    <w:rsid w:val="00CB7663"/>
    <w:rsid w:val="00CC038B"/>
    <w:rsid w:val="00CC050F"/>
    <w:rsid w:val="00CC0F51"/>
    <w:rsid w:val="00CC13E3"/>
    <w:rsid w:val="00CC2AAA"/>
    <w:rsid w:val="00CC6D6F"/>
    <w:rsid w:val="00CC7DA0"/>
    <w:rsid w:val="00CD0B62"/>
    <w:rsid w:val="00CD117A"/>
    <w:rsid w:val="00CD45DB"/>
    <w:rsid w:val="00CD5BA6"/>
    <w:rsid w:val="00CD5C4D"/>
    <w:rsid w:val="00CD6884"/>
    <w:rsid w:val="00CD6C1D"/>
    <w:rsid w:val="00CD6DDD"/>
    <w:rsid w:val="00CD7BCA"/>
    <w:rsid w:val="00CE0A49"/>
    <w:rsid w:val="00CE2897"/>
    <w:rsid w:val="00CE441B"/>
    <w:rsid w:val="00CE5254"/>
    <w:rsid w:val="00CE5920"/>
    <w:rsid w:val="00CE7780"/>
    <w:rsid w:val="00CE7DCD"/>
    <w:rsid w:val="00CF0313"/>
    <w:rsid w:val="00CF24F2"/>
    <w:rsid w:val="00CF39FE"/>
    <w:rsid w:val="00CF4B4F"/>
    <w:rsid w:val="00CF5A94"/>
    <w:rsid w:val="00CF5BA0"/>
    <w:rsid w:val="00CF619F"/>
    <w:rsid w:val="00CF636E"/>
    <w:rsid w:val="00D01DEB"/>
    <w:rsid w:val="00D02281"/>
    <w:rsid w:val="00D027C0"/>
    <w:rsid w:val="00D02B23"/>
    <w:rsid w:val="00D02E85"/>
    <w:rsid w:val="00D048D0"/>
    <w:rsid w:val="00D05FF2"/>
    <w:rsid w:val="00D1036B"/>
    <w:rsid w:val="00D105E2"/>
    <w:rsid w:val="00D155E6"/>
    <w:rsid w:val="00D15BCF"/>
    <w:rsid w:val="00D15ECF"/>
    <w:rsid w:val="00D1639F"/>
    <w:rsid w:val="00D1691F"/>
    <w:rsid w:val="00D17AC2"/>
    <w:rsid w:val="00D25334"/>
    <w:rsid w:val="00D26705"/>
    <w:rsid w:val="00D27791"/>
    <w:rsid w:val="00D31566"/>
    <w:rsid w:val="00D31F70"/>
    <w:rsid w:val="00D3245C"/>
    <w:rsid w:val="00D3499C"/>
    <w:rsid w:val="00D3582E"/>
    <w:rsid w:val="00D35C04"/>
    <w:rsid w:val="00D35D86"/>
    <w:rsid w:val="00D412AA"/>
    <w:rsid w:val="00D41673"/>
    <w:rsid w:val="00D42E3D"/>
    <w:rsid w:val="00D44193"/>
    <w:rsid w:val="00D44D03"/>
    <w:rsid w:val="00D45072"/>
    <w:rsid w:val="00D45348"/>
    <w:rsid w:val="00D46B90"/>
    <w:rsid w:val="00D47519"/>
    <w:rsid w:val="00D47F8B"/>
    <w:rsid w:val="00D51098"/>
    <w:rsid w:val="00D51431"/>
    <w:rsid w:val="00D52D34"/>
    <w:rsid w:val="00D540B6"/>
    <w:rsid w:val="00D548B4"/>
    <w:rsid w:val="00D555A2"/>
    <w:rsid w:val="00D556ED"/>
    <w:rsid w:val="00D55D6B"/>
    <w:rsid w:val="00D5608F"/>
    <w:rsid w:val="00D57326"/>
    <w:rsid w:val="00D620C5"/>
    <w:rsid w:val="00D638C8"/>
    <w:rsid w:val="00D6442E"/>
    <w:rsid w:val="00D64559"/>
    <w:rsid w:val="00D65100"/>
    <w:rsid w:val="00D663B8"/>
    <w:rsid w:val="00D71DA0"/>
    <w:rsid w:val="00D72E2D"/>
    <w:rsid w:val="00D73FA0"/>
    <w:rsid w:val="00D817BB"/>
    <w:rsid w:val="00D84E87"/>
    <w:rsid w:val="00D8628E"/>
    <w:rsid w:val="00D865B8"/>
    <w:rsid w:val="00D87B34"/>
    <w:rsid w:val="00D9147F"/>
    <w:rsid w:val="00D92102"/>
    <w:rsid w:val="00D93ABA"/>
    <w:rsid w:val="00D943D1"/>
    <w:rsid w:val="00D96836"/>
    <w:rsid w:val="00D968E7"/>
    <w:rsid w:val="00DA0D9F"/>
    <w:rsid w:val="00DA45C4"/>
    <w:rsid w:val="00DA5B35"/>
    <w:rsid w:val="00DA7859"/>
    <w:rsid w:val="00DB0A0C"/>
    <w:rsid w:val="00DB2B06"/>
    <w:rsid w:val="00DB304F"/>
    <w:rsid w:val="00DB4FF3"/>
    <w:rsid w:val="00DB53F0"/>
    <w:rsid w:val="00DB5A85"/>
    <w:rsid w:val="00DC002E"/>
    <w:rsid w:val="00DC046D"/>
    <w:rsid w:val="00DC2BC7"/>
    <w:rsid w:val="00DC4167"/>
    <w:rsid w:val="00DC427A"/>
    <w:rsid w:val="00DC4356"/>
    <w:rsid w:val="00DC5D4F"/>
    <w:rsid w:val="00DD1922"/>
    <w:rsid w:val="00DD31E5"/>
    <w:rsid w:val="00DD48DD"/>
    <w:rsid w:val="00DD5B24"/>
    <w:rsid w:val="00DE0105"/>
    <w:rsid w:val="00DE078E"/>
    <w:rsid w:val="00DE1081"/>
    <w:rsid w:val="00DE27A6"/>
    <w:rsid w:val="00DE3B51"/>
    <w:rsid w:val="00DE4EA2"/>
    <w:rsid w:val="00DE5B4B"/>
    <w:rsid w:val="00DF0FF7"/>
    <w:rsid w:val="00DF11F6"/>
    <w:rsid w:val="00DF1E47"/>
    <w:rsid w:val="00DF3649"/>
    <w:rsid w:val="00DF3F5F"/>
    <w:rsid w:val="00DF42DF"/>
    <w:rsid w:val="00DF7838"/>
    <w:rsid w:val="00E00102"/>
    <w:rsid w:val="00E00EE4"/>
    <w:rsid w:val="00E01139"/>
    <w:rsid w:val="00E0292C"/>
    <w:rsid w:val="00E0372D"/>
    <w:rsid w:val="00E06923"/>
    <w:rsid w:val="00E074CC"/>
    <w:rsid w:val="00E0753F"/>
    <w:rsid w:val="00E07CB2"/>
    <w:rsid w:val="00E10539"/>
    <w:rsid w:val="00E1285A"/>
    <w:rsid w:val="00E1286D"/>
    <w:rsid w:val="00E13D16"/>
    <w:rsid w:val="00E13D6B"/>
    <w:rsid w:val="00E14893"/>
    <w:rsid w:val="00E1593C"/>
    <w:rsid w:val="00E16F8F"/>
    <w:rsid w:val="00E17E2D"/>
    <w:rsid w:val="00E2107A"/>
    <w:rsid w:val="00E22B65"/>
    <w:rsid w:val="00E2414E"/>
    <w:rsid w:val="00E30560"/>
    <w:rsid w:val="00E306C6"/>
    <w:rsid w:val="00E308E1"/>
    <w:rsid w:val="00E31B3F"/>
    <w:rsid w:val="00E31BB8"/>
    <w:rsid w:val="00E33DE9"/>
    <w:rsid w:val="00E34D14"/>
    <w:rsid w:val="00E35ACF"/>
    <w:rsid w:val="00E36568"/>
    <w:rsid w:val="00E40120"/>
    <w:rsid w:val="00E40D37"/>
    <w:rsid w:val="00E4134D"/>
    <w:rsid w:val="00E41372"/>
    <w:rsid w:val="00E4256E"/>
    <w:rsid w:val="00E42EE3"/>
    <w:rsid w:val="00E438A2"/>
    <w:rsid w:val="00E45E3D"/>
    <w:rsid w:val="00E525B2"/>
    <w:rsid w:val="00E52EA6"/>
    <w:rsid w:val="00E53FDB"/>
    <w:rsid w:val="00E56F61"/>
    <w:rsid w:val="00E6024A"/>
    <w:rsid w:val="00E6186E"/>
    <w:rsid w:val="00E633C1"/>
    <w:rsid w:val="00E64004"/>
    <w:rsid w:val="00E64C95"/>
    <w:rsid w:val="00E64E3A"/>
    <w:rsid w:val="00E65B52"/>
    <w:rsid w:val="00E65FD5"/>
    <w:rsid w:val="00E70C21"/>
    <w:rsid w:val="00E7145B"/>
    <w:rsid w:val="00E7409B"/>
    <w:rsid w:val="00E74503"/>
    <w:rsid w:val="00E7635C"/>
    <w:rsid w:val="00E84331"/>
    <w:rsid w:val="00E85AE8"/>
    <w:rsid w:val="00E87C9E"/>
    <w:rsid w:val="00E91515"/>
    <w:rsid w:val="00E9346B"/>
    <w:rsid w:val="00E95946"/>
    <w:rsid w:val="00E95C8F"/>
    <w:rsid w:val="00E95F0E"/>
    <w:rsid w:val="00E96271"/>
    <w:rsid w:val="00E96A3F"/>
    <w:rsid w:val="00E96B99"/>
    <w:rsid w:val="00EA1861"/>
    <w:rsid w:val="00EA1ABC"/>
    <w:rsid w:val="00EA23A3"/>
    <w:rsid w:val="00EA41ED"/>
    <w:rsid w:val="00EA4306"/>
    <w:rsid w:val="00EA4F17"/>
    <w:rsid w:val="00EA7622"/>
    <w:rsid w:val="00EB12E1"/>
    <w:rsid w:val="00EB20F2"/>
    <w:rsid w:val="00EB4AD7"/>
    <w:rsid w:val="00EC0950"/>
    <w:rsid w:val="00EC128C"/>
    <w:rsid w:val="00EC213D"/>
    <w:rsid w:val="00EC2990"/>
    <w:rsid w:val="00EC309E"/>
    <w:rsid w:val="00EC3930"/>
    <w:rsid w:val="00EC3D9D"/>
    <w:rsid w:val="00EC3FB2"/>
    <w:rsid w:val="00EC4530"/>
    <w:rsid w:val="00EC5FA1"/>
    <w:rsid w:val="00ED058E"/>
    <w:rsid w:val="00ED2270"/>
    <w:rsid w:val="00ED39BC"/>
    <w:rsid w:val="00ED4A69"/>
    <w:rsid w:val="00ED7849"/>
    <w:rsid w:val="00ED7FCF"/>
    <w:rsid w:val="00EE0E3E"/>
    <w:rsid w:val="00EE316C"/>
    <w:rsid w:val="00EE3DF7"/>
    <w:rsid w:val="00EE6FC3"/>
    <w:rsid w:val="00EF1DE4"/>
    <w:rsid w:val="00EF20B6"/>
    <w:rsid w:val="00EF3E63"/>
    <w:rsid w:val="00EF4022"/>
    <w:rsid w:val="00EF437F"/>
    <w:rsid w:val="00EF7F35"/>
    <w:rsid w:val="00F000D5"/>
    <w:rsid w:val="00F00967"/>
    <w:rsid w:val="00F03B12"/>
    <w:rsid w:val="00F07B83"/>
    <w:rsid w:val="00F07EA0"/>
    <w:rsid w:val="00F10983"/>
    <w:rsid w:val="00F1184D"/>
    <w:rsid w:val="00F1275F"/>
    <w:rsid w:val="00F1379E"/>
    <w:rsid w:val="00F1387F"/>
    <w:rsid w:val="00F147B0"/>
    <w:rsid w:val="00F1521D"/>
    <w:rsid w:val="00F167BF"/>
    <w:rsid w:val="00F2010D"/>
    <w:rsid w:val="00F202FD"/>
    <w:rsid w:val="00F22716"/>
    <w:rsid w:val="00F22C1C"/>
    <w:rsid w:val="00F23E73"/>
    <w:rsid w:val="00F25930"/>
    <w:rsid w:val="00F27C2C"/>
    <w:rsid w:val="00F30604"/>
    <w:rsid w:val="00F3124F"/>
    <w:rsid w:val="00F31BA1"/>
    <w:rsid w:val="00F3205E"/>
    <w:rsid w:val="00F32480"/>
    <w:rsid w:val="00F329B1"/>
    <w:rsid w:val="00F3379C"/>
    <w:rsid w:val="00F34D31"/>
    <w:rsid w:val="00F3656D"/>
    <w:rsid w:val="00F4372C"/>
    <w:rsid w:val="00F437AD"/>
    <w:rsid w:val="00F46886"/>
    <w:rsid w:val="00F46F1A"/>
    <w:rsid w:val="00F52B11"/>
    <w:rsid w:val="00F5308A"/>
    <w:rsid w:val="00F53D8C"/>
    <w:rsid w:val="00F549E7"/>
    <w:rsid w:val="00F560DF"/>
    <w:rsid w:val="00F63303"/>
    <w:rsid w:val="00F65140"/>
    <w:rsid w:val="00F669F1"/>
    <w:rsid w:val="00F7290C"/>
    <w:rsid w:val="00F74C99"/>
    <w:rsid w:val="00F76323"/>
    <w:rsid w:val="00F825AE"/>
    <w:rsid w:val="00F82849"/>
    <w:rsid w:val="00F87AD2"/>
    <w:rsid w:val="00F87C32"/>
    <w:rsid w:val="00F87CD5"/>
    <w:rsid w:val="00F90096"/>
    <w:rsid w:val="00F92A37"/>
    <w:rsid w:val="00F93B45"/>
    <w:rsid w:val="00F93E44"/>
    <w:rsid w:val="00F94C4B"/>
    <w:rsid w:val="00F96B2A"/>
    <w:rsid w:val="00F97450"/>
    <w:rsid w:val="00FA02D3"/>
    <w:rsid w:val="00FA0F6E"/>
    <w:rsid w:val="00FA1175"/>
    <w:rsid w:val="00FA2545"/>
    <w:rsid w:val="00FB0B8F"/>
    <w:rsid w:val="00FB0CFE"/>
    <w:rsid w:val="00FB0F94"/>
    <w:rsid w:val="00FB3C83"/>
    <w:rsid w:val="00FB4B7E"/>
    <w:rsid w:val="00FB6C6F"/>
    <w:rsid w:val="00FC11F5"/>
    <w:rsid w:val="00FC11FE"/>
    <w:rsid w:val="00FC1DF2"/>
    <w:rsid w:val="00FC43DC"/>
    <w:rsid w:val="00FC4BB5"/>
    <w:rsid w:val="00FC5DC9"/>
    <w:rsid w:val="00FD4341"/>
    <w:rsid w:val="00FD6057"/>
    <w:rsid w:val="00FD65B2"/>
    <w:rsid w:val="00FD69C5"/>
    <w:rsid w:val="00FD6AC7"/>
    <w:rsid w:val="00FD75E0"/>
    <w:rsid w:val="00FD7B60"/>
    <w:rsid w:val="00FD7FD0"/>
    <w:rsid w:val="00FE08FC"/>
    <w:rsid w:val="00FE2B8D"/>
    <w:rsid w:val="00FE38E1"/>
    <w:rsid w:val="00FE6F9A"/>
    <w:rsid w:val="00FE7EC8"/>
    <w:rsid w:val="00FF201A"/>
    <w:rsid w:val="00FF30EB"/>
    <w:rsid w:val="00FF3AD2"/>
    <w:rsid w:val="00FF5069"/>
    <w:rsid w:val="00FF6618"/>
    <w:rsid w:val="00FF6778"/>
    <w:rsid w:val="00FF7E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03320"/>
  <w14:defaultImageDpi w14:val="300"/>
  <w15:docId w15:val="{25DD10A9-83CB-1041-8896-4F4CFBC1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001"/>
    <w:pPr>
      <w:spacing w:line="480" w:lineRule="auto"/>
      <w:ind w:firstLine="720"/>
    </w:pPr>
  </w:style>
  <w:style w:type="paragraph" w:styleId="Heading1">
    <w:name w:val="heading 1"/>
    <w:aliases w:val="APA Level 5"/>
    <w:next w:val="Normal"/>
    <w:qFormat/>
    <w:rsid w:val="00F6215A"/>
    <w:pPr>
      <w:keepNext/>
      <w:spacing w:line="480" w:lineRule="auto"/>
      <w:jc w:val="center"/>
      <w:outlineLvl w:val="0"/>
    </w:pPr>
    <w:rPr>
      <w:rFonts w:cs="Arial"/>
      <w:bCs/>
      <w:caps/>
      <w:kern w:val="32"/>
    </w:rPr>
  </w:style>
  <w:style w:type="paragraph" w:styleId="Heading2">
    <w:name w:val="heading 2"/>
    <w:aliases w:val="APA Level 1"/>
    <w:next w:val="Normal"/>
    <w:qFormat/>
    <w:rsid w:val="00F6215A"/>
    <w:pPr>
      <w:keepNext/>
      <w:spacing w:line="480" w:lineRule="auto"/>
      <w:jc w:val="center"/>
      <w:outlineLvl w:val="1"/>
    </w:pPr>
    <w:rPr>
      <w:rFonts w:cs="Arial"/>
      <w:bCs/>
      <w:iCs/>
    </w:rPr>
  </w:style>
  <w:style w:type="paragraph" w:styleId="Heading3">
    <w:name w:val="heading 3"/>
    <w:aliases w:val="APA Level 2"/>
    <w:next w:val="Normal"/>
    <w:qFormat/>
    <w:rsid w:val="00877A2F"/>
    <w:pPr>
      <w:keepNext/>
      <w:spacing w:line="480" w:lineRule="auto"/>
      <w:jc w:val="center"/>
      <w:outlineLvl w:val="2"/>
    </w:pPr>
    <w:rPr>
      <w:rFonts w:cs="Arial"/>
      <w:bCs/>
      <w:i/>
      <w:szCs w:val="26"/>
    </w:rPr>
  </w:style>
  <w:style w:type="paragraph" w:styleId="Heading4">
    <w:name w:val="heading 4"/>
    <w:aliases w:val="APA Level 3"/>
    <w:next w:val="Normal"/>
    <w:qFormat/>
    <w:rsid w:val="00877A2F"/>
    <w:pPr>
      <w:keepNext/>
      <w:spacing w:line="480" w:lineRule="auto"/>
      <w:outlineLvl w:val="3"/>
    </w:pPr>
    <w:rPr>
      <w:bCs/>
      <w:i/>
      <w:szCs w:val="28"/>
    </w:rPr>
  </w:style>
  <w:style w:type="paragraph" w:styleId="Heading5">
    <w:name w:val="heading 5"/>
    <w:aliases w:val="APA Level 4"/>
    <w:next w:val="Normal"/>
    <w:link w:val="Heading5Char"/>
    <w:qFormat/>
    <w:rsid w:val="00877A2F"/>
    <w:pPr>
      <w:keepNext/>
      <w:widowControl w:val="0"/>
      <w:spacing w:line="480" w:lineRule="auto"/>
      <w:ind w:firstLine="720"/>
      <w:outlineLvl w:val="4"/>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E30E70"/>
    <w:pPr>
      <w:spacing w:line="480" w:lineRule="auto"/>
      <w:ind w:left="720" w:hanging="720"/>
    </w:pPr>
    <w:rPr>
      <w:rFonts w:cs="Arial"/>
      <w:bCs/>
      <w:kern w:val="32"/>
    </w:rPr>
  </w:style>
  <w:style w:type="paragraph" w:styleId="Header">
    <w:name w:val="header"/>
    <w:rsid w:val="00C703A7"/>
    <w:pPr>
      <w:tabs>
        <w:tab w:val="center" w:pos="4320"/>
        <w:tab w:val="right" w:pos="8640"/>
      </w:tabs>
    </w:pPr>
  </w:style>
  <w:style w:type="paragraph" w:styleId="Footer">
    <w:name w:val="footer"/>
    <w:rsid w:val="00C703A7"/>
    <w:pPr>
      <w:tabs>
        <w:tab w:val="center" w:pos="4320"/>
        <w:tab w:val="right" w:pos="8640"/>
      </w:tabs>
    </w:pPr>
  </w:style>
  <w:style w:type="paragraph" w:customStyle="1" w:styleId="NormalNoIndent">
    <w:name w:val="Normal (No Indent)"/>
    <w:basedOn w:val="Normal"/>
    <w:rsid w:val="00592658"/>
    <w:pPr>
      <w:ind w:firstLine="0"/>
    </w:pPr>
  </w:style>
  <w:style w:type="paragraph" w:customStyle="1" w:styleId="RunningHead">
    <w:name w:val="Running Head"/>
    <w:rsid w:val="00E30E70"/>
    <w:pPr>
      <w:spacing w:line="480" w:lineRule="auto"/>
    </w:pPr>
  </w:style>
  <w:style w:type="paragraph" w:styleId="Title">
    <w:name w:val="Title"/>
    <w:aliases w:val="Byline,&amp; Institution"/>
    <w:basedOn w:val="Normal"/>
    <w:qFormat/>
    <w:rsid w:val="00C00D1B"/>
    <w:pPr>
      <w:ind w:firstLine="0"/>
      <w:jc w:val="center"/>
      <w:outlineLvl w:val="0"/>
    </w:pPr>
    <w:rPr>
      <w:rFonts w:cs="Arial"/>
      <w:bCs/>
      <w:kern w:val="28"/>
    </w:rPr>
  </w:style>
  <w:style w:type="paragraph" w:customStyle="1" w:styleId="LongQuote">
    <w:name w:val="Long Quote"/>
    <w:basedOn w:val="Normal"/>
    <w:rsid w:val="00436DA9"/>
    <w:pPr>
      <w:ind w:left="720" w:firstLine="0"/>
    </w:pPr>
  </w:style>
  <w:style w:type="paragraph" w:customStyle="1" w:styleId="LongQuoteWithIndent">
    <w:name w:val="Long Quote With Indent"/>
    <w:basedOn w:val="LongQuote"/>
    <w:rsid w:val="00436DA9"/>
    <w:pPr>
      <w:ind w:firstLine="720"/>
    </w:pPr>
  </w:style>
  <w:style w:type="character" w:customStyle="1" w:styleId="Heading5Char">
    <w:name w:val="Heading 5 Char"/>
    <w:aliases w:val="APA Level 4 Char"/>
    <w:link w:val="Heading5"/>
    <w:rsid w:val="00877A2F"/>
    <w:rPr>
      <w:bCs/>
      <w:i/>
      <w:iCs/>
      <w:sz w:val="24"/>
      <w:szCs w:val="24"/>
      <w:lang w:val="en-US" w:eastAsia="en-US" w:bidi="ar-SA"/>
    </w:rPr>
  </w:style>
  <w:style w:type="paragraph" w:styleId="TOC1">
    <w:name w:val="toc 1"/>
    <w:basedOn w:val="Normal"/>
    <w:next w:val="Normal"/>
    <w:autoRedefine/>
    <w:semiHidden/>
    <w:rsid w:val="008D1A5C"/>
  </w:style>
  <w:style w:type="paragraph" w:styleId="TOC2">
    <w:name w:val="toc 2"/>
    <w:basedOn w:val="Normal"/>
    <w:next w:val="Normal"/>
    <w:autoRedefine/>
    <w:semiHidden/>
    <w:rsid w:val="008D1A5C"/>
    <w:pPr>
      <w:ind w:left="240"/>
    </w:pPr>
  </w:style>
  <w:style w:type="paragraph" w:styleId="TOC3">
    <w:name w:val="toc 3"/>
    <w:basedOn w:val="Normal"/>
    <w:next w:val="Normal"/>
    <w:autoRedefine/>
    <w:semiHidden/>
    <w:rsid w:val="008D1A5C"/>
    <w:pPr>
      <w:ind w:left="480"/>
    </w:pPr>
  </w:style>
  <w:style w:type="character" w:styleId="Hyperlink">
    <w:name w:val="Hyperlink"/>
    <w:rsid w:val="008D1A5C"/>
    <w:rPr>
      <w:color w:val="0000FF"/>
      <w:u w:val="single"/>
    </w:rPr>
  </w:style>
  <w:style w:type="paragraph" w:styleId="TOC4">
    <w:name w:val="toc 4"/>
    <w:basedOn w:val="Normal"/>
    <w:next w:val="Normal"/>
    <w:autoRedefine/>
    <w:semiHidden/>
    <w:rsid w:val="008D1A5C"/>
    <w:pPr>
      <w:ind w:left="720"/>
    </w:pPr>
  </w:style>
  <w:style w:type="paragraph" w:styleId="TOC5">
    <w:name w:val="toc 5"/>
    <w:basedOn w:val="Normal"/>
    <w:next w:val="Normal"/>
    <w:autoRedefine/>
    <w:semiHidden/>
    <w:rsid w:val="008D1A5C"/>
    <w:pPr>
      <w:ind w:left="960"/>
    </w:pPr>
  </w:style>
  <w:style w:type="table" w:styleId="TableGrid">
    <w:name w:val="Table Grid"/>
    <w:basedOn w:val="TableNormal"/>
    <w:rsid w:val="00C566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025E69"/>
    <w:rPr>
      <w:sz w:val="18"/>
      <w:szCs w:val="18"/>
    </w:rPr>
  </w:style>
  <w:style w:type="paragraph" w:styleId="CommentText">
    <w:name w:val="annotation text"/>
    <w:basedOn w:val="Normal"/>
    <w:link w:val="CommentTextChar"/>
    <w:uiPriority w:val="99"/>
    <w:rsid w:val="00025E69"/>
    <w:pPr>
      <w:spacing w:line="240" w:lineRule="auto"/>
    </w:pPr>
  </w:style>
  <w:style w:type="character" w:customStyle="1" w:styleId="CommentTextChar">
    <w:name w:val="Comment Text Char"/>
    <w:link w:val="CommentText"/>
    <w:uiPriority w:val="99"/>
    <w:rsid w:val="00025E69"/>
    <w:rPr>
      <w:lang w:val="en-US"/>
    </w:rPr>
  </w:style>
  <w:style w:type="paragraph" w:styleId="CommentSubject">
    <w:name w:val="annotation subject"/>
    <w:basedOn w:val="CommentText"/>
    <w:next w:val="CommentText"/>
    <w:link w:val="CommentSubjectChar"/>
    <w:rsid w:val="00025E69"/>
    <w:rPr>
      <w:b/>
      <w:bCs/>
      <w:sz w:val="20"/>
      <w:szCs w:val="20"/>
    </w:rPr>
  </w:style>
  <w:style w:type="character" w:customStyle="1" w:styleId="CommentSubjectChar">
    <w:name w:val="Comment Subject Char"/>
    <w:link w:val="CommentSubject"/>
    <w:rsid w:val="00025E69"/>
    <w:rPr>
      <w:b/>
      <w:bCs/>
      <w:sz w:val="20"/>
      <w:szCs w:val="20"/>
      <w:lang w:val="en-US"/>
    </w:rPr>
  </w:style>
  <w:style w:type="paragraph" w:styleId="BalloonText">
    <w:name w:val="Balloon Text"/>
    <w:basedOn w:val="Normal"/>
    <w:link w:val="BalloonTextChar"/>
    <w:rsid w:val="00025E69"/>
    <w:pPr>
      <w:spacing w:line="240" w:lineRule="auto"/>
    </w:pPr>
    <w:rPr>
      <w:rFonts w:ascii="Lucida Grande" w:hAnsi="Lucida Grande"/>
      <w:sz w:val="18"/>
      <w:szCs w:val="18"/>
    </w:rPr>
  </w:style>
  <w:style w:type="character" w:customStyle="1" w:styleId="BalloonTextChar">
    <w:name w:val="Balloon Text Char"/>
    <w:link w:val="BalloonText"/>
    <w:rsid w:val="00025E69"/>
    <w:rPr>
      <w:rFonts w:ascii="Lucida Grande" w:hAnsi="Lucida Grande"/>
      <w:sz w:val="18"/>
      <w:szCs w:val="18"/>
      <w:lang w:val="en-US"/>
    </w:rPr>
  </w:style>
  <w:style w:type="paragraph" w:styleId="FootnoteText">
    <w:name w:val="footnote text"/>
    <w:basedOn w:val="Normal"/>
    <w:link w:val="FootnoteTextChar"/>
    <w:rsid w:val="00824BDF"/>
    <w:pPr>
      <w:spacing w:line="240" w:lineRule="auto"/>
    </w:pPr>
  </w:style>
  <w:style w:type="character" w:customStyle="1" w:styleId="FootnoteTextChar">
    <w:name w:val="Footnote Text Char"/>
    <w:basedOn w:val="DefaultParagraphFont"/>
    <w:link w:val="FootnoteText"/>
    <w:rsid w:val="00824BDF"/>
    <w:rPr>
      <w:sz w:val="24"/>
      <w:szCs w:val="24"/>
    </w:rPr>
  </w:style>
  <w:style w:type="character" w:styleId="FootnoteReference">
    <w:name w:val="footnote reference"/>
    <w:basedOn w:val="DefaultParagraphFont"/>
    <w:rsid w:val="00824BDF"/>
    <w:rPr>
      <w:vertAlign w:val="superscript"/>
    </w:rPr>
  </w:style>
  <w:style w:type="paragraph" w:styleId="Revision">
    <w:name w:val="Revision"/>
    <w:hidden/>
    <w:rsid w:val="005F0F5A"/>
  </w:style>
  <w:style w:type="character" w:styleId="FollowedHyperlink">
    <w:name w:val="FollowedHyperlink"/>
    <w:basedOn w:val="DefaultParagraphFont"/>
    <w:rsid w:val="00333684"/>
    <w:rPr>
      <w:color w:val="954F72" w:themeColor="followedHyperlink"/>
      <w:u w:val="single"/>
    </w:rPr>
  </w:style>
  <w:style w:type="character" w:customStyle="1" w:styleId="apple-converted-space">
    <w:name w:val="apple-converted-space"/>
    <w:basedOn w:val="DefaultParagraphFont"/>
    <w:rsid w:val="00544E89"/>
  </w:style>
  <w:style w:type="character" w:customStyle="1" w:styleId="Mention1">
    <w:name w:val="Mention1"/>
    <w:basedOn w:val="DefaultParagraphFont"/>
    <w:uiPriority w:val="99"/>
    <w:semiHidden/>
    <w:unhideWhenUsed/>
    <w:rsid w:val="004356B3"/>
    <w:rPr>
      <w:color w:val="2B579A"/>
      <w:shd w:val="clear" w:color="auto" w:fill="E6E6E6"/>
    </w:rPr>
  </w:style>
  <w:style w:type="paragraph" w:styleId="ListParagraph">
    <w:name w:val="List Paragraph"/>
    <w:basedOn w:val="Normal"/>
    <w:rsid w:val="007D4764"/>
    <w:pPr>
      <w:ind w:left="720"/>
      <w:contextualSpacing/>
    </w:pPr>
  </w:style>
  <w:style w:type="paragraph" w:styleId="NormalWeb">
    <w:name w:val="Normal (Web)"/>
    <w:basedOn w:val="Normal"/>
    <w:semiHidden/>
    <w:unhideWhenUsed/>
    <w:rsid w:val="00E17E2D"/>
  </w:style>
  <w:style w:type="character" w:styleId="Strong">
    <w:name w:val="Strong"/>
    <w:basedOn w:val="DefaultParagraphFont"/>
    <w:rsid w:val="00334FEF"/>
    <w:rPr>
      <w:b/>
      <w:bCs/>
    </w:rPr>
  </w:style>
  <w:style w:type="character" w:customStyle="1" w:styleId="UnresolvedMention1">
    <w:name w:val="Unresolved Mention1"/>
    <w:basedOn w:val="DefaultParagraphFont"/>
    <w:rsid w:val="000E0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1162">
      <w:bodyDiv w:val="1"/>
      <w:marLeft w:val="0"/>
      <w:marRight w:val="0"/>
      <w:marTop w:val="0"/>
      <w:marBottom w:val="0"/>
      <w:divBdr>
        <w:top w:val="none" w:sz="0" w:space="0" w:color="auto"/>
        <w:left w:val="none" w:sz="0" w:space="0" w:color="auto"/>
        <w:bottom w:val="none" w:sz="0" w:space="0" w:color="auto"/>
        <w:right w:val="none" w:sz="0" w:space="0" w:color="auto"/>
      </w:divBdr>
    </w:div>
    <w:div w:id="181358967">
      <w:bodyDiv w:val="1"/>
      <w:marLeft w:val="0"/>
      <w:marRight w:val="0"/>
      <w:marTop w:val="0"/>
      <w:marBottom w:val="0"/>
      <w:divBdr>
        <w:top w:val="none" w:sz="0" w:space="0" w:color="auto"/>
        <w:left w:val="none" w:sz="0" w:space="0" w:color="auto"/>
        <w:bottom w:val="none" w:sz="0" w:space="0" w:color="auto"/>
        <w:right w:val="none" w:sz="0" w:space="0" w:color="auto"/>
      </w:divBdr>
    </w:div>
    <w:div w:id="186329931">
      <w:bodyDiv w:val="1"/>
      <w:marLeft w:val="0"/>
      <w:marRight w:val="0"/>
      <w:marTop w:val="0"/>
      <w:marBottom w:val="0"/>
      <w:divBdr>
        <w:top w:val="none" w:sz="0" w:space="0" w:color="auto"/>
        <w:left w:val="none" w:sz="0" w:space="0" w:color="auto"/>
        <w:bottom w:val="none" w:sz="0" w:space="0" w:color="auto"/>
        <w:right w:val="none" w:sz="0" w:space="0" w:color="auto"/>
      </w:divBdr>
      <w:divsChild>
        <w:div w:id="1448306896">
          <w:marLeft w:val="0"/>
          <w:marRight w:val="0"/>
          <w:marTop w:val="0"/>
          <w:marBottom w:val="0"/>
          <w:divBdr>
            <w:top w:val="none" w:sz="0" w:space="0" w:color="auto"/>
            <w:left w:val="none" w:sz="0" w:space="0" w:color="auto"/>
            <w:bottom w:val="none" w:sz="0" w:space="0" w:color="auto"/>
            <w:right w:val="none" w:sz="0" w:space="0" w:color="auto"/>
          </w:divBdr>
          <w:divsChild>
            <w:div w:id="21239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4253">
      <w:bodyDiv w:val="1"/>
      <w:marLeft w:val="0"/>
      <w:marRight w:val="0"/>
      <w:marTop w:val="0"/>
      <w:marBottom w:val="0"/>
      <w:divBdr>
        <w:top w:val="none" w:sz="0" w:space="0" w:color="auto"/>
        <w:left w:val="none" w:sz="0" w:space="0" w:color="auto"/>
        <w:bottom w:val="none" w:sz="0" w:space="0" w:color="auto"/>
        <w:right w:val="none" w:sz="0" w:space="0" w:color="auto"/>
      </w:divBdr>
      <w:divsChild>
        <w:div w:id="586157261">
          <w:marLeft w:val="0"/>
          <w:marRight w:val="0"/>
          <w:marTop w:val="0"/>
          <w:marBottom w:val="0"/>
          <w:divBdr>
            <w:top w:val="none" w:sz="0" w:space="0" w:color="auto"/>
            <w:left w:val="none" w:sz="0" w:space="0" w:color="auto"/>
            <w:bottom w:val="none" w:sz="0" w:space="0" w:color="auto"/>
            <w:right w:val="none" w:sz="0" w:space="0" w:color="auto"/>
          </w:divBdr>
          <w:divsChild>
            <w:div w:id="572201293">
              <w:marLeft w:val="0"/>
              <w:marRight w:val="0"/>
              <w:marTop w:val="0"/>
              <w:marBottom w:val="0"/>
              <w:divBdr>
                <w:top w:val="none" w:sz="0" w:space="0" w:color="auto"/>
                <w:left w:val="none" w:sz="0" w:space="0" w:color="auto"/>
                <w:bottom w:val="none" w:sz="0" w:space="0" w:color="auto"/>
                <w:right w:val="none" w:sz="0" w:space="0" w:color="auto"/>
              </w:divBdr>
              <w:divsChild>
                <w:div w:id="8937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54071">
      <w:bodyDiv w:val="1"/>
      <w:marLeft w:val="0"/>
      <w:marRight w:val="0"/>
      <w:marTop w:val="0"/>
      <w:marBottom w:val="0"/>
      <w:divBdr>
        <w:top w:val="none" w:sz="0" w:space="0" w:color="auto"/>
        <w:left w:val="none" w:sz="0" w:space="0" w:color="auto"/>
        <w:bottom w:val="none" w:sz="0" w:space="0" w:color="auto"/>
        <w:right w:val="none" w:sz="0" w:space="0" w:color="auto"/>
      </w:divBdr>
      <w:divsChild>
        <w:div w:id="470246727">
          <w:marLeft w:val="0"/>
          <w:marRight w:val="0"/>
          <w:marTop w:val="0"/>
          <w:marBottom w:val="0"/>
          <w:divBdr>
            <w:top w:val="none" w:sz="0" w:space="0" w:color="auto"/>
            <w:left w:val="none" w:sz="0" w:space="0" w:color="auto"/>
            <w:bottom w:val="none" w:sz="0" w:space="0" w:color="auto"/>
            <w:right w:val="none" w:sz="0" w:space="0" w:color="auto"/>
          </w:divBdr>
        </w:div>
      </w:divsChild>
    </w:div>
    <w:div w:id="288629639">
      <w:bodyDiv w:val="1"/>
      <w:marLeft w:val="0"/>
      <w:marRight w:val="0"/>
      <w:marTop w:val="0"/>
      <w:marBottom w:val="0"/>
      <w:divBdr>
        <w:top w:val="none" w:sz="0" w:space="0" w:color="auto"/>
        <w:left w:val="none" w:sz="0" w:space="0" w:color="auto"/>
        <w:bottom w:val="none" w:sz="0" w:space="0" w:color="auto"/>
        <w:right w:val="none" w:sz="0" w:space="0" w:color="auto"/>
      </w:divBdr>
    </w:div>
    <w:div w:id="425003763">
      <w:bodyDiv w:val="1"/>
      <w:marLeft w:val="0"/>
      <w:marRight w:val="0"/>
      <w:marTop w:val="0"/>
      <w:marBottom w:val="0"/>
      <w:divBdr>
        <w:top w:val="none" w:sz="0" w:space="0" w:color="auto"/>
        <w:left w:val="none" w:sz="0" w:space="0" w:color="auto"/>
        <w:bottom w:val="none" w:sz="0" w:space="0" w:color="auto"/>
        <w:right w:val="none" w:sz="0" w:space="0" w:color="auto"/>
      </w:divBdr>
    </w:div>
    <w:div w:id="434248945">
      <w:bodyDiv w:val="1"/>
      <w:marLeft w:val="0"/>
      <w:marRight w:val="0"/>
      <w:marTop w:val="0"/>
      <w:marBottom w:val="0"/>
      <w:divBdr>
        <w:top w:val="none" w:sz="0" w:space="0" w:color="auto"/>
        <w:left w:val="none" w:sz="0" w:space="0" w:color="auto"/>
        <w:bottom w:val="none" w:sz="0" w:space="0" w:color="auto"/>
        <w:right w:val="none" w:sz="0" w:space="0" w:color="auto"/>
      </w:divBdr>
    </w:div>
    <w:div w:id="440926400">
      <w:bodyDiv w:val="1"/>
      <w:marLeft w:val="0"/>
      <w:marRight w:val="0"/>
      <w:marTop w:val="0"/>
      <w:marBottom w:val="0"/>
      <w:divBdr>
        <w:top w:val="none" w:sz="0" w:space="0" w:color="auto"/>
        <w:left w:val="none" w:sz="0" w:space="0" w:color="auto"/>
        <w:bottom w:val="none" w:sz="0" w:space="0" w:color="auto"/>
        <w:right w:val="none" w:sz="0" w:space="0" w:color="auto"/>
      </w:divBdr>
    </w:div>
    <w:div w:id="458229964">
      <w:bodyDiv w:val="1"/>
      <w:marLeft w:val="0"/>
      <w:marRight w:val="0"/>
      <w:marTop w:val="0"/>
      <w:marBottom w:val="0"/>
      <w:divBdr>
        <w:top w:val="none" w:sz="0" w:space="0" w:color="auto"/>
        <w:left w:val="none" w:sz="0" w:space="0" w:color="auto"/>
        <w:bottom w:val="none" w:sz="0" w:space="0" w:color="auto"/>
        <w:right w:val="none" w:sz="0" w:space="0" w:color="auto"/>
      </w:divBdr>
      <w:divsChild>
        <w:div w:id="1948269479">
          <w:marLeft w:val="0"/>
          <w:marRight w:val="0"/>
          <w:marTop w:val="75"/>
          <w:marBottom w:val="75"/>
          <w:divBdr>
            <w:top w:val="none" w:sz="0" w:space="0" w:color="auto"/>
            <w:left w:val="none" w:sz="0" w:space="0" w:color="auto"/>
            <w:bottom w:val="none" w:sz="0" w:space="0" w:color="auto"/>
            <w:right w:val="none" w:sz="0" w:space="0" w:color="auto"/>
          </w:divBdr>
        </w:div>
        <w:div w:id="250431957">
          <w:marLeft w:val="0"/>
          <w:marRight w:val="0"/>
          <w:marTop w:val="0"/>
          <w:marBottom w:val="0"/>
          <w:divBdr>
            <w:top w:val="none" w:sz="0" w:space="0" w:color="auto"/>
            <w:left w:val="none" w:sz="0" w:space="0" w:color="auto"/>
            <w:bottom w:val="none" w:sz="0" w:space="0" w:color="auto"/>
            <w:right w:val="none" w:sz="0" w:space="0" w:color="auto"/>
          </w:divBdr>
        </w:div>
      </w:divsChild>
    </w:div>
    <w:div w:id="472646868">
      <w:bodyDiv w:val="1"/>
      <w:marLeft w:val="0"/>
      <w:marRight w:val="0"/>
      <w:marTop w:val="0"/>
      <w:marBottom w:val="0"/>
      <w:divBdr>
        <w:top w:val="none" w:sz="0" w:space="0" w:color="auto"/>
        <w:left w:val="none" w:sz="0" w:space="0" w:color="auto"/>
        <w:bottom w:val="none" w:sz="0" w:space="0" w:color="auto"/>
        <w:right w:val="none" w:sz="0" w:space="0" w:color="auto"/>
      </w:divBdr>
    </w:div>
    <w:div w:id="500119320">
      <w:bodyDiv w:val="1"/>
      <w:marLeft w:val="0"/>
      <w:marRight w:val="0"/>
      <w:marTop w:val="0"/>
      <w:marBottom w:val="0"/>
      <w:divBdr>
        <w:top w:val="none" w:sz="0" w:space="0" w:color="auto"/>
        <w:left w:val="none" w:sz="0" w:space="0" w:color="auto"/>
        <w:bottom w:val="none" w:sz="0" w:space="0" w:color="auto"/>
        <w:right w:val="none" w:sz="0" w:space="0" w:color="auto"/>
      </w:divBdr>
      <w:divsChild>
        <w:div w:id="434055732">
          <w:marLeft w:val="0"/>
          <w:marRight w:val="0"/>
          <w:marTop w:val="0"/>
          <w:marBottom w:val="0"/>
          <w:divBdr>
            <w:top w:val="none" w:sz="0" w:space="0" w:color="auto"/>
            <w:left w:val="none" w:sz="0" w:space="0" w:color="auto"/>
            <w:bottom w:val="none" w:sz="0" w:space="0" w:color="auto"/>
            <w:right w:val="none" w:sz="0" w:space="0" w:color="auto"/>
          </w:divBdr>
          <w:divsChild>
            <w:div w:id="39399254">
              <w:marLeft w:val="0"/>
              <w:marRight w:val="0"/>
              <w:marTop w:val="0"/>
              <w:marBottom w:val="0"/>
              <w:divBdr>
                <w:top w:val="none" w:sz="0" w:space="0" w:color="auto"/>
                <w:left w:val="none" w:sz="0" w:space="0" w:color="auto"/>
                <w:bottom w:val="none" w:sz="0" w:space="0" w:color="auto"/>
                <w:right w:val="none" w:sz="0" w:space="0" w:color="auto"/>
              </w:divBdr>
              <w:divsChild>
                <w:div w:id="1242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39225">
      <w:bodyDiv w:val="1"/>
      <w:marLeft w:val="0"/>
      <w:marRight w:val="0"/>
      <w:marTop w:val="0"/>
      <w:marBottom w:val="0"/>
      <w:divBdr>
        <w:top w:val="none" w:sz="0" w:space="0" w:color="auto"/>
        <w:left w:val="none" w:sz="0" w:space="0" w:color="auto"/>
        <w:bottom w:val="none" w:sz="0" w:space="0" w:color="auto"/>
        <w:right w:val="none" w:sz="0" w:space="0" w:color="auto"/>
      </w:divBdr>
    </w:div>
    <w:div w:id="542210867">
      <w:bodyDiv w:val="1"/>
      <w:marLeft w:val="0"/>
      <w:marRight w:val="0"/>
      <w:marTop w:val="0"/>
      <w:marBottom w:val="0"/>
      <w:divBdr>
        <w:top w:val="none" w:sz="0" w:space="0" w:color="auto"/>
        <w:left w:val="none" w:sz="0" w:space="0" w:color="auto"/>
        <w:bottom w:val="none" w:sz="0" w:space="0" w:color="auto"/>
        <w:right w:val="none" w:sz="0" w:space="0" w:color="auto"/>
      </w:divBdr>
      <w:divsChild>
        <w:div w:id="114955006">
          <w:marLeft w:val="0"/>
          <w:marRight w:val="0"/>
          <w:marTop w:val="0"/>
          <w:marBottom w:val="0"/>
          <w:divBdr>
            <w:top w:val="none" w:sz="0" w:space="0" w:color="auto"/>
            <w:left w:val="none" w:sz="0" w:space="0" w:color="auto"/>
            <w:bottom w:val="none" w:sz="0" w:space="0" w:color="auto"/>
            <w:right w:val="none" w:sz="0" w:space="0" w:color="auto"/>
          </w:divBdr>
          <w:divsChild>
            <w:div w:id="95370384">
              <w:marLeft w:val="0"/>
              <w:marRight w:val="0"/>
              <w:marTop w:val="0"/>
              <w:marBottom w:val="0"/>
              <w:divBdr>
                <w:top w:val="none" w:sz="0" w:space="0" w:color="auto"/>
                <w:left w:val="none" w:sz="0" w:space="0" w:color="auto"/>
                <w:bottom w:val="none" w:sz="0" w:space="0" w:color="auto"/>
                <w:right w:val="none" w:sz="0" w:space="0" w:color="auto"/>
              </w:divBdr>
              <w:divsChild>
                <w:div w:id="1703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7558">
      <w:bodyDiv w:val="1"/>
      <w:marLeft w:val="0"/>
      <w:marRight w:val="0"/>
      <w:marTop w:val="0"/>
      <w:marBottom w:val="0"/>
      <w:divBdr>
        <w:top w:val="none" w:sz="0" w:space="0" w:color="auto"/>
        <w:left w:val="none" w:sz="0" w:space="0" w:color="auto"/>
        <w:bottom w:val="none" w:sz="0" w:space="0" w:color="auto"/>
        <w:right w:val="none" w:sz="0" w:space="0" w:color="auto"/>
      </w:divBdr>
    </w:div>
    <w:div w:id="684475718">
      <w:bodyDiv w:val="1"/>
      <w:marLeft w:val="0"/>
      <w:marRight w:val="0"/>
      <w:marTop w:val="0"/>
      <w:marBottom w:val="0"/>
      <w:divBdr>
        <w:top w:val="none" w:sz="0" w:space="0" w:color="auto"/>
        <w:left w:val="none" w:sz="0" w:space="0" w:color="auto"/>
        <w:bottom w:val="none" w:sz="0" w:space="0" w:color="auto"/>
        <w:right w:val="none" w:sz="0" w:space="0" w:color="auto"/>
      </w:divBdr>
    </w:div>
    <w:div w:id="758255263">
      <w:bodyDiv w:val="1"/>
      <w:marLeft w:val="0"/>
      <w:marRight w:val="0"/>
      <w:marTop w:val="0"/>
      <w:marBottom w:val="0"/>
      <w:divBdr>
        <w:top w:val="none" w:sz="0" w:space="0" w:color="auto"/>
        <w:left w:val="none" w:sz="0" w:space="0" w:color="auto"/>
        <w:bottom w:val="none" w:sz="0" w:space="0" w:color="auto"/>
        <w:right w:val="none" w:sz="0" w:space="0" w:color="auto"/>
      </w:divBdr>
    </w:div>
    <w:div w:id="761147276">
      <w:bodyDiv w:val="1"/>
      <w:marLeft w:val="0"/>
      <w:marRight w:val="0"/>
      <w:marTop w:val="0"/>
      <w:marBottom w:val="0"/>
      <w:divBdr>
        <w:top w:val="none" w:sz="0" w:space="0" w:color="auto"/>
        <w:left w:val="none" w:sz="0" w:space="0" w:color="auto"/>
        <w:bottom w:val="none" w:sz="0" w:space="0" w:color="auto"/>
        <w:right w:val="none" w:sz="0" w:space="0" w:color="auto"/>
      </w:divBdr>
    </w:div>
    <w:div w:id="799299224">
      <w:bodyDiv w:val="1"/>
      <w:marLeft w:val="0"/>
      <w:marRight w:val="0"/>
      <w:marTop w:val="0"/>
      <w:marBottom w:val="0"/>
      <w:divBdr>
        <w:top w:val="none" w:sz="0" w:space="0" w:color="auto"/>
        <w:left w:val="none" w:sz="0" w:space="0" w:color="auto"/>
        <w:bottom w:val="none" w:sz="0" w:space="0" w:color="auto"/>
        <w:right w:val="none" w:sz="0" w:space="0" w:color="auto"/>
      </w:divBdr>
    </w:div>
    <w:div w:id="805389697">
      <w:bodyDiv w:val="1"/>
      <w:marLeft w:val="0"/>
      <w:marRight w:val="0"/>
      <w:marTop w:val="0"/>
      <w:marBottom w:val="0"/>
      <w:divBdr>
        <w:top w:val="none" w:sz="0" w:space="0" w:color="auto"/>
        <w:left w:val="none" w:sz="0" w:space="0" w:color="auto"/>
        <w:bottom w:val="none" w:sz="0" w:space="0" w:color="auto"/>
        <w:right w:val="none" w:sz="0" w:space="0" w:color="auto"/>
      </w:divBdr>
    </w:div>
    <w:div w:id="831721373">
      <w:bodyDiv w:val="1"/>
      <w:marLeft w:val="0"/>
      <w:marRight w:val="0"/>
      <w:marTop w:val="0"/>
      <w:marBottom w:val="0"/>
      <w:divBdr>
        <w:top w:val="none" w:sz="0" w:space="0" w:color="auto"/>
        <w:left w:val="none" w:sz="0" w:space="0" w:color="auto"/>
        <w:bottom w:val="none" w:sz="0" w:space="0" w:color="auto"/>
        <w:right w:val="none" w:sz="0" w:space="0" w:color="auto"/>
      </w:divBdr>
      <w:divsChild>
        <w:div w:id="873078807">
          <w:marLeft w:val="0"/>
          <w:marRight w:val="0"/>
          <w:marTop w:val="0"/>
          <w:marBottom w:val="0"/>
          <w:divBdr>
            <w:top w:val="none" w:sz="0" w:space="0" w:color="auto"/>
            <w:left w:val="none" w:sz="0" w:space="0" w:color="auto"/>
            <w:bottom w:val="none" w:sz="0" w:space="0" w:color="auto"/>
            <w:right w:val="none" w:sz="0" w:space="0" w:color="auto"/>
          </w:divBdr>
          <w:divsChild>
            <w:div w:id="871766516">
              <w:marLeft w:val="0"/>
              <w:marRight w:val="0"/>
              <w:marTop w:val="0"/>
              <w:marBottom w:val="0"/>
              <w:divBdr>
                <w:top w:val="none" w:sz="0" w:space="0" w:color="auto"/>
                <w:left w:val="none" w:sz="0" w:space="0" w:color="auto"/>
                <w:bottom w:val="none" w:sz="0" w:space="0" w:color="auto"/>
                <w:right w:val="none" w:sz="0" w:space="0" w:color="auto"/>
              </w:divBdr>
              <w:divsChild>
                <w:div w:id="18469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0540">
      <w:bodyDiv w:val="1"/>
      <w:marLeft w:val="0"/>
      <w:marRight w:val="0"/>
      <w:marTop w:val="0"/>
      <w:marBottom w:val="0"/>
      <w:divBdr>
        <w:top w:val="none" w:sz="0" w:space="0" w:color="auto"/>
        <w:left w:val="none" w:sz="0" w:space="0" w:color="auto"/>
        <w:bottom w:val="none" w:sz="0" w:space="0" w:color="auto"/>
        <w:right w:val="none" w:sz="0" w:space="0" w:color="auto"/>
      </w:divBdr>
    </w:div>
    <w:div w:id="869336362">
      <w:bodyDiv w:val="1"/>
      <w:marLeft w:val="0"/>
      <w:marRight w:val="0"/>
      <w:marTop w:val="0"/>
      <w:marBottom w:val="0"/>
      <w:divBdr>
        <w:top w:val="none" w:sz="0" w:space="0" w:color="auto"/>
        <w:left w:val="none" w:sz="0" w:space="0" w:color="auto"/>
        <w:bottom w:val="none" w:sz="0" w:space="0" w:color="auto"/>
        <w:right w:val="none" w:sz="0" w:space="0" w:color="auto"/>
      </w:divBdr>
    </w:div>
    <w:div w:id="1082721999">
      <w:bodyDiv w:val="1"/>
      <w:marLeft w:val="0"/>
      <w:marRight w:val="0"/>
      <w:marTop w:val="0"/>
      <w:marBottom w:val="0"/>
      <w:divBdr>
        <w:top w:val="none" w:sz="0" w:space="0" w:color="auto"/>
        <w:left w:val="none" w:sz="0" w:space="0" w:color="auto"/>
        <w:bottom w:val="none" w:sz="0" w:space="0" w:color="auto"/>
        <w:right w:val="none" w:sz="0" w:space="0" w:color="auto"/>
      </w:divBdr>
    </w:div>
    <w:div w:id="1228303866">
      <w:bodyDiv w:val="1"/>
      <w:marLeft w:val="0"/>
      <w:marRight w:val="0"/>
      <w:marTop w:val="0"/>
      <w:marBottom w:val="0"/>
      <w:divBdr>
        <w:top w:val="none" w:sz="0" w:space="0" w:color="auto"/>
        <w:left w:val="none" w:sz="0" w:space="0" w:color="auto"/>
        <w:bottom w:val="none" w:sz="0" w:space="0" w:color="auto"/>
        <w:right w:val="none" w:sz="0" w:space="0" w:color="auto"/>
      </w:divBdr>
    </w:div>
    <w:div w:id="1233155216">
      <w:bodyDiv w:val="1"/>
      <w:marLeft w:val="0"/>
      <w:marRight w:val="0"/>
      <w:marTop w:val="0"/>
      <w:marBottom w:val="0"/>
      <w:divBdr>
        <w:top w:val="none" w:sz="0" w:space="0" w:color="auto"/>
        <w:left w:val="none" w:sz="0" w:space="0" w:color="auto"/>
        <w:bottom w:val="none" w:sz="0" w:space="0" w:color="auto"/>
        <w:right w:val="none" w:sz="0" w:space="0" w:color="auto"/>
      </w:divBdr>
    </w:div>
    <w:div w:id="1332417322">
      <w:bodyDiv w:val="1"/>
      <w:marLeft w:val="0"/>
      <w:marRight w:val="0"/>
      <w:marTop w:val="0"/>
      <w:marBottom w:val="0"/>
      <w:divBdr>
        <w:top w:val="none" w:sz="0" w:space="0" w:color="auto"/>
        <w:left w:val="none" w:sz="0" w:space="0" w:color="auto"/>
        <w:bottom w:val="none" w:sz="0" w:space="0" w:color="auto"/>
        <w:right w:val="none" w:sz="0" w:space="0" w:color="auto"/>
      </w:divBdr>
    </w:div>
    <w:div w:id="1388338251">
      <w:bodyDiv w:val="1"/>
      <w:marLeft w:val="0"/>
      <w:marRight w:val="0"/>
      <w:marTop w:val="0"/>
      <w:marBottom w:val="0"/>
      <w:divBdr>
        <w:top w:val="none" w:sz="0" w:space="0" w:color="auto"/>
        <w:left w:val="none" w:sz="0" w:space="0" w:color="auto"/>
        <w:bottom w:val="none" w:sz="0" w:space="0" w:color="auto"/>
        <w:right w:val="none" w:sz="0" w:space="0" w:color="auto"/>
      </w:divBdr>
    </w:div>
    <w:div w:id="1465347461">
      <w:bodyDiv w:val="1"/>
      <w:marLeft w:val="0"/>
      <w:marRight w:val="0"/>
      <w:marTop w:val="0"/>
      <w:marBottom w:val="0"/>
      <w:divBdr>
        <w:top w:val="none" w:sz="0" w:space="0" w:color="auto"/>
        <w:left w:val="none" w:sz="0" w:space="0" w:color="auto"/>
        <w:bottom w:val="none" w:sz="0" w:space="0" w:color="auto"/>
        <w:right w:val="none" w:sz="0" w:space="0" w:color="auto"/>
      </w:divBdr>
      <w:divsChild>
        <w:div w:id="1853102334">
          <w:marLeft w:val="0"/>
          <w:marRight w:val="0"/>
          <w:marTop w:val="0"/>
          <w:marBottom w:val="0"/>
          <w:divBdr>
            <w:top w:val="none" w:sz="0" w:space="0" w:color="auto"/>
            <w:left w:val="none" w:sz="0" w:space="0" w:color="auto"/>
            <w:bottom w:val="none" w:sz="0" w:space="0" w:color="auto"/>
            <w:right w:val="none" w:sz="0" w:space="0" w:color="auto"/>
          </w:divBdr>
          <w:divsChild>
            <w:div w:id="5030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751">
      <w:bodyDiv w:val="1"/>
      <w:marLeft w:val="0"/>
      <w:marRight w:val="0"/>
      <w:marTop w:val="0"/>
      <w:marBottom w:val="0"/>
      <w:divBdr>
        <w:top w:val="none" w:sz="0" w:space="0" w:color="auto"/>
        <w:left w:val="none" w:sz="0" w:space="0" w:color="auto"/>
        <w:bottom w:val="none" w:sz="0" w:space="0" w:color="auto"/>
        <w:right w:val="none" w:sz="0" w:space="0" w:color="auto"/>
      </w:divBdr>
    </w:div>
    <w:div w:id="1913000558">
      <w:bodyDiv w:val="1"/>
      <w:marLeft w:val="0"/>
      <w:marRight w:val="0"/>
      <w:marTop w:val="0"/>
      <w:marBottom w:val="0"/>
      <w:divBdr>
        <w:top w:val="none" w:sz="0" w:space="0" w:color="auto"/>
        <w:left w:val="none" w:sz="0" w:space="0" w:color="auto"/>
        <w:bottom w:val="none" w:sz="0" w:space="0" w:color="auto"/>
        <w:right w:val="none" w:sz="0" w:space="0" w:color="auto"/>
      </w:divBdr>
    </w:div>
    <w:div w:id="2006080679">
      <w:bodyDiv w:val="1"/>
      <w:marLeft w:val="0"/>
      <w:marRight w:val="0"/>
      <w:marTop w:val="0"/>
      <w:marBottom w:val="0"/>
      <w:divBdr>
        <w:top w:val="none" w:sz="0" w:space="0" w:color="auto"/>
        <w:left w:val="none" w:sz="0" w:space="0" w:color="auto"/>
        <w:bottom w:val="none" w:sz="0" w:space="0" w:color="auto"/>
        <w:right w:val="none" w:sz="0" w:space="0" w:color="auto"/>
      </w:divBdr>
    </w:div>
    <w:div w:id="2074233794">
      <w:bodyDiv w:val="1"/>
      <w:marLeft w:val="0"/>
      <w:marRight w:val="0"/>
      <w:marTop w:val="0"/>
      <w:marBottom w:val="0"/>
      <w:divBdr>
        <w:top w:val="none" w:sz="0" w:space="0" w:color="auto"/>
        <w:left w:val="none" w:sz="0" w:space="0" w:color="auto"/>
        <w:bottom w:val="none" w:sz="0" w:space="0" w:color="auto"/>
        <w:right w:val="none" w:sz="0" w:space="0" w:color="auto"/>
      </w:divBdr>
    </w:div>
    <w:div w:id="2088647279">
      <w:bodyDiv w:val="1"/>
      <w:marLeft w:val="0"/>
      <w:marRight w:val="0"/>
      <w:marTop w:val="0"/>
      <w:marBottom w:val="0"/>
      <w:divBdr>
        <w:top w:val="none" w:sz="0" w:space="0" w:color="auto"/>
        <w:left w:val="none" w:sz="0" w:space="0" w:color="auto"/>
        <w:bottom w:val="none" w:sz="0" w:space="0" w:color="auto"/>
        <w:right w:val="none" w:sz="0" w:space="0" w:color="auto"/>
      </w:divBdr>
    </w:div>
    <w:div w:id="2114933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ues.lortie-forgues@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CE10-36EE-4769-AC42-AE785EAC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APA 5th Edition Template</vt:lpstr>
    </vt:vector>
  </TitlesOfParts>
  <Manager/>
  <Company/>
  <LinksUpToDate>false</LinksUpToDate>
  <CharactersWithSpaces>9513</CharactersWithSpaces>
  <SharedDoc>false</SharedDoc>
  <HyperlinkBase>www.apastyle.info</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5th Edition Template</dc:title>
  <dc:subject/>
  <dc:creator>Matthew Inglis</dc:creator>
  <cp:keywords/>
  <dc:description/>
  <cp:lastModifiedBy>Hugues Lortie-Forgues</cp:lastModifiedBy>
  <cp:revision>7</cp:revision>
  <cp:lastPrinted>2019-06-05T16:39:00Z</cp:lastPrinted>
  <dcterms:created xsi:type="dcterms:W3CDTF">2019-06-09T14:08:00Z</dcterms:created>
  <dcterms:modified xsi:type="dcterms:W3CDTF">2019-09-12T17:03:00Z</dcterms:modified>
  <cp:category/>
</cp:coreProperties>
</file>