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3A22D" w14:textId="6A6C1519" w:rsidR="00D015BE" w:rsidRDefault="005F2817" w:rsidP="00791F69">
      <w:pPr>
        <w:spacing w:line="360" w:lineRule="auto"/>
        <w:jc w:val="center"/>
        <w:rPr>
          <w:rFonts w:ascii="Times New Roman" w:hAnsi="Times New Roman" w:cs="Times New Roman"/>
          <w:b/>
          <w:sz w:val="28"/>
        </w:rPr>
      </w:pPr>
      <w:r w:rsidRPr="00791F69">
        <w:rPr>
          <w:rFonts w:ascii="Times New Roman" w:hAnsi="Times New Roman" w:cs="Times New Roman"/>
          <w:b/>
          <w:sz w:val="28"/>
        </w:rPr>
        <w:t xml:space="preserve">Culture matters: Comments on Chan’s and Flemmen’s et al. contributions to the field of cultural participation </w:t>
      </w:r>
    </w:p>
    <w:p w14:paraId="6D9E1C88" w14:textId="65B9825E" w:rsidR="00D365B4" w:rsidRPr="00791F69" w:rsidRDefault="00D365B4" w:rsidP="00791F69">
      <w:pPr>
        <w:spacing w:line="360" w:lineRule="auto"/>
        <w:jc w:val="center"/>
        <w:rPr>
          <w:rFonts w:ascii="Times New Roman" w:hAnsi="Times New Roman" w:cs="Times New Roman"/>
          <w:b/>
          <w:sz w:val="28"/>
        </w:rPr>
      </w:pPr>
      <w:r>
        <w:rPr>
          <w:rFonts w:ascii="Times New Roman" w:hAnsi="Times New Roman" w:cs="Times New Roman"/>
          <w:b/>
          <w:sz w:val="28"/>
        </w:rPr>
        <w:t>Laurie Hanquinet</w:t>
      </w:r>
      <w:bookmarkStart w:id="0" w:name="_GoBack"/>
      <w:bookmarkEnd w:id="0"/>
    </w:p>
    <w:p w14:paraId="35F17ABB" w14:textId="4C2772DB" w:rsidR="00D015BE" w:rsidRPr="00791F69" w:rsidRDefault="00D015BE" w:rsidP="00791F69">
      <w:pPr>
        <w:spacing w:line="360" w:lineRule="auto"/>
        <w:jc w:val="center"/>
        <w:rPr>
          <w:rFonts w:ascii="Times New Roman" w:hAnsi="Times New Roman" w:cs="Times New Roman"/>
          <w:b/>
          <w:sz w:val="28"/>
        </w:rPr>
      </w:pPr>
    </w:p>
    <w:p w14:paraId="2EDFCC19" w14:textId="77777777" w:rsidR="00D015BE" w:rsidRPr="00791F69" w:rsidRDefault="00D015BE" w:rsidP="00791F69">
      <w:pPr>
        <w:spacing w:line="360" w:lineRule="auto"/>
        <w:rPr>
          <w:rFonts w:ascii="Times New Roman" w:hAnsi="Times New Roman" w:cs="Times New Roman"/>
        </w:rPr>
      </w:pPr>
    </w:p>
    <w:p w14:paraId="5AA5ADA7" w14:textId="2C4B0449" w:rsidR="00D015BE" w:rsidRPr="00791F69" w:rsidRDefault="00D015BE" w:rsidP="00791F69">
      <w:pPr>
        <w:spacing w:line="360" w:lineRule="auto"/>
        <w:jc w:val="both"/>
        <w:rPr>
          <w:rFonts w:ascii="Times New Roman" w:hAnsi="Times New Roman" w:cs="Times New Roman"/>
        </w:rPr>
      </w:pPr>
      <w:r w:rsidRPr="00791F69">
        <w:rPr>
          <w:rFonts w:ascii="Times New Roman" w:hAnsi="Times New Roman" w:cs="Times New Roman"/>
        </w:rPr>
        <w:t>Flemmen, Jarness, and Rosenlund’s contribution is an intense critique of one of Chan and Goldthorpe’s first incursions in the field of cultural consumption. Indeed, in 2005 and 2007, the pair published a series of articles in key journals in which they sought to show that social status was more important than class or income to account for disparities in cultural behavio</w:t>
      </w:r>
      <w:r w:rsidR="00E5021E" w:rsidRPr="00791F69">
        <w:rPr>
          <w:rFonts w:ascii="Times New Roman" w:hAnsi="Times New Roman" w:cs="Times New Roman"/>
        </w:rPr>
        <w:t>u</w:t>
      </w:r>
      <w:r w:rsidRPr="00791F69">
        <w:rPr>
          <w:rFonts w:ascii="Times New Roman" w:hAnsi="Times New Roman" w:cs="Times New Roman"/>
        </w:rPr>
        <w:t>rs</w:t>
      </w:r>
      <w:r w:rsidR="00E5021E" w:rsidRPr="00791F69">
        <w:rPr>
          <w:rFonts w:ascii="Times New Roman" w:hAnsi="Times New Roman" w:cs="Times New Roman"/>
        </w:rPr>
        <w:t xml:space="preserve"> </w:t>
      </w:r>
      <w:r w:rsidR="00E5021E" w:rsidRPr="00791F69">
        <w:rPr>
          <w:rFonts w:ascii="Times New Roman" w:hAnsi="Times New Roman" w:cs="Times New Roman"/>
        </w:rPr>
        <w:fldChar w:fldCharType="begin" w:fldLock="1"/>
      </w:r>
      <w:r w:rsidR="00176701">
        <w:rPr>
          <w:rFonts w:ascii="Times New Roman" w:hAnsi="Times New Roman" w:cs="Times New Roman"/>
        </w:rPr>
        <w:instrText>ADDIN CSL_CITATION {"citationItems":[{"id":"ITEM-1","itemData":{"DOI":"10.1093/esr/jcl016","ISBN":"0266-7215","ISSN":"02667215","abstract":"In this article we use recent survey data to test three arguments on the relationship between social stratification and cultural consumption: i.e. what we label as the homology, individualization and omnivore–univore arguments. We note various conceptual and methodological problems in the ways these arguments have been advanced, and stress in particular the importance of maintaining the Weberian distinction between class and status. We concentrate on musical consumption and apply latent class models to identify types of musical consumer. We then examine the social character of these types through a regression analysis that includes a range of demographic and stratification variables. As would be anticipated from a Weberian standpoint, type of musical consumption proves to be more closely associated with status, and also with education, than with class. In general, our results provide little support for the homology or individualisation arguments. They are more consonant with the omnivore–univore argument, although a number of qualifications to this are also suggested. Introduction—The Three","author":[{"dropping-particle":"","family":"Chan","given":"Tak Wing","non-dropping-particle":"","parse-names":false,"suffix":""},{"dropping-particle":"","family":"Goldthorpe","given":"John H.","non-dropping-particle":"","parse-names":false,"suffix":""}],"container-title":"European Sociological Review","id":"ITEM-1","issue":"1","issued":{"date-parts":[["2007"]]},"page":"1-19","title":"Social stratification and cultural consumption: Music in England","type":"article-journal","volume":"23"},"uris":["http://www.mendeley.com/documents/?uuid=84475e57-d055-4584-b6cf-7268f35f0cb6"]},{"id":"ITEM-2","itemData":{"DOI":"10.1016/j.poetic.2007.05.002","ISBN":"0304-422X","ISSN":"0304422X","abstract":"In this paper, we use recent survey data on the visual arts in order to test three arguments concerning the relationship between social stratification and cultural consumption: i.e. what we label as the 'homology', the 'individualisation' and the 'omnivore-univore' arguments. Through latent class analysis, we identify three types of consumer in the visual arts-'omnivores', 'paucivores' and non-consumers or 'inactives'. We then examine the social character of these types through a regression analysis that includes a range of demographic and stratification variables. As would be expected from a Weberian standpoint, the types are more strongly differentiated by status than by class-or income. Education is still more important than status, although how far it should be interpreted as a stratification variable can be questioned. Our findings reinforce those we have previously reported on cultural consumption in the domains of music and of theatre, dance and cinema in indicating that the homology and individualisation arguments lack empirical support. Further, though, the omnivore-univore argument seems less applicable in the visual arts than in other domains. Univores are not apparent and it is inactives that represent the numerically most important type. Moreover, it is in the distinction between inactives, on the one hand, and omnivores and paucivores together, on the other, that social stratification is most obviously expressed. ?? 2007 Elsevier B.V. All rights reserved.","author":[{"dropping-particle":"","family":"Chan","given":"Tak Wing","non-dropping-particle":"","parse-names":false,"suffix":""},{"dropping-particle":"","family":"Goldthorpe","given":"John H.","non-dropping-particle":"","parse-names":false,"suffix":""}],"container-title":"Poetics","id":"ITEM-2","issue":"2-3","issued":{"date-parts":[["2007","4"]]},"page":"168-190","title":"Social stratification and cultural consumption: The visual arts in England","type":"article-journal","volume":"35"},"uris":["http://www.mendeley.com/documents/?uuid=8fe2a47d-c0a4-417f-ab2b-980727d93cc6"]},{"id":"ITEM-3","itemData":{"author":[{"dropping-particle":"","family":"Chan","given":"Tak Wing","non-dropping-particle":"","parse-names":false,"suffix":""},{"dropping-particle":"","family":"Goldthorpe","given":"John H","non-dropping-particle":"","parse-names":false,"suffix":""}],"container-title":"Cultural Trends","id":"ITEM-3","issue":"55","issued":{"date-parts":[["2005"]]},"page":"193-212","title":"The Social Stratification of Theatre , Dance and Cinema Attendance","type":"article-journal","volume":"14"},"uris":["http://www.mendeley.com/documents/?uuid=199ee0ee-9fc2-4c29-a574-aa05e9c4a04a"]}],"mendeley":{"formattedCitation":"(Chan and Goldthorpe 2005, 2007b, 2007c)","manualFormatting":"(Chan and Goldthorpe 2005; Chan and Goldthorpe 2007b, 2007c)","plainTextFormattedCitation":"(Chan and Goldthorpe 2005, 2007b, 2007c)","previouslyFormattedCitation":"(Chan and Goldthorpe 2005, 2007b, 2007c)"},"properties":{"noteIndex":0},"schema":"https://github.com/citation-style-language/schema/raw/master/csl-citation.json"}</w:instrText>
      </w:r>
      <w:r w:rsidR="00E5021E" w:rsidRPr="00791F69">
        <w:rPr>
          <w:rFonts w:ascii="Times New Roman" w:hAnsi="Times New Roman" w:cs="Times New Roman"/>
        </w:rPr>
        <w:fldChar w:fldCharType="separate"/>
      </w:r>
      <w:r w:rsidR="009228BB" w:rsidRPr="009228BB">
        <w:rPr>
          <w:rFonts w:ascii="Times New Roman" w:hAnsi="Times New Roman" w:cs="Times New Roman"/>
          <w:noProof/>
        </w:rPr>
        <w:t>(Chan and Goldthorpe 2005; Chan and Goldthorpe 2007b, 2007c)</w:t>
      </w:r>
      <w:r w:rsidR="00E5021E" w:rsidRPr="00791F69">
        <w:rPr>
          <w:rFonts w:ascii="Times New Roman" w:hAnsi="Times New Roman" w:cs="Times New Roman"/>
        </w:rPr>
        <w:fldChar w:fldCharType="end"/>
      </w:r>
      <w:r w:rsidRPr="00791F69">
        <w:rPr>
          <w:rFonts w:ascii="Times New Roman" w:hAnsi="Times New Roman" w:cs="Times New Roman"/>
        </w:rPr>
        <w:t>. In their view, they rebutted Bourdieu’s homology a</w:t>
      </w:r>
      <w:r w:rsidR="00926DC3">
        <w:rPr>
          <w:rFonts w:ascii="Times New Roman" w:hAnsi="Times New Roman" w:cs="Times New Roman"/>
        </w:rPr>
        <w:t>rgument between class and taste</w:t>
      </w:r>
      <w:r w:rsidRPr="00791F69">
        <w:rPr>
          <w:rFonts w:ascii="Times New Roman" w:hAnsi="Times New Roman" w:cs="Times New Roman"/>
        </w:rPr>
        <w:t xml:space="preserve"> but also provided their own spin on the then increasingly trendy notions of omnivores and univores</w:t>
      </w:r>
      <w:r w:rsidR="00065F50" w:rsidRPr="00791F69">
        <w:rPr>
          <w:rFonts w:ascii="Times New Roman" w:hAnsi="Times New Roman" w:cs="Times New Roman"/>
        </w:rPr>
        <w:t xml:space="preserve"> </w:t>
      </w:r>
      <w:r w:rsidR="000A406E">
        <w:rPr>
          <w:rFonts w:ascii="Times New Roman" w:hAnsi="Times New Roman" w:cs="Times New Roman"/>
        </w:rPr>
        <w:fldChar w:fldCharType="begin" w:fldLock="1"/>
      </w:r>
      <w:r w:rsidR="000A406E">
        <w:rPr>
          <w:rFonts w:ascii="Times New Roman" w:hAnsi="Times New Roman" w:cs="Times New Roman"/>
        </w:rPr>
        <w:instrText>ADDIN CSL_CITATION {"citationItems":[{"id":"ITEM-1","itemData":{"author":[{"dropping-particle":"","family":"Peterson","given":"R.","non-dropping-particle":"","parse-names":false,"suffix":""},{"dropping-particle":"","family":"Simkus","given":"A.","non-dropping-particle":"","parse-names":false,"suffix":""}],"container-title":"Cultivating Differences. Symbolic boundaries and the making of inequality","editor":[{"dropping-particle":"","family":"Lamont","given":"Michèle; Fournier Marcel","non-dropping-particle":"","parse-names":false,"suffix":""}],"id":"ITEM-1","issued":{"date-parts":[["1992"]]},"page":"152-187","publisher":"The University of Chicago Press","publisher-place":"Chicago","title":"How Musical Tastes Mark Occupational Status Groups","type":"chapter"},"uris":["http://www.mendeley.com/documents/?uuid=ecbe0a23-8d26-4728-ab1f-69e943a2fbce"]},{"id":"ITEM-2","itemData":{"author":[{"dropping-particle":"","family":"Peterson","given":"R.","non-dropping-particle":"","parse-names":false,"suffix":""},{"dropping-particle":"","family":"Kern","given":"R.","non-dropping-particle":"","parse-names":false,"suffix":""}],"container-title":"American sociological review","id":"ITEM-2","issue":"5","issued":{"date-parts":[["1996"]]},"page":"900-907","title":"Changing highbrow taste: from snob to omnivore","type":"article-journal","volume":"61"},"uris":["http://www.mendeley.com/documents/?uuid=9b027183-a6fd-4e47-9087-d37f1fba3da8"]}],"mendeley":{"formattedCitation":"(Peterson and Kern 1996; Peterson and Simkus 1992)","plainTextFormattedCitation":"(Peterson and Kern 1996; Peterson and Simkus 1992)"},"properties":{"noteIndex":0},"schema":"https://github.com/citation-style-language/schema/raw/master/csl-citation.json"}</w:instrText>
      </w:r>
      <w:r w:rsidR="000A406E">
        <w:rPr>
          <w:rFonts w:ascii="Times New Roman" w:hAnsi="Times New Roman" w:cs="Times New Roman"/>
        </w:rPr>
        <w:fldChar w:fldCharType="separate"/>
      </w:r>
      <w:r w:rsidR="000A406E" w:rsidRPr="000A406E">
        <w:rPr>
          <w:rFonts w:ascii="Times New Roman" w:hAnsi="Times New Roman" w:cs="Times New Roman"/>
          <w:noProof/>
        </w:rPr>
        <w:t>(Peterson and Kern 1996; Peterson and Simkus 1992)</w:t>
      </w:r>
      <w:r w:rsidR="000A406E">
        <w:rPr>
          <w:rFonts w:ascii="Times New Roman" w:hAnsi="Times New Roman" w:cs="Times New Roman"/>
        </w:rPr>
        <w:fldChar w:fldCharType="end"/>
      </w:r>
      <w:r w:rsidRPr="00791F69">
        <w:rPr>
          <w:rFonts w:ascii="Times New Roman" w:hAnsi="Times New Roman" w:cs="Times New Roman"/>
        </w:rPr>
        <w:t>. Especially thei</w:t>
      </w:r>
      <w:r w:rsidR="00EE2D2B" w:rsidRPr="00791F69">
        <w:rPr>
          <w:rFonts w:ascii="Times New Roman" w:hAnsi="Times New Roman" w:cs="Times New Roman"/>
        </w:rPr>
        <w:t>r 2007 article in Poetics spark</w:t>
      </w:r>
      <w:r w:rsidRPr="00791F69">
        <w:rPr>
          <w:rFonts w:ascii="Times New Roman" w:hAnsi="Times New Roman" w:cs="Times New Roman"/>
        </w:rPr>
        <w:t xml:space="preserve">ed an interesting debate </w:t>
      </w:r>
      <w:r w:rsidR="00F879E1" w:rsidRPr="00791F69">
        <w:rPr>
          <w:rFonts w:ascii="Times New Roman" w:hAnsi="Times New Roman" w:cs="Times New Roman"/>
        </w:rPr>
        <w:t>about which data</w:t>
      </w:r>
      <w:r w:rsidR="00E5021E" w:rsidRPr="00791F69">
        <w:rPr>
          <w:rFonts w:ascii="Times New Roman" w:hAnsi="Times New Roman" w:cs="Times New Roman"/>
        </w:rPr>
        <w:t>, measurements</w:t>
      </w:r>
      <w:r w:rsidR="00463FF7" w:rsidRPr="00791F69">
        <w:rPr>
          <w:rFonts w:ascii="Times New Roman" w:hAnsi="Times New Roman" w:cs="Times New Roman"/>
        </w:rPr>
        <w:t xml:space="preserve"> and</w:t>
      </w:r>
      <w:r w:rsidR="00EE2D2B" w:rsidRPr="00791F69">
        <w:rPr>
          <w:rFonts w:ascii="Times New Roman" w:hAnsi="Times New Roman" w:cs="Times New Roman"/>
        </w:rPr>
        <w:t xml:space="preserve"> methods </w:t>
      </w:r>
      <w:r w:rsidR="00463FF7" w:rsidRPr="00791F69">
        <w:rPr>
          <w:rFonts w:ascii="Times New Roman" w:hAnsi="Times New Roman" w:cs="Times New Roman"/>
        </w:rPr>
        <w:t>to use</w:t>
      </w:r>
      <w:r w:rsidR="00EE2D2B" w:rsidRPr="00791F69">
        <w:rPr>
          <w:rFonts w:ascii="Times New Roman" w:hAnsi="Times New Roman" w:cs="Times New Roman"/>
        </w:rPr>
        <w:t xml:space="preserve"> </w:t>
      </w:r>
      <w:r w:rsidR="004B01F6">
        <w:rPr>
          <w:rFonts w:ascii="Times New Roman" w:hAnsi="Times New Roman" w:cs="Times New Roman"/>
        </w:rPr>
        <w:t xml:space="preserve">in order </w:t>
      </w:r>
      <w:r w:rsidR="00EE2D2B" w:rsidRPr="00791F69">
        <w:rPr>
          <w:rFonts w:ascii="Times New Roman" w:hAnsi="Times New Roman" w:cs="Times New Roman"/>
        </w:rPr>
        <w:t xml:space="preserve">to test </w:t>
      </w:r>
      <w:r w:rsidR="00F879E1" w:rsidRPr="00791F69">
        <w:rPr>
          <w:rFonts w:ascii="Times New Roman" w:hAnsi="Times New Roman" w:cs="Times New Roman"/>
        </w:rPr>
        <w:t xml:space="preserve">the homology thesis </w:t>
      </w:r>
      <w:r w:rsidR="00963E84" w:rsidRPr="00791F69">
        <w:rPr>
          <w:rFonts w:ascii="Times New Roman" w:hAnsi="Times New Roman" w:cs="Times New Roman"/>
        </w:rPr>
        <w:t xml:space="preserve">but also </w:t>
      </w:r>
      <w:r w:rsidR="004B01F6">
        <w:rPr>
          <w:rFonts w:ascii="Times New Roman" w:hAnsi="Times New Roman" w:cs="Times New Roman"/>
        </w:rPr>
        <w:t xml:space="preserve">about </w:t>
      </w:r>
      <w:r w:rsidR="00963E84" w:rsidRPr="00791F69">
        <w:rPr>
          <w:rFonts w:ascii="Times New Roman" w:hAnsi="Times New Roman" w:cs="Times New Roman"/>
        </w:rPr>
        <w:t>how to assess highbrow/ lowbrow participation and omnivorousness</w:t>
      </w:r>
      <w:r w:rsidR="00E5021E" w:rsidRPr="00791F69">
        <w:rPr>
          <w:rFonts w:ascii="Times New Roman" w:hAnsi="Times New Roman" w:cs="Times New Roman"/>
        </w:rPr>
        <w:t xml:space="preserve"> </w:t>
      </w:r>
      <w:r w:rsidR="00E5021E" w:rsidRPr="00791F69">
        <w:rPr>
          <w:rFonts w:ascii="Times New Roman" w:hAnsi="Times New Roman" w:cs="Times New Roman"/>
        </w:rPr>
        <w:fldChar w:fldCharType="begin" w:fldLock="1"/>
      </w:r>
      <w:r w:rsidR="00176701">
        <w:rPr>
          <w:rFonts w:ascii="Times New Roman" w:hAnsi="Times New Roman" w:cs="Times New Roman"/>
        </w:rPr>
        <w:instrText>ADDIN CSL_CITATION {"citationItems":[{"id":"ITEM-1","itemData":{"DOI":"http://dx.doi.org/10.1016/j.poetic.2007.06.002","ISSN":"0304-422X","author":[{"dropping-particle":"","family":"Wuggenig","given":"Ulf","non-dropping-particle":"","parse-names":false,"suffix":""}],"container-title":"Poetics","id":"ITEM-1","issue":"4–5","issued":{"date-parts":[["2007","8"]]},"page":"306-316","title":"Comments on Chan and Goldthorpe: Pitfalls in testing Bourdieu's homology assumptions using mainstream social science methodology: Social stratification and cultural consumption: The visual arts in England","type":"article-journal","volume":"35"},"uris":["http://www.mendeley.com/documents/?uuid=a9f4d3e5-39b9-4569-a5ea-e04737e72c42"]},{"id":"ITEM-2","itemData":{"DOI":"10.1016/j.poetic.2007.06.004","author":[{"dropping-particle":"","family":"Chan","given":"Tak Wing","non-dropping-particle":"","parse-names":false,"suffix":""},{"dropping-particle":"","family":"Goldthorpe","given":"John H.","non-dropping-particle":"","parse-names":false,"suffix":""}],"container-title":"Poetics","id":"ITEM-2","issued":{"date-parts":[["2007"]]},"page":"317-329","title":"Data, methods and interpretation in analyses of cultural consumption : A reply to Peterson and Wuggenig","type":"article-journal","volume":"35"},"uris":["http://www.mendeley.com/documents/?uuid=39d54e84-7440-4a08-a077-400ab2ca56e3"]},{"id":"ITEM-3","itemData":{"DOI":"10.1016/j.poetic.2007.06.001","author":[{"dropping-particle":"","family":"Peterson","given":"Richard A","non-dropping-particle":"","parse-names":false,"suffix":""}],"id":"ITEM-3","issued":{"date-parts":[["2007"]]},"page":"301-305","title":"Comment on Chan and Goldthorpe : Omnivore , what ’ s in a name , what ’ s in a measure ?","type":"article-journal","volume":"35"},"uris":["http://www.mendeley.com/documents/?uuid=b39de36f-f765-474d-9f73-5ede3f6e2c88"]}],"mendeley":{"formattedCitation":"(Chan and Goldthorpe 2007a; Peterson 2007; Wuggenig 2007)","manualFormatting":"(Chan and Goldthorpe 2007a; Peterson 2007; Wuggenig 2007)","plainTextFormattedCitation":"(Chan and Goldthorpe 2007a; Peterson 2007; Wuggenig 2007)","previouslyFormattedCitation":"(Chan and Goldthorpe 2007a; Peterson 2007; Wuggenig 2007)"},"properties":{"noteIndex":0},"schema":"https://github.com/citation-style-language/schema/raw/master/csl-citation.json"}</w:instrText>
      </w:r>
      <w:r w:rsidR="00E5021E" w:rsidRPr="00791F69">
        <w:rPr>
          <w:rFonts w:ascii="Times New Roman" w:hAnsi="Times New Roman" w:cs="Times New Roman"/>
        </w:rPr>
        <w:fldChar w:fldCharType="separate"/>
      </w:r>
      <w:r w:rsidR="009228BB" w:rsidRPr="009228BB">
        <w:rPr>
          <w:rFonts w:ascii="Times New Roman" w:hAnsi="Times New Roman" w:cs="Times New Roman"/>
          <w:noProof/>
        </w:rPr>
        <w:t>(Chan and Goldthorpe 2007a; Peterson 2007; Wuggenig 2007)</w:t>
      </w:r>
      <w:r w:rsidR="00E5021E" w:rsidRPr="00791F69">
        <w:rPr>
          <w:rFonts w:ascii="Times New Roman" w:hAnsi="Times New Roman" w:cs="Times New Roman"/>
        </w:rPr>
        <w:fldChar w:fldCharType="end"/>
      </w:r>
      <w:r w:rsidR="00963E84" w:rsidRPr="00791F69">
        <w:rPr>
          <w:rFonts w:ascii="Times New Roman" w:hAnsi="Times New Roman" w:cs="Times New Roman"/>
        </w:rPr>
        <w:t xml:space="preserve">. </w:t>
      </w:r>
      <w:r w:rsidRPr="00791F69">
        <w:rPr>
          <w:rFonts w:ascii="Times New Roman" w:hAnsi="Times New Roman" w:cs="Times New Roman"/>
        </w:rPr>
        <w:t>Since, dust has settled and</w:t>
      </w:r>
      <w:r w:rsidR="00381EF1">
        <w:rPr>
          <w:rFonts w:ascii="Times New Roman" w:hAnsi="Times New Roman" w:cs="Times New Roman"/>
        </w:rPr>
        <w:t xml:space="preserve"> </w:t>
      </w:r>
      <w:r w:rsidRPr="00791F69">
        <w:rPr>
          <w:rFonts w:ascii="Times New Roman" w:hAnsi="Times New Roman" w:cs="Times New Roman"/>
        </w:rPr>
        <w:t>Chan seems to have carried on developing his own agenda that is visible in his present contribution</w:t>
      </w:r>
      <w:r w:rsidR="00381EF1">
        <w:rPr>
          <w:rFonts w:ascii="Times New Roman" w:hAnsi="Times New Roman" w:cs="Times New Roman"/>
        </w:rPr>
        <w:t xml:space="preserve">, which does not really mention </w:t>
      </w:r>
      <w:r w:rsidR="00381EF1" w:rsidRPr="00791F69">
        <w:rPr>
          <w:rFonts w:ascii="Times New Roman" w:hAnsi="Times New Roman" w:cs="Times New Roman"/>
        </w:rPr>
        <w:t>the debate about the split between class and status</w:t>
      </w:r>
      <w:r w:rsidRPr="00791F69">
        <w:rPr>
          <w:rFonts w:ascii="Times New Roman" w:hAnsi="Times New Roman" w:cs="Times New Roman"/>
        </w:rPr>
        <w:t xml:space="preserve">. </w:t>
      </w:r>
    </w:p>
    <w:p w14:paraId="2103BFF4" w14:textId="77777777" w:rsidR="00D015BE" w:rsidRPr="00791F69" w:rsidRDefault="00D015BE" w:rsidP="00791F69">
      <w:pPr>
        <w:spacing w:line="360" w:lineRule="auto"/>
        <w:jc w:val="both"/>
        <w:rPr>
          <w:rFonts w:ascii="Times New Roman" w:hAnsi="Times New Roman" w:cs="Times New Roman"/>
        </w:rPr>
      </w:pPr>
    </w:p>
    <w:p w14:paraId="27E7B6C7" w14:textId="096E449F" w:rsidR="00D015BE" w:rsidRPr="00791F69" w:rsidRDefault="00381EF1" w:rsidP="00791F69">
      <w:pPr>
        <w:spacing w:line="360" w:lineRule="auto"/>
        <w:jc w:val="both"/>
        <w:rPr>
          <w:rFonts w:ascii="Times New Roman" w:hAnsi="Times New Roman" w:cs="Times New Roman"/>
        </w:rPr>
      </w:pPr>
      <w:r>
        <w:rPr>
          <w:rFonts w:ascii="Times New Roman" w:hAnsi="Times New Roman" w:cs="Times New Roman"/>
        </w:rPr>
        <w:t>Yet, while coming from very different perspectives</w:t>
      </w:r>
      <w:r w:rsidR="00D015BE" w:rsidRPr="00791F69">
        <w:rPr>
          <w:rFonts w:ascii="Times New Roman" w:hAnsi="Times New Roman" w:cs="Times New Roman"/>
        </w:rPr>
        <w:t xml:space="preserve">, there are striking similarities in the general ambition of both </w:t>
      </w:r>
      <w:r w:rsidR="00065F50" w:rsidRPr="00791F69">
        <w:rPr>
          <w:rFonts w:ascii="Times New Roman" w:hAnsi="Times New Roman" w:cs="Times New Roman"/>
        </w:rPr>
        <w:t>contributions</w:t>
      </w:r>
      <w:r w:rsidR="00D015BE" w:rsidRPr="00791F69">
        <w:rPr>
          <w:rFonts w:ascii="Times New Roman" w:hAnsi="Times New Roman" w:cs="Times New Roman"/>
        </w:rPr>
        <w:t xml:space="preserve">. They both want to explore to some extent the links between cultural participation and social stratification. </w:t>
      </w:r>
      <w:r w:rsidR="00065F50" w:rsidRPr="00791F69">
        <w:rPr>
          <w:rFonts w:ascii="Times New Roman" w:hAnsi="Times New Roman" w:cs="Times New Roman"/>
        </w:rPr>
        <w:t>Even if they use very different techniques, they both explore cultural patterns and classify them into clusters as an easier way to account for diversity. Finally, t</w:t>
      </w:r>
      <w:r w:rsidR="00D015BE" w:rsidRPr="00791F69">
        <w:rPr>
          <w:rFonts w:ascii="Times New Roman" w:hAnsi="Times New Roman" w:cs="Times New Roman"/>
        </w:rPr>
        <w:t xml:space="preserve">hey both show that culture matters, although, in each of these papers, culture never matters in itself. I would like to explore these points in more details now. </w:t>
      </w:r>
    </w:p>
    <w:p w14:paraId="7F5BC08A" w14:textId="77777777" w:rsidR="00D015BE" w:rsidRPr="00791F69" w:rsidRDefault="00D015BE" w:rsidP="00791F69">
      <w:pPr>
        <w:spacing w:line="360" w:lineRule="auto"/>
        <w:jc w:val="both"/>
        <w:rPr>
          <w:rFonts w:ascii="Times New Roman" w:hAnsi="Times New Roman" w:cs="Times New Roman"/>
        </w:rPr>
      </w:pPr>
    </w:p>
    <w:p w14:paraId="7DF65C93" w14:textId="77777777" w:rsidR="00D015BE" w:rsidRPr="00791F69" w:rsidRDefault="00D015BE" w:rsidP="00791F69">
      <w:pPr>
        <w:pStyle w:val="ListParagraph"/>
        <w:numPr>
          <w:ilvl w:val="0"/>
          <w:numId w:val="1"/>
        </w:numPr>
        <w:spacing w:line="360" w:lineRule="auto"/>
        <w:rPr>
          <w:rFonts w:ascii="Times New Roman" w:hAnsi="Times New Roman" w:cs="Times New Roman"/>
          <w:b/>
        </w:rPr>
      </w:pPr>
      <w:r w:rsidRPr="00791F69">
        <w:rPr>
          <w:rFonts w:ascii="Times New Roman" w:hAnsi="Times New Roman" w:cs="Times New Roman"/>
          <w:b/>
        </w:rPr>
        <w:t xml:space="preserve">Exploring cultural patterns: data and methods  </w:t>
      </w:r>
    </w:p>
    <w:p w14:paraId="6F4A69B6" w14:textId="77777777" w:rsidR="00D015BE" w:rsidRPr="00791F69" w:rsidRDefault="00D015BE" w:rsidP="00791F69">
      <w:pPr>
        <w:spacing w:line="360" w:lineRule="auto"/>
        <w:rPr>
          <w:rFonts w:ascii="Times New Roman" w:hAnsi="Times New Roman" w:cs="Times New Roman"/>
        </w:rPr>
      </w:pPr>
    </w:p>
    <w:p w14:paraId="14C66421" w14:textId="4CDA2056" w:rsidR="00D015BE" w:rsidRPr="00791F69" w:rsidRDefault="00D015BE" w:rsidP="00791F69">
      <w:pPr>
        <w:spacing w:line="360" w:lineRule="auto"/>
        <w:jc w:val="both"/>
        <w:rPr>
          <w:rFonts w:ascii="Times New Roman" w:hAnsi="Times New Roman" w:cs="Times New Roman"/>
        </w:rPr>
      </w:pPr>
      <w:r w:rsidRPr="00791F69">
        <w:rPr>
          <w:rFonts w:ascii="Times New Roman" w:hAnsi="Times New Roman" w:cs="Times New Roman"/>
        </w:rPr>
        <w:t>The approach to measure cultural participation i</w:t>
      </w:r>
      <w:r w:rsidR="000E4DF4" w:rsidRPr="00791F69">
        <w:rPr>
          <w:rFonts w:ascii="Times New Roman" w:hAnsi="Times New Roman" w:cs="Times New Roman"/>
        </w:rPr>
        <w:t>s very different in each contribution</w:t>
      </w:r>
      <w:r w:rsidRPr="00791F69">
        <w:rPr>
          <w:rFonts w:ascii="Times New Roman" w:hAnsi="Times New Roman" w:cs="Times New Roman"/>
        </w:rPr>
        <w:t xml:space="preserve">. On the one hand, Chan examines a set of 8 indicators from Understanding Society. These 8 items are hard to interpret. In many ways, and maybe with the exception of ‘Carnival or culturally specific festival’, they all are potentially highbrow. The item ‘Rock, pop and jazz’ can have various implications from one individual to another, whether they concentrate on jazz </w:t>
      </w:r>
      <w:r w:rsidRPr="00791F69">
        <w:rPr>
          <w:rFonts w:ascii="Times New Roman" w:hAnsi="Times New Roman" w:cs="Times New Roman"/>
        </w:rPr>
        <w:lastRenderedPageBreak/>
        <w:t>(classically defined as highbrow now) or pop</w:t>
      </w:r>
      <w:r w:rsidR="00CF473C" w:rsidRPr="00791F69">
        <w:rPr>
          <w:rFonts w:ascii="Times New Roman" w:hAnsi="Times New Roman" w:cs="Times New Roman"/>
        </w:rPr>
        <w:t xml:space="preserve"> </w:t>
      </w:r>
      <w:r w:rsidR="00CF473C" w:rsidRPr="00791F69">
        <w:rPr>
          <w:rFonts w:ascii="Times New Roman" w:hAnsi="Times New Roman" w:cs="Times New Roman"/>
        </w:rPr>
        <w:fldChar w:fldCharType="begin" w:fldLock="1"/>
      </w:r>
      <w:r w:rsidR="00A37BF5">
        <w:rPr>
          <w:rFonts w:ascii="Times New Roman" w:hAnsi="Times New Roman" w:cs="Times New Roman"/>
        </w:rPr>
        <w:instrText>ADDIN CSL_CITATION {"citationItems":[{"id":"ITEM-1","itemData":{"author":[{"dropping-particle":"","family":"Lahire","given":"B.","non-dropping-particle":"","parse-names":false,"suffix":""}],"id":"ITEM-1","issued":{"date-parts":[["2006"]]},"publisher":"La découverte","publisher-place":"Paris","title":"La culture des individus. Dissonances culturelles et distinction de soi","type":"book"},"uris":["http://www.mendeley.com/documents/?uuid=27a7aa4e-456f-4f58-9ffc-ffeb261eed58"]},{"id":"ITEM-2","itemData":{"author":[{"dropping-particle":"","family":"Hanquinet","given":"L.","non-dropping-particle":"","parse-names":false,"suffix":""}],"container-title":"Cultural Sociology","id":"ITEM-2","issue":"2","issued":{"date-parts":[["2017"]]},"page":"165-187","title":"Exploring Dissonance and Omnivorousness: another look into the rise of eclecticism","type":"article-journal","volume":"11"},"uris":["http://www.mendeley.com/documents/?uuid=4b220c2b-cde0-4f2a-8795-7850188f99d9"]}],"mendeley":{"formattedCitation":"(Hanquinet 2017; Lahire 2006)","plainTextFormattedCitation":"(Hanquinet 2017; Lahire 2006)","previouslyFormattedCitation":"(Hanquinet 2017; Lahire 2006)"},"properties":{"noteIndex":0},"schema":"https://github.com/citation-style-language/schema/raw/master/csl-citation.json"}</w:instrText>
      </w:r>
      <w:r w:rsidR="00CF473C" w:rsidRPr="00791F69">
        <w:rPr>
          <w:rFonts w:ascii="Times New Roman" w:hAnsi="Times New Roman" w:cs="Times New Roman"/>
        </w:rPr>
        <w:fldChar w:fldCharType="separate"/>
      </w:r>
      <w:r w:rsidR="00D84408" w:rsidRPr="00791F69">
        <w:rPr>
          <w:rFonts w:ascii="Times New Roman" w:hAnsi="Times New Roman" w:cs="Times New Roman"/>
          <w:noProof/>
        </w:rPr>
        <w:t>(Hanquinet 2017; Lahire 2006)</w:t>
      </w:r>
      <w:r w:rsidR="00CF473C" w:rsidRPr="00791F69">
        <w:rPr>
          <w:rFonts w:ascii="Times New Roman" w:hAnsi="Times New Roman" w:cs="Times New Roman"/>
        </w:rPr>
        <w:fldChar w:fldCharType="end"/>
      </w:r>
      <w:r w:rsidRPr="00791F69">
        <w:rPr>
          <w:rFonts w:ascii="Times New Roman" w:hAnsi="Times New Roman" w:cs="Times New Roman"/>
        </w:rPr>
        <w:t>. In addition, research on ‘emerging forms of cultural capital’ has shown that new cultural items have progressively become valorised in the society while being not symbolically accessible to everyone</w:t>
      </w:r>
      <w:r w:rsidR="00791F69" w:rsidRPr="00791F69">
        <w:rPr>
          <w:rFonts w:ascii="Times New Roman" w:hAnsi="Times New Roman" w:cs="Times New Roman"/>
        </w:rPr>
        <w:t xml:space="preserve"> </w:t>
      </w:r>
      <w:r w:rsidR="00791F69" w:rsidRPr="00791F69">
        <w:rPr>
          <w:rFonts w:ascii="Times New Roman" w:hAnsi="Times New Roman" w:cs="Times New Roman"/>
        </w:rPr>
        <w:fldChar w:fldCharType="begin" w:fldLock="1"/>
      </w:r>
      <w:r w:rsidR="00A37BF5">
        <w:rPr>
          <w:rFonts w:ascii="Times New Roman" w:hAnsi="Times New Roman" w:cs="Times New Roman"/>
        </w:rPr>
        <w:instrText>ADDIN CSL_CITATION {"citationItems":[{"id":"ITEM-1","itemData":{"DOI":"10.1080/14616696.2012.748930","ISBN":"1461-6696","ISSN":"1461-6696","abstract":"This paper takes stock of recent research on patterns of cultural engagement in various European nations, with specific reference to British and Danish research. It argues that Bourdieu’s original theorisation of cultural capital in ‘Distinction’ needs to be significantly updated to register the decline of ‘highbrow’ culture which these studies reveal. However, we argue that this shift does not entail the erosion of cultural capital itself, or the rise of the ‘cultural omnivore’, so much as the emergence of a form of ‘cosmopolitan cultural capital’. We argue that this emerging cultural capital can be associated with the partial creation of a European field and testifies to the continued stakes of cultural engagement today","author":[{"dropping-particle":"","family":"Prieur","given":"A.","non-dropping-particle":"","parse-names":false,"suffix":""},{"dropping-particle":"","family":"Savage","given":"M.","non-dropping-particle":"","parse-names":false,"suffix":""}],"container-title":"European Societies","id":"ITEM-1","issue":"2","issued":{"date-parts":[["2013","5"]]},"page":"246-267","title":"Emerging Forms of Cultural Capital","type":"article-journal","volume":"15"},"uris":["http://www.mendeley.com/documents/?uuid=0a790bdb-bc8c-476a-a714-e35a5524f111"]},{"id":"ITEM-2","itemData":{"author":[{"dropping-particle":"","family":"Friedman","given":"S.","non-dropping-particle":"","parse-names":false,"suffix":""},{"dropping-particle":"","family":"Savage","given":"M.","non-dropping-particle":"","parse-names":false,"suffix":""},{"dropping-particle":"","family":"Hanquinet","given":"L.","non-dropping-particle":"","parse-names":false,"suffix":""},{"dropping-particle":"","family":"Miles","given":"A.","non-dropping-particle":"","parse-names":false,"suffix":""}],"container-title":"Poetics","id":"ITEM-2","issued":{"date-parts":[["2015"]]},"title":"Cultural sociology and new forms of distinction. Special issue","type":"article-journal","volume":"53"},"uris":["http://www.mendeley.com/documents/?uuid=a6d4cb5e-e70d-4c11-8e69-e24c2cc83462"]}],"mendeley":{"formattedCitation":"(Friedman et al. 2015; Prieur and Savage 2013)","plainTextFormattedCitation":"(Friedman et al. 2015; Prieur and Savage 2013)","previouslyFormattedCitation":"(Friedman et al. 2015; Prieur and Savage 2013)"},"properties":{"noteIndex":0},"schema":"https://github.com/citation-style-language/schema/raw/master/csl-citation.json"}</w:instrText>
      </w:r>
      <w:r w:rsidR="00791F69" w:rsidRPr="00791F69">
        <w:rPr>
          <w:rFonts w:ascii="Times New Roman" w:hAnsi="Times New Roman" w:cs="Times New Roman"/>
        </w:rPr>
        <w:fldChar w:fldCharType="separate"/>
      </w:r>
      <w:r w:rsidR="00791F69" w:rsidRPr="00791F69">
        <w:rPr>
          <w:rFonts w:ascii="Times New Roman" w:hAnsi="Times New Roman" w:cs="Times New Roman"/>
          <w:noProof/>
        </w:rPr>
        <w:t>(Friedman et al. 2015; Prieur and Savage 2013)</w:t>
      </w:r>
      <w:r w:rsidR="00791F69" w:rsidRPr="00791F69">
        <w:rPr>
          <w:rFonts w:ascii="Times New Roman" w:hAnsi="Times New Roman" w:cs="Times New Roman"/>
        </w:rPr>
        <w:fldChar w:fldCharType="end"/>
      </w:r>
      <w:r w:rsidRPr="00791F69">
        <w:rPr>
          <w:rFonts w:ascii="Times New Roman" w:hAnsi="Times New Roman" w:cs="Times New Roman"/>
        </w:rPr>
        <w:t>. New practices, such as video games or preferences for rap and rock, do also play an essential role in the formation of social class in the UK, alongside traditional highbrow culture such as classical music or museum attendance</w:t>
      </w:r>
      <w:r w:rsidR="001A5EAB" w:rsidRPr="00BC2286">
        <w:rPr>
          <w:rStyle w:val="FootnoteReference"/>
        </w:rPr>
        <w:footnoteReference w:id="1"/>
      </w:r>
      <w:r w:rsidR="001A5EAB">
        <w:rPr>
          <w:rFonts w:ascii="Times New Roman" w:hAnsi="Times New Roman" w:cs="Times New Roman"/>
        </w:rPr>
        <w:t xml:space="preserve"> </w:t>
      </w:r>
      <w:r w:rsidRPr="00791F69">
        <w:rPr>
          <w:rFonts w:ascii="Times New Roman" w:hAnsi="Times New Roman" w:cs="Times New Roman"/>
        </w:rPr>
        <w:t xml:space="preserve"> </w:t>
      </w:r>
      <w:r w:rsidR="00791F69" w:rsidRPr="00791F69">
        <w:rPr>
          <w:rFonts w:ascii="Times New Roman" w:hAnsi="Times New Roman" w:cs="Times New Roman"/>
        </w:rPr>
        <w:fldChar w:fldCharType="begin" w:fldLock="1"/>
      </w:r>
      <w:r w:rsidR="00A37BF5">
        <w:rPr>
          <w:rFonts w:ascii="Times New Roman" w:hAnsi="Times New Roman" w:cs="Times New Roman"/>
        </w:rPr>
        <w:instrText>ADDIN CSL_CITATION {"citationItems":[{"id":"ITEM-1","itemData":{"DOI":"10.1177/0038038513481128","ISSN":"0038-0385","author":[{"dropping-particle":"","family":"Savage","given":"M.","non-dropping-particle":"","parse-names":false,"suffix":""},{"dropping-particle":"","family":"Devine","given":"F.","non-dropping-particle":"","parse-names":false,"suffix":""},{"dropping-particle":"","family":"Cunningham","given":"N.","non-dropping-particle":"","parse-names":false,"suffix":""},{"dropping-particle":"","family":"Taylor","given":"M.","non-dropping-particle":"","parse-names":false,"suffix":""},{"dropping-particle":"","family":"Li","given":"Y.","non-dropping-particle":"","parse-names":false,"suffix":""},{"dropping-particle":"","family":"Hjellbrekke","given":"J.","non-dropping-particle":"","parse-names":false,"suffix":""},{"dropping-particle":"","family":"Roux","given":"B.","non-dropping-particle":"Le","parse-names":false,"suffix":""},{"dropping-particle":"","family":"Friedman","given":"S.","non-dropping-particle":"","parse-names":false,"suffix":""},{"dropping-particle":"","family":"Miles","given":"a.","non-dropping-particle":"","parse-names":false,"suffix":""}],"container-title":"Sociology","id":"ITEM-1","issue":"2","issued":{"date-parts":[["2013","4","2"]]},"page":"219-250","title":"A New Model of Social Class? Findings from the BBC's Great British Class Survey Experiment","type":"article-journal","volume":"47"},"uris":["http://www.mendeley.com/documents/?uuid=df91636b-601c-4357-aefe-6f0b7bf20722"]}],"mendeley":{"formattedCitation":"(Savage et al. 2013)","plainTextFormattedCitation":"(Savage et al. 2013)","previouslyFormattedCitation":"(Savage et al. 2013)"},"properties":{"noteIndex":0},"schema":"https://github.com/citation-style-language/schema/raw/master/csl-citation.json"}</w:instrText>
      </w:r>
      <w:r w:rsidR="00791F69" w:rsidRPr="00791F69">
        <w:rPr>
          <w:rFonts w:ascii="Times New Roman" w:hAnsi="Times New Roman" w:cs="Times New Roman"/>
        </w:rPr>
        <w:fldChar w:fldCharType="separate"/>
      </w:r>
      <w:r w:rsidR="00791F69" w:rsidRPr="00791F69">
        <w:rPr>
          <w:rFonts w:ascii="Times New Roman" w:hAnsi="Times New Roman" w:cs="Times New Roman"/>
          <w:noProof/>
        </w:rPr>
        <w:t>(Savage et al. 2013)</w:t>
      </w:r>
      <w:r w:rsidR="00791F69" w:rsidRPr="00791F69">
        <w:rPr>
          <w:rFonts w:ascii="Times New Roman" w:hAnsi="Times New Roman" w:cs="Times New Roman"/>
        </w:rPr>
        <w:fldChar w:fldCharType="end"/>
      </w:r>
      <w:r w:rsidRPr="00791F69">
        <w:rPr>
          <w:rFonts w:ascii="Times New Roman" w:hAnsi="Times New Roman" w:cs="Times New Roman"/>
        </w:rPr>
        <w:t xml:space="preserve">. Since these practices are associated with socially unevenly distributed resources, they are distinctive and makes us consider the idea that there might now be different highbrow cultures, which can for instance take a more classic or contemporary outlook. Therefore, street arts can be part of a more emerging form of highbrow culture. </w:t>
      </w:r>
      <w:r w:rsidR="00791F69" w:rsidRPr="00791F69">
        <w:rPr>
          <w:rFonts w:ascii="Times New Roman" w:hAnsi="Times New Roman" w:cs="Times New Roman"/>
        </w:rPr>
        <w:t>In the light of this, I expected</w:t>
      </w:r>
      <w:r w:rsidRPr="00791F69">
        <w:rPr>
          <w:rFonts w:ascii="Times New Roman" w:hAnsi="Times New Roman" w:cs="Times New Roman"/>
        </w:rPr>
        <w:t xml:space="preserve"> a stronger argument for using these flawed measures. However, when using secondary data, it is a known fact that ‘one does what one can with what one has’ and there is always merit in exploiting what is out there. </w:t>
      </w:r>
    </w:p>
    <w:p w14:paraId="19FC06F4" w14:textId="77777777" w:rsidR="00D015BE" w:rsidRPr="00791F69" w:rsidRDefault="00D015BE" w:rsidP="00791F69">
      <w:pPr>
        <w:spacing w:line="360" w:lineRule="auto"/>
        <w:jc w:val="both"/>
        <w:rPr>
          <w:rFonts w:ascii="Times New Roman" w:hAnsi="Times New Roman" w:cs="Times New Roman"/>
        </w:rPr>
      </w:pPr>
    </w:p>
    <w:p w14:paraId="74A3849F" w14:textId="7C209377" w:rsidR="00D015BE" w:rsidRPr="00791F69" w:rsidRDefault="001A5EAB" w:rsidP="00791F69">
      <w:pPr>
        <w:spacing w:line="360" w:lineRule="auto"/>
        <w:jc w:val="both"/>
        <w:rPr>
          <w:rFonts w:ascii="Times New Roman" w:hAnsi="Times New Roman" w:cs="Times New Roman"/>
        </w:rPr>
      </w:pPr>
      <w:r>
        <w:rPr>
          <w:rFonts w:ascii="Times New Roman" w:hAnsi="Times New Roman" w:cs="Times New Roman"/>
        </w:rPr>
        <w:t>With regard to Chan’s typology, t</w:t>
      </w:r>
      <w:r w:rsidR="00D015BE" w:rsidRPr="00791F69">
        <w:rPr>
          <w:rFonts w:ascii="Times New Roman" w:hAnsi="Times New Roman" w:cs="Times New Roman"/>
        </w:rPr>
        <w:t xml:space="preserve">he univores and paucivores show some engagement with forms of highbrow </w:t>
      </w:r>
      <w:r w:rsidR="00633EB0">
        <w:rPr>
          <w:rFonts w:ascii="Times New Roman" w:hAnsi="Times New Roman" w:cs="Times New Roman"/>
        </w:rPr>
        <w:t>(museum</w:t>
      </w:r>
      <w:r>
        <w:rPr>
          <w:rFonts w:ascii="Times New Roman" w:hAnsi="Times New Roman" w:cs="Times New Roman"/>
        </w:rPr>
        <w:t xml:space="preserve"> </w:t>
      </w:r>
      <w:r w:rsidR="00633EB0">
        <w:rPr>
          <w:rFonts w:ascii="Times New Roman" w:hAnsi="Times New Roman" w:cs="Times New Roman"/>
        </w:rPr>
        <w:t xml:space="preserve">and jazz) </w:t>
      </w:r>
      <w:r w:rsidR="00D015BE" w:rsidRPr="00791F69">
        <w:rPr>
          <w:rFonts w:ascii="Times New Roman" w:hAnsi="Times New Roman" w:cs="Times New Roman"/>
        </w:rPr>
        <w:t xml:space="preserve">and middlebrow culture. Given the very low number of practices investigated, labelling these groups as univores or paucivores may be misleading as we do not know anything about their other practices and forms of consumption or about the level of cultural engagement. The paucivores, for instance, could support Muhktar and DiMaggio’s </w:t>
      </w:r>
      <w:r w:rsidR="00944D83">
        <w:rPr>
          <w:rFonts w:ascii="Times New Roman" w:hAnsi="Times New Roman" w:cs="Times New Roman"/>
        </w:rPr>
        <w:fldChar w:fldCharType="begin" w:fldLock="1"/>
      </w:r>
      <w:r w:rsidR="00A37BF5">
        <w:rPr>
          <w:rFonts w:ascii="Times New Roman" w:hAnsi="Times New Roman" w:cs="Times New Roman"/>
        </w:rPr>
        <w:instrText>ADDIN CSL_CITATION {"citationItems":[{"id":"ITEM-1","itemData":{"DOI":"10.1016/j.poetic.2004.02.005","ISSN":"0304422X","author":[{"dropping-particle":"","family":"DiMaggio","given":"P.","non-dropping-particle":"","parse-names":false,"suffix":""},{"dropping-particle":"","family":"Mukhtar","given":"T.","non-dropping-particle":"","parse-names":false,"suffix":""}],"container-title":"Poetics","id":"ITEM-1","issue":"2","issued":{"date-parts":[["2004","4"]]},"page":"169-194","title":"Arts participation as cultural capital in the United States, 1982–2002: Signs of decline?","type":"article-journal","volume":"32"},"suppress-author":1,"uris":["http://www.mendeley.com/documents/?uuid=9ebbe888-73ff-46bc-aad0-ebf3d6a5a5e8"]}],"mendeley":{"formattedCitation":"(2004)","plainTextFormattedCitation":"(2004)","previouslyFormattedCitation":"(2004)"},"properties":{"noteIndex":0},"schema":"https://github.com/citation-style-language/schema/raw/master/csl-citation.json"}</w:instrText>
      </w:r>
      <w:r w:rsidR="00944D83">
        <w:rPr>
          <w:rFonts w:ascii="Times New Roman" w:hAnsi="Times New Roman" w:cs="Times New Roman"/>
        </w:rPr>
        <w:fldChar w:fldCharType="separate"/>
      </w:r>
      <w:r w:rsidR="00944D83" w:rsidRPr="00944D83">
        <w:rPr>
          <w:rFonts w:ascii="Times New Roman" w:hAnsi="Times New Roman" w:cs="Times New Roman"/>
          <w:noProof/>
        </w:rPr>
        <w:t>(2004)</w:t>
      </w:r>
      <w:r w:rsidR="00944D83">
        <w:rPr>
          <w:rFonts w:ascii="Times New Roman" w:hAnsi="Times New Roman" w:cs="Times New Roman"/>
        </w:rPr>
        <w:fldChar w:fldCharType="end"/>
      </w:r>
      <w:r w:rsidR="00944D83">
        <w:rPr>
          <w:rFonts w:ascii="Times New Roman" w:hAnsi="Times New Roman" w:cs="Times New Roman"/>
        </w:rPr>
        <w:t xml:space="preserve"> </w:t>
      </w:r>
      <w:r w:rsidR="00D015BE" w:rsidRPr="00791F69">
        <w:rPr>
          <w:rFonts w:ascii="Times New Roman" w:hAnsi="Times New Roman" w:cs="Times New Roman"/>
        </w:rPr>
        <w:t>argument that an increasing enthusiasm shown to more contemporary, cosmopolitan forms of culture — in line with the postmodernist tendency— participates in the reconfiguration of cultural capital visible in the popularity of jazz and art museum compared to other performing arts. The third group does definitively show some level of greater openness and, hence, can be used to answer the questions that the article asks. However, I remain dubious that this eclecticism actually reflects omnivorousness. As Peterson wrote, omnnivorousness is ‘the choice of cultural expressions based on distinct aesthetics’ (</w:t>
      </w:r>
      <w:r>
        <w:rPr>
          <w:rFonts w:ascii="Times New Roman" w:hAnsi="Times New Roman" w:cs="Times New Roman"/>
        </w:rPr>
        <w:t xml:space="preserve">2007, p. </w:t>
      </w:r>
      <w:r w:rsidR="00D015BE" w:rsidRPr="00791F69">
        <w:rPr>
          <w:rFonts w:ascii="Times New Roman" w:hAnsi="Times New Roman" w:cs="Times New Roman"/>
        </w:rPr>
        <w:t>302)</w:t>
      </w:r>
      <w:r>
        <w:rPr>
          <w:rFonts w:ascii="Times New Roman" w:hAnsi="Times New Roman" w:cs="Times New Roman"/>
        </w:rPr>
        <w:t xml:space="preserve"> and I am not conv</w:t>
      </w:r>
      <w:r w:rsidR="00864D6E">
        <w:rPr>
          <w:rFonts w:ascii="Times New Roman" w:hAnsi="Times New Roman" w:cs="Times New Roman"/>
        </w:rPr>
        <w:t>inced that this cluster reflect</w:t>
      </w:r>
      <w:r w:rsidR="00AE739F">
        <w:rPr>
          <w:rFonts w:ascii="Times New Roman" w:hAnsi="Times New Roman" w:cs="Times New Roman"/>
        </w:rPr>
        <w:t>s</w:t>
      </w:r>
      <w:r w:rsidR="00864D6E">
        <w:rPr>
          <w:rFonts w:ascii="Times New Roman" w:hAnsi="Times New Roman" w:cs="Times New Roman"/>
        </w:rPr>
        <w:t xml:space="preserve"> any mixing of different aesthetic repertoires. </w:t>
      </w:r>
    </w:p>
    <w:p w14:paraId="4023BAA1" w14:textId="77777777" w:rsidR="00D015BE" w:rsidRPr="00791F69" w:rsidRDefault="00D015BE" w:rsidP="00791F69">
      <w:pPr>
        <w:spacing w:line="360" w:lineRule="auto"/>
        <w:jc w:val="both"/>
        <w:rPr>
          <w:rFonts w:ascii="Times New Roman" w:hAnsi="Times New Roman" w:cs="Times New Roman"/>
        </w:rPr>
      </w:pPr>
    </w:p>
    <w:p w14:paraId="35B662A5" w14:textId="38E0FBD1" w:rsidR="006C3D44" w:rsidRPr="009B2BFF" w:rsidRDefault="00D015BE" w:rsidP="006C3D44">
      <w:pPr>
        <w:spacing w:line="360" w:lineRule="auto"/>
        <w:jc w:val="both"/>
        <w:rPr>
          <w:rFonts w:ascii="Times New Roman" w:hAnsi="Times New Roman" w:cs="Times New Roman"/>
        </w:rPr>
      </w:pPr>
      <w:r w:rsidRPr="00791F69">
        <w:rPr>
          <w:rFonts w:ascii="Times New Roman" w:hAnsi="Times New Roman" w:cs="Times New Roman"/>
        </w:rPr>
        <w:t xml:space="preserve">In contrast, </w:t>
      </w:r>
      <w:r w:rsidR="007A2222">
        <w:rPr>
          <w:rFonts w:ascii="Times New Roman" w:hAnsi="Times New Roman" w:cs="Times New Roman"/>
        </w:rPr>
        <w:t xml:space="preserve">focusing on </w:t>
      </w:r>
      <w:r w:rsidR="007A2222" w:rsidRPr="00791F69">
        <w:rPr>
          <w:rFonts w:ascii="Times New Roman" w:hAnsi="Times New Roman" w:cs="Times New Roman"/>
        </w:rPr>
        <w:t>the broader concept of ‘lifestyle’ instead of cultural participation</w:t>
      </w:r>
      <w:r w:rsidR="007A2222">
        <w:rPr>
          <w:rFonts w:ascii="Times New Roman" w:hAnsi="Times New Roman" w:cs="Times New Roman"/>
        </w:rPr>
        <w:t xml:space="preserve">, </w:t>
      </w:r>
      <w:r w:rsidRPr="00791F69">
        <w:rPr>
          <w:rFonts w:ascii="Times New Roman" w:hAnsi="Times New Roman" w:cs="Times New Roman"/>
        </w:rPr>
        <w:t xml:space="preserve">Flemmen et al. </w:t>
      </w:r>
      <w:r w:rsidR="001818CA">
        <w:rPr>
          <w:rFonts w:ascii="Times New Roman" w:hAnsi="Times New Roman" w:cs="Times New Roman"/>
        </w:rPr>
        <w:t xml:space="preserve">logically </w:t>
      </w:r>
      <w:r w:rsidRPr="00791F69">
        <w:rPr>
          <w:rFonts w:ascii="Times New Roman" w:hAnsi="Times New Roman" w:cs="Times New Roman"/>
        </w:rPr>
        <w:t xml:space="preserve">relied on a very wide </w:t>
      </w:r>
      <w:r w:rsidR="007A2222">
        <w:rPr>
          <w:rFonts w:ascii="Times New Roman" w:hAnsi="Times New Roman" w:cs="Times New Roman"/>
        </w:rPr>
        <w:t>range of</w:t>
      </w:r>
      <w:r w:rsidR="007A2222" w:rsidRPr="007A2222">
        <w:rPr>
          <w:rFonts w:ascii="Times New Roman" w:hAnsi="Times New Roman" w:cs="Times New Roman"/>
        </w:rPr>
        <w:t xml:space="preserve"> </w:t>
      </w:r>
      <w:r w:rsidR="007A2222" w:rsidRPr="00791F69">
        <w:rPr>
          <w:rFonts w:ascii="Times New Roman" w:hAnsi="Times New Roman" w:cs="Times New Roman"/>
        </w:rPr>
        <w:t>indicators of tastes and practices</w:t>
      </w:r>
      <w:r w:rsidR="006A704E" w:rsidRPr="00791F69">
        <w:rPr>
          <w:rFonts w:ascii="Times New Roman" w:hAnsi="Times New Roman" w:cs="Times New Roman"/>
        </w:rPr>
        <w:t xml:space="preserve">. </w:t>
      </w:r>
      <w:r w:rsidR="00AE739F">
        <w:rPr>
          <w:rFonts w:ascii="Times New Roman" w:hAnsi="Times New Roman" w:cs="Times New Roman"/>
        </w:rPr>
        <w:t>Multiple correspondence analysis</w:t>
      </w:r>
      <w:r w:rsidR="009228BB">
        <w:rPr>
          <w:rFonts w:ascii="Times New Roman" w:hAnsi="Times New Roman" w:cs="Times New Roman"/>
        </w:rPr>
        <w:t xml:space="preserve"> (MCA)</w:t>
      </w:r>
      <w:r w:rsidR="00AE739F">
        <w:rPr>
          <w:rFonts w:ascii="Times New Roman" w:hAnsi="Times New Roman" w:cs="Times New Roman"/>
        </w:rPr>
        <w:t xml:space="preserve"> facilitates the interpretation of the indicators as their meaning emerges from the relationships with others and respect </w:t>
      </w:r>
      <w:r w:rsidR="00AE739F" w:rsidRPr="00791F69">
        <w:rPr>
          <w:rFonts w:ascii="Times New Roman" w:hAnsi="Times New Roman" w:cs="Times New Roman"/>
        </w:rPr>
        <w:t>Bourdieu’s principle of relationality</w:t>
      </w:r>
      <w:r w:rsidR="00AE739F">
        <w:rPr>
          <w:rFonts w:ascii="Times New Roman" w:hAnsi="Times New Roman" w:cs="Times New Roman"/>
        </w:rPr>
        <w:t xml:space="preserve"> </w:t>
      </w:r>
      <w:r w:rsidR="00AE739F">
        <w:rPr>
          <w:rFonts w:ascii="Times New Roman" w:hAnsi="Times New Roman" w:cs="Times New Roman"/>
        </w:rPr>
        <w:fldChar w:fldCharType="begin" w:fldLock="1"/>
      </w:r>
      <w:r w:rsidR="00A37BF5">
        <w:rPr>
          <w:rFonts w:ascii="Times New Roman" w:hAnsi="Times New Roman" w:cs="Times New Roman"/>
        </w:rPr>
        <w:instrText>ADDIN CSL_CITATION {"citationItems":[{"id":"ITEM-1","itemData":{"DOI":"10.1177/075910630006500103","ISSN":"0759-1063","author":[{"dropping-particle":"","family":"Rouanet","given":"H.","non-dropping-particle":"","parse-names":false,"suffix":""},{"dropping-particle":"","family":"Ackermann","given":"W.","non-dropping-particle":"","parse-names":false,"suffix":""},{"dropping-particle":"","family":"Roux","given":"B.","non-dropping-particle":"Le","parse-names":false,"suffix":""}],"container-title":"Bulletin de Méthodologie Sociologique","id":"ITEM-1","issue":"1","issued":{"date-parts":[["2000","1","1"]]},"page":"5-18","title":"The Geometric Analysis of Questionnaires: the Lesson of Bourdieu's La Distinction","type":"article-journal","volume":"65"},"uris":["http://www.mendeley.com/documents/?uuid=7e111dcc-0038-48f1-aeed-bde0a7f425c3"]}],"mendeley":{"formattedCitation":"(Rouanet, Ackermann, and Le Roux 2000)","plainTextFormattedCitation":"(Rouanet, Ackermann, and Le Roux 2000)","previouslyFormattedCitation":"(Rouanet, Ackermann, and Le Roux 2000)"},"properties":{"noteIndex":0},"schema":"https://github.com/citation-style-language/schema/raw/master/csl-citation.json"}</w:instrText>
      </w:r>
      <w:r w:rsidR="00AE739F">
        <w:rPr>
          <w:rFonts w:ascii="Times New Roman" w:hAnsi="Times New Roman" w:cs="Times New Roman"/>
        </w:rPr>
        <w:fldChar w:fldCharType="separate"/>
      </w:r>
      <w:r w:rsidR="00AE739F" w:rsidRPr="009C08AC">
        <w:rPr>
          <w:rFonts w:ascii="Times New Roman" w:hAnsi="Times New Roman" w:cs="Times New Roman"/>
          <w:noProof/>
        </w:rPr>
        <w:t>(Rouanet, Ackermann, and Le Roux 2000)</w:t>
      </w:r>
      <w:r w:rsidR="00AE739F">
        <w:rPr>
          <w:rFonts w:ascii="Times New Roman" w:hAnsi="Times New Roman" w:cs="Times New Roman"/>
        </w:rPr>
        <w:fldChar w:fldCharType="end"/>
      </w:r>
      <w:r w:rsidR="00AE739F">
        <w:rPr>
          <w:rFonts w:ascii="Times New Roman" w:hAnsi="Times New Roman" w:cs="Times New Roman"/>
        </w:rPr>
        <w:t xml:space="preserve">. </w:t>
      </w:r>
      <w:r w:rsidR="00F830F4">
        <w:rPr>
          <w:rFonts w:ascii="Times New Roman" w:hAnsi="Times New Roman" w:cs="Times New Roman"/>
        </w:rPr>
        <w:t>G</w:t>
      </w:r>
      <w:r w:rsidR="002F3339" w:rsidRPr="00791F69">
        <w:rPr>
          <w:rFonts w:ascii="Times New Roman" w:hAnsi="Times New Roman" w:cs="Times New Roman"/>
        </w:rPr>
        <w:t xml:space="preserve">oing to the art museum, for instance, in itself does not help us much to interpret its social meaning and </w:t>
      </w:r>
      <w:r w:rsidR="00F830F4">
        <w:rPr>
          <w:rFonts w:ascii="Times New Roman" w:hAnsi="Times New Roman" w:cs="Times New Roman"/>
        </w:rPr>
        <w:t>the values associated with it</w:t>
      </w:r>
      <w:r w:rsidR="002F3339" w:rsidRPr="00791F69">
        <w:rPr>
          <w:rFonts w:ascii="Times New Roman" w:hAnsi="Times New Roman" w:cs="Times New Roman"/>
        </w:rPr>
        <w:t>.</w:t>
      </w:r>
      <w:r w:rsidR="00F830F4">
        <w:rPr>
          <w:rFonts w:ascii="Times New Roman" w:hAnsi="Times New Roman" w:cs="Times New Roman"/>
        </w:rPr>
        <w:t xml:space="preserve"> It can </w:t>
      </w:r>
      <w:r w:rsidR="009B2BFF">
        <w:rPr>
          <w:rFonts w:ascii="Times New Roman" w:hAnsi="Times New Roman" w:cs="Times New Roman"/>
        </w:rPr>
        <w:t xml:space="preserve">show a ‘love of art’, a search for new experiences, a classicism, an excuse to see friends, and so on </w:t>
      </w:r>
      <w:r w:rsidR="009B2BFF">
        <w:rPr>
          <w:rFonts w:ascii="Times New Roman" w:hAnsi="Times New Roman" w:cs="Times New Roman"/>
        </w:rPr>
        <w:fldChar w:fldCharType="begin" w:fldLock="1"/>
      </w:r>
      <w:r w:rsidR="00A37BF5">
        <w:rPr>
          <w:rFonts w:ascii="Times New Roman" w:hAnsi="Times New Roman" w:cs="Times New Roman"/>
        </w:rPr>
        <w:instrText>ADDIN CSL_CITATION {"citationItems":[{"id":"ITEM-1","itemData":{"DOI":"10.1080/09548963.2013.757892","ISSN":"0954-8963","author":[{"dropping-particle":"","family":"Hanquinet","given":"L","non-dropping-particle":"","parse-names":false,"suffix":""}],"container-title":"Cultural Trends","id":"ITEM-1","issue":"1","issued":{"date-parts":[["2013","3"]]},"page":"14-29","title":"Mondrian as kitchen tiles? Artistic and cultural conceptions of art museum visitors in Belgium","type":"article-journal","volume":"22"},"uris":["http://www.mendeley.com/documents/?uuid=c6844bf0-6021-4931-8806-90319327974f"]},{"id":"ITEM-2","itemData":{"author":[{"dropping-particle":"","family":"Hanquinet","given":"L","non-dropping-particle":"","parse-names":false,"suffix":""}],"container-title":"The Sociological Review","id":"ITEM-2","issue":"4","issued":{"date-parts":[["2013"]]},"page":"790-813","title":"Visitors to modern and contemporary art museums Towards a new sociology of ‘cultural profiles’","type":"article-journal","volume":"61"},"uris":["http://www.mendeley.com/documents/?uuid=f7e5aefc-7831-4cf2-93e7-658b1b4ee916"]}],"mendeley":{"formattedCitation":"(Hanquinet 2013a, 2013b)","plainTextFormattedCitation":"(Hanquinet 2013a, 2013b)","previouslyFormattedCitation":"(Hanquinet 2013a, 2013b)"},"properties":{"noteIndex":0},"schema":"https://github.com/citation-style-language/schema/raw/master/csl-citation.json"}</w:instrText>
      </w:r>
      <w:r w:rsidR="009B2BFF">
        <w:rPr>
          <w:rFonts w:ascii="Times New Roman" w:hAnsi="Times New Roman" w:cs="Times New Roman"/>
        </w:rPr>
        <w:fldChar w:fldCharType="separate"/>
      </w:r>
      <w:r w:rsidR="009B2BFF" w:rsidRPr="009B2BFF">
        <w:rPr>
          <w:rFonts w:ascii="Times New Roman" w:hAnsi="Times New Roman" w:cs="Times New Roman"/>
          <w:noProof/>
        </w:rPr>
        <w:t>(Hanquinet 2013a, 2013b)</w:t>
      </w:r>
      <w:r w:rsidR="009B2BFF">
        <w:rPr>
          <w:rFonts w:ascii="Times New Roman" w:hAnsi="Times New Roman" w:cs="Times New Roman"/>
        </w:rPr>
        <w:fldChar w:fldCharType="end"/>
      </w:r>
      <w:r w:rsidR="00D72921">
        <w:rPr>
          <w:rFonts w:ascii="Times New Roman" w:hAnsi="Times New Roman" w:cs="Times New Roman"/>
        </w:rPr>
        <w:t>.</w:t>
      </w:r>
      <w:r w:rsidR="002F3339" w:rsidRPr="00AE739F">
        <w:rPr>
          <w:rFonts w:ascii="Times New Roman" w:hAnsi="Times New Roman" w:cs="Times New Roman"/>
        </w:rPr>
        <w:t xml:space="preserve"> </w:t>
      </w:r>
      <w:r w:rsidR="00A43219">
        <w:rPr>
          <w:rFonts w:ascii="Times New Roman" w:hAnsi="Times New Roman" w:cs="Times New Roman"/>
        </w:rPr>
        <w:t>It would be erroneous to argue that</w:t>
      </w:r>
      <w:r w:rsidR="009228BB">
        <w:rPr>
          <w:rFonts w:ascii="Times New Roman" w:hAnsi="Times New Roman" w:cs="Times New Roman"/>
        </w:rPr>
        <w:t xml:space="preserve"> latent class analysis</w:t>
      </w:r>
      <w:r w:rsidR="00A43219">
        <w:rPr>
          <w:rFonts w:ascii="Times New Roman" w:hAnsi="Times New Roman" w:cs="Times New Roman"/>
        </w:rPr>
        <w:t xml:space="preserve"> </w:t>
      </w:r>
      <w:r w:rsidR="009228BB">
        <w:rPr>
          <w:rFonts w:ascii="Times New Roman" w:hAnsi="Times New Roman" w:cs="Times New Roman"/>
        </w:rPr>
        <w:t>(</w:t>
      </w:r>
      <w:r w:rsidR="00A43219">
        <w:rPr>
          <w:rFonts w:ascii="Times New Roman" w:hAnsi="Times New Roman" w:cs="Times New Roman"/>
        </w:rPr>
        <w:t>LCA</w:t>
      </w:r>
      <w:r w:rsidR="009228BB">
        <w:rPr>
          <w:rFonts w:ascii="Times New Roman" w:hAnsi="Times New Roman" w:cs="Times New Roman"/>
        </w:rPr>
        <w:t>)</w:t>
      </w:r>
      <w:r w:rsidR="00A43219">
        <w:rPr>
          <w:rFonts w:ascii="Times New Roman" w:hAnsi="Times New Roman" w:cs="Times New Roman"/>
        </w:rPr>
        <w:t xml:space="preserve"> does not enable us to observe </w:t>
      </w:r>
      <w:r w:rsidR="009228BB">
        <w:rPr>
          <w:rFonts w:ascii="Times New Roman" w:hAnsi="Times New Roman" w:cs="Times New Roman"/>
        </w:rPr>
        <w:t xml:space="preserve">some </w:t>
      </w:r>
      <w:r w:rsidR="00A43219">
        <w:rPr>
          <w:rFonts w:ascii="Times New Roman" w:hAnsi="Times New Roman" w:cs="Times New Roman"/>
        </w:rPr>
        <w:t>relations between variables, as Chan noted himself</w:t>
      </w:r>
      <w:r w:rsidR="009228BB">
        <w:rPr>
          <w:rFonts w:ascii="Times New Roman" w:hAnsi="Times New Roman" w:cs="Times New Roman"/>
        </w:rPr>
        <w:t xml:space="preserve"> </w:t>
      </w:r>
      <w:r w:rsidR="009228BB">
        <w:rPr>
          <w:rFonts w:ascii="Times New Roman" w:hAnsi="Times New Roman" w:cs="Times New Roman"/>
        </w:rPr>
        <w:fldChar w:fldCharType="begin" w:fldLock="1"/>
      </w:r>
      <w:r w:rsidR="00176701">
        <w:rPr>
          <w:rFonts w:ascii="Times New Roman" w:hAnsi="Times New Roman" w:cs="Times New Roman"/>
        </w:rPr>
        <w:instrText>ADDIN CSL_CITATION {"citationItems":[{"id":"ITEM-1","itemData":{"DOI":"10.1016/j.poetic.2007.06.004","author":[{"dropping-particle":"","family":"Chan","given":"Tak Wing","non-dropping-particle":"","parse-names":false,"suffix":""},{"dropping-particle":"","family":"Goldthorpe","given":"John H.","non-dropping-particle":"","parse-names":false,"suffix":""}],"container-title":"Poetics","id":"ITEM-1","issued":{"date-parts":[["2007"]]},"page":"317-329","title":"Data, methods and interpretation in analyses of cultural consumption : A reply to Peterson and Wuggenig","type":"article-journal","volume":"35"},"uris":["http://www.mendeley.com/documents/?uuid=39d54e84-7440-4a08-a077-400ab2ca56e3"]}],"mendeley":{"formattedCitation":"(Chan and Goldthorpe 2007a)","manualFormatting":"(Chan and Goldthorpe 2007a)","plainTextFormattedCitation":"(Chan and Goldthorpe 2007a)","previouslyFormattedCitation":"(Chan and Goldthorpe 2007a)"},"properties":{"noteIndex":0},"schema":"https://github.com/citation-style-language/schema/raw/master/csl-citation.json"}</w:instrText>
      </w:r>
      <w:r w:rsidR="009228BB">
        <w:rPr>
          <w:rFonts w:ascii="Times New Roman" w:hAnsi="Times New Roman" w:cs="Times New Roman"/>
        </w:rPr>
        <w:fldChar w:fldCharType="separate"/>
      </w:r>
      <w:r w:rsidR="009228BB">
        <w:rPr>
          <w:rFonts w:ascii="Times New Roman" w:hAnsi="Times New Roman" w:cs="Times New Roman"/>
          <w:noProof/>
        </w:rPr>
        <w:t>(</w:t>
      </w:r>
      <w:r w:rsidR="009228BB" w:rsidRPr="009228BB">
        <w:rPr>
          <w:rFonts w:ascii="Times New Roman" w:hAnsi="Times New Roman" w:cs="Times New Roman"/>
          <w:noProof/>
        </w:rPr>
        <w:t>Chan and Goldthorpe 2007a)</w:t>
      </w:r>
      <w:r w:rsidR="009228BB">
        <w:rPr>
          <w:rFonts w:ascii="Times New Roman" w:hAnsi="Times New Roman" w:cs="Times New Roman"/>
        </w:rPr>
        <w:fldChar w:fldCharType="end"/>
      </w:r>
      <w:r w:rsidR="00A43219">
        <w:rPr>
          <w:rFonts w:ascii="Times New Roman" w:hAnsi="Times New Roman" w:cs="Times New Roman"/>
        </w:rPr>
        <w:t>, but, similarly, I do</w:t>
      </w:r>
      <w:r w:rsidR="009228BB">
        <w:rPr>
          <w:rFonts w:ascii="Times New Roman" w:hAnsi="Times New Roman" w:cs="Times New Roman"/>
        </w:rPr>
        <w:t xml:space="preserve"> no</w:t>
      </w:r>
      <w:r w:rsidR="00A43219">
        <w:rPr>
          <w:rFonts w:ascii="Times New Roman" w:hAnsi="Times New Roman" w:cs="Times New Roman"/>
        </w:rPr>
        <w:t xml:space="preserve">t believe it helps us </w:t>
      </w:r>
      <w:r w:rsidR="00A43219">
        <w:rPr>
          <w:rFonts w:ascii="Times New Roman" w:hAnsi="Times New Roman" w:cs="Times New Roman"/>
          <w:color w:val="000000"/>
          <w:lang w:val="en-US"/>
        </w:rPr>
        <w:t xml:space="preserve">grasp the various values people associated to their preferences </w:t>
      </w:r>
      <w:r w:rsidR="00BD5402">
        <w:rPr>
          <w:rFonts w:ascii="Times New Roman" w:hAnsi="Times New Roman" w:cs="Times New Roman"/>
          <w:color w:val="000000"/>
          <w:lang w:val="en-US"/>
        </w:rPr>
        <w:t xml:space="preserve">in </w:t>
      </w:r>
      <w:r w:rsidR="00A43219">
        <w:rPr>
          <w:rFonts w:ascii="Times New Roman" w:hAnsi="Times New Roman" w:cs="Times New Roman"/>
          <w:color w:val="000000"/>
          <w:lang w:val="en-US"/>
        </w:rPr>
        <w:t>the way MCA does. The reason is simple; these techniques have very different ambitions.</w:t>
      </w:r>
      <w:r w:rsidR="00A43219">
        <w:rPr>
          <w:rFonts w:ascii="Times New Roman" w:hAnsi="Times New Roman" w:cs="Times New Roman"/>
        </w:rPr>
        <w:t xml:space="preserve"> </w:t>
      </w:r>
      <w:r w:rsidR="005A72D1">
        <w:rPr>
          <w:rFonts w:ascii="Times New Roman" w:hAnsi="Times New Roman" w:cs="Times New Roman"/>
        </w:rPr>
        <w:t xml:space="preserve">While MCA has often been described as </w:t>
      </w:r>
      <w:r w:rsidR="005A72D1">
        <w:rPr>
          <w:rFonts w:ascii="Times New Roman" w:hAnsi="Times New Roman" w:cs="Times New Roman"/>
          <w:color w:val="000000"/>
          <w:lang w:val="en-US"/>
        </w:rPr>
        <w:t>‘</w:t>
      </w:r>
      <w:r w:rsidR="005A72D1" w:rsidRPr="00791F69">
        <w:rPr>
          <w:rFonts w:ascii="Times New Roman" w:hAnsi="Times New Roman" w:cs="Times New Roman"/>
          <w:color w:val="000000"/>
          <w:lang w:val="en-US"/>
        </w:rPr>
        <w:t>exploratory</w:t>
      </w:r>
      <w:r w:rsidR="005A72D1">
        <w:rPr>
          <w:rFonts w:ascii="Times New Roman" w:hAnsi="Times New Roman" w:cs="Times New Roman"/>
          <w:color w:val="000000"/>
          <w:lang w:val="en-US"/>
        </w:rPr>
        <w:t>’</w:t>
      </w:r>
      <w:r w:rsidR="005A72D1" w:rsidRPr="00BC2286">
        <w:rPr>
          <w:rStyle w:val="FootnoteReference"/>
        </w:rPr>
        <w:footnoteReference w:id="2"/>
      </w:r>
      <w:r w:rsidR="005A72D1">
        <w:rPr>
          <w:rFonts w:ascii="Times New Roman" w:hAnsi="Times New Roman" w:cs="Times New Roman"/>
          <w:color w:val="000000"/>
          <w:lang w:val="en-US"/>
        </w:rPr>
        <w:t xml:space="preserve">, LCA </w:t>
      </w:r>
      <w:r w:rsidR="005A72D1" w:rsidRPr="00791F69">
        <w:rPr>
          <w:rFonts w:ascii="Times New Roman" w:hAnsi="Times New Roman" w:cs="Times New Roman"/>
          <w:color w:val="000000"/>
          <w:lang w:val="en-US"/>
        </w:rPr>
        <w:t xml:space="preserve">presupposes predetermined data modelisation about links between variables; this reduces the field of possibilities (we search the “best” model). </w:t>
      </w:r>
      <w:r w:rsidR="00A43219">
        <w:rPr>
          <w:rFonts w:ascii="Times New Roman" w:hAnsi="Times New Roman" w:cs="Times New Roman"/>
          <w:color w:val="000000"/>
          <w:lang w:val="en-US"/>
        </w:rPr>
        <w:t xml:space="preserve">It is useful </w:t>
      </w:r>
      <w:r w:rsidR="005A72D1" w:rsidRPr="00791F69">
        <w:rPr>
          <w:rFonts w:ascii="Times New Roman" w:hAnsi="Times New Roman" w:cs="Times New Roman"/>
          <w:color w:val="000000"/>
          <w:lang w:val="en-US"/>
        </w:rPr>
        <w:t xml:space="preserve">to </w:t>
      </w:r>
      <w:r w:rsidR="00A43219" w:rsidRPr="00A43219">
        <w:rPr>
          <w:rFonts w:ascii="Times New Roman" w:hAnsi="Times New Roman" w:cs="Times New Roman"/>
          <w:i/>
          <w:color w:val="000000"/>
          <w:lang w:val="en-US"/>
        </w:rPr>
        <w:t>test</w:t>
      </w:r>
      <w:r w:rsidR="00A43219">
        <w:rPr>
          <w:rFonts w:ascii="Times New Roman" w:hAnsi="Times New Roman" w:cs="Times New Roman"/>
          <w:color w:val="000000"/>
          <w:lang w:val="en-US"/>
        </w:rPr>
        <w:t xml:space="preserve"> the presence of </w:t>
      </w:r>
      <w:r w:rsidR="005A72D1" w:rsidRPr="00791F69">
        <w:rPr>
          <w:rFonts w:ascii="Times New Roman" w:hAnsi="Times New Roman" w:cs="Times New Roman"/>
          <w:color w:val="000000"/>
          <w:lang w:val="en-US"/>
        </w:rPr>
        <w:t>omnivores</w:t>
      </w:r>
      <w:r w:rsidR="00A43219">
        <w:rPr>
          <w:rFonts w:ascii="Times New Roman" w:hAnsi="Times New Roman" w:cs="Times New Roman"/>
          <w:color w:val="000000"/>
          <w:lang w:val="en-US"/>
        </w:rPr>
        <w:t xml:space="preserve"> in a specific cultural domain</w:t>
      </w:r>
      <w:r w:rsidR="005A72D1">
        <w:rPr>
          <w:rFonts w:ascii="Times New Roman" w:hAnsi="Times New Roman" w:cs="Times New Roman"/>
          <w:color w:val="000000"/>
          <w:lang w:val="en-US"/>
        </w:rPr>
        <w:t xml:space="preserve"> </w:t>
      </w:r>
      <w:r w:rsidR="00A43219">
        <w:rPr>
          <w:rFonts w:ascii="Times New Roman" w:hAnsi="Times New Roman" w:cs="Times New Roman"/>
          <w:color w:val="000000"/>
          <w:lang w:val="en-US"/>
        </w:rPr>
        <w:t>based on clear hypothese</w:t>
      </w:r>
      <w:r w:rsidR="009228BB">
        <w:rPr>
          <w:rFonts w:ascii="Times New Roman" w:hAnsi="Times New Roman" w:cs="Times New Roman"/>
          <w:color w:val="000000"/>
          <w:lang w:val="en-US"/>
        </w:rPr>
        <w:t>s</w:t>
      </w:r>
      <w:r w:rsidR="00A43219">
        <w:rPr>
          <w:rFonts w:ascii="Times New Roman" w:hAnsi="Times New Roman" w:cs="Times New Roman"/>
          <w:color w:val="000000"/>
          <w:lang w:val="en-US"/>
        </w:rPr>
        <w:t xml:space="preserve"> </w:t>
      </w:r>
      <w:r w:rsidR="005A72D1">
        <w:rPr>
          <w:rFonts w:ascii="Times New Roman" w:hAnsi="Times New Roman" w:cs="Times New Roman"/>
          <w:color w:val="000000"/>
          <w:lang w:val="en-US"/>
        </w:rPr>
        <w:fldChar w:fldCharType="begin" w:fldLock="1"/>
      </w:r>
      <w:r w:rsidR="00A37BF5">
        <w:rPr>
          <w:rFonts w:ascii="Times New Roman" w:hAnsi="Times New Roman" w:cs="Times New Roman"/>
          <w:color w:val="000000"/>
          <w:lang w:val="en-US"/>
        </w:rPr>
        <w:instrText>ADDIN CSL_CITATION {"citationItems":[{"id":"ITEM-1","itemData":{"author":[{"dropping-particle":"","family":"López-Sintas","given":"J.","non-dropping-particle":"","parse-names":false,"suffix":""},{"dropping-particle":"","family":"Garcia-Álvarez","given":"E.","non-dropping-particle":"","parse-names":false,"suffix":""}],"container-title":"European Sociological Review","id":"ITEM-1","issue":"3","issued":{"date-parts":[["2002"]]},"page":"353-368","title":"Omnivores Show up Again. The segmentation of Cultural Consumers in Spanish Social Space","type":"article-journal","volume":"18"},"prefix":"see","uris":["http://www.mendeley.com/documents/?uuid=ae594fbc-003c-45ca-bc13-ce89e8225124"]}],"mendeley":{"formattedCitation":"(see López-Sintas and Garcia-Álvarez 2002)","plainTextFormattedCitation":"(see López-Sintas and Garcia-Álvarez 2002)","previouslyFormattedCitation":"(see López-Sintas and Garcia-Álvarez 2002)"},"properties":{"noteIndex":0},"schema":"https://github.com/citation-style-language/schema/raw/master/csl-citation.json"}</w:instrText>
      </w:r>
      <w:r w:rsidR="005A72D1">
        <w:rPr>
          <w:rFonts w:ascii="Times New Roman" w:hAnsi="Times New Roman" w:cs="Times New Roman"/>
          <w:color w:val="000000"/>
          <w:lang w:val="en-US"/>
        </w:rPr>
        <w:fldChar w:fldCharType="separate"/>
      </w:r>
      <w:r w:rsidR="005A72D1" w:rsidRPr="005A72D1">
        <w:rPr>
          <w:rFonts w:ascii="Times New Roman" w:hAnsi="Times New Roman" w:cs="Times New Roman"/>
          <w:noProof/>
          <w:color w:val="000000"/>
          <w:lang w:val="en-US"/>
        </w:rPr>
        <w:t>(see López-Sintas and Garcia-Álvarez 2002)</w:t>
      </w:r>
      <w:r w:rsidR="005A72D1">
        <w:rPr>
          <w:rFonts w:ascii="Times New Roman" w:hAnsi="Times New Roman" w:cs="Times New Roman"/>
          <w:color w:val="000000"/>
          <w:lang w:val="en-US"/>
        </w:rPr>
        <w:fldChar w:fldCharType="end"/>
      </w:r>
      <w:r w:rsidR="006C3D44">
        <w:rPr>
          <w:rFonts w:ascii="Times New Roman" w:hAnsi="Times New Roman" w:cs="Times New Roman"/>
          <w:color w:val="000000"/>
          <w:lang w:val="en-US"/>
        </w:rPr>
        <w:t xml:space="preserve"> but it would be more tricky to use for the unravelling of </w:t>
      </w:r>
      <w:r w:rsidR="009228BB">
        <w:rPr>
          <w:rFonts w:ascii="Times New Roman" w:hAnsi="Times New Roman" w:cs="Times New Roman"/>
          <w:color w:val="000000"/>
          <w:lang w:val="en-US"/>
        </w:rPr>
        <w:t>complex lifestyles (as it can</w:t>
      </w:r>
      <w:r w:rsidR="006C3D44">
        <w:rPr>
          <w:rFonts w:ascii="Times New Roman" w:hAnsi="Times New Roman" w:cs="Times New Roman"/>
          <w:color w:val="000000"/>
          <w:lang w:val="en-US"/>
        </w:rPr>
        <w:t xml:space="preserve"> have restrictions in terms of number of variables). Finally, the reliance on groups of omnivores</w:t>
      </w:r>
      <w:r w:rsidR="00615237">
        <w:rPr>
          <w:rFonts w:ascii="Times New Roman" w:hAnsi="Times New Roman" w:cs="Times New Roman"/>
          <w:color w:val="000000"/>
          <w:lang w:val="en-US"/>
        </w:rPr>
        <w:t>, which, across the literature,</w:t>
      </w:r>
      <w:r w:rsidR="006C3D44">
        <w:rPr>
          <w:rFonts w:ascii="Times New Roman" w:hAnsi="Times New Roman" w:cs="Times New Roman"/>
          <w:color w:val="000000"/>
          <w:lang w:val="en-US"/>
        </w:rPr>
        <w:t xml:space="preserve"> </w:t>
      </w:r>
      <w:r w:rsidR="00615237">
        <w:rPr>
          <w:rFonts w:ascii="Times New Roman" w:hAnsi="Times New Roman" w:cs="Times New Roman"/>
          <w:color w:val="000000"/>
          <w:lang w:val="en-US"/>
        </w:rPr>
        <w:t xml:space="preserve">often have similar socio-demographics, </w:t>
      </w:r>
      <w:r w:rsidR="006C3D44">
        <w:rPr>
          <w:rFonts w:ascii="Times New Roman" w:hAnsi="Times New Roman" w:cs="Times New Roman"/>
          <w:color w:val="000000"/>
          <w:lang w:val="en-US"/>
        </w:rPr>
        <w:t>runs the risks to hide the fluidity of omnivorousness. P</w:t>
      </w:r>
      <w:r w:rsidR="006A704E" w:rsidRPr="00791F69">
        <w:rPr>
          <w:rFonts w:ascii="Times New Roman" w:hAnsi="Times New Roman" w:cs="Times New Roman"/>
          <w:color w:val="000000"/>
          <w:lang w:val="en-US"/>
        </w:rPr>
        <w:t>eople</w:t>
      </w:r>
      <w:r w:rsidR="006C3D44">
        <w:rPr>
          <w:rFonts w:ascii="Times New Roman" w:hAnsi="Times New Roman" w:cs="Times New Roman"/>
          <w:color w:val="000000"/>
          <w:lang w:val="en-US"/>
        </w:rPr>
        <w:t xml:space="preserve"> can be more </w:t>
      </w:r>
      <w:r w:rsidR="006A704E" w:rsidRPr="00791F69">
        <w:rPr>
          <w:rFonts w:ascii="Times New Roman" w:hAnsi="Times New Roman" w:cs="Times New Roman"/>
          <w:color w:val="000000"/>
          <w:lang w:val="en-US"/>
        </w:rPr>
        <w:t xml:space="preserve">omnivorous </w:t>
      </w:r>
      <w:r w:rsidR="006C3D44">
        <w:rPr>
          <w:rFonts w:ascii="Times New Roman" w:hAnsi="Times New Roman" w:cs="Times New Roman"/>
          <w:color w:val="000000"/>
          <w:lang w:val="en-US"/>
        </w:rPr>
        <w:t xml:space="preserve">in one cultural field </w:t>
      </w:r>
      <w:r w:rsidR="00615237">
        <w:rPr>
          <w:rFonts w:ascii="Times New Roman" w:hAnsi="Times New Roman" w:cs="Times New Roman"/>
          <w:color w:val="000000"/>
          <w:lang w:val="en-US"/>
        </w:rPr>
        <w:t xml:space="preserve">(music) </w:t>
      </w:r>
      <w:r w:rsidR="006C3D44">
        <w:rPr>
          <w:rFonts w:ascii="Times New Roman" w:hAnsi="Times New Roman" w:cs="Times New Roman"/>
          <w:color w:val="000000"/>
          <w:lang w:val="en-US"/>
        </w:rPr>
        <w:t>and less in another</w:t>
      </w:r>
      <w:r w:rsidR="00615237">
        <w:rPr>
          <w:rFonts w:ascii="Times New Roman" w:hAnsi="Times New Roman" w:cs="Times New Roman"/>
          <w:color w:val="000000"/>
          <w:lang w:val="en-US"/>
        </w:rPr>
        <w:t xml:space="preserve"> (reading)</w:t>
      </w:r>
      <w:r w:rsidR="00A37BF5">
        <w:rPr>
          <w:rFonts w:ascii="Times New Roman" w:hAnsi="Times New Roman" w:cs="Times New Roman"/>
          <w:color w:val="000000"/>
          <w:lang w:val="en-US"/>
        </w:rPr>
        <w:t xml:space="preserve"> </w:t>
      </w:r>
      <w:r w:rsidR="00A37BF5">
        <w:rPr>
          <w:rFonts w:ascii="Times New Roman" w:hAnsi="Times New Roman" w:cs="Times New Roman"/>
          <w:color w:val="000000"/>
          <w:lang w:val="en-US"/>
        </w:rPr>
        <w:fldChar w:fldCharType="begin" w:fldLock="1"/>
      </w:r>
      <w:r w:rsidR="00176701">
        <w:rPr>
          <w:rFonts w:ascii="Times New Roman" w:hAnsi="Times New Roman" w:cs="Times New Roman"/>
          <w:color w:val="000000"/>
          <w:lang w:val="en-US"/>
        </w:rPr>
        <w:instrText>ADDIN CSL_CITATION {"citationItems":[{"id":"ITEM-1","itemData":{"author":[{"dropping-particle":"","family":"Hanquinet","given":"L.","non-dropping-particle":"","parse-names":false,"suffix":""}],"id":"ITEM-1","issued":{"date-parts":[["2014"]]},"publisher":"Editions de l'Université de Bruxelles","publisher-place":"Bruxelles","title":"Du musée aux pratiques culturelles. Enquête sur les publics de musée d’art moderne et contemporain","type":"book"},"uris":["http://www.mendeley.com/documents/?uuid=7a458c8d-fafc-43c3-b3fb-71c9638f9898"]}],"mendeley":{"formattedCitation":"(Hanquinet 2014)","plainTextFormattedCitation":"(Hanquinet 2014)","previouslyFormattedCitation":"(Hanquinet 2014)"},"properties":{"noteIndex":0},"schema":"https://github.com/citation-style-language/schema/raw/master/csl-citation.json"}</w:instrText>
      </w:r>
      <w:r w:rsidR="00A37BF5">
        <w:rPr>
          <w:rFonts w:ascii="Times New Roman" w:hAnsi="Times New Roman" w:cs="Times New Roman"/>
          <w:color w:val="000000"/>
          <w:lang w:val="en-US"/>
        </w:rPr>
        <w:fldChar w:fldCharType="separate"/>
      </w:r>
      <w:r w:rsidR="00A37BF5" w:rsidRPr="00A37BF5">
        <w:rPr>
          <w:rFonts w:ascii="Times New Roman" w:hAnsi="Times New Roman" w:cs="Times New Roman"/>
          <w:noProof/>
          <w:color w:val="000000"/>
          <w:lang w:val="en-US"/>
        </w:rPr>
        <w:t>(Hanquinet 2014)</w:t>
      </w:r>
      <w:r w:rsidR="00A37BF5">
        <w:rPr>
          <w:rFonts w:ascii="Times New Roman" w:hAnsi="Times New Roman" w:cs="Times New Roman"/>
          <w:color w:val="000000"/>
          <w:lang w:val="en-US"/>
        </w:rPr>
        <w:fldChar w:fldCharType="end"/>
      </w:r>
      <w:r w:rsidR="006A704E" w:rsidRPr="00791F69">
        <w:rPr>
          <w:rFonts w:ascii="Times New Roman" w:hAnsi="Times New Roman" w:cs="Times New Roman"/>
          <w:color w:val="000000"/>
          <w:lang w:val="en-US"/>
        </w:rPr>
        <w:t xml:space="preserve">. </w:t>
      </w:r>
      <w:r w:rsidR="00064A1F">
        <w:rPr>
          <w:rFonts w:ascii="Times New Roman" w:hAnsi="Times New Roman" w:cs="Times New Roman"/>
          <w:color w:val="000000"/>
          <w:lang w:val="en-US"/>
        </w:rPr>
        <w:t>This also questions the idea that</w:t>
      </w:r>
      <w:r w:rsidR="006C3D44">
        <w:rPr>
          <w:rFonts w:ascii="Times New Roman" w:hAnsi="Times New Roman" w:cs="Times New Roman"/>
          <w:color w:val="000000"/>
          <w:lang w:val="en-US"/>
        </w:rPr>
        <w:t xml:space="preserve"> </w:t>
      </w:r>
      <w:r w:rsidR="006C3D44" w:rsidRPr="00BD2F8A">
        <w:rPr>
          <w:rFonts w:ascii="Times New Roman" w:hAnsi="Times New Roman" w:cs="Times New Roman"/>
          <w:color w:val="000000"/>
          <w:lang w:val="en-US"/>
        </w:rPr>
        <w:t>omnivorousness</w:t>
      </w:r>
      <w:r w:rsidR="00064A1F" w:rsidRPr="00BD2F8A">
        <w:rPr>
          <w:rFonts w:ascii="Times New Roman" w:hAnsi="Times New Roman" w:cs="Times New Roman"/>
          <w:color w:val="000000"/>
          <w:lang w:val="en-US"/>
        </w:rPr>
        <w:t xml:space="preserve"> be</w:t>
      </w:r>
      <w:r w:rsidR="006C3D44" w:rsidRPr="00BD2F8A">
        <w:rPr>
          <w:rFonts w:ascii="Times New Roman" w:hAnsi="Times New Roman" w:cs="Times New Roman"/>
          <w:color w:val="000000"/>
          <w:lang w:val="en-US"/>
        </w:rPr>
        <w:t xml:space="preserve"> a transposable disposition</w:t>
      </w:r>
      <w:r w:rsidR="000617DD" w:rsidRPr="00BD2F8A">
        <w:rPr>
          <w:rFonts w:ascii="Times New Roman" w:hAnsi="Times New Roman" w:cs="Times New Roman"/>
          <w:color w:val="000000"/>
          <w:lang w:val="en-US"/>
        </w:rPr>
        <w:t xml:space="preserve"> </w:t>
      </w:r>
      <w:r w:rsidR="00BD2F8A" w:rsidRPr="00BD2F8A">
        <w:rPr>
          <w:rFonts w:ascii="Times New Roman" w:hAnsi="Times New Roman" w:cs="Times New Roman"/>
          <w:color w:val="000000"/>
          <w:lang w:val="en-US"/>
        </w:rPr>
        <w:fldChar w:fldCharType="begin" w:fldLock="1"/>
      </w:r>
      <w:r w:rsidR="00A37BF5">
        <w:rPr>
          <w:rFonts w:ascii="Times New Roman" w:hAnsi="Times New Roman" w:cs="Times New Roman"/>
          <w:color w:val="000000"/>
          <w:lang w:val="en-US"/>
        </w:rPr>
        <w:instrText>ADDIN CSL_CITATION {"citationItems":[{"id":"ITEM-1","itemData":{"DOI":"10.1177/0735275112466999","ISBN":"07352751","ISSN":"0735-2751","abstract":"Scores of sociological studies have provided evidence for the association between broad cultural taste, or omnivorousness, and various status characteristics, such as education, occupation, and age. Nevertheless, the literature lacks a consistent theoretical foundation with which to understand and organize these empirical findings. In this article, we offer such a framework, suggesting that a mechanism-based approach is helpful for examination of the origins of the omnivore-univore taste pattern as well as its class-based distribution. We reground the discussion of this phenomenon in Distinction (Bourdieu 1984), conceptualizing omnivorous taste as a transposable form of the aesthetic disposition available most readily to individuals who convert early aesthetic training into high cultural capital occupational trajectories. After outlining the genetic mechanisms that link the aesthetic disposition to early socialization trajectories, we identify two relational mechanisms that modulate its manifestation (either enhancing or inhibiting it) after early socialization.","author":[{"dropping-particle":"","family":"Lizardo","given":"Omar","non-dropping-particle":"","parse-names":false,"suffix":""},{"dropping-particle":"","family":"Skiles","given":"Sara","non-dropping-particle":"","parse-names":false,"suffix":""}],"container-title":"Sociological Theory","id":"ITEM-1","issue":"4","issued":{"date-parts":[["2012","1","10"]]},"page":"263-282","title":"Reconceptualizing and Theorizing \"Omnivorousness\": Genetic and Relational Mechanisms","type":"article-journal","volume":"30"},"uris":["http://www.mendeley.com/documents/?uuid=ff142009-25c4-4b68-b655-891080fb6b0f"]}],"mendeley":{"formattedCitation":"(Lizardo and Skiles 2012)","plainTextFormattedCitation":"(Lizardo and Skiles 2012)","previouslyFormattedCitation":"(Lizardo and Skiles 2012)"},"properties":{"noteIndex":0},"schema":"https://github.com/citation-style-language/schema/raw/master/csl-citation.json"}</w:instrText>
      </w:r>
      <w:r w:rsidR="00BD2F8A" w:rsidRPr="00BD2F8A">
        <w:rPr>
          <w:rFonts w:ascii="Times New Roman" w:hAnsi="Times New Roman" w:cs="Times New Roman"/>
          <w:color w:val="000000"/>
          <w:lang w:val="en-US"/>
        </w:rPr>
        <w:fldChar w:fldCharType="separate"/>
      </w:r>
      <w:r w:rsidR="00BD2F8A" w:rsidRPr="00BD2F8A">
        <w:rPr>
          <w:rFonts w:ascii="Times New Roman" w:hAnsi="Times New Roman" w:cs="Times New Roman"/>
          <w:noProof/>
          <w:color w:val="000000"/>
          <w:lang w:val="en-US"/>
        </w:rPr>
        <w:t>(Lizardo and Skiles 2012)</w:t>
      </w:r>
      <w:r w:rsidR="00BD2F8A" w:rsidRPr="00BD2F8A">
        <w:rPr>
          <w:rFonts w:ascii="Times New Roman" w:hAnsi="Times New Roman" w:cs="Times New Roman"/>
          <w:color w:val="000000"/>
          <w:lang w:val="en-US"/>
        </w:rPr>
        <w:fldChar w:fldCharType="end"/>
      </w:r>
      <w:r w:rsidR="006C3D44">
        <w:rPr>
          <w:rFonts w:ascii="Times New Roman" w:hAnsi="Times New Roman" w:cs="Times New Roman"/>
          <w:color w:val="000000"/>
          <w:lang w:val="en-US"/>
        </w:rPr>
        <w:t xml:space="preserve">. </w:t>
      </w:r>
    </w:p>
    <w:p w14:paraId="6331A848" w14:textId="77777777" w:rsidR="006A704E" w:rsidRPr="00791F69" w:rsidRDefault="006A704E" w:rsidP="00791F69">
      <w:pPr>
        <w:spacing w:line="360" w:lineRule="auto"/>
        <w:jc w:val="both"/>
        <w:rPr>
          <w:rFonts w:ascii="Times New Roman" w:hAnsi="Times New Roman" w:cs="Times New Roman"/>
          <w:lang w:val="en-US"/>
        </w:rPr>
      </w:pPr>
    </w:p>
    <w:p w14:paraId="68D2AEB6" w14:textId="36696187" w:rsidR="00D015BE" w:rsidRPr="00791F69" w:rsidRDefault="00AC7D11" w:rsidP="009D5229">
      <w:pPr>
        <w:spacing w:line="360" w:lineRule="auto"/>
        <w:jc w:val="both"/>
        <w:rPr>
          <w:rFonts w:ascii="Times New Roman" w:hAnsi="Times New Roman" w:cs="Times New Roman"/>
        </w:rPr>
      </w:pPr>
      <w:r w:rsidRPr="00791F69">
        <w:rPr>
          <w:rFonts w:ascii="Times New Roman" w:hAnsi="Times New Roman" w:cs="Times New Roman"/>
        </w:rPr>
        <w:t>However, Flemmen and colleagues ma</w:t>
      </w:r>
      <w:r w:rsidR="00801CFB" w:rsidRPr="00791F69">
        <w:rPr>
          <w:rFonts w:ascii="Times New Roman" w:hAnsi="Times New Roman" w:cs="Times New Roman"/>
        </w:rPr>
        <w:t>y</w:t>
      </w:r>
      <w:r w:rsidR="008842D0" w:rsidRPr="00791F69">
        <w:rPr>
          <w:rFonts w:ascii="Times New Roman" w:hAnsi="Times New Roman" w:cs="Times New Roman"/>
        </w:rPr>
        <w:t xml:space="preserve"> have </w:t>
      </w:r>
      <w:r w:rsidR="00AA7CA8" w:rsidRPr="00791F69">
        <w:rPr>
          <w:rFonts w:ascii="Times New Roman" w:hAnsi="Times New Roman" w:cs="Times New Roman"/>
        </w:rPr>
        <w:t xml:space="preserve">taken </w:t>
      </w:r>
      <w:r w:rsidR="008518B2" w:rsidRPr="00791F69">
        <w:rPr>
          <w:rFonts w:ascii="Times New Roman" w:hAnsi="Times New Roman" w:cs="Times New Roman"/>
        </w:rPr>
        <w:t xml:space="preserve">too much </w:t>
      </w:r>
      <w:r w:rsidR="00AA7CA8" w:rsidRPr="00791F69">
        <w:rPr>
          <w:rFonts w:ascii="Times New Roman" w:hAnsi="Times New Roman" w:cs="Times New Roman"/>
        </w:rPr>
        <w:t xml:space="preserve">advantage of the MCA’s flexibility and </w:t>
      </w:r>
      <w:r w:rsidR="008842D0" w:rsidRPr="00791F69">
        <w:rPr>
          <w:rFonts w:ascii="Times New Roman" w:hAnsi="Times New Roman" w:cs="Times New Roman"/>
        </w:rPr>
        <w:t>included</w:t>
      </w:r>
      <w:r w:rsidR="00801CFB" w:rsidRPr="00791F69">
        <w:rPr>
          <w:rFonts w:ascii="Times New Roman" w:hAnsi="Times New Roman" w:cs="Times New Roman"/>
        </w:rPr>
        <w:t xml:space="preserve"> </w:t>
      </w:r>
      <w:r w:rsidR="009C57F3" w:rsidRPr="00791F69">
        <w:rPr>
          <w:rFonts w:ascii="Times New Roman" w:hAnsi="Times New Roman" w:cs="Times New Roman"/>
        </w:rPr>
        <w:t>too</w:t>
      </w:r>
      <w:r w:rsidR="00801CFB" w:rsidRPr="00791F69">
        <w:rPr>
          <w:rFonts w:ascii="Times New Roman" w:hAnsi="Times New Roman" w:cs="Times New Roman"/>
        </w:rPr>
        <w:t xml:space="preserve"> </w:t>
      </w:r>
      <w:r w:rsidR="00BF596B" w:rsidRPr="00791F69">
        <w:rPr>
          <w:rFonts w:ascii="Times New Roman" w:hAnsi="Times New Roman" w:cs="Times New Roman"/>
        </w:rPr>
        <w:t>many</w:t>
      </w:r>
      <w:r w:rsidR="00801CFB" w:rsidRPr="00791F69">
        <w:rPr>
          <w:rFonts w:ascii="Times New Roman" w:hAnsi="Times New Roman" w:cs="Times New Roman"/>
        </w:rPr>
        <w:t xml:space="preserve"> indicators. </w:t>
      </w:r>
      <w:r w:rsidR="001558DE" w:rsidRPr="00791F69">
        <w:rPr>
          <w:rFonts w:ascii="Times New Roman" w:hAnsi="Times New Roman" w:cs="Times New Roman"/>
        </w:rPr>
        <w:t xml:space="preserve">They do not provide a clear justification for </w:t>
      </w:r>
      <w:r w:rsidR="008842D0" w:rsidRPr="00791F69">
        <w:rPr>
          <w:rFonts w:ascii="Times New Roman" w:hAnsi="Times New Roman" w:cs="Times New Roman"/>
        </w:rPr>
        <w:t xml:space="preserve">why questions related to attitudes </w:t>
      </w:r>
      <w:r w:rsidR="00E01FC3" w:rsidRPr="00791F69">
        <w:rPr>
          <w:rFonts w:ascii="Times New Roman" w:hAnsi="Times New Roman" w:cs="Times New Roman"/>
        </w:rPr>
        <w:t xml:space="preserve">needed to be added. </w:t>
      </w:r>
      <w:r w:rsidR="00BD2F8A">
        <w:rPr>
          <w:rFonts w:ascii="Times New Roman" w:hAnsi="Times New Roman" w:cs="Times New Roman"/>
        </w:rPr>
        <w:t>They</w:t>
      </w:r>
      <w:r w:rsidR="00E01FC3" w:rsidRPr="00791F69">
        <w:rPr>
          <w:rFonts w:ascii="Times New Roman" w:hAnsi="Times New Roman" w:cs="Times New Roman"/>
        </w:rPr>
        <w:t xml:space="preserve"> could possibly explain people’s lifestyles </w:t>
      </w:r>
      <w:r w:rsidR="00BD2F8A">
        <w:rPr>
          <w:rFonts w:ascii="Times New Roman" w:hAnsi="Times New Roman" w:cs="Times New Roman"/>
        </w:rPr>
        <w:t>but do not form a part of them</w:t>
      </w:r>
      <w:r w:rsidR="00E01FC3" w:rsidRPr="00791F69">
        <w:rPr>
          <w:rFonts w:ascii="Times New Roman" w:hAnsi="Times New Roman" w:cs="Times New Roman"/>
        </w:rPr>
        <w:t xml:space="preserve">. </w:t>
      </w:r>
      <w:r w:rsidR="00F428A4" w:rsidRPr="00791F69">
        <w:rPr>
          <w:rFonts w:ascii="Times New Roman" w:hAnsi="Times New Roman" w:cs="Times New Roman"/>
        </w:rPr>
        <w:t>Similarly, household equipment also brings some incoherence in the cloud of modalities as it does not reveal lifestyles but could arguably be a measure of economic capital, facilitating the</w:t>
      </w:r>
      <w:r w:rsidR="00E01FC3" w:rsidRPr="00791F69">
        <w:rPr>
          <w:rFonts w:ascii="Times New Roman" w:hAnsi="Times New Roman" w:cs="Times New Roman"/>
        </w:rPr>
        <w:t xml:space="preserve"> demonstration of a</w:t>
      </w:r>
      <w:r w:rsidR="00F428A4" w:rsidRPr="00791F69">
        <w:rPr>
          <w:rFonts w:ascii="Times New Roman" w:hAnsi="Times New Roman" w:cs="Times New Roman"/>
        </w:rPr>
        <w:t xml:space="preserve"> homology. </w:t>
      </w:r>
      <w:r w:rsidR="00B76781" w:rsidRPr="00791F69">
        <w:rPr>
          <w:rFonts w:ascii="Times New Roman" w:hAnsi="Times New Roman" w:cs="Times New Roman"/>
        </w:rPr>
        <w:t>Despite this, the cloud of moda</w:t>
      </w:r>
      <w:r w:rsidR="00BF596B" w:rsidRPr="00791F69">
        <w:rPr>
          <w:rFonts w:ascii="Times New Roman" w:hAnsi="Times New Roman" w:cs="Times New Roman"/>
        </w:rPr>
        <w:t>lities (unfortunately the cloud</w:t>
      </w:r>
      <w:r w:rsidR="00B76781" w:rsidRPr="00791F69">
        <w:rPr>
          <w:rFonts w:ascii="Times New Roman" w:hAnsi="Times New Roman" w:cs="Times New Roman"/>
        </w:rPr>
        <w:t xml:space="preserve"> of individuals is not shown) for the lifestyle space is robust and, combined with a cluster analysis, lead</w:t>
      </w:r>
      <w:r w:rsidR="00BD2F8A">
        <w:rPr>
          <w:rFonts w:ascii="Times New Roman" w:hAnsi="Times New Roman" w:cs="Times New Roman"/>
        </w:rPr>
        <w:t>s</w:t>
      </w:r>
      <w:r w:rsidR="00B76781" w:rsidRPr="00791F69">
        <w:rPr>
          <w:rFonts w:ascii="Times New Roman" w:hAnsi="Times New Roman" w:cs="Times New Roman"/>
        </w:rPr>
        <w:t xml:space="preserve"> to an interesting typology. As with any f</w:t>
      </w:r>
      <w:r w:rsidR="00CA79FA" w:rsidRPr="00791F69">
        <w:rPr>
          <w:rFonts w:ascii="Times New Roman" w:hAnsi="Times New Roman" w:cs="Times New Roman"/>
        </w:rPr>
        <w:t xml:space="preserve">actor and cluster analysis, there is scope to discuss </w:t>
      </w:r>
      <w:r w:rsidR="002948D0" w:rsidRPr="00791F69">
        <w:rPr>
          <w:rFonts w:ascii="Times New Roman" w:hAnsi="Times New Roman" w:cs="Times New Roman"/>
        </w:rPr>
        <w:t xml:space="preserve">the interpretation of the axes and the different classes. For instance, </w:t>
      </w:r>
      <w:r w:rsidR="00B91C5C">
        <w:rPr>
          <w:rFonts w:ascii="Times New Roman" w:hAnsi="Times New Roman" w:cs="Times New Roman"/>
        </w:rPr>
        <w:t xml:space="preserve">it is still important to highlight that </w:t>
      </w:r>
      <w:r w:rsidR="00944403">
        <w:rPr>
          <w:rFonts w:ascii="Times New Roman" w:hAnsi="Times New Roman" w:cs="Times New Roman"/>
        </w:rPr>
        <w:t xml:space="preserve">Axis 1 </w:t>
      </w:r>
      <w:r w:rsidR="00EB4467">
        <w:rPr>
          <w:rFonts w:ascii="Times New Roman" w:hAnsi="Times New Roman" w:cs="Times New Roman"/>
        </w:rPr>
        <w:t xml:space="preserve">does reveal low levels of cultural engagement (as it does </w:t>
      </w:r>
      <w:r w:rsidR="00944403" w:rsidRPr="00791F69">
        <w:rPr>
          <w:rFonts w:ascii="Times New Roman" w:hAnsi="Times New Roman" w:cs="Times New Roman"/>
        </w:rPr>
        <w:t>in many other Western countries</w:t>
      </w:r>
      <w:r w:rsidR="00EB4467">
        <w:rPr>
          <w:rFonts w:ascii="Times New Roman" w:hAnsi="Times New Roman" w:cs="Times New Roman"/>
        </w:rPr>
        <w:t xml:space="preserve">), </w:t>
      </w:r>
      <w:r w:rsidR="00B91C5C">
        <w:rPr>
          <w:rFonts w:ascii="Times New Roman" w:hAnsi="Times New Roman" w:cs="Times New Roman"/>
        </w:rPr>
        <w:t>even if these lifestyles</w:t>
      </w:r>
      <w:r w:rsidR="00EB4467">
        <w:rPr>
          <w:rFonts w:ascii="Times New Roman" w:hAnsi="Times New Roman" w:cs="Times New Roman"/>
        </w:rPr>
        <w:t xml:space="preserve"> are not ‘wholly passive’ (as it rarely is provided </w:t>
      </w:r>
      <w:r w:rsidR="00944403">
        <w:rPr>
          <w:rFonts w:ascii="Times New Roman" w:hAnsi="Times New Roman" w:cs="Times New Roman"/>
        </w:rPr>
        <w:t>the questionnaire</w:t>
      </w:r>
      <w:r w:rsidR="004616C4">
        <w:rPr>
          <w:rFonts w:ascii="Times New Roman" w:hAnsi="Times New Roman" w:cs="Times New Roman"/>
        </w:rPr>
        <w:t xml:space="preserve"> used</w:t>
      </w:r>
      <w:r w:rsidR="00944403">
        <w:rPr>
          <w:rFonts w:ascii="Times New Roman" w:hAnsi="Times New Roman" w:cs="Times New Roman"/>
        </w:rPr>
        <w:t xml:space="preserve"> is thorough enough</w:t>
      </w:r>
      <w:r w:rsidR="00EB4467">
        <w:rPr>
          <w:rFonts w:ascii="Times New Roman" w:hAnsi="Times New Roman" w:cs="Times New Roman"/>
        </w:rPr>
        <w:t>,</w:t>
      </w:r>
      <w:r w:rsidR="009D5229">
        <w:rPr>
          <w:rFonts w:ascii="Times New Roman" w:hAnsi="Times New Roman" w:cs="Times New Roman"/>
        </w:rPr>
        <w:t xml:space="preserve"> </w:t>
      </w:r>
      <w:r w:rsidR="00176701">
        <w:rPr>
          <w:rFonts w:ascii="Times New Roman" w:hAnsi="Times New Roman" w:cs="Times New Roman"/>
        </w:rPr>
        <w:t xml:space="preserve">e.g. </w:t>
      </w:r>
      <w:r w:rsidR="009D5229">
        <w:rPr>
          <w:rFonts w:ascii="Times New Roman" w:hAnsi="Times New Roman" w:cs="Times New Roman"/>
        </w:rPr>
        <w:fldChar w:fldCharType="begin" w:fldLock="1"/>
      </w:r>
      <w:r w:rsidR="00176701">
        <w:rPr>
          <w:rFonts w:ascii="Times New Roman" w:hAnsi="Times New Roman" w:cs="Times New Roman"/>
        </w:rPr>
        <w:instrText>ADDIN CSL_CITATION {"citationItems":[{"id":"ITEM-1","itemData":{"author":[{"dropping-particle":"","family":"Bennett","given":"T.","non-dropping-particle":"","parse-names":false,"suffix":""},{"dropping-particle":"","family":"Savage","given":"M.","non-dropping-particle":"","parse-names":false,"suffix":""},{"dropping-particle":"","family":"Silva","given":"E.","non-dropping-particle":"","parse-names":false,"suffix":""},{"dropping-particle":"","family":"Warde","given":"A.","non-dropping-particle":"","parse-names":false,"suffix":""},{"dropping-particle":"","family":"Gayo-Cal","given":"M.","non-dropping-particle":"","parse-names":false,"suffix":""},{"dropping-particle":"","family":"Wright","given":"D.","non-dropping-particle":"","parse-names":false,"suffix":""}],"id":"ITEM-1","issued":{"date-parts":[["2009"]]},"publisher":"Routledge","publisher-place":"London","title":"Culture, Class, Distinction","type":"book"},"uris":["http://www.mendeley.com/documents/?uuid=4f8115d5-126b-4755-bd8a-a0104eabf6e8"]}],"mendeley":{"formattedCitation":"(Bennett et al. 2009)","manualFormatting":"Bennett et al. 2009)","plainTextFormattedCitation":"(Bennett et al. 2009)","previouslyFormattedCitation":"(Bennett et al. 2009)"},"properties":{"noteIndex":0},"schema":"https://github.com/citation-style-language/schema/raw/master/csl-citation.json"}</w:instrText>
      </w:r>
      <w:r w:rsidR="009D5229">
        <w:rPr>
          <w:rFonts w:ascii="Times New Roman" w:hAnsi="Times New Roman" w:cs="Times New Roman"/>
        </w:rPr>
        <w:fldChar w:fldCharType="separate"/>
      </w:r>
      <w:r w:rsidR="00900578" w:rsidRPr="00900578">
        <w:rPr>
          <w:rFonts w:ascii="Times New Roman" w:hAnsi="Times New Roman" w:cs="Times New Roman"/>
          <w:noProof/>
        </w:rPr>
        <w:t>Bennett et al. 2009)</w:t>
      </w:r>
      <w:r w:rsidR="009D5229">
        <w:rPr>
          <w:rFonts w:ascii="Times New Roman" w:hAnsi="Times New Roman" w:cs="Times New Roman"/>
        </w:rPr>
        <w:fldChar w:fldCharType="end"/>
      </w:r>
      <w:r w:rsidR="004616C4">
        <w:rPr>
          <w:rFonts w:ascii="Times New Roman" w:hAnsi="Times New Roman" w:cs="Times New Roman"/>
        </w:rPr>
        <w:t xml:space="preserve">. </w:t>
      </w:r>
      <w:r w:rsidR="00EB4467">
        <w:rPr>
          <w:rFonts w:ascii="Times New Roman" w:hAnsi="Times New Roman" w:cs="Times New Roman"/>
        </w:rPr>
        <w:t xml:space="preserve">Outlining weak cultural </w:t>
      </w:r>
      <w:r w:rsidR="008F1DC2">
        <w:rPr>
          <w:rFonts w:ascii="Times New Roman" w:hAnsi="Times New Roman" w:cs="Times New Roman"/>
        </w:rPr>
        <w:t xml:space="preserve">engagement </w:t>
      </w:r>
      <w:r w:rsidR="00EB4467">
        <w:rPr>
          <w:rFonts w:ascii="Times New Roman" w:hAnsi="Times New Roman" w:cs="Times New Roman"/>
        </w:rPr>
        <w:t>and not only</w:t>
      </w:r>
      <w:r w:rsidR="008F1DC2">
        <w:rPr>
          <w:rFonts w:ascii="Times New Roman" w:hAnsi="Times New Roman" w:cs="Times New Roman"/>
        </w:rPr>
        <w:t xml:space="preserve"> illegitimacy matters since </w:t>
      </w:r>
      <w:r w:rsidR="00EB4467">
        <w:rPr>
          <w:rFonts w:ascii="Times New Roman" w:hAnsi="Times New Roman" w:cs="Times New Roman"/>
        </w:rPr>
        <w:t>it</w:t>
      </w:r>
      <w:r w:rsidR="008F1DC2">
        <w:rPr>
          <w:rFonts w:ascii="Times New Roman" w:hAnsi="Times New Roman" w:cs="Times New Roman"/>
        </w:rPr>
        <w:t xml:space="preserve"> has been linked to </w:t>
      </w:r>
      <w:r w:rsidR="008F1DC2" w:rsidRPr="00791F69">
        <w:rPr>
          <w:rFonts w:ascii="Times New Roman" w:hAnsi="Times New Roman" w:cs="Times New Roman"/>
        </w:rPr>
        <w:t>older and less educated cohorts</w:t>
      </w:r>
      <w:r w:rsidR="008F1DC2">
        <w:rPr>
          <w:rFonts w:ascii="Times New Roman" w:hAnsi="Times New Roman" w:cs="Times New Roman"/>
        </w:rPr>
        <w:t xml:space="preserve"> who are more vulnerable to social exclusion</w:t>
      </w:r>
      <w:r w:rsidR="009D5229">
        <w:rPr>
          <w:rFonts w:ascii="Times New Roman" w:hAnsi="Times New Roman" w:cs="Times New Roman"/>
        </w:rPr>
        <w:t xml:space="preserve"> and isolation </w:t>
      </w:r>
      <w:r w:rsidR="009D5229">
        <w:rPr>
          <w:rFonts w:ascii="Times New Roman" w:hAnsi="Times New Roman" w:cs="Times New Roman"/>
        </w:rPr>
        <w:fldChar w:fldCharType="begin" w:fldLock="1"/>
      </w:r>
      <w:r w:rsidR="00A37BF5">
        <w:rPr>
          <w:rFonts w:ascii="Times New Roman" w:hAnsi="Times New Roman" w:cs="Times New Roman"/>
        </w:rPr>
        <w:instrText>ADDIN CSL_CITATION {"citationItems":[{"id":"ITEM-1","itemData":{"author":[{"dropping-particle":"","family":"Callier","given":"L.","non-dropping-particle":"","parse-names":false,"suffix":""},{"dropping-particle":"","family":"Hanquinet","given":"L.","non-dropping-particle":"","parse-names":false,"suffix":""}],"container-title":"Observatoire des Politiques Culturelles- Etudes","id":"ITEM-1","issued":{"date-parts":[["2012"]]},"title":"Étude approfondie des pratiques et consommation culturelles de la population en Fédération Wallonie- Bruxelles","type":"article-journal","volume":"1"},"uris":["http://www.mendeley.com/documents/?uuid=cc80e62e-29ad-4b4f-9e62-f4d8cb78c982"]}],"mendeley":{"formattedCitation":"(Callier and Hanquinet 2012)","plainTextFormattedCitation":"(Callier and Hanquinet 2012)","previouslyFormattedCitation":"(Callier and Hanquinet 2012)"},"properties":{"noteIndex":0},"schema":"https://github.com/citation-style-language/schema/raw/master/csl-citation.json"}</w:instrText>
      </w:r>
      <w:r w:rsidR="009D5229">
        <w:rPr>
          <w:rFonts w:ascii="Times New Roman" w:hAnsi="Times New Roman" w:cs="Times New Roman"/>
        </w:rPr>
        <w:fldChar w:fldCharType="separate"/>
      </w:r>
      <w:r w:rsidR="009D5229" w:rsidRPr="009D5229">
        <w:rPr>
          <w:rFonts w:ascii="Times New Roman" w:hAnsi="Times New Roman" w:cs="Times New Roman"/>
          <w:noProof/>
        </w:rPr>
        <w:t>(Callier and Hanquinet 2012)</w:t>
      </w:r>
      <w:r w:rsidR="009D5229">
        <w:rPr>
          <w:rFonts w:ascii="Times New Roman" w:hAnsi="Times New Roman" w:cs="Times New Roman"/>
        </w:rPr>
        <w:fldChar w:fldCharType="end"/>
      </w:r>
      <w:r w:rsidR="008F1DC2">
        <w:rPr>
          <w:rFonts w:ascii="Times New Roman" w:hAnsi="Times New Roman" w:cs="Times New Roman"/>
        </w:rPr>
        <w:t xml:space="preserve">. </w:t>
      </w:r>
      <w:r w:rsidR="00A468C9" w:rsidRPr="00791F69">
        <w:rPr>
          <w:rFonts w:ascii="Times New Roman" w:hAnsi="Times New Roman" w:cs="Times New Roman"/>
        </w:rPr>
        <w:t xml:space="preserve">Finally, in a way to handle the large </w:t>
      </w:r>
      <w:r w:rsidR="00871CAF" w:rsidRPr="00791F69">
        <w:rPr>
          <w:rFonts w:ascii="Times New Roman" w:hAnsi="Times New Roman" w:cs="Times New Roman"/>
        </w:rPr>
        <w:t>number</w:t>
      </w:r>
      <w:r w:rsidR="00A468C9" w:rsidRPr="00791F69">
        <w:rPr>
          <w:rFonts w:ascii="Times New Roman" w:hAnsi="Times New Roman" w:cs="Times New Roman"/>
        </w:rPr>
        <w:t xml:space="preserve"> of indicators, Flemmen et al</w:t>
      </w:r>
      <w:r w:rsidR="009D5229">
        <w:rPr>
          <w:rFonts w:ascii="Times New Roman" w:hAnsi="Times New Roman" w:cs="Times New Roman"/>
        </w:rPr>
        <w:t>.</w:t>
      </w:r>
      <w:r w:rsidR="00A468C9" w:rsidRPr="00791F69">
        <w:rPr>
          <w:rFonts w:ascii="Times New Roman" w:hAnsi="Times New Roman" w:cs="Times New Roman"/>
        </w:rPr>
        <w:t xml:space="preserve"> end up using six clusters for their test of homology. </w:t>
      </w:r>
      <w:r w:rsidR="00871CAF" w:rsidRPr="00791F69">
        <w:rPr>
          <w:rFonts w:ascii="Times New Roman" w:hAnsi="Times New Roman" w:cs="Times New Roman"/>
        </w:rPr>
        <w:t>This re</w:t>
      </w:r>
      <w:r w:rsidR="009076C8" w:rsidRPr="00791F69">
        <w:rPr>
          <w:rFonts w:ascii="Times New Roman" w:hAnsi="Times New Roman" w:cs="Times New Roman"/>
        </w:rPr>
        <w:t>duces the possibility of</w:t>
      </w:r>
      <w:r w:rsidR="00871CAF" w:rsidRPr="00791F69">
        <w:rPr>
          <w:rFonts w:ascii="Times New Roman" w:hAnsi="Times New Roman" w:cs="Times New Roman"/>
        </w:rPr>
        <w:t xml:space="preserve"> </w:t>
      </w:r>
      <w:r w:rsidR="00F24CFE" w:rsidRPr="00791F69">
        <w:rPr>
          <w:rFonts w:ascii="Times New Roman" w:hAnsi="Times New Roman" w:cs="Times New Roman"/>
        </w:rPr>
        <w:t>‘</w:t>
      </w:r>
      <w:r w:rsidR="00871CAF" w:rsidRPr="00791F69">
        <w:rPr>
          <w:rFonts w:ascii="Times New Roman" w:hAnsi="Times New Roman" w:cs="Times New Roman"/>
        </w:rPr>
        <w:t>dissonance</w:t>
      </w:r>
      <w:r w:rsidR="00F24CFE" w:rsidRPr="00791F69">
        <w:rPr>
          <w:rFonts w:ascii="Times New Roman" w:hAnsi="Times New Roman" w:cs="Times New Roman"/>
        </w:rPr>
        <w:t>’</w:t>
      </w:r>
      <w:r w:rsidR="00871CAF" w:rsidRPr="00791F69">
        <w:rPr>
          <w:rFonts w:ascii="Times New Roman" w:hAnsi="Times New Roman" w:cs="Times New Roman"/>
        </w:rPr>
        <w:t xml:space="preserve"> to Lahire’s term</w:t>
      </w:r>
      <w:r w:rsidR="00F24CFE" w:rsidRPr="00791F69">
        <w:rPr>
          <w:rFonts w:ascii="Times New Roman" w:hAnsi="Times New Roman" w:cs="Times New Roman"/>
        </w:rPr>
        <w:t xml:space="preserve"> </w:t>
      </w:r>
      <w:r w:rsidR="009D5229">
        <w:rPr>
          <w:rFonts w:ascii="Times New Roman" w:hAnsi="Times New Roman" w:cs="Times New Roman"/>
        </w:rPr>
        <w:fldChar w:fldCharType="begin" w:fldLock="1"/>
      </w:r>
      <w:r w:rsidR="00A37BF5">
        <w:rPr>
          <w:rFonts w:ascii="Times New Roman" w:hAnsi="Times New Roman" w:cs="Times New Roman"/>
        </w:rPr>
        <w:instrText>ADDIN CSL_CITATION {"citationItems":[{"id":"ITEM-1","itemData":{"DOI":"10.1016/j.poetic.2008.02.001","ISSN":"0304422X","author":[{"dropping-particle":"","family":"Lahire","given":"Bernard","non-dropping-particle":"","parse-names":false,"suffix":""}],"container-title":"Poetics","id":"ITEM-1","issue":"2-3","issued":{"date-parts":[["2008","4"]]},"page":"166-188","title":"The individual and the mixing of genres: Cultural dissonance and self-distinction","type":"article-journal","volume":"36"},"suppress-author":1,"uris":["http://www.mendeley.com/documents/?uuid=90b7a3bb-7c6a-4f6e-8262-77618ba15bb0"]},{"id":"ITEM-2","itemData":{"author":[{"dropping-particle":"","family":"Lahire","given":"B.","non-dropping-particle":"","parse-names":false,"suffix":""}],"id":"ITEM-2","issued":{"date-parts":[["2006"]]},"publisher":"La découverte","publisher-place":"Paris","title":"La culture des individus. Dissonances culturelles et distinction de soi","type":"book"},"suppress-author":1,"uris":["http://www.mendeley.com/documents/?uuid=27a7aa4e-456f-4f58-9ffc-ffeb261eed58"]}],"mendeley":{"formattedCitation":"(2006, 2008)","plainTextFormattedCitation":"(2006, 2008)","previouslyFormattedCitation":"(2006, 2008)"},"properties":{"noteIndex":0},"schema":"https://github.com/citation-style-language/schema/raw/master/csl-citation.json"}</w:instrText>
      </w:r>
      <w:r w:rsidR="009D5229">
        <w:rPr>
          <w:rFonts w:ascii="Times New Roman" w:hAnsi="Times New Roman" w:cs="Times New Roman"/>
        </w:rPr>
        <w:fldChar w:fldCharType="separate"/>
      </w:r>
      <w:r w:rsidR="009D5229" w:rsidRPr="009D5229">
        <w:rPr>
          <w:rFonts w:ascii="Times New Roman" w:hAnsi="Times New Roman" w:cs="Times New Roman"/>
          <w:noProof/>
        </w:rPr>
        <w:t>(2006, 2008)</w:t>
      </w:r>
      <w:r w:rsidR="009D5229">
        <w:rPr>
          <w:rFonts w:ascii="Times New Roman" w:hAnsi="Times New Roman" w:cs="Times New Roman"/>
        </w:rPr>
        <w:fldChar w:fldCharType="end"/>
      </w:r>
      <w:r w:rsidR="009D5229">
        <w:rPr>
          <w:rFonts w:ascii="Times New Roman" w:hAnsi="Times New Roman" w:cs="Times New Roman"/>
        </w:rPr>
        <w:t xml:space="preserve"> </w:t>
      </w:r>
      <w:r w:rsidR="00425FD0" w:rsidRPr="00791F69">
        <w:rPr>
          <w:rFonts w:ascii="Times New Roman" w:hAnsi="Times New Roman" w:cs="Times New Roman"/>
        </w:rPr>
        <w:t>between the social space</w:t>
      </w:r>
      <w:r w:rsidR="009076C8" w:rsidRPr="00791F69">
        <w:rPr>
          <w:rFonts w:ascii="Times New Roman" w:hAnsi="Times New Roman" w:cs="Times New Roman"/>
        </w:rPr>
        <w:t xml:space="preserve"> and the lifestyle space. </w:t>
      </w:r>
      <w:r w:rsidR="00044D3C" w:rsidRPr="00791F69">
        <w:rPr>
          <w:rFonts w:ascii="Times New Roman" w:hAnsi="Times New Roman" w:cs="Times New Roman"/>
        </w:rPr>
        <w:t>Lahire famously argue</w:t>
      </w:r>
      <w:r w:rsidR="00176701">
        <w:rPr>
          <w:rFonts w:ascii="Times New Roman" w:hAnsi="Times New Roman" w:cs="Times New Roman"/>
        </w:rPr>
        <w:t>s</w:t>
      </w:r>
      <w:r w:rsidR="00044D3C" w:rsidRPr="00791F69">
        <w:rPr>
          <w:rFonts w:ascii="Times New Roman" w:hAnsi="Times New Roman" w:cs="Times New Roman"/>
        </w:rPr>
        <w:t xml:space="preserve"> that individuals’</w:t>
      </w:r>
      <w:r w:rsidR="0080399F" w:rsidRPr="00791F69">
        <w:rPr>
          <w:rFonts w:ascii="Times New Roman" w:hAnsi="Times New Roman" w:cs="Times New Roman"/>
        </w:rPr>
        <w:t xml:space="preserve"> cultural profiles ar</w:t>
      </w:r>
      <w:r w:rsidR="00044D3C" w:rsidRPr="00791F69">
        <w:rPr>
          <w:rFonts w:ascii="Times New Roman" w:hAnsi="Times New Roman" w:cs="Times New Roman"/>
        </w:rPr>
        <w:t xml:space="preserve">e much less coherent than Bourdieu suggested and that </w:t>
      </w:r>
      <w:r w:rsidR="00F17DDE" w:rsidRPr="00791F69">
        <w:rPr>
          <w:rFonts w:ascii="Times New Roman" w:hAnsi="Times New Roman" w:cs="Times New Roman"/>
        </w:rPr>
        <w:t xml:space="preserve">a heterogeneous (or dissonant) profile seems to be the most common across all social classes. </w:t>
      </w:r>
      <w:r w:rsidR="00044D3C" w:rsidRPr="00791F69">
        <w:rPr>
          <w:rFonts w:ascii="Times New Roman" w:hAnsi="Times New Roman" w:cs="Times New Roman"/>
        </w:rPr>
        <w:t xml:space="preserve"> </w:t>
      </w:r>
    </w:p>
    <w:p w14:paraId="71FF3A67" w14:textId="77777777" w:rsidR="00D015BE" w:rsidRPr="00791F69" w:rsidRDefault="00D015BE" w:rsidP="00791F69">
      <w:pPr>
        <w:spacing w:line="360" w:lineRule="auto"/>
        <w:rPr>
          <w:rFonts w:ascii="Times New Roman" w:hAnsi="Times New Roman" w:cs="Times New Roman"/>
        </w:rPr>
      </w:pPr>
    </w:p>
    <w:p w14:paraId="67706BF7" w14:textId="77777777" w:rsidR="00D015BE" w:rsidRPr="00EB4467" w:rsidRDefault="00D015BE" w:rsidP="00791F69">
      <w:pPr>
        <w:pStyle w:val="ListParagraph"/>
        <w:numPr>
          <w:ilvl w:val="0"/>
          <w:numId w:val="1"/>
        </w:numPr>
        <w:spacing w:line="360" w:lineRule="auto"/>
        <w:rPr>
          <w:rFonts w:ascii="Times New Roman" w:hAnsi="Times New Roman" w:cs="Times New Roman"/>
          <w:b/>
        </w:rPr>
      </w:pPr>
      <w:r w:rsidRPr="00EB4467">
        <w:rPr>
          <w:rFonts w:ascii="Times New Roman" w:hAnsi="Times New Roman" w:cs="Times New Roman"/>
          <w:b/>
        </w:rPr>
        <w:t>Omnivorousness</w:t>
      </w:r>
    </w:p>
    <w:p w14:paraId="5EEAC7F5" w14:textId="77777777" w:rsidR="00D015BE" w:rsidRPr="00791F69" w:rsidRDefault="00D015BE" w:rsidP="00791F69">
      <w:pPr>
        <w:spacing w:line="360" w:lineRule="auto"/>
        <w:rPr>
          <w:rFonts w:ascii="Times New Roman" w:hAnsi="Times New Roman" w:cs="Times New Roman"/>
        </w:rPr>
      </w:pPr>
    </w:p>
    <w:p w14:paraId="2EAC4562" w14:textId="68DC3591" w:rsidR="004D531B" w:rsidRPr="00791F69" w:rsidRDefault="009D5229" w:rsidP="00791F69">
      <w:pPr>
        <w:spacing w:line="360" w:lineRule="auto"/>
        <w:jc w:val="both"/>
        <w:rPr>
          <w:rFonts w:ascii="Times New Roman" w:hAnsi="Times New Roman" w:cs="Times New Roman"/>
        </w:rPr>
      </w:pPr>
      <w:r>
        <w:rPr>
          <w:rFonts w:ascii="Times New Roman" w:hAnsi="Times New Roman" w:cs="Times New Roman"/>
        </w:rPr>
        <w:t>Chan’s article seeks</w:t>
      </w:r>
      <w:r w:rsidR="0063360F" w:rsidRPr="00791F69">
        <w:rPr>
          <w:rFonts w:ascii="Times New Roman" w:hAnsi="Times New Roman" w:cs="Times New Roman"/>
        </w:rPr>
        <w:t xml:space="preserve"> to understand the meaning of omnivorousness. Since the apparition of the notion, scholars have indeed debated about its exact meaning</w:t>
      </w:r>
      <w:r w:rsidR="001C5EE6" w:rsidRPr="00791F69">
        <w:rPr>
          <w:rFonts w:ascii="Times New Roman" w:hAnsi="Times New Roman" w:cs="Times New Roman"/>
        </w:rPr>
        <w:t xml:space="preserve"> </w:t>
      </w:r>
      <w:r w:rsidR="00176701">
        <w:rPr>
          <w:rFonts w:ascii="Times New Roman" w:hAnsi="Times New Roman" w:cs="Times New Roman"/>
        </w:rPr>
        <w:fldChar w:fldCharType="begin" w:fldLock="1"/>
      </w:r>
      <w:r w:rsidR="009279DE">
        <w:rPr>
          <w:rFonts w:ascii="Times New Roman" w:hAnsi="Times New Roman" w:cs="Times New Roman"/>
        </w:rPr>
        <w:instrText>ADDIN CSL_CITATION {"citationItems":[{"id":"ITEM-1","itemData":{"author":[{"dropping-particle":"","family":"Gayo","given":"M.","non-dropping-particle":"","parse-names":false,"suffix":""}],"chapter-number":"6","container-title":"Routledge International Handbook of the Sociology of Art and Culture","editor":[{"dropping-particle":"","family":"Hanquinet","given":"L.","non-dropping-particle":"","parse-names":false,"suffix":""},{"dropping-particle":"","family":"Savage","given":"M.","non-dropping-particle":"","parse-names":false,"suffix":""}],"id":"ITEM-1","issued":{"date-parts":[["2016"]]},"page":"104-115","publisher":"Routledge","publisher-place":"Oxon","title":"A critique of the omnivore: From the origin of the idea of omnivorousness to the Latin American experience","type":"chapter"},"prefix":"e.g. ","uris":["http://www.mendeley.com/documents/?uuid=ab1a14a7-4df6-460a-b893-fd127984e0fa"]}],"mendeley":{"formattedCitation":"(e.g. Gayo 2016)","plainTextFormattedCitation":"(e.g. Gayo 2016)","previouslyFormattedCitation":"(e.g. Gayo 2016)"},"properties":{"noteIndex":0},"schema":"https://github.com/citation-style-language/schema/raw/master/csl-citation.json"}</w:instrText>
      </w:r>
      <w:r w:rsidR="00176701">
        <w:rPr>
          <w:rFonts w:ascii="Times New Roman" w:hAnsi="Times New Roman" w:cs="Times New Roman"/>
        </w:rPr>
        <w:fldChar w:fldCharType="separate"/>
      </w:r>
      <w:r w:rsidR="00176701" w:rsidRPr="00176701">
        <w:rPr>
          <w:rFonts w:ascii="Times New Roman" w:hAnsi="Times New Roman" w:cs="Times New Roman"/>
          <w:noProof/>
        </w:rPr>
        <w:t>(e.g. Gayo 2016)</w:t>
      </w:r>
      <w:r w:rsidR="00176701">
        <w:rPr>
          <w:rFonts w:ascii="Times New Roman" w:hAnsi="Times New Roman" w:cs="Times New Roman"/>
        </w:rPr>
        <w:fldChar w:fldCharType="end"/>
      </w:r>
      <w:r w:rsidR="00176701">
        <w:rPr>
          <w:rFonts w:ascii="Times New Roman" w:hAnsi="Times New Roman" w:cs="Times New Roman"/>
        </w:rPr>
        <w:t xml:space="preserve"> </w:t>
      </w:r>
      <w:r w:rsidR="001C5EE6" w:rsidRPr="00791F69">
        <w:rPr>
          <w:rFonts w:ascii="Times New Roman" w:hAnsi="Times New Roman" w:cs="Times New Roman"/>
        </w:rPr>
        <w:t>and Chan’</w:t>
      </w:r>
      <w:r w:rsidR="00B75201" w:rsidRPr="00791F69">
        <w:rPr>
          <w:rFonts w:ascii="Times New Roman" w:hAnsi="Times New Roman" w:cs="Times New Roman"/>
        </w:rPr>
        <w:t xml:space="preserve">s contribution is welcome in shedding </w:t>
      </w:r>
      <w:r w:rsidR="001C5EE6" w:rsidRPr="00791F69">
        <w:rPr>
          <w:rFonts w:ascii="Times New Roman" w:hAnsi="Times New Roman" w:cs="Times New Roman"/>
        </w:rPr>
        <w:t>new light on this</w:t>
      </w:r>
      <w:r w:rsidR="0063360F" w:rsidRPr="00791F69">
        <w:rPr>
          <w:rFonts w:ascii="Times New Roman" w:hAnsi="Times New Roman" w:cs="Times New Roman"/>
        </w:rPr>
        <w:t>. Through a rather refined analysis of the links between omnivores and different attitudinal measures</w:t>
      </w:r>
      <w:r w:rsidR="00897C46" w:rsidRPr="00791F69">
        <w:rPr>
          <w:rFonts w:ascii="Times New Roman" w:hAnsi="Times New Roman" w:cs="Times New Roman"/>
        </w:rPr>
        <w:t xml:space="preserve">, </w:t>
      </w:r>
      <w:r w:rsidR="001C5EE6" w:rsidRPr="00791F69">
        <w:rPr>
          <w:rFonts w:ascii="Times New Roman" w:hAnsi="Times New Roman" w:cs="Times New Roman"/>
        </w:rPr>
        <w:t>Chan argues that omnivores’ affinity with postmaterialist values support</w:t>
      </w:r>
      <w:r>
        <w:rPr>
          <w:rFonts w:ascii="Times New Roman" w:hAnsi="Times New Roman" w:cs="Times New Roman"/>
        </w:rPr>
        <w:t>s</w:t>
      </w:r>
      <w:r w:rsidR="001C5EE6" w:rsidRPr="00791F69">
        <w:rPr>
          <w:rFonts w:ascii="Times New Roman" w:hAnsi="Times New Roman" w:cs="Times New Roman"/>
        </w:rPr>
        <w:t xml:space="preserve"> the idea that omnivorousness is the sign of greater tolerance, rather than a new form of cultural distinction. </w:t>
      </w:r>
      <w:r w:rsidR="00B75201" w:rsidRPr="00791F69">
        <w:rPr>
          <w:rFonts w:ascii="Times New Roman" w:hAnsi="Times New Roman" w:cs="Times New Roman"/>
        </w:rPr>
        <w:t xml:space="preserve">If I am convinced by the demonstration of the first hypothesis, </w:t>
      </w:r>
      <w:r w:rsidR="00B14AE3" w:rsidRPr="00791F69">
        <w:rPr>
          <w:rFonts w:ascii="Times New Roman" w:hAnsi="Times New Roman" w:cs="Times New Roman"/>
        </w:rPr>
        <w:t>I am more doubtful about why</w:t>
      </w:r>
      <w:r w:rsidR="00B75201" w:rsidRPr="00791F69">
        <w:rPr>
          <w:rFonts w:ascii="Times New Roman" w:hAnsi="Times New Roman" w:cs="Times New Roman"/>
        </w:rPr>
        <w:t xml:space="preserve"> tolerance cannot lead to cultural distinction. Chan recognises that omnivorousness is socially stratified and </w:t>
      </w:r>
      <w:r w:rsidR="008B4685">
        <w:rPr>
          <w:rFonts w:ascii="Times New Roman" w:hAnsi="Times New Roman" w:cs="Times New Roman"/>
        </w:rPr>
        <w:t xml:space="preserve">we </w:t>
      </w:r>
      <w:r>
        <w:rPr>
          <w:rFonts w:ascii="Times New Roman" w:hAnsi="Times New Roman" w:cs="Times New Roman"/>
        </w:rPr>
        <w:t>should not</w:t>
      </w:r>
      <w:r w:rsidR="00B75201" w:rsidRPr="00791F69">
        <w:rPr>
          <w:rFonts w:ascii="Times New Roman" w:hAnsi="Times New Roman" w:cs="Times New Roman"/>
        </w:rPr>
        <w:t xml:space="preserve"> disregard its distinctive figure simply because people </w:t>
      </w:r>
      <w:r w:rsidR="00E8528F" w:rsidRPr="00791F69">
        <w:rPr>
          <w:rFonts w:ascii="Times New Roman" w:hAnsi="Times New Roman" w:cs="Times New Roman"/>
        </w:rPr>
        <w:t xml:space="preserve">are not especially class- or status-conscious (or refuse to classify themselves along those terms). </w:t>
      </w:r>
      <w:r w:rsidR="00183E48" w:rsidRPr="00183E48">
        <w:rPr>
          <w:rFonts w:ascii="Times New Roman" w:hAnsi="Times New Roman" w:cs="Times New Roman"/>
        </w:rPr>
        <w:t>As Savage argued, individualisation is not contradictory to cultural</w:t>
      </w:r>
      <w:r w:rsidR="00833E93" w:rsidRPr="00183E48">
        <w:rPr>
          <w:rFonts w:ascii="Times New Roman" w:hAnsi="Times New Roman" w:cs="Times New Roman"/>
        </w:rPr>
        <w:t xml:space="preserve"> differentiation</w:t>
      </w:r>
      <w:r w:rsidR="00183E48">
        <w:rPr>
          <w:rFonts w:ascii="Times New Roman" w:hAnsi="Times New Roman" w:cs="Times New Roman"/>
        </w:rPr>
        <w:t xml:space="preserve"> and social distinction</w:t>
      </w:r>
      <w:r w:rsidR="00AB21EB">
        <w:rPr>
          <w:rFonts w:ascii="Times New Roman" w:hAnsi="Times New Roman" w:cs="Times New Roman"/>
        </w:rPr>
        <w:t xml:space="preserve"> </w:t>
      </w:r>
      <w:r w:rsidR="00AB21EB">
        <w:rPr>
          <w:rFonts w:ascii="Times New Roman" w:hAnsi="Times New Roman" w:cs="Times New Roman"/>
        </w:rPr>
        <w:fldChar w:fldCharType="begin" w:fldLock="1"/>
      </w:r>
      <w:r w:rsidR="00A37BF5">
        <w:rPr>
          <w:rFonts w:ascii="Times New Roman" w:hAnsi="Times New Roman" w:cs="Times New Roman"/>
        </w:rPr>
        <w:instrText>ADDIN CSL_CITATION {"citationItems":[{"id":"ITEM-1","itemData":{"author":[{"dropping-particle":"","family":"Savage","given":"M.","non-dropping-particle":"","parse-names":false,"suffix":""}],"id":"ITEM-1","issued":{"date-parts":[["2000"]]},"publisher":"Open University Press","publisher-place":"Maidenhead","title":"Class Analysis and Social Transformation","type":"book"},"locator":"104","uris":["http://www.mendeley.com/documents/?uuid=6afb8e87-8ba7-482c-b57c-700d37f99838"]}],"mendeley":{"formattedCitation":"(Savage 2000:104)","plainTextFormattedCitation":"(Savage 2000:104)","previouslyFormattedCitation":"(Savage 2000:104)"},"properties":{"noteIndex":0},"schema":"https://github.com/citation-style-language/schema/raw/master/csl-citation.json"}</w:instrText>
      </w:r>
      <w:r w:rsidR="00AB21EB">
        <w:rPr>
          <w:rFonts w:ascii="Times New Roman" w:hAnsi="Times New Roman" w:cs="Times New Roman"/>
        </w:rPr>
        <w:fldChar w:fldCharType="separate"/>
      </w:r>
      <w:r w:rsidR="00AB21EB" w:rsidRPr="00AB21EB">
        <w:rPr>
          <w:rFonts w:ascii="Times New Roman" w:hAnsi="Times New Roman" w:cs="Times New Roman"/>
          <w:noProof/>
        </w:rPr>
        <w:t>(Savage 2000:104)</w:t>
      </w:r>
      <w:r w:rsidR="00AB21EB">
        <w:rPr>
          <w:rFonts w:ascii="Times New Roman" w:hAnsi="Times New Roman" w:cs="Times New Roman"/>
        </w:rPr>
        <w:fldChar w:fldCharType="end"/>
      </w:r>
      <w:r w:rsidR="00833E93" w:rsidRPr="00791F69">
        <w:rPr>
          <w:rFonts w:ascii="Times New Roman" w:hAnsi="Times New Roman" w:cs="Times New Roman"/>
        </w:rPr>
        <w:t xml:space="preserve">. Similarly, Fridman and Olliver </w:t>
      </w:r>
      <w:r w:rsidR="004D531B" w:rsidRPr="00791F69">
        <w:rPr>
          <w:rFonts w:ascii="Times New Roman" w:hAnsi="Times New Roman" w:cs="Times New Roman"/>
        </w:rPr>
        <w:t xml:space="preserve">argued powerfully: ‘Since it is related to a set of socially valorised meanings and that it presupposes access to unevenly distributed cultural, social and economic resources, the appreciation of diversity and of cosmopolitanism lead also, and in an </w:t>
      </w:r>
      <w:r w:rsidR="008F1DB3" w:rsidRPr="00791F69">
        <w:rPr>
          <w:rFonts w:ascii="Times New Roman" w:hAnsi="Times New Roman" w:cs="Times New Roman"/>
        </w:rPr>
        <w:t>often-unconscious</w:t>
      </w:r>
      <w:r w:rsidR="004D531B" w:rsidRPr="00791F69">
        <w:rPr>
          <w:rFonts w:ascii="Times New Roman" w:hAnsi="Times New Roman" w:cs="Times New Roman"/>
        </w:rPr>
        <w:t xml:space="preserve"> way, to social distinction’ </w:t>
      </w:r>
      <w:r w:rsidR="008518B2">
        <w:rPr>
          <w:rFonts w:ascii="Times New Roman" w:hAnsi="Times New Roman" w:cs="Times New Roman"/>
        </w:rPr>
        <w:fldChar w:fldCharType="begin" w:fldLock="1"/>
      </w:r>
      <w:r w:rsidR="00A37BF5">
        <w:rPr>
          <w:rFonts w:ascii="Times New Roman" w:hAnsi="Times New Roman" w:cs="Times New Roman"/>
        </w:rPr>
        <w:instrText>ADDIN CSL_CITATION {"citationItems":[{"id":"ITEM-1","itemData":{"DOI":"10.7202/009584ar","ISSN":"0038-030X","author":[{"dropping-particle":"","family":"Fridman","given":"Viviana","non-dropping-particle":"","parse-names":false,"suffix":""},{"dropping-particle":"","family":"Ollivier","given":"Michèle","non-dropping-particle":"","parse-names":false,"suffix":""}],"container-title":"Sociologie et sociétés","id":"ITEM-1","issue":"1","issued":{"date-parts":[["2004"]]},"page":"105-126","title":"Ouverture ostentatoire à la diversité et cosmopolitisme: Vers une nouvelle configuration discursive?","type":"article-journal","volume":"36"},"locator":"112","suffix":"translated by Hanquinet","suppress-author":1,"uris":["http://www.mendeley.com/documents/?uuid=b85b50ee-959c-4a85-93da-877eefaee97b"]}],"mendeley":{"formattedCitation":"(2004:112 translated by Hanquinet)","plainTextFormattedCitation":"(2004:112 translated by Hanquinet)","previouslyFormattedCitation":"(2004:112 translated by Hanquinet)"},"properties":{"noteIndex":0},"schema":"https://github.com/citation-style-language/schema/raw/master/csl-citation.json"}</w:instrText>
      </w:r>
      <w:r w:rsidR="008518B2">
        <w:rPr>
          <w:rFonts w:ascii="Times New Roman" w:hAnsi="Times New Roman" w:cs="Times New Roman"/>
        </w:rPr>
        <w:fldChar w:fldCharType="separate"/>
      </w:r>
      <w:r w:rsidR="008518B2" w:rsidRPr="008518B2">
        <w:rPr>
          <w:rFonts w:ascii="Times New Roman" w:hAnsi="Times New Roman" w:cs="Times New Roman"/>
          <w:noProof/>
        </w:rPr>
        <w:t>(2004:112 translated by Hanquinet)</w:t>
      </w:r>
      <w:r w:rsidR="008518B2">
        <w:rPr>
          <w:rFonts w:ascii="Times New Roman" w:hAnsi="Times New Roman" w:cs="Times New Roman"/>
        </w:rPr>
        <w:fldChar w:fldCharType="end"/>
      </w:r>
      <w:r w:rsidR="004D531B" w:rsidRPr="00791F69">
        <w:rPr>
          <w:rFonts w:ascii="Times New Roman" w:hAnsi="Times New Roman" w:cs="Times New Roman"/>
        </w:rPr>
        <w:t xml:space="preserve">. </w:t>
      </w:r>
    </w:p>
    <w:p w14:paraId="5E3C499D" w14:textId="77777777" w:rsidR="0091049D" w:rsidRPr="00791F69" w:rsidRDefault="0091049D" w:rsidP="00791F69">
      <w:pPr>
        <w:spacing w:line="360" w:lineRule="auto"/>
        <w:jc w:val="both"/>
        <w:rPr>
          <w:rFonts w:ascii="Times New Roman" w:hAnsi="Times New Roman" w:cs="Times New Roman"/>
        </w:rPr>
      </w:pPr>
    </w:p>
    <w:p w14:paraId="1B02B06A" w14:textId="7CA5C0F0" w:rsidR="0063360F" w:rsidRPr="00791F69" w:rsidRDefault="008F1DB3" w:rsidP="00791F69">
      <w:pPr>
        <w:spacing w:line="360" w:lineRule="auto"/>
        <w:jc w:val="both"/>
        <w:rPr>
          <w:rFonts w:ascii="Times New Roman" w:hAnsi="Times New Roman" w:cs="Times New Roman"/>
        </w:rPr>
      </w:pPr>
      <w:r w:rsidRPr="00791F69">
        <w:rPr>
          <w:rFonts w:ascii="Times New Roman" w:hAnsi="Times New Roman" w:cs="Times New Roman"/>
        </w:rPr>
        <w:t>In general, I tend to be very wary of the notion of ‘omnivorousness’ as being ext</w:t>
      </w:r>
      <w:r w:rsidR="008518B2">
        <w:rPr>
          <w:rFonts w:ascii="Times New Roman" w:hAnsi="Times New Roman" w:cs="Times New Roman"/>
        </w:rPr>
        <w:t>remely vague. The problem</w:t>
      </w:r>
      <w:r w:rsidRPr="00791F69">
        <w:rPr>
          <w:rFonts w:ascii="Times New Roman" w:hAnsi="Times New Roman" w:cs="Times New Roman"/>
        </w:rPr>
        <w:t xml:space="preserve"> with Chan’s approach is that it can appear as a monolithic feature that characterizes or not people. As I have argued elsewhere, </w:t>
      </w:r>
      <w:r w:rsidR="006346C3" w:rsidRPr="00791F69">
        <w:rPr>
          <w:rFonts w:ascii="Times New Roman" w:hAnsi="Times New Roman" w:cs="Times New Roman"/>
        </w:rPr>
        <w:t>I am not considering omnivorousness as the cause of greater openness or even an indicator of it. I see omnivorousness as the consequence of the multiplication of cultural boundaries</w:t>
      </w:r>
      <w:r w:rsidR="00AB21EB">
        <w:rPr>
          <w:rFonts w:ascii="Times New Roman" w:hAnsi="Times New Roman" w:cs="Times New Roman"/>
        </w:rPr>
        <w:t xml:space="preserve"> </w:t>
      </w:r>
      <w:r w:rsidR="00C12C24">
        <w:rPr>
          <w:rFonts w:ascii="Times New Roman" w:hAnsi="Times New Roman" w:cs="Times New Roman"/>
        </w:rPr>
        <w:fldChar w:fldCharType="begin" w:fldLock="1"/>
      </w:r>
      <w:r w:rsidR="00A37BF5">
        <w:rPr>
          <w:rFonts w:ascii="Times New Roman" w:hAnsi="Times New Roman" w:cs="Times New Roman"/>
        </w:rPr>
        <w:instrText>ADDIN CSL_CITATION {"citationItems":[{"id":"ITEM-1","itemData":{"author":[{"dropping-particle":"","family":"Hanquinet","given":"L.","non-dropping-particle":"","parse-names":false,"suffix":""}],"chapter-number":"21","container-title":"The Routledge Handbook of Global Cultural Policy Routledge","editor":[{"dropping-particle":"","family":"Durrer","given":"V.","non-dropping-particle":"","parse-names":false,"suffix":""},{"dropping-particle":"","family":"Miller","given":"T.","non-dropping-particle":"","parse-names":false,"suffix":""},{"dropping-particle":"","family":"O'Brien","given":"D.","non-dropping-particle":"","parse-names":false,"suffix":""}],"id":"ITEM-1","issued":{"date-parts":[["2018"]]},"page":"327-340","publisher":"Routledge","publisher-place":"Abingdon","title":"Inequalities: when culture becomes a capital","type":"chapter"},"uris":["http://www.mendeley.com/documents/?uuid=310d51c1-cde9-4a86-aaa4-aa37c8b72501"]}],"mendeley":{"formattedCitation":"(Hanquinet 2018)","plainTextFormattedCitation":"(Hanquinet 2018)","previouslyFormattedCitation":"(Hanquinet 2018)"},"properties":{"noteIndex":0},"schema":"https://github.com/citation-style-language/schema/raw/master/csl-citation.json"}</w:instrText>
      </w:r>
      <w:r w:rsidR="00C12C24">
        <w:rPr>
          <w:rFonts w:ascii="Times New Roman" w:hAnsi="Times New Roman" w:cs="Times New Roman"/>
        </w:rPr>
        <w:fldChar w:fldCharType="separate"/>
      </w:r>
      <w:r w:rsidR="00C12C24" w:rsidRPr="00C12C24">
        <w:rPr>
          <w:rFonts w:ascii="Times New Roman" w:hAnsi="Times New Roman" w:cs="Times New Roman"/>
          <w:noProof/>
        </w:rPr>
        <w:t>(Hanquinet 2018)</w:t>
      </w:r>
      <w:r w:rsidR="00C12C24">
        <w:rPr>
          <w:rFonts w:ascii="Times New Roman" w:hAnsi="Times New Roman" w:cs="Times New Roman"/>
        </w:rPr>
        <w:fldChar w:fldCharType="end"/>
      </w:r>
      <w:r w:rsidR="006346C3" w:rsidRPr="00791F69">
        <w:rPr>
          <w:rFonts w:ascii="Times New Roman" w:hAnsi="Times New Roman" w:cs="Times New Roman"/>
        </w:rPr>
        <w:t xml:space="preserve">. Here, I totally agree with Flemmen et al. </w:t>
      </w:r>
      <w:r w:rsidR="007F2812" w:rsidRPr="00791F69">
        <w:rPr>
          <w:rFonts w:ascii="Times New Roman" w:hAnsi="Times New Roman" w:cs="Times New Roman"/>
        </w:rPr>
        <w:t>that, even though still very important, the tension between high and low culture (or legitimate and illegitimate) is only one of the dimensions structuring the space of lifestyles</w:t>
      </w:r>
      <w:r w:rsidR="001F6309" w:rsidRPr="00791F69">
        <w:rPr>
          <w:rFonts w:ascii="Times New Roman" w:hAnsi="Times New Roman" w:cs="Times New Roman"/>
        </w:rPr>
        <w:t xml:space="preserve">. </w:t>
      </w:r>
      <w:r w:rsidR="004A6675" w:rsidRPr="00791F69">
        <w:rPr>
          <w:rFonts w:ascii="Times New Roman" w:hAnsi="Times New Roman" w:cs="Times New Roman"/>
        </w:rPr>
        <w:t>Their two first axes echoes Bellavanc</w:t>
      </w:r>
      <w:r w:rsidR="00C12C24">
        <w:rPr>
          <w:rFonts w:ascii="Times New Roman" w:hAnsi="Times New Roman" w:cs="Times New Roman"/>
        </w:rPr>
        <w:t xml:space="preserve">e’s conceptual classification </w:t>
      </w:r>
      <w:r w:rsidR="00C12C24">
        <w:rPr>
          <w:rFonts w:ascii="Times New Roman" w:hAnsi="Times New Roman" w:cs="Times New Roman"/>
        </w:rPr>
        <w:fldChar w:fldCharType="begin" w:fldLock="1"/>
      </w:r>
      <w:r w:rsidR="00A37BF5">
        <w:rPr>
          <w:rFonts w:ascii="Times New Roman" w:hAnsi="Times New Roman" w:cs="Times New Roman"/>
        </w:rPr>
        <w:instrText>ADDIN CSL_CITATION {"citationItems":[{"id":"ITEM-1","itemData":{"DOI":"10.1016/j.poetic.2008.02.003","ISSN":"0304422X","author":[{"dropping-particle":"","family":"Bellavance","given":"Guy","non-dropping-particle":"","parse-names":false,"suffix":""}],"container-title":"Poetics","id":"ITEM-1","issue":"2-3","issued":{"date-parts":[["2008","4"]]},"page":"189-216","title":"Where's high? Who's low? What's new? Classification and stratification inside cultural “Repertoires”","type":"article-journal","volume":"36"},"suppress-author":1,"uris":["http://www.mendeley.com/documents/?uuid=dddbeaae-3874-427c-9d4c-e874baf78f07"]}],"mendeley":{"formattedCitation":"(2008)","plainTextFormattedCitation":"(2008)","previouslyFormattedCitation":"(2008)"},"properties":{"noteIndex":0},"schema":"https://github.com/citation-style-language/schema/raw/master/csl-citation.json"}</w:instrText>
      </w:r>
      <w:r w:rsidR="00C12C24">
        <w:rPr>
          <w:rFonts w:ascii="Times New Roman" w:hAnsi="Times New Roman" w:cs="Times New Roman"/>
        </w:rPr>
        <w:fldChar w:fldCharType="separate"/>
      </w:r>
      <w:r w:rsidR="00C12C24" w:rsidRPr="00C12C24">
        <w:rPr>
          <w:rFonts w:ascii="Times New Roman" w:hAnsi="Times New Roman" w:cs="Times New Roman"/>
          <w:noProof/>
        </w:rPr>
        <w:t>(2008)</w:t>
      </w:r>
      <w:r w:rsidR="00C12C24">
        <w:rPr>
          <w:rFonts w:ascii="Times New Roman" w:hAnsi="Times New Roman" w:cs="Times New Roman"/>
        </w:rPr>
        <w:fldChar w:fldCharType="end"/>
      </w:r>
      <w:r w:rsidR="004A6675" w:rsidRPr="00791F69">
        <w:rPr>
          <w:rFonts w:ascii="Times New Roman" w:hAnsi="Times New Roman" w:cs="Times New Roman"/>
        </w:rPr>
        <w:t xml:space="preserve"> based on two dimensions, an opposition between high and low culture and another one differentiating new and old. This creates four key theoretical configurations of tastes, </w:t>
      </w:r>
      <w:r w:rsidR="00D76630" w:rsidRPr="00791F69">
        <w:rPr>
          <w:rFonts w:ascii="Times New Roman" w:hAnsi="Times New Roman" w:cs="Times New Roman"/>
        </w:rPr>
        <w:t>‘</w:t>
      </w:r>
      <w:r w:rsidR="004A6675" w:rsidRPr="00791F69">
        <w:rPr>
          <w:rFonts w:ascii="Times New Roman" w:hAnsi="Times New Roman" w:cs="Times New Roman"/>
        </w:rPr>
        <w:t>contemporary</w:t>
      </w:r>
      <w:r w:rsidR="00D76630" w:rsidRPr="00791F69">
        <w:rPr>
          <w:rFonts w:ascii="Times New Roman" w:hAnsi="Times New Roman" w:cs="Times New Roman"/>
        </w:rPr>
        <w:t>’</w:t>
      </w:r>
      <w:r w:rsidR="004A6675" w:rsidRPr="00791F69">
        <w:rPr>
          <w:rFonts w:ascii="Times New Roman" w:hAnsi="Times New Roman" w:cs="Times New Roman"/>
        </w:rPr>
        <w:t xml:space="preserve"> (high/new), </w:t>
      </w:r>
      <w:r w:rsidR="00D76630" w:rsidRPr="00791F69">
        <w:rPr>
          <w:rFonts w:ascii="Times New Roman" w:hAnsi="Times New Roman" w:cs="Times New Roman"/>
        </w:rPr>
        <w:t>‘</w:t>
      </w:r>
      <w:r w:rsidR="004A6675" w:rsidRPr="00791F69">
        <w:rPr>
          <w:rFonts w:ascii="Times New Roman" w:hAnsi="Times New Roman" w:cs="Times New Roman"/>
        </w:rPr>
        <w:t>classic</w:t>
      </w:r>
      <w:r w:rsidR="00D76630" w:rsidRPr="00791F69">
        <w:rPr>
          <w:rFonts w:ascii="Times New Roman" w:hAnsi="Times New Roman" w:cs="Times New Roman"/>
        </w:rPr>
        <w:t>’</w:t>
      </w:r>
      <w:r w:rsidR="004A6675" w:rsidRPr="00791F69">
        <w:rPr>
          <w:rFonts w:ascii="Times New Roman" w:hAnsi="Times New Roman" w:cs="Times New Roman"/>
        </w:rPr>
        <w:t xml:space="preserve"> (high/old), </w:t>
      </w:r>
      <w:r w:rsidR="00D76630" w:rsidRPr="00791F69">
        <w:rPr>
          <w:rFonts w:ascii="Times New Roman" w:hAnsi="Times New Roman" w:cs="Times New Roman"/>
        </w:rPr>
        <w:t>‘</w:t>
      </w:r>
      <w:r w:rsidR="004A6675" w:rsidRPr="00791F69">
        <w:rPr>
          <w:rFonts w:ascii="Times New Roman" w:hAnsi="Times New Roman" w:cs="Times New Roman"/>
        </w:rPr>
        <w:t>pop</w:t>
      </w:r>
      <w:r w:rsidR="00D76630" w:rsidRPr="00791F69">
        <w:rPr>
          <w:rFonts w:ascii="Times New Roman" w:hAnsi="Times New Roman" w:cs="Times New Roman"/>
        </w:rPr>
        <w:t>’</w:t>
      </w:r>
      <w:r w:rsidR="004A6675" w:rsidRPr="00791F69">
        <w:rPr>
          <w:rFonts w:ascii="Times New Roman" w:hAnsi="Times New Roman" w:cs="Times New Roman"/>
        </w:rPr>
        <w:t xml:space="preserve"> (low/new) and folk (low/old). </w:t>
      </w:r>
      <w:r w:rsidR="00D76630" w:rsidRPr="00791F69">
        <w:rPr>
          <w:rFonts w:ascii="Times New Roman" w:hAnsi="Times New Roman" w:cs="Times New Roman"/>
        </w:rPr>
        <w:t>H</w:t>
      </w:r>
      <w:r w:rsidR="004A6675" w:rsidRPr="00791F69">
        <w:rPr>
          <w:rFonts w:ascii="Times New Roman" w:hAnsi="Times New Roman" w:cs="Times New Roman"/>
        </w:rPr>
        <w:t xml:space="preserve">igh culture </w:t>
      </w:r>
      <w:r w:rsidR="00D76630" w:rsidRPr="00791F69">
        <w:rPr>
          <w:rFonts w:ascii="Times New Roman" w:hAnsi="Times New Roman" w:cs="Times New Roman"/>
        </w:rPr>
        <w:t>does not simply refer to</w:t>
      </w:r>
      <w:r w:rsidR="004A6675" w:rsidRPr="00791F69">
        <w:rPr>
          <w:rFonts w:ascii="Times New Roman" w:hAnsi="Times New Roman" w:cs="Times New Roman"/>
        </w:rPr>
        <w:t xml:space="preserve"> traditional forms of culture (e.g. disposition to appreciate opera or classical music). </w:t>
      </w:r>
      <w:r w:rsidR="00D76630" w:rsidRPr="00791F69">
        <w:rPr>
          <w:rFonts w:ascii="Times New Roman" w:hAnsi="Times New Roman" w:cs="Times New Roman"/>
        </w:rPr>
        <w:t xml:space="preserve">The picture becomes even more complicated if we also account for other tensions such local versus global, urban versus rural, emotional versus action, which seems suggested in Flemmen et al.’s paper. Therefore, if omnivorousness is ‘boundary-drawing mechanism’ </w:t>
      </w:r>
      <w:r w:rsidR="00D76630" w:rsidRPr="00791F69">
        <w:rPr>
          <w:rFonts w:ascii="Times New Roman" w:hAnsi="Times New Roman" w:cs="Times New Roman"/>
          <w:noProof/>
        </w:rPr>
        <w:t>(Lizardo &amp; Skiles 2013)</w:t>
      </w:r>
      <w:r w:rsidR="00D76630" w:rsidRPr="00791F69">
        <w:rPr>
          <w:rFonts w:ascii="Times New Roman" w:hAnsi="Times New Roman" w:cs="Times New Roman"/>
        </w:rPr>
        <w:t xml:space="preserve"> differentiating both horizontally and vertically social groups and their cultural referents, there are many forms of eclecticism and omnivorousness </w:t>
      </w:r>
      <w:r w:rsidR="00EB4467">
        <w:rPr>
          <w:rFonts w:ascii="Times New Roman" w:hAnsi="Times New Roman" w:cs="Times New Roman"/>
        </w:rPr>
        <w:fldChar w:fldCharType="begin" w:fldLock="1"/>
      </w:r>
      <w:r w:rsidR="00A37BF5">
        <w:rPr>
          <w:rFonts w:ascii="Times New Roman" w:hAnsi="Times New Roman" w:cs="Times New Roman"/>
        </w:rPr>
        <w:instrText>ADDIN CSL_CITATION {"citationItems":[{"id":"ITEM-1","itemData":{"DOI":"10.1016/j.poetic.2008.02.005","ISSN":"0304422X","abstract":"The main objective of this paper is to examine how openness to cultural diversity is expressed in the field of cultural consumption. Drawing on qualitative interviews on leisure and cultural activities conducted in Quebec in 2005, I ask whether people who are classified as cultural omnivores on quantitative measures have an attitude of 'openness' when discussing and justifying their tastes and practices. Are people who select many items on a list of cultural preferences and practices in survey research really more 'open' than those who select fewer items? How is this openness expressed concretely in the discourses that people draw upon when discussing their practices? Results indicate that openness to diversity is articulated in at least four different ways - humanist, populist, practical, and indifferent - depending on the cultural domains to which it refers as well as to the cultural and material resources from which it is constructed. Openness to cultural diversity, I argue, represents a new aesthetics and a new ethos, but it builds upon, rather than displaces, the older categories of high and mass culture in which it remains thoroughly embedded. Far from being dismantled, social and artistic hierarchies are being reconfigured in more individualized ways. Modes of openness rest on different models of agency which are themselves hierarchized along class and gender lines. ?? 2008 Elsevier B.V. All rights reserved.","author":[{"dropping-particle":"","family":"Ollivier","given":"Michèle","non-dropping-particle":"","parse-names":false,"suffix":""}],"container-title":"Poetics","id":"ITEM-1","issue":"2-3","issued":{"date-parts":[["2008"]]},"page":"120-147","title":"Modes of openness to cultural diversity: Humanist, populist, practical, and indifferent","type":"article-journal","volume":"36"},"uris":["http://www.mendeley.com/documents/?uuid=c48ddc2c-7ad1-4160-afe9-9bb30efc9f1a"]},{"id":"ITEM-2","itemData":{"DOI":"10.1016/j.poetic.2008.02.003","ISSN":"0304422X","author":[{"dropping-particle":"","family":"Bellavance","given":"Guy","non-dropping-particle":"","parse-names":false,"suffix":""}],"container-title":"Poetics","id":"ITEM-2","issue":"2-3","issued":{"date-parts":[["2008","4"]]},"page":"189-216","title":"Where's high? Who's low? What's new? Classification and stratification inside cultural “Repertoires”","type":"article-journal","volume":"36"},"uris":["http://www.mendeley.com/documents/?uuid=dddbeaae-3874-427c-9d4c-e874baf78f07"]}],"mendeley":{"formattedCitation":"(Bellavance 2008; Ollivier 2008)","plainTextFormattedCitation":"(Bellavance 2008; Ollivier 2008)","previouslyFormattedCitation":"(Bellavance 2008; Ollivier 2008)"},"properties":{"noteIndex":0},"schema":"https://github.com/citation-style-language/schema/raw/master/csl-citation.json"}</w:instrText>
      </w:r>
      <w:r w:rsidR="00EB4467">
        <w:rPr>
          <w:rFonts w:ascii="Times New Roman" w:hAnsi="Times New Roman" w:cs="Times New Roman"/>
        </w:rPr>
        <w:fldChar w:fldCharType="separate"/>
      </w:r>
      <w:r w:rsidR="00EB4467" w:rsidRPr="00EB4467">
        <w:rPr>
          <w:rFonts w:ascii="Times New Roman" w:hAnsi="Times New Roman" w:cs="Times New Roman"/>
          <w:noProof/>
        </w:rPr>
        <w:t>(Bellavance 2008; Ollivier 2008)</w:t>
      </w:r>
      <w:r w:rsidR="00EB4467">
        <w:rPr>
          <w:rFonts w:ascii="Times New Roman" w:hAnsi="Times New Roman" w:cs="Times New Roman"/>
        </w:rPr>
        <w:fldChar w:fldCharType="end"/>
      </w:r>
      <w:r w:rsidR="00D76630" w:rsidRPr="00791F69">
        <w:rPr>
          <w:rFonts w:ascii="Times New Roman" w:hAnsi="Times New Roman" w:cs="Times New Roman"/>
        </w:rPr>
        <w:t>. I am somewhat surprised that these do not emerge more</w:t>
      </w:r>
      <w:r w:rsidR="005F7E01" w:rsidRPr="00791F69">
        <w:rPr>
          <w:rFonts w:ascii="Times New Roman" w:hAnsi="Times New Roman" w:cs="Times New Roman"/>
        </w:rPr>
        <w:t xml:space="preserve"> i</w:t>
      </w:r>
      <w:r w:rsidR="00D76630" w:rsidRPr="00791F69">
        <w:rPr>
          <w:rFonts w:ascii="Times New Roman" w:hAnsi="Times New Roman" w:cs="Times New Roman"/>
        </w:rPr>
        <w:t>n Flemmen et al.’s typology (they actually barely mention omnivorousness) but this may be an artefact of how they built their clustering, o</w:t>
      </w:r>
      <w:r w:rsidR="0091049D" w:rsidRPr="00791F69">
        <w:rPr>
          <w:rFonts w:ascii="Times New Roman" w:hAnsi="Times New Roman" w:cs="Times New Roman"/>
        </w:rPr>
        <w:t>nly on 4 dimens</w:t>
      </w:r>
      <w:r w:rsidR="00EB4467">
        <w:rPr>
          <w:rFonts w:ascii="Times New Roman" w:hAnsi="Times New Roman" w:cs="Times New Roman"/>
        </w:rPr>
        <w:t xml:space="preserve">ions of the MCA, which is </w:t>
      </w:r>
      <w:r w:rsidR="0091049D" w:rsidRPr="00791F69">
        <w:rPr>
          <w:rFonts w:ascii="Times New Roman" w:hAnsi="Times New Roman" w:cs="Times New Roman"/>
        </w:rPr>
        <w:t xml:space="preserve">a reductive approach. </w:t>
      </w:r>
    </w:p>
    <w:p w14:paraId="7DF497B8" w14:textId="77777777" w:rsidR="0063360F" w:rsidRPr="00791F69" w:rsidRDefault="0063360F" w:rsidP="00791F69">
      <w:pPr>
        <w:spacing w:line="360" w:lineRule="auto"/>
        <w:rPr>
          <w:rFonts w:ascii="Times New Roman" w:hAnsi="Times New Roman" w:cs="Times New Roman"/>
        </w:rPr>
      </w:pPr>
    </w:p>
    <w:p w14:paraId="563596B0" w14:textId="3DEA3D3E" w:rsidR="00D015BE" w:rsidRPr="00791F69" w:rsidRDefault="0063360F" w:rsidP="00791F69">
      <w:pPr>
        <w:spacing w:line="360" w:lineRule="auto"/>
        <w:rPr>
          <w:rFonts w:ascii="Times New Roman" w:hAnsi="Times New Roman" w:cs="Times New Roman"/>
        </w:rPr>
      </w:pPr>
      <w:r w:rsidRPr="00791F69">
        <w:rPr>
          <w:rFonts w:ascii="Times New Roman" w:hAnsi="Times New Roman" w:cs="Times New Roman"/>
        </w:rPr>
        <w:t xml:space="preserve"> </w:t>
      </w:r>
    </w:p>
    <w:p w14:paraId="60E2CF61" w14:textId="4354A246" w:rsidR="00D015BE" w:rsidRPr="00EB4467" w:rsidRDefault="005F2817" w:rsidP="00791F69">
      <w:pPr>
        <w:pStyle w:val="ListParagraph"/>
        <w:numPr>
          <w:ilvl w:val="0"/>
          <w:numId w:val="1"/>
        </w:numPr>
        <w:spacing w:line="360" w:lineRule="auto"/>
        <w:rPr>
          <w:rFonts w:ascii="Times New Roman" w:hAnsi="Times New Roman" w:cs="Times New Roman"/>
          <w:b/>
        </w:rPr>
      </w:pPr>
      <w:r w:rsidRPr="00EB4467">
        <w:rPr>
          <w:rFonts w:ascii="Times New Roman" w:hAnsi="Times New Roman" w:cs="Times New Roman"/>
          <w:b/>
        </w:rPr>
        <w:t>Status and c</w:t>
      </w:r>
      <w:r w:rsidR="00CA185D" w:rsidRPr="00EB4467">
        <w:rPr>
          <w:rFonts w:ascii="Times New Roman" w:hAnsi="Times New Roman" w:cs="Times New Roman"/>
          <w:b/>
        </w:rPr>
        <w:t xml:space="preserve">ulture for </w:t>
      </w:r>
      <w:r w:rsidRPr="00EB4467">
        <w:rPr>
          <w:rFonts w:ascii="Times New Roman" w:hAnsi="Times New Roman" w:cs="Times New Roman"/>
          <w:b/>
        </w:rPr>
        <w:t>their</w:t>
      </w:r>
      <w:r w:rsidR="00CA185D" w:rsidRPr="00EB4467">
        <w:rPr>
          <w:rFonts w:ascii="Times New Roman" w:hAnsi="Times New Roman" w:cs="Times New Roman"/>
          <w:b/>
        </w:rPr>
        <w:t xml:space="preserve"> own sake</w:t>
      </w:r>
      <w:r w:rsidRPr="00EB4467">
        <w:rPr>
          <w:rFonts w:ascii="Times New Roman" w:hAnsi="Times New Roman" w:cs="Times New Roman"/>
          <w:b/>
        </w:rPr>
        <w:t>?</w:t>
      </w:r>
      <w:r w:rsidR="00D015BE" w:rsidRPr="00EB4467">
        <w:rPr>
          <w:rFonts w:ascii="Times New Roman" w:hAnsi="Times New Roman" w:cs="Times New Roman"/>
          <w:b/>
        </w:rPr>
        <w:t xml:space="preserve"> </w:t>
      </w:r>
    </w:p>
    <w:p w14:paraId="783A9639" w14:textId="77777777" w:rsidR="00951378" w:rsidRPr="00791F69" w:rsidRDefault="00DF6A49" w:rsidP="00791F69">
      <w:pPr>
        <w:spacing w:line="360" w:lineRule="auto"/>
        <w:jc w:val="both"/>
        <w:rPr>
          <w:rFonts w:ascii="Times New Roman" w:hAnsi="Times New Roman" w:cs="Times New Roman"/>
        </w:rPr>
      </w:pPr>
    </w:p>
    <w:p w14:paraId="13EFD625" w14:textId="7535F7D8" w:rsidR="00BA74A8" w:rsidRDefault="00253485" w:rsidP="00791F69">
      <w:pPr>
        <w:spacing w:line="360" w:lineRule="auto"/>
        <w:jc w:val="both"/>
        <w:rPr>
          <w:rFonts w:ascii="Times New Roman" w:hAnsi="Times New Roman" w:cs="Times New Roman"/>
        </w:rPr>
      </w:pPr>
      <w:r w:rsidRPr="00791F69">
        <w:rPr>
          <w:rFonts w:ascii="Times New Roman" w:hAnsi="Times New Roman" w:cs="Times New Roman"/>
        </w:rPr>
        <w:t xml:space="preserve">Chan’s contribution </w:t>
      </w:r>
      <w:r w:rsidR="00D77710" w:rsidRPr="00791F69">
        <w:rPr>
          <w:rFonts w:ascii="Times New Roman" w:hAnsi="Times New Roman" w:cs="Times New Roman"/>
        </w:rPr>
        <w:t>explores the meaning of omnivorousness by linking it to citizens’ worldviews. This reflects a more explanatory, ‘variable-centred’</w:t>
      </w:r>
      <w:r w:rsidR="005F7E01" w:rsidRPr="00791F69">
        <w:rPr>
          <w:rFonts w:ascii="Times New Roman" w:hAnsi="Times New Roman" w:cs="Times New Roman"/>
        </w:rPr>
        <w:t xml:space="preserve"> approach to culture that form the dependent variable that needs to be ‘explained’, even if, in all fairness, Chan is careful about not using causal terms. In contrast, Flemmen et al. show a greater interest in how cultural forms are organised, following the path opened by scholars like Savage et al. </w:t>
      </w:r>
      <w:r w:rsidR="00900578">
        <w:rPr>
          <w:rFonts w:ascii="Times New Roman" w:hAnsi="Times New Roman" w:cs="Times New Roman"/>
        </w:rPr>
        <w:fldChar w:fldCharType="begin" w:fldLock="1"/>
      </w:r>
      <w:r w:rsidR="00A37BF5">
        <w:rPr>
          <w:rFonts w:ascii="Times New Roman" w:hAnsi="Times New Roman" w:cs="Times New Roman"/>
        </w:rPr>
        <w:instrText>ADDIN CSL_CITATION {"citationItems":[{"id":"ITEM-1","itemData":{"ISBN":"1905405030","author":[{"dropping-particle":"","family":"Savage","given":"M.","non-dropping-particle":"","parse-names":false,"suffix":""},{"dropping-particle":"","family":"Gayo-cal","given":"M.","non-dropping-particle":"","parse-names":false,"suffix":""},{"dropping-particle":"","family":"Warde","given":"A.","non-dropping-particle":"","parse-names":false,"suffix":""},{"dropping-particle":"","family":"Tampubolon","given":"G.","non-dropping-particle":"","parse-names":false,"suffix":""}],"id":"ITEM-1","issue":"4","issued":{"date-parts":[["2005"]]},"publisher":"CRESC Working Paper Series","title":"CRESC Working Paper Series correspondence analysis","type":"book"},"suppress-author":1,"uris":["http://www.mendeley.com/documents/?uuid=01b3bcbc-3784-4ae4-8fa8-60832819cc8a"]}],"mendeley":{"formattedCitation":"(2005)","plainTextFormattedCitation":"(2005)","previouslyFormattedCitation":"(2005)"},"properties":{"noteIndex":0},"schema":"https://github.com/citation-style-language/schema/raw/master/csl-citation.json"}</w:instrText>
      </w:r>
      <w:r w:rsidR="00900578">
        <w:rPr>
          <w:rFonts w:ascii="Times New Roman" w:hAnsi="Times New Roman" w:cs="Times New Roman"/>
        </w:rPr>
        <w:fldChar w:fldCharType="separate"/>
      </w:r>
      <w:r w:rsidR="00900578" w:rsidRPr="00900578">
        <w:rPr>
          <w:rFonts w:ascii="Times New Roman" w:hAnsi="Times New Roman" w:cs="Times New Roman"/>
          <w:noProof/>
        </w:rPr>
        <w:t>(2005)</w:t>
      </w:r>
      <w:r w:rsidR="00900578">
        <w:rPr>
          <w:rFonts w:ascii="Times New Roman" w:hAnsi="Times New Roman" w:cs="Times New Roman"/>
        </w:rPr>
        <w:fldChar w:fldCharType="end"/>
      </w:r>
      <w:r w:rsidR="00900578">
        <w:rPr>
          <w:rFonts w:ascii="Times New Roman" w:hAnsi="Times New Roman" w:cs="Times New Roman"/>
        </w:rPr>
        <w:t xml:space="preserve"> </w:t>
      </w:r>
      <w:r w:rsidR="005F7E01" w:rsidRPr="00791F69">
        <w:rPr>
          <w:rFonts w:ascii="Times New Roman" w:hAnsi="Times New Roman" w:cs="Times New Roman"/>
        </w:rPr>
        <w:t xml:space="preserve">more than a decade ago. </w:t>
      </w:r>
      <w:r w:rsidR="0003633F" w:rsidRPr="00791F69">
        <w:rPr>
          <w:rFonts w:ascii="Times New Roman" w:hAnsi="Times New Roman" w:cs="Times New Roman"/>
        </w:rPr>
        <w:t xml:space="preserve">They examine the space of lifestyles, its tensions and powerfully argue for its partial autonomy. </w:t>
      </w:r>
      <w:r w:rsidR="00DD4230" w:rsidRPr="00791F69">
        <w:rPr>
          <w:rFonts w:ascii="Times New Roman" w:hAnsi="Times New Roman" w:cs="Times New Roman"/>
        </w:rPr>
        <w:t xml:space="preserve">Yet, lifestyles are examined here </w:t>
      </w:r>
      <w:r w:rsidR="00505C41" w:rsidRPr="00791F69">
        <w:rPr>
          <w:rFonts w:ascii="Times New Roman" w:hAnsi="Times New Roman" w:cs="Times New Roman"/>
        </w:rPr>
        <w:t xml:space="preserve">‘just’ </w:t>
      </w:r>
      <w:r w:rsidR="00DD4230" w:rsidRPr="00791F69">
        <w:rPr>
          <w:rFonts w:ascii="Times New Roman" w:hAnsi="Times New Roman" w:cs="Times New Roman"/>
        </w:rPr>
        <w:t>because they are expression of ‘status’</w:t>
      </w:r>
      <w:r w:rsidR="00505C41" w:rsidRPr="00791F69">
        <w:rPr>
          <w:rFonts w:ascii="Times New Roman" w:hAnsi="Times New Roman" w:cs="Times New Roman"/>
        </w:rPr>
        <w:t xml:space="preserve">. </w:t>
      </w:r>
      <w:r w:rsidR="00BA74A8" w:rsidRPr="00791F69">
        <w:rPr>
          <w:rFonts w:ascii="Times New Roman" w:hAnsi="Times New Roman" w:cs="Times New Roman"/>
        </w:rPr>
        <w:t xml:space="preserve">I have three issues with this approach. </w:t>
      </w:r>
    </w:p>
    <w:p w14:paraId="6B401787" w14:textId="77777777" w:rsidR="00EB4467" w:rsidRPr="00791F69" w:rsidRDefault="00EB4467" w:rsidP="00791F69">
      <w:pPr>
        <w:spacing w:line="360" w:lineRule="auto"/>
        <w:jc w:val="both"/>
        <w:rPr>
          <w:rFonts w:ascii="Times New Roman" w:hAnsi="Times New Roman" w:cs="Times New Roman"/>
        </w:rPr>
      </w:pPr>
    </w:p>
    <w:p w14:paraId="6C19A62B" w14:textId="2EFA80D4" w:rsidR="00D413F4" w:rsidRDefault="00BA74A8" w:rsidP="00791F69">
      <w:pPr>
        <w:spacing w:line="360" w:lineRule="auto"/>
        <w:jc w:val="both"/>
        <w:rPr>
          <w:rFonts w:ascii="Times New Roman" w:hAnsi="Times New Roman" w:cs="Times New Roman"/>
        </w:rPr>
      </w:pPr>
      <w:r w:rsidRPr="00791F69">
        <w:rPr>
          <w:rFonts w:ascii="Times New Roman" w:hAnsi="Times New Roman" w:cs="Times New Roman"/>
        </w:rPr>
        <w:t xml:space="preserve">First, </w:t>
      </w:r>
      <w:r w:rsidR="004E4A20" w:rsidRPr="00791F69">
        <w:rPr>
          <w:rFonts w:ascii="Times New Roman" w:hAnsi="Times New Roman" w:cs="Times New Roman"/>
        </w:rPr>
        <w:t>these cultural divergences that structure the space of lifestyles should be defined as rules at the core of the formation of the embodied cultural capital.</w:t>
      </w:r>
      <w:r w:rsidR="00D413F4" w:rsidRPr="00791F69">
        <w:rPr>
          <w:rFonts w:ascii="Times New Roman" w:hAnsi="Times New Roman" w:cs="Times New Roman"/>
        </w:rPr>
        <w:t xml:space="preserve"> However, they perceive them simply as stat</w:t>
      </w:r>
      <w:r w:rsidR="003C2D6A" w:rsidRPr="00791F69">
        <w:rPr>
          <w:rFonts w:ascii="Times New Roman" w:hAnsi="Times New Roman" w:cs="Times New Roman"/>
        </w:rPr>
        <w:t>us strategies. They refer to embodied cultural capital but only for the social space and do not operationalise it in terms of lifestyles practices</w:t>
      </w:r>
      <w:r w:rsidR="00D413F4" w:rsidRPr="00791F69">
        <w:rPr>
          <w:rFonts w:ascii="Times New Roman" w:hAnsi="Times New Roman" w:cs="Times New Roman"/>
        </w:rPr>
        <w:t xml:space="preserve">. In their defence, they do suggest that this form of cultural capital could be an expression of status as well but then the homology </w:t>
      </w:r>
      <w:r w:rsidR="002B1F9A">
        <w:rPr>
          <w:rFonts w:ascii="Times New Roman" w:hAnsi="Times New Roman" w:cs="Times New Roman"/>
        </w:rPr>
        <w:t>appear inevitable: s</w:t>
      </w:r>
      <w:r w:rsidR="00D413F4" w:rsidRPr="00791F69">
        <w:rPr>
          <w:rFonts w:ascii="Times New Roman" w:hAnsi="Times New Roman" w:cs="Times New Roman"/>
        </w:rPr>
        <w:t>tatus strategies (space of lifestyles) are indeed related to status (embodied cultural capital in the social space). Let me be clear I do think the authors show homology but, in contrast with Chan and Goldthorpe who did present a clear argument for the separate use of status (whether or not one agrees with their approach),</w:t>
      </w:r>
      <w:r w:rsidR="00D413F4" w:rsidRPr="00791F69">
        <w:rPr>
          <w:rFonts w:ascii="Times New Roman" w:hAnsi="Times New Roman" w:cs="Times New Roman"/>
          <w:b/>
        </w:rPr>
        <w:t xml:space="preserve"> </w:t>
      </w:r>
      <w:r w:rsidR="00D413F4" w:rsidRPr="00791F69">
        <w:rPr>
          <w:rFonts w:ascii="Times New Roman" w:hAnsi="Times New Roman" w:cs="Times New Roman"/>
        </w:rPr>
        <w:t xml:space="preserve">Flemmen et al.’s </w:t>
      </w:r>
      <w:r w:rsidR="000F1680" w:rsidRPr="00791F69">
        <w:rPr>
          <w:rFonts w:ascii="Times New Roman" w:hAnsi="Times New Roman" w:cs="Times New Roman"/>
        </w:rPr>
        <w:t>overly complex</w:t>
      </w:r>
      <w:r w:rsidR="00D413F4" w:rsidRPr="00791F69">
        <w:rPr>
          <w:rFonts w:ascii="Times New Roman" w:hAnsi="Times New Roman" w:cs="Times New Roman"/>
        </w:rPr>
        <w:t xml:space="preserve"> use of the term make us wonder whether it is useful to put such an emphasis on it when </w:t>
      </w:r>
      <w:r w:rsidR="006F2825" w:rsidRPr="00791F69">
        <w:rPr>
          <w:rFonts w:ascii="Times New Roman" w:hAnsi="Times New Roman" w:cs="Times New Roman"/>
        </w:rPr>
        <w:t>developing</w:t>
      </w:r>
      <w:r w:rsidR="00D413F4" w:rsidRPr="00791F69">
        <w:rPr>
          <w:rFonts w:ascii="Times New Roman" w:hAnsi="Times New Roman" w:cs="Times New Roman"/>
        </w:rPr>
        <w:t xml:space="preserve"> </w:t>
      </w:r>
      <w:r w:rsidR="006F2825" w:rsidRPr="00791F69">
        <w:rPr>
          <w:rFonts w:ascii="Times New Roman" w:hAnsi="Times New Roman" w:cs="Times New Roman"/>
        </w:rPr>
        <w:t>a Bourdieu-inspired perspective.</w:t>
      </w:r>
      <w:r w:rsidR="00D413F4" w:rsidRPr="00791F69">
        <w:rPr>
          <w:rFonts w:ascii="Times New Roman" w:hAnsi="Times New Roman" w:cs="Times New Roman"/>
        </w:rPr>
        <w:t xml:space="preserve"> Bourdieu had th</w:t>
      </w:r>
      <w:r w:rsidR="006F2825" w:rsidRPr="00791F69">
        <w:rPr>
          <w:rFonts w:ascii="Times New Roman" w:hAnsi="Times New Roman" w:cs="Times New Roman"/>
        </w:rPr>
        <w:t xml:space="preserve">ree related notions that </w:t>
      </w:r>
      <w:r w:rsidR="003C2D6A" w:rsidRPr="00791F69">
        <w:rPr>
          <w:rFonts w:ascii="Times New Roman" w:hAnsi="Times New Roman" w:cs="Times New Roman"/>
        </w:rPr>
        <w:t xml:space="preserve">most </w:t>
      </w:r>
      <w:r w:rsidR="006F2825" w:rsidRPr="00791F69">
        <w:rPr>
          <w:rFonts w:ascii="Times New Roman" w:hAnsi="Times New Roman" w:cs="Times New Roman"/>
        </w:rPr>
        <w:t>probably involve some symbolic forces</w:t>
      </w:r>
      <w:r w:rsidR="00D413F4" w:rsidRPr="00791F69">
        <w:rPr>
          <w:rFonts w:ascii="Times New Roman" w:hAnsi="Times New Roman" w:cs="Times New Roman"/>
        </w:rPr>
        <w:t xml:space="preserve"> but also play different roles in his social theory</w:t>
      </w:r>
      <w:r w:rsidR="003C2D6A" w:rsidRPr="00791F69">
        <w:rPr>
          <w:rFonts w:ascii="Times New Roman" w:hAnsi="Times New Roman" w:cs="Times New Roman"/>
        </w:rPr>
        <w:t xml:space="preserve"> that unnecessarily disappear here</w:t>
      </w:r>
      <w:r w:rsidR="00D413F4" w:rsidRPr="00791F69">
        <w:rPr>
          <w:rFonts w:ascii="Times New Roman" w:hAnsi="Times New Roman" w:cs="Times New Roman"/>
        </w:rPr>
        <w:t>.</w:t>
      </w:r>
      <w:r w:rsidR="00AB685A" w:rsidRPr="00791F69">
        <w:rPr>
          <w:rFonts w:ascii="Times New Roman" w:hAnsi="Times New Roman" w:cs="Times New Roman"/>
        </w:rPr>
        <w:t xml:space="preserve"> </w:t>
      </w:r>
    </w:p>
    <w:p w14:paraId="339FEA37" w14:textId="77777777" w:rsidR="00900578" w:rsidRPr="00791F69" w:rsidRDefault="00900578" w:rsidP="00791F69">
      <w:pPr>
        <w:spacing w:line="360" w:lineRule="auto"/>
        <w:jc w:val="both"/>
        <w:rPr>
          <w:rFonts w:ascii="Times New Roman" w:hAnsi="Times New Roman" w:cs="Times New Roman"/>
        </w:rPr>
      </w:pPr>
    </w:p>
    <w:p w14:paraId="669DEA01" w14:textId="685F7EC5" w:rsidR="00A03158" w:rsidRDefault="006F2825" w:rsidP="00791F69">
      <w:pPr>
        <w:spacing w:line="360" w:lineRule="auto"/>
        <w:jc w:val="both"/>
        <w:rPr>
          <w:rFonts w:ascii="Times New Roman" w:hAnsi="Times New Roman" w:cs="Times New Roman"/>
        </w:rPr>
      </w:pPr>
      <w:r w:rsidRPr="00791F69">
        <w:rPr>
          <w:rFonts w:ascii="Times New Roman" w:hAnsi="Times New Roman" w:cs="Times New Roman"/>
        </w:rPr>
        <w:t xml:space="preserve">Second, </w:t>
      </w:r>
      <w:r w:rsidR="003C2D6A" w:rsidRPr="00791F69">
        <w:rPr>
          <w:rFonts w:ascii="Times New Roman" w:hAnsi="Times New Roman" w:cs="Times New Roman"/>
        </w:rPr>
        <w:t>if the space of lifestyles indeed represents status divisions</w:t>
      </w:r>
      <w:r w:rsidR="00A03158" w:rsidRPr="00791F69">
        <w:rPr>
          <w:rFonts w:ascii="Times New Roman" w:hAnsi="Times New Roman" w:cs="Times New Roman"/>
        </w:rPr>
        <w:t xml:space="preserve"> and if class and status divisions do operate along similar logics, it is surprising that Bourdieu’s notion of field is completely left out in Flemmen</w:t>
      </w:r>
      <w:r w:rsidR="002B1F9A">
        <w:rPr>
          <w:rFonts w:ascii="Times New Roman" w:hAnsi="Times New Roman" w:cs="Times New Roman"/>
        </w:rPr>
        <w:t xml:space="preserve"> et al.</w:t>
      </w:r>
      <w:r w:rsidR="00A03158" w:rsidRPr="00791F69">
        <w:rPr>
          <w:rFonts w:ascii="Times New Roman" w:hAnsi="Times New Roman" w:cs="Times New Roman"/>
        </w:rPr>
        <w:t xml:space="preserve">’s contribution while it could have helped to think about the relations between these similar structures. I may </w:t>
      </w:r>
      <w:r w:rsidR="002B1F9A">
        <w:rPr>
          <w:rFonts w:ascii="Times New Roman" w:hAnsi="Times New Roman" w:cs="Times New Roman"/>
        </w:rPr>
        <w:t xml:space="preserve">be </w:t>
      </w:r>
      <w:r w:rsidR="00A03158" w:rsidRPr="00791F69">
        <w:rPr>
          <w:rFonts w:ascii="Times New Roman" w:hAnsi="Times New Roman" w:cs="Times New Roman"/>
        </w:rPr>
        <w:t xml:space="preserve">wrong (Bourdieu is notoriously cryptic on this) but I have always interpreted the social space as the field of social classes that encompasses all the other fields. </w:t>
      </w:r>
    </w:p>
    <w:p w14:paraId="18E92044" w14:textId="77777777" w:rsidR="00900578" w:rsidRPr="00791F69" w:rsidRDefault="00900578" w:rsidP="00791F69">
      <w:pPr>
        <w:spacing w:line="360" w:lineRule="auto"/>
        <w:jc w:val="both"/>
        <w:rPr>
          <w:rFonts w:ascii="Times New Roman" w:hAnsi="Times New Roman" w:cs="Times New Roman"/>
        </w:rPr>
      </w:pPr>
    </w:p>
    <w:p w14:paraId="3EE49C61" w14:textId="37BD06A0" w:rsidR="005F2817" w:rsidRDefault="002B1F9A" w:rsidP="00791F69">
      <w:pPr>
        <w:spacing w:line="360" w:lineRule="auto"/>
        <w:jc w:val="both"/>
        <w:rPr>
          <w:rFonts w:ascii="Times New Roman" w:hAnsi="Times New Roman" w:cs="Times New Roman"/>
        </w:rPr>
      </w:pPr>
      <w:r>
        <w:rPr>
          <w:rFonts w:ascii="Times New Roman" w:hAnsi="Times New Roman" w:cs="Times New Roman"/>
        </w:rPr>
        <w:t>Finally</w:t>
      </w:r>
      <w:r w:rsidR="00BA74A8" w:rsidRPr="00791F69">
        <w:rPr>
          <w:rFonts w:ascii="Times New Roman" w:hAnsi="Times New Roman" w:cs="Times New Roman"/>
        </w:rPr>
        <w:t xml:space="preserve">, </w:t>
      </w:r>
      <w:r>
        <w:rPr>
          <w:rFonts w:ascii="Times New Roman" w:hAnsi="Times New Roman" w:cs="Times New Roman"/>
        </w:rPr>
        <w:t>Flemmen et al.</w:t>
      </w:r>
      <w:r w:rsidR="00796000" w:rsidRPr="00791F69">
        <w:rPr>
          <w:rFonts w:ascii="Times New Roman" w:hAnsi="Times New Roman" w:cs="Times New Roman"/>
        </w:rPr>
        <w:t xml:space="preserve"> reduce</w:t>
      </w:r>
      <w:r w:rsidR="00BA74A8" w:rsidRPr="00791F69">
        <w:rPr>
          <w:rFonts w:ascii="Times New Roman" w:hAnsi="Times New Roman" w:cs="Times New Roman"/>
        </w:rPr>
        <w:t xml:space="preserve"> cultural patterns to strategies of social distinction</w:t>
      </w:r>
      <w:r w:rsidR="00796000" w:rsidRPr="00791F69">
        <w:rPr>
          <w:rFonts w:ascii="Times New Roman" w:hAnsi="Times New Roman" w:cs="Times New Roman"/>
        </w:rPr>
        <w:t xml:space="preserve"> </w:t>
      </w:r>
      <w:r w:rsidR="00796000" w:rsidRPr="00791F69">
        <w:rPr>
          <w:rFonts w:ascii="Times New Roman" w:hAnsi="Times New Roman" w:cs="Times New Roman"/>
          <w:i/>
        </w:rPr>
        <w:t>only</w:t>
      </w:r>
      <w:r w:rsidR="00BA74A8" w:rsidRPr="00791F69">
        <w:rPr>
          <w:rFonts w:ascii="Times New Roman" w:hAnsi="Times New Roman" w:cs="Times New Roman"/>
        </w:rPr>
        <w:t xml:space="preserve">. </w:t>
      </w:r>
      <w:r w:rsidR="00796000" w:rsidRPr="00791F69">
        <w:rPr>
          <w:rFonts w:ascii="Times New Roman" w:hAnsi="Times New Roman" w:cs="Times New Roman"/>
        </w:rPr>
        <w:t xml:space="preserve">As the authors suggest, tastes and cultural behaviours are indeed involved in </w:t>
      </w:r>
      <w:r w:rsidR="00982157">
        <w:rPr>
          <w:rFonts w:ascii="Times New Roman" w:hAnsi="Times New Roman" w:cs="Times New Roman"/>
        </w:rPr>
        <w:t>‘</w:t>
      </w:r>
      <w:r w:rsidR="00796000" w:rsidRPr="00791F69">
        <w:rPr>
          <w:rFonts w:ascii="Times New Roman" w:hAnsi="Times New Roman" w:cs="Times New Roman"/>
        </w:rPr>
        <w:t>symbolic boundaries</w:t>
      </w:r>
      <w:r w:rsidR="00982157">
        <w:rPr>
          <w:rFonts w:ascii="Times New Roman" w:hAnsi="Times New Roman" w:cs="Times New Roman"/>
        </w:rPr>
        <w:t xml:space="preserve">’ </w:t>
      </w:r>
      <w:r w:rsidR="009279DE">
        <w:rPr>
          <w:rFonts w:ascii="Times New Roman" w:hAnsi="Times New Roman" w:cs="Times New Roman"/>
        </w:rPr>
        <w:fldChar w:fldCharType="begin" w:fldLock="1"/>
      </w:r>
      <w:r w:rsidR="00175997">
        <w:rPr>
          <w:rFonts w:ascii="Times New Roman" w:hAnsi="Times New Roman" w:cs="Times New Roman"/>
        </w:rPr>
        <w:instrText>ADDIN CSL_CITATION {"citationItems":[{"id":"ITEM-1","itemData":{"DOI":"10.1146/annurev.soc.28.110601.141107","ISBN":"03600572","ISSN":"0360-0572","PMID":"6969515","abstract":"In recent years, the concept of boundaries has been at the center of influential research agendas in anthropology, history, political science, social psychology, and sociology. This article surveys some of these developments while describing the value added provided by the concept, particularly concerning the study of relational processes. It discusses literatures on (a) social and collective identity; (b) class, ethnic/racial, and gender/sex inequality; (c) professions, knowledge, and science; and (d) communities, national identities, and spatial boundaries. It points to similar processes at work across a range of institutions and social locations. It also suggests paths for further developments, focusing on the relationship between social and symbolic boundaries, cultural mechanisms for the production of boundaries, difference and hybridity, and cultural membership and group classifications.","author":[{"dropping-particle":"","family":"Lamont","given":"Michèle","non-dropping-particle":"","parse-names":false,"suffix":""},{"dropping-particle":"","family":"Molnár","given":"Virág","non-dropping-particle":"","parse-names":false,"suffix":""}],"container-title":"Annual Review of Sociology","id":"ITEM-1","issue":"1","issued":{"date-parts":[["2002","8"]]},"page":"167-195","title":"The Study of Boundaries in the Social Sciences","type":"article-journal","volume":"28"},"uris":["http://www.mendeley.com/documents/?uuid=f8e4275f-38d8-4216-ad0f-305ea133159c"]}],"mendeley":{"formattedCitation":"(Lamont and Molnár 2002)","plainTextFormattedCitation":"(Lamont and Molnár 2002)","previouslyFormattedCitation":"(Lamont and Molnár 2002)"},"properties":{"noteIndex":0},"schema":"https://github.com/citation-style-language/schema/raw/master/csl-citation.json"}</w:instrText>
      </w:r>
      <w:r w:rsidR="009279DE">
        <w:rPr>
          <w:rFonts w:ascii="Times New Roman" w:hAnsi="Times New Roman" w:cs="Times New Roman"/>
        </w:rPr>
        <w:fldChar w:fldCharType="separate"/>
      </w:r>
      <w:r w:rsidR="009279DE" w:rsidRPr="009279DE">
        <w:rPr>
          <w:rFonts w:ascii="Times New Roman" w:hAnsi="Times New Roman" w:cs="Times New Roman"/>
          <w:noProof/>
        </w:rPr>
        <w:t>(Lamont and Molnár 2002)</w:t>
      </w:r>
      <w:r w:rsidR="009279DE">
        <w:rPr>
          <w:rFonts w:ascii="Times New Roman" w:hAnsi="Times New Roman" w:cs="Times New Roman"/>
        </w:rPr>
        <w:fldChar w:fldCharType="end"/>
      </w:r>
      <w:r w:rsidR="00796000" w:rsidRPr="00791F69">
        <w:rPr>
          <w:rFonts w:ascii="Times New Roman" w:hAnsi="Times New Roman" w:cs="Times New Roman"/>
        </w:rPr>
        <w:t xml:space="preserve">, which seems to me a more interesting perspective on status; however, beyond this, </w:t>
      </w:r>
      <w:r w:rsidR="005F2817" w:rsidRPr="00791F69">
        <w:rPr>
          <w:rFonts w:ascii="Times New Roman" w:hAnsi="Times New Roman" w:cs="Times New Roman"/>
        </w:rPr>
        <w:t xml:space="preserve">they </w:t>
      </w:r>
      <w:r w:rsidR="00185F8B">
        <w:rPr>
          <w:rFonts w:ascii="Times New Roman" w:hAnsi="Times New Roman" w:cs="Times New Roman"/>
        </w:rPr>
        <w:t xml:space="preserve">do </w:t>
      </w:r>
      <w:r w:rsidR="005F2817" w:rsidRPr="00791F69">
        <w:rPr>
          <w:rFonts w:ascii="Times New Roman" w:hAnsi="Times New Roman" w:cs="Times New Roman"/>
        </w:rPr>
        <w:t xml:space="preserve">tell us about the ‘texture’ of our societies, created through a myriad of different ‘cultures’ that can overlap, coexist or ‘clash’ in various way. Sociologists sometimes struggle to see that cultural diversity matters in itself as well as it matters to other social issues. </w:t>
      </w:r>
    </w:p>
    <w:p w14:paraId="3C514DAE" w14:textId="77777777" w:rsidR="009279DE" w:rsidRDefault="009279DE" w:rsidP="00791F69">
      <w:pPr>
        <w:spacing w:line="360" w:lineRule="auto"/>
        <w:jc w:val="both"/>
        <w:rPr>
          <w:rFonts w:ascii="Times New Roman" w:hAnsi="Times New Roman" w:cs="Times New Roman"/>
        </w:rPr>
      </w:pPr>
    </w:p>
    <w:p w14:paraId="161DE77A" w14:textId="6D79C278" w:rsidR="009279DE" w:rsidRPr="00A31BE0" w:rsidRDefault="00A31BE0" w:rsidP="00A31BE0">
      <w:pPr>
        <w:pStyle w:val="ListParagraph"/>
        <w:numPr>
          <w:ilvl w:val="0"/>
          <w:numId w:val="1"/>
        </w:numPr>
        <w:spacing w:line="360" w:lineRule="auto"/>
        <w:jc w:val="both"/>
        <w:rPr>
          <w:rFonts w:ascii="Times New Roman" w:hAnsi="Times New Roman" w:cs="Times New Roman"/>
          <w:b/>
        </w:rPr>
      </w:pPr>
      <w:r w:rsidRPr="00A31BE0">
        <w:rPr>
          <w:rFonts w:ascii="Times New Roman" w:hAnsi="Times New Roman" w:cs="Times New Roman"/>
          <w:b/>
        </w:rPr>
        <w:t>Conclusion</w:t>
      </w:r>
      <w:r w:rsidR="009A5DFC">
        <w:rPr>
          <w:rFonts w:ascii="Times New Roman" w:hAnsi="Times New Roman" w:cs="Times New Roman"/>
          <w:b/>
        </w:rPr>
        <w:t xml:space="preserve">: Why does culture matter? </w:t>
      </w:r>
      <w:r w:rsidRPr="00A31BE0">
        <w:rPr>
          <w:rFonts w:ascii="Times New Roman" w:hAnsi="Times New Roman" w:cs="Times New Roman"/>
          <w:b/>
        </w:rPr>
        <w:t xml:space="preserve"> </w:t>
      </w:r>
    </w:p>
    <w:p w14:paraId="4116C6B1" w14:textId="77777777" w:rsidR="00175997" w:rsidRDefault="00175997" w:rsidP="00BA2DA1">
      <w:pPr>
        <w:spacing w:line="360" w:lineRule="auto"/>
        <w:jc w:val="both"/>
        <w:rPr>
          <w:rFonts w:ascii="Times New Roman" w:hAnsi="Times New Roman" w:cs="Times New Roman"/>
        </w:rPr>
      </w:pPr>
    </w:p>
    <w:p w14:paraId="6A384576" w14:textId="44D90283" w:rsidR="00DB192C" w:rsidRDefault="009A5DFC" w:rsidP="00BA2DA1">
      <w:pPr>
        <w:spacing w:line="360" w:lineRule="auto"/>
        <w:jc w:val="both"/>
        <w:rPr>
          <w:rFonts w:ascii="Times New Roman" w:hAnsi="Times New Roman" w:cs="Times New Roman"/>
        </w:rPr>
      </w:pPr>
      <w:r>
        <w:rPr>
          <w:rFonts w:ascii="Times New Roman" w:hAnsi="Times New Roman" w:cs="Times New Roman"/>
        </w:rPr>
        <w:t>For long, sociologists have</w:t>
      </w:r>
      <w:r w:rsidR="005F3837">
        <w:rPr>
          <w:rFonts w:ascii="Times New Roman" w:hAnsi="Times New Roman" w:cs="Times New Roman"/>
        </w:rPr>
        <w:t xml:space="preserve"> repetitively</w:t>
      </w:r>
      <w:r w:rsidR="00175997">
        <w:rPr>
          <w:rFonts w:ascii="Times New Roman" w:hAnsi="Times New Roman" w:cs="Times New Roman"/>
        </w:rPr>
        <w:t xml:space="preserve"> shown that culture</w:t>
      </w:r>
      <w:r>
        <w:rPr>
          <w:rFonts w:ascii="Times New Roman" w:hAnsi="Times New Roman" w:cs="Times New Roman"/>
        </w:rPr>
        <w:t xml:space="preserve"> matters because it is related to issues of </w:t>
      </w:r>
      <w:r w:rsidR="007A1BDF">
        <w:rPr>
          <w:rFonts w:ascii="Times New Roman" w:hAnsi="Times New Roman" w:cs="Times New Roman"/>
        </w:rPr>
        <w:t xml:space="preserve">social </w:t>
      </w:r>
      <w:r>
        <w:rPr>
          <w:rFonts w:ascii="Times New Roman" w:hAnsi="Times New Roman" w:cs="Times New Roman"/>
        </w:rPr>
        <w:t>inequalities</w:t>
      </w:r>
      <w:r w:rsidR="005F3837">
        <w:rPr>
          <w:rFonts w:ascii="Times New Roman" w:hAnsi="Times New Roman" w:cs="Times New Roman"/>
        </w:rPr>
        <w:t xml:space="preserve"> and that cultural engagement, and the accumulation of useful cultural capital, are mainly the privilege of (often white) </w:t>
      </w:r>
      <w:r w:rsidR="005F3837" w:rsidRPr="005F3837">
        <w:rPr>
          <w:rFonts w:ascii="Times New Roman" w:hAnsi="Times New Roman" w:cs="Times New Roman"/>
        </w:rPr>
        <w:t>educated middle</w:t>
      </w:r>
      <w:r w:rsidR="005F3837">
        <w:rPr>
          <w:rFonts w:ascii="Times New Roman" w:hAnsi="Times New Roman" w:cs="Times New Roman"/>
        </w:rPr>
        <w:t xml:space="preserve"> and upper</w:t>
      </w:r>
      <w:r w:rsidR="005F3837" w:rsidRPr="005F3837">
        <w:rPr>
          <w:rFonts w:ascii="Times New Roman" w:hAnsi="Times New Roman" w:cs="Times New Roman"/>
        </w:rPr>
        <w:t xml:space="preserve"> classes</w:t>
      </w:r>
      <w:r w:rsidR="005F3837">
        <w:rPr>
          <w:rFonts w:ascii="Times New Roman" w:hAnsi="Times New Roman" w:cs="Times New Roman"/>
        </w:rPr>
        <w:t xml:space="preserve"> or social status groups (depending on everyone’s tradition)</w:t>
      </w:r>
      <w:r w:rsidR="005F3837" w:rsidRPr="005F3837">
        <w:rPr>
          <w:rFonts w:ascii="Times New Roman" w:hAnsi="Times New Roman" w:cs="Times New Roman"/>
        </w:rPr>
        <w:t>.</w:t>
      </w:r>
      <w:r w:rsidR="005F3837">
        <w:rPr>
          <w:rFonts w:ascii="Times New Roman" w:hAnsi="Times New Roman" w:cs="Times New Roman"/>
        </w:rPr>
        <w:t xml:space="preserve"> </w:t>
      </w:r>
      <w:r w:rsidR="00B81C16">
        <w:rPr>
          <w:rFonts w:ascii="Times New Roman" w:hAnsi="Times New Roman" w:cs="Times New Roman"/>
        </w:rPr>
        <w:t>If such perspectives have been welcome and hardly deniable, culture has always been the proxy of something else. I argue</w:t>
      </w:r>
      <w:r w:rsidR="00B81C16" w:rsidRPr="00BA2DA1">
        <w:rPr>
          <w:rFonts w:ascii="Times New Roman" w:hAnsi="Times New Roman" w:cs="Times New Roman"/>
        </w:rPr>
        <w:t xml:space="preserve"> t</w:t>
      </w:r>
      <w:r w:rsidR="00175997">
        <w:rPr>
          <w:rFonts w:ascii="Times New Roman" w:hAnsi="Times New Roman" w:cs="Times New Roman"/>
        </w:rPr>
        <w:t>here t</w:t>
      </w:r>
      <w:r w:rsidR="00B81C16" w:rsidRPr="00BA2DA1">
        <w:rPr>
          <w:rFonts w:ascii="Times New Roman" w:hAnsi="Times New Roman" w:cs="Times New Roman"/>
        </w:rPr>
        <w:t xml:space="preserve">hat a focus on </w:t>
      </w:r>
      <w:r w:rsidR="00175997">
        <w:rPr>
          <w:rFonts w:ascii="Times New Roman" w:hAnsi="Times New Roman" w:cs="Times New Roman"/>
        </w:rPr>
        <w:t xml:space="preserve">people’s </w:t>
      </w:r>
      <w:r w:rsidR="00E80DFA">
        <w:rPr>
          <w:rFonts w:ascii="Times New Roman" w:hAnsi="Times New Roman" w:cs="Times New Roman"/>
        </w:rPr>
        <w:t xml:space="preserve">cultures, seen as </w:t>
      </w:r>
      <w:r w:rsidR="00B81C16" w:rsidRPr="00BA2DA1">
        <w:rPr>
          <w:rFonts w:ascii="Times New Roman" w:hAnsi="Times New Roman" w:cs="Times New Roman"/>
        </w:rPr>
        <w:t>practices, cultural tastes, preferen</w:t>
      </w:r>
      <w:r w:rsidR="00175997">
        <w:rPr>
          <w:rFonts w:ascii="Times New Roman" w:hAnsi="Times New Roman" w:cs="Times New Roman"/>
        </w:rPr>
        <w:t xml:space="preserve">ces and activities, is a useful, yet neglected, </w:t>
      </w:r>
      <w:r w:rsidR="00B81C16" w:rsidRPr="00BA2DA1">
        <w:rPr>
          <w:rFonts w:ascii="Times New Roman" w:hAnsi="Times New Roman" w:cs="Times New Roman"/>
        </w:rPr>
        <w:t>way to capture diversity, avoiding falling into any preconceptions of class or ethnic cultures</w:t>
      </w:r>
      <w:r w:rsidR="00B81C16">
        <w:rPr>
          <w:rFonts w:ascii="Times New Roman" w:hAnsi="Times New Roman" w:cs="Times New Roman"/>
        </w:rPr>
        <w:t>, and that we should assess c</w:t>
      </w:r>
      <w:r w:rsidR="00B81C16" w:rsidRPr="00B81C16">
        <w:rPr>
          <w:rFonts w:ascii="Times New Roman" w:hAnsi="Times New Roman" w:cs="Times New Roman"/>
        </w:rPr>
        <w:t xml:space="preserve">ultural diversity in terms of everyday cultural practices before </w:t>
      </w:r>
      <w:r w:rsidR="00B81C16" w:rsidRPr="00B81C16">
        <w:rPr>
          <w:rFonts w:ascii="Times New Roman" w:hAnsi="Times New Roman" w:cs="Times New Roman"/>
          <w:i/>
        </w:rPr>
        <w:t>asking who does what</w:t>
      </w:r>
      <w:r w:rsidR="00B81C16" w:rsidRPr="00B81C16">
        <w:rPr>
          <w:rFonts w:ascii="Times New Roman" w:hAnsi="Times New Roman" w:cs="Times New Roman"/>
        </w:rPr>
        <w:t>.</w:t>
      </w:r>
      <w:r w:rsidR="00B81C16">
        <w:rPr>
          <w:rFonts w:ascii="Times New Roman" w:hAnsi="Times New Roman" w:cs="Times New Roman"/>
        </w:rPr>
        <w:t xml:space="preserve"> It is time we move away from assumptions of class cultures and, also actually, of</w:t>
      </w:r>
      <w:r w:rsidR="00B81C16" w:rsidRPr="00BA2DA1">
        <w:rPr>
          <w:rFonts w:ascii="Times New Roman" w:hAnsi="Times New Roman" w:cs="Times New Roman"/>
        </w:rPr>
        <w:t xml:space="preserve"> ‘intraethnic homology’ </w:t>
      </w:r>
      <w:r w:rsidR="00175997">
        <w:rPr>
          <w:rFonts w:ascii="Times New Roman" w:hAnsi="Times New Roman" w:cs="Times New Roman"/>
        </w:rPr>
        <w:fldChar w:fldCharType="begin" w:fldLock="1"/>
      </w:r>
      <w:r w:rsidR="00175997">
        <w:rPr>
          <w:rFonts w:ascii="Times New Roman" w:hAnsi="Times New Roman" w:cs="Times New Roman"/>
        </w:rPr>
        <w:instrText>ADDIN CSL_CITATION {"citationItems":[{"id":"ITEM-1","itemData":{"DOI":"10.1068/a3537","author":[{"dropping-particle":"","family":"Amin","given":"Ash","non-dropping-particle":"","parse-names":false,"suffix":""}],"container-title":"Environment and Planning A","id":"ITEM-1","issued":{"date-parts":[["2002"]]},"page":"959-980","title":"Ethnicity and the multicultural city : living with diversity","type":"article-journal","volume":"34"},"uris":["http://www.mendeley.com/documents/?uuid=11e2a672-f5be-49f2-ba5c-e451cce50dcf"]}],"mendeley":{"formattedCitation":"(Amin 2002)","plainTextFormattedCitation":"(Amin 2002)","previouslyFormattedCitation":"(Amin 2002)"},"properties":{"noteIndex":0},"schema":"https://github.com/citation-style-language/schema/raw/master/csl-citation.json"}</w:instrText>
      </w:r>
      <w:r w:rsidR="00175997">
        <w:rPr>
          <w:rFonts w:ascii="Times New Roman" w:hAnsi="Times New Roman" w:cs="Times New Roman"/>
        </w:rPr>
        <w:fldChar w:fldCharType="separate"/>
      </w:r>
      <w:r w:rsidR="00175997" w:rsidRPr="00175997">
        <w:rPr>
          <w:rFonts w:ascii="Times New Roman" w:hAnsi="Times New Roman" w:cs="Times New Roman"/>
          <w:noProof/>
        </w:rPr>
        <w:t>(Amin 2002)</w:t>
      </w:r>
      <w:r w:rsidR="00175997">
        <w:rPr>
          <w:rFonts w:ascii="Times New Roman" w:hAnsi="Times New Roman" w:cs="Times New Roman"/>
        </w:rPr>
        <w:fldChar w:fldCharType="end"/>
      </w:r>
      <w:r w:rsidR="00B81C16">
        <w:rPr>
          <w:rFonts w:ascii="Times New Roman" w:hAnsi="Times New Roman" w:cs="Times New Roman"/>
        </w:rPr>
        <w:t xml:space="preserve">, </w:t>
      </w:r>
      <w:r w:rsidR="00175997">
        <w:rPr>
          <w:rFonts w:ascii="Times New Roman" w:hAnsi="Times New Roman" w:cs="Times New Roman"/>
        </w:rPr>
        <w:t xml:space="preserve">two forms of homologies </w:t>
      </w:r>
      <w:r w:rsidR="00E80DFA">
        <w:rPr>
          <w:rFonts w:ascii="Times New Roman" w:hAnsi="Times New Roman" w:cs="Times New Roman"/>
        </w:rPr>
        <w:t xml:space="preserve">which </w:t>
      </w:r>
      <w:r w:rsidR="00B81C16">
        <w:rPr>
          <w:rFonts w:ascii="Times New Roman" w:hAnsi="Times New Roman" w:cs="Times New Roman"/>
        </w:rPr>
        <w:t xml:space="preserve">interestingly relate to quite separate </w:t>
      </w:r>
      <w:r w:rsidR="00E80DFA">
        <w:rPr>
          <w:rFonts w:ascii="Times New Roman" w:hAnsi="Times New Roman" w:cs="Times New Roman"/>
        </w:rPr>
        <w:t xml:space="preserve">bodies of </w:t>
      </w:r>
      <w:r w:rsidR="00B81C16">
        <w:rPr>
          <w:rFonts w:ascii="Times New Roman" w:hAnsi="Times New Roman" w:cs="Times New Roman"/>
        </w:rPr>
        <w:t>literature. To be clear, I do not deny that l</w:t>
      </w:r>
      <w:r w:rsidR="00B81C16" w:rsidRPr="00BA2DA1">
        <w:rPr>
          <w:rFonts w:ascii="Times New Roman" w:hAnsi="Times New Roman" w:cs="Times New Roman"/>
        </w:rPr>
        <w:t xml:space="preserve">ifestyles formation </w:t>
      </w:r>
      <w:r w:rsidR="00E80DFA">
        <w:rPr>
          <w:rFonts w:ascii="Times New Roman" w:hAnsi="Times New Roman" w:cs="Times New Roman"/>
        </w:rPr>
        <w:t>is</w:t>
      </w:r>
      <w:r w:rsidR="00B81C16" w:rsidRPr="00BA2DA1">
        <w:rPr>
          <w:rFonts w:ascii="Times New Roman" w:hAnsi="Times New Roman" w:cs="Times New Roman"/>
        </w:rPr>
        <w:t xml:space="preserve"> influenced by </w:t>
      </w:r>
      <w:r w:rsidR="00B81C16">
        <w:rPr>
          <w:rFonts w:ascii="Times New Roman" w:hAnsi="Times New Roman" w:cs="Times New Roman"/>
        </w:rPr>
        <w:t xml:space="preserve">class and </w:t>
      </w:r>
      <w:r w:rsidR="00B81C16" w:rsidRPr="00BA2DA1">
        <w:rPr>
          <w:rFonts w:ascii="Times New Roman" w:hAnsi="Times New Roman" w:cs="Times New Roman"/>
        </w:rPr>
        <w:t xml:space="preserve">ethnic belonging, but </w:t>
      </w:r>
      <w:r w:rsidR="00E80DFA">
        <w:rPr>
          <w:rFonts w:ascii="Times New Roman" w:hAnsi="Times New Roman" w:cs="Times New Roman"/>
        </w:rPr>
        <w:t xml:space="preserve">they are </w:t>
      </w:r>
      <w:r w:rsidR="00B81C16" w:rsidRPr="00BA2DA1">
        <w:rPr>
          <w:rFonts w:ascii="Times New Roman" w:hAnsi="Times New Roman" w:cs="Times New Roman"/>
        </w:rPr>
        <w:t>also</w:t>
      </w:r>
      <w:r w:rsidR="00E80DFA">
        <w:rPr>
          <w:rFonts w:ascii="Times New Roman" w:hAnsi="Times New Roman" w:cs="Times New Roman"/>
        </w:rPr>
        <w:t xml:space="preserve"> associated to </w:t>
      </w:r>
      <w:r w:rsidR="00B81C16" w:rsidRPr="00BA2DA1">
        <w:rPr>
          <w:rFonts w:ascii="Times New Roman" w:hAnsi="Times New Roman" w:cs="Times New Roman"/>
        </w:rPr>
        <w:t>complex intersections with and between other characteristics, such as gender, class, legal status, or age.</w:t>
      </w:r>
      <w:r w:rsidR="00175997">
        <w:rPr>
          <w:rFonts w:ascii="Times New Roman" w:hAnsi="Times New Roman" w:cs="Times New Roman"/>
        </w:rPr>
        <w:t xml:space="preserve"> </w:t>
      </w:r>
      <w:r w:rsidR="00DB192C" w:rsidRPr="00BA2DA1">
        <w:rPr>
          <w:rFonts w:ascii="Times New Roman" w:hAnsi="Times New Roman" w:cs="Times New Roman"/>
        </w:rPr>
        <w:t xml:space="preserve">As Gilroy suggested </w:t>
      </w:r>
      <w:r w:rsidR="00175997">
        <w:rPr>
          <w:rFonts w:ascii="Times New Roman" w:hAnsi="Times New Roman" w:cs="Times New Roman"/>
        </w:rPr>
        <w:fldChar w:fldCharType="begin" w:fldLock="1"/>
      </w:r>
      <w:r w:rsidR="000A406E">
        <w:rPr>
          <w:rFonts w:ascii="Times New Roman" w:hAnsi="Times New Roman" w:cs="Times New Roman"/>
        </w:rPr>
        <w:instrText>ADDIN CSL_CITATION {"citationItems":[{"id":"ITEM-1","itemData":{"DOI":"10.1111/j.1467-8705.2006.00731.x","ISSN":"0011-1562","abstract":"The article presents a discussion of Great Britain's present circumstances in a historical setting illuminated by early 20th century commentaries on war, peace and cosmopolitan responsibility, and by mid-20th-century speculations on race and racism which have continuing links between racism, nationalism and imperialism in the age of extraordinary rendition. The author concludes that conviviality may yet become legitimate goals in a larger strategy for bringing British citizenship to life.","author":[{"dropping-particle":"","family":"Gilroy","given":"P.","non-dropping-particle":"","parse-names":false,"suffix":""}],"container-title":"Critical Quarterly","id":"ITEM-1","issue":"4","issued":{"date-parts":[["2006"]]},"page":"27-45","title":"Multiculture in times of war: an inaugural lecture given at the London School of Economics","type":"article-journal","volume":"48"},"locator":"40 ","uris":["http://www.mendeley.com/documents/?uuid=62ca0cef-4400-4383-acf7-d79f715607d5"]}],"mendeley":{"formattedCitation":"(Gilroy 2006:40)","plainTextFormattedCitation":"(Gilroy 2006:40)","previouslyFormattedCitation":"(Gilroy 2006:40)"},"properties":{"noteIndex":0},"schema":"https://github.com/citation-style-language/schema/raw/master/csl-citation.json"}</w:instrText>
      </w:r>
      <w:r w:rsidR="00175997">
        <w:rPr>
          <w:rFonts w:ascii="Times New Roman" w:hAnsi="Times New Roman" w:cs="Times New Roman"/>
        </w:rPr>
        <w:fldChar w:fldCharType="separate"/>
      </w:r>
      <w:r w:rsidR="00175997" w:rsidRPr="00175997">
        <w:rPr>
          <w:rFonts w:ascii="Times New Roman" w:hAnsi="Times New Roman" w:cs="Times New Roman"/>
          <w:noProof/>
        </w:rPr>
        <w:t>(Gilroy 2006:40)</w:t>
      </w:r>
      <w:r w:rsidR="00175997">
        <w:rPr>
          <w:rFonts w:ascii="Times New Roman" w:hAnsi="Times New Roman" w:cs="Times New Roman"/>
        </w:rPr>
        <w:fldChar w:fldCharType="end"/>
      </w:r>
      <w:r w:rsidR="00175997">
        <w:rPr>
          <w:rFonts w:ascii="Times New Roman" w:hAnsi="Times New Roman" w:cs="Times New Roman"/>
        </w:rPr>
        <w:t>,</w:t>
      </w:r>
      <w:r w:rsidR="00DB192C" w:rsidRPr="00BA2DA1">
        <w:rPr>
          <w:rFonts w:ascii="Times New Roman" w:hAnsi="Times New Roman" w:cs="Times New Roman"/>
        </w:rPr>
        <w:t xml:space="preserve"> it is people’s ‘taste, lifestyle, leisure, preferences’ that divide them, more than racial and ethnic differences. It is only when practices are unravelled that associations with people’s complex social and cultural background and characteristics can be investigated. It is the only way to assess the extent to which people live together and interact</w:t>
      </w:r>
      <w:r w:rsidR="00E80DFA">
        <w:rPr>
          <w:rFonts w:ascii="Times New Roman" w:hAnsi="Times New Roman" w:cs="Times New Roman"/>
        </w:rPr>
        <w:t>, pending that our measurement tools are encompassing enough</w:t>
      </w:r>
      <w:r w:rsidR="00175997">
        <w:rPr>
          <w:rFonts w:ascii="Times New Roman" w:hAnsi="Times New Roman" w:cs="Times New Roman"/>
        </w:rPr>
        <w:t xml:space="preserve"> and </w:t>
      </w:r>
      <w:r w:rsidR="00175997" w:rsidRPr="00175997">
        <w:rPr>
          <w:rFonts w:ascii="Times New Roman" w:hAnsi="Times New Roman" w:cs="Times New Roman"/>
        </w:rPr>
        <w:t>use geographically- and ethno-religious specific cultural referents to avoid a Eurocentric approach of cultural capital</w:t>
      </w:r>
      <w:r w:rsidR="00DB192C" w:rsidRPr="00BA2DA1">
        <w:rPr>
          <w:rFonts w:ascii="Times New Roman" w:hAnsi="Times New Roman" w:cs="Times New Roman"/>
        </w:rPr>
        <w:t xml:space="preserve">. </w:t>
      </w:r>
    </w:p>
    <w:p w14:paraId="0BCDB5A8" w14:textId="77777777" w:rsidR="00DB192C" w:rsidRDefault="00DB192C" w:rsidP="00BA2DA1">
      <w:pPr>
        <w:spacing w:line="360" w:lineRule="auto"/>
        <w:jc w:val="both"/>
        <w:rPr>
          <w:rFonts w:ascii="Times New Roman" w:hAnsi="Times New Roman" w:cs="Times New Roman"/>
        </w:rPr>
      </w:pPr>
    </w:p>
    <w:p w14:paraId="74DB7236" w14:textId="77777777" w:rsidR="005F2817" w:rsidRDefault="005F2817" w:rsidP="00791F69">
      <w:pPr>
        <w:spacing w:line="360" w:lineRule="auto"/>
        <w:jc w:val="both"/>
        <w:rPr>
          <w:rFonts w:ascii="Times New Roman" w:hAnsi="Times New Roman" w:cs="Times New Roman"/>
        </w:rPr>
      </w:pPr>
    </w:p>
    <w:p w14:paraId="44BE2B35" w14:textId="4E8C7BED" w:rsidR="00F31A22" w:rsidRPr="00F31A22" w:rsidRDefault="00F31A22" w:rsidP="00791F69">
      <w:pPr>
        <w:spacing w:line="360" w:lineRule="auto"/>
        <w:jc w:val="both"/>
        <w:rPr>
          <w:rFonts w:ascii="Times New Roman" w:hAnsi="Times New Roman" w:cs="Times New Roman"/>
          <w:b/>
        </w:rPr>
      </w:pPr>
      <w:r w:rsidRPr="00F31A22">
        <w:rPr>
          <w:rFonts w:ascii="Times New Roman" w:hAnsi="Times New Roman" w:cs="Times New Roman"/>
          <w:b/>
        </w:rPr>
        <w:t>Bibliography</w:t>
      </w:r>
    </w:p>
    <w:p w14:paraId="465E1467" w14:textId="6723E9A7" w:rsidR="000A406E" w:rsidRPr="000A406E" w:rsidRDefault="00F31A22" w:rsidP="000A406E">
      <w:pPr>
        <w:widowControl w:val="0"/>
        <w:autoSpaceDE w:val="0"/>
        <w:autoSpaceDN w:val="0"/>
        <w:adjustRightInd w:val="0"/>
        <w:spacing w:line="360" w:lineRule="auto"/>
        <w:ind w:left="480" w:hanging="480"/>
        <w:rPr>
          <w:rFonts w:ascii="Times New Roman" w:eastAsia="Times New Roman" w:hAnsi="Times New Roman" w:cs="Times New Roman"/>
          <w:noProof/>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009E1C3A">
        <w:rPr>
          <w:rFonts w:ascii="Times New Roman" w:eastAsia="Times New Roman" w:hAnsi="Times New Roman" w:cs="Times New Roman"/>
          <w:noProof/>
        </w:rPr>
        <w:t>Amin, A</w:t>
      </w:r>
      <w:r w:rsidR="000A406E" w:rsidRPr="000A406E">
        <w:rPr>
          <w:rFonts w:ascii="Times New Roman" w:eastAsia="Times New Roman" w:hAnsi="Times New Roman" w:cs="Times New Roman"/>
          <w:noProof/>
        </w:rPr>
        <w:t xml:space="preserve">. 2002. “Ethnicity and the Multicultural City : Living with Diversity.” </w:t>
      </w:r>
      <w:r w:rsidR="000A406E" w:rsidRPr="000A406E">
        <w:rPr>
          <w:rFonts w:ascii="Times New Roman" w:eastAsia="Times New Roman" w:hAnsi="Times New Roman" w:cs="Times New Roman"/>
          <w:i/>
          <w:iCs/>
          <w:noProof/>
        </w:rPr>
        <w:t>Environment and Planning A</w:t>
      </w:r>
      <w:r w:rsidR="000A406E" w:rsidRPr="000A406E">
        <w:rPr>
          <w:rFonts w:ascii="Times New Roman" w:eastAsia="Times New Roman" w:hAnsi="Times New Roman" w:cs="Times New Roman"/>
          <w:noProof/>
        </w:rPr>
        <w:t xml:space="preserve"> 34:959–80.</w:t>
      </w:r>
    </w:p>
    <w:p w14:paraId="224187DD" w14:textId="6FEE94A4" w:rsidR="000A406E" w:rsidRPr="000A406E" w:rsidRDefault="009E1C3A" w:rsidP="000A406E">
      <w:pPr>
        <w:widowControl w:val="0"/>
        <w:autoSpaceDE w:val="0"/>
        <w:autoSpaceDN w:val="0"/>
        <w:adjustRightInd w:val="0"/>
        <w:spacing w:line="360" w:lineRule="auto"/>
        <w:ind w:left="480" w:hanging="480"/>
        <w:rPr>
          <w:rFonts w:ascii="Times New Roman" w:eastAsia="Times New Roman" w:hAnsi="Times New Roman" w:cs="Times New Roman"/>
          <w:noProof/>
        </w:rPr>
      </w:pPr>
      <w:r>
        <w:rPr>
          <w:rFonts w:ascii="Times New Roman" w:eastAsia="Times New Roman" w:hAnsi="Times New Roman" w:cs="Times New Roman"/>
          <w:noProof/>
        </w:rPr>
        <w:t>Bellavance, G</w:t>
      </w:r>
      <w:r w:rsidR="000A406E" w:rsidRPr="000A406E">
        <w:rPr>
          <w:rFonts w:ascii="Times New Roman" w:eastAsia="Times New Roman" w:hAnsi="Times New Roman" w:cs="Times New Roman"/>
          <w:noProof/>
        </w:rPr>
        <w:t xml:space="preserve">. 2008. “Where’s High? Who’s Low? What’s New? Classification and Stratification inside Cultural ‘Repertoires.’” </w:t>
      </w:r>
      <w:r w:rsidR="000A406E" w:rsidRPr="000A406E">
        <w:rPr>
          <w:rFonts w:ascii="Times New Roman" w:eastAsia="Times New Roman" w:hAnsi="Times New Roman" w:cs="Times New Roman"/>
          <w:i/>
          <w:iCs/>
          <w:noProof/>
        </w:rPr>
        <w:t>Poetics</w:t>
      </w:r>
      <w:r w:rsidR="000A406E" w:rsidRPr="000A406E">
        <w:rPr>
          <w:rFonts w:ascii="Times New Roman" w:eastAsia="Times New Roman" w:hAnsi="Times New Roman" w:cs="Times New Roman"/>
          <w:noProof/>
        </w:rPr>
        <w:t xml:space="preserve"> 36(2–3):189–216. </w:t>
      </w:r>
    </w:p>
    <w:p w14:paraId="4705F7F6" w14:textId="4E59C3CD" w:rsidR="000A406E" w:rsidRPr="000A406E" w:rsidRDefault="00B51F09" w:rsidP="000A406E">
      <w:pPr>
        <w:widowControl w:val="0"/>
        <w:autoSpaceDE w:val="0"/>
        <w:autoSpaceDN w:val="0"/>
        <w:adjustRightInd w:val="0"/>
        <w:spacing w:line="360" w:lineRule="auto"/>
        <w:ind w:left="480" w:hanging="480"/>
        <w:rPr>
          <w:rFonts w:ascii="Times New Roman" w:eastAsia="Times New Roman" w:hAnsi="Times New Roman" w:cs="Times New Roman"/>
          <w:noProof/>
        </w:rPr>
      </w:pPr>
      <w:r>
        <w:rPr>
          <w:rFonts w:ascii="Times New Roman" w:eastAsia="Times New Roman" w:hAnsi="Times New Roman" w:cs="Times New Roman"/>
          <w:noProof/>
        </w:rPr>
        <w:t>Bennett, T.</w:t>
      </w:r>
      <w:r w:rsidRPr="00BC2286">
        <w:rPr>
          <w:rFonts w:ascii="Times New Roman" w:eastAsia="Times New Roman" w:hAnsi="Times New Roman" w:cs="Times New Roman"/>
          <w:noProof/>
        </w:rPr>
        <w:t>, Savage, M., Silva, E. B., Warde, A., Gayo-Cal, M</w:t>
      </w:r>
      <w:r>
        <w:rPr>
          <w:rFonts w:ascii="Times New Roman" w:eastAsia="Times New Roman" w:hAnsi="Times New Roman" w:cs="Times New Roman"/>
          <w:noProof/>
        </w:rPr>
        <w:t>. and Wright, D</w:t>
      </w:r>
      <w:r w:rsidRPr="00F31A22">
        <w:rPr>
          <w:rFonts w:ascii="Times New Roman" w:eastAsia="Times New Roman" w:hAnsi="Times New Roman" w:cs="Times New Roman"/>
          <w:noProof/>
        </w:rPr>
        <w:t>.</w:t>
      </w:r>
      <w:r w:rsidR="000A406E" w:rsidRPr="000A406E">
        <w:rPr>
          <w:rFonts w:ascii="Times New Roman" w:eastAsia="Times New Roman" w:hAnsi="Times New Roman" w:cs="Times New Roman"/>
          <w:noProof/>
        </w:rPr>
        <w:t xml:space="preserve"> 2009. </w:t>
      </w:r>
      <w:r w:rsidR="000A406E" w:rsidRPr="000A406E">
        <w:rPr>
          <w:rFonts w:ascii="Times New Roman" w:eastAsia="Times New Roman" w:hAnsi="Times New Roman" w:cs="Times New Roman"/>
          <w:i/>
          <w:iCs/>
          <w:noProof/>
        </w:rPr>
        <w:t>Culture, Class, Distinction</w:t>
      </w:r>
      <w:r w:rsidR="000A406E" w:rsidRPr="000A406E">
        <w:rPr>
          <w:rFonts w:ascii="Times New Roman" w:eastAsia="Times New Roman" w:hAnsi="Times New Roman" w:cs="Times New Roman"/>
          <w:noProof/>
        </w:rPr>
        <w:t>. London: Routledge.</w:t>
      </w:r>
    </w:p>
    <w:p w14:paraId="4B066791" w14:textId="77777777" w:rsidR="000A406E" w:rsidRPr="000A406E" w:rsidRDefault="000A406E" w:rsidP="000A406E">
      <w:pPr>
        <w:widowControl w:val="0"/>
        <w:autoSpaceDE w:val="0"/>
        <w:autoSpaceDN w:val="0"/>
        <w:adjustRightInd w:val="0"/>
        <w:spacing w:line="360" w:lineRule="auto"/>
        <w:ind w:left="480" w:hanging="480"/>
        <w:rPr>
          <w:rFonts w:ascii="Times New Roman" w:eastAsia="Times New Roman" w:hAnsi="Times New Roman" w:cs="Times New Roman"/>
          <w:noProof/>
        </w:rPr>
      </w:pPr>
      <w:r w:rsidRPr="000A406E">
        <w:rPr>
          <w:rFonts w:ascii="Times New Roman" w:eastAsia="Times New Roman" w:hAnsi="Times New Roman" w:cs="Times New Roman"/>
          <w:noProof/>
        </w:rPr>
        <w:t xml:space="preserve">Callier, L., and L. Hanquinet. 2012. “Étude Approfondie Des Pratiques et Consommation Culturelles de La Population En Fédération Wallonie- Bruxelles.” </w:t>
      </w:r>
      <w:r w:rsidRPr="000A406E">
        <w:rPr>
          <w:rFonts w:ascii="Times New Roman" w:eastAsia="Times New Roman" w:hAnsi="Times New Roman" w:cs="Times New Roman"/>
          <w:i/>
          <w:iCs/>
          <w:noProof/>
        </w:rPr>
        <w:t>Observatoire des Politiques Culturelles- Etudes</w:t>
      </w:r>
      <w:r w:rsidRPr="000A406E">
        <w:rPr>
          <w:rFonts w:ascii="Times New Roman" w:eastAsia="Times New Roman" w:hAnsi="Times New Roman" w:cs="Times New Roman"/>
          <w:noProof/>
        </w:rPr>
        <w:t xml:space="preserve"> 1.</w:t>
      </w:r>
    </w:p>
    <w:p w14:paraId="4FBFFF4A" w14:textId="4D241911" w:rsidR="000A406E" w:rsidRPr="000A406E" w:rsidRDefault="00B51F09" w:rsidP="000A406E">
      <w:pPr>
        <w:widowControl w:val="0"/>
        <w:autoSpaceDE w:val="0"/>
        <w:autoSpaceDN w:val="0"/>
        <w:adjustRightInd w:val="0"/>
        <w:spacing w:line="360" w:lineRule="auto"/>
        <w:ind w:left="480" w:hanging="480"/>
        <w:rPr>
          <w:rFonts w:ascii="Times New Roman" w:eastAsia="Times New Roman" w:hAnsi="Times New Roman" w:cs="Times New Roman"/>
          <w:noProof/>
        </w:rPr>
      </w:pPr>
      <w:r>
        <w:rPr>
          <w:rFonts w:ascii="Times New Roman" w:eastAsia="Times New Roman" w:hAnsi="Times New Roman" w:cs="Times New Roman"/>
          <w:noProof/>
        </w:rPr>
        <w:t>Chan, T.W</w:t>
      </w:r>
      <w:r w:rsidR="000A406E" w:rsidRPr="000A406E">
        <w:rPr>
          <w:rFonts w:ascii="Times New Roman" w:eastAsia="Times New Roman" w:hAnsi="Times New Roman" w:cs="Times New Roman"/>
          <w:noProof/>
        </w:rPr>
        <w:t>, and J</w:t>
      </w:r>
      <w:r>
        <w:rPr>
          <w:rFonts w:ascii="Times New Roman" w:eastAsia="Times New Roman" w:hAnsi="Times New Roman" w:cs="Times New Roman"/>
          <w:noProof/>
        </w:rPr>
        <w:t>.</w:t>
      </w:r>
      <w:r w:rsidR="000A406E" w:rsidRPr="000A406E">
        <w:rPr>
          <w:rFonts w:ascii="Times New Roman" w:eastAsia="Times New Roman" w:hAnsi="Times New Roman" w:cs="Times New Roman"/>
          <w:noProof/>
        </w:rPr>
        <w:t xml:space="preserve">H. Goldthorpe. 2005. “The Social Stratification of Theatre , Dance and Cinema Attendance.” </w:t>
      </w:r>
      <w:r w:rsidR="000A406E" w:rsidRPr="000A406E">
        <w:rPr>
          <w:rFonts w:ascii="Times New Roman" w:eastAsia="Times New Roman" w:hAnsi="Times New Roman" w:cs="Times New Roman"/>
          <w:i/>
          <w:iCs/>
          <w:noProof/>
        </w:rPr>
        <w:t>Cultural Trends</w:t>
      </w:r>
      <w:r w:rsidR="000A406E" w:rsidRPr="000A406E">
        <w:rPr>
          <w:rFonts w:ascii="Times New Roman" w:eastAsia="Times New Roman" w:hAnsi="Times New Roman" w:cs="Times New Roman"/>
          <w:noProof/>
        </w:rPr>
        <w:t xml:space="preserve"> 14(55):193–212.</w:t>
      </w:r>
    </w:p>
    <w:p w14:paraId="13B19D04" w14:textId="64E27D3A" w:rsidR="000A406E" w:rsidRPr="000A406E" w:rsidRDefault="000A406E" w:rsidP="000A406E">
      <w:pPr>
        <w:widowControl w:val="0"/>
        <w:autoSpaceDE w:val="0"/>
        <w:autoSpaceDN w:val="0"/>
        <w:adjustRightInd w:val="0"/>
        <w:spacing w:line="360" w:lineRule="auto"/>
        <w:ind w:left="480" w:hanging="480"/>
        <w:rPr>
          <w:rFonts w:ascii="Times New Roman" w:eastAsia="Times New Roman" w:hAnsi="Times New Roman" w:cs="Times New Roman"/>
          <w:noProof/>
        </w:rPr>
      </w:pPr>
      <w:r w:rsidRPr="000A406E">
        <w:rPr>
          <w:rFonts w:ascii="Times New Roman" w:eastAsia="Times New Roman" w:hAnsi="Times New Roman" w:cs="Times New Roman"/>
          <w:noProof/>
        </w:rPr>
        <w:t>Chan, T</w:t>
      </w:r>
      <w:r w:rsidR="00B51F09">
        <w:rPr>
          <w:rFonts w:ascii="Times New Roman" w:eastAsia="Times New Roman" w:hAnsi="Times New Roman" w:cs="Times New Roman"/>
          <w:noProof/>
        </w:rPr>
        <w:t>.W.</w:t>
      </w:r>
      <w:r w:rsidRPr="000A406E">
        <w:rPr>
          <w:rFonts w:ascii="Times New Roman" w:eastAsia="Times New Roman" w:hAnsi="Times New Roman" w:cs="Times New Roman"/>
          <w:noProof/>
        </w:rPr>
        <w:t>, and J</w:t>
      </w:r>
      <w:r w:rsidR="00B51F09">
        <w:rPr>
          <w:rFonts w:ascii="Times New Roman" w:eastAsia="Times New Roman" w:hAnsi="Times New Roman" w:cs="Times New Roman"/>
          <w:noProof/>
        </w:rPr>
        <w:t>.</w:t>
      </w:r>
      <w:r w:rsidRPr="000A406E">
        <w:rPr>
          <w:rFonts w:ascii="Times New Roman" w:eastAsia="Times New Roman" w:hAnsi="Times New Roman" w:cs="Times New Roman"/>
          <w:noProof/>
        </w:rPr>
        <w:t xml:space="preserve">H. Goldthorpe. 2007a. “Data, Methods and Interpretation in Analyses of Cultural Consumption : A Reply to Peterson and Wuggenig.” </w:t>
      </w:r>
      <w:r w:rsidRPr="000A406E">
        <w:rPr>
          <w:rFonts w:ascii="Times New Roman" w:eastAsia="Times New Roman" w:hAnsi="Times New Roman" w:cs="Times New Roman"/>
          <w:i/>
          <w:iCs/>
          <w:noProof/>
        </w:rPr>
        <w:t>Poetics</w:t>
      </w:r>
      <w:r w:rsidRPr="000A406E">
        <w:rPr>
          <w:rFonts w:ascii="Times New Roman" w:eastAsia="Times New Roman" w:hAnsi="Times New Roman" w:cs="Times New Roman"/>
          <w:noProof/>
        </w:rPr>
        <w:t xml:space="preserve"> 35:317–29.</w:t>
      </w:r>
    </w:p>
    <w:p w14:paraId="1FE161D8" w14:textId="07DFBC5F" w:rsidR="000A406E" w:rsidRPr="000A406E" w:rsidRDefault="000A406E" w:rsidP="000A406E">
      <w:pPr>
        <w:widowControl w:val="0"/>
        <w:autoSpaceDE w:val="0"/>
        <w:autoSpaceDN w:val="0"/>
        <w:adjustRightInd w:val="0"/>
        <w:spacing w:line="360" w:lineRule="auto"/>
        <w:ind w:left="480" w:hanging="480"/>
        <w:rPr>
          <w:rFonts w:ascii="Times New Roman" w:eastAsia="Times New Roman" w:hAnsi="Times New Roman" w:cs="Times New Roman"/>
          <w:noProof/>
        </w:rPr>
      </w:pPr>
      <w:r w:rsidRPr="000A406E">
        <w:rPr>
          <w:rFonts w:ascii="Times New Roman" w:eastAsia="Times New Roman" w:hAnsi="Times New Roman" w:cs="Times New Roman"/>
          <w:noProof/>
        </w:rPr>
        <w:t>Chan, T</w:t>
      </w:r>
      <w:r w:rsidR="00B51F09">
        <w:rPr>
          <w:rFonts w:ascii="Times New Roman" w:eastAsia="Times New Roman" w:hAnsi="Times New Roman" w:cs="Times New Roman"/>
          <w:noProof/>
        </w:rPr>
        <w:t>.</w:t>
      </w:r>
      <w:r w:rsidRPr="000A406E">
        <w:rPr>
          <w:rFonts w:ascii="Times New Roman" w:eastAsia="Times New Roman" w:hAnsi="Times New Roman" w:cs="Times New Roman"/>
          <w:noProof/>
        </w:rPr>
        <w:t>W</w:t>
      </w:r>
      <w:r w:rsidR="00B51F09">
        <w:rPr>
          <w:rFonts w:ascii="Times New Roman" w:eastAsia="Times New Roman" w:hAnsi="Times New Roman" w:cs="Times New Roman"/>
          <w:noProof/>
        </w:rPr>
        <w:t>.</w:t>
      </w:r>
      <w:r w:rsidRPr="000A406E">
        <w:rPr>
          <w:rFonts w:ascii="Times New Roman" w:eastAsia="Times New Roman" w:hAnsi="Times New Roman" w:cs="Times New Roman"/>
          <w:noProof/>
        </w:rPr>
        <w:t>, and J</w:t>
      </w:r>
      <w:r w:rsidR="00B51F09">
        <w:rPr>
          <w:rFonts w:ascii="Times New Roman" w:eastAsia="Times New Roman" w:hAnsi="Times New Roman" w:cs="Times New Roman"/>
          <w:noProof/>
        </w:rPr>
        <w:t>.</w:t>
      </w:r>
      <w:r w:rsidRPr="000A406E">
        <w:rPr>
          <w:rFonts w:ascii="Times New Roman" w:eastAsia="Times New Roman" w:hAnsi="Times New Roman" w:cs="Times New Roman"/>
          <w:noProof/>
        </w:rPr>
        <w:t xml:space="preserve">H. Goldthorpe. 2007b. “Social Stratification and Cultural Consumption: Music in England.” </w:t>
      </w:r>
      <w:r w:rsidRPr="000A406E">
        <w:rPr>
          <w:rFonts w:ascii="Times New Roman" w:eastAsia="Times New Roman" w:hAnsi="Times New Roman" w:cs="Times New Roman"/>
          <w:i/>
          <w:iCs/>
          <w:noProof/>
        </w:rPr>
        <w:t>European Sociological Review</w:t>
      </w:r>
      <w:r w:rsidRPr="000A406E">
        <w:rPr>
          <w:rFonts w:ascii="Times New Roman" w:eastAsia="Times New Roman" w:hAnsi="Times New Roman" w:cs="Times New Roman"/>
          <w:noProof/>
        </w:rPr>
        <w:t xml:space="preserve"> 23(1):1–19.</w:t>
      </w:r>
    </w:p>
    <w:p w14:paraId="24736892" w14:textId="1A0B6CE0" w:rsidR="000A406E" w:rsidRPr="000A406E" w:rsidRDefault="000A406E" w:rsidP="000A406E">
      <w:pPr>
        <w:widowControl w:val="0"/>
        <w:autoSpaceDE w:val="0"/>
        <w:autoSpaceDN w:val="0"/>
        <w:adjustRightInd w:val="0"/>
        <w:spacing w:line="360" w:lineRule="auto"/>
        <w:ind w:left="480" w:hanging="480"/>
        <w:rPr>
          <w:rFonts w:ascii="Times New Roman" w:eastAsia="Times New Roman" w:hAnsi="Times New Roman" w:cs="Times New Roman"/>
          <w:noProof/>
        </w:rPr>
      </w:pPr>
      <w:r w:rsidRPr="000A406E">
        <w:rPr>
          <w:rFonts w:ascii="Times New Roman" w:eastAsia="Times New Roman" w:hAnsi="Times New Roman" w:cs="Times New Roman"/>
          <w:noProof/>
        </w:rPr>
        <w:t>Chan, T</w:t>
      </w:r>
      <w:r w:rsidR="00B51F09">
        <w:rPr>
          <w:rFonts w:ascii="Times New Roman" w:eastAsia="Times New Roman" w:hAnsi="Times New Roman" w:cs="Times New Roman"/>
          <w:noProof/>
        </w:rPr>
        <w:t>.W., and J.</w:t>
      </w:r>
      <w:r w:rsidRPr="000A406E">
        <w:rPr>
          <w:rFonts w:ascii="Times New Roman" w:eastAsia="Times New Roman" w:hAnsi="Times New Roman" w:cs="Times New Roman"/>
          <w:noProof/>
        </w:rPr>
        <w:t xml:space="preserve">H. Goldthorpe. 2007c. “Social Stratification and Cultural Consumption: The Visual Arts in England.” </w:t>
      </w:r>
      <w:r w:rsidRPr="000A406E">
        <w:rPr>
          <w:rFonts w:ascii="Times New Roman" w:eastAsia="Times New Roman" w:hAnsi="Times New Roman" w:cs="Times New Roman"/>
          <w:i/>
          <w:iCs/>
          <w:noProof/>
        </w:rPr>
        <w:t>Poetics</w:t>
      </w:r>
      <w:r w:rsidRPr="000A406E">
        <w:rPr>
          <w:rFonts w:ascii="Times New Roman" w:eastAsia="Times New Roman" w:hAnsi="Times New Roman" w:cs="Times New Roman"/>
          <w:noProof/>
        </w:rPr>
        <w:t xml:space="preserve"> 35(2–3):168–90. </w:t>
      </w:r>
    </w:p>
    <w:p w14:paraId="7A7F7F5A" w14:textId="45E5C698" w:rsidR="000A406E" w:rsidRPr="000A406E" w:rsidRDefault="000A406E" w:rsidP="000A406E">
      <w:pPr>
        <w:widowControl w:val="0"/>
        <w:autoSpaceDE w:val="0"/>
        <w:autoSpaceDN w:val="0"/>
        <w:adjustRightInd w:val="0"/>
        <w:spacing w:line="360" w:lineRule="auto"/>
        <w:ind w:left="480" w:hanging="480"/>
        <w:rPr>
          <w:rFonts w:ascii="Times New Roman" w:eastAsia="Times New Roman" w:hAnsi="Times New Roman" w:cs="Times New Roman"/>
          <w:noProof/>
        </w:rPr>
      </w:pPr>
      <w:r w:rsidRPr="000A406E">
        <w:rPr>
          <w:rFonts w:ascii="Times New Roman" w:eastAsia="Times New Roman" w:hAnsi="Times New Roman" w:cs="Times New Roman"/>
          <w:noProof/>
        </w:rPr>
        <w:t xml:space="preserve">DiMaggio, P., and T. Mukhtar. 2004. “Arts Participation as Cultural Capital in the United States, 1982–2002: Signs of Decline?” </w:t>
      </w:r>
      <w:r w:rsidRPr="000A406E">
        <w:rPr>
          <w:rFonts w:ascii="Times New Roman" w:eastAsia="Times New Roman" w:hAnsi="Times New Roman" w:cs="Times New Roman"/>
          <w:i/>
          <w:iCs/>
          <w:noProof/>
        </w:rPr>
        <w:t>Poetics</w:t>
      </w:r>
      <w:r w:rsidRPr="000A406E">
        <w:rPr>
          <w:rFonts w:ascii="Times New Roman" w:eastAsia="Times New Roman" w:hAnsi="Times New Roman" w:cs="Times New Roman"/>
          <w:noProof/>
        </w:rPr>
        <w:t xml:space="preserve"> 32(2):169–94. </w:t>
      </w:r>
    </w:p>
    <w:p w14:paraId="0845A97E" w14:textId="4776B6C0" w:rsidR="000A406E" w:rsidRPr="000A406E" w:rsidRDefault="000A406E" w:rsidP="000A406E">
      <w:pPr>
        <w:widowControl w:val="0"/>
        <w:autoSpaceDE w:val="0"/>
        <w:autoSpaceDN w:val="0"/>
        <w:adjustRightInd w:val="0"/>
        <w:spacing w:line="360" w:lineRule="auto"/>
        <w:ind w:left="480" w:hanging="480"/>
        <w:rPr>
          <w:rFonts w:ascii="Times New Roman" w:eastAsia="Times New Roman" w:hAnsi="Times New Roman" w:cs="Times New Roman"/>
          <w:noProof/>
        </w:rPr>
      </w:pPr>
      <w:r w:rsidRPr="000A406E">
        <w:rPr>
          <w:rFonts w:ascii="Times New Roman" w:eastAsia="Times New Roman" w:hAnsi="Times New Roman" w:cs="Times New Roman"/>
          <w:noProof/>
        </w:rPr>
        <w:t>Fridman, V</w:t>
      </w:r>
      <w:r w:rsidR="00B51F09">
        <w:rPr>
          <w:rFonts w:ascii="Times New Roman" w:eastAsia="Times New Roman" w:hAnsi="Times New Roman" w:cs="Times New Roman"/>
          <w:noProof/>
        </w:rPr>
        <w:t>.</w:t>
      </w:r>
      <w:r w:rsidRPr="000A406E">
        <w:rPr>
          <w:rFonts w:ascii="Times New Roman" w:eastAsia="Times New Roman" w:hAnsi="Times New Roman" w:cs="Times New Roman"/>
          <w:noProof/>
        </w:rPr>
        <w:t>, and M</w:t>
      </w:r>
      <w:r w:rsidR="00B51F09">
        <w:rPr>
          <w:rFonts w:ascii="Times New Roman" w:eastAsia="Times New Roman" w:hAnsi="Times New Roman" w:cs="Times New Roman"/>
          <w:noProof/>
        </w:rPr>
        <w:t>.</w:t>
      </w:r>
      <w:r w:rsidRPr="000A406E">
        <w:rPr>
          <w:rFonts w:ascii="Times New Roman" w:eastAsia="Times New Roman" w:hAnsi="Times New Roman" w:cs="Times New Roman"/>
          <w:noProof/>
        </w:rPr>
        <w:t xml:space="preserve"> Ollivier. 2004. “Ouverture Ostentatoire à La Diversité et Cosmopolitisme: Vers Une Nouvelle Configuration Discursive?” </w:t>
      </w:r>
      <w:r w:rsidRPr="000A406E">
        <w:rPr>
          <w:rFonts w:ascii="Times New Roman" w:eastAsia="Times New Roman" w:hAnsi="Times New Roman" w:cs="Times New Roman"/>
          <w:i/>
          <w:iCs/>
          <w:noProof/>
        </w:rPr>
        <w:t>Sociologie et sociétés</w:t>
      </w:r>
      <w:r w:rsidRPr="000A406E">
        <w:rPr>
          <w:rFonts w:ascii="Times New Roman" w:eastAsia="Times New Roman" w:hAnsi="Times New Roman" w:cs="Times New Roman"/>
          <w:noProof/>
        </w:rPr>
        <w:t xml:space="preserve"> 36(1):105–26.</w:t>
      </w:r>
    </w:p>
    <w:p w14:paraId="7383FBBF" w14:textId="77777777" w:rsidR="000A406E" w:rsidRPr="000A406E" w:rsidRDefault="000A406E" w:rsidP="000A406E">
      <w:pPr>
        <w:widowControl w:val="0"/>
        <w:autoSpaceDE w:val="0"/>
        <w:autoSpaceDN w:val="0"/>
        <w:adjustRightInd w:val="0"/>
        <w:spacing w:line="360" w:lineRule="auto"/>
        <w:ind w:left="480" w:hanging="480"/>
        <w:rPr>
          <w:rFonts w:ascii="Times New Roman" w:eastAsia="Times New Roman" w:hAnsi="Times New Roman" w:cs="Times New Roman"/>
          <w:noProof/>
        </w:rPr>
      </w:pPr>
      <w:r w:rsidRPr="000A406E">
        <w:rPr>
          <w:rFonts w:ascii="Times New Roman" w:eastAsia="Times New Roman" w:hAnsi="Times New Roman" w:cs="Times New Roman"/>
          <w:noProof/>
        </w:rPr>
        <w:t xml:space="preserve">Friedman, S., M. Savage, L. Hanquinet, and A. Miles. 2015. “Cultural Sociology and New Forms of Distinction. Special Issue.” </w:t>
      </w:r>
      <w:r w:rsidRPr="000A406E">
        <w:rPr>
          <w:rFonts w:ascii="Times New Roman" w:eastAsia="Times New Roman" w:hAnsi="Times New Roman" w:cs="Times New Roman"/>
          <w:i/>
          <w:iCs/>
          <w:noProof/>
        </w:rPr>
        <w:t>Poetics</w:t>
      </w:r>
      <w:r w:rsidRPr="000A406E">
        <w:rPr>
          <w:rFonts w:ascii="Times New Roman" w:eastAsia="Times New Roman" w:hAnsi="Times New Roman" w:cs="Times New Roman"/>
          <w:noProof/>
        </w:rPr>
        <w:t xml:space="preserve"> 53.</w:t>
      </w:r>
    </w:p>
    <w:p w14:paraId="295DB856" w14:textId="77777777" w:rsidR="000A406E" w:rsidRPr="000A406E" w:rsidRDefault="000A406E" w:rsidP="000A406E">
      <w:pPr>
        <w:widowControl w:val="0"/>
        <w:autoSpaceDE w:val="0"/>
        <w:autoSpaceDN w:val="0"/>
        <w:adjustRightInd w:val="0"/>
        <w:spacing w:line="360" w:lineRule="auto"/>
        <w:ind w:left="480" w:hanging="480"/>
        <w:rPr>
          <w:rFonts w:ascii="Times New Roman" w:eastAsia="Times New Roman" w:hAnsi="Times New Roman" w:cs="Times New Roman"/>
          <w:noProof/>
        </w:rPr>
      </w:pPr>
      <w:r w:rsidRPr="000A406E">
        <w:rPr>
          <w:rFonts w:ascii="Times New Roman" w:eastAsia="Times New Roman" w:hAnsi="Times New Roman" w:cs="Times New Roman"/>
          <w:noProof/>
        </w:rPr>
        <w:t xml:space="preserve">Gayo, M. 2016. “A Critique of the Omnivore: From the Origin of the Idea of Omnivorousness to the Latin American Experience.” Pp. 104–15 in </w:t>
      </w:r>
      <w:r w:rsidRPr="000A406E">
        <w:rPr>
          <w:rFonts w:ascii="Times New Roman" w:eastAsia="Times New Roman" w:hAnsi="Times New Roman" w:cs="Times New Roman"/>
          <w:i/>
          <w:iCs/>
          <w:noProof/>
        </w:rPr>
        <w:t>Routledge International Handbook of the Sociology of Art and Culture</w:t>
      </w:r>
      <w:r w:rsidRPr="000A406E">
        <w:rPr>
          <w:rFonts w:ascii="Times New Roman" w:eastAsia="Times New Roman" w:hAnsi="Times New Roman" w:cs="Times New Roman"/>
          <w:noProof/>
        </w:rPr>
        <w:t>, edited by L. Hanquinet and M. Savage. Oxon: Routledge.</w:t>
      </w:r>
    </w:p>
    <w:p w14:paraId="0B758F17" w14:textId="1B009A26" w:rsidR="000A406E" w:rsidRPr="000A406E" w:rsidRDefault="000A406E" w:rsidP="000A406E">
      <w:pPr>
        <w:widowControl w:val="0"/>
        <w:autoSpaceDE w:val="0"/>
        <w:autoSpaceDN w:val="0"/>
        <w:adjustRightInd w:val="0"/>
        <w:spacing w:line="360" w:lineRule="auto"/>
        <w:ind w:left="480" w:hanging="480"/>
        <w:rPr>
          <w:rFonts w:ascii="Times New Roman" w:eastAsia="Times New Roman" w:hAnsi="Times New Roman" w:cs="Times New Roman"/>
          <w:noProof/>
        </w:rPr>
      </w:pPr>
      <w:r w:rsidRPr="000A406E">
        <w:rPr>
          <w:rFonts w:ascii="Times New Roman" w:eastAsia="Times New Roman" w:hAnsi="Times New Roman" w:cs="Times New Roman"/>
          <w:noProof/>
        </w:rPr>
        <w:t xml:space="preserve">Gilroy, P. 2006. “Multiculture in Times of War: An Inaugural Lecture given at the London School of Economics.” </w:t>
      </w:r>
      <w:r w:rsidRPr="000A406E">
        <w:rPr>
          <w:rFonts w:ascii="Times New Roman" w:eastAsia="Times New Roman" w:hAnsi="Times New Roman" w:cs="Times New Roman"/>
          <w:i/>
          <w:iCs/>
          <w:noProof/>
        </w:rPr>
        <w:t>Critical Quarterly</w:t>
      </w:r>
      <w:r w:rsidRPr="000A406E">
        <w:rPr>
          <w:rFonts w:ascii="Times New Roman" w:eastAsia="Times New Roman" w:hAnsi="Times New Roman" w:cs="Times New Roman"/>
          <w:noProof/>
        </w:rPr>
        <w:t xml:space="preserve"> 48(4):27–45. </w:t>
      </w:r>
    </w:p>
    <w:p w14:paraId="37FF22A6" w14:textId="012670FC" w:rsidR="000A406E" w:rsidRPr="000A406E" w:rsidRDefault="000A406E" w:rsidP="000A406E">
      <w:pPr>
        <w:widowControl w:val="0"/>
        <w:autoSpaceDE w:val="0"/>
        <w:autoSpaceDN w:val="0"/>
        <w:adjustRightInd w:val="0"/>
        <w:spacing w:line="360" w:lineRule="auto"/>
        <w:ind w:left="480" w:hanging="480"/>
        <w:rPr>
          <w:rFonts w:ascii="Times New Roman" w:eastAsia="Times New Roman" w:hAnsi="Times New Roman" w:cs="Times New Roman"/>
          <w:noProof/>
        </w:rPr>
      </w:pPr>
      <w:r w:rsidRPr="000A406E">
        <w:rPr>
          <w:rFonts w:ascii="Times New Roman" w:eastAsia="Times New Roman" w:hAnsi="Times New Roman" w:cs="Times New Roman"/>
          <w:noProof/>
        </w:rPr>
        <w:t xml:space="preserve">Hanquinet, L. 2013a. “Mondrian as Kitchen Tiles? Artistic and Cultural Conceptions of Art Museum Visitors in Belgium.” </w:t>
      </w:r>
      <w:r w:rsidRPr="000A406E">
        <w:rPr>
          <w:rFonts w:ascii="Times New Roman" w:eastAsia="Times New Roman" w:hAnsi="Times New Roman" w:cs="Times New Roman"/>
          <w:i/>
          <w:iCs/>
          <w:noProof/>
        </w:rPr>
        <w:t>Cultural Trends</w:t>
      </w:r>
      <w:r w:rsidRPr="000A406E">
        <w:rPr>
          <w:rFonts w:ascii="Times New Roman" w:eastAsia="Times New Roman" w:hAnsi="Times New Roman" w:cs="Times New Roman"/>
          <w:noProof/>
        </w:rPr>
        <w:t xml:space="preserve"> 22(1):14–29. </w:t>
      </w:r>
    </w:p>
    <w:p w14:paraId="51E1041C" w14:textId="77777777" w:rsidR="000A406E" w:rsidRPr="000A406E" w:rsidRDefault="000A406E" w:rsidP="000A406E">
      <w:pPr>
        <w:widowControl w:val="0"/>
        <w:autoSpaceDE w:val="0"/>
        <w:autoSpaceDN w:val="0"/>
        <w:adjustRightInd w:val="0"/>
        <w:spacing w:line="360" w:lineRule="auto"/>
        <w:ind w:left="480" w:hanging="480"/>
        <w:rPr>
          <w:rFonts w:ascii="Times New Roman" w:eastAsia="Times New Roman" w:hAnsi="Times New Roman" w:cs="Times New Roman"/>
          <w:noProof/>
        </w:rPr>
      </w:pPr>
      <w:r w:rsidRPr="000A406E">
        <w:rPr>
          <w:rFonts w:ascii="Times New Roman" w:eastAsia="Times New Roman" w:hAnsi="Times New Roman" w:cs="Times New Roman"/>
          <w:noProof/>
        </w:rPr>
        <w:t xml:space="preserve">Hanquinet, L. 2013b. “Visitors to Modern and Contemporary Art Museums Towards a New Sociology of ‘Cultural Profiles.’” </w:t>
      </w:r>
      <w:r w:rsidRPr="000A406E">
        <w:rPr>
          <w:rFonts w:ascii="Times New Roman" w:eastAsia="Times New Roman" w:hAnsi="Times New Roman" w:cs="Times New Roman"/>
          <w:i/>
          <w:iCs/>
          <w:noProof/>
        </w:rPr>
        <w:t>The Sociological Review</w:t>
      </w:r>
      <w:r w:rsidRPr="000A406E">
        <w:rPr>
          <w:rFonts w:ascii="Times New Roman" w:eastAsia="Times New Roman" w:hAnsi="Times New Roman" w:cs="Times New Roman"/>
          <w:noProof/>
        </w:rPr>
        <w:t xml:space="preserve"> 61(4):790–813.</w:t>
      </w:r>
    </w:p>
    <w:p w14:paraId="40677CCA" w14:textId="77777777" w:rsidR="000A406E" w:rsidRPr="000A406E" w:rsidRDefault="000A406E" w:rsidP="000A406E">
      <w:pPr>
        <w:widowControl w:val="0"/>
        <w:autoSpaceDE w:val="0"/>
        <w:autoSpaceDN w:val="0"/>
        <w:adjustRightInd w:val="0"/>
        <w:spacing w:line="360" w:lineRule="auto"/>
        <w:ind w:left="480" w:hanging="480"/>
        <w:rPr>
          <w:rFonts w:ascii="Times New Roman" w:eastAsia="Times New Roman" w:hAnsi="Times New Roman" w:cs="Times New Roman"/>
          <w:noProof/>
        </w:rPr>
      </w:pPr>
      <w:r w:rsidRPr="000A406E">
        <w:rPr>
          <w:rFonts w:ascii="Times New Roman" w:eastAsia="Times New Roman" w:hAnsi="Times New Roman" w:cs="Times New Roman"/>
          <w:noProof/>
        </w:rPr>
        <w:t xml:space="preserve">Hanquinet, L. 2014. </w:t>
      </w:r>
      <w:r w:rsidRPr="000A406E">
        <w:rPr>
          <w:rFonts w:ascii="Times New Roman" w:eastAsia="Times New Roman" w:hAnsi="Times New Roman" w:cs="Times New Roman"/>
          <w:i/>
          <w:iCs/>
          <w:noProof/>
        </w:rPr>
        <w:t>Du Musée Aux Pratiques Culturelles. Enquête Sur Les Publics de Musée d’art Moderne et Contemporain</w:t>
      </w:r>
      <w:r w:rsidRPr="000A406E">
        <w:rPr>
          <w:rFonts w:ascii="Times New Roman" w:eastAsia="Times New Roman" w:hAnsi="Times New Roman" w:cs="Times New Roman"/>
          <w:noProof/>
        </w:rPr>
        <w:t>. Bruxelles: Editions de l’Université de Bruxelles.</w:t>
      </w:r>
    </w:p>
    <w:p w14:paraId="5D2B2A52" w14:textId="77777777" w:rsidR="000A406E" w:rsidRPr="000A406E" w:rsidRDefault="000A406E" w:rsidP="000A406E">
      <w:pPr>
        <w:widowControl w:val="0"/>
        <w:autoSpaceDE w:val="0"/>
        <w:autoSpaceDN w:val="0"/>
        <w:adjustRightInd w:val="0"/>
        <w:spacing w:line="360" w:lineRule="auto"/>
        <w:ind w:left="480" w:hanging="480"/>
        <w:rPr>
          <w:rFonts w:ascii="Times New Roman" w:eastAsia="Times New Roman" w:hAnsi="Times New Roman" w:cs="Times New Roman"/>
          <w:noProof/>
        </w:rPr>
      </w:pPr>
      <w:r w:rsidRPr="000A406E">
        <w:rPr>
          <w:rFonts w:ascii="Times New Roman" w:eastAsia="Times New Roman" w:hAnsi="Times New Roman" w:cs="Times New Roman"/>
          <w:noProof/>
        </w:rPr>
        <w:t xml:space="preserve">Hanquinet, L. 2017. “Exploring Dissonance and Omnivorousness: Another Look into the Rise of Eclecticism.” </w:t>
      </w:r>
      <w:r w:rsidRPr="000A406E">
        <w:rPr>
          <w:rFonts w:ascii="Times New Roman" w:eastAsia="Times New Roman" w:hAnsi="Times New Roman" w:cs="Times New Roman"/>
          <w:i/>
          <w:iCs/>
          <w:noProof/>
        </w:rPr>
        <w:t>Cultural Sociology</w:t>
      </w:r>
      <w:r w:rsidRPr="000A406E">
        <w:rPr>
          <w:rFonts w:ascii="Times New Roman" w:eastAsia="Times New Roman" w:hAnsi="Times New Roman" w:cs="Times New Roman"/>
          <w:noProof/>
        </w:rPr>
        <w:t xml:space="preserve"> 11(2):165–87.</w:t>
      </w:r>
    </w:p>
    <w:p w14:paraId="5C037CEE" w14:textId="77777777" w:rsidR="000A406E" w:rsidRPr="000A406E" w:rsidRDefault="000A406E" w:rsidP="000A406E">
      <w:pPr>
        <w:widowControl w:val="0"/>
        <w:autoSpaceDE w:val="0"/>
        <w:autoSpaceDN w:val="0"/>
        <w:adjustRightInd w:val="0"/>
        <w:spacing w:line="360" w:lineRule="auto"/>
        <w:ind w:left="480" w:hanging="480"/>
        <w:rPr>
          <w:rFonts w:ascii="Times New Roman" w:eastAsia="Times New Roman" w:hAnsi="Times New Roman" w:cs="Times New Roman"/>
          <w:noProof/>
        </w:rPr>
      </w:pPr>
      <w:r w:rsidRPr="000A406E">
        <w:rPr>
          <w:rFonts w:ascii="Times New Roman" w:eastAsia="Times New Roman" w:hAnsi="Times New Roman" w:cs="Times New Roman"/>
          <w:noProof/>
        </w:rPr>
        <w:t xml:space="preserve">Hanquinet, L. 2018. “Inequalities: When Culture Becomes a Capital.” Pp. 327–40 in </w:t>
      </w:r>
      <w:r w:rsidRPr="000A406E">
        <w:rPr>
          <w:rFonts w:ascii="Times New Roman" w:eastAsia="Times New Roman" w:hAnsi="Times New Roman" w:cs="Times New Roman"/>
          <w:i/>
          <w:iCs/>
          <w:noProof/>
        </w:rPr>
        <w:t>The Routledge Handbook of Global Cultural Policy Routledge</w:t>
      </w:r>
      <w:r w:rsidRPr="000A406E">
        <w:rPr>
          <w:rFonts w:ascii="Times New Roman" w:eastAsia="Times New Roman" w:hAnsi="Times New Roman" w:cs="Times New Roman"/>
          <w:noProof/>
        </w:rPr>
        <w:t>, edited by V. Durrer, T. Miller, and D. O’Brien. Abingdon: Routledge.</w:t>
      </w:r>
    </w:p>
    <w:p w14:paraId="0CDC9AF1" w14:textId="77777777" w:rsidR="000A406E" w:rsidRPr="000A406E" w:rsidRDefault="000A406E" w:rsidP="000A406E">
      <w:pPr>
        <w:widowControl w:val="0"/>
        <w:autoSpaceDE w:val="0"/>
        <w:autoSpaceDN w:val="0"/>
        <w:adjustRightInd w:val="0"/>
        <w:spacing w:line="360" w:lineRule="auto"/>
        <w:ind w:left="480" w:hanging="480"/>
        <w:rPr>
          <w:rFonts w:ascii="Times New Roman" w:eastAsia="Times New Roman" w:hAnsi="Times New Roman" w:cs="Times New Roman"/>
          <w:noProof/>
        </w:rPr>
      </w:pPr>
      <w:r w:rsidRPr="000A406E">
        <w:rPr>
          <w:rFonts w:ascii="Times New Roman" w:eastAsia="Times New Roman" w:hAnsi="Times New Roman" w:cs="Times New Roman"/>
          <w:noProof/>
        </w:rPr>
        <w:t xml:space="preserve">Lahire, B. 2006. </w:t>
      </w:r>
      <w:r w:rsidRPr="000A406E">
        <w:rPr>
          <w:rFonts w:ascii="Times New Roman" w:eastAsia="Times New Roman" w:hAnsi="Times New Roman" w:cs="Times New Roman"/>
          <w:i/>
          <w:iCs/>
          <w:noProof/>
        </w:rPr>
        <w:t>La Culture Des Individus. Dissonances Culturelles et Distinction de Soi</w:t>
      </w:r>
      <w:r w:rsidRPr="000A406E">
        <w:rPr>
          <w:rFonts w:ascii="Times New Roman" w:eastAsia="Times New Roman" w:hAnsi="Times New Roman" w:cs="Times New Roman"/>
          <w:noProof/>
        </w:rPr>
        <w:t>. Paris: La découverte.</w:t>
      </w:r>
    </w:p>
    <w:p w14:paraId="0630D949" w14:textId="3AC92A78" w:rsidR="000A406E" w:rsidRPr="000A406E" w:rsidRDefault="000A406E" w:rsidP="000A406E">
      <w:pPr>
        <w:widowControl w:val="0"/>
        <w:autoSpaceDE w:val="0"/>
        <w:autoSpaceDN w:val="0"/>
        <w:adjustRightInd w:val="0"/>
        <w:spacing w:line="360" w:lineRule="auto"/>
        <w:ind w:left="480" w:hanging="480"/>
        <w:rPr>
          <w:rFonts w:ascii="Times New Roman" w:eastAsia="Times New Roman" w:hAnsi="Times New Roman" w:cs="Times New Roman"/>
          <w:noProof/>
        </w:rPr>
      </w:pPr>
      <w:r w:rsidRPr="000A406E">
        <w:rPr>
          <w:rFonts w:ascii="Times New Roman" w:eastAsia="Times New Roman" w:hAnsi="Times New Roman" w:cs="Times New Roman"/>
          <w:noProof/>
        </w:rPr>
        <w:t xml:space="preserve">Lahire, Bernard. 2008. “The Individual and the Mixing of Genres: Cultural Dissonance and Self-Distinction.” </w:t>
      </w:r>
      <w:r w:rsidRPr="000A406E">
        <w:rPr>
          <w:rFonts w:ascii="Times New Roman" w:eastAsia="Times New Roman" w:hAnsi="Times New Roman" w:cs="Times New Roman"/>
          <w:i/>
          <w:iCs/>
          <w:noProof/>
        </w:rPr>
        <w:t>Poetics</w:t>
      </w:r>
      <w:r w:rsidRPr="000A406E">
        <w:rPr>
          <w:rFonts w:ascii="Times New Roman" w:eastAsia="Times New Roman" w:hAnsi="Times New Roman" w:cs="Times New Roman"/>
          <w:noProof/>
        </w:rPr>
        <w:t xml:space="preserve"> 36(2–3):166–88. </w:t>
      </w:r>
    </w:p>
    <w:p w14:paraId="1B0C6ECF" w14:textId="461042A7" w:rsidR="000A406E" w:rsidRPr="000A406E" w:rsidRDefault="000A406E" w:rsidP="000A406E">
      <w:pPr>
        <w:widowControl w:val="0"/>
        <w:autoSpaceDE w:val="0"/>
        <w:autoSpaceDN w:val="0"/>
        <w:adjustRightInd w:val="0"/>
        <w:spacing w:line="360" w:lineRule="auto"/>
        <w:ind w:left="480" w:hanging="480"/>
        <w:rPr>
          <w:rFonts w:ascii="Times New Roman" w:eastAsia="Times New Roman" w:hAnsi="Times New Roman" w:cs="Times New Roman"/>
          <w:noProof/>
        </w:rPr>
      </w:pPr>
      <w:r w:rsidRPr="000A406E">
        <w:rPr>
          <w:rFonts w:ascii="Times New Roman" w:eastAsia="Times New Roman" w:hAnsi="Times New Roman" w:cs="Times New Roman"/>
          <w:noProof/>
        </w:rPr>
        <w:t>Lamont, M</w:t>
      </w:r>
      <w:r w:rsidR="00B51F09">
        <w:rPr>
          <w:rFonts w:ascii="Times New Roman" w:eastAsia="Times New Roman" w:hAnsi="Times New Roman" w:cs="Times New Roman"/>
          <w:noProof/>
        </w:rPr>
        <w:t>.</w:t>
      </w:r>
      <w:r w:rsidRPr="000A406E">
        <w:rPr>
          <w:rFonts w:ascii="Times New Roman" w:eastAsia="Times New Roman" w:hAnsi="Times New Roman" w:cs="Times New Roman"/>
          <w:noProof/>
        </w:rPr>
        <w:t>, and V</w:t>
      </w:r>
      <w:r w:rsidR="00B51F09">
        <w:rPr>
          <w:rFonts w:ascii="Times New Roman" w:eastAsia="Times New Roman" w:hAnsi="Times New Roman" w:cs="Times New Roman"/>
          <w:noProof/>
        </w:rPr>
        <w:t>.</w:t>
      </w:r>
      <w:r w:rsidRPr="000A406E">
        <w:rPr>
          <w:rFonts w:ascii="Times New Roman" w:eastAsia="Times New Roman" w:hAnsi="Times New Roman" w:cs="Times New Roman"/>
          <w:noProof/>
        </w:rPr>
        <w:t xml:space="preserve"> Molnár. 2002. “The Study of Boundaries in the Social Sciences.” </w:t>
      </w:r>
      <w:r w:rsidRPr="000A406E">
        <w:rPr>
          <w:rFonts w:ascii="Times New Roman" w:eastAsia="Times New Roman" w:hAnsi="Times New Roman" w:cs="Times New Roman"/>
          <w:i/>
          <w:iCs/>
          <w:noProof/>
        </w:rPr>
        <w:t>Annual Review of Sociology</w:t>
      </w:r>
      <w:r w:rsidRPr="000A406E">
        <w:rPr>
          <w:rFonts w:ascii="Times New Roman" w:eastAsia="Times New Roman" w:hAnsi="Times New Roman" w:cs="Times New Roman"/>
          <w:noProof/>
        </w:rPr>
        <w:t xml:space="preserve"> 28(1):167–95. </w:t>
      </w:r>
    </w:p>
    <w:p w14:paraId="4703B1E6" w14:textId="087B774B" w:rsidR="000A406E" w:rsidRPr="000A406E" w:rsidRDefault="000A406E" w:rsidP="000A406E">
      <w:pPr>
        <w:widowControl w:val="0"/>
        <w:autoSpaceDE w:val="0"/>
        <w:autoSpaceDN w:val="0"/>
        <w:adjustRightInd w:val="0"/>
        <w:spacing w:line="360" w:lineRule="auto"/>
        <w:ind w:left="480" w:hanging="480"/>
        <w:rPr>
          <w:rFonts w:ascii="Times New Roman" w:eastAsia="Times New Roman" w:hAnsi="Times New Roman" w:cs="Times New Roman"/>
          <w:noProof/>
        </w:rPr>
      </w:pPr>
      <w:r w:rsidRPr="000A406E">
        <w:rPr>
          <w:rFonts w:ascii="Times New Roman" w:eastAsia="Times New Roman" w:hAnsi="Times New Roman" w:cs="Times New Roman"/>
          <w:noProof/>
        </w:rPr>
        <w:t>Lizardo, O</w:t>
      </w:r>
      <w:r w:rsidR="00B51F09">
        <w:rPr>
          <w:rFonts w:ascii="Times New Roman" w:eastAsia="Times New Roman" w:hAnsi="Times New Roman" w:cs="Times New Roman"/>
          <w:noProof/>
        </w:rPr>
        <w:t>.</w:t>
      </w:r>
      <w:r w:rsidRPr="000A406E">
        <w:rPr>
          <w:rFonts w:ascii="Times New Roman" w:eastAsia="Times New Roman" w:hAnsi="Times New Roman" w:cs="Times New Roman"/>
          <w:noProof/>
        </w:rPr>
        <w:t>, and S</w:t>
      </w:r>
      <w:r w:rsidR="00B51F09">
        <w:rPr>
          <w:rFonts w:ascii="Times New Roman" w:eastAsia="Times New Roman" w:hAnsi="Times New Roman" w:cs="Times New Roman"/>
          <w:noProof/>
        </w:rPr>
        <w:t>.</w:t>
      </w:r>
      <w:r w:rsidRPr="000A406E">
        <w:rPr>
          <w:rFonts w:ascii="Times New Roman" w:eastAsia="Times New Roman" w:hAnsi="Times New Roman" w:cs="Times New Roman"/>
          <w:noProof/>
        </w:rPr>
        <w:t xml:space="preserve"> Skiles. 2012. “Reconceptualizing and Theorizing ‘Omnivorousness’: Genetic and Relational Mechanisms.” </w:t>
      </w:r>
      <w:r w:rsidRPr="000A406E">
        <w:rPr>
          <w:rFonts w:ascii="Times New Roman" w:eastAsia="Times New Roman" w:hAnsi="Times New Roman" w:cs="Times New Roman"/>
          <w:i/>
          <w:iCs/>
          <w:noProof/>
        </w:rPr>
        <w:t>Sociological Theory</w:t>
      </w:r>
      <w:r w:rsidRPr="000A406E">
        <w:rPr>
          <w:rFonts w:ascii="Times New Roman" w:eastAsia="Times New Roman" w:hAnsi="Times New Roman" w:cs="Times New Roman"/>
          <w:noProof/>
        </w:rPr>
        <w:t xml:space="preserve"> 30(4):263–82. </w:t>
      </w:r>
    </w:p>
    <w:p w14:paraId="73CC8EF5" w14:textId="77777777" w:rsidR="000A406E" w:rsidRPr="000A406E" w:rsidRDefault="000A406E" w:rsidP="000A406E">
      <w:pPr>
        <w:widowControl w:val="0"/>
        <w:autoSpaceDE w:val="0"/>
        <w:autoSpaceDN w:val="0"/>
        <w:adjustRightInd w:val="0"/>
        <w:spacing w:line="360" w:lineRule="auto"/>
        <w:ind w:left="480" w:hanging="480"/>
        <w:rPr>
          <w:rFonts w:ascii="Times New Roman" w:eastAsia="Times New Roman" w:hAnsi="Times New Roman" w:cs="Times New Roman"/>
          <w:noProof/>
        </w:rPr>
      </w:pPr>
      <w:r w:rsidRPr="000A406E">
        <w:rPr>
          <w:rFonts w:ascii="Times New Roman" w:eastAsia="Times New Roman" w:hAnsi="Times New Roman" w:cs="Times New Roman"/>
          <w:noProof/>
        </w:rPr>
        <w:t xml:space="preserve">López-Sintas, J., and E. Garcia-Álvarez. 2002. “Omnivores Show up Again. The Segmentation of Cultural Consumers in Spanish Social Space.” </w:t>
      </w:r>
      <w:r w:rsidRPr="000A406E">
        <w:rPr>
          <w:rFonts w:ascii="Times New Roman" w:eastAsia="Times New Roman" w:hAnsi="Times New Roman" w:cs="Times New Roman"/>
          <w:i/>
          <w:iCs/>
          <w:noProof/>
        </w:rPr>
        <w:t>European Sociological Review</w:t>
      </w:r>
      <w:r w:rsidRPr="000A406E">
        <w:rPr>
          <w:rFonts w:ascii="Times New Roman" w:eastAsia="Times New Roman" w:hAnsi="Times New Roman" w:cs="Times New Roman"/>
          <w:noProof/>
        </w:rPr>
        <w:t xml:space="preserve"> 18(3):353–68.</w:t>
      </w:r>
    </w:p>
    <w:p w14:paraId="09953502" w14:textId="039C3DDC" w:rsidR="000A406E" w:rsidRPr="000A406E" w:rsidRDefault="000A406E" w:rsidP="000A406E">
      <w:pPr>
        <w:widowControl w:val="0"/>
        <w:autoSpaceDE w:val="0"/>
        <w:autoSpaceDN w:val="0"/>
        <w:adjustRightInd w:val="0"/>
        <w:spacing w:line="360" w:lineRule="auto"/>
        <w:ind w:left="480" w:hanging="480"/>
        <w:rPr>
          <w:rFonts w:ascii="Times New Roman" w:eastAsia="Times New Roman" w:hAnsi="Times New Roman" w:cs="Times New Roman"/>
          <w:noProof/>
        </w:rPr>
      </w:pPr>
      <w:r w:rsidRPr="000A406E">
        <w:rPr>
          <w:rFonts w:ascii="Times New Roman" w:eastAsia="Times New Roman" w:hAnsi="Times New Roman" w:cs="Times New Roman"/>
          <w:noProof/>
        </w:rPr>
        <w:t xml:space="preserve">Ollivier, M. 2008. “Modes of Openness to Cultural Diversity: Humanist, Populist, Practical, and Indifferent.” </w:t>
      </w:r>
      <w:r w:rsidRPr="000A406E">
        <w:rPr>
          <w:rFonts w:ascii="Times New Roman" w:eastAsia="Times New Roman" w:hAnsi="Times New Roman" w:cs="Times New Roman"/>
          <w:i/>
          <w:iCs/>
          <w:noProof/>
        </w:rPr>
        <w:t>Poetics</w:t>
      </w:r>
      <w:r w:rsidRPr="000A406E">
        <w:rPr>
          <w:rFonts w:ascii="Times New Roman" w:eastAsia="Times New Roman" w:hAnsi="Times New Roman" w:cs="Times New Roman"/>
          <w:noProof/>
        </w:rPr>
        <w:t xml:space="preserve"> 36(2–3):120–47.</w:t>
      </w:r>
    </w:p>
    <w:p w14:paraId="3C1F45B3" w14:textId="2DF7E442" w:rsidR="000A406E" w:rsidRPr="000A406E" w:rsidRDefault="000A406E" w:rsidP="000A406E">
      <w:pPr>
        <w:widowControl w:val="0"/>
        <w:autoSpaceDE w:val="0"/>
        <w:autoSpaceDN w:val="0"/>
        <w:adjustRightInd w:val="0"/>
        <w:spacing w:line="360" w:lineRule="auto"/>
        <w:ind w:left="480" w:hanging="480"/>
        <w:rPr>
          <w:rFonts w:ascii="Times New Roman" w:eastAsia="Times New Roman" w:hAnsi="Times New Roman" w:cs="Times New Roman"/>
          <w:noProof/>
        </w:rPr>
      </w:pPr>
      <w:r w:rsidRPr="000A406E">
        <w:rPr>
          <w:rFonts w:ascii="Times New Roman" w:eastAsia="Times New Roman" w:hAnsi="Times New Roman" w:cs="Times New Roman"/>
          <w:noProof/>
        </w:rPr>
        <w:t xml:space="preserve">Peterson, R., and R. Kern. 1996. “Changing Highbrow Taste: From Snob to Omnivore.” </w:t>
      </w:r>
      <w:r w:rsidRPr="000A406E">
        <w:rPr>
          <w:rFonts w:ascii="Times New Roman" w:eastAsia="Times New Roman" w:hAnsi="Times New Roman" w:cs="Times New Roman"/>
          <w:i/>
          <w:iCs/>
          <w:noProof/>
        </w:rPr>
        <w:t>American sociological review</w:t>
      </w:r>
      <w:r w:rsidRPr="000A406E">
        <w:rPr>
          <w:rFonts w:ascii="Times New Roman" w:eastAsia="Times New Roman" w:hAnsi="Times New Roman" w:cs="Times New Roman"/>
          <w:noProof/>
        </w:rPr>
        <w:t xml:space="preserve"> 61(5):900–907. </w:t>
      </w:r>
    </w:p>
    <w:p w14:paraId="16C1B1CE" w14:textId="77777777" w:rsidR="000A406E" w:rsidRPr="000A406E" w:rsidRDefault="000A406E" w:rsidP="000A406E">
      <w:pPr>
        <w:widowControl w:val="0"/>
        <w:autoSpaceDE w:val="0"/>
        <w:autoSpaceDN w:val="0"/>
        <w:adjustRightInd w:val="0"/>
        <w:spacing w:line="360" w:lineRule="auto"/>
        <w:ind w:left="480" w:hanging="480"/>
        <w:rPr>
          <w:rFonts w:ascii="Times New Roman" w:eastAsia="Times New Roman" w:hAnsi="Times New Roman" w:cs="Times New Roman"/>
          <w:noProof/>
        </w:rPr>
      </w:pPr>
      <w:r w:rsidRPr="000A406E">
        <w:rPr>
          <w:rFonts w:ascii="Times New Roman" w:eastAsia="Times New Roman" w:hAnsi="Times New Roman" w:cs="Times New Roman"/>
          <w:noProof/>
        </w:rPr>
        <w:t xml:space="preserve">Peterson, R., and A. Simkus. 1992. “How Musical Tastes Mark Occupational Status Groups.” Pp. 152–87 in </w:t>
      </w:r>
      <w:r w:rsidRPr="000A406E">
        <w:rPr>
          <w:rFonts w:ascii="Times New Roman" w:eastAsia="Times New Roman" w:hAnsi="Times New Roman" w:cs="Times New Roman"/>
          <w:i/>
          <w:iCs/>
          <w:noProof/>
        </w:rPr>
        <w:t>Cultivating Differences. Symbolic boundaries and the making of inequality</w:t>
      </w:r>
      <w:r w:rsidRPr="000A406E">
        <w:rPr>
          <w:rFonts w:ascii="Times New Roman" w:eastAsia="Times New Roman" w:hAnsi="Times New Roman" w:cs="Times New Roman"/>
          <w:noProof/>
        </w:rPr>
        <w:t>, edited by Michèle; Fournier Marcel Lamont. Chicago: The University of Chicago Press.</w:t>
      </w:r>
    </w:p>
    <w:p w14:paraId="1FCEF425" w14:textId="77777777" w:rsidR="000A406E" w:rsidRPr="000A406E" w:rsidRDefault="000A406E" w:rsidP="000A406E">
      <w:pPr>
        <w:widowControl w:val="0"/>
        <w:autoSpaceDE w:val="0"/>
        <w:autoSpaceDN w:val="0"/>
        <w:adjustRightInd w:val="0"/>
        <w:spacing w:line="360" w:lineRule="auto"/>
        <w:ind w:left="480" w:hanging="480"/>
        <w:rPr>
          <w:rFonts w:ascii="Times New Roman" w:eastAsia="Times New Roman" w:hAnsi="Times New Roman" w:cs="Times New Roman"/>
          <w:noProof/>
        </w:rPr>
      </w:pPr>
      <w:r w:rsidRPr="000A406E">
        <w:rPr>
          <w:rFonts w:ascii="Times New Roman" w:eastAsia="Times New Roman" w:hAnsi="Times New Roman" w:cs="Times New Roman"/>
          <w:noProof/>
        </w:rPr>
        <w:t>Peterson, Richard A. 2007. “Comment on Chan and Goldthorpe : Omnivore , What ’ s in a Name , What ’ s in a Measure ?” 35:301–5.</w:t>
      </w:r>
    </w:p>
    <w:p w14:paraId="6178EDC8" w14:textId="19FC90D8" w:rsidR="000A406E" w:rsidRPr="000A406E" w:rsidRDefault="000A406E" w:rsidP="000A406E">
      <w:pPr>
        <w:widowControl w:val="0"/>
        <w:autoSpaceDE w:val="0"/>
        <w:autoSpaceDN w:val="0"/>
        <w:adjustRightInd w:val="0"/>
        <w:spacing w:line="360" w:lineRule="auto"/>
        <w:ind w:left="480" w:hanging="480"/>
        <w:rPr>
          <w:rFonts w:ascii="Times New Roman" w:eastAsia="Times New Roman" w:hAnsi="Times New Roman" w:cs="Times New Roman"/>
          <w:noProof/>
        </w:rPr>
      </w:pPr>
      <w:r w:rsidRPr="000A406E">
        <w:rPr>
          <w:rFonts w:ascii="Times New Roman" w:eastAsia="Times New Roman" w:hAnsi="Times New Roman" w:cs="Times New Roman"/>
          <w:noProof/>
        </w:rPr>
        <w:t xml:space="preserve">Prieur, A., and M. Savage. 2013. “Emerging Forms of Cultural Capital.” </w:t>
      </w:r>
      <w:r w:rsidRPr="000A406E">
        <w:rPr>
          <w:rFonts w:ascii="Times New Roman" w:eastAsia="Times New Roman" w:hAnsi="Times New Roman" w:cs="Times New Roman"/>
          <w:i/>
          <w:iCs/>
          <w:noProof/>
        </w:rPr>
        <w:t>European Societies</w:t>
      </w:r>
      <w:r w:rsidRPr="000A406E">
        <w:rPr>
          <w:rFonts w:ascii="Times New Roman" w:eastAsia="Times New Roman" w:hAnsi="Times New Roman" w:cs="Times New Roman"/>
          <w:noProof/>
        </w:rPr>
        <w:t xml:space="preserve"> 15(2):246–67. </w:t>
      </w:r>
    </w:p>
    <w:p w14:paraId="7746F04A" w14:textId="094D7248" w:rsidR="000A406E" w:rsidRPr="000A406E" w:rsidRDefault="000A406E" w:rsidP="000A406E">
      <w:pPr>
        <w:widowControl w:val="0"/>
        <w:autoSpaceDE w:val="0"/>
        <w:autoSpaceDN w:val="0"/>
        <w:adjustRightInd w:val="0"/>
        <w:spacing w:line="360" w:lineRule="auto"/>
        <w:ind w:left="480" w:hanging="480"/>
        <w:rPr>
          <w:rFonts w:ascii="Times New Roman" w:eastAsia="Times New Roman" w:hAnsi="Times New Roman" w:cs="Times New Roman"/>
          <w:noProof/>
        </w:rPr>
      </w:pPr>
      <w:r w:rsidRPr="000A406E">
        <w:rPr>
          <w:rFonts w:ascii="Times New Roman" w:eastAsia="Times New Roman" w:hAnsi="Times New Roman" w:cs="Times New Roman"/>
          <w:noProof/>
        </w:rPr>
        <w:t xml:space="preserve">Rouanet, H., W. Ackermann, and B. Le Roux. 2000. “The Geometric Analysis of Questionnaires: The Lesson of Bourdieu’s La Distinction.” </w:t>
      </w:r>
      <w:r w:rsidRPr="000A406E">
        <w:rPr>
          <w:rFonts w:ascii="Times New Roman" w:eastAsia="Times New Roman" w:hAnsi="Times New Roman" w:cs="Times New Roman"/>
          <w:i/>
          <w:iCs/>
          <w:noProof/>
        </w:rPr>
        <w:t>Bulletin de Méthodologie Sociologique</w:t>
      </w:r>
      <w:r w:rsidRPr="000A406E">
        <w:rPr>
          <w:rFonts w:ascii="Times New Roman" w:eastAsia="Times New Roman" w:hAnsi="Times New Roman" w:cs="Times New Roman"/>
          <w:noProof/>
        </w:rPr>
        <w:t xml:space="preserve"> 65(1):5–18. </w:t>
      </w:r>
    </w:p>
    <w:p w14:paraId="777D3087" w14:textId="77777777" w:rsidR="000A406E" w:rsidRPr="000A406E" w:rsidRDefault="000A406E" w:rsidP="000A406E">
      <w:pPr>
        <w:widowControl w:val="0"/>
        <w:autoSpaceDE w:val="0"/>
        <w:autoSpaceDN w:val="0"/>
        <w:adjustRightInd w:val="0"/>
        <w:spacing w:line="360" w:lineRule="auto"/>
        <w:ind w:left="480" w:hanging="480"/>
        <w:rPr>
          <w:rFonts w:ascii="Times New Roman" w:eastAsia="Times New Roman" w:hAnsi="Times New Roman" w:cs="Times New Roman"/>
          <w:noProof/>
        </w:rPr>
      </w:pPr>
      <w:r w:rsidRPr="000A406E">
        <w:rPr>
          <w:rFonts w:ascii="Times New Roman" w:eastAsia="Times New Roman" w:hAnsi="Times New Roman" w:cs="Times New Roman"/>
          <w:noProof/>
        </w:rPr>
        <w:t xml:space="preserve">Le Roux, B., and H. Rouanet. 2004. </w:t>
      </w:r>
      <w:r w:rsidRPr="000A406E">
        <w:rPr>
          <w:rFonts w:ascii="Times New Roman" w:eastAsia="Times New Roman" w:hAnsi="Times New Roman" w:cs="Times New Roman"/>
          <w:i/>
          <w:iCs/>
          <w:noProof/>
        </w:rPr>
        <w:t>Geometric Data Analysis</w:t>
      </w:r>
      <w:r w:rsidRPr="000A406E">
        <w:rPr>
          <w:rFonts w:ascii="Times New Roman" w:eastAsia="Times New Roman" w:hAnsi="Times New Roman" w:cs="Times New Roman"/>
          <w:noProof/>
        </w:rPr>
        <w:t>. Dordrecht: Kluwer Academic Publishers.</w:t>
      </w:r>
    </w:p>
    <w:p w14:paraId="18BBAFBE" w14:textId="77777777" w:rsidR="000A406E" w:rsidRPr="000A406E" w:rsidRDefault="000A406E" w:rsidP="000A406E">
      <w:pPr>
        <w:widowControl w:val="0"/>
        <w:autoSpaceDE w:val="0"/>
        <w:autoSpaceDN w:val="0"/>
        <w:adjustRightInd w:val="0"/>
        <w:spacing w:line="360" w:lineRule="auto"/>
        <w:ind w:left="480" w:hanging="480"/>
        <w:rPr>
          <w:rFonts w:ascii="Times New Roman" w:eastAsia="Times New Roman" w:hAnsi="Times New Roman" w:cs="Times New Roman"/>
          <w:noProof/>
        </w:rPr>
      </w:pPr>
      <w:r w:rsidRPr="000A406E">
        <w:rPr>
          <w:rFonts w:ascii="Times New Roman" w:eastAsia="Times New Roman" w:hAnsi="Times New Roman" w:cs="Times New Roman"/>
          <w:noProof/>
        </w:rPr>
        <w:t xml:space="preserve">Savage, M. 2000. </w:t>
      </w:r>
      <w:r w:rsidRPr="000A406E">
        <w:rPr>
          <w:rFonts w:ascii="Times New Roman" w:eastAsia="Times New Roman" w:hAnsi="Times New Roman" w:cs="Times New Roman"/>
          <w:i/>
          <w:iCs/>
          <w:noProof/>
        </w:rPr>
        <w:t>Class Analysis and Social Transformation</w:t>
      </w:r>
      <w:r w:rsidRPr="000A406E">
        <w:rPr>
          <w:rFonts w:ascii="Times New Roman" w:eastAsia="Times New Roman" w:hAnsi="Times New Roman" w:cs="Times New Roman"/>
          <w:noProof/>
        </w:rPr>
        <w:t>. Maidenhead: Open University Press.</w:t>
      </w:r>
    </w:p>
    <w:p w14:paraId="7351D9DF" w14:textId="5817072E" w:rsidR="000A406E" w:rsidRPr="000A406E" w:rsidRDefault="00B51F09" w:rsidP="000A406E">
      <w:pPr>
        <w:widowControl w:val="0"/>
        <w:autoSpaceDE w:val="0"/>
        <w:autoSpaceDN w:val="0"/>
        <w:adjustRightInd w:val="0"/>
        <w:spacing w:line="360" w:lineRule="auto"/>
        <w:ind w:left="480" w:hanging="480"/>
        <w:rPr>
          <w:rFonts w:ascii="Times New Roman" w:eastAsia="Times New Roman" w:hAnsi="Times New Roman" w:cs="Times New Roman"/>
          <w:noProof/>
        </w:rPr>
      </w:pPr>
      <w:r w:rsidRPr="00F31A22">
        <w:rPr>
          <w:rFonts w:ascii="Times New Roman" w:eastAsia="Times New Roman" w:hAnsi="Times New Roman" w:cs="Times New Roman"/>
          <w:noProof/>
        </w:rPr>
        <w:t>Savage, M.</w:t>
      </w:r>
      <w:r>
        <w:rPr>
          <w:rFonts w:ascii="Times New Roman" w:eastAsia="Times New Roman" w:hAnsi="Times New Roman" w:cs="Times New Roman"/>
          <w:noProof/>
        </w:rPr>
        <w:t>,</w:t>
      </w:r>
      <w:r w:rsidRPr="00F31A22">
        <w:rPr>
          <w:rFonts w:ascii="Times New Roman" w:eastAsia="Times New Roman" w:hAnsi="Times New Roman" w:cs="Times New Roman"/>
          <w:noProof/>
        </w:rPr>
        <w:t xml:space="preserve"> </w:t>
      </w:r>
      <w:r w:rsidRPr="00BC2286">
        <w:rPr>
          <w:rFonts w:ascii="Times New Roman" w:eastAsia="Times New Roman" w:hAnsi="Times New Roman" w:cs="Times New Roman"/>
          <w:noProof/>
        </w:rPr>
        <w:t>Devine, F., Cunningham, N., Taylor, M., Li, Y., Hjellbrekke, J., Le Roux, B., Friedman, S. and Miles, A.</w:t>
      </w:r>
      <w:r w:rsidR="000A406E" w:rsidRPr="000A406E">
        <w:rPr>
          <w:rFonts w:ascii="Times New Roman" w:eastAsia="Times New Roman" w:hAnsi="Times New Roman" w:cs="Times New Roman"/>
          <w:noProof/>
        </w:rPr>
        <w:t xml:space="preserve"> 2013. “A New Model of Social Class? Findings from the BBC’s Great British Class Survey Experiment.” </w:t>
      </w:r>
      <w:r w:rsidR="000A406E" w:rsidRPr="000A406E">
        <w:rPr>
          <w:rFonts w:ascii="Times New Roman" w:eastAsia="Times New Roman" w:hAnsi="Times New Roman" w:cs="Times New Roman"/>
          <w:i/>
          <w:iCs/>
          <w:noProof/>
        </w:rPr>
        <w:t>Sociology</w:t>
      </w:r>
      <w:r w:rsidR="000A406E" w:rsidRPr="000A406E">
        <w:rPr>
          <w:rFonts w:ascii="Times New Roman" w:eastAsia="Times New Roman" w:hAnsi="Times New Roman" w:cs="Times New Roman"/>
          <w:noProof/>
        </w:rPr>
        <w:t xml:space="preserve"> 47(2):219–50. </w:t>
      </w:r>
    </w:p>
    <w:p w14:paraId="262035A7" w14:textId="77777777" w:rsidR="000A406E" w:rsidRPr="000A406E" w:rsidRDefault="000A406E" w:rsidP="000A406E">
      <w:pPr>
        <w:widowControl w:val="0"/>
        <w:autoSpaceDE w:val="0"/>
        <w:autoSpaceDN w:val="0"/>
        <w:adjustRightInd w:val="0"/>
        <w:spacing w:line="360" w:lineRule="auto"/>
        <w:ind w:left="480" w:hanging="480"/>
        <w:rPr>
          <w:rFonts w:ascii="Times New Roman" w:eastAsia="Times New Roman" w:hAnsi="Times New Roman" w:cs="Times New Roman"/>
          <w:noProof/>
        </w:rPr>
      </w:pPr>
      <w:r w:rsidRPr="000A406E">
        <w:rPr>
          <w:rFonts w:ascii="Times New Roman" w:eastAsia="Times New Roman" w:hAnsi="Times New Roman" w:cs="Times New Roman"/>
          <w:noProof/>
        </w:rPr>
        <w:t xml:space="preserve">Savage, M., M. Gayo-cal, A. Warde, and G. Tampubolon. 2005. </w:t>
      </w:r>
      <w:r w:rsidRPr="000A406E">
        <w:rPr>
          <w:rFonts w:ascii="Times New Roman" w:eastAsia="Times New Roman" w:hAnsi="Times New Roman" w:cs="Times New Roman"/>
          <w:i/>
          <w:iCs/>
          <w:noProof/>
        </w:rPr>
        <w:t>CRESC Working Paper Series Correspondence Analysis</w:t>
      </w:r>
      <w:r w:rsidRPr="000A406E">
        <w:rPr>
          <w:rFonts w:ascii="Times New Roman" w:eastAsia="Times New Roman" w:hAnsi="Times New Roman" w:cs="Times New Roman"/>
          <w:noProof/>
        </w:rPr>
        <w:t>. CRESC Working Paper Series.</w:t>
      </w:r>
    </w:p>
    <w:p w14:paraId="3CB7020A" w14:textId="7A6A4A0B" w:rsidR="000A406E" w:rsidRPr="000A406E" w:rsidRDefault="000A406E" w:rsidP="000A406E">
      <w:pPr>
        <w:widowControl w:val="0"/>
        <w:autoSpaceDE w:val="0"/>
        <w:autoSpaceDN w:val="0"/>
        <w:adjustRightInd w:val="0"/>
        <w:spacing w:line="360" w:lineRule="auto"/>
        <w:ind w:left="480" w:hanging="480"/>
        <w:rPr>
          <w:rFonts w:ascii="Times New Roman" w:hAnsi="Times New Roman" w:cs="Times New Roman"/>
          <w:noProof/>
        </w:rPr>
      </w:pPr>
      <w:r w:rsidRPr="000A406E">
        <w:rPr>
          <w:rFonts w:ascii="Times New Roman" w:eastAsia="Times New Roman" w:hAnsi="Times New Roman" w:cs="Times New Roman"/>
          <w:noProof/>
        </w:rPr>
        <w:t xml:space="preserve">Wuggenig, Ulf. 2007. “Comments on Chan and Goldthorpe: Pitfalls in Testing Bourdieu’s Homology Assumptions Using Mainstream Social Science Methodology: Social Stratification and Cultural Consumption: The Visual Arts in England.” </w:t>
      </w:r>
      <w:r w:rsidRPr="000A406E">
        <w:rPr>
          <w:rFonts w:ascii="Times New Roman" w:eastAsia="Times New Roman" w:hAnsi="Times New Roman" w:cs="Times New Roman"/>
          <w:i/>
          <w:iCs/>
          <w:noProof/>
        </w:rPr>
        <w:t>Poetics</w:t>
      </w:r>
      <w:r w:rsidRPr="000A406E">
        <w:rPr>
          <w:rFonts w:ascii="Times New Roman" w:eastAsia="Times New Roman" w:hAnsi="Times New Roman" w:cs="Times New Roman"/>
          <w:noProof/>
        </w:rPr>
        <w:t xml:space="preserve"> 35(4–5):306–16. </w:t>
      </w:r>
    </w:p>
    <w:p w14:paraId="21B970AA" w14:textId="54423581" w:rsidR="005F2817" w:rsidRPr="00791F69" w:rsidRDefault="00F31A22" w:rsidP="000A406E">
      <w:pPr>
        <w:widowControl w:val="0"/>
        <w:autoSpaceDE w:val="0"/>
        <w:autoSpaceDN w:val="0"/>
        <w:adjustRightInd w:val="0"/>
        <w:spacing w:line="360" w:lineRule="auto"/>
        <w:ind w:left="480" w:hanging="480"/>
        <w:rPr>
          <w:rFonts w:ascii="Times New Roman" w:hAnsi="Times New Roman" w:cs="Times New Roman"/>
        </w:rPr>
      </w:pPr>
      <w:r>
        <w:rPr>
          <w:rFonts w:ascii="Times New Roman" w:hAnsi="Times New Roman" w:cs="Times New Roman"/>
        </w:rPr>
        <w:fldChar w:fldCharType="end"/>
      </w:r>
    </w:p>
    <w:p w14:paraId="5F363438" w14:textId="77777777" w:rsidR="00DA1FA4" w:rsidRPr="00791F69" w:rsidRDefault="00DA1FA4" w:rsidP="00791F69">
      <w:pPr>
        <w:spacing w:line="360" w:lineRule="auto"/>
        <w:jc w:val="both"/>
        <w:rPr>
          <w:rFonts w:ascii="Times New Roman" w:hAnsi="Times New Roman" w:cs="Times New Roman"/>
        </w:rPr>
      </w:pPr>
    </w:p>
    <w:p w14:paraId="1FD53DAC" w14:textId="77777777" w:rsidR="0003633F" w:rsidRPr="00791F69" w:rsidRDefault="0003633F" w:rsidP="00791F69">
      <w:pPr>
        <w:spacing w:line="360" w:lineRule="auto"/>
        <w:rPr>
          <w:rFonts w:ascii="Times New Roman" w:hAnsi="Times New Roman" w:cs="Times New Roman"/>
        </w:rPr>
      </w:pPr>
    </w:p>
    <w:p w14:paraId="52ABC042" w14:textId="77777777" w:rsidR="0003633F" w:rsidRPr="00791F69" w:rsidRDefault="0003633F" w:rsidP="00791F69">
      <w:pPr>
        <w:spacing w:line="360" w:lineRule="auto"/>
        <w:rPr>
          <w:rFonts w:ascii="Times New Roman" w:hAnsi="Times New Roman" w:cs="Times New Roman"/>
        </w:rPr>
      </w:pPr>
    </w:p>
    <w:p w14:paraId="21FB767A" w14:textId="77777777" w:rsidR="0003633F" w:rsidRPr="00791F69" w:rsidRDefault="0003633F" w:rsidP="00791F69">
      <w:pPr>
        <w:spacing w:line="360" w:lineRule="auto"/>
        <w:rPr>
          <w:rFonts w:ascii="Times New Roman" w:hAnsi="Times New Roman" w:cs="Times New Roman"/>
        </w:rPr>
      </w:pPr>
    </w:p>
    <w:p w14:paraId="780ED2CC" w14:textId="77777777" w:rsidR="00D77710" w:rsidRPr="00791F69" w:rsidRDefault="00D77710" w:rsidP="00791F69">
      <w:pPr>
        <w:spacing w:line="360" w:lineRule="auto"/>
        <w:rPr>
          <w:rFonts w:ascii="Times New Roman" w:hAnsi="Times New Roman" w:cs="Times New Roman"/>
        </w:rPr>
      </w:pPr>
    </w:p>
    <w:p w14:paraId="09C453D8" w14:textId="77777777" w:rsidR="00253485" w:rsidRPr="00791F69" w:rsidRDefault="00253485" w:rsidP="00791F69">
      <w:pPr>
        <w:spacing w:line="360" w:lineRule="auto"/>
        <w:rPr>
          <w:rFonts w:ascii="Times New Roman" w:hAnsi="Times New Roman" w:cs="Times New Roman"/>
        </w:rPr>
      </w:pPr>
    </w:p>
    <w:p w14:paraId="0FEEF482" w14:textId="6E0D47A8" w:rsidR="00EA78D3" w:rsidRPr="00791F69" w:rsidRDefault="00EA78D3" w:rsidP="00791F69">
      <w:pPr>
        <w:spacing w:line="360" w:lineRule="auto"/>
        <w:rPr>
          <w:rFonts w:ascii="Times New Roman" w:hAnsi="Times New Roman" w:cs="Times New Roman"/>
        </w:rPr>
      </w:pPr>
      <w:r w:rsidRPr="00791F69">
        <w:rPr>
          <w:rFonts w:ascii="Times New Roman" w:hAnsi="Times New Roman" w:cs="Times New Roman"/>
        </w:rPr>
        <w:t xml:space="preserve"> </w:t>
      </w:r>
    </w:p>
    <w:sectPr w:rsidR="00EA78D3" w:rsidRPr="00791F69" w:rsidSect="005B5D00">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D5250" w14:textId="77777777" w:rsidR="00DF6A49" w:rsidRDefault="00DF6A49" w:rsidP="00931FA6">
      <w:r>
        <w:separator/>
      </w:r>
    </w:p>
  </w:endnote>
  <w:endnote w:type="continuationSeparator" w:id="0">
    <w:p w14:paraId="5C1CFF8D" w14:textId="77777777" w:rsidR="00DF6A49" w:rsidRDefault="00DF6A49" w:rsidP="0093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654FE" w14:textId="77777777" w:rsidR="00BC2286" w:rsidRDefault="00BC2286" w:rsidP="00CB6C6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42A811" w14:textId="77777777" w:rsidR="00BC2286" w:rsidRDefault="00BC2286" w:rsidP="00BC228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BDDF4" w14:textId="77777777" w:rsidR="00BC2286" w:rsidRDefault="00BC2286" w:rsidP="00CB6C6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6A49">
      <w:rPr>
        <w:rStyle w:val="PageNumber"/>
        <w:noProof/>
      </w:rPr>
      <w:t>1</w:t>
    </w:r>
    <w:r>
      <w:rPr>
        <w:rStyle w:val="PageNumber"/>
      </w:rPr>
      <w:fldChar w:fldCharType="end"/>
    </w:r>
  </w:p>
  <w:p w14:paraId="63E7BA88" w14:textId="77777777" w:rsidR="00BC2286" w:rsidRDefault="00BC2286" w:rsidP="00BC228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15CE4" w14:textId="77777777" w:rsidR="00DF6A49" w:rsidRDefault="00DF6A49" w:rsidP="00931FA6">
      <w:r>
        <w:separator/>
      </w:r>
    </w:p>
  </w:footnote>
  <w:footnote w:type="continuationSeparator" w:id="0">
    <w:p w14:paraId="22143056" w14:textId="77777777" w:rsidR="00DF6A49" w:rsidRDefault="00DF6A49" w:rsidP="00931FA6">
      <w:r>
        <w:continuationSeparator/>
      </w:r>
    </w:p>
  </w:footnote>
  <w:footnote w:id="1">
    <w:p w14:paraId="64740B13" w14:textId="5F5B102D" w:rsidR="001A5EAB" w:rsidRPr="009E5296" w:rsidRDefault="001A5EAB" w:rsidP="001A5EAB">
      <w:pPr>
        <w:rPr>
          <w:rFonts w:ascii="Times New Roman" w:eastAsia="Times New Roman" w:hAnsi="Times New Roman" w:cs="Times New Roman"/>
          <w:sz w:val="21"/>
          <w:szCs w:val="22"/>
          <w:lang w:eastAsia="en-GB"/>
        </w:rPr>
      </w:pPr>
      <w:r w:rsidRPr="00BC2286">
        <w:rPr>
          <w:rStyle w:val="FootnoteReference"/>
        </w:rPr>
        <w:footnoteRef/>
      </w:r>
      <w:r w:rsidRPr="009E5296">
        <w:rPr>
          <w:rFonts w:ascii="Times New Roman" w:hAnsi="Times New Roman" w:cs="Times New Roman"/>
          <w:sz w:val="21"/>
          <w:szCs w:val="22"/>
        </w:rPr>
        <w:t xml:space="preserve"> Evidence continues to support the idea that museums attract more the socio-economically privileged</w:t>
      </w:r>
      <w:r w:rsidRPr="009E5296">
        <w:rPr>
          <w:rFonts w:ascii="Times New Roman" w:eastAsia="Times New Roman" w:hAnsi="Times New Roman" w:cs="Times New Roman"/>
          <w:sz w:val="21"/>
          <w:szCs w:val="22"/>
          <w:lang w:eastAsia="en-GB"/>
        </w:rPr>
        <w:t>:</w:t>
      </w:r>
    </w:p>
    <w:p w14:paraId="52D9CB37" w14:textId="77777777" w:rsidR="001A5EAB" w:rsidRPr="009E5296" w:rsidRDefault="001A5EAB" w:rsidP="001A5EAB">
      <w:pPr>
        <w:pStyle w:val="FootnoteText"/>
        <w:rPr>
          <w:rFonts w:ascii="Times New Roman" w:hAnsi="Times New Roman" w:cs="Times New Roman"/>
          <w:sz w:val="21"/>
          <w:szCs w:val="22"/>
        </w:rPr>
      </w:pPr>
      <w:r w:rsidRPr="009E5296">
        <w:rPr>
          <w:rFonts w:ascii="Times New Roman" w:hAnsi="Times New Roman" w:cs="Times New Roman"/>
          <w:sz w:val="21"/>
          <w:szCs w:val="22"/>
        </w:rPr>
        <w:t>https://assets.publishing.service.gov.uk/government/uploads/system/uploads/attachment_data/file/664933/Adult_stats_release_4.pdf</w:t>
      </w:r>
    </w:p>
  </w:footnote>
  <w:footnote w:id="2">
    <w:p w14:paraId="69D57ACD" w14:textId="759D71EE" w:rsidR="005A72D1" w:rsidRPr="009E5296" w:rsidRDefault="005A72D1" w:rsidP="005A72D1">
      <w:pPr>
        <w:pStyle w:val="FootnoteText"/>
        <w:rPr>
          <w:rFonts w:ascii="Times New Roman" w:hAnsi="Times New Roman" w:cs="Times New Roman"/>
          <w:sz w:val="21"/>
          <w:szCs w:val="22"/>
        </w:rPr>
      </w:pPr>
      <w:r w:rsidRPr="00BC2286">
        <w:rPr>
          <w:rStyle w:val="FootnoteReference"/>
        </w:rPr>
        <w:footnoteRef/>
      </w:r>
      <w:r w:rsidR="005349BE">
        <w:rPr>
          <w:rFonts w:ascii="Times New Roman" w:hAnsi="Times New Roman" w:cs="Times New Roman"/>
          <w:sz w:val="21"/>
          <w:szCs w:val="22"/>
        </w:rPr>
        <w:t xml:space="preserve"> Even if no technique is never </w:t>
      </w:r>
      <w:r w:rsidR="005349BE" w:rsidRPr="00F31A22">
        <w:rPr>
          <w:rFonts w:ascii="Times New Roman" w:hAnsi="Times New Roman" w:cs="Times New Roman"/>
          <w:i/>
          <w:sz w:val="21"/>
          <w:szCs w:val="22"/>
        </w:rPr>
        <w:t>per se</w:t>
      </w:r>
      <w:r w:rsidR="005349BE">
        <w:rPr>
          <w:rFonts w:ascii="Times New Roman" w:hAnsi="Times New Roman" w:cs="Times New Roman"/>
          <w:sz w:val="21"/>
          <w:szCs w:val="22"/>
        </w:rPr>
        <w:t xml:space="preserve"> exploratory </w:t>
      </w:r>
      <w:r w:rsidR="00F31A22">
        <w:rPr>
          <w:rFonts w:ascii="Times New Roman" w:hAnsi="Times New Roman" w:cs="Times New Roman"/>
          <w:sz w:val="21"/>
          <w:szCs w:val="22"/>
        </w:rPr>
        <w:fldChar w:fldCharType="begin" w:fldLock="1"/>
      </w:r>
      <w:r w:rsidR="00A37BF5">
        <w:rPr>
          <w:rFonts w:ascii="Times New Roman" w:hAnsi="Times New Roman" w:cs="Times New Roman"/>
          <w:sz w:val="21"/>
          <w:szCs w:val="22"/>
        </w:rPr>
        <w:instrText>ADDIN CSL_CITATION {"citationItems":[{"id":"ITEM-1","itemData":{"author":[{"dropping-particle":"","family":"Roux","given":"B.","non-dropping-particle":"Le","parse-names":false,"suffix":""},{"dropping-particle":"","family":"Rouanet","given":"H.","non-dropping-particle":"","parse-names":false,"suffix":""}],"id":"ITEM-1","issued":{"date-parts":[["2004"]]},"publisher":"Kluwer Academic Publishers","publisher-place":"Dordrecht","title":"Geometric Data Analysis","type":"book"},"uris":["http://www.mendeley.com/documents/?uuid=18f1c543-91c6-4fc3-a71e-989081617143"]}],"mendeley":{"formattedCitation":"(Le Roux and Rouanet 2004)","plainTextFormattedCitation":"(Le Roux and Rouanet 2004)","previouslyFormattedCitation":"(Le Roux and Rouanet 2004)"},"properties":{"noteIndex":0},"schema":"https://github.com/citation-style-language/schema/raw/master/csl-citation.json"}</w:instrText>
      </w:r>
      <w:r w:rsidR="00F31A22">
        <w:rPr>
          <w:rFonts w:ascii="Times New Roman" w:hAnsi="Times New Roman" w:cs="Times New Roman"/>
          <w:sz w:val="21"/>
          <w:szCs w:val="22"/>
        </w:rPr>
        <w:fldChar w:fldCharType="separate"/>
      </w:r>
      <w:r w:rsidR="00F31A22" w:rsidRPr="00F31A22">
        <w:rPr>
          <w:rFonts w:ascii="Times New Roman" w:hAnsi="Times New Roman" w:cs="Times New Roman"/>
          <w:noProof/>
          <w:sz w:val="21"/>
          <w:szCs w:val="22"/>
        </w:rPr>
        <w:t>(Le Roux and Rouanet 2004)</w:t>
      </w:r>
      <w:r w:rsidR="00F31A22">
        <w:rPr>
          <w:rFonts w:ascii="Times New Roman" w:hAnsi="Times New Roman" w:cs="Times New Roman"/>
          <w:sz w:val="21"/>
          <w:szCs w:val="22"/>
        </w:rPr>
        <w:fldChar w:fldCharType="end"/>
      </w:r>
      <w:r w:rsidR="00F31A22">
        <w:rPr>
          <w:rFonts w:ascii="Times New Roman" w:hAnsi="Times New Roman" w:cs="Times New Roman"/>
          <w:sz w:val="21"/>
          <w:szCs w:val="22"/>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4139BE"/>
    <w:multiLevelType w:val="hybridMultilevel"/>
    <w:tmpl w:val="E90878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5BE"/>
    <w:rsid w:val="00017021"/>
    <w:rsid w:val="000276F5"/>
    <w:rsid w:val="0003633F"/>
    <w:rsid w:val="00042637"/>
    <w:rsid w:val="00044D3C"/>
    <w:rsid w:val="00053CD8"/>
    <w:rsid w:val="000617DD"/>
    <w:rsid w:val="00064A1F"/>
    <w:rsid w:val="00065F50"/>
    <w:rsid w:val="000A3696"/>
    <w:rsid w:val="000A406E"/>
    <w:rsid w:val="000E4DF4"/>
    <w:rsid w:val="000F1621"/>
    <w:rsid w:val="000F1680"/>
    <w:rsid w:val="001558DE"/>
    <w:rsid w:val="00175997"/>
    <w:rsid w:val="00176701"/>
    <w:rsid w:val="001818CA"/>
    <w:rsid w:val="00181A54"/>
    <w:rsid w:val="00183741"/>
    <w:rsid w:val="00183E48"/>
    <w:rsid w:val="00185F8B"/>
    <w:rsid w:val="0019199F"/>
    <w:rsid w:val="0019646D"/>
    <w:rsid w:val="001A5EAB"/>
    <w:rsid w:val="001C5EE6"/>
    <w:rsid w:val="001F6309"/>
    <w:rsid w:val="00253485"/>
    <w:rsid w:val="00276E95"/>
    <w:rsid w:val="002948D0"/>
    <w:rsid w:val="002A06CB"/>
    <w:rsid w:val="002B1F9A"/>
    <w:rsid w:val="002B6E3B"/>
    <w:rsid w:val="002E665F"/>
    <w:rsid w:val="002F3339"/>
    <w:rsid w:val="00300C4C"/>
    <w:rsid w:val="00304FF5"/>
    <w:rsid w:val="00365EE7"/>
    <w:rsid w:val="00380C53"/>
    <w:rsid w:val="00381EF1"/>
    <w:rsid w:val="003A0328"/>
    <w:rsid w:val="003A79CC"/>
    <w:rsid w:val="003B77F8"/>
    <w:rsid w:val="003C193F"/>
    <w:rsid w:val="003C2D6A"/>
    <w:rsid w:val="003E16D7"/>
    <w:rsid w:val="00425FD0"/>
    <w:rsid w:val="004338E4"/>
    <w:rsid w:val="004616C4"/>
    <w:rsid w:val="00463FF7"/>
    <w:rsid w:val="00474194"/>
    <w:rsid w:val="00487826"/>
    <w:rsid w:val="004A6675"/>
    <w:rsid w:val="004B01F6"/>
    <w:rsid w:val="004B27B1"/>
    <w:rsid w:val="004D531B"/>
    <w:rsid w:val="004D7B05"/>
    <w:rsid w:val="004E40AA"/>
    <w:rsid w:val="004E4A20"/>
    <w:rsid w:val="005036D7"/>
    <w:rsid w:val="00505C41"/>
    <w:rsid w:val="0052505E"/>
    <w:rsid w:val="005349BE"/>
    <w:rsid w:val="005A72D1"/>
    <w:rsid w:val="005B5D00"/>
    <w:rsid w:val="005C237F"/>
    <w:rsid w:val="005D09AD"/>
    <w:rsid w:val="005F2817"/>
    <w:rsid w:val="005F3837"/>
    <w:rsid w:val="005F7E01"/>
    <w:rsid w:val="00615237"/>
    <w:rsid w:val="00615744"/>
    <w:rsid w:val="00624EA6"/>
    <w:rsid w:val="0063360F"/>
    <w:rsid w:val="00633EB0"/>
    <w:rsid w:val="006346C3"/>
    <w:rsid w:val="00687C0C"/>
    <w:rsid w:val="006A704E"/>
    <w:rsid w:val="006B5110"/>
    <w:rsid w:val="006C3D44"/>
    <w:rsid w:val="006F2825"/>
    <w:rsid w:val="00702DFA"/>
    <w:rsid w:val="00710EE5"/>
    <w:rsid w:val="00743D5A"/>
    <w:rsid w:val="00786C70"/>
    <w:rsid w:val="00791F69"/>
    <w:rsid w:val="00796000"/>
    <w:rsid w:val="007A1BDF"/>
    <w:rsid w:val="007A2222"/>
    <w:rsid w:val="007F2812"/>
    <w:rsid w:val="00801B5A"/>
    <w:rsid w:val="00801CFB"/>
    <w:rsid w:val="0080399F"/>
    <w:rsid w:val="00833E93"/>
    <w:rsid w:val="008372B8"/>
    <w:rsid w:val="00845309"/>
    <w:rsid w:val="008518B2"/>
    <w:rsid w:val="008558CB"/>
    <w:rsid w:val="00864D6E"/>
    <w:rsid w:val="00871CAF"/>
    <w:rsid w:val="008842D0"/>
    <w:rsid w:val="00897C46"/>
    <w:rsid w:val="008B4685"/>
    <w:rsid w:val="008F1DB3"/>
    <w:rsid w:val="008F1DC2"/>
    <w:rsid w:val="00900578"/>
    <w:rsid w:val="009076C8"/>
    <w:rsid w:val="0091049D"/>
    <w:rsid w:val="009228BB"/>
    <w:rsid w:val="00926DC3"/>
    <w:rsid w:val="009279DE"/>
    <w:rsid w:val="00931FA6"/>
    <w:rsid w:val="00944403"/>
    <w:rsid w:val="00944D83"/>
    <w:rsid w:val="00963E84"/>
    <w:rsid w:val="00982157"/>
    <w:rsid w:val="009A5DFC"/>
    <w:rsid w:val="009A7D75"/>
    <w:rsid w:val="009B2BFF"/>
    <w:rsid w:val="009B4EBC"/>
    <w:rsid w:val="009C08AC"/>
    <w:rsid w:val="009C57F3"/>
    <w:rsid w:val="009D5229"/>
    <w:rsid w:val="009E1C3A"/>
    <w:rsid w:val="009E5296"/>
    <w:rsid w:val="009E7EEC"/>
    <w:rsid w:val="00A03158"/>
    <w:rsid w:val="00A31BE0"/>
    <w:rsid w:val="00A32D5D"/>
    <w:rsid w:val="00A37BF5"/>
    <w:rsid w:val="00A43219"/>
    <w:rsid w:val="00A468C9"/>
    <w:rsid w:val="00A96667"/>
    <w:rsid w:val="00A97693"/>
    <w:rsid w:val="00AA7CA8"/>
    <w:rsid w:val="00AB1E0B"/>
    <w:rsid w:val="00AB21EB"/>
    <w:rsid w:val="00AB6200"/>
    <w:rsid w:val="00AB685A"/>
    <w:rsid w:val="00AC0DFC"/>
    <w:rsid w:val="00AC7D11"/>
    <w:rsid w:val="00AE739F"/>
    <w:rsid w:val="00B1004E"/>
    <w:rsid w:val="00B14AE3"/>
    <w:rsid w:val="00B41335"/>
    <w:rsid w:val="00B432D2"/>
    <w:rsid w:val="00B51F09"/>
    <w:rsid w:val="00B75201"/>
    <w:rsid w:val="00B76781"/>
    <w:rsid w:val="00B81C16"/>
    <w:rsid w:val="00B8560B"/>
    <w:rsid w:val="00B91C5C"/>
    <w:rsid w:val="00BA2DA1"/>
    <w:rsid w:val="00BA74A8"/>
    <w:rsid w:val="00BC2286"/>
    <w:rsid w:val="00BC27F6"/>
    <w:rsid w:val="00BD2F8A"/>
    <w:rsid w:val="00BD5402"/>
    <w:rsid w:val="00BE3679"/>
    <w:rsid w:val="00BF596B"/>
    <w:rsid w:val="00C12C24"/>
    <w:rsid w:val="00C86263"/>
    <w:rsid w:val="00CA185D"/>
    <w:rsid w:val="00CA79FA"/>
    <w:rsid w:val="00CF473C"/>
    <w:rsid w:val="00D015BE"/>
    <w:rsid w:val="00D279FA"/>
    <w:rsid w:val="00D365B4"/>
    <w:rsid w:val="00D413F4"/>
    <w:rsid w:val="00D72921"/>
    <w:rsid w:val="00D76630"/>
    <w:rsid w:val="00D77710"/>
    <w:rsid w:val="00D84408"/>
    <w:rsid w:val="00DA1FA4"/>
    <w:rsid w:val="00DA3E27"/>
    <w:rsid w:val="00DB192C"/>
    <w:rsid w:val="00DD4230"/>
    <w:rsid w:val="00DF2F7E"/>
    <w:rsid w:val="00DF6A49"/>
    <w:rsid w:val="00E01FC3"/>
    <w:rsid w:val="00E12B00"/>
    <w:rsid w:val="00E25520"/>
    <w:rsid w:val="00E40757"/>
    <w:rsid w:val="00E43CDB"/>
    <w:rsid w:val="00E5021E"/>
    <w:rsid w:val="00E80DFA"/>
    <w:rsid w:val="00E8528F"/>
    <w:rsid w:val="00EA3B84"/>
    <w:rsid w:val="00EA78D3"/>
    <w:rsid w:val="00EB4467"/>
    <w:rsid w:val="00EC1CCB"/>
    <w:rsid w:val="00EE2D2B"/>
    <w:rsid w:val="00EE7625"/>
    <w:rsid w:val="00F17DDE"/>
    <w:rsid w:val="00F24CFE"/>
    <w:rsid w:val="00F31A22"/>
    <w:rsid w:val="00F428A4"/>
    <w:rsid w:val="00F634AF"/>
    <w:rsid w:val="00F7087A"/>
    <w:rsid w:val="00F830F4"/>
    <w:rsid w:val="00F879E1"/>
    <w:rsid w:val="00FB5932"/>
    <w:rsid w:val="00FC2E85"/>
    <w:rsid w:val="00FE525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B939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01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5BE"/>
    <w:pPr>
      <w:ind w:left="720"/>
      <w:contextualSpacing/>
    </w:pPr>
  </w:style>
  <w:style w:type="character" w:styleId="CommentReference">
    <w:name w:val="annotation reference"/>
    <w:basedOn w:val="DefaultParagraphFont"/>
    <w:uiPriority w:val="99"/>
    <w:semiHidden/>
    <w:unhideWhenUsed/>
    <w:rsid w:val="00931FA6"/>
    <w:rPr>
      <w:sz w:val="18"/>
      <w:szCs w:val="18"/>
    </w:rPr>
  </w:style>
  <w:style w:type="paragraph" w:styleId="CommentText">
    <w:name w:val="annotation text"/>
    <w:basedOn w:val="Normal"/>
    <w:link w:val="CommentTextChar"/>
    <w:uiPriority w:val="99"/>
    <w:semiHidden/>
    <w:unhideWhenUsed/>
    <w:rsid w:val="00931FA6"/>
  </w:style>
  <w:style w:type="character" w:customStyle="1" w:styleId="CommentTextChar">
    <w:name w:val="Comment Text Char"/>
    <w:basedOn w:val="DefaultParagraphFont"/>
    <w:link w:val="CommentText"/>
    <w:uiPriority w:val="99"/>
    <w:semiHidden/>
    <w:rsid w:val="00931FA6"/>
  </w:style>
  <w:style w:type="paragraph" w:styleId="CommentSubject">
    <w:name w:val="annotation subject"/>
    <w:basedOn w:val="CommentText"/>
    <w:next w:val="CommentText"/>
    <w:link w:val="CommentSubjectChar"/>
    <w:uiPriority w:val="99"/>
    <w:semiHidden/>
    <w:unhideWhenUsed/>
    <w:rsid w:val="00931FA6"/>
    <w:rPr>
      <w:b/>
      <w:bCs/>
      <w:sz w:val="20"/>
      <w:szCs w:val="20"/>
    </w:rPr>
  </w:style>
  <w:style w:type="character" w:customStyle="1" w:styleId="CommentSubjectChar">
    <w:name w:val="Comment Subject Char"/>
    <w:basedOn w:val="CommentTextChar"/>
    <w:link w:val="CommentSubject"/>
    <w:uiPriority w:val="99"/>
    <w:semiHidden/>
    <w:rsid w:val="00931FA6"/>
    <w:rPr>
      <w:b/>
      <w:bCs/>
      <w:sz w:val="20"/>
      <w:szCs w:val="20"/>
    </w:rPr>
  </w:style>
  <w:style w:type="paragraph" w:styleId="BalloonText">
    <w:name w:val="Balloon Text"/>
    <w:basedOn w:val="Normal"/>
    <w:link w:val="BalloonTextChar"/>
    <w:uiPriority w:val="99"/>
    <w:semiHidden/>
    <w:unhideWhenUsed/>
    <w:rsid w:val="00931FA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1FA6"/>
    <w:rPr>
      <w:rFonts w:ascii="Times New Roman" w:hAnsi="Times New Roman" w:cs="Times New Roman"/>
      <w:sz w:val="18"/>
      <w:szCs w:val="18"/>
    </w:rPr>
  </w:style>
  <w:style w:type="paragraph" w:styleId="FootnoteText">
    <w:name w:val="footnote text"/>
    <w:basedOn w:val="Normal"/>
    <w:link w:val="FootnoteTextChar"/>
    <w:uiPriority w:val="99"/>
    <w:unhideWhenUsed/>
    <w:rsid w:val="00931FA6"/>
  </w:style>
  <w:style w:type="character" w:customStyle="1" w:styleId="FootnoteTextChar">
    <w:name w:val="Footnote Text Char"/>
    <w:basedOn w:val="DefaultParagraphFont"/>
    <w:link w:val="FootnoteText"/>
    <w:uiPriority w:val="99"/>
    <w:rsid w:val="00931FA6"/>
  </w:style>
  <w:style w:type="character" w:styleId="FootnoteReference">
    <w:name w:val="footnote reference"/>
    <w:basedOn w:val="DefaultParagraphFont"/>
    <w:uiPriority w:val="99"/>
    <w:unhideWhenUsed/>
    <w:rsid w:val="00931FA6"/>
    <w:rPr>
      <w:vertAlign w:val="superscript"/>
    </w:rPr>
  </w:style>
  <w:style w:type="paragraph" w:customStyle="1" w:styleId="p1">
    <w:name w:val="p1"/>
    <w:basedOn w:val="Normal"/>
    <w:rsid w:val="005F2817"/>
    <w:pPr>
      <w:spacing w:after="150"/>
      <w:jc w:val="both"/>
    </w:pPr>
    <w:rPr>
      <w:rFonts w:ascii="Times New Roman" w:hAnsi="Times New Roman" w:cs="Times New Roman"/>
      <w:sz w:val="17"/>
      <w:szCs w:val="17"/>
      <w:lang w:eastAsia="en-GB"/>
    </w:rPr>
  </w:style>
  <w:style w:type="character" w:customStyle="1" w:styleId="apple-converted-space">
    <w:name w:val="apple-converted-space"/>
    <w:basedOn w:val="DefaultParagraphFont"/>
    <w:rsid w:val="005F2817"/>
  </w:style>
  <w:style w:type="character" w:styleId="EndnoteReference">
    <w:name w:val="endnote reference"/>
    <w:basedOn w:val="DefaultParagraphFont"/>
    <w:uiPriority w:val="99"/>
    <w:semiHidden/>
    <w:unhideWhenUsed/>
    <w:rsid w:val="00BC2286"/>
    <w:rPr>
      <w:vertAlign w:val="superscript"/>
    </w:rPr>
  </w:style>
  <w:style w:type="paragraph" w:styleId="Footer">
    <w:name w:val="footer"/>
    <w:basedOn w:val="Normal"/>
    <w:link w:val="FooterChar"/>
    <w:uiPriority w:val="99"/>
    <w:unhideWhenUsed/>
    <w:rsid w:val="00BC2286"/>
    <w:pPr>
      <w:tabs>
        <w:tab w:val="center" w:pos="4513"/>
        <w:tab w:val="right" w:pos="9026"/>
      </w:tabs>
    </w:pPr>
  </w:style>
  <w:style w:type="character" w:customStyle="1" w:styleId="FooterChar">
    <w:name w:val="Footer Char"/>
    <w:basedOn w:val="DefaultParagraphFont"/>
    <w:link w:val="Footer"/>
    <w:uiPriority w:val="99"/>
    <w:rsid w:val="00BC2286"/>
  </w:style>
  <w:style w:type="character" w:styleId="PageNumber">
    <w:name w:val="page number"/>
    <w:basedOn w:val="DefaultParagraphFont"/>
    <w:uiPriority w:val="99"/>
    <w:semiHidden/>
    <w:unhideWhenUsed/>
    <w:rsid w:val="00BC2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1448">
      <w:bodyDiv w:val="1"/>
      <w:marLeft w:val="0"/>
      <w:marRight w:val="0"/>
      <w:marTop w:val="0"/>
      <w:marBottom w:val="0"/>
      <w:divBdr>
        <w:top w:val="none" w:sz="0" w:space="0" w:color="auto"/>
        <w:left w:val="none" w:sz="0" w:space="0" w:color="auto"/>
        <w:bottom w:val="none" w:sz="0" w:space="0" w:color="auto"/>
        <w:right w:val="none" w:sz="0" w:space="0" w:color="auto"/>
      </w:divBdr>
    </w:div>
    <w:div w:id="17700461">
      <w:bodyDiv w:val="1"/>
      <w:marLeft w:val="0"/>
      <w:marRight w:val="0"/>
      <w:marTop w:val="0"/>
      <w:marBottom w:val="0"/>
      <w:divBdr>
        <w:top w:val="none" w:sz="0" w:space="0" w:color="auto"/>
        <w:left w:val="none" w:sz="0" w:space="0" w:color="auto"/>
        <w:bottom w:val="none" w:sz="0" w:space="0" w:color="auto"/>
        <w:right w:val="none" w:sz="0" w:space="0" w:color="auto"/>
      </w:divBdr>
    </w:div>
    <w:div w:id="492378698">
      <w:bodyDiv w:val="1"/>
      <w:marLeft w:val="0"/>
      <w:marRight w:val="0"/>
      <w:marTop w:val="0"/>
      <w:marBottom w:val="0"/>
      <w:divBdr>
        <w:top w:val="none" w:sz="0" w:space="0" w:color="auto"/>
        <w:left w:val="none" w:sz="0" w:space="0" w:color="auto"/>
        <w:bottom w:val="none" w:sz="0" w:space="0" w:color="auto"/>
        <w:right w:val="none" w:sz="0" w:space="0" w:color="auto"/>
      </w:divBdr>
    </w:div>
    <w:div w:id="718632468">
      <w:bodyDiv w:val="1"/>
      <w:marLeft w:val="0"/>
      <w:marRight w:val="0"/>
      <w:marTop w:val="0"/>
      <w:marBottom w:val="0"/>
      <w:divBdr>
        <w:top w:val="none" w:sz="0" w:space="0" w:color="auto"/>
        <w:left w:val="none" w:sz="0" w:space="0" w:color="auto"/>
        <w:bottom w:val="none" w:sz="0" w:space="0" w:color="auto"/>
        <w:right w:val="none" w:sz="0" w:space="0" w:color="auto"/>
      </w:divBdr>
    </w:div>
    <w:div w:id="965887346">
      <w:bodyDiv w:val="1"/>
      <w:marLeft w:val="0"/>
      <w:marRight w:val="0"/>
      <w:marTop w:val="0"/>
      <w:marBottom w:val="0"/>
      <w:divBdr>
        <w:top w:val="none" w:sz="0" w:space="0" w:color="auto"/>
        <w:left w:val="none" w:sz="0" w:space="0" w:color="auto"/>
        <w:bottom w:val="none" w:sz="0" w:space="0" w:color="auto"/>
        <w:right w:val="none" w:sz="0" w:space="0" w:color="auto"/>
      </w:divBdr>
    </w:div>
    <w:div w:id="1154953986">
      <w:bodyDiv w:val="1"/>
      <w:marLeft w:val="0"/>
      <w:marRight w:val="0"/>
      <w:marTop w:val="0"/>
      <w:marBottom w:val="0"/>
      <w:divBdr>
        <w:top w:val="none" w:sz="0" w:space="0" w:color="auto"/>
        <w:left w:val="none" w:sz="0" w:space="0" w:color="auto"/>
        <w:bottom w:val="none" w:sz="0" w:space="0" w:color="auto"/>
        <w:right w:val="none" w:sz="0" w:space="0" w:color="auto"/>
      </w:divBdr>
    </w:div>
    <w:div w:id="1214847204">
      <w:bodyDiv w:val="1"/>
      <w:marLeft w:val="0"/>
      <w:marRight w:val="0"/>
      <w:marTop w:val="0"/>
      <w:marBottom w:val="0"/>
      <w:divBdr>
        <w:top w:val="none" w:sz="0" w:space="0" w:color="auto"/>
        <w:left w:val="none" w:sz="0" w:space="0" w:color="auto"/>
        <w:bottom w:val="none" w:sz="0" w:space="0" w:color="auto"/>
        <w:right w:val="none" w:sz="0" w:space="0" w:color="auto"/>
      </w:divBdr>
    </w:div>
    <w:div w:id="1633555497">
      <w:bodyDiv w:val="1"/>
      <w:marLeft w:val="0"/>
      <w:marRight w:val="0"/>
      <w:marTop w:val="0"/>
      <w:marBottom w:val="0"/>
      <w:divBdr>
        <w:top w:val="none" w:sz="0" w:space="0" w:color="auto"/>
        <w:left w:val="none" w:sz="0" w:space="0" w:color="auto"/>
        <w:bottom w:val="none" w:sz="0" w:space="0" w:color="auto"/>
        <w:right w:val="none" w:sz="0" w:space="0" w:color="auto"/>
      </w:divBdr>
    </w:div>
    <w:div w:id="1777553409">
      <w:bodyDiv w:val="1"/>
      <w:marLeft w:val="0"/>
      <w:marRight w:val="0"/>
      <w:marTop w:val="0"/>
      <w:marBottom w:val="0"/>
      <w:divBdr>
        <w:top w:val="none" w:sz="0" w:space="0" w:color="auto"/>
        <w:left w:val="none" w:sz="0" w:space="0" w:color="auto"/>
        <w:bottom w:val="none" w:sz="0" w:space="0" w:color="auto"/>
        <w:right w:val="none" w:sz="0" w:space="0" w:color="auto"/>
      </w:divBdr>
    </w:div>
    <w:div w:id="1806121899">
      <w:bodyDiv w:val="1"/>
      <w:marLeft w:val="0"/>
      <w:marRight w:val="0"/>
      <w:marTop w:val="0"/>
      <w:marBottom w:val="0"/>
      <w:divBdr>
        <w:top w:val="none" w:sz="0" w:space="0" w:color="auto"/>
        <w:left w:val="none" w:sz="0" w:space="0" w:color="auto"/>
        <w:bottom w:val="none" w:sz="0" w:space="0" w:color="auto"/>
        <w:right w:val="none" w:sz="0" w:space="0" w:color="auto"/>
      </w:divBdr>
    </w:div>
    <w:div w:id="18360717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B1600C7-CEAF-6347-867D-1A73CCC9C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9</Pages>
  <Words>9014</Words>
  <Characters>53276</Characters>
  <Application>Microsoft Macintosh Word</Application>
  <DocSecurity>0</DocSecurity>
  <Lines>819</Lines>
  <Paragraphs>192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Hanquinet</dc:creator>
  <cp:keywords/>
  <dc:description/>
  <cp:lastModifiedBy>Laurie Hanquinet</cp:lastModifiedBy>
  <cp:revision>25</cp:revision>
  <dcterms:created xsi:type="dcterms:W3CDTF">2018-07-30T09:46:00Z</dcterms:created>
  <dcterms:modified xsi:type="dcterms:W3CDTF">2019-01-15T14:25:00Z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Harvard - Cite Them Right 9th edition</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df63821c-ecf9-311c-a7bd-7db7e43fbe02</vt:lpwstr>
  </property>
  <property fmtid="{D5CDD505-2E9C-101B-9397-08002B2CF9AE}" pid="24" name="Mendeley Citation Style_1">
    <vt:lpwstr>http://www.zotero.org/styles/american-sociological-association</vt:lpwstr>
  </property>
</Properties>
</file>