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7EFD1" w14:textId="2F0C8E08" w:rsidR="006751E6" w:rsidRPr="00D25379" w:rsidRDefault="006751E6" w:rsidP="006751E6">
      <w:pPr>
        <w:pStyle w:val="Heading2"/>
        <w:spacing w:before="0" w:line="240" w:lineRule="auto"/>
        <w:rPr>
          <w:rFonts w:ascii="Arial" w:hAnsi="Arial" w:cs="Arial"/>
          <w:b/>
          <w:color w:val="auto"/>
        </w:rPr>
      </w:pPr>
      <w:r w:rsidRPr="00D25379">
        <w:rPr>
          <w:rFonts w:ascii="Arial" w:hAnsi="Arial" w:cs="Arial"/>
          <w:b/>
          <w:color w:val="auto"/>
        </w:rPr>
        <w:t>S</w:t>
      </w:r>
      <w:r w:rsidR="00375734" w:rsidRPr="00D25379">
        <w:rPr>
          <w:rFonts w:ascii="Arial" w:hAnsi="Arial" w:cs="Arial"/>
          <w:b/>
          <w:color w:val="auto"/>
        </w:rPr>
        <w:t>UPPORTING</w:t>
      </w:r>
      <w:r w:rsidRPr="00D25379">
        <w:rPr>
          <w:rFonts w:ascii="Arial" w:hAnsi="Arial" w:cs="Arial"/>
          <w:b/>
          <w:color w:val="auto"/>
        </w:rPr>
        <w:t xml:space="preserve"> </w:t>
      </w:r>
      <w:r w:rsidR="004648C8" w:rsidRPr="00D25379">
        <w:rPr>
          <w:rFonts w:ascii="Arial" w:hAnsi="Arial" w:cs="Arial"/>
          <w:b/>
          <w:color w:val="auto"/>
        </w:rPr>
        <w:t>TABLES</w:t>
      </w:r>
    </w:p>
    <w:p w14:paraId="7497ED74" w14:textId="77777777" w:rsidR="006751E6" w:rsidRPr="00D25379" w:rsidRDefault="006751E6" w:rsidP="008D1756">
      <w:pPr>
        <w:spacing w:after="0" w:line="240" w:lineRule="auto"/>
        <w:rPr>
          <w:rFonts w:ascii="Arial" w:hAnsi="Arial" w:cs="Arial"/>
          <w:sz w:val="20"/>
        </w:rPr>
      </w:pPr>
    </w:p>
    <w:p w14:paraId="500F324D" w14:textId="77777777" w:rsidR="00846AB2" w:rsidRPr="00D25379" w:rsidRDefault="00846AB2" w:rsidP="00846AB2">
      <w:pPr>
        <w:spacing w:before="120" w:after="120" w:line="240" w:lineRule="auto"/>
        <w:rPr>
          <w:rFonts w:ascii="Arial" w:hAnsi="Arial" w:cs="Arial"/>
        </w:rPr>
      </w:pPr>
      <w:r w:rsidRPr="00D25379">
        <w:rPr>
          <w:rFonts w:ascii="Arial" w:hAnsi="Arial" w:cs="Arial"/>
        </w:rPr>
        <w:t>Table S1. Input parameters utilised in the economic model.</w:t>
      </w:r>
    </w:p>
    <w:p w14:paraId="72099A66" w14:textId="77777777" w:rsidR="00846AB2" w:rsidRPr="00D25379" w:rsidRDefault="00846AB2" w:rsidP="00846AB2">
      <w:pPr>
        <w:spacing w:before="120" w:after="120" w:line="240" w:lineRule="auto"/>
        <w:rPr>
          <w:rFonts w:ascii="Arial" w:hAnsi="Arial" w:cs="Arial"/>
        </w:rPr>
      </w:pPr>
      <w:r w:rsidRPr="00D25379">
        <w:rPr>
          <w:rFonts w:ascii="Arial" w:hAnsi="Arial" w:cs="Arial"/>
        </w:rPr>
        <w:t>Table S2. Included studies in the NMA.</w:t>
      </w:r>
    </w:p>
    <w:p w14:paraId="75752081" w14:textId="77777777" w:rsidR="00846AB2" w:rsidRPr="00D25379" w:rsidRDefault="00846AB2" w:rsidP="00846AB2">
      <w:pPr>
        <w:spacing w:before="120" w:after="120" w:line="240" w:lineRule="auto"/>
        <w:rPr>
          <w:rFonts w:ascii="Arial" w:hAnsi="Arial" w:cs="Arial"/>
        </w:rPr>
      </w:pPr>
      <w:r w:rsidRPr="00D25379">
        <w:rPr>
          <w:rFonts w:ascii="Arial" w:hAnsi="Arial" w:cs="Arial"/>
        </w:rPr>
        <w:t>Table S3. Final data file for the NMA.</w:t>
      </w:r>
    </w:p>
    <w:p w14:paraId="296CF2F8" w14:textId="77777777" w:rsidR="00846AB2" w:rsidRPr="00D25379" w:rsidRDefault="00846AB2" w:rsidP="00846AB2">
      <w:pPr>
        <w:spacing w:before="120" w:after="120" w:line="240" w:lineRule="auto"/>
        <w:rPr>
          <w:rFonts w:ascii="Arial" w:hAnsi="Arial" w:cs="Arial"/>
        </w:rPr>
      </w:pPr>
      <w:r w:rsidRPr="00D25379">
        <w:rPr>
          <w:rFonts w:ascii="Arial" w:hAnsi="Arial" w:cs="Arial"/>
        </w:rPr>
        <w:t xml:space="preserve">Table S4. Results of deterministic sensitivity analyses. </w:t>
      </w:r>
    </w:p>
    <w:p w14:paraId="055FEAEB" w14:textId="77777777" w:rsidR="0037351B" w:rsidRPr="0037351B" w:rsidRDefault="0037351B" w:rsidP="0037351B">
      <w:pPr>
        <w:spacing w:before="120" w:after="120" w:line="240" w:lineRule="auto"/>
        <w:rPr>
          <w:rFonts w:ascii="Arial" w:hAnsi="Arial" w:cs="Arial"/>
          <w:b/>
        </w:rPr>
        <w:sectPr w:rsidR="0037351B" w:rsidRPr="0037351B" w:rsidSect="00D87B69">
          <w:pgSz w:w="11906" w:h="16838"/>
          <w:pgMar w:top="1440" w:right="1440" w:bottom="1440" w:left="1440" w:header="709" w:footer="709" w:gutter="0"/>
          <w:cols w:space="708"/>
          <w:docGrid w:linePitch="360"/>
        </w:sectPr>
      </w:pPr>
    </w:p>
    <w:p w14:paraId="4BC3F7B6" w14:textId="77777777" w:rsidR="000D07D5" w:rsidRDefault="000D07D5" w:rsidP="006751E6">
      <w:pPr>
        <w:rPr>
          <w:rFonts w:ascii="Arial" w:hAnsi="Arial" w:cs="Arial"/>
          <w:b/>
        </w:rPr>
      </w:pPr>
    </w:p>
    <w:p w14:paraId="3802DFC1" w14:textId="77777777" w:rsidR="000D07D5" w:rsidRPr="008F24AC" w:rsidRDefault="000D07D5" w:rsidP="000D07D5">
      <w:pPr>
        <w:rPr>
          <w:rFonts w:cs="Arial"/>
          <w:b/>
        </w:rPr>
      </w:pPr>
      <w:r w:rsidRPr="008F24AC">
        <w:rPr>
          <w:rFonts w:cs="Arial"/>
          <w:b/>
        </w:rPr>
        <w:t xml:space="preserve">Table S1. Input parameters utilised in the economic model for adult women with anterior POP. </w:t>
      </w:r>
    </w:p>
    <w:tbl>
      <w:tblPr>
        <w:tblStyle w:val="TableGrid"/>
        <w:tblW w:w="14174"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474"/>
        <w:gridCol w:w="2551"/>
        <w:gridCol w:w="6180"/>
      </w:tblGrid>
      <w:tr w:rsidR="000D07D5" w:rsidRPr="008F24AC" w14:paraId="71E34FE8" w14:textId="77777777" w:rsidTr="008F24AC">
        <w:tc>
          <w:tcPr>
            <w:tcW w:w="3969" w:type="dxa"/>
            <w:tcBorders>
              <w:top w:val="single" w:sz="12" w:space="0" w:color="auto"/>
              <w:bottom w:val="single" w:sz="4" w:space="0" w:color="auto"/>
            </w:tcBorders>
          </w:tcPr>
          <w:p w14:paraId="614EB266" w14:textId="77777777" w:rsidR="000D07D5" w:rsidRPr="008F24AC" w:rsidRDefault="000D07D5" w:rsidP="000D07D5">
            <w:pPr>
              <w:pStyle w:val="TableHeadingLeft"/>
              <w:spacing w:before="0" w:after="0"/>
              <w:rPr>
                <w:rFonts w:cs="Arial"/>
                <w:color w:val="auto"/>
                <w:sz w:val="22"/>
                <w:szCs w:val="22"/>
              </w:rPr>
            </w:pPr>
            <w:r w:rsidRPr="008F24AC">
              <w:rPr>
                <w:rFonts w:cs="Arial"/>
                <w:color w:val="auto"/>
                <w:sz w:val="22"/>
                <w:szCs w:val="22"/>
              </w:rPr>
              <w:t>Input parameter</w:t>
            </w:r>
          </w:p>
        </w:tc>
        <w:tc>
          <w:tcPr>
            <w:tcW w:w="1474" w:type="dxa"/>
            <w:tcBorders>
              <w:top w:val="single" w:sz="12" w:space="0" w:color="auto"/>
              <w:bottom w:val="single" w:sz="4" w:space="0" w:color="auto"/>
            </w:tcBorders>
          </w:tcPr>
          <w:p w14:paraId="231ED13E" w14:textId="77777777" w:rsidR="000D07D5" w:rsidRPr="008F24AC" w:rsidRDefault="000D07D5" w:rsidP="000D07D5">
            <w:pPr>
              <w:pStyle w:val="TableHeadingLeft"/>
              <w:spacing w:before="0" w:after="0"/>
              <w:rPr>
                <w:rFonts w:cs="Arial"/>
                <w:color w:val="auto"/>
                <w:sz w:val="22"/>
                <w:szCs w:val="22"/>
              </w:rPr>
            </w:pPr>
            <w:r w:rsidRPr="008F24AC">
              <w:rPr>
                <w:rFonts w:cs="Arial"/>
                <w:color w:val="auto"/>
                <w:sz w:val="22"/>
                <w:szCs w:val="22"/>
              </w:rPr>
              <w:t>Mean value</w:t>
            </w:r>
          </w:p>
        </w:tc>
        <w:tc>
          <w:tcPr>
            <w:tcW w:w="2551" w:type="dxa"/>
            <w:tcBorders>
              <w:top w:val="single" w:sz="12" w:space="0" w:color="auto"/>
              <w:bottom w:val="single" w:sz="4" w:space="0" w:color="auto"/>
            </w:tcBorders>
          </w:tcPr>
          <w:p w14:paraId="704DF75C" w14:textId="77777777" w:rsidR="000D07D5" w:rsidRPr="008F24AC" w:rsidRDefault="000D07D5" w:rsidP="000D07D5">
            <w:pPr>
              <w:pStyle w:val="TableHeadingLeft"/>
              <w:spacing w:before="0" w:after="0"/>
              <w:rPr>
                <w:rFonts w:cs="Arial"/>
                <w:color w:val="auto"/>
                <w:sz w:val="22"/>
                <w:szCs w:val="22"/>
              </w:rPr>
            </w:pPr>
            <w:r w:rsidRPr="008F24AC">
              <w:rPr>
                <w:rFonts w:cs="Arial"/>
                <w:color w:val="auto"/>
                <w:sz w:val="22"/>
                <w:szCs w:val="22"/>
              </w:rPr>
              <w:t>Probabilistic distribution</w:t>
            </w:r>
          </w:p>
        </w:tc>
        <w:tc>
          <w:tcPr>
            <w:tcW w:w="6180" w:type="dxa"/>
            <w:tcBorders>
              <w:top w:val="single" w:sz="12" w:space="0" w:color="auto"/>
              <w:bottom w:val="single" w:sz="4" w:space="0" w:color="auto"/>
            </w:tcBorders>
          </w:tcPr>
          <w:p w14:paraId="7A177B54" w14:textId="77777777" w:rsidR="000D07D5" w:rsidRPr="008F24AC" w:rsidRDefault="000D07D5" w:rsidP="000D07D5">
            <w:pPr>
              <w:pStyle w:val="TableHeadingLeft"/>
              <w:spacing w:before="0" w:after="0"/>
              <w:rPr>
                <w:rFonts w:cs="Arial"/>
                <w:color w:val="auto"/>
                <w:sz w:val="22"/>
                <w:szCs w:val="22"/>
              </w:rPr>
            </w:pPr>
            <w:r w:rsidRPr="008F24AC">
              <w:rPr>
                <w:rFonts w:cs="Arial"/>
                <w:color w:val="auto"/>
                <w:sz w:val="22"/>
                <w:szCs w:val="22"/>
              </w:rPr>
              <w:t>Source of data - comments</w:t>
            </w:r>
          </w:p>
        </w:tc>
      </w:tr>
      <w:tr w:rsidR="000D07D5" w:rsidRPr="008F24AC" w14:paraId="01ABDD67" w14:textId="77777777" w:rsidTr="008F24AC">
        <w:tc>
          <w:tcPr>
            <w:tcW w:w="3969" w:type="dxa"/>
            <w:tcBorders>
              <w:top w:val="single" w:sz="4" w:space="0" w:color="auto"/>
            </w:tcBorders>
          </w:tcPr>
          <w:p w14:paraId="387D6401" w14:textId="77777777" w:rsidR="000D07D5" w:rsidRPr="008F24AC" w:rsidRDefault="000D07D5" w:rsidP="000D07D5">
            <w:pPr>
              <w:pStyle w:val="TableTextLeft"/>
              <w:spacing w:before="0" w:after="0"/>
              <w:rPr>
                <w:rFonts w:cs="Arial"/>
                <w:b/>
                <w:sz w:val="22"/>
              </w:rPr>
            </w:pPr>
            <w:r w:rsidRPr="008F24AC">
              <w:rPr>
                <w:rFonts w:cs="Arial"/>
                <w:b/>
                <w:sz w:val="22"/>
              </w:rPr>
              <w:t xml:space="preserve">HR of recurrence (vs. AC </w:t>
            </w:r>
            <w:r w:rsidR="00725222" w:rsidRPr="008F24AC">
              <w:rPr>
                <w:rFonts w:cs="Arial"/>
                <w:b/>
                <w:sz w:val="22"/>
              </w:rPr>
              <w:t>only</w:t>
            </w:r>
            <w:r w:rsidRPr="008F24AC">
              <w:rPr>
                <w:rFonts w:cs="Arial"/>
                <w:b/>
                <w:sz w:val="22"/>
              </w:rPr>
              <w:t>)</w:t>
            </w:r>
          </w:p>
          <w:p w14:paraId="3D72436B" w14:textId="77777777" w:rsidR="000D07D5" w:rsidRPr="008F24AC" w:rsidRDefault="000D07D5" w:rsidP="000D07D5">
            <w:pPr>
              <w:pStyle w:val="TableTextLeft"/>
              <w:spacing w:before="0" w:after="0"/>
              <w:rPr>
                <w:rFonts w:cs="Arial"/>
                <w:sz w:val="22"/>
              </w:rPr>
            </w:pPr>
            <w:r w:rsidRPr="008F24AC">
              <w:rPr>
                <w:rFonts w:cs="Arial"/>
                <w:sz w:val="22"/>
              </w:rPr>
              <w:t>AC with synthetic non-absorbable mesh</w:t>
            </w:r>
          </w:p>
          <w:p w14:paraId="63913D88" w14:textId="77777777" w:rsidR="000D07D5" w:rsidRPr="008F24AC" w:rsidRDefault="000D07D5" w:rsidP="000D07D5">
            <w:pPr>
              <w:pStyle w:val="TableTextLeft"/>
              <w:spacing w:before="0" w:after="0"/>
              <w:rPr>
                <w:rFonts w:cs="Arial"/>
                <w:sz w:val="22"/>
              </w:rPr>
            </w:pPr>
            <w:r w:rsidRPr="008F24AC">
              <w:rPr>
                <w:rFonts w:cs="Arial"/>
                <w:sz w:val="22"/>
              </w:rPr>
              <w:t>AC with synthetic partially absorbable mesh</w:t>
            </w:r>
          </w:p>
          <w:p w14:paraId="55F26631" w14:textId="77777777" w:rsidR="000D07D5" w:rsidRPr="008F24AC" w:rsidRDefault="000D07D5" w:rsidP="000D07D5">
            <w:pPr>
              <w:pStyle w:val="TableTextLeft"/>
              <w:spacing w:before="0" w:after="0"/>
              <w:rPr>
                <w:rFonts w:cs="Arial"/>
                <w:sz w:val="22"/>
              </w:rPr>
            </w:pPr>
            <w:r w:rsidRPr="008F24AC">
              <w:rPr>
                <w:rFonts w:cs="Arial"/>
                <w:sz w:val="22"/>
              </w:rPr>
              <w:t>AC with biological mesh</w:t>
            </w:r>
          </w:p>
        </w:tc>
        <w:tc>
          <w:tcPr>
            <w:tcW w:w="1474" w:type="dxa"/>
            <w:tcBorders>
              <w:top w:val="single" w:sz="4" w:space="0" w:color="auto"/>
            </w:tcBorders>
          </w:tcPr>
          <w:p w14:paraId="4F475332" w14:textId="77777777" w:rsidR="000D07D5" w:rsidRPr="008F24AC" w:rsidRDefault="000D07D5" w:rsidP="000D07D5">
            <w:pPr>
              <w:pStyle w:val="TableTextLeft"/>
              <w:spacing w:before="0" w:after="0"/>
              <w:rPr>
                <w:rFonts w:cs="Arial"/>
                <w:sz w:val="22"/>
              </w:rPr>
            </w:pPr>
          </w:p>
          <w:p w14:paraId="7E4F867E" w14:textId="77777777" w:rsidR="000D07D5" w:rsidRPr="008F24AC" w:rsidRDefault="000D07D5" w:rsidP="000D07D5">
            <w:pPr>
              <w:pStyle w:val="TableTextLeft"/>
              <w:spacing w:before="0" w:after="0"/>
              <w:rPr>
                <w:rFonts w:cs="Arial"/>
                <w:sz w:val="22"/>
              </w:rPr>
            </w:pPr>
            <w:r w:rsidRPr="008F24AC">
              <w:rPr>
                <w:rFonts w:cs="Arial"/>
                <w:sz w:val="22"/>
              </w:rPr>
              <w:t>0.392</w:t>
            </w:r>
          </w:p>
          <w:p w14:paraId="4BE78E1A" w14:textId="77777777" w:rsidR="000D07D5" w:rsidRPr="008F24AC" w:rsidRDefault="000D07D5" w:rsidP="000D07D5">
            <w:pPr>
              <w:pStyle w:val="TableTextLeft"/>
              <w:spacing w:before="0" w:after="0"/>
              <w:rPr>
                <w:rFonts w:cs="Arial"/>
                <w:sz w:val="22"/>
              </w:rPr>
            </w:pPr>
            <w:r w:rsidRPr="008F24AC">
              <w:rPr>
                <w:rFonts w:cs="Arial"/>
                <w:sz w:val="22"/>
              </w:rPr>
              <w:t>0.291</w:t>
            </w:r>
          </w:p>
          <w:p w14:paraId="0D435EE1" w14:textId="77777777" w:rsidR="000D07D5" w:rsidRPr="008F24AC" w:rsidRDefault="000D07D5" w:rsidP="000D07D5">
            <w:pPr>
              <w:pStyle w:val="TableTextLeft"/>
              <w:spacing w:before="0" w:after="0"/>
              <w:rPr>
                <w:rFonts w:cs="Arial"/>
                <w:sz w:val="22"/>
              </w:rPr>
            </w:pPr>
            <w:r w:rsidRPr="008F24AC">
              <w:rPr>
                <w:rFonts w:cs="Arial"/>
                <w:sz w:val="22"/>
              </w:rPr>
              <w:t>0.456</w:t>
            </w:r>
          </w:p>
        </w:tc>
        <w:tc>
          <w:tcPr>
            <w:tcW w:w="2551" w:type="dxa"/>
            <w:tcBorders>
              <w:top w:val="single" w:sz="4" w:space="0" w:color="auto"/>
            </w:tcBorders>
          </w:tcPr>
          <w:p w14:paraId="6C9B92A3" w14:textId="7E716C23" w:rsidR="000D07D5" w:rsidRPr="008F24AC" w:rsidRDefault="00EC1FCB" w:rsidP="000D07D5">
            <w:pPr>
              <w:pStyle w:val="TableTextLeft"/>
              <w:spacing w:before="0" w:after="0"/>
              <w:rPr>
                <w:rFonts w:cs="Arial"/>
                <w:sz w:val="22"/>
              </w:rPr>
            </w:pPr>
            <w:r w:rsidRPr="008F24AC">
              <w:rPr>
                <w:rFonts w:cs="Arial"/>
                <w:sz w:val="22"/>
              </w:rPr>
              <w:t>Based on the NMA</w:t>
            </w:r>
          </w:p>
        </w:tc>
        <w:tc>
          <w:tcPr>
            <w:tcW w:w="6180" w:type="dxa"/>
            <w:tcBorders>
              <w:top w:val="single" w:sz="4" w:space="0" w:color="auto"/>
            </w:tcBorders>
          </w:tcPr>
          <w:p w14:paraId="27555A32" w14:textId="77777777" w:rsidR="000D07D5" w:rsidRPr="008F24AC" w:rsidRDefault="000D07D5" w:rsidP="000D07D5">
            <w:pPr>
              <w:pStyle w:val="TableTextLeft"/>
              <w:spacing w:before="0" w:after="0"/>
              <w:rPr>
                <w:rFonts w:cs="Arial"/>
                <w:sz w:val="22"/>
              </w:rPr>
            </w:pPr>
            <w:r w:rsidRPr="008F24AC">
              <w:rPr>
                <w:rFonts w:cs="Arial"/>
                <w:sz w:val="22"/>
              </w:rPr>
              <w:t>NMA; distributions formed by 10,000 iterations.</w:t>
            </w:r>
          </w:p>
          <w:p w14:paraId="1072080F" w14:textId="77777777" w:rsidR="000D07D5" w:rsidRPr="008F24AC" w:rsidRDefault="000D07D5" w:rsidP="000D07D5">
            <w:pPr>
              <w:pStyle w:val="TableTextLeft"/>
              <w:spacing w:before="0" w:after="0"/>
              <w:rPr>
                <w:rFonts w:cs="Arial"/>
                <w:sz w:val="22"/>
              </w:rPr>
            </w:pPr>
            <w:r w:rsidRPr="008F24AC">
              <w:rPr>
                <w:rFonts w:cs="Arial"/>
                <w:sz w:val="22"/>
              </w:rPr>
              <w:t>Given that the longest follow-up of RCTs included in the NMA was clustered around 12-36 months mesh treatment effect was applied for 3 years only.</w:t>
            </w:r>
          </w:p>
        </w:tc>
      </w:tr>
      <w:tr w:rsidR="000D07D5" w:rsidRPr="008F24AC" w14:paraId="640B4F6F" w14:textId="77777777" w:rsidTr="008F24AC">
        <w:tc>
          <w:tcPr>
            <w:tcW w:w="3969" w:type="dxa"/>
          </w:tcPr>
          <w:p w14:paraId="39596381" w14:textId="77777777" w:rsidR="000D07D5" w:rsidRPr="008F24AC" w:rsidRDefault="000D07D5" w:rsidP="000D07D5">
            <w:pPr>
              <w:pStyle w:val="TableTextLeft"/>
              <w:spacing w:before="0" w:after="0"/>
              <w:rPr>
                <w:rFonts w:cs="Arial"/>
                <w:b/>
                <w:sz w:val="22"/>
              </w:rPr>
            </w:pPr>
            <w:r w:rsidRPr="008F24AC">
              <w:rPr>
                <w:rFonts w:cs="Arial"/>
                <w:b/>
                <w:sz w:val="22"/>
              </w:rPr>
              <w:t>Baseline risk of recurrence – primary repair</w:t>
            </w:r>
          </w:p>
          <w:p w14:paraId="354B105A" w14:textId="77777777" w:rsidR="000D07D5" w:rsidRPr="008F24AC" w:rsidRDefault="000D07D5" w:rsidP="000D07D5">
            <w:pPr>
              <w:pStyle w:val="TableTextLeft"/>
              <w:spacing w:before="0" w:after="0"/>
              <w:rPr>
                <w:rFonts w:cs="Arial"/>
                <w:sz w:val="22"/>
              </w:rPr>
            </w:pPr>
            <w:r w:rsidRPr="008F24AC">
              <w:rPr>
                <w:rFonts w:cs="Arial"/>
                <w:sz w:val="22"/>
              </w:rPr>
              <w:t>Surgically managed recurrence – at 20 years</w:t>
            </w:r>
          </w:p>
          <w:p w14:paraId="1BBF17ED" w14:textId="77777777" w:rsidR="000D07D5" w:rsidRPr="008F24AC" w:rsidRDefault="000D07D5" w:rsidP="000D07D5">
            <w:pPr>
              <w:pStyle w:val="TableTextLeft"/>
              <w:spacing w:before="0" w:after="0"/>
              <w:rPr>
                <w:rFonts w:cs="Arial"/>
                <w:sz w:val="22"/>
              </w:rPr>
            </w:pPr>
            <w:r w:rsidRPr="008F24AC">
              <w:rPr>
                <w:rFonts w:cs="Arial"/>
                <w:sz w:val="22"/>
              </w:rPr>
              <w:t>Overall (anatomical) recurrence – at 3 years</w:t>
            </w:r>
          </w:p>
        </w:tc>
        <w:tc>
          <w:tcPr>
            <w:tcW w:w="1474" w:type="dxa"/>
          </w:tcPr>
          <w:p w14:paraId="0D05A0AA" w14:textId="77777777" w:rsidR="000D07D5" w:rsidRPr="008F24AC" w:rsidRDefault="000D07D5" w:rsidP="000D07D5">
            <w:pPr>
              <w:pStyle w:val="TableTextLeft"/>
              <w:spacing w:before="0" w:after="0"/>
              <w:rPr>
                <w:rFonts w:cs="Arial"/>
                <w:sz w:val="22"/>
              </w:rPr>
            </w:pPr>
          </w:p>
          <w:p w14:paraId="2BF14AC3" w14:textId="77777777" w:rsidR="000D07D5" w:rsidRPr="008F24AC" w:rsidRDefault="000D07D5" w:rsidP="000D07D5">
            <w:pPr>
              <w:pStyle w:val="TableTextLeft"/>
              <w:spacing w:before="0" w:after="0"/>
              <w:rPr>
                <w:rFonts w:cs="Arial"/>
                <w:sz w:val="22"/>
              </w:rPr>
            </w:pPr>
            <w:r w:rsidRPr="008F24AC">
              <w:rPr>
                <w:rFonts w:cs="Arial"/>
                <w:sz w:val="22"/>
              </w:rPr>
              <w:t>0.090</w:t>
            </w:r>
          </w:p>
          <w:p w14:paraId="62CDECBC" w14:textId="77777777" w:rsidR="000D07D5" w:rsidRPr="008F24AC" w:rsidRDefault="000D07D5" w:rsidP="000D07D5">
            <w:pPr>
              <w:pStyle w:val="TableTextLeft"/>
              <w:spacing w:before="0" w:after="0"/>
              <w:rPr>
                <w:rFonts w:cs="Arial"/>
                <w:sz w:val="22"/>
              </w:rPr>
            </w:pPr>
            <w:r w:rsidRPr="008F24AC">
              <w:rPr>
                <w:rFonts w:cs="Arial"/>
                <w:sz w:val="22"/>
              </w:rPr>
              <w:t>0.490</w:t>
            </w:r>
          </w:p>
        </w:tc>
        <w:tc>
          <w:tcPr>
            <w:tcW w:w="2551" w:type="dxa"/>
          </w:tcPr>
          <w:p w14:paraId="10FFD698" w14:textId="77777777" w:rsidR="000D07D5" w:rsidRPr="008F24AC" w:rsidRDefault="000D07D5" w:rsidP="000D07D5">
            <w:pPr>
              <w:pStyle w:val="TableTextLeft"/>
              <w:spacing w:before="0" w:after="0"/>
              <w:rPr>
                <w:rFonts w:cs="Arial"/>
                <w:sz w:val="22"/>
                <w:lang w:val="sv-SE"/>
              </w:rPr>
            </w:pPr>
            <w:r w:rsidRPr="008F24AC">
              <w:rPr>
                <w:rFonts w:cs="Arial"/>
                <w:sz w:val="22"/>
                <w:lang w:val="sv-SE"/>
              </w:rPr>
              <w:t>Beta distribution</w:t>
            </w:r>
          </w:p>
          <w:p w14:paraId="41D84715" w14:textId="77777777" w:rsidR="000D07D5" w:rsidRPr="008F24AC" w:rsidRDefault="000D07D5" w:rsidP="000D07D5">
            <w:pPr>
              <w:pStyle w:val="TableTextLeft"/>
              <w:spacing w:before="0" w:after="0"/>
              <w:rPr>
                <w:rFonts w:cs="Arial"/>
                <w:sz w:val="22"/>
                <w:lang w:val="sv-SE"/>
              </w:rPr>
            </w:pPr>
            <w:r w:rsidRPr="008F24AC">
              <w:rPr>
                <w:rFonts w:cs="Arial"/>
                <w:sz w:val="22"/>
                <w:lang w:val="sv-SE"/>
              </w:rPr>
              <w:t>alpha: 777, beta: 7549</w:t>
            </w:r>
          </w:p>
          <w:p w14:paraId="212BBD82" w14:textId="77777777" w:rsidR="000D07D5" w:rsidRPr="008F24AC" w:rsidRDefault="000D07D5" w:rsidP="000D07D5">
            <w:pPr>
              <w:pStyle w:val="TableTextLeft"/>
              <w:spacing w:before="0" w:after="0"/>
              <w:rPr>
                <w:rFonts w:cs="Arial"/>
                <w:sz w:val="22"/>
                <w:lang w:val="sv-SE"/>
              </w:rPr>
            </w:pPr>
            <w:r w:rsidRPr="008F24AC">
              <w:rPr>
                <w:rFonts w:cs="Arial"/>
                <w:sz w:val="22"/>
                <w:lang w:val="sv-SE"/>
              </w:rPr>
              <w:t>alpha: 40, beta: 42</w:t>
            </w:r>
          </w:p>
        </w:tc>
        <w:tc>
          <w:tcPr>
            <w:tcW w:w="6180" w:type="dxa"/>
          </w:tcPr>
          <w:p w14:paraId="2611E5A4" w14:textId="77777777" w:rsidR="000D07D5" w:rsidRPr="008F24AC" w:rsidRDefault="000D07D5" w:rsidP="000D07D5">
            <w:pPr>
              <w:pStyle w:val="TableTextLeft"/>
              <w:spacing w:before="0" w:after="0"/>
              <w:rPr>
                <w:rFonts w:cs="Arial"/>
                <w:sz w:val="22"/>
                <w:lang w:val="sv-SE"/>
              </w:rPr>
            </w:pPr>
          </w:p>
          <w:p w14:paraId="17A38E03" w14:textId="77777777" w:rsidR="000D07D5" w:rsidRPr="008F24AC" w:rsidRDefault="000D07D5" w:rsidP="000D07D5">
            <w:pPr>
              <w:pStyle w:val="TableTextLeft"/>
              <w:spacing w:before="0" w:after="0"/>
              <w:rPr>
                <w:rFonts w:cs="Arial"/>
                <w:sz w:val="22"/>
                <w:lang w:val="da-DK"/>
              </w:rPr>
            </w:pPr>
            <w:r w:rsidRPr="008F24AC">
              <w:rPr>
                <w:rFonts w:cs="Arial"/>
                <w:sz w:val="22"/>
                <w:lang w:val="da-DK"/>
              </w:rPr>
              <w:t>Lowenstein 2017.</w:t>
            </w:r>
          </w:p>
          <w:p w14:paraId="788BBCDD" w14:textId="77777777" w:rsidR="000D07D5" w:rsidRPr="008F24AC" w:rsidRDefault="000D07D5" w:rsidP="000D07D5">
            <w:pPr>
              <w:pStyle w:val="TableTextLeft"/>
              <w:spacing w:before="0" w:after="0"/>
              <w:rPr>
                <w:rFonts w:cs="Arial"/>
                <w:sz w:val="22"/>
                <w:lang w:val="da-DK"/>
              </w:rPr>
            </w:pPr>
            <w:r w:rsidRPr="008F24AC">
              <w:rPr>
                <w:rFonts w:cs="Arial"/>
                <w:sz w:val="22"/>
                <w:lang w:val="da-DK"/>
              </w:rPr>
              <w:t>Rudnicki 2014.</w:t>
            </w:r>
          </w:p>
          <w:p w14:paraId="23D957D5" w14:textId="77777777" w:rsidR="000D07D5" w:rsidRPr="008F24AC" w:rsidRDefault="000D07D5" w:rsidP="000D07D5">
            <w:pPr>
              <w:pStyle w:val="TableTextLeft"/>
              <w:spacing w:before="0" w:after="0"/>
              <w:rPr>
                <w:rFonts w:cs="Arial"/>
                <w:sz w:val="22"/>
              </w:rPr>
            </w:pPr>
            <w:r w:rsidRPr="008F24AC">
              <w:rPr>
                <w:rFonts w:cs="Arial"/>
                <w:sz w:val="22"/>
              </w:rPr>
              <w:t>The reported rates were annualised and expressed as annual probabilities.</w:t>
            </w:r>
          </w:p>
        </w:tc>
      </w:tr>
      <w:tr w:rsidR="000D07D5" w:rsidRPr="008F24AC" w14:paraId="77DECAF6" w14:textId="77777777" w:rsidTr="008F24AC">
        <w:tc>
          <w:tcPr>
            <w:tcW w:w="3969" w:type="dxa"/>
          </w:tcPr>
          <w:p w14:paraId="20F332FD" w14:textId="77777777" w:rsidR="000D07D5" w:rsidRPr="008F24AC" w:rsidRDefault="000D07D5" w:rsidP="000D07D5">
            <w:pPr>
              <w:pStyle w:val="TableTextLeft"/>
              <w:spacing w:before="0" w:after="0"/>
              <w:rPr>
                <w:rFonts w:cs="Arial"/>
                <w:b/>
                <w:sz w:val="22"/>
              </w:rPr>
            </w:pPr>
            <w:r w:rsidRPr="008F24AC">
              <w:rPr>
                <w:rFonts w:cs="Arial"/>
                <w:b/>
                <w:sz w:val="22"/>
              </w:rPr>
              <w:t>Risk of surgically managed recurrence (secondary repair) - 12 years</w:t>
            </w:r>
          </w:p>
        </w:tc>
        <w:tc>
          <w:tcPr>
            <w:tcW w:w="1474" w:type="dxa"/>
          </w:tcPr>
          <w:p w14:paraId="2CF7C956" w14:textId="77777777" w:rsidR="000D07D5" w:rsidRPr="008F24AC" w:rsidRDefault="000D07D5" w:rsidP="000D07D5">
            <w:pPr>
              <w:pStyle w:val="TableTextLeft"/>
              <w:spacing w:before="0" w:after="0"/>
              <w:rPr>
                <w:rFonts w:cs="Arial"/>
                <w:sz w:val="22"/>
              </w:rPr>
            </w:pPr>
            <w:r w:rsidRPr="008F24AC">
              <w:rPr>
                <w:rFonts w:cs="Arial"/>
                <w:sz w:val="22"/>
              </w:rPr>
              <w:t>0.280</w:t>
            </w:r>
          </w:p>
        </w:tc>
        <w:tc>
          <w:tcPr>
            <w:tcW w:w="2551" w:type="dxa"/>
          </w:tcPr>
          <w:p w14:paraId="38F3AF46" w14:textId="77777777" w:rsidR="000D07D5" w:rsidRPr="008F24AC" w:rsidRDefault="000D07D5" w:rsidP="000D07D5">
            <w:pPr>
              <w:pStyle w:val="TableTextLeft"/>
              <w:spacing w:before="0" w:after="0"/>
              <w:rPr>
                <w:rFonts w:cs="Arial"/>
                <w:sz w:val="22"/>
              </w:rPr>
            </w:pPr>
            <w:r w:rsidRPr="008F24AC">
              <w:rPr>
                <w:rFonts w:cs="Arial"/>
                <w:sz w:val="22"/>
              </w:rPr>
              <w:t>Beta distribution</w:t>
            </w:r>
          </w:p>
          <w:p w14:paraId="7797F1C2" w14:textId="77777777" w:rsidR="000D07D5" w:rsidRPr="008F24AC" w:rsidRDefault="000D07D5" w:rsidP="000D07D5">
            <w:pPr>
              <w:pStyle w:val="TableTextLeft"/>
              <w:spacing w:before="0" w:after="0"/>
              <w:rPr>
                <w:rFonts w:cs="Arial"/>
                <w:sz w:val="22"/>
              </w:rPr>
            </w:pPr>
            <w:r w:rsidRPr="008F24AC">
              <w:rPr>
                <w:rFonts w:cs="Arial"/>
                <w:sz w:val="22"/>
              </w:rPr>
              <w:t>alpha: 31, beta: 80</w:t>
            </w:r>
          </w:p>
        </w:tc>
        <w:tc>
          <w:tcPr>
            <w:tcW w:w="6180" w:type="dxa"/>
          </w:tcPr>
          <w:p w14:paraId="1B229DCF" w14:textId="77777777" w:rsidR="000D07D5" w:rsidRPr="008F24AC" w:rsidRDefault="000D07D5" w:rsidP="000D07D5">
            <w:pPr>
              <w:pStyle w:val="TableTextLeft"/>
              <w:spacing w:before="0" w:after="0"/>
              <w:rPr>
                <w:rFonts w:cs="Arial"/>
                <w:sz w:val="22"/>
              </w:rPr>
            </w:pPr>
            <w:r w:rsidRPr="008F24AC">
              <w:rPr>
                <w:rFonts w:cs="Arial"/>
                <w:sz w:val="22"/>
              </w:rPr>
              <w:t>Denman 2008.</w:t>
            </w:r>
          </w:p>
          <w:p w14:paraId="1A0CCB45" w14:textId="77777777" w:rsidR="000D07D5" w:rsidRPr="008F24AC" w:rsidRDefault="000D07D5" w:rsidP="000D07D5">
            <w:pPr>
              <w:pStyle w:val="TableTextLeft"/>
              <w:spacing w:before="0" w:after="0"/>
              <w:rPr>
                <w:rFonts w:cs="Arial"/>
                <w:sz w:val="22"/>
              </w:rPr>
            </w:pPr>
            <w:r w:rsidRPr="008F24AC">
              <w:rPr>
                <w:rFonts w:cs="Arial"/>
                <w:sz w:val="22"/>
              </w:rPr>
              <w:t>The reported rate was annualised and expressed as an annual probability.</w:t>
            </w:r>
          </w:p>
        </w:tc>
      </w:tr>
      <w:tr w:rsidR="000D07D5" w:rsidRPr="008F24AC" w14:paraId="06B7C121" w14:textId="77777777" w:rsidTr="008F24AC">
        <w:tc>
          <w:tcPr>
            <w:tcW w:w="3969" w:type="dxa"/>
          </w:tcPr>
          <w:p w14:paraId="391D48B6" w14:textId="77777777" w:rsidR="000D07D5" w:rsidRPr="008F24AC" w:rsidRDefault="000D07D5" w:rsidP="00725222">
            <w:pPr>
              <w:pStyle w:val="TableTextLeft"/>
              <w:spacing w:before="0" w:after="0"/>
              <w:rPr>
                <w:rFonts w:cs="Arial"/>
                <w:b/>
                <w:sz w:val="22"/>
              </w:rPr>
            </w:pPr>
            <w:r w:rsidRPr="008F24AC">
              <w:rPr>
                <w:rFonts w:cs="Arial"/>
                <w:b/>
                <w:sz w:val="22"/>
              </w:rPr>
              <w:t>Risk of anatomical recurrence (secondary repair) – 1 year</w:t>
            </w:r>
          </w:p>
        </w:tc>
        <w:tc>
          <w:tcPr>
            <w:tcW w:w="1474" w:type="dxa"/>
          </w:tcPr>
          <w:p w14:paraId="337B4602" w14:textId="77777777" w:rsidR="000D07D5" w:rsidRPr="008F24AC" w:rsidRDefault="000D07D5" w:rsidP="000D07D5">
            <w:pPr>
              <w:pStyle w:val="TableTextLeft"/>
              <w:spacing w:before="0" w:after="0"/>
              <w:rPr>
                <w:rFonts w:cs="Arial"/>
                <w:sz w:val="22"/>
              </w:rPr>
            </w:pPr>
            <w:r w:rsidRPr="008F24AC">
              <w:rPr>
                <w:rFonts w:cs="Arial"/>
                <w:sz w:val="22"/>
              </w:rPr>
              <w:t>0.509</w:t>
            </w:r>
          </w:p>
        </w:tc>
        <w:tc>
          <w:tcPr>
            <w:tcW w:w="2551" w:type="dxa"/>
          </w:tcPr>
          <w:p w14:paraId="1B39970A" w14:textId="77777777" w:rsidR="000D07D5" w:rsidRPr="008F24AC" w:rsidRDefault="000D07D5" w:rsidP="000D07D5">
            <w:pPr>
              <w:pStyle w:val="TableTextLeft"/>
              <w:spacing w:before="0" w:after="0"/>
              <w:rPr>
                <w:rFonts w:cs="Arial"/>
                <w:sz w:val="22"/>
              </w:rPr>
            </w:pPr>
            <w:r w:rsidRPr="008F24AC">
              <w:rPr>
                <w:rFonts w:cs="Arial"/>
                <w:sz w:val="22"/>
              </w:rPr>
              <w:t>Beta distribution</w:t>
            </w:r>
          </w:p>
          <w:p w14:paraId="0B642C15" w14:textId="77777777" w:rsidR="000D07D5" w:rsidRPr="008F24AC" w:rsidRDefault="000D07D5" w:rsidP="000D07D5">
            <w:pPr>
              <w:pStyle w:val="TableTextLeft"/>
              <w:spacing w:before="0" w:after="0"/>
              <w:rPr>
                <w:rFonts w:cs="Arial"/>
                <w:sz w:val="22"/>
              </w:rPr>
            </w:pPr>
            <w:r w:rsidRPr="008F24AC">
              <w:rPr>
                <w:rFonts w:cs="Arial"/>
                <w:sz w:val="22"/>
              </w:rPr>
              <w:t>alpha: 54, beta: 52</w:t>
            </w:r>
          </w:p>
        </w:tc>
        <w:tc>
          <w:tcPr>
            <w:tcW w:w="6180" w:type="dxa"/>
          </w:tcPr>
          <w:p w14:paraId="1CFBE61E" w14:textId="77777777" w:rsidR="000D07D5" w:rsidRPr="008F24AC" w:rsidRDefault="000D07D5" w:rsidP="000D07D5">
            <w:pPr>
              <w:pStyle w:val="TableTextLeft"/>
              <w:spacing w:before="0" w:after="0"/>
              <w:rPr>
                <w:rFonts w:cs="Arial"/>
                <w:sz w:val="22"/>
              </w:rPr>
            </w:pPr>
            <w:r w:rsidRPr="008F24AC">
              <w:rPr>
                <w:rFonts w:cs="Arial"/>
                <w:sz w:val="22"/>
              </w:rPr>
              <w:t>Glazener 2016.</w:t>
            </w:r>
          </w:p>
        </w:tc>
      </w:tr>
      <w:tr w:rsidR="000D07D5" w:rsidRPr="008F24AC" w14:paraId="3D4F26F2" w14:textId="77777777" w:rsidTr="008F24AC">
        <w:tc>
          <w:tcPr>
            <w:tcW w:w="3969" w:type="dxa"/>
          </w:tcPr>
          <w:p w14:paraId="5278B341" w14:textId="77777777" w:rsidR="000D07D5" w:rsidRPr="008F24AC" w:rsidRDefault="000D07D5" w:rsidP="000D07D5">
            <w:pPr>
              <w:pStyle w:val="TableTextLeft"/>
              <w:spacing w:before="0" w:after="0"/>
              <w:rPr>
                <w:rFonts w:cs="Arial"/>
                <w:b/>
                <w:sz w:val="22"/>
              </w:rPr>
            </w:pPr>
            <w:r w:rsidRPr="008F24AC">
              <w:rPr>
                <w:rFonts w:cs="Arial"/>
                <w:b/>
                <w:sz w:val="22"/>
              </w:rPr>
              <w:t>Recurrence (less surgically managed recurrence) requiring conservative management</w:t>
            </w:r>
          </w:p>
        </w:tc>
        <w:tc>
          <w:tcPr>
            <w:tcW w:w="1474" w:type="dxa"/>
          </w:tcPr>
          <w:p w14:paraId="7B819B27" w14:textId="77777777" w:rsidR="000D07D5" w:rsidRPr="008F24AC" w:rsidRDefault="000D07D5" w:rsidP="000D07D5">
            <w:pPr>
              <w:pStyle w:val="TableTextLeft"/>
              <w:spacing w:before="0" w:after="0"/>
              <w:rPr>
                <w:rFonts w:cs="Arial"/>
                <w:sz w:val="22"/>
              </w:rPr>
            </w:pPr>
            <w:r w:rsidRPr="008F24AC">
              <w:rPr>
                <w:rFonts w:cs="Arial"/>
                <w:sz w:val="22"/>
              </w:rPr>
              <w:t>0.500</w:t>
            </w:r>
          </w:p>
        </w:tc>
        <w:tc>
          <w:tcPr>
            <w:tcW w:w="2551" w:type="dxa"/>
          </w:tcPr>
          <w:p w14:paraId="362A1F81" w14:textId="77777777" w:rsidR="000D07D5" w:rsidRPr="008F24AC" w:rsidRDefault="000D07D5" w:rsidP="000D07D5">
            <w:pPr>
              <w:pStyle w:val="TableTextLeft"/>
              <w:spacing w:before="0" w:after="0"/>
              <w:rPr>
                <w:rFonts w:cs="Arial"/>
                <w:sz w:val="22"/>
              </w:rPr>
            </w:pPr>
            <w:r w:rsidRPr="008F24AC">
              <w:rPr>
                <w:rFonts w:cs="Arial"/>
                <w:sz w:val="22"/>
              </w:rPr>
              <w:t>Beta distribution</w:t>
            </w:r>
          </w:p>
          <w:p w14:paraId="090766EB" w14:textId="77777777" w:rsidR="000D07D5" w:rsidRPr="008F24AC" w:rsidRDefault="000D07D5" w:rsidP="000D07D5">
            <w:pPr>
              <w:pStyle w:val="TableTextLeft"/>
              <w:spacing w:before="0" w:after="0"/>
              <w:rPr>
                <w:rFonts w:cs="Arial"/>
                <w:sz w:val="22"/>
              </w:rPr>
            </w:pPr>
            <w:r w:rsidRPr="008F24AC">
              <w:rPr>
                <w:rFonts w:cs="Arial"/>
                <w:sz w:val="22"/>
              </w:rPr>
              <w:t>SE: 20% of mean values (assumption)</w:t>
            </w:r>
          </w:p>
        </w:tc>
        <w:tc>
          <w:tcPr>
            <w:tcW w:w="6180" w:type="dxa"/>
          </w:tcPr>
          <w:p w14:paraId="7C03EAAF" w14:textId="77777777" w:rsidR="000D07D5" w:rsidRPr="008F24AC" w:rsidRDefault="000D07D5" w:rsidP="000D07D5">
            <w:pPr>
              <w:pStyle w:val="TableTextLeft"/>
              <w:spacing w:before="0" w:after="0"/>
              <w:rPr>
                <w:rFonts w:cs="Arial"/>
                <w:sz w:val="22"/>
              </w:rPr>
            </w:pPr>
            <w:r w:rsidRPr="008F24AC">
              <w:rPr>
                <w:rFonts w:cs="Arial"/>
                <w:sz w:val="22"/>
              </w:rPr>
              <w:t>Committee expert opinion.</w:t>
            </w:r>
          </w:p>
        </w:tc>
      </w:tr>
      <w:tr w:rsidR="000D07D5" w:rsidRPr="008F24AC" w14:paraId="20483A93" w14:textId="77777777" w:rsidTr="008F24AC">
        <w:tc>
          <w:tcPr>
            <w:tcW w:w="3969" w:type="dxa"/>
          </w:tcPr>
          <w:p w14:paraId="2095F6FF" w14:textId="77777777" w:rsidR="000D07D5" w:rsidRPr="008F24AC" w:rsidRDefault="000D07D5" w:rsidP="000D07D5">
            <w:pPr>
              <w:pStyle w:val="TableTextLeft"/>
              <w:spacing w:before="0" w:after="0"/>
              <w:rPr>
                <w:rFonts w:cs="Arial"/>
                <w:b/>
                <w:sz w:val="22"/>
              </w:rPr>
            </w:pPr>
            <w:r w:rsidRPr="008F24AC">
              <w:rPr>
                <w:rFonts w:cs="Arial"/>
                <w:b/>
                <w:sz w:val="22"/>
              </w:rPr>
              <w:t>Risk of mesh extrusion with synthetic mesh</w:t>
            </w:r>
          </w:p>
          <w:p w14:paraId="34314963" w14:textId="77777777" w:rsidR="000D07D5" w:rsidRPr="008F24AC" w:rsidRDefault="000D07D5" w:rsidP="000D07D5">
            <w:pPr>
              <w:pStyle w:val="TableTextLeft"/>
              <w:spacing w:before="0" w:after="0"/>
              <w:rPr>
                <w:rFonts w:cs="Arial"/>
                <w:sz w:val="22"/>
              </w:rPr>
            </w:pPr>
            <w:r w:rsidRPr="008F24AC">
              <w:rPr>
                <w:rFonts w:cs="Arial"/>
                <w:sz w:val="22"/>
              </w:rPr>
              <w:t>Year 1</w:t>
            </w:r>
          </w:p>
          <w:p w14:paraId="61D93002" w14:textId="77777777" w:rsidR="000D07D5" w:rsidRPr="008F24AC" w:rsidRDefault="000D07D5" w:rsidP="000D07D5">
            <w:pPr>
              <w:pStyle w:val="TableTextLeft"/>
              <w:spacing w:before="0" w:after="0"/>
              <w:rPr>
                <w:rFonts w:cs="Arial"/>
                <w:sz w:val="22"/>
              </w:rPr>
            </w:pPr>
            <w:r w:rsidRPr="008F24AC">
              <w:rPr>
                <w:rFonts w:cs="Arial"/>
                <w:sz w:val="22"/>
              </w:rPr>
              <w:t>Year 2-3</w:t>
            </w:r>
          </w:p>
          <w:p w14:paraId="64139CC8" w14:textId="77777777" w:rsidR="000D07D5" w:rsidRPr="008F24AC" w:rsidRDefault="000D07D5" w:rsidP="000D07D5">
            <w:pPr>
              <w:pStyle w:val="TableTextLeft"/>
              <w:spacing w:before="0" w:after="0"/>
              <w:rPr>
                <w:rFonts w:cs="Arial"/>
                <w:sz w:val="22"/>
              </w:rPr>
            </w:pPr>
            <w:r w:rsidRPr="008F24AC">
              <w:rPr>
                <w:rFonts w:cs="Arial"/>
                <w:sz w:val="22"/>
              </w:rPr>
              <w:t>Year 4-5</w:t>
            </w:r>
          </w:p>
        </w:tc>
        <w:tc>
          <w:tcPr>
            <w:tcW w:w="1474" w:type="dxa"/>
          </w:tcPr>
          <w:p w14:paraId="5F729F9D" w14:textId="77777777" w:rsidR="000D07D5" w:rsidRPr="008F24AC" w:rsidRDefault="000D07D5" w:rsidP="000D07D5">
            <w:pPr>
              <w:pStyle w:val="TableTextLeft"/>
              <w:spacing w:before="0" w:after="0"/>
              <w:rPr>
                <w:rFonts w:cs="Arial"/>
                <w:sz w:val="22"/>
              </w:rPr>
            </w:pPr>
          </w:p>
          <w:p w14:paraId="4B6226A5" w14:textId="77777777" w:rsidR="000D07D5" w:rsidRPr="008F24AC" w:rsidRDefault="000D07D5" w:rsidP="000D07D5">
            <w:pPr>
              <w:pStyle w:val="TableTextLeft"/>
              <w:spacing w:before="0" w:after="0"/>
              <w:rPr>
                <w:rFonts w:cs="Arial"/>
                <w:sz w:val="22"/>
              </w:rPr>
            </w:pPr>
            <w:r w:rsidRPr="008F24AC">
              <w:rPr>
                <w:rFonts w:cs="Arial"/>
                <w:sz w:val="22"/>
              </w:rPr>
              <w:t>0.13</w:t>
            </w:r>
          </w:p>
          <w:p w14:paraId="0F717544" w14:textId="77777777" w:rsidR="000D07D5" w:rsidRPr="008F24AC" w:rsidRDefault="000D07D5" w:rsidP="000D07D5">
            <w:pPr>
              <w:pStyle w:val="TableTextLeft"/>
              <w:spacing w:before="0" w:after="0"/>
              <w:rPr>
                <w:rFonts w:cs="Arial"/>
                <w:sz w:val="22"/>
              </w:rPr>
            </w:pPr>
            <w:r w:rsidRPr="008F24AC">
              <w:rPr>
                <w:rFonts w:cs="Arial"/>
                <w:sz w:val="22"/>
              </w:rPr>
              <w:t>0.03</w:t>
            </w:r>
          </w:p>
          <w:p w14:paraId="0EAC65B5" w14:textId="77777777" w:rsidR="000D07D5" w:rsidRPr="008F24AC" w:rsidRDefault="000D07D5" w:rsidP="000D07D5">
            <w:pPr>
              <w:pStyle w:val="TableTextLeft"/>
              <w:spacing w:before="0" w:after="0"/>
              <w:rPr>
                <w:rFonts w:cs="Arial"/>
                <w:sz w:val="22"/>
              </w:rPr>
            </w:pPr>
            <w:r w:rsidRPr="008F24AC">
              <w:rPr>
                <w:rFonts w:cs="Arial"/>
                <w:sz w:val="22"/>
              </w:rPr>
              <w:t>0.03</w:t>
            </w:r>
          </w:p>
        </w:tc>
        <w:tc>
          <w:tcPr>
            <w:tcW w:w="2551" w:type="dxa"/>
          </w:tcPr>
          <w:p w14:paraId="06C6867B" w14:textId="77777777" w:rsidR="000D07D5" w:rsidRPr="008F24AC" w:rsidRDefault="000D07D5" w:rsidP="000D07D5">
            <w:pPr>
              <w:pStyle w:val="TableTextLeft"/>
              <w:spacing w:before="0" w:after="0"/>
              <w:rPr>
                <w:rFonts w:cs="Arial"/>
                <w:sz w:val="22"/>
                <w:lang w:val="sv-SE"/>
              </w:rPr>
            </w:pPr>
            <w:r w:rsidRPr="008F24AC">
              <w:rPr>
                <w:rFonts w:cs="Arial"/>
                <w:sz w:val="22"/>
                <w:lang w:val="sv-SE"/>
              </w:rPr>
              <w:t>Beta distribution</w:t>
            </w:r>
          </w:p>
          <w:p w14:paraId="0921D93B" w14:textId="77777777" w:rsidR="000D07D5" w:rsidRPr="008F24AC" w:rsidRDefault="000D07D5" w:rsidP="000D07D5">
            <w:pPr>
              <w:pStyle w:val="TableTextLeft"/>
              <w:spacing w:before="0" w:after="0"/>
              <w:rPr>
                <w:rFonts w:cs="Arial"/>
                <w:sz w:val="22"/>
                <w:lang w:val="sv-SE"/>
              </w:rPr>
            </w:pPr>
            <w:r w:rsidRPr="008F24AC">
              <w:rPr>
                <w:rFonts w:cs="Arial"/>
                <w:sz w:val="22"/>
                <w:lang w:val="sv-SE"/>
              </w:rPr>
              <w:t>alpha: 11, beta: 71</w:t>
            </w:r>
          </w:p>
          <w:p w14:paraId="729756EA" w14:textId="77777777" w:rsidR="000D07D5" w:rsidRPr="008F24AC" w:rsidRDefault="000D07D5" w:rsidP="000D07D5">
            <w:pPr>
              <w:pStyle w:val="TableTextLeft"/>
              <w:spacing w:before="0" w:after="0"/>
              <w:rPr>
                <w:rFonts w:cs="Arial"/>
                <w:sz w:val="22"/>
                <w:lang w:val="sv-SE"/>
              </w:rPr>
            </w:pPr>
            <w:r w:rsidRPr="008F24AC">
              <w:rPr>
                <w:rFonts w:cs="Arial"/>
                <w:sz w:val="22"/>
                <w:lang w:val="sv-SE"/>
              </w:rPr>
              <w:t>alpha: 2, beta: 69</w:t>
            </w:r>
          </w:p>
          <w:p w14:paraId="32EE4ED6" w14:textId="77777777" w:rsidR="000D07D5" w:rsidRPr="008F24AC" w:rsidRDefault="000D07D5" w:rsidP="000D07D5">
            <w:pPr>
              <w:pStyle w:val="TableTextLeft"/>
              <w:spacing w:before="0" w:after="0"/>
              <w:rPr>
                <w:rFonts w:cs="Arial"/>
                <w:sz w:val="22"/>
              </w:rPr>
            </w:pPr>
            <w:r w:rsidRPr="008F24AC">
              <w:rPr>
                <w:rFonts w:cs="Arial"/>
                <w:sz w:val="22"/>
              </w:rPr>
              <w:t>alpha: 2, beta: 67</w:t>
            </w:r>
          </w:p>
        </w:tc>
        <w:tc>
          <w:tcPr>
            <w:tcW w:w="6180" w:type="dxa"/>
          </w:tcPr>
          <w:p w14:paraId="7B533D15" w14:textId="77777777" w:rsidR="000D07D5" w:rsidRPr="008F24AC" w:rsidRDefault="000D07D5" w:rsidP="000D07D5">
            <w:pPr>
              <w:pStyle w:val="TableTextLeft"/>
              <w:spacing w:before="0" w:after="0"/>
              <w:rPr>
                <w:rFonts w:cs="Arial"/>
                <w:sz w:val="22"/>
              </w:rPr>
            </w:pPr>
            <w:r w:rsidRPr="008F24AC">
              <w:rPr>
                <w:rFonts w:cs="Arial"/>
                <w:sz w:val="22"/>
              </w:rPr>
              <w:t>Jacquetin 2013.</w:t>
            </w:r>
          </w:p>
          <w:p w14:paraId="435B4A8F" w14:textId="77777777" w:rsidR="000D07D5" w:rsidRPr="008F24AC" w:rsidRDefault="000D07D5" w:rsidP="000D07D5">
            <w:pPr>
              <w:pStyle w:val="TableTextLeft"/>
              <w:spacing w:before="0" w:after="0"/>
              <w:rPr>
                <w:rFonts w:cs="Arial"/>
                <w:sz w:val="22"/>
                <w:highlight w:val="yellow"/>
              </w:rPr>
            </w:pPr>
            <w:r w:rsidRPr="008F24AC">
              <w:rPr>
                <w:rFonts w:cs="Arial"/>
                <w:sz w:val="22"/>
              </w:rPr>
              <w:t>The rates were annualised and expressed as annual probabilities. The probability of mesh extrusion in year 5 was carried over and used in each year for the duration of the model.</w:t>
            </w:r>
          </w:p>
        </w:tc>
      </w:tr>
      <w:tr w:rsidR="000D07D5" w:rsidRPr="008F24AC" w14:paraId="54ED5F92" w14:textId="77777777" w:rsidTr="008F24AC">
        <w:tc>
          <w:tcPr>
            <w:tcW w:w="3969" w:type="dxa"/>
          </w:tcPr>
          <w:p w14:paraId="0DFBDF17" w14:textId="77777777" w:rsidR="000D07D5" w:rsidRPr="008F24AC" w:rsidRDefault="000D07D5" w:rsidP="000D07D5">
            <w:pPr>
              <w:pStyle w:val="TableTextLeft"/>
              <w:spacing w:before="0" w:after="0"/>
              <w:rPr>
                <w:rFonts w:cs="Arial"/>
                <w:b/>
                <w:sz w:val="22"/>
              </w:rPr>
            </w:pPr>
            <w:r w:rsidRPr="008F24AC">
              <w:rPr>
                <w:rFonts w:cs="Arial"/>
                <w:b/>
                <w:sz w:val="22"/>
              </w:rPr>
              <w:t>Risk ratio of mesh extrusion with biological mesh vs. synthetic mesh</w:t>
            </w:r>
          </w:p>
        </w:tc>
        <w:tc>
          <w:tcPr>
            <w:tcW w:w="1474" w:type="dxa"/>
          </w:tcPr>
          <w:p w14:paraId="12AA25FD" w14:textId="77777777" w:rsidR="000D07D5" w:rsidRPr="008F24AC" w:rsidRDefault="000D07D5" w:rsidP="000D07D5">
            <w:pPr>
              <w:pStyle w:val="TableTextLeft"/>
              <w:spacing w:before="0" w:after="0"/>
              <w:rPr>
                <w:rFonts w:cs="Arial"/>
                <w:sz w:val="22"/>
              </w:rPr>
            </w:pPr>
            <w:r w:rsidRPr="008F24AC">
              <w:rPr>
                <w:rFonts w:cs="Arial"/>
                <w:sz w:val="22"/>
              </w:rPr>
              <w:t>0.14</w:t>
            </w:r>
          </w:p>
        </w:tc>
        <w:tc>
          <w:tcPr>
            <w:tcW w:w="2551" w:type="dxa"/>
          </w:tcPr>
          <w:p w14:paraId="248009F8" w14:textId="77777777" w:rsidR="000D07D5" w:rsidRPr="008F24AC" w:rsidRDefault="000D07D5" w:rsidP="000D07D5">
            <w:pPr>
              <w:pStyle w:val="TableTextLeft"/>
              <w:spacing w:before="0" w:after="0"/>
              <w:rPr>
                <w:rFonts w:cs="Arial"/>
                <w:sz w:val="22"/>
              </w:rPr>
            </w:pPr>
            <w:r w:rsidRPr="008F24AC">
              <w:rPr>
                <w:rFonts w:cs="Arial"/>
                <w:sz w:val="22"/>
              </w:rPr>
              <w:t>Log-normal distribution</w:t>
            </w:r>
          </w:p>
          <w:p w14:paraId="5F0B2544" w14:textId="77777777" w:rsidR="000D07D5" w:rsidRPr="008F24AC" w:rsidRDefault="000D07D5" w:rsidP="000D07D5">
            <w:pPr>
              <w:pStyle w:val="TableTextLeft"/>
              <w:spacing w:before="0" w:after="0"/>
              <w:rPr>
                <w:rFonts w:cs="Arial"/>
                <w:sz w:val="22"/>
              </w:rPr>
            </w:pPr>
            <w:r w:rsidRPr="008F24AC">
              <w:rPr>
                <w:rFonts w:cs="Arial"/>
                <w:sz w:val="22"/>
              </w:rPr>
              <w:t>Fitted using 95% CI (0.03, 0.60)</w:t>
            </w:r>
          </w:p>
        </w:tc>
        <w:tc>
          <w:tcPr>
            <w:tcW w:w="6180" w:type="dxa"/>
          </w:tcPr>
          <w:p w14:paraId="49A1880E" w14:textId="77777777" w:rsidR="000D07D5" w:rsidRPr="008F24AC" w:rsidRDefault="000D07D5" w:rsidP="000D07D5">
            <w:pPr>
              <w:pStyle w:val="TableTextLeft"/>
              <w:spacing w:before="0" w:after="0"/>
              <w:rPr>
                <w:rFonts w:cs="Arial"/>
                <w:sz w:val="22"/>
              </w:rPr>
            </w:pPr>
            <w:r w:rsidRPr="008F24AC">
              <w:rPr>
                <w:rFonts w:cs="Arial"/>
                <w:sz w:val="22"/>
              </w:rPr>
              <w:t>Guideline systematic review.</w:t>
            </w:r>
          </w:p>
        </w:tc>
      </w:tr>
      <w:tr w:rsidR="000D07D5" w:rsidRPr="008F24AC" w14:paraId="5F2F41AD" w14:textId="77777777" w:rsidTr="008F24AC">
        <w:tc>
          <w:tcPr>
            <w:tcW w:w="3969" w:type="dxa"/>
          </w:tcPr>
          <w:p w14:paraId="31783FC1" w14:textId="77777777" w:rsidR="000D07D5" w:rsidRPr="008F24AC" w:rsidRDefault="000D07D5" w:rsidP="000D07D5">
            <w:pPr>
              <w:pStyle w:val="TableTextLeft"/>
              <w:spacing w:before="0" w:after="0"/>
              <w:rPr>
                <w:rFonts w:cs="Arial"/>
                <w:b/>
                <w:sz w:val="22"/>
              </w:rPr>
            </w:pPr>
            <w:r w:rsidRPr="008F24AC">
              <w:rPr>
                <w:rFonts w:cs="Arial"/>
                <w:b/>
                <w:sz w:val="22"/>
              </w:rPr>
              <w:t>Risk of mesh-related pain - 5 years</w:t>
            </w:r>
          </w:p>
          <w:p w14:paraId="6D328F2D" w14:textId="77777777" w:rsidR="000D07D5" w:rsidRPr="008F24AC" w:rsidRDefault="000D07D5" w:rsidP="000D07D5">
            <w:pPr>
              <w:pStyle w:val="TableTextLeft"/>
              <w:spacing w:before="0" w:after="0"/>
              <w:rPr>
                <w:rFonts w:cs="Arial"/>
                <w:sz w:val="22"/>
              </w:rPr>
            </w:pPr>
          </w:p>
        </w:tc>
        <w:tc>
          <w:tcPr>
            <w:tcW w:w="1474" w:type="dxa"/>
          </w:tcPr>
          <w:p w14:paraId="47AB96CD" w14:textId="77777777" w:rsidR="000D07D5" w:rsidRPr="008F24AC" w:rsidRDefault="000D07D5" w:rsidP="000D07D5">
            <w:pPr>
              <w:pStyle w:val="TableTextLeft"/>
              <w:spacing w:before="0" w:after="0"/>
              <w:rPr>
                <w:rFonts w:cs="Arial"/>
                <w:sz w:val="22"/>
              </w:rPr>
            </w:pPr>
            <w:r w:rsidRPr="008F24AC">
              <w:rPr>
                <w:rFonts w:cs="Arial"/>
                <w:sz w:val="22"/>
              </w:rPr>
              <w:t>0.05</w:t>
            </w:r>
          </w:p>
        </w:tc>
        <w:tc>
          <w:tcPr>
            <w:tcW w:w="2551" w:type="dxa"/>
          </w:tcPr>
          <w:p w14:paraId="1CC50E37" w14:textId="77777777" w:rsidR="000D07D5" w:rsidRPr="008F24AC" w:rsidRDefault="000D07D5" w:rsidP="000D07D5">
            <w:pPr>
              <w:pStyle w:val="TableTextLeft"/>
              <w:spacing w:before="0" w:after="0"/>
              <w:rPr>
                <w:rFonts w:cs="Arial"/>
                <w:sz w:val="22"/>
              </w:rPr>
            </w:pPr>
            <w:r w:rsidRPr="008F24AC">
              <w:rPr>
                <w:rFonts w:cs="Arial"/>
                <w:sz w:val="22"/>
              </w:rPr>
              <w:t>Beta distribution</w:t>
            </w:r>
          </w:p>
          <w:p w14:paraId="4EBF225B" w14:textId="77777777" w:rsidR="000D07D5" w:rsidRPr="008F24AC" w:rsidRDefault="000D07D5" w:rsidP="000D07D5">
            <w:pPr>
              <w:pStyle w:val="TableTextLeft"/>
              <w:spacing w:before="0" w:after="0"/>
              <w:rPr>
                <w:rFonts w:cs="Arial"/>
                <w:sz w:val="22"/>
              </w:rPr>
            </w:pPr>
            <w:r w:rsidRPr="008F24AC">
              <w:rPr>
                <w:rFonts w:cs="Arial"/>
                <w:sz w:val="22"/>
              </w:rPr>
              <w:t>alpha: 4, beta 71</w:t>
            </w:r>
          </w:p>
        </w:tc>
        <w:tc>
          <w:tcPr>
            <w:tcW w:w="6180" w:type="dxa"/>
          </w:tcPr>
          <w:p w14:paraId="1595D6C0" w14:textId="77777777" w:rsidR="000D07D5" w:rsidRPr="008F24AC" w:rsidRDefault="000D07D5" w:rsidP="000D07D5">
            <w:pPr>
              <w:pStyle w:val="TableTextLeft"/>
              <w:spacing w:before="0" w:after="0"/>
              <w:rPr>
                <w:rFonts w:cs="Arial"/>
                <w:sz w:val="22"/>
              </w:rPr>
            </w:pPr>
            <w:r w:rsidRPr="008F24AC">
              <w:rPr>
                <w:rFonts w:cs="Arial"/>
                <w:sz w:val="22"/>
              </w:rPr>
              <w:t>Laso-Garcia 2017.</w:t>
            </w:r>
          </w:p>
          <w:p w14:paraId="305C477D" w14:textId="77777777" w:rsidR="000D07D5" w:rsidRPr="008F24AC" w:rsidRDefault="000D07D5" w:rsidP="000D07D5">
            <w:pPr>
              <w:pStyle w:val="TableTextLeft"/>
              <w:spacing w:before="0" w:after="0"/>
              <w:rPr>
                <w:rFonts w:cs="Arial"/>
                <w:sz w:val="22"/>
              </w:rPr>
            </w:pPr>
            <w:r w:rsidRPr="008F24AC">
              <w:rPr>
                <w:rFonts w:cs="Arial"/>
                <w:sz w:val="22"/>
              </w:rPr>
              <w:lastRenderedPageBreak/>
              <w:t>The rate was annualised and expressed as the annual probability. The annual probability was applied to each year for the duration of the model.</w:t>
            </w:r>
          </w:p>
        </w:tc>
      </w:tr>
      <w:tr w:rsidR="000D07D5" w:rsidRPr="008F24AC" w14:paraId="4DD52FA0" w14:textId="77777777" w:rsidTr="008F24AC">
        <w:tc>
          <w:tcPr>
            <w:tcW w:w="3969" w:type="dxa"/>
          </w:tcPr>
          <w:p w14:paraId="32F77DB0" w14:textId="77777777" w:rsidR="000D07D5" w:rsidRPr="008F24AC" w:rsidRDefault="000D07D5" w:rsidP="000D07D5">
            <w:pPr>
              <w:pStyle w:val="TableTextLeft"/>
              <w:spacing w:before="0" w:after="0"/>
              <w:rPr>
                <w:rFonts w:cs="Arial"/>
                <w:b/>
                <w:sz w:val="22"/>
              </w:rPr>
            </w:pPr>
            <w:r w:rsidRPr="008F24AC">
              <w:rPr>
                <w:rFonts w:cs="Arial"/>
                <w:b/>
                <w:sz w:val="22"/>
              </w:rPr>
              <w:lastRenderedPageBreak/>
              <w:t>Proportion of mesh complications that resolve by 2 years</w:t>
            </w:r>
          </w:p>
        </w:tc>
        <w:tc>
          <w:tcPr>
            <w:tcW w:w="1474" w:type="dxa"/>
          </w:tcPr>
          <w:p w14:paraId="5B9D9BBB" w14:textId="77777777" w:rsidR="000D07D5" w:rsidRPr="008F24AC" w:rsidRDefault="000D07D5" w:rsidP="000D07D5">
            <w:pPr>
              <w:pStyle w:val="TableTextLeft"/>
              <w:spacing w:before="0" w:after="0"/>
              <w:rPr>
                <w:rFonts w:cs="Arial"/>
                <w:sz w:val="22"/>
              </w:rPr>
            </w:pPr>
            <w:r w:rsidRPr="008F24AC">
              <w:rPr>
                <w:rFonts w:cs="Arial"/>
                <w:sz w:val="22"/>
              </w:rPr>
              <w:t>0.90</w:t>
            </w:r>
          </w:p>
        </w:tc>
        <w:tc>
          <w:tcPr>
            <w:tcW w:w="2551" w:type="dxa"/>
          </w:tcPr>
          <w:p w14:paraId="486C4A1F" w14:textId="77777777" w:rsidR="000D07D5" w:rsidRPr="008F24AC" w:rsidRDefault="000D07D5" w:rsidP="000D07D5">
            <w:pPr>
              <w:pStyle w:val="TableTextLeft"/>
              <w:spacing w:before="0" w:after="0"/>
              <w:rPr>
                <w:rFonts w:cs="Arial"/>
                <w:sz w:val="22"/>
              </w:rPr>
            </w:pPr>
            <w:r w:rsidRPr="008F24AC">
              <w:rPr>
                <w:rFonts w:cs="Arial"/>
                <w:sz w:val="22"/>
              </w:rPr>
              <w:t>Beta distribution</w:t>
            </w:r>
          </w:p>
          <w:p w14:paraId="7D646465" w14:textId="77777777" w:rsidR="000D07D5" w:rsidRPr="008F24AC" w:rsidRDefault="000D07D5" w:rsidP="000D07D5">
            <w:pPr>
              <w:pStyle w:val="TableTextLeft"/>
              <w:spacing w:before="0" w:after="0"/>
              <w:rPr>
                <w:rFonts w:cs="Arial"/>
                <w:sz w:val="22"/>
              </w:rPr>
            </w:pPr>
            <w:r w:rsidRPr="008F24AC">
              <w:rPr>
                <w:rFonts w:cs="Arial"/>
                <w:sz w:val="22"/>
              </w:rPr>
              <w:t>SE: 20% of mean value (assumption)</w:t>
            </w:r>
          </w:p>
        </w:tc>
        <w:tc>
          <w:tcPr>
            <w:tcW w:w="6180" w:type="dxa"/>
          </w:tcPr>
          <w:p w14:paraId="0F6C6E6E" w14:textId="77777777" w:rsidR="000D07D5" w:rsidRPr="008F24AC" w:rsidRDefault="000D07D5" w:rsidP="000D07D5">
            <w:pPr>
              <w:pStyle w:val="TableTextLeft"/>
              <w:spacing w:before="0" w:after="0"/>
              <w:rPr>
                <w:rFonts w:cs="Arial"/>
                <w:sz w:val="22"/>
              </w:rPr>
            </w:pPr>
            <w:r w:rsidRPr="008F24AC">
              <w:rPr>
                <w:rFonts w:cs="Arial"/>
                <w:sz w:val="22"/>
              </w:rPr>
              <w:t>Committee expert opinion.</w:t>
            </w:r>
          </w:p>
        </w:tc>
      </w:tr>
      <w:tr w:rsidR="000D07D5" w:rsidRPr="008F24AC" w14:paraId="327C129E" w14:textId="77777777" w:rsidTr="008F24AC">
        <w:tc>
          <w:tcPr>
            <w:tcW w:w="3969" w:type="dxa"/>
          </w:tcPr>
          <w:p w14:paraId="0690F9C6" w14:textId="77777777" w:rsidR="000D07D5" w:rsidRPr="008F24AC" w:rsidRDefault="000D07D5" w:rsidP="000D07D5">
            <w:pPr>
              <w:pStyle w:val="TableTextLeft"/>
              <w:spacing w:before="0" w:after="0"/>
              <w:rPr>
                <w:rFonts w:cs="Arial"/>
                <w:b/>
                <w:sz w:val="22"/>
              </w:rPr>
            </w:pPr>
            <w:r w:rsidRPr="008F24AC">
              <w:rPr>
                <w:rFonts w:cs="Arial"/>
                <w:b/>
                <w:sz w:val="22"/>
              </w:rPr>
              <w:t>Procedure costs</w:t>
            </w:r>
          </w:p>
          <w:p w14:paraId="02CAE2F2" w14:textId="77777777" w:rsidR="000D07D5" w:rsidRPr="008F24AC" w:rsidRDefault="000D07D5" w:rsidP="00725222">
            <w:pPr>
              <w:pStyle w:val="TableTextLeft"/>
              <w:spacing w:before="0" w:after="0"/>
              <w:rPr>
                <w:rFonts w:cs="Arial"/>
                <w:sz w:val="22"/>
              </w:rPr>
            </w:pPr>
            <w:r w:rsidRPr="008F24AC">
              <w:rPr>
                <w:rFonts w:cs="Arial"/>
                <w:sz w:val="22"/>
              </w:rPr>
              <w:t xml:space="preserve">AC </w:t>
            </w:r>
            <w:r w:rsidR="00725222" w:rsidRPr="008F24AC">
              <w:rPr>
                <w:rFonts w:cs="Arial"/>
                <w:sz w:val="22"/>
              </w:rPr>
              <w:t>only</w:t>
            </w:r>
          </w:p>
        </w:tc>
        <w:tc>
          <w:tcPr>
            <w:tcW w:w="1474" w:type="dxa"/>
          </w:tcPr>
          <w:p w14:paraId="3C71125D" w14:textId="77777777" w:rsidR="000D07D5" w:rsidRPr="008F24AC" w:rsidRDefault="000D07D5" w:rsidP="000D07D5">
            <w:pPr>
              <w:pStyle w:val="TableTextLeft"/>
              <w:spacing w:before="0" w:after="0"/>
              <w:rPr>
                <w:rFonts w:cs="Arial"/>
                <w:sz w:val="22"/>
              </w:rPr>
            </w:pPr>
          </w:p>
          <w:p w14:paraId="58DA5952" w14:textId="77777777" w:rsidR="000D07D5" w:rsidRPr="008F24AC" w:rsidRDefault="000D07D5" w:rsidP="000D07D5">
            <w:pPr>
              <w:pStyle w:val="TableTextLeft"/>
              <w:spacing w:before="0" w:after="0"/>
              <w:rPr>
                <w:rFonts w:cs="Arial"/>
                <w:sz w:val="22"/>
              </w:rPr>
            </w:pPr>
            <w:r w:rsidRPr="008F24AC">
              <w:rPr>
                <w:rFonts w:cs="Arial"/>
                <w:sz w:val="22"/>
              </w:rPr>
              <w:t>£2,522</w:t>
            </w:r>
          </w:p>
        </w:tc>
        <w:tc>
          <w:tcPr>
            <w:tcW w:w="2551" w:type="dxa"/>
          </w:tcPr>
          <w:p w14:paraId="4BA17FF8" w14:textId="77777777" w:rsidR="000D07D5" w:rsidRPr="008F24AC" w:rsidRDefault="000D07D5" w:rsidP="000D07D5">
            <w:pPr>
              <w:pStyle w:val="TableTextLeft"/>
              <w:spacing w:before="0" w:after="0"/>
              <w:rPr>
                <w:rFonts w:cs="Arial"/>
                <w:sz w:val="22"/>
              </w:rPr>
            </w:pPr>
            <w:r w:rsidRPr="008F24AC">
              <w:rPr>
                <w:rFonts w:cs="Arial"/>
                <w:sz w:val="22"/>
              </w:rPr>
              <w:t xml:space="preserve">Normal distribution </w:t>
            </w:r>
          </w:p>
          <w:p w14:paraId="0DB73D7D" w14:textId="77777777" w:rsidR="000D07D5" w:rsidRPr="008F24AC" w:rsidRDefault="000D07D5" w:rsidP="000D07D5">
            <w:pPr>
              <w:pStyle w:val="TableTextLeft"/>
              <w:spacing w:before="0" w:after="0"/>
              <w:rPr>
                <w:rFonts w:cs="Arial"/>
                <w:sz w:val="22"/>
              </w:rPr>
            </w:pPr>
            <w:r w:rsidRPr="008F24AC">
              <w:rPr>
                <w:rFonts w:cs="Arial"/>
                <w:sz w:val="22"/>
              </w:rPr>
              <w:t>SE: 20% of mean value (assumption)</w:t>
            </w:r>
          </w:p>
        </w:tc>
        <w:tc>
          <w:tcPr>
            <w:tcW w:w="6180" w:type="dxa"/>
          </w:tcPr>
          <w:p w14:paraId="49BEA992" w14:textId="77777777" w:rsidR="000D07D5" w:rsidRPr="008F24AC" w:rsidRDefault="000D07D5" w:rsidP="000D07D5">
            <w:pPr>
              <w:pStyle w:val="TableTextLeft"/>
              <w:spacing w:before="0" w:after="0"/>
              <w:rPr>
                <w:rFonts w:cs="Arial"/>
                <w:sz w:val="22"/>
              </w:rPr>
            </w:pPr>
            <w:r w:rsidRPr="008F24AC">
              <w:rPr>
                <w:rFonts w:cs="Arial"/>
                <w:sz w:val="22"/>
              </w:rPr>
              <w:t>Intermediate open lower genital tract procedures with CC Score 0-2, elective inpatient procedure (MA04C/D); plus 2 consultations with urogynaecologist/gynaecologist (1 non-admitted face-to-face attendance [first] and 1 non-admitted face-to-face attendance [follow-up]); plus haematology and clinical biochemistry, directly accessed pathology services, NHS reference costs 2016/17 (DHSC, 2018).</w:t>
            </w:r>
          </w:p>
        </w:tc>
      </w:tr>
      <w:tr w:rsidR="000D07D5" w:rsidRPr="008F24AC" w14:paraId="657F13A9" w14:textId="77777777" w:rsidTr="008F24AC">
        <w:tc>
          <w:tcPr>
            <w:tcW w:w="3969" w:type="dxa"/>
          </w:tcPr>
          <w:p w14:paraId="5CE3034D" w14:textId="77777777" w:rsidR="000D07D5" w:rsidRPr="008F24AC" w:rsidRDefault="000D07D5" w:rsidP="000D07D5">
            <w:pPr>
              <w:pStyle w:val="TableTextLeft"/>
              <w:spacing w:before="0" w:after="0"/>
              <w:rPr>
                <w:rFonts w:cs="Arial"/>
                <w:b/>
                <w:sz w:val="22"/>
              </w:rPr>
            </w:pPr>
            <w:r w:rsidRPr="008F24AC">
              <w:rPr>
                <w:rFonts w:cs="Arial"/>
                <w:b/>
                <w:sz w:val="22"/>
              </w:rPr>
              <w:t>Mesh costs</w:t>
            </w:r>
          </w:p>
          <w:p w14:paraId="0C027AE4" w14:textId="77777777" w:rsidR="000D07D5" w:rsidRPr="008F24AC" w:rsidRDefault="000D07D5" w:rsidP="000D07D5">
            <w:pPr>
              <w:pStyle w:val="TableTextLeft"/>
              <w:spacing w:before="0" w:after="0"/>
              <w:rPr>
                <w:rFonts w:cs="Arial"/>
                <w:sz w:val="22"/>
              </w:rPr>
            </w:pPr>
            <w:r w:rsidRPr="008F24AC">
              <w:rPr>
                <w:rFonts w:cs="Arial"/>
                <w:sz w:val="22"/>
              </w:rPr>
              <w:t>Synthetic non-absorbable mesh</w:t>
            </w:r>
          </w:p>
          <w:p w14:paraId="56312F1B" w14:textId="77777777" w:rsidR="000D07D5" w:rsidRPr="008F24AC" w:rsidRDefault="000D07D5" w:rsidP="000D07D5">
            <w:pPr>
              <w:pStyle w:val="TableTextLeft"/>
              <w:spacing w:before="0" w:after="0"/>
              <w:rPr>
                <w:rFonts w:cs="Arial"/>
                <w:sz w:val="22"/>
              </w:rPr>
            </w:pPr>
            <w:r w:rsidRPr="008F24AC">
              <w:rPr>
                <w:rFonts w:cs="Arial"/>
                <w:sz w:val="22"/>
              </w:rPr>
              <w:t>Synthetic partially absorbable mesh</w:t>
            </w:r>
          </w:p>
          <w:p w14:paraId="37E8F414" w14:textId="77777777" w:rsidR="000D07D5" w:rsidRPr="008F24AC" w:rsidRDefault="000D07D5" w:rsidP="000D07D5">
            <w:pPr>
              <w:pStyle w:val="TableTextLeft"/>
              <w:spacing w:before="0" w:after="0"/>
              <w:rPr>
                <w:rFonts w:cs="Arial"/>
                <w:sz w:val="22"/>
              </w:rPr>
            </w:pPr>
            <w:r w:rsidRPr="008F24AC">
              <w:rPr>
                <w:rFonts w:cs="Arial"/>
                <w:sz w:val="22"/>
              </w:rPr>
              <w:t>Biological mesh</w:t>
            </w:r>
          </w:p>
          <w:p w14:paraId="7EE871DD" w14:textId="77777777" w:rsidR="000D07D5" w:rsidRPr="008F24AC" w:rsidRDefault="000D07D5" w:rsidP="000D07D5">
            <w:pPr>
              <w:pStyle w:val="TableTextLeft"/>
              <w:spacing w:before="0" w:after="0"/>
              <w:rPr>
                <w:rFonts w:cs="Arial"/>
                <w:sz w:val="22"/>
              </w:rPr>
            </w:pPr>
            <w:r w:rsidRPr="008F24AC">
              <w:rPr>
                <w:rFonts w:cs="Arial"/>
                <w:sz w:val="22"/>
              </w:rPr>
              <w:t>Mesh kits</w:t>
            </w:r>
          </w:p>
        </w:tc>
        <w:tc>
          <w:tcPr>
            <w:tcW w:w="1474" w:type="dxa"/>
          </w:tcPr>
          <w:p w14:paraId="366519E1" w14:textId="77777777" w:rsidR="000D07D5" w:rsidRPr="008F24AC" w:rsidRDefault="000D07D5" w:rsidP="000D07D5">
            <w:pPr>
              <w:pStyle w:val="TableTextLeft"/>
              <w:spacing w:before="0" w:after="0"/>
              <w:rPr>
                <w:rFonts w:cs="Arial"/>
                <w:sz w:val="22"/>
              </w:rPr>
            </w:pPr>
          </w:p>
          <w:p w14:paraId="5F9EAA79" w14:textId="77777777" w:rsidR="000D07D5" w:rsidRPr="008F24AC" w:rsidRDefault="000D07D5" w:rsidP="000D07D5">
            <w:pPr>
              <w:pStyle w:val="TableTextLeft"/>
              <w:spacing w:before="0" w:after="0"/>
              <w:rPr>
                <w:rFonts w:cs="Arial"/>
                <w:sz w:val="22"/>
              </w:rPr>
            </w:pPr>
            <w:r w:rsidRPr="008F24AC">
              <w:rPr>
                <w:rFonts w:cs="Arial"/>
                <w:sz w:val="22"/>
              </w:rPr>
              <w:t>£115</w:t>
            </w:r>
          </w:p>
          <w:p w14:paraId="64FEC6B6" w14:textId="77777777" w:rsidR="000D07D5" w:rsidRPr="008F24AC" w:rsidRDefault="000D07D5" w:rsidP="000D07D5">
            <w:pPr>
              <w:pStyle w:val="TableTextLeft"/>
              <w:spacing w:before="0" w:after="0"/>
              <w:rPr>
                <w:rFonts w:cs="Arial"/>
                <w:sz w:val="22"/>
              </w:rPr>
            </w:pPr>
            <w:r w:rsidRPr="008F24AC">
              <w:rPr>
                <w:rFonts w:cs="Arial"/>
                <w:sz w:val="22"/>
              </w:rPr>
              <w:t>£115</w:t>
            </w:r>
          </w:p>
          <w:p w14:paraId="1D1A1D65" w14:textId="77777777" w:rsidR="000D07D5" w:rsidRPr="008F24AC" w:rsidRDefault="000D07D5" w:rsidP="000D07D5">
            <w:pPr>
              <w:pStyle w:val="TableTextLeft"/>
              <w:spacing w:before="0" w:after="0"/>
              <w:rPr>
                <w:rFonts w:cs="Arial"/>
                <w:sz w:val="22"/>
              </w:rPr>
            </w:pPr>
            <w:r w:rsidRPr="008F24AC">
              <w:rPr>
                <w:rFonts w:cs="Arial"/>
                <w:sz w:val="22"/>
              </w:rPr>
              <w:t>£315</w:t>
            </w:r>
          </w:p>
          <w:p w14:paraId="0DE6670A" w14:textId="77777777" w:rsidR="000D07D5" w:rsidRPr="008F24AC" w:rsidRDefault="000D07D5" w:rsidP="000D07D5">
            <w:pPr>
              <w:pStyle w:val="TableTextLeft"/>
              <w:spacing w:before="0" w:after="0"/>
              <w:rPr>
                <w:rFonts w:cs="Arial"/>
                <w:sz w:val="22"/>
              </w:rPr>
            </w:pPr>
            <w:r w:rsidRPr="008F24AC">
              <w:rPr>
                <w:rFonts w:cs="Arial"/>
                <w:sz w:val="22"/>
              </w:rPr>
              <w:t>£666</w:t>
            </w:r>
          </w:p>
        </w:tc>
        <w:tc>
          <w:tcPr>
            <w:tcW w:w="2551" w:type="dxa"/>
          </w:tcPr>
          <w:p w14:paraId="5B0B98B6" w14:textId="77777777" w:rsidR="000D07D5" w:rsidRPr="008F24AC" w:rsidRDefault="000D07D5" w:rsidP="000D07D5">
            <w:pPr>
              <w:pStyle w:val="TableTextLeft"/>
              <w:spacing w:before="0" w:after="0"/>
              <w:rPr>
                <w:rFonts w:cs="Arial"/>
                <w:sz w:val="22"/>
              </w:rPr>
            </w:pPr>
            <w:r w:rsidRPr="008F24AC">
              <w:rPr>
                <w:rFonts w:cs="Arial"/>
                <w:sz w:val="22"/>
              </w:rPr>
              <w:t>Gamma distribution</w:t>
            </w:r>
          </w:p>
          <w:p w14:paraId="66EE7327" w14:textId="77777777" w:rsidR="000D07D5" w:rsidRPr="008F24AC" w:rsidRDefault="000D07D5" w:rsidP="000D07D5">
            <w:pPr>
              <w:pStyle w:val="TableTextLeft"/>
              <w:spacing w:before="0" w:after="0"/>
              <w:rPr>
                <w:rFonts w:cs="Arial"/>
                <w:sz w:val="22"/>
              </w:rPr>
            </w:pPr>
            <w:r w:rsidRPr="008F24AC">
              <w:rPr>
                <w:rFonts w:cs="Arial"/>
                <w:sz w:val="22"/>
              </w:rPr>
              <w:t>SE: 20% of mean values (assumption)</w:t>
            </w:r>
          </w:p>
        </w:tc>
        <w:tc>
          <w:tcPr>
            <w:tcW w:w="6180" w:type="dxa"/>
          </w:tcPr>
          <w:p w14:paraId="64C494BB" w14:textId="77777777" w:rsidR="000D07D5" w:rsidRPr="008F24AC" w:rsidRDefault="000D07D5" w:rsidP="000D07D5">
            <w:pPr>
              <w:pStyle w:val="TableTextLeft"/>
              <w:spacing w:before="0" w:after="0"/>
              <w:rPr>
                <w:rFonts w:cs="Arial"/>
                <w:sz w:val="22"/>
              </w:rPr>
            </w:pPr>
            <w:r w:rsidRPr="008F24AC">
              <w:rPr>
                <w:rFonts w:cs="Arial"/>
                <w:sz w:val="22"/>
              </w:rPr>
              <w:t>Glazener 2016.</w:t>
            </w:r>
          </w:p>
          <w:p w14:paraId="648AA38C" w14:textId="77777777" w:rsidR="000D07D5" w:rsidRPr="008F24AC" w:rsidRDefault="000D07D5" w:rsidP="000D07D5">
            <w:pPr>
              <w:pStyle w:val="TableTextLeft"/>
              <w:spacing w:before="0" w:after="0"/>
              <w:rPr>
                <w:rFonts w:cs="Arial"/>
                <w:sz w:val="22"/>
              </w:rPr>
            </w:pPr>
            <w:r w:rsidRPr="008F24AC">
              <w:rPr>
                <w:rFonts w:cs="Arial"/>
                <w:sz w:val="22"/>
              </w:rPr>
              <w:t>All costs uplifted to 2016/17 prices using the hospital &amp; community health services (HCHS) inflation indexes (Curtis &amp; Burns, 2017).</w:t>
            </w:r>
          </w:p>
          <w:p w14:paraId="35B114FE" w14:textId="77777777" w:rsidR="000D07D5" w:rsidRPr="008F24AC" w:rsidRDefault="000D07D5" w:rsidP="000D07D5">
            <w:pPr>
              <w:pStyle w:val="TableTextLeft"/>
              <w:spacing w:before="0" w:after="0"/>
              <w:rPr>
                <w:rFonts w:cs="Arial"/>
                <w:sz w:val="22"/>
              </w:rPr>
            </w:pPr>
          </w:p>
        </w:tc>
      </w:tr>
      <w:tr w:rsidR="000D07D5" w:rsidRPr="008F24AC" w14:paraId="7C094AB5" w14:textId="77777777" w:rsidTr="008F24AC">
        <w:tc>
          <w:tcPr>
            <w:tcW w:w="3969" w:type="dxa"/>
          </w:tcPr>
          <w:p w14:paraId="57222DDC" w14:textId="77777777" w:rsidR="000D07D5" w:rsidRPr="008F24AC" w:rsidRDefault="000D07D5" w:rsidP="000D07D5">
            <w:pPr>
              <w:pStyle w:val="TableTextLeft"/>
              <w:spacing w:before="0" w:after="0"/>
              <w:rPr>
                <w:rFonts w:cs="Arial"/>
                <w:b/>
                <w:sz w:val="22"/>
              </w:rPr>
            </w:pPr>
            <w:r w:rsidRPr="008F24AC">
              <w:rPr>
                <w:rFonts w:cs="Arial"/>
                <w:b/>
                <w:sz w:val="22"/>
              </w:rPr>
              <w:t>Cost of revision surgery</w:t>
            </w:r>
          </w:p>
        </w:tc>
        <w:tc>
          <w:tcPr>
            <w:tcW w:w="1474" w:type="dxa"/>
          </w:tcPr>
          <w:p w14:paraId="5546273D" w14:textId="77777777" w:rsidR="000D07D5" w:rsidRPr="008F24AC" w:rsidRDefault="000D07D5" w:rsidP="000D07D5">
            <w:pPr>
              <w:pStyle w:val="TableTextLeft"/>
              <w:spacing w:before="0" w:after="0"/>
              <w:rPr>
                <w:rFonts w:cs="Arial"/>
                <w:sz w:val="22"/>
              </w:rPr>
            </w:pPr>
            <w:r w:rsidRPr="008F24AC">
              <w:rPr>
                <w:rFonts w:cs="Arial"/>
                <w:sz w:val="22"/>
              </w:rPr>
              <w:t>£2,451</w:t>
            </w:r>
          </w:p>
        </w:tc>
        <w:tc>
          <w:tcPr>
            <w:tcW w:w="2551" w:type="dxa"/>
          </w:tcPr>
          <w:p w14:paraId="7F5C3296" w14:textId="77777777" w:rsidR="000D07D5" w:rsidRPr="008F24AC" w:rsidRDefault="000D07D5" w:rsidP="000D07D5">
            <w:pPr>
              <w:pStyle w:val="TableTextLeft"/>
              <w:spacing w:before="0" w:after="0"/>
              <w:rPr>
                <w:rFonts w:cs="Arial"/>
                <w:sz w:val="22"/>
              </w:rPr>
            </w:pPr>
            <w:r w:rsidRPr="008F24AC">
              <w:rPr>
                <w:rFonts w:cs="Arial"/>
                <w:sz w:val="22"/>
              </w:rPr>
              <w:t>NA (dependant on the above)</w:t>
            </w:r>
          </w:p>
        </w:tc>
        <w:tc>
          <w:tcPr>
            <w:tcW w:w="6180" w:type="dxa"/>
          </w:tcPr>
          <w:p w14:paraId="0F0DA61F" w14:textId="77777777" w:rsidR="000D07D5" w:rsidRPr="008F24AC" w:rsidRDefault="000D07D5" w:rsidP="000D07D5">
            <w:pPr>
              <w:pStyle w:val="TableTextLeft"/>
              <w:spacing w:before="0" w:after="0"/>
              <w:rPr>
                <w:rFonts w:cs="Arial"/>
                <w:sz w:val="22"/>
              </w:rPr>
            </w:pPr>
            <w:r w:rsidRPr="008F24AC">
              <w:rPr>
                <w:rFonts w:cs="Arial"/>
                <w:sz w:val="22"/>
              </w:rPr>
              <w:t>Estimated as the average cost of AC, AC &amp; synthetic non-absorbable mesh, AC &amp; synthetic partially absorbable mesh, AC &amp; synthetic absorbable mesh, AC biological mesh, and also apical repair.</w:t>
            </w:r>
          </w:p>
          <w:p w14:paraId="19AAB008" w14:textId="77777777" w:rsidR="000D07D5" w:rsidRPr="008F24AC" w:rsidRDefault="000D07D5" w:rsidP="000D07D5">
            <w:pPr>
              <w:pStyle w:val="TableTextLeft"/>
              <w:spacing w:before="0" w:after="0"/>
              <w:rPr>
                <w:rFonts w:cs="Arial"/>
                <w:sz w:val="22"/>
              </w:rPr>
            </w:pPr>
            <w:r w:rsidRPr="008F24AC">
              <w:rPr>
                <w:rFonts w:cs="Arial"/>
                <w:sz w:val="22"/>
              </w:rPr>
              <w:t>For apical repair the unit cost associated with major open lower genital tract procedure with CC score 0-2, elective inpatient procedure (MA03D) was assigned, NHS reference costs 2016/17 (DHSC, 2018).</w:t>
            </w:r>
          </w:p>
          <w:p w14:paraId="442FE24C" w14:textId="77777777" w:rsidR="000D07D5" w:rsidRPr="008F24AC" w:rsidRDefault="000D07D5" w:rsidP="000D07D5">
            <w:pPr>
              <w:pStyle w:val="TableTextLeft"/>
              <w:spacing w:before="0" w:after="0"/>
              <w:rPr>
                <w:rFonts w:cs="Arial"/>
                <w:sz w:val="22"/>
              </w:rPr>
            </w:pPr>
            <w:r w:rsidRPr="008F24AC">
              <w:rPr>
                <w:rFonts w:cs="Arial"/>
                <w:sz w:val="22"/>
              </w:rPr>
              <w:t>Plus 2 consultations with urogynaecologist/gynaecologist (1 non-admitted face-to-face attendance [first] and 1 non-admitted face-to-face attendance [follow-up]); plus haematology and clinical biochemistry, directly accessed pathology services (NHS reference costs 2016/17 (DHSC, 2018).</w:t>
            </w:r>
          </w:p>
        </w:tc>
      </w:tr>
      <w:tr w:rsidR="000D07D5" w:rsidRPr="008F24AC" w14:paraId="34C801EA" w14:textId="77777777" w:rsidTr="008F24AC">
        <w:tc>
          <w:tcPr>
            <w:tcW w:w="3969" w:type="dxa"/>
          </w:tcPr>
          <w:p w14:paraId="0B83FE70" w14:textId="77777777" w:rsidR="000D07D5" w:rsidRPr="008F24AC" w:rsidRDefault="000D07D5" w:rsidP="000D07D5">
            <w:pPr>
              <w:pStyle w:val="TableTextLeft"/>
              <w:spacing w:before="0" w:after="0"/>
              <w:rPr>
                <w:rFonts w:cs="Arial"/>
                <w:b/>
                <w:sz w:val="22"/>
              </w:rPr>
            </w:pPr>
            <w:r w:rsidRPr="008F24AC">
              <w:rPr>
                <w:rFonts w:cs="Arial"/>
                <w:b/>
                <w:sz w:val="22"/>
              </w:rPr>
              <w:t>Cost of conservative management (annual)</w:t>
            </w:r>
          </w:p>
        </w:tc>
        <w:tc>
          <w:tcPr>
            <w:tcW w:w="1474" w:type="dxa"/>
          </w:tcPr>
          <w:p w14:paraId="61C4CBC1" w14:textId="77777777" w:rsidR="000D07D5" w:rsidRPr="008F24AC" w:rsidRDefault="000D07D5" w:rsidP="000D07D5">
            <w:pPr>
              <w:pStyle w:val="TableTextLeft"/>
              <w:spacing w:before="0" w:after="0"/>
              <w:rPr>
                <w:rFonts w:cs="Arial"/>
                <w:sz w:val="22"/>
              </w:rPr>
            </w:pPr>
            <w:r w:rsidRPr="008F24AC">
              <w:rPr>
                <w:rFonts w:cs="Arial"/>
                <w:sz w:val="22"/>
              </w:rPr>
              <w:t>£546</w:t>
            </w:r>
          </w:p>
        </w:tc>
        <w:tc>
          <w:tcPr>
            <w:tcW w:w="2551" w:type="dxa"/>
          </w:tcPr>
          <w:p w14:paraId="55C98660" w14:textId="77777777" w:rsidR="000D07D5" w:rsidRPr="008F24AC" w:rsidRDefault="000D07D5" w:rsidP="000D07D5">
            <w:pPr>
              <w:pStyle w:val="TableTextLeft"/>
              <w:spacing w:before="0" w:after="0"/>
              <w:rPr>
                <w:rFonts w:cs="Arial"/>
                <w:sz w:val="22"/>
              </w:rPr>
            </w:pPr>
            <w:r w:rsidRPr="008F24AC">
              <w:rPr>
                <w:rFonts w:cs="Arial"/>
                <w:sz w:val="22"/>
              </w:rPr>
              <w:t>Gamma distribution</w:t>
            </w:r>
          </w:p>
          <w:p w14:paraId="2F34F3DB" w14:textId="77777777" w:rsidR="000D07D5" w:rsidRPr="008F24AC" w:rsidRDefault="000D07D5" w:rsidP="000D07D5">
            <w:pPr>
              <w:pStyle w:val="TableTextLeft"/>
              <w:spacing w:before="0" w:after="0"/>
              <w:rPr>
                <w:rFonts w:cs="Arial"/>
                <w:sz w:val="22"/>
              </w:rPr>
            </w:pPr>
            <w:r w:rsidRPr="008F24AC">
              <w:rPr>
                <w:rFonts w:cs="Arial"/>
                <w:sz w:val="22"/>
              </w:rPr>
              <w:lastRenderedPageBreak/>
              <w:t>alpha: 15.37; beta: 22.54 (taken from Glazener 2016)</w:t>
            </w:r>
          </w:p>
        </w:tc>
        <w:tc>
          <w:tcPr>
            <w:tcW w:w="6180" w:type="dxa"/>
          </w:tcPr>
          <w:p w14:paraId="1D7BF061" w14:textId="77777777" w:rsidR="000D07D5" w:rsidRPr="008F24AC" w:rsidRDefault="000D07D5" w:rsidP="000D07D5">
            <w:pPr>
              <w:pStyle w:val="TableTextLeft"/>
              <w:spacing w:before="0" w:after="0"/>
              <w:rPr>
                <w:rFonts w:cs="Arial"/>
                <w:sz w:val="22"/>
              </w:rPr>
            </w:pPr>
            <w:r w:rsidRPr="008F24AC">
              <w:rPr>
                <w:rFonts w:cs="Arial"/>
                <w:sz w:val="22"/>
              </w:rPr>
              <w:lastRenderedPageBreak/>
              <w:t>Glazener 2016.</w:t>
            </w:r>
          </w:p>
          <w:p w14:paraId="36C16838" w14:textId="77777777" w:rsidR="000D07D5" w:rsidRPr="008F24AC" w:rsidRDefault="000D07D5" w:rsidP="000D07D5">
            <w:pPr>
              <w:pStyle w:val="TableTextLeft"/>
              <w:spacing w:before="0" w:after="0"/>
              <w:rPr>
                <w:rFonts w:cs="Arial"/>
                <w:sz w:val="22"/>
              </w:rPr>
            </w:pPr>
            <w:r w:rsidRPr="008F24AC">
              <w:rPr>
                <w:rFonts w:cs="Arial"/>
                <w:sz w:val="22"/>
              </w:rPr>
              <w:lastRenderedPageBreak/>
              <w:t>The cost were uplifted to 2016/17 prices using the hospital &amp; community health services (HCHS) inflation indexes (Curtis &amp; Burns, 2017).</w:t>
            </w:r>
          </w:p>
        </w:tc>
      </w:tr>
      <w:tr w:rsidR="000D07D5" w:rsidRPr="008F24AC" w14:paraId="32E3D0A8" w14:textId="77777777" w:rsidTr="008F24AC">
        <w:tc>
          <w:tcPr>
            <w:tcW w:w="3969" w:type="dxa"/>
          </w:tcPr>
          <w:p w14:paraId="77FE321D" w14:textId="53E4ECBB" w:rsidR="000D07D5" w:rsidRPr="008F24AC" w:rsidRDefault="000D07D5" w:rsidP="000D07D5">
            <w:pPr>
              <w:pStyle w:val="TableTextLeft"/>
              <w:spacing w:before="0" w:after="0"/>
              <w:rPr>
                <w:rFonts w:cs="Arial"/>
                <w:b/>
                <w:sz w:val="22"/>
              </w:rPr>
            </w:pPr>
            <w:r w:rsidRPr="008F24AC">
              <w:rPr>
                <w:rFonts w:cs="Arial"/>
                <w:b/>
                <w:sz w:val="22"/>
              </w:rPr>
              <w:lastRenderedPageBreak/>
              <w:t xml:space="preserve">Cost of </w:t>
            </w:r>
            <w:r w:rsidR="000611DF" w:rsidRPr="008F24AC">
              <w:rPr>
                <w:rFonts w:cs="Arial"/>
                <w:b/>
                <w:sz w:val="22"/>
              </w:rPr>
              <w:t xml:space="preserve">being </w:t>
            </w:r>
            <w:r w:rsidRPr="008F24AC">
              <w:rPr>
                <w:rFonts w:cs="Arial"/>
                <w:b/>
                <w:sz w:val="22"/>
              </w:rPr>
              <w:t>well (following mesh or non-mesh procedure)</w:t>
            </w:r>
          </w:p>
          <w:p w14:paraId="6DD58702" w14:textId="77777777" w:rsidR="000D07D5" w:rsidRPr="008F24AC" w:rsidRDefault="000D07D5" w:rsidP="000D07D5">
            <w:pPr>
              <w:pStyle w:val="TableTextLeft"/>
              <w:spacing w:before="0" w:after="0"/>
              <w:rPr>
                <w:rFonts w:cs="Arial"/>
                <w:sz w:val="22"/>
              </w:rPr>
            </w:pPr>
          </w:p>
        </w:tc>
        <w:tc>
          <w:tcPr>
            <w:tcW w:w="1474" w:type="dxa"/>
          </w:tcPr>
          <w:p w14:paraId="33A936F6" w14:textId="77777777" w:rsidR="000D07D5" w:rsidRPr="008F24AC" w:rsidRDefault="000D07D5" w:rsidP="000D07D5">
            <w:pPr>
              <w:pStyle w:val="TableTextLeft"/>
              <w:spacing w:before="0" w:after="0"/>
              <w:rPr>
                <w:rFonts w:cs="Arial"/>
                <w:sz w:val="22"/>
              </w:rPr>
            </w:pPr>
            <w:r w:rsidRPr="008F24AC">
              <w:rPr>
                <w:rFonts w:cs="Arial"/>
                <w:sz w:val="22"/>
              </w:rPr>
              <w:t>£130</w:t>
            </w:r>
          </w:p>
          <w:p w14:paraId="7DAE501C" w14:textId="77777777" w:rsidR="000D07D5" w:rsidRPr="008F24AC" w:rsidRDefault="000D07D5" w:rsidP="000D07D5">
            <w:pPr>
              <w:pStyle w:val="TableTextLeft"/>
              <w:spacing w:before="0" w:after="0"/>
              <w:rPr>
                <w:rFonts w:cs="Arial"/>
                <w:sz w:val="22"/>
              </w:rPr>
            </w:pPr>
          </w:p>
        </w:tc>
        <w:tc>
          <w:tcPr>
            <w:tcW w:w="2551" w:type="dxa"/>
          </w:tcPr>
          <w:p w14:paraId="23442CB9" w14:textId="77777777" w:rsidR="000D07D5" w:rsidRPr="008F24AC" w:rsidRDefault="000D07D5" w:rsidP="000D07D5">
            <w:pPr>
              <w:pStyle w:val="TableTextLeft"/>
              <w:spacing w:before="0" w:after="0"/>
              <w:rPr>
                <w:rFonts w:cs="Arial"/>
                <w:sz w:val="22"/>
              </w:rPr>
            </w:pPr>
            <w:r w:rsidRPr="008F24AC">
              <w:rPr>
                <w:rFonts w:cs="Arial"/>
                <w:sz w:val="22"/>
              </w:rPr>
              <w:t xml:space="preserve">Log-normal distribution </w:t>
            </w:r>
          </w:p>
          <w:p w14:paraId="09747413" w14:textId="77777777" w:rsidR="000D07D5" w:rsidRPr="008F24AC" w:rsidRDefault="000D07D5" w:rsidP="000D07D5">
            <w:pPr>
              <w:pStyle w:val="TableTextLeft"/>
              <w:spacing w:before="0" w:after="0"/>
              <w:rPr>
                <w:rFonts w:cs="Arial"/>
                <w:sz w:val="22"/>
              </w:rPr>
            </w:pPr>
            <w:r w:rsidRPr="008F24AC">
              <w:rPr>
                <w:rFonts w:cs="Arial"/>
                <w:sz w:val="22"/>
              </w:rPr>
              <w:t>SE: 20% of mean values (assumption)</w:t>
            </w:r>
          </w:p>
        </w:tc>
        <w:tc>
          <w:tcPr>
            <w:tcW w:w="6180" w:type="dxa"/>
          </w:tcPr>
          <w:p w14:paraId="5395BF96" w14:textId="77777777" w:rsidR="000D07D5" w:rsidRPr="008F24AC" w:rsidRDefault="000D07D5" w:rsidP="000D07D5">
            <w:pPr>
              <w:pStyle w:val="TableTextLeft"/>
              <w:spacing w:before="0" w:after="0"/>
              <w:rPr>
                <w:rFonts w:cs="Arial"/>
                <w:sz w:val="22"/>
              </w:rPr>
            </w:pPr>
            <w:r w:rsidRPr="008F24AC">
              <w:rPr>
                <w:rFonts w:cs="Arial"/>
                <w:sz w:val="22"/>
              </w:rPr>
              <w:t>One consultant-led non-admitted follow-up face-to-face attendance in gynaecology (WF01C), NHS reference costs 2016/17 (DHSC, 2018).</w:t>
            </w:r>
          </w:p>
        </w:tc>
      </w:tr>
      <w:tr w:rsidR="000D07D5" w:rsidRPr="008F24AC" w14:paraId="696D45D6" w14:textId="77777777" w:rsidTr="008F24AC">
        <w:tc>
          <w:tcPr>
            <w:tcW w:w="3969" w:type="dxa"/>
          </w:tcPr>
          <w:p w14:paraId="68C89DD6" w14:textId="77777777" w:rsidR="000D07D5" w:rsidRPr="008F24AC" w:rsidRDefault="000D07D5" w:rsidP="000D07D5">
            <w:pPr>
              <w:pStyle w:val="TableTextLeft"/>
              <w:spacing w:before="0" w:after="0"/>
              <w:rPr>
                <w:rFonts w:cs="Arial"/>
                <w:b/>
                <w:sz w:val="22"/>
              </w:rPr>
            </w:pPr>
            <w:r w:rsidRPr="008F24AC">
              <w:rPr>
                <w:rFonts w:cs="Arial"/>
                <w:b/>
                <w:sz w:val="22"/>
              </w:rPr>
              <w:t>Cost of managing mesh extrusion (annual)</w:t>
            </w:r>
          </w:p>
        </w:tc>
        <w:tc>
          <w:tcPr>
            <w:tcW w:w="1474" w:type="dxa"/>
          </w:tcPr>
          <w:p w14:paraId="735C0EA7" w14:textId="77777777" w:rsidR="000D07D5" w:rsidRPr="008F24AC" w:rsidRDefault="000D07D5" w:rsidP="000D07D5">
            <w:pPr>
              <w:pStyle w:val="TableTextLeft"/>
              <w:spacing w:before="0" w:after="0"/>
              <w:rPr>
                <w:rFonts w:cs="Arial"/>
                <w:sz w:val="22"/>
              </w:rPr>
            </w:pPr>
            <w:r w:rsidRPr="008F24AC">
              <w:rPr>
                <w:rFonts w:cs="Arial"/>
                <w:sz w:val="22"/>
              </w:rPr>
              <w:t xml:space="preserve">£1,207 </w:t>
            </w:r>
          </w:p>
          <w:p w14:paraId="2DAB1CCC" w14:textId="77777777" w:rsidR="000D07D5" w:rsidRPr="008F24AC" w:rsidRDefault="000D07D5" w:rsidP="000D07D5">
            <w:pPr>
              <w:pStyle w:val="TableTextLeft"/>
              <w:spacing w:before="0" w:after="0"/>
              <w:rPr>
                <w:rFonts w:cs="Arial"/>
                <w:sz w:val="22"/>
              </w:rPr>
            </w:pPr>
            <w:r w:rsidRPr="008F24AC">
              <w:rPr>
                <w:rFonts w:cs="Arial"/>
                <w:sz w:val="22"/>
              </w:rPr>
              <w:t>£80 (persistent)</w:t>
            </w:r>
          </w:p>
        </w:tc>
        <w:tc>
          <w:tcPr>
            <w:tcW w:w="2551" w:type="dxa"/>
          </w:tcPr>
          <w:p w14:paraId="187C88F7" w14:textId="77777777" w:rsidR="000D07D5" w:rsidRPr="008F24AC" w:rsidRDefault="000D07D5" w:rsidP="000D07D5">
            <w:pPr>
              <w:pStyle w:val="TableTextLeft"/>
              <w:spacing w:before="0" w:after="0"/>
              <w:rPr>
                <w:rFonts w:cs="Arial"/>
                <w:sz w:val="22"/>
              </w:rPr>
            </w:pPr>
            <w:r w:rsidRPr="008F24AC">
              <w:rPr>
                <w:rFonts w:cs="Arial"/>
                <w:sz w:val="22"/>
              </w:rPr>
              <w:t>NA (dependant on distributions associated with treatment probabilities and treatment costs)</w:t>
            </w:r>
          </w:p>
          <w:p w14:paraId="7C9F30D0" w14:textId="77777777" w:rsidR="000D07D5" w:rsidRPr="008F24AC" w:rsidRDefault="000D07D5" w:rsidP="000D07D5">
            <w:pPr>
              <w:pStyle w:val="TableTextLeft"/>
              <w:spacing w:before="0" w:after="0"/>
              <w:rPr>
                <w:rFonts w:cs="Arial"/>
                <w:sz w:val="22"/>
              </w:rPr>
            </w:pPr>
          </w:p>
        </w:tc>
        <w:tc>
          <w:tcPr>
            <w:tcW w:w="6180" w:type="dxa"/>
          </w:tcPr>
          <w:p w14:paraId="0220878A" w14:textId="77777777" w:rsidR="000D07D5" w:rsidRPr="008F24AC" w:rsidRDefault="000D07D5" w:rsidP="000D07D5">
            <w:pPr>
              <w:pStyle w:val="TableTextLeft"/>
              <w:spacing w:before="0" w:after="0"/>
              <w:rPr>
                <w:rFonts w:cs="Arial"/>
                <w:sz w:val="22"/>
              </w:rPr>
            </w:pPr>
            <w:r w:rsidRPr="008F24AC">
              <w:rPr>
                <w:rFonts w:cs="Arial"/>
                <w:sz w:val="22"/>
              </w:rPr>
              <w:t xml:space="preserve">Based on the assumption that 57% require surgical revision (Jacquetin 2017), 21% topical oestrogen, and 21% surveillance only. </w:t>
            </w:r>
          </w:p>
          <w:p w14:paraId="34FC62DE" w14:textId="77777777" w:rsidR="000D07D5" w:rsidRPr="008F24AC" w:rsidRDefault="000D07D5" w:rsidP="000D07D5">
            <w:pPr>
              <w:pStyle w:val="TableTextLeft"/>
              <w:spacing w:before="0" w:after="0"/>
              <w:rPr>
                <w:rFonts w:cs="Arial"/>
                <w:sz w:val="22"/>
              </w:rPr>
            </w:pPr>
            <w:r w:rsidRPr="008F24AC">
              <w:rPr>
                <w:rFonts w:cs="Arial"/>
                <w:sz w:val="22"/>
              </w:rPr>
              <w:t>Surgical revision assigned the unit cost of £1,584 (minor lower genital tract procedures, MA22Z, elective inpatient, NHS reference costs 2016/17 (DHSC, 2018); plus 2 consultations with urogynaecologist/gynaecologist.</w:t>
            </w:r>
          </w:p>
          <w:p w14:paraId="5169BF28" w14:textId="77777777" w:rsidR="000D07D5" w:rsidRPr="008F24AC" w:rsidRDefault="000D07D5" w:rsidP="000D07D5">
            <w:pPr>
              <w:pStyle w:val="TableTextLeft"/>
              <w:spacing w:before="0" w:after="0"/>
              <w:rPr>
                <w:rFonts w:cs="Arial"/>
                <w:sz w:val="22"/>
              </w:rPr>
            </w:pPr>
            <w:r w:rsidRPr="008F24AC">
              <w:rPr>
                <w:rFonts w:cs="Arial"/>
                <w:sz w:val="22"/>
              </w:rPr>
              <w:t>For topical oestrogen a unit cost of £24.98 associated with Estriol 0.01% cream 15 g with applicator (Drug Tariff, 2018). The dose of 0.5 g at a time applied daily for 2–3 weeks, then reduced to 1 applicator twice weekly, discontinued every 2–3 months for 4 weeks (BNF, 2018); plus 2 consultations with urogynaecologist/gynaecologist.</w:t>
            </w:r>
          </w:p>
          <w:p w14:paraId="60D75093" w14:textId="77777777" w:rsidR="000D07D5" w:rsidRPr="008F24AC" w:rsidRDefault="000D07D5" w:rsidP="000D07D5">
            <w:pPr>
              <w:pStyle w:val="TableTextLeft"/>
              <w:spacing w:before="0" w:after="0"/>
              <w:rPr>
                <w:rFonts w:cs="Arial"/>
                <w:sz w:val="22"/>
              </w:rPr>
            </w:pPr>
            <w:r w:rsidRPr="008F24AC">
              <w:rPr>
                <w:rFonts w:cs="Arial"/>
                <w:sz w:val="22"/>
              </w:rPr>
              <w:t>For surveillance 6-monthly consultations with urogynaecologist/gynaecologist were modelled.</w:t>
            </w:r>
          </w:p>
          <w:p w14:paraId="3F3AF896" w14:textId="77777777" w:rsidR="000D07D5" w:rsidRPr="008F24AC" w:rsidRDefault="000D07D5" w:rsidP="000D07D5">
            <w:pPr>
              <w:pStyle w:val="TableTextLeft"/>
              <w:spacing w:before="0" w:after="0"/>
              <w:rPr>
                <w:rFonts w:cs="Arial"/>
                <w:sz w:val="22"/>
              </w:rPr>
            </w:pPr>
            <w:r w:rsidRPr="008F24AC">
              <w:rPr>
                <w:rFonts w:cs="Arial"/>
                <w:sz w:val="22"/>
              </w:rPr>
              <w:t>For urogynaecologist/gynaecologist a consultant-led non-admitted follow-up face-to-face attendance in gynaecology was used, WF01C, NHS reference costs 2016/17 (DHSC, 2018).</w:t>
            </w:r>
          </w:p>
          <w:p w14:paraId="545F5C85" w14:textId="77777777" w:rsidR="000D07D5" w:rsidRPr="008F24AC" w:rsidRDefault="000D07D5" w:rsidP="000D07D5">
            <w:pPr>
              <w:pStyle w:val="TableTextLeft"/>
              <w:spacing w:before="0" w:after="0"/>
              <w:rPr>
                <w:rFonts w:cs="Arial"/>
                <w:sz w:val="22"/>
              </w:rPr>
            </w:pPr>
            <w:r w:rsidRPr="008F24AC">
              <w:rPr>
                <w:rFonts w:cs="Arial"/>
                <w:sz w:val="22"/>
              </w:rPr>
              <w:t xml:space="preserve">Persistent cases incur the same cost as above for the initial management of mesh extrusion. However, since persistent mesh complications last for the duration of the model this cost was apportioned over 15 years to approximate the annual cost associated with managing persistent cases. </w:t>
            </w:r>
          </w:p>
        </w:tc>
      </w:tr>
      <w:tr w:rsidR="000D07D5" w:rsidRPr="008F24AC" w14:paraId="00EEE1B1" w14:textId="77777777" w:rsidTr="008F24AC">
        <w:tc>
          <w:tcPr>
            <w:tcW w:w="3969" w:type="dxa"/>
          </w:tcPr>
          <w:p w14:paraId="201D15AF" w14:textId="77777777" w:rsidR="000D07D5" w:rsidRPr="008F24AC" w:rsidRDefault="000D07D5" w:rsidP="000D07D5">
            <w:pPr>
              <w:pStyle w:val="TableTextLeft"/>
              <w:spacing w:before="0" w:after="0"/>
              <w:rPr>
                <w:rFonts w:cs="Arial"/>
                <w:b/>
                <w:sz w:val="22"/>
              </w:rPr>
            </w:pPr>
            <w:r w:rsidRPr="008F24AC">
              <w:rPr>
                <w:rFonts w:cs="Arial"/>
                <w:b/>
                <w:sz w:val="22"/>
              </w:rPr>
              <w:t>Cost of managing pain complications (annual)</w:t>
            </w:r>
          </w:p>
        </w:tc>
        <w:tc>
          <w:tcPr>
            <w:tcW w:w="1474" w:type="dxa"/>
          </w:tcPr>
          <w:p w14:paraId="16D5A67B" w14:textId="77777777" w:rsidR="000D07D5" w:rsidRPr="008F24AC" w:rsidRDefault="000D07D5" w:rsidP="000D07D5">
            <w:pPr>
              <w:pStyle w:val="TableTextLeft"/>
              <w:spacing w:before="0" w:after="0"/>
              <w:rPr>
                <w:rFonts w:cs="Arial"/>
                <w:sz w:val="22"/>
              </w:rPr>
            </w:pPr>
            <w:r w:rsidRPr="008F24AC">
              <w:rPr>
                <w:rFonts w:cs="Arial"/>
                <w:sz w:val="22"/>
              </w:rPr>
              <w:t>£754</w:t>
            </w:r>
          </w:p>
          <w:p w14:paraId="1D60703D" w14:textId="77777777" w:rsidR="000D07D5" w:rsidRPr="008F24AC" w:rsidRDefault="000D07D5" w:rsidP="000D07D5">
            <w:pPr>
              <w:pStyle w:val="TableTextLeft"/>
              <w:spacing w:before="0" w:after="0"/>
              <w:rPr>
                <w:rFonts w:cs="Arial"/>
                <w:sz w:val="22"/>
              </w:rPr>
            </w:pPr>
            <w:r w:rsidRPr="008F24AC">
              <w:rPr>
                <w:rFonts w:cs="Arial"/>
                <w:sz w:val="22"/>
              </w:rPr>
              <w:t>£69 (persistent)</w:t>
            </w:r>
          </w:p>
          <w:p w14:paraId="17BE8671" w14:textId="77777777" w:rsidR="000D07D5" w:rsidRPr="008F24AC" w:rsidRDefault="000D07D5" w:rsidP="000D07D5">
            <w:pPr>
              <w:pStyle w:val="TableTextLeft"/>
              <w:spacing w:before="0" w:after="0"/>
              <w:rPr>
                <w:rFonts w:cs="Arial"/>
                <w:sz w:val="22"/>
              </w:rPr>
            </w:pPr>
          </w:p>
        </w:tc>
        <w:tc>
          <w:tcPr>
            <w:tcW w:w="2551" w:type="dxa"/>
          </w:tcPr>
          <w:p w14:paraId="03384BF6" w14:textId="77777777" w:rsidR="000D07D5" w:rsidRPr="008F24AC" w:rsidRDefault="000D07D5" w:rsidP="000D07D5">
            <w:pPr>
              <w:pStyle w:val="TableTextLeft"/>
              <w:spacing w:before="0" w:after="0"/>
              <w:rPr>
                <w:rFonts w:cs="Arial"/>
                <w:sz w:val="22"/>
              </w:rPr>
            </w:pPr>
            <w:r w:rsidRPr="008F24AC">
              <w:rPr>
                <w:rFonts w:cs="Arial"/>
                <w:sz w:val="22"/>
              </w:rPr>
              <w:t xml:space="preserve">NA (dependant on distributions associated with treatment </w:t>
            </w:r>
            <w:r w:rsidRPr="008F24AC">
              <w:rPr>
                <w:rFonts w:cs="Arial"/>
                <w:sz w:val="22"/>
              </w:rPr>
              <w:lastRenderedPageBreak/>
              <w:t>probabilities and treatment costs)</w:t>
            </w:r>
          </w:p>
        </w:tc>
        <w:tc>
          <w:tcPr>
            <w:tcW w:w="6180" w:type="dxa"/>
          </w:tcPr>
          <w:p w14:paraId="21C6C49B" w14:textId="77777777" w:rsidR="000D07D5" w:rsidRPr="008F24AC" w:rsidRDefault="000D07D5" w:rsidP="000D07D5">
            <w:pPr>
              <w:pStyle w:val="TableTextLeft"/>
              <w:spacing w:before="0" w:after="0"/>
              <w:rPr>
                <w:rFonts w:cs="Arial"/>
                <w:sz w:val="22"/>
              </w:rPr>
            </w:pPr>
            <w:r w:rsidRPr="008F24AC">
              <w:rPr>
                <w:rFonts w:cs="Arial"/>
                <w:sz w:val="22"/>
              </w:rPr>
              <w:lastRenderedPageBreak/>
              <w:t>Committee expert opinion: 95% require pharmacological treatment, 50% topical oestrogen, 10% dilators, 20% psychosexual counselling, 50% physiotherapy, and 5% mesh removal.</w:t>
            </w:r>
          </w:p>
          <w:p w14:paraId="6171368A" w14:textId="77777777" w:rsidR="000D07D5" w:rsidRPr="008F24AC" w:rsidRDefault="000D07D5" w:rsidP="000D07D5">
            <w:pPr>
              <w:pStyle w:val="TableTextLeft"/>
              <w:spacing w:before="0" w:after="0"/>
              <w:rPr>
                <w:rFonts w:cs="Arial"/>
                <w:sz w:val="22"/>
              </w:rPr>
            </w:pPr>
            <w:r w:rsidRPr="008F24AC">
              <w:rPr>
                <w:rFonts w:cs="Arial"/>
                <w:sz w:val="22"/>
              </w:rPr>
              <w:lastRenderedPageBreak/>
              <w:t xml:space="preserve">Pharmacological treatment: paracetamol (4 g/day), codeine (240mg/day), co-codamol (120/4000 mg/day), and pregabalin (150 mg/day) (BNF, 2018). The unit cost of paracetamol (500 mg, 32 tbs., £0.31), codeine (60mg, 28 tbs., £1.32), co-codamol (15/500 mg, 100 tbs., £4.93) and pregabalin (150 mg, 56 tbs., £5.88) (Drug Tariff, 2018). The average cost of all pharmacological treatments was used. </w:t>
            </w:r>
          </w:p>
          <w:p w14:paraId="4F4640DF" w14:textId="77777777" w:rsidR="000D07D5" w:rsidRPr="008F24AC" w:rsidRDefault="000D07D5" w:rsidP="000D07D5">
            <w:pPr>
              <w:pStyle w:val="TableTextLeft"/>
              <w:spacing w:before="0" w:after="0"/>
              <w:rPr>
                <w:rFonts w:cs="Arial"/>
                <w:sz w:val="22"/>
              </w:rPr>
            </w:pPr>
            <w:r w:rsidRPr="008F24AC">
              <w:rPr>
                <w:rFonts w:cs="Arial"/>
                <w:sz w:val="22"/>
              </w:rPr>
              <w:t xml:space="preserve">Vaginal oestrogen costs were estimated as above for the management of mesh extrusion. </w:t>
            </w:r>
          </w:p>
          <w:p w14:paraId="553384B3" w14:textId="77777777" w:rsidR="000D07D5" w:rsidRPr="008F24AC" w:rsidRDefault="000D07D5" w:rsidP="000D07D5">
            <w:pPr>
              <w:pStyle w:val="TableTextLeft"/>
              <w:spacing w:before="0" w:after="0"/>
              <w:rPr>
                <w:rFonts w:cs="Arial"/>
                <w:sz w:val="22"/>
              </w:rPr>
            </w:pPr>
            <w:r w:rsidRPr="008F24AC">
              <w:rPr>
                <w:rFonts w:cs="Arial"/>
                <w:sz w:val="22"/>
              </w:rPr>
              <w:t>For dilators the Femmax device, Medical Devices Technology, was used at a cost of £26.66 (Drug Tariff, 2018).</w:t>
            </w:r>
          </w:p>
          <w:p w14:paraId="3476B120" w14:textId="77777777" w:rsidR="000D07D5" w:rsidRPr="008F24AC" w:rsidRDefault="000D07D5" w:rsidP="000D07D5">
            <w:pPr>
              <w:pStyle w:val="TableTextLeft"/>
              <w:spacing w:before="0" w:after="0"/>
              <w:rPr>
                <w:rFonts w:cs="Arial"/>
                <w:sz w:val="22"/>
              </w:rPr>
            </w:pPr>
            <w:r w:rsidRPr="008F24AC">
              <w:rPr>
                <w:rFonts w:cs="Arial"/>
                <w:sz w:val="22"/>
              </w:rPr>
              <w:t>For psychosexual counselling 6 sessions, 50 min each, delivered by Band 6 therapist at a unit cost of £43/h (Curtis &amp; Burns, 2017).</w:t>
            </w:r>
          </w:p>
          <w:p w14:paraId="4875FA42" w14:textId="77777777" w:rsidR="000D07D5" w:rsidRPr="008F24AC" w:rsidRDefault="000D07D5" w:rsidP="000D07D5">
            <w:pPr>
              <w:pStyle w:val="TableTextLeft"/>
              <w:spacing w:before="0" w:after="0"/>
              <w:rPr>
                <w:rFonts w:cs="Arial"/>
                <w:sz w:val="22"/>
              </w:rPr>
            </w:pPr>
            <w:r w:rsidRPr="008F24AC">
              <w:rPr>
                <w:rFonts w:cs="Arial"/>
                <w:sz w:val="22"/>
              </w:rPr>
              <w:t>For physiotherapy 6 sessions, 50 min each, delivered by Band 7 therapist at a unit cost of £53/h (Curtis &amp; Burns, 2018).</w:t>
            </w:r>
          </w:p>
          <w:p w14:paraId="710E8373" w14:textId="77777777" w:rsidR="000D07D5" w:rsidRPr="008F24AC" w:rsidRDefault="000D07D5" w:rsidP="000D07D5">
            <w:pPr>
              <w:pStyle w:val="TableTextLeft"/>
              <w:spacing w:before="0" w:after="0"/>
              <w:rPr>
                <w:rFonts w:cs="Arial"/>
                <w:sz w:val="22"/>
              </w:rPr>
            </w:pPr>
            <w:r w:rsidRPr="008F24AC">
              <w:rPr>
                <w:rFonts w:cs="Arial"/>
                <w:sz w:val="22"/>
              </w:rPr>
              <w:t>Plus all women were modelled to have 1 consultation with consultant urogynaecologist/gynaecologist.</w:t>
            </w:r>
          </w:p>
          <w:p w14:paraId="54D5CBEF" w14:textId="77777777" w:rsidR="000D07D5" w:rsidRPr="008F24AC" w:rsidRDefault="000D07D5" w:rsidP="000D07D5">
            <w:pPr>
              <w:pStyle w:val="TableTextLeft"/>
              <w:spacing w:before="0" w:after="0"/>
              <w:rPr>
                <w:rFonts w:cs="Arial"/>
                <w:sz w:val="22"/>
              </w:rPr>
            </w:pPr>
            <w:r w:rsidRPr="008F24AC">
              <w:rPr>
                <w:rFonts w:cs="Arial"/>
                <w:sz w:val="22"/>
              </w:rPr>
              <w:t>For mesh removal a unit cost of £1,584 associated with minor lower genital tract procedures (MA22Z), elective inpatient, NHS reference costs 2016/17 (DHSC, 2018); plus 2 consultations with urogynaecologist/gynaecologist was assigned.</w:t>
            </w:r>
          </w:p>
          <w:p w14:paraId="28FD8517" w14:textId="77777777" w:rsidR="000D07D5" w:rsidRPr="008F24AC" w:rsidRDefault="000D07D5" w:rsidP="000D07D5">
            <w:pPr>
              <w:pStyle w:val="TableTextLeft"/>
              <w:spacing w:before="0" w:after="0"/>
              <w:rPr>
                <w:rFonts w:cs="Arial"/>
                <w:sz w:val="22"/>
              </w:rPr>
            </w:pPr>
            <w:r w:rsidRPr="008F24AC">
              <w:rPr>
                <w:rFonts w:cs="Arial"/>
                <w:sz w:val="22"/>
              </w:rPr>
              <w:t>For urogynaecologist/gynaecologist a consultant-led non-admitted follow-up face-to-face attendance in gynaecology was used, WF01C, NHS reference costs 2016/17 (DHSC, 2018).</w:t>
            </w:r>
          </w:p>
          <w:p w14:paraId="20E78119" w14:textId="77777777" w:rsidR="000D07D5" w:rsidRPr="008F24AC" w:rsidRDefault="000D07D5" w:rsidP="000D07D5">
            <w:pPr>
              <w:pStyle w:val="TableTextLeft"/>
              <w:spacing w:before="0" w:after="0"/>
              <w:rPr>
                <w:rFonts w:cs="Arial"/>
                <w:sz w:val="22"/>
              </w:rPr>
            </w:pPr>
            <w:r w:rsidRPr="008F24AC">
              <w:rPr>
                <w:rFonts w:cs="Arial"/>
                <w:sz w:val="22"/>
              </w:rPr>
              <w:t xml:space="preserve">For persistent pain 2 additional consultations with pain consultant were modelled. </w:t>
            </w:r>
          </w:p>
          <w:p w14:paraId="6C506955" w14:textId="77777777" w:rsidR="000D07D5" w:rsidRPr="008F24AC" w:rsidRDefault="000D07D5" w:rsidP="000D07D5">
            <w:pPr>
              <w:pStyle w:val="TableTextLeft"/>
              <w:spacing w:before="0" w:after="0"/>
              <w:rPr>
                <w:rFonts w:cs="Arial"/>
                <w:sz w:val="22"/>
              </w:rPr>
            </w:pPr>
            <w:r w:rsidRPr="008F24AC">
              <w:rPr>
                <w:rFonts w:cs="Arial"/>
                <w:sz w:val="22"/>
              </w:rPr>
              <w:t>For pain consultant a consultant-led non-admitted initial and follow-up face-to-face attendance for pain management was used, WF01B/A, NHS reference costs 2016/17 (DHSC, 2018).</w:t>
            </w:r>
          </w:p>
          <w:p w14:paraId="63E5C622" w14:textId="77777777" w:rsidR="000D07D5" w:rsidRPr="008F24AC" w:rsidRDefault="000D07D5" w:rsidP="000D07D5">
            <w:pPr>
              <w:pStyle w:val="TableTextLeft"/>
              <w:spacing w:before="0" w:after="0"/>
              <w:rPr>
                <w:rFonts w:cs="Arial"/>
                <w:sz w:val="22"/>
              </w:rPr>
            </w:pPr>
            <w:r w:rsidRPr="008F24AC">
              <w:rPr>
                <w:rFonts w:cs="Arial"/>
                <w:sz w:val="22"/>
              </w:rPr>
              <w:t>Since it was assumed that persistent mesh complications will last for the duration of the model the cost of pain was apportioned over 15 years to approximate the annual cost associated with managing persistent pain complications.</w:t>
            </w:r>
          </w:p>
        </w:tc>
      </w:tr>
      <w:tr w:rsidR="000D07D5" w:rsidRPr="008F24AC" w14:paraId="4138A698" w14:textId="77777777" w:rsidTr="008F24AC">
        <w:tc>
          <w:tcPr>
            <w:tcW w:w="3969" w:type="dxa"/>
          </w:tcPr>
          <w:p w14:paraId="675506E2" w14:textId="77777777" w:rsidR="000D07D5" w:rsidRPr="008F24AC" w:rsidRDefault="000D07D5" w:rsidP="000D07D5">
            <w:pPr>
              <w:pStyle w:val="TableTextLeft"/>
              <w:spacing w:before="0" w:after="0"/>
              <w:rPr>
                <w:rFonts w:cs="Arial"/>
                <w:b/>
                <w:sz w:val="22"/>
              </w:rPr>
            </w:pPr>
            <w:r w:rsidRPr="008F24AC">
              <w:rPr>
                <w:rFonts w:cs="Arial"/>
                <w:b/>
                <w:sz w:val="22"/>
              </w:rPr>
              <w:lastRenderedPageBreak/>
              <w:t>Quality of life adjustments</w:t>
            </w:r>
          </w:p>
          <w:p w14:paraId="43F60629" w14:textId="77777777" w:rsidR="000D07D5" w:rsidRPr="008F24AC" w:rsidRDefault="000D07D5" w:rsidP="000D07D5">
            <w:pPr>
              <w:pStyle w:val="TableTextLeft"/>
              <w:spacing w:before="0" w:after="0"/>
              <w:rPr>
                <w:rFonts w:cs="Arial"/>
                <w:sz w:val="22"/>
              </w:rPr>
            </w:pPr>
            <w:r w:rsidRPr="008F24AC">
              <w:rPr>
                <w:rFonts w:cs="Arial"/>
                <w:sz w:val="22"/>
              </w:rPr>
              <w:t>Well</w:t>
            </w:r>
          </w:p>
          <w:p w14:paraId="50573413" w14:textId="77777777" w:rsidR="000D07D5" w:rsidRPr="008F24AC" w:rsidRDefault="000D07D5" w:rsidP="000D07D5">
            <w:pPr>
              <w:pStyle w:val="TableTextLeft"/>
              <w:spacing w:before="0" w:after="0"/>
              <w:rPr>
                <w:rFonts w:cs="Arial"/>
                <w:sz w:val="22"/>
              </w:rPr>
            </w:pPr>
            <w:r w:rsidRPr="008F24AC">
              <w:rPr>
                <w:rFonts w:cs="Arial"/>
                <w:sz w:val="22"/>
              </w:rPr>
              <w:t>Reoperation</w:t>
            </w:r>
          </w:p>
          <w:p w14:paraId="3C75AD4C" w14:textId="77777777" w:rsidR="000D07D5" w:rsidRPr="008F24AC" w:rsidRDefault="000D07D5" w:rsidP="000D07D5">
            <w:pPr>
              <w:pStyle w:val="TableTextLeft"/>
              <w:spacing w:before="0" w:after="0"/>
              <w:rPr>
                <w:rFonts w:cs="Arial"/>
                <w:sz w:val="22"/>
              </w:rPr>
            </w:pPr>
            <w:r w:rsidRPr="008F24AC">
              <w:rPr>
                <w:rFonts w:cs="Arial"/>
                <w:sz w:val="22"/>
              </w:rPr>
              <w:t xml:space="preserve">Conservative management </w:t>
            </w:r>
          </w:p>
          <w:p w14:paraId="098601C6" w14:textId="77777777" w:rsidR="000D07D5" w:rsidRPr="008F24AC" w:rsidRDefault="000D07D5" w:rsidP="000D07D5">
            <w:pPr>
              <w:pStyle w:val="TableTextLeft"/>
              <w:spacing w:before="0" w:after="0"/>
              <w:rPr>
                <w:rFonts w:cs="Arial"/>
                <w:sz w:val="22"/>
              </w:rPr>
            </w:pPr>
            <w:r w:rsidRPr="008F24AC">
              <w:rPr>
                <w:rFonts w:cs="Arial"/>
                <w:sz w:val="22"/>
              </w:rPr>
              <w:t>Symptomatic POP</w:t>
            </w:r>
          </w:p>
          <w:p w14:paraId="74FEAF24" w14:textId="77777777" w:rsidR="000D07D5" w:rsidRPr="008F24AC" w:rsidRDefault="000D07D5" w:rsidP="000D07D5">
            <w:pPr>
              <w:pStyle w:val="TableTextLeft"/>
              <w:spacing w:before="0" w:after="0"/>
              <w:rPr>
                <w:rFonts w:cs="Arial"/>
                <w:sz w:val="22"/>
              </w:rPr>
            </w:pPr>
            <w:r w:rsidRPr="008F24AC">
              <w:rPr>
                <w:rFonts w:cs="Arial"/>
                <w:sz w:val="22"/>
              </w:rPr>
              <w:t>Utility decrement - surgically managed complications</w:t>
            </w:r>
          </w:p>
          <w:p w14:paraId="6991EA57" w14:textId="77777777" w:rsidR="000D07D5" w:rsidRPr="008F24AC" w:rsidRDefault="000D07D5" w:rsidP="000D07D5">
            <w:pPr>
              <w:pStyle w:val="TableTextLeft"/>
              <w:spacing w:before="0" w:after="0"/>
              <w:rPr>
                <w:rFonts w:cs="Arial"/>
                <w:sz w:val="22"/>
              </w:rPr>
            </w:pPr>
            <w:r w:rsidRPr="008F24AC">
              <w:rPr>
                <w:rFonts w:cs="Arial"/>
                <w:sz w:val="22"/>
              </w:rPr>
              <w:t>Utility decrement - non-surgically managed complications</w:t>
            </w:r>
          </w:p>
        </w:tc>
        <w:tc>
          <w:tcPr>
            <w:tcW w:w="1474" w:type="dxa"/>
          </w:tcPr>
          <w:p w14:paraId="1DD80BF6" w14:textId="77777777" w:rsidR="000D07D5" w:rsidRPr="008F24AC" w:rsidRDefault="000D07D5" w:rsidP="000D07D5">
            <w:pPr>
              <w:pStyle w:val="TableTextLeft"/>
              <w:spacing w:before="0" w:after="0"/>
              <w:rPr>
                <w:rFonts w:cs="Arial"/>
                <w:sz w:val="22"/>
              </w:rPr>
            </w:pPr>
          </w:p>
          <w:p w14:paraId="044F959E" w14:textId="77777777" w:rsidR="000D07D5" w:rsidRPr="008F24AC" w:rsidRDefault="000D07D5" w:rsidP="000D07D5">
            <w:pPr>
              <w:pStyle w:val="TableTextLeft"/>
              <w:spacing w:before="0" w:after="0"/>
              <w:rPr>
                <w:rFonts w:cs="Arial"/>
                <w:sz w:val="22"/>
              </w:rPr>
            </w:pPr>
            <w:r w:rsidRPr="008F24AC">
              <w:rPr>
                <w:rFonts w:cs="Arial"/>
                <w:sz w:val="22"/>
              </w:rPr>
              <w:t>0.83</w:t>
            </w:r>
          </w:p>
          <w:p w14:paraId="7C2B792E" w14:textId="77777777" w:rsidR="000D07D5" w:rsidRPr="008F24AC" w:rsidRDefault="000D07D5" w:rsidP="000D07D5">
            <w:pPr>
              <w:pStyle w:val="TableTextLeft"/>
              <w:spacing w:before="0" w:after="0"/>
              <w:rPr>
                <w:rFonts w:cs="Arial"/>
                <w:sz w:val="22"/>
              </w:rPr>
            </w:pPr>
            <w:r w:rsidRPr="008F24AC">
              <w:rPr>
                <w:rFonts w:cs="Arial"/>
                <w:sz w:val="22"/>
              </w:rPr>
              <w:t>0.65</w:t>
            </w:r>
          </w:p>
          <w:p w14:paraId="2AD4CF0D" w14:textId="77777777" w:rsidR="000D07D5" w:rsidRPr="008F24AC" w:rsidRDefault="000D07D5" w:rsidP="000D07D5">
            <w:pPr>
              <w:pStyle w:val="TableTextLeft"/>
              <w:spacing w:before="0" w:after="0"/>
              <w:rPr>
                <w:rFonts w:cs="Arial"/>
                <w:sz w:val="22"/>
              </w:rPr>
            </w:pPr>
            <w:r w:rsidRPr="008F24AC">
              <w:rPr>
                <w:rFonts w:cs="Arial"/>
                <w:sz w:val="22"/>
              </w:rPr>
              <w:t>0.80</w:t>
            </w:r>
          </w:p>
          <w:p w14:paraId="4117EA95" w14:textId="77777777" w:rsidR="000D07D5" w:rsidRPr="008F24AC" w:rsidRDefault="000D07D5" w:rsidP="000D07D5">
            <w:pPr>
              <w:pStyle w:val="TableTextLeft"/>
              <w:spacing w:before="0" w:after="0"/>
              <w:rPr>
                <w:rFonts w:cs="Arial"/>
                <w:sz w:val="22"/>
              </w:rPr>
            </w:pPr>
            <w:r w:rsidRPr="008F24AC">
              <w:rPr>
                <w:rFonts w:cs="Arial"/>
                <w:sz w:val="22"/>
              </w:rPr>
              <w:t>0.71</w:t>
            </w:r>
          </w:p>
          <w:p w14:paraId="4D8F2D32" w14:textId="77777777" w:rsidR="000D07D5" w:rsidRPr="008F24AC" w:rsidRDefault="000D07D5" w:rsidP="000D07D5">
            <w:pPr>
              <w:pStyle w:val="TableTextLeft"/>
              <w:spacing w:before="0" w:after="0"/>
              <w:rPr>
                <w:rFonts w:cs="Arial"/>
                <w:sz w:val="22"/>
              </w:rPr>
            </w:pPr>
            <w:r w:rsidRPr="008F24AC">
              <w:rPr>
                <w:rFonts w:cs="Arial"/>
                <w:sz w:val="22"/>
              </w:rPr>
              <w:t>0.19</w:t>
            </w:r>
          </w:p>
          <w:p w14:paraId="08C5B38E" w14:textId="77777777" w:rsidR="000D07D5" w:rsidRPr="008F24AC" w:rsidRDefault="000D07D5" w:rsidP="000D07D5">
            <w:pPr>
              <w:pStyle w:val="TableTextLeft"/>
              <w:spacing w:before="0" w:after="0"/>
              <w:rPr>
                <w:rFonts w:cs="Arial"/>
                <w:sz w:val="22"/>
              </w:rPr>
            </w:pPr>
            <w:r w:rsidRPr="008F24AC">
              <w:rPr>
                <w:rFonts w:cs="Arial"/>
                <w:sz w:val="22"/>
              </w:rPr>
              <w:t>0.09</w:t>
            </w:r>
          </w:p>
        </w:tc>
        <w:tc>
          <w:tcPr>
            <w:tcW w:w="2551" w:type="dxa"/>
          </w:tcPr>
          <w:p w14:paraId="238600A4" w14:textId="77777777" w:rsidR="000D07D5" w:rsidRPr="008F24AC" w:rsidRDefault="000D07D5" w:rsidP="000D07D5">
            <w:pPr>
              <w:pStyle w:val="TableTextLeft"/>
              <w:spacing w:before="0" w:after="0"/>
              <w:rPr>
                <w:rFonts w:cs="Arial"/>
                <w:sz w:val="22"/>
              </w:rPr>
            </w:pPr>
            <w:r w:rsidRPr="008F24AC">
              <w:rPr>
                <w:rFonts w:cs="Arial"/>
                <w:sz w:val="22"/>
              </w:rPr>
              <w:t>Beta distribution</w:t>
            </w:r>
          </w:p>
          <w:p w14:paraId="66D353F1" w14:textId="77777777" w:rsidR="000D07D5" w:rsidRPr="008F24AC" w:rsidRDefault="000D07D5" w:rsidP="000D07D5">
            <w:pPr>
              <w:pStyle w:val="TableTextLeft"/>
              <w:spacing w:before="0" w:after="0"/>
              <w:rPr>
                <w:rFonts w:cs="Arial"/>
                <w:sz w:val="22"/>
              </w:rPr>
            </w:pPr>
            <w:r w:rsidRPr="008F24AC">
              <w:rPr>
                <w:rFonts w:cs="Arial"/>
                <w:sz w:val="22"/>
              </w:rPr>
              <w:t>SE: 20% of mean values (assumption)</w:t>
            </w:r>
          </w:p>
        </w:tc>
        <w:tc>
          <w:tcPr>
            <w:tcW w:w="6180" w:type="dxa"/>
          </w:tcPr>
          <w:p w14:paraId="54481F83" w14:textId="77777777" w:rsidR="000D07D5" w:rsidRPr="008F24AC" w:rsidRDefault="000D07D5" w:rsidP="000D07D5">
            <w:pPr>
              <w:pStyle w:val="TableTextLeft"/>
              <w:spacing w:before="0" w:after="0"/>
              <w:rPr>
                <w:rFonts w:cs="Arial"/>
                <w:sz w:val="22"/>
              </w:rPr>
            </w:pPr>
            <w:r w:rsidRPr="008F24AC">
              <w:rPr>
                <w:rFonts w:cs="Arial"/>
                <w:sz w:val="22"/>
              </w:rPr>
              <w:t>Glazener 2016; EQ-5D-3L utility weights.</w:t>
            </w:r>
          </w:p>
          <w:p w14:paraId="6DEDD20F" w14:textId="77777777" w:rsidR="000D07D5" w:rsidRPr="008F24AC" w:rsidRDefault="000D07D5" w:rsidP="000D07D5">
            <w:pPr>
              <w:pStyle w:val="TableTextLeft"/>
              <w:spacing w:before="0" w:after="0"/>
              <w:rPr>
                <w:rFonts w:cs="Arial"/>
                <w:sz w:val="22"/>
              </w:rPr>
            </w:pPr>
            <w:r w:rsidRPr="008F24AC">
              <w:rPr>
                <w:rFonts w:cs="Arial"/>
                <w:sz w:val="22"/>
              </w:rPr>
              <w:t>For mesh extrusion the proportion managed surgically (57%) was obtained from Jacquetin 2017.</w:t>
            </w:r>
          </w:p>
          <w:p w14:paraId="57A071C0" w14:textId="77777777" w:rsidR="000D07D5" w:rsidRPr="008F24AC" w:rsidRDefault="000D07D5" w:rsidP="000D07D5">
            <w:pPr>
              <w:pStyle w:val="TableTextLeft"/>
              <w:spacing w:before="0" w:after="0"/>
              <w:rPr>
                <w:rFonts w:cs="Arial"/>
                <w:sz w:val="22"/>
              </w:rPr>
            </w:pPr>
            <w:r w:rsidRPr="008F24AC">
              <w:rPr>
                <w:rFonts w:cs="Arial"/>
                <w:sz w:val="22"/>
              </w:rPr>
              <w:t>For pain, the proportion requiring surgical mesh removal (5%) was based on the committee expert opinion.</w:t>
            </w:r>
          </w:p>
        </w:tc>
      </w:tr>
      <w:tr w:rsidR="000D07D5" w:rsidRPr="008F24AC" w14:paraId="633FB848" w14:textId="77777777" w:rsidTr="008F24AC">
        <w:tc>
          <w:tcPr>
            <w:tcW w:w="3969" w:type="dxa"/>
          </w:tcPr>
          <w:p w14:paraId="355BF8E0" w14:textId="77777777" w:rsidR="000D07D5" w:rsidRPr="008F24AC" w:rsidRDefault="000D07D5" w:rsidP="000D07D5">
            <w:pPr>
              <w:pStyle w:val="TableTextLeft"/>
              <w:spacing w:before="0" w:after="0"/>
              <w:rPr>
                <w:rFonts w:cs="Arial"/>
                <w:b/>
                <w:sz w:val="22"/>
              </w:rPr>
            </w:pPr>
            <w:r w:rsidRPr="008F24AC">
              <w:rPr>
                <w:rFonts w:cs="Arial"/>
                <w:b/>
                <w:sz w:val="22"/>
              </w:rPr>
              <w:t>Discount rate for costs and outcomes</w:t>
            </w:r>
          </w:p>
        </w:tc>
        <w:tc>
          <w:tcPr>
            <w:tcW w:w="1474" w:type="dxa"/>
          </w:tcPr>
          <w:p w14:paraId="2467732E" w14:textId="77777777" w:rsidR="000D07D5" w:rsidRPr="008F24AC" w:rsidRDefault="000D07D5" w:rsidP="000D07D5">
            <w:pPr>
              <w:pStyle w:val="TableTextLeft"/>
              <w:spacing w:before="0" w:after="0"/>
              <w:rPr>
                <w:rFonts w:cs="Arial"/>
                <w:sz w:val="22"/>
              </w:rPr>
            </w:pPr>
            <w:r w:rsidRPr="008F24AC">
              <w:rPr>
                <w:rFonts w:cs="Arial"/>
                <w:sz w:val="22"/>
              </w:rPr>
              <w:t>3.5%</w:t>
            </w:r>
          </w:p>
        </w:tc>
        <w:tc>
          <w:tcPr>
            <w:tcW w:w="2551" w:type="dxa"/>
          </w:tcPr>
          <w:p w14:paraId="2FBA8254" w14:textId="77777777" w:rsidR="000D07D5" w:rsidRPr="008F24AC" w:rsidRDefault="000D07D5" w:rsidP="000D07D5">
            <w:pPr>
              <w:pStyle w:val="TableTextLeft"/>
              <w:spacing w:before="0" w:after="0"/>
              <w:rPr>
                <w:rFonts w:cs="Arial"/>
                <w:sz w:val="22"/>
              </w:rPr>
            </w:pPr>
            <w:r w:rsidRPr="008F24AC">
              <w:rPr>
                <w:rFonts w:cs="Arial"/>
                <w:sz w:val="22"/>
              </w:rPr>
              <w:t>NA</w:t>
            </w:r>
          </w:p>
        </w:tc>
        <w:tc>
          <w:tcPr>
            <w:tcW w:w="6180" w:type="dxa"/>
          </w:tcPr>
          <w:p w14:paraId="2126A975" w14:textId="77777777" w:rsidR="000D07D5" w:rsidRPr="008F24AC" w:rsidRDefault="000D07D5" w:rsidP="000D07D5">
            <w:pPr>
              <w:pStyle w:val="TableTextLeft"/>
              <w:spacing w:before="0" w:after="0"/>
              <w:rPr>
                <w:rFonts w:cs="Arial"/>
                <w:sz w:val="22"/>
              </w:rPr>
            </w:pPr>
            <w:r w:rsidRPr="008F24AC">
              <w:rPr>
                <w:rFonts w:cs="Arial"/>
                <w:sz w:val="22"/>
              </w:rPr>
              <w:t>NICE (2013)</w:t>
            </w:r>
          </w:p>
        </w:tc>
      </w:tr>
    </w:tbl>
    <w:p w14:paraId="1E8D86A3" w14:textId="77777777" w:rsidR="000D07D5" w:rsidRPr="004F31AD" w:rsidRDefault="000D07D5" w:rsidP="000D07D5">
      <w:pPr>
        <w:spacing w:after="0" w:line="240" w:lineRule="auto"/>
        <w:rPr>
          <w:rFonts w:cs="Arial"/>
          <w:i/>
        </w:rPr>
      </w:pPr>
      <w:r w:rsidRPr="004F31AD">
        <w:rPr>
          <w:rFonts w:cs="Arial"/>
          <w:i/>
        </w:rPr>
        <w:t>AC: anterior colporrhaphy, CI: confidence interval, EQ-5D-3L: EuroQol five dimensions, three level questionnaire HR: hazard ratio, NA: not applicable, NMA: network meta-analysis, POP: pelvic organ prolapse, RCT: randomised controlled trial, SE: standard error</w:t>
      </w:r>
    </w:p>
    <w:p w14:paraId="3672E4F2" w14:textId="77777777" w:rsidR="000D07D5" w:rsidRDefault="000D07D5" w:rsidP="006751E6">
      <w:pPr>
        <w:rPr>
          <w:rFonts w:ascii="Arial" w:hAnsi="Arial" w:cs="Arial"/>
          <w:b/>
        </w:rPr>
      </w:pPr>
    </w:p>
    <w:p w14:paraId="70C5E78F" w14:textId="77777777" w:rsidR="000D07D5" w:rsidRDefault="000D07D5">
      <w:pPr>
        <w:rPr>
          <w:rFonts w:ascii="Arial" w:hAnsi="Arial" w:cs="Arial"/>
          <w:b/>
        </w:rPr>
      </w:pPr>
      <w:r>
        <w:rPr>
          <w:rFonts w:ascii="Arial" w:hAnsi="Arial" w:cs="Arial"/>
          <w:b/>
        </w:rPr>
        <w:br w:type="page"/>
      </w:r>
    </w:p>
    <w:p w14:paraId="73515C5F" w14:textId="77777777" w:rsidR="005E4757" w:rsidRPr="008F24AC" w:rsidRDefault="005E4757" w:rsidP="006751E6">
      <w:pPr>
        <w:rPr>
          <w:rFonts w:cs="Arial"/>
          <w:b/>
        </w:rPr>
      </w:pPr>
      <w:r w:rsidRPr="008F24AC">
        <w:rPr>
          <w:rFonts w:cs="Arial"/>
          <w:b/>
        </w:rPr>
        <w:lastRenderedPageBreak/>
        <w:t>Table S</w:t>
      </w:r>
      <w:r w:rsidR="000D07D5" w:rsidRPr="008F24AC">
        <w:rPr>
          <w:rFonts w:cs="Arial"/>
          <w:b/>
        </w:rPr>
        <w:t>2</w:t>
      </w:r>
      <w:r w:rsidRPr="008F24AC">
        <w:rPr>
          <w:rFonts w:cs="Arial"/>
          <w:b/>
        </w:rPr>
        <w:t>. Characteristics of the included studies in the NMA and references.</w:t>
      </w:r>
    </w:p>
    <w:tbl>
      <w:tblPr>
        <w:tblStyle w:val="TableGrid"/>
        <w:tblW w:w="13887"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4"/>
        <w:gridCol w:w="1649"/>
        <w:gridCol w:w="1418"/>
        <w:gridCol w:w="1701"/>
        <w:gridCol w:w="1417"/>
        <w:gridCol w:w="1701"/>
        <w:gridCol w:w="1276"/>
        <w:gridCol w:w="4111"/>
      </w:tblGrid>
      <w:tr w:rsidR="00476064" w:rsidRPr="008F24AC" w14:paraId="2C67D5AF" w14:textId="77777777" w:rsidTr="008F24AC">
        <w:tc>
          <w:tcPr>
            <w:tcW w:w="614" w:type="dxa"/>
            <w:tcBorders>
              <w:top w:val="single" w:sz="12" w:space="0" w:color="auto"/>
              <w:bottom w:val="single" w:sz="4" w:space="0" w:color="auto"/>
            </w:tcBorders>
            <w:noWrap/>
            <w:hideMark/>
          </w:tcPr>
          <w:p w14:paraId="1351996F" w14:textId="77777777" w:rsidR="00476064" w:rsidRPr="008F24AC" w:rsidRDefault="00476064" w:rsidP="00D91D5B">
            <w:pPr>
              <w:pStyle w:val="TableHeadingLeft"/>
              <w:rPr>
                <w:rFonts w:cs="Arial"/>
                <w:sz w:val="22"/>
                <w:szCs w:val="22"/>
              </w:rPr>
            </w:pPr>
            <w:r w:rsidRPr="008F24AC">
              <w:rPr>
                <w:rFonts w:cs="Arial"/>
                <w:sz w:val="22"/>
                <w:szCs w:val="22"/>
              </w:rPr>
              <w:t>No.</w:t>
            </w:r>
          </w:p>
        </w:tc>
        <w:tc>
          <w:tcPr>
            <w:tcW w:w="1649" w:type="dxa"/>
            <w:tcBorders>
              <w:top w:val="single" w:sz="12" w:space="0" w:color="auto"/>
              <w:bottom w:val="single" w:sz="4" w:space="0" w:color="auto"/>
            </w:tcBorders>
            <w:noWrap/>
            <w:hideMark/>
          </w:tcPr>
          <w:p w14:paraId="3C77E09C" w14:textId="77777777" w:rsidR="00476064" w:rsidRPr="008F24AC" w:rsidRDefault="00476064" w:rsidP="00D91D5B">
            <w:pPr>
              <w:pStyle w:val="TableHeadingLeft"/>
              <w:rPr>
                <w:rFonts w:cs="Arial"/>
                <w:sz w:val="22"/>
                <w:szCs w:val="22"/>
              </w:rPr>
            </w:pPr>
            <w:r w:rsidRPr="008F24AC">
              <w:rPr>
                <w:rFonts w:cs="Arial"/>
                <w:sz w:val="22"/>
                <w:szCs w:val="22"/>
              </w:rPr>
              <w:t>Study ID</w:t>
            </w:r>
          </w:p>
        </w:tc>
        <w:tc>
          <w:tcPr>
            <w:tcW w:w="1418" w:type="dxa"/>
            <w:tcBorders>
              <w:top w:val="single" w:sz="12" w:space="0" w:color="auto"/>
              <w:bottom w:val="single" w:sz="4" w:space="0" w:color="auto"/>
            </w:tcBorders>
            <w:noWrap/>
            <w:hideMark/>
          </w:tcPr>
          <w:p w14:paraId="5DF09DBB" w14:textId="77777777" w:rsidR="00476064" w:rsidRPr="008F24AC" w:rsidRDefault="00476064" w:rsidP="00D91D5B">
            <w:pPr>
              <w:pStyle w:val="TableHeadingLeft"/>
              <w:rPr>
                <w:rFonts w:cs="Arial"/>
                <w:sz w:val="22"/>
                <w:szCs w:val="22"/>
              </w:rPr>
            </w:pPr>
            <w:r w:rsidRPr="008F24AC">
              <w:rPr>
                <w:rFonts w:cs="Arial"/>
                <w:sz w:val="22"/>
                <w:szCs w:val="22"/>
              </w:rPr>
              <w:t xml:space="preserve">Country </w:t>
            </w:r>
          </w:p>
        </w:tc>
        <w:tc>
          <w:tcPr>
            <w:tcW w:w="1701" w:type="dxa"/>
            <w:tcBorders>
              <w:top w:val="single" w:sz="12" w:space="0" w:color="auto"/>
              <w:bottom w:val="single" w:sz="4" w:space="0" w:color="auto"/>
            </w:tcBorders>
            <w:noWrap/>
            <w:hideMark/>
          </w:tcPr>
          <w:p w14:paraId="72DFFFB3" w14:textId="77777777" w:rsidR="00476064" w:rsidRPr="008F24AC" w:rsidRDefault="00920FF4" w:rsidP="00D91D5B">
            <w:pPr>
              <w:pStyle w:val="TableHeadingLeft"/>
              <w:rPr>
                <w:rFonts w:cs="Arial"/>
                <w:sz w:val="22"/>
                <w:szCs w:val="22"/>
              </w:rPr>
            </w:pPr>
            <w:r w:rsidRPr="008F24AC">
              <w:rPr>
                <w:rFonts w:cs="Arial"/>
                <w:sz w:val="22"/>
                <w:szCs w:val="22"/>
              </w:rPr>
              <w:t>POP type</w:t>
            </w:r>
          </w:p>
        </w:tc>
        <w:tc>
          <w:tcPr>
            <w:tcW w:w="1417" w:type="dxa"/>
            <w:tcBorders>
              <w:top w:val="single" w:sz="12" w:space="0" w:color="auto"/>
              <w:bottom w:val="single" w:sz="4" w:space="0" w:color="auto"/>
            </w:tcBorders>
            <w:noWrap/>
            <w:hideMark/>
          </w:tcPr>
          <w:p w14:paraId="16615E08" w14:textId="77777777" w:rsidR="00476064" w:rsidRPr="008F24AC" w:rsidRDefault="00476064" w:rsidP="00D91D5B">
            <w:pPr>
              <w:pStyle w:val="TableHeadingLeft"/>
              <w:rPr>
                <w:rFonts w:cs="Arial"/>
                <w:sz w:val="22"/>
                <w:szCs w:val="22"/>
              </w:rPr>
            </w:pPr>
            <w:r w:rsidRPr="008F24AC">
              <w:rPr>
                <w:rFonts w:cs="Arial"/>
                <w:sz w:val="22"/>
                <w:szCs w:val="22"/>
              </w:rPr>
              <w:t>Grade of prolapse (POP-Q staging)</w:t>
            </w:r>
          </w:p>
        </w:tc>
        <w:tc>
          <w:tcPr>
            <w:tcW w:w="1701" w:type="dxa"/>
            <w:tcBorders>
              <w:top w:val="single" w:sz="12" w:space="0" w:color="auto"/>
              <w:bottom w:val="single" w:sz="4" w:space="0" w:color="auto"/>
            </w:tcBorders>
            <w:noWrap/>
            <w:hideMark/>
          </w:tcPr>
          <w:p w14:paraId="306110E1" w14:textId="77777777" w:rsidR="00476064" w:rsidRPr="008F24AC" w:rsidRDefault="00476064" w:rsidP="00D91D5B">
            <w:pPr>
              <w:pStyle w:val="TableHeadingLeft"/>
              <w:rPr>
                <w:rFonts w:cs="Arial"/>
                <w:sz w:val="22"/>
                <w:szCs w:val="22"/>
              </w:rPr>
            </w:pPr>
            <w:r w:rsidRPr="008F24AC">
              <w:rPr>
                <w:rFonts w:cs="Arial"/>
                <w:sz w:val="22"/>
                <w:szCs w:val="22"/>
              </w:rPr>
              <w:t>Primary/Secondary repair</w:t>
            </w:r>
          </w:p>
        </w:tc>
        <w:tc>
          <w:tcPr>
            <w:tcW w:w="1276" w:type="dxa"/>
            <w:tcBorders>
              <w:top w:val="single" w:sz="12" w:space="0" w:color="auto"/>
              <w:bottom w:val="single" w:sz="4" w:space="0" w:color="auto"/>
            </w:tcBorders>
            <w:noWrap/>
            <w:hideMark/>
          </w:tcPr>
          <w:p w14:paraId="16D15584" w14:textId="77777777" w:rsidR="00476064" w:rsidRPr="008F24AC" w:rsidRDefault="00476064" w:rsidP="00D91D5B">
            <w:pPr>
              <w:pStyle w:val="TableHeadingLeft"/>
              <w:rPr>
                <w:rFonts w:cs="Arial"/>
                <w:sz w:val="22"/>
                <w:szCs w:val="22"/>
              </w:rPr>
            </w:pPr>
            <w:r w:rsidRPr="008F24AC">
              <w:rPr>
                <w:rFonts w:cs="Arial"/>
                <w:sz w:val="22"/>
                <w:szCs w:val="22"/>
              </w:rPr>
              <w:t>Concomitant surgery</w:t>
            </w:r>
          </w:p>
        </w:tc>
        <w:tc>
          <w:tcPr>
            <w:tcW w:w="4111" w:type="dxa"/>
            <w:tcBorders>
              <w:top w:val="single" w:sz="12" w:space="0" w:color="auto"/>
              <w:bottom w:val="single" w:sz="4" w:space="0" w:color="auto"/>
            </w:tcBorders>
          </w:tcPr>
          <w:p w14:paraId="77CA7141" w14:textId="77777777" w:rsidR="00476064" w:rsidRPr="008F24AC" w:rsidRDefault="00476064" w:rsidP="00D91D5B">
            <w:pPr>
              <w:pStyle w:val="TableHeadingLeft"/>
              <w:rPr>
                <w:rFonts w:cs="Arial"/>
                <w:sz w:val="22"/>
                <w:szCs w:val="22"/>
              </w:rPr>
            </w:pPr>
            <w:r w:rsidRPr="008F24AC">
              <w:rPr>
                <w:rFonts w:cs="Arial"/>
                <w:sz w:val="22"/>
                <w:szCs w:val="22"/>
              </w:rPr>
              <w:t>Reference</w:t>
            </w:r>
          </w:p>
        </w:tc>
      </w:tr>
      <w:tr w:rsidR="00476064" w:rsidRPr="008F24AC" w14:paraId="2975259C" w14:textId="77777777" w:rsidTr="008F24AC">
        <w:tc>
          <w:tcPr>
            <w:tcW w:w="614" w:type="dxa"/>
            <w:tcBorders>
              <w:top w:val="single" w:sz="4" w:space="0" w:color="auto"/>
            </w:tcBorders>
            <w:noWrap/>
            <w:hideMark/>
          </w:tcPr>
          <w:p w14:paraId="267D52D9" w14:textId="77777777" w:rsidR="00476064" w:rsidRPr="008F24AC" w:rsidRDefault="00476064" w:rsidP="00D91D5B">
            <w:pPr>
              <w:pStyle w:val="TableTextLeft"/>
              <w:rPr>
                <w:rFonts w:cs="Arial"/>
                <w:sz w:val="22"/>
              </w:rPr>
            </w:pPr>
            <w:r w:rsidRPr="008F24AC">
              <w:rPr>
                <w:rFonts w:cs="Arial"/>
                <w:sz w:val="22"/>
              </w:rPr>
              <w:t>1</w:t>
            </w:r>
          </w:p>
        </w:tc>
        <w:tc>
          <w:tcPr>
            <w:tcW w:w="1649" w:type="dxa"/>
            <w:tcBorders>
              <w:top w:val="single" w:sz="4" w:space="0" w:color="auto"/>
            </w:tcBorders>
            <w:noWrap/>
            <w:hideMark/>
          </w:tcPr>
          <w:p w14:paraId="30E0121E" w14:textId="77777777" w:rsidR="00476064" w:rsidRPr="008F24AC" w:rsidRDefault="00B53793" w:rsidP="00D91D5B">
            <w:pPr>
              <w:pStyle w:val="TableTextLeft"/>
              <w:rPr>
                <w:rFonts w:cs="Arial"/>
                <w:sz w:val="22"/>
              </w:rPr>
            </w:pPr>
            <w:r w:rsidRPr="008F24AC">
              <w:rPr>
                <w:rFonts w:cs="Arial"/>
                <w:sz w:val="22"/>
              </w:rPr>
              <w:t>Glazener 2017</w:t>
            </w:r>
            <w:r w:rsidR="00B64EA3" w:rsidRPr="008F24AC">
              <w:rPr>
                <w:rFonts w:cs="Arial"/>
                <w:sz w:val="22"/>
              </w:rPr>
              <w:t>a</w:t>
            </w:r>
          </w:p>
        </w:tc>
        <w:tc>
          <w:tcPr>
            <w:tcW w:w="1418" w:type="dxa"/>
            <w:tcBorders>
              <w:top w:val="single" w:sz="4" w:space="0" w:color="auto"/>
            </w:tcBorders>
            <w:noWrap/>
            <w:hideMark/>
          </w:tcPr>
          <w:p w14:paraId="1F23E716" w14:textId="77777777" w:rsidR="00476064" w:rsidRPr="008F24AC" w:rsidRDefault="00476064" w:rsidP="00D91D5B">
            <w:pPr>
              <w:pStyle w:val="TableTextLeft"/>
              <w:rPr>
                <w:rFonts w:cs="Arial"/>
                <w:sz w:val="22"/>
              </w:rPr>
            </w:pPr>
            <w:r w:rsidRPr="008F24AC">
              <w:rPr>
                <w:rFonts w:cs="Arial"/>
                <w:sz w:val="22"/>
              </w:rPr>
              <w:t>UK</w:t>
            </w:r>
          </w:p>
        </w:tc>
        <w:tc>
          <w:tcPr>
            <w:tcW w:w="1701" w:type="dxa"/>
            <w:tcBorders>
              <w:top w:val="single" w:sz="4" w:space="0" w:color="auto"/>
            </w:tcBorders>
            <w:noWrap/>
            <w:hideMark/>
          </w:tcPr>
          <w:p w14:paraId="3F64F6D5" w14:textId="77777777" w:rsidR="00476064" w:rsidRPr="008F24AC" w:rsidRDefault="00476064" w:rsidP="00D91D5B">
            <w:pPr>
              <w:pStyle w:val="TableTextLeft"/>
              <w:rPr>
                <w:rFonts w:cs="Arial"/>
                <w:sz w:val="22"/>
              </w:rPr>
            </w:pPr>
            <w:r w:rsidRPr="008F24AC">
              <w:rPr>
                <w:rFonts w:cs="Arial"/>
                <w:sz w:val="22"/>
              </w:rPr>
              <w:t>Anterior</w:t>
            </w:r>
          </w:p>
        </w:tc>
        <w:tc>
          <w:tcPr>
            <w:tcW w:w="1417" w:type="dxa"/>
            <w:tcBorders>
              <w:top w:val="single" w:sz="4" w:space="0" w:color="auto"/>
            </w:tcBorders>
            <w:noWrap/>
            <w:hideMark/>
          </w:tcPr>
          <w:p w14:paraId="1F5E19EE" w14:textId="77777777" w:rsidR="00476064" w:rsidRPr="008F24AC" w:rsidRDefault="00476064" w:rsidP="00D91D5B">
            <w:pPr>
              <w:pStyle w:val="TableTextLeft"/>
              <w:rPr>
                <w:rFonts w:cs="Arial"/>
                <w:sz w:val="22"/>
              </w:rPr>
            </w:pPr>
            <w:r w:rsidRPr="008F24AC">
              <w:rPr>
                <w:rFonts w:cs="Arial"/>
                <w:sz w:val="22"/>
              </w:rPr>
              <w:t>≥2</w:t>
            </w:r>
          </w:p>
        </w:tc>
        <w:tc>
          <w:tcPr>
            <w:tcW w:w="1701" w:type="dxa"/>
            <w:tcBorders>
              <w:top w:val="single" w:sz="4" w:space="0" w:color="auto"/>
            </w:tcBorders>
            <w:noWrap/>
            <w:hideMark/>
          </w:tcPr>
          <w:p w14:paraId="78157D0D"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tcBorders>
              <w:top w:val="single" w:sz="4" w:space="0" w:color="auto"/>
            </w:tcBorders>
            <w:noWrap/>
            <w:hideMark/>
          </w:tcPr>
          <w:p w14:paraId="6B6B4166"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Borders>
              <w:top w:val="single" w:sz="4" w:space="0" w:color="auto"/>
            </w:tcBorders>
          </w:tcPr>
          <w:p w14:paraId="0CB8D2A1" w14:textId="77777777" w:rsidR="00476064" w:rsidRPr="008F24AC" w:rsidRDefault="00476064" w:rsidP="00D23255">
            <w:pPr>
              <w:pStyle w:val="TableTextLeft"/>
              <w:rPr>
                <w:rFonts w:cs="Arial"/>
                <w:sz w:val="22"/>
              </w:rPr>
            </w:pPr>
            <w:r w:rsidRPr="008F24AC">
              <w:rPr>
                <w:rFonts w:cs="Arial"/>
                <w:sz w:val="22"/>
              </w:rPr>
              <w:t>Glazener CM, Breeman</w:t>
            </w:r>
            <w:r w:rsidR="00AC1E70" w:rsidRPr="008F24AC">
              <w:rPr>
                <w:rFonts w:cs="Arial"/>
                <w:sz w:val="22"/>
              </w:rPr>
              <w:t xml:space="preserve"> </w:t>
            </w:r>
            <w:r w:rsidRPr="008F24AC">
              <w:rPr>
                <w:rFonts w:cs="Arial"/>
                <w:sz w:val="22"/>
              </w:rPr>
              <w:t xml:space="preserve">S, Elders A, Hemming C, Cooper KG, Freeman RM, </w:t>
            </w:r>
            <w:r w:rsidR="00AC1E70" w:rsidRPr="008F24AC">
              <w:rPr>
                <w:rFonts w:cs="Arial"/>
                <w:sz w:val="22"/>
              </w:rPr>
              <w:t>et al.</w:t>
            </w:r>
            <w:r w:rsidRPr="008F24AC">
              <w:rPr>
                <w:rFonts w:cs="Arial"/>
                <w:sz w:val="22"/>
              </w:rPr>
              <w:t xml:space="preserve"> Mesh, graft, or standard repair for women having primary transvaginal anterior or posterior compartment prolapse surgery: two parallel-group, multicentre, randomised, controlled trials (PROSPECT)</w:t>
            </w:r>
            <w:r w:rsidR="00AC1E70" w:rsidRPr="008F24AC">
              <w:rPr>
                <w:rFonts w:cs="Arial"/>
                <w:sz w:val="22"/>
              </w:rPr>
              <w:t>.</w:t>
            </w:r>
            <w:r w:rsidRPr="008F24AC">
              <w:rPr>
                <w:rFonts w:cs="Arial"/>
                <w:sz w:val="22"/>
              </w:rPr>
              <w:t xml:space="preserve"> </w:t>
            </w:r>
            <w:r w:rsidRPr="008F24AC">
              <w:rPr>
                <w:rFonts w:cs="Arial"/>
                <w:i/>
                <w:sz w:val="22"/>
              </w:rPr>
              <w:t>The Lancet</w:t>
            </w:r>
            <w:r w:rsidR="00AC1E70" w:rsidRPr="008F24AC">
              <w:rPr>
                <w:rFonts w:cs="Arial"/>
                <w:i/>
                <w:sz w:val="22"/>
              </w:rPr>
              <w:t>.</w:t>
            </w:r>
            <w:r w:rsidRPr="008F24AC">
              <w:rPr>
                <w:rFonts w:cs="Arial"/>
                <w:sz w:val="22"/>
              </w:rPr>
              <w:t xml:space="preserve"> </w:t>
            </w:r>
            <w:r w:rsidR="00AC1E70" w:rsidRPr="008F24AC">
              <w:rPr>
                <w:rFonts w:cs="Arial"/>
                <w:sz w:val="22"/>
              </w:rPr>
              <w:t>2017;</w:t>
            </w:r>
            <w:r w:rsidRPr="008F24AC">
              <w:rPr>
                <w:rFonts w:cs="Arial"/>
                <w:sz w:val="22"/>
              </w:rPr>
              <w:t>389</w:t>
            </w:r>
            <w:r w:rsidR="00AC1E70" w:rsidRPr="008F24AC">
              <w:rPr>
                <w:rFonts w:cs="Arial"/>
                <w:sz w:val="22"/>
              </w:rPr>
              <w:t>:</w:t>
            </w:r>
            <w:r w:rsidRPr="008F24AC">
              <w:rPr>
                <w:rFonts w:cs="Arial"/>
                <w:sz w:val="22"/>
              </w:rPr>
              <w:t>381-92</w:t>
            </w:r>
            <w:r w:rsidR="00AC1E70" w:rsidRPr="008F24AC">
              <w:rPr>
                <w:rFonts w:cs="Arial"/>
                <w:sz w:val="22"/>
              </w:rPr>
              <w:t>.</w:t>
            </w:r>
            <w:r w:rsidRPr="008F24AC">
              <w:rPr>
                <w:rFonts w:cs="Arial"/>
                <w:sz w:val="22"/>
              </w:rPr>
              <w:t xml:space="preserve"> STRATIFIED DATA PROVIDED BY AUTHORS </w:t>
            </w:r>
          </w:p>
        </w:tc>
      </w:tr>
      <w:tr w:rsidR="00476064" w:rsidRPr="008F24AC" w14:paraId="12559C97" w14:textId="77777777" w:rsidTr="008F24AC">
        <w:tc>
          <w:tcPr>
            <w:tcW w:w="614" w:type="dxa"/>
            <w:noWrap/>
            <w:hideMark/>
          </w:tcPr>
          <w:p w14:paraId="0E309137" w14:textId="77777777" w:rsidR="00476064" w:rsidRPr="008F24AC" w:rsidRDefault="00476064" w:rsidP="00D91D5B">
            <w:pPr>
              <w:pStyle w:val="TableTextLeft"/>
              <w:rPr>
                <w:rFonts w:cs="Arial"/>
                <w:sz w:val="22"/>
              </w:rPr>
            </w:pPr>
            <w:r w:rsidRPr="008F24AC">
              <w:rPr>
                <w:rFonts w:cs="Arial"/>
                <w:sz w:val="22"/>
              </w:rPr>
              <w:t>2</w:t>
            </w:r>
          </w:p>
        </w:tc>
        <w:tc>
          <w:tcPr>
            <w:tcW w:w="1649" w:type="dxa"/>
            <w:noWrap/>
            <w:hideMark/>
          </w:tcPr>
          <w:p w14:paraId="783F9FA7" w14:textId="77777777" w:rsidR="00476064" w:rsidRPr="008F24AC" w:rsidRDefault="00476064" w:rsidP="00D91D5B">
            <w:pPr>
              <w:pStyle w:val="TableTextLeft"/>
              <w:rPr>
                <w:rFonts w:cs="Arial"/>
                <w:sz w:val="22"/>
              </w:rPr>
            </w:pPr>
            <w:r w:rsidRPr="008F24AC">
              <w:rPr>
                <w:rFonts w:cs="Arial"/>
                <w:sz w:val="22"/>
              </w:rPr>
              <w:t>El Nazer 2012</w:t>
            </w:r>
          </w:p>
        </w:tc>
        <w:tc>
          <w:tcPr>
            <w:tcW w:w="1418" w:type="dxa"/>
            <w:noWrap/>
            <w:hideMark/>
          </w:tcPr>
          <w:p w14:paraId="3BDCBE1B" w14:textId="77777777" w:rsidR="00476064" w:rsidRPr="008F24AC" w:rsidRDefault="00476064" w:rsidP="00D91D5B">
            <w:pPr>
              <w:pStyle w:val="TableTextLeft"/>
              <w:rPr>
                <w:rFonts w:cs="Arial"/>
                <w:sz w:val="22"/>
              </w:rPr>
            </w:pPr>
            <w:r w:rsidRPr="008F24AC">
              <w:rPr>
                <w:rFonts w:cs="Arial"/>
                <w:sz w:val="22"/>
              </w:rPr>
              <w:t>Egypt</w:t>
            </w:r>
          </w:p>
        </w:tc>
        <w:tc>
          <w:tcPr>
            <w:tcW w:w="1701" w:type="dxa"/>
            <w:noWrap/>
            <w:hideMark/>
          </w:tcPr>
          <w:p w14:paraId="1E75F624"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2E707EDF"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2CC008E7" w14:textId="77777777" w:rsidR="00476064" w:rsidRPr="008F24AC" w:rsidRDefault="00476064" w:rsidP="00D91D5B">
            <w:pPr>
              <w:pStyle w:val="TableTextLeft"/>
              <w:rPr>
                <w:rFonts w:cs="Arial"/>
                <w:sz w:val="22"/>
              </w:rPr>
            </w:pPr>
            <w:r w:rsidRPr="008F24AC">
              <w:rPr>
                <w:rFonts w:cs="Arial"/>
                <w:sz w:val="22"/>
              </w:rPr>
              <w:t>Primary only</w:t>
            </w:r>
          </w:p>
        </w:tc>
        <w:tc>
          <w:tcPr>
            <w:tcW w:w="1276" w:type="dxa"/>
            <w:noWrap/>
            <w:hideMark/>
          </w:tcPr>
          <w:p w14:paraId="5E22623A" w14:textId="77777777" w:rsidR="00476064" w:rsidRPr="008F24AC" w:rsidRDefault="00476064" w:rsidP="00D91D5B">
            <w:pPr>
              <w:pStyle w:val="TableTextLeft"/>
              <w:rPr>
                <w:rFonts w:cs="Arial"/>
                <w:sz w:val="22"/>
              </w:rPr>
            </w:pPr>
            <w:r w:rsidRPr="008F24AC">
              <w:rPr>
                <w:rFonts w:cs="Arial"/>
                <w:sz w:val="22"/>
              </w:rPr>
              <w:t>No additional</w:t>
            </w:r>
          </w:p>
        </w:tc>
        <w:tc>
          <w:tcPr>
            <w:tcW w:w="4111" w:type="dxa"/>
          </w:tcPr>
          <w:p w14:paraId="681F42E1" w14:textId="77777777" w:rsidR="00476064" w:rsidRPr="008F24AC" w:rsidRDefault="00476064" w:rsidP="00AC1E70">
            <w:pPr>
              <w:pStyle w:val="TableTextLeft"/>
              <w:rPr>
                <w:rFonts w:cs="Arial"/>
                <w:sz w:val="22"/>
              </w:rPr>
            </w:pPr>
            <w:r w:rsidRPr="008F24AC">
              <w:rPr>
                <w:rFonts w:cs="Arial"/>
                <w:sz w:val="22"/>
              </w:rPr>
              <w:t>El-Nazer MA, Gomaa I</w:t>
            </w:r>
            <w:r w:rsidR="00AC1E70" w:rsidRPr="008F24AC">
              <w:rPr>
                <w:rFonts w:cs="Arial"/>
                <w:sz w:val="22"/>
              </w:rPr>
              <w:t>A,</w:t>
            </w:r>
            <w:r w:rsidRPr="008F24AC">
              <w:rPr>
                <w:rFonts w:cs="Arial"/>
                <w:sz w:val="22"/>
              </w:rPr>
              <w:t xml:space="preserve"> Ismail Madkour</w:t>
            </w:r>
            <w:r w:rsidR="00AC1E70" w:rsidRPr="008F24AC">
              <w:rPr>
                <w:rFonts w:cs="Arial"/>
                <w:sz w:val="22"/>
              </w:rPr>
              <w:t xml:space="preserve"> WA</w:t>
            </w:r>
            <w:r w:rsidRPr="008F24AC">
              <w:rPr>
                <w:rFonts w:cs="Arial"/>
                <w:sz w:val="22"/>
              </w:rPr>
              <w:t>, Swidan</w:t>
            </w:r>
            <w:r w:rsidR="00AC1E70" w:rsidRPr="008F24AC">
              <w:rPr>
                <w:rFonts w:cs="Arial"/>
                <w:sz w:val="22"/>
              </w:rPr>
              <w:t xml:space="preserve"> KH</w:t>
            </w:r>
            <w:r w:rsidRPr="008F24AC">
              <w:rPr>
                <w:rFonts w:cs="Arial"/>
                <w:sz w:val="22"/>
              </w:rPr>
              <w:t>, El-Etriby</w:t>
            </w:r>
            <w:r w:rsidR="00AC1E70" w:rsidRPr="008F24AC">
              <w:rPr>
                <w:rFonts w:cs="Arial"/>
                <w:sz w:val="22"/>
              </w:rPr>
              <w:t xml:space="preserve"> MA.</w:t>
            </w:r>
            <w:r w:rsidRPr="008F24AC">
              <w:rPr>
                <w:rFonts w:cs="Arial"/>
                <w:sz w:val="22"/>
              </w:rPr>
              <w:t xml:space="preserve"> Anterior colporrhaphy versus repair with mesh for anterior vaginal wall prolapse: a comparative clinical study, </w:t>
            </w:r>
            <w:r w:rsidRPr="008F24AC">
              <w:rPr>
                <w:rFonts w:cs="Arial"/>
                <w:i/>
                <w:sz w:val="22"/>
              </w:rPr>
              <w:t>Archives of Gynecology &amp; Obstetrics</w:t>
            </w:r>
            <w:r w:rsidR="00AC1E70" w:rsidRPr="008F24AC">
              <w:rPr>
                <w:rFonts w:cs="Arial"/>
                <w:sz w:val="22"/>
              </w:rPr>
              <w:t>. 2012;</w:t>
            </w:r>
            <w:r w:rsidRPr="008F24AC">
              <w:rPr>
                <w:rFonts w:cs="Arial"/>
                <w:sz w:val="22"/>
              </w:rPr>
              <w:t>286</w:t>
            </w:r>
            <w:r w:rsidR="00AC1E70" w:rsidRPr="008F24AC">
              <w:rPr>
                <w:rFonts w:cs="Arial"/>
                <w:sz w:val="22"/>
              </w:rPr>
              <w:t>:</w:t>
            </w:r>
            <w:r w:rsidRPr="008F24AC">
              <w:rPr>
                <w:rFonts w:cs="Arial"/>
                <w:sz w:val="22"/>
              </w:rPr>
              <w:t>965-72</w:t>
            </w:r>
            <w:r w:rsidR="00AC1E70" w:rsidRPr="008F24AC">
              <w:rPr>
                <w:rFonts w:cs="Arial"/>
                <w:sz w:val="22"/>
              </w:rPr>
              <w:t>.</w:t>
            </w:r>
          </w:p>
        </w:tc>
      </w:tr>
      <w:tr w:rsidR="00476064" w:rsidRPr="008F24AC" w14:paraId="505CA3DE" w14:textId="77777777" w:rsidTr="008F24AC">
        <w:tc>
          <w:tcPr>
            <w:tcW w:w="614" w:type="dxa"/>
            <w:noWrap/>
            <w:hideMark/>
          </w:tcPr>
          <w:p w14:paraId="79650114" w14:textId="77777777" w:rsidR="00476064" w:rsidRPr="008F24AC" w:rsidRDefault="00476064" w:rsidP="00D91D5B">
            <w:pPr>
              <w:pStyle w:val="TableTextLeft"/>
              <w:rPr>
                <w:rFonts w:cs="Arial"/>
                <w:sz w:val="22"/>
              </w:rPr>
            </w:pPr>
            <w:r w:rsidRPr="008F24AC">
              <w:rPr>
                <w:rFonts w:cs="Arial"/>
                <w:sz w:val="22"/>
              </w:rPr>
              <w:t>3</w:t>
            </w:r>
          </w:p>
        </w:tc>
        <w:tc>
          <w:tcPr>
            <w:tcW w:w="1649" w:type="dxa"/>
            <w:noWrap/>
            <w:hideMark/>
          </w:tcPr>
          <w:p w14:paraId="32E74D42" w14:textId="77777777" w:rsidR="00476064" w:rsidRPr="008F24AC" w:rsidRDefault="00476064" w:rsidP="00D91D5B">
            <w:pPr>
              <w:pStyle w:val="TableTextLeft"/>
              <w:rPr>
                <w:rFonts w:cs="Arial"/>
                <w:sz w:val="22"/>
              </w:rPr>
            </w:pPr>
            <w:r w:rsidRPr="008F24AC">
              <w:rPr>
                <w:rFonts w:cs="Arial"/>
                <w:sz w:val="22"/>
              </w:rPr>
              <w:t>Hiltunen 2007</w:t>
            </w:r>
          </w:p>
        </w:tc>
        <w:tc>
          <w:tcPr>
            <w:tcW w:w="1418" w:type="dxa"/>
            <w:noWrap/>
            <w:hideMark/>
          </w:tcPr>
          <w:p w14:paraId="6E8BB384" w14:textId="77777777" w:rsidR="00476064" w:rsidRPr="008F24AC" w:rsidRDefault="00476064" w:rsidP="00D91D5B">
            <w:pPr>
              <w:pStyle w:val="TableTextLeft"/>
              <w:rPr>
                <w:rFonts w:cs="Arial"/>
                <w:sz w:val="22"/>
              </w:rPr>
            </w:pPr>
            <w:r w:rsidRPr="008F24AC">
              <w:rPr>
                <w:rFonts w:cs="Arial"/>
                <w:sz w:val="22"/>
              </w:rPr>
              <w:t>Finland</w:t>
            </w:r>
          </w:p>
        </w:tc>
        <w:tc>
          <w:tcPr>
            <w:tcW w:w="1701" w:type="dxa"/>
            <w:noWrap/>
            <w:hideMark/>
          </w:tcPr>
          <w:p w14:paraId="0072C74B"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4E5430EE"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0EE60C82"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2A7A8157"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38C09D3B" w14:textId="77777777" w:rsidR="00476064" w:rsidRPr="008F24AC" w:rsidRDefault="00476064" w:rsidP="00D23255">
            <w:pPr>
              <w:pStyle w:val="TableTextLeft"/>
              <w:rPr>
                <w:rFonts w:cs="Arial"/>
                <w:sz w:val="22"/>
              </w:rPr>
            </w:pPr>
            <w:r w:rsidRPr="008F24AC">
              <w:rPr>
                <w:rFonts w:cs="Arial"/>
                <w:sz w:val="22"/>
              </w:rPr>
              <w:t>Hiltunen</w:t>
            </w:r>
            <w:r w:rsidR="00AC1E70" w:rsidRPr="008F24AC">
              <w:rPr>
                <w:rFonts w:cs="Arial"/>
                <w:sz w:val="22"/>
              </w:rPr>
              <w:t xml:space="preserve"> </w:t>
            </w:r>
            <w:r w:rsidRPr="008F24AC">
              <w:rPr>
                <w:rFonts w:cs="Arial"/>
                <w:sz w:val="22"/>
              </w:rPr>
              <w:t>R, Nieminen</w:t>
            </w:r>
            <w:r w:rsidR="00AC1E70" w:rsidRPr="008F24AC">
              <w:rPr>
                <w:rFonts w:cs="Arial"/>
                <w:sz w:val="22"/>
              </w:rPr>
              <w:t xml:space="preserve"> </w:t>
            </w:r>
            <w:r w:rsidRPr="008F24AC">
              <w:rPr>
                <w:rFonts w:cs="Arial"/>
                <w:sz w:val="22"/>
              </w:rPr>
              <w:t>K, Takala</w:t>
            </w:r>
            <w:r w:rsidR="00AC1E70" w:rsidRPr="008F24AC">
              <w:rPr>
                <w:rFonts w:cs="Arial"/>
                <w:sz w:val="22"/>
              </w:rPr>
              <w:t xml:space="preserve"> </w:t>
            </w:r>
            <w:r w:rsidRPr="008F24AC">
              <w:rPr>
                <w:rFonts w:cs="Arial"/>
                <w:sz w:val="22"/>
              </w:rPr>
              <w:t>T, Heiskanen</w:t>
            </w:r>
            <w:r w:rsidR="00AC1E70" w:rsidRPr="008F24AC">
              <w:rPr>
                <w:rFonts w:cs="Arial"/>
                <w:sz w:val="22"/>
              </w:rPr>
              <w:t xml:space="preserve"> </w:t>
            </w:r>
            <w:r w:rsidRPr="008F24AC">
              <w:rPr>
                <w:rFonts w:cs="Arial"/>
                <w:sz w:val="22"/>
              </w:rPr>
              <w:t>E, Merikari</w:t>
            </w:r>
            <w:r w:rsidR="00AC1E70" w:rsidRPr="008F24AC">
              <w:rPr>
                <w:rFonts w:cs="Arial"/>
                <w:sz w:val="22"/>
              </w:rPr>
              <w:t xml:space="preserve"> </w:t>
            </w:r>
            <w:r w:rsidRPr="008F24AC">
              <w:rPr>
                <w:rFonts w:cs="Arial"/>
                <w:sz w:val="22"/>
              </w:rPr>
              <w:t>M, Niemi</w:t>
            </w:r>
            <w:r w:rsidR="00AC1E70" w:rsidRPr="008F24AC">
              <w:rPr>
                <w:rFonts w:cs="Arial"/>
                <w:sz w:val="22"/>
              </w:rPr>
              <w:t xml:space="preserve"> </w:t>
            </w:r>
            <w:r w:rsidRPr="008F24AC">
              <w:rPr>
                <w:rFonts w:cs="Arial"/>
                <w:sz w:val="22"/>
              </w:rPr>
              <w:t xml:space="preserve">K, </w:t>
            </w:r>
            <w:r w:rsidR="00AC1E70" w:rsidRPr="008F24AC">
              <w:rPr>
                <w:rFonts w:cs="Arial"/>
                <w:sz w:val="22"/>
              </w:rPr>
              <w:t>et al.</w:t>
            </w:r>
            <w:r w:rsidRPr="008F24AC">
              <w:rPr>
                <w:rFonts w:cs="Arial"/>
                <w:sz w:val="22"/>
              </w:rPr>
              <w:t xml:space="preserve"> Low-weight polypropylene mesh for anterior vaginal wall prolapse: a randomized controlled trial</w:t>
            </w:r>
            <w:r w:rsidR="00AC1E70" w:rsidRPr="008F24AC">
              <w:rPr>
                <w:rFonts w:cs="Arial"/>
                <w:sz w:val="22"/>
              </w:rPr>
              <w:t>.</w:t>
            </w:r>
            <w:r w:rsidRPr="008F24AC">
              <w:rPr>
                <w:rFonts w:cs="Arial"/>
                <w:sz w:val="22"/>
              </w:rPr>
              <w:t xml:space="preserve"> </w:t>
            </w:r>
            <w:r w:rsidRPr="008F24AC">
              <w:rPr>
                <w:rFonts w:cs="Arial"/>
                <w:i/>
                <w:sz w:val="22"/>
              </w:rPr>
              <w:t>Obstetrics and Gynecology</w:t>
            </w:r>
            <w:r w:rsidR="00AC1E70" w:rsidRPr="008F24AC">
              <w:rPr>
                <w:rFonts w:cs="Arial"/>
                <w:sz w:val="22"/>
              </w:rPr>
              <w:t>. 2007;</w:t>
            </w:r>
            <w:r w:rsidRPr="008F24AC">
              <w:rPr>
                <w:rFonts w:cs="Arial"/>
                <w:sz w:val="22"/>
              </w:rPr>
              <w:t>110</w:t>
            </w:r>
            <w:r w:rsidR="00AC1E70" w:rsidRPr="008F24AC">
              <w:rPr>
                <w:rFonts w:cs="Arial"/>
                <w:sz w:val="22"/>
              </w:rPr>
              <w:t>:455-62.</w:t>
            </w:r>
          </w:p>
        </w:tc>
      </w:tr>
      <w:tr w:rsidR="00476064" w:rsidRPr="008F24AC" w14:paraId="2C2F499E" w14:textId="77777777" w:rsidTr="008F24AC">
        <w:tc>
          <w:tcPr>
            <w:tcW w:w="614" w:type="dxa"/>
            <w:noWrap/>
            <w:hideMark/>
          </w:tcPr>
          <w:p w14:paraId="0D0767C6" w14:textId="77777777" w:rsidR="00476064" w:rsidRPr="008F24AC" w:rsidRDefault="00476064" w:rsidP="00D91D5B">
            <w:pPr>
              <w:pStyle w:val="TableTextLeft"/>
              <w:rPr>
                <w:rFonts w:cs="Arial"/>
                <w:sz w:val="22"/>
              </w:rPr>
            </w:pPr>
            <w:r w:rsidRPr="008F24AC">
              <w:rPr>
                <w:rFonts w:cs="Arial"/>
                <w:sz w:val="22"/>
              </w:rPr>
              <w:t>4</w:t>
            </w:r>
          </w:p>
        </w:tc>
        <w:tc>
          <w:tcPr>
            <w:tcW w:w="1649" w:type="dxa"/>
            <w:noWrap/>
            <w:hideMark/>
          </w:tcPr>
          <w:p w14:paraId="7024CE86" w14:textId="77777777" w:rsidR="00476064" w:rsidRPr="008F24AC" w:rsidRDefault="00476064" w:rsidP="00D91D5B">
            <w:pPr>
              <w:pStyle w:val="TableTextLeft"/>
              <w:rPr>
                <w:rFonts w:cs="Arial"/>
                <w:sz w:val="22"/>
              </w:rPr>
            </w:pPr>
            <w:r w:rsidRPr="008F24AC">
              <w:rPr>
                <w:rFonts w:cs="Arial"/>
                <w:sz w:val="22"/>
              </w:rPr>
              <w:t>Nguyen 2008</w:t>
            </w:r>
          </w:p>
        </w:tc>
        <w:tc>
          <w:tcPr>
            <w:tcW w:w="1418" w:type="dxa"/>
            <w:noWrap/>
            <w:hideMark/>
          </w:tcPr>
          <w:p w14:paraId="4F13E257" w14:textId="77777777" w:rsidR="00476064" w:rsidRPr="008F24AC" w:rsidRDefault="00476064" w:rsidP="00D91D5B">
            <w:pPr>
              <w:pStyle w:val="TableTextLeft"/>
              <w:rPr>
                <w:rFonts w:cs="Arial"/>
                <w:sz w:val="22"/>
              </w:rPr>
            </w:pPr>
            <w:r w:rsidRPr="008F24AC">
              <w:rPr>
                <w:rFonts w:cs="Arial"/>
                <w:sz w:val="22"/>
              </w:rPr>
              <w:t>USA</w:t>
            </w:r>
          </w:p>
        </w:tc>
        <w:tc>
          <w:tcPr>
            <w:tcW w:w="1701" w:type="dxa"/>
            <w:noWrap/>
            <w:hideMark/>
          </w:tcPr>
          <w:p w14:paraId="48DF0097"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2E268AA8"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17A214CB"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40046758"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03FD6C45" w14:textId="77777777" w:rsidR="00476064" w:rsidRPr="008F24AC" w:rsidRDefault="00476064" w:rsidP="00AC1E70">
            <w:pPr>
              <w:pStyle w:val="TableTextLeft"/>
              <w:rPr>
                <w:rFonts w:cs="Arial"/>
                <w:sz w:val="22"/>
              </w:rPr>
            </w:pPr>
            <w:r w:rsidRPr="008F24AC">
              <w:rPr>
                <w:rFonts w:cs="Arial"/>
                <w:sz w:val="22"/>
              </w:rPr>
              <w:t>Nguyen JN, Burchette RJ</w:t>
            </w:r>
            <w:r w:rsidR="00AC1E70" w:rsidRPr="008F24AC">
              <w:rPr>
                <w:rFonts w:cs="Arial"/>
                <w:sz w:val="22"/>
              </w:rPr>
              <w:t>.</w:t>
            </w:r>
            <w:r w:rsidRPr="008F24AC">
              <w:rPr>
                <w:rFonts w:cs="Arial"/>
                <w:sz w:val="22"/>
              </w:rPr>
              <w:t xml:space="preserve"> Outcome after anterior vaginal prolapse repair: a randomized controlled trial</w:t>
            </w:r>
            <w:r w:rsidR="00AC1E70" w:rsidRPr="008F24AC">
              <w:rPr>
                <w:rFonts w:cs="Arial"/>
                <w:sz w:val="22"/>
              </w:rPr>
              <w:t>.</w:t>
            </w:r>
            <w:r w:rsidRPr="008F24AC">
              <w:rPr>
                <w:rFonts w:cs="Arial"/>
                <w:sz w:val="22"/>
              </w:rPr>
              <w:t xml:space="preserve"> </w:t>
            </w:r>
            <w:r w:rsidRPr="008F24AC">
              <w:rPr>
                <w:rFonts w:cs="Arial"/>
                <w:i/>
                <w:sz w:val="22"/>
              </w:rPr>
              <w:t>Obstetrics &amp; Gynecology</w:t>
            </w:r>
            <w:r w:rsidR="00AC1E70" w:rsidRPr="008F24AC">
              <w:rPr>
                <w:rFonts w:cs="Arial"/>
                <w:i/>
                <w:sz w:val="22"/>
              </w:rPr>
              <w:t>.</w:t>
            </w:r>
            <w:r w:rsidRPr="008F24AC">
              <w:rPr>
                <w:rFonts w:cs="Arial"/>
                <w:sz w:val="22"/>
              </w:rPr>
              <w:t xml:space="preserve"> </w:t>
            </w:r>
            <w:r w:rsidR="00AC1E70" w:rsidRPr="008F24AC">
              <w:rPr>
                <w:rFonts w:cs="Arial"/>
                <w:sz w:val="22"/>
              </w:rPr>
              <w:t>2008;</w:t>
            </w:r>
            <w:r w:rsidRPr="008F24AC">
              <w:rPr>
                <w:rFonts w:cs="Arial"/>
                <w:sz w:val="22"/>
              </w:rPr>
              <w:t>111</w:t>
            </w:r>
            <w:r w:rsidR="00AC1E70" w:rsidRPr="008F24AC">
              <w:rPr>
                <w:rFonts w:cs="Arial"/>
                <w:sz w:val="22"/>
              </w:rPr>
              <w:t>;891-8.</w:t>
            </w:r>
          </w:p>
        </w:tc>
      </w:tr>
      <w:tr w:rsidR="00476064" w:rsidRPr="008F24AC" w14:paraId="3CEF10B0" w14:textId="77777777" w:rsidTr="008F24AC">
        <w:tc>
          <w:tcPr>
            <w:tcW w:w="614" w:type="dxa"/>
            <w:noWrap/>
            <w:hideMark/>
          </w:tcPr>
          <w:p w14:paraId="2D27EEDE" w14:textId="77777777" w:rsidR="00476064" w:rsidRPr="008F24AC" w:rsidRDefault="00476064" w:rsidP="00D91D5B">
            <w:pPr>
              <w:pStyle w:val="TableTextLeft"/>
              <w:rPr>
                <w:rFonts w:cs="Arial"/>
                <w:sz w:val="22"/>
              </w:rPr>
            </w:pPr>
            <w:r w:rsidRPr="008F24AC">
              <w:rPr>
                <w:rFonts w:cs="Arial"/>
                <w:sz w:val="22"/>
              </w:rPr>
              <w:lastRenderedPageBreak/>
              <w:t>5</w:t>
            </w:r>
          </w:p>
        </w:tc>
        <w:tc>
          <w:tcPr>
            <w:tcW w:w="1649" w:type="dxa"/>
            <w:noWrap/>
            <w:hideMark/>
          </w:tcPr>
          <w:p w14:paraId="70038486" w14:textId="77777777" w:rsidR="00476064" w:rsidRPr="008F24AC" w:rsidRDefault="00476064" w:rsidP="00D91D5B">
            <w:pPr>
              <w:pStyle w:val="TableTextLeft"/>
              <w:rPr>
                <w:rFonts w:cs="Arial"/>
                <w:sz w:val="22"/>
              </w:rPr>
            </w:pPr>
            <w:r w:rsidRPr="008F24AC">
              <w:rPr>
                <w:rFonts w:cs="Arial"/>
                <w:sz w:val="22"/>
              </w:rPr>
              <w:t>Tamanini 2015</w:t>
            </w:r>
          </w:p>
        </w:tc>
        <w:tc>
          <w:tcPr>
            <w:tcW w:w="1418" w:type="dxa"/>
            <w:noWrap/>
            <w:hideMark/>
          </w:tcPr>
          <w:p w14:paraId="52000CA1" w14:textId="77777777" w:rsidR="00476064" w:rsidRPr="008F24AC" w:rsidRDefault="00476064" w:rsidP="00D91D5B">
            <w:pPr>
              <w:pStyle w:val="TableTextLeft"/>
              <w:rPr>
                <w:rFonts w:cs="Arial"/>
                <w:sz w:val="22"/>
              </w:rPr>
            </w:pPr>
            <w:r w:rsidRPr="008F24AC">
              <w:rPr>
                <w:rFonts w:cs="Arial"/>
                <w:sz w:val="22"/>
              </w:rPr>
              <w:t>Brazil</w:t>
            </w:r>
          </w:p>
        </w:tc>
        <w:tc>
          <w:tcPr>
            <w:tcW w:w="1701" w:type="dxa"/>
            <w:noWrap/>
            <w:hideMark/>
          </w:tcPr>
          <w:p w14:paraId="66F15161"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52CBEEB9"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74920C0A" w14:textId="77777777" w:rsidR="00476064" w:rsidRPr="008F24AC" w:rsidRDefault="00476064" w:rsidP="00D91D5B">
            <w:pPr>
              <w:pStyle w:val="TableTextLeft"/>
              <w:rPr>
                <w:rFonts w:cs="Arial"/>
                <w:sz w:val="22"/>
              </w:rPr>
            </w:pPr>
            <w:r w:rsidRPr="008F24AC">
              <w:rPr>
                <w:rFonts w:cs="Arial"/>
                <w:sz w:val="22"/>
              </w:rPr>
              <w:t>Unclear</w:t>
            </w:r>
          </w:p>
        </w:tc>
        <w:tc>
          <w:tcPr>
            <w:tcW w:w="1276" w:type="dxa"/>
            <w:noWrap/>
            <w:hideMark/>
          </w:tcPr>
          <w:p w14:paraId="21E4DDDC"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64200F12" w14:textId="6BBDFCF4" w:rsidR="00476064" w:rsidRPr="008F24AC" w:rsidRDefault="00476064" w:rsidP="00D23255">
            <w:pPr>
              <w:pStyle w:val="TableTextLeft"/>
              <w:rPr>
                <w:rFonts w:cs="Arial"/>
                <w:sz w:val="22"/>
              </w:rPr>
            </w:pPr>
            <w:r w:rsidRPr="008F24AC">
              <w:rPr>
                <w:rFonts w:cs="Arial"/>
                <w:sz w:val="22"/>
              </w:rPr>
              <w:t>Tamanini</w:t>
            </w:r>
            <w:r w:rsidR="00AC1E70" w:rsidRPr="008F24AC">
              <w:rPr>
                <w:rFonts w:cs="Arial"/>
                <w:sz w:val="22"/>
              </w:rPr>
              <w:t xml:space="preserve"> </w:t>
            </w:r>
            <w:r w:rsidRPr="008F24AC">
              <w:rPr>
                <w:rFonts w:cs="Arial"/>
                <w:sz w:val="22"/>
              </w:rPr>
              <w:t>JTN, Castro</w:t>
            </w:r>
            <w:r w:rsidR="00AC1E70" w:rsidRPr="008F24AC">
              <w:rPr>
                <w:rFonts w:cs="Arial"/>
                <w:sz w:val="22"/>
              </w:rPr>
              <w:t xml:space="preserve"> </w:t>
            </w:r>
            <w:r w:rsidRPr="008F24AC">
              <w:rPr>
                <w:rFonts w:cs="Arial"/>
                <w:sz w:val="22"/>
              </w:rPr>
              <w:t>RCDOS, Tamanini JM, Castro RA, Sartori MGF, Girão MJBC. A prospective, randomized, controlled trial of the treatment of anterior vaginal wall prolapse: medium term follow</w:t>
            </w:r>
            <w:r w:rsidR="000611DF" w:rsidRPr="008F24AC">
              <w:rPr>
                <w:rFonts w:cs="Arial"/>
                <w:sz w:val="22"/>
              </w:rPr>
              <w:t xml:space="preserve"> </w:t>
            </w:r>
            <w:r w:rsidRPr="008F24AC">
              <w:rPr>
                <w:rFonts w:cs="Arial"/>
                <w:sz w:val="22"/>
              </w:rPr>
              <w:t xml:space="preserve">up. </w:t>
            </w:r>
            <w:r w:rsidRPr="008F24AC">
              <w:rPr>
                <w:rFonts w:cs="Arial"/>
                <w:i/>
                <w:sz w:val="22"/>
              </w:rPr>
              <w:t>The Journal of urology</w:t>
            </w:r>
            <w:r w:rsidR="00AC1E70" w:rsidRPr="008F24AC">
              <w:rPr>
                <w:rFonts w:cs="Arial"/>
                <w:sz w:val="22"/>
              </w:rPr>
              <w:t>. 2015;</w:t>
            </w:r>
            <w:r w:rsidRPr="008F24AC">
              <w:rPr>
                <w:rFonts w:cs="Arial"/>
                <w:sz w:val="22"/>
              </w:rPr>
              <w:t xml:space="preserve"> 193</w:t>
            </w:r>
            <w:r w:rsidR="00AC1E70" w:rsidRPr="008F24AC">
              <w:rPr>
                <w:rFonts w:cs="Arial"/>
                <w:sz w:val="22"/>
              </w:rPr>
              <w:t>:1298-304.</w:t>
            </w:r>
          </w:p>
        </w:tc>
      </w:tr>
      <w:tr w:rsidR="00476064" w:rsidRPr="008F24AC" w14:paraId="4CB320DC" w14:textId="77777777" w:rsidTr="008F24AC">
        <w:tc>
          <w:tcPr>
            <w:tcW w:w="614" w:type="dxa"/>
            <w:noWrap/>
            <w:hideMark/>
          </w:tcPr>
          <w:p w14:paraId="3A600009" w14:textId="77777777" w:rsidR="00476064" w:rsidRPr="008F24AC" w:rsidRDefault="00476064" w:rsidP="00D91D5B">
            <w:pPr>
              <w:pStyle w:val="TableTextLeft"/>
              <w:rPr>
                <w:rFonts w:cs="Arial"/>
                <w:sz w:val="22"/>
              </w:rPr>
            </w:pPr>
            <w:r w:rsidRPr="008F24AC">
              <w:rPr>
                <w:rFonts w:cs="Arial"/>
                <w:sz w:val="22"/>
              </w:rPr>
              <w:t>6</w:t>
            </w:r>
          </w:p>
        </w:tc>
        <w:tc>
          <w:tcPr>
            <w:tcW w:w="1649" w:type="dxa"/>
            <w:noWrap/>
            <w:hideMark/>
          </w:tcPr>
          <w:p w14:paraId="0FEE39C8" w14:textId="77777777" w:rsidR="00476064" w:rsidRPr="008F24AC" w:rsidRDefault="00476064" w:rsidP="00D91D5B">
            <w:pPr>
              <w:pStyle w:val="TableTextLeft"/>
              <w:rPr>
                <w:rFonts w:cs="Arial"/>
                <w:sz w:val="22"/>
              </w:rPr>
            </w:pPr>
            <w:r w:rsidRPr="008F24AC">
              <w:rPr>
                <w:rFonts w:cs="Arial"/>
                <w:sz w:val="22"/>
              </w:rPr>
              <w:t>Turgal 2013</w:t>
            </w:r>
          </w:p>
        </w:tc>
        <w:tc>
          <w:tcPr>
            <w:tcW w:w="1418" w:type="dxa"/>
            <w:noWrap/>
            <w:hideMark/>
          </w:tcPr>
          <w:p w14:paraId="412B5F55" w14:textId="77777777" w:rsidR="00476064" w:rsidRPr="008F24AC" w:rsidRDefault="00476064" w:rsidP="00D91D5B">
            <w:pPr>
              <w:pStyle w:val="TableTextLeft"/>
              <w:rPr>
                <w:rFonts w:cs="Arial"/>
                <w:sz w:val="22"/>
              </w:rPr>
            </w:pPr>
            <w:r w:rsidRPr="008F24AC">
              <w:rPr>
                <w:rFonts w:cs="Arial"/>
                <w:sz w:val="22"/>
              </w:rPr>
              <w:t>Turkey</w:t>
            </w:r>
          </w:p>
        </w:tc>
        <w:tc>
          <w:tcPr>
            <w:tcW w:w="1701" w:type="dxa"/>
            <w:noWrap/>
            <w:hideMark/>
          </w:tcPr>
          <w:p w14:paraId="37F52A21"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535DFD31"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57C72C66" w14:textId="77777777" w:rsidR="00476064" w:rsidRPr="008F24AC" w:rsidRDefault="00476064" w:rsidP="00D91D5B">
            <w:pPr>
              <w:pStyle w:val="TableTextLeft"/>
              <w:rPr>
                <w:rFonts w:cs="Arial"/>
                <w:sz w:val="22"/>
              </w:rPr>
            </w:pPr>
            <w:r w:rsidRPr="008F24AC">
              <w:rPr>
                <w:rFonts w:cs="Arial"/>
                <w:sz w:val="22"/>
              </w:rPr>
              <w:t>All primary</w:t>
            </w:r>
          </w:p>
        </w:tc>
        <w:tc>
          <w:tcPr>
            <w:tcW w:w="1276" w:type="dxa"/>
            <w:noWrap/>
            <w:hideMark/>
          </w:tcPr>
          <w:p w14:paraId="0EFF189A" w14:textId="77777777" w:rsidR="00476064" w:rsidRPr="008F24AC" w:rsidRDefault="00476064" w:rsidP="00D91D5B">
            <w:pPr>
              <w:pStyle w:val="TableTextLeft"/>
              <w:rPr>
                <w:rFonts w:cs="Arial"/>
                <w:sz w:val="22"/>
              </w:rPr>
            </w:pPr>
            <w:r w:rsidRPr="008F24AC">
              <w:rPr>
                <w:rFonts w:cs="Arial"/>
                <w:sz w:val="22"/>
              </w:rPr>
              <w:t>No additional</w:t>
            </w:r>
          </w:p>
        </w:tc>
        <w:tc>
          <w:tcPr>
            <w:tcW w:w="4111" w:type="dxa"/>
          </w:tcPr>
          <w:p w14:paraId="6B5F93B9" w14:textId="77777777" w:rsidR="00476064" w:rsidRPr="008F24AC" w:rsidRDefault="00476064" w:rsidP="00AC1E70">
            <w:pPr>
              <w:pStyle w:val="TableTextLeft"/>
              <w:rPr>
                <w:rFonts w:cs="Arial"/>
                <w:sz w:val="22"/>
              </w:rPr>
            </w:pPr>
            <w:r w:rsidRPr="008F24AC">
              <w:rPr>
                <w:rFonts w:cs="Arial"/>
                <w:sz w:val="22"/>
              </w:rPr>
              <w:t>Turgal M, Sivaslioglu A, Yildiz A, Dolen I</w:t>
            </w:r>
            <w:r w:rsidR="00AC1E70" w:rsidRPr="008F24AC">
              <w:rPr>
                <w:rFonts w:cs="Arial"/>
                <w:sz w:val="22"/>
              </w:rPr>
              <w:t>.</w:t>
            </w:r>
            <w:r w:rsidRPr="008F24AC">
              <w:rPr>
                <w:rFonts w:cs="Arial"/>
                <w:sz w:val="22"/>
              </w:rPr>
              <w:t xml:space="preserve"> Anatomical and functional assessment of anterior colporrhaphy versus polypropylene mesh</w:t>
            </w:r>
            <w:r w:rsidR="00AC1E70" w:rsidRPr="008F24AC">
              <w:rPr>
                <w:rFonts w:cs="Arial"/>
                <w:sz w:val="22"/>
              </w:rPr>
              <w:t xml:space="preserve"> surgery in cystocele treatment.</w:t>
            </w:r>
            <w:r w:rsidRPr="008F24AC">
              <w:rPr>
                <w:rFonts w:cs="Arial"/>
                <w:sz w:val="22"/>
              </w:rPr>
              <w:t xml:space="preserve"> </w:t>
            </w:r>
            <w:r w:rsidRPr="008F24AC">
              <w:rPr>
                <w:rFonts w:cs="Arial"/>
                <w:i/>
                <w:sz w:val="22"/>
              </w:rPr>
              <w:t>European Journal of Obstetrics, Gynecology, &amp; Reproductive Biology</w:t>
            </w:r>
            <w:r w:rsidR="00AC1E70" w:rsidRPr="008F24AC">
              <w:rPr>
                <w:rFonts w:cs="Arial"/>
                <w:sz w:val="22"/>
              </w:rPr>
              <w:t>. 2013;</w:t>
            </w:r>
            <w:r w:rsidRPr="008F24AC">
              <w:rPr>
                <w:rFonts w:cs="Arial"/>
                <w:sz w:val="22"/>
              </w:rPr>
              <w:t>170</w:t>
            </w:r>
            <w:r w:rsidR="00AC1E70" w:rsidRPr="008F24AC">
              <w:rPr>
                <w:rFonts w:cs="Arial"/>
                <w:sz w:val="22"/>
              </w:rPr>
              <w:t>:555-8.</w:t>
            </w:r>
          </w:p>
        </w:tc>
      </w:tr>
      <w:tr w:rsidR="00476064" w:rsidRPr="008F24AC" w14:paraId="0DDBDF56" w14:textId="77777777" w:rsidTr="008F24AC">
        <w:tc>
          <w:tcPr>
            <w:tcW w:w="614" w:type="dxa"/>
            <w:noWrap/>
            <w:hideMark/>
          </w:tcPr>
          <w:p w14:paraId="0F006D1E" w14:textId="77777777" w:rsidR="00476064" w:rsidRPr="008F24AC" w:rsidRDefault="00476064" w:rsidP="00D91D5B">
            <w:pPr>
              <w:pStyle w:val="TableTextLeft"/>
              <w:rPr>
                <w:rFonts w:cs="Arial"/>
                <w:sz w:val="22"/>
              </w:rPr>
            </w:pPr>
            <w:r w:rsidRPr="008F24AC">
              <w:rPr>
                <w:rFonts w:cs="Arial"/>
                <w:sz w:val="22"/>
              </w:rPr>
              <w:t>7</w:t>
            </w:r>
          </w:p>
        </w:tc>
        <w:tc>
          <w:tcPr>
            <w:tcW w:w="1649" w:type="dxa"/>
            <w:noWrap/>
            <w:hideMark/>
          </w:tcPr>
          <w:p w14:paraId="1E66DF88" w14:textId="77777777" w:rsidR="00476064" w:rsidRPr="008F24AC" w:rsidRDefault="00476064" w:rsidP="00D91D5B">
            <w:pPr>
              <w:pStyle w:val="TableTextLeft"/>
              <w:rPr>
                <w:rFonts w:cs="Arial"/>
                <w:sz w:val="22"/>
              </w:rPr>
            </w:pPr>
            <w:r w:rsidRPr="008F24AC">
              <w:rPr>
                <w:rFonts w:cs="Arial"/>
                <w:sz w:val="22"/>
              </w:rPr>
              <w:t>Delroy 2013</w:t>
            </w:r>
          </w:p>
        </w:tc>
        <w:tc>
          <w:tcPr>
            <w:tcW w:w="1418" w:type="dxa"/>
            <w:noWrap/>
            <w:hideMark/>
          </w:tcPr>
          <w:p w14:paraId="6B9A30C1" w14:textId="77777777" w:rsidR="00476064" w:rsidRPr="008F24AC" w:rsidRDefault="00476064" w:rsidP="00D91D5B">
            <w:pPr>
              <w:pStyle w:val="TableTextLeft"/>
              <w:rPr>
                <w:rFonts w:cs="Arial"/>
                <w:sz w:val="22"/>
              </w:rPr>
            </w:pPr>
            <w:r w:rsidRPr="008F24AC">
              <w:rPr>
                <w:rFonts w:cs="Arial"/>
                <w:sz w:val="22"/>
              </w:rPr>
              <w:t>Brazil</w:t>
            </w:r>
          </w:p>
        </w:tc>
        <w:tc>
          <w:tcPr>
            <w:tcW w:w="1701" w:type="dxa"/>
            <w:noWrap/>
            <w:hideMark/>
          </w:tcPr>
          <w:p w14:paraId="154D5FD7" w14:textId="77777777" w:rsidR="00476064" w:rsidRPr="008F24AC" w:rsidRDefault="00476064" w:rsidP="00D91D5B">
            <w:pPr>
              <w:pStyle w:val="TableTextLeft"/>
              <w:rPr>
                <w:rFonts w:cs="Arial"/>
                <w:sz w:val="22"/>
              </w:rPr>
            </w:pPr>
            <w:r w:rsidRPr="008F24AC">
              <w:rPr>
                <w:rFonts w:cs="Arial"/>
                <w:sz w:val="22"/>
              </w:rPr>
              <w:t xml:space="preserve">Anterior predominant </w:t>
            </w:r>
          </w:p>
        </w:tc>
        <w:tc>
          <w:tcPr>
            <w:tcW w:w="1417" w:type="dxa"/>
            <w:noWrap/>
            <w:hideMark/>
          </w:tcPr>
          <w:p w14:paraId="54627B2B"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611C0613"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0B21DE7F"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2D616E94" w14:textId="77777777" w:rsidR="00476064" w:rsidRPr="008F24AC" w:rsidRDefault="00476064" w:rsidP="00D23255">
            <w:pPr>
              <w:pStyle w:val="TableTextLeft"/>
              <w:rPr>
                <w:rFonts w:cs="Arial"/>
                <w:sz w:val="22"/>
              </w:rPr>
            </w:pPr>
            <w:r w:rsidRPr="008F24AC">
              <w:rPr>
                <w:rFonts w:cs="Arial"/>
                <w:sz w:val="22"/>
              </w:rPr>
              <w:t>Delroy CA, De A</w:t>
            </w:r>
            <w:r w:rsidR="00AC1E70" w:rsidRPr="008F24AC">
              <w:rPr>
                <w:rFonts w:cs="Arial"/>
                <w:sz w:val="22"/>
              </w:rPr>
              <w:t xml:space="preserve"> </w:t>
            </w:r>
            <w:r w:rsidRPr="008F24AC">
              <w:rPr>
                <w:rFonts w:cs="Arial"/>
                <w:sz w:val="22"/>
              </w:rPr>
              <w:t xml:space="preserve">Castro R, Dias MM., Feldner Jr, P. C., Bortolini, M. A. T., Girao, M. J. B. C., Sartori, M. G. F., The use of transvaginal synthetic mesh for anterior vaginal wall prolapse repair: A randomized controlled trial, </w:t>
            </w:r>
            <w:r w:rsidRPr="008F24AC">
              <w:rPr>
                <w:rFonts w:cs="Arial"/>
                <w:i/>
                <w:sz w:val="22"/>
              </w:rPr>
              <w:t>International Urogynecology Journal</w:t>
            </w:r>
            <w:r w:rsidR="00166803" w:rsidRPr="008F24AC">
              <w:rPr>
                <w:rFonts w:cs="Arial"/>
                <w:i/>
                <w:sz w:val="22"/>
              </w:rPr>
              <w:t xml:space="preserve">. </w:t>
            </w:r>
            <w:r w:rsidR="00166803" w:rsidRPr="008F24AC">
              <w:rPr>
                <w:rFonts w:cs="Arial"/>
                <w:sz w:val="22"/>
              </w:rPr>
              <w:t>2013;</w:t>
            </w:r>
            <w:r w:rsidRPr="008F24AC">
              <w:rPr>
                <w:rFonts w:cs="Arial"/>
                <w:sz w:val="22"/>
              </w:rPr>
              <w:t>24</w:t>
            </w:r>
            <w:r w:rsidR="00166803" w:rsidRPr="008F24AC">
              <w:rPr>
                <w:rFonts w:cs="Arial"/>
                <w:sz w:val="22"/>
              </w:rPr>
              <w:t>:1899-907.</w:t>
            </w:r>
          </w:p>
        </w:tc>
      </w:tr>
      <w:tr w:rsidR="00476064" w:rsidRPr="008F24AC" w14:paraId="1727814C" w14:textId="77777777" w:rsidTr="008F24AC">
        <w:tc>
          <w:tcPr>
            <w:tcW w:w="614" w:type="dxa"/>
            <w:noWrap/>
            <w:hideMark/>
          </w:tcPr>
          <w:p w14:paraId="4713A93A" w14:textId="77777777" w:rsidR="00476064" w:rsidRPr="008F24AC" w:rsidRDefault="00476064" w:rsidP="00D91D5B">
            <w:pPr>
              <w:pStyle w:val="TableTextLeft"/>
              <w:rPr>
                <w:rFonts w:cs="Arial"/>
                <w:sz w:val="22"/>
              </w:rPr>
            </w:pPr>
            <w:r w:rsidRPr="008F24AC">
              <w:rPr>
                <w:rFonts w:cs="Arial"/>
                <w:sz w:val="22"/>
              </w:rPr>
              <w:t>8</w:t>
            </w:r>
          </w:p>
        </w:tc>
        <w:tc>
          <w:tcPr>
            <w:tcW w:w="1649" w:type="dxa"/>
            <w:noWrap/>
            <w:hideMark/>
          </w:tcPr>
          <w:p w14:paraId="584FFEBE" w14:textId="77777777" w:rsidR="00476064" w:rsidRPr="008F24AC" w:rsidRDefault="00476064" w:rsidP="00D91D5B">
            <w:pPr>
              <w:pStyle w:val="TableTextLeft"/>
              <w:rPr>
                <w:rFonts w:cs="Arial"/>
                <w:sz w:val="22"/>
              </w:rPr>
            </w:pPr>
            <w:r w:rsidRPr="008F24AC">
              <w:rPr>
                <w:rFonts w:cs="Arial"/>
                <w:sz w:val="22"/>
              </w:rPr>
              <w:t>Dias 2016</w:t>
            </w:r>
          </w:p>
        </w:tc>
        <w:tc>
          <w:tcPr>
            <w:tcW w:w="1418" w:type="dxa"/>
            <w:noWrap/>
            <w:hideMark/>
          </w:tcPr>
          <w:p w14:paraId="0FECB5B7" w14:textId="77777777" w:rsidR="00476064" w:rsidRPr="008F24AC" w:rsidRDefault="00476064" w:rsidP="00D91D5B">
            <w:pPr>
              <w:pStyle w:val="TableTextLeft"/>
              <w:rPr>
                <w:rFonts w:cs="Arial"/>
                <w:sz w:val="22"/>
              </w:rPr>
            </w:pPr>
            <w:r w:rsidRPr="008F24AC">
              <w:rPr>
                <w:rFonts w:cs="Arial"/>
                <w:sz w:val="22"/>
              </w:rPr>
              <w:t>Brazil</w:t>
            </w:r>
          </w:p>
        </w:tc>
        <w:tc>
          <w:tcPr>
            <w:tcW w:w="1701" w:type="dxa"/>
            <w:noWrap/>
            <w:hideMark/>
          </w:tcPr>
          <w:p w14:paraId="0703D62C" w14:textId="77777777" w:rsidR="00476064" w:rsidRPr="008F24AC" w:rsidRDefault="00476064" w:rsidP="00D91D5B">
            <w:pPr>
              <w:pStyle w:val="TableTextLeft"/>
              <w:rPr>
                <w:rFonts w:cs="Arial"/>
                <w:sz w:val="22"/>
              </w:rPr>
            </w:pPr>
            <w:r w:rsidRPr="008F24AC">
              <w:rPr>
                <w:rFonts w:cs="Arial"/>
                <w:sz w:val="22"/>
              </w:rPr>
              <w:t xml:space="preserve">Anterior predominant </w:t>
            </w:r>
          </w:p>
        </w:tc>
        <w:tc>
          <w:tcPr>
            <w:tcW w:w="1417" w:type="dxa"/>
            <w:noWrap/>
            <w:hideMark/>
          </w:tcPr>
          <w:p w14:paraId="393BFB4D"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4D247DFB"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0C01EB31"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40A86495" w14:textId="77777777" w:rsidR="00476064" w:rsidRPr="008F24AC" w:rsidRDefault="00476064" w:rsidP="00D23255">
            <w:pPr>
              <w:pStyle w:val="TableTextLeft"/>
              <w:rPr>
                <w:rFonts w:cs="Arial"/>
                <w:sz w:val="22"/>
              </w:rPr>
            </w:pPr>
            <w:r w:rsidRPr="008F24AC">
              <w:rPr>
                <w:rFonts w:cs="Arial"/>
                <w:sz w:val="22"/>
              </w:rPr>
              <w:t xml:space="preserve">Dias MM, De A Castro R, Bortolini MAT, Delroy CA, Martins PCF, Girao MJBC, </w:t>
            </w:r>
            <w:r w:rsidR="00166803" w:rsidRPr="008F24AC">
              <w:rPr>
                <w:rFonts w:cs="Arial"/>
                <w:sz w:val="22"/>
              </w:rPr>
              <w:t>et al.</w:t>
            </w:r>
            <w:r w:rsidRPr="008F24AC">
              <w:rPr>
                <w:rFonts w:cs="Arial"/>
                <w:sz w:val="22"/>
              </w:rPr>
              <w:t xml:space="preserve"> Two-years results of native tissue versus vaginal mesh repair in the treatment of anterior prolapse according to different success criteria: A randomized controlled trial</w:t>
            </w:r>
            <w:r w:rsidR="00166803" w:rsidRPr="008F24AC">
              <w:rPr>
                <w:rFonts w:cs="Arial"/>
                <w:sz w:val="22"/>
              </w:rPr>
              <w:t>.</w:t>
            </w:r>
            <w:r w:rsidRPr="008F24AC">
              <w:rPr>
                <w:rFonts w:cs="Arial"/>
                <w:sz w:val="22"/>
              </w:rPr>
              <w:t xml:space="preserve"> </w:t>
            </w:r>
            <w:r w:rsidRPr="008F24AC">
              <w:rPr>
                <w:rFonts w:cs="Arial"/>
                <w:i/>
                <w:sz w:val="22"/>
              </w:rPr>
              <w:t>Neurourology and Urodynamics</w:t>
            </w:r>
            <w:r w:rsidR="00166803" w:rsidRPr="008F24AC">
              <w:rPr>
                <w:rFonts w:cs="Arial"/>
                <w:sz w:val="22"/>
              </w:rPr>
              <w:t>. 2016;</w:t>
            </w:r>
            <w:r w:rsidRPr="008F24AC">
              <w:rPr>
                <w:rFonts w:cs="Arial"/>
                <w:sz w:val="22"/>
              </w:rPr>
              <w:t>35</w:t>
            </w:r>
            <w:r w:rsidR="00166803" w:rsidRPr="008F24AC">
              <w:rPr>
                <w:rFonts w:cs="Arial"/>
                <w:sz w:val="22"/>
              </w:rPr>
              <w:t>:</w:t>
            </w:r>
            <w:r w:rsidRPr="008F24AC">
              <w:rPr>
                <w:rFonts w:cs="Arial"/>
                <w:sz w:val="22"/>
              </w:rPr>
              <w:t>509-14</w:t>
            </w:r>
            <w:r w:rsidR="00166803" w:rsidRPr="008F24AC">
              <w:rPr>
                <w:rFonts w:cs="Arial"/>
                <w:sz w:val="22"/>
              </w:rPr>
              <w:t>.</w:t>
            </w:r>
          </w:p>
        </w:tc>
      </w:tr>
      <w:tr w:rsidR="00476064" w:rsidRPr="008F24AC" w14:paraId="7681DA7D" w14:textId="77777777" w:rsidTr="008F24AC">
        <w:tc>
          <w:tcPr>
            <w:tcW w:w="614" w:type="dxa"/>
            <w:noWrap/>
            <w:hideMark/>
          </w:tcPr>
          <w:p w14:paraId="6197F9EE" w14:textId="77777777" w:rsidR="00476064" w:rsidRPr="008F24AC" w:rsidRDefault="00476064" w:rsidP="00D91D5B">
            <w:pPr>
              <w:pStyle w:val="TableTextLeft"/>
              <w:rPr>
                <w:rFonts w:cs="Arial"/>
                <w:sz w:val="22"/>
              </w:rPr>
            </w:pPr>
            <w:r w:rsidRPr="008F24AC">
              <w:rPr>
                <w:rFonts w:cs="Arial"/>
                <w:sz w:val="22"/>
              </w:rPr>
              <w:t>9</w:t>
            </w:r>
          </w:p>
        </w:tc>
        <w:tc>
          <w:tcPr>
            <w:tcW w:w="1649" w:type="dxa"/>
            <w:noWrap/>
            <w:hideMark/>
          </w:tcPr>
          <w:p w14:paraId="1E5BF794" w14:textId="77777777" w:rsidR="00476064" w:rsidRPr="008F24AC" w:rsidRDefault="00476064" w:rsidP="00D91D5B">
            <w:pPr>
              <w:pStyle w:val="TableTextLeft"/>
              <w:rPr>
                <w:rFonts w:cs="Arial"/>
                <w:sz w:val="22"/>
              </w:rPr>
            </w:pPr>
            <w:r w:rsidRPr="008F24AC">
              <w:rPr>
                <w:rFonts w:cs="Arial"/>
                <w:sz w:val="22"/>
              </w:rPr>
              <w:t>Vollebregt 2011</w:t>
            </w:r>
          </w:p>
        </w:tc>
        <w:tc>
          <w:tcPr>
            <w:tcW w:w="1418" w:type="dxa"/>
            <w:noWrap/>
            <w:hideMark/>
          </w:tcPr>
          <w:p w14:paraId="4935B39E" w14:textId="77777777" w:rsidR="00476064" w:rsidRPr="008F24AC" w:rsidRDefault="00476064" w:rsidP="00D91D5B">
            <w:pPr>
              <w:pStyle w:val="TableTextLeft"/>
              <w:rPr>
                <w:rFonts w:cs="Arial"/>
                <w:sz w:val="22"/>
              </w:rPr>
            </w:pPr>
            <w:r w:rsidRPr="008F24AC">
              <w:rPr>
                <w:rFonts w:cs="Arial"/>
                <w:sz w:val="22"/>
              </w:rPr>
              <w:t>Netherlands</w:t>
            </w:r>
          </w:p>
        </w:tc>
        <w:tc>
          <w:tcPr>
            <w:tcW w:w="1701" w:type="dxa"/>
            <w:noWrap/>
            <w:hideMark/>
          </w:tcPr>
          <w:p w14:paraId="2C389FD9" w14:textId="77777777" w:rsidR="00476064" w:rsidRPr="008F24AC" w:rsidRDefault="00476064" w:rsidP="00D91D5B">
            <w:pPr>
              <w:pStyle w:val="TableTextLeft"/>
              <w:rPr>
                <w:rFonts w:cs="Arial"/>
                <w:sz w:val="22"/>
              </w:rPr>
            </w:pPr>
            <w:r w:rsidRPr="008F24AC">
              <w:rPr>
                <w:rFonts w:cs="Arial"/>
                <w:sz w:val="22"/>
              </w:rPr>
              <w:t xml:space="preserve">Anterior predominant </w:t>
            </w:r>
          </w:p>
        </w:tc>
        <w:tc>
          <w:tcPr>
            <w:tcW w:w="1417" w:type="dxa"/>
            <w:noWrap/>
            <w:hideMark/>
          </w:tcPr>
          <w:p w14:paraId="13590D72"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5A657813" w14:textId="77777777" w:rsidR="00476064" w:rsidRPr="008F24AC" w:rsidRDefault="00476064" w:rsidP="00D91D5B">
            <w:pPr>
              <w:pStyle w:val="TableTextLeft"/>
              <w:rPr>
                <w:rFonts w:cs="Arial"/>
                <w:sz w:val="22"/>
              </w:rPr>
            </w:pPr>
            <w:r w:rsidRPr="008F24AC">
              <w:rPr>
                <w:rFonts w:cs="Arial"/>
                <w:sz w:val="22"/>
              </w:rPr>
              <w:t>All primary</w:t>
            </w:r>
          </w:p>
        </w:tc>
        <w:tc>
          <w:tcPr>
            <w:tcW w:w="1276" w:type="dxa"/>
            <w:noWrap/>
            <w:hideMark/>
          </w:tcPr>
          <w:p w14:paraId="01BC4A72"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2F80AD37" w14:textId="77777777" w:rsidR="00476064" w:rsidRPr="008F24AC" w:rsidRDefault="00166803" w:rsidP="00166803">
            <w:pPr>
              <w:pStyle w:val="TableTextLeft"/>
              <w:rPr>
                <w:rFonts w:cs="Arial"/>
                <w:sz w:val="22"/>
              </w:rPr>
            </w:pPr>
            <w:r w:rsidRPr="008F24AC">
              <w:rPr>
                <w:rFonts w:cs="Arial"/>
                <w:sz w:val="22"/>
              </w:rPr>
              <w:t>Vollebregt A</w:t>
            </w:r>
            <w:r w:rsidR="00476064" w:rsidRPr="008F24AC">
              <w:rPr>
                <w:rFonts w:cs="Arial"/>
                <w:sz w:val="22"/>
              </w:rPr>
              <w:t>, Fischer K, Gietelink D, van der Vaart CH</w:t>
            </w:r>
            <w:r w:rsidRPr="008F24AC">
              <w:rPr>
                <w:rFonts w:cs="Arial"/>
                <w:sz w:val="22"/>
              </w:rPr>
              <w:t>.</w:t>
            </w:r>
            <w:r w:rsidR="00476064" w:rsidRPr="008F24AC">
              <w:rPr>
                <w:rFonts w:cs="Arial"/>
                <w:sz w:val="22"/>
              </w:rPr>
              <w:t xml:space="preserve"> Primary surgical repair of anterior vaginal prolapse: a randomised trial comparing anatomical and functional </w:t>
            </w:r>
            <w:r w:rsidR="00476064" w:rsidRPr="008F24AC">
              <w:rPr>
                <w:rFonts w:cs="Arial"/>
                <w:sz w:val="22"/>
              </w:rPr>
              <w:lastRenderedPageBreak/>
              <w:t>outcome between anterior colporrhaphy and trocar-guided transobturator anterior mesh</w:t>
            </w:r>
            <w:r w:rsidRPr="008F24AC">
              <w:rPr>
                <w:rFonts w:cs="Arial"/>
                <w:sz w:val="22"/>
              </w:rPr>
              <w:t>.</w:t>
            </w:r>
            <w:r w:rsidR="00476064" w:rsidRPr="008F24AC">
              <w:rPr>
                <w:rFonts w:cs="Arial"/>
                <w:sz w:val="22"/>
              </w:rPr>
              <w:t xml:space="preserve"> </w:t>
            </w:r>
            <w:r w:rsidR="00476064" w:rsidRPr="008F24AC">
              <w:rPr>
                <w:rFonts w:cs="Arial"/>
                <w:i/>
                <w:sz w:val="22"/>
              </w:rPr>
              <w:t>BJOG: An International Journal of Obstetrics &amp; Gynaecology</w:t>
            </w:r>
            <w:r w:rsidRPr="008F24AC">
              <w:rPr>
                <w:rFonts w:cs="Arial"/>
                <w:i/>
                <w:sz w:val="22"/>
              </w:rPr>
              <w:t xml:space="preserve">. </w:t>
            </w:r>
            <w:r w:rsidRPr="008F24AC">
              <w:rPr>
                <w:rFonts w:cs="Arial"/>
                <w:sz w:val="22"/>
              </w:rPr>
              <w:t>2011;</w:t>
            </w:r>
            <w:r w:rsidR="00476064" w:rsidRPr="008F24AC">
              <w:rPr>
                <w:rFonts w:cs="Arial"/>
                <w:sz w:val="22"/>
              </w:rPr>
              <w:t>118</w:t>
            </w:r>
            <w:r w:rsidRPr="008F24AC">
              <w:rPr>
                <w:rFonts w:cs="Arial"/>
                <w:sz w:val="22"/>
              </w:rPr>
              <w:t>:</w:t>
            </w:r>
            <w:r w:rsidR="00476064" w:rsidRPr="008F24AC">
              <w:rPr>
                <w:rFonts w:cs="Arial"/>
                <w:sz w:val="22"/>
              </w:rPr>
              <w:t>1518-27</w:t>
            </w:r>
            <w:r w:rsidRPr="008F24AC">
              <w:rPr>
                <w:rFonts w:cs="Arial"/>
                <w:sz w:val="22"/>
              </w:rPr>
              <w:t>.</w:t>
            </w:r>
          </w:p>
        </w:tc>
      </w:tr>
      <w:tr w:rsidR="00476064" w:rsidRPr="008F24AC" w14:paraId="2AC3968E" w14:textId="77777777" w:rsidTr="008F24AC">
        <w:tc>
          <w:tcPr>
            <w:tcW w:w="614" w:type="dxa"/>
            <w:noWrap/>
            <w:hideMark/>
          </w:tcPr>
          <w:p w14:paraId="6EA7F780" w14:textId="77777777" w:rsidR="00476064" w:rsidRPr="008F24AC" w:rsidRDefault="00476064" w:rsidP="00D91D5B">
            <w:pPr>
              <w:pStyle w:val="TableTextLeft"/>
              <w:rPr>
                <w:rFonts w:cs="Arial"/>
                <w:sz w:val="22"/>
              </w:rPr>
            </w:pPr>
            <w:r w:rsidRPr="008F24AC">
              <w:rPr>
                <w:rFonts w:cs="Arial"/>
                <w:sz w:val="22"/>
              </w:rPr>
              <w:lastRenderedPageBreak/>
              <w:t>10</w:t>
            </w:r>
          </w:p>
        </w:tc>
        <w:tc>
          <w:tcPr>
            <w:tcW w:w="1649" w:type="dxa"/>
            <w:noWrap/>
            <w:hideMark/>
          </w:tcPr>
          <w:p w14:paraId="3CCEE0B6" w14:textId="77777777" w:rsidR="00476064" w:rsidRPr="008F24AC" w:rsidRDefault="00476064" w:rsidP="00D91D5B">
            <w:pPr>
              <w:pStyle w:val="TableTextLeft"/>
              <w:rPr>
                <w:rFonts w:cs="Arial"/>
                <w:sz w:val="22"/>
              </w:rPr>
            </w:pPr>
            <w:r w:rsidRPr="008F24AC">
              <w:rPr>
                <w:rFonts w:cs="Arial"/>
                <w:sz w:val="22"/>
              </w:rPr>
              <w:t>Sivaslioglu 2008</w:t>
            </w:r>
          </w:p>
        </w:tc>
        <w:tc>
          <w:tcPr>
            <w:tcW w:w="1418" w:type="dxa"/>
            <w:noWrap/>
            <w:hideMark/>
          </w:tcPr>
          <w:p w14:paraId="678F7FA8" w14:textId="77777777" w:rsidR="00476064" w:rsidRPr="008F24AC" w:rsidRDefault="00476064" w:rsidP="00D91D5B">
            <w:pPr>
              <w:pStyle w:val="TableTextLeft"/>
              <w:rPr>
                <w:rFonts w:cs="Arial"/>
                <w:sz w:val="22"/>
              </w:rPr>
            </w:pPr>
            <w:r w:rsidRPr="008F24AC">
              <w:rPr>
                <w:rFonts w:cs="Arial"/>
                <w:sz w:val="22"/>
              </w:rPr>
              <w:t>Turkey</w:t>
            </w:r>
          </w:p>
        </w:tc>
        <w:tc>
          <w:tcPr>
            <w:tcW w:w="1701" w:type="dxa"/>
            <w:noWrap/>
            <w:hideMark/>
          </w:tcPr>
          <w:p w14:paraId="07212C32"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1EA93DAD" w14:textId="77777777" w:rsidR="00476064" w:rsidRPr="008F24AC" w:rsidRDefault="00476064" w:rsidP="00D91D5B">
            <w:pPr>
              <w:pStyle w:val="TableTextLeft"/>
              <w:rPr>
                <w:rFonts w:cs="Arial"/>
                <w:sz w:val="22"/>
              </w:rPr>
            </w:pPr>
            <w:r w:rsidRPr="008F24AC">
              <w:rPr>
                <w:rFonts w:cs="Arial"/>
                <w:sz w:val="22"/>
              </w:rPr>
              <w:t>Unclear</w:t>
            </w:r>
          </w:p>
        </w:tc>
        <w:tc>
          <w:tcPr>
            <w:tcW w:w="1701" w:type="dxa"/>
            <w:noWrap/>
            <w:hideMark/>
          </w:tcPr>
          <w:p w14:paraId="5DAFE293" w14:textId="77777777" w:rsidR="00476064" w:rsidRPr="008F24AC" w:rsidRDefault="00476064" w:rsidP="00D91D5B">
            <w:pPr>
              <w:pStyle w:val="TableTextLeft"/>
              <w:rPr>
                <w:rFonts w:cs="Arial"/>
                <w:sz w:val="22"/>
              </w:rPr>
            </w:pPr>
            <w:r w:rsidRPr="008F24AC">
              <w:rPr>
                <w:rFonts w:cs="Arial"/>
                <w:sz w:val="22"/>
              </w:rPr>
              <w:t>All primary</w:t>
            </w:r>
          </w:p>
        </w:tc>
        <w:tc>
          <w:tcPr>
            <w:tcW w:w="1276" w:type="dxa"/>
            <w:noWrap/>
            <w:hideMark/>
          </w:tcPr>
          <w:p w14:paraId="3F93FB3E" w14:textId="77777777" w:rsidR="00476064" w:rsidRPr="008F24AC" w:rsidRDefault="00476064" w:rsidP="00D91D5B">
            <w:pPr>
              <w:pStyle w:val="TableTextLeft"/>
              <w:rPr>
                <w:rFonts w:cs="Arial"/>
                <w:sz w:val="22"/>
              </w:rPr>
            </w:pPr>
            <w:r w:rsidRPr="008F24AC">
              <w:rPr>
                <w:rFonts w:cs="Arial"/>
                <w:sz w:val="22"/>
              </w:rPr>
              <w:t>Not reported</w:t>
            </w:r>
          </w:p>
        </w:tc>
        <w:tc>
          <w:tcPr>
            <w:tcW w:w="4111" w:type="dxa"/>
          </w:tcPr>
          <w:p w14:paraId="2B1A4B32" w14:textId="77777777" w:rsidR="00476064" w:rsidRPr="008F24AC" w:rsidRDefault="00476064" w:rsidP="00166803">
            <w:pPr>
              <w:pStyle w:val="TableTextLeft"/>
              <w:rPr>
                <w:rFonts w:cs="Arial"/>
                <w:sz w:val="22"/>
              </w:rPr>
            </w:pPr>
            <w:r w:rsidRPr="008F24AC">
              <w:rPr>
                <w:rFonts w:cs="Arial"/>
                <w:sz w:val="22"/>
              </w:rPr>
              <w:t>Sivaslioglu</w:t>
            </w:r>
            <w:r w:rsidR="00166803" w:rsidRPr="008F24AC">
              <w:rPr>
                <w:rFonts w:cs="Arial"/>
                <w:sz w:val="22"/>
              </w:rPr>
              <w:t xml:space="preserve"> </w:t>
            </w:r>
            <w:r w:rsidRPr="008F24AC">
              <w:rPr>
                <w:rFonts w:cs="Arial"/>
                <w:sz w:val="22"/>
              </w:rPr>
              <w:t>AA, Unlubilgin</w:t>
            </w:r>
            <w:r w:rsidR="00166803" w:rsidRPr="008F24AC">
              <w:rPr>
                <w:rFonts w:cs="Arial"/>
                <w:sz w:val="22"/>
              </w:rPr>
              <w:t xml:space="preserve"> </w:t>
            </w:r>
            <w:r w:rsidRPr="008F24AC">
              <w:rPr>
                <w:rFonts w:cs="Arial"/>
                <w:sz w:val="22"/>
              </w:rPr>
              <w:t>E, Dolen</w:t>
            </w:r>
            <w:r w:rsidR="00166803" w:rsidRPr="008F24AC">
              <w:rPr>
                <w:rFonts w:cs="Arial"/>
                <w:sz w:val="22"/>
              </w:rPr>
              <w:t xml:space="preserve"> </w:t>
            </w:r>
            <w:r w:rsidRPr="008F24AC">
              <w:rPr>
                <w:rFonts w:cs="Arial"/>
                <w:sz w:val="22"/>
              </w:rPr>
              <w:t>I</w:t>
            </w:r>
            <w:r w:rsidR="00166803" w:rsidRPr="008F24AC">
              <w:rPr>
                <w:rFonts w:cs="Arial"/>
                <w:sz w:val="22"/>
              </w:rPr>
              <w:t>.</w:t>
            </w:r>
            <w:r w:rsidRPr="008F24AC">
              <w:rPr>
                <w:rFonts w:cs="Arial"/>
                <w:sz w:val="22"/>
              </w:rPr>
              <w:t xml:space="preserve"> A randomized comparison of polypropylene mesh surgery with site-specific surgery in the treatment of cystocoele</w:t>
            </w:r>
            <w:r w:rsidR="00166803" w:rsidRPr="008F24AC">
              <w:rPr>
                <w:rFonts w:cs="Arial"/>
                <w:sz w:val="22"/>
              </w:rPr>
              <w:t>.</w:t>
            </w:r>
            <w:r w:rsidRPr="008F24AC">
              <w:rPr>
                <w:rFonts w:cs="Arial"/>
                <w:sz w:val="22"/>
              </w:rPr>
              <w:t xml:space="preserve"> </w:t>
            </w:r>
            <w:r w:rsidRPr="008F24AC">
              <w:rPr>
                <w:rFonts w:cs="Arial"/>
                <w:i/>
                <w:sz w:val="22"/>
              </w:rPr>
              <w:t>International Urogynecology Journal</w:t>
            </w:r>
            <w:r w:rsidR="00166803" w:rsidRPr="008F24AC">
              <w:rPr>
                <w:rFonts w:cs="Arial"/>
                <w:sz w:val="22"/>
              </w:rPr>
              <w:t>. 2008;</w:t>
            </w:r>
            <w:r w:rsidRPr="008F24AC">
              <w:rPr>
                <w:rFonts w:cs="Arial"/>
                <w:sz w:val="22"/>
              </w:rPr>
              <w:t>19</w:t>
            </w:r>
            <w:r w:rsidR="00D23255" w:rsidRPr="008F24AC">
              <w:rPr>
                <w:rFonts w:cs="Arial"/>
                <w:sz w:val="22"/>
              </w:rPr>
              <w:t>:467-</w:t>
            </w:r>
            <w:r w:rsidR="00166803" w:rsidRPr="008F24AC">
              <w:rPr>
                <w:rFonts w:cs="Arial"/>
                <w:sz w:val="22"/>
              </w:rPr>
              <w:t>71.</w:t>
            </w:r>
          </w:p>
        </w:tc>
      </w:tr>
      <w:tr w:rsidR="00476064" w:rsidRPr="008F24AC" w14:paraId="50EBDD50" w14:textId="77777777" w:rsidTr="008F24AC">
        <w:tc>
          <w:tcPr>
            <w:tcW w:w="614" w:type="dxa"/>
            <w:noWrap/>
            <w:hideMark/>
          </w:tcPr>
          <w:p w14:paraId="2C7393D0" w14:textId="77777777" w:rsidR="00476064" w:rsidRPr="008F24AC" w:rsidRDefault="00476064" w:rsidP="00D91D5B">
            <w:pPr>
              <w:pStyle w:val="TableTextLeft"/>
              <w:rPr>
                <w:rFonts w:cs="Arial"/>
                <w:sz w:val="22"/>
              </w:rPr>
            </w:pPr>
            <w:r w:rsidRPr="008F24AC">
              <w:rPr>
                <w:rFonts w:cs="Arial"/>
                <w:sz w:val="22"/>
              </w:rPr>
              <w:t>11</w:t>
            </w:r>
          </w:p>
        </w:tc>
        <w:tc>
          <w:tcPr>
            <w:tcW w:w="1649" w:type="dxa"/>
            <w:noWrap/>
            <w:hideMark/>
          </w:tcPr>
          <w:p w14:paraId="68FA5E50" w14:textId="77777777" w:rsidR="00476064" w:rsidRPr="008F24AC" w:rsidRDefault="00476064" w:rsidP="00D91D5B">
            <w:pPr>
              <w:pStyle w:val="TableTextLeft"/>
              <w:rPr>
                <w:rFonts w:cs="Arial"/>
                <w:sz w:val="22"/>
              </w:rPr>
            </w:pPr>
            <w:r w:rsidRPr="008F24AC">
              <w:rPr>
                <w:rFonts w:cs="Arial"/>
                <w:sz w:val="22"/>
              </w:rPr>
              <w:t>Gupta 2014</w:t>
            </w:r>
          </w:p>
        </w:tc>
        <w:tc>
          <w:tcPr>
            <w:tcW w:w="1418" w:type="dxa"/>
            <w:noWrap/>
            <w:hideMark/>
          </w:tcPr>
          <w:p w14:paraId="68011567" w14:textId="77777777" w:rsidR="00476064" w:rsidRPr="008F24AC" w:rsidRDefault="00476064" w:rsidP="00D91D5B">
            <w:pPr>
              <w:pStyle w:val="TableTextLeft"/>
              <w:rPr>
                <w:rFonts w:cs="Arial"/>
                <w:sz w:val="22"/>
              </w:rPr>
            </w:pPr>
            <w:r w:rsidRPr="008F24AC">
              <w:rPr>
                <w:rFonts w:cs="Arial"/>
                <w:sz w:val="22"/>
              </w:rPr>
              <w:t>India</w:t>
            </w:r>
          </w:p>
        </w:tc>
        <w:tc>
          <w:tcPr>
            <w:tcW w:w="1701" w:type="dxa"/>
            <w:noWrap/>
            <w:hideMark/>
          </w:tcPr>
          <w:p w14:paraId="0C9EF14E"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489BEB7E"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20A6166B"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1EB6D1F4"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66A13144" w14:textId="77777777" w:rsidR="00476064" w:rsidRPr="008F24AC" w:rsidRDefault="00476064" w:rsidP="00166803">
            <w:pPr>
              <w:pStyle w:val="TableTextLeft"/>
              <w:rPr>
                <w:rFonts w:cs="Arial"/>
                <w:sz w:val="22"/>
              </w:rPr>
            </w:pPr>
            <w:r w:rsidRPr="008F24AC">
              <w:rPr>
                <w:rFonts w:cs="Arial"/>
                <w:sz w:val="22"/>
              </w:rPr>
              <w:t>Gupta B, Vaid NB, Suneja</w:t>
            </w:r>
            <w:r w:rsidR="00166803" w:rsidRPr="008F24AC">
              <w:rPr>
                <w:rFonts w:cs="Arial"/>
                <w:sz w:val="22"/>
              </w:rPr>
              <w:t xml:space="preserve"> </w:t>
            </w:r>
            <w:r w:rsidRPr="008F24AC">
              <w:rPr>
                <w:rFonts w:cs="Arial"/>
                <w:sz w:val="22"/>
              </w:rPr>
              <w:t>A, Guleria K, Jain S</w:t>
            </w:r>
            <w:r w:rsidR="00166803" w:rsidRPr="008F24AC">
              <w:rPr>
                <w:rFonts w:cs="Arial"/>
                <w:sz w:val="22"/>
              </w:rPr>
              <w:t>.</w:t>
            </w:r>
            <w:r w:rsidRPr="008F24AC">
              <w:rPr>
                <w:rFonts w:cs="Arial"/>
                <w:sz w:val="22"/>
              </w:rPr>
              <w:t xml:space="preserve"> Anterior vaginal prolapse repair: A randomised trial of traditional anterior colporrhaphy and self-tailored mesh repair</w:t>
            </w:r>
            <w:r w:rsidR="00166803" w:rsidRPr="008F24AC">
              <w:rPr>
                <w:rFonts w:cs="Arial"/>
                <w:sz w:val="22"/>
              </w:rPr>
              <w:t>.</w:t>
            </w:r>
            <w:r w:rsidRPr="008F24AC">
              <w:rPr>
                <w:rFonts w:cs="Arial"/>
                <w:sz w:val="22"/>
              </w:rPr>
              <w:t xml:space="preserve"> </w:t>
            </w:r>
            <w:r w:rsidRPr="008F24AC">
              <w:rPr>
                <w:rFonts w:cs="Arial"/>
                <w:i/>
                <w:sz w:val="22"/>
              </w:rPr>
              <w:t>South African journal of obstetrics and gynaecology</w:t>
            </w:r>
            <w:r w:rsidR="00166803" w:rsidRPr="008F24AC">
              <w:rPr>
                <w:rFonts w:cs="Arial"/>
                <w:i/>
                <w:sz w:val="22"/>
              </w:rPr>
              <w:t xml:space="preserve">. </w:t>
            </w:r>
            <w:r w:rsidR="00166803" w:rsidRPr="008F24AC">
              <w:rPr>
                <w:rFonts w:cs="Arial"/>
                <w:sz w:val="22"/>
              </w:rPr>
              <w:t>2014;</w:t>
            </w:r>
            <w:r w:rsidRPr="008F24AC">
              <w:rPr>
                <w:rFonts w:cs="Arial"/>
                <w:sz w:val="22"/>
              </w:rPr>
              <w:t xml:space="preserve"> 20</w:t>
            </w:r>
            <w:r w:rsidR="00166803" w:rsidRPr="008F24AC">
              <w:rPr>
                <w:rFonts w:cs="Arial"/>
                <w:sz w:val="22"/>
              </w:rPr>
              <w:t>:</w:t>
            </w:r>
            <w:r w:rsidRPr="008F24AC">
              <w:rPr>
                <w:rFonts w:cs="Arial"/>
                <w:sz w:val="22"/>
              </w:rPr>
              <w:t>47-50</w:t>
            </w:r>
            <w:r w:rsidR="00166803" w:rsidRPr="008F24AC">
              <w:rPr>
                <w:rFonts w:cs="Arial"/>
                <w:sz w:val="22"/>
              </w:rPr>
              <w:t>.</w:t>
            </w:r>
          </w:p>
        </w:tc>
      </w:tr>
      <w:tr w:rsidR="00476064" w:rsidRPr="008F24AC" w14:paraId="60997C06" w14:textId="77777777" w:rsidTr="008F24AC">
        <w:tc>
          <w:tcPr>
            <w:tcW w:w="614" w:type="dxa"/>
            <w:noWrap/>
            <w:hideMark/>
          </w:tcPr>
          <w:p w14:paraId="03961737" w14:textId="77777777" w:rsidR="00476064" w:rsidRPr="008F24AC" w:rsidRDefault="00476064" w:rsidP="00D91D5B">
            <w:pPr>
              <w:pStyle w:val="TableTextLeft"/>
              <w:rPr>
                <w:rFonts w:cs="Arial"/>
                <w:sz w:val="22"/>
              </w:rPr>
            </w:pPr>
            <w:r w:rsidRPr="008F24AC">
              <w:rPr>
                <w:rFonts w:cs="Arial"/>
                <w:sz w:val="22"/>
              </w:rPr>
              <w:t>12</w:t>
            </w:r>
          </w:p>
        </w:tc>
        <w:tc>
          <w:tcPr>
            <w:tcW w:w="1649" w:type="dxa"/>
            <w:noWrap/>
            <w:hideMark/>
          </w:tcPr>
          <w:p w14:paraId="30054198" w14:textId="77777777" w:rsidR="00476064" w:rsidRPr="008F24AC" w:rsidRDefault="0045045E" w:rsidP="00D91D5B">
            <w:pPr>
              <w:pStyle w:val="TableTextLeft"/>
              <w:rPr>
                <w:rFonts w:cs="Arial"/>
                <w:sz w:val="22"/>
              </w:rPr>
            </w:pPr>
            <w:r w:rsidRPr="008F24AC">
              <w:rPr>
                <w:rFonts w:cs="Arial"/>
                <w:sz w:val="22"/>
              </w:rPr>
              <w:t>Glazener 2017</w:t>
            </w:r>
            <w:r w:rsidR="00B64EA3" w:rsidRPr="008F24AC">
              <w:rPr>
                <w:rFonts w:cs="Arial"/>
                <w:sz w:val="22"/>
              </w:rPr>
              <w:t>b</w:t>
            </w:r>
          </w:p>
        </w:tc>
        <w:tc>
          <w:tcPr>
            <w:tcW w:w="1418" w:type="dxa"/>
            <w:noWrap/>
            <w:hideMark/>
          </w:tcPr>
          <w:p w14:paraId="54B228ED" w14:textId="77777777" w:rsidR="00476064" w:rsidRPr="008F24AC" w:rsidRDefault="00476064" w:rsidP="00D91D5B">
            <w:pPr>
              <w:pStyle w:val="TableTextLeft"/>
              <w:rPr>
                <w:rFonts w:cs="Arial"/>
                <w:sz w:val="22"/>
              </w:rPr>
            </w:pPr>
            <w:r w:rsidRPr="008F24AC">
              <w:rPr>
                <w:rFonts w:cs="Arial"/>
                <w:sz w:val="22"/>
              </w:rPr>
              <w:t>UK</w:t>
            </w:r>
          </w:p>
        </w:tc>
        <w:tc>
          <w:tcPr>
            <w:tcW w:w="1701" w:type="dxa"/>
            <w:noWrap/>
            <w:hideMark/>
          </w:tcPr>
          <w:p w14:paraId="51D8FB97"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0C38B47D"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7670D0B6" w14:textId="77777777" w:rsidR="00476064" w:rsidRPr="008F24AC" w:rsidRDefault="00476064" w:rsidP="00D91D5B">
            <w:pPr>
              <w:pStyle w:val="TableTextLeft"/>
              <w:rPr>
                <w:rFonts w:cs="Arial"/>
                <w:sz w:val="22"/>
              </w:rPr>
            </w:pPr>
            <w:r w:rsidRPr="008F24AC">
              <w:rPr>
                <w:rFonts w:cs="Arial"/>
                <w:sz w:val="22"/>
              </w:rPr>
              <w:t>All primary</w:t>
            </w:r>
          </w:p>
        </w:tc>
        <w:tc>
          <w:tcPr>
            <w:tcW w:w="1276" w:type="dxa"/>
            <w:noWrap/>
            <w:hideMark/>
          </w:tcPr>
          <w:p w14:paraId="6103C3E3"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687EB959" w14:textId="77777777" w:rsidR="00476064" w:rsidRPr="008F24AC" w:rsidRDefault="00476064" w:rsidP="00D23255">
            <w:pPr>
              <w:pStyle w:val="TableTextLeft"/>
              <w:rPr>
                <w:rFonts w:cs="Arial"/>
                <w:sz w:val="22"/>
              </w:rPr>
            </w:pPr>
            <w:r w:rsidRPr="008F24AC">
              <w:rPr>
                <w:rFonts w:cs="Arial"/>
                <w:sz w:val="22"/>
              </w:rPr>
              <w:t>Glazener CM, Breeman S, Elders A, Hemming C, Cooper KG, Freeman RM</w:t>
            </w:r>
            <w:r w:rsidR="00166803" w:rsidRPr="008F24AC">
              <w:rPr>
                <w:rFonts w:cs="Arial"/>
                <w:sz w:val="22"/>
              </w:rPr>
              <w:t>, et al.</w:t>
            </w:r>
            <w:r w:rsidRPr="008F24AC">
              <w:rPr>
                <w:rFonts w:cs="Arial"/>
                <w:sz w:val="22"/>
              </w:rPr>
              <w:t xml:space="preserve"> Mesh, graft, or standard repair for women having primary transvaginal anterior or posterior compartment prolapse surgery: two parallel-group, multicentre, randomised, controlled trials (PROSPECT)</w:t>
            </w:r>
            <w:r w:rsidR="00166803" w:rsidRPr="008F24AC">
              <w:rPr>
                <w:rFonts w:cs="Arial"/>
                <w:sz w:val="22"/>
              </w:rPr>
              <w:t>.</w:t>
            </w:r>
            <w:r w:rsidRPr="008F24AC">
              <w:rPr>
                <w:rFonts w:cs="Arial"/>
                <w:sz w:val="22"/>
              </w:rPr>
              <w:t xml:space="preserve"> </w:t>
            </w:r>
            <w:r w:rsidRPr="008F24AC">
              <w:rPr>
                <w:rFonts w:cs="Arial"/>
                <w:i/>
                <w:sz w:val="22"/>
              </w:rPr>
              <w:t>The Lancet</w:t>
            </w:r>
            <w:r w:rsidR="004942A7" w:rsidRPr="008F24AC">
              <w:rPr>
                <w:rFonts w:cs="Arial"/>
                <w:sz w:val="22"/>
              </w:rPr>
              <w:t>.</w:t>
            </w:r>
            <w:r w:rsidR="00166803" w:rsidRPr="008F24AC">
              <w:rPr>
                <w:rFonts w:cs="Arial"/>
                <w:sz w:val="22"/>
              </w:rPr>
              <w:t xml:space="preserve"> 2017;</w:t>
            </w:r>
            <w:r w:rsidRPr="008F24AC">
              <w:rPr>
                <w:rFonts w:cs="Arial"/>
                <w:sz w:val="22"/>
              </w:rPr>
              <w:t>389</w:t>
            </w:r>
            <w:r w:rsidR="00166803" w:rsidRPr="008F24AC">
              <w:rPr>
                <w:rFonts w:cs="Arial"/>
                <w:sz w:val="22"/>
              </w:rPr>
              <w:t>:</w:t>
            </w:r>
            <w:r w:rsidRPr="008F24AC">
              <w:rPr>
                <w:rFonts w:cs="Arial"/>
                <w:sz w:val="22"/>
              </w:rPr>
              <w:t>381-92</w:t>
            </w:r>
            <w:r w:rsidR="00166803" w:rsidRPr="008F24AC">
              <w:rPr>
                <w:rFonts w:cs="Arial"/>
                <w:sz w:val="22"/>
              </w:rPr>
              <w:t xml:space="preserve">. </w:t>
            </w:r>
            <w:r w:rsidRPr="008F24AC">
              <w:rPr>
                <w:rFonts w:cs="Arial"/>
                <w:sz w:val="22"/>
              </w:rPr>
              <w:t>STRATIFIED DATA PROVIDED BY AUTHORS</w:t>
            </w:r>
          </w:p>
        </w:tc>
      </w:tr>
      <w:tr w:rsidR="00476064" w:rsidRPr="008F24AC" w14:paraId="20D7614E" w14:textId="77777777" w:rsidTr="008F24AC">
        <w:tc>
          <w:tcPr>
            <w:tcW w:w="614" w:type="dxa"/>
            <w:noWrap/>
            <w:hideMark/>
          </w:tcPr>
          <w:p w14:paraId="7B37D335" w14:textId="77777777" w:rsidR="00476064" w:rsidRPr="008F24AC" w:rsidRDefault="00476064" w:rsidP="00D91D5B">
            <w:pPr>
              <w:pStyle w:val="TableTextLeft"/>
              <w:rPr>
                <w:rFonts w:cs="Arial"/>
                <w:sz w:val="22"/>
              </w:rPr>
            </w:pPr>
            <w:r w:rsidRPr="008F24AC">
              <w:rPr>
                <w:rFonts w:cs="Arial"/>
                <w:sz w:val="22"/>
              </w:rPr>
              <w:t>13</w:t>
            </w:r>
          </w:p>
        </w:tc>
        <w:tc>
          <w:tcPr>
            <w:tcW w:w="1649" w:type="dxa"/>
            <w:noWrap/>
            <w:hideMark/>
          </w:tcPr>
          <w:p w14:paraId="27AEA113" w14:textId="77777777" w:rsidR="00476064" w:rsidRPr="008F24AC" w:rsidRDefault="00476064" w:rsidP="00D91D5B">
            <w:pPr>
              <w:pStyle w:val="TableTextLeft"/>
              <w:rPr>
                <w:rFonts w:cs="Arial"/>
                <w:sz w:val="22"/>
              </w:rPr>
            </w:pPr>
            <w:r w:rsidRPr="008F24AC">
              <w:rPr>
                <w:rFonts w:cs="Arial"/>
                <w:sz w:val="22"/>
              </w:rPr>
              <w:t>Gandhi 2005</w:t>
            </w:r>
          </w:p>
        </w:tc>
        <w:tc>
          <w:tcPr>
            <w:tcW w:w="1418" w:type="dxa"/>
            <w:noWrap/>
            <w:hideMark/>
          </w:tcPr>
          <w:p w14:paraId="71662373" w14:textId="77777777" w:rsidR="00476064" w:rsidRPr="008F24AC" w:rsidRDefault="00476064" w:rsidP="00D91D5B">
            <w:pPr>
              <w:pStyle w:val="TableTextLeft"/>
              <w:rPr>
                <w:rFonts w:cs="Arial"/>
                <w:sz w:val="22"/>
              </w:rPr>
            </w:pPr>
            <w:r w:rsidRPr="008F24AC">
              <w:rPr>
                <w:rFonts w:cs="Arial"/>
                <w:sz w:val="22"/>
              </w:rPr>
              <w:t>USA</w:t>
            </w:r>
          </w:p>
        </w:tc>
        <w:tc>
          <w:tcPr>
            <w:tcW w:w="1701" w:type="dxa"/>
            <w:noWrap/>
            <w:hideMark/>
          </w:tcPr>
          <w:p w14:paraId="766AF2E7"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7FF57922"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0734F8E1" w14:textId="77777777" w:rsidR="00476064" w:rsidRPr="008F24AC" w:rsidRDefault="00476064" w:rsidP="00D91D5B">
            <w:pPr>
              <w:pStyle w:val="TableTextLeft"/>
              <w:rPr>
                <w:rFonts w:cs="Arial"/>
                <w:sz w:val="22"/>
              </w:rPr>
            </w:pPr>
            <w:r w:rsidRPr="008F24AC">
              <w:rPr>
                <w:rFonts w:cs="Arial"/>
                <w:sz w:val="22"/>
              </w:rPr>
              <w:t>Unclear</w:t>
            </w:r>
          </w:p>
        </w:tc>
        <w:tc>
          <w:tcPr>
            <w:tcW w:w="1276" w:type="dxa"/>
            <w:noWrap/>
            <w:hideMark/>
          </w:tcPr>
          <w:p w14:paraId="163C7608"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2888BD6A" w14:textId="77777777" w:rsidR="00476064" w:rsidRPr="008F24AC" w:rsidRDefault="00166803" w:rsidP="004942A7">
            <w:pPr>
              <w:pStyle w:val="TableTextLeft"/>
              <w:rPr>
                <w:rFonts w:cs="Arial"/>
                <w:sz w:val="22"/>
              </w:rPr>
            </w:pPr>
            <w:r w:rsidRPr="008F24AC">
              <w:rPr>
                <w:rFonts w:cs="Arial"/>
                <w:sz w:val="22"/>
              </w:rPr>
              <w:t>Gandhi S</w:t>
            </w:r>
            <w:r w:rsidR="00476064" w:rsidRPr="008F24AC">
              <w:rPr>
                <w:rFonts w:cs="Arial"/>
                <w:sz w:val="22"/>
              </w:rPr>
              <w:t xml:space="preserve">, Goldberg RP, Kwon C, Koduri S, Beaumont JL, Abramov Y, </w:t>
            </w:r>
            <w:r w:rsidR="004942A7" w:rsidRPr="008F24AC">
              <w:rPr>
                <w:rFonts w:cs="Arial"/>
                <w:sz w:val="22"/>
              </w:rPr>
              <w:t>et al.</w:t>
            </w:r>
            <w:r w:rsidR="00476064" w:rsidRPr="008F24AC">
              <w:rPr>
                <w:rFonts w:cs="Arial"/>
                <w:sz w:val="22"/>
              </w:rPr>
              <w:t xml:space="preserve"> A prospective randomized trial using solvent dehydrated fascia lata for the prevention of recurrent anterior vaginal wall prolapse</w:t>
            </w:r>
            <w:r w:rsidR="004942A7" w:rsidRPr="008F24AC">
              <w:rPr>
                <w:rFonts w:cs="Arial"/>
                <w:sz w:val="22"/>
              </w:rPr>
              <w:t>.</w:t>
            </w:r>
            <w:r w:rsidR="00476064" w:rsidRPr="008F24AC">
              <w:rPr>
                <w:rFonts w:cs="Arial"/>
                <w:sz w:val="22"/>
              </w:rPr>
              <w:t xml:space="preserve"> </w:t>
            </w:r>
            <w:r w:rsidR="00476064" w:rsidRPr="008F24AC">
              <w:rPr>
                <w:rFonts w:cs="Arial"/>
                <w:i/>
                <w:sz w:val="22"/>
              </w:rPr>
              <w:t>American Journal of Obstetrics &amp; Gynecology</w:t>
            </w:r>
            <w:r w:rsidR="004942A7" w:rsidRPr="008F24AC">
              <w:rPr>
                <w:rFonts w:cs="Arial"/>
                <w:sz w:val="22"/>
              </w:rPr>
              <w:t>. 2005;</w:t>
            </w:r>
            <w:r w:rsidR="00476064" w:rsidRPr="008F24AC">
              <w:rPr>
                <w:rFonts w:cs="Arial"/>
                <w:sz w:val="22"/>
              </w:rPr>
              <w:t>192</w:t>
            </w:r>
            <w:r w:rsidR="004942A7" w:rsidRPr="008F24AC">
              <w:rPr>
                <w:rFonts w:cs="Arial"/>
                <w:sz w:val="22"/>
              </w:rPr>
              <w:t>:</w:t>
            </w:r>
            <w:r w:rsidR="00476064" w:rsidRPr="008F24AC">
              <w:rPr>
                <w:rFonts w:cs="Arial"/>
                <w:sz w:val="22"/>
              </w:rPr>
              <w:t>1649-54</w:t>
            </w:r>
            <w:r w:rsidR="004942A7" w:rsidRPr="008F24AC">
              <w:rPr>
                <w:rFonts w:cs="Arial"/>
                <w:sz w:val="22"/>
              </w:rPr>
              <w:t>.</w:t>
            </w:r>
          </w:p>
        </w:tc>
      </w:tr>
      <w:tr w:rsidR="00476064" w:rsidRPr="008F24AC" w14:paraId="0C4FC3BE" w14:textId="77777777" w:rsidTr="008F24AC">
        <w:tc>
          <w:tcPr>
            <w:tcW w:w="614" w:type="dxa"/>
            <w:noWrap/>
            <w:hideMark/>
          </w:tcPr>
          <w:p w14:paraId="01BC9FFE" w14:textId="77777777" w:rsidR="00476064" w:rsidRPr="008F24AC" w:rsidRDefault="00476064" w:rsidP="00D91D5B">
            <w:pPr>
              <w:pStyle w:val="TableTextLeft"/>
              <w:rPr>
                <w:rFonts w:cs="Arial"/>
                <w:sz w:val="22"/>
              </w:rPr>
            </w:pPr>
            <w:r w:rsidRPr="008F24AC">
              <w:rPr>
                <w:rFonts w:cs="Arial"/>
                <w:sz w:val="22"/>
              </w:rPr>
              <w:lastRenderedPageBreak/>
              <w:t>14</w:t>
            </w:r>
          </w:p>
        </w:tc>
        <w:tc>
          <w:tcPr>
            <w:tcW w:w="1649" w:type="dxa"/>
            <w:noWrap/>
            <w:hideMark/>
          </w:tcPr>
          <w:p w14:paraId="3C527EA8" w14:textId="77777777" w:rsidR="00476064" w:rsidRPr="008F24AC" w:rsidRDefault="00476064" w:rsidP="00D91D5B">
            <w:pPr>
              <w:pStyle w:val="TableTextLeft"/>
              <w:rPr>
                <w:rFonts w:cs="Arial"/>
                <w:sz w:val="22"/>
              </w:rPr>
            </w:pPr>
            <w:r w:rsidRPr="008F24AC">
              <w:rPr>
                <w:rFonts w:cs="Arial"/>
                <w:sz w:val="22"/>
              </w:rPr>
              <w:t>Guerette 2009</w:t>
            </w:r>
          </w:p>
        </w:tc>
        <w:tc>
          <w:tcPr>
            <w:tcW w:w="1418" w:type="dxa"/>
            <w:noWrap/>
            <w:hideMark/>
          </w:tcPr>
          <w:p w14:paraId="43D1D364" w14:textId="77777777" w:rsidR="00476064" w:rsidRPr="008F24AC" w:rsidRDefault="00476064" w:rsidP="00D91D5B">
            <w:pPr>
              <w:pStyle w:val="TableTextLeft"/>
              <w:rPr>
                <w:rFonts w:cs="Arial"/>
                <w:sz w:val="22"/>
              </w:rPr>
            </w:pPr>
            <w:r w:rsidRPr="008F24AC">
              <w:rPr>
                <w:rFonts w:cs="Arial"/>
                <w:sz w:val="22"/>
              </w:rPr>
              <w:t>USA</w:t>
            </w:r>
          </w:p>
        </w:tc>
        <w:tc>
          <w:tcPr>
            <w:tcW w:w="1701" w:type="dxa"/>
            <w:noWrap/>
            <w:hideMark/>
          </w:tcPr>
          <w:p w14:paraId="63A7846F"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2C907FC0"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3E81B208"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1097A91D"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253F6699" w14:textId="77777777" w:rsidR="00476064" w:rsidRPr="008F24AC" w:rsidRDefault="00476064" w:rsidP="004942A7">
            <w:pPr>
              <w:pStyle w:val="TableTextLeft"/>
              <w:rPr>
                <w:rFonts w:cs="Arial"/>
                <w:sz w:val="22"/>
              </w:rPr>
            </w:pPr>
            <w:r w:rsidRPr="008F24AC">
              <w:rPr>
                <w:rFonts w:cs="Arial"/>
                <w:sz w:val="22"/>
              </w:rPr>
              <w:t>Guerette NL, Peterson TV, Aguirre OA, Vandrie DM, Biller DH, Davila GW. Anterior repair with or without collagen matrix reinforcement: a randomized controlled trial</w:t>
            </w:r>
            <w:r w:rsidR="004942A7" w:rsidRPr="008F24AC">
              <w:rPr>
                <w:rFonts w:cs="Arial"/>
                <w:sz w:val="22"/>
              </w:rPr>
              <w:t>.</w:t>
            </w:r>
            <w:r w:rsidRPr="008F24AC">
              <w:rPr>
                <w:rFonts w:cs="Arial"/>
                <w:sz w:val="22"/>
              </w:rPr>
              <w:t xml:space="preserve"> </w:t>
            </w:r>
            <w:r w:rsidRPr="008F24AC">
              <w:rPr>
                <w:rFonts w:cs="Arial"/>
                <w:i/>
                <w:sz w:val="22"/>
              </w:rPr>
              <w:t>Obstetrics &amp; Gynecology</w:t>
            </w:r>
            <w:r w:rsidR="004942A7" w:rsidRPr="008F24AC">
              <w:rPr>
                <w:rFonts w:cs="Arial"/>
                <w:sz w:val="22"/>
              </w:rPr>
              <w:t>. 2009;</w:t>
            </w:r>
            <w:r w:rsidRPr="008F24AC">
              <w:rPr>
                <w:rFonts w:cs="Arial"/>
                <w:sz w:val="22"/>
              </w:rPr>
              <w:t>114</w:t>
            </w:r>
            <w:r w:rsidR="004942A7" w:rsidRPr="008F24AC">
              <w:rPr>
                <w:rFonts w:cs="Arial"/>
                <w:sz w:val="22"/>
              </w:rPr>
              <w:t>:59-65.</w:t>
            </w:r>
          </w:p>
        </w:tc>
      </w:tr>
      <w:tr w:rsidR="00476064" w:rsidRPr="008F24AC" w14:paraId="4CE9EA5E" w14:textId="77777777" w:rsidTr="008F24AC">
        <w:tc>
          <w:tcPr>
            <w:tcW w:w="614" w:type="dxa"/>
            <w:noWrap/>
            <w:hideMark/>
          </w:tcPr>
          <w:p w14:paraId="6B15006D" w14:textId="77777777" w:rsidR="00476064" w:rsidRPr="008F24AC" w:rsidRDefault="00476064" w:rsidP="00D91D5B">
            <w:pPr>
              <w:pStyle w:val="TableTextLeft"/>
              <w:rPr>
                <w:rFonts w:cs="Arial"/>
                <w:sz w:val="22"/>
              </w:rPr>
            </w:pPr>
            <w:r w:rsidRPr="008F24AC">
              <w:rPr>
                <w:rFonts w:cs="Arial"/>
                <w:sz w:val="22"/>
              </w:rPr>
              <w:t>15</w:t>
            </w:r>
          </w:p>
        </w:tc>
        <w:tc>
          <w:tcPr>
            <w:tcW w:w="1649" w:type="dxa"/>
            <w:noWrap/>
            <w:hideMark/>
          </w:tcPr>
          <w:p w14:paraId="1FBE3C7A" w14:textId="77777777" w:rsidR="00476064" w:rsidRPr="008F24AC" w:rsidRDefault="00476064" w:rsidP="00D91D5B">
            <w:pPr>
              <w:pStyle w:val="TableTextLeft"/>
              <w:rPr>
                <w:rFonts w:cs="Arial"/>
                <w:sz w:val="22"/>
              </w:rPr>
            </w:pPr>
            <w:r w:rsidRPr="008F24AC">
              <w:rPr>
                <w:rFonts w:cs="Arial"/>
                <w:sz w:val="22"/>
              </w:rPr>
              <w:t>Feldner 2010</w:t>
            </w:r>
          </w:p>
        </w:tc>
        <w:tc>
          <w:tcPr>
            <w:tcW w:w="1418" w:type="dxa"/>
            <w:noWrap/>
            <w:hideMark/>
          </w:tcPr>
          <w:p w14:paraId="6022D6EE" w14:textId="77777777" w:rsidR="00476064" w:rsidRPr="008F24AC" w:rsidRDefault="00476064" w:rsidP="00D91D5B">
            <w:pPr>
              <w:pStyle w:val="TableTextLeft"/>
              <w:rPr>
                <w:rFonts w:cs="Arial"/>
                <w:sz w:val="22"/>
              </w:rPr>
            </w:pPr>
            <w:r w:rsidRPr="008F24AC">
              <w:rPr>
                <w:rFonts w:cs="Arial"/>
                <w:sz w:val="22"/>
              </w:rPr>
              <w:t>Brazil</w:t>
            </w:r>
          </w:p>
        </w:tc>
        <w:tc>
          <w:tcPr>
            <w:tcW w:w="1701" w:type="dxa"/>
            <w:noWrap/>
            <w:hideMark/>
          </w:tcPr>
          <w:p w14:paraId="339C54A9"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0F6895F7"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3A4DCB8B"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558670C8"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21A187F8" w14:textId="77777777" w:rsidR="00476064" w:rsidRPr="008F24AC" w:rsidRDefault="00476064" w:rsidP="004942A7">
            <w:pPr>
              <w:pStyle w:val="TableTextLeft"/>
              <w:rPr>
                <w:rFonts w:cs="Arial"/>
                <w:sz w:val="22"/>
              </w:rPr>
            </w:pPr>
            <w:r w:rsidRPr="008F24AC">
              <w:rPr>
                <w:rFonts w:cs="Arial"/>
                <w:sz w:val="22"/>
              </w:rPr>
              <w:t>Feldner Jr PC, Castro RA, Cipolotti LA, Delroy CA, Sartori MGF, Girao MJBC</w:t>
            </w:r>
            <w:r w:rsidR="004942A7" w:rsidRPr="008F24AC">
              <w:rPr>
                <w:rFonts w:cs="Arial"/>
                <w:sz w:val="22"/>
              </w:rPr>
              <w:t>.</w:t>
            </w:r>
            <w:r w:rsidRPr="008F24AC">
              <w:rPr>
                <w:rFonts w:cs="Arial"/>
                <w:sz w:val="22"/>
              </w:rPr>
              <w:t xml:space="preserve"> Anterior vaginal wall prolapse: A randomized controlled trial of SIS graft versus traditional colporrhaphy</w:t>
            </w:r>
            <w:r w:rsidR="004942A7" w:rsidRPr="008F24AC">
              <w:rPr>
                <w:rFonts w:cs="Arial"/>
                <w:sz w:val="22"/>
              </w:rPr>
              <w:t>.</w:t>
            </w:r>
            <w:r w:rsidRPr="008F24AC">
              <w:rPr>
                <w:rFonts w:cs="Arial"/>
                <w:sz w:val="22"/>
              </w:rPr>
              <w:t xml:space="preserve"> </w:t>
            </w:r>
            <w:r w:rsidRPr="008F24AC">
              <w:rPr>
                <w:rFonts w:cs="Arial"/>
                <w:i/>
                <w:sz w:val="22"/>
              </w:rPr>
              <w:t>International Urogynecology Journal</w:t>
            </w:r>
            <w:r w:rsidR="004942A7" w:rsidRPr="008F24AC">
              <w:rPr>
                <w:rFonts w:cs="Arial"/>
                <w:sz w:val="22"/>
              </w:rPr>
              <w:t>. 2010;</w:t>
            </w:r>
            <w:r w:rsidRPr="008F24AC">
              <w:rPr>
                <w:rFonts w:cs="Arial"/>
                <w:sz w:val="22"/>
              </w:rPr>
              <w:t>21</w:t>
            </w:r>
            <w:r w:rsidR="004942A7" w:rsidRPr="008F24AC">
              <w:rPr>
                <w:rFonts w:cs="Arial"/>
                <w:sz w:val="22"/>
              </w:rPr>
              <w:t>:</w:t>
            </w:r>
            <w:r w:rsidR="00D23255" w:rsidRPr="008F24AC">
              <w:rPr>
                <w:rFonts w:cs="Arial"/>
                <w:sz w:val="22"/>
              </w:rPr>
              <w:t>1057-</w:t>
            </w:r>
            <w:r w:rsidRPr="008F24AC">
              <w:rPr>
                <w:rFonts w:cs="Arial"/>
                <w:sz w:val="22"/>
              </w:rPr>
              <w:t>63</w:t>
            </w:r>
            <w:r w:rsidR="004942A7" w:rsidRPr="008F24AC">
              <w:rPr>
                <w:rFonts w:cs="Arial"/>
                <w:sz w:val="22"/>
              </w:rPr>
              <w:t>.</w:t>
            </w:r>
          </w:p>
        </w:tc>
      </w:tr>
      <w:tr w:rsidR="00476064" w:rsidRPr="008F24AC" w14:paraId="6F7076B0" w14:textId="77777777" w:rsidTr="008F24AC">
        <w:tc>
          <w:tcPr>
            <w:tcW w:w="614" w:type="dxa"/>
            <w:noWrap/>
            <w:hideMark/>
          </w:tcPr>
          <w:p w14:paraId="44D0F79B" w14:textId="77777777" w:rsidR="00476064" w:rsidRPr="008F24AC" w:rsidRDefault="00476064" w:rsidP="00D91D5B">
            <w:pPr>
              <w:pStyle w:val="TableTextLeft"/>
              <w:rPr>
                <w:rFonts w:cs="Arial"/>
                <w:sz w:val="22"/>
              </w:rPr>
            </w:pPr>
            <w:r w:rsidRPr="008F24AC">
              <w:rPr>
                <w:rFonts w:cs="Arial"/>
                <w:sz w:val="22"/>
              </w:rPr>
              <w:t>16</w:t>
            </w:r>
          </w:p>
        </w:tc>
        <w:tc>
          <w:tcPr>
            <w:tcW w:w="1649" w:type="dxa"/>
            <w:noWrap/>
            <w:hideMark/>
          </w:tcPr>
          <w:p w14:paraId="1FB7DEE3" w14:textId="77777777" w:rsidR="00476064" w:rsidRPr="008F24AC" w:rsidRDefault="00476064" w:rsidP="00D91D5B">
            <w:pPr>
              <w:pStyle w:val="TableTextLeft"/>
              <w:rPr>
                <w:rFonts w:cs="Arial"/>
                <w:sz w:val="22"/>
              </w:rPr>
            </w:pPr>
            <w:r w:rsidRPr="008F24AC">
              <w:rPr>
                <w:rFonts w:cs="Arial"/>
                <w:sz w:val="22"/>
              </w:rPr>
              <w:t>Hviid 2010</w:t>
            </w:r>
          </w:p>
        </w:tc>
        <w:tc>
          <w:tcPr>
            <w:tcW w:w="1418" w:type="dxa"/>
            <w:noWrap/>
            <w:hideMark/>
          </w:tcPr>
          <w:p w14:paraId="6BEE5B51" w14:textId="77777777" w:rsidR="00476064" w:rsidRPr="008F24AC" w:rsidRDefault="00476064" w:rsidP="00D91D5B">
            <w:pPr>
              <w:pStyle w:val="TableTextLeft"/>
              <w:rPr>
                <w:rFonts w:cs="Arial"/>
                <w:sz w:val="22"/>
              </w:rPr>
            </w:pPr>
            <w:r w:rsidRPr="008F24AC">
              <w:rPr>
                <w:rFonts w:cs="Arial"/>
                <w:sz w:val="22"/>
              </w:rPr>
              <w:t>Denmark</w:t>
            </w:r>
          </w:p>
        </w:tc>
        <w:tc>
          <w:tcPr>
            <w:tcW w:w="1701" w:type="dxa"/>
            <w:noWrap/>
            <w:hideMark/>
          </w:tcPr>
          <w:p w14:paraId="32321CC0"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4785C200"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71704214" w14:textId="77777777" w:rsidR="00476064" w:rsidRPr="008F24AC" w:rsidRDefault="00476064" w:rsidP="00D91D5B">
            <w:pPr>
              <w:pStyle w:val="TableTextLeft"/>
              <w:rPr>
                <w:rFonts w:cs="Arial"/>
                <w:sz w:val="22"/>
              </w:rPr>
            </w:pPr>
            <w:r w:rsidRPr="008F24AC">
              <w:rPr>
                <w:rFonts w:cs="Arial"/>
                <w:sz w:val="22"/>
              </w:rPr>
              <w:t>All primary</w:t>
            </w:r>
          </w:p>
        </w:tc>
        <w:tc>
          <w:tcPr>
            <w:tcW w:w="1276" w:type="dxa"/>
            <w:noWrap/>
            <w:hideMark/>
          </w:tcPr>
          <w:p w14:paraId="7AA3EF6D" w14:textId="77777777" w:rsidR="00476064" w:rsidRPr="008F24AC" w:rsidRDefault="00476064" w:rsidP="00D91D5B">
            <w:pPr>
              <w:pStyle w:val="TableTextLeft"/>
              <w:rPr>
                <w:rFonts w:cs="Arial"/>
                <w:sz w:val="22"/>
              </w:rPr>
            </w:pPr>
            <w:r w:rsidRPr="008F24AC">
              <w:rPr>
                <w:rFonts w:cs="Arial"/>
                <w:sz w:val="22"/>
              </w:rPr>
              <w:t>No additional</w:t>
            </w:r>
          </w:p>
        </w:tc>
        <w:tc>
          <w:tcPr>
            <w:tcW w:w="4111" w:type="dxa"/>
          </w:tcPr>
          <w:p w14:paraId="7E2513AB" w14:textId="77777777" w:rsidR="00476064" w:rsidRPr="008F24AC" w:rsidRDefault="00476064" w:rsidP="004942A7">
            <w:pPr>
              <w:pStyle w:val="TableTextLeft"/>
              <w:rPr>
                <w:rFonts w:cs="Arial"/>
                <w:sz w:val="22"/>
              </w:rPr>
            </w:pPr>
            <w:r w:rsidRPr="008F24AC">
              <w:rPr>
                <w:rFonts w:cs="Arial"/>
                <w:sz w:val="22"/>
              </w:rPr>
              <w:t>Hviid U, Hviid TVF, Rudnicki M. Porcine skin collagen implants for anterior vaginal wall prolapse: A randomis</w:t>
            </w:r>
            <w:r w:rsidR="004942A7" w:rsidRPr="008F24AC">
              <w:rPr>
                <w:rFonts w:cs="Arial"/>
                <w:sz w:val="22"/>
              </w:rPr>
              <w:t>ed prospective controlled study.</w:t>
            </w:r>
            <w:r w:rsidRPr="008F24AC">
              <w:rPr>
                <w:rFonts w:cs="Arial"/>
                <w:sz w:val="22"/>
              </w:rPr>
              <w:t xml:space="preserve"> </w:t>
            </w:r>
            <w:r w:rsidRPr="008F24AC">
              <w:rPr>
                <w:rFonts w:cs="Arial"/>
                <w:i/>
                <w:sz w:val="22"/>
              </w:rPr>
              <w:t>International Urogynecology Journal</w:t>
            </w:r>
            <w:r w:rsidR="004942A7" w:rsidRPr="008F24AC">
              <w:rPr>
                <w:rFonts w:cs="Arial"/>
                <w:sz w:val="22"/>
              </w:rPr>
              <w:t>. 2010;</w:t>
            </w:r>
            <w:r w:rsidRPr="008F24AC">
              <w:rPr>
                <w:rFonts w:cs="Arial"/>
                <w:sz w:val="22"/>
              </w:rPr>
              <w:t xml:space="preserve"> 21</w:t>
            </w:r>
            <w:r w:rsidR="004942A7" w:rsidRPr="008F24AC">
              <w:rPr>
                <w:rFonts w:cs="Arial"/>
                <w:sz w:val="22"/>
              </w:rPr>
              <w:t>:</w:t>
            </w:r>
            <w:r w:rsidR="00D23255" w:rsidRPr="008F24AC">
              <w:rPr>
                <w:rFonts w:cs="Arial"/>
                <w:sz w:val="22"/>
              </w:rPr>
              <w:t>529-</w:t>
            </w:r>
            <w:r w:rsidRPr="008F24AC">
              <w:rPr>
                <w:rFonts w:cs="Arial"/>
                <w:sz w:val="22"/>
              </w:rPr>
              <w:t>34</w:t>
            </w:r>
            <w:r w:rsidR="004942A7" w:rsidRPr="008F24AC">
              <w:rPr>
                <w:rFonts w:cs="Arial"/>
                <w:sz w:val="22"/>
              </w:rPr>
              <w:t>.</w:t>
            </w:r>
          </w:p>
        </w:tc>
      </w:tr>
      <w:tr w:rsidR="00476064" w:rsidRPr="008F24AC" w14:paraId="753F8E4E" w14:textId="77777777" w:rsidTr="008F24AC">
        <w:tc>
          <w:tcPr>
            <w:tcW w:w="614" w:type="dxa"/>
            <w:noWrap/>
            <w:hideMark/>
          </w:tcPr>
          <w:p w14:paraId="4886299C" w14:textId="77777777" w:rsidR="00476064" w:rsidRPr="008F24AC" w:rsidRDefault="00476064" w:rsidP="00D91D5B">
            <w:pPr>
              <w:pStyle w:val="TableTextLeft"/>
              <w:rPr>
                <w:rFonts w:cs="Arial"/>
                <w:sz w:val="22"/>
              </w:rPr>
            </w:pPr>
            <w:r w:rsidRPr="008F24AC">
              <w:rPr>
                <w:rFonts w:cs="Arial"/>
                <w:sz w:val="22"/>
              </w:rPr>
              <w:t>17</w:t>
            </w:r>
          </w:p>
        </w:tc>
        <w:tc>
          <w:tcPr>
            <w:tcW w:w="1649" w:type="dxa"/>
            <w:noWrap/>
            <w:hideMark/>
          </w:tcPr>
          <w:p w14:paraId="5DF72042" w14:textId="77777777" w:rsidR="00476064" w:rsidRPr="008F24AC" w:rsidRDefault="00476064" w:rsidP="00D91D5B">
            <w:pPr>
              <w:pStyle w:val="TableTextLeft"/>
              <w:rPr>
                <w:rFonts w:cs="Arial"/>
                <w:sz w:val="22"/>
              </w:rPr>
            </w:pPr>
            <w:r w:rsidRPr="008F24AC">
              <w:rPr>
                <w:rFonts w:cs="Arial"/>
                <w:sz w:val="22"/>
              </w:rPr>
              <w:t>Robert 2014</w:t>
            </w:r>
          </w:p>
        </w:tc>
        <w:tc>
          <w:tcPr>
            <w:tcW w:w="1418" w:type="dxa"/>
            <w:noWrap/>
            <w:hideMark/>
          </w:tcPr>
          <w:p w14:paraId="6C9D74F7" w14:textId="77777777" w:rsidR="00476064" w:rsidRPr="008F24AC" w:rsidRDefault="00476064" w:rsidP="00D91D5B">
            <w:pPr>
              <w:pStyle w:val="TableTextLeft"/>
              <w:rPr>
                <w:rFonts w:cs="Arial"/>
                <w:sz w:val="22"/>
              </w:rPr>
            </w:pPr>
            <w:r w:rsidRPr="008F24AC">
              <w:rPr>
                <w:rFonts w:cs="Arial"/>
                <w:sz w:val="22"/>
              </w:rPr>
              <w:t>Canada</w:t>
            </w:r>
          </w:p>
        </w:tc>
        <w:tc>
          <w:tcPr>
            <w:tcW w:w="1701" w:type="dxa"/>
            <w:noWrap/>
            <w:hideMark/>
          </w:tcPr>
          <w:p w14:paraId="6F9D24A2" w14:textId="77777777" w:rsidR="00476064" w:rsidRPr="008F24AC" w:rsidRDefault="00476064" w:rsidP="00D91D5B">
            <w:pPr>
              <w:pStyle w:val="TableTextLeft"/>
              <w:rPr>
                <w:rFonts w:cs="Arial"/>
                <w:sz w:val="22"/>
              </w:rPr>
            </w:pPr>
            <w:r w:rsidRPr="008F24AC">
              <w:rPr>
                <w:rFonts w:cs="Arial"/>
                <w:sz w:val="22"/>
              </w:rPr>
              <w:t xml:space="preserve">Anterior </w:t>
            </w:r>
          </w:p>
        </w:tc>
        <w:tc>
          <w:tcPr>
            <w:tcW w:w="1417" w:type="dxa"/>
            <w:noWrap/>
            <w:hideMark/>
          </w:tcPr>
          <w:p w14:paraId="7A935342"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00EE0749" w14:textId="77777777" w:rsidR="00476064" w:rsidRPr="008F24AC" w:rsidRDefault="00476064" w:rsidP="00D91D5B">
            <w:pPr>
              <w:pStyle w:val="TableTextLeft"/>
              <w:rPr>
                <w:rFonts w:cs="Arial"/>
                <w:sz w:val="22"/>
              </w:rPr>
            </w:pPr>
            <w:r w:rsidRPr="008F24AC">
              <w:rPr>
                <w:rFonts w:cs="Arial"/>
                <w:sz w:val="22"/>
              </w:rPr>
              <w:t>Majority secondary</w:t>
            </w:r>
          </w:p>
        </w:tc>
        <w:tc>
          <w:tcPr>
            <w:tcW w:w="1276" w:type="dxa"/>
            <w:noWrap/>
            <w:hideMark/>
          </w:tcPr>
          <w:p w14:paraId="469A3C2F"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2603A78D" w14:textId="77777777" w:rsidR="00476064" w:rsidRPr="008F24AC" w:rsidRDefault="00476064" w:rsidP="004942A7">
            <w:pPr>
              <w:pStyle w:val="TableTextLeft"/>
              <w:rPr>
                <w:rFonts w:cs="Arial"/>
                <w:sz w:val="22"/>
              </w:rPr>
            </w:pPr>
            <w:r w:rsidRPr="008F24AC">
              <w:rPr>
                <w:rFonts w:cs="Arial"/>
                <w:sz w:val="22"/>
              </w:rPr>
              <w:t>Robert M, Girard I, Brennand E, Tang S, Birch C, Murphy M, Ross S. Absorbable mesh augmentation compared with no mesh for anterior prolapse: a randomized controlled trial</w:t>
            </w:r>
            <w:r w:rsidR="004942A7" w:rsidRPr="008F24AC">
              <w:rPr>
                <w:rFonts w:cs="Arial"/>
                <w:sz w:val="22"/>
              </w:rPr>
              <w:t>.</w:t>
            </w:r>
            <w:r w:rsidRPr="008F24AC">
              <w:rPr>
                <w:rFonts w:cs="Arial"/>
                <w:sz w:val="22"/>
              </w:rPr>
              <w:t xml:space="preserve"> </w:t>
            </w:r>
            <w:r w:rsidRPr="008F24AC">
              <w:rPr>
                <w:rFonts w:cs="Arial"/>
                <w:i/>
                <w:sz w:val="22"/>
              </w:rPr>
              <w:t>Obstetrics &amp; Gynecology</w:t>
            </w:r>
            <w:r w:rsidR="004942A7" w:rsidRPr="008F24AC">
              <w:rPr>
                <w:rFonts w:cs="Arial"/>
                <w:sz w:val="22"/>
              </w:rPr>
              <w:t>.</w:t>
            </w:r>
            <w:r w:rsidRPr="008F24AC">
              <w:rPr>
                <w:rFonts w:cs="Arial"/>
                <w:sz w:val="22"/>
              </w:rPr>
              <w:t xml:space="preserve"> </w:t>
            </w:r>
            <w:r w:rsidR="004942A7" w:rsidRPr="008F24AC">
              <w:rPr>
                <w:rFonts w:cs="Arial"/>
                <w:sz w:val="22"/>
              </w:rPr>
              <w:t>2014;</w:t>
            </w:r>
            <w:r w:rsidRPr="008F24AC">
              <w:rPr>
                <w:rFonts w:cs="Arial"/>
                <w:sz w:val="22"/>
              </w:rPr>
              <w:t>123</w:t>
            </w:r>
            <w:r w:rsidR="004942A7" w:rsidRPr="008F24AC">
              <w:rPr>
                <w:rFonts w:cs="Arial"/>
                <w:sz w:val="22"/>
              </w:rPr>
              <w:t>:288-94.</w:t>
            </w:r>
          </w:p>
        </w:tc>
      </w:tr>
      <w:tr w:rsidR="00476064" w:rsidRPr="008F24AC" w14:paraId="50414EDF" w14:textId="77777777" w:rsidTr="008F24AC">
        <w:tc>
          <w:tcPr>
            <w:tcW w:w="614" w:type="dxa"/>
            <w:noWrap/>
            <w:hideMark/>
          </w:tcPr>
          <w:p w14:paraId="22434E7C" w14:textId="77777777" w:rsidR="00476064" w:rsidRPr="008F24AC" w:rsidRDefault="00476064" w:rsidP="00D91D5B">
            <w:pPr>
              <w:pStyle w:val="TableTextLeft"/>
              <w:rPr>
                <w:rFonts w:cs="Arial"/>
                <w:sz w:val="22"/>
              </w:rPr>
            </w:pPr>
            <w:r w:rsidRPr="008F24AC">
              <w:rPr>
                <w:rFonts w:cs="Arial"/>
                <w:sz w:val="22"/>
              </w:rPr>
              <w:t>18</w:t>
            </w:r>
          </w:p>
        </w:tc>
        <w:tc>
          <w:tcPr>
            <w:tcW w:w="1649" w:type="dxa"/>
            <w:noWrap/>
            <w:hideMark/>
          </w:tcPr>
          <w:p w14:paraId="0B26A02D" w14:textId="77777777" w:rsidR="00476064" w:rsidRPr="008F24AC" w:rsidRDefault="00476064" w:rsidP="00D91D5B">
            <w:pPr>
              <w:pStyle w:val="TableTextLeft"/>
              <w:rPr>
                <w:rFonts w:cs="Arial"/>
                <w:sz w:val="22"/>
              </w:rPr>
            </w:pPr>
            <w:r w:rsidRPr="008F24AC">
              <w:rPr>
                <w:rFonts w:cs="Arial"/>
                <w:sz w:val="22"/>
              </w:rPr>
              <w:t>Lyer 2018</w:t>
            </w:r>
          </w:p>
        </w:tc>
        <w:tc>
          <w:tcPr>
            <w:tcW w:w="1418" w:type="dxa"/>
            <w:noWrap/>
            <w:hideMark/>
          </w:tcPr>
          <w:p w14:paraId="63DB8981" w14:textId="77777777" w:rsidR="00476064" w:rsidRPr="008F24AC" w:rsidRDefault="00476064" w:rsidP="00D91D5B">
            <w:pPr>
              <w:pStyle w:val="TableTextLeft"/>
              <w:rPr>
                <w:rFonts w:cs="Arial"/>
                <w:sz w:val="22"/>
              </w:rPr>
            </w:pPr>
            <w:r w:rsidRPr="008F24AC">
              <w:rPr>
                <w:rFonts w:cs="Arial"/>
                <w:sz w:val="22"/>
              </w:rPr>
              <w:t>USA</w:t>
            </w:r>
          </w:p>
        </w:tc>
        <w:tc>
          <w:tcPr>
            <w:tcW w:w="1701" w:type="dxa"/>
            <w:noWrap/>
            <w:hideMark/>
          </w:tcPr>
          <w:p w14:paraId="78370BAD" w14:textId="77777777" w:rsidR="00476064" w:rsidRPr="008F24AC" w:rsidRDefault="00476064" w:rsidP="00D91D5B">
            <w:pPr>
              <w:pStyle w:val="TableTextLeft"/>
              <w:rPr>
                <w:rFonts w:cs="Arial"/>
                <w:sz w:val="22"/>
              </w:rPr>
            </w:pPr>
            <w:r w:rsidRPr="008F24AC">
              <w:rPr>
                <w:rFonts w:cs="Arial"/>
                <w:sz w:val="22"/>
              </w:rPr>
              <w:t xml:space="preserve">Anterior </w:t>
            </w:r>
          </w:p>
        </w:tc>
        <w:tc>
          <w:tcPr>
            <w:tcW w:w="1417" w:type="dxa"/>
            <w:noWrap/>
            <w:hideMark/>
          </w:tcPr>
          <w:p w14:paraId="72C7E8AD"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7A36265C"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0A6A9ED2"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375B9A75" w14:textId="77777777" w:rsidR="00476064" w:rsidRPr="008F24AC" w:rsidRDefault="004942A7" w:rsidP="004942A7">
            <w:pPr>
              <w:pStyle w:val="TableTextLeft"/>
              <w:rPr>
                <w:rFonts w:cs="Arial"/>
                <w:sz w:val="22"/>
              </w:rPr>
            </w:pPr>
            <w:r w:rsidRPr="008F24AC">
              <w:rPr>
                <w:rFonts w:cs="Arial"/>
                <w:sz w:val="22"/>
              </w:rPr>
              <w:t>Iyer</w:t>
            </w:r>
            <w:r w:rsidR="00476064" w:rsidRPr="008F24AC">
              <w:rPr>
                <w:rFonts w:cs="Arial"/>
                <w:sz w:val="22"/>
              </w:rPr>
              <w:t xml:space="preserve"> S, Seitz</w:t>
            </w:r>
            <w:r w:rsidRPr="008F24AC">
              <w:rPr>
                <w:rFonts w:cs="Arial"/>
                <w:sz w:val="22"/>
              </w:rPr>
              <w:t xml:space="preserve"> M</w:t>
            </w:r>
            <w:r w:rsidR="00476064" w:rsidRPr="008F24AC">
              <w:rPr>
                <w:rFonts w:cs="Arial"/>
                <w:sz w:val="22"/>
              </w:rPr>
              <w:t>, Tran</w:t>
            </w:r>
            <w:r w:rsidRPr="008F24AC">
              <w:rPr>
                <w:rFonts w:cs="Arial"/>
                <w:sz w:val="22"/>
              </w:rPr>
              <w:t xml:space="preserve"> A</w:t>
            </w:r>
            <w:r w:rsidR="00476064" w:rsidRPr="008F24AC">
              <w:rPr>
                <w:rFonts w:cs="Arial"/>
                <w:sz w:val="22"/>
              </w:rPr>
              <w:t>, Scalabrin Reis R, Botros C, Lozo S</w:t>
            </w:r>
            <w:r w:rsidRPr="008F24AC">
              <w:rPr>
                <w:rFonts w:cs="Arial"/>
                <w:sz w:val="22"/>
              </w:rPr>
              <w:t>, et al.</w:t>
            </w:r>
            <w:r w:rsidR="00476064" w:rsidRPr="008F24AC">
              <w:rPr>
                <w:rFonts w:cs="Arial"/>
                <w:sz w:val="22"/>
              </w:rPr>
              <w:t xml:space="preserve"> Anterior Colporrhaphy With and Without Dermal Allograft: A Randomized Control Trial With </w:t>
            </w:r>
            <w:r w:rsidRPr="008F24AC">
              <w:rPr>
                <w:rFonts w:cs="Arial"/>
                <w:sz w:val="22"/>
              </w:rPr>
              <w:t>Long-Term Follow-Up.</w:t>
            </w:r>
            <w:r w:rsidR="00476064" w:rsidRPr="008F24AC">
              <w:rPr>
                <w:rFonts w:cs="Arial"/>
                <w:sz w:val="22"/>
              </w:rPr>
              <w:t xml:space="preserve"> </w:t>
            </w:r>
            <w:r w:rsidR="00476064" w:rsidRPr="008F24AC">
              <w:rPr>
                <w:rFonts w:cs="Arial"/>
                <w:i/>
                <w:sz w:val="22"/>
              </w:rPr>
              <w:t>Female Pelvic Medicine &amp; Reconstructive Surgery</w:t>
            </w:r>
            <w:r w:rsidR="004C0F86" w:rsidRPr="008F24AC">
              <w:rPr>
                <w:rFonts w:cs="Arial"/>
                <w:i/>
                <w:sz w:val="22"/>
              </w:rPr>
              <w:t xml:space="preserve"> </w:t>
            </w:r>
            <w:r w:rsidR="00476064" w:rsidRPr="008F24AC">
              <w:rPr>
                <w:rFonts w:cs="Arial"/>
                <w:i/>
                <w:sz w:val="22"/>
              </w:rPr>
              <w:t>Female pelvic med</w:t>
            </w:r>
            <w:r w:rsidRPr="008F24AC">
              <w:rPr>
                <w:rFonts w:cs="Arial"/>
                <w:sz w:val="22"/>
              </w:rPr>
              <w:t>. 2018.</w:t>
            </w:r>
          </w:p>
        </w:tc>
      </w:tr>
      <w:tr w:rsidR="00476064" w:rsidRPr="008F24AC" w14:paraId="26AA3131" w14:textId="77777777" w:rsidTr="008F24AC">
        <w:tc>
          <w:tcPr>
            <w:tcW w:w="614" w:type="dxa"/>
            <w:noWrap/>
            <w:hideMark/>
          </w:tcPr>
          <w:p w14:paraId="747BAF14" w14:textId="77777777" w:rsidR="00476064" w:rsidRPr="008F24AC" w:rsidRDefault="00476064" w:rsidP="00D91D5B">
            <w:pPr>
              <w:pStyle w:val="TableTextLeft"/>
              <w:rPr>
                <w:rFonts w:cs="Arial"/>
                <w:sz w:val="22"/>
              </w:rPr>
            </w:pPr>
            <w:r w:rsidRPr="008F24AC">
              <w:rPr>
                <w:rFonts w:cs="Arial"/>
                <w:sz w:val="22"/>
              </w:rPr>
              <w:lastRenderedPageBreak/>
              <w:t>19</w:t>
            </w:r>
          </w:p>
        </w:tc>
        <w:tc>
          <w:tcPr>
            <w:tcW w:w="1649" w:type="dxa"/>
            <w:noWrap/>
            <w:hideMark/>
          </w:tcPr>
          <w:p w14:paraId="47F88BF3" w14:textId="77777777" w:rsidR="00476064" w:rsidRPr="008F24AC" w:rsidRDefault="00476064" w:rsidP="00D91D5B">
            <w:pPr>
              <w:pStyle w:val="TableTextLeft"/>
              <w:rPr>
                <w:rFonts w:cs="Arial"/>
                <w:sz w:val="22"/>
              </w:rPr>
            </w:pPr>
            <w:r w:rsidRPr="008F24AC">
              <w:rPr>
                <w:rFonts w:cs="Arial"/>
                <w:sz w:val="22"/>
              </w:rPr>
              <w:t>Rudnicki 2014</w:t>
            </w:r>
          </w:p>
        </w:tc>
        <w:tc>
          <w:tcPr>
            <w:tcW w:w="1418" w:type="dxa"/>
            <w:noWrap/>
            <w:hideMark/>
          </w:tcPr>
          <w:p w14:paraId="251DC285" w14:textId="77777777" w:rsidR="00476064" w:rsidRPr="008F24AC" w:rsidRDefault="00476064" w:rsidP="00D91D5B">
            <w:pPr>
              <w:pStyle w:val="TableTextLeft"/>
              <w:rPr>
                <w:rFonts w:cs="Arial"/>
                <w:sz w:val="22"/>
              </w:rPr>
            </w:pPr>
            <w:r w:rsidRPr="008F24AC">
              <w:rPr>
                <w:rFonts w:cs="Arial"/>
                <w:sz w:val="22"/>
              </w:rPr>
              <w:t>Denmark</w:t>
            </w:r>
          </w:p>
        </w:tc>
        <w:tc>
          <w:tcPr>
            <w:tcW w:w="1701" w:type="dxa"/>
            <w:noWrap/>
            <w:hideMark/>
          </w:tcPr>
          <w:p w14:paraId="01BC289C"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2A6E964E"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6F88F990" w14:textId="77777777" w:rsidR="00476064" w:rsidRPr="008F24AC" w:rsidRDefault="00476064" w:rsidP="00D91D5B">
            <w:pPr>
              <w:pStyle w:val="TableTextLeft"/>
              <w:rPr>
                <w:rFonts w:cs="Arial"/>
                <w:sz w:val="22"/>
              </w:rPr>
            </w:pPr>
            <w:r w:rsidRPr="008F24AC">
              <w:rPr>
                <w:rFonts w:cs="Arial"/>
                <w:sz w:val="22"/>
              </w:rPr>
              <w:t>All primary</w:t>
            </w:r>
          </w:p>
        </w:tc>
        <w:tc>
          <w:tcPr>
            <w:tcW w:w="1276" w:type="dxa"/>
            <w:noWrap/>
            <w:hideMark/>
          </w:tcPr>
          <w:p w14:paraId="74DB083D" w14:textId="77777777" w:rsidR="00476064" w:rsidRPr="008F24AC" w:rsidRDefault="00476064" w:rsidP="00D91D5B">
            <w:pPr>
              <w:pStyle w:val="TableTextLeft"/>
              <w:rPr>
                <w:rFonts w:cs="Arial"/>
                <w:sz w:val="22"/>
              </w:rPr>
            </w:pPr>
            <w:r w:rsidRPr="008F24AC">
              <w:rPr>
                <w:rFonts w:cs="Arial"/>
                <w:sz w:val="22"/>
              </w:rPr>
              <w:t>No additional</w:t>
            </w:r>
          </w:p>
        </w:tc>
        <w:tc>
          <w:tcPr>
            <w:tcW w:w="4111" w:type="dxa"/>
          </w:tcPr>
          <w:p w14:paraId="11D800FA" w14:textId="77777777" w:rsidR="00476064" w:rsidRPr="008F24AC" w:rsidRDefault="00476064" w:rsidP="004942A7">
            <w:pPr>
              <w:pStyle w:val="TableTextLeft"/>
              <w:rPr>
                <w:rFonts w:cs="Arial"/>
                <w:sz w:val="22"/>
              </w:rPr>
            </w:pPr>
            <w:r w:rsidRPr="008F24AC">
              <w:rPr>
                <w:rFonts w:cs="Arial"/>
                <w:sz w:val="22"/>
              </w:rPr>
              <w:t>Rudnicki M, Laurikainen E, Pogosean R</w:t>
            </w:r>
            <w:r w:rsidR="004942A7" w:rsidRPr="008F24AC">
              <w:rPr>
                <w:rFonts w:cs="Arial"/>
                <w:sz w:val="22"/>
              </w:rPr>
              <w:t>, Kinne</w:t>
            </w:r>
            <w:r w:rsidRPr="008F24AC">
              <w:rPr>
                <w:rFonts w:cs="Arial"/>
                <w:sz w:val="22"/>
              </w:rPr>
              <w:t xml:space="preserve"> I</w:t>
            </w:r>
            <w:r w:rsidR="004942A7" w:rsidRPr="008F24AC">
              <w:rPr>
                <w:rFonts w:cs="Arial"/>
                <w:sz w:val="22"/>
              </w:rPr>
              <w:t>, Jakobsson</w:t>
            </w:r>
            <w:r w:rsidRPr="008F24AC">
              <w:rPr>
                <w:rFonts w:cs="Arial"/>
                <w:sz w:val="22"/>
              </w:rPr>
              <w:t xml:space="preserve"> U, Teleman P</w:t>
            </w:r>
            <w:r w:rsidR="004942A7" w:rsidRPr="008F24AC">
              <w:rPr>
                <w:rFonts w:cs="Arial"/>
                <w:sz w:val="22"/>
              </w:rPr>
              <w:t>.</w:t>
            </w:r>
            <w:r w:rsidRPr="008F24AC">
              <w:rPr>
                <w:rFonts w:cs="Arial"/>
                <w:sz w:val="22"/>
              </w:rPr>
              <w:t xml:space="preserve"> Anterior colporrhaphy compared with collagen-coated transvaginal mesh for anterior vaginal wall prolapse: a randomised controlled trial</w:t>
            </w:r>
            <w:r w:rsidR="004942A7" w:rsidRPr="008F24AC">
              <w:rPr>
                <w:rFonts w:cs="Arial"/>
                <w:sz w:val="22"/>
              </w:rPr>
              <w:t>.</w:t>
            </w:r>
            <w:r w:rsidRPr="008F24AC">
              <w:rPr>
                <w:rFonts w:cs="Arial"/>
                <w:sz w:val="22"/>
              </w:rPr>
              <w:t xml:space="preserve"> </w:t>
            </w:r>
            <w:r w:rsidRPr="008F24AC">
              <w:rPr>
                <w:rFonts w:cs="Arial"/>
                <w:i/>
                <w:sz w:val="22"/>
              </w:rPr>
              <w:t>BJOG: An International Journal of Obstetrics &amp; Gynaecology</w:t>
            </w:r>
            <w:r w:rsidR="004942A7" w:rsidRPr="008F24AC">
              <w:rPr>
                <w:rFonts w:cs="Arial"/>
                <w:i/>
                <w:sz w:val="22"/>
              </w:rPr>
              <w:t>.</w:t>
            </w:r>
            <w:r w:rsidRPr="008F24AC">
              <w:rPr>
                <w:rFonts w:cs="Arial"/>
                <w:sz w:val="22"/>
              </w:rPr>
              <w:t xml:space="preserve"> </w:t>
            </w:r>
            <w:r w:rsidR="004942A7" w:rsidRPr="008F24AC">
              <w:rPr>
                <w:rFonts w:cs="Arial"/>
                <w:sz w:val="22"/>
              </w:rPr>
              <w:t>2014;</w:t>
            </w:r>
            <w:r w:rsidRPr="008F24AC">
              <w:rPr>
                <w:rFonts w:cs="Arial"/>
                <w:sz w:val="22"/>
              </w:rPr>
              <w:t>121</w:t>
            </w:r>
            <w:r w:rsidR="004942A7" w:rsidRPr="008F24AC">
              <w:rPr>
                <w:rFonts w:cs="Arial"/>
                <w:sz w:val="22"/>
              </w:rPr>
              <w:t>:102-10.</w:t>
            </w:r>
          </w:p>
        </w:tc>
      </w:tr>
      <w:tr w:rsidR="00476064" w:rsidRPr="008F24AC" w14:paraId="71939785" w14:textId="77777777" w:rsidTr="008F24AC">
        <w:tc>
          <w:tcPr>
            <w:tcW w:w="614" w:type="dxa"/>
            <w:noWrap/>
            <w:hideMark/>
          </w:tcPr>
          <w:p w14:paraId="6A2DEB62" w14:textId="77777777" w:rsidR="00476064" w:rsidRPr="008F24AC" w:rsidRDefault="00476064" w:rsidP="00D91D5B">
            <w:pPr>
              <w:pStyle w:val="TableTextLeft"/>
              <w:rPr>
                <w:rFonts w:cs="Arial"/>
                <w:sz w:val="22"/>
              </w:rPr>
            </w:pPr>
            <w:r w:rsidRPr="008F24AC">
              <w:rPr>
                <w:rFonts w:cs="Arial"/>
                <w:sz w:val="22"/>
              </w:rPr>
              <w:t>20</w:t>
            </w:r>
          </w:p>
        </w:tc>
        <w:tc>
          <w:tcPr>
            <w:tcW w:w="1649" w:type="dxa"/>
            <w:noWrap/>
            <w:hideMark/>
          </w:tcPr>
          <w:p w14:paraId="7EABEC7C" w14:textId="77777777" w:rsidR="00476064" w:rsidRPr="008F24AC" w:rsidRDefault="00476064" w:rsidP="00D91D5B">
            <w:pPr>
              <w:pStyle w:val="TableTextLeft"/>
              <w:rPr>
                <w:rFonts w:cs="Arial"/>
                <w:sz w:val="22"/>
              </w:rPr>
            </w:pPr>
            <w:r w:rsidRPr="008F24AC">
              <w:rPr>
                <w:rFonts w:cs="Arial"/>
                <w:sz w:val="22"/>
              </w:rPr>
              <w:t>deTayrac 2013</w:t>
            </w:r>
          </w:p>
        </w:tc>
        <w:tc>
          <w:tcPr>
            <w:tcW w:w="1418" w:type="dxa"/>
            <w:noWrap/>
            <w:hideMark/>
          </w:tcPr>
          <w:p w14:paraId="249C41BE" w14:textId="77777777" w:rsidR="00476064" w:rsidRPr="008F24AC" w:rsidRDefault="00476064" w:rsidP="00D91D5B">
            <w:pPr>
              <w:pStyle w:val="TableTextLeft"/>
              <w:rPr>
                <w:rFonts w:cs="Arial"/>
                <w:sz w:val="22"/>
              </w:rPr>
            </w:pPr>
            <w:r w:rsidRPr="008F24AC">
              <w:rPr>
                <w:rFonts w:cs="Arial"/>
                <w:sz w:val="22"/>
              </w:rPr>
              <w:t>France</w:t>
            </w:r>
          </w:p>
        </w:tc>
        <w:tc>
          <w:tcPr>
            <w:tcW w:w="1701" w:type="dxa"/>
            <w:noWrap/>
            <w:hideMark/>
          </w:tcPr>
          <w:p w14:paraId="1992D0B2"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305CF8C2"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79BFF7E0"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54953E91"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7C8E139E" w14:textId="77777777" w:rsidR="00476064" w:rsidRPr="008F24AC" w:rsidRDefault="004942A7" w:rsidP="004942A7">
            <w:pPr>
              <w:pStyle w:val="TableTextLeft"/>
              <w:rPr>
                <w:rFonts w:cs="Arial"/>
                <w:sz w:val="22"/>
              </w:rPr>
            </w:pPr>
            <w:r w:rsidRPr="008F24AC">
              <w:rPr>
                <w:rFonts w:cs="Arial"/>
                <w:sz w:val="22"/>
              </w:rPr>
              <w:t>de Tayrac</w:t>
            </w:r>
            <w:r w:rsidR="00476064" w:rsidRPr="008F24AC">
              <w:rPr>
                <w:rFonts w:cs="Arial"/>
                <w:sz w:val="22"/>
              </w:rPr>
              <w:t xml:space="preserve"> R, Cornille A, Eglin G, Guilbaud O, Mansoor A, Alonso S,</w:t>
            </w:r>
            <w:r w:rsidRPr="008F24AC">
              <w:rPr>
                <w:rFonts w:cs="Arial"/>
                <w:sz w:val="22"/>
              </w:rPr>
              <w:t xml:space="preserve"> et al.</w:t>
            </w:r>
            <w:r w:rsidR="00476064" w:rsidRPr="008F24AC">
              <w:rPr>
                <w:rFonts w:cs="Arial"/>
                <w:sz w:val="22"/>
              </w:rPr>
              <w:t xml:space="preserve"> Comparison between trans-obturator trans-vaginal mesh and traditional anterior colporrhaphy in the treatment of anterior vaginal wall pr</w:t>
            </w:r>
            <w:r w:rsidRPr="008F24AC">
              <w:rPr>
                <w:rFonts w:cs="Arial"/>
                <w:sz w:val="22"/>
              </w:rPr>
              <w:t>olapse: results of a French RCT.</w:t>
            </w:r>
            <w:r w:rsidR="00476064" w:rsidRPr="008F24AC">
              <w:rPr>
                <w:rFonts w:cs="Arial"/>
                <w:sz w:val="22"/>
              </w:rPr>
              <w:t xml:space="preserve"> </w:t>
            </w:r>
            <w:r w:rsidR="00476064" w:rsidRPr="008F24AC">
              <w:rPr>
                <w:rFonts w:cs="Arial"/>
                <w:i/>
                <w:sz w:val="22"/>
              </w:rPr>
              <w:t>International Urogynecology Journal</w:t>
            </w:r>
            <w:r w:rsidRPr="008F24AC">
              <w:rPr>
                <w:rFonts w:cs="Arial"/>
                <w:sz w:val="22"/>
              </w:rPr>
              <w:t>.</w:t>
            </w:r>
            <w:r w:rsidR="00476064" w:rsidRPr="008F24AC">
              <w:rPr>
                <w:rFonts w:cs="Arial"/>
                <w:sz w:val="22"/>
              </w:rPr>
              <w:t xml:space="preserve"> </w:t>
            </w:r>
            <w:r w:rsidRPr="008F24AC">
              <w:rPr>
                <w:rFonts w:cs="Arial"/>
                <w:sz w:val="22"/>
              </w:rPr>
              <w:t>2013;</w:t>
            </w:r>
            <w:r w:rsidR="00476064" w:rsidRPr="008F24AC">
              <w:rPr>
                <w:rFonts w:cs="Arial"/>
                <w:sz w:val="22"/>
              </w:rPr>
              <w:t>24</w:t>
            </w:r>
            <w:r w:rsidRPr="008F24AC">
              <w:rPr>
                <w:rFonts w:cs="Arial"/>
                <w:sz w:val="22"/>
              </w:rPr>
              <w:t>:</w:t>
            </w:r>
            <w:r w:rsidR="00476064" w:rsidRPr="008F24AC">
              <w:rPr>
                <w:rFonts w:cs="Arial"/>
                <w:sz w:val="22"/>
              </w:rPr>
              <w:t>1651-61</w:t>
            </w:r>
            <w:r w:rsidRPr="008F24AC">
              <w:rPr>
                <w:rFonts w:cs="Arial"/>
                <w:sz w:val="22"/>
              </w:rPr>
              <w:t>.</w:t>
            </w:r>
          </w:p>
        </w:tc>
      </w:tr>
      <w:tr w:rsidR="00476064" w:rsidRPr="008F24AC" w14:paraId="1440CF3D" w14:textId="77777777" w:rsidTr="008F24AC">
        <w:tc>
          <w:tcPr>
            <w:tcW w:w="614" w:type="dxa"/>
            <w:noWrap/>
            <w:hideMark/>
          </w:tcPr>
          <w:p w14:paraId="4628C4B9" w14:textId="77777777" w:rsidR="00476064" w:rsidRPr="008F24AC" w:rsidRDefault="00476064" w:rsidP="00D91D5B">
            <w:pPr>
              <w:pStyle w:val="TableTextLeft"/>
              <w:rPr>
                <w:rFonts w:cs="Arial"/>
                <w:sz w:val="22"/>
              </w:rPr>
            </w:pPr>
            <w:r w:rsidRPr="008F24AC">
              <w:rPr>
                <w:rFonts w:cs="Arial"/>
                <w:sz w:val="22"/>
              </w:rPr>
              <w:t>21</w:t>
            </w:r>
          </w:p>
        </w:tc>
        <w:tc>
          <w:tcPr>
            <w:tcW w:w="1649" w:type="dxa"/>
            <w:noWrap/>
            <w:hideMark/>
          </w:tcPr>
          <w:p w14:paraId="250FCD58" w14:textId="77777777" w:rsidR="00476064" w:rsidRPr="008F24AC" w:rsidRDefault="00476064" w:rsidP="00D91D5B">
            <w:pPr>
              <w:pStyle w:val="TableTextLeft"/>
              <w:rPr>
                <w:rFonts w:cs="Arial"/>
                <w:sz w:val="22"/>
              </w:rPr>
            </w:pPr>
            <w:r w:rsidRPr="008F24AC">
              <w:rPr>
                <w:rFonts w:cs="Arial"/>
                <w:sz w:val="22"/>
              </w:rPr>
              <w:t>Weber 2001</w:t>
            </w:r>
          </w:p>
        </w:tc>
        <w:tc>
          <w:tcPr>
            <w:tcW w:w="1418" w:type="dxa"/>
            <w:noWrap/>
            <w:hideMark/>
          </w:tcPr>
          <w:p w14:paraId="6A455E2A" w14:textId="77777777" w:rsidR="00476064" w:rsidRPr="008F24AC" w:rsidRDefault="00476064" w:rsidP="00D91D5B">
            <w:pPr>
              <w:pStyle w:val="TableTextLeft"/>
              <w:rPr>
                <w:rFonts w:cs="Arial"/>
                <w:sz w:val="22"/>
              </w:rPr>
            </w:pPr>
            <w:r w:rsidRPr="008F24AC">
              <w:rPr>
                <w:rFonts w:cs="Arial"/>
                <w:sz w:val="22"/>
              </w:rPr>
              <w:t>USA</w:t>
            </w:r>
          </w:p>
        </w:tc>
        <w:tc>
          <w:tcPr>
            <w:tcW w:w="1701" w:type="dxa"/>
            <w:noWrap/>
            <w:hideMark/>
          </w:tcPr>
          <w:p w14:paraId="023A701E"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16EBCFDF" w14:textId="77777777" w:rsidR="00476064" w:rsidRPr="008F24AC" w:rsidRDefault="00476064" w:rsidP="00D91D5B">
            <w:pPr>
              <w:pStyle w:val="TableTextLeft"/>
              <w:rPr>
                <w:rFonts w:cs="Arial"/>
                <w:sz w:val="22"/>
              </w:rPr>
            </w:pPr>
            <w:r w:rsidRPr="008F24AC">
              <w:rPr>
                <w:rFonts w:cs="Arial"/>
                <w:sz w:val="22"/>
              </w:rPr>
              <w:t>1 to 4 (majority 2 or more)</w:t>
            </w:r>
          </w:p>
        </w:tc>
        <w:tc>
          <w:tcPr>
            <w:tcW w:w="1701" w:type="dxa"/>
            <w:noWrap/>
            <w:hideMark/>
          </w:tcPr>
          <w:p w14:paraId="6F924E7D"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5ADA1642"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7B94BDC3" w14:textId="77777777" w:rsidR="00476064" w:rsidRPr="008F24AC" w:rsidRDefault="00476064" w:rsidP="004942A7">
            <w:pPr>
              <w:pStyle w:val="TableTextLeft"/>
              <w:rPr>
                <w:rFonts w:cs="Arial"/>
                <w:sz w:val="22"/>
              </w:rPr>
            </w:pPr>
            <w:r w:rsidRPr="008F24AC">
              <w:rPr>
                <w:rFonts w:cs="Arial"/>
                <w:sz w:val="22"/>
              </w:rPr>
              <w:t>Weber AM, Walters MD, Piedmonte MR, Ballard LA</w:t>
            </w:r>
            <w:r w:rsidR="004942A7" w:rsidRPr="008F24AC">
              <w:rPr>
                <w:rFonts w:cs="Arial"/>
                <w:sz w:val="22"/>
              </w:rPr>
              <w:t>.</w:t>
            </w:r>
            <w:r w:rsidRPr="008F24AC">
              <w:rPr>
                <w:rFonts w:cs="Arial"/>
                <w:sz w:val="22"/>
              </w:rPr>
              <w:t xml:space="preserve"> Anterior colporrhaphy: a randomized trial of three surgical techniques, </w:t>
            </w:r>
            <w:r w:rsidRPr="008F24AC">
              <w:rPr>
                <w:rFonts w:cs="Arial"/>
                <w:i/>
                <w:sz w:val="22"/>
              </w:rPr>
              <w:t>American Journal of Obstetrics &amp; Gynecology</w:t>
            </w:r>
            <w:r w:rsidR="004942A7" w:rsidRPr="008F24AC">
              <w:rPr>
                <w:rFonts w:cs="Arial"/>
                <w:sz w:val="22"/>
              </w:rPr>
              <w:t>. 2001;</w:t>
            </w:r>
            <w:r w:rsidRPr="008F24AC">
              <w:rPr>
                <w:rFonts w:cs="Arial"/>
                <w:sz w:val="22"/>
              </w:rPr>
              <w:t>185</w:t>
            </w:r>
            <w:r w:rsidR="004942A7" w:rsidRPr="008F24AC">
              <w:rPr>
                <w:rFonts w:cs="Arial"/>
                <w:sz w:val="22"/>
              </w:rPr>
              <w:t>:</w:t>
            </w:r>
            <w:r w:rsidRPr="008F24AC">
              <w:rPr>
                <w:rFonts w:cs="Arial"/>
                <w:sz w:val="22"/>
              </w:rPr>
              <w:t xml:space="preserve"> 1299-304</w:t>
            </w:r>
            <w:r w:rsidR="004942A7" w:rsidRPr="008F24AC">
              <w:rPr>
                <w:rFonts w:cs="Arial"/>
                <w:sz w:val="22"/>
              </w:rPr>
              <w:t>.</w:t>
            </w:r>
          </w:p>
        </w:tc>
      </w:tr>
      <w:tr w:rsidR="00476064" w:rsidRPr="008F24AC" w14:paraId="15BEEEF9" w14:textId="77777777" w:rsidTr="008F24AC">
        <w:tc>
          <w:tcPr>
            <w:tcW w:w="614" w:type="dxa"/>
            <w:noWrap/>
            <w:hideMark/>
          </w:tcPr>
          <w:p w14:paraId="155B1222" w14:textId="77777777" w:rsidR="00476064" w:rsidRPr="008F24AC" w:rsidRDefault="00476064" w:rsidP="00D91D5B">
            <w:pPr>
              <w:pStyle w:val="TableTextLeft"/>
              <w:rPr>
                <w:rFonts w:cs="Arial"/>
                <w:sz w:val="22"/>
              </w:rPr>
            </w:pPr>
            <w:r w:rsidRPr="008F24AC">
              <w:rPr>
                <w:rFonts w:cs="Arial"/>
                <w:sz w:val="22"/>
              </w:rPr>
              <w:t>22</w:t>
            </w:r>
          </w:p>
        </w:tc>
        <w:tc>
          <w:tcPr>
            <w:tcW w:w="1649" w:type="dxa"/>
            <w:noWrap/>
            <w:hideMark/>
          </w:tcPr>
          <w:p w14:paraId="61D353F4" w14:textId="77777777" w:rsidR="00476064" w:rsidRPr="008F24AC" w:rsidRDefault="00476064" w:rsidP="00D91D5B">
            <w:pPr>
              <w:pStyle w:val="TableTextLeft"/>
              <w:rPr>
                <w:rFonts w:cs="Arial"/>
                <w:sz w:val="22"/>
              </w:rPr>
            </w:pPr>
            <w:r w:rsidRPr="008F24AC">
              <w:rPr>
                <w:rFonts w:cs="Arial"/>
                <w:sz w:val="22"/>
              </w:rPr>
              <w:t>Menefee 2011</w:t>
            </w:r>
          </w:p>
        </w:tc>
        <w:tc>
          <w:tcPr>
            <w:tcW w:w="1418" w:type="dxa"/>
            <w:noWrap/>
            <w:hideMark/>
          </w:tcPr>
          <w:p w14:paraId="03489AED" w14:textId="77777777" w:rsidR="00476064" w:rsidRPr="008F24AC" w:rsidRDefault="00476064" w:rsidP="00D91D5B">
            <w:pPr>
              <w:pStyle w:val="TableTextLeft"/>
              <w:rPr>
                <w:rFonts w:cs="Arial"/>
                <w:sz w:val="22"/>
              </w:rPr>
            </w:pPr>
            <w:r w:rsidRPr="008F24AC">
              <w:rPr>
                <w:rFonts w:cs="Arial"/>
                <w:sz w:val="22"/>
              </w:rPr>
              <w:t>USA</w:t>
            </w:r>
          </w:p>
        </w:tc>
        <w:tc>
          <w:tcPr>
            <w:tcW w:w="1701" w:type="dxa"/>
            <w:noWrap/>
            <w:hideMark/>
          </w:tcPr>
          <w:p w14:paraId="136C1D10"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35A3B3AD"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6430BB8D"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3C9809E8"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2FC0E286" w14:textId="77777777" w:rsidR="00476064" w:rsidRPr="008F24AC" w:rsidRDefault="00476064" w:rsidP="00D23255">
            <w:pPr>
              <w:pStyle w:val="TableTextLeft"/>
              <w:rPr>
                <w:rFonts w:cs="Arial"/>
                <w:sz w:val="22"/>
              </w:rPr>
            </w:pPr>
            <w:r w:rsidRPr="008F24AC">
              <w:rPr>
                <w:rFonts w:cs="Arial"/>
                <w:sz w:val="22"/>
              </w:rPr>
              <w:t>Menefee SA, Dyer KY, Lukacz ES, Simsiman AJ, Luber KM</w:t>
            </w:r>
            <w:r w:rsidR="004942A7" w:rsidRPr="008F24AC">
              <w:rPr>
                <w:rFonts w:cs="Arial"/>
                <w:sz w:val="22"/>
              </w:rPr>
              <w:t>,</w:t>
            </w:r>
            <w:r w:rsidRPr="008F24AC">
              <w:rPr>
                <w:rFonts w:cs="Arial"/>
                <w:sz w:val="22"/>
              </w:rPr>
              <w:t xml:space="preserve"> Nguyen JN.</w:t>
            </w:r>
            <w:r w:rsidR="004942A7" w:rsidRPr="008F24AC">
              <w:rPr>
                <w:rFonts w:cs="Arial"/>
                <w:sz w:val="22"/>
              </w:rPr>
              <w:t xml:space="preserve"> </w:t>
            </w:r>
            <w:r w:rsidRPr="008F24AC">
              <w:rPr>
                <w:rFonts w:cs="Arial"/>
                <w:sz w:val="22"/>
              </w:rPr>
              <w:t>Colporrhaphy compared with mesh or graft-reinforced vaginal paravaginal repair for anterior vaginal wall prolapse: a randomized controlled trial</w:t>
            </w:r>
            <w:r w:rsidR="00D23255" w:rsidRPr="008F24AC">
              <w:rPr>
                <w:rFonts w:cs="Arial"/>
                <w:sz w:val="22"/>
              </w:rPr>
              <w:t>.</w:t>
            </w:r>
            <w:r w:rsidRPr="008F24AC">
              <w:rPr>
                <w:rFonts w:cs="Arial"/>
                <w:sz w:val="22"/>
              </w:rPr>
              <w:t xml:space="preserve"> </w:t>
            </w:r>
            <w:r w:rsidRPr="008F24AC">
              <w:rPr>
                <w:rFonts w:cs="Arial"/>
                <w:i/>
                <w:sz w:val="22"/>
              </w:rPr>
              <w:t>Obstetrics &amp; Gynecology</w:t>
            </w:r>
            <w:r w:rsidR="00D23255" w:rsidRPr="008F24AC">
              <w:rPr>
                <w:rFonts w:cs="Arial"/>
                <w:i/>
                <w:sz w:val="22"/>
              </w:rPr>
              <w:t>.</w:t>
            </w:r>
            <w:r w:rsidRPr="008F24AC">
              <w:rPr>
                <w:rFonts w:cs="Arial"/>
                <w:sz w:val="22"/>
              </w:rPr>
              <w:t xml:space="preserve"> </w:t>
            </w:r>
            <w:r w:rsidR="00D23255" w:rsidRPr="008F24AC">
              <w:rPr>
                <w:rFonts w:cs="Arial"/>
                <w:sz w:val="22"/>
              </w:rPr>
              <w:t>2011;</w:t>
            </w:r>
            <w:r w:rsidRPr="008F24AC">
              <w:rPr>
                <w:rFonts w:cs="Arial"/>
                <w:sz w:val="22"/>
              </w:rPr>
              <w:t>118</w:t>
            </w:r>
            <w:r w:rsidR="00D23255" w:rsidRPr="008F24AC">
              <w:rPr>
                <w:rFonts w:cs="Arial"/>
                <w:sz w:val="22"/>
              </w:rPr>
              <w:t>:</w:t>
            </w:r>
            <w:r w:rsidRPr="008F24AC">
              <w:rPr>
                <w:rFonts w:cs="Arial"/>
                <w:sz w:val="22"/>
              </w:rPr>
              <w:t>1337-44</w:t>
            </w:r>
            <w:r w:rsidR="00D23255" w:rsidRPr="008F24AC">
              <w:rPr>
                <w:rFonts w:cs="Arial"/>
                <w:sz w:val="22"/>
              </w:rPr>
              <w:t>.</w:t>
            </w:r>
          </w:p>
        </w:tc>
      </w:tr>
      <w:tr w:rsidR="00476064" w:rsidRPr="008F24AC" w14:paraId="470C1D86" w14:textId="77777777" w:rsidTr="008F24AC">
        <w:tc>
          <w:tcPr>
            <w:tcW w:w="614" w:type="dxa"/>
            <w:noWrap/>
            <w:hideMark/>
          </w:tcPr>
          <w:p w14:paraId="58E27416" w14:textId="77777777" w:rsidR="00476064" w:rsidRPr="008F24AC" w:rsidRDefault="00476064" w:rsidP="00D91D5B">
            <w:pPr>
              <w:pStyle w:val="TableTextLeft"/>
              <w:rPr>
                <w:rFonts w:cs="Arial"/>
                <w:sz w:val="22"/>
              </w:rPr>
            </w:pPr>
            <w:r w:rsidRPr="008F24AC">
              <w:rPr>
                <w:rFonts w:cs="Arial"/>
                <w:sz w:val="22"/>
              </w:rPr>
              <w:t>23</w:t>
            </w:r>
          </w:p>
        </w:tc>
        <w:tc>
          <w:tcPr>
            <w:tcW w:w="1649" w:type="dxa"/>
            <w:noWrap/>
            <w:hideMark/>
          </w:tcPr>
          <w:p w14:paraId="028C6196" w14:textId="77777777" w:rsidR="00476064" w:rsidRPr="008F24AC" w:rsidRDefault="00476064" w:rsidP="00D91D5B">
            <w:pPr>
              <w:pStyle w:val="TableTextLeft"/>
              <w:rPr>
                <w:rFonts w:cs="Arial"/>
                <w:sz w:val="22"/>
              </w:rPr>
            </w:pPr>
            <w:r w:rsidRPr="008F24AC">
              <w:rPr>
                <w:rFonts w:cs="Arial"/>
                <w:sz w:val="22"/>
              </w:rPr>
              <w:t>Yuk 2012</w:t>
            </w:r>
          </w:p>
        </w:tc>
        <w:tc>
          <w:tcPr>
            <w:tcW w:w="1418" w:type="dxa"/>
            <w:noWrap/>
            <w:hideMark/>
          </w:tcPr>
          <w:p w14:paraId="5E88790E" w14:textId="77777777" w:rsidR="00476064" w:rsidRPr="008F24AC" w:rsidRDefault="00476064" w:rsidP="00D91D5B">
            <w:pPr>
              <w:pStyle w:val="TableTextLeft"/>
              <w:rPr>
                <w:rFonts w:cs="Arial"/>
                <w:sz w:val="22"/>
              </w:rPr>
            </w:pPr>
            <w:r w:rsidRPr="008F24AC">
              <w:rPr>
                <w:rFonts w:cs="Arial"/>
                <w:sz w:val="22"/>
              </w:rPr>
              <w:t>South Korea</w:t>
            </w:r>
          </w:p>
        </w:tc>
        <w:tc>
          <w:tcPr>
            <w:tcW w:w="1701" w:type="dxa"/>
            <w:noWrap/>
            <w:hideMark/>
          </w:tcPr>
          <w:p w14:paraId="3498E575"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68A77C0A"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7C4E70DC" w14:textId="77777777" w:rsidR="00476064" w:rsidRPr="008F24AC" w:rsidRDefault="00476064" w:rsidP="00D91D5B">
            <w:pPr>
              <w:pStyle w:val="TableTextLeft"/>
              <w:rPr>
                <w:rFonts w:cs="Arial"/>
                <w:sz w:val="22"/>
              </w:rPr>
            </w:pPr>
            <w:r w:rsidRPr="008F24AC">
              <w:rPr>
                <w:rFonts w:cs="Arial"/>
                <w:sz w:val="22"/>
              </w:rPr>
              <w:t>Unclear</w:t>
            </w:r>
          </w:p>
        </w:tc>
        <w:tc>
          <w:tcPr>
            <w:tcW w:w="1276" w:type="dxa"/>
            <w:noWrap/>
            <w:hideMark/>
          </w:tcPr>
          <w:p w14:paraId="684C90F8"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5C626D68" w14:textId="77777777" w:rsidR="00476064" w:rsidRPr="008F24AC" w:rsidRDefault="00476064" w:rsidP="00D23255">
            <w:pPr>
              <w:pStyle w:val="TableTextLeft"/>
              <w:rPr>
                <w:rFonts w:cs="Arial"/>
                <w:sz w:val="22"/>
              </w:rPr>
            </w:pPr>
            <w:r w:rsidRPr="008F24AC">
              <w:rPr>
                <w:rFonts w:cs="Arial"/>
                <w:sz w:val="22"/>
              </w:rPr>
              <w:t>Yuk</w:t>
            </w:r>
            <w:r w:rsidR="004942A7" w:rsidRPr="008F24AC">
              <w:rPr>
                <w:rFonts w:cs="Arial"/>
                <w:sz w:val="22"/>
              </w:rPr>
              <w:t xml:space="preserve"> </w:t>
            </w:r>
            <w:r w:rsidRPr="008F24AC">
              <w:rPr>
                <w:rFonts w:cs="Arial"/>
                <w:sz w:val="22"/>
              </w:rPr>
              <w:t>JS, Jin</w:t>
            </w:r>
            <w:r w:rsidR="004942A7" w:rsidRPr="008F24AC">
              <w:rPr>
                <w:rFonts w:cs="Arial"/>
                <w:sz w:val="22"/>
              </w:rPr>
              <w:t xml:space="preserve"> </w:t>
            </w:r>
            <w:r w:rsidRPr="008F24AC">
              <w:rPr>
                <w:rFonts w:cs="Arial"/>
                <w:sz w:val="22"/>
              </w:rPr>
              <w:t>CH, Yi</w:t>
            </w:r>
            <w:r w:rsidR="004942A7" w:rsidRPr="008F24AC">
              <w:rPr>
                <w:rFonts w:cs="Arial"/>
                <w:sz w:val="22"/>
              </w:rPr>
              <w:t xml:space="preserve"> </w:t>
            </w:r>
            <w:r w:rsidRPr="008F24AC">
              <w:rPr>
                <w:rFonts w:cs="Arial"/>
                <w:sz w:val="22"/>
              </w:rPr>
              <w:t>KW, Kim</w:t>
            </w:r>
            <w:r w:rsidR="004942A7" w:rsidRPr="008F24AC">
              <w:rPr>
                <w:rFonts w:cs="Arial"/>
                <w:sz w:val="22"/>
              </w:rPr>
              <w:t xml:space="preserve"> </w:t>
            </w:r>
            <w:r w:rsidRPr="008F24AC">
              <w:rPr>
                <w:rFonts w:cs="Arial"/>
                <w:sz w:val="22"/>
              </w:rPr>
              <w:t>T, Hur</w:t>
            </w:r>
            <w:r w:rsidR="004942A7" w:rsidRPr="008F24AC">
              <w:rPr>
                <w:rFonts w:cs="Arial"/>
                <w:sz w:val="22"/>
              </w:rPr>
              <w:t xml:space="preserve"> </w:t>
            </w:r>
            <w:r w:rsidRPr="008F24AC">
              <w:rPr>
                <w:rFonts w:cs="Arial"/>
                <w:sz w:val="22"/>
              </w:rPr>
              <w:t>JY, Shin</w:t>
            </w:r>
            <w:r w:rsidR="004942A7" w:rsidRPr="008F24AC">
              <w:rPr>
                <w:rFonts w:cs="Arial"/>
                <w:sz w:val="22"/>
              </w:rPr>
              <w:t xml:space="preserve"> </w:t>
            </w:r>
            <w:r w:rsidRPr="008F24AC">
              <w:rPr>
                <w:rFonts w:cs="Arial"/>
                <w:sz w:val="22"/>
              </w:rPr>
              <w:t>JH</w:t>
            </w:r>
            <w:r w:rsidR="004942A7" w:rsidRPr="008F24AC">
              <w:rPr>
                <w:rFonts w:cs="Arial"/>
                <w:sz w:val="22"/>
              </w:rPr>
              <w:t>.</w:t>
            </w:r>
            <w:r w:rsidRPr="008F24AC">
              <w:rPr>
                <w:rFonts w:cs="Arial"/>
                <w:sz w:val="22"/>
              </w:rPr>
              <w:t xml:space="preserve"> Anterior Transobturator Polypropylene Mesh in the Correction of Cystocele: 2-Point Method vs 4-Point Method</w:t>
            </w:r>
            <w:r w:rsidR="00D23255" w:rsidRPr="008F24AC">
              <w:rPr>
                <w:rFonts w:cs="Arial"/>
                <w:sz w:val="22"/>
              </w:rPr>
              <w:t>.</w:t>
            </w:r>
            <w:r w:rsidRPr="008F24AC">
              <w:rPr>
                <w:rFonts w:cs="Arial"/>
                <w:sz w:val="22"/>
              </w:rPr>
              <w:t xml:space="preserve"> </w:t>
            </w:r>
            <w:r w:rsidRPr="008F24AC">
              <w:rPr>
                <w:rFonts w:cs="Arial"/>
                <w:i/>
                <w:sz w:val="22"/>
              </w:rPr>
              <w:t xml:space="preserve">Journal </w:t>
            </w:r>
            <w:r w:rsidRPr="008F24AC">
              <w:rPr>
                <w:rFonts w:cs="Arial"/>
                <w:i/>
                <w:sz w:val="22"/>
              </w:rPr>
              <w:lastRenderedPageBreak/>
              <w:t>of Minimally Invasive Gynecology</w:t>
            </w:r>
            <w:r w:rsidR="00D23255" w:rsidRPr="008F24AC">
              <w:rPr>
                <w:rFonts w:cs="Arial"/>
                <w:i/>
                <w:sz w:val="22"/>
              </w:rPr>
              <w:t>.</w:t>
            </w:r>
            <w:r w:rsidRPr="008F24AC">
              <w:rPr>
                <w:rFonts w:cs="Arial"/>
                <w:sz w:val="22"/>
              </w:rPr>
              <w:t xml:space="preserve"> </w:t>
            </w:r>
            <w:r w:rsidR="00D23255" w:rsidRPr="008F24AC">
              <w:rPr>
                <w:rFonts w:cs="Arial"/>
                <w:sz w:val="22"/>
              </w:rPr>
              <w:t>2012;</w:t>
            </w:r>
            <w:r w:rsidRPr="008F24AC">
              <w:rPr>
                <w:rFonts w:cs="Arial"/>
                <w:sz w:val="22"/>
              </w:rPr>
              <w:t>19</w:t>
            </w:r>
            <w:r w:rsidR="00D23255" w:rsidRPr="008F24AC">
              <w:rPr>
                <w:rFonts w:cs="Arial"/>
                <w:sz w:val="22"/>
              </w:rPr>
              <w:t>:</w:t>
            </w:r>
            <w:r w:rsidRPr="008F24AC">
              <w:rPr>
                <w:rFonts w:cs="Arial"/>
                <w:sz w:val="22"/>
              </w:rPr>
              <w:t>737-41</w:t>
            </w:r>
            <w:r w:rsidR="00D23255" w:rsidRPr="008F24AC">
              <w:rPr>
                <w:rFonts w:cs="Arial"/>
                <w:sz w:val="22"/>
              </w:rPr>
              <w:t>.</w:t>
            </w:r>
          </w:p>
        </w:tc>
      </w:tr>
      <w:tr w:rsidR="00476064" w:rsidRPr="008F24AC" w14:paraId="590A1B3B" w14:textId="77777777" w:rsidTr="008F24AC">
        <w:tc>
          <w:tcPr>
            <w:tcW w:w="614" w:type="dxa"/>
            <w:noWrap/>
            <w:hideMark/>
          </w:tcPr>
          <w:p w14:paraId="36D5895A" w14:textId="77777777" w:rsidR="00476064" w:rsidRPr="008F24AC" w:rsidRDefault="00476064" w:rsidP="00D91D5B">
            <w:pPr>
              <w:pStyle w:val="TableTextLeft"/>
              <w:rPr>
                <w:rFonts w:cs="Arial"/>
                <w:sz w:val="22"/>
              </w:rPr>
            </w:pPr>
            <w:r w:rsidRPr="008F24AC">
              <w:rPr>
                <w:rFonts w:cs="Arial"/>
                <w:sz w:val="22"/>
              </w:rPr>
              <w:lastRenderedPageBreak/>
              <w:t>24</w:t>
            </w:r>
          </w:p>
        </w:tc>
        <w:tc>
          <w:tcPr>
            <w:tcW w:w="1649" w:type="dxa"/>
            <w:noWrap/>
            <w:hideMark/>
          </w:tcPr>
          <w:p w14:paraId="39031C36" w14:textId="77777777" w:rsidR="00476064" w:rsidRPr="008F24AC" w:rsidRDefault="00476064" w:rsidP="00D91D5B">
            <w:pPr>
              <w:pStyle w:val="TableTextLeft"/>
              <w:rPr>
                <w:rFonts w:cs="Arial"/>
                <w:sz w:val="22"/>
              </w:rPr>
            </w:pPr>
            <w:r w:rsidRPr="008F24AC">
              <w:rPr>
                <w:rFonts w:cs="Arial"/>
                <w:sz w:val="22"/>
              </w:rPr>
              <w:t>Meschia 2007</w:t>
            </w:r>
          </w:p>
        </w:tc>
        <w:tc>
          <w:tcPr>
            <w:tcW w:w="1418" w:type="dxa"/>
            <w:noWrap/>
            <w:hideMark/>
          </w:tcPr>
          <w:p w14:paraId="475E0747" w14:textId="77777777" w:rsidR="00476064" w:rsidRPr="008F24AC" w:rsidRDefault="00476064" w:rsidP="00D91D5B">
            <w:pPr>
              <w:pStyle w:val="TableTextLeft"/>
              <w:rPr>
                <w:rFonts w:cs="Arial"/>
                <w:sz w:val="22"/>
              </w:rPr>
            </w:pPr>
            <w:r w:rsidRPr="008F24AC">
              <w:rPr>
                <w:rFonts w:cs="Arial"/>
                <w:sz w:val="22"/>
              </w:rPr>
              <w:t>Italy</w:t>
            </w:r>
          </w:p>
        </w:tc>
        <w:tc>
          <w:tcPr>
            <w:tcW w:w="1701" w:type="dxa"/>
            <w:noWrap/>
            <w:hideMark/>
          </w:tcPr>
          <w:p w14:paraId="7D4A0974"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1C599F1A"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35397AF1" w14:textId="77777777" w:rsidR="00476064" w:rsidRPr="008F24AC" w:rsidRDefault="00476064" w:rsidP="00D91D5B">
            <w:pPr>
              <w:pStyle w:val="TableTextLeft"/>
              <w:rPr>
                <w:rFonts w:cs="Arial"/>
                <w:sz w:val="22"/>
              </w:rPr>
            </w:pPr>
            <w:r w:rsidRPr="008F24AC">
              <w:rPr>
                <w:rFonts w:cs="Arial"/>
                <w:sz w:val="22"/>
              </w:rPr>
              <w:t>All primary</w:t>
            </w:r>
          </w:p>
        </w:tc>
        <w:tc>
          <w:tcPr>
            <w:tcW w:w="1276" w:type="dxa"/>
            <w:noWrap/>
            <w:hideMark/>
          </w:tcPr>
          <w:p w14:paraId="792E48DD"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7FAE33E7" w14:textId="77777777" w:rsidR="00476064" w:rsidRPr="008F24AC" w:rsidRDefault="00476064" w:rsidP="00D23255">
            <w:pPr>
              <w:pStyle w:val="TableTextLeft"/>
              <w:rPr>
                <w:rFonts w:cs="Arial"/>
                <w:sz w:val="22"/>
              </w:rPr>
            </w:pPr>
            <w:r w:rsidRPr="008F24AC">
              <w:rPr>
                <w:rFonts w:cs="Arial"/>
                <w:sz w:val="22"/>
              </w:rPr>
              <w:t xml:space="preserve">Meschia M, Pifarotti P, Bernasconi F, Magatti F, Riva D, Kocjancic E. Porcine skin collagen implants to prevent anterior vaginal wall prolapse recurrence: </w:t>
            </w:r>
            <w:r w:rsidR="00D23255" w:rsidRPr="008F24AC">
              <w:rPr>
                <w:rFonts w:cs="Arial"/>
                <w:sz w:val="22"/>
              </w:rPr>
              <w:t>a multicenter, randomized study.</w:t>
            </w:r>
            <w:r w:rsidRPr="008F24AC">
              <w:rPr>
                <w:rFonts w:cs="Arial"/>
                <w:sz w:val="22"/>
              </w:rPr>
              <w:t xml:space="preserve"> </w:t>
            </w:r>
            <w:r w:rsidRPr="008F24AC">
              <w:rPr>
                <w:rFonts w:cs="Arial"/>
                <w:i/>
                <w:sz w:val="22"/>
              </w:rPr>
              <w:t>Journal of Urology</w:t>
            </w:r>
            <w:r w:rsidR="00D23255" w:rsidRPr="008F24AC">
              <w:rPr>
                <w:rFonts w:cs="Arial"/>
                <w:i/>
                <w:sz w:val="22"/>
              </w:rPr>
              <w:t xml:space="preserve">. </w:t>
            </w:r>
            <w:r w:rsidR="00D23255" w:rsidRPr="008F24AC">
              <w:rPr>
                <w:rFonts w:cs="Arial"/>
                <w:sz w:val="22"/>
              </w:rPr>
              <w:t>2007;</w:t>
            </w:r>
            <w:r w:rsidRPr="008F24AC">
              <w:rPr>
                <w:rFonts w:cs="Arial"/>
                <w:sz w:val="22"/>
              </w:rPr>
              <w:t>177</w:t>
            </w:r>
            <w:r w:rsidR="00D23255" w:rsidRPr="008F24AC">
              <w:rPr>
                <w:rFonts w:cs="Arial"/>
                <w:sz w:val="22"/>
              </w:rPr>
              <w:t>:</w:t>
            </w:r>
            <w:r w:rsidRPr="008F24AC">
              <w:rPr>
                <w:rFonts w:cs="Arial"/>
                <w:sz w:val="22"/>
              </w:rPr>
              <w:t>192-5</w:t>
            </w:r>
            <w:r w:rsidR="00D23255" w:rsidRPr="008F24AC">
              <w:rPr>
                <w:rFonts w:cs="Arial"/>
                <w:sz w:val="22"/>
              </w:rPr>
              <w:t>.</w:t>
            </w:r>
          </w:p>
        </w:tc>
      </w:tr>
      <w:tr w:rsidR="00476064" w:rsidRPr="008F24AC" w14:paraId="15E5B40A" w14:textId="77777777" w:rsidTr="008F24AC">
        <w:tc>
          <w:tcPr>
            <w:tcW w:w="614" w:type="dxa"/>
            <w:noWrap/>
            <w:hideMark/>
          </w:tcPr>
          <w:p w14:paraId="73C37914" w14:textId="77777777" w:rsidR="00476064" w:rsidRPr="008F24AC" w:rsidRDefault="00476064" w:rsidP="00D91D5B">
            <w:pPr>
              <w:pStyle w:val="TableTextLeft"/>
              <w:rPr>
                <w:rFonts w:cs="Arial"/>
                <w:sz w:val="22"/>
              </w:rPr>
            </w:pPr>
            <w:r w:rsidRPr="008F24AC">
              <w:rPr>
                <w:rFonts w:cs="Arial"/>
                <w:sz w:val="22"/>
              </w:rPr>
              <w:t>25</w:t>
            </w:r>
          </w:p>
        </w:tc>
        <w:tc>
          <w:tcPr>
            <w:tcW w:w="1649" w:type="dxa"/>
            <w:noWrap/>
            <w:hideMark/>
          </w:tcPr>
          <w:p w14:paraId="2D08DB85" w14:textId="77777777" w:rsidR="00476064" w:rsidRPr="008F24AC" w:rsidRDefault="00476064" w:rsidP="00D91D5B">
            <w:pPr>
              <w:pStyle w:val="TableTextLeft"/>
              <w:rPr>
                <w:rFonts w:cs="Arial"/>
                <w:sz w:val="22"/>
              </w:rPr>
            </w:pPr>
            <w:r w:rsidRPr="008F24AC">
              <w:rPr>
                <w:rFonts w:cs="Arial"/>
                <w:sz w:val="22"/>
              </w:rPr>
              <w:t>Natale 2009</w:t>
            </w:r>
          </w:p>
        </w:tc>
        <w:tc>
          <w:tcPr>
            <w:tcW w:w="1418" w:type="dxa"/>
            <w:noWrap/>
            <w:hideMark/>
          </w:tcPr>
          <w:p w14:paraId="47DA3C7B" w14:textId="77777777" w:rsidR="00476064" w:rsidRPr="008F24AC" w:rsidRDefault="00476064" w:rsidP="00D91D5B">
            <w:pPr>
              <w:pStyle w:val="TableTextLeft"/>
              <w:rPr>
                <w:rFonts w:cs="Arial"/>
                <w:sz w:val="22"/>
              </w:rPr>
            </w:pPr>
            <w:r w:rsidRPr="008F24AC">
              <w:rPr>
                <w:rFonts w:cs="Arial"/>
                <w:sz w:val="22"/>
              </w:rPr>
              <w:t>Italy</w:t>
            </w:r>
          </w:p>
        </w:tc>
        <w:tc>
          <w:tcPr>
            <w:tcW w:w="1701" w:type="dxa"/>
            <w:noWrap/>
            <w:hideMark/>
          </w:tcPr>
          <w:p w14:paraId="1A4F193F"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67884234"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7160A732" w14:textId="77777777" w:rsidR="00476064" w:rsidRPr="008F24AC" w:rsidRDefault="00476064" w:rsidP="00D91D5B">
            <w:pPr>
              <w:pStyle w:val="TableTextLeft"/>
              <w:rPr>
                <w:rFonts w:cs="Arial"/>
                <w:sz w:val="22"/>
              </w:rPr>
            </w:pPr>
            <w:r w:rsidRPr="008F24AC">
              <w:rPr>
                <w:rFonts w:cs="Arial"/>
                <w:sz w:val="22"/>
              </w:rPr>
              <w:t>All secondary</w:t>
            </w:r>
          </w:p>
        </w:tc>
        <w:tc>
          <w:tcPr>
            <w:tcW w:w="1276" w:type="dxa"/>
            <w:noWrap/>
            <w:hideMark/>
          </w:tcPr>
          <w:p w14:paraId="23FB0EFE"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717AFA6A" w14:textId="77777777" w:rsidR="00476064" w:rsidRPr="008F24AC" w:rsidRDefault="00476064" w:rsidP="00D23255">
            <w:pPr>
              <w:pStyle w:val="TableTextLeft"/>
              <w:rPr>
                <w:rFonts w:cs="Arial"/>
                <w:sz w:val="22"/>
              </w:rPr>
            </w:pPr>
            <w:r w:rsidRPr="008F24AC">
              <w:rPr>
                <w:rFonts w:cs="Arial"/>
                <w:sz w:val="22"/>
              </w:rPr>
              <w:t>Natale F, La Penna C, Padoa A, Agostini M, De Simone E, Cervigni M</w:t>
            </w:r>
            <w:r w:rsidR="004942A7" w:rsidRPr="008F24AC">
              <w:rPr>
                <w:rFonts w:cs="Arial"/>
                <w:sz w:val="22"/>
              </w:rPr>
              <w:t>.</w:t>
            </w:r>
            <w:r w:rsidRPr="008F24AC">
              <w:rPr>
                <w:rFonts w:cs="Arial"/>
                <w:sz w:val="22"/>
              </w:rPr>
              <w:t xml:space="preserve"> A prospective, randomized, controlled study comparing Gynemesh, a synthetic mesh, and Pelvicol, a biologic graft, in the surgical treatment of recurrent cystocele</w:t>
            </w:r>
            <w:r w:rsidR="00D23255" w:rsidRPr="008F24AC">
              <w:rPr>
                <w:rFonts w:cs="Arial"/>
                <w:sz w:val="22"/>
              </w:rPr>
              <w:t>.</w:t>
            </w:r>
            <w:r w:rsidRPr="008F24AC">
              <w:rPr>
                <w:rFonts w:cs="Arial"/>
                <w:sz w:val="22"/>
              </w:rPr>
              <w:t xml:space="preserve"> </w:t>
            </w:r>
            <w:r w:rsidRPr="008F24AC">
              <w:rPr>
                <w:rFonts w:cs="Arial"/>
                <w:i/>
                <w:sz w:val="22"/>
              </w:rPr>
              <w:t>International Urogynecology Journal</w:t>
            </w:r>
            <w:r w:rsidR="00D23255" w:rsidRPr="008F24AC">
              <w:rPr>
                <w:rFonts w:cs="Arial"/>
                <w:i/>
                <w:sz w:val="22"/>
              </w:rPr>
              <w:t>.</w:t>
            </w:r>
            <w:r w:rsidRPr="008F24AC">
              <w:rPr>
                <w:rFonts w:cs="Arial"/>
                <w:sz w:val="22"/>
              </w:rPr>
              <w:t xml:space="preserve"> </w:t>
            </w:r>
            <w:r w:rsidR="00D23255" w:rsidRPr="008F24AC">
              <w:rPr>
                <w:rFonts w:cs="Arial"/>
                <w:sz w:val="22"/>
              </w:rPr>
              <w:t>2009;</w:t>
            </w:r>
            <w:r w:rsidRPr="008F24AC">
              <w:rPr>
                <w:rFonts w:cs="Arial"/>
                <w:sz w:val="22"/>
              </w:rPr>
              <w:t>20</w:t>
            </w:r>
            <w:r w:rsidR="00D23255" w:rsidRPr="008F24AC">
              <w:rPr>
                <w:rFonts w:cs="Arial"/>
                <w:sz w:val="22"/>
              </w:rPr>
              <w:t>:75-81.</w:t>
            </w:r>
          </w:p>
        </w:tc>
      </w:tr>
      <w:tr w:rsidR="00476064" w:rsidRPr="008F24AC" w14:paraId="02E53CDD" w14:textId="77777777" w:rsidTr="008F24AC">
        <w:tc>
          <w:tcPr>
            <w:tcW w:w="614" w:type="dxa"/>
            <w:noWrap/>
            <w:hideMark/>
          </w:tcPr>
          <w:p w14:paraId="28389D1B" w14:textId="77777777" w:rsidR="00476064" w:rsidRPr="008F24AC" w:rsidRDefault="00476064" w:rsidP="00D91D5B">
            <w:pPr>
              <w:pStyle w:val="TableTextLeft"/>
              <w:rPr>
                <w:rFonts w:cs="Arial"/>
                <w:sz w:val="22"/>
              </w:rPr>
            </w:pPr>
            <w:r w:rsidRPr="008F24AC">
              <w:rPr>
                <w:rFonts w:cs="Arial"/>
                <w:sz w:val="22"/>
              </w:rPr>
              <w:t>26</w:t>
            </w:r>
          </w:p>
        </w:tc>
        <w:tc>
          <w:tcPr>
            <w:tcW w:w="1649" w:type="dxa"/>
            <w:noWrap/>
            <w:hideMark/>
          </w:tcPr>
          <w:p w14:paraId="1EEFD480" w14:textId="77777777" w:rsidR="00476064" w:rsidRPr="008F24AC" w:rsidRDefault="00476064" w:rsidP="00D91D5B">
            <w:pPr>
              <w:pStyle w:val="TableTextLeft"/>
              <w:rPr>
                <w:rFonts w:cs="Arial"/>
                <w:sz w:val="22"/>
              </w:rPr>
            </w:pPr>
            <w:r w:rsidRPr="008F24AC">
              <w:rPr>
                <w:rFonts w:cs="Arial"/>
                <w:sz w:val="22"/>
              </w:rPr>
              <w:t>Farthmann 2013</w:t>
            </w:r>
          </w:p>
        </w:tc>
        <w:tc>
          <w:tcPr>
            <w:tcW w:w="1418" w:type="dxa"/>
            <w:noWrap/>
            <w:hideMark/>
          </w:tcPr>
          <w:p w14:paraId="71B7F51C" w14:textId="77777777" w:rsidR="00476064" w:rsidRPr="008F24AC" w:rsidRDefault="00476064" w:rsidP="00D91D5B">
            <w:pPr>
              <w:pStyle w:val="TableTextLeft"/>
              <w:rPr>
                <w:rFonts w:cs="Arial"/>
                <w:sz w:val="22"/>
              </w:rPr>
            </w:pPr>
            <w:r w:rsidRPr="008F24AC">
              <w:rPr>
                <w:rFonts w:cs="Arial"/>
                <w:sz w:val="22"/>
              </w:rPr>
              <w:t>Germany</w:t>
            </w:r>
          </w:p>
        </w:tc>
        <w:tc>
          <w:tcPr>
            <w:tcW w:w="1701" w:type="dxa"/>
            <w:noWrap/>
            <w:hideMark/>
          </w:tcPr>
          <w:p w14:paraId="39431F5E"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hideMark/>
          </w:tcPr>
          <w:p w14:paraId="5F173E13" w14:textId="77777777" w:rsidR="00476064" w:rsidRPr="008F24AC" w:rsidRDefault="00476064" w:rsidP="00D91D5B">
            <w:pPr>
              <w:pStyle w:val="TableTextLeft"/>
              <w:rPr>
                <w:rFonts w:cs="Arial"/>
                <w:sz w:val="22"/>
              </w:rPr>
            </w:pPr>
            <w:r w:rsidRPr="008F24AC">
              <w:rPr>
                <w:rFonts w:cs="Arial"/>
                <w:sz w:val="22"/>
              </w:rPr>
              <w:t>≥2</w:t>
            </w:r>
          </w:p>
        </w:tc>
        <w:tc>
          <w:tcPr>
            <w:tcW w:w="1701" w:type="dxa"/>
            <w:noWrap/>
            <w:hideMark/>
          </w:tcPr>
          <w:p w14:paraId="19B55272" w14:textId="77777777" w:rsidR="00476064" w:rsidRPr="008F24AC" w:rsidRDefault="00476064" w:rsidP="00D91D5B">
            <w:pPr>
              <w:pStyle w:val="TableTextLeft"/>
              <w:rPr>
                <w:rFonts w:cs="Arial"/>
                <w:sz w:val="22"/>
              </w:rPr>
            </w:pPr>
            <w:r w:rsidRPr="008F24AC">
              <w:rPr>
                <w:rFonts w:cs="Arial"/>
                <w:sz w:val="22"/>
              </w:rPr>
              <w:t>Majority primary</w:t>
            </w:r>
          </w:p>
        </w:tc>
        <w:tc>
          <w:tcPr>
            <w:tcW w:w="1276" w:type="dxa"/>
            <w:noWrap/>
            <w:hideMark/>
          </w:tcPr>
          <w:p w14:paraId="5C289656"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1C1C408E" w14:textId="77777777" w:rsidR="00476064" w:rsidRPr="008F24AC" w:rsidRDefault="00476064" w:rsidP="00D23255">
            <w:pPr>
              <w:pStyle w:val="TableTextLeft"/>
              <w:rPr>
                <w:rFonts w:cs="Arial"/>
                <w:sz w:val="22"/>
              </w:rPr>
            </w:pPr>
            <w:r w:rsidRPr="008F24AC">
              <w:rPr>
                <w:rFonts w:cs="Arial"/>
                <w:sz w:val="22"/>
              </w:rPr>
              <w:t>Farthmann</w:t>
            </w:r>
            <w:r w:rsidR="00D23255" w:rsidRPr="008F24AC">
              <w:rPr>
                <w:rFonts w:cs="Arial"/>
                <w:sz w:val="22"/>
              </w:rPr>
              <w:t xml:space="preserve"> J</w:t>
            </w:r>
            <w:r w:rsidRPr="008F24AC">
              <w:rPr>
                <w:rFonts w:cs="Arial"/>
                <w:sz w:val="22"/>
              </w:rPr>
              <w:t xml:space="preserve">, Watermann D, Niesel A, Funfgeld C, Kraus A, Lenz F, </w:t>
            </w:r>
            <w:r w:rsidR="00D23255" w:rsidRPr="008F24AC">
              <w:rPr>
                <w:rFonts w:cs="Arial"/>
                <w:sz w:val="22"/>
              </w:rPr>
              <w:t>et al.</w:t>
            </w:r>
            <w:r w:rsidRPr="008F24AC">
              <w:rPr>
                <w:rFonts w:cs="Arial"/>
                <w:sz w:val="22"/>
              </w:rPr>
              <w:t xml:space="preserve"> Lower exposure rates of partially absorbable mesh compared to nonabsorbable mesh for cystocele treatment: 3-year follow-up of a prospective randomized trial, </w:t>
            </w:r>
            <w:r w:rsidRPr="008F24AC">
              <w:rPr>
                <w:rFonts w:cs="Arial"/>
                <w:i/>
                <w:sz w:val="22"/>
              </w:rPr>
              <w:t>International Urogynecology Journal</w:t>
            </w:r>
            <w:r w:rsidR="00D23255" w:rsidRPr="008F24AC">
              <w:rPr>
                <w:rFonts w:cs="Arial"/>
                <w:i/>
                <w:sz w:val="22"/>
              </w:rPr>
              <w:t>.</w:t>
            </w:r>
            <w:r w:rsidRPr="008F24AC">
              <w:rPr>
                <w:rFonts w:cs="Arial"/>
                <w:sz w:val="22"/>
              </w:rPr>
              <w:t xml:space="preserve"> </w:t>
            </w:r>
            <w:r w:rsidR="00D23255" w:rsidRPr="008F24AC">
              <w:rPr>
                <w:rFonts w:cs="Arial"/>
                <w:sz w:val="22"/>
              </w:rPr>
              <w:t>2013;</w:t>
            </w:r>
            <w:r w:rsidRPr="008F24AC">
              <w:rPr>
                <w:rFonts w:cs="Arial"/>
                <w:sz w:val="22"/>
              </w:rPr>
              <w:t>24</w:t>
            </w:r>
            <w:r w:rsidR="00D23255" w:rsidRPr="008F24AC">
              <w:rPr>
                <w:rFonts w:cs="Arial"/>
                <w:sz w:val="22"/>
              </w:rPr>
              <w:t>:749-58.</w:t>
            </w:r>
          </w:p>
        </w:tc>
      </w:tr>
      <w:tr w:rsidR="00476064" w:rsidRPr="008F24AC" w14:paraId="0F4B4652" w14:textId="77777777" w:rsidTr="008F24AC">
        <w:tc>
          <w:tcPr>
            <w:tcW w:w="614" w:type="dxa"/>
            <w:noWrap/>
          </w:tcPr>
          <w:p w14:paraId="2F5CA362" w14:textId="77777777" w:rsidR="00476064" w:rsidRPr="008F24AC" w:rsidRDefault="00476064" w:rsidP="00D91D5B">
            <w:pPr>
              <w:pStyle w:val="TableTextLeft"/>
              <w:rPr>
                <w:rFonts w:cs="Arial"/>
                <w:sz w:val="22"/>
              </w:rPr>
            </w:pPr>
            <w:r w:rsidRPr="008F24AC">
              <w:rPr>
                <w:rFonts w:cs="Arial"/>
                <w:sz w:val="22"/>
              </w:rPr>
              <w:t>27</w:t>
            </w:r>
          </w:p>
        </w:tc>
        <w:tc>
          <w:tcPr>
            <w:tcW w:w="1649" w:type="dxa"/>
            <w:noWrap/>
          </w:tcPr>
          <w:p w14:paraId="0FF4A9D1" w14:textId="77777777" w:rsidR="00476064" w:rsidRPr="008F24AC" w:rsidRDefault="00476064" w:rsidP="00D91D5B">
            <w:pPr>
              <w:pStyle w:val="TableTextLeft"/>
              <w:rPr>
                <w:rFonts w:cs="Arial"/>
                <w:sz w:val="22"/>
              </w:rPr>
            </w:pPr>
            <w:r w:rsidRPr="008F24AC">
              <w:rPr>
                <w:rFonts w:cs="Arial"/>
                <w:sz w:val="22"/>
              </w:rPr>
              <w:t>Minassian 2014</w:t>
            </w:r>
          </w:p>
        </w:tc>
        <w:tc>
          <w:tcPr>
            <w:tcW w:w="1418" w:type="dxa"/>
            <w:noWrap/>
          </w:tcPr>
          <w:p w14:paraId="38237EC8" w14:textId="77777777" w:rsidR="00476064" w:rsidRPr="008F24AC" w:rsidRDefault="00476064" w:rsidP="00D91D5B">
            <w:pPr>
              <w:pStyle w:val="TableTextLeft"/>
              <w:rPr>
                <w:rFonts w:cs="Arial"/>
                <w:sz w:val="22"/>
              </w:rPr>
            </w:pPr>
            <w:r w:rsidRPr="008F24AC">
              <w:rPr>
                <w:rFonts w:cs="Arial"/>
                <w:sz w:val="22"/>
              </w:rPr>
              <w:t>USA</w:t>
            </w:r>
          </w:p>
        </w:tc>
        <w:tc>
          <w:tcPr>
            <w:tcW w:w="1701" w:type="dxa"/>
            <w:noWrap/>
          </w:tcPr>
          <w:p w14:paraId="44C39FEA" w14:textId="77777777" w:rsidR="00476064" w:rsidRPr="008F24AC" w:rsidRDefault="00476064" w:rsidP="00D91D5B">
            <w:pPr>
              <w:pStyle w:val="TableTextLeft"/>
              <w:rPr>
                <w:rFonts w:cs="Arial"/>
                <w:sz w:val="22"/>
              </w:rPr>
            </w:pPr>
            <w:r w:rsidRPr="008F24AC">
              <w:rPr>
                <w:rFonts w:cs="Arial"/>
                <w:sz w:val="22"/>
              </w:rPr>
              <w:t>Anterior</w:t>
            </w:r>
          </w:p>
        </w:tc>
        <w:tc>
          <w:tcPr>
            <w:tcW w:w="1417" w:type="dxa"/>
            <w:noWrap/>
          </w:tcPr>
          <w:p w14:paraId="1FDAA502" w14:textId="77777777" w:rsidR="00476064" w:rsidRPr="008F24AC" w:rsidRDefault="00476064" w:rsidP="00D91D5B">
            <w:pPr>
              <w:pStyle w:val="TableTextLeft"/>
              <w:rPr>
                <w:rFonts w:cs="Arial"/>
                <w:sz w:val="22"/>
              </w:rPr>
            </w:pPr>
            <w:r w:rsidRPr="008F24AC">
              <w:rPr>
                <w:rFonts w:cs="Arial"/>
                <w:sz w:val="22"/>
              </w:rPr>
              <w:t>≥2</w:t>
            </w:r>
          </w:p>
        </w:tc>
        <w:tc>
          <w:tcPr>
            <w:tcW w:w="1701" w:type="dxa"/>
            <w:noWrap/>
          </w:tcPr>
          <w:p w14:paraId="21F8FEC4" w14:textId="77777777" w:rsidR="00476064" w:rsidRPr="008F24AC" w:rsidRDefault="00476064" w:rsidP="00D91D5B">
            <w:pPr>
              <w:pStyle w:val="TableTextLeft"/>
              <w:rPr>
                <w:rFonts w:cs="Arial"/>
                <w:sz w:val="22"/>
              </w:rPr>
            </w:pPr>
            <w:r w:rsidRPr="008F24AC">
              <w:rPr>
                <w:rFonts w:cs="Arial"/>
                <w:sz w:val="22"/>
              </w:rPr>
              <w:t>Unclear</w:t>
            </w:r>
          </w:p>
        </w:tc>
        <w:tc>
          <w:tcPr>
            <w:tcW w:w="1276" w:type="dxa"/>
            <w:noWrap/>
          </w:tcPr>
          <w:p w14:paraId="68527227" w14:textId="77777777" w:rsidR="00476064" w:rsidRPr="008F24AC" w:rsidRDefault="00476064" w:rsidP="00D91D5B">
            <w:pPr>
              <w:pStyle w:val="TableTextLeft"/>
              <w:rPr>
                <w:rFonts w:cs="Arial"/>
                <w:sz w:val="22"/>
              </w:rPr>
            </w:pPr>
            <w:r w:rsidRPr="008F24AC">
              <w:rPr>
                <w:rFonts w:cs="Arial"/>
                <w:sz w:val="22"/>
              </w:rPr>
              <w:t>As required</w:t>
            </w:r>
          </w:p>
        </w:tc>
        <w:tc>
          <w:tcPr>
            <w:tcW w:w="4111" w:type="dxa"/>
          </w:tcPr>
          <w:p w14:paraId="3DF230EA" w14:textId="77777777" w:rsidR="00476064" w:rsidRPr="008F24AC" w:rsidRDefault="00476064" w:rsidP="00D23255">
            <w:pPr>
              <w:pStyle w:val="TableTextLeft"/>
              <w:rPr>
                <w:rFonts w:cs="Arial"/>
                <w:sz w:val="22"/>
              </w:rPr>
            </w:pPr>
            <w:r w:rsidRPr="008F24AC">
              <w:rPr>
                <w:rFonts w:cs="Arial"/>
                <w:sz w:val="22"/>
              </w:rPr>
              <w:t>Minassian VA, Parekh M, Poplawsky D, Gorman J, Litzy L</w:t>
            </w:r>
            <w:r w:rsidR="00D23255" w:rsidRPr="008F24AC">
              <w:rPr>
                <w:rFonts w:cs="Arial"/>
                <w:sz w:val="22"/>
              </w:rPr>
              <w:t>.</w:t>
            </w:r>
            <w:r w:rsidRPr="008F24AC">
              <w:rPr>
                <w:rFonts w:cs="Arial"/>
                <w:sz w:val="22"/>
              </w:rPr>
              <w:t xml:space="preserve"> Randomized controlled trial comparing two procedures for</w:t>
            </w:r>
            <w:r w:rsidR="00D23255" w:rsidRPr="008F24AC">
              <w:rPr>
                <w:rFonts w:cs="Arial"/>
                <w:sz w:val="22"/>
              </w:rPr>
              <w:t xml:space="preserve"> anterior vaginal wall prolapse.</w:t>
            </w:r>
            <w:r w:rsidRPr="008F24AC">
              <w:rPr>
                <w:rFonts w:cs="Arial"/>
                <w:sz w:val="22"/>
              </w:rPr>
              <w:t xml:space="preserve"> </w:t>
            </w:r>
            <w:r w:rsidRPr="008F24AC">
              <w:rPr>
                <w:rFonts w:cs="Arial"/>
                <w:i/>
                <w:sz w:val="22"/>
              </w:rPr>
              <w:t>Neurourology &amp; Urodynamics</w:t>
            </w:r>
            <w:r w:rsidR="00D23255" w:rsidRPr="008F24AC">
              <w:rPr>
                <w:rFonts w:cs="Arial"/>
                <w:i/>
                <w:sz w:val="22"/>
              </w:rPr>
              <w:t>.</w:t>
            </w:r>
            <w:r w:rsidRPr="008F24AC">
              <w:rPr>
                <w:rFonts w:cs="Arial"/>
                <w:sz w:val="22"/>
              </w:rPr>
              <w:t xml:space="preserve"> </w:t>
            </w:r>
            <w:r w:rsidR="00D23255" w:rsidRPr="008F24AC">
              <w:rPr>
                <w:rFonts w:cs="Arial"/>
                <w:sz w:val="22"/>
              </w:rPr>
              <w:t>2014;</w:t>
            </w:r>
            <w:r w:rsidRPr="008F24AC">
              <w:rPr>
                <w:rFonts w:cs="Arial"/>
                <w:sz w:val="22"/>
              </w:rPr>
              <w:t>33</w:t>
            </w:r>
            <w:r w:rsidR="00D23255" w:rsidRPr="008F24AC">
              <w:rPr>
                <w:rFonts w:cs="Arial"/>
                <w:sz w:val="22"/>
              </w:rPr>
              <w:t>:</w:t>
            </w:r>
            <w:r w:rsidRPr="008F24AC">
              <w:rPr>
                <w:rFonts w:cs="Arial"/>
                <w:sz w:val="22"/>
              </w:rPr>
              <w:t>72-7</w:t>
            </w:r>
            <w:r w:rsidR="00D23255" w:rsidRPr="008F24AC">
              <w:rPr>
                <w:rFonts w:cs="Arial"/>
                <w:sz w:val="22"/>
              </w:rPr>
              <w:t>.</w:t>
            </w:r>
          </w:p>
        </w:tc>
      </w:tr>
    </w:tbl>
    <w:p w14:paraId="55D56BF0" w14:textId="77777777" w:rsidR="005E4757" w:rsidRDefault="005E4757" w:rsidP="006751E6">
      <w:pPr>
        <w:rPr>
          <w:rFonts w:ascii="Arial" w:hAnsi="Arial" w:cs="Arial"/>
          <w:b/>
        </w:rPr>
      </w:pPr>
    </w:p>
    <w:p w14:paraId="779AC035" w14:textId="77777777" w:rsidR="00476064" w:rsidRDefault="00476064">
      <w:pPr>
        <w:rPr>
          <w:rFonts w:ascii="Arial" w:hAnsi="Arial" w:cs="Arial"/>
          <w:b/>
        </w:rPr>
      </w:pPr>
      <w:r>
        <w:rPr>
          <w:rFonts w:ascii="Arial" w:hAnsi="Arial" w:cs="Arial"/>
          <w:b/>
        </w:rPr>
        <w:br w:type="page"/>
      </w:r>
    </w:p>
    <w:p w14:paraId="06CCB249" w14:textId="77777777" w:rsidR="00D64668" w:rsidRDefault="00D64668" w:rsidP="006751E6">
      <w:pPr>
        <w:rPr>
          <w:rFonts w:ascii="Arial" w:hAnsi="Arial" w:cs="Arial"/>
          <w:b/>
        </w:rPr>
        <w:sectPr w:rsidR="00D64668" w:rsidSect="008D1756">
          <w:pgSz w:w="16838" w:h="11906" w:orient="landscape"/>
          <w:pgMar w:top="1440" w:right="1440" w:bottom="1440" w:left="1440" w:header="709" w:footer="709" w:gutter="0"/>
          <w:cols w:space="708"/>
          <w:docGrid w:linePitch="360"/>
        </w:sectPr>
      </w:pPr>
    </w:p>
    <w:p w14:paraId="75E045E6" w14:textId="77777777" w:rsidR="005E4757" w:rsidRPr="008F24AC" w:rsidRDefault="00476064" w:rsidP="006751E6">
      <w:pPr>
        <w:rPr>
          <w:rFonts w:cs="Arial"/>
          <w:b/>
        </w:rPr>
      </w:pPr>
      <w:r w:rsidRPr="008F24AC">
        <w:rPr>
          <w:rFonts w:cs="Arial"/>
          <w:b/>
        </w:rPr>
        <w:lastRenderedPageBreak/>
        <w:t>Table S</w:t>
      </w:r>
      <w:r w:rsidR="000D07D5" w:rsidRPr="008F24AC">
        <w:rPr>
          <w:rFonts w:cs="Arial"/>
          <w:b/>
        </w:rPr>
        <w:t>3</w:t>
      </w:r>
      <w:r w:rsidRPr="008F24AC">
        <w:rPr>
          <w:rFonts w:cs="Arial"/>
          <w:b/>
        </w:rPr>
        <w:t>. Final data file for the NMA.</w:t>
      </w: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592"/>
        <w:gridCol w:w="595"/>
        <w:gridCol w:w="633"/>
        <w:gridCol w:w="592"/>
        <w:gridCol w:w="595"/>
        <w:gridCol w:w="633"/>
        <w:gridCol w:w="592"/>
        <w:gridCol w:w="595"/>
        <w:gridCol w:w="633"/>
        <w:gridCol w:w="572"/>
        <w:gridCol w:w="326"/>
        <w:gridCol w:w="1754"/>
      </w:tblGrid>
      <w:tr w:rsidR="00D91D5B" w:rsidRPr="008F24AC" w14:paraId="2E2317E9" w14:textId="77777777" w:rsidTr="008F24AC">
        <w:trPr>
          <w:trHeight w:val="113"/>
        </w:trPr>
        <w:tc>
          <w:tcPr>
            <w:tcW w:w="0" w:type="auto"/>
            <w:tcBorders>
              <w:top w:val="single" w:sz="12" w:space="0" w:color="auto"/>
              <w:bottom w:val="single" w:sz="4" w:space="0" w:color="auto"/>
            </w:tcBorders>
            <w:noWrap/>
            <w:vAlign w:val="center"/>
            <w:hideMark/>
          </w:tcPr>
          <w:p w14:paraId="37E68F4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t[,1]</w:t>
            </w:r>
          </w:p>
        </w:tc>
        <w:tc>
          <w:tcPr>
            <w:tcW w:w="0" w:type="auto"/>
            <w:tcBorders>
              <w:top w:val="single" w:sz="12" w:space="0" w:color="auto"/>
              <w:bottom w:val="single" w:sz="4" w:space="0" w:color="auto"/>
            </w:tcBorders>
            <w:noWrap/>
            <w:vAlign w:val="center"/>
            <w:hideMark/>
          </w:tcPr>
          <w:p w14:paraId="2313610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r[,1]</w:t>
            </w:r>
          </w:p>
        </w:tc>
        <w:tc>
          <w:tcPr>
            <w:tcW w:w="0" w:type="auto"/>
            <w:tcBorders>
              <w:top w:val="single" w:sz="12" w:space="0" w:color="auto"/>
              <w:bottom w:val="single" w:sz="4" w:space="0" w:color="auto"/>
            </w:tcBorders>
            <w:noWrap/>
            <w:vAlign w:val="center"/>
            <w:hideMark/>
          </w:tcPr>
          <w:p w14:paraId="397EE36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n[,1]</w:t>
            </w:r>
          </w:p>
        </w:tc>
        <w:tc>
          <w:tcPr>
            <w:tcW w:w="0" w:type="auto"/>
            <w:tcBorders>
              <w:top w:val="single" w:sz="12" w:space="0" w:color="auto"/>
              <w:bottom w:val="single" w:sz="4" w:space="0" w:color="auto"/>
            </w:tcBorders>
            <w:noWrap/>
            <w:vAlign w:val="center"/>
            <w:hideMark/>
          </w:tcPr>
          <w:p w14:paraId="53E78CC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t[,2]</w:t>
            </w:r>
          </w:p>
        </w:tc>
        <w:tc>
          <w:tcPr>
            <w:tcW w:w="0" w:type="auto"/>
            <w:tcBorders>
              <w:top w:val="single" w:sz="12" w:space="0" w:color="auto"/>
              <w:bottom w:val="single" w:sz="4" w:space="0" w:color="auto"/>
            </w:tcBorders>
            <w:noWrap/>
            <w:vAlign w:val="center"/>
            <w:hideMark/>
          </w:tcPr>
          <w:p w14:paraId="7511D49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r[,2]</w:t>
            </w:r>
          </w:p>
        </w:tc>
        <w:tc>
          <w:tcPr>
            <w:tcW w:w="0" w:type="auto"/>
            <w:tcBorders>
              <w:top w:val="single" w:sz="12" w:space="0" w:color="auto"/>
              <w:bottom w:val="single" w:sz="4" w:space="0" w:color="auto"/>
            </w:tcBorders>
            <w:noWrap/>
            <w:vAlign w:val="center"/>
            <w:hideMark/>
          </w:tcPr>
          <w:p w14:paraId="4815743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n[,2]</w:t>
            </w:r>
          </w:p>
        </w:tc>
        <w:tc>
          <w:tcPr>
            <w:tcW w:w="0" w:type="auto"/>
            <w:tcBorders>
              <w:top w:val="single" w:sz="12" w:space="0" w:color="auto"/>
              <w:bottom w:val="single" w:sz="4" w:space="0" w:color="auto"/>
            </w:tcBorders>
            <w:noWrap/>
            <w:vAlign w:val="center"/>
            <w:hideMark/>
          </w:tcPr>
          <w:p w14:paraId="7A17D68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t[,3]</w:t>
            </w:r>
          </w:p>
        </w:tc>
        <w:tc>
          <w:tcPr>
            <w:tcW w:w="0" w:type="auto"/>
            <w:tcBorders>
              <w:top w:val="single" w:sz="12" w:space="0" w:color="auto"/>
              <w:bottom w:val="single" w:sz="4" w:space="0" w:color="auto"/>
            </w:tcBorders>
            <w:noWrap/>
            <w:vAlign w:val="center"/>
            <w:hideMark/>
          </w:tcPr>
          <w:p w14:paraId="7F8D67C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r[,3]</w:t>
            </w:r>
          </w:p>
        </w:tc>
        <w:tc>
          <w:tcPr>
            <w:tcW w:w="0" w:type="auto"/>
            <w:tcBorders>
              <w:top w:val="single" w:sz="12" w:space="0" w:color="auto"/>
              <w:bottom w:val="single" w:sz="4" w:space="0" w:color="auto"/>
            </w:tcBorders>
            <w:noWrap/>
            <w:vAlign w:val="center"/>
            <w:hideMark/>
          </w:tcPr>
          <w:p w14:paraId="6ED452B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n[,3]</w:t>
            </w:r>
          </w:p>
        </w:tc>
        <w:tc>
          <w:tcPr>
            <w:tcW w:w="0" w:type="auto"/>
            <w:tcBorders>
              <w:top w:val="single" w:sz="12" w:space="0" w:color="auto"/>
              <w:bottom w:val="single" w:sz="4" w:space="0" w:color="auto"/>
            </w:tcBorders>
            <w:noWrap/>
            <w:vAlign w:val="center"/>
            <w:hideMark/>
          </w:tcPr>
          <w:p w14:paraId="6276A46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tcBorders>
              <w:top w:val="single" w:sz="12" w:space="0" w:color="auto"/>
              <w:bottom w:val="single" w:sz="4" w:space="0" w:color="auto"/>
            </w:tcBorders>
            <w:noWrap/>
            <w:vAlign w:val="center"/>
            <w:hideMark/>
          </w:tcPr>
          <w:p w14:paraId="7C8CEBF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tcBorders>
              <w:top w:val="single" w:sz="12" w:space="0" w:color="auto"/>
              <w:bottom w:val="single" w:sz="4" w:space="0" w:color="auto"/>
            </w:tcBorders>
            <w:noWrap/>
            <w:vAlign w:val="center"/>
            <w:hideMark/>
          </w:tcPr>
          <w:p w14:paraId="45461F1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Study ID</w:t>
            </w:r>
          </w:p>
        </w:tc>
      </w:tr>
      <w:tr w:rsidR="00D91D5B" w:rsidRPr="008F24AC" w14:paraId="0435FEA9" w14:textId="77777777" w:rsidTr="008F24AC">
        <w:trPr>
          <w:trHeight w:val="113"/>
        </w:trPr>
        <w:tc>
          <w:tcPr>
            <w:tcW w:w="0" w:type="auto"/>
            <w:tcBorders>
              <w:top w:val="single" w:sz="4" w:space="0" w:color="auto"/>
            </w:tcBorders>
            <w:noWrap/>
            <w:vAlign w:val="center"/>
            <w:hideMark/>
          </w:tcPr>
          <w:p w14:paraId="135910B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tcBorders>
              <w:top w:val="single" w:sz="4" w:space="0" w:color="auto"/>
            </w:tcBorders>
            <w:noWrap/>
            <w:vAlign w:val="center"/>
            <w:hideMark/>
          </w:tcPr>
          <w:p w14:paraId="5AE3633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117</w:t>
            </w:r>
          </w:p>
        </w:tc>
        <w:tc>
          <w:tcPr>
            <w:tcW w:w="0" w:type="auto"/>
            <w:tcBorders>
              <w:top w:val="single" w:sz="4" w:space="0" w:color="auto"/>
            </w:tcBorders>
            <w:noWrap/>
            <w:vAlign w:val="center"/>
            <w:hideMark/>
          </w:tcPr>
          <w:p w14:paraId="606154C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184</w:t>
            </w:r>
          </w:p>
        </w:tc>
        <w:tc>
          <w:tcPr>
            <w:tcW w:w="0" w:type="auto"/>
            <w:tcBorders>
              <w:top w:val="single" w:sz="4" w:space="0" w:color="auto"/>
            </w:tcBorders>
            <w:noWrap/>
            <w:vAlign w:val="center"/>
            <w:hideMark/>
          </w:tcPr>
          <w:p w14:paraId="10FE011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tcBorders>
              <w:top w:val="single" w:sz="4" w:space="0" w:color="auto"/>
            </w:tcBorders>
            <w:noWrap/>
            <w:vAlign w:val="center"/>
            <w:hideMark/>
          </w:tcPr>
          <w:p w14:paraId="7B7C2B3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114</w:t>
            </w:r>
          </w:p>
        </w:tc>
        <w:tc>
          <w:tcPr>
            <w:tcW w:w="0" w:type="auto"/>
            <w:tcBorders>
              <w:top w:val="single" w:sz="4" w:space="0" w:color="auto"/>
            </w:tcBorders>
            <w:noWrap/>
            <w:vAlign w:val="center"/>
            <w:hideMark/>
          </w:tcPr>
          <w:p w14:paraId="6593AE3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187</w:t>
            </w:r>
          </w:p>
        </w:tc>
        <w:tc>
          <w:tcPr>
            <w:tcW w:w="0" w:type="auto"/>
            <w:tcBorders>
              <w:top w:val="single" w:sz="4" w:space="0" w:color="auto"/>
            </w:tcBorders>
            <w:noWrap/>
            <w:vAlign w:val="center"/>
            <w:hideMark/>
          </w:tcPr>
          <w:p w14:paraId="6D8FFD0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tcBorders>
              <w:top w:val="single" w:sz="4" w:space="0" w:color="auto"/>
            </w:tcBorders>
            <w:noWrap/>
            <w:vAlign w:val="center"/>
            <w:hideMark/>
          </w:tcPr>
          <w:p w14:paraId="47E9D49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tcBorders>
              <w:top w:val="single" w:sz="4" w:space="0" w:color="auto"/>
            </w:tcBorders>
            <w:noWrap/>
            <w:vAlign w:val="center"/>
            <w:hideMark/>
          </w:tcPr>
          <w:p w14:paraId="708DC52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tcBorders>
              <w:top w:val="single" w:sz="4" w:space="0" w:color="auto"/>
            </w:tcBorders>
            <w:noWrap/>
            <w:vAlign w:val="center"/>
            <w:hideMark/>
          </w:tcPr>
          <w:p w14:paraId="09D04AC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tcBorders>
              <w:top w:val="single" w:sz="4" w:space="0" w:color="auto"/>
            </w:tcBorders>
            <w:noWrap/>
            <w:vAlign w:val="center"/>
            <w:hideMark/>
          </w:tcPr>
          <w:p w14:paraId="16D1420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tcBorders>
              <w:top w:val="single" w:sz="4" w:space="0" w:color="auto"/>
            </w:tcBorders>
            <w:noWrap/>
            <w:vAlign w:val="center"/>
            <w:hideMark/>
          </w:tcPr>
          <w:p w14:paraId="74DE036A" w14:textId="77777777" w:rsidR="00D91D5B" w:rsidRPr="008F24AC" w:rsidRDefault="00B64EA3" w:rsidP="00D64668">
            <w:pPr>
              <w:rPr>
                <w:rFonts w:eastAsia="Times New Roman" w:cs="Arial"/>
                <w:color w:val="000000"/>
                <w:lang w:eastAsia="en-GB"/>
              </w:rPr>
            </w:pPr>
            <w:r w:rsidRPr="008F24AC">
              <w:rPr>
                <w:rFonts w:eastAsia="Times New Roman" w:cs="Arial"/>
                <w:color w:val="000000"/>
                <w:lang w:eastAsia="en-GB"/>
              </w:rPr>
              <w:t>Glazener 2017(a</w:t>
            </w:r>
            <w:r w:rsidR="00D91D5B" w:rsidRPr="008F24AC">
              <w:rPr>
                <w:rFonts w:eastAsia="Times New Roman" w:cs="Arial"/>
                <w:color w:val="000000"/>
                <w:lang w:eastAsia="en-GB"/>
              </w:rPr>
              <w:t>)</w:t>
            </w:r>
          </w:p>
        </w:tc>
      </w:tr>
      <w:tr w:rsidR="00D91D5B" w:rsidRPr="008F24AC" w14:paraId="72EB4B74" w14:textId="77777777" w:rsidTr="008F24AC">
        <w:trPr>
          <w:trHeight w:val="113"/>
        </w:trPr>
        <w:tc>
          <w:tcPr>
            <w:tcW w:w="0" w:type="auto"/>
            <w:noWrap/>
            <w:vAlign w:val="center"/>
            <w:hideMark/>
          </w:tcPr>
          <w:p w14:paraId="2677445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4885276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3746636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23</w:t>
            </w:r>
          </w:p>
        </w:tc>
        <w:tc>
          <w:tcPr>
            <w:tcW w:w="0" w:type="auto"/>
            <w:noWrap/>
            <w:vAlign w:val="center"/>
            <w:hideMark/>
          </w:tcPr>
          <w:p w14:paraId="22613CD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0767E1B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374A181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21</w:t>
            </w:r>
          </w:p>
        </w:tc>
        <w:tc>
          <w:tcPr>
            <w:tcW w:w="0" w:type="auto"/>
            <w:noWrap/>
            <w:vAlign w:val="center"/>
            <w:hideMark/>
          </w:tcPr>
          <w:p w14:paraId="308C286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0BF74B7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2916EFB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6FF7375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7A13DC9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6702D67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El-Nazer 2012</w:t>
            </w:r>
          </w:p>
        </w:tc>
      </w:tr>
      <w:tr w:rsidR="00D91D5B" w:rsidRPr="008F24AC" w14:paraId="35A91803" w14:textId="77777777" w:rsidTr="008F24AC">
        <w:trPr>
          <w:trHeight w:val="113"/>
        </w:trPr>
        <w:tc>
          <w:tcPr>
            <w:tcW w:w="0" w:type="auto"/>
            <w:noWrap/>
            <w:vAlign w:val="center"/>
            <w:hideMark/>
          </w:tcPr>
          <w:p w14:paraId="47BA9D5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5D3425A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37</w:t>
            </w:r>
          </w:p>
        </w:tc>
        <w:tc>
          <w:tcPr>
            <w:tcW w:w="0" w:type="auto"/>
            <w:noWrap/>
            <w:vAlign w:val="center"/>
            <w:hideMark/>
          </w:tcPr>
          <w:p w14:paraId="3495068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97</w:t>
            </w:r>
          </w:p>
        </w:tc>
        <w:tc>
          <w:tcPr>
            <w:tcW w:w="0" w:type="auto"/>
            <w:noWrap/>
            <w:vAlign w:val="center"/>
            <w:hideMark/>
          </w:tcPr>
          <w:p w14:paraId="54275B5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04E8796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7</w:t>
            </w:r>
          </w:p>
        </w:tc>
        <w:tc>
          <w:tcPr>
            <w:tcW w:w="0" w:type="auto"/>
            <w:noWrap/>
            <w:vAlign w:val="center"/>
            <w:hideMark/>
          </w:tcPr>
          <w:p w14:paraId="6585C82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105</w:t>
            </w:r>
          </w:p>
        </w:tc>
        <w:tc>
          <w:tcPr>
            <w:tcW w:w="0" w:type="auto"/>
            <w:noWrap/>
            <w:vAlign w:val="center"/>
            <w:hideMark/>
          </w:tcPr>
          <w:p w14:paraId="585D077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03F4450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4D08435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510BD30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4DAC2B8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610FC94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Hiltunen 2007</w:t>
            </w:r>
          </w:p>
        </w:tc>
      </w:tr>
      <w:tr w:rsidR="00D91D5B" w:rsidRPr="008F24AC" w14:paraId="657ABFF3" w14:textId="77777777" w:rsidTr="008F24AC">
        <w:trPr>
          <w:trHeight w:val="113"/>
        </w:trPr>
        <w:tc>
          <w:tcPr>
            <w:tcW w:w="0" w:type="auto"/>
            <w:noWrap/>
            <w:vAlign w:val="center"/>
            <w:hideMark/>
          </w:tcPr>
          <w:p w14:paraId="330AEA8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44D51DA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17</w:t>
            </w:r>
          </w:p>
        </w:tc>
        <w:tc>
          <w:tcPr>
            <w:tcW w:w="0" w:type="auto"/>
            <w:noWrap/>
            <w:vAlign w:val="center"/>
            <w:hideMark/>
          </w:tcPr>
          <w:p w14:paraId="3EDF883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38</w:t>
            </w:r>
          </w:p>
        </w:tc>
        <w:tc>
          <w:tcPr>
            <w:tcW w:w="0" w:type="auto"/>
            <w:noWrap/>
            <w:vAlign w:val="center"/>
            <w:hideMark/>
          </w:tcPr>
          <w:p w14:paraId="2079FCE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02E6F51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5</w:t>
            </w:r>
          </w:p>
        </w:tc>
        <w:tc>
          <w:tcPr>
            <w:tcW w:w="0" w:type="auto"/>
            <w:noWrap/>
            <w:vAlign w:val="center"/>
            <w:hideMark/>
          </w:tcPr>
          <w:p w14:paraId="71564E4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38</w:t>
            </w:r>
          </w:p>
        </w:tc>
        <w:tc>
          <w:tcPr>
            <w:tcW w:w="0" w:type="auto"/>
            <w:noWrap/>
            <w:vAlign w:val="center"/>
            <w:hideMark/>
          </w:tcPr>
          <w:p w14:paraId="1705AD2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4FCF590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60962D9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7C5EE1F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5F10068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04D7CA5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Nguyen 2008</w:t>
            </w:r>
          </w:p>
        </w:tc>
      </w:tr>
      <w:tr w:rsidR="00D91D5B" w:rsidRPr="008F24AC" w14:paraId="3197934E" w14:textId="77777777" w:rsidTr="008F24AC">
        <w:trPr>
          <w:trHeight w:val="113"/>
        </w:trPr>
        <w:tc>
          <w:tcPr>
            <w:tcW w:w="0" w:type="auto"/>
            <w:noWrap/>
            <w:vAlign w:val="center"/>
            <w:hideMark/>
          </w:tcPr>
          <w:p w14:paraId="3122C4A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1DDE889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18</w:t>
            </w:r>
          </w:p>
        </w:tc>
        <w:tc>
          <w:tcPr>
            <w:tcW w:w="0" w:type="auto"/>
            <w:noWrap/>
            <w:vAlign w:val="center"/>
            <w:hideMark/>
          </w:tcPr>
          <w:p w14:paraId="7D2BE25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55</w:t>
            </w:r>
          </w:p>
        </w:tc>
        <w:tc>
          <w:tcPr>
            <w:tcW w:w="0" w:type="auto"/>
            <w:noWrap/>
            <w:vAlign w:val="center"/>
            <w:hideMark/>
          </w:tcPr>
          <w:p w14:paraId="17975F1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252747B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10</w:t>
            </w:r>
          </w:p>
        </w:tc>
        <w:tc>
          <w:tcPr>
            <w:tcW w:w="0" w:type="auto"/>
            <w:noWrap/>
            <w:vAlign w:val="center"/>
            <w:hideMark/>
          </w:tcPr>
          <w:p w14:paraId="6EF76CA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45</w:t>
            </w:r>
          </w:p>
        </w:tc>
        <w:tc>
          <w:tcPr>
            <w:tcW w:w="0" w:type="auto"/>
            <w:noWrap/>
            <w:vAlign w:val="center"/>
            <w:hideMark/>
          </w:tcPr>
          <w:p w14:paraId="25104AD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7D12E90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5983693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2169615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62C81D1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32102CE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Tamanini 2015</w:t>
            </w:r>
          </w:p>
        </w:tc>
      </w:tr>
      <w:tr w:rsidR="00D91D5B" w:rsidRPr="008F24AC" w14:paraId="35065D91" w14:textId="77777777" w:rsidTr="008F24AC">
        <w:trPr>
          <w:trHeight w:val="113"/>
        </w:trPr>
        <w:tc>
          <w:tcPr>
            <w:tcW w:w="0" w:type="auto"/>
            <w:noWrap/>
            <w:vAlign w:val="center"/>
            <w:hideMark/>
          </w:tcPr>
          <w:p w14:paraId="1EFAD4B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17BECE2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5</w:t>
            </w:r>
          </w:p>
        </w:tc>
        <w:tc>
          <w:tcPr>
            <w:tcW w:w="0" w:type="auto"/>
            <w:noWrap/>
            <w:vAlign w:val="center"/>
            <w:hideMark/>
          </w:tcPr>
          <w:p w14:paraId="0DF7F3C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20</w:t>
            </w:r>
          </w:p>
        </w:tc>
        <w:tc>
          <w:tcPr>
            <w:tcW w:w="0" w:type="auto"/>
            <w:noWrap/>
            <w:vAlign w:val="center"/>
            <w:hideMark/>
          </w:tcPr>
          <w:p w14:paraId="7C4F0C6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7F9C9F3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3694F74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20</w:t>
            </w:r>
          </w:p>
        </w:tc>
        <w:tc>
          <w:tcPr>
            <w:tcW w:w="0" w:type="auto"/>
            <w:noWrap/>
            <w:vAlign w:val="center"/>
            <w:hideMark/>
          </w:tcPr>
          <w:p w14:paraId="0BDFCAE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2377741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8AD08A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6131729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4104E93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7474845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Turgal 2013</w:t>
            </w:r>
          </w:p>
        </w:tc>
      </w:tr>
      <w:tr w:rsidR="00D91D5B" w:rsidRPr="008F24AC" w14:paraId="3477DF84" w14:textId="77777777" w:rsidTr="008F24AC">
        <w:trPr>
          <w:trHeight w:val="113"/>
        </w:trPr>
        <w:tc>
          <w:tcPr>
            <w:tcW w:w="0" w:type="auto"/>
            <w:noWrap/>
            <w:vAlign w:val="center"/>
            <w:hideMark/>
          </w:tcPr>
          <w:p w14:paraId="50405AA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4FE3278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17</w:t>
            </w:r>
          </w:p>
        </w:tc>
        <w:tc>
          <w:tcPr>
            <w:tcW w:w="0" w:type="auto"/>
            <w:noWrap/>
            <w:vAlign w:val="center"/>
            <w:hideMark/>
          </w:tcPr>
          <w:p w14:paraId="5870B5A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39</w:t>
            </w:r>
          </w:p>
        </w:tc>
        <w:tc>
          <w:tcPr>
            <w:tcW w:w="0" w:type="auto"/>
            <w:noWrap/>
            <w:vAlign w:val="center"/>
            <w:hideMark/>
          </w:tcPr>
          <w:p w14:paraId="76F6477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6120CB7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7</w:t>
            </w:r>
          </w:p>
        </w:tc>
        <w:tc>
          <w:tcPr>
            <w:tcW w:w="0" w:type="auto"/>
            <w:noWrap/>
            <w:vAlign w:val="center"/>
            <w:hideMark/>
          </w:tcPr>
          <w:p w14:paraId="422989D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40</w:t>
            </w:r>
          </w:p>
        </w:tc>
        <w:tc>
          <w:tcPr>
            <w:tcW w:w="0" w:type="auto"/>
            <w:noWrap/>
            <w:vAlign w:val="center"/>
            <w:hideMark/>
          </w:tcPr>
          <w:p w14:paraId="4E99C42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7C06540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19D3285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54BEDB9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38FABE6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0666E550" w14:textId="09B556EE"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Delroy 2013</w:t>
            </w:r>
            <w:r w:rsidR="00A40BB3" w:rsidRPr="008F24AC">
              <w:rPr>
                <w:rFonts w:eastAsia="Times New Roman" w:cs="Arial"/>
                <w:color w:val="000000"/>
                <w:lang w:eastAsia="en-GB"/>
              </w:rPr>
              <w:t>*</w:t>
            </w:r>
          </w:p>
        </w:tc>
      </w:tr>
      <w:tr w:rsidR="00D91D5B" w:rsidRPr="008F24AC" w14:paraId="4DA804E6" w14:textId="77777777" w:rsidTr="008F24AC">
        <w:trPr>
          <w:trHeight w:val="113"/>
        </w:trPr>
        <w:tc>
          <w:tcPr>
            <w:tcW w:w="0" w:type="auto"/>
            <w:noWrap/>
            <w:vAlign w:val="center"/>
            <w:hideMark/>
          </w:tcPr>
          <w:p w14:paraId="75C6A04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6000592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28</w:t>
            </w:r>
          </w:p>
        </w:tc>
        <w:tc>
          <w:tcPr>
            <w:tcW w:w="0" w:type="auto"/>
            <w:noWrap/>
            <w:vAlign w:val="center"/>
            <w:hideMark/>
          </w:tcPr>
          <w:p w14:paraId="0869FDF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45</w:t>
            </w:r>
          </w:p>
        </w:tc>
        <w:tc>
          <w:tcPr>
            <w:tcW w:w="0" w:type="auto"/>
            <w:noWrap/>
            <w:vAlign w:val="center"/>
            <w:hideMark/>
          </w:tcPr>
          <w:p w14:paraId="6540FF2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0988DF1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26</w:t>
            </w:r>
          </w:p>
        </w:tc>
        <w:tc>
          <w:tcPr>
            <w:tcW w:w="0" w:type="auto"/>
            <w:noWrap/>
            <w:vAlign w:val="center"/>
            <w:hideMark/>
          </w:tcPr>
          <w:p w14:paraId="62E28AF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43</w:t>
            </w:r>
          </w:p>
        </w:tc>
        <w:tc>
          <w:tcPr>
            <w:tcW w:w="0" w:type="auto"/>
            <w:noWrap/>
            <w:vAlign w:val="center"/>
            <w:hideMark/>
          </w:tcPr>
          <w:p w14:paraId="27F9B58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1B6557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AFA548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089C11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2FC2825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540E8F9B" w14:textId="0CD4A6A8"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Dias 2016</w:t>
            </w:r>
            <w:r w:rsidR="00A40BB3" w:rsidRPr="008F24AC">
              <w:rPr>
                <w:rFonts w:eastAsia="Times New Roman" w:cs="Arial"/>
                <w:color w:val="000000"/>
                <w:lang w:eastAsia="en-GB"/>
              </w:rPr>
              <w:t>*</w:t>
            </w:r>
          </w:p>
        </w:tc>
      </w:tr>
      <w:tr w:rsidR="00D91D5B" w:rsidRPr="008F24AC" w14:paraId="30A326CB" w14:textId="77777777" w:rsidTr="008F24AC">
        <w:trPr>
          <w:trHeight w:val="113"/>
        </w:trPr>
        <w:tc>
          <w:tcPr>
            <w:tcW w:w="0" w:type="auto"/>
            <w:noWrap/>
            <w:vAlign w:val="center"/>
            <w:hideMark/>
          </w:tcPr>
          <w:p w14:paraId="41D0D25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0322CEF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33</w:t>
            </w:r>
          </w:p>
        </w:tc>
        <w:tc>
          <w:tcPr>
            <w:tcW w:w="0" w:type="auto"/>
            <w:noWrap/>
            <w:vAlign w:val="center"/>
            <w:hideMark/>
          </w:tcPr>
          <w:p w14:paraId="696BA94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64</w:t>
            </w:r>
          </w:p>
        </w:tc>
        <w:tc>
          <w:tcPr>
            <w:tcW w:w="0" w:type="auto"/>
            <w:noWrap/>
            <w:vAlign w:val="center"/>
            <w:hideMark/>
          </w:tcPr>
          <w:p w14:paraId="624931A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2D02BAF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5</w:t>
            </w:r>
          </w:p>
        </w:tc>
        <w:tc>
          <w:tcPr>
            <w:tcW w:w="0" w:type="auto"/>
            <w:noWrap/>
            <w:vAlign w:val="center"/>
            <w:hideMark/>
          </w:tcPr>
          <w:p w14:paraId="5CCC8E9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61</w:t>
            </w:r>
          </w:p>
        </w:tc>
        <w:tc>
          <w:tcPr>
            <w:tcW w:w="0" w:type="auto"/>
            <w:noWrap/>
            <w:vAlign w:val="center"/>
            <w:hideMark/>
          </w:tcPr>
          <w:p w14:paraId="2E88364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A9693A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DAAB24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5885198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0530B5B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38B91D3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Vollebregt 2011</w:t>
            </w:r>
          </w:p>
        </w:tc>
      </w:tr>
      <w:tr w:rsidR="00D91D5B" w:rsidRPr="008F24AC" w14:paraId="267E3E36" w14:textId="77777777" w:rsidTr="008F24AC">
        <w:trPr>
          <w:trHeight w:val="113"/>
        </w:trPr>
        <w:tc>
          <w:tcPr>
            <w:tcW w:w="0" w:type="auto"/>
            <w:noWrap/>
            <w:vAlign w:val="center"/>
            <w:hideMark/>
          </w:tcPr>
          <w:p w14:paraId="7E1402B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60B9704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12</w:t>
            </w:r>
          </w:p>
        </w:tc>
        <w:tc>
          <w:tcPr>
            <w:tcW w:w="0" w:type="auto"/>
            <w:noWrap/>
            <w:vAlign w:val="center"/>
            <w:hideMark/>
          </w:tcPr>
          <w:p w14:paraId="45149A5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45</w:t>
            </w:r>
          </w:p>
        </w:tc>
        <w:tc>
          <w:tcPr>
            <w:tcW w:w="0" w:type="auto"/>
            <w:noWrap/>
            <w:vAlign w:val="center"/>
            <w:hideMark/>
          </w:tcPr>
          <w:p w14:paraId="42712FC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0B42C60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w:t>
            </w:r>
          </w:p>
        </w:tc>
        <w:tc>
          <w:tcPr>
            <w:tcW w:w="0" w:type="auto"/>
            <w:noWrap/>
            <w:vAlign w:val="center"/>
            <w:hideMark/>
          </w:tcPr>
          <w:p w14:paraId="1BB3C12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45</w:t>
            </w:r>
          </w:p>
        </w:tc>
        <w:tc>
          <w:tcPr>
            <w:tcW w:w="0" w:type="auto"/>
            <w:noWrap/>
            <w:vAlign w:val="center"/>
            <w:hideMark/>
          </w:tcPr>
          <w:p w14:paraId="5A04C68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044059E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3C66D6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5E5FEAD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20C260C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5C077E1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Sivaslioglu 2008</w:t>
            </w:r>
          </w:p>
        </w:tc>
      </w:tr>
      <w:tr w:rsidR="00D91D5B" w:rsidRPr="008F24AC" w14:paraId="176EFB41" w14:textId="77777777" w:rsidTr="008F24AC">
        <w:trPr>
          <w:trHeight w:val="113"/>
        </w:trPr>
        <w:tc>
          <w:tcPr>
            <w:tcW w:w="0" w:type="auto"/>
            <w:noWrap/>
            <w:vAlign w:val="center"/>
            <w:hideMark/>
          </w:tcPr>
          <w:p w14:paraId="5425540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3714F25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39A2127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55</w:t>
            </w:r>
          </w:p>
        </w:tc>
        <w:tc>
          <w:tcPr>
            <w:tcW w:w="0" w:type="auto"/>
            <w:noWrap/>
            <w:vAlign w:val="center"/>
            <w:hideMark/>
          </w:tcPr>
          <w:p w14:paraId="19AAC8F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47ECFAA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6959D99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53</w:t>
            </w:r>
          </w:p>
        </w:tc>
        <w:tc>
          <w:tcPr>
            <w:tcW w:w="0" w:type="auto"/>
            <w:noWrap/>
            <w:vAlign w:val="center"/>
            <w:hideMark/>
          </w:tcPr>
          <w:p w14:paraId="36FCB99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1869946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256E06A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090153F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12FDE4E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3143F73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Gupta 2014</w:t>
            </w:r>
          </w:p>
        </w:tc>
      </w:tr>
      <w:tr w:rsidR="00D91D5B" w:rsidRPr="008F24AC" w14:paraId="031C48D3" w14:textId="77777777" w:rsidTr="008F24AC">
        <w:trPr>
          <w:trHeight w:val="113"/>
        </w:trPr>
        <w:tc>
          <w:tcPr>
            <w:tcW w:w="0" w:type="auto"/>
            <w:noWrap/>
            <w:vAlign w:val="center"/>
            <w:hideMark/>
          </w:tcPr>
          <w:p w14:paraId="17A9A80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62A0165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14</w:t>
            </w:r>
          </w:p>
        </w:tc>
        <w:tc>
          <w:tcPr>
            <w:tcW w:w="0" w:type="auto"/>
            <w:noWrap/>
            <w:vAlign w:val="center"/>
            <w:hideMark/>
          </w:tcPr>
          <w:p w14:paraId="3285125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21</w:t>
            </w:r>
          </w:p>
        </w:tc>
        <w:tc>
          <w:tcPr>
            <w:tcW w:w="0" w:type="auto"/>
            <w:noWrap/>
            <w:vAlign w:val="center"/>
            <w:hideMark/>
          </w:tcPr>
          <w:p w14:paraId="361D898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26326F9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11</w:t>
            </w:r>
          </w:p>
        </w:tc>
        <w:tc>
          <w:tcPr>
            <w:tcW w:w="0" w:type="auto"/>
            <w:noWrap/>
            <w:vAlign w:val="center"/>
            <w:hideMark/>
          </w:tcPr>
          <w:p w14:paraId="77EFC26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25</w:t>
            </w:r>
          </w:p>
        </w:tc>
        <w:tc>
          <w:tcPr>
            <w:tcW w:w="0" w:type="auto"/>
            <w:noWrap/>
            <w:vAlign w:val="center"/>
            <w:hideMark/>
          </w:tcPr>
          <w:p w14:paraId="4400EAD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723F023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7644E15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4B853C5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5168B3F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38CBF254" w14:textId="77777777" w:rsidR="00D91D5B" w:rsidRPr="008F24AC" w:rsidRDefault="00B64EA3" w:rsidP="00D64668">
            <w:pPr>
              <w:rPr>
                <w:rFonts w:eastAsia="Times New Roman" w:cs="Arial"/>
                <w:color w:val="000000"/>
                <w:lang w:eastAsia="en-GB"/>
              </w:rPr>
            </w:pPr>
            <w:r w:rsidRPr="008F24AC">
              <w:rPr>
                <w:rFonts w:eastAsia="Times New Roman" w:cs="Arial"/>
                <w:color w:val="000000"/>
                <w:lang w:eastAsia="en-GB"/>
              </w:rPr>
              <w:t>Glazener 2017(b</w:t>
            </w:r>
            <w:r w:rsidR="00D91D5B" w:rsidRPr="008F24AC">
              <w:rPr>
                <w:rFonts w:eastAsia="Times New Roman" w:cs="Arial"/>
                <w:color w:val="000000"/>
                <w:lang w:eastAsia="en-GB"/>
              </w:rPr>
              <w:t>)</w:t>
            </w:r>
          </w:p>
        </w:tc>
      </w:tr>
      <w:tr w:rsidR="00D91D5B" w:rsidRPr="008F24AC" w14:paraId="53827002" w14:textId="77777777" w:rsidTr="008F24AC">
        <w:trPr>
          <w:trHeight w:val="113"/>
        </w:trPr>
        <w:tc>
          <w:tcPr>
            <w:tcW w:w="0" w:type="auto"/>
            <w:noWrap/>
            <w:vAlign w:val="center"/>
            <w:hideMark/>
          </w:tcPr>
          <w:p w14:paraId="6F2284F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1A54E2E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23</w:t>
            </w:r>
          </w:p>
        </w:tc>
        <w:tc>
          <w:tcPr>
            <w:tcW w:w="0" w:type="auto"/>
            <w:noWrap/>
            <w:vAlign w:val="center"/>
            <w:hideMark/>
          </w:tcPr>
          <w:p w14:paraId="4591DEE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78</w:t>
            </w:r>
          </w:p>
        </w:tc>
        <w:tc>
          <w:tcPr>
            <w:tcW w:w="0" w:type="auto"/>
            <w:noWrap/>
            <w:vAlign w:val="center"/>
            <w:hideMark/>
          </w:tcPr>
          <w:p w14:paraId="08224BF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26C8439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16</w:t>
            </w:r>
          </w:p>
        </w:tc>
        <w:tc>
          <w:tcPr>
            <w:tcW w:w="0" w:type="auto"/>
            <w:noWrap/>
            <w:vAlign w:val="center"/>
            <w:hideMark/>
          </w:tcPr>
          <w:p w14:paraId="6BD5553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76</w:t>
            </w:r>
          </w:p>
        </w:tc>
        <w:tc>
          <w:tcPr>
            <w:tcW w:w="0" w:type="auto"/>
            <w:noWrap/>
            <w:vAlign w:val="center"/>
            <w:hideMark/>
          </w:tcPr>
          <w:p w14:paraId="7233E22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4B778F5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44C1E33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5D3708E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235C6D4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2BD989A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Gandhi 2005</w:t>
            </w:r>
          </w:p>
        </w:tc>
      </w:tr>
      <w:tr w:rsidR="00D91D5B" w:rsidRPr="008F24AC" w14:paraId="248D13A9" w14:textId="77777777" w:rsidTr="008F24AC">
        <w:trPr>
          <w:trHeight w:val="113"/>
        </w:trPr>
        <w:tc>
          <w:tcPr>
            <w:tcW w:w="0" w:type="auto"/>
            <w:noWrap/>
            <w:vAlign w:val="center"/>
            <w:hideMark/>
          </w:tcPr>
          <w:p w14:paraId="4E0FDA3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5134240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10</w:t>
            </w:r>
          </w:p>
        </w:tc>
        <w:tc>
          <w:tcPr>
            <w:tcW w:w="0" w:type="auto"/>
            <w:noWrap/>
            <w:vAlign w:val="center"/>
            <w:hideMark/>
          </w:tcPr>
          <w:p w14:paraId="5856565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47</w:t>
            </w:r>
          </w:p>
        </w:tc>
        <w:tc>
          <w:tcPr>
            <w:tcW w:w="0" w:type="auto"/>
            <w:noWrap/>
            <w:vAlign w:val="center"/>
            <w:hideMark/>
          </w:tcPr>
          <w:p w14:paraId="033C0E5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32000B2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5</w:t>
            </w:r>
          </w:p>
        </w:tc>
        <w:tc>
          <w:tcPr>
            <w:tcW w:w="0" w:type="auto"/>
            <w:noWrap/>
            <w:vAlign w:val="center"/>
            <w:hideMark/>
          </w:tcPr>
          <w:p w14:paraId="46B8E3A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47</w:t>
            </w:r>
          </w:p>
        </w:tc>
        <w:tc>
          <w:tcPr>
            <w:tcW w:w="0" w:type="auto"/>
            <w:noWrap/>
            <w:vAlign w:val="center"/>
            <w:hideMark/>
          </w:tcPr>
          <w:p w14:paraId="3E02AAF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076617D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72AD062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72D1830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6A9C3F0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072B55F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Guerette 2009</w:t>
            </w:r>
          </w:p>
        </w:tc>
      </w:tr>
      <w:tr w:rsidR="00D91D5B" w:rsidRPr="008F24AC" w14:paraId="1EDD6579" w14:textId="77777777" w:rsidTr="008F24AC">
        <w:trPr>
          <w:trHeight w:val="113"/>
        </w:trPr>
        <w:tc>
          <w:tcPr>
            <w:tcW w:w="0" w:type="auto"/>
            <w:noWrap/>
            <w:vAlign w:val="center"/>
            <w:hideMark/>
          </w:tcPr>
          <w:p w14:paraId="5337FFB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265976E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11</w:t>
            </w:r>
          </w:p>
        </w:tc>
        <w:tc>
          <w:tcPr>
            <w:tcW w:w="0" w:type="auto"/>
            <w:noWrap/>
            <w:vAlign w:val="center"/>
            <w:hideMark/>
          </w:tcPr>
          <w:p w14:paraId="513365F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27</w:t>
            </w:r>
          </w:p>
        </w:tc>
        <w:tc>
          <w:tcPr>
            <w:tcW w:w="0" w:type="auto"/>
            <w:noWrap/>
            <w:vAlign w:val="center"/>
            <w:hideMark/>
          </w:tcPr>
          <w:p w14:paraId="3BDAA93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4E9A749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w:t>
            </w:r>
          </w:p>
        </w:tc>
        <w:tc>
          <w:tcPr>
            <w:tcW w:w="0" w:type="auto"/>
            <w:noWrap/>
            <w:vAlign w:val="center"/>
            <w:hideMark/>
          </w:tcPr>
          <w:p w14:paraId="1677243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29</w:t>
            </w:r>
          </w:p>
        </w:tc>
        <w:tc>
          <w:tcPr>
            <w:tcW w:w="0" w:type="auto"/>
            <w:noWrap/>
            <w:vAlign w:val="center"/>
            <w:hideMark/>
          </w:tcPr>
          <w:p w14:paraId="73B417C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5F01456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4ED029B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22DCBB7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09101B8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49FD8B7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Feldner 2010</w:t>
            </w:r>
          </w:p>
        </w:tc>
      </w:tr>
      <w:tr w:rsidR="00D91D5B" w:rsidRPr="008F24AC" w14:paraId="4BFAFC78" w14:textId="77777777" w:rsidTr="008F24AC">
        <w:trPr>
          <w:trHeight w:val="113"/>
        </w:trPr>
        <w:tc>
          <w:tcPr>
            <w:tcW w:w="0" w:type="auto"/>
            <w:noWrap/>
            <w:vAlign w:val="center"/>
            <w:hideMark/>
          </w:tcPr>
          <w:p w14:paraId="2E8AA0B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1745149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w:t>
            </w:r>
          </w:p>
        </w:tc>
        <w:tc>
          <w:tcPr>
            <w:tcW w:w="0" w:type="auto"/>
            <w:noWrap/>
            <w:vAlign w:val="center"/>
            <w:hideMark/>
          </w:tcPr>
          <w:p w14:paraId="50343CA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31</w:t>
            </w:r>
          </w:p>
        </w:tc>
        <w:tc>
          <w:tcPr>
            <w:tcW w:w="0" w:type="auto"/>
            <w:noWrap/>
            <w:vAlign w:val="center"/>
            <w:hideMark/>
          </w:tcPr>
          <w:p w14:paraId="7F078AF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5F6A02D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00FBAA1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30</w:t>
            </w:r>
          </w:p>
        </w:tc>
        <w:tc>
          <w:tcPr>
            <w:tcW w:w="0" w:type="auto"/>
            <w:noWrap/>
            <w:vAlign w:val="center"/>
            <w:hideMark/>
          </w:tcPr>
          <w:p w14:paraId="51B88F0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054614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025B72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1EFB6B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5440A39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4ED13C1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Hviid 2010</w:t>
            </w:r>
          </w:p>
        </w:tc>
      </w:tr>
      <w:tr w:rsidR="00D91D5B" w:rsidRPr="008F24AC" w14:paraId="14728E5E" w14:textId="77777777" w:rsidTr="008F24AC">
        <w:trPr>
          <w:trHeight w:val="113"/>
        </w:trPr>
        <w:tc>
          <w:tcPr>
            <w:tcW w:w="0" w:type="auto"/>
            <w:noWrap/>
            <w:vAlign w:val="center"/>
            <w:hideMark/>
          </w:tcPr>
          <w:p w14:paraId="76B477A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04606A9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27</w:t>
            </w:r>
          </w:p>
        </w:tc>
        <w:tc>
          <w:tcPr>
            <w:tcW w:w="0" w:type="auto"/>
            <w:noWrap/>
            <w:vAlign w:val="center"/>
            <w:hideMark/>
          </w:tcPr>
          <w:p w14:paraId="01E5D9A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29</w:t>
            </w:r>
          </w:p>
        </w:tc>
        <w:tc>
          <w:tcPr>
            <w:tcW w:w="0" w:type="auto"/>
            <w:noWrap/>
            <w:vAlign w:val="center"/>
            <w:hideMark/>
          </w:tcPr>
          <w:p w14:paraId="69DAC6D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090BC9C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19</w:t>
            </w:r>
          </w:p>
        </w:tc>
        <w:tc>
          <w:tcPr>
            <w:tcW w:w="0" w:type="auto"/>
            <w:noWrap/>
            <w:vAlign w:val="center"/>
            <w:hideMark/>
          </w:tcPr>
          <w:p w14:paraId="2449B33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28</w:t>
            </w:r>
          </w:p>
        </w:tc>
        <w:tc>
          <w:tcPr>
            <w:tcW w:w="0" w:type="auto"/>
            <w:noWrap/>
            <w:vAlign w:val="center"/>
            <w:hideMark/>
          </w:tcPr>
          <w:p w14:paraId="3A6BF9A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5B544A0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4BA83B9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1002FC4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5D95034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38AB088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Robert 2014</w:t>
            </w:r>
          </w:p>
        </w:tc>
      </w:tr>
      <w:tr w:rsidR="00D91D5B" w:rsidRPr="008F24AC" w14:paraId="6EF10421" w14:textId="77777777" w:rsidTr="008F24AC">
        <w:trPr>
          <w:trHeight w:val="113"/>
        </w:trPr>
        <w:tc>
          <w:tcPr>
            <w:tcW w:w="0" w:type="auto"/>
            <w:noWrap/>
            <w:vAlign w:val="center"/>
            <w:hideMark/>
          </w:tcPr>
          <w:p w14:paraId="09CC5A8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7FB9D79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24</w:t>
            </w:r>
          </w:p>
        </w:tc>
        <w:tc>
          <w:tcPr>
            <w:tcW w:w="0" w:type="auto"/>
            <w:noWrap/>
            <w:vAlign w:val="center"/>
            <w:hideMark/>
          </w:tcPr>
          <w:p w14:paraId="1790A0F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70</w:t>
            </w:r>
          </w:p>
        </w:tc>
        <w:tc>
          <w:tcPr>
            <w:tcW w:w="0" w:type="auto"/>
            <w:noWrap/>
            <w:vAlign w:val="center"/>
            <w:hideMark/>
          </w:tcPr>
          <w:p w14:paraId="227ACC0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5BF16B1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10</w:t>
            </w:r>
          </w:p>
        </w:tc>
        <w:tc>
          <w:tcPr>
            <w:tcW w:w="0" w:type="auto"/>
            <w:noWrap/>
            <w:vAlign w:val="center"/>
            <w:hideMark/>
          </w:tcPr>
          <w:p w14:paraId="57A6A06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44</w:t>
            </w:r>
          </w:p>
        </w:tc>
        <w:tc>
          <w:tcPr>
            <w:tcW w:w="0" w:type="auto"/>
            <w:noWrap/>
            <w:vAlign w:val="center"/>
            <w:hideMark/>
          </w:tcPr>
          <w:p w14:paraId="2E63A49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FAD4E2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769B20B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84275A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68A76C0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79E8B19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Lyer 2018</w:t>
            </w:r>
          </w:p>
        </w:tc>
      </w:tr>
      <w:tr w:rsidR="00D91D5B" w:rsidRPr="008F24AC" w14:paraId="10E70580" w14:textId="77777777" w:rsidTr="008F24AC">
        <w:trPr>
          <w:trHeight w:val="113"/>
        </w:trPr>
        <w:tc>
          <w:tcPr>
            <w:tcW w:w="0" w:type="auto"/>
            <w:noWrap/>
            <w:vAlign w:val="center"/>
            <w:hideMark/>
          </w:tcPr>
          <w:p w14:paraId="2F385AF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20060AF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40</w:t>
            </w:r>
          </w:p>
        </w:tc>
        <w:tc>
          <w:tcPr>
            <w:tcW w:w="0" w:type="auto"/>
            <w:noWrap/>
            <w:vAlign w:val="center"/>
            <w:hideMark/>
          </w:tcPr>
          <w:p w14:paraId="22DECA9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82</w:t>
            </w:r>
          </w:p>
        </w:tc>
        <w:tc>
          <w:tcPr>
            <w:tcW w:w="0" w:type="auto"/>
            <w:noWrap/>
            <w:vAlign w:val="center"/>
            <w:hideMark/>
          </w:tcPr>
          <w:p w14:paraId="580FEE0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w:t>
            </w:r>
          </w:p>
        </w:tc>
        <w:tc>
          <w:tcPr>
            <w:tcW w:w="0" w:type="auto"/>
            <w:noWrap/>
            <w:vAlign w:val="center"/>
            <w:hideMark/>
          </w:tcPr>
          <w:p w14:paraId="762B928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6</w:t>
            </w:r>
          </w:p>
        </w:tc>
        <w:tc>
          <w:tcPr>
            <w:tcW w:w="0" w:type="auto"/>
            <w:noWrap/>
            <w:vAlign w:val="center"/>
            <w:hideMark/>
          </w:tcPr>
          <w:p w14:paraId="00A22FC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79</w:t>
            </w:r>
          </w:p>
        </w:tc>
        <w:tc>
          <w:tcPr>
            <w:tcW w:w="0" w:type="auto"/>
            <w:noWrap/>
            <w:vAlign w:val="center"/>
            <w:hideMark/>
          </w:tcPr>
          <w:p w14:paraId="690F7ED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1281FBF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1FACDDD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45C7858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12597E2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0E4890C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Rudnicki 2014</w:t>
            </w:r>
          </w:p>
        </w:tc>
      </w:tr>
      <w:tr w:rsidR="00D91D5B" w:rsidRPr="008F24AC" w14:paraId="26BD2A76" w14:textId="77777777" w:rsidTr="008F24AC">
        <w:trPr>
          <w:trHeight w:val="113"/>
        </w:trPr>
        <w:tc>
          <w:tcPr>
            <w:tcW w:w="0" w:type="auto"/>
            <w:noWrap/>
            <w:vAlign w:val="center"/>
            <w:hideMark/>
          </w:tcPr>
          <w:p w14:paraId="09CAC5D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431551E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39</w:t>
            </w:r>
          </w:p>
        </w:tc>
        <w:tc>
          <w:tcPr>
            <w:tcW w:w="0" w:type="auto"/>
            <w:noWrap/>
            <w:vAlign w:val="center"/>
            <w:hideMark/>
          </w:tcPr>
          <w:p w14:paraId="23F3E19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82</w:t>
            </w:r>
          </w:p>
        </w:tc>
        <w:tc>
          <w:tcPr>
            <w:tcW w:w="0" w:type="auto"/>
            <w:noWrap/>
            <w:vAlign w:val="center"/>
            <w:hideMark/>
          </w:tcPr>
          <w:p w14:paraId="5E22FD9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w:t>
            </w:r>
          </w:p>
        </w:tc>
        <w:tc>
          <w:tcPr>
            <w:tcW w:w="0" w:type="auto"/>
            <w:noWrap/>
            <w:vAlign w:val="center"/>
            <w:hideMark/>
          </w:tcPr>
          <w:p w14:paraId="7F6703C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21</w:t>
            </w:r>
          </w:p>
        </w:tc>
        <w:tc>
          <w:tcPr>
            <w:tcW w:w="0" w:type="auto"/>
            <w:noWrap/>
            <w:vAlign w:val="center"/>
            <w:hideMark/>
          </w:tcPr>
          <w:p w14:paraId="2E091AE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80</w:t>
            </w:r>
          </w:p>
        </w:tc>
        <w:tc>
          <w:tcPr>
            <w:tcW w:w="0" w:type="auto"/>
            <w:noWrap/>
            <w:vAlign w:val="center"/>
            <w:hideMark/>
          </w:tcPr>
          <w:p w14:paraId="2E58C9B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1F3FFA4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74714C7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99010F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66E74DA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529B313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deTayrac 2013</w:t>
            </w:r>
          </w:p>
        </w:tc>
      </w:tr>
      <w:tr w:rsidR="00D91D5B" w:rsidRPr="008F24AC" w14:paraId="5E35C1D8" w14:textId="77777777" w:rsidTr="008F24AC">
        <w:trPr>
          <w:trHeight w:val="113"/>
        </w:trPr>
        <w:tc>
          <w:tcPr>
            <w:tcW w:w="0" w:type="auto"/>
            <w:noWrap/>
            <w:vAlign w:val="center"/>
            <w:hideMark/>
          </w:tcPr>
          <w:p w14:paraId="4212ABE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6159E89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47</w:t>
            </w:r>
          </w:p>
        </w:tc>
        <w:tc>
          <w:tcPr>
            <w:tcW w:w="0" w:type="auto"/>
            <w:noWrap/>
            <w:vAlign w:val="center"/>
            <w:hideMark/>
          </w:tcPr>
          <w:p w14:paraId="513C54E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76</w:t>
            </w:r>
          </w:p>
        </w:tc>
        <w:tc>
          <w:tcPr>
            <w:tcW w:w="0" w:type="auto"/>
            <w:noWrap/>
            <w:vAlign w:val="center"/>
            <w:hideMark/>
          </w:tcPr>
          <w:p w14:paraId="1292D5C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5</w:t>
            </w:r>
          </w:p>
        </w:tc>
        <w:tc>
          <w:tcPr>
            <w:tcW w:w="0" w:type="auto"/>
            <w:noWrap/>
            <w:vAlign w:val="center"/>
            <w:hideMark/>
          </w:tcPr>
          <w:p w14:paraId="2620DAD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22</w:t>
            </w:r>
          </w:p>
        </w:tc>
        <w:tc>
          <w:tcPr>
            <w:tcW w:w="0" w:type="auto"/>
            <w:noWrap/>
            <w:vAlign w:val="center"/>
            <w:hideMark/>
          </w:tcPr>
          <w:p w14:paraId="5577200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38</w:t>
            </w:r>
          </w:p>
        </w:tc>
        <w:tc>
          <w:tcPr>
            <w:tcW w:w="0" w:type="auto"/>
            <w:noWrap/>
            <w:vAlign w:val="center"/>
            <w:hideMark/>
          </w:tcPr>
          <w:p w14:paraId="5614647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675E09D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1DAD095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124C7FA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1BCA588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3CB3F11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Webber 2001</w:t>
            </w:r>
          </w:p>
        </w:tc>
      </w:tr>
      <w:tr w:rsidR="00D91D5B" w:rsidRPr="008F24AC" w14:paraId="79277FC8" w14:textId="77777777" w:rsidTr="008F24AC">
        <w:trPr>
          <w:trHeight w:val="113"/>
        </w:trPr>
        <w:tc>
          <w:tcPr>
            <w:tcW w:w="0" w:type="auto"/>
            <w:noWrap/>
            <w:vAlign w:val="center"/>
            <w:hideMark/>
          </w:tcPr>
          <w:p w14:paraId="4F5A734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w:t>
            </w:r>
          </w:p>
        </w:tc>
        <w:tc>
          <w:tcPr>
            <w:tcW w:w="0" w:type="auto"/>
            <w:noWrap/>
            <w:vAlign w:val="center"/>
            <w:hideMark/>
          </w:tcPr>
          <w:p w14:paraId="5C0555A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14</w:t>
            </w:r>
          </w:p>
        </w:tc>
        <w:tc>
          <w:tcPr>
            <w:tcW w:w="0" w:type="auto"/>
            <w:noWrap/>
            <w:vAlign w:val="center"/>
            <w:hideMark/>
          </w:tcPr>
          <w:p w14:paraId="53B34F2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32</w:t>
            </w:r>
          </w:p>
        </w:tc>
        <w:tc>
          <w:tcPr>
            <w:tcW w:w="0" w:type="auto"/>
            <w:noWrap/>
            <w:vAlign w:val="center"/>
            <w:hideMark/>
          </w:tcPr>
          <w:p w14:paraId="20F0EF4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6</w:t>
            </w:r>
          </w:p>
        </w:tc>
        <w:tc>
          <w:tcPr>
            <w:tcW w:w="0" w:type="auto"/>
            <w:noWrap/>
            <w:vAlign w:val="center"/>
            <w:hideMark/>
          </w:tcPr>
          <w:p w14:paraId="561740C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5</w:t>
            </w:r>
          </w:p>
        </w:tc>
        <w:tc>
          <w:tcPr>
            <w:tcW w:w="0" w:type="auto"/>
            <w:noWrap/>
            <w:vAlign w:val="center"/>
            <w:hideMark/>
          </w:tcPr>
          <w:p w14:paraId="551D7DB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36</w:t>
            </w:r>
          </w:p>
        </w:tc>
        <w:tc>
          <w:tcPr>
            <w:tcW w:w="0" w:type="auto"/>
            <w:noWrap/>
            <w:vAlign w:val="center"/>
            <w:hideMark/>
          </w:tcPr>
          <w:p w14:paraId="676CCAB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8</w:t>
            </w:r>
          </w:p>
        </w:tc>
        <w:tc>
          <w:tcPr>
            <w:tcW w:w="0" w:type="auto"/>
            <w:noWrap/>
            <w:vAlign w:val="center"/>
            <w:hideMark/>
          </w:tcPr>
          <w:p w14:paraId="53AABF2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12</w:t>
            </w:r>
          </w:p>
        </w:tc>
        <w:tc>
          <w:tcPr>
            <w:tcW w:w="0" w:type="auto"/>
            <w:noWrap/>
            <w:vAlign w:val="center"/>
            <w:hideMark/>
          </w:tcPr>
          <w:p w14:paraId="5873223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31</w:t>
            </w:r>
          </w:p>
        </w:tc>
        <w:tc>
          <w:tcPr>
            <w:tcW w:w="0" w:type="auto"/>
            <w:noWrap/>
            <w:vAlign w:val="center"/>
            <w:hideMark/>
          </w:tcPr>
          <w:p w14:paraId="53F5626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07CD57B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6BAA23A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Menefee 2011</w:t>
            </w:r>
          </w:p>
        </w:tc>
      </w:tr>
      <w:tr w:rsidR="00D91D5B" w:rsidRPr="008F24AC" w14:paraId="4C739B4D" w14:textId="77777777" w:rsidTr="008F24AC">
        <w:trPr>
          <w:trHeight w:val="113"/>
        </w:trPr>
        <w:tc>
          <w:tcPr>
            <w:tcW w:w="0" w:type="auto"/>
            <w:noWrap/>
            <w:vAlign w:val="center"/>
            <w:hideMark/>
          </w:tcPr>
          <w:p w14:paraId="7B5E170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63A7A0F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5</w:t>
            </w:r>
          </w:p>
        </w:tc>
        <w:tc>
          <w:tcPr>
            <w:tcW w:w="0" w:type="auto"/>
            <w:noWrap/>
            <w:vAlign w:val="center"/>
            <w:hideMark/>
          </w:tcPr>
          <w:p w14:paraId="30D63F8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45</w:t>
            </w:r>
          </w:p>
        </w:tc>
        <w:tc>
          <w:tcPr>
            <w:tcW w:w="0" w:type="auto"/>
            <w:noWrap/>
            <w:vAlign w:val="center"/>
            <w:hideMark/>
          </w:tcPr>
          <w:p w14:paraId="2650E3A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083B73C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8</w:t>
            </w:r>
          </w:p>
        </w:tc>
        <w:tc>
          <w:tcPr>
            <w:tcW w:w="0" w:type="auto"/>
            <w:noWrap/>
            <w:vAlign w:val="center"/>
            <w:hideMark/>
          </w:tcPr>
          <w:p w14:paraId="6BD5BD3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42</w:t>
            </w:r>
          </w:p>
        </w:tc>
        <w:tc>
          <w:tcPr>
            <w:tcW w:w="0" w:type="auto"/>
            <w:noWrap/>
            <w:vAlign w:val="center"/>
            <w:hideMark/>
          </w:tcPr>
          <w:p w14:paraId="01C9912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2CD1228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6E25C3A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9D0844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0F6FC67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4E1D132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Yuk 2012</w:t>
            </w:r>
          </w:p>
        </w:tc>
      </w:tr>
      <w:tr w:rsidR="00D91D5B" w:rsidRPr="008F24AC" w14:paraId="268DF0E2" w14:textId="77777777" w:rsidTr="008F24AC">
        <w:trPr>
          <w:trHeight w:val="113"/>
        </w:trPr>
        <w:tc>
          <w:tcPr>
            <w:tcW w:w="0" w:type="auto"/>
            <w:noWrap/>
            <w:vAlign w:val="center"/>
            <w:hideMark/>
          </w:tcPr>
          <w:p w14:paraId="0A19A94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158097A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20</w:t>
            </w:r>
          </w:p>
        </w:tc>
        <w:tc>
          <w:tcPr>
            <w:tcW w:w="0" w:type="auto"/>
            <w:noWrap/>
            <w:vAlign w:val="center"/>
            <w:hideMark/>
          </w:tcPr>
          <w:p w14:paraId="0146FA1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106</w:t>
            </w:r>
          </w:p>
        </w:tc>
        <w:tc>
          <w:tcPr>
            <w:tcW w:w="0" w:type="auto"/>
            <w:noWrap/>
            <w:vAlign w:val="center"/>
            <w:hideMark/>
          </w:tcPr>
          <w:p w14:paraId="1AF46FE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2E7622A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7</w:t>
            </w:r>
          </w:p>
        </w:tc>
        <w:tc>
          <w:tcPr>
            <w:tcW w:w="0" w:type="auto"/>
            <w:noWrap/>
            <w:vAlign w:val="center"/>
            <w:hideMark/>
          </w:tcPr>
          <w:p w14:paraId="051C19F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100</w:t>
            </w:r>
          </w:p>
        </w:tc>
        <w:tc>
          <w:tcPr>
            <w:tcW w:w="0" w:type="auto"/>
            <w:noWrap/>
            <w:vAlign w:val="center"/>
            <w:hideMark/>
          </w:tcPr>
          <w:p w14:paraId="221C671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6ABBD7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758FD009"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292CD6F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383F989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7ACD06E1"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Meschia 2007</w:t>
            </w:r>
          </w:p>
        </w:tc>
      </w:tr>
      <w:tr w:rsidR="00D91D5B" w:rsidRPr="008F24AC" w14:paraId="2FCDEC37" w14:textId="77777777" w:rsidTr="008F24AC">
        <w:trPr>
          <w:trHeight w:val="113"/>
        </w:trPr>
        <w:tc>
          <w:tcPr>
            <w:tcW w:w="0" w:type="auto"/>
            <w:noWrap/>
            <w:vAlign w:val="center"/>
            <w:hideMark/>
          </w:tcPr>
          <w:p w14:paraId="2E5ECD6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05FB480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27</w:t>
            </w:r>
          </w:p>
        </w:tc>
        <w:tc>
          <w:tcPr>
            <w:tcW w:w="0" w:type="auto"/>
            <w:noWrap/>
            <w:vAlign w:val="center"/>
            <w:hideMark/>
          </w:tcPr>
          <w:p w14:paraId="140628C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96</w:t>
            </w:r>
          </w:p>
        </w:tc>
        <w:tc>
          <w:tcPr>
            <w:tcW w:w="0" w:type="auto"/>
            <w:noWrap/>
            <w:vAlign w:val="center"/>
            <w:hideMark/>
          </w:tcPr>
          <w:p w14:paraId="4B58238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w:t>
            </w:r>
          </w:p>
        </w:tc>
        <w:tc>
          <w:tcPr>
            <w:tcW w:w="0" w:type="auto"/>
            <w:noWrap/>
            <w:vAlign w:val="center"/>
            <w:hideMark/>
          </w:tcPr>
          <w:p w14:paraId="0F57D0D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41</w:t>
            </w:r>
          </w:p>
        </w:tc>
        <w:tc>
          <w:tcPr>
            <w:tcW w:w="0" w:type="auto"/>
            <w:noWrap/>
            <w:vAlign w:val="center"/>
            <w:hideMark/>
          </w:tcPr>
          <w:p w14:paraId="36F3263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94</w:t>
            </w:r>
          </w:p>
        </w:tc>
        <w:tc>
          <w:tcPr>
            <w:tcW w:w="0" w:type="auto"/>
            <w:noWrap/>
            <w:vAlign w:val="center"/>
            <w:hideMark/>
          </w:tcPr>
          <w:p w14:paraId="290EC81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71F746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4CC1368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2B56ED0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40D11B8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311939DF"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Natale 2009</w:t>
            </w:r>
          </w:p>
        </w:tc>
      </w:tr>
      <w:tr w:rsidR="00D91D5B" w:rsidRPr="008F24AC" w14:paraId="7AD47A40" w14:textId="77777777" w:rsidTr="008F24AC">
        <w:trPr>
          <w:trHeight w:val="113"/>
        </w:trPr>
        <w:tc>
          <w:tcPr>
            <w:tcW w:w="0" w:type="auto"/>
            <w:noWrap/>
            <w:vAlign w:val="center"/>
            <w:hideMark/>
          </w:tcPr>
          <w:p w14:paraId="09EBC96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359A62F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15</w:t>
            </w:r>
          </w:p>
        </w:tc>
        <w:tc>
          <w:tcPr>
            <w:tcW w:w="0" w:type="auto"/>
            <w:noWrap/>
            <w:vAlign w:val="center"/>
            <w:hideMark/>
          </w:tcPr>
          <w:p w14:paraId="7ED267F3"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102</w:t>
            </w:r>
          </w:p>
        </w:tc>
        <w:tc>
          <w:tcPr>
            <w:tcW w:w="0" w:type="auto"/>
            <w:noWrap/>
            <w:vAlign w:val="center"/>
            <w:hideMark/>
          </w:tcPr>
          <w:p w14:paraId="68EAE28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4</w:t>
            </w:r>
          </w:p>
        </w:tc>
        <w:tc>
          <w:tcPr>
            <w:tcW w:w="0" w:type="auto"/>
            <w:noWrap/>
            <w:vAlign w:val="center"/>
            <w:hideMark/>
          </w:tcPr>
          <w:p w14:paraId="1600CAEE"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12</w:t>
            </w:r>
          </w:p>
        </w:tc>
        <w:tc>
          <w:tcPr>
            <w:tcW w:w="0" w:type="auto"/>
            <w:noWrap/>
            <w:vAlign w:val="center"/>
            <w:hideMark/>
          </w:tcPr>
          <w:p w14:paraId="3775D24C"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98</w:t>
            </w:r>
          </w:p>
        </w:tc>
        <w:tc>
          <w:tcPr>
            <w:tcW w:w="0" w:type="auto"/>
            <w:noWrap/>
            <w:vAlign w:val="center"/>
            <w:hideMark/>
          </w:tcPr>
          <w:p w14:paraId="3E116C2D"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3D6FC78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04463CF8"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159DAF0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5D50EE4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04D1AC8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Farthmann 2013</w:t>
            </w:r>
          </w:p>
        </w:tc>
      </w:tr>
      <w:tr w:rsidR="00D91D5B" w:rsidRPr="008F24AC" w14:paraId="6109A7C0" w14:textId="77777777" w:rsidTr="008F24AC">
        <w:trPr>
          <w:trHeight w:val="113"/>
        </w:trPr>
        <w:tc>
          <w:tcPr>
            <w:tcW w:w="0" w:type="auto"/>
            <w:noWrap/>
            <w:vAlign w:val="center"/>
            <w:hideMark/>
          </w:tcPr>
          <w:p w14:paraId="4462E6D4"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5</w:t>
            </w:r>
          </w:p>
        </w:tc>
        <w:tc>
          <w:tcPr>
            <w:tcW w:w="0" w:type="auto"/>
            <w:noWrap/>
            <w:vAlign w:val="center"/>
            <w:hideMark/>
          </w:tcPr>
          <w:p w14:paraId="213E3D5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8</w:t>
            </w:r>
          </w:p>
        </w:tc>
        <w:tc>
          <w:tcPr>
            <w:tcW w:w="0" w:type="auto"/>
            <w:noWrap/>
            <w:vAlign w:val="center"/>
            <w:hideMark/>
          </w:tcPr>
          <w:p w14:paraId="6BC402C7"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35</w:t>
            </w:r>
          </w:p>
        </w:tc>
        <w:tc>
          <w:tcPr>
            <w:tcW w:w="0" w:type="auto"/>
            <w:noWrap/>
            <w:vAlign w:val="center"/>
            <w:hideMark/>
          </w:tcPr>
          <w:p w14:paraId="59AB73C5"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7</w:t>
            </w:r>
          </w:p>
        </w:tc>
        <w:tc>
          <w:tcPr>
            <w:tcW w:w="0" w:type="auto"/>
            <w:noWrap/>
            <w:vAlign w:val="center"/>
            <w:hideMark/>
          </w:tcPr>
          <w:p w14:paraId="2185209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10</w:t>
            </w:r>
          </w:p>
        </w:tc>
        <w:tc>
          <w:tcPr>
            <w:tcW w:w="0" w:type="auto"/>
            <w:noWrap/>
            <w:vAlign w:val="center"/>
            <w:hideMark/>
          </w:tcPr>
          <w:p w14:paraId="0B3EFF8B"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35</w:t>
            </w:r>
          </w:p>
        </w:tc>
        <w:tc>
          <w:tcPr>
            <w:tcW w:w="0" w:type="auto"/>
            <w:noWrap/>
            <w:vAlign w:val="center"/>
            <w:hideMark/>
          </w:tcPr>
          <w:p w14:paraId="0ADE391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0A3FCBD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4C7AE2D2"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NA</w:t>
            </w:r>
          </w:p>
        </w:tc>
        <w:tc>
          <w:tcPr>
            <w:tcW w:w="0" w:type="auto"/>
            <w:noWrap/>
            <w:vAlign w:val="center"/>
            <w:hideMark/>
          </w:tcPr>
          <w:p w14:paraId="215C8096"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2</w:t>
            </w:r>
          </w:p>
        </w:tc>
        <w:tc>
          <w:tcPr>
            <w:tcW w:w="0" w:type="auto"/>
            <w:noWrap/>
            <w:vAlign w:val="center"/>
            <w:hideMark/>
          </w:tcPr>
          <w:p w14:paraId="74BDBC5A"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w:t>
            </w:r>
          </w:p>
        </w:tc>
        <w:tc>
          <w:tcPr>
            <w:tcW w:w="0" w:type="auto"/>
            <w:noWrap/>
            <w:vAlign w:val="center"/>
            <w:hideMark/>
          </w:tcPr>
          <w:p w14:paraId="2DEFBBF0" w14:textId="77777777" w:rsidR="00D91D5B" w:rsidRPr="008F24AC" w:rsidRDefault="00D91D5B" w:rsidP="00D64668">
            <w:pPr>
              <w:rPr>
                <w:rFonts w:eastAsia="Times New Roman" w:cs="Arial"/>
                <w:color w:val="000000"/>
                <w:lang w:eastAsia="en-GB"/>
              </w:rPr>
            </w:pPr>
            <w:r w:rsidRPr="008F24AC">
              <w:rPr>
                <w:rFonts w:eastAsia="Times New Roman" w:cs="Arial"/>
                <w:color w:val="000000"/>
                <w:lang w:eastAsia="en-GB"/>
              </w:rPr>
              <w:t>Minassian 2014</w:t>
            </w:r>
          </w:p>
        </w:tc>
      </w:tr>
    </w:tbl>
    <w:p w14:paraId="4692F20A" w14:textId="0FE0F232" w:rsidR="007F0296" w:rsidRPr="004F31AD" w:rsidRDefault="00D64668" w:rsidP="00A40BB3">
      <w:pPr>
        <w:rPr>
          <w:rFonts w:cs="Arial"/>
          <w:i/>
        </w:rPr>
      </w:pPr>
      <w:r w:rsidRPr="004F31AD">
        <w:rPr>
          <w:rFonts w:cs="Arial"/>
          <w:i/>
        </w:rPr>
        <w:t xml:space="preserve">Treatment codes: </w:t>
      </w:r>
      <w:r w:rsidR="00B31211" w:rsidRPr="004F31AD">
        <w:rPr>
          <w:rFonts w:cs="Arial"/>
          <w:i/>
        </w:rPr>
        <w:t>1</w:t>
      </w:r>
      <w:r w:rsidRPr="004F31AD">
        <w:rPr>
          <w:rFonts w:cs="Arial"/>
          <w:i/>
        </w:rPr>
        <w:t xml:space="preserve"> – anterior colporrhaphy (AC), 2 - AC &amp; synthetic non-absorbable mesh, 3 - AC &amp; biological mesh, 4 - AC &amp; synthetic partially absorbable mesh, 5 - AC &amp; synthetic absorbable mesh, 6 - Paravaginal repair &amp; synthetic non-absorbable mesh, 7 - Paravaginal defect repair (abdominal), 8 - Paravaginal repair &amp; biological mesh</w:t>
      </w:r>
    </w:p>
    <w:p w14:paraId="2C9BF2E5" w14:textId="75C1FF39" w:rsidR="00617B40" w:rsidRPr="004F31AD" w:rsidRDefault="00617B40" w:rsidP="00617B40">
      <w:pPr>
        <w:rPr>
          <w:ins w:id="0" w:author="Eric Slade" w:date="2019-08-09T10:16:00Z"/>
          <w:rFonts w:cs="Arial"/>
          <w:i/>
        </w:rPr>
      </w:pPr>
      <w:ins w:id="1" w:author="Eric Slade" w:date="2019-08-09T10:16:00Z">
        <w:r w:rsidRPr="004F31AD">
          <w:rPr>
            <w:rFonts w:cs="Arial"/>
            <w:i/>
            <w:vertAlign w:val="superscript"/>
          </w:rPr>
          <w:t>*</w:t>
        </w:r>
        <w:r w:rsidRPr="004F31AD">
          <w:rPr>
            <w:rFonts w:cs="Arial"/>
            <w:i/>
          </w:rPr>
          <w:t>During the peer-review process, it was discovered that Delroy 2013 and Dias 2016 are based on the same RCT. A sensitivity analysis was undertaken where a duplicate study was removed (Delroy 2013). However, due to its small sample and weight in the NMA, the effect estimates were unchanged (Table A4, Supplementary Appendices). As a result, the original dataset and analysis was retained.</w:t>
        </w:r>
      </w:ins>
    </w:p>
    <w:p w14:paraId="360A8FC3" w14:textId="77777777" w:rsidR="00617B40" w:rsidRDefault="00617B40" w:rsidP="00617B40">
      <w:pPr>
        <w:rPr>
          <w:rFonts w:ascii="Arial" w:hAnsi="Arial" w:cs="Arial"/>
          <w:i/>
          <w:sz w:val="18"/>
        </w:rPr>
      </w:pPr>
    </w:p>
    <w:p w14:paraId="20EAAD8D" w14:textId="77777777" w:rsidR="00617B40" w:rsidRDefault="00617B40" w:rsidP="00617B40">
      <w:pPr>
        <w:rPr>
          <w:rFonts w:ascii="Arial" w:hAnsi="Arial" w:cs="Arial"/>
          <w:b/>
        </w:rPr>
        <w:sectPr w:rsidR="00617B40" w:rsidSect="00D64668">
          <w:pgSz w:w="11906" w:h="16838"/>
          <w:pgMar w:top="1440" w:right="1440" w:bottom="1440" w:left="1440" w:header="709" w:footer="709" w:gutter="0"/>
          <w:cols w:space="708"/>
          <w:docGrid w:linePitch="360"/>
        </w:sectPr>
      </w:pPr>
    </w:p>
    <w:p w14:paraId="232C46E3" w14:textId="084C8C6A" w:rsidR="006D747C" w:rsidRPr="004F31AD" w:rsidRDefault="006D747C" w:rsidP="006D747C">
      <w:pPr>
        <w:rPr>
          <w:rFonts w:cs="Arial"/>
        </w:rPr>
      </w:pPr>
      <w:r w:rsidRPr="004F31AD">
        <w:rPr>
          <w:rFonts w:cs="Arial"/>
          <w:b/>
        </w:rPr>
        <w:lastRenderedPageBreak/>
        <w:t>Table S</w:t>
      </w:r>
      <w:r w:rsidR="0071559A" w:rsidRPr="004F31AD">
        <w:rPr>
          <w:rFonts w:cs="Arial"/>
          <w:b/>
        </w:rPr>
        <w:t>4</w:t>
      </w:r>
      <w:r w:rsidRPr="004F31AD">
        <w:rPr>
          <w:rFonts w:cs="Arial"/>
          <w:b/>
        </w:rPr>
        <w:t>. Summary of deterministic sensitivity analyses.</w:t>
      </w:r>
      <w:r w:rsidR="00375734" w:rsidRPr="004F31AD">
        <w:rPr>
          <w:rFonts w:cs="Arial"/>
          <w:b/>
        </w:rPr>
        <w:t xml:space="preserve"> </w:t>
      </w:r>
      <w:r w:rsidR="00375734" w:rsidRPr="004F31AD">
        <w:rPr>
          <w:rFonts w:cs="Arial"/>
        </w:rPr>
        <w:t>(</w:t>
      </w:r>
      <w:r w:rsidRPr="004F31AD">
        <w:rPr>
          <w:rFonts w:cs="Arial"/>
        </w:rPr>
        <w:t xml:space="preserve">Results of deterministic sensitivity analyses on NMB using £20,000 per QALY threshold. The results indicate that under most scenarios explored the NMB remains the highest for </w:t>
      </w:r>
      <w:r w:rsidR="002A09D9" w:rsidRPr="004F31AD">
        <w:rPr>
          <w:rFonts w:cs="Arial"/>
        </w:rPr>
        <w:t>AC</w:t>
      </w:r>
      <w:r w:rsidRPr="004F31AD">
        <w:rPr>
          <w:rFonts w:cs="Arial"/>
        </w:rPr>
        <w:t xml:space="preserve"> without mesh. For example, when the probability of anatomical recurrence that requires further management is varied between 0.40 and 0.60, NMB for AC is between £190,515-189,656, which is more than NMB for biological mesh of £189,496-188,786, synthetic partially absorbable mesh £187,509-186,848, and synthetic non-absorbable mesh £187,560-186,869).</w:t>
      </w:r>
    </w:p>
    <w:tbl>
      <w:tblPr>
        <w:tblW w:w="4752" w:type="pct"/>
        <w:tblInd w:w="195" w:type="dxa"/>
        <w:tblBorders>
          <w:top w:val="single" w:sz="12" w:space="0" w:color="auto"/>
          <w:bottom w:val="single" w:sz="12" w:space="0" w:color="auto"/>
        </w:tblBorders>
        <w:tblLook w:val="04A0" w:firstRow="1" w:lastRow="0" w:firstColumn="1" w:lastColumn="0" w:noHBand="0" w:noVBand="1"/>
      </w:tblPr>
      <w:tblGrid>
        <w:gridCol w:w="4294"/>
        <w:gridCol w:w="1642"/>
        <w:gridCol w:w="824"/>
        <w:gridCol w:w="826"/>
        <w:gridCol w:w="826"/>
        <w:gridCol w:w="1038"/>
        <w:gridCol w:w="984"/>
        <w:gridCol w:w="1054"/>
        <w:gridCol w:w="1202"/>
        <w:gridCol w:w="887"/>
      </w:tblGrid>
      <w:tr w:rsidR="006D747C" w:rsidRPr="004F31AD" w14:paraId="59F4A19B" w14:textId="77777777" w:rsidTr="004F31AD">
        <w:trPr>
          <w:trHeight w:val="20"/>
        </w:trPr>
        <w:tc>
          <w:tcPr>
            <w:tcW w:w="1582" w:type="pct"/>
            <w:tcBorders>
              <w:bottom w:val="nil"/>
            </w:tcBorders>
            <w:shd w:val="clear" w:color="000000" w:fill="FFFFFF"/>
            <w:vAlign w:val="center"/>
            <w:hideMark/>
          </w:tcPr>
          <w:p w14:paraId="74A83BE4"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 </w:t>
            </w:r>
          </w:p>
        </w:tc>
        <w:tc>
          <w:tcPr>
            <w:tcW w:w="601" w:type="pct"/>
            <w:tcBorders>
              <w:bottom w:val="nil"/>
            </w:tcBorders>
            <w:shd w:val="clear" w:color="000000" w:fill="FFFFFF"/>
            <w:noWrap/>
            <w:vAlign w:val="center"/>
            <w:hideMark/>
          </w:tcPr>
          <w:p w14:paraId="750E9A5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 </w:t>
            </w:r>
          </w:p>
        </w:tc>
        <w:tc>
          <w:tcPr>
            <w:tcW w:w="607" w:type="pct"/>
            <w:gridSpan w:val="2"/>
            <w:tcBorders>
              <w:bottom w:val="nil"/>
            </w:tcBorders>
            <w:shd w:val="clear" w:color="000000" w:fill="FFFFFF"/>
            <w:vAlign w:val="center"/>
            <w:hideMark/>
          </w:tcPr>
          <w:p w14:paraId="4C437623"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AC</w:t>
            </w:r>
          </w:p>
        </w:tc>
        <w:tc>
          <w:tcPr>
            <w:tcW w:w="688" w:type="pct"/>
            <w:gridSpan w:val="2"/>
            <w:tcBorders>
              <w:bottom w:val="nil"/>
            </w:tcBorders>
            <w:shd w:val="clear" w:color="000000" w:fill="FFFFFF"/>
            <w:vAlign w:val="center"/>
            <w:hideMark/>
          </w:tcPr>
          <w:p w14:paraId="5317ECAA"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AC plus biological mesh</w:t>
            </w:r>
          </w:p>
        </w:tc>
        <w:tc>
          <w:tcPr>
            <w:tcW w:w="752" w:type="pct"/>
            <w:gridSpan w:val="2"/>
            <w:tcBorders>
              <w:bottom w:val="nil"/>
            </w:tcBorders>
            <w:shd w:val="clear" w:color="000000" w:fill="FFFFFF"/>
            <w:vAlign w:val="center"/>
            <w:hideMark/>
          </w:tcPr>
          <w:p w14:paraId="57DF0854"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AC plus synthetic partially absorbable mesh</w:t>
            </w:r>
          </w:p>
        </w:tc>
        <w:tc>
          <w:tcPr>
            <w:tcW w:w="771" w:type="pct"/>
            <w:gridSpan w:val="2"/>
            <w:tcBorders>
              <w:bottom w:val="nil"/>
            </w:tcBorders>
            <w:shd w:val="clear" w:color="000000" w:fill="FFFFFF"/>
            <w:vAlign w:val="center"/>
            <w:hideMark/>
          </w:tcPr>
          <w:p w14:paraId="224F5ECD"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AC plus synthetic non-absorbable mesh</w:t>
            </w:r>
          </w:p>
        </w:tc>
      </w:tr>
      <w:tr w:rsidR="006D747C" w:rsidRPr="004F31AD" w14:paraId="7B6367ED" w14:textId="77777777" w:rsidTr="004F31AD">
        <w:trPr>
          <w:trHeight w:val="20"/>
        </w:trPr>
        <w:tc>
          <w:tcPr>
            <w:tcW w:w="1582" w:type="pct"/>
            <w:tcBorders>
              <w:top w:val="nil"/>
              <w:bottom w:val="single" w:sz="4" w:space="0" w:color="auto"/>
            </w:tcBorders>
            <w:shd w:val="clear" w:color="auto" w:fill="auto"/>
            <w:vAlign w:val="center"/>
            <w:hideMark/>
          </w:tcPr>
          <w:p w14:paraId="18E8ADEC"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Model input</w:t>
            </w:r>
          </w:p>
        </w:tc>
        <w:tc>
          <w:tcPr>
            <w:tcW w:w="601" w:type="pct"/>
            <w:tcBorders>
              <w:top w:val="nil"/>
              <w:bottom w:val="single" w:sz="4" w:space="0" w:color="auto"/>
            </w:tcBorders>
            <w:shd w:val="clear" w:color="auto" w:fill="auto"/>
            <w:vAlign w:val="center"/>
            <w:hideMark/>
          </w:tcPr>
          <w:p w14:paraId="3164FED1"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Base case values, and upper and lower values explored in the sensitivity analyses</w:t>
            </w:r>
          </w:p>
        </w:tc>
        <w:tc>
          <w:tcPr>
            <w:tcW w:w="302" w:type="pct"/>
            <w:tcBorders>
              <w:top w:val="nil"/>
              <w:bottom w:val="single" w:sz="4" w:space="0" w:color="auto"/>
            </w:tcBorders>
            <w:shd w:val="clear" w:color="auto" w:fill="auto"/>
            <w:vAlign w:val="center"/>
            <w:hideMark/>
          </w:tcPr>
          <w:p w14:paraId="0A9067BA"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NMB using low estimate</w:t>
            </w:r>
          </w:p>
        </w:tc>
        <w:tc>
          <w:tcPr>
            <w:tcW w:w="304" w:type="pct"/>
            <w:tcBorders>
              <w:top w:val="nil"/>
              <w:bottom w:val="single" w:sz="4" w:space="0" w:color="auto"/>
            </w:tcBorders>
            <w:shd w:val="clear" w:color="auto" w:fill="auto"/>
            <w:vAlign w:val="center"/>
            <w:hideMark/>
          </w:tcPr>
          <w:p w14:paraId="60E80F34"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NMB using high estimate</w:t>
            </w:r>
          </w:p>
        </w:tc>
        <w:tc>
          <w:tcPr>
            <w:tcW w:w="305" w:type="pct"/>
            <w:tcBorders>
              <w:top w:val="nil"/>
              <w:bottom w:val="single" w:sz="4" w:space="0" w:color="auto"/>
            </w:tcBorders>
            <w:shd w:val="clear" w:color="auto" w:fill="auto"/>
            <w:vAlign w:val="center"/>
            <w:hideMark/>
          </w:tcPr>
          <w:p w14:paraId="419C266A"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NMB using low estimate</w:t>
            </w:r>
          </w:p>
        </w:tc>
        <w:tc>
          <w:tcPr>
            <w:tcW w:w="383" w:type="pct"/>
            <w:tcBorders>
              <w:top w:val="nil"/>
              <w:bottom w:val="single" w:sz="4" w:space="0" w:color="auto"/>
            </w:tcBorders>
            <w:shd w:val="clear" w:color="auto" w:fill="auto"/>
            <w:vAlign w:val="center"/>
            <w:hideMark/>
          </w:tcPr>
          <w:p w14:paraId="1E7A9943"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NMB using high estimate</w:t>
            </w:r>
          </w:p>
        </w:tc>
        <w:tc>
          <w:tcPr>
            <w:tcW w:w="363" w:type="pct"/>
            <w:tcBorders>
              <w:top w:val="nil"/>
              <w:bottom w:val="single" w:sz="4" w:space="0" w:color="auto"/>
            </w:tcBorders>
            <w:shd w:val="clear" w:color="auto" w:fill="auto"/>
            <w:vAlign w:val="center"/>
            <w:hideMark/>
          </w:tcPr>
          <w:p w14:paraId="60565044"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NMB using low estimate</w:t>
            </w:r>
          </w:p>
        </w:tc>
        <w:tc>
          <w:tcPr>
            <w:tcW w:w="388" w:type="pct"/>
            <w:tcBorders>
              <w:top w:val="nil"/>
              <w:bottom w:val="single" w:sz="4" w:space="0" w:color="auto"/>
            </w:tcBorders>
            <w:shd w:val="clear" w:color="auto" w:fill="auto"/>
            <w:vAlign w:val="center"/>
            <w:hideMark/>
          </w:tcPr>
          <w:p w14:paraId="6A5231FE"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NMB using high estimate</w:t>
            </w:r>
          </w:p>
        </w:tc>
        <w:tc>
          <w:tcPr>
            <w:tcW w:w="443" w:type="pct"/>
            <w:tcBorders>
              <w:top w:val="nil"/>
              <w:bottom w:val="single" w:sz="4" w:space="0" w:color="auto"/>
            </w:tcBorders>
            <w:shd w:val="clear" w:color="auto" w:fill="auto"/>
            <w:vAlign w:val="center"/>
            <w:hideMark/>
          </w:tcPr>
          <w:p w14:paraId="6E54CFB0"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NMB using low estimate</w:t>
            </w:r>
          </w:p>
        </w:tc>
        <w:tc>
          <w:tcPr>
            <w:tcW w:w="328" w:type="pct"/>
            <w:tcBorders>
              <w:top w:val="nil"/>
              <w:bottom w:val="single" w:sz="4" w:space="0" w:color="auto"/>
            </w:tcBorders>
            <w:shd w:val="clear" w:color="auto" w:fill="auto"/>
            <w:vAlign w:val="center"/>
            <w:hideMark/>
          </w:tcPr>
          <w:p w14:paraId="46B07ACA" w14:textId="77777777" w:rsidR="006D747C" w:rsidRPr="004F31AD" w:rsidRDefault="006D747C" w:rsidP="006D747C">
            <w:pPr>
              <w:spacing w:after="0" w:line="240" w:lineRule="auto"/>
              <w:jc w:val="center"/>
              <w:rPr>
                <w:rFonts w:eastAsia="Times New Roman" w:cs="Arial"/>
                <w:b/>
                <w:bCs/>
                <w:sz w:val="16"/>
                <w:szCs w:val="20"/>
                <w:lang w:eastAsia="en-GB"/>
              </w:rPr>
            </w:pPr>
            <w:r w:rsidRPr="004F31AD">
              <w:rPr>
                <w:rFonts w:eastAsia="Times New Roman" w:cs="Arial"/>
                <w:b/>
                <w:bCs/>
                <w:sz w:val="16"/>
                <w:szCs w:val="20"/>
                <w:lang w:eastAsia="en-GB"/>
              </w:rPr>
              <w:t>NMB using high estimate</w:t>
            </w:r>
          </w:p>
        </w:tc>
      </w:tr>
      <w:tr w:rsidR="006D747C" w:rsidRPr="004F31AD" w14:paraId="2FB93F73" w14:textId="77777777" w:rsidTr="004F31AD">
        <w:trPr>
          <w:trHeight w:val="20"/>
        </w:trPr>
        <w:tc>
          <w:tcPr>
            <w:tcW w:w="1582" w:type="pct"/>
            <w:tcBorders>
              <w:top w:val="single" w:sz="4" w:space="0" w:color="auto"/>
            </w:tcBorders>
            <w:shd w:val="clear" w:color="auto" w:fill="auto"/>
            <w:vAlign w:val="center"/>
            <w:hideMark/>
          </w:tcPr>
          <w:p w14:paraId="2F96F96B"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Anatomical recurrence requiring further management</w:t>
            </w:r>
          </w:p>
        </w:tc>
        <w:tc>
          <w:tcPr>
            <w:tcW w:w="601" w:type="pct"/>
            <w:tcBorders>
              <w:top w:val="single" w:sz="4" w:space="0" w:color="auto"/>
            </w:tcBorders>
            <w:shd w:val="clear" w:color="auto" w:fill="auto"/>
            <w:noWrap/>
            <w:vAlign w:val="center"/>
            <w:hideMark/>
          </w:tcPr>
          <w:p w14:paraId="4DEB3D5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0.50 (0.40, 0.60)</w:t>
            </w:r>
          </w:p>
        </w:tc>
        <w:tc>
          <w:tcPr>
            <w:tcW w:w="302" w:type="pct"/>
            <w:tcBorders>
              <w:top w:val="single" w:sz="4" w:space="0" w:color="auto"/>
            </w:tcBorders>
            <w:shd w:val="clear" w:color="auto" w:fill="auto"/>
            <w:noWrap/>
            <w:hideMark/>
          </w:tcPr>
          <w:p w14:paraId="549CE05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£190,515</w:t>
            </w:r>
          </w:p>
        </w:tc>
        <w:tc>
          <w:tcPr>
            <w:tcW w:w="304" w:type="pct"/>
            <w:tcBorders>
              <w:top w:val="single" w:sz="4" w:space="0" w:color="auto"/>
            </w:tcBorders>
            <w:shd w:val="clear" w:color="auto" w:fill="auto"/>
            <w:noWrap/>
            <w:hideMark/>
          </w:tcPr>
          <w:p w14:paraId="21562F43"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£189,656</w:t>
            </w:r>
          </w:p>
        </w:tc>
        <w:tc>
          <w:tcPr>
            <w:tcW w:w="305" w:type="pct"/>
            <w:tcBorders>
              <w:top w:val="single" w:sz="4" w:space="0" w:color="auto"/>
            </w:tcBorders>
            <w:shd w:val="clear" w:color="auto" w:fill="auto"/>
            <w:noWrap/>
            <w:hideMark/>
          </w:tcPr>
          <w:p w14:paraId="025FDAC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£189,496</w:t>
            </w:r>
          </w:p>
        </w:tc>
        <w:tc>
          <w:tcPr>
            <w:tcW w:w="383" w:type="pct"/>
            <w:tcBorders>
              <w:top w:val="single" w:sz="4" w:space="0" w:color="auto"/>
            </w:tcBorders>
            <w:shd w:val="clear" w:color="auto" w:fill="auto"/>
            <w:noWrap/>
            <w:hideMark/>
          </w:tcPr>
          <w:p w14:paraId="3259026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£188,786</w:t>
            </w:r>
          </w:p>
        </w:tc>
        <w:tc>
          <w:tcPr>
            <w:tcW w:w="363" w:type="pct"/>
            <w:tcBorders>
              <w:top w:val="single" w:sz="4" w:space="0" w:color="auto"/>
            </w:tcBorders>
            <w:shd w:val="clear" w:color="auto" w:fill="auto"/>
            <w:noWrap/>
            <w:hideMark/>
          </w:tcPr>
          <w:p w14:paraId="1BBDD16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£187,509</w:t>
            </w:r>
          </w:p>
        </w:tc>
        <w:tc>
          <w:tcPr>
            <w:tcW w:w="388" w:type="pct"/>
            <w:tcBorders>
              <w:top w:val="single" w:sz="4" w:space="0" w:color="auto"/>
            </w:tcBorders>
            <w:shd w:val="clear" w:color="auto" w:fill="auto"/>
            <w:noWrap/>
            <w:hideMark/>
          </w:tcPr>
          <w:p w14:paraId="5C1859A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£186,848</w:t>
            </w:r>
          </w:p>
        </w:tc>
        <w:tc>
          <w:tcPr>
            <w:tcW w:w="443" w:type="pct"/>
            <w:tcBorders>
              <w:top w:val="single" w:sz="4" w:space="0" w:color="auto"/>
            </w:tcBorders>
            <w:shd w:val="clear" w:color="auto" w:fill="auto"/>
            <w:noWrap/>
            <w:hideMark/>
          </w:tcPr>
          <w:p w14:paraId="2D343CB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£187,560</w:t>
            </w:r>
          </w:p>
        </w:tc>
        <w:tc>
          <w:tcPr>
            <w:tcW w:w="328" w:type="pct"/>
            <w:tcBorders>
              <w:top w:val="single" w:sz="4" w:space="0" w:color="auto"/>
            </w:tcBorders>
            <w:shd w:val="clear" w:color="auto" w:fill="auto"/>
            <w:noWrap/>
            <w:hideMark/>
          </w:tcPr>
          <w:p w14:paraId="4809817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£186,869</w:t>
            </w:r>
          </w:p>
        </w:tc>
      </w:tr>
      <w:tr w:rsidR="006D747C" w:rsidRPr="004F31AD" w14:paraId="27AD1F4B" w14:textId="77777777" w:rsidTr="004F31AD">
        <w:trPr>
          <w:trHeight w:val="20"/>
        </w:trPr>
        <w:tc>
          <w:tcPr>
            <w:tcW w:w="1582" w:type="pct"/>
            <w:shd w:val="clear" w:color="auto" w:fill="auto"/>
            <w:vAlign w:val="center"/>
            <w:hideMark/>
          </w:tcPr>
          <w:p w14:paraId="70C3EA9A"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Cost mesh erosion (initial)</w:t>
            </w:r>
          </w:p>
        </w:tc>
        <w:tc>
          <w:tcPr>
            <w:tcW w:w="601" w:type="pct"/>
            <w:shd w:val="clear" w:color="auto" w:fill="auto"/>
            <w:noWrap/>
            <w:vAlign w:val="center"/>
            <w:hideMark/>
          </w:tcPr>
          <w:p w14:paraId="270C0F4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£1207 (£965, £1448)</w:t>
            </w:r>
          </w:p>
        </w:tc>
        <w:tc>
          <w:tcPr>
            <w:tcW w:w="302" w:type="pct"/>
            <w:shd w:val="clear" w:color="auto" w:fill="auto"/>
            <w:noWrap/>
            <w:hideMark/>
          </w:tcPr>
          <w:p w14:paraId="14B20D7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0DBAD0A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52E2F19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£189,152</w:t>
            </w:r>
          </w:p>
        </w:tc>
        <w:tc>
          <w:tcPr>
            <w:tcW w:w="383" w:type="pct"/>
            <w:shd w:val="clear" w:color="auto" w:fill="auto"/>
            <w:noWrap/>
            <w:hideMark/>
          </w:tcPr>
          <w:p w14:paraId="675A97F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£189,130</w:t>
            </w:r>
          </w:p>
        </w:tc>
        <w:tc>
          <w:tcPr>
            <w:tcW w:w="363" w:type="pct"/>
            <w:shd w:val="clear" w:color="auto" w:fill="auto"/>
            <w:noWrap/>
            <w:hideMark/>
          </w:tcPr>
          <w:p w14:paraId="19852A2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£187,254</w:t>
            </w:r>
          </w:p>
        </w:tc>
        <w:tc>
          <w:tcPr>
            <w:tcW w:w="388" w:type="pct"/>
            <w:shd w:val="clear" w:color="auto" w:fill="auto"/>
            <w:noWrap/>
            <w:hideMark/>
          </w:tcPr>
          <w:p w14:paraId="24AF46A8"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£187,103</w:t>
            </w:r>
          </w:p>
        </w:tc>
        <w:tc>
          <w:tcPr>
            <w:tcW w:w="443" w:type="pct"/>
            <w:shd w:val="clear" w:color="auto" w:fill="auto"/>
            <w:noWrap/>
            <w:hideMark/>
          </w:tcPr>
          <w:p w14:paraId="733653C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£187,283</w:t>
            </w:r>
          </w:p>
        </w:tc>
        <w:tc>
          <w:tcPr>
            <w:tcW w:w="328" w:type="pct"/>
            <w:shd w:val="clear" w:color="auto" w:fill="auto"/>
            <w:noWrap/>
            <w:hideMark/>
          </w:tcPr>
          <w:p w14:paraId="0637D9D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£187,146</w:t>
            </w:r>
          </w:p>
        </w:tc>
      </w:tr>
      <w:tr w:rsidR="006D747C" w:rsidRPr="004F31AD" w14:paraId="0D51A8A8" w14:textId="77777777" w:rsidTr="004F31AD">
        <w:trPr>
          <w:trHeight w:val="20"/>
        </w:trPr>
        <w:tc>
          <w:tcPr>
            <w:tcW w:w="1582" w:type="pct"/>
            <w:shd w:val="clear" w:color="auto" w:fill="auto"/>
            <w:vAlign w:val="center"/>
            <w:hideMark/>
          </w:tcPr>
          <w:p w14:paraId="37964255"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Cost mesh erosion (persistent)</w:t>
            </w:r>
          </w:p>
        </w:tc>
        <w:tc>
          <w:tcPr>
            <w:tcW w:w="601" w:type="pct"/>
            <w:shd w:val="clear" w:color="auto" w:fill="auto"/>
            <w:noWrap/>
            <w:vAlign w:val="center"/>
            <w:hideMark/>
          </w:tcPr>
          <w:p w14:paraId="1A7B98A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£80 (£0, £97)</w:t>
            </w:r>
          </w:p>
        </w:tc>
        <w:tc>
          <w:tcPr>
            <w:tcW w:w="302" w:type="pct"/>
            <w:shd w:val="clear" w:color="auto" w:fill="auto"/>
            <w:noWrap/>
            <w:hideMark/>
          </w:tcPr>
          <w:p w14:paraId="129C66C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1520DDC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28E804B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£189,147</w:t>
            </w:r>
          </w:p>
        </w:tc>
        <w:tc>
          <w:tcPr>
            <w:tcW w:w="383" w:type="pct"/>
            <w:shd w:val="clear" w:color="auto" w:fill="auto"/>
            <w:noWrap/>
            <w:hideMark/>
          </w:tcPr>
          <w:p w14:paraId="6808AA0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£189,140</w:t>
            </w:r>
          </w:p>
        </w:tc>
        <w:tc>
          <w:tcPr>
            <w:tcW w:w="363" w:type="pct"/>
            <w:shd w:val="clear" w:color="auto" w:fill="auto"/>
            <w:noWrap/>
            <w:hideMark/>
          </w:tcPr>
          <w:p w14:paraId="2F6FC36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£187,216</w:t>
            </w:r>
          </w:p>
        </w:tc>
        <w:tc>
          <w:tcPr>
            <w:tcW w:w="388" w:type="pct"/>
            <w:shd w:val="clear" w:color="auto" w:fill="auto"/>
            <w:noWrap/>
            <w:hideMark/>
          </w:tcPr>
          <w:p w14:paraId="6DA93A9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£187,171</w:t>
            </w:r>
          </w:p>
        </w:tc>
        <w:tc>
          <w:tcPr>
            <w:tcW w:w="443" w:type="pct"/>
            <w:shd w:val="clear" w:color="auto" w:fill="auto"/>
            <w:noWrap/>
            <w:hideMark/>
          </w:tcPr>
          <w:p w14:paraId="10396E5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£187,252</w:t>
            </w:r>
          </w:p>
        </w:tc>
        <w:tc>
          <w:tcPr>
            <w:tcW w:w="328" w:type="pct"/>
            <w:shd w:val="clear" w:color="auto" w:fill="auto"/>
            <w:noWrap/>
            <w:hideMark/>
          </w:tcPr>
          <w:p w14:paraId="064B2ED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£187,207</w:t>
            </w:r>
          </w:p>
        </w:tc>
      </w:tr>
      <w:tr w:rsidR="006D747C" w:rsidRPr="004F31AD" w14:paraId="23129C60" w14:textId="77777777" w:rsidTr="004F31AD">
        <w:trPr>
          <w:trHeight w:val="20"/>
        </w:trPr>
        <w:tc>
          <w:tcPr>
            <w:tcW w:w="1582" w:type="pct"/>
            <w:shd w:val="clear" w:color="auto" w:fill="auto"/>
            <w:vAlign w:val="center"/>
            <w:hideMark/>
          </w:tcPr>
          <w:p w14:paraId="10BFFCBE"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Cost of biological mesh</w:t>
            </w:r>
          </w:p>
        </w:tc>
        <w:tc>
          <w:tcPr>
            <w:tcW w:w="601" w:type="pct"/>
            <w:shd w:val="clear" w:color="auto" w:fill="auto"/>
            <w:noWrap/>
            <w:vAlign w:val="center"/>
            <w:hideMark/>
          </w:tcPr>
          <w:p w14:paraId="304FB1F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£315 (£157, £472)</w:t>
            </w:r>
          </w:p>
        </w:tc>
        <w:tc>
          <w:tcPr>
            <w:tcW w:w="302" w:type="pct"/>
            <w:shd w:val="clear" w:color="auto" w:fill="auto"/>
            <w:noWrap/>
            <w:hideMark/>
          </w:tcPr>
          <w:p w14:paraId="7C6BC36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4D34ECE3"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0270949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£189,293</w:t>
            </w:r>
          </w:p>
        </w:tc>
        <w:tc>
          <w:tcPr>
            <w:tcW w:w="383" w:type="pct"/>
            <w:shd w:val="clear" w:color="auto" w:fill="auto"/>
            <w:noWrap/>
            <w:hideMark/>
          </w:tcPr>
          <w:p w14:paraId="3401FDD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£188,989</w:t>
            </w:r>
          </w:p>
        </w:tc>
        <w:tc>
          <w:tcPr>
            <w:tcW w:w="363" w:type="pct"/>
            <w:shd w:val="clear" w:color="auto" w:fill="auto"/>
            <w:noWrap/>
            <w:hideMark/>
          </w:tcPr>
          <w:p w14:paraId="4B73DA6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388" w:type="pct"/>
            <w:shd w:val="clear" w:color="auto" w:fill="auto"/>
            <w:noWrap/>
            <w:hideMark/>
          </w:tcPr>
          <w:p w14:paraId="368F76B8"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443" w:type="pct"/>
            <w:shd w:val="clear" w:color="auto" w:fill="auto"/>
            <w:noWrap/>
            <w:hideMark/>
          </w:tcPr>
          <w:p w14:paraId="38CA32A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c>
          <w:tcPr>
            <w:tcW w:w="328" w:type="pct"/>
            <w:shd w:val="clear" w:color="auto" w:fill="auto"/>
            <w:noWrap/>
            <w:hideMark/>
          </w:tcPr>
          <w:p w14:paraId="400536C3"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r>
      <w:tr w:rsidR="006D747C" w:rsidRPr="004F31AD" w14:paraId="239D68A5" w14:textId="77777777" w:rsidTr="004F31AD">
        <w:trPr>
          <w:trHeight w:val="20"/>
        </w:trPr>
        <w:tc>
          <w:tcPr>
            <w:tcW w:w="1582" w:type="pct"/>
            <w:shd w:val="clear" w:color="auto" w:fill="auto"/>
            <w:vAlign w:val="center"/>
            <w:hideMark/>
          </w:tcPr>
          <w:p w14:paraId="1C05D7EF"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Cost of conservative management</w:t>
            </w:r>
          </w:p>
        </w:tc>
        <w:tc>
          <w:tcPr>
            <w:tcW w:w="601" w:type="pct"/>
            <w:shd w:val="clear" w:color="auto" w:fill="auto"/>
            <w:noWrap/>
            <w:vAlign w:val="center"/>
            <w:hideMark/>
          </w:tcPr>
          <w:p w14:paraId="2739A32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£546 (£436, £655)</w:t>
            </w:r>
          </w:p>
        </w:tc>
        <w:tc>
          <w:tcPr>
            <w:tcW w:w="302" w:type="pct"/>
            <w:shd w:val="clear" w:color="auto" w:fill="auto"/>
            <w:noWrap/>
            <w:hideMark/>
          </w:tcPr>
          <w:p w14:paraId="6933B80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£190,277</w:t>
            </w:r>
          </w:p>
        </w:tc>
        <w:tc>
          <w:tcPr>
            <w:tcW w:w="304" w:type="pct"/>
            <w:shd w:val="clear" w:color="auto" w:fill="auto"/>
            <w:noWrap/>
            <w:hideMark/>
          </w:tcPr>
          <w:p w14:paraId="002891C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£189,894</w:t>
            </w:r>
          </w:p>
        </w:tc>
        <w:tc>
          <w:tcPr>
            <w:tcW w:w="305" w:type="pct"/>
            <w:shd w:val="clear" w:color="auto" w:fill="auto"/>
            <w:noWrap/>
            <w:hideMark/>
          </w:tcPr>
          <w:p w14:paraId="2F6C7A7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£189,299</w:t>
            </w:r>
          </w:p>
        </w:tc>
        <w:tc>
          <w:tcPr>
            <w:tcW w:w="383" w:type="pct"/>
            <w:shd w:val="clear" w:color="auto" w:fill="auto"/>
            <w:noWrap/>
            <w:hideMark/>
          </w:tcPr>
          <w:p w14:paraId="6FA23F6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£188,983</w:t>
            </w:r>
          </w:p>
        </w:tc>
        <w:tc>
          <w:tcPr>
            <w:tcW w:w="363" w:type="pct"/>
            <w:shd w:val="clear" w:color="auto" w:fill="auto"/>
            <w:noWrap/>
            <w:hideMark/>
          </w:tcPr>
          <w:p w14:paraId="3E665DE8"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£187,325</w:t>
            </w:r>
          </w:p>
        </w:tc>
        <w:tc>
          <w:tcPr>
            <w:tcW w:w="388" w:type="pct"/>
            <w:shd w:val="clear" w:color="auto" w:fill="auto"/>
            <w:noWrap/>
            <w:hideMark/>
          </w:tcPr>
          <w:p w14:paraId="782D55E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£187,031</w:t>
            </w:r>
          </w:p>
        </w:tc>
        <w:tc>
          <w:tcPr>
            <w:tcW w:w="443" w:type="pct"/>
            <w:shd w:val="clear" w:color="auto" w:fill="auto"/>
            <w:noWrap/>
            <w:hideMark/>
          </w:tcPr>
          <w:p w14:paraId="7E44BFA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£187,368</w:t>
            </w:r>
          </w:p>
        </w:tc>
        <w:tc>
          <w:tcPr>
            <w:tcW w:w="328" w:type="pct"/>
            <w:shd w:val="clear" w:color="auto" w:fill="auto"/>
            <w:noWrap/>
            <w:hideMark/>
          </w:tcPr>
          <w:p w14:paraId="2E7A445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£187,060</w:t>
            </w:r>
          </w:p>
        </w:tc>
      </w:tr>
      <w:tr w:rsidR="006D747C" w:rsidRPr="004F31AD" w14:paraId="574226EB" w14:textId="77777777" w:rsidTr="004F31AD">
        <w:trPr>
          <w:trHeight w:val="20"/>
        </w:trPr>
        <w:tc>
          <w:tcPr>
            <w:tcW w:w="1582" w:type="pct"/>
            <w:shd w:val="clear" w:color="auto" w:fill="auto"/>
            <w:vAlign w:val="center"/>
            <w:hideMark/>
          </w:tcPr>
          <w:p w14:paraId="68C45902"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Cost of non-absorbable mesh</w:t>
            </w:r>
          </w:p>
        </w:tc>
        <w:tc>
          <w:tcPr>
            <w:tcW w:w="601" w:type="pct"/>
            <w:shd w:val="clear" w:color="auto" w:fill="auto"/>
            <w:noWrap/>
            <w:vAlign w:val="center"/>
            <w:hideMark/>
          </w:tcPr>
          <w:p w14:paraId="4F977E1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£115 (£57, £172)</w:t>
            </w:r>
          </w:p>
        </w:tc>
        <w:tc>
          <w:tcPr>
            <w:tcW w:w="302" w:type="pct"/>
            <w:shd w:val="clear" w:color="auto" w:fill="auto"/>
            <w:noWrap/>
            <w:hideMark/>
          </w:tcPr>
          <w:p w14:paraId="01CDF6F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5587AF0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5151945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83" w:type="pct"/>
            <w:shd w:val="clear" w:color="auto" w:fill="auto"/>
            <w:noWrap/>
            <w:hideMark/>
          </w:tcPr>
          <w:p w14:paraId="41B438A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63" w:type="pct"/>
            <w:shd w:val="clear" w:color="auto" w:fill="auto"/>
            <w:noWrap/>
            <w:hideMark/>
          </w:tcPr>
          <w:p w14:paraId="39ED315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388" w:type="pct"/>
            <w:shd w:val="clear" w:color="auto" w:fill="auto"/>
            <w:noWrap/>
            <w:hideMark/>
          </w:tcPr>
          <w:p w14:paraId="5B8B6B1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443" w:type="pct"/>
            <w:shd w:val="clear" w:color="auto" w:fill="auto"/>
            <w:noWrap/>
            <w:hideMark/>
          </w:tcPr>
          <w:p w14:paraId="0E9834F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£187,270</w:t>
            </w:r>
          </w:p>
        </w:tc>
        <w:tc>
          <w:tcPr>
            <w:tcW w:w="328" w:type="pct"/>
            <w:shd w:val="clear" w:color="auto" w:fill="auto"/>
            <w:noWrap/>
            <w:hideMark/>
          </w:tcPr>
          <w:p w14:paraId="00339E0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£187,159</w:t>
            </w:r>
          </w:p>
        </w:tc>
      </w:tr>
      <w:tr w:rsidR="006D747C" w:rsidRPr="004F31AD" w14:paraId="0A474C51" w14:textId="77777777" w:rsidTr="004F31AD">
        <w:trPr>
          <w:trHeight w:val="20"/>
        </w:trPr>
        <w:tc>
          <w:tcPr>
            <w:tcW w:w="1582" w:type="pct"/>
            <w:shd w:val="clear" w:color="auto" w:fill="auto"/>
            <w:vAlign w:val="center"/>
            <w:hideMark/>
          </w:tcPr>
          <w:p w14:paraId="1FDBDDF1"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Cost of pain management</w:t>
            </w:r>
          </w:p>
        </w:tc>
        <w:tc>
          <w:tcPr>
            <w:tcW w:w="601" w:type="pct"/>
            <w:shd w:val="clear" w:color="auto" w:fill="auto"/>
            <w:noWrap/>
            <w:vAlign w:val="center"/>
            <w:hideMark/>
          </w:tcPr>
          <w:p w14:paraId="50DE1CE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£754 (£604, £905)</w:t>
            </w:r>
          </w:p>
        </w:tc>
        <w:tc>
          <w:tcPr>
            <w:tcW w:w="302" w:type="pct"/>
            <w:shd w:val="clear" w:color="auto" w:fill="auto"/>
            <w:noWrap/>
            <w:hideMark/>
          </w:tcPr>
          <w:p w14:paraId="74068B4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3A1ADF3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33F21D8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£189,157</w:t>
            </w:r>
          </w:p>
        </w:tc>
        <w:tc>
          <w:tcPr>
            <w:tcW w:w="383" w:type="pct"/>
            <w:shd w:val="clear" w:color="auto" w:fill="auto"/>
            <w:noWrap/>
            <w:hideMark/>
          </w:tcPr>
          <w:p w14:paraId="6A63374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£189,125</w:t>
            </w:r>
          </w:p>
        </w:tc>
        <w:tc>
          <w:tcPr>
            <w:tcW w:w="363" w:type="pct"/>
            <w:shd w:val="clear" w:color="auto" w:fill="auto"/>
            <w:noWrap/>
            <w:hideMark/>
          </w:tcPr>
          <w:p w14:paraId="7B4D89D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£187,194</w:t>
            </w:r>
          </w:p>
        </w:tc>
        <w:tc>
          <w:tcPr>
            <w:tcW w:w="388" w:type="pct"/>
            <w:shd w:val="clear" w:color="auto" w:fill="auto"/>
            <w:noWrap/>
            <w:hideMark/>
          </w:tcPr>
          <w:p w14:paraId="68AD190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£187,162</w:t>
            </w:r>
          </w:p>
        </w:tc>
        <w:tc>
          <w:tcPr>
            <w:tcW w:w="443" w:type="pct"/>
            <w:shd w:val="clear" w:color="auto" w:fill="auto"/>
            <w:noWrap/>
            <w:hideMark/>
          </w:tcPr>
          <w:p w14:paraId="53A4FB6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£187,231</w:t>
            </w:r>
          </w:p>
        </w:tc>
        <w:tc>
          <w:tcPr>
            <w:tcW w:w="328" w:type="pct"/>
            <w:shd w:val="clear" w:color="auto" w:fill="auto"/>
            <w:noWrap/>
            <w:hideMark/>
          </w:tcPr>
          <w:p w14:paraId="7B4E6A0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£187,198</w:t>
            </w:r>
          </w:p>
        </w:tc>
      </w:tr>
      <w:tr w:rsidR="006D747C" w:rsidRPr="004F31AD" w14:paraId="17112FA7" w14:textId="77777777" w:rsidTr="004F31AD">
        <w:trPr>
          <w:trHeight w:val="20"/>
        </w:trPr>
        <w:tc>
          <w:tcPr>
            <w:tcW w:w="1582" w:type="pct"/>
            <w:shd w:val="clear" w:color="auto" w:fill="auto"/>
            <w:vAlign w:val="center"/>
            <w:hideMark/>
          </w:tcPr>
          <w:p w14:paraId="6C477FF0"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Cost of partially absorbable mesh</w:t>
            </w:r>
          </w:p>
        </w:tc>
        <w:tc>
          <w:tcPr>
            <w:tcW w:w="601" w:type="pct"/>
            <w:shd w:val="clear" w:color="auto" w:fill="auto"/>
            <w:noWrap/>
            <w:vAlign w:val="center"/>
            <w:hideMark/>
          </w:tcPr>
          <w:p w14:paraId="0E04031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£115 (£57, £172)</w:t>
            </w:r>
          </w:p>
        </w:tc>
        <w:tc>
          <w:tcPr>
            <w:tcW w:w="302" w:type="pct"/>
            <w:shd w:val="clear" w:color="auto" w:fill="auto"/>
            <w:noWrap/>
            <w:hideMark/>
          </w:tcPr>
          <w:p w14:paraId="4AF74838"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0B9A756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3F96707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83" w:type="pct"/>
            <w:shd w:val="clear" w:color="auto" w:fill="auto"/>
            <w:noWrap/>
            <w:hideMark/>
          </w:tcPr>
          <w:p w14:paraId="0966729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63" w:type="pct"/>
            <w:shd w:val="clear" w:color="auto" w:fill="auto"/>
            <w:noWrap/>
            <w:hideMark/>
          </w:tcPr>
          <w:p w14:paraId="3A468BA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£187,234</w:t>
            </w:r>
          </w:p>
        </w:tc>
        <w:tc>
          <w:tcPr>
            <w:tcW w:w="388" w:type="pct"/>
            <w:shd w:val="clear" w:color="auto" w:fill="auto"/>
            <w:noWrap/>
            <w:hideMark/>
          </w:tcPr>
          <w:p w14:paraId="3F696BF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£187,123</w:t>
            </w:r>
          </w:p>
        </w:tc>
        <w:tc>
          <w:tcPr>
            <w:tcW w:w="443" w:type="pct"/>
            <w:shd w:val="clear" w:color="auto" w:fill="auto"/>
            <w:noWrap/>
            <w:hideMark/>
          </w:tcPr>
          <w:p w14:paraId="4A60208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c>
          <w:tcPr>
            <w:tcW w:w="328" w:type="pct"/>
            <w:shd w:val="clear" w:color="auto" w:fill="auto"/>
            <w:noWrap/>
            <w:hideMark/>
          </w:tcPr>
          <w:p w14:paraId="64CC923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r>
      <w:tr w:rsidR="006D747C" w:rsidRPr="004F31AD" w14:paraId="4E388B4A" w14:textId="77777777" w:rsidTr="004F31AD">
        <w:trPr>
          <w:trHeight w:val="20"/>
        </w:trPr>
        <w:tc>
          <w:tcPr>
            <w:tcW w:w="1582" w:type="pct"/>
            <w:shd w:val="clear" w:color="auto" w:fill="auto"/>
            <w:vAlign w:val="center"/>
            <w:hideMark/>
          </w:tcPr>
          <w:p w14:paraId="095DE8F2"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Cost of persistent pain management</w:t>
            </w:r>
          </w:p>
        </w:tc>
        <w:tc>
          <w:tcPr>
            <w:tcW w:w="601" w:type="pct"/>
            <w:shd w:val="clear" w:color="auto" w:fill="auto"/>
            <w:noWrap/>
            <w:vAlign w:val="center"/>
            <w:hideMark/>
          </w:tcPr>
          <w:p w14:paraId="72BE462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£69 (£55, £82)</w:t>
            </w:r>
          </w:p>
        </w:tc>
        <w:tc>
          <w:tcPr>
            <w:tcW w:w="302" w:type="pct"/>
            <w:shd w:val="clear" w:color="auto" w:fill="auto"/>
            <w:noWrap/>
            <w:hideMark/>
          </w:tcPr>
          <w:p w14:paraId="0895655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665E608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4DAACAC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£189,143</w:t>
            </w:r>
          </w:p>
        </w:tc>
        <w:tc>
          <w:tcPr>
            <w:tcW w:w="383" w:type="pct"/>
            <w:shd w:val="clear" w:color="auto" w:fill="auto"/>
            <w:noWrap/>
            <w:hideMark/>
          </w:tcPr>
          <w:p w14:paraId="2C33028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£189,139</w:t>
            </w:r>
          </w:p>
        </w:tc>
        <w:tc>
          <w:tcPr>
            <w:tcW w:w="363" w:type="pct"/>
            <w:shd w:val="clear" w:color="auto" w:fill="auto"/>
            <w:noWrap/>
            <w:hideMark/>
          </w:tcPr>
          <w:p w14:paraId="3BF59A2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£187,180</w:t>
            </w:r>
          </w:p>
        </w:tc>
        <w:tc>
          <w:tcPr>
            <w:tcW w:w="388" w:type="pct"/>
            <w:shd w:val="clear" w:color="auto" w:fill="auto"/>
            <w:noWrap/>
            <w:hideMark/>
          </w:tcPr>
          <w:p w14:paraId="582806E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£187,176</w:t>
            </w:r>
          </w:p>
        </w:tc>
        <w:tc>
          <w:tcPr>
            <w:tcW w:w="443" w:type="pct"/>
            <w:shd w:val="clear" w:color="auto" w:fill="auto"/>
            <w:noWrap/>
            <w:hideMark/>
          </w:tcPr>
          <w:p w14:paraId="129E07B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£187,216</w:t>
            </w:r>
          </w:p>
        </w:tc>
        <w:tc>
          <w:tcPr>
            <w:tcW w:w="328" w:type="pct"/>
            <w:shd w:val="clear" w:color="auto" w:fill="auto"/>
            <w:noWrap/>
            <w:hideMark/>
          </w:tcPr>
          <w:p w14:paraId="5399CC1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£187,212</w:t>
            </w:r>
          </w:p>
        </w:tc>
      </w:tr>
      <w:tr w:rsidR="006D747C" w:rsidRPr="004F31AD" w14:paraId="20EFC62B" w14:textId="77777777" w:rsidTr="004F31AD">
        <w:trPr>
          <w:trHeight w:val="20"/>
        </w:trPr>
        <w:tc>
          <w:tcPr>
            <w:tcW w:w="1582" w:type="pct"/>
            <w:shd w:val="clear" w:color="auto" w:fill="auto"/>
            <w:vAlign w:val="center"/>
            <w:hideMark/>
          </w:tcPr>
          <w:p w14:paraId="6A448167"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Cost of revision surgery</w:t>
            </w:r>
          </w:p>
        </w:tc>
        <w:tc>
          <w:tcPr>
            <w:tcW w:w="601" w:type="pct"/>
            <w:shd w:val="clear" w:color="auto" w:fill="auto"/>
            <w:noWrap/>
            <w:vAlign w:val="center"/>
            <w:hideMark/>
          </w:tcPr>
          <w:p w14:paraId="61253F5B" w14:textId="77777777" w:rsidR="006D747C" w:rsidRPr="004F31AD" w:rsidRDefault="00375734"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£2912 (£2330, £3494)</w:t>
            </w:r>
          </w:p>
        </w:tc>
        <w:tc>
          <w:tcPr>
            <w:tcW w:w="302" w:type="pct"/>
            <w:shd w:val="clear" w:color="auto" w:fill="auto"/>
            <w:noWrap/>
            <w:hideMark/>
          </w:tcPr>
          <w:p w14:paraId="6CFC785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£190,107</w:t>
            </w:r>
          </w:p>
        </w:tc>
        <w:tc>
          <w:tcPr>
            <w:tcW w:w="304" w:type="pct"/>
            <w:shd w:val="clear" w:color="auto" w:fill="auto"/>
            <w:noWrap/>
            <w:hideMark/>
          </w:tcPr>
          <w:p w14:paraId="2CA0E21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£190,065</w:t>
            </w:r>
          </w:p>
        </w:tc>
        <w:tc>
          <w:tcPr>
            <w:tcW w:w="305" w:type="pct"/>
            <w:shd w:val="clear" w:color="auto" w:fill="auto"/>
            <w:noWrap/>
            <w:hideMark/>
          </w:tcPr>
          <w:p w14:paraId="330D7ED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£189,159</w:t>
            </w:r>
          </w:p>
        </w:tc>
        <w:tc>
          <w:tcPr>
            <w:tcW w:w="383" w:type="pct"/>
            <w:shd w:val="clear" w:color="auto" w:fill="auto"/>
            <w:noWrap/>
            <w:hideMark/>
          </w:tcPr>
          <w:p w14:paraId="27C6ED3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£189,123</w:t>
            </w:r>
          </w:p>
        </w:tc>
        <w:tc>
          <w:tcPr>
            <w:tcW w:w="363" w:type="pct"/>
            <w:shd w:val="clear" w:color="auto" w:fill="auto"/>
            <w:noWrap/>
            <w:hideMark/>
          </w:tcPr>
          <w:p w14:paraId="158665C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£187,196</w:t>
            </w:r>
          </w:p>
        </w:tc>
        <w:tc>
          <w:tcPr>
            <w:tcW w:w="388" w:type="pct"/>
            <w:shd w:val="clear" w:color="auto" w:fill="auto"/>
            <w:noWrap/>
            <w:hideMark/>
          </w:tcPr>
          <w:p w14:paraId="5FFAD86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£187,161</w:t>
            </w:r>
          </w:p>
        </w:tc>
        <w:tc>
          <w:tcPr>
            <w:tcW w:w="443" w:type="pct"/>
            <w:shd w:val="clear" w:color="auto" w:fill="auto"/>
            <w:noWrap/>
            <w:hideMark/>
          </w:tcPr>
          <w:p w14:paraId="354DF80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£187,232</w:t>
            </w:r>
          </w:p>
        </w:tc>
        <w:tc>
          <w:tcPr>
            <w:tcW w:w="328" w:type="pct"/>
            <w:shd w:val="clear" w:color="auto" w:fill="auto"/>
            <w:noWrap/>
            <w:hideMark/>
          </w:tcPr>
          <w:p w14:paraId="0B323A3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£187,196</w:t>
            </w:r>
          </w:p>
        </w:tc>
      </w:tr>
      <w:tr w:rsidR="006D747C" w:rsidRPr="004F31AD" w14:paraId="5B955CCF" w14:textId="77777777" w:rsidTr="004F31AD">
        <w:trPr>
          <w:trHeight w:val="20"/>
        </w:trPr>
        <w:tc>
          <w:tcPr>
            <w:tcW w:w="1582" w:type="pct"/>
            <w:shd w:val="clear" w:color="auto" w:fill="auto"/>
            <w:vAlign w:val="center"/>
            <w:hideMark/>
          </w:tcPr>
          <w:p w14:paraId="29921AF7"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Cost of well - mesh (one off cost)</w:t>
            </w:r>
          </w:p>
        </w:tc>
        <w:tc>
          <w:tcPr>
            <w:tcW w:w="601" w:type="pct"/>
            <w:shd w:val="clear" w:color="auto" w:fill="auto"/>
            <w:noWrap/>
            <w:vAlign w:val="center"/>
            <w:hideMark/>
          </w:tcPr>
          <w:p w14:paraId="65214A2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£130 (£104, £156)</w:t>
            </w:r>
          </w:p>
        </w:tc>
        <w:tc>
          <w:tcPr>
            <w:tcW w:w="302" w:type="pct"/>
            <w:shd w:val="clear" w:color="auto" w:fill="auto"/>
            <w:noWrap/>
            <w:hideMark/>
          </w:tcPr>
          <w:p w14:paraId="49276F0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£190,114</w:t>
            </w:r>
          </w:p>
        </w:tc>
        <w:tc>
          <w:tcPr>
            <w:tcW w:w="304" w:type="pct"/>
            <w:shd w:val="clear" w:color="auto" w:fill="auto"/>
            <w:noWrap/>
            <w:hideMark/>
          </w:tcPr>
          <w:p w14:paraId="08DB086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£190,057</w:t>
            </w:r>
          </w:p>
        </w:tc>
        <w:tc>
          <w:tcPr>
            <w:tcW w:w="305" w:type="pct"/>
            <w:shd w:val="clear" w:color="auto" w:fill="auto"/>
            <w:noWrap/>
            <w:hideMark/>
          </w:tcPr>
          <w:p w14:paraId="55DD4AD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£189,179</w:t>
            </w:r>
          </w:p>
        </w:tc>
        <w:tc>
          <w:tcPr>
            <w:tcW w:w="383" w:type="pct"/>
            <w:shd w:val="clear" w:color="auto" w:fill="auto"/>
            <w:noWrap/>
            <w:hideMark/>
          </w:tcPr>
          <w:p w14:paraId="258D705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£189,103</w:t>
            </w:r>
          </w:p>
        </w:tc>
        <w:tc>
          <w:tcPr>
            <w:tcW w:w="363" w:type="pct"/>
            <w:shd w:val="clear" w:color="auto" w:fill="auto"/>
            <w:noWrap/>
            <w:hideMark/>
          </w:tcPr>
          <w:p w14:paraId="3E1B05E8"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£187,217</w:t>
            </w:r>
          </w:p>
        </w:tc>
        <w:tc>
          <w:tcPr>
            <w:tcW w:w="388" w:type="pct"/>
            <w:shd w:val="clear" w:color="auto" w:fill="auto"/>
            <w:noWrap/>
            <w:hideMark/>
          </w:tcPr>
          <w:p w14:paraId="2DBE626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£187,140</w:t>
            </w:r>
          </w:p>
        </w:tc>
        <w:tc>
          <w:tcPr>
            <w:tcW w:w="443" w:type="pct"/>
            <w:shd w:val="clear" w:color="auto" w:fill="auto"/>
            <w:noWrap/>
            <w:hideMark/>
          </w:tcPr>
          <w:p w14:paraId="7BD11FE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£187,253</w:t>
            </w:r>
          </w:p>
        </w:tc>
        <w:tc>
          <w:tcPr>
            <w:tcW w:w="328" w:type="pct"/>
            <w:shd w:val="clear" w:color="auto" w:fill="auto"/>
            <w:noWrap/>
            <w:hideMark/>
          </w:tcPr>
          <w:p w14:paraId="20C25DC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£187,176</w:t>
            </w:r>
          </w:p>
        </w:tc>
      </w:tr>
      <w:tr w:rsidR="006D747C" w:rsidRPr="004F31AD" w14:paraId="1B125043" w14:textId="77777777" w:rsidTr="004F31AD">
        <w:trPr>
          <w:trHeight w:val="20"/>
        </w:trPr>
        <w:tc>
          <w:tcPr>
            <w:tcW w:w="1582" w:type="pct"/>
            <w:shd w:val="clear" w:color="auto" w:fill="auto"/>
            <w:vAlign w:val="center"/>
            <w:hideMark/>
          </w:tcPr>
          <w:p w14:paraId="0C165B27"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Cost of well - non-mesh (one-off cost)</w:t>
            </w:r>
          </w:p>
        </w:tc>
        <w:tc>
          <w:tcPr>
            <w:tcW w:w="601" w:type="pct"/>
            <w:shd w:val="clear" w:color="auto" w:fill="auto"/>
            <w:noWrap/>
            <w:vAlign w:val="center"/>
            <w:hideMark/>
          </w:tcPr>
          <w:p w14:paraId="50B3948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£130 (£104, £156)</w:t>
            </w:r>
          </w:p>
        </w:tc>
        <w:tc>
          <w:tcPr>
            <w:tcW w:w="302" w:type="pct"/>
            <w:shd w:val="clear" w:color="auto" w:fill="auto"/>
            <w:noWrap/>
            <w:hideMark/>
          </w:tcPr>
          <w:p w14:paraId="1454C83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1391DE6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5E0D783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83" w:type="pct"/>
            <w:shd w:val="clear" w:color="auto" w:fill="auto"/>
            <w:noWrap/>
            <w:hideMark/>
          </w:tcPr>
          <w:p w14:paraId="45C8F62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63" w:type="pct"/>
            <w:shd w:val="clear" w:color="auto" w:fill="auto"/>
            <w:noWrap/>
            <w:hideMark/>
          </w:tcPr>
          <w:p w14:paraId="4997DD6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388" w:type="pct"/>
            <w:shd w:val="clear" w:color="auto" w:fill="auto"/>
            <w:noWrap/>
            <w:hideMark/>
          </w:tcPr>
          <w:p w14:paraId="6216A5B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443" w:type="pct"/>
            <w:shd w:val="clear" w:color="auto" w:fill="auto"/>
            <w:noWrap/>
            <w:hideMark/>
          </w:tcPr>
          <w:p w14:paraId="19DF644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c>
          <w:tcPr>
            <w:tcW w:w="328" w:type="pct"/>
            <w:shd w:val="clear" w:color="auto" w:fill="auto"/>
            <w:noWrap/>
            <w:hideMark/>
          </w:tcPr>
          <w:p w14:paraId="2A15A2C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r>
      <w:tr w:rsidR="006D747C" w:rsidRPr="004F31AD" w14:paraId="1CE7E222" w14:textId="77777777" w:rsidTr="004F31AD">
        <w:trPr>
          <w:trHeight w:val="20"/>
        </w:trPr>
        <w:tc>
          <w:tcPr>
            <w:tcW w:w="1582" w:type="pct"/>
            <w:shd w:val="clear" w:color="auto" w:fill="auto"/>
            <w:vAlign w:val="center"/>
            <w:hideMark/>
          </w:tcPr>
          <w:p w14:paraId="289DD503"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HR of biological mesh (vs. AC)</w:t>
            </w:r>
          </w:p>
        </w:tc>
        <w:tc>
          <w:tcPr>
            <w:tcW w:w="601" w:type="pct"/>
            <w:shd w:val="clear" w:color="auto" w:fill="auto"/>
            <w:noWrap/>
            <w:vAlign w:val="center"/>
            <w:hideMark/>
          </w:tcPr>
          <w:p w14:paraId="4A01902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0.46 (0.26, 0.73)</w:t>
            </w:r>
          </w:p>
        </w:tc>
        <w:tc>
          <w:tcPr>
            <w:tcW w:w="302" w:type="pct"/>
            <w:shd w:val="clear" w:color="auto" w:fill="auto"/>
            <w:noWrap/>
            <w:hideMark/>
          </w:tcPr>
          <w:p w14:paraId="3905287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15EE9C2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7DE930B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£189,300</w:t>
            </w:r>
          </w:p>
        </w:tc>
        <w:tc>
          <w:tcPr>
            <w:tcW w:w="383" w:type="pct"/>
            <w:shd w:val="clear" w:color="auto" w:fill="auto"/>
            <w:noWrap/>
            <w:hideMark/>
          </w:tcPr>
          <w:p w14:paraId="7600128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£188,923</w:t>
            </w:r>
          </w:p>
        </w:tc>
        <w:tc>
          <w:tcPr>
            <w:tcW w:w="363" w:type="pct"/>
            <w:shd w:val="clear" w:color="auto" w:fill="auto"/>
            <w:noWrap/>
            <w:hideMark/>
          </w:tcPr>
          <w:p w14:paraId="7BD300A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388" w:type="pct"/>
            <w:shd w:val="clear" w:color="auto" w:fill="auto"/>
            <w:noWrap/>
            <w:hideMark/>
          </w:tcPr>
          <w:p w14:paraId="68CC26F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443" w:type="pct"/>
            <w:shd w:val="clear" w:color="auto" w:fill="auto"/>
            <w:noWrap/>
            <w:hideMark/>
          </w:tcPr>
          <w:p w14:paraId="7B006D2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c>
          <w:tcPr>
            <w:tcW w:w="328" w:type="pct"/>
            <w:shd w:val="clear" w:color="auto" w:fill="auto"/>
            <w:noWrap/>
            <w:hideMark/>
          </w:tcPr>
          <w:p w14:paraId="5A698388"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r>
      <w:tr w:rsidR="006D747C" w:rsidRPr="004F31AD" w14:paraId="10D20AE0" w14:textId="77777777" w:rsidTr="004F31AD">
        <w:trPr>
          <w:trHeight w:val="20"/>
        </w:trPr>
        <w:tc>
          <w:tcPr>
            <w:tcW w:w="1582" w:type="pct"/>
            <w:shd w:val="clear" w:color="auto" w:fill="auto"/>
            <w:vAlign w:val="center"/>
            <w:hideMark/>
          </w:tcPr>
          <w:p w14:paraId="06DAF125"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HR of non-absorbable mesh (vs. AC)</w:t>
            </w:r>
          </w:p>
        </w:tc>
        <w:tc>
          <w:tcPr>
            <w:tcW w:w="601" w:type="pct"/>
            <w:shd w:val="clear" w:color="auto" w:fill="auto"/>
            <w:noWrap/>
            <w:vAlign w:val="center"/>
            <w:hideMark/>
          </w:tcPr>
          <w:p w14:paraId="1861D42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0.39 (0.24, 0.59)</w:t>
            </w:r>
          </w:p>
        </w:tc>
        <w:tc>
          <w:tcPr>
            <w:tcW w:w="302" w:type="pct"/>
            <w:shd w:val="clear" w:color="auto" w:fill="auto"/>
            <w:noWrap/>
            <w:hideMark/>
          </w:tcPr>
          <w:p w14:paraId="7C14F9D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4BC0A75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38E1459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83" w:type="pct"/>
            <w:shd w:val="clear" w:color="auto" w:fill="auto"/>
            <w:noWrap/>
            <w:hideMark/>
          </w:tcPr>
          <w:p w14:paraId="3536C10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63" w:type="pct"/>
            <w:shd w:val="clear" w:color="auto" w:fill="auto"/>
            <w:noWrap/>
            <w:hideMark/>
          </w:tcPr>
          <w:p w14:paraId="10977B2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388" w:type="pct"/>
            <w:shd w:val="clear" w:color="auto" w:fill="auto"/>
            <w:noWrap/>
            <w:hideMark/>
          </w:tcPr>
          <w:p w14:paraId="1E5CC36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443" w:type="pct"/>
            <w:shd w:val="clear" w:color="auto" w:fill="auto"/>
            <w:noWrap/>
            <w:hideMark/>
          </w:tcPr>
          <w:p w14:paraId="67C0919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£187,340</w:t>
            </w:r>
          </w:p>
        </w:tc>
        <w:tc>
          <w:tcPr>
            <w:tcW w:w="328" w:type="pct"/>
            <w:shd w:val="clear" w:color="auto" w:fill="auto"/>
            <w:noWrap/>
            <w:hideMark/>
          </w:tcPr>
          <w:p w14:paraId="619E4BE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£187,053</w:t>
            </w:r>
          </w:p>
        </w:tc>
      </w:tr>
      <w:tr w:rsidR="006D747C" w:rsidRPr="004F31AD" w14:paraId="169815BC" w14:textId="77777777" w:rsidTr="004F31AD">
        <w:trPr>
          <w:trHeight w:val="20"/>
        </w:trPr>
        <w:tc>
          <w:tcPr>
            <w:tcW w:w="1582" w:type="pct"/>
            <w:shd w:val="clear" w:color="auto" w:fill="auto"/>
            <w:vAlign w:val="center"/>
            <w:hideMark/>
          </w:tcPr>
          <w:p w14:paraId="64F7EAD2"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HR of partially absorbable mesh (vs. AC)</w:t>
            </w:r>
          </w:p>
        </w:tc>
        <w:tc>
          <w:tcPr>
            <w:tcW w:w="601" w:type="pct"/>
            <w:shd w:val="clear" w:color="auto" w:fill="auto"/>
            <w:noWrap/>
            <w:vAlign w:val="center"/>
            <w:hideMark/>
          </w:tcPr>
          <w:p w14:paraId="15F8640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0.29 (0.11, 0.62)</w:t>
            </w:r>
          </w:p>
        </w:tc>
        <w:tc>
          <w:tcPr>
            <w:tcW w:w="302" w:type="pct"/>
            <w:shd w:val="clear" w:color="auto" w:fill="auto"/>
            <w:noWrap/>
            <w:hideMark/>
          </w:tcPr>
          <w:p w14:paraId="7521AC3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27D9A89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6426134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83" w:type="pct"/>
            <w:shd w:val="clear" w:color="auto" w:fill="auto"/>
            <w:noWrap/>
            <w:hideMark/>
          </w:tcPr>
          <w:p w14:paraId="23BF7EB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63" w:type="pct"/>
            <w:shd w:val="clear" w:color="auto" w:fill="auto"/>
            <w:noWrap/>
            <w:hideMark/>
          </w:tcPr>
          <w:p w14:paraId="046DE59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£187,330</w:t>
            </w:r>
          </w:p>
        </w:tc>
        <w:tc>
          <w:tcPr>
            <w:tcW w:w="388" w:type="pct"/>
            <w:shd w:val="clear" w:color="auto" w:fill="auto"/>
            <w:noWrap/>
            <w:hideMark/>
          </w:tcPr>
          <w:p w14:paraId="070E806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£186,909</w:t>
            </w:r>
          </w:p>
        </w:tc>
        <w:tc>
          <w:tcPr>
            <w:tcW w:w="443" w:type="pct"/>
            <w:shd w:val="clear" w:color="auto" w:fill="auto"/>
            <w:noWrap/>
            <w:hideMark/>
          </w:tcPr>
          <w:p w14:paraId="52614E2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c>
          <w:tcPr>
            <w:tcW w:w="328" w:type="pct"/>
            <w:shd w:val="clear" w:color="auto" w:fill="auto"/>
            <w:noWrap/>
            <w:hideMark/>
          </w:tcPr>
          <w:p w14:paraId="7A01153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r>
      <w:tr w:rsidR="006D747C" w:rsidRPr="004F31AD" w14:paraId="00011D70" w14:textId="77777777" w:rsidTr="004F31AD">
        <w:trPr>
          <w:trHeight w:val="20"/>
        </w:trPr>
        <w:tc>
          <w:tcPr>
            <w:tcW w:w="1582" w:type="pct"/>
            <w:shd w:val="clear" w:color="auto" w:fill="auto"/>
            <w:vAlign w:val="center"/>
            <w:hideMark/>
          </w:tcPr>
          <w:p w14:paraId="638681AB"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Proportion of complications that resolve by year 2</w:t>
            </w:r>
          </w:p>
        </w:tc>
        <w:tc>
          <w:tcPr>
            <w:tcW w:w="601" w:type="pct"/>
            <w:shd w:val="clear" w:color="auto" w:fill="auto"/>
            <w:noWrap/>
            <w:vAlign w:val="center"/>
            <w:hideMark/>
          </w:tcPr>
          <w:p w14:paraId="3A297C0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0.90 (0.72, 1.00)</w:t>
            </w:r>
          </w:p>
        </w:tc>
        <w:tc>
          <w:tcPr>
            <w:tcW w:w="302" w:type="pct"/>
            <w:shd w:val="clear" w:color="auto" w:fill="auto"/>
            <w:noWrap/>
            <w:hideMark/>
          </w:tcPr>
          <w:p w14:paraId="6488CD0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6F2E31E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5A3D32C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£188,670</w:t>
            </w:r>
          </w:p>
        </w:tc>
        <w:tc>
          <w:tcPr>
            <w:tcW w:w="383" w:type="pct"/>
            <w:shd w:val="clear" w:color="auto" w:fill="auto"/>
            <w:noWrap/>
            <w:hideMark/>
          </w:tcPr>
          <w:p w14:paraId="78D1B74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£189,403</w:t>
            </w:r>
          </w:p>
        </w:tc>
        <w:tc>
          <w:tcPr>
            <w:tcW w:w="363" w:type="pct"/>
            <w:shd w:val="clear" w:color="auto" w:fill="auto"/>
            <w:noWrap/>
            <w:hideMark/>
          </w:tcPr>
          <w:p w14:paraId="20705D4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£185,501</w:t>
            </w:r>
          </w:p>
        </w:tc>
        <w:tc>
          <w:tcPr>
            <w:tcW w:w="388" w:type="pct"/>
            <w:shd w:val="clear" w:color="auto" w:fill="auto"/>
            <w:noWrap/>
            <w:hideMark/>
          </w:tcPr>
          <w:p w14:paraId="11B85CC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£188,110</w:t>
            </w:r>
          </w:p>
        </w:tc>
        <w:tc>
          <w:tcPr>
            <w:tcW w:w="443" w:type="pct"/>
            <w:shd w:val="clear" w:color="auto" w:fill="auto"/>
            <w:noWrap/>
            <w:hideMark/>
          </w:tcPr>
          <w:p w14:paraId="68CBA67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£185,512</w:t>
            </w:r>
          </w:p>
        </w:tc>
        <w:tc>
          <w:tcPr>
            <w:tcW w:w="328" w:type="pct"/>
            <w:shd w:val="clear" w:color="auto" w:fill="auto"/>
            <w:noWrap/>
            <w:hideMark/>
          </w:tcPr>
          <w:p w14:paraId="67BE063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£188,160</w:t>
            </w:r>
          </w:p>
        </w:tc>
      </w:tr>
      <w:tr w:rsidR="006D747C" w:rsidRPr="004F31AD" w14:paraId="50207B4B" w14:textId="77777777" w:rsidTr="004F31AD">
        <w:trPr>
          <w:trHeight w:val="20"/>
        </w:trPr>
        <w:tc>
          <w:tcPr>
            <w:tcW w:w="1582" w:type="pct"/>
            <w:shd w:val="clear" w:color="auto" w:fill="auto"/>
            <w:vAlign w:val="center"/>
            <w:hideMark/>
          </w:tcPr>
          <w:p w14:paraId="45D300AB"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Rate of anatomical recurrence (secondary repair) at year 1</w:t>
            </w:r>
          </w:p>
        </w:tc>
        <w:tc>
          <w:tcPr>
            <w:tcW w:w="601" w:type="pct"/>
            <w:shd w:val="clear" w:color="auto" w:fill="auto"/>
            <w:noWrap/>
            <w:vAlign w:val="center"/>
            <w:hideMark/>
          </w:tcPr>
          <w:p w14:paraId="4ACD75B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0.51 (0.41, 0.61)</w:t>
            </w:r>
          </w:p>
        </w:tc>
        <w:tc>
          <w:tcPr>
            <w:tcW w:w="302" w:type="pct"/>
            <w:shd w:val="clear" w:color="auto" w:fill="auto"/>
            <w:noWrap/>
            <w:hideMark/>
          </w:tcPr>
          <w:p w14:paraId="4728D94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£190,095</w:t>
            </w:r>
          </w:p>
        </w:tc>
        <w:tc>
          <w:tcPr>
            <w:tcW w:w="304" w:type="pct"/>
            <w:shd w:val="clear" w:color="auto" w:fill="auto"/>
            <w:noWrap/>
            <w:hideMark/>
          </w:tcPr>
          <w:p w14:paraId="0524215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£190,076</w:t>
            </w:r>
          </w:p>
        </w:tc>
        <w:tc>
          <w:tcPr>
            <w:tcW w:w="305" w:type="pct"/>
            <w:shd w:val="clear" w:color="auto" w:fill="auto"/>
            <w:noWrap/>
            <w:hideMark/>
          </w:tcPr>
          <w:p w14:paraId="561F779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£189,153</w:t>
            </w:r>
          </w:p>
        </w:tc>
        <w:tc>
          <w:tcPr>
            <w:tcW w:w="383" w:type="pct"/>
            <w:shd w:val="clear" w:color="auto" w:fill="auto"/>
            <w:noWrap/>
            <w:hideMark/>
          </w:tcPr>
          <w:p w14:paraId="103CDC0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£189,130</w:t>
            </w:r>
          </w:p>
        </w:tc>
        <w:tc>
          <w:tcPr>
            <w:tcW w:w="363" w:type="pct"/>
            <w:shd w:val="clear" w:color="auto" w:fill="auto"/>
            <w:noWrap/>
            <w:hideMark/>
          </w:tcPr>
          <w:p w14:paraId="09D1435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£187,190</w:t>
            </w:r>
          </w:p>
        </w:tc>
        <w:tc>
          <w:tcPr>
            <w:tcW w:w="388" w:type="pct"/>
            <w:shd w:val="clear" w:color="auto" w:fill="auto"/>
            <w:noWrap/>
            <w:hideMark/>
          </w:tcPr>
          <w:p w14:paraId="3C116228"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£187,168</w:t>
            </w:r>
          </w:p>
        </w:tc>
        <w:tc>
          <w:tcPr>
            <w:tcW w:w="443" w:type="pct"/>
            <w:shd w:val="clear" w:color="auto" w:fill="auto"/>
            <w:noWrap/>
            <w:hideMark/>
          </w:tcPr>
          <w:p w14:paraId="01EF748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£187,226</w:t>
            </w:r>
          </w:p>
        </w:tc>
        <w:tc>
          <w:tcPr>
            <w:tcW w:w="328" w:type="pct"/>
            <w:shd w:val="clear" w:color="auto" w:fill="auto"/>
            <w:noWrap/>
            <w:hideMark/>
          </w:tcPr>
          <w:p w14:paraId="5A56D46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£187,204</w:t>
            </w:r>
          </w:p>
        </w:tc>
      </w:tr>
      <w:tr w:rsidR="006D747C" w:rsidRPr="004F31AD" w14:paraId="3D33AEAF" w14:textId="77777777" w:rsidTr="004F31AD">
        <w:trPr>
          <w:trHeight w:val="20"/>
        </w:trPr>
        <w:tc>
          <w:tcPr>
            <w:tcW w:w="1582" w:type="pct"/>
            <w:shd w:val="clear" w:color="auto" w:fill="auto"/>
            <w:vAlign w:val="center"/>
            <w:hideMark/>
          </w:tcPr>
          <w:p w14:paraId="0926DC58"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Rate of surgically managed recurrence (secondary repair) over 12 years</w:t>
            </w:r>
          </w:p>
        </w:tc>
        <w:tc>
          <w:tcPr>
            <w:tcW w:w="601" w:type="pct"/>
            <w:shd w:val="clear" w:color="auto" w:fill="auto"/>
            <w:noWrap/>
            <w:vAlign w:val="center"/>
            <w:hideMark/>
          </w:tcPr>
          <w:p w14:paraId="32DFC54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0.28 (0.22, 0.34)</w:t>
            </w:r>
          </w:p>
        </w:tc>
        <w:tc>
          <w:tcPr>
            <w:tcW w:w="302" w:type="pct"/>
            <w:shd w:val="clear" w:color="auto" w:fill="auto"/>
            <w:noWrap/>
            <w:hideMark/>
          </w:tcPr>
          <w:p w14:paraId="4D9F2BA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£190,087</w:t>
            </w:r>
          </w:p>
        </w:tc>
        <w:tc>
          <w:tcPr>
            <w:tcW w:w="304" w:type="pct"/>
            <w:shd w:val="clear" w:color="auto" w:fill="auto"/>
            <w:noWrap/>
            <w:hideMark/>
          </w:tcPr>
          <w:p w14:paraId="6E5B564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£190,084</w:t>
            </w:r>
          </w:p>
        </w:tc>
        <w:tc>
          <w:tcPr>
            <w:tcW w:w="305" w:type="pct"/>
            <w:shd w:val="clear" w:color="auto" w:fill="auto"/>
            <w:noWrap/>
            <w:hideMark/>
          </w:tcPr>
          <w:p w14:paraId="4108BD4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£189,142</w:t>
            </w:r>
          </w:p>
        </w:tc>
        <w:tc>
          <w:tcPr>
            <w:tcW w:w="383" w:type="pct"/>
            <w:shd w:val="clear" w:color="auto" w:fill="auto"/>
            <w:noWrap/>
            <w:hideMark/>
          </w:tcPr>
          <w:p w14:paraId="07511E9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£189,140</w:t>
            </w:r>
          </w:p>
        </w:tc>
        <w:tc>
          <w:tcPr>
            <w:tcW w:w="363" w:type="pct"/>
            <w:shd w:val="clear" w:color="auto" w:fill="auto"/>
            <w:noWrap/>
            <w:hideMark/>
          </w:tcPr>
          <w:p w14:paraId="4E0F2E4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£187,179</w:t>
            </w:r>
          </w:p>
        </w:tc>
        <w:tc>
          <w:tcPr>
            <w:tcW w:w="388" w:type="pct"/>
            <w:shd w:val="clear" w:color="auto" w:fill="auto"/>
            <w:noWrap/>
            <w:hideMark/>
          </w:tcPr>
          <w:p w14:paraId="376ED56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£187,177</w:t>
            </w:r>
          </w:p>
        </w:tc>
        <w:tc>
          <w:tcPr>
            <w:tcW w:w="443" w:type="pct"/>
            <w:shd w:val="clear" w:color="auto" w:fill="auto"/>
            <w:noWrap/>
            <w:hideMark/>
          </w:tcPr>
          <w:p w14:paraId="31FC823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£187,216</w:t>
            </w:r>
          </w:p>
        </w:tc>
        <w:tc>
          <w:tcPr>
            <w:tcW w:w="328" w:type="pct"/>
            <w:shd w:val="clear" w:color="auto" w:fill="auto"/>
            <w:noWrap/>
            <w:hideMark/>
          </w:tcPr>
          <w:p w14:paraId="3F1C569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£187,213</w:t>
            </w:r>
          </w:p>
        </w:tc>
      </w:tr>
      <w:tr w:rsidR="006D747C" w:rsidRPr="004F31AD" w14:paraId="1C263A37" w14:textId="77777777" w:rsidTr="004F31AD">
        <w:trPr>
          <w:trHeight w:val="20"/>
        </w:trPr>
        <w:tc>
          <w:tcPr>
            <w:tcW w:w="1582" w:type="pct"/>
            <w:shd w:val="clear" w:color="auto" w:fill="auto"/>
            <w:vAlign w:val="center"/>
            <w:hideMark/>
          </w:tcPr>
          <w:p w14:paraId="02C14DC3"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RR of mesh erosion with biological (vs. synthetic) mesh</w:t>
            </w:r>
          </w:p>
        </w:tc>
        <w:tc>
          <w:tcPr>
            <w:tcW w:w="601" w:type="pct"/>
            <w:shd w:val="clear" w:color="auto" w:fill="auto"/>
            <w:noWrap/>
            <w:vAlign w:val="center"/>
            <w:hideMark/>
          </w:tcPr>
          <w:p w14:paraId="4CD0F1A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0.14 (0.03, 0.6)</w:t>
            </w:r>
          </w:p>
        </w:tc>
        <w:tc>
          <w:tcPr>
            <w:tcW w:w="302" w:type="pct"/>
            <w:shd w:val="clear" w:color="auto" w:fill="auto"/>
            <w:noWrap/>
            <w:hideMark/>
          </w:tcPr>
          <w:p w14:paraId="06D470C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1EF6BD7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7ACE27E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£189,457</w:t>
            </w:r>
          </w:p>
        </w:tc>
        <w:tc>
          <w:tcPr>
            <w:tcW w:w="383" w:type="pct"/>
            <w:shd w:val="clear" w:color="auto" w:fill="auto"/>
            <w:noWrap/>
            <w:hideMark/>
          </w:tcPr>
          <w:p w14:paraId="51DEE92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£187,878</w:t>
            </w:r>
          </w:p>
        </w:tc>
        <w:tc>
          <w:tcPr>
            <w:tcW w:w="363" w:type="pct"/>
            <w:shd w:val="clear" w:color="auto" w:fill="auto"/>
            <w:noWrap/>
            <w:hideMark/>
          </w:tcPr>
          <w:p w14:paraId="6FA30AE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388" w:type="pct"/>
            <w:shd w:val="clear" w:color="auto" w:fill="auto"/>
            <w:noWrap/>
            <w:hideMark/>
          </w:tcPr>
          <w:p w14:paraId="5CE53CC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443" w:type="pct"/>
            <w:shd w:val="clear" w:color="auto" w:fill="auto"/>
            <w:noWrap/>
            <w:hideMark/>
          </w:tcPr>
          <w:p w14:paraId="615A16A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c>
          <w:tcPr>
            <w:tcW w:w="328" w:type="pct"/>
            <w:shd w:val="clear" w:color="auto" w:fill="auto"/>
            <w:noWrap/>
            <w:hideMark/>
          </w:tcPr>
          <w:p w14:paraId="5824F05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r>
      <w:tr w:rsidR="006D747C" w:rsidRPr="004F31AD" w14:paraId="075DE2ED" w14:textId="77777777" w:rsidTr="004F31AD">
        <w:trPr>
          <w:trHeight w:val="20"/>
        </w:trPr>
        <w:tc>
          <w:tcPr>
            <w:tcW w:w="1582" w:type="pct"/>
            <w:shd w:val="clear" w:color="auto" w:fill="auto"/>
            <w:vAlign w:val="center"/>
            <w:hideMark/>
          </w:tcPr>
          <w:p w14:paraId="01941152"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The rate of anatomical recurrence (primary repair) over 7 years</w:t>
            </w:r>
          </w:p>
        </w:tc>
        <w:tc>
          <w:tcPr>
            <w:tcW w:w="601" w:type="pct"/>
            <w:shd w:val="clear" w:color="auto" w:fill="auto"/>
            <w:noWrap/>
            <w:vAlign w:val="center"/>
            <w:hideMark/>
          </w:tcPr>
          <w:p w14:paraId="2869394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0.34 (0.27, 0.41)</w:t>
            </w:r>
          </w:p>
        </w:tc>
        <w:tc>
          <w:tcPr>
            <w:tcW w:w="302" w:type="pct"/>
            <w:shd w:val="clear" w:color="auto" w:fill="auto"/>
            <w:noWrap/>
            <w:hideMark/>
          </w:tcPr>
          <w:p w14:paraId="67C62A8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£190,506</w:t>
            </w:r>
          </w:p>
        </w:tc>
        <w:tc>
          <w:tcPr>
            <w:tcW w:w="304" w:type="pct"/>
            <w:shd w:val="clear" w:color="auto" w:fill="auto"/>
            <w:noWrap/>
            <w:hideMark/>
          </w:tcPr>
          <w:p w14:paraId="3859B5E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£189,675</w:t>
            </w:r>
          </w:p>
        </w:tc>
        <w:tc>
          <w:tcPr>
            <w:tcW w:w="305" w:type="pct"/>
            <w:shd w:val="clear" w:color="auto" w:fill="auto"/>
            <w:noWrap/>
            <w:hideMark/>
          </w:tcPr>
          <w:p w14:paraId="64A413A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£189,489</w:t>
            </w:r>
          </w:p>
        </w:tc>
        <w:tc>
          <w:tcPr>
            <w:tcW w:w="383" w:type="pct"/>
            <w:shd w:val="clear" w:color="auto" w:fill="auto"/>
            <w:noWrap/>
            <w:hideMark/>
          </w:tcPr>
          <w:p w14:paraId="05935C2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£188,797</w:t>
            </w:r>
          </w:p>
        </w:tc>
        <w:tc>
          <w:tcPr>
            <w:tcW w:w="363" w:type="pct"/>
            <w:shd w:val="clear" w:color="auto" w:fill="auto"/>
            <w:noWrap/>
            <w:hideMark/>
          </w:tcPr>
          <w:p w14:paraId="0143975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£187,502</w:t>
            </w:r>
          </w:p>
        </w:tc>
        <w:tc>
          <w:tcPr>
            <w:tcW w:w="388" w:type="pct"/>
            <w:shd w:val="clear" w:color="auto" w:fill="auto"/>
            <w:noWrap/>
            <w:hideMark/>
          </w:tcPr>
          <w:p w14:paraId="1910D30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£186,858</w:t>
            </w:r>
          </w:p>
        </w:tc>
        <w:tc>
          <w:tcPr>
            <w:tcW w:w="443" w:type="pct"/>
            <w:shd w:val="clear" w:color="auto" w:fill="auto"/>
            <w:noWrap/>
            <w:hideMark/>
          </w:tcPr>
          <w:p w14:paraId="357C436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£187,553</w:t>
            </w:r>
          </w:p>
        </w:tc>
        <w:tc>
          <w:tcPr>
            <w:tcW w:w="328" w:type="pct"/>
            <w:shd w:val="clear" w:color="auto" w:fill="auto"/>
            <w:noWrap/>
            <w:hideMark/>
          </w:tcPr>
          <w:p w14:paraId="7B33A56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£186,880</w:t>
            </w:r>
          </w:p>
        </w:tc>
      </w:tr>
      <w:tr w:rsidR="006D747C" w:rsidRPr="004F31AD" w14:paraId="542A7C12" w14:textId="77777777" w:rsidTr="004F31AD">
        <w:trPr>
          <w:trHeight w:val="20"/>
        </w:trPr>
        <w:tc>
          <w:tcPr>
            <w:tcW w:w="1582" w:type="pct"/>
            <w:shd w:val="clear" w:color="auto" w:fill="auto"/>
            <w:vAlign w:val="center"/>
            <w:hideMark/>
          </w:tcPr>
          <w:p w14:paraId="37D744B0"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The rate of mesh extrusion over 15 years</w:t>
            </w:r>
          </w:p>
        </w:tc>
        <w:tc>
          <w:tcPr>
            <w:tcW w:w="601" w:type="pct"/>
            <w:shd w:val="clear" w:color="auto" w:fill="auto"/>
            <w:noWrap/>
            <w:vAlign w:val="center"/>
            <w:hideMark/>
          </w:tcPr>
          <w:p w14:paraId="5872DC5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0.34 (0.27, 0.41)</w:t>
            </w:r>
          </w:p>
        </w:tc>
        <w:tc>
          <w:tcPr>
            <w:tcW w:w="302" w:type="pct"/>
            <w:shd w:val="clear" w:color="auto" w:fill="auto"/>
            <w:noWrap/>
            <w:hideMark/>
          </w:tcPr>
          <w:p w14:paraId="497AFB1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0DFFC89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28BF593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£189,221</w:t>
            </w:r>
          </w:p>
        </w:tc>
        <w:tc>
          <w:tcPr>
            <w:tcW w:w="383" w:type="pct"/>
            <w:shd w:val="clear" w:color="auto" w:fill="auto"/>
            <w:noWrap/>
            <w:hideMark/>
          </w:tcPr>
          <w:p w14:paraId="4FCF7A3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£189,062</w:t>
            </w:r>
          </w:p>
        </w:tc>
        <w:tc>
          <w:tcPr>
            <w:tcW w:w="363" w:type="pct"/>
            <w:shd w:val="clear" w:color="auto" w:fill="auto"/>
            <w:noWrap/>
            <w:hideMark/>
          </w:tcPr>
          <w:p w14:paraId="658F5508"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£187,685</w:t>
            </w:r>
          </w:p>
        </w:tc>
        <w:tc>
          <w:tcPr>
            <w:tcW w:w="388" w:type="pct"/>
            <w:shd w:val="clear" w:color="auto" w:fill="auto"/>
            <w:noWrap/>
            <w:hideMark/>
          </w:tcPr>
          <w:p w14:paraId="46BE0CB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£186,687</w:t>
            </w:r>
          </w:p>
        </w:tc>
        <w:tc>
          <w:tcPr>
            <w:tcW w:w="443" w:type="pct"/>
            <w:shd w:val="clear" w:color="auto" w:fill="auto"/>
            <w:noWrap/>
            <w:hideMark/>
          </w:tcPr>
          <w:p w14:paraId="03F9B4A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£187,697</w:t>
            </w:r>
          </w:p>
        </w:tc>
        <w:tc>
          <w:tcPr>
            <w:tcW w:w="328" w:type="pct"/>
            <w:shd w:val="clear" w:color="auto" w:fill="auto"/>
            <w:noWrap/>
            <w:hideMark/>
          </w:tcPr>
          <w:p w14:paraId="1D940FA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£186,747</w:t>
            </w:r>
          </w:p>
        </w:tc>
      </w:tr>
      <w:tr w:rsidR="006D747C" w:rsidRPr="004F31AD" w14:paraId="63D6EE8E" w14:textId="77777777" w:rsidTr="004F31AD">
        <w:trPr>
          <w:trHeight w:val="20"/>
        </w:trPr>
        <w:tc>
          <w:tcPr>
            <w:tcW w:w="1582" w:type="pct"/>
            <w:shd w:val="clear" w:color="auto" w:fill="auto"/>
            <w:vAlign w:val="center"/>
            <w:hideMark/>
          </w:tcPr>
          <w:p w14:paraId="7CE6B406"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The rate of pain complications over 15 years</w:t>
            </w:r>
          </w:p>
        </w:tc>
        <w:tc>
          <w:tcPr>
            <w:tcW w:w="601" w:type="pct"/>
            <w:shd w:val="clear" w:color="auto" w:fill="auto"/>
            <w:noWrap/>
            <w:vAlign w:val="center"/>
            <w:hideMark/>
          </w:tcPr>
          <w:p w14:paraId="3995433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0.15 (0.12, 0.18)</w:t>
            </w:r>
          </w:p>
        </w:tc>
        <w:tc>
          <w:tcPr>
            <w:tcW w:w="302" w:type="pct"/>
            <w:shd w:val="clear" w:color="auto" w:fill="auto"/>
            <w:noWrap/>
            <w:hideMark/>
          </w:tcPr>
          <w:p w14:paraId="2E3F6FC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52AF782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30A295F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£189,254</w:t>
            </w:r>
          </w:p>
        </w:tc>
        <w:tc>
          <w:tcPr>
            <w:tcW w:w="383" w:type="pct"/>
            <w:shd w:val="clear" w:color="auto" w:fill="auto"/>
            <w:noWrap/>
            <w:hideMark/>
          </w:tcPr>
          <w:p w14:paraId="685F037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£189,031</w:t>
            </w:r>
          </w:p>
        </w:tc>
        <w:tc>
          <w:tcPr>
            <w:tcW w:w="363" w:type="pct"/>
            <w:shd w:val="clear" w:color="auto" w:fill="auto"/>
            <w:noWrap/>
            <w:hideMark/>
          </w:tcPr>
          <w:p w14:paraId="20158A1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£187,291</w:t>
            </w:r>
          </w:p>
        </w:tc>
        <w:tc>
          <w:tcPr>
            <w:tcW w:w="388" w:type="pct"/>
            <w:shd w:val="clear" w:color="auto" w:fill="auto"/>
            <w:noWrap/>
            <w:hideMark/>
          </w:tcPr>
          <w:p w14:paraId="755F1FE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£187,068</w:t>
            </w:r>
          </w:p>
        </w:tc>
        <w:tc>
          <w:tcPr>
            <w:tcW w:w="443" w:type="pct"/>
            <w:shd w:val="clear" w:color="auto" w:fill="auto"/>
            <w:noWrap/>
            <w:hideMark/>
          </w:tcPr>
          <w:p w14:paraId="5D576CF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£187,327</w:t>
            </w:r>
          </w:p>
        </w:tc>
        <w:tc>
          <w:tcPr>
            <w:tcW w:w="328" w:type="pct"/>
            <w:shd w:val="clear" w:color="auto" w:fill="auto"/>
            <w:noWrap/>
            <w:hideMark/>
          </w:tcPr>
          <w:p w14:paraId="7DFCBC7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£187,104</w:t>
            </w:r>
          </w:p>
        </w:tc>
      </w:tr>
      <w:tr w:rsidR="006D747C" w:rsidRPr="004F31AD" w14:paraId="1C7886F9" w14:textId="77777777" w:rsidTr="004F31AD">
        <w:trPr>
          <w:trHeight w:val="20"/>
        </w:trPr>
        <w:tc>
          <w:tcPr>
            <w:tcW w:w="1582" w:type="pct"/>
            <w:shd w:val="clear" w:color="auto" w:fill="auto"/>
            <w:vAlign w:val="center"/>
            <w:hideMark/>
          </w:tcPr>
          <w:p w14:paraId="478AA8CF"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The risk of surgically managed recurrence (primary repair) over 20 years</w:t>
            </w:r>
          </w:p>
        </w:tc>
        <w:tc>
          <w:tcPr>
            <w:tcW w:w="601" w:type="pct"/>
            <w:shd w:val="clear" w:color="auto" w:fill="auto"/>
            <w:noWrap/>
            <w:vAlign w:val="center"/>
            <w:hideMark/>
          </w:tcPr>
          <w:p w14:paraId="2D7AE44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0.09 (0.07, 0.11)</w:t>
            </w:r>
          </w:p>
        </w:tc>
        <w:tc>
          <w:tcPr>
            <w:tcW w:w="302" w:type="pct"/>
            <w:shd w:val="clear" w:color="auto" w:fill="auto"/>
            <w:noWrap/>
            <w:hideMark/>
          </w:tcPr>
          <w:p w14:paraId="5E93E11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£190,111</w:t>
            </w:r>
          </w:p>
        </w:tc>
        <w:tc>
          <w:tcPr>
            <w:tcW w:w="304" w:type="pct"/>
            <w:shd w:val="clear" w:color="auto" w:fill="auto"/>
            <w:noWrap/>
            <w:hideMark/>
          </w:tcPr>
          <w:p w14:paraId="6A2F07C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£190,060</w:t>
            </w:r>
          </w:p>
        </w:tc>
        <w:tc>
          <w:tcPr>
            <w:tcW w:w="305" w:type="pct"/>
            <w:shd w:val="clear" w:color="auto" w:fill="auto"/>
            <w:noWrap/>
            <w:hideMark/>
          </w:tcPr>
          <w:p w14:paraId="2949F74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£189,172</w:t>
            </w:r>
          </w:p>
        </w:tc>
        <w:tc>
          <w:tcPr>
            <w:tcW w:w="383" w:type="pct"/>
            <w:shd w:val="clear" w:color="auto" w:fill="auto"/>
            <w:noWrap/>
            <w:hideMark/>
          </w:tcPr>
          <w:p w14:paraId="15A0D33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£189,109</w:t>
            </w:r>
          </w:p>
        </w:tc>
        <w:tc>
          <w:tcPr>
            <w:tcW w:w="363" w:type="pct"/>
            <w:shd w:val="clear" w:color="auto" w:fill="auto"/>
            <w:noWrap/>
            <w:hideMark/>
          </w:tcPr>
          <w:p w14:paraId="55D385B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c>
          <w:tcPr>
            <w:tcW w:w="388" w:type="pct"/>
            <w:shd w:val="clear" w:color="auto" w:fill="auto"/>
            <w:noWrap/>
            <w:hideMark/>
          </w:tcPr>
          <w:p w14:paraId="2EBDF28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£187,141</w:t>
            </w:r>
          </w:p>
        </w:tc>
        <w:tc>
          <w:tcPr>
            <w:tcW w:w="443" w:type="pct"/>
            <w:shd w:val="clear" w:color="auto" w:fill="auto"/>
            <w:noWrap/>
            <w:hideMark/>
          </w:tcPr>
          <w:p w14:paraId="480D391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£187,251</w:t>
            </w:r>
          </w:p>
        </w:tc>
        <w:tc>
          <w:tcPr>
            <w:tcW w:w="328" w:type="pct"/>
            <w:shd w:val="clear" w:color="auto" w:fill="auto"/>
            <w:noWrap/>
            <w:hideMark/>
          </w:tcPr>
          <w:p w14:paraId="3E534B3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£187,177</w:t>
            </w:r>
          </w:p>
        </w:tc>
      </w:tr>
      <w:tr w:rsidR="006D747C" w:rsidRPr="004F31AD" w14:paraId="4A282F99" w14:textId="77777777" w:rsidTr="004F31AD">
        <w:trPr>
          <w:trHeight w:val="20"/>
        </w:trPr>
        <w:tc>
          <w:tcPr>
            <w:tcW w:w="1582" w:type="pct"/>
            <w:shd w:val="clear" w:color="auto" w:fill="auto"/>
            <w:vAlign w:val="center"/>
            <w:hideMark/>
          </w:tcPr>
          <w:p w14:paraId="56DEAEB6"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The time mesh extrusion resolves (if it does so) following the appropriate management (months)</w:t>
            </w:r>
          </w:p>
        </w:tc>
        <w:tc>
          <w:tcPr>
            <w:tcW w:w="601" w:type="pct"/>
            <w:shd w:val="clear" w:color="auto" w:fill="auto"/>
            <w:noWrap/>
            <w:vAlign w:val="center"/>
            <w:hideMark/>
          </w:tcPr>
          <w:p w14:paraId="37E1550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12 (3, 12)</w:t>
            </w:r>
          </w:p>
        </w:tc>
        <w:tc>
          <w:tcPr>
            <w:tcW w:w="302" w:type="pct"/>
            <w:shd w:val="clear" w:color="auto" w:fill="auto"/>
            <w:noWrap/>
            <w:hideMark/>
          </w:tcPr>
          <w:p w14:paraId="5A88EB3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51B4F48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26168EF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£189,439</w:t>
            </w:r>
          </w:p>
        </w:tc>
        <w:tc>
          <w:tcPr>
            <w:tcW w:w="383" w:type="pct"/>
            <w:shd w:val="clear" w:color="auto" w:fill="auto"/>
            <w:noWrap/>
            <w:hideMark/>
          </w:tcPr>
          <w:p w14:paraId="4A76F64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63" w:type="pct"/>
            <w:shd w:val="clear" w:color="auto" w:fill="auto"/>
            <w:noWrap/>
            <w:hideMark/>
          </w:tcPr>
          <w:p w14:paraId="50D351F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£189,169</w:t>
            </w:r>
          </w:p>
        </w:tc>
        <w:tc>
          <w:tcPr>
            <w:tcW w:w="388" w:type="pct"/>
            <w:shd w:val="clear" w:color="auto" w:fill="auto"/>
            <w:noWrap/>
            <w:hideMark/>
          </w:tcPr>
          <w:p w14:paraId="55FB7B5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443" w:type="pct"/>
            <w:shd w:val="clear" w:color="auto" w:fill="auto"/>
            <w:noWrap/>
            <w:hideMark/>
          </w:tcPr>
          <w:p w14:paraId="2BB6BA6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£189,116</w:t>
            </w:r>
          </w:p>
        </w:tc>
        <w:tc>
          <w:tcPr>
            <w:tcW w:w="328" w:type="pct"/>
            <w:shd w:val="clear" w:color="auto" w:fill="auto"/>
            <w:noWrap/>
            <w:hideMark/>
          </w:tcPr>
          <w:p w14:paraId="1C1AC5E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r>
      <w:tr w:rsidR="006D747C" w:rsidRPr="004F31AD" w14:paraId="04A66C3D" w14:textId="77777777" w:rsidTr="004F31AD">
        <w:trPr>
          <w:trHeight w:val="20"/>
        </w:trPr>
        <w:tc>
          <w:tcPr>
            <w:tcW w:w="1582" w:type="pct"/>
            <w:shd w:val="clear" w:color="auto" w:fill="auto"/>
            <w:vAlign w:val="center"/>
            <w:hideMark/>
          </w:tcPr>
          <w:p w14:paraId="02B6EF41"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The time pain complications resolve (if they do so) following appropriate management (months)</w:t>
            </w:r>
          </w:p>
        </w:tc>
        <w:tc>
          <w:tcPr>
            <w:tcW w:w="601" w:type="pct"/>
            <w:shd w:val="clear" w:color="auto" w:fill="auto"/>
            <w:noWrap/>
            <w:vAlign w:val="center"/>
            <w:hideMark/>
          </w:tcPr>
          <w:p w14:paraId="3F054EF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12 (3, 12)</w:t>
            </w:r>
          </w:p>
        </w:tc>
        <w:tc>
          <w:tcPr>
            <w:tcW w:w="302" w:type="pct"/>
            <w:shd w:val="clear" w:color="auto" w:fill="auto"/>
            <w:noWrap/>
            <w:hideMark/>
          </w:tcPr>
          <w:p w14:paraId="49B2C54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6A470F1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431A6DB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£189,577</w:t>
            </w:r>
          </w:p>
        </w:tc>
        <w:tc>
          <w:tcPr>
            <w:tcW w:w="383" w:type="pct"/>
            <w:shd w:val="clear" w:color="auto" w:fill="auto"/>
            <w:noWrap/>
            <w:hideMark/>
          </w:tcPr>
          <w:p w14:paraId="67F11F6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63" w:type="pct"/>
            <w:shd w:val="clear" w:color="auto" w:fill="auto"/>
            <w:noWrap/>
            <w:hideMark/>
          </w:tcPr>
          <w:p w14:paraId="284EF5F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£187,614</w:t>
            </w:r>
          </w:p>
        </w:tc>
        <w:tc>
          <w:tcPr>
            <w:tcW w:w="388" w:type="pct"/>
            <w:shd w:val="clear" w:color="auto" w:fill="auto"/>
            <w:noWrap/>
            <w:hideMark/>
          </w:tcPr>
          <w:p w14:paraId="783F7B2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443" w:type="pct"/>
            <w:shd w:val="clear" w:color="auto" w:fill="auto"/>
            <w:noWrap/>
            <w:hideMark/>
          </w:tcPr>
          <w:p w14:paraId="36650A6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£187,650</w:t>
            </w:r>
          </w:p>
        </w:tc>
        <w:tc>
          <w:tcPr>
            <w:tcW w:w="328" w:type="pct"/>
            <w:shd w:val="clear" w:color="auto" w:fill="auto"/>
            <w:noWrap/>
            <w:hideMark/>
          </w:tcPr>
          <w:p w14:paraId="5D4D96F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r>
      <w:tr w:rsidR="006D747C" w:rsidRPr="004F31AD" w14:paraId="07D0BF46" w14:textId="77777777" w:rsidTr="004F31AD">
        <w:trPr>
          <w:trHeight w:val="20"/>
        </w:trPr>
        <w:tc>
          <w:tcPr>
            <w:tcW w:w="1582" w:type="pct"/>
            <w:shd w:val="clear" w:color="auto" w:fill="auto"/>
            <w:vAlign w:val="center"/>
            <w:hideMark/>
          </w:tcPr>
          <w:p w14:paraId="7F930B17"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Treatment effect sustained (years)</w:t>
            </w:r>
          </w:p>
        </w:tc>
        <w:tc>
          <w:tcPr>
            <w:tcW w:w="601" w:type="pct"/>
            <w:shd w:val="clear" w:color="auto" w:fill="auto"/>
            <w:noWrap/>
            <w:vAlign w:val="center"/>
            <w:hideMark/>
          </w:tcPr>
          <w:p w14:paraId="471D74A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3 (2, 15)</w:t>
            </w:r>
          </w:p>
        </w:tc>
        <w:tc>
          <w:tcPr>
            <w:tcW w:w="302" w:type="pct"/>
            <w:shd w:val="clear" w:color="auto" w:fill="auto"/>
            <w:noWrap/>
            <w:hideMark/>
          </w:tcPr>
          <w:p w14:paraId="5010275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16C13EA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0E8E03B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£189,141</w:t>
            </w:r>
          </w:p>
        </w:tc>
        <w:tc>
          <w:tcPr>
            <w:tcW w:w="383" w:type="pct"/>
            <w:shd w:val="clear" w:color="auto" w:fill="auto"/>
            <w:noWrap/>
            <w:hideMark/>
          </w:tcPr>
          <w:p w14:paraId="79310B9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£189,935</w:t>
            </w:r>
          </w:p>
        </w:tc>
        <w:tc>
          <w:tcPr>
            <w:tcW w:w="363" w:type="pct"/>
            <w:shd w:val="clear" w:color="auto" w:fill="auto"/>
            <w:noWrap/>
            <w:hideMark/>
          </w:tcPr>
          <w:p w14:paraId="6995D18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£187,178</w:t>
            </w:r>
          </w:p>
        </w:tc>
        <w:tc>
          <w:tcPr>
            <w:tcW w:w="388" w:type="pct"/>
            <w:shd w:val="clear" w:color="auto" w:fill="auto"/>
            <w:noWrap/>
            <w:hideMark/>
          </w:tcPr>
          <w:p w14:paraId="3395159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£188,255</w:t>
            </w:r>
          </w:p>
        </w:tc>
        <w:tc>
          <w:tcPr>
            <w:tcW w:w="443" w:type="pct"/>
            <w:shd w:val="clear" w:color="auto" w:fill="auto"/>
            <w:noWrap/>
            <w:hideMark/>
          </w:tcPr>
          <w:p w14:paraId="796B30D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£187,214</w:t>
            </w:r>
          </w:p>
        </w:tc>
        <w:tc>
          <w:tcPr>
            <w:tcW w:w="328" w:type="pct"/>
            <w:shd w:val="clear" w:color="auto" w:fill="auto"/>
            <w:noWrap/>
            <w:hideMark/>
          </w:tcPr>
          <w:p w14:paraId="203E0EF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£188,119</w:t>
            </w:r>
          </w:p>
        </w:tc>
      </w:tr>
      <w:tr w:rsidR="006D747C" w:rsidRPr="004F31AD" w14:paraId="4B242700" w14:textId="77777777" w:rsidTr="004F31AD">
        <w:trPr>
          <w:trHeight w:val="20"/>
        </w:trPr>
        <w:tc>
          <w:tcPr>
            <w:tcW w:w="1582" w:type="pct"/>
            <w:shd w:val="clear" w:color="auto" w:fill="auto"/>
            <w:vAlign w:val="center"/>
            <w:hideMark/>
          </w:tcPr>
          <w:p w14:paraId="6E4693FA"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Utility associated with active POP</w:t>
            </w:r>
          </w:p>
        </w:tc>
        <w:tc>
          <w:tcPr>
            <w:tcW w:w="601" w:type="pct"/>
            <w:shd w:val="clear" w:color="auto" w:fill="auto"/>
            <w:noWrap/>
            <w:vAlign w:val="center"/>
            <w:hideMark/>
          </w:tcPr>
          <w:p w14:paraId="24A7DCD3"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0.61 (0.55, 0.67)</w:t>
            </w:r>
          </w:p>
        </w:tc>
        <w:tc>
          <w:tcPr>
            <w:tcW w:w="302" w:type="pct"/>
            <w:shd w:val="clear" w:color="auto" w:fill="auto"/>
            <w:noWrap/>
            <w:hideMark/>
          </w:tcPr>
          <w:p w14:paraId="56CF5FF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£190,072</w:t>
            </w:r>
          </w:p>
        </w:tc>
        <w:tc>
          <w:tcPr>
            <w:tcW w:w="304" w:type="pct"/>
            <w:shd w:val="clear" w:color="auto" w:fill="auto"/>
            <w:noWrap/>
            <w:hideMark/>
          </w:tcPr>
          <w:p w14:paraId="6CA28F34"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£190,099</w:t>
            </w:r>
          </w:p>
        </w:tc>
        <w:tc>
          <w:tcPr>
            <w:tcW w:w="305" w:type="pct"/>
            <w:shd w:val="clear" w:color="auto" w:fill="auto"/>
            <w:noWrap/>
            <w:hideMark/>
          </w:tcPr>
          <w:p w14:paraId="335CA85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£189,129</w:t>
            </w:r>
          </w:p>
        </w:tc>
        <w:tc>
          <w:tcPr>
            <w:tcW w:w="383" w:type="pct"/>
            <w:shd w:val="clear" w:color="auto" w:fill="auto"/>
            <w:noWrap/>
            <w:hideMark/>
          </w:tcPr>
          <w:p w14:paraId="04B3D5F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£189,153</w:t>
            </w:r>
          </w:p>
        </w:tc>
        <w:tc>
          <w:tcPr>
            <w:tcW w:w="363" w:type="pct"/>
            <w:shd w:val="clear" w:color="auto" w:fill="auto"/>
            <w:noWrap/>
            <w:hideMark/>
          </w:tcPr>
          <w:p w14:paraId="0224714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£187,167</w:t>
            </w:r>
          </w:p>
        </w:tc>
        <w:tc>
          <w:tcPr>
            <w:tcW w:w="388" w:type="pct"/>
            <w:shd w:val="clear" w:color="auto" w:fill="auto"/>
            <w:noWrap/>
            <w:hideMark/>
          </w:tcPr>
          <w:p w14:paraId="4B1B4128"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£187,189</w:t>
            </w:r>
          </w:p>
        </w:tc>
        <w:tc>
          <w:tcPr>
            <w:tcW w:w="443" w:type="pct"/>
            <w:shd w:val="clear" w:color="auto" w:fill="auto"/>
            <w:noWrap/>
            <w:hideMark/>
          </w:tcPr>
          <w:p w14:paraId="6F9F7F7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£187,203</w:t>
            </w:r>
          </w:p>
        </w:tc>
        <w:tc>
          <w:tcPr>
            <w:tcW w:w="328" w:type="pct"/>
            <w:shd w:val="clear" w:color="auto" w:fill="auto"/>
            <w:noWrap/>
            <w:hideMark/>
          </w:tcPr>
          <w:p w14:paraId="54EAB4B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£187,226</w:t>
            </w:r>
          </w:p>
        </w:tc>
      </w:tr>
      <w:tr w:rsidR="006D747C" w:rsidRPr="004F31AD" w14:paraId="7FD5F735" w14:textId="77777777" w:rsidTr="004F31AD">
        <w:trPr>
          <w:trHeight w:val="20"/>
        </w:trPr>
        <w:tc>
          <w:tcPr>
            <w:tcW w:w="1582" w:type="pct"/>
            <w:shd w:val="clear" w:color="auto" w:fill="auto"/>
            <w:vAlign w:val="center"/>
            <w:hideMark/>
          </w:tcPr>
          <w:p w14:paraId="44F90643"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lastRenderedPageBreak/>
              <w:t>Utility associated with conservative management</w:t>
            </w:r>
          </w:p>
        </w:tc>
        <w:tc>
          <w:tcPr>
            <w:tcW w:w="601" w:type="pct"/>
            <w:shd w:val="clear" w:color="auto" w:fill="auto"/>
            <w:noWrap/>
            <w:vAlign w:val="center"/>
            <w:hideMark/>
          </w:tcPr>
          <w:p w14:paraId="20721B53"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0.80 (0.72, 0.88)</w:t>
            </w:r>
          </w:p>
        </w:tc>
        <w:tc>
          <w:tcPr>
            <w:tcW w:w="302" w:type="pct"/>
            <w:shd w:val="clear" w:color="auto" w:fill="auto"/>
            <w:noWrap/>
            <w:hideMark/>
          </w:tcPr>
          <w:p w14:paraId="548EF09B"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£187,289</w:t>
            </w:r>
          </w:p>
        </w:tc>
        <w:tc>
          <w:tcPr>
            <w:tcW w:w="304" w:type="pct"/>
            <w:shd w:val="clear" w:color="auto" w:fill="auto"/>
            <w:noWrap/>
            <w:hideMark/>
          </w:tcPr>
          <w:p w14:paraId="0AB13FA8"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£192,882</w:t>
            </w:r>
          </w:p>
        </w:tc>
        <w:tc>
          <w:tcPr>
            <w:tcW w:w="305" w:type="pct"/>
            <w:shd w:val="clear" w:color="auto" w:fill="auto"/>
            <w:noWrap/>
            <w:hideMark/>
          </w:tcPr>
          <w:p w14:paraId="4CE3BF3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£186,830</w:t>
            </w:r>
          </w:p>
        </w:tc>
        <w:tc>
          <w:tcPr>
            <w:tcW w:w="383" w:type="pct"/>
            <w:shd w:val="clear" w:color="auto" w:fill="auto"/>
            <w:noWrap/>
            <w:hideMark/>
          </w:tcPr>
          <w:p w14:paraId="582C4B4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£191,452</w:t>
            </w:r>
          </w:p>
        </w:tc>
        <w:tc>
          <w:tcPr>
            <w:tcW w:w="363" w:type="pct"/>
            <w:shd w:val="clear" w:color="auto" w:fill="auto"/>
            <w:noWrap/>
            <w:hideMark/>
          </w:tcPr>
          <w:p w14:paraId="3650742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£185,027</w:t>
            </w:r>
          </w:p>
        </w:tc>
        <w:tc>
          <w:tcPr>
            <w:tcW w:w="388" w:type="pct"/>
            <w:shd w:val="clear" w:color="auto" w:fill="auto"/>
            <w:noWrap/>
            <w:hideMark/>
          </w:tcPr>
          <w:p w14:paraId="4785C19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£189,329</w:t>
            </w:r>
          </w:p>
        </w:tc>
        <w:tc>
          <w:tcPr>
            <w:tcW w:w="443" w:type="pct"/>
            <w:shd w:val="clear" w:color="auto" w:fill="auto"/>
            <w:noWrap/>
            <w:hideMark/>
          </w:tcPr>
          <w:p w14:paraId="716045C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£184,964</w:t>
            </w:r>
          </w:p>
        </w:tc>
        <w:tc>
          <w:tcPr>
            <w:tcW w:w="328" w:type="pct"/>
            <w:shd w:val="clear" w:color="auto" w:fill="auto"/>
            <w:noWrap/>
            <w:hideMark/>
          </w:tcPr>
          <w:p w14:paraId="156286B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£189,464</w:t>
            </w:r>
          </w:p>
        </w:tc>
      </w:tr>
      <w:tr w:rsidR="006D747C" w:rsidRPr="004F31AD" w14:paraId="146D11B8" w14:textId="77777777" w:rsidTr="004F31AD">
        <w:trPr>
          <w:trHeight w:val="20"/>
        </w:trPr>
        <w:tc>
          <w:tcPr>
            <w:tcW w:w="1582" w:type="pct"/>
            <w:shd w:val="clear" w:color="auto" w:fill="auto"/>
            <w:vAlign w:val="center"/>
            <w:hideMark/>
          </w:tcPr>
          <w:p w14:paraId="4E79B453"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Utility associated with reoperation</w:t>
            </w:r>
          </w:p>
        </w:tc>
        <w:tc>
          <w:tcPr>
            <w:tcW w:w="601" w:type="pct"/>
            <w:shd w:val="clear" w:color="auto" w:fill="auto"/>
            <w:noWrap/>
            <w:vAlign w:val="center"/>
            <w:hideMark/>
          </w:tcPr>
          <w:p w14:paraId="2E07A89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0.65 (0.58, 0.71)</w:t>
            </w:r>
          </w:p>
        </w:tc>
        <w:tc>
          <w:tcPr>
            <w:tcW w:w="302" w:type="pct"/>
            <w:shd w:val="clear" w:color="auto" w:fill="auto"/>
            <w:noWrap/>
            <w:hideMark/>
          </w:tcPr>
          <w:p w14:paraId="76DBC441"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£190,058</w:t>
            </w:r>
          </w:p>
        </w:tc>
        <w:tc>
          <w:tcPr>
            <w:tcW w:w="304" w:type="pct"/>
            <w:shd w:val="clear" w:color="auto" w:fill="auto"/>
            <w:noWrap/>
            <w:hideMark/>
          </w:tcPr>
          <w:p w14:paraId="6804E72C"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£190,113</w:t>
            </w:r>
          </w:p>
        </w:tc>
        <w:tc>
          <w:tcPr>
            <w:tcW w:w="305" w:type="pct"/>
            <w:shd w:val="clear" w:color="auto" w:fill="auto"/>
            <w:noWrap/>
            <w:hideMark/>
          </w:tcPr>
          <w:p w14:paraId="1F25830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£189,117</w:t>
            </w:r>
          </w:p>
        </w:tc>
        <w:tc>
          <w:tcPr>
            <w:tcW w:w="383" w:type="pct"/>
            <w:shd w:val="clear" w:color="auto" w:fill="auto"/>
            <w:noWrap/>
            <w:hideMark/>
          </w:tcPr>
          <w:p w14:paraId="7D20DA5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£189,165</w:t>
            </w:r>
          </w:p>
        </w:tc>
        <w:tc>
          <w:tcPr>
            <w:tcW w:w="363" w:type="pct"/>
            <w:shd w:val="clear" w:color="auto" w:fill="auto"/>
            <w:noWrap/>
            <w:hideMark/>
          </w:tcPr>
          <w:p w14:paraId="706629C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£187,155</w:t>
            </w:r>
          </w:p>
        </w:tc>
        <w:tc>
          <w:tcPr>
            <w:tcW w:w="388" w:type="pct"/>
            <w:shd w:val="clear" w:color="auto" w:fill="auto"/>
            <w:noWrap/>
            <w:hideMark/>
          </w:tcPr>
          <w:p w14:paraId="1A5DAB36"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£187,201</w:t>
            </w:r>
          </w:p>
        </w:tc>
        <w:tc>
          <w:tcPr>
            <w:tcW w:w="443" w:type="pct"/>
            <w:shd w:val="clear" w:color="auto" w:fill="auto"/>
            <w:noWrap/>
            <w:hideMark/>
          </w:tcPr>
          <w:p w14:paraId="167DEA1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£187,191</w:t>
            </w:r>
          </w:p>
        </w:tc>
        <w:tc>
          <w:tcPr>
            <w:tcW w:w="328" w:type="pct"/>
            <w:shd w:val="clear" w:color="auto" w:fill="auto"/>
            <w:noWrap/>
            <w:hideMark/>
          </w:tcPr>
          <w:p w14:paraId="778A6C63"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£187,238</w:t>
            </w:r>
          </w:p>
        </w:tc>
      </w:tr>
      <w:tr w:rsidR="006D747C" w:rsidRPr="004F31AD" w14:paraId="4766DFD0" w14:textId="77777777" w:rsidTr="004F31AD">
        <w:trPr>
          <w:trHeight w:val="20"/>
        </w:trPr>
        <w:tc>
          <w:tcPr>
            <w:tcW w:w="1582" w:type="pct"/>
            <w:shd w:val="clear" w:color="auto" w:fill="auto"/>
            <w:vAlign w:val="center"/>
            <w:hideMark/>
          </w:tcPr>
          <w:p w14:paraId="374D8E25"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Utility associated with well</w:t>
            </w:r>
          </w:p>
        </w:tc>
        <w:tc>
          <w:tcPr>
            <w:tcW w:w="601" w:type="pct"/>
            <w:shd w:val="clear" w:color="auto" w:fill="auto"/>
            <w:noWrap/>
            <w:vAlign w:val="center"/>
            <w:hideMark/>
          </w:tcPr>
          <w:p w14:paraId="3552F42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0.83 (0.75, 0.91)</w:t>
            </w:r>
          </w:p>
        </w:tc>
        <w:tc>
          <w:tcPr>
            <w:tcW w:w="302" w:type="pct"/>
            <w:shd w:val="clear" w:color="auto" w:fill="auto"/>
            <w:noWrap/>
            <w:hideMark/>
          </w:tcPr>
          <w:p w14:paraId="4A6DB71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£173,578</w:t>
            </w:r>
          </w:p>
        </w:tc>
        <w:tc>
          <w:tcPr>
            <w:tcW w:w="304" w:type="pct"/>
            <w:shd w:val="clear" w:color="auto" w:fill="auto"/>
            <w:noWrap/>
            <w:hideMark/>
          </w:tcPr>
          <w:p w14:paraId="6E16B4C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£206,593</w:t>
            </w:r>
          </w:p>
        </w:tc>
        <w:tc>
          <w:tcPr>
            <w:tcW w:w="305" w:type="pct"/>
            <w:shd w:val="clear" w:color="auto" w:fill="auto"/>
            <w:noWrap/>
            <w:hideMark/>
          </w:tcPr>
          <w:p w14:paraId="7822A0B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£172,121</w:t>
            </w:r>
          </w:p>
        </w:tc>
        <w:tc>
          <w:tcPr>
            <w:tcW w:w="383" w:type="pct"/>
            <w:shd w:val="clear" w:color="auto" w:fill="auto"/>
            <w:noWrap/>
            <w:hideMark/>
          </w:tcPr>
          <w:p w14:paraId="637D807F"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£206,161</w:t>
            </w:r>
          </w:p>
        </w:tc>
        <w:tc>
          <w:tcPr>
            <w:tcW w:w="363" w:type="pct"/>
            <w:shd w:val="clear" w:color="auto" w:fill="auto"/>
            <w:noWrap/>
            <w:hideMark/>
          </w:tcPr>
          <w:p w14:paraId="60B7827E"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£169,989</w:t>
            </w:r>
          </w:p>
        </w:tc>
        <w:tc>
          <w:tcPr>
            <w:tcW w:w="388" w:type="pct"/>
            <w:shd w:val="clear" w:color="auto" w:fill="auto"/>
            <w:noWrap/>
            <w:hideMark/>
          </w:tcPr>
          <w:p w14:paraId="7B160D5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£204,368</w:t>
            </w:r>
          </w:p>
        </w:tc>
        <w:tc>
          <w:tcPr>
            <w:tcW w:w="443" w:type="pct"/>
            <w:shd w:val="clear" w:color="auto" w:fill="auto"/>
            <w:noWrap/>
            <w:hideMark/>
          </w:tcPr>
          <w:p w14:paraId="180B90B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£170,129</w:t>
            </w:r>
          </w:p>
        </w:tc>
        <w:tc>
          <w:tcPr>
            <w:tcW w:w="328" w:type="pct"/>
            <w:shd w:val="clear" w:color="auto" w:fill="auto"/>
            <w:noWrap/>
            <w:hideMark/>
          </w:tcPr>
          <w:p w14:paraId="0EBB6D9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£204,299</w:t>
            </w:r>
          </w:p>
        </w:tc>
      </w:tr>
      <w:tr w:rsidR="006D747C" w:rsidRPr="004F31AD" w14:paraId="172F646B" w14:textId="77777777" w:rsidTr="004F31AD">
        <w:trPr>
          <w:trHeight w:val="20"/>
        </w:trPr>
        <w:tc>
          <w:tcPr>
            <w:tcW w:w="1582" w:type="pct"/>
            <w:shd w:val="clear" w:color="auto" w:fill="auto"/>
            <w:vAlign w:val="center"/>
            <w:hideMark/>
          </w:tcPr>
          <w:p w14:paraId="50A518BC"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Utility decrement associated with complications that do not require surgical management</w:t>
            </w:r>
          </w:p>
        </w:tc>
        <w:tc>
          <w:tcPr>
            <w:tcW w:w="601" w:type="pct"/>
            <w:shd w:val="clear" w:color="auto" w:fill="auto"/>
            <w:noWrap/>
            <w:vAlign w:val="center"/>
            <w:hideMark/>
          </w:tcPr>
          <w:p w14:paraId="68B2CCE5"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0.09 (0.08, 0.10)</w:t>
            </w:r>
          </w:p>
        </w:tc>
        <w:tc>
          <w:tcPr>
            <w:tcW w:w="302" w:type="pct"/>
            <w:shd w:val="clear" w:color="auto" w:fill="auto"/>
            <w:noWrap/>
            <w:hideMark/>
          </w:tcPr>
          <w:p w14:paraId="2E6B5CE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hideMark/>
          </w:tcPr>
          <w:p w14:paraId="67D829D0"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hideMark/>
          </w:tcPr>
          <w:p w14:paraId="6AC9023A"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£189,196</w:t>
            </w:r>
          </w:p>
        </w:tc>
        <w:tc>
          <w:tcPr>
            <w:tcW w:w="383" w:type="pct"/>
            <w:shd w:val="clear" w:color="auto" w:fill="auto"/>
            <w:noWrap/>
            <w:hideMark/>
          </w:tcPr>
          <w:p w14:paraId="3C6759F7"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£189,087</w:t>
            </w:r>
          </w:p>
        </w:tc>
        <w:tc>
          <w:tcPr>
            <w:tcW w:w="363" w:type="pct"/>
            <w:shd w:val="clear" w:color="auto" w:fill="auto"/>
            <w:noWrap/>
            <w:hideMark/>
          </w:tcPr>
          <w:p w14:paraId="63F32BF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£187,285</w:t>
            </w:r>
          </w:p>
        </w:tc>
        <w:tc>
          <w:tcPr>
            <w:tcW w:w="388" w:type="pct"/>
            <w:shd w:val="clear" w:color="auto" w:fill="auto"/>
            <w:noWrap/>
            <w:hideMark/>
          </w:tcPr>
          <w:p w14:paraId="02EAE818"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£187,071</w:t>
            </w:r>
          </w:p>
        </w:tc>
        <w:tc>
          <w:tcPr>
            <w:tcW w:w="443" w:type="pct"/>
            <w:shd w:val="clear" w:color="auto" w:fill="auto"/>
            <w:noWrap/>
            <w:hideMark/>
          </w:tcPr>
          <w:p w14:paraId="08D6A522"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£187,319</w:t>
            </w:r>
          </w:p>
        </w:tc>
        <w:tc>
          <w:tcPr>
            <w:tcW w:w="328" w:type="pct"/>
            <w:shd w:val="clear" w:color="auto" w:fill="auto"/>
            <w:noWrap/>
            <w:hideMark/>
          </w:tcPr>
          <w:p w14:paraId="2D89B69D"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£187,110</w:t>
            </w:r>
          </w:p>
        </w:tc>
      </w:tr>
      <w:tr w:rsidR="006D747C" w:rsidRPr="004F31AD" w14:paraId="3727003D" w14:textId="77777777" w:rsidTr="004F31AD">
        <w:trPr>
          <w:trHeight w:val="20"/>
        </w:trPr>
        <w:tc>
          <w:tcPr>
            <w:tcW w:w="1582" w:type="pct"/>
            <w:shd w:val="clear" w:color="auto" w:fill="auto"/>
            <w:vAlign w:val="center"/>
            <w:hideMark/>
          </w:tcPr>
          <w:p w14:paraId="102C1ABA" w14:textId="77777777" w:rsidR="006D747C" w:rsidRPr="004F31AD" w:rsidRDefault="006D747C" w:rsidP="006D747C">
            <w:pPr>
              <w:spacing w:after="0" w:line="240" w:lineRule="auto"/>
              <w:rPr>
                <w:rFonts w:eastAsia="Times New Roman" w:cs="Arial"/>
                <w:b/>
                <w:bCs/>
                <w:sz w:val="16"/>
                <w:szCs w:val="20"/>
                <w:lang w:eastAsia="en-GB"/>
              </w:rPr>
            </w:pPr>
            <w:r w:rsidRPr="004F31AD">
              <w:rPr>
                <w:rFonts w:eastAsia="Times New Roman" w:cs="Arial"/>
                <w:b/>
                <w:bCs/>
                <w:sz w:val="16"/>
                <w:szCs w:val="20"/>
                <w:lang w:eastAsia="en-GB"/>
              </w:rPr>
              <w:t>Utility decrement associated with complications that require surgical management</w:t>
            </w:r>
          </w:p>
        </w:tc>
        <w:tc>
          <w:tcPr>
            <w:tcW w:w="601" w:type="pct"/>
            <w:shd w:val="clear" w:color="auto" w:fill="auto"/>
            <w:noWrap/>
            <w:vAlign w:val="center"/>
            <w:hideMark/>
          </w:tcPr>
          <w:p w14:paraId="070A1619" w14:textId="77777777" w:rsidR="006D747C" w:rsidRPr="004F31AD" w:rsidRDefault="006D747C" w:rsidP="006D747C">
            <w:pPr>
              <w:spacing w:after="0" w:line="240" w:lineRule="auto"/>
              <w:rPr>
                <w:rFonts w:eastAsia="Times New Roman" w:cs="Arial"/>
                <w:sz w:val="16"/>
                <w:szCs w:val="20"/>
                <w:lang w:eastAsia="en-GB"/>
              </w:rPr>
            </w:pPr>
            <w:r w:rsidRPr="004F31AD">
              <w:rPr>
                <w:rFonts w:eastAsia="Times New Roman" w:cs="Arial"/>
                <w:sz w:val="16"/>
                <w:szCs w:val="20"/>
                <w:lang w:eastAsia="en-GB"/>
              </w:rPr>
              <w:t>0.19 (0.17, 0.20)</w:t>
            </w:r>
          </w:p>
        </w:tc>
        <w:tc>
          <w:tcPr>
            <w:tcW w:w="302" w:type="pct"/>
            <w:shd w:val="clear" w:color="auto" w:fill="auto"/>
            <w:noWrap/>
            <w:vAlign w:val="center"/>
            <w:hideMark/>
          </w:tcPr>
          <w:p w14:paraId="28FE619C" w14:textId="77777777" w:rsidR="006D747C" w:rsidRPr="004F31AD" w:rsidRDefault="006D747C" w:rsidP="006D747C">
            <w:pPr>
              <w:spacing w:after="0" w:line="240" w:lineRule="auto"/>
              <w:jc w:val="right"/>
              <w:rPr>
                <w:rFonts w:eastAsia="Times New Roman" w:cs="Arial"/>
                <w:sz w:val="16"/>
                <w:szCs w:val="20"/>
                <w:lang w:eastAsia="en-GB"/>
              </w:rPr>
            </w:pPr>
            <w:r w:rsidRPr="004F31AD">
              <w:rPr>
                <w:rFonts w:eastAsia="Times New Roman" w:cs="Arial"/>
                <w:sz w:val="16"/>
                <w:szCs w:val="20"/>
                <w:lang w:eastAsia="en-GB"/>
              </w:rPr>
              <w:t>£190,086</w:t>
            </w:r>
          </w:p>
        </w:tc>
        <w:tc>
          <w:tcPr>
            <w:tcW w:w="304" w:type="pct"/>
            <w:shd w:val="clear" w:color="auto" w:fill="auto"/>
            <w:noWrap/>
            <w:vAlign w:val="center"/>
            <w:hideMark/>
          </w:tcPr>
          <w:p w14:paraId="41F3796C" w14:textId="77777777" w:rsidR="006D747C" w:rsidRPr="004F31AD" w:rsidRDefault="006D747C" w:rsidP="006D747C">
            <w:pPr>
              <w:spacing w:after="0" w:line="240" w:lineRule="auto"/>
              <w:jc w:val="right"/>
              <w:rPr>
                <w:rFonts w:eastAsia="Times New Roman" w:cs="Arial"/>
                <w:sz w:val="16"/>
                <w:szCs w:val="20"/>
                <w:lang w:eastAsia="en-GB"/>
              </w:rPr>
            </w:pPr>
            <w:r w:rsidRPr="004F31AD">
              <w:rPr>
                <w:rFonts w:eastAsia="Times New Roman" w:cs="Arial"/>
                <w:sz w:val="16"/>
                <w:szCs w:val="20"/>
                <w:lang w:eastAsia="en-GB"/>
              </w:rPr>
              <w:t>£190,086</w:t>
            </w:r>
          </w:p>
        </w:tc>
        <w:tc>
          <w:tcPr>
            <w:tcW w:w="305" w:type="pct"/>
            <w:shd w:val="clear" w:color="auto" w:fill="auto"/>
            <w:noWrap/>
            <w:vAlign w:val="center"/>
            <w:hideMark/>
          </w:tcPr>
          <w:p w14:paraId="3485FAF7" w14:textId="77777777" w:rsidR="006D747C" w:rsidRPr="004F31AD" w:rsidRDefault="006D747C" w:rsidP="006D747C">
            <w:pPr>
              <w:spacing w:after="0" w:line="240" w:lineRule="auto"/>
              <w:jc w:val="center"/>
              <w:rPr>
                <w:rFonts w:eastAsia="Times New Roman" w:cs="Arial"/>
                <w:sz w:val="16"/>
                <w:szCs w:val="20"/>
                <w:lang w:eastAsia="en-GB"/>
              </w:rPr>
            </w:pPr>
            <w:r w:rsidRPr="004F31AD">
              <w:rPr>
                <w:rFonts w:eastAsia="Times New Roman" w:cs="Arial"/>
                <w:sz w:val="16"/>
                <w:szCs w:val="20"/>
                <w:lang w:eastAsia="en-GB"/>
              </w:rPr>
              <w:t>£189,171</w:t>
            </w:r>
          </w:p>
        </w:tc>
        <w:tc>
          <w:tcPr>
            <w:tcW w:w="383" w:type="pct"/>
            <w:shd w:val="clear" w:color="auto" w:fill="auto"/>
            <w:noWrap/>
            <w:vAlign w:val="center"/>
            <w:hideMark/>
          </w:tcPr>
          <w:p w14:paraId="12F9A5E8" w14:textId="77777777" w:rsidR="006D747C" w:rsidRPr="004F31AD" w:rsidRDefault="006D747C" w:rsidP="006D747C">
            <w:pPr>
              <w:spacing w:after="0" w:line="240" w:lineRule="auto"/>
              <w:jc w:val="center"/>
              <w:rPr>
                <w:rFonts w:eastAsia="Times New Roman" w:cs="Arial"/>
                <w:sz w:val="16"/>
                <w:szCs w:val="20"/>
                <w:lang w:eastAsia="en-GB"/>
              </w:rPr>
            </w:pPr>
            <w:r w:rsidRPr="004F31AD">
              <w:rPr>
                <w:rFonts w:eastAsia="Times New Roman" w:cs="Arial"/>
                <w:sz w:val="16"/>
                <w:szCs w:val="20"/>
                <w:lang w:eastAsia="en-GB"/>
              </w:rPr>
              <w:t>£189,111</w:t>
            </w:r>
          </w:p>
        </w:tc>
        <w:tc>
          <w:tcPr>
            <w:tcW w:w="363" w:type="pct"/>
            <w:shd w:val="clear" w:color="auto" w:fill="auto"/>
            <w:noWrap/>
            <w:vAlign w:val="center"/>
            <w:hideMark/>
          </w:tcPr>
          <w:p w14:paraId="0E5E7666" w14:textId="77777777" w:rsidR="006D747C" w:rsidRPr="004F31AD" w:rsidRDefault="006D747C" w:rsidP="006D747C">
            <w:pPr>
              <w:spacing w:after="0" w:line="240" w:lineRule="auto"/>
              <w:jc w:val="center"/>
              <w:rPr>
                <w:rFonts w:eastAsia="Times New Roman" w:cs="Arial"/>
                <w:sz w:val="16"/>
                <w:szCs w:val="20"/>
                <w:lang w:eastAsia="en-GB"/>
              </w:rPr>
            </w:pPr>
            <w:r w:rsidRPr="004F31AD">
              <w:rPr>
                <w:rFonts w:eastAsia="Times New Roman" w:cs="Arial"/>
                <w:sz w:val="16"/>
                <w:szCs w:val="20"/>
                <w:lang w:eastAsia="en-GB"/>
              </w:rPr>
              <w:t>£187,349</w:t>
            </w:r>
          </w:p>
        </w:tc>
        <w:tc>
          <w:tcPr>
            <w:tcW w:w="388" w:type="pct"/>
            <w:shd w:val="clear" w:color="auto" w:fill="auto"/>
            <w:noWrap/>
            <w:vAlign w:val="center"/>
            <w:hideMark/>
          </w:tcPr>
          <w:p w14:paraId="58F0D49C" w14:textId="77777777" w:rsidR="006D747C" w:rsidRPr="004F31AD" w:rsidRDefault="006D747C" w:rsidP="006D747C">
            <w:pPr>
              <w:spacing w:after="0" w:line="240" w:lineRule="auto"/>
              <w:jc w:val="center"/>
              <w:rPr>
                <w:rFonts w:eastAsia="Times New Roman" w:cs="Arial"/>
                <w:sz w:val="16"/>
                <w:szCs w:val="20"/>
                <w:lang w:eastAsia="en-GB"/>
              </w:rPr>
            </w:pPr>
            <w:r w:rsidRPr="004F31AD">
              <w:rPr>
                <w:rFonts w:eastAsia="Times New Roman" w:cs="Arial"/>
                <w:sz w:val="16"/>
                <w:szCs w:val="20"/>
                <w:lang w:eastAsia="en-GB"/>
              </w:rPr>
              <w:t>£187,008</w:t>
            </w:r>
          </w:p>
        </w:tc>
        <w:tc>
          <w:tcPr>
            <w:tcW w:w="443" w:type="pct"/>
            <w:shd w:val="clear" w:color="auto" w:fill="auto"/>
            <w:noWrap/>
            <w:vAlign w:val="center"/>
            <w:hideMark/>
          </w:tcPr>
          <w:p w14:paraId="2A194F4C" w14:textId="77777777" w:rsidR="006D747C" w:rsidRPr="004F31AD" w:rsidRDefault="006D747C" w:rsidP="006D747C">
            <w:pPr>
              <w:spacing w:after="0" w:line="240" w:lineRule="auto"/>
              <w:jc w:val="right"/>
              <w:rPr>
                <w:rFonts w:eastAsia="Times New Roman" w:cs="Arial"/>
                <w:sz w:val="16"/>
                <w:szCs w:val="20"/>
                <w:lang w:eastAsia="en-GB"/>
              </w:rPr>
            </w:pPr>
            <w:r w:rsidRPr="004F31AD">
              <w:rPr>
                <w:rFonts w:eastAsia="Times New Roman" w:cs="Arial"/>
                <w:sz w:val="16"/>
                <w:szCs w:val="20"/>
                <w:lang w:eastAsia="en-GB"/>
              </w:rPr>
              <w:t>£187,379</w:t>
            </w:r>
          </w:p>
        </w:tc>
        <w:tc>
          <w:tcPr>
            <w:tcW w:w="328" w:type="pct"/>
            <w:shd w:val="clear" w:color="auto" w:fill="auto"/>
            <w:noWrap/>
            <w:vAlign w:val="center"/>
            <w:hideMark/>
          </w:tcPr>
          <w:p w14:paraId="2803DC4B" w14:textId="77777777" w:rsidR="006D747C" w:rsidRPr="004F31AD" w:rsidRDefault="006D747C" w:rsidP="006D747C">
            <w:pPr>
              <w:spacing w:after="0" w:line="240" w:lineRule="auto"/>
              <w:jc w:val="right"/>
              <w:rPr>
                <w:rFonts w:eastAsia="Times New Roman" w:cs="Arial"/>
                <w:sz w:val="16"/>
                <w:szCs w:val="20"/>
                <w:lang w:eastAsia="en-GB"/>
              </w:rPr>
            </w:pPr>
            <w:r w:rsidRPr="004F31AD">
              <w:rPr>
                <w:rFonts w:eastAsia="Times New Roman" w:cs="Arial"/>
                <w:sz w:val="16"/>
                <w:szCs w:val="20"/>
                <w:lang w:eastAsia="en-GB"/>
              </w:rPr>
              <w:t>£187,050</w:t>
            </w:r>
          </w:p>
        </w:tc>
      </w:tr>
    </w:tbl>
    <w:p w14:paraId="3332FE3C" w14:textId="77777777" w:rsidR="00E85604" w:rsidRDefault="00375734" w:rsidP="004648C8">
      <w:pPr>
        <w:rPr>
          <w:rFonts w:ascii="Arial" w:hAnsi="Arial" w:cs="Arial"/>
          <w:i/>
          <w:sz w:val="18"/>
        </w:rPr>
        <w:sectPr w:rsidR="00E85604" w:rsidSect="00E85604">
          <w:pgSz w:w="16838" w:h="11906" w:orient="landscape"/>
          <w:pgMar w:top="1985" w:right="1418" w:bottom="851" w:left="1134" w:header="709" w:footer="709" w:gutter="0"/>
          <w:cols w:space="720"/>
        </w:sectPr>
      </w:pPr>
      <w:r>
        <w:rPr>
          <w:rFonts w:ascii="Arial" w:hAnsi="Arial" w:cs="Arial"/>
          <w:i/>
          <w:sz w:val="18"/>
        </w:rPr>
        <w:t xml:space="preserve">AC: anterior colporrhaphy, </w:t>
      </w:r>
      <w:r w:rsidRPr="00375734">
        <w:rPr>
          <w:rFonts w:ascii="Arial" w:hAnsi="Arial" w:cs="Arial"/>
          <w:i/>
          <w:sz w:val="18"/>
        </w:rPr>
        <w:t>NMB: net monetary benefit</w:t>
      </w:r>
      <w:r>
        <w:rPr>
          <w:rFonts w:ascii="Arial" w:hAnsi="Arial" w:cs="Arial"/>
          <w:i/>
          <w:sz w:val="18"/>
        </w:rPr>
        <w:t xml:space="preserve">, </w:t>
      </w:r>
      <w:r w:rsidR="004648C8">
        <w:rPr>
          <w:rFonts w:ascii="Arial" w:hAnsi="Arial" w:cs="Arial"/>
          <w:i/>
          <w:sz w:val="18"/>
        </w:rPr>
        <w:t xml:space="preserve">QALY: quality-adjusted life </w:t>
      </w:r>
      <w:bookmarkStart w:id="2" w:name="_GoBack"/>
      <w:bookmarkEnd w:id="2"/>
      <w:r w:rsidR="004648C8">
        <w:rPr>
          <w:rFonts w:ascii="Arial" w:hAnsi="Arial" w:cs="Arial"/>
          <w:i/>
          <w:sz w:val="18"/>
        </w:rPr>
        <w:t>year</w:t>
      </w:r>
    </w:p>
    <w:p w14:paraId="1C7FD0C0" w14:textId="56987E52" w:rsidR="004648C8" w:rsidRPr="00E85604" w:rsidRDefault="004648C8" w:rsidP="004648C8">
      <w:pPr>
        <w:rPr>
          <w:rFonts w:ascii="Arial" w:hAnsi="Arial" w:cs="Arial"/>
          <w:i/>
          <w:sz w:val="18"/>
        </w:rPr>
      </w:pPr>
    </w:p>
    <w:sectPr w:rsidR="004648C8" w:rsidRPr="00E85604" w:rsidSect="004648C8">
      <w:pgSz w:w="11906" w:h="16838"/>
      <w:pgMar w:top="1418" w:right="851" w:bottom="1134" w:left="1985" w:header="709" w:footer="709"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4211E5" w16cid:durableId="20311AA3"/>
  <w16cid:commentId w16cid:paraId="7DB53B8E" w16cid:durableId="20311AA4"/>
  <w16cid:commentId w16cid:paraId="2CBAADB9" w16cid:durableId="20311AA5"/>
  <w16cid:commentId w16cid:paraId="10A764DB" w16cid:durableId="20311AA6"/>
  <w16cid:commentId w16cid:paraId="00D4E673" w16cid:durableId="20311AA7"/>
  <w16cid:commentId w16cid:paraId="029988CC" w16cid:durableId="20311AA8"/>
  <w16cid:commentId w16cid:paraId="5721A45E" w16cid:durableId="20311AA9"/>
  <w16cid:commentId w16cid:paraId="40ABA092" w16cid:durableId="20311AAA"/>
  <w16cid:commentId w16cid:paraId="38784687" w16cid:durableId="203369A8"/>
  <w16cid:commentId w16cid:paraId="133BDA48" w16cid:durableId="20311AAB"/>
  <w16cid:commentId w16cid:paraId="7A31BC71" w16cid:durableId="20311AAC"/>
  <w16cid:commentId w16cid:paraId="0A1A0318" w16cid:durableId="20336AE8"/>
  <w16cid:commentId w16cid:paraId="3CEE9975" w16cid:durableId="20336278"/>
  <w16cid:commentId w16cid:paraId="61173568" w16cid:durableId="20311AAD"/>
  <w16cid:commentId w16cid:paraId="5268C872" w16cid:durableId="20311AAE"/>
  <w16cid:commentId w16cid:paraId="5C0D872F" w16cid:durableId="20311AAF"/>
  <w16cid:commentId w16cid:paraId="0E0800DA" w16cid:durableId="20311AB0"/>
  <w16cid:commentId w16cid:paraId="381C1A43" w16cid:durableId="20336FD7"/>
  <w16cid:commentId w16cid:paraId="2C27CDE2" w16cid:durableId="20336FDA"/>
  <w16cid:commentId w16cid:paraId="4B974984" w16cid:durableId="203370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016C2" w14:textId="77777777" w:rsidR="008F24AC" w:rsidRDefault="008F24AC" w:rsidP="002A0FA2">
      <w:pPr>
        <w:spacing w:after="0" w:line="240" w:lineRule="auto"/>
      </w:pPr>
      <w:r>
        <w:separator/>
      </w:r>
    </w:p>
  </w:endnote>
  <w:endnote w:type="continuationSeparator" w:id="0">
    <w:p w14:paraId="70C5375B" w14:textId="77777777" w:rsidR="008F24AC" w:rsidRDefault="008F24AC" w:rsidP="002A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non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D46CB" w14:textId="77777777" w:rsidR="008F24AC" w:rsidRDefault="008F24AC" w:rsidP="002A0FA2">
      <w:pPr>
        <w:spacing w:after="0" w:line="240" w:lineRule="auto"/>
      </w:pPr>
      <w:r>
        <w:separator/>
      </w:r>
    </w:p>
  </w:footnote>
  <w:footnote w:type="continuationSeparator" w:id="0">
    <w:p w14:paraId="65E08205" w14:textId="77777777" w:rsidR="008F24AC" w:rsidRDefault="008F24AC" w:rsidP="002A0FA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C7A2A"/>
    <w:multiLevelType w:val="hybridMultilevel"/>
    <w:tmpl w:val="F080090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580C3C"/>
    <w:multiLevelType w:val="hybridMultilevel"/>
    <w:tmpl w:val="30A45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F555EB"/>
    <w:multiLevelType w:val="hybridMultilevel"/>
    <w:tmpl w:val="4A4A4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AC2DFA"/>
    <w:multiLevelType w:val="hybridMultilevel"/>
    <w:tmpl w:val="EBFE099A"/>
    <w:lvl w:ilvl="0" w:tplc="F4642B0C">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1947FC"/>
    <w:multiLevelType w:val="hybridMultilevel"/>
    <w:tmpl w:val="30A45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A0744BE"/>
    <w:multiLevelType w:val="multilevel"/>
    <w:tmpl w:val="56B60502"/>
    <w:lvl w:ilvl="0">
      <w:start w:val="1"/>
      <w:numFmt w:val="bullet"/>
      <w:pStyle w:val="Bullet1"/>
      <w:lvlText w:val=""/>
      <w:lvlJc w:val="left"/>
      <w:pPr>
        <w:tabs>
          <w:tab w:val="num" w:pos="0"/>
        </w:tabs>
        <w:ind w:left="284" w:hanging="284"/>
      </w:pPr>
      <w:rPr>
        <w:rFonts w:ascii="Symbol" w:hAnsi="Symbol" w:hint="default"/>
      </w:rPr>
    </w:lvl>
    <w:lvl w:ilvl="1">
      <w:start w:val="1"/>
      <w:numFmt w:val="bullet"/>
      <w:pStyle w:val="Bullet2"/>
      <w:lvlText w:val="o"/>
      <w:lvlJc w:val="left"/>
      <w:pPr>
        <w:tabs>
          <w:tab w:val="num" w:pos="567"/>
        </w:tabs>
        <w:ind w:left="567" w:hanging="283"/>
      </w:pPr>
      <w:rPr>
        <w:rFonts w:ascii="Courier New" w:eastAsia="Dotum" w:hAnsi="Courier New" w:cs="Courier New" w:hint="default"/>
      </w:rPr>
    </w:lvl>
    <w:lvl w:ilvl="2">
      <w:start w:val="1"/>
      <w:numFmt w:val="bullet"/>
      <w:pStyle w:val="Bullet3"/>
      <w:lvlText w:val="–"/>
      <w:lvlJc w:val="left"/>
      <w:pPr>
        <w:tabs>
          <w:tab w:val="num" w:pos="851"/>
        </w:tabs>
        <w:ind w:left="851" w:hanging="284"/>
      </w:pPr>
      <w:rPr>
        <w:rFonts w:ascii="(none)" w:hAnsi="(none)" w:hint="default"/>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6" w15:restartNumberingAfterBreak="0">
    <w:nsid w:val="7E944AE5"/>
    <w:multiLevelType w:val="hybridMultilevel"/>
    <w:tmpl w:val="30A45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6"/>
  </w:num>
  <w:num w:numId="6">
    <w:abstractNumId w:val="4"/>
  </w:num>
  <w:num w:numId="7">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ic Slade">
    <w15:presenceInfo w15:providerId="AD" w15:userId="S-1-5-21-315432132-1168589861-355810188-11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xet9wvx3tfzxeewptuxezfixs2awzxwsxde&quot;&gt;POP_NMA_CE_manuscript&lt;record-ids&gt;&lt;item&gt;1&lt;/item&gt;&lt;item&gt;2&lt;/item&gt;&lt;item&gt;3&lt;/item&gt;&lt;item&gt;5&lt;/item&gt;&lt;item&gt;6&lt;/item&gt;&lt;item&gt;7&lt;/item&gt;&lt;item&gt;8&lt;/item&gt;&lt;item&gt;9&lt;/item&gt;&lt;item&gt;10&lt;/item&gt;&lt;item&gt;12&lt;/item&gt;&lt;item&gt;13&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4&lt;/item&gt;&lt;item&gt;35&lt;/item&gt;&lt;item&gt;36&lt;/item&gt;&lt;item&gt;37&lt;/item&gt;&lt;item&gt;38&lt;/item&gt;&lt;item&gt;43&lt;/item&gt;&lt;/record-ids&gt;&lt;/item&gt;&lt;/Libraries&gt;"/>
  </w:docVars>
  <w:rsids>
    <w:rsidRoot w:val="00C3652B"/>
    <w:rsid w:val="00007381"/>
    <w:rsid w:val="0001204B"/>
    <w:rsid w:val="0002171B"/>
    <w:rsid w:val="00035948"/>
    <w:rsid w:val="000402ED"/>
    <w:rsid w:val="00041881"/>
    <w:rsid w:val="00047742"/>
    <w:rsid w:val="00050CD7"/>
    <w:rsid w:val="000611DF"/>
    <w:rsid w:val="00065A25"/>
    <w:rsid w:val="00073133"/>
    <w:rsid w:val="00073527"/>
    <w:rsid w:val="0008096C"/>
    <w:rsid w:val="000A08EF"/>
    <w:rsid w:val="000A10C4"/>
    <w:rsid w:val="000A64E2"/>
    <w:rsid w:val="000A757F"/>
    <w:rsid w:val="000A7F34"/>
    <w:rsid w:val="000C14B8"/>
    <w:rsid w:val="000D07D5"/>
    <w:rsid w:val="000D1A2C"/>
    <w:rsid w:val="000D7549"/>
    <w:rsid w:val="000E15E6"/>
    <w:rsid w:val="000F19C5"/>
    <w:rsid w:val="000F3E33"/>
    <w:rsid w:val="000F75FF"/>
    <w:rsid w:val="00106000"/>
    <w:rsid w:val="0011067D"/>
    <w:rsid w:val="00134FA9"/>
    <w:rsid w:val="001353D1"/>
    <w:rsid w:val="00137923"/>
    <w:rsid w:val="0014507D"/>
    <w:rsid w:val="00146E96"/>
    <w:rsid w:val="001538EF"/>
    <w:rsid w:val="00161106"/>
    <w:rsid w:val="00166803"/>
    <w:rsid w:val="00173185"/>
    <w:rsid w:val="001739C2"/>
    <w:rsid w:val="0017753A"/>
    <w:rsid w:val="00187089"/>
    <w:rsid w:val="0019026D"/>
    <w:rsid w:val="001968BC"/>
    <w:rsid w:val="001A037A"/>
    <w:rsid w:val="001A7FE4"/>
    <w:rsid w:val="001B1D2C"/>
    <w:rsid w:val="001C2E4D"/>
    <w:rsid w:val="001C51D5"/>
    <w:rsid w:val="001C527A"/>
    <w:rsid w:val="001D56E3"/>
    <w:rsid w:val="001E0D17"/>
    <w:rsid w:val="001F3078"/>
    <w:rsid w:val="001F5883"/>
    <w:rsid w:val="002031CD"/>
    <w:rsid w:val="002116F2"/>
    <w:rsid w:val="00211CD9"/>
    <w:rsid w:val="00225AE9"/>
    <w:rsid w:val="00233D1B"/>
    <w:rsid w:val="00236B21"/>
    <w:rsid w:val="00244FB1"/>
    <w:rsid w:val="00252E27"/>
    <w:rsid w:val="002611B2"/>
    <w:rsid w:val="002719EF"/>
    <w:rsid w:val="00271E52"/>
    <w:rsid w:val="00274DAF"/>
    <w:rsid w:val="0027537F"/>
    <w:rsid w:val="002A09D9"/>
    <w:rsid w:val="002A0FA2"/>
    <w:rsid w:val="002A11E1"/>
    <w:rsid w:val="002A2179"/>
    <w:rsid w:val="002A2BBD"/>
    <w:rsid w:val="002B260A"/>
    <w:rsid w:val="002B2FA4"/>
    <w:rsid w:val="002C0FAD"/>
    <w:rsid w:val="002C4AB6"/>
    <w:rsid w:val="002D4F6E"/>
    <w:rsid w:val="002E550B"/>
    <w:rsid w:val="002F0614"/>
    <w:rsid w:val="002F1A0E"/>
    <w:rsid w:val="002F2E41"/>
    <w:rsid w:val="003016C0"/>
    <w:rsid w:val="003022BB"/>
    <w:rsid w:val="00313732"/>
    <w:rsid w:val="003149BE"/>
    <w:rsid w:val="00315426"/>
    <w:rsid w:val="00322154"/>
    <w:rsid w:val="003245BB"/>
    <w:rsid w:val="00330A69"/>
    <w:rsid w:val="00330CED"/>
    <w:rsid w:val="00336C40"/>
    <w:rsid w:val="00341D81"/>
    <w:rsid w:val="00345E6F"/>
    <w:rsid w:val="00363397"/>
    <w:rsid w:val="00364C87"/>
    <w:rsid w:val="0036648E"/>
    <w:rsid w:val="0037351B"/>
    <w:rsid w:val="00375734"/>
    <w:rsid w:val="003809ED"/>
    <w:rsid w:val="00390116"/>
    <w:rsid w:val="0039034B"/>
    <w:rsid w:val="003979E6"/>
    <w:rsid w:val="003A2A35"/>
    <w:rsid w:val="003B509F"/>
    <w:rsid w:val="003B7054"/>
    <w:rsid w:val="003B7386"/>
    <w:rsid w:val="003C5BC3"/>
    <w:rsid w:val="003D1C38"/>
    <w:rsid w:val="003D1F63"/>
    <w:rsid w:val="003D2AB7"/>
    <w:rsid w:val="003D57DF"/>
    <w:rsid w:val="003F0F9C"/>
    <w:rsid w:val="003F28EF"/>
    <w:rsid w:val="003F3477"/>
    <w:rsid w:val="003F56C9"/>
    <w:rsid w:val="00404ED8"/>
    <w:rsid w:val="0040772D"/>
    <w:rsid w:val="004134C0"/>
    <w:rsid w:val="0045045E"/>
    <w:rsid w:val="00451368"/>
    <w:rsid w:val="004521C8"/>
    <w:rsid w:val="00457467"/>
    <w:rsid w:val="004648C8"/>
    <w:rsid w:val="00466F1A"/>
    <w:rsid w:val="00470B66"/>
    <w:rsid w:val="00476064"/>
    <w:rsid w:val="00480567"/>
    <w:rsid w:val="00485D7A"/>
    <w:rsid w:val="00487D7D"/>
    <w:rsid w:val="00491DB8"/>
    <w:rsid w:val="004942A7"/>
    <w:rsid w:val="004A6351"/>
    <w:rsid w:val="004B02BC"/>
    <w:rsid w:val="004B7C1F"/>
    <w:rsid w:val="004C0F86"/>
    <w:rsid w:val="004C171D"/>
    <w:rsid w:val="004C5D96"/>
    <w:rsid w:val="004D13CB"/>
    <w:rsid w:val="004D48E9"/>
    <w:rsid w:val="004D7391"/>
    <w:rsid w:val="004E0871"/>
    <w:rsid w:val="004F31AD"/>
    <w:rsid w:val="004F3403"/>
    <w:rsid w:val="00503DDD"/>
    <w:rsid w:val="00514017"/>
    <w:rsid w:val="00515604"/>
    <w:rsid w:val="005174BD"/>
    <w:rsid w:val="005178C1"/>
    <w:rsid w:val="005178CB"/>
    <w:rsid w:val="00517FF7"/>
    <w:rsid w:val="0052104D"/>
    <w:rsid w:val="00526021"/>
    <w:rsid w:val="00545775"/>
    <w:rsid w:val="0054639B"/>
    <w:rsid w:val="005467A8"/>
    <w:rsid w:val="00551D41"/>
    <w:rsid w:val="005633A2"/>
    <w:rsid w:val="0057043E"/>
    <w:rsid w:val="00573F03"/>
    <w:rsid w:val="005827C5"/>
    <w:rsid w:val="00587B27"/>
    <w:rsid w:val="0059504B"/>
    <w:rsid w:val="005979A9"/>
    <w:rsid w:val="005A0658"/>
    <w:rsid w:val="005A1305"/>
    <w:rsid w:val="005A14A5"/>
    <w:rsid w:val="005B7A56"/>
    <w:rsid w:val="005C222B"/>
    <w:rsid w:val="005C4608"/>
    <w:rsid w:val="005C5ECF"/>
    <w:rsid w:val="005D039C"/>
    <w:rsid w:val="005D1A9C"/>
    <w:rsid w:val="005D4532"/>
    <w:rsid w:val="005E4757"/>
    <w:rsid w:val="005F0741"/>
    <w:rsid w:val="005F2004"/>
    <w:rsid w:val="005F4B40"/>
    <w:rsid w:val="005F77F9"/>
    <w:rsid w:val="006032DF"/>
    <w:rsid w:val="00606218"/>
    <w:rsid w:val="00617A2D"/>
    <w:rsid w:val="00617B40"/>
    <w:rsid w:val="00617CE1"/>
    <w:rsid w:val="00623483"/>
    <w:rsid w:val="00632456"/>
    <w:rsid w:val="00655BD7"/>
    <w:rsid w:val="0066259E"/>
    <w:rsid w:val="00665607"/>
    <w:rsid w:val="00671F86"/>
    <w:rsid w:val="006751E6"/>
    <w:rsid w:val="00677BD2"/>
    <w:rsid w:val="00687F83"/>
    <w:rsid w:val="00694984"/>
    <w:rsid w:val="006A1C61"/>
    <w:rsid w:val="006A6AF8"/>
    <w:rsid w:val="006A6EFE"/>
    <w:rsid w:val="006B2B72"/>
    <w:rsid w:val="006B742A"/>
    <w:rsid w:val="006D0413"/>
    <w:rsid w:val="006D4000"/>
    <w:rsid w:val="006D52E8"/>
    <w:rsid w:val="006D5DAF"/>
    <w:rsid w:val="006D747C"/>
    <w:rsid w:val="006F2D8C"/>
    <w:rsid w:val="006F6105"/>
    <w:rsid w:val="00700075"/>
    <w:rsid w:val="00704421"/>
    <w:rsid w:val="007047E4"/>
    <w:rsid w:val="0071559A"/>
    <w:rsid w:val="00721AEA"/>
    <w:rsid w:val="00725222"/>
    <w:rsid w:val="00725E7A"/>
    <w:rsid w:val="007335E5"/>
    <w:rsid w:val="00736576"/>
    <w:rsid w:val="00742CBD"/>
    <w:rsid w:val="0076507A"/>
    <w:rsid w:val="00773D76"/>
    <w:rsid w:val="00775A34"/>
    <w:rsid w:val="007847B5"/>
    <w:rsid w:val="0079001D"/>
    <w:rsid w:val="007A0A4E"/>
    <w:rsid w:val="007B180F"/>
    <w:rsid w:val="007B68B5"/>
    <w:rsid w:val="007B6E0F"/>
    <w:rsid w:val="007B72D3"/>
    <w:rsid w:val="007C3BA1"/>
    <w:rsid w:val="007D7577"/>
    <w:rsid w:val="007E4DEA"/>
    <w:rsid w:val="007F0296"/>
    <w:rsid w:val="007F390F"/>
    <w:rsid w:val="007F3E64"/>
    <w:rsid w:val="0080510D"/>
    <w:rsid w:val="00811B92"/>
    <w:rsid w:val="00814E99"/>
    <w:rsid w:val="00823725"/>
    <w:rsid w:val="00826F90"/>
    <w:rsid w:val="00834E21"/>
    <w:rsid w:val="0083626F"/>
    <w:rsid w:val="00846AB2"/>
    <w:rsid w:val="0085236E"/>
    <w:rsid w:val="00865C4D"/>
    <w:rsid w:val="008675D9"/>
    <w:rsid w:val="00883394"/>
    <w:rsid w:val="00885099"/>
    <w:rsid w:val="00890B1B"/>
    <w:rsid w:val="00892AD6"/>
    <w:rsid w:val="00894E18"/>
    <w:rsid w:val="00897F29"/>
    <w:rsid w:val="008A0253"/>
    <w:rsid w:val="008A2B00"/>
    <w:rsid w:val="008A587F"/>
    <w:rsid w:val="008A7F03"/>
    <w:rsid w:val="008B4117"/>
    <w:rsid w:val="008C047C"/>
    <w:rsid w:val="008C71F4"/>
    <w:rsid w:val="008D1756"/>
    <w:rsid w:val="008E39AB"/>
    <w:rsid w:val="008F24AC"/>
    <w:rsid w:val="008F24BB"/>
    <w:rsid w:val="008F5C7E"/>
    <w:rsid w:val="00902853"/>
    <w:rsid w:val="00902E57"/>
    <w:rsid w:val="00905D26"/>
    <w:rsid w:val="00906253"/>
    <w:rsid w:val="009133CD"/>
    <w:rsid w:val="00920FF4"/>
    <w:rsid w:val="00934425"/>
    <w:rsid w:val="00946A55"/>
    <w:rsid w:val="00947218"/>
    <w:rsid w:val="00947CDE"/>
    <w:rsid w:val="00953128"/>
    <w:rsid w:val="009644E1"/>
    <w:rsid w:val="00972574"/>
    <w:rsid w:val="009844F1"/>
    <w:rsid w:val="009920C0"/>
    <w:rsid w:val="009964A4"/>
    <w:rsid w:val="009A5FAA"/>
    <w:rsid w:val="009B1553"/>
    <w:rsid w:val="009B3436"/>
    <w:rsid w:val="009C5B0A"/>
    <w:rsid w:val="009C773D"/>
    <w:rsid w:val="009D27F2"/>
    <w:rsid w:val="009E1F7F"/>
    <w:rsid w:val="009E29B8"/>
    <w:rsid w:val="009E4345"/>
    <w:rsid w:val="009E713C"/>
    <w:rsid w:val="00A00FF1"/>
    <w:rsid w:val="00A04C0F"/>
    <w:rsid w:val="00A16270"/>
    <w:rsid w:val="00A162F6"/>
    <w:rsid w:val="00A23957"/>
    <w:rsid w:val="00A40BB3"/>
    <w:rsid w:val="00A45C7D"/>
    <w:rsid w:val="00A47A47"/>
    <w:rsid w:val="00A507FA"/>
    <w:rsid w:val="00A50ECB"/>
    <w:rsid w:val="00A52F7E"/>
    <w:rsid w:val="00A6099E"/>
    <w:rsid w:val="00A614C9"/>
    <w:rsid w:val="00A63B58"/>
    <w:rsid w:val="00A657FE"/>
    <w:rsid w:val="00A73E31"/>
    <w:rsid w:val="00A870DA"/>
    <w:rsid w:val="00A879C8"/>
    <w:rsid w:val="00A94037"/>
    <w:rsid w:val="00A97C57"/>
    <w:rsid w:val="00AA1482"/>
    <w:rsid w:val="00AA2258"/>
    <w:rsid w:val="00AA4A61"/>
    <w:rsid w:val="00AA7B6C"/>
    <w:rsid w:val="00AB30C1"/>
    <w:rsid w:val="00AB4AAA"/>
    <w:rsid w:val="00AB6275"/>
    <w:rsid w:val="00AC1E70"/>
    <w:rsid w:val="00AC3D53"/>
    <w:rsid w:val="00AE079C"/>
    <w:rsid w:val="00AE706C"/>
    <w:rsid w:val="00AF0256"/>
    <w:rsid w:val="00AF0E2C"/>
    <w:rsid w:val="00AF1713"/>
    <w:rsid w:val="00AF1BB4"/>
    <w:rsid w:val="00B01C00"/>
    <w:rsid w:val="00B11E43"/>
    <w:rsid w:val="00B13430"/>
    <w:rsid w:val="00B15399"/>
    <w:rsid w:val="00B23660"/>
    <w:rsid w:val="00B25CAB"/>
    <w:rsid w:val="00B25FBB"/>
    <w:rsid w:val="00B31211"/>
    <w:rsid w:val="00B402A3"/>
    <w:rsid w:val="00B42227"/>
    <w:rsid w:val="00B42F04"/>
    <w:rsid w:val="00B47841"/>
    <w:rsid w:val="00B52370"/>
    <w:rsid w:val="00B53793"/>
    <w:rsid w:val="00B6141D"/>
    <w:rsid w:val="00B63BFB"/>
    <w:rsid w:val="00B64EA3"/>
    <w:rsid w:val="00B65359"/>
    <w:rsid w:val="00B66E8C"/>
    <w:rsid w:val="00B775CC"/>
    <w:rsid w:val="00B91B75"/>
    <w:rsid w:val="00B9224C"/>
    <w:rsid w:val="00BA7452"/>
    <w:rsid w:val="00BB2BB2"/>
    <w:rsid w:val="00BB3847"/>
    <w:rsid w:val="00BB3CA8"/>
    <w:rsid w:val="00BB4548"/>
    <w:rsid w:val="00BC107A"/>
    <w:rsid w:val="00BC15B9"/>
    <w:rsid w:val="00BD5DE0"/>
    <w:rsid w:val="00BD7BB5"/>
    <w:rsid w:val="00BE28FD"/>
    <w:rsid w:val="00BF6E8F"/>
    <w:rsid w:val="00C0136F"/>
    <w:rsid w:val="00C0172D"/>
    <w:rsid w:val="00C149D3"/>
    <w:rsid w:val="00C17539"/>
    <w:rsid w:val="00C31219"/>
    <w:rsid w:val="00C3652B"/>
    <w:rsid w:val="00C4118C"/>
    <w:rsid w:val="00C45B6E"/>
    <w:rsid w:val="00C53B51"/>
    <w:rsid w:val="00C5765F"/>
    <w:rsid w:val="00C644C3"/>
    <w:rsid w:val="00C66BC6"/>
    <w:rsid w:val="00C80A39"/>
    <w:rsid w:val="00CA01AF"/>
    <w:rsid w:val="00CB2E71"/>
    <w:rsid w:val="00CC533D"/>
    <w:rsid w:val="00CC799E"/>
    <w:rsid w:val="00CC7CA5"/>
    <w:rsid w:val="00CD28CF"/>
    <w:rsid w:val="00CE1E55"/>
    <w:rsid w:val="00CE227A"/>
    <w:rsid w:val="00CE434A"/>
    <w:rsid w:val="00D066E7"/>
    <w:rsid w:val="00D0743F"/>
    <w:rsid w:val="00D23255"/>
    <w:rsid w:val="00D23312"/>
    <w:rsid w:val="00D236DC"/>
    <w:rsid w:val="00D25379"/>
    <w:rsid w:val="00D25FB3"/>
    <w:rsid w:val="00D424F9"/>
    <w:rsid w:val="00D53C60"/>
    <w:rsid w:val="00D62437"/>
    <w:rsid w:val="00D64668"/>
    <w:rsid w:val="00D65675"/>
    <w:rsid w:val="00D83157"/>
    <w:rsid w:val="00D83A27"/>
    <w:rsid w:val="00D87B69"/>
    <w:rsid w:val="00D91D5B"/>
    <w:rsid w:val="00DA28A5"/>
    <w:rsid w:val="00DB07AD"/>
    <w:rsid w:val="00DB2E69"/>
    <w:rsid w:val="00DB3005"/>
    <w:rsid w:val="00DB7B95"/>
    <w:rsid w:val="00DE0696"/>
    <w:rsid w:val="00DE104B"/>
    <w:rsid w:val="00DF604F"/>
    <w:rsid w:val="00E011FB"/>
    <w:rsid w:val="00E01AD2"/>
    <w:rsid w:val="00E1208E"/>
    <w:rsid w:val="00E316D8"/>
    <w:rsid w:val="00E43299"/>
    <w:rsid w:val="00E45CE9"/>
    <w:rsid w:val="00E47ECD"/>
    <w:rsid w:val="00E61C89"/>
    <w:rsid w:val="00E7163B"/>
    <w:rsid w:val="00E7371B"/>
    <w:rsid w:val="00E74DDC"/>
    <w:rsid w:val="00E807FA"/>
    <w:rsid w:val="00E85604"/>
    <w:rsid w:val="00E87BD8"/>
    <w:rsid w:val="00E9078C"/>
    <w:rsid w:val="00E95AC0"/>
    <w:rsid w:val="00EA5400"/>
    <w:rsid w:val="00EC0A98"/>
    <w:rsid w:val="00EC1FCB"/>
    <w:rsid w:val="00ED03C8"/>
    <w:rsid w:val="00ED59C3"/>
    <w:rsid w:val="00EE0F53"/>
    <w:rsid w:val="00EF06E2"/>
    <w:rsid w:val="00F06ACF"/>
    <w:rsid w:val="00F13A36"/>
    <w:rsid w:val="00F16BFA"/>
    <w:rsid w:val="00F21AD3"/>
    <w:rsid w:val="00F21EE5"/>
    <w:rsid w:val="00F33B7A"/>
    <w:rsid w:val="00F35754"/>
    <w:rsid w:val="00F40913"/>
    <w:rsid w:val="00F452C3"/>
    <w:rsid w:val="00F45657"/>
    <w:rsid w:val="00F4722F"/>
    <w:rsid w:val="00F56C33"/>
    <w:rsid w:val="00F70D4F"/>
    <w:rsid w:val="00F75D9A"/>
    <w:rsid w:val="00F81966"/>
    <w:rsid w:val="00F94839"/>
    <w:rsid w:val="00FA099D"/>
    <w:rsid w:val="00FC2666"/>
    <w:rsid w:val="00FD12F4"/>
    <w:rsid w:val="00FD4528"/>
    <w:rsid w:val="00FE060F"/>
    <w:rsid w:val="00FE42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6B37B"/>
  <w15:docId w15:val="{BAA42C86-4BA0-AD4D-8D11-1F636A00D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52B"/>
  </w:style>
  <w:style w:type="paragraph" w:styleId="Heading1">
    <w:name w:val="heading 1"/>
    <w:basedOn w:val="Normal"/>
    <w:next w:val="Normal"/>
    <w:link w:val="Heading1Char"/>
    <w:uiPriority w:val="9"/>
    <w:qFormat/>
    <w:rsid w:val="00C365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365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3652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3022B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365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652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C36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652B"/>
    <w:rPr>
      <w:color w:val="0000FF"/>
      <w:u w:val="single"/>
    </w:rPr>
  </w:style>
  <w:style w:type="character" w:customStyle="1" w:styleId="Heading1Char">
    <w:name w:val="Heading 1 Char"/>
    <w:basedOn w:val="DefaultParagraphFont"/>
    <w:link w:val="Heading1"/>
    <w:uiPriority w:val="9"/>
    <w:rsid w:val="00C3652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3652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3652B"/>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F06ACF"/>
    <w:rPr>
      <w:sz w:val="16"/>
      <w:szCs w:val="16"/>
    </w:rPr>
  </w:style>
  <w:style w:type="paragraph" w:styleId="CommentText">
    <w:name w:val="annotation text"/>
    <w:basedOn w:val="Normal"/>
    <w:link w:val="CommentTextChar"/>
    <w:uiPriority w:val="99"/>
    <w:unhideWhenUsed/>
    <w:rsid w:val="00F06ACF"/>
    <w:pPr>
      <w:spacing w:line="240" w:lineRule="auto"/>
    </w:pPr>
    <w:rPr>
      <w:sz w:val="20"/>
      <w:szCs w:val="20"/>
    </w:rPr>
  </w:style>
  <w:style w:type="character" w:customStyle="1" w:styleId="CommentTextChar">
    <w:name w:val="Comment Text Char"/>
    <w:basedOn w:val="DefaultParagraphFont"/>
    <w:link w:val="CommentText"/>
    <w:uiPriority w:val="99"/>
    <w:rsid w:val="00F06ACF"/>
    <w:rPr>
      <w:sz w:val="20"/>
      <w:szCs w:val="20"/>
    </w:rPr>
  </w:style>
  <w:style w:type="paragraph" w:styleId="CommentSubject">
    <w:name w:val="annotation subject"/>
    <w:basedOn w:val="CommentText"/>
    <w:next w:val="CommentText"/>
    <w:link w:val="CommentSubjectChar"/>
    <w:uiPriority w:val="99"/>
    <w:semiHidden/>
    <w:unhideWhenUsed/>
    <w:rsid w:val="00F06ACF"/>
    <w:rPr>
      <w:b/>
      <w:bCs/>
    </w:rPr>
  </w:style>
  <w:style w:type="character" w:customStyle="1" w:styleId="CommentSubjectChar">
    <w:name w:val="Comment Subject Char"/>
    <w:basedOn w:val="CommentTextChar"/>
    <w:link w:val="CommentSubject"/>
    <w:uiPriority w:val="99"/>
    <w:semiHidden/>
    <w:rsid w:val="00F06ACF"/>
    <w:rPr>
      <w:b/>
      <w:bCs/>
      <w:sz w:val="20"/>
      <w:szCs w:val="20"/>
    </w:rPr>
  </w:style>
  <w:style w:type="paragraph" w:styleId="BalloonText">
    <w:name w:val="Balloon Text"/>
    <w:basedOn w:val="Normal"/>
    <w:link w:val="BalloonTextChar"/>
    <w:uiPriority w:val="99"/>
    <w:semiHidden/>
    <w:unhideWhenUsed/>
    <w:rsid w:val="00F06A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ACF"/>
    <w:rPr>
      <w:rFonts w:ascii="Segoe UI" w:hAnsi="Segoe UI" w:cs="Segoe UI"/>
      <w:sz w:val="18"/>
      <w:szCs w:val="18"/>
    </w:rPr>
  </w:style>
  <w:style w:type="character" w:customStyle="1" w:styleId="Heading4Char">
    <w:name w:val="Heading 4 Char"/>
    <w:basedOn w:val="DefaultParagraphFont"/>
    <w:link w:val="Heading4"/>
    <w:uiPriority w:val="9"/>
    <w:rsid w:val="003022BB"/>
    <w:rPr>
      <w:rFonts w:asciiTheme="majorHAnsi" w:eastAsiaTheme="majorEastAsia" w:hAnsiTheme="majorHAnsi" w:cstheme="majorBidi"/>
      <w:i/>
      <w:iCs/>
      <w:color w:val="2E74B5" w:themeColor="accent1" w:themeShade="BF"/>
    </w:rPr>
  </w:style>
  <w:style w:type="paragraph" w:styleId="Header">
    <w:name w:val="header"/>
    <w:basedOn w:val="Normal"/>
    <w:link w:val="HeaderChar"/>
    <w:uiPriority w:val="99"/>
    <w:unhideWhenUsed/>
    <w:rsid w:val="002A0F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FA2"/>
  </w:style>
  <w:style w:type="paragraph" w:styleId="Footer">
    <w:name w:val="footer"/>
    <w:basedOn w:val="Normal"/>
    <w:link w:val="FooterChar"/>
    <w:uiPriority w:val="99"/>
    <w:unhideWhenUsed/>
    <w:rsid w:val="002A0F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FA2"/>
  </w:style>
  <w:style w:type="paragraph" w:customStyle="1" w:styleId="Bullet1">
    <w:name w:val="~Bullet1"/>
    <w:basedOn w:val="Normal"/>
    <w:uiPriority w:val="99"/>
    <w:qFormat/>
    <w:rsid w:val="000F3E33"/>
    <w:pPr>
      <w:numPr>
        <w:numId w:val="1"/>
      </w:numPr>
      <w:tabs>
        <w:tab w:val="left" w:pos="284"/>
      </w:tabs>
      <w:spacing w:before="60" w:after="60" w:line="240" w:lineRule="auto"/>
    </w:pPr>
    <w:rPr>
      <w:rFonts w:eastAsia="Calibri" w:cs="Arial"/>
      <w:szCs w:val="20"/>
    </w:rPr>
  </w:style>
  <w:style w:type="paragraph" w:customStyle="1" w:styleId="Bullet2">
    <w:name w:val="~Bullet2"/>
    <w:basedOn w:val="Bullet1"/>
    <w:uiPriority w:val="99"/>
    <w:qFormat/>
    <w:rsid w:val="000F3E33"/>
    <w:pPr>
      <w:numPr>
        <w:ilvl w:val="1"/>
      </w:numPr>
      <w:tabs>
        <w:tab w:val="clear" w:pos="284"/>
      </w:tabs>
    </w:pPr>
  </w:style>
  <w:style w:type="paragraph" w:customStyle="1" w:styleId="Bullet3">
    <w:name w:val="~Bullet3"/>
    <w:basedOn w:val="Bullet2"/>
    <w:uiPriority w:val="99"/>
    <w:qFormat/>
    <w:rsid w:val="000F3E33"/>
    <w:pPr>
      <w:numPr>
        <w:ilvl w:val="2"/>
      </w:numPr>
    </w:pPr>
  </w:style>
  <w:style w:type="paragraph" w:customStyle="1" w:styleId="TableTextLeft">
    <w:name w:val="~TableTextLeft"/>
    <w:basedOn w:val="Normal"/>
    <w:link w:val="TableTextLeftChar"/>
    <w:qFormat/>
    <w:rsid w:val="00D87B69"/>
    <w:pPr>
      <w:spacing w:before="40" w:after="20" w:line="240" w:lineRule="auto"/>
    </w:pPr>
    <w:rPr>
      <w:sz w:val="20"/>
    </w:rPr>
  </w:style>
  <w:style w:type="paragraph" w:customStyle="1" w:styleId="TableHeadingLeft">
    <w:name w:val="~TableHeadingLeft"/>
    <w:basedOn w:val="TableTextLeft"/>
    <w:uiPriority w:val="99"/>
    <w:qFormat/>
    <w:rsid w:val="00D87B69"/>
    <w:rPr>
      <w:b/>
      <w:color w:val="000000" w:themeColor="text1"/>
      <w:szCs w:val="26"/>
    </w:rPr>
  </w:style>
  <w:style w:type="paragraph" w:customStyle="1" w:styleId="TableNote">
    <w:name w:val="~TableNote"/>
    <w:basedOn w:val="Normal"/>
    <w:next w:val="Normal"/>
    <w:uiPriority w:val="99"/>
    <w:qFormat/>
    <w:rsid w:val="00D87B69"/>
    <w:pPr>
      <w:spacing w:after="0" w:line="240" w:lineRule="auto"/>
    </w:pPr>
    <w:rPr>
      <w:rFonts w:eastAsia="Calibri" w:cs="Arial"/>
      <w:i/>
      <w:sz w:val="18"/>
      <w:szCs w:val="20"/>
    </w:rPr>
  </w:style>
  <w:style w:type="character" w:customStyle="1" w:styleId="TableTextLeftChar">
    <w:name w:val="~TableTextLeft Char"/>
    <w:basedOn w:val="DefaultParagraphFont"/>
    <w:link w:val="TableTextLeft"/>
    <w:locked/>
    <w:rsid w:val="00D87B69"/>
    <w:rPr>
      <w:sz w:val="20"/>
    </w:rPr>
  </w:style>
  <w:style w:type="character" w:styleId="LineNumber">
    <w:name w:val="line number"/>
    <w:basedOn w:val="DefaultParagraphFont"/>
    <w:uiPriority w:val="99"/>
    <w:semiHidden/>
    <w:unhideWhenUsed/>
    <w:rsid w:val="00D87B69"/>
  </w:style>
  <w:style w:type="paragraph" w:customStyle="1" w:styleId="EndNoteBibliographyTitle">
    <w:name w:val="EndNote Bibliography Title"/>
    <w:basedOn w:val="Normal"/>
    <w:link w:val="EndNoteBibliographyTitleChar"/>
    <w:rsid w:val="00F3575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F35754"/>
    <w:rPr>
      <w:rFonts w:ascii="Calibri" w:hAnsi="Calibri"/>
      <w:noProof/>
      <w:lang w:val="en-US"/>
    </w:rPr>
  </w:style>
  <w:style w:type="paragraph" w:customStyle="1" w:styleId="EndNoteBibliography">
    <w:name w:val="EndNote Bibliography"/>
    <w:basedOn w:val="Normal"/>
    <w:link w:val="EndNoteBibliographyChar"/>
    <w:rsid w:val="00F3575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F35754"/>
    <w:rPr>
      <w:rFonts w:ascii="Calibri" w:hAnsi="Calibri"/>
      <w:noProof/>
      <w:lang w:val="en-US"/>
    </w:rPr>
  </w:style>
  <w:style w:type="paragraph" w:styleId="ListParagraph">
    <w:name w:val="List Paragraph"/>
    <w:basedOn w:val="Normal"/>
    <w:uiPriority w:val="34"/>
    <w:qFormat/>
    <w:rsid w:val="00035948"/>
    <w:pPr>
      <w:spacing w:after="200" w:line="276" w:lineRule="auto"/>
      <w:ind w:left="720"/>
      <w:contextualSpacing/>
    </w:pPr>
  </w:style>
  <w:style w:type="character" w:styleId="Strong">
    <w:name w:val="Strong"/>
    <w:basedOn w:val="DefaultParagraphFont"/>
    <w:uiPriority w:val="22"/>
    <w:qFormat/>
    <w:rsid w:val="00035948"/>
    <w:rPr>
      <w:b/>
      <w:bCs/>
    </w:rPr>
  </w:style>
  <w:style w:type="character" w:customStyle="1" w:styleId="CaptionChar">
    <w:name w:val="Caption Char"/>
    <w:aliases w:val="~Caption Char"/>
    <w:basedOn w:val="DefaultParagraphFont"/>
    <w:link w:val="Caption"/>
    <w:semiHidden/>
    <w:locked/>
    <w:rsid w:val="005A14A5"/>
    <w:rPr>
      <w:rFonts w:ascii="Calibri" w:eastAsia="Calibri" w:hAnsi="Calibri" w:cs="Arial"/>
      <w:b/>
      <w:szCs w:val="20"/>
    </w:rPr>
  </w:style>
  <w:style w:type="paragraph" w:styleId="Caption">
    <w:name w:val="caption"/>
    <w:aliases w:val="~Caption"/>
    <w:basedOn w:val="Normal"/>
    <w:next w:val="Normal"/>
    <w:link w:val="CaptionChar"/>
    <w:semiHidden/>
    <w:unhideWhenUsed/>
    <w:qFormat/>
    <w:rsid w:val="005A14A5"/>
    <w:pPr>
      <w:keepNext/>
      <w:tabs>
        <w:tab w:val="left" w:pos="993"/>
      </w:tabs>
      <w:spacing w:before="300" w:after="0" w:line="240" w:lineRule="auto"/>
      <w:ind w:left="993" w:hanging="993"/>
    </w:pPr>
    <w:rPr>
      <w:rFonts w:ascii="Calibri" w:eastAsia="Calibri" w:hAnsi="Calibri" w:cs="Arial"/>
      <w:b/>
      <w:szCs w:val="20"/>
    </w:rPr>
  </w:style>
  <w:style w:type="table" w:customStyle="1" w:styleId="PlainTable41">
    <w:name w:val="Plain Table 41"/>
    <w:basedOn w:val="TableNormal"/>
    <w:uiPriority w:val="44"/>
    <w:rsid w:val="00DF604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8A2B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509991">
      <w:bodyDiv w:val="1"/>
      <w:marLeft w:val="0"/>
      <w:marRight w:val="0"/>
      <w:marTop w:val="0"/>
      <w:marBottom w:val="0"/>
      <w:divBdr>
        <w:top w:val="none" w:sz="0" w:space="0" w:color="auto"/>
        <w:left w:val="none" w:sz="0" w:space="0" w:color="auto"/>
        <w:bottom w:val="none" w:sz="0" w:space="0" w:color="auto"/>
        <w:right w:val="none" w:sz="0" w:space="0" w:color="auto"/>
      </w:divBdr>
    </w:div>
    <w:div w:id="237249920">
      <w:bodyDiv w:val="1"/>
      <w:marLeft w:val="0"/>
      <w:marRight w:val="0"/>
      <w:marTop w:val="0"/>
      <w:marBottom w:val="0"/>
      <w:divBdr>
        <w:top w:val="none" w:sz="0" w:space="0" w:color="auto"/>
        <w:left w:val="none" w:sz="0" w:space="0" w:color="auto"/>
        <w:bottom w:val="none" w:sz="0" w:space="0" w:color="auto"/>
        <w:right w:val="none" w:sz="0" w:space="0" w:color="auto"/>
      </w:divBdr>
    </w:div>
    <w:div w:id="906111088">
      <w:bodyDiv w:val="1"/>
      <w:marLeft w:val="0"/>
      <w:marRight w:val="0"/>
      <w:marTop w:val="0"/>
      <w:marBottom w:val="0"/>
      <w:divBdr>
        <w:top w:val="none" w:sz="0" w:space="0" w:color="auto"/>
        <w:left w:val="none" w:sz="0" w:space="0" w:color="auto"/>
        <w:bottom w:val="none" w:sz="0" w:space="0" w:color="auto"/>
        <w:right w:val="none" w:sz="0" w:space="0" w:color="auto"/>
      </w:divBdr>
    </w:div>
    <w:div w:id="1025912293">
      <w:bodyDiv w:val="1"/>
      <w:marLeft w:val="0"/>
      <w:marRight w:val="0"/>
      <w:marTop w:val="0"/>
      <w:marBottom w:val="0"/>
      <w:divBdr>
        <w:top w:val="none" w:sz="0" w:space="0" w:color="auto"/>
        <w:left w:val="none" w:sz="0" w:space="0" w:color="auto"/>
        <w:bottom w:val="none" w:sz="0" w:space="0" w:color="auto"/>
        <w:right w:val="none" w:sz="0" w:space="0" w:color="auto"/>
      </w:divBdr>
    </w:div>
    <w:div w:id="1516462394">
      <w:bodyDiv w:val="1"/>
      <w:marLeft w:val="0"/>
      <w:marRight w:val="0"/>
      <w:marTop w:val="0"/>
      <w:marBottom w:val="0"/>
      <w:divBdr>
        <w:top w:val="none" w:sz="0" w:space="0" w:color="auto"/>
        <w:left w:val="none" w:sz="0" w:space="0" w:color="auto"/>
        <w:bottom w:val="none" w:sz="0" w:space="0" w:color="auto"/>
        <w:right w:val="none" w:sz="0" w:space="0" w:color="auto"/>
      </w:divBdr>
      <w:divsChild>
        <w:div w:id="1607885062">
          <w:marLeft w:val="0"/>
          <w:marRight w:val="0"/>
          <w:marTop w:val="0"/>
          <w:marBottom w:val="0"/>
          <w:divBdr>
            <w:top w:val="none" w:sz="0" w:space="0" w:color="auto"/>
            <w:left w:val="none" w:sz="0" w:space="0" w:color="auto"/>
            <w:bottom w:val="none" w:sz="0" w:space="0" w:color="auto"/>
            <w:right w:val="none" w:sz="0" w:space="0" w:color="auto"/>
          </w:divBdr>
        </w:div>
        <w:div w:id="1045443040">
          <w:marLeft w:val="0"/>
          <w:marRight w:val="0"/>
          <w:marTop w:val="0"/>
          <w:marBottom w:val="0"/>
          <w:divBdr>
            <w:top w:val="none" w:sz="0" w:space="0" w:color="auto"/>
            <w:left w:val="none" w:sz="0" w:space="0" w:color="auto"/>
            <w:bottom w:val="none" w:sz="0" w:space="0" w:color="auto"/>
            <w:right w:val="none" w:sz="0" w:space="0" w:color="auto"/>
          </w:divBdr>
        </w:div>
        <w:div w:id="36322918">
          <w:marLeft w:val="0"/>
          <w:marRight w:val="0"/>
          <w:marTop w:val="0"/>
          <w:marBottom w:val="0"/>
          <w:divBdr>
            <w:top w:val="none" w:sz="0" w:space="0" w:color="auto"/>
            <w:left w:val="none" w:sz="0" w:space="0" w:color="auto"/>
            <w:bottom w:val="none" w:sz="0" w:space="0" w:color="auto"/>
            <w:right w:val="none" w:sz="0" w:space="0" w:color="auto"/>
          </w:divBdr>
        </w:div>
        <w:div w:id="1591961616">
          <w:marLeft w:val="0"/>
          <w:marRight w:val="0"/>
          <w:marTop w:val="0"/>
          <w:marBottom w:val="0"/>
          <w:divBdr>
            <w:top w:val="none" w:sz="0" w:space="0" w:color="auto"/>
            <w:left w:val="none" w:sz="0" w:space="0" w:color="auto"/>
            <w:bottom w:val="none" w:sz="0" w:space="0" w:color="auto"/>
            <w:right w:val="none" w:sz="0" w:space="0" w:color="auto"/>
          </w:divBdr>
        </w:div>
      </w:divsChild>
    </w:div>
    <w:div w:id="1888183917">
      <w:bodyDiv w:val="1"/>
      <w:marLeft w:val="0"/>
      <w:marRight w:val="0"/>
      <w:marTop w:val="0"/>
      <w:marBottom w:val="0"/>
      <w:divBdr>
        <w:top w:val="none" w:sz="0" w:space="0" w:color="auto"/>
        <w:left w:val="none" w:sz="0" w:space="0" w:color="auto"/>
        <w:bottom w:val="none" w:sz="0" w:space="0" w:color="auto"/>
        <w:right w:val="none" w:sz="0" w:space="0" w:color="auto"/>
      </w:divBdr>
    </w:div>
    <w:div w:id="201799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6A8B8-88C8-4181-A774-06620C378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3734</Words>
  <Characters>21288</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Royal College of Obstreticians and Gynaecologists</Company>
  <LinksUpToDate>false</LinksUpToDate>
  <CharactersWithSpaces>24973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Slade</dc:creator>
  <cp:keywords/>
  <dc:description/>
  <cp:lastModifiedBy>Eric Slade</cp:lastModifiedBy>
  <cp:revision>9</cp:revision>
  <cp:lastPrinted>2019-02-21T15:54:00Z</cp:lastPrinted>
  <dcterms:created xsi:type="dcterms:W3CDTF">2019-08-07T14:01:00Z</dcterms:created>
  <dcterms:modified xsi:type="dcterms:W3CDTF">2019-08-16T09:57:00Z</dcterms:modified>
</cp:coreProperties>
</file>