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7999" w:rsidRDefault="00DF7F75" w:rsidP="00753EC4">
      <w:pPr>
        <w:spacing w:line="480" w:lineRule="auto"/>
        <w:jc w:val="center"/>
      </w:pPr>
      <w:r>
        <w:t>T</w:t>
      </w:r>
      <w:r w:rsidR="00264616">
        <w:t>he IMF record on social protection</w:t>
      </w:r>
      <w:r>
        <w:t>: Pro-poor, or poor?</w:t>
      </w:r>
    </w:p>
    <w:p w:rsidR="00264616" w:rsidRDefault="00264616" w:rsidP="00753EC4">
      <w:pPr>
        <w:spacing w:line="480" w:lineRule="auto"/>
        <w:jc w:val="center"/>
      </w:pPr>
    </w:p>
    <w:p w:rsidR="00264616" w:rsidRDefault="00264616" w:rsidP="00753EC4">
      <w:pPr>
        <w:spacing w:line="480" w:lineRule="auto"/>
        <w:jc w:val="center"/>
      </w:pPr>
      <w:r>
        <w:t>Liam Clegg</w:t>
      </w:r>
    </w:p>
    <w:p w:rsidR="00264616" w:rsidRDefault="00264616" w:rsidP="00753EC4">
      <w:pPr>
        <w:spacing w:line="480" w:lineRule="auto"/>
        <w:jc w:val="center"/>
      </w:pPr>
    </w:p>
    <w:p w:rsidR="00B97DF1" w:rsidRPr="00B97DF1" w:rsidRDefault="00B97DF1" w:rsidP="00753EC4">
      <w:pPr>
        <w:spacing w:line="480" w:lineRule="auto"/>
        <w:jc w:val="center"/>
      </w:pPr>
      <w:r>
        <w:t xml:space="preserve">International Monetary Fund, Independent Evaluation Office </w:t>
      </w:r>
      <w:proofErr w:type="gramStart"/>
      <w:r>
        <w:rPr>
          <w:i/>
        </w:rPr>
        <w:t>The</w:t>
      </w:r>
      <w:proofErr w:type="gramEnd"/>
      <w:r>
        <w:rPr>
          <w:i/>
        </w:rPr>
        <w:t xml:space="preserve"> IMF and Social Protection</w:t>
      </w:r>
      <w:r w:rsidR="00BF1D5F">
        <w:t xml:space="preserve">. Washington, DC: IMF, 2017. </w:t>
      </w:r>
      <w:proofErr w:type="gramStart"/>
      <w:r w:rsidR="00BF1D5F">
        <w:t>vii</w:t>
      </w:r>
      <w:proofErr w:type="gramEnd"/>
      <w:r w:rsidR="00BF1D5F">
        <w:t xml:space="preserve"> + 47 pp. Available at: </w:t>
      </w:r>
      <w:hyperlink r:id="rId7" w:history="1">
        <w:r w:rsidR="00BF1D5F">
          <w:rPr>
            <w:rStyle w:val="Hyperlink"/>
          </w:rPr>
          <w:t>https://ieo.imf.org/en/our-work/evaluation-reports/Completed/2017-0724-the-imf-and-social-protection</w:t>
        </w:r>
      </w:hyperlink>
      <w:r w:rsidR="00BF1D5F">
        <w:t xml:space="preserve">. </w:t>
      </w:r>
    </w:p>
    <w:p w:rsidR="00B97DF1" w:rsidRDefault="00B97DF1" w:rsidP="00753EC4">
      <w:pPr>
        <w:spacing w:line="480" w:lineRule="auto"/>
        <w:jc w:val="center"/>
      </w:pPr>
    </w:p>
    <w:p w:rsidR="00264616" w:rsidRPr="00264616" w:rsidRDefault="00264616" w:rsidP="00753EC4">
      <w:pPr>
        <w:spacing w:line="480" w:lineRule="auto"/>
        <w:rPr>
          <w:u w:val="single"/>
        </w:rPr>
      </w:pPr>
      <w:r w:rsidRPr="00264616">
        <w:rPr>
          <w:u w:val="single"/>
        </w:rPr>
        <w:t>Introduction</w:t>
      </w:r>
    </w:p>
    <w:p w:rsidR="00D5711C" w:rsidRDefault="00D5711C" w:rsidP="00753EC4">
      <w:pPr>
        <w:spacing w:line="480" w:lineRule="auto"/>
      </w:pPr>
      <w:r>
        <w:t xml:space="preserve">Social protection regimes </w:t>
      </w:r>
      <w:r w:rsidR="00602657">
        <w:t xml:space="preserve">provide individuals with </w:t>
      </w:r>
      <w:r w:rsidR="00266507">
        <w:t xml:space="preserve">a </w:t>
      </w:r>
      <w:proofErr w:type="gramStart"/>
      <w:r w:rsidR="00602657">
        <w:t>vitally-important</w:t>
      </w:r>
      <w:proofErr w:type="gramEnd"/>
      <w:r w:rsidR="00602657">
        <w:t xml:space="preserve"> </w:t>
      </w:r>
      <w:r w:rsidR="00266507">
        <w:t>cushion</w:t>
      </w:r>
      <w:r w:rsidR="00602657">
        <w:t xml:space="preserve"> against the vicissitudes of the market</w:t>
      </w:r>
      <w:r w:rsidR="00266507">
        <w:t>, offering</w:t>
      </w:r>
      <w:r w:rsidR="00602657">
        <w:t xml:space="preserve"> sources of income and other support during times of</w:t>
      </w:r>
      <w:r w:rsidR="00040031">
        <w:t xml:space="preserve"> economic vulnerability,</w:t>
      </w:r>
      <w:r w:rsidR="00602657">
        <w:t xml:space="preserve"> unemployment, illness, and old age. Through </w:t>
      </w:r>
      <w:r w:rsidR="00602657">
        <w:rPr>
          <w:i/>
        </w:rPr>
        <w:t>The IMF and Social Protection</w:t>
      </w:r>
      <w:r w:rsidR="00602657">
        <w:t xml:space="preserve">, the International Monetary Fund’s (Fund, IMF) Independent Evaluation Office (IEO) presents a review of the organisation’s </w:t>
      </w:r>
      <w:r w:rsidR="00266507">
        <w:t xml:space="preserve">approach </w:t>
      </w:r>
      <w:r w:rsidR="001437DF">
        <w:t>in this area</w:t>
      </w:r>
      <w:r w:rsidR="00266507">
        <w:t xml:space="preserve">. </w:t>
      </w:r>
      <w:r w:rsidR="001437DF">
        <w:t xml:space="preserve">The IEO report </w:t>
      </w:r>
      <w:r w:rsidR="00056ED4">
        <w:t>covers</w:t>
      </w:r>
      <w:r w:rsidR="00266507">
        <w:t xml:space="preserve"> operational guidance to staff</w:t>
      </w:r>
      <w:r w:rsidR="00040031">
        <w:t>, takes stock of the content of</w:t>
      </w:r>
      <w:r w:rsidR="00266507">
        <w:t xml:space="preserve"> </w:t>
      </w:r>
      <w:r w:rsidR="001437DF">
        <w:t xml:space="preserve">the Fund’s </w:t>
      </w:r>
      <w:r w:rsidR="00266507">
        <w:t xml:space="preserve">lending and surveillance </w:t>
      </w:r>
      <w:r w:rsidR="001437DF">
        <w:t>activities</w:t>
      </w:r>
      <w:r w:rsidR="00266507">
        <w:t xml:space="preserve">, and provides recommendations for improving the </w:t>
      </w:r>
      <w:r w:rsidR="001437DF">
        <w:t>organisation</w:t>
      </w:r>
      <w:r w:rsidR="00266507">
        <w:t>’s future work on social protection.</w:t>
      </w:r>
      <w:r w:rsidR="006906D6">
        <w:t xml:space="preserve"> </w:t>
      </w:r>
      <w:r w:rsidR="001437DF">
        <w:t>IEO reports help shape institutional priorities for operati</w:t>
      </w:r>
      <w:r w:rsidR="00056ED4">
        <w:t>o</w:t>
      </w:r>
      <w:r w:rsidR="001437DF">
        <w:t>nal change</w:t>
      </w:r>
      <w:r w:rsidR="00A07226">
        <w:t xml:space="preserve"> at the Fund</w:t>
      </w:r>
      <w:r w:rsidR="00056ED4">
        <w:t xml:space="preserve">, </w:t>
      </w:r>
      <w:r w:rsidR="001437DF">
        <w:t xml:space="preserve">and, by virtue of being </w:t>
      </w:r>
      <w:proofErr w:type="gramStart"/>
      <w:r w:rsidR="001437DF">
        <w:t>sanctioned</w:t>
      </w:r>
      <w:proofErr w:type="gramEnd"/>
      <w:r w:rsidR="001437DF">
        <w:t xml:space="preserve"> by the Executive Board and subjected to implementation evaluation,</w:t>
      </w:r>
      <w:r w:rsidR="00A07226">
        <w:t xml:space="preserve"> can</w:t>
      </w:r>
      <w:r w:rsidR="001437DF">
        <w:t xml:space="preserve"> </w:t>
      </w:r>
      <w:r w:rsidR="006906D6">
        <w:t>carry significant weight</w:t>
      </w:r>
      <w:r w:rsidR="001437DF">
        <w:t>.</w:t>
      </w:r>
      <w:r w:rsidR="001437DF">
        <w:rPr>
          <w:rStyle w:val="FootnoteReference"/>
        </w:rPr>
        <w:footnoteReference w:id="1"/>
      </w:r>
      <w:r w:rsidR="006906D6">
        <w:t xml:space="preserve"> </w:t>
      </w:r>
      <w:r w:rsidR="00795210">
        <w:t xml:space="preserve">As such, </w:t>
      </w:r>
      <w:r w:rsidR="00A07226">
        <w:t xml:space="preserve">the IEO and its outputs are deserving of a higher level of </w:t>
      </w:r>
      <w:r w:rsidR="00137BAA">
        <w:t>attention</w:t>
      </w:r>
      <w:r w:rsidR="00A07226">
        <w:t xml:space="preserve"> than they often receive from outside audiences.</w:t>
      </w:r>
    </w:p>
    <w:p w:rsidR="00D5711C" w:rsidRDefault="00D5711C" w:rsidP="00753EC4">
      <w:pPr>
        <w:spacing w:line="480" w:lineRule="auto"/>
      </w:pPr>
    </w:p>
    <w:p w:rsidR="00E4463C" w:rsidRDefault="00266507" w:rsidP="00753EC4">
      <w:pPr>
        <w:spacing w:line="480" w:lineRule="auto"/>
      </w:pPr>
      <w:r>
        <w:lastRenderedPageBreak/>
        <w:t xml:space="preserve">Over recent years, </w:t>
      </w:r>
      <w:r w:rsidR="00C5318A">
        <w:t xml:space="preserve">the performance of </w:t>
      </w:r>
      <w:r>
        <w:t xml:space="preserve">social protection regimes have received high levels of scrutiny. </w:t>
      </w:r>
      <w:r w:rsidR="00375A77">
        <w:t xml:space="preserve">Across advanced-industrialised countries, </w:t>
      </w:r>
      <w:proofErr w:type="gramStart"/>
      <w:r w:rsidR="00375A77">
        <w:t>attention has been driven by the Global Financial Crisis and its aftermath</w:t>
      </w:r>
      <w:proofErr w:type="gramEnd"/>
      <w:r w:rsidR="00375A77">
        <w:t xml:space="preserve">, as analysts </w:t>
      </w:r>
      <w:r w:rsidR="00C5318A">
        <w:t xml:space="preserve">have </w:t>
      </w:r>
      <w:r w:rsidR="00375A77">
        <w:t>ask</w:t>
      </w:r>
      <w:r w:rsidR="00C5318A">
        <w:t>ed</w:t>
      </w:r>
      <w:r w:rsidR="00375A77">
        <w:t xml:space="preserve"> whether existing structures have proved to be adequate and sustainable</w:t>
      </w:r>
      <w:r w:rsidR="00C5318A">
        <w:t xml:space="preserve"> through this period of great turbulence</w:t>
      </w:r>
      <w:r w:rsidR="00375A77">
        <w:t xml:space="preserve"> (Diamond and Lodge 2013, OECD 2016). Across the global South, </w:t>
      </w:r>
      <w:r w:rsidR="001B6135">
        <w:t xml:space="preserve">mechanisms continue to </w:t>
      </w:r>
      <w:proofErr w:type="gramStart"/>
      <w:r w:rsidR="001B6135">
        <w:t>be sought</w:t>
      </w:r>
      <w:proofErr w:type="gramEnd"/>
      <w:r w:rsidR="001B6135">
        <w:t xml:space="preserve"> for improving the coverage of support structures in contexts where informal networks typically take a large amount of the strain (</w:t>
      </w:r>
      <w:r w:rsidR="00351CC8">
        <w:t xml:space="preserve">e.g. </w:t>
      </w:r>
      <w:r w:rsidR="000D23BA" w:rsidRPr="000D23BA">
        <w:t>Barrientos</w:t>
      </w:r>
      <w:r w:rsidR="000D23BA">
        <w:t xml:space="preserve"> and </w:t>
      </w:r>
      <w:r w:rsidR="000D23BA" w:rsidRPr="000D23BA">
        <w:t>Hulme</w:t>
      </w:r>
      <w:r w:rsidR="000D23BA">
        <w:t xml:space="preserve"> 2016</w:t>
      </w:r>
      <w:r w:rsidR="00A262D7">
        <w:t xml:space="preserve">, </w:t>
      </w:r>
      <w:proofErr w:type="spellStart"/>
      <w:r w:rsidR="00A262D7" w:rsidRPr="00CF3EDD">
        <w:t>Jütting</w:t>
      </w:r>
      <w:proofErr w:type="spellEnd"/>
      <w:r w:rsidR="00A262D7">
        <w:t xml:space="preserve"> </w:t>
      </w:r>
      <w:r w:rsidR="00A262D7" w:rsidRPr="00CF3EDD">
        <w:t>2000</w:t>
      </w:r>
      <w:r w:rsidR="000D23BA">
        <w:t xml:space="preserve">). </w:t>
      </w:r>
      <w:r w:rsidR="00CF3EDD">
        <w:t>As an institution designed to support its members during macroeconomic crises</w:t>
      </w:r>
      <w:r w:rsidR="001B6135">
        <w:t xml:space="preserve"> – times when</w:t>
      </w:r>
      <w:r w:rsidR="00140946">
        <w:t xml:space="preserve"> citizens’ vulnerability </w:t>
      </w:r>
      <w:proofErr w:type="gramStart"/>
      <w:r w:rsidR="00140946">
        <w:t>is significantly enhanced</w:t>
      </w:r>
      <w:proofErr w:type="gramEnd"/>
      <w:r w:rsidR="001B6135">
        <w:t xml:space="preserve"> –</w:t>
      </w:r>
      <w:r w:rsidR="00CF3EDD">
        <w:t xml:space="preserve"> t</w:t>
      </w:r>
      <w:r w:rsidR="00621E8A">
        <w:t xml:space="preserve">he International Monetary Fund </w:t>
      </w:r>
      <w:r w:rsidR="008B4C11">
        <w:t>is inextricably linked to the issue of social protection.</w:t>
      </w:r>
      <w:r w:rsidR="00DB4AA7">
        <w:t xml:space="preserve"> </w:t>
      </w:r>
      <w:r w:rsidR="003F7B7B">
        <w:t xml:space="preserve">The adequacy with which the Fund has </w:t>
      </w:r>
      <w:r w:rsidR="00040031">
        <w:t xml:space="preserve">supported social protection regimes </w:t>
      </w:r>
      <w:proofErr w:type="gramStart"/>
      <w:r w:rsidR="00040031">
        <w:t>has been much question</w:t>
      </w:r>
      <w:r w:rsidR="00C5318A">
        <w:t>ed</w:t>
      </w:r>
      <w:proofErr w:type="gramEnd"/>
      <w:r w:rsidR="00040031">
        <w:t>, with criticisms being slated against its role from the 1980s through to the present period</w:t>
      </w:r>
      <w:r w:rsidR="005C59F9">
        <w:t xml:space="preserve"> </w:t>
      </w:r>
      <w:r w:rsidR="00DB4AA7">
        <w:t>(</w:t>
      </w:r>
      <w:r w:rsidR="005C59F9">
        <w:t>e.g.</w:t>
      </w:r>
      <w:r w:rsidR="001B4E6A">
        <w:t xml:space="preserve"> Bird 1996,</w:t>
      </w:r>
      <w:r w:rsidR="005C59F9">
        <w:t xml:space="preserve"> </w:t>
      </w:r>
      <w:r w:rsidR="00A262D7">
        <w:t xml:space="preserve">Bird 2001, </w:t>
      </w:r>
      <w:proofErr w:type="spellStart"/>
      <w:r w:rsidR="00DB4AA7">
        <w:t>Chossudovsky</w:t>
      </w:r>
      <w:proofErr w:type="spellEnd"/>
      <w:r w:rsidR="00DB4AA7">
        <w:t xml:space="preserve"> 1999</w:t>
      </w:r>
      <w:r w:rsidR="00F73A90">
        <w:t xml:space="preserve">, </w:t>
      </w:r>
      <w:r w:rsidR="00140946">
        <w:t>Stubbs et al 2017, Stubbs and Kentikelinis 2017).</w:t>
      </w:r>
      <w:r w:rsidR="008B4C11">
        <w:t xml:space="preserve"> </w:t>
      </w:r>
      <w:r w:rsidR="00F571B7" w:rsidRPr="00351CC8">
        <w:rPr>
          <w:i/>
        </w:rPr>
        <w:t>The</w:t>
      </w:r>
      <w:r w:rsidR="00351CC8">
        <w:rPr>
          <w:i/>
        </w:rPr>
        <w:t xml:space="preserve"> IMF and Social Protection</w:t>
      </w:r>
      <w:r w:rsidR="00040031">
        <w:t xml:space="preserve"> </w:t>
      </w:r>
      <w:r w:rsidR="00351CC8">
        <w:t xml:space="preserve">provides a foundation from which </w:t>
      </w:r>
      <w:r w:rsidR="00040031">
        <w:t>the topic</w:t>
      </w:r>
      <w:r w:rsidR="00140946">
        <w:t xml:space="preserve"> </w:t>
      </w:r>
      <w:proofErr w:type="gramStart"/>
      <w:r w:rsidR="00140946">
        <w:t>can be assessed</w:t>
      </w:r>
      <w:proofErr w:type="gramEnd"/>
      <w:r w:rsidR="00140946">
        <w:t xml:space="preserve"> anew</w:t>
      </w:r>
      <w:r w:rsidR="009231F0">
        <w:t>.</w:t>
      </w:r>
      <w:r w:rsidR="00E4463C">
        <w:t xml:space="preserve"> </w:t>
      </w:r>
    </w:p>
    <w:p w:rsidR="00E4463C" w:rsidRDefault="00E4463C" w:rsidP="00753EC4">
      <w:pPr>
        <w:spacing w:line="480" w:lineRule="auto"/>
      </w:pPr>
    </w:p>
    <w:p w:rsidR="00D763F9" w:rsidRDefault="00E4463C" w:rsidP="00D74838">
      <w:pPr>
        <w:spacing w:line="480" w:lineRule="auto"/>
      </w:pPr>
      <w:r>
        <w:t xml:space="preserve">Overall, </w:t>
      </w:r>
      <w:r>
        <w:rPr>
          <w:i/>
        </w:rPr>
        <w:t xml:space="preserve">The IMF and Social Protection </w:t>
      </w:r>
      <w:r>
        <w:t xml:space="preserve">offers a clear and informative review of an important and heavily criticised aspect of the Fund’s work. However, in setting itself relatively narrow terms of reference, big questions remain unanswered by the IEO report. The report focuses on the IMF’s impact on policies specifically </w:t>
      </w:r>
      <w:r w:rsidR="00D74838">
        <w:t xml:space="preserve">designed </w:t>
      </w:r>
      <w:r>
        <w:t xml:space="preserve">to support vulnerable groups and households, meaning that reflection is offered </w:t>
      </w:r>
      <w:r w:rsidR="006839B5">
        <w:t xml:space="preserve">neither </w:t>
      </w:r>
      <w:r>
        <w:t xml:space="preserve">on the organisation’s impact on the sustainability and effectiveness of programmes with more universal coverage, </w:t>
      </w:r>
      <w:r w:rsidR="006839B5">
        <w:t>nor</w:t>
      </w:r>
      <w:r>
        <w:t xml:space="preserve"> on wider education and healthcare systems. Through this assessment, I </w:t>
      </w:r>
      <w:r w:rsidR="006839B5">
        <w:t xml:space="preserve">begin in the first section below by reviewing the headline findings from the IEO </w:t>
      </w:r>
      <w:r w:rsidR="00C5318A">
        <w:t xml:space="preserve">as offered </w:t>
      </w:r>
      <w:r w:rsidR="006839B5">
        <w:t>within its narrow terms of reference</w:t>
      </w:r>
      <w:r w:rsidR="00D74838">
        <w:t>. I then</w:t>
      </w:r>
      <w:r w:rsidR="006839B5">
        <w:t xml:space="preserve"> in the second section </w:t>
      </w:r>
      <w:r w:rsidR="00D74838">
        <w:t xml:space="preserve">explore the Fund’s impact on wider social protection regimes, identifying potentially negative impacts from aspects of its favoured fiscal policies and </w:t>
      </w:r>
      <w:r w:rsidR="00C5318A">
        <w:t xml:space="preserve">its </w:t>
      </w:r>
      <w:r w:rsidR="00D74838">
        <w:t>preference for targeted forms of social protection. In the third section, I assess the depth of institutional change at the Fund</w:t>
      </w:r>
      <w:r w:rsidR="00C5318A">
        <w:t xml:space="preserve"> that has accompanied its </w:t>
      </w:r>
      <w:r w:rsidR="00C5318A">
        <w:lastRenderedPageBreak/>
        <w:t>proclaimed prioritisation of social protection</w:t>
      </w:r>
      <w:r w:rsidR="00D74838">
        <w:t xml:space="preserve">. </w:t>
      </w:r>
      <w:r w:rsidR="00C5318A">
        <w:t xml:space="preserve">As the </w:t>
      </w:r>
      <w:r w:rsidR="0017016E">
        <w:t>report itse</w:t>
      </w:r>
      <w:r w:rsidR="00C5318A">
        <w:t xml:space="preserve">lf acknowledges, the Fund’s </w:t>
      </w:r>
      <w:r w:rsidR="0017016E">
        <w:t xml:space="preserve">level of institutional expertise on social protection </w:t>
      </w:r>
      <w:r w:rsidR="00C5318A">
        <w:t xml:space="preserve">remains low (IEO 2017: 2). In combination, potentially negative impacts from existing IMF policy preferences and this low institutional expertise mean </w:t>
      </w:r>
      <w:r w:rsidR="008B4662">
        <w:t xml:space="preserve">the organisation’s capacity to strengthen its performance in </w:t>
      </w:r>
      <w:r w:rsidR="00C5318A">
        <w:t>the realm of social protection</w:t>
      </w:r>
      <w:r w:rsidR="008B4662">
        <w:t xml:space="preserve"> remains relatively limited</w:t>
      </w:r>
      <w:r w:rsidR="0017016E">
        <w:t>.</w:t>
      </w:r>
      <w:r w:rsidR="008B4662">
        <w:t xml:space="preserve"> Consequently, </w:t>
      </w:r>
      <w:r w:rsidR="00D74838">
        <w:t xml:space="preserve">over the medium term and beyond, </w:t>
      </w:r>
      <w:r w:rsidR="008B4662">
        <w:t xml:space="preserve">criticism of the Fund’s poor performance on social protection seems likely to persist. </w:t>
      </w:r>
      <w:r w:rsidR="0017016E">
        <w:t xml:space="preserve"> </w:t>
      </w:r>
    </w:p>
    <w:p w:rsidR="00B63DCB" w:rsidRDefault="00B63DCB" w:rsidP="00753EC4">
      <w:pPr>
        <w:spacing w:line="480" w:lineRule="auto"/>
      </w:pPr>
    </w:p>
    <w:p w:rsidR="00B63DCB" w:rsidRDefault="00B63DCB" w:rsidP="00753EC4">
      <w:pPr>
        <w:spacing w:line="480" w:lineRule="auto"/>
      </w:pPr>
      <w:r>
        <w:rPr>
          <w:u w:val="single"/>
        </w:rPr>
        <w:t xml:space="preserve">The IMF and </w:t>
      </w:r>
      <w:r w:rsidR="00BB31E8">
        <w:rPr>
          <w:u w:val="single"/>
        </w:rPr>
        <w:t>s</w:t>
      </w:r>
      <w:r>
        <w:rPr>
          <w:u w:val="single"/>
        </w:rPr>
        <w:t xml:space="preserve">ocial </w:t>
      </w:r>
      <w:r w:rsidR="00BB31E8">
        <w:rPr>
          <w:u w:val="single"/>
        </w:rPr>
        <w:t>p</w:t>
      </w:r>
      <w:r>
        <w:rPr>
          <w:u w:val="single"/>
        </w:rPr>
        <w:t>rotection</w:t>
      </w:r>
      <w:r w:rsidR="00BB31E8">
        <w:rPr>
          <w:u w:val="single"/>
        </w:rPr>
        <w:t>: The IEO’s headline findings</w:t>
      </w:r>
    </w:p>
    <w:p w:rsidR="00066790" w:rsidRDefault="00A30821" w:rsidP="00753EC4">
      <w:pPr>
        <w:spacing w:line="480" w:lineRule="auto"/>
      </w:pPr>
      <w:r>
        <w:t xml:space="preserve">The IMF’s Independent Evaluation Office </w:t>
      </w:r>
      <w:proofErr w:type="gramStart"/>
      <w:r>
        <w:t>was formed</w:t>
      </w:r>
      <w:proofErr w:type="gramEnd"/>
      <w:r>
        <w:t xml:space="preserve"> in 2001, the result of almost a decade of internal discussions over</w:t>
      </w:r>
      <w:r w:rsidR="004F6D7D">
        <w:t xml:space="preserve"> </w:t>
      </w:r>
      <w:r>
        <w:t>whether and how the organisation’s performance should be more systematically</w:t>
      </w:r>
      <w:r w:rsidR="005C24DC">
        <w:t xml:space="preserve"> policed. The IEO </w:t>
      </w:r>
      <w:proofErr w:type="gramStart"/>
      <w:r w:rsidR="005C24DC">
        <w:t xml:space="preserve">is now firmly </w:t>
      </w:r>
      <w:r>
        <w:t>embedded</w:t>
      </w:r>
      <w:proofErr w:type="gramEnd"/>
      <w:r>
        <w:t xml:space="preserve"> in the Fund’s institutional structure, with the Executive Board reviewing its reports and monitoring the extent of staffs’ compliance with any agreed actions.</w:t>
      </w:r>
      <w:r w:rsidR="001922A3">
        <w:rPr>
          <w:rStyle w:val="FootnoteReference"/>
        </w:rPr>
        <w:footnoteReference w:id="2"/>
      </w:r>
      <w:r>
        <w:t xml:space="preserve"> </w:t>
      </w:r>
      <w:r w:rsidR="001922A3">
        <w:t xml:space="preserve">The IEO </w:t>
      </w:r>
      <w:proofErr w:type="gramStart"/>
      <w:r w:rsidR="001922A3">
        <w:t>was prompted</w:t>
      </w:r>
      <w:proofErr w:type="gramEnd"/>
      <w:r w:rsidR="001922A3">
        <w:t xml:space="preserve"> to conduct the review of IMF performance on social protection</w:t>
      </w:r>
      <w:r>
        <w:t xml:space="preserve"> </w:t>
      </w:r>
      <w:r w:rsidR="00066790">
        <w:t>by the more explicit focus on the issue that emerged in the aftermath of the GFC</w:t>
      </w:r>
      <w:r w:rsidR="000534FD">
        <w:t xml:space="preserve">, with </w:t>
      </w:r>
      <w:r w:rsidR="000534FD">
        <w:rPr>
          <w:i/>
        </w:rPr>
        <w:t>The IMF and Social Protection</w:t>
      </w:r>
      <w:r w:rsidR="000534FD">
        <w:t xml:space="preserve"> cov</w:t>
      </w:r>
      <w:r w:rsidR="00747CF5">
        <w:t>ering a 10-year period from 2006</w:t>
      </w:r>
      <w:r w:rsidR="00066790">
        <w:t>.</w:t>
      </w:r>
    </w:p>
    <w:p w:rsidR="00154142" w:rsidRDefault="00154142" w:rsidP="00753EC4">
      <w:pPr>
        <w:spacing w:line="480" w:lineRule="auto"/>
      </w:pPr>
    </w:p>
    <w:p w:rsidR="00E05C37" w:rsidRDefault="006A6282" w:rsidP="00753EC4">
      <w:pPr>
        <w:spacing w:line="480" w:lineRule="auto"/>
      </w:pPr>
      <w:r>
        <w:t xml:space="preserve">In laying out its evaluation framework for </w:t>
      </w:r>
      <w:r>
        <w:rPr>
          <w:i/>
        </w:rPr>
        <w:t>The IMF and Social Protection</w:t>
      </w:r>
      <w:r>
        <w:t>, the IEO (2017: 4)</w:t>
      </w:r>
      <w:r>
        <w:rPr>
          <w:i/>
        </w:rPr>
        <w:t xml:space="preserve"> </w:t>
      </w:r>
      <w:r>
        <w:t xml:space="preserve">notes that </w:t>
      </w:r>
      <w:r w:rsidR="00FD68EB">
        <w:t xml:space="preserve">the institution does not have a consistently applied definition </w:t>
      </w:r>
      <w:r w:rsidR="005C24DC">
        <w:t>of ‘social protection’</w:t>
      </w:r>
      <w:r w:rsidR="00FD68EB">
        <w:t>. O</w:t>
      </w:r>
      <w:r>
        <w:t>ver the years</w:t>
      </w:r>
      <w:r w:rsidR="00FD68EB">
        <w:t>,</w:t>
      </w:r>
      <w:r>
        <w:t xml:space="preserve"> </w:t>
      </w:r>
      <w:r w:rsidR="00FD68EB">
        <w:t xml:space="preserve">partially overlapping and sometimes under-specified terms including ‘social spending’, ‘social safety nets’, and ‘social safeguards’ have been employed in policy and operational documents. For the purpose of the report, the IEO turns to a relatively narrow definition </w:t>
      </w:r>
      <w:r w:rsidR="00E05C37">
        <w:t>supplied by</w:t>
      </w:r>
      <w:r w:rsidR="00FD68EB">
        <w:t xml:space="preserve"> the IMF’s </w:t>
      </w:r>
      <w:r w:rsidR="00FD68EB">
        <w:rPr>
          <w:i/>
        </w:rPr>
        <w:t>Government Finance Statistics Manual</w:t>
      </w:r>
      <w:r w:rsidR="00FD68EB">
        <w:t xml:space="preserve">. This source holds social protection to refer to ‘a variety of policy instruments providing cash or in-kind benefits to vulnerable households’, including social </w:t>
      </w:r>
      <w:r w:rsidR="00FD68EB">
        <w:lastRenderedPageBreak/>
        <w:t xml:space="preserve">insurance (contributory pension and unemployment </w:t>
      </w:r>
      <w:r w:rsidR="00B74826">
        <w:t>cover</w:t>
      </w:r>
      <w:r w:rsidR="00FD68EB">
        <w:t>)</w:t>
      </w:r>
      <w:r w:rsidR="00B74826">
        <w:t xml:space="preserve"> and</w:t>
      </w:r>
      <w:r w:rsidR="00E05C37">
        <w:t xml:space="preserve"> social assistance (</w:t>
      </w:r>
      <w:r w:rsidR="00FD68EB">
        <w:t>non-contributory transfers to low-income groups)</w:t>
      </w:r>
      <w:r w:rsidR="00B74826">
        <w:t xml:space="preserve"> schemes.</w:t>
      </w:r>
      <w:r w:rsidR="00265872">
        <w:t xml:space="preserve"> The IEO notes that this focus excludes the Fund’s impact on the performance of wider education and healthcare systems</w:t>
      </w:r>
      <w:r w:rsidR="00571C6F">
        <w:t>.</w:t>
      </w:r>
      <w:r w:rsidR="00265872">
        <w:t xml:space="preserve"> </w:t>
      </w:r>
      <w:r w:rsidR="00571C6F">
        <w:t>Given the</w:t>
      </w:r>
      <w:r w:rsidR="00265872">
        <w:t xml:space="preserve"> substantial impact </w:t>
      </w:r>
      <w:r w:rsidR="00571C6F">
        <w:t xml:space="preserve">from these systems </w:t>
      </w:r>
      <w:r w:rsidR="00265872">
        <w:t xml:space="preserve">on </w:t>
      </w:r>
      <w:r w:rsidR="00571C6F">
        <w:t>the experiences and quality of life of vulnerable groups (</w:t>
      </w:r>
      <w:proofErr w:type="spellStart"/>
      <w:r w:rsidR="00571C6F">
        <w:t>Nunes</w:t>
      </w:r>
      <w:proofErr w:type="spellEnd"/>
      <w:r w:rsidR="00571C6F">
        <w:t xml:space="preserve"> 2014), this definitional choice is highly consequential. </w:t>
      </w:r>
      <w:r w:rsidR="00FD68EB">
        <w:t xml:space="preserve">  </w:t>
      </w:r>
      <w:r>
        <w:t xml:space="preserve"> </w:t>
      </w:r>
      <w:r w:rsidR="004F6D7D">
        <w:t xml:space="preserve"> </w:t>
      </w:r>
    </w:p>
    <w:p w:rsidR="00154142" w:rsidRDefault="00154142" w:rsidP="00753EC4">
      <w:pPr>
        <w:spacing w:line="480" w:lineRule="auto"/>
      </w:pPr>
    </w:p>
    <w:p w:rsidR="00331532" w:rsidRDefault="00747CF5" w:rsidP="00753EC4">
      <w:pPr>
        <w:spacing w:line="480" w:lineRule="auto"/>
      </w:pPr>
      <w:r>
        <w:t>Though often overlooked in academic analyses, work on s</w:t>
      </w:r>
      <w:r w:rsidR="003313CE">
        <w:t xml:space="preserve">urveillance – that is, monitoring the macroeconomic and policy performance of its member states – </w:t>
      </w:r>
      <w:r>
        <w:t>takes up the bulk of IMF staff time</w:t>
      </w:r>
      <w:r w:rsidR="003313CE">
        <w:t xml:space="preserve">. The IEO (2017: 14-20) notes that, in its regular ‘Article IV’ </w:t>
      </w:r>
      <w:r>
        <w:t xml:space="preserve">surveillance </w:t>
      </w:r>
      <w:r w:rsidR="003313CE">
        <w:t xml:space="preserve">reports, </w:t>
      </w:r>
      <w:r w:rsidR="00BA022C">
        <w:t xml:space="preserve">the incorporation of a focus on social protection varied </w:t>
      </w:r>
      <w:r>
        <w:t xml:space="preserve">significantly </w:t>
      </w:r>
      <w:r w:rsidR="00BA022C">
        <w:t>by country income group. From 2006-15, around 80 percent of advanced economies’ Article IV reports placed an explicit focus on the issue. The figures for emerging economies and low-income countries were around 60 and 50 percent respectively.</w:t>
      </w:r>
      <w:r w:rsidR="007945D0">
        <w:t xml:space="preserve"> To advanced economy members, the </w:t>
      </w:r>
      <w:r w:rsidR="000608B2">
        <w:t xml:space="preserve">headline </w:t>
      </w:r>
      <w:r w:rsidR="007945D0">
        <w:t>message from the Fund</w:t>
      </w:r>
      <w:r w:rsidR="000608B2">
        <w:t xml:space="preserve">’s Article IV </w:t>
      </w:r>
      <w:r w:rsidR="00A31EEA">
        <w:t xml:space="preserve">reports </w:t>
      </w:r>
      <w:r w:rsidR="007F50E1">
        <w:t>(</w:t>
      </w:r>
      <w:r w:rsidR="00A31EEA">
        <w:t xml:space="preserve">as measured by </w:t>
      </w:r>
      <w:r w:rsidR="000608B2">
        <w:t>Executive Summary</w:t>
      </w:r>
      <w:r w:rsidR="007945D0">
        <w:t xml:space="preserve"> </w:t>
      </w:r>
      <w:r w:rsidR="00A31EEA">
        <w:t>content</w:t>
      </w:r>
      <w:r w:rsidR="007F50E1">
        <w:t>)</w:t>
      </w:r>
      <w:r w:rsidR="00A31EEA">
        <w:t xml:space="preserve"> </w:t>
      </w:r>
      <w:r w:rsidR="007945D0">
        <w:t xml:space="preserve">was one of fiscal retrenchment in the face of budget deficits. Advocacy for reductions to pension entitlements typically came alongside calls for enhanced income-based targeting of social protection, with universal subsidies of food and fuel costs attracting particular criticism. To emerging economies, </w:t>
      </w:r>
      <w:r w:rsidR="000608B2">
        <w:t xml:space="preserve">Executive Summary </w:t>
      </w:r>
      <w:r w:rsidR="00A31EEA">
        <w:t xml:space="preserve">calls for </w:t>
      </w:r>
      <w:r w:rsidR="007945D0">
        <w:t xml:space="preserve">retrenchment tended to feature less prominently, and to </w:t>
      </w:r>
      <w:proofErr w:type="gramStart"/>
      <w:r w:rsidR="007945D0">
        <w:t>be balanced</w:t>
      </w:r>
      <w:proofErr w:type="gramEnd"/>
      <w:r w:rsidR="007945D0">
        <w:t xml:space="preserve"> by reference to mechanisms to offset the impact on vulnerable groups. To low-income countries, </w:t>
      </w:r>
      <w:r w:rsidR="000608B2">
        <w:t>the headline message</w:t>
      </w:r>
      <w:r w:rsidR="00A31EEA">
        <w:t xml:space="preserve"> from Article IVs</w:t>
      </w:r>
      <w:r w:rsidR="000608B2">
        <w:t xml:space="preserve"> tended largely ignore social protection; while half of the</w:t>
      </w:r>
      <w:r w:rsidR="005C24DC">
        <w:t>se members’</w:t>
      </w:r>
      <w:r w:rsidR="000608B2">
        <w:t xml:space="preserve"> Article IVs did mention relevant policy areas, only around 20 percent of </w:t>
      </w:r>
      <w:r w:rsidR="005C24DC">
        <w:t xml:space="preserve">their </w:t>
      </w:r>
      <w:r w:rsidR="000608B2">
        <w:t xml:space="preserve">Executive Summaries noted the importance of protecting vulnerable groups, </w:t>
      </w:r>
      <w:r>
        <w:t>with</w:t>
      </w:r>
      <w:r w:rsidR="000608B2">
        <w:t xml:space="preserve"> a similar amount advocating the protection of social spending programmes. Given the importance of Executive Summaries in framing the information that percolates to elite decision-makers</w:t>
      </w:r>
      <w:r w:rsidR="00BA779C">
        <w:t xml:space="preserve"> (</w:t>
      </w:r>
      <w:proofErr w:type="spellStart"/>
      <w:r w:rsidR="00BA779C">
        <w:t>Dethier</w:t>
      </w:r>
      <w:proofErr w:type="spellEnd"/>
      <w:r w:rsidR="00BA779C">
        <w:t xml:space="preserve"> 2007</w:t>
      </w:r>
      <w:r w:rsidR="005C019A">
        <w:t xml:space="preserve">, </w:t>
      </w:r>
      <w:proofErr w:type="spellStart"/>
      <w:r w:rsidR="005C019A" w:rsidRPr="00FB13A5">
        <w:t>Walgrave</w:t>
      </w:r>
      <w:proofErr w:type="spellEnd"/>
      <w:r w:rsidR="005C019A">
        <w:t xml:space="preserve"> and </w:t>
      </w:r>
      <w:proofErr w:type="spellStart"/>
      <w:r w:rsidR="005C019A" w:rsidRPr="00FB13A5">
        <w:t>Dejaeghere</w:t>
      </w:r>
      <w:proofErr w:type="spellEnd"/>
      <w:r w:rsidR="005C019A">
        <w:t xml:space="preserve"> 2017</w:t>
      </w:r>
      <w:r w:rsidR="00BA779C">
        <w:t>)</w:t>
      </w:r>
      <w:r w:rsidR="000608B2">
        <w:t xml:space="preserve">, these patterns are important. </w:t>
      </w:r>
      <w:r w:rsidR="00331532">
        <w:t>From IMF Article IVs, p</w:t>
      </w:r>
      <w:r w:rsidR="000608B2">
        <w:t xml:space="preserve">olicy elites in advanced economies consistently received a </w:t>
      </w:r>
      <w:r w:rsidR="00A31EEA">
        <w:t xml:space="preserve">headline </w:t>
      </w:r>
      <w:r w:rsidR="000608B2">
        <w:t xml:space="preserve">message that cuts </w:t>
      </w:r>
      <w:proofErr w:type="gramStart"/>
      <w:r w:rsidR="000608B2">
        <w:lastRenderedPageBreak/>
        <w:t>were needed</w:t>
      </w:r>
      <w:proofErr w:type="gramEnd"/>
      <w:r w:rsidR="000608B2">
        <w:t xml:space="preserve">, </w:t>
      </w:r>
      <w:r w:rsidR="00BA779C">
        <w:t xml:space="preserve">while elites in </w:t>
      </w:r>
      <w:r w:rsidR="000608B2">
        <w:t>low-income members</w:t>
      </w:r>
      <w:r w:rsidR="00BA022C">
        <w:t xml:space="preserve"> </w:t>
      </w:r>
      <w:r w:rsidR="00BA779C">
        <w:t>consistently received a message that social protection is a second-order issue.</w:t>
      </w:r>
      <w:r w:rsidR="003313CE">
        <w:t xml:space="preserve"> </w:t>
      </w:r>
    </w:p>
    <w:p w:rsidR="00154142" w:rsidRDefault="00154142" w:rsidP="00753EC4">
      <w:pPr>
        <w:spacing w:line="480" w:lineRule="auto"/>
      </w:pPr>
    </w:p>
    <w:p w:rsidR="00E372AD" w:rsidRDefault="00747CF5" w:rsidP="00753EC4">
      <w:pPr>
        <w:spacing w:line="480" w:lineRule="auto"/>
      </w:pPr>
      <w:r>
        <w:t xml:space="preserve">The IMF approved over 170 lending programmes from 2006-15. </w:t>
      </w:r>
      <w:r w:rsidR="0079648D">
        <w:t xml:space="preserve">Around 15 percent of the </w:t>
      </w:r>
      <w:proofErr w:type="gramStart"/>
      <w:r w:rsidR="0079648D">
        <w:t>Fund’s</w:t>
      </w:r>
      <w:proofErr w:type="gramEnd"/>
      <w:r w:rsidR="0079648D">
        <w:t xml:space="preserve"> advanced economy members featured as borrowers in this period. Emerging and low-income members displayed a stronger propensity to seek Fund assistance, with rates of around 40 and 50 percent (IEO 2017: 20). Amongst these programmes</w:t>
      </w:r>
      <w:r w:rsidR="005C24DC">
        <w:t xml:space="preserve"> as a whole</w:t>
      </w:r>
      <w:r w:rsidR="0079648D">
        <w:t>, the focus on social protection remained low. O</w:t>
      </w:r>
      <w:r w:rsidR="00782792">
        <w:t>verall, o</w:t>
      </w:r>
      <w:r w:rsidR="0079648D">
        <w:t xml:space="preserve">nly 10 percent of IMF programmes contained conditionality (policy actions formally monitored within a lending programme, and on whose achievement continued loan disbursal may be contingent) relating to </w:t>
      </w:r>
      <w:r w:rsidR="007F50E1">
        <w:t xml:space="preserve">the strengthening of social safety nets (IEO 2017: 20). The main mechanism through which Fund programmes engaged with social protection was through the incorporation of looser commitments to ‘social spending floors’. </w:t>
      </w:r>
      <w:r w:rsidR="005A0069">
        <w:t>Th</w:t>
      </w:r>
      <w:r w:rsidR="005C24DC">
        <w:t>is</w:t>
      </w:r>
      <w:r w:rsidR="005A0069">
        <w:t xml:space="preserve"> mechanism </w:t>
      </w:r>
      <w:proofErr w:type="gramStart"/>
      <w:r w:rsidR="005A0069">
        <w:t>was used</w:t>
      </w:r>
      <w:proofErr w:type="gramEnd"/>
      <w:r w:rsidR="005A0069">
        <w:t xml:space="preserve"> mainly in low-income country programmes. S</w:t>
      </w:r>
      <w:r w:rsidR="007F50E1">
        <w:t>ocial spending floors featured in around 50 percent of low-income programmes from 2006-09</w:t>
      </w:r>
      <w:r w:rsidR="005A0069">
        <w:t xml:space="preserve"> and, f</w:t>
      </w:r>
      <w:r w:rsidR="00453395">
        <w:t>ollowing the issuance of new operational guidance to staff,</w:t>
      </w:r>
      <w:r w:rsidR="007F50E1">
        <w:t xml:space="preserve"> </w:t>
      </w:r>
      <w:r w:rsidR="005A0069">
        <w:t>in virtually</w:t>
      </w:r>
      <w:r w:rsidR="007F50E1">
        <w:t xml:space="preserve"> all such programmes from 2010-15.</w:t>
      </w:r>
      <w:r w:rsidR="00453395">
        <w:rPr>
          <w:rStyle w:val="FootnoteReference"/>
        </w:rPr>
        <w:footnoteReference w:id="3"/>
      </w:r>
      <w:r w:rsidR="007F50E1">
        <w:t xml:space="preserve"> </w:t>
      </w:r>
    </w:p>
    <w:p w:rsidR="00154142" w:rsidRDefault="00154142" w:rsidP="00753EC4">
      <w:pPr>
        <w:spacing w:line="480" w:lineRule="auto"/>
      </w:pPr>
    </w:p>
    <w:p w:rsidR="005919E0" w:rsidRDefault="00AA11B7" w:rsidP="00753EC4">
      <w:pPr>
        <w:spacing w:line="480" w:lineRule="auto"/>
      </w:pPr>
      <w:r>
        <w:t>In the world of economic policy, definitions of key terms play an integral role in translating abstract ideas into concrete practices (</w:t>
      </w:r>
      <w:r w:rsidR="00A262D7">
        <w:t>Broome and Quirk 2015</w:t>
      </w:r>
      <w:r w:rsidR="00A262D7">
        <w:t xml:space="preserve">, </w:t>
      </w:r>
      <w:r>
        <w:t>Clegg 2010).</w:t>
      </w:r>
      <w:r w:rsidR="00DE46F5">
        <w:t xml:space="preserve"> This proves to be particular</w:t>
      </w:r>
      <w:r w:rsidR="00C51C53">
        <w:t>ly</w:t>
      </w:r>
      <w:r w:rsidR="00DE46F5">
        <w:t xml:space="preserve"> true in relation to </w:t>
      </w:r>
      <w:r w:rsidR="00C51C53">
        <w:t xml:space="preserve">the </w:t>
      </w:r>
      <w:r w:rsidR="00DE46F5">
        <w:t xml:space="preserve">social spending floors in IMF lending arrangements. </w:t>
      </w:r>
      <w:r w:rsidR="00C51C53">
        <w:t>In these arrangements, c</w:t>
      </w:r>
      <w:r w:rsidR="00DE46F5">
        <w:t xml:space="preserve">ountry officials provided the definition of social spending to </w:t>
      </w:r>
      <w:proofErr w:type="gramStart"/>
      <w:r w:rsidR="00DE46F5">
        <w:t>be incorporated</w:t>
      </w:r>
      <w:proofErr w:type="gramEnd"/>
      <w:r w:rsidR="00DE46F5">
        <w:t xml:space="preserve"> into </w:t>
      </w:r>
      <w:r w:rsidR="00C51C53">
        <w:t>programme documentation;</w:t>
      </w:r>
      <w:r w:rsidR="00BC04A0">
        <w:t xml:space="preserve"> consequently</w:t>
      </w:r>
      <w:r w:rsidR="00C51C53">
        <w:t>,</w:t>
      </w:r>
      <w:r w:rsidR="00DE46F5">
        <w:t xml:space="preserve"> </w:t>
      </w:r>
      <w:r w:rsidR="00BC04A0">
        <w:t xml:space="preserve">the </w:t>
      </w:r>
      <w:r w:rsidR="00DE46F5">
        <w:t xml:space="preserve">type </w:t>
      </w:r>
      <w:r w:rsidR="00BC04A0">
        <w:t xml:space="preserve">and volume </w:t>
      </w:r>
      <w:r w:rsidR="00DE46F5">
        <w:t xml:space="preserve">of expenditure </w:t>
      </w:r>
      <w:r w:rsidR="00C51C53">
        <w:t>protected by</w:t>
      </w:r>
      <w:r w:rsidR="00BC04A0">
        <w:t xml:space="preserve"> these ring-fences </w:t>
      </w:r>
      <w:r w:rsidR="00DE46F5">
        <w:t xml:space="preserve">varied </w:t>
      </w:r>
      <w:r w:rsidR="00C51C53">
        <w:t>substantially</w:t>
      </w:r>
      <w:r w:rsidR="00DE46F5">
        <w:t xml:space="preserve">. </w:t>
      </w:r>
      <w:r w:rsidR="00BC04A0">
        <w:t xml:space="preserve">At the extremes, </w:t>
      </w:r>
      <w:r w:rsidR="00413D71">
        <w:t xml:space="preserve">Mauritania’s 2010 loan arrangement contained a social spending floor that applied to almost 40 percent of total government spending, while the floor in </w:t>
      </w:r>
      <w:r w:rsidR="00413D71">
        <w:lastRenderedPageBreak/>
        <w:t xml:space="preserve">Lesotho’s programme of the same year applied to just two percent of total spending (Clegg 2014: 753). </w:t>
      </w:r>
      <w:r w:rsidR="009E3286">
        <w:t>In many cases,</w:t>
      </w:r>
      <w:r w:rsidR="00351177">
        <w:t xml:space="preserve"> a lack of information in programme documentation</w:t>
      </w:r>
      <w:r w:rsidR="009E3286">
        <w:t xml:space="preserve"> can </w:t>
      </w:r>
      <w:r w:rsidR="00C51C53">
        <w:t>make it</w:t>
      </w:r>
      <w:r w:rsidR="009E3286">
        <w:t xml:space="preserve"> difficult to </w:t>
      </w:r>
      <w:r w:rsidR="00351177">
        <w:t xml:space="preserve">uncover the precise lines of spending </w:t>
      </w:r>
      <w:proofErr w:type="gramStart"/>
      <w:r w:rsidR="00351177">
        <w:t>being protected</w:t>
      </w:r>
      <w:proofErr w:type="gramEnd"/>
      <w:r w:rsidR="00351177">
        <w:t xml:space="preserve"> by social spending floors. </w:t>
      </w:r>
      <w:r w:rsidR="005919E0">
        <w:t xml:space="preserve">The opacity surrounding the IMF engagement with social spending floors and social protection more generally has been criticised by </w:t>
      </w:r>
      <w:r w:rsidR="00C51C53">
        <w:t>Ortiz et al (2011</w:t>
      </w:r>
      <w:r w:rsidR="005919E0">
        <w:t>).</w:t>
      </w:r>
    </w:p>
    <w:p w:rsidR="00154142" w:rsidRDefault="00154142" w:rsidP="00753EC4">
      <w:pPr>
        <w:spacing w:line="480" w:lineRule="auto"/>
      </w:pPr>
    </w:p>
    <w:p w:rsidR="004F1C75" w:rsidRDefault="004D1B69" w:rsidP="00753EC4">
      <w:pPr>
        <w:spacing w:line="480" w:lineRule="auto"/>
      </w:pPr>
      <w:r>
        <w:t>In its lending operations, the IMF engages with countries in times of macroeconomic crisis. There is a clear tension between institution’s hard-wired focus on moving</w:t>
      </w:r>
      <w:r w:rsidR="00B5750A">
        <w:t xml:space="preserve"> rapidly</w:t>
      </w:r>
      <w:r>
        <w:t xml:space="preserve"> toward balanced budgets, and its relatively new attention on social protection and the maintenance of support to vulnerable groups. Unfortunately, t</w:t>
      </w:r>
      <w:r w:rsidR="00351177">
        <w:t xml:space="preserve">hrough </w:t>
      </w:r>
      <w:r w:rsidR="00351177">
        <w:rPr>
          <w:i/>
        </w:rPr>
        <w:t>The IMF and Social Protection</w:t>
      </w:r>
      <w:r w:rsidR="00351177">
        <w:t xml:space="preserve">, </w:t>
      </w:r>
      <w:r w:rsidR="00E80CCA">
        <w:t>the IEO (2017: 23) ‘did not undertake an impact assessment of [</w:t>
      </w:r>
      <w:r w:rsidR="00B5750A">
        <w:t>IMF-supported social protection interventions</w:t>
      </w:r>
      <w:r w:rsidR="00E80CCA">
        <w:t>] on the welfare of vulnerable groups’.</w:t>
      </w:r>
      <w:r w:rsidR="004F1C75">
        <w:t xml:space="preserve"> </w:t>
      </w:r>
      <w:r>
        <w:t xml:space="preserve">Alternative assessments raise questions over the efficacy of IMF practices. </w:t>
      </w:r>
      <w:r w:rsidR="005919E0">
        <w:t>The analysis presented by Stubbs and Kentikelinis (2017) and Stubbs et al (2017) suggests that overall levels of government spending on health</w:t>
      </w:r>
      <w:r w:rsidR="00BC04A0">
        <w:t xml:space="preserve"> </w:t>
      </w:r>
      <w:r w:rsidR="005919E0">
        <w:t>tend</w:t>
      </w:r>
      <w:r>
        <w:t>ed</w:t>
      </w:r>
      <w:r w:rsidR="005919E0">
        <w:t xml:space="preserve"> to decline with the presence of an IMF arrangement. Likewise, Robinson and Pfeiffer </w:t>
      </w:r>
      <w:r w:rsidR="0027392F">
        <w:t>(2015) note that, in the run-up to the Ebola outbreak of 2015, Liberia and Sierra Leone had had to limit their recruitment of health workers and cap levels of pay to meet the expenditure limits within</w:t>
      </w:r>
      <w:r w:rsidR="005919E0">
        <w:t xml:space="preserve"> </w:t>
      </w:r>
      <w:r w:rsidR="0027392F">
        <w:t>their IMF loan programmes.</w:t>
      </w:r>
      <w:r>
        <w:t xml:space="preserve"> </w:t>
      </w:r>
      <w:r w:rsidR="00B5750A">
        <w:t xml:space="preserve">In relation to the Greek loans from 2010, Salomon (2015) argues that IMF-backed conditionality violated citizen rights to social security. </w:t>
      </w:r>
      <w:r w:rsidR="00DE6A73">
        <w:t>As the IEO (2017: 13) acknowledges, the</w:t>
      </w:r>
      <w:r>
        <w:t xml:space="preserve"> Fund’s focus on social protection in its lending arrangements </w:t>
      </w:r>
      <w:r w:rsidR="00DE6A73">
        <w:t>is</w:t>
      </w:r>
      <w:r w:rsidR="00B5750A">
        <w:t xml:space="preserve"> </w:t>
      </w:r>
      <w:r>
        <w:t xml:space="preserve">failing to meet </w:t>
      </w:r>
      <w:r w:rsidR="00B5750A">
        <w:t xml:space="preserve">observers’ </w:t>
      </w:r>
      <w:r>
        <w:t>expectations.</w:t>
      </w:r>
      <w:r w:rsidR="0027392F">
        <w:t xml:space="preserve"> </w:t>
      </w:r>
    </w:p>
    <w:p w:rsidR="00712D08" w:rsidRDefault="00712D08" w:rsidP="00753EC4">
      <w:pPr>
        <w:spacing w:line="480" w:lineRule="auto"/>
        <w:rPr>
          <w:u w:val="single"/>
        </w:rPr>
      </w:pPr>
    </w:p>
    <w:p w:rsidR="00C46778" w:rsidRDefault="00712D08" w:rsidP="00753EC4">
      <w:pPr>
        <w:spacing w:line="480" w:lineRule="auto"/>
        <w:rPr>
          <w:u w:val="single"/>
        </w:rPr>
      </w:pPr>
      <w:r>
        <w:rPr>
          <w:u w:val="single"/>
        </w:rPr>
        <w:t>The IMF and the social protection</w:t>
      </w:r>
      <w:r w:rsidR="00CD623D">
        <w:rPr>
          <w:u w:val="single"/>
        </w:rPr>
        <w:t>: a broader view</w:t>
      </w:r>
    </w:p>
    <w:p w:rsidR="00BC04A0" w:rsidRDefault="00E860BA" w:rsidP="00753EC4">
      <w:pPr>
        <w:spacing w:line="480" w:lineRule="auto"/>
      </w:pPr>
      <w:r>
        <w:t xml:space="preserve">To assess the broader impact of IMF </w:t>
      </w:r>
      <w:r w:rsidR="00DE6A73">
        <w:t>operational practice</w:t>
      </w:r>
      <w:r>
        <w:t xml:space="preserve"> on </w:t>
      </w:r>
      <w:r w:rsidR="00DE6A73">
        <w:t>members’</w:t>
      </w:r>
      <w:r>
        <w:t xml:space="preserve"> social protection</w:t>
      </w:r>
      <w:r w:rsidR="00DE6A73">
        <w:t xml:space="preserve"> frameworks</w:t>
      </w:r>
      <w:r>
        <w:t xml:space="preserve">, it is </w:t>
      </w:r>
      <w:r w:rsidR="000C5159">
        <w:t>useful</w:t>
      </w:r>
      <w:r>
        <w:t xml:space="preserve"> to move beyond the </w:t>
      </w:r>
      <w:r w:rsidR="00DE6A73">
        <w:t>focus of the IEO report</w:t>
      </w:r>
      <w:r>
        <w:t xml:space="preserve">. In this section, I </w:t>
      </w:r>
      <w:r w:rsidR="00DE6A73">
        <w:t xml:space="preserve">explore the </w:t>
      </w:r>
      <w:r w:rsidR="00DE6A73">
        <w:lastRenderedPageBreak/>
        <w:t>implications of IMF advocacy for conditional cash transfers as a favoured mode of targeted social protection, the IMF impact on the government revenue flows needed to support social protection policies, and the IMF position on the question of ‘who pays’ for these programmes. In operationalising this focus on</w:t>
      </w:r>
      <w:r>
        <w:t xml:space="preserve"> </w:t>
      </w:r>
      <w:r w:rsidR="00DE6A73">
        <w:t>‘</w:t>
      </w:r>
      <w:r>
        <w:t>social protection regimes</w:t>
      </w:r>
      <w:r w:rsidR="00DE6A73">
        <w:t>’</w:t>
      </w:r>
      <w:r>
        <w:t xml:space="preserve">, I move beyond the IEO’s definition noted above to refer more broadly to systems </w:t>
      </w:r>
      <w:r w:rsidR="00C85030">
        <w:t xml:space="preserve">designed to mitigate against sharp reductions in well-being, and to reduce experience of economic vulnerability. </w:t>
      </w:r>
      <w:r w:rsidR="00B166AE">
        <w:t>As such, I focus here on the fit between IMF interventions and maintenance of sustainable and effective education, healthcare, pensions, and unemployment protection systems.</w:t>
      </w:r>
    </w:p>
    <w:p w:rsidR="0023232D" w:rsidRDefault="0023232D" w:rsidP="00753EC4">
      <w:pPr>
        <w:spacing w:line="480" w:lineRule="auto"/>
        <w:rPr>
          <w:u w:val="single"/>
        </w:rPr>
      </w:pPr>
    </w:p>
    <w:p w:rsidR="0023232D" w:rsidRDefault="00E511C2" w:rsidP="00753EC4">
      <w:pPr>
        <w:spacing w:line="480" w:lineRule="auto"/>
      </w:pPr>
      <w:r>
        <w:t xml:space="preserve">Conditional cash transfers are a policy tool whose popularity has grown substantially over the past decade-or-so. Through CCTs, governments seek to target payment according to measures of need, releasing payment following the completion of a pre-specified welfare-enhancing action (for example, the vaccination of a child). While CCTs and CCT-like practices are present within social protection regimes in the global North, the tool has become more prominent </w:t>
      </w:r>
      <w:r w:rsidR="00EC3B87">
        <w:t xml:space="preserve">particularly </w:t>
      </w:r>
      <w:r>
        <w:t xml:space="preserve">across the global South. In recent years, as a means of operationalising its commitment to social protection, the IMF has come to advocate the introduction or expansion of CCTs within its middle- and lower-income member states (IEO 2017: 21). </w:t>
      </w:r>
      <w:r w:rsidR="0023232D">
        <w:t xml:space="preserve">Amongst such countries, </w:t>
      </w:r>
      <w:r>
        <w:t xml:space="preserve">however, </w:t>
      </w:r>
      <w:r w:rsidR="0023232D">
        <w:t xml:space="preserve">state institutions commonly suffer from restricted bureaucratic capacity. A lack of capacity means that the type of targeting of social protection advocated by the IMF can be extremely challenging to operationalise (Barrientos 2009). We also know that </w:t>
      </w:r>
      <w:r>
        <w:t>CCTs</w:t>
      </w:r>
      <w:r w:rsidR="0023232D">
        <w:t xml:space="preserve"> can become politicised. </w:t>
      </w:r>
      <w:r>
        <w:t xml:space="preserve">They </w:t>
      </w:r>
      <w:r w:rsidR="0023232D">
        <w:t xml:space="preserve">are more likely to </w:t>
      </w:r>
      <w:proofErr w:type="gramStart"/>
      <w:r w:rsidR="0023232D">
        <w:t>be implemented</w:t>
      </w:r>
      <w:proofErr w:type="gramEnd"/>
      <w:r w:rsidR="0023232D">
        <w:t xml:space="preserve"> in polarised political systems (Brooks 2015), poten</w:t>
      </w:r>
      <w:r>
        <w:t>tially as a means of rewarding one</w:t>
      </w:r>
      <w:r w:rsidR="0023232D">
        <w:t xml:space="preserve"> party’s supporters. In the case of Brazil, </w:t>
      </w:r>
      <w:proofErr w:type="spellStart"/>
      <w:r w:rsidR="0023232D">
        <w:t>Zucco</w:t>
      </w:r>
      <w:proofErr w:type="spellEnd"/>
      <w:r w:rsidR="0023232D">
        <w:t xml:space="preserve"> (2013) finds evidence of CCTs generating significant electoral payoffs for the incumbent party. Concerns </w:t>
      </w:r>
      <w:proofErr w:type="gramStart"/>
      <w:r w:rsidR="0023232D">
        <w:t>have also been raised</w:t>
      </w:r>
      <w:proofErr w:type="gramEnd"/>
      <w:r w:rsidR="0023232D">
        <w:t xml:space="preserve"> </w:t>
      </w:r>
      <w:r>
        <w:t>that</w:t>
      </w:r>
      <w:r w:rsidR="0023232D">
        <w:t xml:space="preserve"> CCTs </w:t>
      </w:r>
      <w:r>
        <w:t>have the unintended effect of</w:t>
      </w:r>
      <w:r w:rsidR="0023232D">
        <w:t xml:space="preserve"> (re-)producing gender-based inequalities, </w:t>
      </w:r>
      <w:r>
        <w:t>as</w:t>
      </w:r>
      <w:r w:rsidR="0023232D">
        <w:t xml:space="preserve"> the duty to ensure compliance and </w:t>
      </w:r>
      <w:r w:rsidR="0023232D">
        <w:lastRenderedPageBreak/>
        <w:t>demonstrate co</w:t>
      </w:r>
      <w:r>
        <w:t>mpliance with conditions relating</w:t>
      </w:r>
      <w:r w:rsidR="0023232D">
        <w:t xml:space="preserve"> to </w:t>
      </w:r>
      <w:proofErr w:type="spellStart"/>
      <w:r w:rsidR="0023232D">
        <w:t>childrens</w:t>
      </w:r>
      <w:proofErr w:type="spellEnd"/>
      <w:r w:rsidR="0023232D">
        <w:t xml:space="preserve">’ education and health typically being borne by women (Bradshaw 2008). </w:t>
      </w:r>
    </w:p>
    <w:p w:rsidR="00154142" w:rsidRDefault="00154142" w:rsidP="00753EC4">
      <w:pPr>
        <w:spacing w:line="480" w:lineRule="auto"/>
      </w:pPr>
    </w:p>
    <w:p w:rsidR="0023232D" w:rsidRDefault="0023232D" w:rsidP="00753EC4">
      <w:pPr>
        <w:spacing w:line="480" w:lineRule="auto"/>
      </w:pPr>
      <w:r>
        <w:t xml:space="preserve">It </w:t>
      </w:r>
      <w:proofErr w:type="gramStart"/>
      <w:r>
        <w:t>should be noted</w:t>
      </w:r>
      <w:proofErr w:type="gramEnd"/>
      <w:r>
        <w:t xml:space="preserve"> that, notwithstanding these challenges and shortcomings, there is evidence that with careful design and implementation </w:t>
      </w:r>
      <w:r w:rsidR="00C511EB">
        <w:t xml:space="preserve">CCT-based </w:t>
      </w:r>
      <w:r>
        <w:t>targeting of social protection can generate higher take-up rates of health and education interventions (</w:t>
      </w:r>
      <w:proofErr w:type="spellStart"/>
      <w:r>
        <w:t>Lagarde</w:t>
      </w:r>
      <w:proofErr w:type="spellEnd"/>
      <w:r>
        <w:t xml:space="preserve"> et al 2007). The question remains whether, given its lack of institutional expertise in this regard, such prescriptions on targeting should be incorporated into IMF programmes and policy advice. Indeed, the IEO (2017: 20) reports criticism from ‘outside experts’ of IMF staffs’ tendency to ‘mechanically recommend… [CCTs] without analysing [their] appropriateness for the particular country or situation’. </w:t>
      </w:r>
    </w:p>
    <w:p w:rsidR="00154142" w:rsidRDefault="00154142" w:rsidP="00753EC4">
      <w:pPr>
        <w:spacing w:line="480" w:lineRule="auto"/>
      </w:pPr>
    </w:p>
    <w:p w:rsidR="0023232D" w:rsidRDefault="0023232D" w:rsidP="00753EC4">
      <w:pPr>
        <w:spacing w:line="480" w:lineRule="auto"/>
      </w:pPr>
      <w:r>
        <w:t xml:space="preserve">Beyond the requirement for careful and </w:t>
      </w:r>
      <w:proofErr w:type="gramStart"/>
      <w:r>
        <w:t>contextually-sensitive</w:t>
      </w:r>
      <w:proofErr w:type="gramEnd"/>
      <w:r>
        <w:t xml:space="preserve"> design and implementation of </w:t>
      </w:r>
      <w:r w:rsidR="00C511EB">
        <w:t>CCTs</w:t>
      </w:r>
      <w:r>
        <w:t xml:space="preserve">, questions have been raised in relation an important unintended consequence of </w:t>
      </w:r>
      <w:r w:rsidR="00C511EB">
        <w:t>targeting within social protection regimes</w:t>
      </w:r>
      <w:r>
        <w:t>.</w:t>
      </w:r>
      <w:r w:rsidRPr="0023232D">
        <w:t xml:space="preserve"> </w:t>
      </w:r>
      <w:r>
        <w:t xml:space="preserve">The IMF’s commitment to the principle of ‘better targeting’ of resources within social protection regimes is given significant attention in </w:t>
      </w:r>
      <w:r>
        <w:rPr>
          <w:i/>
        </w:rPr>
        <w:t>The IMF and Social Protection</w:t>
      </w:r>
      <w:r>
        <w:t xml:space="preserve"> (IEO 2017: 11-13, 1). This advocacy of targeting fits squarely in line with what has been termed ‘the standard economic view’ of welfare expenditure (</w:t>
      </w:r>
      <w:proofErr w:type="spellStart"/>
      <w:r>
        <w:t>Gelbach</w:t>
      </w:r>
      <w:proofErr w:type="spellEnd"/>
      <w:r>
        <w:t xml:space="preserve"> and </w:t>
      </w:r>
      <w:proofErr w:type="spellStart"/>
      <w:r>
        <w:t>Prichett</w:t>
      </w:r>
      <w:proofErr w:type="spellEnd"/>
      <w:r>
        <w:t xml:space="preserve"> 1997); maximum welfare gains </w:t>
      </w:r>
      <w:proofErr w:type="gramStart"/>
      <w:r>
        <w:t>are seen to be achieved</w:t>
      </w:r>
      <w:proofErr w:type="gramEnd"/>
      <w:r>
        <w:t xml:space="preserve"> by targeting scare resources toward those with the greatest need. The problem with this position is that it underplays the politics of </w:t>
      </w:r>
      <w:r w:rsidR="00EC3B87">
        <w:t>targeting</w:t>
      </w:r>
      <w:r>
        <w:t xml:space="preserve">. </w:t>
      </w:r>
      <w:r w:rsidR="00EA65F7">
        <w:t>C</w:t>
      </w:r>
      <w:r>
        <w:t>itizens are more likely to support</w:t>
      </w:r>
      <w:r w:rsidR="00EA65F7">
        <w:t xml:space="preserve"> (</w:t>
      </w:r>
      <w:r>
        <w:t>and</w:t>
      </w:r>
      <w:r w:rsidR="00EA65F7">
        <w:t>, importantly,</w:t>
      </w:r>
      <w:r>
        <w:t xml:space="preserve"> to be willing to pay through taxation for</w:t>
      </w:r>
      <w:r w:rsidR="00EA65F7">
        <w:t>)</w:t>
      </w:r>
      <w:r>
        <w:t xml:space="preserve"> services from which they benefit from or can imagine that in the future they will benefit from (</w:t>
      </w:r>
      <w:proofErr w:type="spellStart"/>
      <w:r>
        <w:t>Busemeyer</w:t>
      </w:r>
      <w:proofErr w:type="spellEnd"/>
      <w:r>
        <w:t xml:space="preserve"> et al 2009, </w:t>
      </w:r>
      <w:proofErr w:type="spellStart"/>
      <w:r>
        <w:t>Rehm</w:t>
      </w:r>
      <w:proofErr w:type="spellEnd"/>
      <w:r>
        <w:t xml:space="preserve"> et al 2012). To paraphrase </w:t>
      </w:r>
      <w:proofErr w:type="spellStart"/>
      <w:r>
        <w:t>Gelbach</w:t>
      </w:r>
      <w:proofErr w:type="spellEnd"/>
      <w:r>
        <w:t xml:space="preserve"> and Pritchett (1997: 1), the use of targeting can in fact mean that ‘more for the poor is less for the poor’. By restricting </w:t>
      </w:r>
      <w:r w:rsidR="00C511EB">
        <w:t xml:space="preserve">social protection </w:t>
      </w:r>
      <w:r>
        <w:t>access to what is perceived as ‘</w:t>
      </w:r>
      <w:proofErr w:type="spellStart"/>
      <w:r>
        <w:t>an other</w:t>
      </w:r>
      <w:proofErr w:type="spellEnd"/>
      <w:r>
        <w:t xml:space="preserve">’ </w:t>
      </w:r>
      <w:r w:rsidR="00E3358E">
        <w:t>(</w:t>
      </w:r>
      <w:r>
        <w:t>that is, in-poverty groups with whom more affluent and more heavily tax-contributing groups do not identify</w:t>
      </w:r>
      <w:r w:rsidR="00E3358E">
        <w:t xml:space="preserve">), over the medium term support for social protection regimes may actually be </w:t>
      </w:r>
      <w:r w:rsidR="00E3358E">
        <w:lastRenderedPageBreak/>
        <w:t>eroded.</w:t>
      </w:r>
      <w:r w:rsidR="00EA65F7">
        <w:t xml:space="preserve"> A secondary dimension to the politics of targeting </w:t>
      </w:r>
      <w:proofErr w:type="gramStart"/>
      <w:r w:rsidR="00EA65F7">
        <w:t xml:space="preserve">has been identified by </w:t>
      </w:r>
      <w:proofErr w:type="spellStart"/>
      <w:r w:rsidR="00EA65F7">
        <w:t>Titmus</w:t>
      </w:r>
      <w:proofErr w:type="spellEnd"/>
      <w:r w:rsidR="00EA65F7">
        <w:t xml:space="preserve"> (1968), and elaborated on by </w:t>
      </w:r>
      <w:proofErr w:type="spellStart"/>
      <w:r w:rsidR="00EA65F7" w:rsidRPr="00EA65F7">
        <w:t>Mkandawire</w:t>
      </w:r>
      <w:proofErr w:type="spellEnd"/>
      <w:r w:rsidR="00731EB8">
        <w:t xml:space="preserve"> (2005)</w:t>
      </w:r>
      <w:proofErr w:type="gramEnd"/>
      <w:r w:rsidR="00731EB8">
        <w:t xml:space="preserve">; namely, that targeting services to the poor often results in poor services, as low-income groups lack the power to demand improved provision. Pro-poor targeting in the manner favoured by the IMF, then, can have the unintended consequence of constricting long-term financing and limiting quality of service delivery.  </w:t>
      </w:r>
      <w:r w:rsidR="00EA65F7">
        <w:t xml:space="preserve"> </w:t>
      </w:r>
    </w:p>
    <w:p w:rsidR="00154142" w:rsidRDefault="00154142" w:rsidP="00753EC4">
      <w:pPr>
        <w:spacing w:line="480" w:lineRule="auto"/>
      </w:pPr>
    </w:p>
    <w:p w:rsidR="009812C0" w:rsidRDefault="005F54C0" w:rsidP="00753EC4">
      <w:pPr>
        <w:spacing w:line="480" w:lineRule="auto"/>
      </w:pPr>
      <w:r>
        <w:t xml:space="preserve">Having access to a sufficiently large and predictable flow of finance constitutes a necessary foundation </w:t>
      </w:r>
      <w:r w:rsidR="0082016E">
        <w:t>stone for a government’s</w:t>
      </w:r>
      <w:r>
        <w:t xml:space="preserve"> construction of an effective social protection regime.</w:t>
      </w:r>
      <w:r w:rsidR="00E3358E">
        <w:t xml:space="preserve"> Beyond this potential unintended impact on citizens’ tax and spend preferences, t</w:t>
      </w:r>
      <w:r>
        <w:t xml:space="preserve">he IMF </w:t>
      </w:r>
      <w:r w:rsidR="0082016E">
        <w:t>has a well-established</w:t>
      </w:r>
      <w:r w:rsidR="00E3358E">
        <w:t xml:space="preserve"> history of intentional engagement on this front through its</w:t>
      </w:r>
      <w:r w:rsidR="0082016E">
        <w:t xml:space="preserve"> focus on</w:t>
      </w:r>
      <w:r w:rsidR="009963B8">
        <w:t xml:space="preserve"> </w:t>
      </w:r>
      <w:r w:rsidR="00E3358E">
        <w:t xml:space="preserve">fiscal policy </w:t>
      </w:r>
      <w:r w:rsidR="00655676">
        <w:t>interventions</w:t>
      </w:r>
      <w:r w:rsidR="0082016E">
        <w:t xml:space="preserve">. In particular, IMF advice has consistently advocated measures to ‘broaden’ </w:t>
      </w:r>
      <w:r w:rsidR="009963B8">
        <w:t>members’</w:t>
      </w:r>
      <w:r w:rsidR="0082016E">
        <w:t xml:space="preserve"> tax base</w:t>
      </w:r>
      <w:r w:rsidR="009963B8">
        <w:t>s</w:t>
      </w:r>
      <w:r w:rsidR="000C5159">
        <w:t xml:space="preserve"> (</w:t>
      </w:r>
      <w:r w:rsidR="00655676">
        <w:t xml:space="preserve">that is, to </w:t>
      </w:r>
      <w:r w:rsidR="000C5159">
        <w:t xml:space="preserve">increase the value of the underlying financial flows or assets upon which taxation </w:t>
      </w:r>
      <w:proofErr w:type="gramStart"/>
      <w:r w:rsidR="000C5159">
        <w:t>is levied</w:t>
      </w:r>
      <w:proofErr w:type="gramEnd"/>
      <w:r w:rsidR="000C5159">
        <w:t>)</w:t>
      </w:r>
      <w:r w:rsidR="00094AEA">
        <w:t xml:space="preserve"> (Broome 2015: 156</w:t>
      </w:r>
      <w:r w:rsidR="00A262D7">
        <w:t>, IEO 2013: 8</w:t>
      </w:r>
      <w:bookmarkStart w:id="0" w:name="_GoBack"/>
      <w:bookmarkEnd w:id="0"/>
      <w:r w:rsidR="00094AEA">
        <w:t>)</w:t>
      </w:r>
      <w:r w:rsidR="0082016E">
        <w:t xml:space="preserve">. </w:t>
      </w:r>
      <w:r w:rsidR="000C5159">
        <w:t xml:space="preserve">A favoured mechanism through which the Fund has sought to achieve this goal is through the introduction or expansion of </w:t>
      </w:r>
      <w:r w:rsidR="009812C0">
        <w:t>value-added</w:t>
      </w:r>
      <w:r w:rsidR="00E27703">
        <w:t xml:space="preserve"> taxation (</w:t>
      </w:r>
      <w:r w:rsidR="009812C0">
        <w:t>VAT</w:t>
      </w:r>
      <w:r w:rsidR="00733B60">
        <w:t xml:space="preserve">, </w:t>
      </w:r>
      <w:r w:rsidR="00E27703">
        <w:t>charges levied on domestic consumption)</w:t>
      </w:r>
      <w:r w:rsidR="00094AEA">
        <w:t xml:space="preserve">. Broadened tax bases </w:t>
      </w:r>
      <w:r w:rsidR="00B51915">
        <w:t>can help support</w:t>
      </w:r>
      <w:r w:rsidR="00094AEA">
        <w:t xml:space="preserve"> </w:t>
      </w:r>
      <w:r w:rsidR="00655676">
        <w:t>the sustainability of</w:t>
      </w:r>
      <w:r w:rsidR="00094AEA">
        <w:t xml:space="preserve"> social protection regimes, owing to the </w:t>
      </w:r>
      <w:r w:rsidR="00B51915">
        <w:t xml:space="preserve">potential they offer for </w:t>
      </w:r>
      <w:r w:rsidR="00094AEA">
        <w:t>reduced v</w:t>
      </w:r>
      <w:r w:rsidR="00B51915">
        <w:t>olatility of revenue</w:t>
      </w:r>
      <w:r w:rsidR="00655676">
        <w:t xml:space="preserve"> flows</w:t>
      </w:r>
      <w:r w:rsidR="00B51915">
        <w:t>.</w:t>
      </w:r>
      <w:r w:rsidR="00FA0AF0">
        <w:t xml:space="preserve"> </w:t>
      </w:r>
    </w:p>
    <w:p w:rsidR="009812C0" w:rsidRDefault="009812C0" w:rsidP="00753EC4">
      <w:pPr>
        <w:spacing w:line="480" w:lineRule="auto"/>
      </w:pPr>
    </w:p>
    <w:p w:rsidR="0023232D" w:rsidRDefault="00F66CEF" w:rsidP="00753EC4">
      <w:pPr>
        <w:spacing w:line="480" w:lineRule="auto"/>
      </w:pPr>
      <w:r>
        <w:t xml:space="preserve">Historically, IMF lending programmes have allowed for increased </w:t>
      </w:r>
      <w:r w:rsidR="00655676">
        <w:t xml:space="preserve">taxation-derived </w:t>
      </w:r>
      <w:r>
        <w:t>revenue flows in around 50 percent of cases (IEO 2003: 18). Recent analys</w:t>
      </w:r>
      <w:r w:rsidR="00733B60">
        <w:t xml:space="preserve">is from </w:t>
      </w:r>
      <w:proofErr w:type="spellStart"/>
      <w:r w:rsidR="00733B60">
        <w:t>Crivelli</w:t>
      </w:r>
      <w:proofErr w:type="spellEnd"/>
      <w:r w:rsidR="00733B60">
        <w:t xml:space="preserve"> and Gupta (2016</w:t>
      </w:r>
      <w:r>
        <w:t>)</w:t>
      </w:r>
      <w:r w:rsidR="005527F9">
        <w:t xml:space="preserve"> suggests</w:t>
      </w:r>
      <w:r w:rsidR="00733B60">
        <w:t xml:space="preserve"> </w:t>
      </w:r>
      <w:r w:rsidR="00655676">
        <w:t xml:space="preserve">in particular </w:t>
      </w:r>
      <w:r w:rsidR="00733B60">
        <w:t xml:space="preserve">that </w:t>
      </w:r>
      <w:r w:rsidR="009812C0">
        <w:t>VAT</w:t>
      </w:r>
      <w:r w:rsidR="005527F9">
        <w:t xml:space="preserve">-focused </w:t>
      </w:r>
      <w:r w:rsidR="00733B60">
        <w:t>conditionality</w:t>
      </w:r>
      <w:r w:rsidR="005527F9">
        <w:t xml:space="preserve"> has been effective at increasing revenue flows.</w:t>
      </w:r>
      <w:r w:rsidR="00E3358E">
        <w:t xml:space="preserve"> On this score, IMF influence on the extensiveness and sustainability of social protection regimes </w:t>
      </w:r>
      <w:proofErr w:type="gramStart"/>
      <w:r w:rsidR="00E3358E">
        <w:t>can be seen</w:t>
      </w:r>
      <w:proofErr w:type="gramEnd"/>
      <w:r w:rsidR="00E3358E">
        <w:t xml:space="preserve"> to be positive. </w:t>
      </w:r>
      <w:r w:rsidR="0086508E">
        <w:t>An evaluation of t</w:t>
      </w:r>
      <w:r w:rsidR="00E3358E">
        <w:t xml:space="preserve">his </w:t>
      </w:r>
      <w:r w:rsidR="00655676">
        <w:t>fiscal impact</w:t>
      </w:r>
      <w:r w:rsidR="00E3358E">
        <w:t xml:space="preserve">, however, needs to </w:t>
      </w:r>
      <w:r w:rsidR="0086508E">
        <w:t>consider two countervailing factors. First,</w:t>
      </w:r>
      <w:r w:rsidR="00326709">
        <w:t xml:space="preserve"> as </w:t>
      </w:r>
      <w:r w:rsidR="00F32F49">
        <w:t>pointed toward in the section</w:t>
      </w:r>
      <w:r w:rsidR="00326709">
        <w:t xml:space="preserve"> above, </w:t>
      </w:r>
      <w:r w:rsidR="00E3358E">
        <w:t xml:space="preserve">that </w:t>
      </w:r>
      <w:r w:rsidR="00F32F49">
        <w:t xml:space="preserve">IMF loans </w:t>
      </w:r>
      <w:proofErr w:type="gramStart"/>
      <w:r w:rsidR="00F32F49">
        <w:t>are typically accompanied</w:t>
      </w:r>
      <w:proofErr w:type="gramEnd"/>
      <w:r w:rsidR="00F32F49">
        <w:t xml:space="preserve"> by reductions in </w:t>
      </w:r>
      <w:r w:rsidR="00E159DC">
        <w:t xml:space="preserve">overall </w:t>
      </w:r>
      <w:r w:rsidR="00F32F49">
        <w:t>levels of government expenditure (</w:t>
      </w:r>
      <w:proofErr w:type="spellStart"/>
      <w:r w:rsidR="00F32F49">
        <w:t>Nooruddin</w:t>
      </w:r>
      <w:proofErr w:type="spellEnd"/>
      <w:r w:rsidR="00F32F49">
        <w:t xml:space="preserve"> and Simmons 2006: 1003).</w:t>
      </w:r>
      <w:r w:rsidR="00E159DC">
        <w:t xml:space="preserve"> Even </w:t>
      </w:r>
      <w:r w:rsidR="00E159DC">
        <w:lastRenderedPageBreak/>
        <w:t xml:space="preserve">in programmes where tax takes rise, these flows </w:t>
      </w:r>
      <w:proofErr w:type="gramStart"/>
      <w:r w:rsidR="00E159DC">
        <w:t xml:space="preserve">are </w:t>
      </w:r>
      <w:r w:rsidR="009812C0">
        <w:t>used</w:t>
      </w:r>
      <w:proofErr w:type="gramEnd"/>
      <w:r w:rsidR="009812C0">
        <w:t xml:space="preserve"> largely</w:t>
      </w:r>
      <w:r w:rsidR="00E159DC">
        <w:t xml:space="preserve"> to shore-up budget deficits rather than to support increased expenditure.</w:t>
      </w:r>
      <w:r w:rsidR="009812C0">
        <w:rPr>
          <w:rStyle w:val="FootnoteReference"/>
        </w:rPr>
        <w:footnoteReference w:id="4"/>
      </w:r>
      <w:r w:rsidR="009812C0">
        <w:t xml:space="preserve"> </w:t>
      </w:r>
      <w:r w:rsidR="0086508E">
        <w:t xml:space="preserve">Second, VAT has been widely criticised as a regressive form of taxation, </w:t>
      </w:r>
      <w:r w:rsidR="00307E2F">
        <w:t>through which</w:t>
      </w:r>
      <w:r w:rsidR="0086508E">
        <w:t xml:space="preserve"> lower-income groups</w:t>
      </w:r>
      <w:r w:rsidR="00307E2F">
        <w:t xml:space="preserve"> pay</w:t>
      </w:r>
      <w:r w:rsidR="0086508E">
        <w:t xml:space="preserve"> a larger proportion of their income</w:t>
      </w:r>
      <w:r w:rsidR="00307E2F">
        <w:t>.</w:t>
      </w:r>
      <w:r w:rsidR="00307E2F">
        <w:rPr>
          <w:rStyle w:val="FootnoteReference"/>
        </w:rPr>
        <w:footnoteReference w:id="5"/>
      </w:r>
      <w:r w:rsidR="0086508E">
        <w:t xml:space="preserve"> </w:t>
      </w:r>
      <w:r w:rsidR="00E3358E">
        <w:t xml:space="preserve">As such, while IMF tax </w:t>
      </w:r>
      <w:r w:rsidR="00655676">
        <w:t>system interventions</w:t>
      </w:r>
      <w:r w:rsidR="00E3358E">
        <w:t xml:space="preserve"> </w:t>
      </w:r>
      <w:r w:rsidR="00655676">
        <w:t xml:space="preserve">have the potential </w:t>
      </w:r>
      <w:r w:rsidR="00E3358E">
        <w:t>to underpin improved social protection regimes, the prioritisation of fiscal conservativism</w:t>
      </w:r>
      <w:r w:rsidR="0086508E">
        <w:t xml:space="preserve"> and the use of VAT as a favoured mechanism</w:t>
      </w:r>
      <w:r w:rsidR="00E3358E">
        <w:t xml:space="preserve"> serves to undercut this potential.</w:t>
      </w:r>
    </w:p>
    <w:p w:rsidR="00154142" w:rsidRDefault="00154142" w:rsidP="00753EC4">
      <w:pPr>
        <w:spacing w:line="480" w:lineRule="auto"/>
      </w:pPr>
    </w:p>
    <w:p w:rsidR="00CD623D" w:rsidRDefault="00421F8F" w:rsidP="00753EC4">
      <w:pPr>
        <w:spacing w:line="480" w:lineRule="auto"/>
      </w:pPr>
      <w:r>
        <w:t xml:space="preserve">In 2015, the United Nations General Assembly adopted the Sustainable Development Goals (SDGs), a series of 17 global aims to </w:t>
      </w:r>
      <w:proofErr w:type="gramStart"/>
      <w:r>
        <w:t>be achieved</w:t>
      </w:r>
      <w:proofErr w:type="gramEnd"/>
      <w:r>
        <w:t xml:space="preserve"> by 2030. As acknowledged by the IEO (2017: 2), </w:t>
      </w:r>
      <w:r w:rsidR="0039234B">
        <w:t xml:space="preserve">the IMF’s advocacy for targeted interventions is in tension with </w:t>
      </w:r>
      <w:r>
        <w:t xml:space="preserve">the SDG </w:t>
      </w:r>
      <w:r w:rsidR="0039234B">
        <w:t>prioritisation of universal systems of social protection.</w:t>
      </w:r>
      <w:r>
        <w:t xml:space="preserve"> </w:t>
      </w:r>
      <w:r w:rsidR="0039234B">
        <w:t xml:space="preserve">A tension </w:t>
      </w:r>
      <w:proofErr w:type="gramStart"/>
      <w:r w:rsidR="0039234B">
        <w:t>can also be seen</w:t>
      </w:r>
      <w:proofErr w:type="gramEnd"/>
      <w:r w:rsidR="0039234B">
        <w:t xml:space="preserve"> between the IMF and the SDG approaches to the financing of social protection systems. </w:t>
      </w:r>
      <w:r w:rsidR="00B2253B">
        <w:t xml:space="preserve">There is a deep divide across the international community regarding who should pay for social protection systems in the global South. Perhaps unsurprisingly, governments of the global North have consistently pushed for </w:t>
      </w:r>
      <w:r w:rsidR="002C0FFC">
        <w:t xml:space="preserve">more </w:t>
      </w:r>
      <w:r w:rsidR="00B2253B">
        <w:t xml:space="preserve">domestic financing, while those of the global South </w:t>
      </w:r>
      <w:r w:rsidR="002C0FFC">
        <w:t>have pushed for greater contributions from advanced-industrialised states (e.g. Clegg 2015).</w:t>
      </w:r>
      <w:r>
        <w:t xml:space="preserve"> </w:t>
      </w:r>
      <w:r w:rsidR="00CD623D">
        <w:t>T</w:t>
      </w:r>
      <w:r w:rsidR="00A30F69">
        <w:t>he IMF</w:t>
      </w:r>
      <w:r w:rsidR="00CD623D">
        <w:t xml:space="preserve"> has failed </w:t>
      </w:r>
      <w:proofErr w:type="gramStart"/>
      <w:r w:rsidR="00CD623D">
        <w:t>to substantially</w:t>
      </w:r>
      <w:r w:rsidR="00A30F69">
        <w:t xml:space="preserve"> incorporate</w:t>
      </w:r>
      <w:proofErr w:type="gramEnd"/>
      <w:r w:rsidR="00A30F69">
        <w:t xml:space="preserve"> the SDG call for greater international financing </w:t>
      </w:r>
      <w:r w:rsidR="00CD623D">
        <w:t xml:space="preserve">into its approach to social protection. While the IMF self-image is of a technocratic and apolitical institution, this failure </w:t>
      </w:r>
      <w:proofErr w:type="gramStart"/>
      <w:r w:rsidR="00655676">
        <w:t>should be seen</w:t>
      </w:r>
      <w:proofErr w:type="gramEnd"/>
      <w:r w:rsidR="00655676">
        <w:t xml:space="preserve"> as</w:t>
      </w:r>
      <w:r w:rsidR="00CD623D">
        <w:t xml:space="preserve"> deeply political, reinforcing rather than challenging a prevailing balance of power.</w:t>
      </w:r>
    </w:p>
    <w:p w:rsidR="00CD623D" w:rsidRDefault="00CD623D" w:rsidP="00753EC4">
      <w:pPr>
        <w:spacing w:line="480" w:lineRule="auto"/>
      </w:pPr>
    </w:p>
    <w:p w:rsidR="00CD623D" w:rsidRPr="00CD623D" w:rsidRDefault="00CD623D" w:rsidP="00753EC4">
      <w:pPr>
        <w:spacing w:line="480" w:lineRule="auto"/>
        <w:rPr>
          <w:u w:val="single"/>
        </w:rPr>
      </w:pPr>
      <w:r w:rsidRPr="00CD623D">
        <w:rPr>
          <w:u w:val="single"/>
        </w:rPr>
        <w:lastRenderedPageBreak/>
        <w:t>The IMF and social protection: a hypocrisy trap?</w:t>
      </w:r>
    </w:p>
    <w:p w:rsidR="00341489" w:rsidRDefault="009D14D3" w:rsidP="00753EC4">
      <w:pPr>
        <w:spacing w:line="480" w:lineRule="auto"/>
      </w:pPr>
      <w:r>
        <w:t>When studying the persistent disjuncture between what an international organisation says in its public pronouncements and does in its operational practice, Weaver (2008) identifies the danger of institutionalised hypocrisy traps. Weaver shows that</w:t>
      </w:r>
      <w:r w:rsidR="00341489">
        <w:t>, when it comes to taking on board a new task,</w:t>
      </w:r>
      <w:r>
        <w:t xml:space="preserve"> </w:t>
      </w:r>
      <w:r w:rsidR="00341489">
        <w:t>an institution can much more easily learn to talk the talk than walk the walk. This insight coheres with a broad body of scholarship on international organisations that has shown that, much of the time, operational change can be difficult to instigate</w:t>
      </w:r>
      <w:r w:rsidR="008C6D74">
        <w:t>,</w:t>
      </w:r>
      <w:r w:rsidR="00341489">
        <w:t xml:space="preserve"> and difficult to sustain. </w:t>
      </w:r>
      <w:r w:rsidR="008C6D74">
        <w:t>I</w:t>
      </w:r>
      <w:r w:rsidR="00341489">
        <w:t>n the paragraphs below</w:t>
      </w:r>
      <w:r w:rsidR="008C6D74">
        <w:t>,</w:t>
      </w:r>
      <w:r w:rsidR="00341489">
        <w:t xml:space="preserve"> I explore whether we should view the IMF’s turn toward social protection as a</w:t>
      </w:r>
      <w:r w:rsidR="008C6D74">
        <w:t xml:space="preserve"> manifestation of</w:t>
      </w:r>
      <w:r w:rsidR="00341489">
        <w:t xml:space="preserve"> institutional hypocrisy</w:t>
      </w:r>
      <w:r w:rsidR="008C6D74">
        <w:t>, or whether foundations are in place for a sustained and increasingly effective engagement with the issue</w:t>
      </w:r>
      <w:r w:rsidR="00341489">
        <w:t>.</w:t>
      </w:r>
      <w:r w:rsidR="00CD623D">
        <w:t xml:space="preserve"> </w:t>
      </w:r>
    </w:p>
    <w:p w:rsidR="00154142" w:rsidRDefault="00154142" w:rsidP="00753EC4">
      <w:pPr>
        <w:spacing w:line="480" w:lineRule="auto"/>
      </w:pPr>
    </w:p>
    <w:p w:rsidR="003E2853" w:rsidRDefault="0003621D" w:rsidP="00753EC4">
      <w:pPr>
        <w:spacing w:line="480" w:lineRule="auto"/>
      </w:pPr>
      <w:r>
        <w:t xml:space="preserve">Amongst many of its observers, the IMF has a reputation for </w:t>
      </w:r>
      <w:r w:rsidR="00026828">
        <w:t xml:space="preserve">a </w:t>
      </w:r>
      <w:r w:rsidR="009D314D">
        <w:t>dogmatic</w:t>
      </w:r>
      <w:r w:rsidR="00026828">
        <w:t xml:space="preserve"> </w:t>
      </w:r>
      <w:r w:rsidR="009D314D">
        <w:t xml:space="preserve">adherence to a narrow set of </w:t>
      </w:r>
      <w:r w:rsidR="00D523B5">
        <w:t>policy prescriptions</w:t>
      </w:r>
      <w:r w:rsidR="009D314D">
        <w:t xml:space="preserve">. </w:t>
      </w:r>
      <w:r w:rsidR="00702E19">
        <w:t>Cri</w:t>
      </w:r>
      <w:r w:rsidR="00CA2495">
        <w:t>tics suggest that the Fund largely adhere</w:t>
      </w:r>
      <w:r w:rsidR="00D523B5">
        <w:t>s</w:t>
      </w:r>
      <w:r w:rsidR="00CA2495">
        <w:t xml:space="preserve"> to a ‘Washington </w:t>
      </w:r>
      <w:proofErr w:type="gramStart"/>
      <w:r w:rsidR="00CA2495">
        <w:t>consensus’-</w:t>
      </w:r>
      <w:proofErr w:type="gramEnd"/>
      <w:r w:rsidR="00CA2495">
        <w:t>type view of causes of and sol</w:t>
      </w:r>
      <w:r w:rsidR="00026828">
        <w:t xml:space="preserve">utions to macroeconomic crisis. Following the contours of </w:t>
      </w:r>
      <w:r w:rsidR="00D523B5">
        <w:t xml:space="preserve">this framework, an </w:t>
      </w:r>
      <w:r w:rsidR="00CA2495">
        <w:t>‘IMF-friendly’</w:t>
      </w:r>
      <w:r>
        <w:t xml:space="preserve"> </w:t>
      </w:r>
      <w:r w:rsidR="00CA2495">
        <w:t>government will privatise s</w:t>
      </w:r>
      <w:r w:rsidR="00342823">
        <w:t xml:space="preserve">tate owned enterprises and hold </w:t>
      </w:r>
      <w:r w:rsidR="00CA2495">
        <w:t xml:space="preserve">back from direct intervention in the productive economy, </w:t>
      </w:r>
      <w:r w:rsidR="00D523B5">
        <w:t>pursue</w:t>
      </w:r>
      <w:r w:rsidR="00CA2495">
        <w:t xml:space="preserve"> balanced budgets</w:t>
      </w:r>
      <w:r w:rsidR="00D523B5">
        <w:t xml:space="preserve">, liberalise trade restrictions, and open-up to foreign investment and financial flows. </w:t>
      </w:r>
      <w:r w:rsidR="00EA2C63">
        <w:t>Recent analysis of IMF performance during and after the Global Financial Crisis have generated a number of insights</w:t>
      </w:r>
      <w:r w:rsidR="00026828">
        <w:t xml:space="preserve"> that, by highlighting the conditions under which operational change has occurred at the Fund, move beyond this view of the IMF as a largely static organisation</w:t>
      </w:r>
      <w:r w:rsidR="00EA2C63">
        <w:t xml:space="preserve">. </w:t>
      </w:r>
    </w:p>
    <w:p w:rsidR="00154142" w:rsidRDefault="00154142" w:rsidP="00753EC4">
      <w:pPr>
        <w:spacing w:line="480" w:lineRule="auto"/>
      </w:pPr>
    </w:p>
    <w:p w:rsidR="00C96B8D" w:rsidRDefault="00026828" w:rsidP="00753EC4">
      <w:pPr>
        <w:spacing w:line="480" w:lineRule="auto"/>
      </w:pPr>
      <w:r>
        <w:t>Amongst these revisionist accounts, Broome’s (2015) work has charted</w:t>
      </w:r>
      <w:r w:rsidR="00724342">
        <w:t xml:space="preserve"> the medium-term evolution of</w:t>
      </w:r>
      <w:r w:rsidR="003E2853">
        <w:t xml:space="preserve"> IMF policy advice</w:t>
      </w:r>
      <w:r>
        <w:t>, finding</w:t>
      </w:r>
      <w:r w:rsidR="003E2853">
        <w:t xml:space="preserve"> that the IMF is getting ‘back to basics’</w:t>
      </w:r>
      <w:r w:rsidR="00724342">
        <w:t xml:space="preserve"> in the post-GFC period</w:t>
      </w:r>
      <w:r>
        <w:t>. T</w:t>
      </w:r>
      <w:r w:rsidR="00724342">
        <w:t xml:space="preserve">hrough the 1980s and 1990s, the Fund’s advice to its members </w:t>
      </w:r>
      <w:r>
        <w:t>routinely covered</w:t>
      </w:r>
      <w:r w:rsidR="00724342">
        <w:t xml:space="preserve"> its core </w:t>
      </w:r>
      <w:r>
        <w:t xml:space="preserve">fiscal policy </w:t>
      </w:r>
      <w:r w:rsidR="00724342">
        <w:t xml:space="preserve">focus </w:t>
      </w:r>
      <w:r w:rsidR="00724342">
        <w:lastRenderedPageBreak/>
        <w:t xml:space="preserve">on moving to balanced budgets through expenditure restraint and a broadened tax base, </w:t>
      </w:r>
      <w:r>
        <w:t>but also expanded out</w:t>
      </w:r>
      <w:r w:rsidR="00724342">
        <w:t xml:space="preserve"> to a broader focus on privatisation, </w:t>
      </w:r>
      <w:r w:rsidR="00FB5C3A">
        <w:t xml:space="preserve">the removal of </w:t>
      </w:r>
      <w:r w:rsidR="00724342">
        <w:t>trade</w:t>
      </w:r>
      <w:r w:rsidR="00FB5C3A">
        <w:t xml:space="preserve"> restrictions,</w:t>
      </w:r>
      <w:r w:rsidR="00724342">
        <w:t xml:space="preserve"> downsizing of civil service</w:t>
      </w:r>
      <w:r w:rsidR="00FB5C3A">
        <w:t>, and financial-sector liberalisation</w:t>
      </w:r>
      <w:r w:rsidR="00724342">
        <w:t xml:space="preserve">. </w:t>
      </w:r>
      <w:r>
        <w:t>For Broome, r</w:t>
      </w:r>
      <w:r w:rsidR="00724342">
        <w:t>ecently advice has</w:t>
      </w:r>
      <w:r w:rsidR="00FB5C3A">
        <w:t xml:space="preserve"> since the Global Financial Crisis</w:t>
      </w:r>
      <w:r w:rsidR="00724342">
        <w:t xml:space="preserve"> been</w:t>
      </w:r>
      <w:r w:rsidR="00BA09C2">
        <w:t xml:space="preserve"> tethered</w:t>
      </w:r>
      <w:r w:rsidR="00724342">
        <w:t xml:space="preserve"> more </w:t>
      </w:r>
      <w:r w:rsidR="00BA09C2">
        <w:t>tightly to</w:t>
      </w:r>
      <w:r w:rsidR="00724342">
        <w:t xml:space="preserve"> its fiscal core. </w:t>
      </w:r>
      <w:r>
        <w:t xml:space="preserve">Adding detail to Broome’s study, </w:t>
      </w:r>
      <w:r w:rsidR="00FB5C3A">
        <w:t xml:space="preserve">Gallagher (2015) </w:t>
      </w:r>
      <w:r>
        <w:t>has analysed the drivers of</w:t>
      </w:r>
      <w:r w:rsidR="00FB5C3A">
        <w:t xml:space="preserve"> the Fund’s shifting approach specifically to financial sector liberalisation, highlighting the inter-play between staff expertise and a proactive coalition of emerging market members in shifting the institution’s position. </w:t>
      </w:r>
      <w:r w:rsidR="000D4980">
        <w:t>On the staff side, the emergence of ideas on ‘a new welfare economics of capital controls’ served to re-frame controls on the movement of capital across borders as ‘market correcting’ rather than ‘market distorting’.</w:t>
      </w:r>
      <w:r w:rsidR="004C7290">
        <w:t xml:space="preserve"> On the member state </w:t>
      </w:r>
      <w:r w:rsidR="000D4980">
        <w:t xml:space="preserve">side, advocacy for a shift away from liberal prescriptions came in particular Brazil, Russia, India, China, and South Africa. </w:t>
      </w:r>
      <w:r w:rsidR="00602B47">
        <w:t>Focusing on shifts that have occurred within the Fund’s fiscal policy core, Ban (2015)</w:t>
      </w:r>
      <w:r w:rsidR="000D4980">
        <w:t xml:space="preserve"> </w:t>
      </w:r>
      <w:r w:rsidR="00602B47">
        <w:t xml:space="preserve">examines the foundations of ‘Keynesian overtures’ within the institution. Overall, Ban suggests that </w:t>
      </w:r>
      <w:r w:rsidR="002D7D74">
        <w:t>senior management used hiring and promotion as a tool to advance the view of deficit spending as an expansionary policy action. As was the case with the changed approach to capital controls, a combination of shifting staff expertise and supportive political dynamics supported the emergence of a degree of institutional change.</w:t>
      </w:r>
    </w:p>
    <w:p w:rsidR="002D7D74" w:rsidRDefault="002D7D74" w:rsidP="00753EC4">
      <w:pPr>
        <w:spacing w:line="480" w:lineRule="auto"/>
        <w:rPr>
          <w:u w:val="single"/>
        </w:rPr>
      </w:pPr>
    </w:p>
    <w:p w:rsidR="00CC06E2" w:rsidRDefault="00026828" w:rsidP="00753EC4">
      <w:pPr>
        <w:spacing w:line="480" w:lineRule="auto"/>
      </w:pPr>
      <w:r>
        <w:t>These revisionist accounts suggest that a balance between expanding staff expertise and support from actors with significant political capital can support operational change. To what extent, then, are these features present at the Fund in the realm of social protection? T</w:t>
      </w:r>
      <w:r w:rsidR="00CF1375">
        <w:t>here is a long history of discussion within the IMF on the role of social protection as a tool for operationalising ‘pro-poor growth’</w:t>
      </w:r>
      <w:r>
        <w:t>. The succession of IMF Managing Directors since the mid-1980s have pushed for a greater focus on the distributional impact of IMF-backed programmes and advice</w:t>
      </w:r>
      <w:r w:rsidR="00E211EC">
        <w:t xml:space="preserve"> (</w:t>
      </w:r>
      <w:proofErr w:type="spellStart"/>
      <w:r w:rsidR="00E211EC">
        <w:t>Vetterlein</w:t>
      </w:r>
      <w:proofErr w:type="spellEnd"/>
      <w:r w:rsidR="00E211EC">
        <w:t xml:space="preserve"> 2010</w:t>
      </w:r>
      <w:r w:rsidR="00CC06E2">
        <w:t xml:space="preserve">), with the current incumbent offering repeated commitments to this goal (e.g. </w:t>
      </w:r>
      <w:proofErr w:type="spellStart"/>
      <w:r w:rsidR="00CC06E2">
        <w:t>Lagarde</w:t>
      </w:r>
      <w:proofErr w:type="spellEnd"/>
      <w:r w:rsidR="00CC06E2">
        <w:t xml:space="preserve"> 2016). </w:t>
      </w:r>
      <w:r w:rsidR="00293217">
        <w:t xml:space="preserve">This sporadic attention </w:t>
      </w:r>
      <w:proofErr w:type="gramStart"/>
      <w:r w:rsidR="00293217">
        <w:t>has on occasion been supported</w:t>
      </w:r>
      <w:proofErr w:type="gramEnd"/>
      <w:r w:rsidR="00293217">
        <w:t xml:space="preserve"> by US congress and the US Executive Director at the IMF, </w:t>
      </w:r>
      <w:r w:rsidR="00293217">
        <w:lastRenderedPageBreak/>
        <w:t>with their threats to withhold additional funding unless the institution more effectively demonstrates its impact on poverty reduction (Clegg 2014).</w:t>
      </w:r>
      <w:r w:rsidR="00E211EC">
        <w:t xml:space="preserve"> Support </w:t>
      </w:r>
      <w:proofErr w:type="gramStart"/>
      <w:r w:rsidR="00E211EC">
        <w:t>can be seen</w:t>
      </w:r>
      <w:proofErr w:type="gramEnd"/>
      <w:r w:rsidR="00E211EC">
        <w:t xml:space="preserve"> to exist for enhanced engagement with social protection from actors with high political capital in and around the Fund. To what extent has staff expertise in this area expanded? </w:t>
      </w:r>
      <w:r w:rsidR="00293217">
        <w:t xml:space="preserve">  </w:t>
      </w:r>
    </w:p>
    <w:p w:rsidR="00CC06E2" w:rsidRDefault="00CC06E2" w:rsidP="00753EC4">
      <w:pPr>
        <w:spacing w:line="480" w:lineRule="auto"/>
      </w:pPr>
    </w:p>
    <w:p w:rsidR="00CC06E2" w:rsidRPr="00A9612C" w:rsidRDefault="00E211EC" w:rsidP="00753EC4">
      <w:pPr>
        <w:spacing w:line="480" w:lineRule="auto"/>
      </w:pPr>
      <w:r>
        <w:t xml:space="preserve">Earlier top-down pushes for enhanced engagement with social protection typically, to borrow </w:t>
      </w:r>
      <w:proofErr w:type="spellStart"/>
      <w:r>
        <w:t>Vetterlein’s</w:t>
      </w:r>
      <w:proofErr w:type="spellEnd"/>
      <w:r>
        <w:t xml:space="preserve"> (2010) phrase, ‘lacked ownership’. </w:t>
      </w:r>
      <w:r w:rsidR="00D33062">
        <w:t>A temporary working group within the Fund’s Fiscal Affairs Department (FAD) may form and reports emerge, but suggested changes to institutional practice largely failed to gain traction.</w:t>
      </w:r>
      <w:r>
        <w:t xml:space="preserve"> </w:t>
      </w:r>
      <w:r w:rsidR="00D33062">
        <w:t xml:space="preserve">The IMF prioritisation of social spending targets as a means of operationalising social protection differs in this regard. The 2009 </w:t>
      </w:r>
      <w:r w:rsidR="00D33062">
        <w:rPr>
          <w:i/>
        </w:rPr>
        <w:t>Guidelines on Social Expenditure</w:t>
      </w:r>
      <w:r w:rsidR="00D33062">
        <w:t xml:space="preserve"> resulted from a convergence of pressure from the US and other powerful member states, with FAD management support. The </w:t>
      </w:r>
      <w:r w:rsidR="00D33062">
        <w:rPr>
          <w:i/>
        </w:rPr>
        <w:t xml:space="preserve">Guidelines </w:t>
      </w:r>
      <w:r w:rsidR="00D33062">
        <w:t>ruled that staff must ensure that ‘social spending’ (defined at borrowing country governments’ discretion) must be stable or rising through the lifespan of a</w:t>
      </w:r>
      <w:r w:rsidR="00F509C1">
        <w:t xml:space="preserve"> low-income member’s</w:t>
      </w:r>
      <w:r w:rsidR="00D33062">
        <w:t xml:space="preserve"> loan</w:t>
      </w:r>
      <w:r w:rsidR="00F509C1">
        <w:t>. B</w:t>
      </w:r>
      <w:r w:rsidR="00D33062">
        <w:t xml:space="preserve">acked up by the IMF’s internal monitoring processes, since 2009 </w:t>
      </w:r>
      <w:r w:rsidR="00F509C1">
        <w:t xml:space="preserve">this edict </w:t>
      </w:r>
      <w:proofErr w:type="gramStart"/>
      <w:r w:rsidR="00F509C1">
        <w:t>has been almost universally incorporated</w:t>
      </w:r>
      <w:proofErr w:type="gramEnd"/>
      <w:r w:rsidR="00F509C1">
        <w:t xml:space="preserve"> into relevant programmes (Clegg 2014). </w:t>
      </w:r>
      <w:r w:rsidR="00B97999">
        <w:t xml:space="preserve">The weaknesses associated with this rapid shift to social spending targets </w:t>
      </w:r>
      <w:proofErr w:type="gramStart"/>
      <w:r w:rsidR="00B97999">
        <w:t>have been noted</w:t>
      </w:r>
      <w:proofErr w:type="gramEnd"/>
      <w:r w:rsidR="00B97999">
        <w:t xml:space="preserve"> above</w:t>
      </w:r>
      <w:r w:rsidR="00A9612C">
        <w:t>, and it seems that the</w:t>
      </w:r>
      <w:r w:rsidR="00B97999">
        <w:t xml:space="preserve"> Fund lacks the institutional expertise with which to improve upon this problematic performance. </w:t>
      </w:r>
      <w:r w:rsidR="00A9612C">
        <w:t xml:space="preserve">An earlier IEO (2014: 14) review noted that the Fund had failed to systematically incorporate distributional and social impact analysis into its programme design, and in </w:t>
      </w:r>
      <w:r w:rsidR="00A9612C">
        <w:rPr>
          <w:i/>
        </w:rPr>
        <w:t>The Fund and Social Protection</w:t>
      </w:r>
      <w:r w:rsidR="00A9612C">
        <w:t xml:space="preserve"> notes the organisation’s ‘limited resources and expertise’ on the issue (IEO 2017: 2, 34).</w:t>
      </w:r>
      <w:r w:rsidR="00E5324A">
        <w:t xml:space="preserve"> When recommending that the IMF needs to ‘find more realistic and effective approaches… to ensure that adverse impacts of programme measures on the most vulnerable are mitigated’, the IEO (2017: 35) foregrounds the role of development partners and domestic authorities in supplying necessary expertise.</w:t>
      </w:r>
      <w:r w:rsidR="00A9612C">
        <w:t xml:space="preserve">  </w:t>
      </w:r>
    </w:p>
    <w:p w:rsidR="00CF1375" w:rsidRDefault="00CF1375" w:rsidP="00753EC4">
      <w:pPr>
        <w:spacing w:line="480" w:lineRule="auto"/>
      </w:pPr>
    </w:p>
    <w:p w:rsidR="000D4980" w:rsidRDefault="00E5324A" w:rsidP="00E5324A">
      <w:pPr>
        <w:spacing w:line="480" w:lineRule="auto"/>
        <w:rPr>
          <w:u w:val="single"/>
        </w:rPr>
      </w:pPr>
      <w:r>
        <w:lastRenderedPageBreak/>
        <w:t xml:space="preserve">In short, it appears that the position advanced by </w:t>
      </w:r>
      <w:proofErr w:type="spellStart"/>
      <w:r>
        <w:t>Grabel</w:t>
      </w:r>
      <w:proofErr w:type="spellEnd"/>
      <w:r>
        <w:t xml:space="preserve"> (2011: 812) continues to hold true. For </w:t>
      </w:r>
      <w:proofErr w:type="spellStart"/>
      <w:r>
        <w:t>Grabel</w:t>
      </w:r>
      <w:proofErr w:type="spellEnd"/>
      <w:r>
        <w:t xml:space="preserve">, </w:t>
      </w:r>
      <w:r w:rsidR="00904447">
        <w:t xml:space="preserve">after the Global Financial Crisis there had been policy continuity but rhetorical discontinuity in the Fund’s approach to poor and vulnerable groups. The IMF has learned to talk the talk of social protection, but its attempts to walk the walk </w:t>
      </w:r>
      <w:proofErr w:type="gramStart"/>
      <w:r w:rsidR="00904447">
        <w:t>are confined</w:t>
      </w:r>
      <w:proofErr w:type="gramEnd"/>
      <w:r w:rsidR="00904447">
        <w:t xml:space="preserve"> to a relatively thin and problematic operationalisation through the incorporation of social spending targets into some lending operations. Given the lack of institutional expertise on which to generate sustained improvement in the field of social protection, at this moment it seems that </w:t>
      </w:r>
      <w:r w:rsidR="00C31CA6">
        <w:t>the IMF has fallen into a hypocrisy trap in relation to social protection.</w:t>
      </w:r>
      <w:r w:rsidR="00B84259">
        <w:t xml:space="preserve"> The Fund’s commitment to </w:t>
      </w:r>
      <w:proofErr w:type="gramStart"/>
      <w:r w:rsidR="00B84259">
        <w:t>targeted</w:t>
      </w:r>
      <w:proofErr w:type="gramEnd"/>
      <w:r w:rsidR="00B84259">
        <w:t xml:space="preserve"> rather than universal forms of social protection, and to fiscal conservativism with a preference for VAT, constitute potentially significant barriers to the realisation of such sustained improvement.</w:t>
      </w:r>
    </w:p>
    <w:p w:rsidR="00C31CA6" w:rsidRDefault="00C31CA6" w:rsidP="00753EC4">
      <w:pPr>
        <w:spacing w:line="480" w:lineRule="auto"/>
        <w:rPr>
          <w:u w:val="single"/>
        </w:rPr>
      </w:pPr>
    </w:p>
    <w:p w:rsidR="00C31CA6" w:rsidRDefault="00C31CA6" w:rsidP="00753EC4">
      <w:pPr>
        <w:spacing w:line="480" w:lineRule="auto"/>
      </w:pPr>
      <w:r>
        <w:rPr>
          <w:u w:val="single"/>
        </w:rPr>
        <w:t>Conclusion</w:t>
      </w:r>
    </w:p>
    <w:p w:rsidR="00C31CA6" w:rsidRDefault="00C31CA6" w:rsidP="00753EC4">
      <w:pPr>
        <w:spacing w:line="480" w:lineRule="auto"/>
      </w:pPr>
      <w:r>
        <w:t xml:space="preserve">I have organised my reflections on </w:t>
      </w:r>
      <w:r>
        <w:rPr>
          <w:i/>
        </w:rPr>
        <w:t xml:space="preserve">The IMF and Social Protection </w:t>
      </w:r>
      <w:r>
        <w:t>according to three overarching lines of analysis. I first reviewed the headline messages from the IEO’s report, noting in particular the contestable definition used to organise the evaluation, and the relatively low profile of social protection within IMF surveillance and lending. I then secondly provided a broader exploration of the impact of the Fund on members’ social protection regimes</w:t>
      </w:r>
      <w:r w:rsidR="00D13B00">
        <w:t>,</w:t>
      </w:r>
      <w:r>
        <w:t xml:space="preserve"> explor</w:t>
      </w:r>
      <w:r w:rsidR="00D13B00">
        <w:t>ing</w:t>
      </w:r>
      <w:r>
        <w:t xml:space="preserve"> the difficulties of executing effectively the type of targeted social spending advocated by the institution, and examin</w:t>
      </w:r>
      <w:r w:rsidR="00D13B00">
        <w:t>ing tensions associated with</w:t>
      </w:r>
      <w:r>
        <w:t xml:space="preserve"> the organisation’s impact on taxation and the resource flows needed to sustain effective social protection regimes. Thirdly, I reviewed the institutional foundations of the IMF</w:t>
      </w:r>
      <w:r w:rsidR="00D13B00">
        <w:t>’s</w:t>
      </w:r>
      <w:r>
        <w:t xml:space="preserve"> turn toward social protection, and concluded in this regard that the Fund lacked the expertise needed to avoid a hypocrisy trap in its engagement on this front.</w:t>
      </w:r>
    </w:p>
    <w:p w:rsidR="00C31CA6" w:rsidRDefault="00C31CA6" w:rsidP="00753EC4">
      <w:pPr>
        <w:spacing w:line="480" w:lineRule="auto"/>
      </w:pPr>
    </w:p>
    <w:p w:rsidR="00E5324A" w:rsidRDefault="0076558A" w:rsidP="00753EC4">
      <w:pPr>
        <w:spacing w:line="480" w:lineRule="auto"/>
        <w:rPr>
          <w:u w:val="single"/>
        </w:rPr>
      </w:pPr>
      <w:r>
        <w:lastRenderedPageBreak/>
        <w:t xml:space="preserve">With Articles of Agreement that task it with promoting exchange rate stability, overseeing the balanced growth of international trade, and creating rules and mechanisms to reduce the duration of balance of payments crises, the </w:t>
      </w:r>
      <w:r w:rsidR="008F3A4F">
        <w:t>International Monetary Fund is an institution with an e</w:t>
      </w:r>
      <w:r w:rsidR="00CF7B65">
        <w:t>xtremely challenging and broad</w:t>
      </w:r>
      <w:r w:rsidR="008F3A4F">
        <w:t>-based mandate.</w:t>
      </w:r>
      <w:r w:rsidR="00CF7B65">
        <w:t xml:space="preserve"> </w:t>
      </w:r>
      <w:r>
        <w:t xml:space="preserve">Through </w:t>
      </w:r>
      <w:r>
        <w:rPr>
          <w:i/>
        </w:rPr>
        <w:t>The Fund and Social Protection</w:t>
      </w:r>
      <w:r>
        <w:t xml:space="preserve">, the IEO presents a vision of an institution with a strong commitment to the principle of providing effective protection to vulnerable groups through periods of economic dislocation, but one that lacks sufficient tools with which to translate this principle into practice. </w:t>
      </w:r>
      <w:r w:rsidR="00913410">
        <w:t xml:space="preserve">The IEO notes the strength of external criticism received by the Fund for </w:t>
      </w:r>
      <w:r w:rsidR="00B06E35">
        <w:t xml:space="preserve">perceived failures in its operationalisation of social protection. Given </w:t>
      </w:r>
      <w:proofErr w:type="gramStart"/>
      <w:r w:rsidR="00B06E35">
        <w:t>that</w:t>
      </w:r>
      <w:proofErr w:type="gramEnd"/>
      <w:r w:rsidR="00B06E35">
        <w:t xml:space="preserve"> the foundations seem not to be in place for sustained operational improvement in this regard, it is likely that criticism of poor IMF performance will continue into the medium-term, and beyond.</w:t>
      </w:r>
      <w:r w:rsidR="00E5324A">
        <w:rPr>
          <w:u w:val="single"/>
        </w:rPr>
        <w:br w:type="page"/>
      </w:r>
    </w:p>
    <w:p w:rsidR="00E372AD" w:rsidRDefault="00E372AD" w:rsidP="00753EC4">
      <w:pPr>
        <w:spacing w:line="480" w:lineRule="auto"/>
        <w:rPr>
          <w:u w:val="single"/>
        </w:rPr>
      </w:pPr>
      <w:r w:rsidRPr="00E372AD">
        <w:rPr>
          <w:u w:val="single"/>
        </w:rPr>
        <w:lastRenderedPageBreak/>
        <w:t>Bibliography</w:t>
      </w:r>
    </w:p>
    <w:p w:rsidR="00914A03" w:rsidRDefault="00914A03" w:rsidP="00753EC4">
      <w:pPr>
        <w:spacing w:line="480" w:lineRule="auto"/>
        <w:rPr>
          <w:rFonts w:ascii="Arial" w:hAnsi="Arial" w:cs="Arial"/>
          <w:color w:val="222222"/>
          <w:sz w:val="20"/>
          <w:szCs w:val="20"/>
          <w:shd w:val="clear" w:color="auto" w:fill="FFFFFF"/>
        </w:rPr>
      </w:pPr>
      <w:r w:rsidRPr="00914A03">
        <w:rPr>
          <w:rFonts w:ascii="Arial" w:hAnsi="Arial" w:cs="Arial"/>
          <w:color w:val="222222"/>
          <w:sz w:val="20"/>
          <w:szCs w:val="20"/>
          <w:shd w:val="clear" w:color="auto" w:fill="FFFFFF"/>
        </w:rPr>
        <w:t xml:space="preserve">Baird, S., </w:t>
      </w:r>
      <w:r>
        <w:rPr>
          <w:rFonts w:ascii="Arial" w:hAnsi="Arial" w:cs="Arial"/>
          <w:color w:val="222222"/>
          <w:sz w:val="20"/>
          <w:szCs w:val="20"/>
          <w:shd w:val="clear" w:color="auto" w:fill="FFFFFF"/>
        </w:rPr>
        <w:t xml:space="preserve">F. </w:t>
      </w:r>
      <w:r w:rsidRPr="00914A03">
        <w:rPr>
          <w:rFonts w:ascii="Arial" w:hAnsi="Arial" w:cs="Arial"/>
          <w:color w:val="222222"/>
          <w:sz w:val="20"/>
          <w:szCs w:val="20"/>
          <w:shd w:val="clear" w:color="auto" w:fill="FFFFFF"/>
        </w:rPr>
        <w:t xml:space="preserve">Ferreira, </w:t>
      </w:r>
      <w:r>
        <w:rPr>
          <w:rFonts w:ascii="Arial" w:hAnsi="Arial" w:cs="Arial"/>
          <w:color w:val="222222"/>
          <w:sz w:val="20"/>
          <w:szCs w:val="20"/>
          <w:shd w:val="clear" w:color="auto" w:fill="FFFFFF"/>
        </w:rPr>
        <w:t xml:space="preserve">B. </w:t>
      </w:r>
      <w:proofErr w:type="spellStart"/>
      <w:r w:rsidRPr="00914A03">
        <w:rPr>
          <w:rFonts w:ascii="Arial" w:hAnsi="Arial" w:cs="Arial"/>
          <w:color w:val="222222"/>
          <w:sz w:val="20"/>
          <w:szCs w:val="20"/>
          <w:shd w:val="clear" w:color="auto" w:fill="FFFFFF"/>
        </w:rPr>
        <w:t>Özler</w:t>
      </w:r>
      <w:proofErr w:type="spellEnd"/>
      <w:r w:rsidRPr="00914A03">
        <w:rPr>
          <w:rFonts w:ascii="Arial" w:hAnsi="Arial" w:cs="Arial"/>
          <w:color w:val="222222"/>
          <w:sz w:val="20"/>
          <w:szCs w:val="20"/>
          <w:shd w:val="clear" w:color="auto" w:fill="FFFFFF"/>
        </w:rPr>
        <w:t>, and</w:t>
      </w:r>
      <w:r>
        <w:rPr>
          <w:rFonts w:ascii="Arial" w:hAnsi="Arial" w:cs="Arial"/>
          <w:color w:val="222222"/>
          <w:sz w:val="20"/>
          <w:szCs w:val="20"/>
          <w:shd w:val="clear" w:color="auto" w:fill="FFFFFF"/>
        </w:rPr>
        <w:t xml:space="preserve"> M.</w:t>
      </w:r>
      <w:r w:rsidRPr="00914A03">
        <w:rPr>
          <w:rFonts w:ascii="Arial" w:hAnsi="Arial" w:cs="Arial"/>
          <w:color w:val="222222"/>
          <w:sz w:val="20"/>
          <w:szCs w:val="20"/>
          <w:shd w:val="clear" w:color="auto" w:fill="FFFFFF"/>
        </w:rPr>
        <w:t xml:space="preserve"> </w:t>
      </w:r>
      <w:proofErr w:type="spellStart"/>
      <w:r w:rsidRPr="00914A03">
        <w:rPr>
          <w:rFonts w:ascii="Arial" w:hAnsi="Arial" w:cs="Arial"/>
          <w:color w:val="222222"/>
          <w:sz w:val="20"/>
          <w:szCs w:val="20"/>
          <w:shd w:val="clear" w:color="auto" w:fill="FFFFFF"/>
        </w:rPr>
        <w:t>Woolcock</w:t>
      </w:r>
      <w:proofErr w:type="spellEnd"/>
      <w:r>
        <w:rPr>
          <w:rFonts w:ascii="Arial" w:hAnsi="Arial" w:cs="Arial"/>
          <w:color w:val="222222"/>
          <w:sz w:val="20"/>
          <w:szCs w:val="20"/>
          <w:shd w:val="clear" w:color="auto" w:fill="FFFFFF"/>
        </w:rPr>
        <w:t>.</w:t>
      </w:r>
      <w:r w:rsidRPr="00914A03">
        <w:rPr>
          <w:rFonts w:ascii="Arial" w:hAnsi="Arial" w:cs="Arial"/>
          <w:color w:val="222222"/>
          <w:sz w:val="20"/>
          <w:szCs w:val="20"/>
          <w:shd w:val="clear" w:color="auto" w:fill="FFFFFF"/>
        </w:rPr>
        <w:t xml:space="preserve"> </w:t>
      </w:r>
      <w:r>
        <w:rPr>
          <w:rFonts w:ascii="Arial" w:hAnsi="Arial" w:cs="Arial"/>
          <w:color w:val="222222"/>
          <w:sz w:val="20"/>
          <w:szCs w:val="20"/>
          <w:shd w:val="clear" w:color="auto" w:fill="FFFFFF"/>
        </w:rPr>
        <w:t>(</w:t>
      </w:r>
      <w:r w:rsidRPr="00914A03">
        <w:rPr>
          <w:rFonts w:ascii="Arial" w:hAnsi="Arial" w:cs="Arial"/>
          <w:color w:val="222222"/>
          <w:sz w:val="20"/>
          <w:szCs w:val="20"/>
          <w:shd w:val="clear" w:color="auto" w:fill="FFFFFF"/>
        </w:rPr>
        <w:t>2013</w:t>
      </w:r>
      <w:r>
        <w:rPr>
          <w:rFonts w:ascii="Arial" w:hAnsi="Arial" w:cs="Arial"/>
          <w:color w:val="222222"/>
          <w:sz w:val="20"/>
          <w:szCs w:val="20"/>
          <w:shd w:val="clear" w:color="auto" w:fill="FFFFFF"/>
        </w:rPr>
        <w:t>)</w:t>
      </w:r>
      <w:r w:rsidRPr="00914A03">
        <w:rPr>
          <w:rFonts w:ascii="Arial" w:hAnsi="Arial" w:cs="Arial"/>
          <w:color w:val="222222"/>
          <w:sz w:val="20"/>
          <w:szCs w:val="20"/>
          <w:shd w:val="clear" w:color="auto" w:fill="FFFFFF"/>
        </w:rPr>
        <w:t xml:space="preserve"> </w:t>
      </w:r>
      <w:r>
        <w:rPr>
          <w:rFonts w:ascii="Arial" w:hAnsi="Arial" w:cs="Arial"/>
          <w:color w:val="222222"/>
          <w:sz w:val="20"/>
          <w:szCs w:val="20"/>
          <w:shd w:val="clear" w:color="auto" w:fill="FFFFFF"/>
        </w:rPr>
        <w:t>‘</w:t>
      </w:r>
      <w:r w:rsidRPr="00914A03">
        <w:rPr>
          <w:rFonts w:ascii="Arial" w:hAnsi="Arial" w:cs="Arial"/>
          <w:color w:val="222222"/>
          <w:sz w:val="20"/>
          <w:szCs w:val="20"/>
          <w:shd w:val="clear" w:color="auto" w:fill="FFFFFF"/>
        </w:rPr>
        <w:t xml:space="preserve">Relative </w:t>
      </w:r>
      <w:r w:rsidR="008E5D31">
        <w:rPr>
          <w:rFonts w:ascii="Arial" w:hAnsi="Arial" w:cs="Arial"/>
          <w:color w:val="222222"/>
          <w:sz w:val="20"/>
          <w:szCs w:val="20"/>
          <w:shd w:val="clear" w:color="auto" w:fill="FFFFFF"/>
        </w:rPr>
        <w:t>E</w:t>
      </w:r>
      <w:r w:rsidRPr="00914A03">
        <w:rPr>
          <w:rFonts w:ascii="Arial" w:hAnsi="Arial" w:cs="Arial"/>
          <w:color w:val="222222"/>
          <w:sz w:val="20"/>
          <w:szCs w:val="20"/>
          <w:shd w:val="clear" w:color="auto" w:fill="FFFFFF"/>
        </w:rPr>
        <w:t xml:space="preserve">ffectiveness of </w:t>
      </w:r>
      <w:r w:rsidR="008E5D31">
        <w:rPr>
          <w:rFonts w:ascii="Arial" w:hAnsi="Arial" w:cs="Arial"/>
          <w:color w:val="222222"/>
          <w:sz w:val="20"/>
          <w:szCs w:val="20"/>
          <w:shd w:val="clear" w:color="auto" w:fill="FFFFFF"/>
        </w:rPr>
        <w:t>C</w:t>
      </w:r>
      <w:r w:rsidRPr="00914A03">
        <w:rPr>
          <w:rFonts w:ascii="Arial" w:hAnsi="Arial" w:cs="Arial"/>
          <w:color w:val="222222"/>
          <w:sz w:val="20"/>
          <w:szCs w:val="20"/>
          <w:shd w:val="clear" w:color="auto" w:fill="FFFFFF"/>
        </w:rPr>
        <w:t xml:space="preserve">onditional and </w:t>
      </w:r>
      <w:r w:rsidR="008E5D31">
        <w:rPr>
          <w:rFonts w:ascii="Arial" w:hAnsi="Arial" w:cs="Arial"/>
          <w:color w:val="222222"/>
          <w:sz w:val="20"/>
          <w:szCs w:val="20"/>
          <w:shd w:val="clear" w:color="auto" w:fill="FFFFFF"/>
        </w:rPr>
        <w:t>U</w:t>
      </w:r>
      <w:r w:rsidRPr="00914A03">
        <w:rPr>
          <w:rFonts w:ascii="Arial" w:hAnsi="Arial" w:cs="Arial"/>
          <w:color w:val="222222"/>
          <w:sz w:val="20"/>
          <w:szCs w:val="20"/>
          <w:shd w:val="clear" w:color="auto" w:fill="FFFFFF"/>
        </w:rPr>
        <w:t xml:space="preserve">nconditional </w:t>
      </w:r>
      <w:r w:rsidR="008E5D31">
        <w:rPr>
          <w:rFonts w:ascii="Arial" w:hAnsi="Arial" w:cs="Arial"/>
          <w:color w:val="222222"/>
          <w:sz w:val="20"/>
          <w:szCs w:val="20"/>
          <w:shd w:val="clear" w:color="auto" w:fill="FFFFFF"/>
        </w:rPr>
        <w:t>C</w:t>
      </w:r>
      <w:r w:rsidRPr="00914A03">
        <w:rPr>
          <w:rFonts w:ascii="Arial" w:hAnsi="Arial" w:cs="Arial"/>
          <w:color w:val="222222"/>
          <w:sz w:val="20"/>
          <w:szCs w:val="20"/>
          <w:shd w:val="clear" w:color="auto" w:fill="FFFFFF"/>
        </w:rPr>
        <w:t xml:space="preserve">ash </w:t>
      </w:r>
      <w:r w:rsidR="008E5D31">
        <w:rPr>
          <w:rFonts w:ascii="Arial" w:hAnsi="Arial" w:cs="Arial"/>
          <w:color w:val="222222"/>
          <w:sz w:val="20"/>
          <w:szCs w:val="20"/>
          <w:shd w:val="clear" w:color="auto" w:fill="FFFFFF"/>
        </w:rPr>
        <w:t>T</w:t>
      </w:r>
      <w:r w:rsidRPr="00914A03">
        <w:rPr>
          <w:rFonts w:ascii="Arial" w:hAnsi="Arial" w:cs="Arial"/>
          <w:color w:val="222222"/>
          <w:sz w:val="20"/>
          <w:szCs w:val="20"/>
          <w:shd w:val="clear" w:color="auto" w:fill="FFFFFF"/>
        </w:rPr>
        <w:t xml:space="preserve">ransfers for </w:t>
      </w:r>
      <w:r w:rsidR="008E5D31">
        <w:rPr>
          <w:rFonts w:ascii="Arial" w:hAnsi="Arial" w:cs="Arial"/>
          <w:color w:val="222222"/>
          <w:sz w:val="20"/>
          <w:szCs w:val="20"/>
          <w:shd w:val="clear" w:color="auto" w:fill="FFFFFF"/>
        </w:rPr>
        <w:t>S</w:t>
      </w:r>
      <w:r w:rsidRPr="00914A03">
        <w:rPr>
          <w:rFonts w:ascii="Arial" w:hAnsi="Arial" w:cs="Arial"/>
          <w:color w:val="222222"/>
          <w:sz w:val="20"/>
          <w:szCs w:val="20"/>
          <w:shd w:val="clear" w:color="auto" w:fill="FFFFFF"/>
        </w:rPr>
        <w:t xml:space="preserve">chooling </w:t>
      </w:r>
      <w:r w:rsidR="008E5D31">
        <w:rPr>
          <w:rFonts w:ascii="Arial" w:hAnsi="Arial" w:cs="Arial"/>
          <w:color w:val="222222"/>
          <w:sz w:val="20"/>
          <w:szCs w:val="20"/>
          <w:shd w:val="clear" w:color="auto" w:fill="FFFFFF"/>
        </w:rPr>
        <w:t>O</w:t>
      </w:r>
      <w:r w:rsidRPr="00914A03">
        <w:rPr>
          <w:rFonts w:ascii="Arial" w:hAnsi="Arial" w:cs="Arial"/>
          <w:color w:val="222222"/>
          <w:sz w:val="20"/>
          <w:szCs w:val="20"/>
          <w:shd w:val="clear" w:color="auto" w:fill="FFFFFF"/>
        </w:rPr>
        <w:t xml:space="preserve">utcomes in </w:t>
      </w:r>
      <w:r w:rsidR="008E5D31">
        <w:rPr>
          <w:rFonts w:ascii="Arial" w:hAnsi="Arial" w:cs="Arial"/>
          <w:color w:val="222222"/>
          <w:sz w:val="20"/>
          <w:szCs w:val="20"/>
          <w:shd w:val="clear" w:color="auto" w:fill="FFFFFF"/>
        </w:rPr>
        <w:t>D</w:t>
      </w:r>
      <w:r w:rsidRPr="00914A03">
        <w:rPr>
          <w:rFonts w:ascii="Arial" w:hAnsi="Arial" w:cs="Arial"/>
          <w:color w:val="222222"/>
          <w:sz w:val="20"/>
          <w:szCs w:val="20"/>
          <w:shd w:val="clear" w:color="auto" w:fill="FFFFFF"/>
        </w:rPr>
        <w:t xml:space="preserve">eveloping </w:t>
      </w:r>
      <w:r w:rsidR="008E5D31">
        <w:rPr>
          <w:rFonts w:ascii="Arial" w:hAnsi="Arial" w:cs="Arial"/>
          <w:color w:val="222222"/>
          <w:sz w:val="20"/>
          <w:szCs w:val="20"/>
          <w:shd w:val="clear" w:color="auto" w:fill="FFFFFF"/>
        </w:rPr>
        <w:t>C</w:t>
      </w:r>
      <w:r w:rsidRPr="00914A03">
        <w:rPr>
          <w:rFonts w:ascii="Arial" w:hAnsi="Arial" w:cs="Arial"/>
          <w:color w:val="222222"/>
          <w:sz w:val="20"/>
          <w:szCs w:val="20"/>
          <w:shd w:val="clear" w:color="auto" w:fill="FFFFFF"/>
        </w:rPr>
        <w:t xml:space="preserve">ountries: </w:t>
      </w:r>
      <w:r>
        <w:rPr>
          <w:rFonts w:ascii="Arial" w:hAnsi="Arial" w:cs="Arial"/>
          <w:color w:val="222222"/>
          <w:sz w:val="20"/>
          <w:szCs w:val="20"/>
          <w:shd w:val="clear" w:color="auto" w:fill="FFFFFF"/>
        </w:rPr>
        <w:t>A</w:t>
      </w:r>
      <w:r w:rsidRPr="00914A03">
        <w:rPr>
          <w:rFonts w:ascii="Arial" w:hAnsi="Arial" w:cs="Arial"/>
          <w:color w:val="222222"/>
          <w:sz w:val="20"/>
          <w:szCs w:val="20"/>
          <w:shd w:val="clear" w:color="auto" w:fill="FFFFFF"/>
        </w:rPr>
        <w:t xml:space="preserve"> </w:t>
      </w:r>
      <w:r w:rsidR="008E5D31">
        <w:rPr>
          <w:rFonts w:ascii="Arial" w:hAnsi="Arial" w:cs="Arial"/>
          <w:color w:val="222222"/>
          <w:sz w:val="20"/>
          <w:szCs w:val="20"/>
          <w:shd w:val="clear" w:color="auto" w:fill="FFFFFF"/>
        </w:rPr>
        <w:t>S</w:t>
      </w:r>
      <w:r w:rsidRPr="00914A03">
        <w:rPr>
          <w:rFonts w:ascii="Arial" w:hAnsi="Arial" w:cs="Arial"/>
          <w:color w:val="222222"/>
          <w:sz w:val="20"/>
          <w:szCs w:val="20"/>
          <w:shd w:val="clear" w:color="auto" w:fill="FFFFFF"/>
        </w:rPr>
        <w:t xml:space="preserve">ystematic </w:t>
      </w:r>
      <w:r w:rsidR="008E5D31">
        <w:rPr>
          <w:rFonts w:ascii="Arial" w:hAnsi="Arial" w:cs="Arial"/>
          <w:color w:val="222222"/>
          <w:sz w:val="20"/>
          <w:szCs w:val="20"/>
          <w:shd w:val="clear" w:color="auto" w:fill="FFFFFF"/>
        </w:rPr>
        <w:t>R</w:t>
      </w:r>
      <w:r w:rsidRPr="00914A03">
        <w:rPr>
          <w:rFonts w:ascii="Arial" w:hAnsi="Arial" w:cs="Arial"/>
          <w:color w:val="222222"/>
          <w:sz w:val="20"/>
          <w:szCs w:val="20"/>
          <w:shd w:val="clear" w:color="auto" w:fill="FFFFFF"/>
        </w:rPr>
        <w:t>eview</w:t>
      </w:r>
      <w:r>
        <w:rPr>
          <w:rFonts w:ascii="Arial" w:hAnsi="Arial" w:cs="Arial"/>
          <w:color w:val="222222"/>
          <w:sz w:val="20"/>
          <w:szCs w:val="20"/>
          <w:shd w:val="clear" w:color="auto" w:fill="FFFFFF"/>
        </w:rPr>
        <w:t>’,</w:t>
      </w:r>
      <w:r w:rsidRPr="00914A03">
        <w:rPr>
          <w:rFonts w:ascii="Arial" w:hAnsi="Arial" w:cs="Arial"/>
          <w:color w:val="222222"/>
          <w:sz w:val="20"/>
          <w:szCs w:val="20"/>
          <w:shd w:val="clear" w:color="auto" w:fill="FFFFFF"/>
        </w:rPr>
        <w:t xml:space="preserve"> </w:t>
      </w:r>
      <w:r w:rsidRPr="00914A03">
        <w:rPr>
          <w:rFonts w:ascii="Arial" w:hAnsi="Arial" w:cs="Arial"/>
          <w:i/>
          <w:color w:val="222222"/>
          <w:sz w:val="20"/>
          <w:szCs w:val="20"/>
          <w:shd w:val="clear" w:color="auto" w:fill="FFFFFF"/>
        </w:rPr>
        <w:t xml:space="preserve">Campbell </w:t>
      </w:r>
      <w:r>
        <w:rPr>
          <w:rFonts w:ascii="Arial" w:hAnsi="Arial" w:cs="Arial"/>
          <w:i/>
          <w:color w:val="222222"/>
          <w:sz w:val="20"/>
          <w:szCs w:val="20"/>
          <w:shd w:val="clear" w:color="auto" w:fill="FFFFFF"/>
        </w:rPr>
        <w:t>S</w:t>
      </w:r>
      <w:r w:rsidRPr="00914A03">
        <w:rPr>
          <w:rFonts w:ascii="Arial" w:hAnsi="Arial" w:cs="Arial"/>
          <w:i/>
          <w:color w:val="222222"/>
          <w:sz w:val="20"/>
          <w:szCs w:val="20"/>
          <w:shd w:val="clear" w:color="auto" w:fill="FFFFFF"/>
        </w:rPr>
        <w:t xml:space="preserve">ystematic </w:t>
      </w:r>
      <w:r>
        <w:rPr>
          <w:rFonts w:ascii="Arial" w:hAnsi="Arial" w:cs="Arial"/>
          <w:i/>
          <w:color w:val="222222"/>
          <w:sz w:val="20"/>
          <w:szCs w:val="20"/>
          <w:shd w:val="clear" w:color="auto" w:fill="FFFFFF"/>
        </w:rPr>
        <w:t>R</w:t>
      </w:r>
      <w:r w:rsidRPr="00914A03">
        <w:rPr>
          <w:rFonts w:ascii="Arial" w:hAnsi="Arial" w:cs="Arial"/>
          <w:i/>
          <w:color w:val="222222"/>
          <w:sz w:val="20"/>
          <w:szCs w:val="20"/>
          <w:shd w:val="clear" w:color="auto" w:fill="FFFFFF"/>
        </w:rPr>
        <w:t>eviews</w:t>
      </w:r>
      <w:r w:rsidRPr="00914A03">
        <w:rPr>
          <w:rFonts w:ascii="Arial" w:hAnsi="Arial" w:cs="Arial"/>
          <w:color w:val="222222"/>
          <w:sz w:val="20"/>
          <w:szCs w:val="20"/>
          <w:shd w:val="clear" w:color="auto" w:fill="FFFFFF"/>
        </w:rPr>
        <w:t>, 9(8)</w:t>
      </w:r>
      <w:r>
        <w:rPr>
          <w:rFonts w:ascii="Arial" w:hAnsi="Arial" w:cs="Arial"/>
          <w:color w:val="222222"/>
          <w:sz w:val="20"/>
          <w:szCs w:val="20"/>
          <w:shd w:val="clear" w:color="auto" w:fill="FFFFFF"/>
        </w:rPr>
        <w:t>: 6</w:t>
      </w:r>
      <w:r w:rsidR="008E5D31" w:rsidRPr="008E5D31">
        <w:rPr>
          <w:rFonts w:ascii="Arial" w:hAnsi="Arial" w:cs="Arial"/>
          <w:color w:val="222222"/>
          <w:sz w:val="20"/>
          <w:szCs w:val="20"/>
          <w:shd w:val="clear" w:color="auto" w:fill="FFFFFF"/>
        </w:rPr>
        <w:t>–</w:t>
      </w:r>
      <w:r>
        <w:rPr>
          <w:rFonts w:ascii="Arial" w:hAnsi="Arial" w:cs="Arial"/>
          <w:color w:val="222222"/>
          <w:sz w:val="20"/>
          <w:szCs w:val="20"/>
          <w:shd w:val="clear" w:color="auto" w:fill="FFFFFF"/>
        </w:rPr>
        <w:t>124.</w:t>
      </w:r>
    </w:p>
    <w:p w:rsidR="00602B47" w:rsidRDefault="00602B47" w:rsidP="00753EC4">
      <w:pPr>
        <w:spacing w:line="480" w:lineRule="auto"/>
        <w:rPr>
          <w:rFonts w:ascii="Arial" w:hAnsi="Arial" w:cs="Arial"/>
          <w:color w:val="222222"/>
          <w:sz w:val="20"/>
          <w:szCs w:val="20"/>
          <w:shd w:val="clear" w:color="auto" w:fill="FFFFFF"/>
        </w:rPr>
      </w:pPr>
      <w:r>
        <w:rPr>
          <w:rFonts w:ascii="Arial" w:hAnsi="Arial" w:cs="Arial"/>
          <w:color w:val="222222"/>
          <w:sz w:val="20"/>
          <w:szCs w:val="20"/>
          <w:shd w:val="clear" w:color="auto" w:fill="FFFFFF"/>
        </w:rPr>
        <w:t>Ban, C.</w:t>
      </w:r>
      <w:r w:rsidRPr="00602B47">
        <w:rPr>
          <w:rFonts w:ascii="Arial" w:hAnsi="Arial" w:cs="Arial"/>
          <w:color w:val="222222"/>
          <w:sz w:val="20"/>
          <w:szCs w:val="20"/>
          <w:shd w:val="clear" w:color="auto" w:fill="FFFFFF"/>
        </w:rPr>
        <w:t xml:space="preserve"> </w:t>
      </w:r>
      <w:r>
        <w:rPr>
          <w:rFonts w:ascii="Arial" w:hAnsi="Arial" w:cs="Arial"/>
          <w:color w:val="222222"/>
          <w:sz w:val="20"/>
          <w:szCs w:val="20"/>
          <w:shd w:val="clear" w:color="auto" w:fill="FFFFFF"/>
        </w:rPr>
        <w:t>(</w:t>
      </w:r>
      <w:r w:rsidRPr="00602B47">
        <w:rPr>
          <w:rFonts w:ascii="Arial" w:hAnsi="Arial" w:cs="Arial"/>
          <w:color w:val="222222"/>
          <w:sz w:val="20"/>
          <w:szCs w:val="20"/>
          <w:shd w:val="clear" w:color="auto" w:fill="FFFFFF"/>
        </w:rPr>
        <w:t>2015</w:t>
      </w:r>
      <w:r>
        <w:rPr>
          <w:rFonts w:ascii="Arial" w:hAnsi="Arial" w:cs="Arial"/>
          <w:color w:val="222222"/>
          <w:sz w:val="20"/>
          <w:szCs w:val="20"/>
          <w:shd w:val="clear" w:color="auto" w:fill="FFFFFF"/>
        </w:rPr>
        <w:t>)</w:t>
      </w:r>
      <w:r w:rsidRPr="00602B47">
        <w:rPr>
          <w:rFonts w:ascii="Arial" w:hAnsi="Arial" w:cs="Arial"/>
          <w:color w:val="222222"/>
          <w:sz w:val="20"/>
          <w:szCs w:val="20"/>
          <w:shd w:val="clear" w:color="auto" w:fill="FFFFFF"/>
        </w:rPr>
        <w:t xml:space="preserve"> </w:t>
      </w:r>
      <w:r>
        <w:rPr>
          <w:rFonts w:ascii="Arial" w:hAnsi="Arial" w:cs="Arial"/>
          <w:color w:val="222222"/>
          <w:sz w:val="20"/>
          <w:szCs w:val="20"/>
          <w:shd w:val="clear" w:color="auto" w:fill="FFFFFF"/>
        </w:rPr>
        <w:t>‘</w:t>
      </w:r>
      <w:r w:rsidRPr="00602B47">
        <w:rPr>
          <w:rFonts w:ascii="Arial" w:hAnsi="Arial" w:cs="Arial"/>
          <w:color w:val="222222"/>
          <w:sz w:val="20"/>
          <w:szCs w:val="20"/>
          <w:shd w:val="clear" w:color="auto" w:fill="FFFFFF"/>
        </w:rPr>
        <w:t xml:space="preserve">Austerity </w:t>
      </w:r>
      <w:proofErr w:type="gramStart"/>
      <w:r w:rsidR="008E5D31">
        <w:rPr>
          <w:rFonts w:ascii="Arial" w:hAnsi="Arial" w:cs="Arial"/>
          <w:color w:val="222222"/>
          <w:sz w:val="20"/>
          <w:szCs w:val="20"/>
          <w:shd w:val="clear" w:color="auto" w:fill="FFFFFF"/>
        </w:rPr>
        <w:t>V</w:t>
      </w:r>
      <w:r w:rsidRPr="00602B47">
        <w:rPr>
          <w:rFonts w:ascii="Arial" w:hAnsi="Arial" w:cs="Arial"/>
          <w:color w:val="222222"/>
          <w:sz w:val="20"/>
          <w:szCs w:val="20"/>
          <w:shd w:val="clear" w:color="auto" w:fill="FFFFFF"/>
        </w:rPr>
        <w:t>ersus</w:t>
      </w:r>
      <w:proofErr w:type="gramEnd"/>
      <w:r w:rsidRPr="00602B47">
        <w:rPr>
          <w:rFonts w:ascii="Arial" w:hAnsi="Arial" w:cs="Arial"/>
          <w:color w:val="222222"/>
          <w:sz w:val="20"/>
          <w:szCs w:val="20"/>
          <w:shd w:val="clear" w:color="auto" w:fill="FFFFFF"/>
        </w:rPr>
        <w:t xml:space="preserve"> </w:t>
      </w:r>
      <w:r w:rsidR="008E5D31">
        <w:rPr>
          <w:rFonts w:ascii="Arial" w:hAnsi="Arial" w:cs="Arial"/>
          <w:color w:val="222222"/>
          <w:sz w:val="20"/>
          <w:szCs w:val="20"/>
          <w:shd w:val="clear" w:color="auto" w:fill="FFFFFF"/>
        </w:rPr>
        <w:t>S</w:t>
      </w:r>
      <w:r w:rsidRPr="00602B47">
        <w:rPr>
          <w:rFonts w:ascii="Arial" w:hAnsi="Arial" w:cs="Arial"/>
          <w:color w:val="222222"/>
          <w:sz w:val="20"/>
          <w:szCs w:val="20"/>
          <w:shd w:val="clear" w:color="auto" w:fill="FFFFFF"/>
        </w:rPr>
        <w:t xml:space="preserve">timulus? Understanding </w:t>
      </w:r>
      <w:r w:rsidR="008E5D31">
        <w:rPr>
          <w:rFonts w:ascii="Arial" w:hAnsi="Arial" w:cs="Arial"/>
          <w:color w:val="222222"/>
          <w:sz w:val="20"/>
          <w:szCs w:val="20"/>
          <w:shd w:val="clear" w:color="auto" w:fill="FFFFFF"/>
        </w:rPr>
        <w:t>F</w:t>
      </w:r>
      <w:r w:rsidRPr="00602B47">
        <w:rPr>
          <w:rFonts w:ascii="Arial" w:hAnsi="Arial" w:cs="Arial"/>
          <w:color w:val="222222"/>
          <w:sz w:val="20"/>
          <w:szCs w:val="20"/>
          <w:shd w:val="clear" w:color="auto" w:fill="FFFFFF"/>
        </w:rPr>
        <w:t xml:space="preserve">iscal </w:t>
      </w:r>
      <w:r w:rsidR="008E5D31">
        <w:rPr>
          <w:rFonts w:ascii="Arial" w:hAnsi="Arial" w:cs="Arial"/>
          <w:color w:val="222222"/>
          <w:sz w:val="20"/>
          <w:szCs w:val="20"/>
          <w:shd w:val="clear" w:color="auto" w:fill="FFFFFF"/>
        </w:rPr>
        <w:t>P</w:t>
      </w:r>
      <w:r w:rsidRPr="00602B47">
        <w:rPr>
          <w:rFonts w:ascii="Arial" w:hAnsi="Arial" w:cs="Arial"/>
          <w:color w:val="222222"/>
          <w:sz w:val="20"/>
          <w:szCs w:val="20"/>
          <w:shd w:val="clear" w:color="auto" w:fill="FFFFFF"/>
        </w:rPr>
        <w:t xml:space="preserve">olicy </w:t>
      </w:r>
      <w:r w:rsidR="008E5D31">
        <w:rPr>
          <w:rFonts w:ascii="Arial" w:hAnsi="Arial" w:cs="Arial"/>
          <w:color w:val="222222"/>
          <w:sz w:val="20"/>
          <w:szCs w:val="20"/>
          <w:shd w:val="clear" w:color="auto" w:fill="FFFFFF"/>
        </w:rPr>
        <w:t>C</w:t>
      </w:r>
      <w:r w:rsidRPr="00602B47">
        <w:rPr>
          <w:rFonts w:ascii="Arial" w:hAnsi="Arial" w:cs="Arial"/>
          <w:color w:val="222222"/>
          <w:sz w:val="20"/>
          <w:szCs w:val="20"/>
          <w:shd w:val="clear" w:color="auto" w:fill="FFFFFF"/>
        </w:rPr>
        <w:t xml:space="preserve">hange at the International Monetary Fund </w:t>
      </w:r>
      <w:proofErr w:type="gramStart"/>
      <w:r w:rsidR="008E5D31">
        <w:rPr>
          <w:rFonts w:ascii="Arial" w:hAnsi="Arial" w:cs="Arial"/>
          <w:color w:val="222222"/>
          <w:sz w:val="20"/>
          <w:szCs w:val="20"/>
          <w:shd w:val="clear" w:color="auto" w:fill="FFFFFF"/>
        </w:rPr>
        <w:t>S</w:t>
      </w:r>
      <w:r w:rsidRPr="00602B47">
        <w:rPr>
          <w:rFonts w:ascii="Arial" w:hAnsi="Arial" w:cs="Arial"/>
          <w:color w:val="222222"/>
          <w:sz w:val="20"/>
          <w:szCs w:val="20"/>
          <w:shd w:val="clear" w:color="auto" w:fill="FFFFFF"/>
        </w:rPr>
        <w:t>ince</w:t>
      </w:r>
      <w:proofErr w:type="gramEnd"/>
      <w:r w:rsidRPr="00602B47">
        <w:rPr>
          <w:rFonts w:ascii="Arial" w:hAnsi="Arial" w:cs="Arial"/>
          <w:color w:val="222222"/>
          <w:sz w:val="20"/>
          <w:szCs w:val="20"/>
          <w:shd w:val="clear" w:color="auto" w:fill="FFFFFF"/>
        </w:rPr>
        <w:t xml:space="preserve"> the </w:t>
      </w:r>
      <w:r w:rsidR="008E5D31">
        <w:rPr>
          <w:rFonts w:ascii="Arial" w:hAnsi="Arial" w:cs="Arial"/>
          <w:color w:val="222222"/>
          <w:sz w:val="20"/>
          <w:szCs w:val="20"/>
          <w:shd w:val="clear" w:color="auto" w:fill="FFFFFF"/>
        </w:rPr>
        <w:t>G</w:t>
      </w:r>
      <w:r w:rsidRPr="00602B47">
        <w:rPr>
          <w:rFonts w:ascii="Arial" w:hAnsi="Arial" w:cs="Arial"/>
          <w:color w:val="222222"/>
          <w:sz w:val="20"/>
          <w:szCs w:val="20"/>
          <w:shd w:val="clear" w:color="auto" w:fill="FFFFFF"/>
        </w:rPr>
        <w:t xml:space="preserve">reat </w:t>
      </w:r>
      <w:r w:rsidR="008E5D31">
        <w:rPr>
          <w:rFonts w:ascii="Arial" w:hAnsi="Arial" w:cs="Arial"/>
          <w:color w:val="222222"/>
          <w:sz w:val="20"/>
          <w:szCs w:val="20"/>
          <w:shd w:val="clear" w:color="auto" w:fill="FFFFFF"/>
        </w:rPr>
        <w:t>R</w:t>
      </w:r>
      <w:r w:rsidRPr="00602B47">
        <w:rPr>
          <w:rFonts w:ascii="Arial" w:hAnsi="Arial" w:cs="Arial"/>
          <w:color w:val="222222"/>
          <w:sz w:val="20"/>
          <w:szCs w:val="20"/>
          <w:shd w:val="clear" w:color="auto" w:fill="FFFFFF"/>
        </w:rPr>
        <w:t>ecession</w:t>
      </w:r>
      <w:r>
        <w:rPr>
          <w:rFonts w:ascii="Arial" w:hAnsi="Arial" w:cs="Arial"/>
          <w:color w:val="222222"/>
          <w:sz w:val="20"/>
          <w:szCs w:val="20"/>
          <w:shd w:val="clear" w:color="auto" w:fill="FFFFFF"/>
        </w:rPr>
        <w:t>’,</w:t>
      </w:r>
      <w:r w:rsidRPr="00602B47">
        <w:rPr>
          <w:rFonts w:ascii="Arial" w:hAnsi="Arial" w:cs="Arial"/>
          <w:color w:val="222222"/>
          <w:sz w:val="20"/>
          <w:szCs w:val="20"/>
          <w:shd w:val="clear" w:color="auto" w:fill="FFFFFF"/>
        </w:rPr>
        <w:t xml:space="preserve"> </w:t>
      </w:r>
      <w:r w:rsidRPr="00602B47">
        <w:rPr>
          <w:rFonts w:ascii="Arial" w:hAnsi="Arial" w:cs="Arial"/>
          <w:i/>
          <w:color w:val="222222"/>
          <w:sz w:val="20"/>
          <w:szCs w:val="20"/>
          <w:shd w:val="clear" w:color="auto" w:fill="FFFFFF"/>
        </w:rPr>
        <w:t>Governance</w:t>
      </w:r>
      <w:r w:rsidRPr="00602B47">
        <w:rPr>
          <w:rFonts w:ascii="Arial" w:hAnsi="Arial" w:cs="Arial"/>
          <w:color w:val="222222"/>
          <w:sz w:val="20"/>
          <w:szCs w:val="20"/>
          <w:shd w:val="clear" w:color="auto" w:fill="FFFFFF"/>
        </w:rPr>
        <w:t>, 28(2)</w:t>
      </w:r>
      <w:r>
        <w:rPr>
          <w:rFonts w:ascii="Arial" w:hAnsi="Arial" w:cs="Arial"/>
          <w:color w:val="222222"/>
          <w:sz w:val="20"/>
          <w:szCs w:val="20"/>
          <w:shd w:val="clear" w:color="auto" w:fill="FFFFFF"/>
        </w:rPr>
        <w:t xml:space="preserve">: </w:t>
      </w:r>
      <w:r w:rsidRPr="00602B47">
        <w:rPr>
          <w:rFonts w:ascii="Arial" w:hAnsi="Arial" w:cs="Arial"/>
          <w:color w:val="222222"/>
          <w:sz w:val="20"/>
          <w:szCs w:val="20"/>
          <w:shd w:val="clear" w:color="auto" w:fill="FFFFFF"/>
        </w:rPr>
        <w:t>167</w:t>
      </w:r>
      <w:r w:rsidR="008E5D31" w:rsidRPr="008E5D31">
        <w:rPr>
          <w:rFonts w:ascii="Arial" w:hAnsi="Arial" w:cs="Arial"/>
          <w:color w:val="222222"/>
          <w:sz w:val="20"/>
          <w:szCs w:val="20"/>
          <w:shd w:val="clear" w:color="auto" w:fill="FFFFFF"/>
        </w:rPr>
        <w:t>–</w:t>
      </w:r>
      <w:r w:rsidRPr="00602B47">
        <w:rPr>
          <w:rFonts w:ascii="Arial" w:hAnsi="Arial" w:cs="Arial"/>
          <w:color w:val="222222"/>
          <w:sz w:val="20"/>
          <w:szCs w:val="20"/>
          <w:shd w:val="clear" w:color="auto" w:fill="FFFFFF"/>
        </w:rPr>
        <w:t>183.</w:t>
      </w:r>
    </w:p>
    <w:p w:rsidR="007603E6" w:rsidRDefault="007603E6" w:rsidP="00753EC4">
      <w:pPr>
        <w:spacing w:line="480" w:lineRule="auto"/>
        <w:rPr>
          <w:rFonts w:ascii="Arial" w:hAnsi="Arial" w:cs="Arial"/>
          <w:color w:val="222222"/>
          <w:sz w:val="20"/>
          <w:szCs w:val="20"/>
          <w:shd w:val="clear" w:color="auto" w:fill="FFFFFF"/>
        </w:rPr>
      </w:pPr>
      <w:r w:rsidRPr="007603E6">
        <w:rPr>
          <w:rFonts w:ascii="Arial" w:hAnsi="Arial" w:cs="Arial"/>
          <w:color w:val="222222"/>
          <w:sz w:val="20"/>
          <w:szCs w:val="20"/>
          <w:shd w:val="clear" w:color="auto" w:fill="FFFFFF"/>
        </w:rPr>
        <w:t>Barrientos, A.</w:t>
      </w:r>
      <w:r>
        <w:rPr>
          <w:rFonts w:ascii="Arial" w:hAnsi="Arial" w:cs="Arial"/>
          <w:color w:val="222222"/>
          <w:sz w:val="20"/>
          <w:szCs w:val="20"/>
          <w:shd w:val="clear" w:color="auto" w:fill="FFFFFF"/>
        </w:rPr>
        <w:t xml:space="preserve"> (2009)</w:t>
      </w:r>
      <w:r w:rsidRPr="007603E6">
        <w:rPr>
          <w:rFonts w:ascii="Arial" w:hAnsi="Arial" w:cs="Arial"/>
          <w:color w:val="222222"/>
          <w:sz w:val="20"/>
          <w:szCs w:val="20"/>
          <w:shd w:val="clear" w:color="auto" w:fill="FFFFFF"/>
        </w:rPr>
        <w:t xml:space="preserve"> </w:t>
      </w:r>
      <w:r>
        <w:rPr>
          <w:rFonts w:ascii="Arial" w:hAnsi="Arial" w:cs="Arial"/>
          <w:color w:val="222222"/>
          <w:sz w:val="20"/>
          <w:szCs w:val="20"/>
          <w:shd w:val="clear" w:color="auto" w:fill="FFFFFF"/>
        </w:rPr>
        <w:t>‘</w:t>
      </w:r>
      <w:r w:rsidRPr="007603E6">
        <w:rPr>
          <w:rFonts w:ascii="Arial" w:hAnsi="Arial" w:cs="Arial"/>
          <w:color w:val="222222"/>
          <w:sz w:val="20"/>
          <w:szCs w:val="20"/>
          <w:shd w:val="clear" w:color="auto" w:fill="FFFFFF"/>
        </w:rPr>
        <w:t xml:space="preserve">Introducing </w:t>
      </w:r>
      <w:r w:rsidR="00630628">
        <w:rPr>
          <w:rFonts w:ascii="Arial" w:hAnsi="Arial" w:cs="Arial"/>
          <w:color w:val="222222"/>
          <w:sz w:val="20"/>
          <w:szCs w:val="20"/>
          <w:shd w:val="clear" w:color="auto" w:fill="FFFFFF"/>
        </w:rPr>
        <w:t>B</w:t>
      </w:r>
      <w:r w:rsidRPr="007603E6">
        <w:rPr>
          <w:rFonts w:ascii="Arial" w:hAnsi="Arial" w:cs="Arial"/>
          <w:color w:val="222222"/>
          <w:sz w:val="20"/>
          <w:szCs w:val="20"/>
          <w:shd w:val="clear" w:color="auto" w:fill="FFFFFF"/>
        </w:rPr>
        <w:t xml:space="preserve">asic </w:t>
      </w:r>
      <w:r w:rsidR="00630628">
        <w:rPr>
          <w:rFonts w:ascii="Arial" w:hAnsi="Arial" w:cs="Arial"/>
          <w:color w:val="222222"/>
          <w:sz w:val="20"/>
          <w:szCs w:val="20"/>
          <w:shd w:val="clear" w:color="auto" w:fill="FFFFFF"/>
        </w:rPr>
        <w:t>S</w:t>
      </w:r>
      <w:r w:rsidRPr="007603E6">
        <w:rPr>
          <w:rFonts w:ascii="Arial" w:hAnsi="Arial" w:cs="Arial"/>
          <w:color w:val="222222"/>
          <w:sz w:val="20"/>
          <w:szCs w:val="20"/>
          <w:shd w:val="clear" w:color="auto" w:fill="FFFFFF"/>
        </w:rPr>
        <w:t xml:space="preserve">ocial </w:t>
      </w:r>
      <w:r w:rsidR="00630628">
        <w:rPr>
          <w:rFonts w:ascii="Arial" w:hAnsi="Arial" w:cs="Arial"/>
          <w:color w:val="222222"/>
          <w:sz w:val="20"/>
          <w:szCs w:val="20"/>
          <w:shd w:val="clear" w:color="auto" w:fill="FFFFFF"/>
        </w:rPr>
        <w:t>P</w:t>
      </w:r>
      <w:r w:rsidRPr="007603E6">
        <w:rPr>
          <w:rFonts w:ascii="Arial" w:hAnsi="Arial" w:cs="Arial"/>
          <w:color w:val="222222"/>
          <w:sz w:val="20"/>
          <w:szCs w:val="20"/>
          <w:shd w:val="clear" w:color="auto" w:fill="FFFFFF"/>
        </w:rPr>
        <w:t xml:space="preserve">rotection in </w:t>
      </w:r>
      <w:r w:rsidR="00630628">
        <w:rPr>
          <w:rFonts w:ascii="Arial" w:hAnsi="Arial" w:cs="Arial"/>
          <w:color w:val="222222"/>
          <w:sz w:val="20"/>
          <w:szCs w:val="20"/>
          <w:shd w:val="clear" w:color="auto" w:fill="FFFFFF"/>
        </w:rPr>
        <w:t>L</w:t>
      </w:r>
      <w:r w:rsidRPr="007603E6">
        <w:rPr>
          <w:rFonts w:ascii="Arial" w:hAnsi="Arial" w:cs="Arial"/>
          <w:color w:val="222222"/>
          <w:sz w:val="20"/>
          <w:szCs w:val="20"/>
          <w:shd w:val="clear" w:color="auto" w:fill="FFFFFF"/>
        </w:rPr>
        <w:t>ow-</w:t>
      </w:r>
      <w:r w:rsidR="00630628">
        <w:rPr>
          <w:rFonts w:ascii="Arial" w:hAnsi="Arial" w:cs="Arial"/>
          <w:color w:val="222222"/>
          <w:sz w:val="20"/>
          <w:szCs w:val="20"/>
          <w:shd w:val="clear" w:color="auto" w:fill="FFFFFF"/>
        </w:rPr>
        <w:t>I</w:t>
      </w:r>
      <w:r w:rsidRPr="007603E6">
        <w:rPr>
          <w:rFonts w:ascii="Arial" w:hAnsi="Arial" w:cs="Arial"/>
          <w:color w:val="222222"/>
          <w:sz w:val="20"/>
          <w:szCs w:val="20"/>
          <w:shd w:val="clear" w:color="auto" w:fill="FFFFFF"/>
        </w:rPr>
        <w:t xml:space="preserve">ncome </w:t>
      </w:r>
      <w:r w:rsidR="00630628">
        <w:rPr>
          <w:rFonts w:ascii="Arial" w:hAnsi="Arial" w:cs="Arial"/>
          <w:color w:val="222222"/>
          <w:sz w:val="20"/>
          <w:szCs w:val="20"/>
          <w:shd w:val="clear" w:color="auto" w:fill="FFFFFF"/>
        </w:rPr>
        <w:t>C</w:t>
      </w:r>
      <w:r w:rsidRPr="007603E6">
        <w:rPr>
          <w:rFonts w:ascii="Arial" w:hAnsi="Arial" w:cs="Arial"/>
          <w:color w:val="222222"/>
          <w:sz w:val="20"/>
          <w:szCs w:val="20"/>
          <w:shd w:val="clear" w:color="auto" w:fill="FFFFFF"/>
        </w:rPr>
        <w:t xml:space="preserve">ountries: Lessons from </w:t>
      </w:r>
      <w:r w:rsidR="00630628">
        <w:rPr>
          <w:rFonts w:ascii="Arial" w:hAnsi="Arial" w:cs="Arial"/>
          <w:color w:val="222222"/>
          <w:sz w:val="20"/>
          <w:szCs w:val="20"/>
          <w:shd w:val="clear" w:color="auto" w:fill="FFFFFF"/>
        </w:rPr>
        <w:t>E</w:t>
      </w:r>
      <w:r w:rsidRPr="007603E6">
        <w:rPr>
          <w:rFonts w:ascii="Arial" w:hAnsi="Arial" w:cs="Arial"/>
          <w:color w:val="222222"/>
          <w:sz w:val="20"/>
          <w:szCs w:val="20"/>
          <w:shd w:val="clear" w:color="auto" w:fill="FFFFFF"/>
        </w:rPr>
        <w:t xml:space="preserve">xisting </w:t>
      </w:r>
      <w:proofErr w:type="gramStart"/>
      <w:r w:rsidR="00630628">
        <w:rPr>
          <w:rFonts w:ascii="Arial" w:hAnsi="Arial" w:cs="Arial"/>
          <w:color w:val="222222"/>
          <w:sz w:val="20"/>
          <w:szCs w:val="20"/>
          <w:shd w:val="clear" w:color="auto" w:fill="FFFFFF"/>
        </w:rPr>
        <w:t>P</w:t>
      </w:r>
      <w:r w:rsidRPr="007603E6">
        <w:rPr>
          <w:rFonts w:ascii="Arial" w:hAnsi="Arial" w:cs="Arial"/>
          <w:color w:val="222222"/>
          <w:sz w:val="20"/>
          <w:szCs w:val="20"/>
          <w:shd w:val="clear" w:color="auto" w:fill="FFFFFF"/>
        </w:rPr>
        <w:t>rogrammes</w:t>
      </w:r>
      <w:r>
        <w:rPr>
          <w:rFonts w:ascii="Arial" w:hAnsi="Arial" w:cs="Arial"/>
          <w:color w:val="222222"/>
          <w:sz w:val="20"/>
          <w:szCs w:val="20"/>
          <w:shd w:val="clear" w:color="auto" w:fill="FFFFFF"/>
        </w:rPr>
        <w:t>’</w:t>
      </w:r>
      <w:proofErr w:type="gramEnd"/>
      <w:r>
        <w:rPr>
          <w:rFonts w:ascii="Arial" w:hAnsi="Arial" w:cs="Arial"/>
          <w:color w:val="222222"/>
          <w:sz w:val="20"/>
          <w:szCs w:val="20"/>
          <w:shd w:val="clear" w:color="auto" w:fill="FFFFFF"/>
        </w:rPr>
        <w:t>.</w:t>
      </w:r>
      <w:r w:rsidRPr="007603E6">
        <w:rPr>
          <w:rFonts w:ascii="Arial" w:hAnsi="Arial" w:cs="Arial"/>
          <w:color w:val="222222"/>
          <w:sz w:val="20"/>
          <w:szCs w:val="20"/>
          <w:shd w:val="clear" w:color="auto" w:fill="FFFFFF"/>
        </w:rPr>
        <w:t xml:space="preserve"> In</w:t>
      </w:r>
      <w:r>
        <w:rPr>
          <w:rFonts w:ascii="Arial" w:hAnsi="Arial" w:cs="Arial"/>
          <w:color w:val="222222"/>
          <w:sz w:val="20"/>
          <w:szCs w:val="20"/>
          <w:shd w:val="clear" w:color="auto" w:fill="FFFFFF"/>
        </w:rPr>
        <w:t xml:space="preserve"> P. Townsend (</w:t>
      </w:r>
      <w:proofErr w:type="spellStart"/>
      <w:proofErr w:type="gramStart"/>
      <w:r>
        <w:rPr>
          <w:rFonts w:ascii="Arial" w:hAnsi="Arial" w:cs="Arial"/>
          <w:color w:val="222222"/>
          <w:sz w:val="20"/>
          <w:szCs w:val="20"/>
          <w:shd w:val="clear" w:color="auto" w:fill="FFFFFF"/>
        </w:rPr>
        <w:t>ed</w:t>
      </w:r>
      <w:proofErr w:type="spellEnd"/>
      <w:proofErr w:type="gramEnd"/>
      <w:r>
        <w:rPr>
          <w:rFonts w:ascii="Arial" w:hAnsi="Arial" w:cs="Arial"/>
          <w:color w:val="222222"/>
          <w:sz w:val="20"/>
          <w:szCs w:val="20"/>
          <w:shd w:val="clear" w:color="auto" w:fill="FFFFFF"/>
        </w:rPr>
        <w:t>),</w:t>
      </w:r>
      <w:r w:rsidRPr="007603E6">
        <w:rPr>
          <w:rFonts w:ascii="Arial" w:hAnsi="Arial" w:cs="Arial"/>
          <w:color w:val="222222"/>
          <w:sz w:val="20"/>
          <w:szCs w:val="20"/>
          <w:shd w:val="clear" w:color="auto" w:fill="FFFFFF"/>
        </w:rPr>
        <w:t xml:space="preserve"> </w:t>
      </w:r>
      <w:r w:rsidRPr="007603E6">
        <w:rPr>
          <w:rFonts w:ascii="Arial" w:hAnsi="Arial" w:cs="Arial"/>
          <w:i/>
          <w:color w:val="222222"/>
          <w:sz w:val="20"/>
          <w:szCs w:val="20"/>
          <w:shd w:val="clear" w:color="auto" w:fill="FFFFFF"/>
        </w:rPr>
        <w:t>Building Decent Societies</w:t>
      </w:r>
      <w:r>
        <w:rPr>
          <w:rFonts w:ascii="Arial" w:hAnsi="Arial" w:cs="Arial"/>
          <w:color w:val="222222"/>
          <w:sz w:val="20"/>
          <w:szCs w:val="20"/>
          <w:shd w:val="clear" w:color="auto" w:fill="FFFFFF"/>
        </w:rPr>
        <w:t>. Basingstoke: Palgrave,</w:t>
      </w:r>
      <w:r w:rsidRPr="007603E6">
        <w:rPr>
          <w:rFonts w:ascii="Arial" w:hAnsi="Arial" w:cs="Arial"/>
          <w:color w:val="222222"/>
          <w:sz w:val="20"/>
          <w:szCs w:val="20"/>
          <w:shd w:val="clear" w:color="auto" w:fill="FFFFFF"/>
        </w:rPr>
        <w:t xml:space="preserve"> 253</w:t>
      </w:r>
      <w:r w:rsidR="00630628" w:rsidRPr="008E5D31">
        <w:rPr>
          <w:rFonts w:ascii="Arial" w:hAnsi="Arial" w:cs="Arial"/>
          <w:color w:val="222222"/>
          <w:sz w:val="20"/>
          <w:szCs w:val="20"/>
          <w:shd w:val="clear" w:color="auto" w:fill="FFFFFF"/>
        </w:rPr>
        <w:t>–</w:t>
      </w:r>
      <w:r w:rsidRPr="007603E6">
        <w:rPr>
          <w:rFonts w:ascii="Arial" w:hAnsi="Arial" w:cs="Arial"/>
          <w:color w:val="222222"/>
          <w:sz w:val="20"/>
          <w:szCs w:val="20"/>
          <w:shd w:val="clear" w:color="auto" w:fill="FFFFFF"/>
        </w:rPr>
        <w:t xml:space="preserve">273. </w:t>
      </w:r>
    </w:p>
    <w:p w:rsidR="000D23BA" w:rsidRDefault="007603E6" w:rsidP="00753EC4">
      <w:pPr>
        <w:spacing w:line="480" w:lineRule="auto"/>
        <w:rPr>
          <w:rFonts w:ascii="Arial" w:hAnsi="Arial" w:cs="Arial"/>
          <w:color w:val="222222"/>
          <w:sz w:val="20"/>
          <w:szCs w:val="20"/>
          <w:shd w:val="clear" w:color="auto" w:fill="FFFFFF"/>
        </w:rPr>
      </w:pPr>
      <w:r>
        <w:rPr>
          <w:rFonts w:ascii="Arial" w:hAnsi="Arial" w:cs="Arial"/>
          <w:color w:val="222222"/>
          <w:sz w:val="20"/>
          <w:szCs w:val="20"/>
          <w:shd w:val="clear" w:color="auto" w:fill="FFFFFF"/>
        </w:rPr>
        <w:t>B</w:t>
      </w:r>
      <w:r w:rsidR="000D23BA">
        <w:rPr>
          <w:rFonts w:ascii="Arial" w:hAnsi="Arial" w:cs="Arial"/>
          <w:color w:val="222222"/>
          <w:sz w:val="20"/>
          <w:szCs w:val="20"/>
          <w:shd w:val="clear" w:color="auto" w:fill="FFFFFF"/>
        </w:rPr>
        <w:t>arrientos, A. and D. Hulme (</w:t>
      </w:r>
      <w:proofErr w:type="gramStart"/>
      <w:r w:rsidR="000D23BA">
        <w:rPr>
          <w:rFonts w:ascii="Arial" w:hAnsi="Arial" w:cs="Arial"/>
          <w:color w:val="222222"/>
          <w:sz w:val="20"/>
          <w:szCs w:val="20"/>
          <w:shd w:val="clear" w:color="auto" w:fill="FFFFFF"/>
        </w:rPr>
        <w:t>eds</w:t>
      </w:r>
      <w:proofErr w:type="gramEnd"/>
      <w:r w:rsidR="000D23BA">
        <w:rPr>
          <w:rFonts w:ascii="Arial" w:hAnsi="Arial" w:cs="Arial"/>
          <w:color w:val="222222"/>
          <w:sz w:val="20"/>
          <w:szCs w:val="20"/>
          <w:shd w:val="clear" w:color="auto" w:fill="FFFFFF"/>
        </w:rPr>
        <w:t>.). (2016) </w:t>
      </w:r>
      <w:r w:rsidR="000D23BA">
        <w:rPr>
          <w:rFonts w:ascii="Arial" w:hAnsi="Arial" w:cs="Arial"/>
          <w:i/>
          <w:iCs/>
          <w:color w:val="222222"/>
          <w:sz w:val="20"/>
          <w:szCs w:val="20"/>
          <w:shd w:val="clear" w:color="auto" w:fill="FFFFFF"/>
        </w:rPr>
        <w:t>Social Protection for the Poor and Poorest: Concepts, Policies and Politics</w:t>
      </w:r>
      <w:r w:rsidR="000D23BA">
        <w:rPr>
          <w:rFonts w:ascii="Arial" w:hAnsi="Arial" w:cs="Arial"/>
          <w:color w:val="222222"/>
          <w:sz w:val="20"/>
          <w:szCs w:val="20"/>
          <w:shd w:val="clear" w:color="auto" w:fill="FFFFFF"/>
        </w:rPr>
        <w:t>. Basingstoke: Palgrave.</w:t>
      </w:r>
    </w:p>
    <w:p w:rsidR="001B4E6A" w:rsidRDefault="001B4E6A" w:rsidP="00753EC4">
      <w:pPr>
        <w:spacing w:line="480" w:lineRule="auto"/>
        <w:rPr>
          <w:rFonts w:ascii="Arial" w:hAnsi="Arial" w:cs="Arial"/>
          <w:color w:val="222222"/>
          <w:sz w:val="20"/>
          <w:szCs w:val="20"/>
          <w:shd w:val="clear" w:color="auto" w:fill="FFFFFF"/>
        </w:rPr>
      </w:pPr>
      <w:r>
        <w:rPr>
          <w:rFonts w:ascii="Arial" w:hAnsi="Arial" w:cs="Arial"/>
          <w:color w:val="222222"/>
          <w:sz w:val="20"/>
          <w:szCs w:val="20"/>
          <w:shd w:val="clear" w:color="auto" w:fill="FFFFFF"/>
        </w:rPr>
        <w:t>Bird, G. (1996)</w:t>
      </w:r>
      <w:r w:rsidRPr="001B4E6A">
        <w:rPr>
          <w:rFonts w:ascii="Arial" w:hAnsi="Arial" w:cs="Arial"/>
          <w:color w:val="222222"/>
          <w:sz w:val="20"/>
          <w:szCs w:val="20"/>
          <w:shd w:val="clear" w:color="auto" w:fill="FFFFFF"/>
        </w:rPr>
        <w:t xml:space="preserve"> </w:t>
      </w:r>
      <w:r>
        <w:rPr>
          <w:rFonts w:ascii="Arial" w:hAnsi="Arial" w:cs="Arial"/>
          <w:color w:val="222222"/>
          <w:sz w:val="20"/>
          <w:szCs w:val="20"/>
          <w:shd w:val="clear" w:color="auto" w:fill="FFFFFF"/>
        </w:rPr>
        <w:t>‘</w:t>
      </w:r>
      <w:r w:rsidRPr="001B4E6A">
        <w:rPr>
          <w:rFonts w:ascii="Arial" w:hAnsi="Arial" w:cs="Arial"/>
          <w:color w:val="222222"/>
          <w:sz w:val="20"/>
          <w:szCs w:val="20"/>
          <w:shd w:val="clear" w:color="auto" w:fill="FFFFFF"/>
        </w:rPr>
        <w:t xml:space="preserve">The International Monetary Fund and </w:t>
      </w:r>
      <w:r w:rsidR="00630628">
        <w:rPr>
          <w:rFonts w:ascii="Arial" w:hAnsi="Arial" w:cs="Arial"/>
          <w:color w:val="222222"/>
          <w:sz w:val="20"/>
          <w:szCs w:val="20"/>
          <w:shd w:val="clear" w:color="auto" w:fill="FFFFFF"/>
        </w:rPr>
        <w:t>D</w:t>
      </w:r>
      <w:r w:rsidRPr="001B4E6A">
        <w:rPr>
          <w:rFonts w:ascii="Arial" w:hAnsi="Arial" w:cs="Arial"/>
          <w:color w:val="222222"/>
          <w:sz w:val="20"/>
          <w:szCs w:val="20"/>
          <w:shd w:val="clear" w:color="auto" w:fill="FFFFFF"/>
        </w:rPr>
        <w:t xml:space="preserve">eveloping </w:t>
      </w:r>
      <w:r w:rsidR="00630628">
        <w:rPr>
          <w:rFonts w:ascii="Arial" w:hAnsi="Arial" w:cs="Arial"/>
          <w:color w:val="222222"/>
          <w:sz w:val="20"/>
          <w:szCs w:val="20"/>
          <w:shd w:val="clear" w:color="auto" w:fill="FFFFFF"/>
        </w:rPr>
        <w:t>C</w:t>
      </w:r>
      <w:r w:rsidRPr="001B4E6A">
        <w:rPr>
          <w:rFonts w:ascii="Arial" w:hAnsi="Arial" w:cs="Arial"/>
          <w:color w:val="222222"/>
          <w:sz w:val="20"/>
          <w:szCs w:val="20"/>
          <w:shd w:val="clear" w:color="auto" w:fill="FFFFFF"/>
        </w:rPr>
        <w:t xml:space="preserve">ountries: </w:t>
      </w:r>
      <w:r w:rsidR="00630628">
        <w:rPr>
          <w:rFonts w:ascii="Arial" w:hAnsi="Arial" w:cs="Arial"/>
          <w:color w:val="222222"/>
          <w:sz w:val="20"/>
          <w:szCs w:val="20"/>
          <w:shd w:val="clear" w:color="auto" w:fill="FFFFFF"/>
        </w:rPr>
        <w:t>A</w:t>
      </w:r>
      <w:r w:rsidRPr="001B4E6A">
        <w:rPr>
          <w:rFonts w:ascii="Arial" w:hAnsi="Arial" w:cs="Arial"/>
          <w:color w:val="222222"/>
          <w:sz w:val="20"/>
          <w:szCs w:val="20"/>
          <w:shd w:val="clear" w:color="auto" w:fill="FFFFFF"/>
        </w:rPr>
        <w:t xml:space="preserve"> </w:t>
      </w:r>
      <w:r w:rsidR="00630628">
        <w:rPr>
          <w:rFonts w:ascii="Arial" w:hAnsi="Arial" w:cs="Arial"/>
          <w:color w:val="222222"/>
          <w:sz w:val="20"/>
          <w:szCs w:val="20"/>
          <w:shd w:val="clear" w:color="auto" w:fill="FFFFFF"/>
        </w:rPr>
        <w:t>R</w:t>
      </w:r>
      <w:r w:rsidRPr="001B4E6A">
        <w:rPr>
          <w:rFonts w:ascii="Arial" w:hAnsi="Arial" w:cs="Arial"/>
          <w:color w:val="222222"/>
          <w:sz w:val="20"/>
          <w:szCs w:val="20"/>
          <w:shd w:val="clear" w:color="auto" w:fill="FFFFFF"/>
        </w:rPr>
        <w:t xml:space="preserve">eview of the </w:t>
      </w:r>
      <w:r w:rsidR="00630628">
        <w:rPr>
          <w:rFonts w:ascii="Arial" w:hAnsi="Arial" w:cs="Arial"/>
          <w:color w:val="222222"/>
          <w:sz w:val="20"/>
          <w:szCs w:val="20"/>
          <w:shd w:val="clear" w:color="auto" w:fill="FFFFFF"/>
        </w:rPr>
        <w:t>E</w:t>
      </w:r>
      <w:r w:rsidRPr="001B4E6A">
        <w:rPr>
          <w:rFonts w:ascii="Arial" w:hAnsi="Arial" w:cs="Arial"/>
          <w:color w:val="222222"/>
          <w:sz w:val="20"/>
          <w:szCs w:val="20"/>
          <w:shd w:val="clear" w:color="auto" w:fill="FFFFFF"/>
        </w:rPr>
        <w:t xml:space="preserve">vidence and </w:t>
      </w:r>
      <w:r w:rsidR="00630628">
        <w:rPr>
          <w:rFonts w:ascii="Arial" w:hAnsi="Arial" w:cs="Arial"/>
          <w:color w:val="222222"/>
          <w:sz w:val="20"/>
          <w:szCs w:val="20"/>
          <w:shd w:val="clear" w:color="auto" w:fill="FFFFFF"/>
        </w:rPr>
        <w:t>P</w:t>
      </w:r>
      <w:r w:rsidRPr="001B4E6A">
        <w:rPr>
          <w:rFonts w:ascii="Arial" w:hAnsi="Arial" w:cs="Arial"/>
          <w:color w:val="222222"/>
          <w:sz w:val="20"/>
          <w:szCs w:val="20"/>
          <w:shd w:val="clear" w:color="auto" w:fill="FFFFFF"/>
        </w:rPr>
        <w:t xml:space="preserve">olicy </w:t>
      </w:r>
      <w:r w:rsidR="00630628">
        <w:rPr>
          <w:rFonts w:ascii="Arial" w:hAnsi="Arial" w:cs="Arial"/>
          <w:color w:val="222222"/>
          <w:sz w:val="20"/>
          <w:szCs w:val="20"/>
          <w:shd w:val="clear" w:color="auto" w:fill="FFFFFF"/>
        </w:rPr>
        <w:t>O</w:t>
      </w:r>
      <w:r w:rsidRPr="001B4E6A">
        <w:rPr>
          <w:rFonts w:ascii="Arial" w:hAnsi="Arial" w:cs="Arial"/>
          <w:color w:val="222222"/>
          <w:sz w:val="20"/>
          <w:szCs w:val="20"/>
          <w:shd w:val="clear" w:color="auto" w:fill="FFFFFF"/>
        </w:rPr>
        <w:t>ptions</w:t>
      </w:r>
      <w:r>
        <w:rPr>
          <w:rFonts w:ascii="Arial" w:hAnsi="Arial" w:cs="Arial"/>
          <w:color w:val="222222"/>
          <w:sz w:val="20"/>
          <w:szCs w:val="20"/>
          <w:shd w:val="clear" w:color="auto" w:fill="FFFFFF"/>
        </w:rPr>
        <w:t>’,</w:t>
      </w:r>
      <w:r w:rsidRPr="001B4E6A">
        <w:rPr>
          <w:rFonts w:ascii="Arial" w:hAnsi="Arial" w:cs="Arial"/>
          <w:color w:val="222222"/>
          <w:sz w:val="20"/>
          <w:szCs w:val="20"/>
          <w:shd w:val="clear" w:color="auto" w:fill="FFFFFF"/>
        </w:rPr>
        <w:t xml:space="preserve"> </w:t>
      </w:r>
      <w:r w:rsidRPr="001B4E6A">
        <w:rPr>
          <w:rFonts w:ascii="Arial" w:hAnsi="Arial" w:cs="Arial"/>
          <w:i/>
          <w:color w:val="222222"/>
          <w:sz w:val="20"/>
          <w:szCs w:val="20"/>
          <w:shd w:val="clear" w:color="auto" w:fill="FFFFFF"/>
        </w:rPr>
        <w:t>International Organization</w:t>
      </w:r>
      <w:r w:rsidRPr="001B4E6A">
        <w:rPr>
          <w:rFonts w:ascii="Arial" w:hAnsi="Arial" w:cs="Arial"/>
          <w:color w:val="222222"/>
          <w:sz w:val="20"/>
          <w:szCs w:val="20"/>
          <w:shd w:val="clear" w:color="auto" w:fill="FFFFFF"/>
        </w:rPr>
        <w:t>, 50(3)</w:t>
      </w:r>
      <w:r>
        <w:rPr>
          <w:rFonts w:ascii="Arial" w:hAnsi="Arial" w:cs="Arial"/>
          <w:color w:val="222222"/>
          <w:sz w:val="20"/>
          <w:szCs w:val="20"/>
          <w:shd w:val="clear" w:color="auto" w:fill="FFFFFF"/>
        </w:rPr>
        <w:t>:</w:t>
      </w:r>
      <w:r w:rsidRPr="001B4E6A">
        <w:rPr>
          <w:rFonts w:ascii="Arial" w:hAnsi="Arial" w:cs="Arial"/>
          <w:color w:val="222222"/>
          <w:sz w:val="20"/>
          <w:szCs w:val="20"/>
          <w:shd w:val="clear" w:color="auto" w:fill="FFFFFF"/>
        </w:rPr>
        <w:t xml:space="preserve"> 477</w:t>
      </w:r>
      <w:r w:rsidR="00630628" w:rsidRPr="008E5D31">
        <w:rPr>
          <w:rFonts w:ascii="Arial" w:hAnsi="Arial" w:cs="Arial"/>
          <w:color w:val="222222"/>
          <w:sz w:val="20"/>
          <w:szCs w:val="20"/>
          <w:shd w:val="clear" w:color="auto" w:fill="FFFFFF"/>
        </w:rPr>
        <w:t>–</w:t>
      </w:r>
      <w:r w:rsidRPr="001B4E6A">
        <w:rPr>
          <w:rFonts w:ascii="Arial" w:hAnsi="Arial" w:cs="Arial"/>
          <w:color w:val="222222"/>
          <w:sz w:val="20"/>
          <w:szCs w:val="20"/>
          <w:shd w:val="clear" w:color="auto" w:fill="FFFFFF"/>
        </w:rPr>
        <w:t>511.</w:t>
      </w:r>
    </w:p>
    <w:p w:rsidR="00F73A90" w:rsidRDefault="00F73A90" w:rsidP="00753EC4">
      <w:pPr>
        <w:spacing w:line="480" w:lineRule="auto"/>
        <w:rPr>
          <w:rFonts w:ascii="Arial" w:hAnsi="Arial" w:cs="Arial"/>
          <w:color w:val="222222"/>
          <w:sz w:val="20"/>
          <w:szCs w:val="20"/>
          <w:shd w:val="clear" w:color="auto" w:fill="FFFFFF"/>
        </w:rPr>
      </w:pPr>
      <w:r>
        <w:rPr>
          <w:rFonts w:ascii="Arial" w:hAnsi="Arial" w:cs="Arial"/>
          <w:color w:val="222222"/>
          <w:sz w:val="20"/>
          <w:szCs w:val="20"/>
          <w:shd w:val="clear" w:color="auto" w:fill="FFFFFF"/>
        </w:rPr>
        <w:t>Bird, G. (2001)</w:t>
      </w:r>
      <w:r w:rsidRPr="00F73A90">
        <w:rPr>
          <w:rFonts w:ascii="Arial" w:hAnsi="Arial" w:cs="Arial"/>
          <w:color w:val="222222"/>
          <w:sz w:val="20"/>
          <w:szCs w:val="20"/>
          <w:shd w:val="clear" w:color="auto" w:fill="FFFFFF"/>
        </w:rPr>
        <w:t xml:space="preserve"> </w:t>
      </w:r>
      <w:r>
        <w:rPr>
          <w:rFonts w:ascii="Arial" w:hAnsi="Arial" w:cs="Arial"/>
          <w:color w:val="222222"/>
          <w:sz w:val="20"/>
          <w:szCs w:val="20"/>
          <w:shd w:val="clear" w:color="auto" w:fill="FFFFFF"/>
        </w:rPr>
        <w:t>‘</w:t>
      </w:r>
      <w:r w:rsidRPr="00F73A90">
        <w:rPr>
          <w:rFonts w:ascii="Arial" w:hAnsi="Arial" w:cs="Arial"/>
          <w:color w:val="222222"/>
          <w:sz w:val="20"/>
          <w:szCs w:val="20"/>
          <w:shd w:val="clear" w:color="auto" w:fill="FFFFFF"/>
        </w:rPr>
        <w:t xml:space="preserve">IMF </w:t>
      </w:r>
      <w:r w:rsidR="00630628">
        <w:rPr>
          <w:rFonts w:ascii="Arial" w:hAnsi="Arial" w:cs="Arial"/>
          <w:color w:val="222222"/>
          <w:sz w:val="20"/>
          <w:szCs w:val="20"/>
          <w:shd w:val="clear" w:color="auto" w:fill="FFFFFF"/>
        </w:rPr>
        <w:t>P</w:t>
      </w:r>
      <w:r w:rsidRPr="00F73A90">
        <w:rPr>
          <w:rFonts w:ascii="Arial" w:hAnsi="Arial" w:cs="Arial"/>
          <w:color w:val="222222"/>
          <w:sz w:val="20"/>
          <w:szCs w:val="20"/>
          <w:shd w:val="clear" w:color="auto" w:fill="FFFFFF"/>
        </w:rPr>
        <w:t xml:space="preserve">rograms: </w:t>
      </w:r>
      <w:r w:rsidR="00630628">
        <w:rPr>
          <w:rFonts w:ascii="Arial" w:hAnsi="Arial" w:cs="Arial"/>
          <w:color w:val="222222"/>
          <w:sz w:val="20"/>
          <w:szCs w:val="20"/>
          <w:shd w:val="clear" w:color="auto" w:fill="FFFFFF"/>
        </w:rPr>
        <w:t>D</w:t>
      </w:r>
      <w:r w:rsidRPr="00F73A90">
        <w:rPr>
          <w:rFonts w:ascii="Arial" w:hAnsi="Arial" w:cs="Arial"/>
          <w:color w:val="222222"/>
          <w:sz w:val="20"/>
          <w:szCs w:val="20"/>
          <w:shd w:val="clear" w:color="auto" w:fill="FFFFFF"/>
        </w:rPr>
        <w:t xml:space="preserve">o </w:t>
      </w:r>
      <w:r w:rsidR="00630628">
        <w:rPr>
          <w:rFonts w:ascii="Arial" w:hAnsi="Arial" w:cs="Arial"/>
          <w:color w:val="222222"/>
          <w:sz w:val="20"/>
          <w:szCs w:val="20"/>
          <w:shd w:val="clear" w:color="auto" w:fill="FFFFFF"/>
        </w:rPr>
        <w:t>T</w:t>
      </w:r>
      <w:r w:rsidRPr="00F73A90">
        <w:rPr>
          <w:rFonts w:ascii="Arial" w:hAnsi="Arial" w:cs="Arial"/>
          <w:color w:val="222222"/>
          <w:sz w:val="20"/>
          <w:szCs w:val="20"/>
          <w:shd w:val="clear" w:color="auto" w:fill="FFFFFF"/>
        </w:rPr>
        <w:t xml:space="preserve">hey </w:t>
      </w:r>
      <w:r w:rsidR="00630628">
        <w:rPr>
          <w:rFonts w:ascii="Arial" w:hAnsi="Arial" w:cs="Arial"/>
          <w:color w:val="222222"/>
          <w:sz w:val="20"/>
          <w:szCs w:val="20"/>
          <w:shd w:val="clear" w:color="auto" w:fill="FFFFFF"/>
        </w:rPr>
        <w:t>W</w:t>
      </w:r>
      <w:r w:rsidRPr="00F73A90">
        <w:rPr>
          <w:rFonts w:ascii="Arial" w:hAnsi="Arial" w:cs="Arial"/>
          <w:color w:val="222222"/>
          <w:sz w:val="20"/>
          <w:szCs w:val="20"/>
          <w:shd w:val="clear" w:color="auto" w:fill="FFFFFF"/>
        </w:rPr>
        <w:t xml:space="preserve">ork? Can </w:t>
      </w:r>
      <w:r w:rsidR="00630628">
        <w:rPr>
          <w:rFonts w:ascii="Arial" w:hAnsi="Arial" w:cs="Arial"/>
          <w:color w:val="222222"/>
          <w:sz w:val="20"/>
          <w:szCs w:val="20"/>
          <w:shd w:val="clear" w:color="auto" w:fill="FFFFFF"/>
        </w:rPr>
        <w:t>T</w:t>
      </w:r>
      <w:r w:rsidRPr="00F73A90">
        <w:rPr>
          <w:rFonts w:ascii="Arial" w:hAnsi="Arial" w:cs="Arial"/>
          <w:color w:val="222222"/>
          <w:sz w:val="20"/>
          <w:szCs w:val="20"/>
          <w:shd w:val="clear" w:color="auto" w:fill="FFFFFF"/>
        </w:rPr>
        <w:t xml:space="preserve">hey </w:t>
      </w:r>
      <w:r w:rsidR="00630628">
        <w:rPr>
          <w:rFonts w:ascii="Arial" w:hAnsi="Arial" w:cs="Arial"/>
          <w:color w:val="222222"/>
          <w:sz w:val="20"/>
          <w:szCs w:val="20"/>
          <w:shd w:val="clear" w:color="auto" w:fill="FFFFFF"/>
        </w:rPr>
        <w:t>B</w:t>
      </w:r>
      <w:r w:rsidRPr="00F73A90">
        <w:rPr>
          <w:rFonts w:ascii="Arial" w:hAnsi="Arial" w:cs="Arial"/>
          <w:color w:val="222222"/>
          <w:sz w:val="20"/>
          <w:szCs w:val="20"/>
          <w:shd w:val="clear" w:color="auto" w:fill="FFFFFF"/>
        </w:rPr>
        <w:t xml:space="preserve">e </w:t>
      </w:r>
      <w:r w:rsidR="00630628">
        <w:rPr>
          <w:rFonts w:ascii="Arial" w:hAnsi="Arial" w:cs="Arial"/>
          <w:color w:val="222222"/>
          <w:sz w:val="20"/>
          <w:szCs w:val="20"/>
          <w:shd w:val="clear" w:color="auto" w:fill="FFFFFF"/>
        </w:rPr>
        <w:t>M</w:t>
      </w:r>
      <w:r w:rsidRPr="00F73A90">
        <w:rPr>
          <w:rFonts w:ascii="Arial" w:hAnsi="Arial" w:cs="Arial"/>
          <w:color w:val="222222"/>
          <w:sz w:val="20"/>
          <w:szCs w:val="20"/>
          <w:shd w:val="clear" w:color="auto" w:fill="FFFFFF"/>
        </w:rPr>
        <w:t xml:space="preserve">ade </w:t>
      </w:r>
      <w:r w:rsidR="00630628">
        <w:rPr>
          <w:rFonts w:ascii="Arial" w:hAnsi="Arial" w:cs="Arial"/>
          <w:color w:val="222222"/>
          <w:sz w:val="20"/>
          <w:szCs w:val="20"/>
          <w:shd w:val="clear" w:color="auto" w:fill="FFFFFF"/>
        </w:rPr>
        <w:t>T</w:t>
      </w:r>
      <w:r w:rsidRPr="00F73A90">
        <w:rPr>
          <w:rFonts w:ascii="Arial" w:hAnsi="Arial" w:cs="Arial"/>
          <w:color w:val="222222"/>
          <w:sz w:val="20"/>
          <w:szCs w:val="20"/>
          <w:shd w:val="clear" w:color="auto" w:fill="FFFFFF"/>
        </w:rPr>
        <w:t xml:space="preserve">o </w:t>
      </w:r>
      <w:r w:rsidR="00630628">
        <w:rPr>
          <w:rFonts w:ascii="Arial" w:hAnsi="Arial" w:cs="Arial"/>
          <w:color w:val="222222"/>
          <w:sz w:val="20"/>
          <w:szCs w:val="20"/>
          <w:shd w:val="clear" w:color="auto" w:fill="FFFFFF"/>
        </w:rPr>
        <w:t>W</w:t>
      </w:r>
      <w:r w:rsidRPr="00F73A90">
        <w:rPr>
          <w:rFonts w:ascii="Arial" w:hAnsi="Arial" w:cs="Arial"/>
          <w:color w:val="222222"/>
          <w:sz w:val="20"/>
          <w:szCs w:val="20"/>
          <w:shd w:val="clear" w:color="auto" w:fill="FFFFFF"/>
        </w:rPr>
        <w:t xml:space="preserve">ork </w:t>
      </w:r>
      <w:r w:rsidR="00630628">
        <w:rPr>
          <w:rFonts w:ascii="Arial" w:hAnsi="Arial" w:cs="Arial"/>
          <w:color w:val="222222"/>
          <w:sz w:val="20"/>
          <w:szCs w:val="20"/>
          <w:shd w:val="clear" w:color="auto" w:fill="FFFFFF"/>
        </w:rPr>
        <w:t>B</w:t>
      </w:r>
      <w:r w:rsidRPr="00F73A90">
        <w:rPr>
          <w:rFonts w:ascii="Arial" w:hAnsi="Arial" w:cs="Arial"/>
          <w:color w:val="222222"/>
          <w:sz w:val="20"/>
          <w:szCs w:val="20"/>
          <w:shd w:val="clear" w:color="auto" w:fill="FFFFFF"/>
        </w:rPr>
        <w:t>etter?</w:t>
      </w:r>
      <w:proofErr w:type="gramStart"/>
      <w:r>
        <w:rPr>
          <w:rFonts w:ascii="Arial" w:hAnsi="Arial" w:cs="Arial"/>
          <w:color w:val="222222"/>
          <w:sz w:val="20"/>
          <w:szCs w:val="20"/>
          <w:shd w:val="clear" w:color="auto" w:fill="FFFFFF"/>
        </w:rPr>
        <w:t>’,</w:t>
      </w:r>
      <w:proofErr w:type="gramEnd"/>
      <w:r w:rsidRPr="00F73A90">
        <w:rPr>
          <w:rFonts w:ascii="Arial" w:hAnsi="Arial" w:cs="Arial"/>
          <w:color w:val="222222"/>
          <w:sz w:val="20"/>
          <w:szCs w:val="20"/>
          <w:shd w:val="clear" w:color="auto" w:fill="FFFFFF"/>
        </w:rPr>
        <w:t xml:space="preserve"> </w:t>
      </w:r>
      <w:r w:rsidRPr="00F73A90">
        <w:rPr>
          <w:rFonts w:ascii="Arial" w:hAnsi="Arial" w:cs="Arial"/>
          <w:i/>
          <w:color w:val="222222"/>
          <w:sz w:val="20"/>
          <w:szCs w:val="20"/>
          <w:shd w:val="clear" w:color="auto" w:fill="FFFFFF"/>
        </w:rPr>
        <w:t>World Development</w:t>
      </w:r>
      <w:r w:rsidRPr="00F73A90">
        <w:rPr>
          <w:rFonts w:ascii="Arial" w:hAnsi="Arial" w:cs="Arial"/>
          <w:color w:val="222222"/>
          <w:sz w:val="20"/>
          <w:szCs w:val="20"/>
          <w:shd w:val="clear" w:color="auto" w:fill="FFFFFF"/>
        </w:rPr>
        <w:t>, 29(11)</w:t>
      </w:r>
      <w:r>
        <w:rPr>
          <w:rFonts w:ascii="Arial" w:hAnsi="Arial" w:cs="Arial"/>
          <w:color w:val="222222"/>
          <w:sz w:val="20"/>
          <w:szCs w:val="20"/>
          <w:shd w:val="clear" w:color="auto" w:fill="FFFFFF"/>
        </w:rPr>
        <w:t>:</w:t>
      </w:r>
      <w:r w:rsidRPr="00F73A90">
        <w:rPr>
          <w:rFonts w:ascii="Arial" w:hAnsi="Arial" w:cs="Arial"/>
          <w:color w:val="222222"/>
          <w:sz w:val="20"/>
          <w:szCs w:val="20"/>
          <w:shd w:val="clear" w:color="auto" w:fill="FFFFFF"/>
        </w:rPr>
        <w:t xml:space="preserve"> 1849</w:t>
      </w:r>
      <w:r w:rsidR="00630628" w:rsidRPr="008E5D31">
        <w:rPr>
          <w:rFonts w:ascii="Arial" w:hAnsi="Arial" w:cs="Arial"/>
          <w:color w:val="222222"/>
          <w:sz w:val="20"/>
          <w:szCs w:val="20"/>
          <w:shd w:val="clear" w:color="auto" w:fill="FFFFFF"/>
        </w:rPr>
        <w:t>–</w:t>
      </w:r>
      <w:r w:rsidRPr="00F73A90">
        <w:rPr>
          <w:rFonts w:ascii="Arial" w:hAnsi="Arial" w:cs="Arial"/>
          <w:color w:val="222222"/>
          <w:sz w:val="20"/>
          <w:szCs w:val="20"/>
          <w:shd w:val="clear" w:color="auto" w:fill="FFFFFF"/>
        </w:rPr>
        <w:t>1865.</w:t>
      </w:r>
    </w:p>
    <w:p w:rsidR="008F3D3C" w:rsidRDefault="008F3D3C" w:rsidP="00753EC4">
      <w:pPr>
        <w:spacing w:line="480" w:lineRule="auto"/>
        <w:rPr>
          <w:rFonts w:ascii="Arial" w:hAnsi="Arial" w:cs="Arial"/>
          <w:color w:val="222222"/>
          <w:sz w:val="20"/>
          <w:szCs w:val="20"/>
          <w:shd w:val="clear" w:color="auto" w:fill="FFFFFF"/>
        </w:rPr>
      </w:pPr>
      <w:r w:rsidRPr="008F3D3C">
        <w:rPr>
          <w:rFonts w:ascii="Arial" w:hAnsi="Arial" w:cs="Arial"/>
          <w:color w:val="222222"/>
          <w:sz w:val="20"/>
          <w:szCs w:val="20"/>
          <w:shd w:val="clear" w:color="auto" w:fill="FFFFFF"/>
        </w:rPr>
        <w:t xml:space="preserve">Bradshaw, S. </w:t>
      </w:r>
      <w:r>
        <w:rPr>
          <w:rFonts w:ascii="Arial" w:hAnsi="Arial" w:cs="Arial"/>
          <w:color w:val="222222"/>
          <w:sz w:val="20"/>
          <w:szCs w:val="20"/>
          <w:shd w:val="clear" w:color="auto" w:fill="FFFFFF"/>
        </w:rPr>
        <w:t>(</w:t>
      </w:r>
      <w:r w:rsidRPr="008F3D3C">
        <w:rPr>
          <w:rFonts w:ascii="Arial" w:hAnsi="Arial" w:cs="Arial"/>
          <w:color w:val="222222"/>
          <w:sz w:val="20"/>
          <w:szCs w:val="20"/>
          <w:shd w:val="clear" w:color="auto" w:fill="FFFFFF"/>
        </w:rPr>
        <w:t>2008</w:t>
      </w:r>
      <w:r>
        <w:rPr>
          <w:rFonts w:ascii="Arial" w:hAnsi="Arial" w:cs="Arial"/>
          <w:color w:val="222222"/>
          <w:sz w:val="20"/>
          <w:szCs w:val="20"/>
          <w:shd w:val="clear" w:color="auto" w:fill="FFFFFF"/>
        </w:rPr>
        <w:t>)</w:t>
      </w:r>
      <w:r w:rsidRPr="008F3D3C">
        <w:rPr>
          <w:rFonts w:ascii="Arial" w:hAnsi="Arial" w:cs="Arial"/>
          <w:color w:val="222222"/>
          <w:sz w:val="20"/>
          <w:szCs w:val="20"/>
          <w:shd w:val="clear" w:color="auto" w:fill="FFFFFF"/>
        </w:rPr>
        <w:t xml:space="preserve"> </w:t>
      </w:r>
      <w:r>
        <w:rPr>
          <w:rFonts w:ascii="Arial" w:hAnsi="Arial" w:cs="Arial"/>
          <w:color w:val="222222"/>
          <w:sz w:val="20"/>
          <w:szCs w:val="20"/>
          <w:shd w:val="clear" w:color="auto" w:fill="FFFFFF"/>
        </w:rPr>
        <w:t>‘</w:t>
      </w:r>
      <w:r w:rsidRPr="008F3D3C">
        <w:rPr>
          <w:rFonts w:ascii="Arial" w:hAnsi="Arial" w:cs="Arial"/>
          <w:color w:val="222222"/>
          <w:sz w:val="20"/>
          <w:szCs w:val="20"/>
          <w:shd w:val="clear" w:color="auto" w:fill="FFFFFF"/>
        </w:rPr>
        <w:t xml:space="preserve">From </w:t>
      </w:r>
      <w:r w:rsidR="00EE7C0E">
        <w:rPr>
          <w:rFonts w:ascii="Arial" w:hAnsi="Arial" w:cs="Arial"/>
          <w:color w:val="222222"/>
          <w:sz w:val="20"/>
          <w:szCs w:val="20"/>
          <w:shd w:val="clear" w:color="auto" w:fill="FFFFFF"/>
        </w:rPr>
        <w:t>S</w:t>
      </w:r>
      <w:r w:rsidRPr="008F3D3C">
        <w:rPr>
          <w:rFonts w:ascii="Arial" w:hAnsi="Arial" w:cs="Arial"/>
          <w:color w:val="222222"/>
          <w:sz w:val="20"/>
          <w:szCs w:val="20"/>
          <w:shd w:val="clear" w:color="auto" w:fill="FFFFFF"/>
        </w:rPr>
        <w:t xml:space="preserve">tructural </w:t>
      </w:r>
      <w:r w:rsidR="00EE7C0E">
        <w:rPr>
          <w:rFonts w:ascii="Arial" w:hAnsi="Arial" w:cs="Arial"/>
          <w:color w:val="222222"/>
          <w:sz w:val="20"/>
          <w:szCs w:val="20"/>
          <w:shd w:val="clear" w:color="auto" w:fill="FFFFFF"/>
        </w:rPr>
        <w:t>A</w:t>
      </w:r>
      <w:r w:rsidRPr="008F3D3C">
        <w:rPr>
          <w:rFonts w:ascii="Arial" w:hAnsi="Arial" w:cs="Arial"/>
          <w:color w:val="222222"/>
          <w:sz w:val="20"/>
          <w:szCs w:val="20"/>
          <w:shd w:val="clear" w:color="auto" w:fill="FFFFFF"/>
        </w:rPr>
        <w:t xml:space="preserve">djustment to </w:t>
      </w:r>
      <w:r w:rsidR="00EE7C0E">
        <w:rPr>
          <w:rFonts w:ascii="Arial" w:hAnsi="Arial" w:cs="Arial"/>
          <w:color w:val="222222"/>
          <w:sz w:val="20"/>
          <w:szCs w:val="20"/>
          <w:shd w:val="clear" w:color="auto" w:fill="FFFFFF"/>
        </w:rPr>
        <w:t>S</w:t>
      </w:r>
      <w:r w:rsidRPr="008F3D3C">
        <w:rPr>
          <w:rFonts w:ascii="Arial" w:hAnsi="Arial" w:cs="Arial"/>
          <w:color w:val="222222"/>
          <w:sz w:val="20"/>
          <w:szCs w:val="20"/>
          <w:shd w:val="clear" w:color="auto" w:fill="FFFFFF"/>
        </w:rPr>
        <w:t xml:space="preserve">ocial </w:t>
      </w:r>
      <w:r w:rsidR="00EE7C0E">
        <w:rPr>
          <w:rFonts w:ascii="Arial" w:hAnsi="Arial" w:cs="Arial"/>
          <w:color w:val="222222"/>
          <w:sz w:val="20"/>
          <w:szCs w:val="20"/>
          <w:shd w:val="clear" w:color="auto" w:fill="FFFFFF"/>
        </w:rPr>
        <w:t>A</w:t>
      </w:r>
      <w:r w:rsidRPr="008F3D3C">
        <w:rPr>
          <w:rFonts w:ascii="Arial" w:hAnsi="Arial" w:cs="Arial"/>
          <w:color w:val="222222"/>
          <w:sz w:val="20"/>
          <w:szCs w:val="20"/>
          <w:shd w:val="clear" w:color="auto" w:fill="FFFFFF"/>
        </w:rPr>
        <w:t xml:space="preserve">djustment: </w:t>
      </w:r>
      <w:r>
        <w:rPr>
          <w:rFonts w:ascii="Arial" w:hAnsi="Arial" w:cs="Arial"/>
          <w:color w:val="222222"/>
          <w:sz w:val="20"/>
          <w:szCs w:val="20"/>
          <w:shd w:val="clear" w:color="auto" w:fill="FFFFFF"/>
        </w:rPr>
        <w:t>A</w:t>
      </w:r>
      <w:r w:rsidRPr="008F3D3C">
        <w:rPr>
          <w:rFonts w:ascii="Arial" w:hAnsi="Arial" w:cs="Arial"/>
          <w:color w:val="222222"/>
          <w:sz w:val="20"/>
          <w:szCs w:val="20"/>
          <w:shd w:val="clear" w:color="auto" w:fill="FFFFFF"/>
        </w:rPr>
        <w:t xml:space="preserve"> </w:t>
      </w:r>
      <w:r w:rsidR="00EE7C0E">
        <w:rPr>
          <w:rFonts w:ascii="Arial" w:hAnsi="Arial" w:cs="Arial"/>
          <w:color w:val="222222"/>
          <w:sz w:val="20"/>
          <w:szCs w:val="20"/>
          <w:shd w:val="clear" w:color="auto" w:fill="FFFFFF"/>
        </w:rPr>
        <w:t>G</w:t>
      </w:r>
      <w:r w:rsidRPr="008F3D3C">
        <w:rPr>
          <w:rFonts w:ascii="Arial" w:hAnsi="Arial" w:cs="Arial"/>
          <w:color w:val="222222"/>
          <w:sz w:val="20"/>
          <w:szCs w:val="20"/>
          <w:shd w:val="clear" w:color="auto" w:fill="FFFFFF"/>
        </w:rPr>
        <w:t xml:space="preserve">endered </w:t>
      </w:r>
      <w:r w:rsidR="00EE7C0E">
        <w:rPr>
          <w:rFonts w:ascii="Arial" w:hAnsi="Arial" w:cs="Arial"/>
          <w:color w:val="222222"/>
          <w:sz w:val="20"/>
          <w:szCs w:val="20"/>
          <w:shd w:val="clear" w:color="auto" w:fill="FFFFFF"/>
        </w:rPr>
        <w:t>A</w:t>
      </w:r>
      <w:r w:rsidRPr="008F3D3C">
        <w:rPr>
          <w:rFonts w:ascii="Arial" w:hAnsi="Arial" w:cs="Arial"/>
          <w:color w:val="222222"/>
          <w:sz w:val="20"/>
          <w:szCs w:val="20"/>
          <w:shd w:val="clear" w:color="auto" w:fill="FFFFFF"/>
        </w:rPr>
        <w:t xml:space="preserve">nalysis of </w:t>
      </w:r>
      <w:r w:rsidR="00EE7C0E">
        <w:rPr>
          <w:rFonts w:ascii="Arial" w:hAnsi="Arial" w:cs="Arial"/>
          <w:color w:val="222222"/>
          <w:sz w:val="20"/>
          <w:szCs w:val="20"/>
          <w:shd w:val="clear" w:color="auto" w:fill="FFFFFF"/>
        </w:rPr>
        <w:t>C</w:t>
      </w:r>
      <w:r w:rsidRPr="008F3D3C">
        <w:rPr>
          <w:rFonts w:ascii="Arial" w:hAnsi="Arial" w:cs="Arial"/>
          <w:color w:val="222222"/>
          <w:sz w:val="20"/>
          <w:szCs w:val="20"/>
          <w:shd w:val="clear" w:color="auto" w:fill="FFFFFF"/>
        </w:rPr>
        <w:t xml:space="preserve">onditional </w:t>
      </w:r>
      <w:r w:rsidR="00EE7C0E">
        <w:rPr>
          <w:rFonts w:ascii="Arial" w:hAnsi="Arial" w:cs="Arial"/>
          <w:color w:val="222222"/>
          <w:sz w:val="20"/>
          <w:szCs w:val="20"/>
          <w:shd w:val="clear" w:color="auto" w:fill="FFFFFF"/>
        </w:rPr>
        <w:t>C</w:t>
      </w:r>
      <w:r w:rsidRPr="008F3D3C">
        <w:rPr>
          <w:rFonts w:ascii="Arial" w:hAnsi="Arial" w:cs="Arial"/>
          <w:color w:val="222222"/>
          <w:sz w:val="20"/>
          <w:szCs w:val="20"/>
          <w:shd w:val="clear" w:color="auto" w:fill="FFFFFF"/>
        </w:rPr>
        <w:t xml:space="preserve">ash </w:t>
      </w:r>
      <w:r w:rsidR="00EE7C0E">
        <w:rPr>
          <w:rFonts w:ascii="Arial" w:hAnsi="Arial" w:cs="Arial"/>
          <w:color w:val="222222"/>
          <w:sz w:val="20"/>
          <w:szCs w:val="20"/>
          <w:shd w:val="clear" w:color="auto" w:fill="FFFFFF"/>
        </w:rPr>
        <w:t>T</w:t>
      </w:r>
      <w:r w:rsidRPr="008F3D3C">
        <w:rPr>
          <w:rFonts w:ascii="Arial" w:hAnsi="Arial" w:cs="Arial"/>
          <w:color w:val="222222"/>
          <w:sz w:val="20"/>
          <w:szCs w:val="20"/>
          <w:shd w:val="clear" w:color="auto" w:fill="FFFFFF"/>
        </w:rPr>
        <w:t xml:space="preserve">ransfer </w:t>
      </w:r>
      <w:r w:rsidR="00EE7C0E">
        <w:rPr>
          <w:rFonts w:ascii="Arial" w:hAnsi="Arial" w:cs="Arial"/>
          <w:color w:val="222222"/>
          <w:sz w:val="20"/>
          <w:szCs w:val="20"/>
          <w:shd w:val="clear" w:color="auto" w:fill="FFFFFF"/>
        </w:rPr>
        <w:t>P</w:t>
      </w:r>
      <w:r w:rsidRPr="008F3D3C">
        <w:rPr>
          <w:rFonts w:ascii="Arial" w:hAnsi="Arial" w:cs="Arial"/>
          <w:color w:val="222222"/>
          <w:sz w:val="20"/>
          <w:szCs w:val="20"/>
          <w:shd w:val="clear" w:color="auto" w:fill="FFFFFF"/>
        </w:rPr>
        <w:t>rogrammes in Mexico and Nicaragua</w:t>
      </w:r>
      <w:r>
        <w:rPr>
          <w:rFonts w:ascii="Arial" w:hAnsi="Arial" w:cs="Arial"/>
          <w:color w:val="222222"/>
          <w:sz w:val="20"/>
          <w:szCs w:val="20"/>
          <w:shd w:val="clear" w:color="auto" w:fill="FFFFFF"/>
        </w:rPr>
        <w:t>’,</w:t>
      </w:r>
      <w:r w:rsidRPr="008F3D3C">
        <w:rPr>
          <w:rFonts w:ascii="Arial" w:hAnsi="Arial" w:cs="Arial"/>
          <w:color w:val="222222"/>
          <w:sz w:val="20"/>
          <w:szCs w:val="20"/>
          <w:shd w:val="clear" w:color="auto" w:fill="FFFFFF"/>
        </w:rPr>
        <w:t xml:space="preserve"> </w:t>
      </w:r>
      <w:r w:rsidRPr="008F3D3C">
        <w:rPr>
          <w:rFonts w:ascii="Arial" w:hAnsi="Arial" w:cs="Arial"/>
          <w:i/>
          <w:color w:val="222222"/>
          <w:sz w:val="20"/>
          <w:szCs w:val="20"/>
          <w:shd w:val="clear" w:color="auto" w:fill="FFFFFF"/>
        </w:rPr>
        <w:t>Global Social Policy</w:t>
      </w:r>
      <w:r w:rsidRPr="008F3D3C">
        <w:rPr>
          <w:rFonts w:ascii="Arial" w:hAnsi="Arial" w:cs="Arial"/>
          <w:color w:val="222222"/>
          <w:sz w:val="20"/>
          <w:szCs w:val="20"/>
          <w:shd w:val="clear" w:color="auto" w:fill="FFFFFF"/>
        </w:rPr>
        <w:t>, 8(2)</w:t>
      </w:r>
      <w:r>
        <w:rPr>
          <w:rFonts w:ascii="Arial" w:hAnsi="Arial" w:cs="Arial"/>
          <w:color w:val="222222"/>
          <w:sz w:val="20"/>
          <w:szCs w:val="20"/>
          <w:shd w:val="clear" w:color="auto" w:fill="FFFFFF"/>
        </w:rPr>
        <w:t xml:space="preserve">: </w:t>
      </w:r>
      <w:r w:rsidRPr="008F3D3C">
        <w:rPr>
          <w:rFonts w:ascii="Arial" w:hAnsi="Arial" w:cs="Arial"/>
          <w:color w:val="222222"/>
          <w:sz w:val="20"/>
          <w:szCs w:val="20"/>
          <w:shd w:val="clear" w:color="auto" w:fill="FFFFFF"/>
        </w:rPr>
        <w:t>188</w:t>
      </w:r>
      <w:r w:rsidR="00EE7C0E" w:rsidRPr="008E5D31">
        <w:rPr>
          <w:rFonts w:ascii="Arial" w:hAnsi="Arial" w:cs="Arial"/>
          <w:color w:val="222222"/>
          <w:sz w:val="20"/>
          <w:szCs w:val="20"/>
          <w:shd w:val="clear" w:color="auto" w:fill="FFFFFF"/>
        </w:rPr>
        <w:t>–</w:t>
      </w:r>
      <w:r w:rsidRPr="008F3D3C">
        <w:rPr>
          <w:rFonts w:ascii="Arial" w:hAnsi="Arial" w:cs="Arial"/>
          <w:color w:val="222222"/>
          <w:sz w:val="20"/>
          <w:szCs w:val="20"/>
          <w:shd w:val="clear" w:color="auto" w:fill="FFFFFF"/>
        </w:rPr>
        <w:t>207.</w:t>
      </w:r>
    </w:p>
    <w:p w:rsidR="00C96B8D" w:rsidRDefault="00C96B8D" w:rsidP="00753EC4">
      <w:pPr>
        <w:spacing w:line="480" w:lineRule="auto"/>
        <w:rPr>
          <w:rFonts w:ascii="Arial" w:hAnsi="Arial" w:cs="Arial"/>
          <w:color w:val="222222"/>
          <w:sz w:val="20"/>
          <w:szCs w:val="20"/>
          <w:shd w:val="clear" w:color="auto" w:fill="FFFFFF"/>
        </w:rPr>
      </w:pPr>
      <w:r w:rsidRPr="00C96B8D">
        <w:rPr>
          <w:rFonts w:ascii="Arial" w:hAnsi="Arial" w:cs="Arial"/>
          <w:color w:val="222222"/>
          <w:sz w:val="20"/>
          <w:szCs w:val="20"/>
          <w:shd w:val="clear" w:color="auto" w:fill="FFFFFF"/>
        </w:rPr>
        <w:t xml:space="preserve">Brooks, S. </w:t>
      </w:r>
      <w:r>
        <w:rPr>
          <w:rFonts w:ascii="Arial" w:hAnsi="Arial" w:cs="Arial"/>
          <w:color w:val="222222"/>
          <w:sz w:val="20"/>
          <w:szCs w:val="20"/>
          <w:shd w:val="clear" w:color="auto" w:fill="FFFFFF"/>
        </w:rPr>
        <w:t>(</w:t>
      </w:r>
      <w:r w:rsidRPr="00C96B8D">
        <w:rPr>
          <w:rFonts w:ascii="Arial" w:hAnsi="Arial" w:cs="Arial"/>
          <w:color w:val="222222"/>
          <w:sz w:val="20"/>
          <w:szCs w:val="20"/>
          <w:shd w:val="clear" w:color="auto" w:fill="FFFFFF"/>
        </w:rPr>
        <w:t>2015</w:t>
      </w:r>
      <w:r>
        <w:rPr>
          <w:rFonts w:ascii="Arial" w:hAnsi="Arial" w:cs="Arial"/>
          <w:color w:val="222222"/>
          <w:sz w:val="20"/>
          <w:szCs w:val="20"/>
          <w:shd w:val="clear" w:color="auto" w:fill="FFFFFF"/>
        </w:rPr>
        <w:t>)</w:t>
      </w:r>
      <w:r w:rsidRPr="00C96B8D">
        <w:rPr>
          <w:rFonts w:ascii="Arial" w:hAnsi="Arial" w:cs="Arial"/>
          <w:color w:val="222222"/>
          <w:sz w:val="20"/>
          <w:szCs w:val="20"/>
          <w:shd w:val="clear" w:color="auto" w:fill="FFFFFF"/>
        </w:rPr>
        <w:t xml:space="preserve"> </w:t>
      </w:r>
      <w:r>
        <w:rPr>
          <w:rFonts w:ascii="Arial" w:hAnsi="Arial" w:cs="Arial"/>
          <w:color w:val="222222"/>
          <w:sz w:val="20"/>
          <w:szCs w:val="20"/>
          <w:shd w:val="clear" w:color="auto" w:fill="FFFFFF"/>
        </w:rPr>
        <w:t>‘</w:t>
      </w:r>
      <w:r w:rsidRPr="00C96B8D">
        <w:rPr>
          <w:rFonts w:ascii="Arial" w:hAnsi="Arial" w:cs="Arial"/>
          <w:color w:val="222222"/>
          <w:sz w:val="20"/>
          <w:szCs w:val="20"/>
          <w:shd w:val="clear" w:color="auto" w:fill="FFFFFF"/>
        </w:rPr>
        <w:t xml:space="preserve">Social </w:t>
      </w:r>
      <w:r w:rsidR="00B56B61">
        <w:rPr>
          <w:rFonts w:ascii="Arial" w:hAnsi="Arial" w:cs="Arial"/>
          <w:color w:val="222222"/>
          <w:sz w:val="20"/>
          <w:szCs w:val="20"/>
          <w:shd w:val="clear" w:color="auto" w:fill="FFFFFF"/>
        </w:rPr>
        <w:t>P</w:t>
      </w:r>
      <w:r w:rsidRPr="00C96B8D">
        <w:rPr>
          <w:rFonts w:ascii="Arial" w:hAnsi="Arial" w:cs="Arial"/>
          <w:color w:val="222222"/>
          <w:sz w:val="20"/>
          <w:szCs w:val="20"/>
          <w:shd w:val="clear" w:color="auto" w:fill="FFFFFF"/>
        </w:rPr>
        <w:t xml:space="preserve">rotection for the </w:t>
      </w:r>
      <w:r w:rsidR="00B56B61">
        <w:rPr>
          <w:rFonts w:ascii="Arial" w:hAnsi="Arial" w:cs="Arial"/>
          <w:color w:val="222222"/>
          <w:sz w:val="20"/>
          <w:szCs w:val="20"/>
          <w:shd w:val="clear" w:color="auto" w:fill="FFFFFF"/>
        </w:rPr>
        <w:t>P</w:t>
      </w:r>
      <w:r w:rsidRPr="00C96B8D">
        <w:rPr>
          <w:rFonts w:ascii="Arial" w:hAnsi="Arial" w:cs="Arial"/>
          <w:color w:val="222222"/>
          <w:sz w:val="20"/>
          <w:szCs w:val="20"/>
          <w:shd w:val="clear" w:color="auto" w:fill="FFFFFF"/>
        </w:rPr>
        <w:t xml:space="preserve">oorest: The </w:t>
      </w:r>
      <w:r w:rsidR="00B56B61">
        <w:rPr>
          <w:rFonts w:ascii="Arial" w:hAnsi="Arial" w:cs="Arial"/>
          <w:color w:val="222222"/>
          <w:sz w:val="20"/>
          <w:szCs w:val="20"/>
          <w:shd w:val="clear" w:color="auto" w:fill="FFFFFF"/>
        </w:rPr>
        <w:t>A</w:t>
      </w:r>
      <w:r w:rsidRPr="00C96B8D">
        <w:rPr>
          <w:rFonts w:ascii="Arial" w:hAnsi="Arial" w:cs="Arial"/>
          <w:color w:val="222222"/>
          <w:sz w:val="20"/>
          <w:szCs w:val="20"/>
          <w:shd w:val="clear" w:color="auto" w:fill="FFFFFF"/>
        </w:rPr>
        <w:t xml:space="preserve">doption of </w:t>
      </w:r>
      <w:r w:rsidR="00B56B61">
        <w:rPr>
          <w:rFonts w:ascii="Arial" w:hAnsi="Arial" w:cs="Arial"/>
          <w:color w:val="222222"/>
          <w:sz w:val="20"/>
          <w:szCs w:val="20"/>
          <w:shd w:val="clear" w:color="auto" w:fill="FFFFFF"/>
        </w:rPr>
        <w:t>A</w:t>
      </w:r>
      <w:r w:rsidRPr="00C96B8D">
        <w:rPr>
          <w:rFonts w:ascii="Arial" w:hAnsi="Arial" w:cs="Arial"/>
          <w:color w:val="222222"/>
          <w:sz w:val="20"/>
          <w:szCs w:val="20"/>
          <w:shd w:val="clear" w:color="auto" w:fill="FFFFFF"/>
        </w:rPr>
        <w:t xml:space="preserve">ntipoverty </w:t>
      </w:r>
      <w:r w:rsidR="00B56B61">
        <w:rPr>
          <w:rFonts w:ascii="Arial" w:hAnsi="Arial" w:cs="Arial"/>
          <w:color w:val="222222"/>
          <w:sz w:val="20"/>
          <w:szCs w:val="20"/>
          <w:shd w:val="clear" w:color="auto" w:fill="FFFFFF"/>
        </w:rPr>
        <w:t>C</w:t>
      </w:r>
      <w:r w:rsidRPr="00C96B8D">
        <w:rPr>
          <w:rFonts w:ascii="Arial" w:hAnsi="Arial" w:cs="Arial"/>
          <w:color w:val="222222"/>
          <w:sz w:val="20"/>
          <w:szCs w:val="20"/>
          <w:shd w:val="clear" w:color="auto" w:fill="FFFFFF"/>
        </w:rPr>
        <w:t xml:space="preserve">ash </w:t>
      </w:r>
      <w:r w:rsidR="00B56B61">
        <w:rPr>
          <w:rFonts w:ascii="Arial" w:hAnsi="Arial" w:cs="Arial"/>
          <w:color w:val="222222"/>
          <w:sz w:val="20"/>
          <w:szCs w:val="20"/>
          <w:shd w:val="clear" w:color="auto" w:fill="FFFFFF"/>
        </w:rPr>
        <w:t>T</w:t>
      </w:r>
      <w:r w:rsidRPr="00C96B8D">
        <w:rPr>
          <w:rFonts w:ascii="Arial" w:hAnsi="Arial" w:cs="Arial"/>
          <w:color w:val="222222"/>
          <w:sz w:val="20"/>
          <w:szCs w:val="20"/>
          <w:shd w:val="clear" w:color="auto" w:fill="FFFFFF"/>
        </w:rPr>
        <w:t xml:space="preserve">ransfer </w:t>
      </w:r>
      <w:r w:rsidR="00B56B61">
        <w:rPr>
          <w:rFonts w:ascii="Arial" w:hAnsi="Arial" w:cs="Arial"/>
          <w:color w:val="222222"/>
          <w:sz w:val="20"/>
          <w:szCs w:val="20"/>
          <w:shd w:val="clear" w:color="auto" w:fill="FFFFFF"/>
        </w:rPr>
        <w:t>P</w:t>
      </w:r>
      <w:r w:rsidRPr="00C96B8D">
        <w:rPr>
          <w:rFonts w:ascii="Arial" w:hAnsi="Arial" w:cs="Arial"/>
          <w:color w:val="222222"/>
          <w:sz w:val="20"/>
          <w:szCs w:val="20"/>
          <w:shd w:val="clear" w:color="auto" w:fill="FFFFFF"/>
        </w:rPr>
        <w:t>rograms in the Global South</w:t>
      </w:r>
      <w:r>
        <w:rPr>
          <w:rFonts w:ascii="Arial" w:hAnsi="Arial" w:cs="Arial"/>
          <w:color w:val="222222"/>
          <w:sz w:val="20"/>
          <w:szCs w:val="20"/>
          <w:shd w:val="clear" w:color="auto" w:fill="FFFFFF"/>
        </w:rPr>
        <w:t>’,</w:t>
      </w:r>
      <w:r w:rsidRPr="00C96B8D">
        <w:rPr>
          <w:rFonts w:ascii="Arial" w:hAnsi="Arial" w:cs="Arial"/>
          <w:color w:val="222222"/>
          <w:sz w:val="20"/>
          <w:szCs w:val="20"/>
          <w:shd w:val="clear" w:color="auto" w:fill="FFFFFF"/>
        </w:rPr>
        <w:t xml:space="preserve"> </w:t>
      </w:r>
      <w:r w:rsidRPr="00C96B8D">
        <w:rPr>
          <w:rFonts w:ascii="Arial" w:hAnsi="Arial" w:cs="Arial"/>
          <w:i/>
          <w:color w:val="222222"/>
          <w:sz w:val="20"/>
          <w:szCs w:val="20"/>
          <w:shd w:val="clear" w:color="auto" w:fill="FFFFFF"/>
        </w:rPr>
        <w:t>Politics &amp; Society</w:t>
      </w:r>
      <w:r w:rsidRPr="00C96B8D">
        <w:rPr>
          <w:rFonts w:ascii="Arial" w:hAnsi="Arial" w:cs="Arial"/>
          <w:color w:val="222222"/>
          <w:sz w:val="20"/>
          <w:szCs w:val="20"/>
          <w:shd w:val="clear" w:color="auto" w:fill="FFFFFF"/>
        </w:rPr>
        <w:t>, 43(4)</w:t>
      </w:r>
      <w:r>
        <w:rPr>
          <w:rFonts w:ascii="Arial" w:hAnsi="Arial" w:cs="Arial"/>
          <w:color w:val="222222"/>
          <w:sz w:val="20"/>
          <w:szCs w:val="20"/>
          <w:shd w:val="clear" w:color="auto" w:fill="FFFFFF"/>
        </w:rPr>
        <w:t xml:space="preserve">: </w:t>
      </w:r>
      <w:r w:rsidRPr="00C96B8D">
        <w:rPr>
          <w:rFonts w:ascii="Arial" w:hAnsi="Arial" w:cs="Arial"/>
          <w:color w:val="222222"/>
          <w:sz w:val="20"/>
          <w:szCs w:val="20"/>
          <w:shd w:val="clear" w:color="auto" w:fill="FFFFFF"/>
        </w:rPr>
        <w:t>551</w:t>
      </w:r>
      <w:r w:rsidR="00B56B61" w:rsidRPr="008E5D31">
        <w:rPr>
          <w:rFonts w:ascii="Arial" w:hAnsi="Arial" w:cs="Arial"/>
          <w:color w:val="222222"/>
          <w:sz w:val="20"/>
          <w:szCs w:val="20"/>
          <w:shd w:val="clear" w:color="auto" w:fill="FFFFFF"/>
        </w:rPr>
        <w:t>–</w:t>
      </w:r>
      <w:r w:rsidRPr="00C96B8D">
        <w:rPr>
          <w:rFonts w:ascii="Arial" w:hAnsi="Arial" w:cs="Arial"/>
          <w:color w:val="222222"/>
          <w:sz w:val="20"/>
          <w:szCs w:val="20"/>
          <w:shd w:val="clear" w:color="auto" w:fill="FFFFFF"/>
        </w:rPr>
        <w:t>582.</w:t>
      </w:r>
    </w:p>
    <w:p w:rsidR="00B51915" w:rsidRDefault="00B51915" w:rsidP="00753EC4">
      <w:pPr>
        <w:spacing w:line="480" w:lineRule="auto"/>
        <w:rPr>
          <w:rFonts w:ascii="Arial" w:hAnsi="Arial" w:cs="Arial"/>
          <w:color w:val="222222"/>
          <w:sz w:val="20"/>
          <w:szCs w:val="20"/>
          <w:shd w:val="clear" w:color="auto" w:fill="FFFFFF"/>
        </w:rPr>
      </w:pPr>
      <w:r>
        <w:rPr>
          <w:rFonts w:ascii="Arial" w:hAnsi="Arial" w:cs="Arial"/>
          <w:color w:val="222222"/>
          <w:sz w:val="20"/>
          <w:szCs w:val="20"/>
          <w:shd w:val="clear" w:color="auto" w:fill="FFFFFF"/>
        </w:rPr>
        <w:t>Broome, A.</w:t>
      </w:r>
      <w:r w:rsidRPr="00B51915">
        <w:rPr>
          <w:rFonts w:ascii="Arial" w:hAnsi="Arial" w:cs="Arial"/>
          <w:color w:val="222222"/>
          <w:sz w:val="20"/>
          <w:szCs w:val="20"/>
          <w:shd w:val="clear" w:color="auto" w:fill="FFFFFF"/>
        </w:rPr>
        <w:t xml:space="preserve"> </w:t>
      </w:r>
      <w:r>
        <w:rPr>
          <w:rFonts w:ascii="Arial" w:hAnsi="Arial" w:cs="Arial"/>
          <w:color w:val="222222"/>
          <w:sz w:val="20"/>
          <w:szCs w:val="20"/>
          <w:shd w:val="clear" w:color="auto" w:fill="FFFFFF"/>
        </w:rPr>
        <w:t>(</w:t>
      </w:r>
      <w:r w:rsidRPr="00B51915">
        <w:rPr>
          <w:rFonts w:ascii="Arial" w:hAnsi="Arial" w:cs="Arial"/>
          <w:color w:val="222222"/>
          <w:sz w:val="20"/>
          <w:szCs w:val="20"/>
          <w:shd w:val="clear" w:color="auto" w:fill="FFFFFF"/>
        </w:rPr>
        <w:t>2015</w:t>
      </w:r>
      <w:r>
        <w:rPr>
          <w:rFonts w:ascii="Arial" w:hAnsi="Arial" w:cs="Arial"/>
          <w:color w:val="222222"/>
          <w:sz w:val="20"/>
          <w:szCs w:val="20"/>
          <w:shd w:val="clear" w:color="auto" w:fill="FFFFFF"/>
        </w:rPr>
        <w:t>)</w:t>
      </w:r>
      <w:r w:rsidRPr="00B51915">
        <w:rPr>
          <w:rFonts w:ascii="Arial" w:hAnsi="Arial" w:cs="Arial"/>
          <w:color w:val="222222"/>
          <w:sz w:val="20"/>
          <w:szCs w:val="20"/>
          <w:shd w:val="clear" w:color="auto" w:fill="FFFFFF"/>
        </w:rPr>
        <w:t xml:space="preserve"> </w:t>
      </w:r>
      <w:r>
        <w:rPr>
          <w:rFonts w:ascii="Arial" w:hAnsi="Arial" w:cs="Arial"/>
          <w:color w:val="222222"/>
          <w:sz w:val="20"/>
          <w:szCs w:val="20"/>
          <w:shd w:val="clear" w:color="auto" w:fill="FFFFFF"/>
        </w:rPr>
        <w:t>‘</w:t>
      </w:r>
      <w:r w:rsidRPr="00B51915">
        <w:rPr>
          <w:rFonts w:ascii="Arial" w:hAnsi="Arial" w:cs="Arial"/>
          <w:color w:val="222222"/>
          <w:sz w:val="20"/>
          <w:szCs w:val="20"/>
          <w:shd w:val="clear" w:color="auto" w:fill="FFFFFF"/>
        </w:rPr>
        <w:t xml:space="preserve">Back to </w:t>
      </w:r>
      <w:r w:rsidR="00B56B61">
        <w:rPr>
          <w:rFonts w:ascii="Arial" w:hAnsi="Arial" w:cs="Arial"/>
          <w:color w:val="222222"/>
          <w:sz w:val="20"/>
          <w:szCs w:val="20"/>
          <w:shd w:val="clear" w:color="auto" w:fill="FFFFFF"/>
        </w:rPr>
        <w:t>B</w:t>
      </w:r>
      <w:r w:rsidRPr="00B51915">
        <w:rPr>
          <w:rFonts w:ascii="Arial" w:hAnsi="Arial" w:cs="Arial"/>
          <w:color w:val="222222"/>
          <w:sz w:val="20"/>
          <w:szCs w:val="20"/>
          <w:shd w:val="clear" w:color="auto" w:fill="FFFFFF"/>
        </w:rPr>
        <w:t xml:space="preserve">asics: </w:t>
      </w:r>
      <w:r>
        <w:rPr>
          <w:rFonts w:ascii="Arial" w:hAnsi="Arial" w:cs="Arial"/>
          <w:color w:val="222222"/>
          <w:sz w:val="20"/>
          <w:szCs w:val="20"/>
          <w:shd w:val="clear" w:color="auto" w:fill="FFFFFF"/>
        </w:rPr>
        <w:t>T</w:t>
      </w:r>
      <w:r w:rsidRPr="00B51915">
        <w:rPr>
          <w:rFonts w:ascii="Arial" w:hAnsi="Arial" w:cs="Arial"/>
          <w:color w:val="222222"/>
          <w:sz w:val="20"/>
          <w:szCs w:val="20"/>
          <w:shd w:val="clear" w:color="auto" w:fill="FFFFFF"/>
        </w:rPr>
        <w:t xml:space="preserve">he </w:t>
      </w:r>
      <w:r w:rsidR="00B56B61">
        <w:rPr>
          <w:rFonts w:ascii="Arial" w:hAnsi="Arial" w:cs="Arial"/>
          <w:color w:val="222222"/>
          <w:sz w:val="20"/>
          <w:szCs w:val="20"/>
          <w:shd w:val="clear" w:color="auto" w:fill="FFFFFF"/>
        </w:rPr>
        <w:t>G</w:t>
      </w:r>
      <w:r w:rsidRPr="00B51915">
        <w:rPr>
          <w:rFonts w:ascii="Arial" w:hAnsi="Arial" w:cs="Arial"/>
          <w:color w:val="222222"/>
          <w:sz w:val="20"/>
          <w:szCs w:val="20"/>
          <w:shd w:val="clear" w:color="auto" w:fill="FFFFFF"/>
        </w:rPr>
        <w:t xml:space="preserve">reat </w:t>
      </w:r>
      <w:r w:rsidR="00B56B61">
        <w:rPr>
          <w:rFonts w:ascii="Arial" w:hAnsi="Arial" w:cs="Arial"/>
          <w:color w:val="222222"/>
          <w:sz w:val="20"/>
          <w:szCs w:val="20"/>
          <w:shd w:val="clear" w:color="auto" w:fill="FFFFFF"/>
        </w:rPr>
        <w:t>R</w:t>
      </w:r>
      <w:r w:rsidRPr="00B51915">
        <w:rPr>
          <w:rFonts w:ascii="Arial" w:hAnsi="Arial" w:cs="Arial"/>
          <w:color w:val="222222"/>
          <w:sz w:val="20"/>
          <w:szCs w:val="20"/>
          <w:shd w:val="clear" w:color="auto" w:fill="FFFFFF"/>
        </w:rPr>
        <w:t xml:space="preserve">ecession and the </w:t>
      </w:r>
      <w:r w:rsidR="00B56B61">
        <w:rPr>
          <w:rFonts w:ascii="Arial" w:hAnsi="Arial" w:cs="Arial"/>
          <w:color w:val="222222"/>
          <w:sz w:val="20"/>
          <w:szCs w:val="20"/>
          <w:shd w:val="clear" w:color="auto" w:fill="FFFFFF"/>
        </w:rPr>
        <w:t>N</w:t>
      </w:r>
      <w:r w:rsidRPr="00B51915">
        <w:rPr>
          <w:rFonts w:ascii="Arial" w:hAnsi="Arial" w:cs="Arial"/>
          <w:color w:val="222222"/>
          <w:sz w:val="20"/>
          <w:szCs w:val="20"/>
          <w:shd w:val="clear" w:color="auto" w:fill="FFFFFF"/>
        </w:rPr>
        <w:t xml:space="preserve">arrowing of IMF </w:t>
      </w:r>
      <w:r w:rsidR="00B56B61">
        <w:rPr>
          <w:rFonts w:ascii="Arial" w:hAnsi="Arial" w:cs="Arial"/>
          <w:color w:val="222222"/>
          <w:sz w:val="20"/>
          <w:szCs w:val="20"/>
          <w:shd w:val="clear" w:color="auto" w:fill="FFFFFF"/>
        </w:rPr>
        <w:t>P</w:t>
      </w:r>
      <w:r w:rsidRPr="00B51915">
        <w:rPr>
          <w:rFonts w:ascii="Arial" w:hAnsi="Arial" w:cs="Arial"/>
          <w:color w:val="222222"/>
          <w:sz w:val="20"/>
          <w:szCs w:val="20"/>
          <w:shd w:val="clear" w:color="auto" w:fill="FFFFFF"/>
        </w:rPr>
        <w:t xml:space="preserve">olicy </w:t>
      </w:r>
      <w:r w:rsidR="00B56B61">
        <w:rPr>
          <w:rFonts w:ascii="Arial" w:hAnsi="Arial" w:cs="Arial"/>
          <w:color w:val="222222"/>
          <w:sz w:val="20"/>
          <w:szCs w:val="20"/>
          <w:shd w:val="clear" w:color="auto" w:fill="FFFFFF"/>
        </w:rPr>
        <w:t>A</w:t>
      </w:r>
      <w:r w:rsidRPr="00B51915">
        <w:rPr>
          <w:rFonts w:ascii="Arial" w:hAnsi="Arial" w:cs="Arial"/>
          <w:color w:val="222222"/>
          <w:sz w:val="20"/>
          <w:szCs w:val="20"/>
          <w:shd w:val="clear" w:color="auto" w:fill="FFFFFF"/>
        </w:rPr>
        <w:t>dvice</w:t>
      </w:r>
      <w:r>
        <w:rPr>
          <w:rFonts w:ascii="Arial" w:hAnsi="Arial" w:cs="Arial"/>
          <w:color w:val="222222"/>
          <w:sz w:val="20"/>
          <w:szCs w:val="20"/>
          <w:shd w:val="clear" w:color="auto" w:fill="FFFFFF"/>
        </w:rPr>
        <w:t>’,</w:t>
      </w:r>
      <w:r w:rsidRPr="00B51915">
        <w:rPr>
          <w:rFonts w:ascii="Arial" w:hAnsi="Arial" w:cs="Arial"/>
          <w:color w:val="222222"/>
          <w:sz w:val="20"/>
          <w:szCs w:val="20"/>
          <w:shd w:val="clear" w:color="auto" w:fill="FFFFFF"/>
        </w:rPr>
        <w:t xml:space="preserve"> </w:t>
      </w:r>
      <w:r w:rsidRPr="00B51915">
        <w:rPr>
          <w:rFonts w:ascii="Arial" w:hAnsi="Arial" w:cs="Arial"/>
          <w:i/>
          <w:color w:val="222222"/>
          <w:sz w:val="20"/>
          <w:szCs w:val="20"/>
          <w:shd w:val="clear" w:color="auto" w:fill="FFFFFF"/>
        </w:rPr>
        <w:t>Governance</w:t>
      </w:r>
      <w:r w:rsidRPr="00B51915">
        <w:rPr>
          <w:rFonts w:ascii="Arial" w:hAnsi="Arial" w:cs="Arial"/>
          <w:color w:val="222222"/>
          <w:sz w:val="20"/>
          <w:szCs w:val="20"/>
          <w:shd w:val="clear" w:color="auto" w:fill="FFFFFF"/>
        </w:rPr>
        <w:t>, 28(2)</w:t>
      </w:r>
      <w:r>
        <w:rPr>
          <w:rFonts w:ascii="Arial" w:hAnsi="Arial" w:cs="Arial"/>
          <w:color w:val="222222"/>
          <w:sz w:val="20"/>
          <w:szCs w:val="20"/>
          <w:shd w:val="clear" w:color="auto" w:fill="FFFFFF"/>
        </w:rPr>
        <w:t xml:space="preserve">: </w:t>
      </w:r>
      <w:r w:rsidRPr="00B51915">
        <w:rPr>
          <w:rFonts w:ascii="Arial" w:hAnsi="Arial" w:cs="Arial"/>
          <w:color w:val="222222"/>
          <w:sz w:val="20"/>
          <w:szCs w:val="20"/>
          <w:shd w:val="clear" w:color="auto" w:fill="FFFFFF"/>
        </w:rPr>
        <w:t>147</w:t>
      </w:r>
      <w:r w:rsidR="00B56B61" w:rsidRPr="008E5D31">
        <w:rPr>
          <w:rFonts w:ascii="Arial" w:hAnsi="Arial" w:cs="Arial"/>
          <w:color w:val="222222"/>
          <w:sz w:val="20"/>
          <w:szCs w:val="20"/>
          <w:shd w:val="clear" w:color="auto" w:fill="FFFFFF"/>
        </w:rPr>
        <w:t>–</w:t>
      </w:r>
      <w:r w:rsidRPr="00B51915">
        <w:rPr>
          <w:rFonts w:ascii="Arial" w:hAnsi="Arial" w:cs="Arial"/>
          <w:color w:val="222222"/>
          <w:sz w:val="20"/>
          <w:szCs w:val="20"/>
          <w:shd w:val="clear" w:color="auto" w:fill="FFFFFF"/>
        </w:rPr>
        <w:t>165.</w:t>
      </w:r>
    </w:p>
    <w:p w:rsidR="00E60F63" w:rsidRDefault="00E60F63" w:rsidP="00753EC4">
      <w:pPr>
        <w:spacing w:line="480" w:lineRule="auto"/>
        <w:rPr>
          <w:rFonts w:ascii="Arial" w:hAnsi="Arial" w:cs="Arial"/>
          <w:color w:val="222222"/>
          <w:sz w:val="20"/>
          <w:szCs w:val="20"/>
          <w:shd w:val="clear" w:color="auto" w:fill="FFFFFF"/>
        </w:rPr>
      </w:pPr>
      <w:r>
        <w:rPr>
          <w:rFonts w:ascii="Arial" w:hAnsi="Arial" w:cs="Arial"/>
          <w:color w:val="222222"/>
          <w:sz w:val="20"/>
          <w:szCs w:val="20"/>
          <w:shd w:val="clear" w:color="auto" w:fill="FFFFFF"/>
        </w:rPr>
        <w:t>Broome, A. and Quirk, J.</w:t>
      </w:r>
      <w:r w:rsidRPr="00E60F63">
        <w:rPr>
          <w:rFonts w:ascii="Arial" w:hAnsi="Arial" w:cs="Arial"/>
          <w:color w:val="222222"/>
          <w:sz w:val="20"/>
          <w:szCs w:val="20"/>
          <w:shd w:val="clear" w:color="auto" w:fill="FFFFFF"/>
        </w:rPr>
        <w:t xml:space="preserve"> </w:t>
      </w:r>
      <w:r>
        <w:rPr>
          <w:rFonts w:ascii="Arial" w:hAnsi="Arial" w:cs="Arial"/>
          <w:color w:val="222222"/>
          <w:sz w:val="20"/>
          <w:szCs w:val="20"/>
          <w:shd w:val="clear" w:color="auto" w:fill="FFFFFF"/>
        </w:rPr>
        <w:t>(</w:t>
      </w:r>
      <w:r w:rsidRPr="00E60F63">
        <w:rPr>
          <w:rFonts w:ascii="Arial" w:hAnsi="Arial" w:cs="Arial"/>
          <w:color w:val="222222"/>
          <w:sz w:val="20"/>
          <w:szCs w:val="20"/>
          <w:shd w:val="clear" w:color="auto" w:fill="FFFFFF"/>
        </w:rPr>
        <w:t>2015</w:t>
      </w:r>
      <w:r>
        <w:rPr>
          <w:rFonts w:ascii="Arial" w:hAnsi="Arial" w:cs="Arial"/>
          <w:color w:val="222222"/>
          <w:sz w:val="20"/>
          <w:szCs w:val="20"/>
          <w:shd w:val="clear" w:color="auto" w:fill="FFFFFF"/>
        </w:rPr>
        <w:t>)</w:t>
      </w:r>
      <w:r w:rsidRPr="00E60F63">
        <w:rPr>
          <w:rFonts w:ascii="Arial" w:hAnsi="Arial" w:cs="Arial"/>
          <w:color w:val="222222"/>
          <w:sz w:val="20"/>
          <w:szCs w:val="20"/>
          <w:shd w:val="clear" w:color="auto" w:fill="FFFFFF"/>
        </w:rPr>
        <w:t xml:space="preserve"> </w:t>
      </w:r>
      <w:r>
        <w:rPr>
          <w:rFonts w:ascii="Arial" w:hAnsi="Arial" w:cs="Arial"/>
          <w:color w:val="222222"/>
          <w:sz w:val="20"/>
          <w:szCs w:val="20"/>
          <w:shd w:val="clear" w:color="auto" w:fill="FFFFFF"/>
        </w:rPr>
        <w:t>‘</w:t>
      </w:r>
      <w:r w:rsidRPr="00E60F63">
        <w:rPr>
          <w:rFonts w:ascii="Arial" w:hAnsi="Arial" w:cs="Arial"/>
          <w:color w:val="222222"/>
          <w:sz w:val="20"/>
          <w:szCs w:val="20"/>
          <w:shd w:val="clear" w:color="auto" w:fill="FFFFFF"/>
        </w:rPr>
        <w:t xml:space="preserve">Governing the </w:t>
      </w:r>
      <w:r w:rsidR="00B56B61">
        <w:rPr>
          <w:rFonts w:ascii="Arial" w:hAnsi="Arial" w:cs="Arial"/>
          <w:color w:val="222222"/>
          <w:sz w:val="20"/>
          <w:szCs w:val="20"/>
          <w:shd w:val="clear" w:color="auto" w:fill="FFFFFF"/>
        </w:rPr>
        <w:t>W</w:t>
      </w:r>
      <w:r w:rsidRPr="00E60F63">
        <w:rPr>
          <w:rFonts w:ascii="Arial" w:hAnsi="Arial" w:cs="Arial"/>
          <w:color w:val="222222"/>
          <w:sz w:val="20"/>
          <w:szCs w:val="20"/>
          <w:shd w:val="clear" w:color="auto" w:fill="FFFFFF"/>
        </w:rPr>
        <w:t xml:space="preserve">orld at a </w:t>
      </w:r>
      <w:r w:rsidR="00B56B61">
        <w:rPr>
          <w:rFonts w:ascii="Arial" w:hAnsi="Arial" w:cs="Arial"/>
          <w:color w:val="222222"/>
          <w:sz w:val="20"/>
          <w:szCs w:val="20"/>
          <w:shd w:val="clear" w:color="auto" w:fill="FFFFFF"/>
        </w:rPr>
        <w:t>D</w:t>
      </w:r>
      <w:r w:rsidRPr="00E60F63">
        <w:rPr>
          <w:rFonts w:ascii="Arial" w:hAnsi="Arial" w:cs="Arial"/>
          <w:color w:val="222222"/>
          <w:sz w:val="20"/>
          <w:szCs w:val="20"/>
          <w:shd w:val="clear" w:color="auto" w:fill="FFFFFF"/>
        </w:rPr>
        <w:t xml:space="preserve">istance: </w:t>
      </w:r>
      <w:r>
        <w:rPr>
          <w:rFonts w:ascii="Arial" w:hAnsi="Arial" w:cs="Arial"/>
          <w:color w:val="222222"/>
          <w:sz w:val="20"/>
          <w:szCs w:val="20"/>
          <w:shd w:val="clear" w:color="auto" w:fill="FFFFFF"/>
        </w:rPr>
        <w:t>T</w:t>
      </w:r>
      <w:r w:rsidRPr="00E60F63">
        <w:rPr>
          <w:rFonts w:ascii="Arial" w:hAnsi="Arial" w:cs="Arial"/>
          <w:color w:val="222222"/>
          <w:sz w:val="20"/>
          <w:szCs w:val="20"/>
          <w:shd w:val="clear" w:color="auto" w:fill="FFFFFF"/>
        </w:rPr>
        <w:t xml:space="preserve">he </w:t>
      </w:r>
      <w:r w:rsidR="00B56B61">
        <w:rPr>
          <w:rFonts w:ascii="Arial" w:hAnsi="Arial" w:cs="Arial"/>
          <w:color w:val="222222"/>
          <w:sz w:val="20"/>
          <w:szCs w:val="20"/>
          <w:shd w:val="clear" w:color="auto" w:fill="FFFFFF"/>
        </w:rPr>
        <w:t>P</w:t>
      </w:r>
      <w:r w:rsidRPr="00E60F63">
        <w:rPr>
          <w:rFonts w:ascii="Arial" w:hAnsi="Arial" w:cs="Arial"/>
          <w:color w:val="222222"/>
          <w:sz w:val="20"/>
          <w:szCs w:val="20"/>
          <w:shd w:val="clear" w:color="auto" w:fill="FFFFFF"/>
        </w:rPr>
        <w:t xml:space="preserve">ractice of </w:t>
      </w:r>
      <w:r w:rsidR="00B56B61">
        <w:rPr>
          <w:rFonts w:ascii="Arial" w:hAnsi="Arial" w:cs="Arial"/>
          <w:color w:val="222222"/>
          <w:sz w:val="20"/>
          <w:szCs w:val="20"/>
          <w:shd w:val="clear" w:color="auto" w:fill="FFFFFF"/>
        </w:rPr>
        <w:t>G</w:t>
      </w:r>
      <w:r w:rsidRPr="00E60F63">
        <w:rPr>
          <w:rFonts w:ascii="Arial" w:hAnsi="Arial" w:cs="Arial"/>
          <w:color w:val="222222"/>
          <w:sz w:val="20"/>
          <w:szCs w:val="20"/>
          <w:shd w:val="clear" w:color="auto" w:fill="FFFFFF"/>
        </w:rPr>
        <w:t xml:space="preserve">lobal </w:t>
      </w:r>
      <w:r w:rsidR="00B56B61">
        <w:rPr>
          <w:rFonts w:ascii="Arial" w:hAnsi="Arial" w:cs="Arial"/>
          <w:color w:val="222222"/>
          <w:sz w:val="20"/>
          <w:szCs w:val="20"/>
          <w:shd w:val="clear" w:color="auto" w:fill="FFFFFF"/>
        </w:rPr>
        <w:t>B</w:t>
      </w:r>
      <w:r w:rsidRPr="00E60F63">
        <w:rPr>
          <w:rFonts w:ascii="Arial" w:hAnsi="Arial" w:cs="Arial"/>
          <w:color w:val="222222"/>
          <w:sz w:val="20"/>
          <w:szCs w:val="20"/>
          <w:shd w:val="clear" w:color="auto" w:fill="FFFFFF"/>
        </w:rPr>
        <w:t>enchmarking</w:t>
      </w:r>
      <w:r>
        <w:rPr>
          <w:rFonts w:ascii="Arial" w:hAnsi="Arial" w:cs="Arial"/>
          <w:color w:val="222222"/>
          <w:sz w:val="20"/>
          <w:szCs w:val="20"/>
          <w:shd w:val="clear" w:color="auto" w:fill="FFFFFF"/>
        </w:rPr>
        <w:t>’,</w:t>
      </w:r>
      <w:r w:rsidRPr="00E60F63">
        <w:rPr>
          <w:rFonts w:ascii="Arial" w:hAnsi="Arial" w:cs="Arial"/>
          <w:color w:val="222222"/>
          <w:sz w:val="20"/>
          <w:szCs w:val="20"/>
          <w:shd w:val="clear" w:color="auto" w:fill="FFFFFF"/>
        </w:rPr>
        <w:t xml:space="preserve"> </w:t>
      </w:r>
      <w:r w:rsidRPr="00E60F63">
        <w:rPr>
          <w:rFonts w:ascii="Arial" w:hAnsi="Arial" w:cs="Arial"/>
          <w:i/>
          <w:color w:val="222222"/>
          <w:sz w:val="20"/>
          <w:szCs w:val="20"/>
          <w:shd w:val="clear" w:color="auto" w:fill="FFFFFF"/>
        </w:rPr>
        <w:t>Review of International Studies</w:t>
      </w:r>
      <w:r w:rsidRPr="00E60F63">
        <w:rPr>
          <w:rFonts w:ascii="Arial" w:hAnsi="Arial" w:cs="Arial"/>
          <w:color w:val="222222"/>
          <w:sz w:val="20"/>
          <w:szCs w:val="20"/>
          <w:shd w:val="clear" w:color="auto" w:fill="FFFFFF"/>
        </w:rPr>
        <w:t xml:space="preserve"> 41(5)</w:t>
      </w:r>
      <w:r>
        <w:rPr>
          <w:rFonts w:ascii="Arial" w:hAnsi="Arial" w:cs="Arial"/>
          <w:color w:val="222222"/>
          <w:sz w:val="20"/>
          <w:szCs w:val="20"/>
          <w:shd w:val="clear" w:color="auto" w:fill="FFFFFF"/>
        </w:rPr>
        <w:t xml:space="preserve">: </w:t>
      </w:r>
      <w:r w:rsidRPr="00E60F63">
        <w:rPr>
          <w:rFonts w:ascii="Arial" w:hAnsi="Arial" w:cs="Arial"/>
          <w:color w:val="222222"/>
          <w:sz w:val="20"/>
          <w:szCs w:val="20"/>
          <w:shd w:val="clear" w:color="auto" w:fill="FFFFFF"/>
        </w:rPr>
        <w:t>819</w:t>
      </w:r>
      <w:r w:rsidR="00B56B61" w:rsidRPr="008E5D31">
        <w:rPr>
          <w:rFonts w:ascii="Arial" w:hAnsi="Arial" w:cs="Arial"/>
          <w:color w:val="222222"/>
          <w:sz w:val="20"/>
          <w:szCs w:val="20"/>
          <w:shd w:val="clear" w:color="auto" w:fill="FFFFFF"/>
        </w:rPr>
        <w:t>–</w:t>
      </w:r>
      <w:r w:rsidRPr="00E60F63">
        <w:rPr>
          <w:rFonts w:ascii="Arial" w:hAnsi="Arial" w:cs="Arial"/>
          <w:color w:val="222222"/>
          <w:sz w:val="20"/>
          <w:szCs w:val="20"/>
          <w:shd w:val="clear" w:color="auto" w:fill="FFFFFF"/>
        </w:rPr>
        <w:t>841.</w:t>
      </w:r>
    </w:p>
    <w:p w:rsidR="0092796C" w:rsidRDefault="0092796C" w:rsidP="00753EC4">
      <w:pPr>
        <w:spacing w:line="480" w:lineRule="auto"/>
        <w:rPr>
          <w:rFonts w:ascii="Arial" w:hAnsi="Arial" w:cs="Arial"/>
          <w:color w:val="222222"/>
          <w:sz w:val="20"/>
          <w:szCs w:val="20"/>
          <w:shd w:val="clear" w:color="auto" w:fill="FFFFFF"/>
        </w:rPr>
      </w:pPr>
      <w:proofErr w:type="spellStart"/>
      <w:r w:rsidRPr="0092796C">
        <w:rPr>
          <w:rFonts w:ascii="Arial" w:hAnsi="Arial" w:cs="Arial"/>
          <w:color w:val="222222"/>
          <w:sz w:val="20"/>
          <w:szCs w:val="20"/>
          <w:shd w:val="clear" w:color="auto" w:fill="FFFFFF"/>
        </w:rPr>
        <w:lastRenderedPageBreak/>
        <w:t>Busemeyer</w:t>
      </w:r>
      <w:proofErr w:type="spellEnd"/>
      <w:r w:rsidRPr="0092796C">
        <w:rPr>
          <w:rFonts w:ascii="Arial" w:hAnsi="Arial" w:cs="Arial"/>
          <w:color w:val="222222"/>
          <w:sz w:val="20"/>
          <w:szCs w:val="20"/>
          <w:shd w:val="clear" w:color="auto" w:fill="FFFFFF"/>
        </w:rPr>
        <w:t xml:space="preserve">, M., </w:t>
      </w:r>
      <w:r>
        <w:rPr>
          <w:rFonts w:ascii="Arial" w:hAnsi="Arial" w:cs="Arial"/>
          <w:color w:val="222222"/>
          <w:sz w:val="20"/>
          <w:szCs w:val="20"/>
          <w:shd w:val="clear" w:color="auto" w:fill="FFFFFF"/>
        </w:rPr>
        <w:t xml:space="preserve">A. </w:t>
      </w:r>
      <w:proofErr w:type="spellStart"/>
      <w:r w:rsidRPr="0092796C">
        <w:rPr>
          <w:rFonts w:ascii="Arial" w:hAnsi="Arial" w:cs="Arial"/>
          <w:color w:val="222222"/>
          <w:sz w:val="20"/>
          <w:szCs w:val="20"/>
          <w:shd w:val="clear" w:color="auto" w:fill="FFFFFF"/>
        </w:rPr>
        <w:t>Goerres</w:t>
      </w:r>
      <w:proofErr w:type="spellEnd"/>
      <w:r w:rsidRPr="0092796C">
        <w:rPr>
          <w:rFonts w:ascii="Arial" w:hAnsi="Arial" w:cs="Arial"/>
          <w:color w:val="222222"/>
          <w:sz w:val="20"/>
          <w:szCs w:val="20"/>
          <w:shd w:val="clear" w:color="auto" w:fill="FFFFFF"/>
        </w:rPr>
        <w:t>, and</w:t>
      </w:r>
      <w:r>
        <w:rPr>
          <w:rFonts w:ascii="Arial" w:hAnsi="Arial" w:cs="Arial"/>
          <w:color w:val="222222"/>
          <w:sz w:val="20"/>
          <w:szCs w:val="20"/>
          <w:shd w:val="clear" w:color="auto" w:fill="FFFFFF"/>
        </w:rPr>
        <w:t xml:space="preserve"> S.</w:t>
      </w:r>
      <w:r w:rsidRPr="0092796C">
        <w:rPr>
          <w:rFonts w:ascii="Arial" w:hAnsi="Arial" w:cs="Arial"/>
          <w:color w:val="222222"/>
          <w:sz w:val="20"/>
          <w:szCs w:val="20"/>
          <w:shd w:val="clear" w:color="auto" w:fill="FFFFFF"/>
        </w:rPr>
        <w:t xml:space="preserve"> </w:t>
      </w:r>
      <w:proofErr w:type="spellStart"/>
      <w:r w:rsidRPr="0092796C">
        <w:rPr>
          <w:rFonts w:ascii="Arial" w:hAnsi="Arial" w:cs="Arial"/>
          <w:color w:val="222222"/>
          <w:sz w:val="20"/>
          <w:szCs w:val="20"/>
          <w:shd w:val="clear" w:color="auto" w:fill="FFFFFF"/>
        </w:rPr>
        <w:t>Weschle</w:t>
      </w:r>
      <w:proofErr w:type="spellEnd"/>
      <w:r>
        <w:rPr>
          <w:rFonts w:ascii="Arial" w:hAnsi="Arial" w:cs="Arial"/>
          <w:color w:val="222222"/>
          <w:sz w:val="20"/>
          <w:szCs w:val="20"/>
          <w:shd w:val="clear" w:color="auto" w:fill="FFFFFF"/>
        </w:rPr>
        <w:t>.</w:t>
      </w:r>
      <w:r w:rsidRPr="0092796C">
        <w:rPr>
          <w:rFonts w:ascii="Arial" w:hAnsi="Arial" w:cs="Arial"/>
          <w:color w:val="222222"/>
          <w:sz w:val="20"/>
          <w:szCs w:val="20"/>
          <w:shd w:val="clear" w:color="auto" w:fill="FFFFFF"/>
        </w:rPr>
        <w:t xml:space="preserve"> </w:t>
      </w:r>
      <w:r>
        <w:rPr>
          <w:rFonts w:ascii="Arial" w:hAnsi="Arial" w:cs="Arial"/>
          <w:color w:val="222222"/>
          <w:sz w:val="20"/>
          <w:szCs w:val="20"/>
          <w:shd w:val="clear" w:color="auto" w:fill="FFFFFF"/>
        </w:rPr>
        <w:t>(</w:t>
      </w:r>
      <w:r w:rsidRPr="0092796C">
        <w:rPr>
          <w:rFonts w:ascii="Arial" w:hAnsi="Arial" w:cs="Arial"/>
          <w:color w:val="222222"/>
          <w:sz w:val="20"/>
          <w:szCs w:val="20"/>
          <w:shd w:val="clear" w:color="auto" w:fill="FFFFFF"/>
        </w:rPr>
        <w:t>2009</w:t>
      </w:r>
      <w:r>
        <w:rPr>
          <w:rFonts w:ascii="Arial" w:hAnsi="Arial" w:cs="Arial"/>
          <w:color w:val="222222"/>
          <w:sz w:val="20"/>
          <w:szCs w:val="20"/>
          <w:shd w:val="clear" w:color="auto" w:fill="FFFFFF"/>
        </w:rPr>
        <w:t>)</w:t>
      </w:r>
      <w:r w:rsidRPr="0092796C">
        <w:rPr>
          <w:rFonts w:ascii="Arial" w:hAnsi="Arial" w:cs="Arial"/>
          <w:color w:val="222222"/>
          <w:sz w:val="20"/>
          <w:szCs w:val="20"/>
          <w:shd w:val="clear" w:color="auto" w:fill="FFFFFF"/>
        </w:rPr>
        <w:t xml:space="preserve"> </w:t>
      </w:r>
      <w:r>
        <w:rPr>
          <w:rFonts w:ascii="Arial" w:hAnsi="Arial" w:cs="Arial"/>
          <w:color w:val="222222"/>
          <w:sz w:val="20"/>
          <w:szCs w:val="20"/>
          <w:shd w:val="clear" w:color="auto" w:fill="FFFFFF"/>
        </w:rPr>
        <w:t>‘</w:t>
      </w:r>
      <w:r w:rsidRPr="0092796C">
        <w:rPr>
          <w:rFonts w:ascii="Arial" w:hAnsi="Arial" w:cs="Arial"/>
          <w:color w:val="222222"/>
          <w:sz w:val="20"/>
          <w:szCs w:val="20"/>
          <w:shd w:val="clear" w:color="auto" w:fill="FFFFFF"/>
        </w:rPr>
        <w:t xml:space="preserve">Attitudes </w:t>
      </w:r>
      <w:r w:rsidR="00B56B61">
        <w:rPr>
          <w:rFonts w:ascii="Arial" w:hAnsi="Arial" w:cs="Arial"/>
          <w:color w:val="222222"/>
          <w:sz w:val="20"/>
          <w:szCs w:val="20"/>
          <w:shd w:val="clear" w:color="auto" w:fill="FFFFFF"/>
        </w:rPr>
        <w:t>T</w:t>
      </w:r>
      <w:r w:rsidRPr="0092796C">
        <w:rPr>
          <w:rFonts w:ascii="Arial" w:hAnsi="Arial" w:cs="Arial"/>
          <w:color w:val="222222"/>
          <w:sz w:val="20"/>
          <w:szCs w:val="20"/>
          <w:shd w:val="clear" w:color="auto" w:fill="FFFFFF"/>
        </w:rPr>
        <w:t xml:space="preserve">owards </w:t>
      </w:r>
      <w:r w:rsidR="00B56B61">
        <w:rPr>
          <w:rFonts w:ascii="Arial" w:hAnsi="Arial" w:cs="Arial"/>
          <w:color w:val="222222"/>
          <w:sz w:val="20"/>
          <w:szCs w:val="20"/>
          <w:shd w:val="clear" w:color="auto" w:fill="FFFFFF"/>
        </w:rPr>
        <w:t>R</w:t>
      </w:r>
      <w:r w:rsidRPr="0092796C">
        <w:rPr>
          <w:rFonts w:ascii="Arial" w:hAnsi="Arial" w:cs="Arial"/>
          <w:color w:val="222222"/>
          <w:sz w:val="20"/>
          <w:szCs w:val="20"/>
          <w:shd w:val="clear" w:color="auto" w:fill="FFFFFF"/>
        </w:rPr>
        <w:t xml:space="preserve">edistributive </w:t>
      </w:r>
      <w:r w:rsidR="00B56B61">
        <w:rPr>
          <w:rFonts w:ascii="Arial" w:hAnsi="Arial" w:cs="Arial"/>
          <w:color w:val="222222"/>
          <w:sz w:val="20"/>
          <w:szCs w:val="20"/>
          <w:shd w:val="clear" w:color="auto" w:fill="FFFFFF"/>
        </w:rPr>
        <w:t>S</w:t>
      </w:r>
      <w:r w:rsidRPr="0092796C">
        <w:rPr>
          <w:rFonts w:ascii="Arial" w:hAnsi="Arial" w:cs="Arial"/>
          <w:color w:val="222222"/>
          <w:sz w:val="20"/>
          <w:szCs w:val="20"/>
          <w:shd w:val="clear" w:color="auto" w:fill="FFFFFF"/>
        </w:rPr>
        <w:t xml:space="preserve">pending in an </w:t>
      </w:r>
      <w:r w:rsidR="00B56B61">
        <w:rPr>
          <w:rFonts w:ascii="Arial" w:hAnsi="Arial" w:cs="Arial"/>
          <w:color w:val="222222"/>
          <w:sz w:val="20"/>
          <w:szCs w:val="20"/>
          <w:shd w:val="clear" w:color="auto" w:fill="FFFFFF"/>
        </w:rPr>
        <w:t>E</w:t>
      </w:r>
      <w:r w:rsidRPr="0092796C">
        <w:rPr>
          <w:rFonts w:ascii="Arial" w:hAnsi="Arial" w:cs="Arial"/>
          <w:color w:val="222222"/>
          <w:sz w:val="20"/>
          <w:szCs w:val="20"/>
          <w:shd w:val="clear" w:color="auto" w:fill="FFFFFF"/>
        </w:rPr>
        <w:t xml:space="preserve">ra of </w:t>
      </w:r>
      <w:r w:rsidR="00B56B61">
        <w:rPr>
          <w:rFonts w:ascii="Arial" w:hAnsi="Arial" w:cs="Arial"/>
          <w:color w:val="222222"/>
          <w:sz w:val="20"/>
          <w:szCs w:val="20"/>
          <w:shd w:val="clear" w:color="auto" w:fill="FFFFFF"/>
        </w:rPr>
        <w:t>D</w:t>
      </w:r>
      <w:r w:rsidRPr="0092796C">
        <w:rPr>
          <w:rFonts w:ascii="Arial" w:hAnsi="Arial" w:cs="Arial"/>
          <w:color w:val="222222"/>
          <w:sz w:val="20"/>
          <w:szCs w:val="20"/>
          <w:shd w:val="clear" w:color="auto" w:fill="FFFFFF"/>
        </w:rPr>
        <w:t xml:space="preserve">emographic </w:t>
      </w:r>
      <w:r w:rsidR="00B56B61">
        <w:rPr>
          <w:rFonts w:ascii="Arial" w:hAnsi="Arial" w:cs="Arial"/>
          <w:color w:val="222222"/>
          <w:sz w:val="20"/>
          <w:szCs w:val="20"/>
          <w:shd w:val="clear" w:color="auto" w:fill="FFFFFF"/>
        </w:rPr>
        <w:t>A</w:t>
      </w:r>
      <w:r w:rsidRPr="0092796C">
        <w:rPr>
          <w:rFonts w:ascii="Arial" w:hAnsi="Arial" w:cs="Arial"/>
          <w:color w:val="222222"/>
          <w:sz w:val="20"/>
          <w:szCs w:val="20"/>
          <w:shd w:val="clear" w:color="auto" w:fill="FFFFFF"/>
        </w:rPr>
        <w:t xml:space="preserve">geing: </w:t>
      </w:r>
      <w:r>
        <w:rPr>
          <w:rFonts w:ascii="Arial" w:hAnsi="Arial" w:cs="Arial"/>
          <w:color w:val="222222"/>
          <w:sz w:val="20"/>
          <w:szCs w:val="20"/>
          <w:shd w:val="clear" w:color="auto" w:fill="FFFFFF"/>
        </w:rPr>
        <w:t>T</w:t>
      </w:r>
      <w:r w:rsidRPr="0092796C">
        <w:rPr>
          <w:rFonts w:ascii="Arial" w:hAnsi="Arial" w:cs="Arial"/>
          <w:color w:val="222222"/>
          <w:sz w:val="20"/>
          <w:szCs w:val="20"/>
          <w:shd w:val="clear" w:color="auto" w:fill="FFFFFF"/>
        </w:rPr>
        <w:t xml:space="preserve">he </w:t>
      </w:r>
      <w:r w:rsidR="00B56B61">
        <w:rPr>
          <w:rFonts w:ascii="Arial" w:hAnsi="Arial" w:cs="Arial"/>
          <w:color w:val="222222"/>
          <w:sz w:val="20"/>
          <w:szCs w:val="20"/>
          <w:shd w:val="clear" w:color="auto" w:fill="FFFFFF"/>
        </w:rPr>
        <w:t>R</w:t>
      </w:r>
      <w:r w:rsidRPr="0092796C">
        <w:rPr>
          <w:rFonts w:ascii="Arial" w:hAnsi="Arial" w:cs="Arial"/>
          <w:color w:val="222222"/>
          <w:sz w:val="20"/>
          <w:szCs w:val="20"/>
          <w:shd w:val="clear" w:color="auto" w:fill="FFFFFF"/>
        </w:rPr>
        <w:t xml:space="preserve">ival </w:t>
      </w:r>
      <w:r w:rsidR="00B56B61">
        <w:rPr>
          <w:rFonts w:ascii="Arial" w:hAnsi="Arial" w:cs="Arial"/>
          <w:color w:val="222222"/>
          <w:sz w:val="20"/>
          <w:szCs w:val="20"/>
          <w:shd w:val="clear" w:color="auto" w:fill="FFFFFF"/>
        </w:rPr>
        <w:t>P</w:t>
      </w:r>
      <w:r w:rsidRPr="0092796C">
        <w:rPr>
          <w:rFonts w:ascii="Arial" w:hAnsi="Arial" w:cs="Arial"/>
          <w:color w:val="222222"/>
          <w:sz w:val="20"/>
          <w:szCs w:val="20"/>
          <w:shd w:val="clear" w:color="auto" w:fill="FFFFFF"/>
        </w:rPr>
        <w:t xml:space="preserve">ressures from </w:t>
      </w:r>
      <w:r w:rsidR="00B56B61">
        <w:rPr>
          <w:rFonts w:ascii="Arial" w:hAnsi="Arial" w:cs="Arial"/>
          <w:color w:val="222222"/>
          <w:sz w:val="20"/>
          <w:szCs w:val="20"/>
          <w:shd w:val="clear" w:color="auto" w:fill="FFFFFF"/>
        </w:rPr>
        <w:t>A</w:t>
      </w:r>
      <w:r w:rsidRPr="0092796C">
        <w:rPr>
          <w:rFonts w:ascii="Arial" w:hAnsi="Arial" w:cs="Arial"/>
          <w:color w:val="222222"/>
          <w:sz w:val="20"/>
          <w:szCs w:val="20"/>
          <w:shd w:val="clear" w:color="auto" w:fill="FFFFFF"/>
        </w:rPr>
        <w:t xml:space="preserve">ge and </w:t>
      </w:r>
      <w:r w:rsidR="00B56B61">
        <w:rPr>
          <w:rFonts w:ascii="Arial" w:hAnsi="Arial" w:cs="Arial"/>
          <w:color w:val="222222"/>
          <w:sz w:val="20"/>
          <w:szCs w:val="20"/>
          <w:shd w:val="clear" w:color="auto" w:fill="FFFFFF"/>
        </w:rPr>
        <w:t>I</w:t>
      </w:r>
      <w:r w:rsidRPr="0092796C">
        <w:rPr>
          <w:rFonts w:ascii="Arial" w:hAnsi="Arial" w:cs="Arial"/>
          <w:color w:val="222222"/>
          <w:sz w:val="20"/>
          <w:szCs w:val="20"/>
          <w:shd w:val="clear" w:color="auto" w:fill="FFFFFF"/>
        </w:rPr>
        <w:t xml:space="preserve">ncome in 14 OECD </w:t>
      </w:r>
      <w:r w:rsidR="00B56B61">
        <w:rPr>
          <w:rFonts w:ascii="Arial" w:hAnsi="Arial" w:cs="Arial"/>
          <w:color w:val="222222"/>
          <w:sz w:val="20"/>
          <w:szCs w:val="20"/>
          <w:shd w:val="clear" w:color="auto" w:fill="FFFFFF"/>
        </w:rPr>
        <w:t>C</w:t>
      </w:r>
      <w:r w:rsidRPr="0092796C">
        <w:rPr>
          <w:rFonts w:ascii="Arial" w:hAnsi="Arial" w:cs="Arial"/>
          <w:color w:val="222222"/>
          <w:sz w:val="20"/>
          <w:szCs w:val="20"/>
          <w:shd w:val="clear" w:color="auto" w:fill="FFFFFF"/>
        </w:rPr>
        <w:t>ountries</w:t>
      </w:r>
      <w:r>
        <w:rPr>
          <w:rFonts w:ascii="Arial" w:hAnsi="Arial" w:cs="Arial"/>
          <w:color w:val="222222"/>
          <w:sz w:val="20"/>
          <w:szCs w:val="20"/>
          <w:shd w:val="clear" w:color="auto" w:fill="FFFFFF"/>
        </w:rPr>
        <w:t>’,</w:t>
      </w:r>
      <w:r w:rsidRPr="0092796C">
        <w:rPr>
          <w:rFonts w:ascii="Arial" w:hAnsi="Arial" w:cs="Arial"/>
          <w:color w:val="222222"/>
          <w:sz w:val="20"/>
          <w:szCs w:val="20"/>
          <w:shd w:val="clear" w:color="auto" w:fill="FFFFFF"/>
        </w:rPr>
        <w:t xml:space="preserve"> </w:t>
      </w:r>
      <w:r w:rsidRPr="0092796C">
        <w:rPr>
          <w:rFonts w:ascii="Arial" w:hAnsi="Arial" w:cs="Arial"/>
          <w:i/>
          <w:color w:val="222222"/>
          <w:sz w:val="20"/>
          <w:szCs w:val="20"/>
          <w:shd w:val="clear" w:color="auto" w:fill="FFFFFF"/>
        </w:rPr>
        <w:t>Journal of European Social Policy</w:t>
      </w:r>
      <w:r w:rsidRPr="0092796C">
        <w:rPr>
          <w:rFonts w:ascii="Arial" w:hAnsi="Arial" w:cs="Arial"/>
          <w:color w:val="222222"/>
          <w:sz w:val="20"/>
          <w:szCs w:val="20"/>
          <w:shd w:val="clear" w:color="auto" w:fill="FFFFFF"/>
        </w:rPr>
        <w:t>, 19(3)</w:t>
      </w:r>
      <w:r>
        <w:rPr>
          <w:rFonts w:ascii="Arial" w:hAnsi="Arial" w:cs="Arial"/>
          <w:color w:val="222222"/>
          <w:sz w:val="20"/>
          <w:szCs w:val="20"/>
          <w:shd w:val="clear" w:color="auto" w:fill="FFFFFF"/>
        </w:rPr>
        <w:t xml:space="preserve">: </w:t>
      </w:r>
      <w:r w:rsidRPr="0092796C">
        <w:rPr>
          <w:rFonts w:ascii="Arial" w:hAnsi="Arial" w:cs="Arial"/>
          <w:color w:val="222222"/>
          <w:sz w:val="20"/>
          <w:szCs w:val="20"/>
          <w:shd w:val="clear" w:color="auto" w:fill="FFFFFF"/>
        </w:rPr>
        <w:t>195</w:t>
      </w:r>
      <w:r w:rsidR="00B56B61" w:rsidRPr="008E5D31">
        <w:rPr>
          <w:rFonts w:ascii="Arial" w:hAnsi="Arial" w:cs="Arial"/>
          <w:color w:val="222222"/>
          <w:sz w:val="20"/>
          <w:szCs w:val="20"/>
          <w:shd w:val="clear" w:color="auto" w:fill="FFFFFF"/>
        </w:rPr>
        <w:t>–</w:t>
      </w:r>
      <w:r w:rsidRPr="0092796C">
        <w:rPr>
          <w:rFonts w:ascii="Arial" w:hAnsi="Arial" w:cs="Arial"/>
          <w:color w:val="222222"/>
          <w:sz w:val="20"/>
          <w:szCs w:val="20"/>
          <w:shd w:val="clear" w:color="auto" w:fill="FFFFFF"/>
        </w:rPr>
        <w:t>212.</w:t>
      </w:r>
    </w:p>
    <w:p w:rsidR="00AA6399" w:rsidRDefault="00AA6399" w:rsidP="00753EC4">
      <w:pPr>
        <w:spacing w:line="480" w:lineRule="auto"/>
      </w:pPr>
      <w:proofErr w:type="spellStart"/>
      <w:r>
        <w:rPr>
          <w:rFonts w:ascii="Arial" w:hAnsi="Arial" w:cs="Arial"/>
          <w:color w:val="222222"/>
          <w:sz w:val="20"/>
          <w:szCs w:val="20"/>
          <w:shd w:val="clear" w:color="auto" w:fill="FFFFFF"/>
        </w:rPr>
        <w:t>Calomiris</w:t>
      </w:r>
      <w:proofErr w:type="spellEnd"/>
      <w:r>
        <w:rPr>
          <w:rFonts w:ascii="Arial" w:hAnsi="Arial" w:cs="Arial"/>
          <w:color w:val="222222"/>
          <w:sz w:val="20"/>
          <w:szCs w:val="20"/>
          <w:shd w:val="clear" w:color="auto" w:fill="FFFFFF"/>
        </w:rPr>
        <w:t xml:space="preserve">, C. (1997). ‘The IMF's </w:t>
      </w:r>
      <w:r w:rsidR="00B56B61">
        <w:rPr>
          <w:rFonts w:ascii="Arial" w:hAnsi="Arial" w:cs="Arial"/>
          <w:color w:val="222222"/>
          <w:sz w:val="20"/>
          <w:szCs w:val="20"/>
          <w:shd w:val="clear" w:color="auto" w:fill="FFFFFF"/>
        </w:rPr>
        <w:t>I</w:t>
      </w:r>
      <w:r>
        <w:rPr>
          <w:rFonts w:ascii="Arial" w:hAnsi="Arial" w:cs="Arial"/>
          <w:color w:val="222222"/>
          <w:sz w:val="20"/>
          <w:szCs w:val="20"/>
          <w:shd w:val="clear" w:color="auto" w:fill="FFFFFF"/>
        </w:rPr>
        <w:t xml:space="preserve">mprudent </w:t>
      </w:r>
      <w:r w:rsidR="00B56B61">
        <w:rPr>
          <w:rFonts w:ascii="Arial" w:hAnsi="Arial" w:cs="Arial"/>
          <w:color w:val="222222"/>
          <w:sz w:val="20"/>
          <w:szCs w:val="20"/>
          <w:shd w:val="clear" w:color="auto" w:fill="FFFFFF"/>
        </w:rPr>
        <w:t>R</w:t>
      </w:r>
      <w:r>
        <w:rPr>
          <w:rFonts w:ascii="Arial" w:hAnsi="Arial" w:cs="Arial"/>
          <w:color w:val="222222"/>
          <w:sz w:val="20"/>
          <w:szCs w:val="20"/>
          <w:shd w:val="clear" w:color="auto" w:fill="FFFFFF"/>
        </w:rPr>
        <w:t xml:space="preserve">ole as </w:t>
      </w:r>
      <w:r w:rsidR="00B56B61">
        <w:rPr>
          <w:rFonts w:ascii="Arial" w:hAnsi="Arial" w:cs="Arial"/>
          <w:color w:val="222222"/>
          <w:sz w:val="20"/>
          <w:szCs w:val="20"/>
          <w:shd w:val="clear" w:color="auto" w:fill="FFFFFF"/>
        </w:rPr>
        <w:t>L</w:t>
      </w:r>
      <w:r>
        <w:rPr>
          <w:rFonts w:ascii="Arial" w:hAnsi="Arial" w:cs="Arial"/>
          <w:color w:val="222222"/>
          <w:sz w:val="20"/>
          <w:szCs w:val="20"/>
          <w:shd w:val="clear" w:color="auto" w:fill="FFFFFF"/>
        </w:rPr>
        <w:t xml:space="preserve">ender of </w:t>
      </w:r>
      <w:r w:rsidR="00B56B61">
        <w:rPr>
          <w:rFonts w:ascii="Arial" w:hAnsi="Arial" w:cs="Arial"/>
          <w:color w:val="222222"/>
          <w:sz w:val="20"/>
          <w:szCs w:val="20"/>
          <w:shd w:val="clear" w:color="auto" w:fill="FFFFFF"/>
        </w:rPr>
        <w:t>L</w:t>
      </w:r>
      <w:r>
        <w:rPr>
          <w:rFonts w:ascii="Arial" w:hAnsi="Arial" w:cs="Arial"/>
          <w:color w:val="222222"/>
          <w:sz w:val="20"/>
          <w:szCs w:val="20"/>
          <w:shd w:val="clear" w:color="auto" w:fill="FFFFFF"/>
        </w:rPr>
        <w:t xml:space="preserve">ast </w:t>
      </w:r>
      <w:r w:rsidR="00B56B61">
        <w:rPr>
          <w:rFonts w:ascii="Arial" w:hAnsi="Arial" w:cs="Arial"/>
          <w:color w:val="222222"/>
          <w:sz w:val="20"/>
          <w:szCs w:val="20"/>
          <w:shd w:val="clear" w:color="auto" w:fill="FFFFFF"/>
        </w:rPr>
        <w:t>R</w:t>
      </w:r>
      <w:r>
        <w:rPr>
          <w:rFonts w:ascii="Arial" w:hAnsi="Arial" w:cs="Arial"/>
          <w:color w:val="222222"/>
          <w:sz w:val="20"/>
          <w:szCs w:val="20"/>
          <w:shd w:val="clear" w:color="auto" w:fill="FFFFFF"/>
        </w:rPr>
        <w:t>esort’, </w:t>
      </w:r>
      <w:r>
        <w:rPr>
          <w:rFonts w:ascii="Arial" w:hAnsi="Arial" w:cs="Arial"/>
          <w:i/>
          <w:iCs/>
          <w:color w:val="222222"/>
          <w:sz w:val="20"/>
          <w:szCs w:val="20"/>
          <w:shd w:val="clear" w:color="auto" w:fill="FFFFFF"/>
        </w:rPr>
        <w:t>Journal of the Cato Institute</w:t>
      </w:r>
      <w:r w:rsidRPr="00AA6399">
        <w:rPr>
          <w:rFonts w:ascii="Arial" w:hAnsi="Arial" w:cs="Arial"/>
          <w:color w:val="222222"/>
          <w:sz w:val="20"/>
          <w:szCs w:val="20"/>
          <w:shd w:val="clear" w:color="auto" w:fill="FFFFFF"/>
        </w:rPr>
        <w:t>, </w:t>
      </w:r>
      <w:r w:rsidRPr="00AA6399">
        <w:rPr>
          <w:rFonts w:ascii="Arial" w:hAnsi="Arial" w:cs="Arial"/>
          <w:iCs/>
          <w:color w:val="222222"/>
          <w:sz w:val="20"/>
          <w:szCs w:val="20"/>
          <w:shd w:val="clear" w:color="auto" w:fill="FFFFFF"/>
        </w:rPr>
        <w:t>17</w:t>
      </w:r>
      <w:r>
        <w:rPr>
          <w:rFonts w:ascii="Arial" w:hAnsi="Arial" w:cs="Arial"/>
          <w:iCs/>
          <w:color w:val="222222"/>
          <w:sz w:val="20"/>
          <w:szCs w:val="20"/>
          <w:shd w:val="clear" w:color="auto" w:fill="FFFFFF"/>
        </w:rPr>
        <w:t>(1)</w:t>
      </w:r>
      <w:r>
        <w:rPr>
          <w:rFonts w:ascii="Arial" w:hAnsi="Arial" w:cs="Arial"/>
          <w:color w:val="222222"/>
          <w:sz w:val="20"/>
          <w:szCs w:val="20"/>
          <w:shd w:val="clear" w:color="auto" w:fill="FFFFFF"/>
        </w:rPr>
        <w:t>: 275</w:t>
      </w:r>
      <w:r w:rsidR="00B56B61" w:rsidRPr="008E5D31">
        <w:rPr>
          <w:rFonts w:ascii="Arial" w:hAnsi="Arial" w:cs="Arial"/>
          <w:color w:val="222222"/>
          <w:sz w:val="20"/>
          <w:szCs w:val="20"/>
          <w:shd w:val="clear" w:color="auto" w:fill="FFFFFF"/>
        </w:rPr>
        <w:t>–</w:t>
      </w:r>
      <w:r>
        <w:rPr>
          <w:rFonts w:ascii="Arial" w:hAnsi="Arial" w:cs="Arial"/>
          <w:color w:val="222222"/>
          <w:sz w:val="20"/>
          <w:szCs w:val="20"/>
          <w:shd w:val="clear" w:color="auto" w:fill="FFFFFF"/>
        </w:rPr>
        <w:t>94.</w:t>
      </w:r>
    </w:p>
    <w:p w:rsidR="005C59F9" w:rsidRPr="005C59F9" w:rsidRDefault="005C59F9" w:rsidP="00753EC4">
      <w:pPr>
        <w:spacing w:line="480" w:lineRule="auto"/>
      </w:pPr>
      <w:proofErr w:type="spellStart"/>
      <w:r>
        <w:t>Chossudovsky</w:t>
      </w:r>
      <w:proofErr w:type="spellEnd"/>
      <w:r>
        <w:t xml:space="preserve">, M. (1999) </w:t>
      </w:r>
      <w:r>
        <w:rPr>
          <w:i/>
        </w:rPr>
        <w:t>The Globalization of Poverty and the New World Order</w:t>
      </w:r>
      <w:r>
        <w:t>. Montreal: Global Research.</w:t>
      </w:r>
    </w:p>
    <w:p w:rsidR="00AA11B7" w:rsidRDefault="00AA11B7" w:rsidP="00753EC4">
      <w:pPr>
        <w:spacing w:line="480" w:lineRule="auto"/>
      </w:pPr>
      <w:r w:rsidRPr="00AA11B7">
        <w:t xml:space="preserve">Clegg, L. </w:t>
      </w:r>
      <w:r>
        <w:t>(</w:t>
      </w:r>
      <w:r w:rsidRPr="00AA11B7">
        <w:t>2010</w:t>
      </w:r>
      <w:r>
        <w:t>)</w:t>
      </w:r>
      <w:r w:rsidRPr="00AA11B7">
        <w:t xml:space="preserve"> </w:t>
      </w:r>
      <w:r>
        <w:t>‘</w:t>
      </w:r>
      <w:r w:rsidRPr="00AA11B7">
        <w:t xml:space="preserve">Our </w:t>
      </w:r>
      <w:r w:rsidR="00B56B61">
        <w:t>D</w:t>
      </w:r>
      <w:r w:rsidRPr="00AA11B7">
        <w:t xml:space="preserve">ream is a </w:t>
      </w:r>
      <w:r w:rsidR="00B56B61">
        <w:t>W</w:t>
      </w:r>
      <w:r w:rsidRPr="00AA11B7">
        <w:t xml:space="preserve">orld </w:t>
      </w:r>
      <w:r w:rsidR="00B56B61">
        <w:t>F</w:t>
      </w:r>
      <w:r w:rsidRPr="00AA11B7">
        <w:t xml:space="preserve">ull of </w:t>
      </w:r>
      <w:r w:rsidR="00B56B61">
        <w:t>P</w:t>
      </w:r>
      <w:r w:rsidRPr="00AA11B7">
        <w:t xml:space="preserve">overty </w:t>
      </w:r>
      <w:r w:rsidR="00B56B61">
        <w:t>I</w:t>
      </w:r>
      <w:r w:rsidRPr="00AA11B7">
        <w:t xml:space="preserve">ndicators: </w:t>
      </w:r>
      <w:r>
        <w:t>T</w:t>
      </w:r>
      <w:r w:rsidRPr="00AA11B7">
        <w:t xml:space="preserve">he US, the World Bank, and the </w:t>
      </w:r>
      <w:r w:rsidR="00B56B61">
        <w:t>P</w:t>
      </w:r>
      <w:r w:rsidRPr="00AA11B7">
        <w:t xml:space="preserve">ower of </w:t>
      </w:r>
      <w:r w:rsidR="00B56B61">
        <w:t>N</w:t>
      </w:r>
      <w:r w:rsidRPr="00AA11B7">
        <w:t>umbers</w:t>
      </w:r>
      <w:r>
        <w:t>’,</w:t>
      </w:r>
      <w:r w:rsidRPr="00AA11B7">
        <w:t xml:space="preserve"> </w:t>
      </w:r>
      <w:r w:rsidRPr="00AA11B7">
        <w:rPr>
          <w:i/>
        </w:rPr>
        <w:t>New Political Economy</w:t>
      </w:r>
      <w:r w:rsidRPr="00AA11B7">
        <w:t>, 15(4)</w:t>
      </w:r>
      <w:r>
        <w:t xml:space="preserve">: </w:t>
      </w:r>
      <w:r w:rsidRPr="00AA11B7">
        <w:t>473</w:t>
      </w:r>
      <w:r w:rsidR="00B56B61" w:rsidRPr="008E5D31">
        <w:rPr>
          <w:rFonts w:ascii="Arial" w:hAnsi="Arial" w:cs="Arial"/>
          <w:color w:val="222222"/>
          <w:sz w:val="20"/>
          <w:szCs w:val="20"/>
          <w:shd w:val="clear" w:color="auto" w:fill="FFFFFF"/>
        </w:rPr>
        <w:t>–</w:t>
      </w:r>
      <w:r w:rsidRPr="00AA11B7">
        <w:t>492.</w:t>
      </w:r>
    </w:p>
    <w:p w:rsidR="00453395" w:rsidRDefault="00453395" w:rsidP="00753EC4">
      <w:pPr>
        <w:spacing w:line="480" w:lineRule="auto"/>
      </w:pPr>
      <w:r w:rsidRPr="00453395">
        <w:t xml:space="preserve">Clegg, L. </w:t>
      </w:r>
      <w:r>
        <w:t>(</w:t>
      </w:r>
      <w:r w:rsidRPr="00453395">
        <w:t>2014</w:t>
      </w:r>
      <w:r>
        <w:t>)</w:t>
      </w:r>
      <w:r w:rsidRPr="00453395">
        <w:t xml:space="preserve"> </w:t>
      </w:r>
      <w:r>
        <w:t>‘</w:t>
      </w:r>
      <w:r w:rsidRPr="00453395">
        <w:t xml:space="preserve">Social </w:t>
      </w:r>
      <w:r w:rsidR="00B56B61">
        <w:t>S</w:t>
      </w:r>
      <w:r w:rsidRPr="00453395">
        <w:t xml:space="preserve">pending </w:t>
      </w:r>
      <w:r w:rsidR="00B56B61">
        <w:t>T</w:t>
      </w:r>
      <w:r w:rsidRPr="00453395">
        <w:t xml:space="preserve">argets in IMF </w:t>
      </w:r>
      <w:r w:rsidR="00B56B61">
        <w:t>C</w:t>
      </w:r>
      <w:r w:rsidRPr="00453395">
        <w:t xml:space="preserve">oncessional </w:t>
      </w:r>
      <w:r w:rsidR="00B56B61">
        <w:t>L</w:t>
      </w:r>
      <w:r w:rsidRPr="00453395">
        <w:t xml:space="preserve">ending: US </w:t>
      </w:r>
      <w:r w:rsidR="00B56B61">
        <w:t>D</w:t>
      </w:r>
      <w:r w:rsidRPr="00453395">
        <w:t xml:space="preserve">omestic </w:t>
      </w:r>
      <w:r w:rsidR="00B56B61">
        <w:t>P</w:t>
      </w:r>
      <w:r w:rsidRPr="00453395">
        <w:t xml:space="preserve">olitics and the </w:t>
      </w:r>
      <w:r w:rsidR="00B56B61">
        <w:t>I</w:t>
      </w:r>
      <w:r w:rsidRPr="00453395">
        <w:t xml:space="preserve">nstitutional </w:t>
      </w:r>
      <w:r w:rsidR="00B56B61">
        <w:t>F</w:t>
      </w:r>
      <w:r w:rsidRPr="00453395">
        <w:t xml:space="preserve">oundations of </w:t>
      </w:r>
      <w:r w:rsidR="00B56B61">
        <w:t>R</w:t>
      </w:r>
      <w:r w:rsidRPr="00453395">
        <w:t xml:space="preserve">apid </w:t>
      </w:r>
      <w:r w:rsidR="00B56B61">
        <w:t>O</w:t>
      </w:r>
      <w:r w:rsidRPr="00453395">
        <w:t xml:space="preserve">perational </w:t>
      </w:r>
      <w:r w:rsidR="00B56B61">
        <w:t>C</w:t>
      </w:r>
      <w:r w:rsidRPr="00453395">
        <w:t>hange</w:t>
      </w:r>
      <w:r>
        <w:t>’,</w:t>
      </w:r>
      <w:r w:rsidRPr="00453395">
        <w:t xml:space="preserve"> </w:t>
      </w:r>
      <w:r w:rsidRPr="00453395">
        <w:rPr>
          <w:i/>
        </w:rPr>
        <w:t>Review of International Political Economy</w:t>
      </w:r>
      <w:r w:rsidRPr="00453395">
        <w:t xml:space="preserve"> 21(3)</w:t>
      </w:r>
      <w:r>
        <w:t xml:space="preserve">: </w:t>
      </w:r>
      <w:r w:rsidRPr="00453395">
        <w:t>735</w:t>
      </w:r>
      <w:r w:rsidR="00B56B61" w:rsidRPr="008E5D31">
        <w:rPr>
          <w:rFonts w:ascii="Arial" w:hAnsi="Arial" w:cs="Arial"/>
          <w:color w:val="222222"/>
          <w:sz w:val="20"/>
          <w:szCs w:val="20"/>
          <w:shd w:val="clear" w:color="auto" w:fill="FFFFFF"/>
        </w:rPr>
        <w:t>–</w:t>
      </w:r>
      <w:r w:rsidRPr="00453395">
        <w:t>763.</w:t>
      </w:r>
    </w:p>
    <w:p w:rsidR="002C0FFC" w:rsidRDefault="002C0FFC" w:rsidP="00753EC4">
      <w:pPr>
        <w:spacing w:line="480" w:lineRule="auto"/>
      </w:pPr>
      <w:r w:rsidRPr="002C0FFC">
        <w:t xml:space="preserve">Clegg, L. </w:t>
      </w:r>
      <w:r>
        <w:t>(</w:t>
      </w:r>
      <w:r w:rsidRPr="002C0FFC">
        <w:t>2015</w:t>
      </w:r>
      <w:r>
        <w:t>)</w:t>
      </w:r>
      <w:r w:rsidRPr="002C0FFC">
        <w:t xml:space="preserve"> </w:t>
      </w:r>
      <w:r>
        <w:t>‘</w:t>
      </w:r>
      <w:r w:rsidRPr="002C0FFC">
        <w:t xml:space="preserve">Benchmarking and </w:t>
      </w:r>
      <w:r w:rsidR="00B56B61">
        <w:t>B</w:t>
      </w:r>
      <w:r w:rsidRPr="002C0FFC">
        <w:t xml:space="preserve">lame </w:t>
      </w:r>
      <w:r w:rsidR="00B56B61">
        <w:t>G</w:t>
      </w:r>
      <w:r w:rsidRPr="002C0FFC">
        <w:t xml:space="preserve">ames: Exploring the </w:t>
      </w:r>
      <w:r w:rsidR="00B56B61">
        <w:t>C</w:t>
      </w:r>
      <w:r w:rsidRPr="002C0FFC">
        <w:t>ontestation of the Millennium Development Goals</w:t>
      </w:r>
      <w:r>
        <w:t>’,</w:t>
      </w:r>
      <w:r w:rsidRPr="002C0FFC">
        <w:t xml:space="preserve"> </w:t>
      </w:r>
      <w:r w:rsidRPr="002C0FFC">
        <w:rPr>
          <w:i/>
        </w:rPr>
        <w:t>Review of International Studies</w:t>
      </w:r>
      <w:r w:rsidRPr="002C0FFC">
        <w:t>, 41(5)</w:t>
      </w:r>
      <w:r>
        <w:t xml:space="preserve">: </w:t>
      </w:r>
      <w:r w:rsidRPr="002C0FFC">
        <w:t>947</w:t>
      </w:r>
      <w:r w:rsidR="00B56B61" w:rsidRPr="008E5D31">
        <w:rPr>
          <w:rFonts w:ascii="Arial" w:hAnsi="Arial" w:cs="Arial"/>
          <w:color w:val="222222"/>
          <w:sz w:val="20"/>
          <w:szCs w:val="20"/>
          <w:shd w:val="clear" w:color="auto" w:fill="FFFFFF"/>
        </w:rPr>
        <w:t>–</w:t>
      </w:r>
      <w:r w:rsidRPr="002C0FFC">
        <w:t>967.</w:t>
      </w:r>
    </w:p>
    <w:p w:rsidR="00F66CEF" w:rsidRDefault="00F66CEF" w:rsidP="00753EC4">
      <w:pPr>
        <w:spacing w:line="480" w:lineRule="auto"/>
      </w:pPr>
      <w:proofErr w:type="spellStart"/>
      <w:r w:rsidRPr="00F66CEF">
        <w:t>Crivelli</w:t>
      </w:r>
      <w:proofErr w:type="spellEnd"/>
      <w:r w:rsidRPr="00F66CEF">
        <w:t xml:space="preserve">, E. and </w:t>
      </w:r>
      <w:r>
        <w:t xml:space="preserve">S. </w:t>
      </w:r>
      <w:r w:rsidRPr="00F66CEF">
        <w:t>Gupta</w:t>
      </w:r>
      <w:r>
        <w:t>.</w:t>
      </w:r>
      <w:r w:rsidRPr="00F66CEF">
        <w:t xml:space="preserve"> </w:t>
      </w:r>
      <w:r>
        <w:t>(</w:t>
      </w:r>
      <w:r w:rsidRPr="00F66CEF">
        <w:t>2016</w:t>
      </w:r>
      <w:r>
        <w:t>)</w:t>
      </w:r>
      <w:r w:rsidRPr="00F66CEF">
        <w:t xml:space="preserve"> </w:t>
      </w:r>
      <w:r>
        <w:t>‘</w:t>
      </w:r>
      <w:r w:rsidRPr="00F66CEF">
        <w:t xml:space="preserve">Does </w:t>
      </w:r>
      <w:r w:rsidR="00B56B61">
        <w:t>C</w:t>
      </w:r>
      <w:r w:rsidRPr="00F66CEF">
        <w:t>onditionality in IMF-</w:t>
      </w:r>
      <w:r w:rsidR="00B56B61">
        <w:t>S</w:t>
      </w:r>
      <w:r w:rsidRPr="00F66CEF">
        <w:t xml:space="preserve">upported </w:t>
      </w:r>
      <w:r w:rsidR="00B56B61">
        <w:t>P</w:t>
      </w:r>
      <w:r w:rsidRPr="00F66CEF">
        <w:t xml:space="preserve">rograms </w:t>
      </w:r>
      <w:r w:rsidR="00B56B61">
        <w:t>P</w:t>
      </w:r>
      <w:r w:rsidRPr="00F66CEF">
        <w:t xml:space="preserve">romote </w:t>
      </w:r>
      <w:r w:rsidR="00B56B61">
        <w:t>R</w:t>
      </w:r>
      <w:r w:rsidRPr="00F66CEF">
        <w:t xml:space="preserve">evenue </w:t>
      </w:r>
      <w:r w:rsidR="00B56B61">
        <w:t>R</w:t>
      </w:r>
      <w:r w:rsidRPr="00F66CEF">
        <w:t>eform?</w:t>
      </w:r>
      <w:proofErr w:type="gramStart"/>
      <w:r>
        <w:t>’,</w:t>
      </w:r>
      <w:proofErr w:type="gramEnd"/>
      <w:r w:rsidRPr="00F66CEF">
        <w:t xml:space="preserve"> </w:t>
      </w:r>
      <w:r w:rsidRPr="00F66CEF">
        <w:rPr>
          <w:i/>
        </w:rPr>
        <w:t>International Tax and Public Finance</w:t>
      </w:r>
      <w:r w:rsidRPr="00F66CEF">
        <w:t>, 23(3)</w:t>
      </w:r>
      <w:r>
        <w:t xml:space="preserve">: </w:t>
      </w:r>
      <w:r w:rsidRPr="00F66CEF">
        <w:t>550</w:t>
      </w:r>
      <w:r w:rsidR="00B56B61" w:rsidRPr="008E5D31">
        <w:rPr>
          <w:rFonts w:ascii="Arial" w:hAnsi="Arial" w:cs="Arial"/>
          <w:color w:val="222222"/>
          <w:sz w:val="20"/>
          <w:szCs w:val="20"/>
          <w:shd w:val="clear" w:color="auto" w:fill="FFFFFF"/>
        </w:rPr>
        <w:t>–</w:t>
      </w:r>
      <w:r w:rsidRPr="00F66CEF">
        <w:t>579.</w:t>
      </w:r>
    </w:p>
    <w:p w:rsidR="00BA779C" w:rsidRDefault="00BA779C" w:rsidP="00753EC4">
      <w:pPr>
        <w:spacing w:line="480" w:lineRule="auto"/>
      </w:pPr>
      <w:proofErr w:type="spellStart"/>
      <w:r>
        <w:t>Dethier</w:t>
      </w:r>
      <w:proofErr w:type="spellEnd"/>
      <w:r>
        <w:t>, J</w:t>
      </w:r>
      <w:r w:rsidRPr="00BA779C">
        <w:t xml:space="preserve">. </w:t>
      </w:r>
      <w:r>
        <w:t>(</w:t>
      </w:r>
      <w:r w:rsidRPr="00BA779C">
        <w:t>2007</w:t>
      </w:r>
      <w:r>
        <w:t>)</w:t>
      </w:r>
      <w:r w:rsidRPr="00BA779C">
        <w:t xml:space="preserve"> </w:t>
      </w:r>
      <w:r>
        <w:t>‘</w:t>
      </w:r>
      <w:r w:rsidRPr="00BA779C">
        <w:t xml:space="preserve">Producing </w:t>
      </w:r>
      <w:r w:rsidR="00B56B61">
        <w:t>K</w:t>
      </w:r>
      <w:r w:rsidRPr="00BA779C">
        <w:t xml:space="preserve">nowledge for </w:t>
      </w:r>
      <w:r w:rsidR="00B56B61">
        <w:t>D</w:t>
      </w:r>
      <w:r w:rsidRPr="00BA779C">
        <w:t xml:space="preserve">evelopment: </w:t>
      </w:r>
      <w:r>
        <w:t>R</w:t>
      </w:r>
      <w:r w:rsidRPr="00BA779C">
        <w:t>esearch at the World Bank</w:t>
      </w:r>
      <w:r>
        <w:t>’,</w:t>
      </w:r>
      <w:r w:rsidRPr="00BA779C">
        <w:t xml:space="preserve"> </w:t>
      </w:r>
      <w:r w:rsidRPr="00BA779C">
        <w:rPr>
          <w:i/>
        </w:rPr>
        <w:t>Global Governance</w:t>
      </w:r>
      <w:r w:rsidRPr="00BA779C">
        <w:t>, 13(4)</w:t>
      </w:r>
      <w:r>
        <w:t xml:space="preserve">: </w:t>
      </w:r>
      <w:r w:rsidRPr="00BA779C">
        <w:t>469</w:t>
      </w:r>
      <w:r w:rsidR="00B56B61" w:rsidRPr="008E5D31">
        <w:rPr>
          <w:rFonts w:ascii="Arial" w:hAnsi="Arial" w:cs="Arial"/>
          <w:color w:val="222222"/>
          <w:sz w:val="20"/>
          <w:szCs w:val="20"/>
          <w:shd w:val="clear" w:color="auto" w:fill="FFFFFF"/>
        </w:rPr>
        <w:t>–</w:t>
      </w:r>
      <w:r w:rsidRPr="00BA779C">
        <w:t>478.</w:t>
      </w:r>
    </w:p>
    <w:p w:rsidR="002C071B" w:rsidRDefault="002C071B" w:rsidP="00753EC4">
      <w:pPr>
        <w:spacing w:line="480" w:lineRule="auto"/>
      </w:pPr>
      <w:r w:rsidRPr="002C071B">
        <w:t xml:space="preserve">Diamond, P. </w:t>
      </w:r>
      <w:r>
        <w:t>and</w:t>
      </w:r>
      <w:r w:rsidRPr="002C071B">
        <w:t xml:space="preserve"> </w:t>
      </w:r>
      <w:r>
        <w:t xml:space="preserve">G. </w:t>
      </w:r>
      <w:r w:rsidRPr="002C071B">
        <w:t xml:space="preserve">Lodge. (2013) </w:t>
      </w:r>
      <w:r w:rsidRPr="002C071B">
        <w:rPr>
          <w:i/>
        </w:rPr>
        <w:t xml:space="preserve">European </w:t>
      </w:r>
      <w:r>
        <w:rPr>
          <w:i/>
        </w:rPr>
        <w:t>W</w:t>
      </w:r>
      <w:r w:rsidRPr="002C071B">
        <w:rPr>
          <w:i/>
        </w:rPr>
        <w:t xml:space="preserve">elfare </w:t>
      </w:r>
      <w:r>
        <w:rPr>
          <w:i/>
        </w:rPr>
        <w:t>S</w:t>
      </w:r>
      <w:r w:rsidRPr="002C071B">
        <w:rPr>
          <w:i/>
        </w:rPr>
        <w:t xml:space="preserve">tates after the </w:t>
      </w:r>
      <w:r>
        <w:rPr>
          <w:i/>
        </w:rPr>
        <w:t>C</w:t>
      </w:r>
      <w:r w:rsidRPr="002C071B">
        <w:rPr>
          <w:i/>
        </w:rPr>
        <w:t>risis</w:t>
      </w:r>
      <w:r w:rsidRPr="002C071B">
        <w:t xml:space="preserve">. </w:t>
      </w:r>
      <w:r>
        <w:t xml:space="preserve">London: </w:t>
      </w:r>
      <w:r w:rsidRPr="002C071B">
        <w:t>Policy Network.</w:t>
      </w:r>
    </w:p>
    <w:p w:rsidR="00FB5C3A" w:rsidRDefault="00FB5C3A" w:rsidP="00753EC4">
      <w:pPr>
        <w:spacing w:line="480" w:lineRule="auto"/>
      </w:pPr>
      <w:r w:rsidRPr="00FB5C3A">
        <w:t xml:space="preserve">Gallagher, K. </w:t>
      </w:r>
      <w:r>
        <w:t>(</w:t>
      </w:r>
      <w:r w:rsidRPr="00FB5C3A">
        <w:t>2015</w:t>
      </w:r>
      <w:r>
        <w:t>)</w:t>
      </w:r>
      <w:r w:rsidRPr="00FB5C3A">
        <w:t xml:space="preserve"> </w:t>
      </w:r>
      <w:r>
        <w:t>‘</w:t>
      </w:r>
      <w:r w:rsidRPr="00FB5C3A">
        <w:t>Contesting the Governance of Capital Flows at the IMF</w:t>
      </w:r>
      <w:r>
        <w:t>’,</w:t>
      </w:r>
      <w:r w:rsidRPr="00FB5C3A">
        <w:t xml:space="preserve"> </w:t>
      </w:r>
      <w:r w:rsidRPr="00FB5C3A">
        <w:rPr>
          <w:i/>
        </w:rPr>
        <w:t>Governance</w:t>
      </w:r>
      <w:r w:rsidRPr="00FB5C3A">
        <w:t>, 28(2)</w:t>
      </w:r>
      <w:r>
        <w:t xml:space="preserve">: </w:t>
      </w:r>
      <w:r w:rsidRPr="00FB5C3A">
        <w:t>185</w:t>
      </w:r>
      <w:r w:rsidR="00124BD7" w:rsidRPr="008E5D31">
        <w:rPr>
          <w:rFonts w:ascii="Arial" w:hAnsi="Arial" w:cs="Arial"/>
          <w:color w:val="222222"/>
          <w:sz w:val="20"/>
          <w:szCs w:val="20"/>
          <w:shd w:val="clear" w:color="auto" w:fill="FFFFFF"/>
        </w:rPr>
        <w:t>–</w:t>
      </w:r>
      <w:r w:rsidRPr="00FB5C3A">
        <w:t>198.</w:t>
      </w:r>
    </w:p>
    <w:p w:rsidR="00533A05" w:rsidRPr="00533A05" w:rsidRDefault="00533A05" w:rsidP="00753EC4">
      <w:pPr>
        <w:spacing w:line="480" w:lineRule="auto"/>
      </w:pPr>
      <w:proofErr w:type="spellStart"/>
      <w:r>
        <w:t>Gelbach</w:t>
      </w:r>
      <w:proofErr w:type="spellEnd"/>
      <w:r>
        <w:t xml:space="preserve">, J. and L. Pritchett (1997) ‘More for the </w:t>
      </w:r>
      <w:r w:rsidR="00124BD7">
        <w:t>P</w:t>
      </w:r>
      <w:r>
        <w:t xml:space="preserve">oor is </w:t>
      </w:r>
      <w:r w:rsidR="00124BD7">
        <w:t>L</w:t>
      </w:r>
      <w:r>
        <w:t xml:space="preserve">ess for the </w:t>
      </w:r>
      <w:r w:rsidR="00124BD7">
        <w:t>P</w:t>
      </w:r>
      <w:r>
        <w:t xml:space="preserve">oor: The </w:t>
      </w:r>
      <w:r w:rsidR="00124BD7">
        <w:t>P</w:t>
      </w:r>
      <w:r>
        <w:t xml:space="preserve">olitics of </w:t>
      </w:r>
      <w:r w:rsidR="00124BD7">
        <w:t>T</w:t>
      </w:r>
      <w:r>
        <w:t xml:space="preserve">argeting’, </w:t>
      </w:r>
      <w:r>
        <w:rPr>
          <w:i/>
        </w:rPr>
        <w:t>World Bank Policy Research Paper</w:t>
      </w:r>
      <w:r>
        <w:t>, Working Paper 1799: 1</w:t>
      </w:r>
      <w:r w:rsidR="00124BD7" w:rsidRPr="008E5D31">
        <w:rPr>
          <w:rFonts w:ascii="Arial" w:hAnsi="Arial" w:cs="Arial"/>
          <w:color w:val="222222"/>
          <w:sz w:val="20"/>
          <w:szCs w:val="20"/>
          <w:shd w:val="clear" w:color="auto" w:fill="FFFFFF"/>
        </w:rPr>
        <w:t>–</w:t>
      </w:r>
      <w:r>
        <w:t>26.</w:t>
      </w:r>
    </w:p>
    <w:p w:rsidR="00D3438D" w:rsidRPr="00D3438D" w:rsidRDefault="00D3438D" w:rsidP="00753EC4">
      <w:pPr>
        <w:spacing w:line="480" w:lineRule="auto"/>
      </w:pPr>
      <w:r>
        <w:lastRenderedPageBreak/>
        <w:t>IEO. 20</w:t>
      </w:r>
      <w:r w:rsidR="00F66CEF">
        <w:t>0</w:t>
      </w:r>
      <w:r>
        <w:t xml:space="preserve">3. </w:t>
      </w:r>
      <w:r>
        <w:rPr>
          <w:i/>
        </w:rPr>
        <w:t>Fiscal Adjustment in IMF-Supported Programmes</w:t>
      </w:r>
      <w:r>
        <w:t>. Washington: IMF Independent Evaluation Office.</w:t>
      </w:r>
    </w:p>
    <w:p w:rsidR="00685C87" w:rsidRDefault="00685C87" w:rsidP="00753EC4">
      <w:pPr>
        <w:spacing w:line="480" w:lineRule="auto"/>
      </w:pPr>
      <w:proofErr w:type="spellStart"/>
      <w:r>
        <w:t>Jütting</w:t>
      </w:r>
      <w:proofErr w:type="spellEnd"/>
      <w:r>
        <w:t>, J. (2000)</w:t>
      </w:r>
      <w:r w:rsidRPr="00685C87">
        <w:t xml:space="preserve"> </w:t>
      </w:r>
      <w:r>
        <w:t>‘</w:t>
      </w:r>
      <w:r w:rsidRPr="00685C87">
        <w:t xml:space="preserve">Social </w:t>
      </w:r>
      <w:r w:rsidR="00124BD7">
        <w:t>S</w:t>
      </w:r>
      <w:r w:rsidRPr="00685C87">
        <w:t xml:space="preserve">ecurity </w:t>
      </w:r>
      <w:r w:rsidR="00124BD7">
        <w:t>S</w:t>
      </w:r>
      <w:r w:rsidRPr="00685C87">
        <w:t xml:space="preserve">ystems in </w:t>
      </w:r>
      <w:r w:rsidR="00124BD7">
        <w:t>L</w:t>
      </w:r>
      <w:r w:rsidRPr="00685C87">
        <w:t>ow‐</w:t>
      </w:r>
      <w:r w:rsidR="00124BD7">
        <w:t>I</w:t>
      </w:r>
      <w:r w:rsidRPr="00685C87">
        <w:t xml:space="preserve">ncome </w:t>
      </w:r>
      <w:r w:rsidR="00124BD7">
        <w:t>C</w:t>
      </w:r>
      <w:r w:rsidRPr="00685C87">
        <w:t xml:space="preserve">ountries: Concepts, </w:t>
      </w:r>
      <w:r w:rsidR="00124BD7">
        <w:t>C</w:t>
      </w:r>
      <w:r w:rsidRPr="00685C87">
        <w:t xml:space="preserve">onstraints and the </w:t>
      </w:r>
      <w:r w:rsidR="00124BD7">
        <w:t>N</w:t>
      </w:r>
      <w:r w:rsidRPr="00685C87">
        <w:t xml:space="preserve">eed for </w:t>
      </w:r>
      <w:r w:rsidR="00124BD7">
        <w:t>C</w:t>
      </w:r>
      <w:r w:rsidRPr="00685C87">
        <w:t>ooperation</w:t>
      </w:r>
      <w:r>
        <w:t>’,</w:t>
      </w:r>
      <w:r w:rsidRPr="00685C87">
        <w:t xml:space="preserve"> </w:t>
      </w:r>
      <w:r w:rsidRPr="00685C87">
        <w:rPr>
          <w:i/>
        </w:rPr>
        <w:t>International Social Security Review</w:t>
      </w:r>
      <w:r w:rsidRPr="00685C87">
        <w:t xml:space="preserve"> 53(4)</w:t>
      </w:r>
      <w:r>
        <w:t>:</w:t>
      </w:r>
      <w:r w:rsidRPr="00685C87">
        <w:t xml:space="preserve"> 3</w:t>
      </w:r>
      <w:r w:rsidR="00124BD7" w:rsidRPr="008E5D31">
        <w:rPr>
          <w:rFonts w:ascii="Arial" w:hAnsi="Arial" w:cs="Arial"/>
          <w:color w:val="222222"/>
          <w:sz w:val="20"/>
          <w:szCs w:val="20"/>
          <w:shd w:val="clear" w:color="auto" w:fill="FFFFFF"/>
        </w:rPr>
        <w:t>–</w:t>
      </w:r>
      <w:r w:rsidRPr="00685C87">
        <w:t>24.</w:t>
      </w:r>
    </w:p>
    <w:p w:rsidR="00CC06E2" w:rsidRPr="00B435FC" w:rsidRDefault="00CC06E2" w:rsidP="00753EC4">
      <w:pPr>
        <w:spacing w:line="480" w:lineRule="auto"/>
      </w:pPr>
      <w:proofErr w:type="spellStart"/>
      <w:r>
        <w:t>Lagarde</w:t>
      </w:r>
      <w:proofErr w:type="spellEnd"/>
      <w:r>
        <w:t xml:space="preserve">, C. (2016) ‘Doubling </w:t>
      </w:r>
      <w:r w:rsidR="00B26A9E">
        <w:t>D</w:t>
      </w:r>
      <w:r>
        <w:t xml:space="preserve">own on </w:t>
      </w:r>
      <w:r w:rsidR="00B26A9E">
        <w:t>D</w:t>
      </w:r>
      <w:r>
        <w:t xml:space="preserve">evelopment’, </w:t>
      </w:r>
      <w:proofErr w:type="spellStart"/>
      <w:r w:rsidR="00B435FC">
        <w:rPr>
          <w:i/>
        </w:rPr>
        <w:t>Center</w:t>
      </w:r>
      <w:proofErr w:type="spellEnd"/>
      <w:r w:rsidR="00B435FC">
        <w:rPr>
          <w:i/>
        </w:rPr>
        <w:t xml:space="preserve"> for Global Development 15</w:t>
      </w:r>
      <w:r w:rsidR="00B435FC" w:rsidRPr="00B435FC">
        <w:rPr>
          <w:i/>
          <w:vertAlign w:val="superscript"/>
        </w:rPr>
        <w:t>th</w:t>
      </w:r>
      <w:r w:rsidR="00B435FC">
        <w:rPr>
          <w:i/>
        </w:rPr>
        <w:t xml:space="preserve"> Anniversary Celebrations Opening Remarks</w:t>
      </w:r>
      <w:r w:rsidR="00B435FC">
        <w:t xml:space="preserve">, available at </w:t>
      </w:r>
      <w:hyperlink r:id="rId8" w:history="1">
        <w:r w:rsidR="00B435FC">
          <w:rPr>
            <w:rStyle w:val="Hyperlink"/>
          </w:rPr>
          <w:t>https://www.imf.org/en/News/Articles/2016/07/14/14/32/SP071416-Doubling-Down-on-Development</w:t>
        </w:r>
      </w:hyperlink>
      <w:r w:rsidR="00B435FC">
        <w:t>. Accessed 7</w:t>
      </w:r>
      <w:r w:rsidR="00B435FC" w:rsidRPr="00B435FC">
        <w:rPr>
          <w:vertAlign w:val="superscript"/>
        </w:rPr>
        <w:t>th</w:t>
      </w:r>
      <w:r w:rsidR="00B435FC">
        <w:t xml:space="preserve"> </w:t>
      </w:r>
      <w:proofErr w:type="gramStart"/>
      <w:r w:rsidR="00B435FC">
        <w:t>May,</w:t>
      </w:r>
      <w:proofErr w:type="gramEnd"/>
      <w:r w:rsidR="00B435FC">
        <w:t xml:space="preserve"> 2019.  </w:t>
      </w:r>
    </w:p>
    <w:p w:rsidR="007A2D27" w:rsidRPr="007A2D27" w:rsidRDefault="007A2D27" w:rsidP="00753EC4">
      <w:pPr>
        <w:spacing w:line="480" w:lineRule="auto"/>
      </w:pPr>
      <w:proofErr w:type="spellStart"/>
      <w:r>
        <w:t>Lagarde</w:t>
      </w:r>
      <w:proofErr w:type="spellEnd"/>
      <w:r>
        <w:t xml:space="preserve">, M., A. Haines, and N. Palmer. (2007) ‘Conditional </w:t>
      </w:r>
      <w:r w:rsidR="00B26A9E">
        <w:t>C</w:t>
      </w:r>
      <w:r>
        <w:t xml:space="preserve">ash </w:t>
      </w:r>
      <w:r w:rsidR="00B26A9E">
        <w:t>T</w:t>
      </w:r>
      <w:r>
        <w:t xml:space="preserve">ransfers for </w:t>
      </w:r>
      <w:r w:rsidR="00B26A9E">
        <w:t>I</w:t>
      </w:r>
      <w:r>
        <w:t xml:space="preserve">mproving the </w:t>
      </w:r>
      <w:r w:rsidR="00B26A9E">
        <w:t>U</w:t>
      </w:r>
      <w:r>
        <w:t xml:space="preserve">ptake of </w:t>
      </w:r>
      <w:r w:rsidR="00B26A9E">
        <w:t>H</w:t>
      </w:r>
      <w:r>
        <w:t xml:space="preserve">ealth </w:t>
      </w:r>
      <w:r w:rsidR="00B26A9E">
        <w:t>I</w:t>
      </w:r>
      <w:r>
        <w:t xml:space="preserve">nterventions in </w:t>
      </w:r>
      <w:r w:rsidR="00B26A9E">
        <w:t>L</w:t>
      </w:r>
      <w:r>
        <w:t xml:space="preserve">ow- and </w:t>
      </w:r>
      <w:r w:rsidR="00B26A9E">
        <w:t>M</w:t>
      </w:r>
      <w:r>
        <w:t>iddle-</w:t>
      </w:r>
      <w:r w:rsidR="00B26A9E">
        <w:t>I</w:t>
      </w:r>
      <w:r>
        <w:t xml:space="preserve">ncome </w:t>
      </w:r>
      <w:r w:rsidR="00B26A9E">
        <w:t>C</w:t>
      </w:r>
      <w:r>
        <w:t xml:space="preserve">ountries’, </w:t>
      </w:r>
      <w:r>
        <w:rPr>
          <w:i/>
        </w:rPr>
        <w:t>Journal of the American Medical Association</w:t>
      </w:r>
      <w:r>
        <w:t>, 298(16): 1900</w:t>
      </w:r>
      <w:r w:rsidR="00B26A9E" w:rsidRPr="008E5D31">
        <w:rPr>
          <w:rFonts w:ascii="Arial" w:hAnsi="Arial" w:cs="Arial"/>
          <w:color w:val="222222"/>
          <w:sz w:val="20"/>
          <w:szCs w:val="20"/>
          <w:shd w:val="clear" w:color="auto" w:fill="FFFFFF"/>
        </w:rPr>
        <w:t>–</w:t>
      </w:r>
      <w:r w:rsidR="00914A03">
        <w:t>19</w:t>
      </w:r>
      <w:r>
        <w:t>10.</w:t>
      </w:r>
    </w:p>
    <w:p w:rsidR="00E168E2" w:rsidRPr="00E168E2" w:rsidRDefault="00E168E2" w:rsidP="00753EC4">
      <w:pPr>
        <w:spacing w:line="480" w:lineRule="auto"/>
      </w:pPr>
      <w:r>
        <w:t xml:space="preserve">Leaver, R. (2000) ‘Moral (and </w:t>
      </w:r>
      <w:r w:rsidR="00B26A9E">
        <w:t>O</w:t>
      </w:r>
      <w:r>
        <w:t xml:space="preserve">ther) </w:t>
      </w:r>
      <w:r w:rsidR="00B26A9E">
        <w:t>H</w:t>
      </w:r>
      <w:r>
        <w:t xml:space="preserve">azards: The IMF and the </w:t>
      </w:r>
      <w:r w:rsidR="00B26A9E">
        <w:t>S</w:t>
      </w:r>
      <w:r>
        <w:t xml:space="preserve">ystemic Asian </w:t>
      </w:r>
      <w:proofErr w:type="gramStart"/>
      <w:r w:rsidR="00B26A9E">
        <w:t>C</w:t>
      </w:r>
      <w:r>
        <w:t>risis’</w:t>
      </w:r>
      <w:proofErr w:type="gramEnd"/>
      <w:r>
        <w:t xml:space="preserve">. In R. Robinson, M. Beeson, K. </w:t>
      </w:r>
      <w:proofErr w:type="spellStart"/>
      <w:r>
        <w:t>Jayasuriya</w:t>
      </w:r>
      <w:proofErr w:type="spellEnd"/>
      <w:r>
        <w:t>, and H. Kim (</w:t>
      </w:r>
      <w:proofErr w:type="spellStart"/>
      <w:proofErr w:type="gramStart"/>
      <w:r>
        <w:t>eds</w:t>
      </w:r>
      <w:proofErr w:type="spellEnd"/>
      <w:proofErr w:type="gramEnd"/>
      <w:r>
        <w:t xml:space="preserve">) </w:t>
      </w:r>
      <w:r>
        <w:rPr>
          <w:i/>
        </w:rPr>
        <w:t>Politics and Markets in the Wake of the Asian Crisis</w:t>
      </w:r>
      <w:r>
        <w:t xml:space="preserve"> (London: Routledge, 283</w:t>
      </w:r>
      <w:r w:rsidR="00B26A9E" w:rsidRPr="008E5D31">
        <w:rPr>
          <w:rFonts w:ascii="Arial" w:hAnsi="Arial" w:cs="Arial"/>
          <w:color w:val="222222"/>
          <w:sz w:val="20"/>
          <w:szCs w:val="20"/>
          <w:shd w:val="clear" w:color="auto" w:fill="FFFFFF"/>
        </w:rPr>
        <w:t>–</w:t>
      </w:r>
      <w:r>
        <w:t>96).</w:t>
      </w:r>
    </w:p>
    <w:p w:rsidR="00EA65F7" w:rsidRPr="00EA65F7" w:rsidRDefault="00EA65F7" w:rsidP="00753EC4">
      <w:pPr>
        <w:spacing w:line="480" w:lineRule="auto"/>
      </w:pPr>
      <w:proofErr w:type="spellStart"/>
      <w:r>
        <w:t>Mkandawire</w:t>
      </w:r>
      <w:proofErr w:type="spellEnd"/>
      <w:r>
        <w:t xml:space="preserve">, T. (2005) ‘Targeting and Universalism in Poverty Reduction’, </w:t>
      </w:r>
      <w:r>
        <w:rPr>
          <w:i/>
        </w:rPr>
        <w:t>United Nations Research Institute for Social Development Working Paper Series</w:t>
      </w:r>
      <w:r>
        <w:t xml:space="preserve">, </w:t>
      </w:r>
      <w:r w:rsidR="00176FF8">
        <w:t>No.23, 1</w:t>
      </w:r>
      <w:r w:rsidR="00F45E11" w:rsidRPr="008E5D31">
        <w:rPr>
          <w:rFonts w:ascii="Arial" w:hAnsi="Arial" w:cs="Arial"/>
          <w:color w:val="222222"/>
          <w:sz w:val="20"/>
          <w:szCs w:val="20"/>
          <w:shd w:val="clear" w:color="auto" w:fill="FFFFFF"/>
        </w:rPr>
        <w:t>–</w:t>
      </w:r>
      <w:r w:rsidR="00176FF8">
        <w:t>25.</w:t>
      </w:r>
    </w:p>
    <w:p w:rsidR="00F32F49" w:rsidRDefault="00F32F49" w:rsidP="00753EC4">
      <w:pPr>
        <w:spacing w:line="480" w:lineRule="auto"/>
      </w:pPr>
      <w:proofErr w:type="spellStart"/>
      <w:r w:rsidRPr="00F32F49">
        <w:t>Nooruddin</w:t>
      </w:r>
      <w:proofErr w:type="spellEnd"/>
      <w:r w:rsidRPr="00F32F49">
        <w:t xml:space="preserve">, I. and </w:t>
      </w:r>
      <w:r>
        <w:t xml:space="preserve">J. </w:t>
      </w:r>
      <w:r w:rsidRPr="00F32F49">
        <w:t>Simmons</w:t>
      </w:r>
      <w:r>
        <w:t>.</w:t>
      </w:r>
      <w:r w:rsidRPr="00F32F49">
        <w:t xml:space="preserve"> </w:t>
      </w:r>
      <w:r>
        <w:t>(</w:t>
      </w:r>
      <w:r w:rsidRPr="00F32F49">
        <w:t>2006</w:t>
      </w:r>
      <w:r>
        <w:t>)</w:t>
      </w:r>
      <w:r w:rsidRPr="00F32F49">
        <w:t xml:space="preserve"> </w:t>
      </w:r>
      <w:r>
        <w:t>‘</w:t>
      </w:r>
      <w:proofErr w:type="gramStart"/>
      <w:r w:rsidRPr="00F32F49">
        <w:t>The</w:t>
      </w:r>
      <w:proofErr w:type="gramEnd"/>
      <w:r w:rsidRPr="00F32F49">
        <w:t xml:space="preserve"> </w:t>
      </w:r>
      <w:r w:rsidR="00F45E11">
        <w:t>P</w:t>
      </w:r>
      <w:r w:rsidRPr="00F32F49">
        <w:t xml:space="preserve">olitics of </w:t>
      </w:r>
      <w:r w:rsidR="00F45E11">
        <w:t>H</w:t>
      </w:r>
      <w:r w:rsidRPr="00F32F49">
        <w:t xml:space="preserve">ard </w:t>
      </w:r>
      <w:r w:rsidR="00F45E11">
        <w:t>C</w:t>
      </w:r>
      <w:r w:rsidRPr="00F32F49">
        <w:t xml:space="preserve">hoices: IMF </w:t>
      </w:r>
      <w:r w:rsidR="00F45E11">
        <w:t>P</w:t>
      </w:r>
      <w:r w:rsidRPr="00F32F49">
        <w:t xml:space="preserve">rograms and </w:t>
      </w:r>
      <w:r w:rsidR="00F45E11">
        <w:t>G</w:t>
      </w:r>
      <w:r w:rsidRPr="00F32F49">
        <w:t xml:space="preserve">overnment </w:t>
      </w:r>
      <w:r w:rsidR="00F45E11">
        <w:t>S</w:t>
      </w:r>
      <w:r w:rsidRPr="00F32F49">
        <w:t>pending</w:t>
      </w:r>
      <w:r>
        <w:t>’,</w:t>
      </w:r>
      <w:r w:rsidRPr="00F32F49">
        <w:t xml:space="preserve"> </w:t>
      </w:r>
      <w:r w:rsidRPr="00F32F49">
        <w:rPr>
          <w:i/>
        </w:rPr>
        <w:t>International Organization</w:t>
      </w:r>
      <w:r w:rsidRPr="00F32F49">
        <w:t>, 60(4)</w:t>
      </w:r>
      <w:r>
        <w:t xml:space="preserve">: </w:t>
      </w:r>
      <w:r w:rsidRPr="00F32F49">
        <w:t>1001</w:t>
      </w:r>
      <w:r w:rsidR="00F45E11" w:rsidRPr="008E5D31">
        <w:rPr>
          <w:rFonts w:ascii="Arial" w:hAnsi="Arial" w:cs="Arial"/>
          <w:color w:val="222222"/>
          <w:sz w:val="20"/>
          <w:szCs w:val="20"/>
          <w:shd w:val="clear" w:color="auto" w:fill="FFFFFF"/>
        </w:rPr>
        <w:t>–</w:t>
      </w:r>
      <w:r w:rsidRPr="00F32F49">
        <w:t>1033.</w:t>
      </w:r>
    </w:p>
    <w:p w:rsidR="00571C6F" w:rsidRDefault="00571C6F" w:rsidP="00753EC4">
      <w:pPr>
        <w:spacing w:line="480" w:lineRule="auto"/>
      </w:pPr>
      <w:proofErr w:type="spellStart"/>
      <w:r w:rsidRPr="00571C6F">
        <w:t>Nunes</w:t>
      </w:r>
      <w:proofErr w:type="spellEnd"/>
      <w:r w:rsidRPr="00571C6F">
        <w:t xml:space="preserve">, J. (2014) </w:t>
      </w:r>
      <w:r>
        <w:t>‘</w:t>
      </w:r>
      <w:r w:rsidRPr="00571C6F">
        <w:t xml:space="preserve">Questioning </w:t>
      </w:r>
      <w:r w:rsidR="00F45E11">
        <w:t>H</w:t>
      </w:r>
      <w:r w:rsidRPr="00571C6F">
        <w:t xml:space="preserve">ealth </w:t>
      </w:r>
      <w:r w:rsidR="00F45E11">
        <w:t>S</w:t>
      </w:r>
      <w:r w:rsidRPr="00571C6F">
        <w:t xml:space="preserve">ecurity: Insecurity and </w:t>
      </w:r>
      <w:r w:rsidR="00F45E11">
        <w:t>D</w:t>
      </w:r>
      <w:r w:rsidRPr="00571C6F">
        <w:t xml:space="preserve">omination in </w:t>
      </w:r>
      <w:r w:rsidR="00F45E11">
        <w:t>W</w:t>
      </w:r>
      <w:r w:rsidRPr="00571C6F">
        <w:t xml:space="preserve">orld </w:t>
      </w:r>
      <w:r w:rsidR="00F45E11">
        <w:t>P</w:t>
      </w:r>
      <w:r w:rsidRPr="00571C6F">
        <w:t>olitics</w:t>
      </w:r>
      <w:r>
        <w:t>’,</w:t>
      </w:r>
      <w:r w:rsidRPr="00571C6F">
        <w:t xml:space="preserve"> </w:t>
      </w:r>
      <w:r w:rsidRPr="00571C6F">
        <w:rPr>
          <w:i/>
        </w:rPr>
        <w:t xml:space="preserve">Review of </w:t>
      </w:r>
      <w:r>
        <w:rPr>
          <w:i/>
        </w:rPr>
        <w:t>I</w:t>
      </w:r>
      <w:r w:rsidRPr="00571C6F">
        <w:rPr>
          <w:i/>
        </w:rPr>
        <w:t xml:space="preserve">nternational </w:t>
      </w:r>
      <w:r>
        <w:rPr>
          <w:i/>
        </w:rPr>
        <w:t>S</w:t>
      </w:r>
      <w:r w:rsidRPr="00571C6F">
        <w:rPr>
          <w:i/>
        </w:rPr>
        <w:t>tudies</w:t>
      </w:r>
      <w:r w:rsidRPr="00571C6F">
        <w:t xml:space="preserve"> 40(5)</w:t>
      </w:r>
      <w:r>
        <w:t>:</w:t>
      </w:r>
      <w:r w:rsidRPr="00571C6F">
        <w:t xml:space="preserve"> 939</w:t>
      </w:r>
      <w:r w:rsidR="00F45E11" w:rsidRPr="008E5D31">
        <w:rPr>
          <w:rFonts w:ascii="Arial" w:hAnsi="Arial" w:cs="Arial"/>
          <w:color w:val="222222"/>
          <w:sz w:val="20"/>
          <w:szCs w:val="20"/>
          <w:shd w:val="clear" w:color="auto" w:fill="FFFFFF"/>
        </w:rPr>
        <w:t>–</w:t>
      </w:r>
      <w:r w:rsidRPr="00571C6F">
        <w:t>960.</w:t>
      </w:r>
    </w:p>
    <w:p w:rsidR="00E372AD" w:rsidRDefault="00E372AD" w:rsidP="00753EC4">
      <w:pPr>
        <w:spacing w:line="480" w:lineRule="auto"/>
      </w:pPr>
      <w:r>
        <w:t xml:space="preserve">OECD. </w:t>
      </w:r>
      <w:r w:rsidR="00A16FA0">
        <w:t>(</w:t>
      </w:r>
      <w:r>
        <w:t>2016</w:t>
      </w:r>
      <w:r w:rsidR="00A16FA0">
        <w:t>)</w:t>
      </w:r>
      <w:r>
        <w:t xml:space="preserve"> </w:t>
      </w:r>
      <w:r>
        <w:rPr>
          <w:i/>
        </w:rPr>
        <w:t>Social Expenditure Update</w:t>
      </w:r>
      <w:r>
        <w:t>. Paris: OECD.</w:t>
      </w:r>
    </w:p>
    <w:p w:rsidR="00C51C53" w:rsidRDefault="00C51C53" w:rsidP="00C51C53">
      <w:pPr>
        <w:spacing w:line="480" w:lineRule="auto"/>
      </w:pPr>
      <w:r>
        <w:lastRenderedPageBreak/>
        <w:t>Ortiz, I., J. Chai, and M. Cummins. (2011) ‘Auste</w:t>
      </w:r>
      <w:r w:rsidR="009274C2">
        <w:t xml:space="preserve">rity Measures Threaten Children </w:t>
      </w:r>
      <w:r>
        <w:t>and Poor Households: Recent Evidence in Public E</w:t>
      </w:r>
      <w:r w:rsidR="009274C2">
        <w:t xml:space="preserve">xpenditures from 128 Developing </w:t>
      </w:r>
      <w:r>
        <w:t xml:space="preserve">Countries’, </w:t>
      </w:r>
      <w:r w:rsidRPr="00C51C53">
        <w:rPr>
          <w:i/>
        </w:rPr>
        <w:t>UNICEF Social and Economic Policy Working Paper</w:t>
      </w:r>
      <w:r>
        <w:t>, No.2011-09, 1</w:t>
      </w:r>
      <w:r w:rsidR="00F45E11" w:rsidRPr="008E5D31">
        <w:rPr>
          <w:rFonts w:ascii="Arial" w:hAnsi="Arial" w:cs="Arial"/>
          <w:color w:val="222222"/>
          <w:sz w:val="20"/>
          <w:szCs w:val="20"/>
          <w:shd w:val="clear" w:color="auto" w:fill="FFFFFF"/>
        </w:rPr>
        <w:t>–</w:t>
      </w:r>
      <w:r>
        <w:t>42.</w:t>
      </w:r>
    </w:p>
    <w:p w:rsidR="00F1577F" w:rsidRDefault="00F1577F" w:rsidP="00753EC4">
      <w:pPr>
        <w:spacing w:line="480" w:lineRule="auto"/>
      </w:pPr>
      <w:proofErr w:type="spellStart"/>
      <w:r w:rsidRPr="00F1577F">
        <w:t>Rehm</w:t>
      </w:r>
      <w:proofErr w:type="spellEnd"/>
      <w:r w:rsidRPr="00F1577F">
        <w:t xml:space="preserve">, P., </w:t>
      </w:r>
      <w:r>
        <w:t xml:space="preserve">J. </w:t>
      </w:r>
      <w:r w:rsidRPr="00F1577F">
        <w:t xml:space="preserve">Hacker, and </w:t>
      </w:r>
      <w:r>
        <w:t xml:space="preserve">M. </w:t>
      </w:r>
      <w:r w:rsidRPr="00F1577F">
        <w:t>Schlesinger</w:t>
      </w:r>
      <w:r>
        <w:t>.</w:t>
      </w:r>
      <w:r w:rsidRPr="00F1577F">
        <w:t xml:space="preserve"> </w:t>
      </w:r>
      <w:r>
        <w:t>(</w:t>
      </w:r>
      <w:r w:rsidRPr="00F1577F">
        <w:t>2012</w:t>
      </w:r>
      <w:r>
        <w:t>)</w:t>
      </w:r>
      <w:r w:rsidRPr="00F1577F">
        <w:t xml:space="preserve"> </w:t>
      </w:r>
      <w:r>
        <w:t>‘</w:t>
      </w:r>
      <w:r w:rsidRPr="00F1577F">
        <w:t xml:space="preserve">Insecure </w:t>
      </w:r>
      <w:r w:rsidR="00F45E11">
        <w:t>A</w:t>
      </w:r>
      <w:r w:rsidRPr="00F1577F">
        <w:t xml:space="preserve">lliances: Risk, </w:t>
      </w:r>
      <w:r w:rsidR="00F45E11">
        <w:t>I</w:t>
      </w:r>
      <w:r w:rsidRPr="00F1577F">
        <w:t xml:space="preserve">nequality, and </w:t>
      </w:r>
      <w:r w:rsidR="00F45E11">
        <w:t>S</w:t>
      </w:r>
      <w:r w:rsidRPr="00F1577F">
        <w:t xml:space="preserve">upport for the </w:t>
      </w:r>
      <w:r w:rsidR="00F45E11">
        <w:t>W</w:t>
      </w:r>
      <w:r w:rsidRPr="00F1577F">
        <w:t xml:space="preserve">elfare </w:t>
      </w:r>
      <w:r w:rsidR="00F45E11">
        <w:t>S</w:t>
      </w:r>
      <w:r w:rsidRPr="00F1577F">
        <w:t>tate</w:t>
      </w:r>
      <w:r>
        <w:t>’,</w:t>
      </w:r>
      <w:r w:rsidRPr="00F1577F">
        <w:t xml:space="preserve"> </w:t>
      </w:r>
      <w:r w:rsidRPr="00F1577F">
        <w:rPr>
          <w:i/>
        </w:rPr>
        <w:t>American Political Science Review</w:t>
      </w:r>
      <w:r w:rsidRPr="00F1577F">
        <w:t>, 106(2)</w:t>
      </w:r>
      <w:r>
        <w:t xml:space="preserve">: </w:t>
      </w:r>
      <w:r w:rsidRPr="00F1577F">
        <w:t>386</w:t>
      </w:r>
      <w:r w:rsidR="00F45E11" w:rsidRPr="008E5D31">
        <w:rPr>
          <w:rFonts w:ascii="Arial" w:hAnsi="Arial" w:cs="Arial"/>
          <w:color w:val="222222"/>
          <w:sz w:val="20"/>
          <w:szCs w:val="20"/>
          <w:shd w:val="clear" w:color="auto" w:fill="FFFFFF"/>
        </w:rPr>
        <w:t>–</w:t>
      </w:r>
      <w:r w:rsidRPr="00F1577F">
        <w:t>406.</w:t>
      </w:r>
    </w:p>
    <w:p w:rsidR="0027392F" w:rsidRDefault="0027392F" w:rsidP="00753EC4">
      <w:pPr>
        <w:spacing w:line="480" w:lineRule="auto"/>
      </w:pPr>
      <w:r>
        <w:t xml:space="preserve">Robinson, J., and J. Pfeiffer. 2015. ‘The IMF’s </w:t>
      </w:r>
      <w:r w:rsidR="00F45E11">
        <w:t>R</w:t>
      </w:r>
      <w:r>
        <w:t xml:space="preserve">ole in the Ebola outbreak’, </w:t>
      </w:r>
      <w:r>
        <w:rPr>
          <w:i/>
        </w:rPr>
        <w:t>Bretton Woods Project Official Website ‘Guest Analysis’</w:t>
      </w:r>
      <w:r>
        <w:t xml:space="preserve">, available at </w:t>
      </w:r>
      <w:hyperlink r:id="rId9" w:history="1">
        <w:r>
          <w:rPr>
            <w:rStyle w:val="Hyperlink"/>
          </w:rPr>
          <w:t>https://www.brettonwoodsproject.org/2015/02/imfs-role-ebola-outbreak/</w:t>
        </w:r>
      </w:hyperlink>
      <w:r>
        <w:t>. Accessed 30</w:t>
      </w:r>
      <w:r w:rsidRPr="0027392F">
        <w:rPr>
          <w:vertAlign w:val="superscript"/>
        </w:rPr>
        <w:t>th</w:t>
      </w:r>
      <w:r>
        <w:t xml:space="preserve"> </w:t>
      </w:r>
      <w:proofErr w:type="gramStart"/>
      <w:r>
        <w:t>April,</w:t>
      </w:r>
      <w:proofErr w:type="gramEnd"/>
      <w:r>
        <w:t xml:space="preserve"> 2019.</w:t>
      </w:r>
    </w:p>
    <w:p w:rsidR="00446065" w:rsidRDefault="00446065" w:rsidP="00753EC4">
      <w:pPr>
        <w:spacing w:line="480" w:lineRule="auto"/>
      </w:pPr>
      <w:r>
        <w:t>Salomon, M.</w:t>
      </w:r>
      <w:r w:rsidRPr="00446065">
        <w:t xml:space="preserve"> </w:t>
      </w:r>
      <w:r>
        <w:t>(</w:t>
      </w:r>
      <w:r w:rsidRPr="00446065">
        <w:t>2015</w:t>
      </w:r>
      <w:r>
        <w:t>)</w:t>
      </w:r>
      <w:r w:rsidRPr="00446065">
        <w:t xml:space="preserve"> </w:t>
      </w:r>
      <w:r>
        <w:t>‘</w:t>
      </w:r>
      <w:r w:rsidRPr="00446065">
        <w:t xml:space="preserve">Of </w:t>
      </w:r>
      <w:r w:rsidR="00F45E11">
        <w:t>A</w:t>
      </w:r>
      <w:r w:rsidRPr="00446065">
        <w:t xml:space="preserve">usterity, </w:t>
      </w:r>
      <w:r w:rsidR="00F45E11">
        <w:t>H</w:t>
      </w:r>
      <w:r w:rsidRPr="00446065">
        <w:t xml:space="preserve">uman </w:t>
      </w:r>
      <w:r w:rsidR="00F45E11">
        <w:t>R</w:t>
      </w:r>
      <w:r w:rsidRPr="00446065">
        <w:t xml:space="preserve">ights and </w:t>
      </w:r>
      <w:r w:rsidR="00F45E11">
        <w:t>I</w:t>
      </w:r>
      <w:r w:rsidRPr="00446065">
        <w:t xml:space="preserve">nternational </w:t>
      </w:r>
      <w:r w:rsidR="00F45E11">
        <w:t>I</w:t>
      </w:r>
      <w:r w:rsidRPr="00446065">
        <w:t>nstitutions</w:t>
      </w:r>
      <w:r>
        <w:t>’,</w:t>
      </w:r>
      <w:r w:rsidRPr="00446065">
        <w:t xml:space="preserve"> </w:t>
      </w:r>
      <w:r w:rsidRPr="00446065">
        <w:rPr>
          <w:i/>
        </w:rPr>
        <w:t>European Law Journal</w:t>
      </w:r>
      <w:r w:rsidRPr="00446065">
        <w:t>, 21(4)</w:t>
      </w:r>
      <w:r>
        <w:t xml:space="preserve">: </w:t>
      </w:r>
      <w:r w:rsidRPr="00446065">
        <w:t>521</w:t>
      </w:r>
      <w:r w:rsidR="00F45E11" w:rsidRPr="008E5D31">
        <w:rPr>
          <w:rFonts w:ascii="Arial" w:hAnsi="Arial" w:cs="Arial"/>
          <w:color w:val="222222"/>
          <w:sz w:val="20"/>
          <w:szCs w:val="20"/>
          <w:shd w:val="clear" w:color="auto" w:fill="FFFFFF"/>
        </w:rPr>
        <w:t>–</w:t>
      </w:r>
      <w:r w:rsidRPr="00446065">
        <w:t>545.</w:t>
      </w:r>
    </w:p>
    <w:p w:rsidR="00EA65F7" w:rsidRDefault="00EA65F7" w:rsidP="00753EC4">
      <w:pPr>
        <w:spacing w:line="480" w:lineRule="auto"/>
      </w:pPr>
      <w:r>
        <w:t xml:space="preserve">Schwartz, M. and R. </w:t>
      </w:r>
      <w:proofErr w:type="spellStart"/>
      <w:r>
        <w:t>Rist</w:t>
      </w:r>
      <w:proofErr w:type="spellEnd"/>
      <w:r>
        <w:t xml:space="preserve">. 2017. </w:t>
      </w:r>
      <w:r>
        <w:rPr>
          <w:i/>
        </w:rPr>
        <w:t>The International Monetary Fund and the Learning Organization</w:t>
      </w:r>
      <w:r>
        <w:t>. Washington: IEO.</w:t>
      </w:r>
    </w:p>
    <w:p w:rsidR="005919E0" w:rsidRDefault="005919E0" w:rsidP="00753EC4">
      <w:pPr>
        <w:spacing w:line="480" w:lineRule="auto"/>
      </w:pPr>
      <w:r w:rsidRPr="005919E0">
        <w:t>Stubbs, T.,</w:t>
      </w:r>
      <w:r>
        <w:t xml:space="preserve"> A.</w:t>
      </w:r>
      <w:r w:rsidRPr="005919E0">
        <w:t xml:space="preserve"> </w:t>
      </w:r>
      <w:proofErr w:type="spellStart"/>
      <w:r w:rsidRPr="005919E0">
        <w:t>Kentikelenis</w:t>
      </w:r>
      <w:proofErr w:type="spellEnd"/>
      <w:r w:rsidRPr="005919E0">
        <w:t xml:space="preserve">, </w:t>
      </w:r>
      <w:r>
        <w:t xml:space="preserve">D. </w:t>
      </w:r>
      <w:proofErr w:type="spellStart"/>
      <w:r w:rsidRPr="005919E0">
        <w:t>Stuckler</w:t>
      </w:r>
      <w:proofErr w:type="spellEnd"/>
      <w:r w:rsidRPr="005919E0">
        <w:t xml:space="preserve">, </w:t>
      </w:r>
      <w:r>
        <w:t xml:space="preserve">M. </w:t>
      </w:r>
      <w:r w:rsidRPr="005919E0">
        <w:t xml:space="preserve">McKee, and </w:t>
      </w:r>
      <w:r>
        <w:t xml:space="preserve">L. </w:t>
      </w:r>
      <w:r w:rsidRPr="005919E0">
        <w:t>King.</w:t>
      </w:r>
      <w:r>
        <w:t xml:space="preserve"> (</w:t>
      </w:r>
      <w:r w:rsidRPr="005919E0">
        <w:t>2017</w:t>
      </w:r>
      <w:r>
        <w:t>)</w:t>
      </w:r>
      <w:r w:rsidRPr="005919E0">
        <w:t xml:space="preserve"> </w:t>
      </w:r>
      <w:r>
        <w:t>‘</w:t>
      </w:r>
      <w:proofErr w:type="gramStart"/>
      <w:r w:rsidRPr="005919E0">
        <w:t>The</w:t>
      </w:r>
      <w:proofErr w:type="gramEnd"/>
      <w:r w:rsidRPr="005919E0">
        <w:t xml:space="preserve"> </w:t>
      </w:r>
      <w:r w:rsidR="00F45E11">
        <w:t>I</w:t>
      </w:r>
      <w:r w:rsidRPr="005919E0">
        <w:t xml:space="preserve">mpact of IMF </w:t>
      </w:r>
      <w:r w:rsidR="00F45E11">
        <w:t>C</w:t>
      </w:r>
      <w:r w:rsidRPr="005919E0">
        <w:t xml:space="preserve">onditionality on </w:t>
      </w:r>
      <w:r w:rsidR="00F45E11">
        <w:t>G</w:t>
      </w:r>
      <w:r w:rsidRPr="005919E0">
        <w:t xml:space="preserve">overnment </w:t>
      </w:r>
      <w:r w:rsidR="00F45E11">
        <w:t>H</w:t>
      </w:r>
      <w:r w:rsidRPr="005919E0">
        <w:t xml:space="preserve">ealth </w:t>
      </w:r>
      <w:r w:rsidR="00F45E11">
        <w:t>E</w:t>
      </w:r>
      <w:r w:rsidRPr="005919E0">
        <w:t xml:space="preserve">xpenditure: A </w:t>
      </w:r>
      <w:r w:rsidR="00F45E11">
        <w:t>C</w:t>
      </w:r>
      <w:r w:rsidRPr="005919E0">
        <w:t>ross-</w:t>
      </w:r>
      <w:r w:rsidR="00F45E11">
        <w:t>N</w:t>
      </w:r>
      <w:r w:rsidRPr="005919E0">
        <w:t xml:space="preserve">ational </w:t>
      </w:r>
      <w:r w:rsidR="00F45E11">
        <w:t>A</w:t>
      </w:r>
      <w:r w:rsidRPr="005919E0">
        <w:t xml:space="preserve">nalysis of 16 West African </w:t>
      </w:r>
      <w:r w:rsidR="00F45E11">
        <w:t>N</w:t>
      </w:r>
      <w:r w:rsidRPr="005919E0">
        <w:t>ations</w:t>
      </w:r>
      <w:r>
        <w:t>’,</w:t>
      </w:r>
      <w:r w:rsidRPr="005919E0">
        <w:t xml:space="preserve"> </w:t>
      </w:r>
      <w:r w:rsidRPr="005919E0">
        <w:rPr>
          <w:i/>
        </w:rPr>
        <w:t>Social Science &amp; Medicine</w:t>
      </w:r>
      <w:r w:rsidRPr="005919E0">
        <w:t>, 174</w:t>
      </w:r>
      <w:r>
        <w:t xml:space="preserve">(1): </w:t>
      </w:r>
      <w:r w:rsidRPr="005919E0">
        <w:t>220</w:t>
      </w:r>
      <w:r w:rsidR="00F45E11" w:rsidRPr="008E5D31">
        <w:rPr>
          <w:rFonts w:ascii="Arial" w:hAnsi="Arial" w:cs="Arial"/>
          <w:color w:val="222222"/>
          <w:sz w:val="20"/>
          <w:szCs w:val="20"/>
          <w:shd w:val="clear" w:color="auto" w:fill="FFFFFF"/>
        </w:rPr>
        <w:t>–</w:t>
      </w:r>
      <w:r w:rsidRPr="005919E0">
        <w:t>227.</w:t>
      </w:r>
    </w:p>
    <w:p w:rsidR="00931332" w:rsidRPr="00931332" w:rsidRDefault="00931332" w:rsidP="00753EC4">
      <w:pPr>
        <w:spacing w:line="480" w:lineRule="auto"/>
      </w:pPr>
      <w:r>
        <w:t>Stubbs, T. and A. Kentikelinis. (2017) ‘</w:t>
      </w:r>
      <w:r w:rsidRPr="00931332">
        <w:t xml:space="preserve">The </w:t>
      </w:r>
      <w:r w:rsidR="00F45E11">
        <w:t>T</w:t>
      </w:r>
      <w:r w:rsidRPr="00931332">
        <w:t xml:space="preserve">ruth </w:t>
      </w:r>
      <w:r w:rsidR="00F45E11">
        <w:t>B</w:t>
      </w:r>
      <w:r w:rsidRPr="00931332">
        <w:t xml:space="preserve">ehind </w:t>
      </w:r>
      <w:r w:rsidR="00F45E11">
        <w:t xml:space="preserve">the </w:t>
      </w:r>
      <w:r w:rsidRPr="00931332">
        <w:t xml:space="preserve">IMF’s </w:t>
      </w:r>
      <w:r w:rsidR="00F45E11">
        <w:t>C</w:t>
      </w:r>
      <w:r w:rsidRPr="00931332">
        <w:t xml:space="preserve">laims to </w:t>
      </w:r>
      <w:r w:rsidR="00F45E11">
        <w:t>P</w:t>
      </w:r>
      <w:r w:rsidRPr="00931332">
        <w:t xml:space="preserve">romote </w:t>
      </w:r>
      <w:r w:rsidR="00F45E11">
        <w:t>S</w:t>
      </w:r>
      <w:r w:rsidRPr="00931332">
        <w:t xml:space="preserve">ocial </w:t>
      </w:r>
      <w:r w:rsidR="00F45E11">
        <w:t>P</w:t>
      </w:r>
      <w:r w:rsidRPr="00931332">
        <w:t xml:space="preserve">rotection in </w:t>
      </w:r>
      <w:r w:rsidR="00F45E11">
        <w:t>L</w:t>
      </w:r>
      <w:r w:rsidRPr="00931332">
        <w:t>ow-</w:t>
      </w:r>
      <w:r w:rsidR="00F45E11">
        <w:t>I</w:t>
      </w:r>
      <w:r w:rsidRPr="00931332">
        <w:t xml:space="preserve">ncome </w:t>
      </w:r>
      <w:r w:rsidR="00F45E11">
        <w:t>C</w:t>
      </w:r>
      <w:r w:rsidRPr="00931332">
        <w:t>ountries</w:t>
      </w:r>
      <w:r>
        <w:t xml:space="preserve">’, </w:t>
      </w:r>
      <w:r>
        <w:rPr>
          <w:i/>
        </w:rPr>
        <w:t>Bretton Woods Project Official Website</w:t>
      </w:r>
      <w:r w:rsidR="00C40FF0">
        <w:rPr>
          <w:i/>
        </w:rPr>
        <w:t xml:space="preserve"> ‘Guest Analysis’</w:t>
      </w:r>
      <w:r>
        <w:t xml:space="preserve">, available at </w:t>
      </w:r>
      <w:hyperlink r:id="rId10" w:history="1">
        <w:r>
          <w:rPr>
            <w:rStyle w:val="Hyperlink"/>
          </w:rPr>
          <w:t>https://www.brettonwoodsproject.org/2017/06/truth-behind-imfs-claims-promote-social-protection-low-income-countries/</w:t>
        </w:r>
      </w:hyperlink>
      <w:r>
        <w:t>. Accessed 30</w:t>
      </w:r>
      <w:r w:rsidRPr="00931332">
        <w:rPr>
          <w:vertAlign w:val="superscript"/>
        </w:rPr>
        <w:t>th</w:t>
      </w:r>
      <w:r>
        <w:t xml:space="preserve"> </w:t>
      </w:r>
      <w:proofErr w:type="gramStart"/>
      <w:r>
        <w:t>April,</w:t>
      </w:r>
      <w:proofErr w:type="gramEnd"/>
      <w:r>
        <w:t xml:space="preserve"> 2019.</w:t>
      </w:r>
    </w:p>
    <w:p w:rsidR="00EA65F7" w:rsidRPr="00EA65F7" w:rsidRDefault="00EA65F7" w:rsidP="00753EC4">
      <w:pPr>
        <w:spacing w:line="480" w:lineRule="auto"/>
      </w:pPr>
      <w:proofErr w:type="spellStart"/>
      <w:r>
        <w:t>Titmus</w:t>
      </w:r>
      <w:proofErr w:type="spellEnd"/>
      <w:r>
        <w:t xml:space="preserve">, R. (1968). </w:t>
      </w:r>
      <w:r>
        <w:rPr>
          <w:i/>
        </w:rPr>
        <w:t>Commitment to Welfare</w:t>
      </w:r>
      <w:r>
        <w:t>. New York: Pantheon.</w:t>
      </w:r>
    </w:p>
    <w:p w:rsidR="002C4FB4" w:rsidRDefault="002C4FB4" w:rsidP="00753EC4">
      <w:pPr>
        <w:spacing w:line="480" w:lineRule="auto"/>
      </w:pPr>
      <w:proofErr w:type="spellStart"/>
      <w:r>
        <w:t>Vetterlein</w:t>
      </w:r>
      <w:proofErr w:type="spellEnd"/>
      <w:r>
        <w:t>, A.</w:t>
      </w:r>
      <w:r w:rsidRPr="002C4FB4">
        <w:t xml:space="preserve"> </w:t>
      </w:r>
      <w:r>
        <w:t>(</w:t>
      </w:r>
      <w:r w:rsidRPr="002C4FB4">
        <w:t>2010</w:t>
      </w:r>
      <w:r>
        <w:t>)</w:t>
      </w:r>
      <w:r w:rsidRPr="002C4FB4">
        <w:t xml:space="preserve"> </w:t>
      </w:r>
      <w:r>
        <w:t>‘</w:t>
      </w:r>
      <w:r w:rsidRPr="002C4FB4">
        <w:t xml:space="preserve">Lacking </w:t>
      </w:r>
      <w:r w:rsidR="00F45E11">
        <w:t>O</w:t>
      </w:r>
      <w:r w:rsidRPr="002C4FB4">
        <w:t xml:space="preserve">wnership: The IMF and its </w:t>
      </w:r>
      <w:r w:rsidR="00F45E11">
        <w:t>E</w:t>
      </w:r>
      <w:r w:rsidRPr="002C4FB4">
        <w:t xml:space="preserve">ngagement with </w:t>
      </w:r>
      <w:r w:rsidR="00F45E11">
        <w:t>S</w:t>
      </w:r>
      <w:r w:rsidRPr="002C4FB4">
        <w:t xml:space="preserve">ocial </w:t>
      </w:r>
      <w:r w:rsidR="00F45E11">
        <w:t>D</w:t>
      </w:r>
      <w:r w:rsidRPr="002C4FB4">
        <w:t xml:space="preserve">evelopment as a </w:t>
      </w:r>
      <w:r w:rsidR="00F45E11">
        <w:t>P</w:t>
      </w:r>
      <w:r w:rsidRPr="002C4FB4">
        <w:t xml:space="preserve">olicy </w:t>
      </w:r>
      <w:r w:rsidR="00F45E11">
        <w:t>N</w:t>
      </w:r>
      <w:r w:rsidRPr="002C4FB4">
        <w:t>orm</w:t>
      </w:r>
      <w:r>
        <w:t xml:space="preserve">’. In S. Park and A. </w:t>
      </w:r>
      <w:proofErr w:type="spellStart"/>
      <w:r>
        <w:t>Vetterlein</w:t>
      </w:r>
      <w:proofErr w:type="spellEnd"/>
      <w:r>
        <w:t xml:space="preserve"> (</w:t>
      </w:r>
      <w:proofErr w:type="spellStart"/>
      <w:proofErr w:type="gramStart"/>
      <w:r>
        <w:t>eds</w:t>
      </w:r>
      <w:proofErr w:type="spellEnd"/>
      <w:proofErr w:type="gramEnd"/>
      <w:r>
        <w:t>), Owning D</w:t>
      </w:r>
      <w:r w:rsidRPr="002C4FB4">
        <w:t xml:space="preserve">evelopment: Creating </w:t>
      </w:r>
      <w:r>
        <w:t>P</w:t>
      </w:r>
      <w:r w:rsidRPr="002C4FB4">
        <w:t xml:space="preserve">olicy </w:t>
      </w:r>
      <w:r>
        <w:t>N</w:t>
      </w:r>
      <w:r w:rsidRPr="002C4FB4">
        <w:t>orms in the IMF and the World Bank</w:t>
      </w:r>
      <w:r>
        <w:t xml:space="preserve">. </w:t>
      </w:r>
      <w:r w:rsidR="005B043E">
        <w:t>Cambridge: University Press</w:t>
      </w:r>
      <w:r w:rsidRPr="002C4FB4">
        <w:t>, 93</w:t>
      </w:r>
      <w:r w:rsidR="00F45E11" w:rsidRPr="008E5D31">
        <w:rPr>
          <w:rFonts w:ascii="Arial" w:hAnsi="Arial" w:cs="Arial"/>
          <w:color w:val="222222"/>
          <w:sz w:val="20"/>
          <w:szCs w:val="20"/>
          <w:shd w:val="clear" w:color="auto" w:fill="FFFFFF"/>
        </w:rPr>
        <w:t>–</w:t>
      </w:r>
      <w:r w:rsidRPr="002C4FB4">
        <w:t>112.</w:t>
      </w:r>
    </w:p>
    <w:p w:rsidR="00FB13A5" w:rsidRDefault="00FB13A5" w:rsidP="00753EC4">
      <w:pPr>
        <w:spacing w:line="480" w:lineRule="auto"/>
      </w:pPr>
      <w:proofErr w:type="spellStart"/>
      <w:r w:rsidRPr="00FB13A5">
        <w:lastRenderedPageBreak/>
        <w:t>Walgrave</w:t>
      </w:r>
      <w:proofErr w:type="spellEnd"/>
      <w:r w:rsidRPr="00FB13A5">
        <w:t xml:space="preserve">, S. and </w:t>
      </w:r>
      <w:r>
        <w:t xml:space="preserve">Y. </w:t>
      </w:r>
      <w:proofErr w:type="spellStart"/>
      <w:r w:rsidRPr="00FB13A5">
        <w:t>Dejaeghere</w:t>
      </w:r>
      <w:proofErr w:type="spellEnd"/>
      <w:r>
        <w:t>. (</w:t>
      </w:r>
      <w:r w:rsidRPr="00FB13A5">
        <w:t>2017</w:t>
      </w:r>
      <w:r>
        <w:t>)</w:t>
      </w:r>
      <w:r w:rsidRPr="00FB13A5">
        <w:t xml:space="preserve"> </w:t>
      </w:r>
      <w:r>
        <w:t>‘</w:t>
      </w:r>
      <w:r w:rsidRPr="00FB13A5">
        <w:t xml:space="preserve">Surviving </w:t>
      </w:r>
      <w:r w:rsidR="00F45E11">
        <w:t>I</w:t>
      </w:r>
      <w:r w:rsidRPr="00FB13A5">
        <w:t xml:space="preserve">nformation </w:t>
      </w:r>
      <w:r w:rsidR="00F45E11">
        <w:t>O</w:t>
      </w:r>
      <w:r w:rsidRPr="00FB13A5">
        <w:t xml:space="preserve">verload: How </w:t>
      </w:r>
      <w:r w:rsidR="00F45E11">
        <w:t>E</w:t>
      </w:r>
      <w:r w:rsidRPr="00FB13A5">
        <w:t xml:space="preserve">lite </w:t>
      </w:r>
      <w:r w:rsidR="00F45E11">
        <w:t>P</w:t>
      </w:r>
      <w:r w:rsidRPr="00FB13A5">
        <w:t xml:space="preserve">oliticians </w:t>
      </w:r>
      <w:r w:rsidR="00F45E11">
        <w:t>S</w:t>
      </w:r>
      <w:r w:rsidRPr="00FB13A5">
        <w:t xml:space="preserve">elect </w:t>
      </w:r>
      <w:r w:rsidR="00F45E11">
        <w:t>I</w:t>
      </w:r>
      <w:r w:rsidRPr="00FB13A5">
        <w:t>nformation</w:t>
      </w:r>
      <w:r>
        <w:t>’,</w:t>
      </w:r>
      <w:r w:rsidRPr="00FB13A5">
        <w:t xml:space="preserve"> </w:t>
      </w:r>
      <w:r w:rsidRPr="00FB13A5">
        <w:rPr>
          <w:i/>
        </w:rPr>
        <w:t>Governance</w:t>
      </w:r>
      <w:r w:rsidRPr="00FB13A5">
        <w:t xml:space="preserve"> 30(2)</w:t>
      </w:r>
      <w:r>
        <w:t xml:space="preserve">: </w:t>
      </w:r>
      <w:r w:rsidRPr="00FB13A5">
        <w:t>229</w:t>
      </w:r>
      <w:r w:rsidR="00F45E11" w:rsidRPr="008E5D31">
        <w:rPr>
          <w:rFonts w:ascii="Arial" w:hAnsi="Arial" w:cs="Arial"/>
          <w:color w:val="222222"/>
          <w:sz w:val="20"/>
          <w:szCs w:val="20"/>
          <w:shd w:val="clear" w:color="auto" w:fill="FFFFFF"/>
        </w:rPr>
        <w:t>–</w:t>
      </w:r>
      <w:r w:rsidRPr="00FB13A5">
        <w:t>244.</w:t>
      </w:r>
    </w:p>
    <w:p w:rsidR="00BC04A0" w:rsidRDefault="00BC04A0" w:rsidP="00753EC4">
      <w:pPr>
        <w:spacing w:line="480" w:lineRule="auto"/>
      </w:pPr>
      <w:r>
        <w:t>Weaver, C.</w:t>
      </w:r>
      <w:r w:rsidRPr="00BC04A0">
        <w:t xml:space="preserve"> </w:t>
      </w:r>
      <w:r>
        <w:t>(</w:t>
      </w:r>
      <w:r w:rsidRPr="00BC04A0">
        <w:t>2008</w:t>
      </w:r>
      <w:r>
        <w:t>)</w:t>
      </w:r>
      <w:r w:rsidRPr="00BC04A0">
        <w:t xml:space="preserve"> </w:t>
      </w:r>
      <w:r w:rsidRPr="00BC04A0">
        <w:rPr>
          <w:i/>
        </w:rPr>
        <w:t xml:space="preserve">Hypocrisy </w:t>
      </w:r>
      <w:r>
        <w:rPr>
          <w:i/>
        </w:rPr>
        <w:t>T</w:t>
      </w:r>
      <w:r w:rsidRPr="00BC04A0">
        <w:rPr>
          <w:i/>
        </w:rPr>
        <w:t xml:space="preserve">rap: The World Bank and the </w:t>
      </w:r>
      <w:r>
        <w:rPr>
          <w:i/>
        </w:rPr>
        <w:t>P</w:t>
      </w:r>
      <w:r w:rsidRPr="00BC04A0">
        <w:rPr>
          <w:i/>
        </w:rPr>
        <w:t xml:space="preserve">overty of </w:t>
      </w:r>
      <w:r>
        <w:rPr>
          <w:i/>
        </w:rPr>
        <w:t>R</w:t>
      </w:r>
      <w:r w:rsidRPr="00BC04A0">
        <w:rPr>
          <w:i/>
        </w:rPr>
        <w:t>eform</w:t>
      </w:r>
      <w:r w:rsidRPr="00BC04A0">
        <w:t xml:space="preserve">. </w:t>
      </w:r>
      <w:r>
        <w:t xml:space="preserve">New Jersey: </w:t>
      </w:r>
      <w:r w:rsidRPr="00BC04A0">
        <w:t>Princeton University Press.</w:t>
      </w:r>
    </w:p>
    <w:p w:rsidR="0003214F" w:rsidRDefault="0003214F" w:rsidP="00753EC4">
      <w:pPr>
        <w:spacing w:line="480" w:lineRule="auto"/>
      </w:pPr>
      <w:r w:rsidRPr="0003214F">
        <w:t xml:space="preserve">Weaver, C. (2010) </w:t>
      </w:r>
      <w:r>
        <w:t>‘</w:t>
      </w:r>
      <w:proofErr w:type="gramStart"/>
      <w:r w:rsidRPr="0003214F">
        <w:t>The</w:t>
      </w:r>
      <w:proofErr w:type="gramEnd"/>
      <w:r w:rsidRPr="0003214F">
        <w:t xml:space="preserve"> </w:t>
      </w:r>
      <w:r w:rsidR="00F45E11">
        <w:t>P</w:t>
      </w:r>
      <w:r w:rsidRPr="0003214F">
        <w:t xml:space="preserve">olitics of </w:t>
      </w:r>
      <w:r w:rsidR="00F45E11">
        <w:t>P</w:t>
      </w:r>
      <w:r w:rsidRPr="0003214F">
        <w:t xml:space="preserve">erformance </w:t>
      </w:r>
      <w:r w:rsidR="00F45E11">
        <w:t>E</w:t>
      </w:r>
      <w:r w:rsidRPr="0003214F">
        <w:t xml:space="preserve">valuation: Independent </w:t>
      </w:r>
      <w:r w:rsidR="00F45E11">
        <w:t>E</w:t>
      </w:r>
      <w:r w:rsidRPr="0003214F">
        <w:t>valuation at the International Monetary Fund</w:t>
      </w:r>
      <w:r>
        <w:t>’,</w:t>
      </w:r>
      <w:r w:rsidRPr="0003214F">
        <w:t xml:space="preserve"> </w:t>
      </w:r>
      <w:r w:rsidRPr="0003214F">
        <w:rPr>
          <w:i/>
        </w:rPr>
        <w:t>Review of International Organizations</w:t>
      </w:r>
      <w:r w:rsidRPr="0003214F">
        <w:t xml:space="preserve"> 5(3)</w:t>
      </w:r>
      <w:r>
        <w:t>:</w:t>
      </w:r>
      <w:r w:rsidRPr="0003214F">
        <w:t xml:space="preserve"> 365</w:t>
      </w:r>
      <w:r w:rsidR="00F45E11" w:rsidRPr="008E5D31">
        <w:rPr>
          <w:rFonts w:ascii="Arial" w:hAnsi="Arial" w:cs="Arial"/>
          <w:color w:val="222222"/>
          <w:sz w:val="20"/>
          <w:szCs w:val="20"/>
          <w:shd w:val="clear" w:color="auto" w:fill="FFFFFF"/>
        </w:rPr>
        <w:t>–</w:t>
      </w:r>
      <w:r w:rsidRPr="0003214F">
        <w:t>385.</w:t>
      </w:r>
    </w:p>
    <w:p w:rsidR="00C93931" w:rsidRPr="00E372AD" w:rsidRDefault="00C93931" w:rsidP="00753EC4">
      <w:pPr>
        <w:spacing w:line="480" w:lineRule="auto"/>
      </w:pPr>
      <w:proofErr w:type="spellStart"/>
      <w:r w:rsidRPr="00C93931">
        <w:t>Zucco</w:t>
      </w:r>
      <w:proofErr w:type="spellEnd"/>
      <w:r>
        <w:t>,</w:t>
      </w:r>
      <w:r w:rsidRPr="00C93931">
        <w:t xml:space="preserve"> C. </w:t>
      </w:r>
      <w:r>
        <w:t>(</w:t>
      </w:r>
      <w:r w:rsidRPr="00C93931">
        <w:t>2013</w:t>
      </w:r>
      <w:r>
        <w:t>)</w:t>
      </w:r>
      <w:r w:rsidRPr="00C93931">
        <w:t xml:space="preserve"> </w:t>
      </w:r>
      <w:r>
        <w:t>‘</w:t>
      </w:r>
      <w:r w:rsidRPr="00C93931">
        <w:t xml:space="preserve">When </w:t>
      </w:r>
      <w:proofErr w:type="spellStart"/>
      <w:r w:rsidR="00F45E11">
        <w:t>P</w:t>
      </w:r>
      <w:r w:rsidRPr="00C93931">
        <w:t>ayouts</w:t>
      </w:r>
      <w:proofErr w:type="spellEnd"/>
      <w:r w:rsidRPr="00C93931">
        <w:t xml:space="preserve"> </w:t>
      </w:r>
      <w:r w:rsidR="00F45E11">
        <w:t>P</w:t>
      </w:r>
      <w:r w:rsidRPr="00C93931">
        <w:t xml:space="preserve">ay </w:t>
      </w:r>
      <w:r w:rsidR="00F45E11">
        <w:t>O</w:t>
      </w:r>
      <w:r w:rsidRPr="00C93931">
        <w:t xml:space="preserve">ff: Conditional </w:t>
      </w:r>
      <w:r w:rsidR="00C13A78">
        <w:t>C</w:t>
      </w:r>
      <w:r w:rsidRPr="00C93931">
        <w:t xml:space="preserve">ash </w:t>
      </w:r>
      <w:r w:rsidR="00C13A78">
        <w:t>T</w:t>
      </w:r>
      <w:r w:rsidRPr="00C93931">
        <w:t xml:space="preserve">ransfers and </w:t>
      </w:r>
      <w:r w:rsidR="00C13A78">
        <w:t>V</w:t>
      </w:r>
      <w:r w:rsidRPr="00C93931">
        <w:t xml:space="preserve">oting </w:t>
      </w:r>
      <w:proofErr w:type="spellStart"/>
      <w:r w:rsidR="00C13A78">
        <w:t>B</w:t>
      </w:r>
      <w:r w:rsidRPr="00C93931">
        <w:t>ehavior</w:t>
      </w:r>
      <w:proofErr w:type="spellEnd"/>
      <w:r w:rsidRPr="00C93931">
        <w:t xml:space="preserve"> in Brazil 2002–10</w:t>
      </w:r>
      <w:r>
        <w:t>’,</w:t>
      </w:r>
      <w:r w:rsidRPr="00C93931">
        <w:t xml:space="preserve"> </w:t>
      </w:r>
      <w:r w:rsidRPr="00C93931">
        <w:rPr>
          <w:i/>
        </w:rPr>
        <w:t xml:space="preserve">American </w:t>
      </w:r>
      <w:r>
        <w:rPr>
          <w:i/>
        </w:rPr>
        <w:t>J</w:t>
      </w:r>
      <w:r w:rsidRPr="00C93931">
        <w:rPr>
          <w:i/>
        </w:rPr>
        <w:t xml:space="preserve">ournal of </w:t>
      </w:r>
      <w:r>
        <w:rPr>
          <w:i/>
        </w:rPr>
        <w:t>P</w:t>
      </w:r>
      <w:r w:rsidRPr="00C93931">
        <w:rPr>
          <w:i/>
        </w:rPr>
        <w:t xml:space="preserve">olitical </w:t>
      </w:r>
      <w:r>
        <w:rPr>
          <w:i/>
        </w:rPr>
        <w:t>S</w:t>
      </w:r>
      <w:r w:rsidRPr="00C93931">
        <w:rPr>
          <w:i/>
        </w:rPr>
        <w:t>cience</w:t>
      </w:r>
      <w:r w:rsidRPr="00C93931">
        <w:t>, 57(4)</w:t>
      </w:r>
      <w:r>
        <w:t xml:space="preserve">: </w:t>
      </w:r>
      <w:r w:rsidRPr="00C93931">
        <w:t>810</w:t>
      </w:r>
      <w:r w:rsidR="00C13A78" w:rsidRPr="008E5D31">
        <w:rPr>
          <w:rFonts w:ascii="Arial" w:hAnsi="Arial" w:cs="Arial"/>
          <w:color w:val="222222"/>
          <w:sz w:val="20"/>
          <w:szCs w:val="20"/>
          <w:shd w:val="clear" w:color="auto" w:fill="FFFFFF"/>
        </w:rPr>
        <w:t>–</w:t>
      </w:r>
      <w:r w:rsidRPr="00C93931">
        <w:t>822.</w:t>
      </w:r>
    </w:p>
    <w:sectPr w:rsidR="00C93931" w:rsidRPr="00E372AD">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7999" w:rsidRDefault="00B97999" w:rsidP="001922A3">
      <w:pPr>
        <w:spacing w:after="0" w:line="240" w:lineRule="auto"/>
      </w:pPr>
      <w:r>
        <w:separator/>
      </w:r>
    </w:p>
  </w:endnote>
  <w:endnote w:type="continuationSeparator" w:id="0">
    <w:p w:rsidR="00B97999" w:rsidRDefault="00B97999" w:rsidP="001922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9489444"/>
      <w:docPartObj>
        <w:docPartGallery w:val="Page Numbers (Bottom of Page)"/>
        <w:docPartUnique/>
      </w:docPartObj>
    </w:sdtPr>
    <w:sdtEndPr>
      <w:rPr>
        <w:noProof/>
      </w:rPr>
    </w:sdtEndPr>
    <w:sdtContent>
      <w:p w:rsidR="00B97999" w:rsidRDefault="00B97999">
        <w:pPr>
          <w:pStyle w:val="Footer"/>
          <w:jc w:val="center"/>
        </w:pPr>
        <w:r>
          <w:fldChar w:fldCharType="begin"/>
        </w:r>
        <w:r>
          <w:instrText xml:space="preserve"> PAGE   \* MERGEFORMAT </w:instrText>
        </w:r>
        <w:r>
          <w:fldChar w:fldCharType="separate"/>
        </w:r>
        <w:r w:rsidR="00A262D7">
          <w:rPr>
            <w:noProof/>
          </w:rPr>
          <w:t>16</w:t>
        </w:r>
        <w:r>
          <w:rPr>
            <w:noProof/>
          </w:rPr>
          <w:fldChar w:fldCharType="end"/>
        </w:r>
      </w:p>
    </w:sdtContent>
  </w:sdt>
  <w:p w:rsidR="00B97999" w:rsidRDefault="00B979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7999" w:rsidRDefault="00B97999" w:rsidP="001922A3">
      <w:pPr>
        <w:spacing w:after="0" w:line="240" w:lineRule="auto"/>
      </w:pPr>
      <w:r>
        <w:separator/>
      </w:r>
    </w:p>
  </w:footnote>
  <w:footnote w:type="continuationSeparator" w:id="0">
    <w:p w:rsidR="00B97999" w:rsidRDefault="00B97999" w:rsidP="001922A3">
      <w:pPr>
        <w:spacing w:after="0" w:line="240" w:lineRule="auto"/>
      </w:pPr>
      <w:r>
        <w:continuationSeparator/>
      </w:r>
    </w:p>
  </w:footnote>
  <w:footnote w:id="1">
    <w:p w:rsidR="001437DF" w:rsidRDefault="001437DF">
      <w:pPr>
        <w:pStyle w:val="FootnoteText"/>
      </w:pPr>
      <w:r>
        <w:rPr>
          <w:rStyle w:val="FootnoteReference"/>
        </w:rPr>
        <w:footnoteRef/>
      </w:r>
      <w:r>
        <w:t xml:space="preserve"> For a review of the effectiveness with which IEO recommendations </w:t>
      </w:r>
      <w:proofErr w:type="gramStart"/>
      <w:r>
        <w:t>are implemented</w:t>
      </w:r>
      <w:proofErr w:type="gramEnd"/>
      <w:r>
        <w:t xml:space="preserve">, see Schwartz and </w:t>
      </w:r>
      <w:proofErr w:type="spellStart"/>
      <w:r>
        <w:t>Rist</w:t>
      </w:r>
      <w:proofErr w:type="spellEnd"/>
      <w:r>
        <w:t xml:space="preserve"> (2017: 81-4).</w:t>
      </w:r>
    </w:p>
  </w:footnote>
  <w:footnote w:id="2">
    <w:p w:rsidR="00B97999" w:rsidRDefault="00B97999">
      <w:pPr>
        <w:pStyle w:val="FootnoteText"/>
      </w:pPr>
      <w:r>
        <w:rPr>
          <w:rStyle w:val="FootnoteReference"/>
        </w:rPr>
        <w:footnoteRef/>
      </w:r>
      <w:r>
        <w:t xml:space="preserve"> For a review of the history and performance of the IEO, see Weaver (2010).</w:t>
      </w:r>
    </w:p>
  </w:footnote>
  <w:footnote w:id="3">
    <w:p w:rsidR="00B97999" w:rsidRDefault="00B97999">
      <w:pPr>
        <w:pStyle w:val="FootnoteText"/>
      </w:pPr>
      <w:r>
        <w:rPr>
          <w:rStyle w:val="FootnoteReference"/>
        </w:rPr>
        <w:footnoteRef/>
      </w:r>
      <w:r>
        <w:t xml:space="preserve"> A review of the external and internal dynamics associated with this operational shift </w:t>
      </w:r>
      <w:proofErr w:type="gramStart"/>
      <w:r>
        <w:t>is provided</w:t>
      </w:r>
      <w:proofErr w:type="gramEnd"/>
      <w:r>
        <w:t xml:space="preserve"> below. In addition, see Clegg (2014).</w:t>
      </w:r>
    </w:p>
  </w:footnote>
  <w:footnote w:id="4">
    <w:p w:rsidR="009812C0" w:rsidRDefault="009812C0">
      <w:pPr>
        <w:pStyle w:val="FootnoteText"/>
      </w:pPr>
      <w:r>
        <w:rPr>
          <w:rStyle w:val="FootnoteReference"/>
        </w:rPr>
        <w:footnoteRef/>
      </w:r>
      <w:r>
        <w:t xml:space="preserve"> The IMF has attracted significant criticism for pursuing lending programmes in which surpluses in the ‘primary’ balance between current government income and expenditure </w:t>
      </w:r>
      <w:proofErr w:type="gramStart"/>
      <w:r>
        <w:t>are used</w:t>
      </w:r>
      <w:proofErr w:type="gramEnd"/>
      <w:r>
        <w:t xml:space="preserve"> to pay down the ‘secondary’ balance of outstanding debt stock and interest payments, a prioritisation that protects investors over taxpayers</w:t>
      </w:r>
      <w:r w:rsidR="00AA6399">
        <w:t xml:space="preserve">. See, for example, </w:t>
      </w:r>
      <w:proofErr w:type="spellStart"/>
      <w:r w:rsidR="00AA6399">
        <w:t>Calomiris</w:t>
      </w:r>
      <w:proofErr w:type="spellEnd"/>
      <w:r w:rsidR="00AA6399">
        <w:t xml:space="preserve"> (1997)</w:t>
      </w:r>
      <w:r w:rsidR="00E168E2">
        <w:t xml:space="preserve"> and Leaver (2000).</w:t>
      </w:r>
      <w:r w:rsidR="00AA6399">
        <w:t xml:space="preserve"> </w:t>
      </w:r>
    </w:p>
  </w:footnote>
  <w:footnote w:id="5">
    <w:p w:rsidR="00307E2F" w:rsidRDefault="00307E2F">
      <w:pPr>
        <w:pStyle w:val="FootnoteText"/>
      </w:pPr>
      <w:r>
        <w:rPr>
          <w:rStyle w:val="FootnoteReference"/>
        </w:rPr>
        <w:footnoteRef/>
      </w:r>
      <w:r>
        <w:t xml:space="preserve"> For a usef</w:t>
      </w:r>
      <w:r w:rsidR="00721237">
        <w:t xml:space="preserve">ul review of equity-based evaluations of </w:t>
      </w:r>
      <w:r>
        <w:t xml:space="preserve">VAT, see Bird and </w:t>
      </w:r>
      <w:proofErr w:type="spellStart"/>
      <w:r>
        <w:t>Gendron</w:t>
      </w:r>
      <w:proofErr w:type="spellEnd"/>
      <w:r>
        <w:t xml:space="preserve"> (2009: 73-6).</w:t>
      </w:r>
      <w:r w:rsidR="00721237">
        <w:t xml:space="preserve"> These empirical studies of VAT in developing and emerging commonly find the mode to be regressive, but identify mechanisms for ameliorating and addressing this tendency.</w:t>
      </w:r>
      <w: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8FA"/>
    <w:rsid w:val="00026828"/>
    <w:rsid w:val="0003214F"/>
    <w:rsid w:val="0003621D"/>
    <w:rsid w:val="00040031"/>
    <w:rsid w:val="000534FD"/>
    <w:rsid w:val="00056ED4"/>
    <w:rsid w:val="000608B2"/>
    <w:rsid w:val="00066790"/>
    <w:rsid w:val="00091BB8"/>
    <w:rsid w:val="00094AEA"/>
    <w:rsid w:val="000C5159"/>
    <w:rsid w:val="000C7025"/>
    <w:rsid w:val="000D23BA"/>
    <w:rsid w:val="000D4980"/>
    <w:rsid w:val="000E1BA2"/>
    <w:rsid w:val="00124BD7"/>
    <w:rsid w:val="00137BAA"/>
    <w:rsid w:val="00140946"/>
    <w:rsid w:val="001437DF"/>
    <w:rsid w:val="00154142"/>
    <w:rsid w:val="0017016E"/>
    <w:rsid w:val="00176FF8"/>
    <w:rsid w:val="001922A3"/>
    <w:rsid w:val="001A474F"/>
    <w:rsid w:val="001B4E6A"/>
    <w:rsid w:val="001B6135"/>
    <w:rsid w:val="001C79C4"/>
    <w:rsid w:val="0023232D"/>
    <w:rsid w:val="00264616"/>
    <w:rsid w:val="00265872"/>
    <w:rsid w:val="00266507"/>
    <w:rsid w:val="00266C62"/>
    <w:rsid w:val="0027392F"/>
    <w:rsid w:val="00293217"/>
    <w:rsid w:val="002B3ADA"/>
    <w:rsid w:val="002C071B"/>
    <w:rsid w:val="002C0FFC"/>
    <w:rsid w:val="002C2DA7"/>
    <w:rsid w:val="002C4FB4"/>
    <w:rsid w:val="002D7D74"/>
    <w:rsid w:val="003018B0"/>
    <w:rsid w:val="00307E2F"/>
    <w:rsid w:val="00326709"/>
    <w:rsid w:val="003313CE"/>
    <w:rsid w:val="00331532"/>
    <w:rsid w:val="0033284E"/>
    <w:rsid w:val="00341489"/>
    <w:rsid w:val="00342823"/>
    <w:rsid w:val="00351177"/>
    <w:rsid w:val="00351CC8"/>
    <w:rsid w:val="00375A77"/>
    <w:rsid w:val="0039234B"/>
    <w:rsid w:val="003B78E1"/>
    <w:rsid w:val="003E2335"/>
    <w:rsid w:val="003E2853"/>
    <w:rsid w:val="003F7B7B"/>
    <w:rsid w:val="00412882"/>
    <w:rsid w:val="00413D71"/>
    <w:rsid w:val="00421F8F"/>
    <w:rsid w:val="00446065"/>
    <w:rsid w:val="00453395"/>
    <w:rsid w:val="00473B5C"/>
    <w:rsid w:val="00476925"/>
    <w:rsid w:val="00487493"/>
    <w:rsid w:val="00497BCC"/>
    <w:rsid w:val="004C7290"/>
    <w:rsid w:val="004D06B0"/>
    <w:rsid w:val="004D1B69"/>
    <w:rsid w:val="004F1C75"/>
    <w:rsid w:val="004F6D7D"/>
    <w:rsid w:val="00527303"/>
    <w:rsid w:val="00533A05"/>
    <w:rsid w:val="00542958"/>
    <w:rsid w:val="005527F9"/>
    <w:rsid w:val="00571C6F"/>
    <w:rsid w:val="00587A78"/>
    <w:rsid w:val="005919E0"/>
    <w:rsid w:val="005A0069"/>
    <w:rsid w:val="005B043E"/>
    <w:rsid w:val="005C019A"/>
    <w:rsid w:val="005C24DC"/>
    <w:rsid w:val="005C59F9"/>
    <w:rsid w:val="005F54C0"/>
    <w:rsid w:val="00602657"/>
    <w:rsid w:val="00602B47"/>
    <w:rsid w:val="00612FCD"/>
    <w:rsid w:val="00621E8A"/>
    <w:rsid w:val="00630628"/>
    <w:rsid w:val="006333AB"/>
    <w:rsid w:val="00655676"/>
    <w:rsid w:val="006839B5"/>
    <w:rsid w:val="00685C87"/>
    <w:rsid w:val="006906D6"/>
    <w:rsid w:val="006936D0"/>
    <w:rsid w:val="006A6282"/>
    <w:rsid w:val="006C77FE"/>
    <w:rsid w:val="00701B79"/>
    <w:rsid w:val="00702E19"/>
    <w:rsid w:val="00712D08"/>
    <w:rsid w:val="00721237"/>
    <w:rsid w:val="00724342"/>
    <w:rsid w:val="00731EB8"/>
    <w:rsid w:val="00733B60"/>
    <w:rsid w:val="00747CF5"/>
    <w:rsid w:val="00753EC4"/>
    <w:rsid w:val="00757106"/>
    <w:rsid w:val="007603E6"/>
    <w:rsid w:val="0076558A"/>
    <w:rsid w:val="007658FA"/>
    <w:rsid w:val="00782792"/>
    <w:rsid w:val="007945D0"/>
    <w:rsid w:val="00795210"/>
    <w:rsid w:val="0079648D"/>
    <w:rsid w:val="007A2D27"/>
    <w:rsid w:val="007D176B"/>
    <w:rsid w:val="007D3591"/>
    <w:rsid w:val="007F50E1"/>
    <w:rsid w:val="0082016E"/>
    <w:rsid w:val="0086508E"/>
    <w:rsid w:val="008B0453"/>
    <w:rsid w:val="008B4662"/>
    <w:rsid w:val="008B4C11"/>
    <w:rsid w:val="008C6D74"/>
    <w:rsid w:val="008E5D31"/>
    <w:rsid w:val="008F3A4F"/>
    <w:rsid w:val="008F3D3C"/>
    <w:rsid w:val="009011C5"/>
    <w:rsid w:val="00904447"/>
    <w:rsid w:val="00913410"/>
    <w:rsid w:val="00914A03"/>
    <w:rsid w:val="009231F0"/>
    <w:rsid w:val="009274C2"/>
    <w:rsid w:val="0092796C"/>
    <w:rsid w:val="00931332"/>
    <w:rsid w:val="00941E77"/>
    <w:rsid w:val="009812C0"/>
    <w:rsid w:val="009963B8"/>
    <w:rsid w:val="009D14D3"/>
    <w:rsid w:val="009D314D"/>
    <w:rsid w:val="009D37D4"/>
    <w:rsid w:val="009E3286"/>
    <w:rsid w:val="009F57AA"/>
    <w:rsid w:val="00A02FA4"/>
    <w:rsid w:val="00A07226"/>
    <w:rsid w:val="00A16FA0"/>
    <w:rsid w:val="00A262D7"/>
    <w:rsid w:val="00A30821"/>
    <w:rsid w:val="00A30F69"/>
    <w:rsid w:val="00A31EEA"/>
    <w:rsid w:val="00A9612C"/>
    <w:rsid w:val="00AA11B7"/>
    <w:rsid w:val="00AA6399"/>
    <w:rsid w:val="00B06E35"/>
    <w:rsid w:val="00B166AE"/>
    <w:rsid w:val="00B2253B"/>
    <w:rsid w:val="00B26A9E"/>
    <w:rsid w:val="00B435FC"/>
    <w:rsid w:val="00B51915"/>
    <w:rsid w:val="00B56B61"/>
    <w:rsid w:val="00B5750A"/>
    <w:rsid w:val="00B57555"/>
    <w:rsid w:val="00B63DCB"/>
    <w:rsid w:val="00B74826"/>
    <w:rsid w:val="00B84259"/>
    <w:rsid w:val="00B97999"/>
    <w:rsid w:val="00B97DF1"/>
    <w:rsid w:val="00BA022C"/>
    <w:rsid w:val="00BA09C2"/>
    <w:rsid w:val="00BA779C"/>
    <w:rsid w:val="00BB31E8"/>
    <w:rsid w:val="00BC04A0"/>
    <w:rsid w:val="00BE1AF5"/>
    <w:rsid w:val="00BF1D5F"/>
    <w:rsid w:val="00C13509"/>
    <w:rsid w:val="00C13A78"/>
    <w:rsid w:val="00C31CA6"/>
    <w:rsid w:val="00C40FF0"/>
    <w:rsid w:val="00C46778"/>
    <w:rsid w:val="00C511EB"/>
    <w:rsid w:val="00C51C53"/>
    <w:rsid w:val="00C5318A"/>
    <w:rsid w:val="00C6731C"/>
    <w:rsid w:val="00C85030"/>
    <w:rsid w:val="00C93931"/>
    <w:rsid w:val="00C96B8D"/>
    <w:rsid w:val="00CA2495"/>
    <w:rsid w:val="00CB1C21"/>
    <w:rsid w:val="00CB3B2E"/>
    <w:rsid w:val="00CC06E2"/>
    <w:rsid w:val="00CD623D"/>
    <w:rsid w:val="00CF1375"/>
    <w:rsid w:val="00CF3EDD"/>
    <w:rsid w:val="00CF7B65"/>
    <w:rsid w:val="00CF7C8E"/>
    <w:rsid w:val="00D13B00"/>
    <w:rsid w:val="00D33062"/>
    <w:rsid w:val="00D3438D"/>
    <w:rsid w:val="00D45081"/>
    <w:rsid w:val="00D523B5"/>
    <w:rsid w:val="00D5711C"/>
    <w:rsid w:val="00D74838"/>
    <w:rsid w:val="00D763F9"/>
    <w:rsid w:val="00DA1792"/>
    <w:rsid w:val="00DB4AA7"/>
    <w:rsid w:val="00DD7A1C"/>
    <w:rsid w:val="00DE46F5"/>
    <w:rsid w:val="00DE6A73"/>
    <w:rsid w:val="00DF2D46"/>
    <w:rsid w:val="00DF7F75"/>
    <w:rsid w:val="00E05C37"/>
    <w:rsid w:val="00E159DC"/>
    <w:rsid w:val="00E168E2"/>
    <w:rsid w:val="00E211EC"/>
    <w:rsid w:val="00E27703"/>
    <w:rsid w:val="00E3358E"/>
    <w:rsid w:val="00E33E5F"/>
    <w:rsid w:val="00E372AD"/>
    <w:rsid w:val="00E4463C"/>
    <w:rsid w:val="00E511C2"/>
    <w:rsid w:val="00E5324A"/>
    <w:rsid w:val="00E56893"/>
    <w:rsid w:val="00E60F63"/>
    <w:rsid w:val="00E80CCA"/>
    <w:rsid w:val="00E860BA"/>
    <w:rsid w:val="00EA2C63"/>
    <w:rsid w:val="00EA65F7"/>
    <w:rsid w:val="00EC3B87"/>
    <w:rsid w:val="00EE7C0E"/>
    <w:rsid w:val="00F1577F"/>
    <w:rsid w:val="00F32F49"/>
    <w:rsid w:val="00F45E11"/>
    <w:rsid w:val="00F509C1"/>
    <w:rsid w:val="00F571B7"/>
    <w:rsid w:val="00F66CEF"/>
    <w:rsid w:val="00F73A90"/>
    <w:rsid w:val="00FA0AF0"/>
    <w:rsid w:val="00FB13A5"/>
    <w:rsid w:val="00FB5C3A"/>
    <w:rsid w:val="00FD68EB"/>
    <w:rsid w:val="00FF5F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9DBBF7"/>
  <w15:chartTrackingRefBased/>
  <w15:docId w15:val="{F29B7015-47A0-44FA-A6D7-661619550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F1D5F"/>
    <w:rPr>
      <w:color w:val="0000FF"/>
      <w:u w:val="single"/>
    </w:rPr>
  </w:style>
  <w:style w:type="paragraph" w:styleId="FootnoteText">
    <w:name w:val="footnote text"/>
    <w:basedOn w:val="Normal"/>
    <w:link w:val="FootnoteTextChar"/>
    <w:uiPriority w:val="99"/>
    <w:semiHidden/>
    <w:unhideWhenUsed/>
    <w:rsid w:val="001922A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922A3"/>
    <w:rPr>
      <w:sz w:val="20"/>
      <w:szCs w:val="20"/>
    </w:rPr>
  </w:style>
  <w:style w:type="character" w:styleId="FootnoteReference">
    <w:name w:val="footnote reference"/>
    <w:basedOn w:val="DefaultParagraphFont"/>
    <w:uiPriority w:val="99"/>
    <w:semiHidden/>
    <w:unhideWhenUsed/>
    <w:rsid w:val="001922A3"/>
    <w:rPr>
      <w:vertAlign w:val="superscript"/>
    </w:rPr>
  </w:style>
  <w:style w:type="character" w:styleId="FollowedHyperlink">
    <w:name w:val="FollowedHyperlink"/>
    <w:basedOn w:val="DefaultParagraphFont"/>
    <w:uiPriority w:val="99"/>
    <w:semiHidden/>
    <w:unhideWhenUsed/>
    <w:rsid w:val="005919E0"/>
    <w:rPr>
      <w:color w:val="954F72" w:themeColor="followedHyperlink"/>
      <w:u w:val="single"/>
    </w:rPr>
  </w:style>
  <w:style w:type="paragraph" w:styleId="Header">
    <w:name w:val="header"/>
    <w:basedOn w:val="Normal"/>
    <w:link w:val="HeaderChar"/>
    <w:uiPriority w:val="99"/>
    <w:unhideWhenUsed/>
    <w:rsid w:val="001C79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1C79C4"/>
  </w:style>
  <w:style w:type="paragraph" w:styleId="Footer">
    <w:name w:val="footer"/>
    <w:basedOn w:val="Normal"/>
    <w:link w:val="FooterChar"/>
    <w:uiPriority w:val="99"/>
    <w:unhideWhenUsed/>
    <w:rsid w:val="001C79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79C4"/>
  </w:style>
  <w:style w:type="paragraph" w:styleId="BalloonText">
    <w:name w:val="Balloon Text"/>
    <w:basedOn w:val="Normal"/>
    <w:link w:val="BalloonTextChar"/>
    <w:uiPriority w:val="99"/>
    <w:semiHidden/>
    <w:unhideWhenUsed/>
    <w:rsid w:val="00351C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1CC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6310829">
      <w:bodyDiv w:val="1"/>
      <w:marLeft w:val="0"/>
      <w:marRight w:val="0"/>
      <w:marTop w:val="0"/>
      <w:marBottom w:val="0"/>
      <w:divBdr>
        <w:top w:val="none" w:sz="0" w:space="0" w:color="auto"/>
        <w:left w:val="none" w:sz="0" w:space="0" w:color="auto"/>
        <w:bottom w:val="none" w:sz="0" w:space="0" w:color="auto"/>
        <w:right w:val="none" w:sz="0" w:space="0" w:color="auto"/>
      </w:divBdr>
    </w:div>
    <w:div w:id="1945573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mf.org/en/News/Articles/2016/07/14/14/32/SP071416-Doubling-Down-on-Developmen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ieo.imf.org/en/our-work/evaluation-reports/Completed/2017-0724-the-imf-and-social-protectio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brettonwoodsproject.org/2017/06/truth-behind-imfs-claims-promote-social-protection-low-income-countries/" TargetMode="External"/><Relationship Id="rId4" Type="http://schemas.openxmlformats.org/officeDocument/2006/relationships/webSettings" Target="webSettings.xml"/><Relationship Id="rId9" Type="http://schemas.openxmlformats.org/officeDocument/2006/relationships/hyperlink" Target="https://www.brettonwoodsproject.org/2015/02/imfs-role-ebola-outbrea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C8D5B7-E33D-49FF-A53E-B39511673F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2224</TotalTime>
  <Pages>20</Pages>
  <Words>5509</Words>
  <Characters>31403</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University of York</Company>
  <LinksUpToDate>false</LinksUpToDate>
  <CharactersWithSpaces>36839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Liam Clegg</dc:creator>
  <cp:keywords/>
  <dc:description/>
  <cp:lastModifiedBy>Liam Clegg</cp:lastModifiedBy>
  <cp:revision>145</cp:revision>
  <cp:lastPrinted>2019-06-18T12:28:00Z</cp:lastPrinted>
  <dcterms:created xsi:type="dcterms:W3CDTF">2019-04-16T14:38:00Z</dcterms:created>
  <dcterms:modified xsi:type="dcterms:W3CDTF">2019-07-15T13:57:00Z</dcterms:modified>
</cp:coreProperties>
</file>