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9DC08" w14:textId="77B65AF2" w:rsidR="009B7556" w:rsidRDefault="00C60FEA">
      <w:pPr>
        <w:rPr>
          <w:b/>
          <w:sz w:val="28"/>
        </w:rPr>
      </w:pPr>
      <w:r w:rsidRPr="00C60FEA">
        <w:rPr>
          <w:b/>
          <w:sz w:val="28"/>
        </w:rPr>
        <w:t>A systematic review and meta-analysis of the prevalence of common mental disorders in people with non-communicable diseases in Bangladesh, India, and Pakistan</w:t>
      </w:r>
    </w:p>
    <w:p w14:paraId="7C8990E7" w14:textId="16F9436B" w:rsidR="00413964" w:rsidRDefault="00413964" w:rsidP="00413964">
      <w:pPr>
        <w:rPr>
          <w:rFonts w:ascii="Calibri" w:hAnsi="Calibri" w:cs="Calibri"/>
        </w:rPr>
      </w:pPr>
      <w:proofErr w:type="spellStart"/>
      <w:r w:rsidRPr="00413964">
        <w:rPr>
          <w:rFonts w:ascii="Calibri" w:hAnsi="Calibri" w:cs="Calibri"/>
        </w:rPr>
        <w:t>Eleonora</w:t>
      </w:r>
      <w:proofErr w:type="spellEnd"/>
      <w:r w:rsidRPr="00413964">
        <w:rPr>
          <w:rFonts w:ascii="Calibri" w:hAnsi="Calibri" w:cs="Calibri"/>
        </w:rPr>
        <w:t xml:space="preserve"> P Uphoff</w:t>
      </w:r>
      <w:r>
        <w:rPr>
          <w:rFonts w:ascii="Calibri" w:hAnsi="Calibri" w:cs="Calibri"/>
          <w:vertAlign w:val="superscript"/>
        </w:rPr>
        <w:t>1</w:t>
      </w:r>
      <w:r w:rsidRPr="00413964">
        <w:rPr>
          <w:rFonts w:ascii="Calibri" w:hAnsi="Calibri" w:cs="Calibri"/>
        </w:rPr>
        <w:t xml:space="preserve">, </w:t>
      </w:r>
      <w:r>
        <w:rPr>
          <w:rFonts w:ascii="Calibri" w:hAnsi="Calibri" w:cs="Calibri"/>
        </w:rPr>
        <w:t>Louise Newbould</w:t>
      </w:r>
      <w:r w:rsidR="009B1BD8">
        <w:rPr>
          <w:rFonts w:ascii="Calibri" w:hAnsi="Calibri" w:cs="Calibri"/>
          <w:vertAlign w:val="superscript"/>
        </w:rPr>
        <w:t>2</w:t>
      </w:r>
      <w:r>
        <w:rPr>
          <w:rFonts w:ascii="Calibri" w:hAnsi="Calibri" w:cs="Calibri"/>
        </w:rPr>
        <w:t xml:space="preserve">, </w:t>
      </w:r>
      <w:r w:rsidR="00EC0373">
        <w:rPr>
          <w:rFonts w:ascii="Calibri" w:hAnsi="Calibri" w:cs="Calibri"/>
        </w:rPr>
        <w:t>Ian Walker</w:t>
      </w:r>
      <w:r w:rsidR="00EC0373">
        <w:rPr>
          <w:rFonts w:ascii="Calibri" w:hAnsi="Calibri" w:cs="Calibri"/>
          <w:vertAlign w:val="superscript"/>
        </w:rPr>
        <w:t>2,3</w:t>
      </w:r>
      <w:r w:rsidR="00EC0373">
        <w:rPr>
          <w:rFonts w:ascii="Calibri" w:hAnsi="Calibri" w:cs="Calibri"/>
        </w:rPr>
        <w:t xml:space="preserve">, </w:t>
      </w:r>
      <w:r>
        <w:rPr>
          <w:rFonts w:ascii="Calibri" w:hAnsi="Calibri" w:cs="Calibri"/>
        </w:rPr>
        <w:t>Nabila Ashraf</w:t>
      </w:r>
      <w:r w:rsidR="00EC0373">
        <w:rPr>
          <w:rFonts w:ascii="Calibri" w:hAnsi="Calibri" w:cs="Calibri"/>
          <w:vertAlign w:val="superscript"/>
        </w:rPr>
        <w:t>4</w:t>
      </w:r>
      <w:r>
        <w:rPr>
          <w:rFonts w:ascii="Calibri" w:hAnsi="Calibri" w:cs="Calibri"/>
        </w:rPr>
        <w:t>, Santosh Chaturvedi</w:t>
      </w:r>
      <w:r w:rsidR="00EC0373">
        <w:rPr>
          <w:rFonts w:ascii="Calibri" w:hAnsi="Calibri" w:cs="Calibri"/>
          <w:vertAlign w:val="superscript"/>
        </w:rPr>
        <w:t>5</w:t>
      </w:r>
      <w:r>
        <w:rPr>
          <w:rFonts w:ascii="Calibri" w:hAnsi="Calibri" w:cs="Calibri"/>
        </w:rPr>
        <w:t xml:space="preserve">, </w:t>
      </w:r>
      <w:proofErr w:type="spellStart"/>
      <w:r>
        <w:rPr>
          <w:rFonts w:ascii="Calibri" w:hAnsi="Calibri" w:cs="Calibri"/>
        </w:rPr>
        <w:t>Arun</w:t>
      </w:r>
      <w:proofErr w:type="spellEnd"/>
      <w:r>
        <w:rPr>
          <w:rFonts w:ascii="Calibri" w:hAnsi="Calibri" w:cs="Calibri"/>
        </w:rPr>
        <w:t xml:space="preserve"> Kandasamy</w:t>
      </w:r>
      <w:r w:rsidR="00EC0373">
        <w:rPr>
          <w:rFonts w:ascii="Calibri" w:hAnsi="Calibri" w:cs="Calibri"/>
          <w:vertAlign w:val="superscript"/>
        </w:rPr>
        <w:t>6</w:t>
      </w:r>
      <w:r>
        <w:rPr>
          <w:rFonts w:ascii="Calibri" w:hAnsi="Calibri" w:cs="Calibri"/>
        </w:rPr>
        <w:t xml:space="preserve">, </w:t>
      </w:r>
      <w:proofErr w:type="spellStart"/>
      <w:r>
        <w:rPr>
          <w:rFonts w:ascii="Calibri" w:hAnsi="Calibri" w:cs="Calibri"/>
        </w:rPr>
        <w:t>Papiya</w:t>
      </w:r>
      <w:proofErr w:type="spellEnd"/>
      <w:r>
        <w:rPr>
          <w:rFonts w:ascii="Calibri" w:hAnsi="Calibri" w:cs="Calibri"/>
        </w:rPr>
        <w:t xml:space="preserve"> Mazumdar</w:t>
      </w:r>
      <w:r w:rsidR="009B1BD8">
        <w:rPr>
          <w:rFonts w:ascii="Calibri" w:hAnsi="Calibri" w:cs="Calibri"/>
          <w:vertAlign w:val="superscript"/>
        </w:rPr>
        <w:t>2</w:t>
      </w:r>
      <w:r>
        <w:rPr>
          <w:rFonts w:ascii="Calibri" w:hAnsi="Calibri" w:cs="Calibri"/>
        </w:rPr>
        <w:t>, Nick Meader</w:t>
      </w:r>
      <w:r w:rsidR="00EC0373">
        <w:rPr>
          <w:rFonts w:ascii="Calibri" w:hAnsi="Calibri" w:cs="Calibri"/>
          <w:vertAlign w:val="superscript"/>
        </w:rPr>
        <w:t>7</w:t>
      </w:r>
      <w:r>
        <w:rPr>
          <w:rFonts w:ascii="Calibri" w:hAnsi="Calibri" w:cs="Calibri"/>
        </w:rPr>
        <w:t>, Aliya Naheed</w:t>
      </w:r>
      <w:r w:rsidR="00EC0373">
        <w:rPr>
          <w:rFonts w:ascii="Calibri" w:hAnsi="Calibri" w:cs="Calibri"/>
          <w:vertAlign w:val="superscript"/>
        </w:rPr>
        <w:t>4</w:t>
      </w:r>
      <w:r>
        <w:rPr>
          <w:rFonts w:ascii="Calibri" w:hAnsi="Calibri" w:cs="Calibri"/>
        </w:rPr>
        <w:t xml:space="preserve">, </w:t>
      </w:r>
      <w:proofErr w:type="spellStart"/>
      <w:r>
        <w:rPr>
          <w:rFonts w:ascii="Calibri" w:hAnsi="Calibri" w:cs="Calibri"/>
        </w:rPr>
        <w:t>Rusham</w:t>
      </w:r>
      <w:proofErr w:type="spellEnd"/>
      <w:r>
        <w:rPr>
          <w:rFonts w:ascii="Calibri" w:hAnsi="Calibri" w:cs="Calibri"/>
        </w:rPr>
        <w:t xml:space="preserve"> Rana</w:t>
      </w:r>
      <w:r w:rsidR="00EC0373">
        <w:rPr>
          <w:rFonts w:ascii="Calibri" w:hAnsi="Calibri" w:cs="Calibri"/>
          <w:vertAlign w:val="superscript"/>
        </w:rPr>
        <w:t>8</w:t>
      </w:r>
      <w:r>
        <w:rPr>
          <w:rFonts w:ascii="Calibri" w:hAnsi="Calibri" w:cs="Calibri"/>
        </w:rPr>
        <w:t>, Jerome Wright</w:t>
      </w:r>
      <w:r w:rsidR="0011716B">
        <w:rPr>
          <w:rFonts w:ascii="Calibri" w:hAnsi="Calibri" w:cs="Calibri"/>
          <w:vertAlign w:val="superscript"/>
        </w:rPr>
        <w:t>2</w:t>
      </w:r>
      <w:r>
        <w:rPr>
          <w:rFonts w:ascii="Calibri" w:hAnsi="Calibri" w:cs="Calibri"/>
        </w:rPr>
        <w:t>, Judy M Wright</w:t>
      </w:r>
      <w:r w:rsidR="0011716B">
        <w:rPr>
          <w:rFonts w:ascii="Calibri" w:hAnsi="Calibri" w:cs="Calibri"/>
          <w:vertAlign w:val="superscript"/>
        </w:rPr>
        <w:t>9</w:t>
      </w:r>
      <w:r>
        <w:rPr>
          <w:rFonts w:ascii="Calibri" w:hAnsi="Calibri" w:cs="Calibri"/>
        </w:rPr>
        <w:t xml:space="preserve">, </w:t>
      </w:r>
      <w:r w:rsidR="00387811">
        <w:rPr>
          <w:rFonts w:ascii="Calibri" w:hAnsi="Calibri" w:cs="Calibri"/>
        </w:rPr>
        <w:t xml:space="preserve">Najma </w:t>
      </w:r>
      <w:r w:rsidR="00387811" w:rsidRPr="00387811">
        <w:rPr>
          <w:rFonts w:ascii="Calibri" w:hAnsi="Calibri" w:cs="Calibri"/>
        </w:rPr>
        <w:t>Siddiqi</w:t>
      </w:r>
      <w:r w:rsidR="00387811" w:rsidRPr="00387811">
        <w:rPr>
          <w:rFonts w:ascii="Calibri" w:hAnsi="Calibri" w:cs="Calibri"/>
          <w:vertAlign w:val="superscript"/>
        </w:rPr>
        <w:t>2</w:t>
      </w:r>
      <w:r w:rsidR="00387811" w:rsidRPr="00387811">
        <w:rPr>
          <w:rFonts w:ascii="Calibri" w:hAnsi="Calibri" w:cs="Calibri"/>
        </w:rPr>
        <w:t>*</w:t>
      </w:r>
      <w:r w:rsidR="00387811">
        <w:rPr>
          <w:rFonts w:ascii="Calibri" w:hAnsi="Calibri" w:cs="Calibri"/>
        </w:rPr>
        <w:t xml:space="preserve">, and </w:t>
      </w:r>
      <w:r w:rsidRPr="00387811">
        <w:rPr>
          <w:rFonts w:ascii="Calibri" w:hAnsi="Calibri" w:cs="Calibri"/>
        </w:rPr>
        <w:t>Rachel</w:t>
      </w:r>
      <w:r>
        <w:rPr>
          <w:rFonts w:ascii="Calibri" w:hAnsi="Calibri" w:cs="Calibri"/>
        </w:rPr>
        <w:t xml:space="preserve"> Churchill</w:t>
      </w:r>
      <w:r w:rsidR="0011716B">
        <w:rPr>
          <w:rFonts w:ascii="Calibri" w:hAnsi="Calibri" w:cs="Calibri"/>
          <w:vertAlign w:val="superscript"/>
        </w:rPr>
        <w:t>1</w:t>
      </w:r>
      <w:r w:rsidR="00387811" w:rsidRPr="00387811">
        <w:rPr>
          <w:rFonts w:ascii="Calibri" w:hAnsi="Calibri" w:cs="Calibri"/>
        </w:rPr>
        <w:t>*</w:t>
      </w:r>
      <w:r w:rsidR="00387811">
        <w:rPr>
          <w:rFonts w:ascii="Calibri" w:hAnsi="Calibri" w:cs="Calibri"/>
        </w:rPr>
        <w:t>, on behalf of the NIHR Global Health Research Group, IMPACT.</w:t>
      </w:r>
      <w:bookmarkStart w:id="0" w:name="_GoBack"/>
      <w:bookmarkEnd w:id="0"/>
    </w:p>
    <w:p w14:paraId="21CC09F7" w14:textId="3EAB2C08" w:rsidR="00387811" w:rsidRDefault="00387811" w:rsidP="00413964">
      <w:pPr>
        <w:rPr>
          <w:rFonts w:ascii="Calibri" w:hAnsi="Calibri" w:cs="Calibri"/>
        </w:rPr>
      </w:pPr>
      <w:r>
        <w:rPr>
          <w:rFonts w:ascii="Calibri" w:hAnsi="Calibri" w:cs="Calibri"/>
        </w:rPr>
        <w:t>* These authors are joint last author.</w:t>
      </w:r>
    </w:p>
    <w:p w14:paraId="777CF56B" w14:textId="06D14FC2" w:rsidR="0011716B" w:rsidRDefault="0011716B" w:rsidP="0011716B">
      <w:pPr>
        <w:rPr>
          <w:rFonts w:ascii="Calibri" w:hAnsi="Calibri" w:cs="Calibri"/>
        </w:rPr>
      </w:pPr>
      <w:r w:rsidRPr="0011716B">
        <w:rPr>
          <w:rFonts w:ascii="Calibri" w:hAnsi="Calibri" w:cs="Calibri"/>
        </w:rPr>
        <w:t>1.</w:t>
      </w:r>
      <w:r>
        <w:rPr>
          <w:rFonts w:ascii="Calibri" w:hAnsi="Calibri" w:cs="Calibri"/>
        </w:rPr>
        <w:t xml:space="preserve"> Cochrane Common Mental Disorders, Centre for Reviews and Dissemination, Universit</w:t>
      </w:r>
      <w:r w:rsidR="0048597E">
        <w:rPr>
          <w:rFonts w:ascii="Calibri" w:hAnsi="Calibri" w:cs="Calibri"/>
        </w:rPr>
        <w:t>y of York, York, United Kingdom</w:t>
      </w:r>
    </w:p>
    <w:p w14:paraId="11B95B2B" w14:textId="3A815AB2" w:rsidR="0011716B" w:rsidRDefault="0011716B" w:rsidP="0011716B">
      <w:pPr>
        <w:rPr>
          <w:rFonts w:ascii="Calibri" w:hAnsi="Calibri" w:cs="Calibri"/>
        </w:rPr>
      </w:pPr>
      <w:r>
        <w:rPr>
          <w:rFonts w:ascii="Calibri" w:hAnsi="Calibri" w:cs="Calibri"/>
        </w:rPr>
        <w:t>2. Mental Health and Addictions Research Group, Department of Health Sciences, Universit</w:t>
      </w:r>
      <w:r w:rsidR="0048597E">
        <w:rPr>
          <w:rFonts w:ascii="Calibri" w:hAnsi="Calibri" w:cs="Calibri"/>
        </w:rPr>
        <w:t>y of York, York, United Kingdom</w:t>
      </w:r>
      <w:r>
        <w:rPr>
          <w:rFonts w:ascii="Calibri" w:hAnsi="Calibri" w:cs="Calibri"/>
        </w:rPr>
        <w:t xml:space="preserve"> </w:t>
      </w:r>
    </w:p>
    <w:p w14:paraId="6E3EBD6B" w14:textId="166CF874" w:rsidR="00EC0373" w:rsidRDefault="00EC0373" w:rsidP="0011716B">
      <w:pPr>
        <w:rPr>
          <w:rFonts w:ascii="Calibri" w:hAnsi="Calibri" w:cs="Calibri"/>
        </w:rPr>
      </w:pPr>
      <w:r>
        <w:rPr>
          <w:rFonts w:ascii="Calibri" w:hAnsi="Calibri" w:cs="Calibri"/>
        </w:rPr>
        <w:t xml:space="preserve">3. </w:t>
      </w:r>
      <w:r w:rsidRPr="0011716B">
        <w:rPr>
          <w:rFonts w:ascii="Calibri" w:hAnsi="Calibri" w:cs="Calibri"/>
        </w:rPr>
        <w:t>Global Public Health Division, Public Health England, London, United Kingdom</w:t>
      </w:r>
    </w:p>
    <w:p w14:paraId="7ADC3F5A" w14:textId="7E2ADA68" w:rsidR="0011716B" w:rsidRDefault="00EC0373" w:rsidP="0011716B">
      <w:pPr>
        <w:rPr>
          <w:rFonts w:ascii="Calibri" w:hAnsi="Calibri" w:cs="Calibri"/>
        </w:rPr>
      </w:pPr>
      <w:r>
        <w:rPr>
          <w:rFonts w:ascii="Calibri" w:hAnsi="Calibri" w:cs="Calibri"/>
        </w:rPr>
        <w:t>4</w:t>
      </w:r>
      <w:r w:rsidR="0011716B">
        <w:rPr>
          <w:rFonts w:ascii="Calibri" w:hAnsi="Calibri" w:cs="Calibri"/>
        </w:rPr>
        <w:t xml:space="preserve">. </w:t>
      </w:r>
      <w:r w:rsidR="0011716B" w:rsidRPr="0011716B">
        <w:rPr>
          <w:rFonts w:ascii="Calibri" w:hAnsi="Calibri" w:cs="Calibri"/>
        </w:rPr>
        <w:t>International Centre for Diarrhoeal Disease Research, Dhaka, Bangladesh</w:t>
      </w:r>
    </w:p>
    <w:p w14:paraId="7774894C" w14:textId="55B47985" w:rsidR="0011716B" w:rsidRDefault="00EC0373" w:rsidP="0011716B">
      <w:pPr>
        <w:rPr>
          <w:rFonts w:ascii="Calibri" w:hAnsi="Calibri" w:cs="Calibri"/>
        </w:rPr>
      </w:pPr>
      <w:r>
        <w:rPr>
          <w:rFonts w:ascii="Calibri" w:hAnsi="Calibri" w:cs="Calibri"/>
        </w:rPr>
        <w:t>5</w:t>
      </w:r>
      <w:r w:rsidR="0011716B">
        <w:rPr>
          <w:rFonts w:ascii="Calibri" w:hAnsi="Calibri" w:cs="Calibri"/>
        </w:rPr>
        <w:t xml:space="preserve">. </w:t>
      </w:r>
      <w:r w:rsidR="0011716B" w:rsidRPr="0011716B">
        <w:rPr>
          <w:rFonts w:ascii="Calibri" w:hAnsi="Calibri" w:cs="Calibri"/>
        </w:rPr>
        <w:t>Department of Mental Health Education, National Institute of Mental Health and Neurosciences, Bangalore, India</w:t>
      </w:r>
    </w:p>
    <w:p w14:paraId="7EFCAF7F" w14:textId="379DC4C8" w:rsidR="0011716B" w:rsidRDefault="00EC0373" w:rsidP="0011716B">
      <w:pPr>
        <w:rPr>
          <w:rFonts w:ascii="Calibri" w:hAnsi="Calibri" w:cs="Calibri"/>
        </w:rPr>
      </w:pPr>
      <w:r>
        <w:rPr>
          <w:rFonts w:ascii="Calibri" w:hAnsi="Calibri" w:cs="Calibri"/>
        </w:rPr>
        <w:t>6</w:t>
      </w:r>
      <w:r w:rsidR="0011716B">
        <w:rPr>
          <w:rFonts w:ascii="Calibri" w:hAnsi="Calibri" w:cs="Calibri"/>
        </w:rPr>
        <w:t xml:space="preserve">. </w:t>
      </w:r>
      <w:r w:rsidR="0011716B" w:rsidRPr="0011716B">
        <w:rPr>
          <w:rFonts w:ascii="Calibri" w:hAnsi="Calibri" w:cs="Calibri"/>
        </w:rPr>
        <w:t>Centre for Addiction Medicine, National Institute of Mental Health and Neurosciences, Bangalore, India</w:t>
      </w:r>
    </w:p>
    <w:p w14:paraId="18803DB3" w14:textId="219B433D" w:rsidR="0011716B" w:rsidRDefault="00EC0373" w:rsidP="0011716B">
      <w:pPr>
        <w:rPr>
          <w:rFonts w:ascii="Calibri" w:hAnsi="Calibri" w:cs="Calibri"/>
        </w:rPr>
      </w:pPr>
      <w:r>
        <w:rPr>
          <w:rFonts w:ascii="Calibri" w:hAnsi="Calibri" w:cs="Calibri"/>
        </w:rPr>
        <w:t>7</w:t>
      </w:r>
      <w:r w:rsidR="0011716B">
        <w:rPr>
          <w:rFonts w:ascii="Calibri" w:hAnsi="Calibri" w:cs="Calibri"/>
        </w:rPr>
        <w:t>. Centre for Reviews and Dissemination, University of York, York, United Kingdom</w:t>
      </w:r>
    </w:p>
    <w:p w14:paraId="209E95CC" w14:textId="034A630C" w:rsidR="0011716B" w:rsidRDefault="00EC0373" w:rsidP="0011716B">
      <w:pPr>
        <w:rPr>
          <w:rFonts w:ascii="Calibri" w:hAnsi="Calibri" w:cs="Calibri"/>
        </w:rPr>
      </w:pPr>
      <w:r>
        <w:rPr>
          <w:rFonts w:ascii="Calibri" w:hAnsi="Calibri" w:cs="Calibri"/>
        </w:rPr>
        <w:t>8</w:t>
      </w:r>
      <w:r w:rsidR="0011716B">
        <w:rPr>
          <w:rFonts w:ascii="Calibri" w:hAnsi="Calibri" w:cs="Calibri"/>
        </w:rPr>
        <w:t xml:space="preserve">. </w:t>
      </w:r>
      <w:r w:rsidR="0011716B" w:rsidRPr="0011716B">
        <w:rPr>
          <w:rFonts w:ascii="Calibri" w:hAnsi="Calibri" w:cs="Calibri"/>
        </w:rPr>
        <w:t>Institute of Psychiatry, Benazir Bhutto Hospital, Rawalpindi, Pakistan</w:t>
      </w:r>
    </w:p>
    <w:p w14:paraId="270FE45C" w14:textId="59F5F840" w:rsidR="00413964" w:rsidRPr="0011716B" w:rsidRDefault="0011716B" w:rsidP="00413964">
      <w:pPr>
        <w:rPr>
          <w:rFonts w:ascii="Calibri" w:hAnsi="Calibri" w:cs="Calibri"/>
        </w:rPr>
      </w:pPr>
      <w:r>
        <w:rPr>
          <w:rFonts w:ascii="Calibri" w:hAnsi="Calibri" w:cs="Calibri"/>
        </w:rPr>
        <w:t xml:space="preserve">9. </w:t>
      </w:r>
      <w:r w:rsidRPr="0011716B">
        <w:rPr>
          <w:rFonts w:ascii="Calibri" w:hAnsi="Calibri" w:cs="Calibri"/>
        </w:rPr>
        <w:t>Leeds Institute of Health Sciences, University of Leeds, Leeds, United Kingdom</w:t>
      </w:r>
    </w:p>
    <w:p w14:paraId="1CF8E9D1" w14:textId="77777777" w:rsidR="00EC0373" w:rsidRDefault="00EC0373">
      <w:pPr>
        <w:rPr>
          <w:rFonts w:asciiTheme="majorHAnsi" w:eastAsiaTheme="majorEastAsia" w:hAnsiTheme="majorHAnsi" w:cstheme="majorBidi"/>
          <w:b/>
          <w:bCs/>
          <w:sz w:val="28"/>
          <w:szCs w:val="28"/>
        </w:rPr>
      </w:pPr>
      <w:r>
        <w:br w:type="page"/>
      </w:r>
    </w:p>
    <w:p w14:paraId="61E8941E" w14:textId="37002E31" w:rsidR="00413964" w:rsidRPr="00413964" w:rsidRDefault="00413964" w:rsidP="00413964">
      <w:pPr>
        <w:pStyle w:val="Heading1"/>
        <w:rPr>
          <w:color w:val="auto"/>
        </w:rPr>
      </w:pPr>
      <w:r w:rsidRPr="00413964">
        <w:rPr>
          <w:color w:val="auto"/>
        </w:rPr>
        <w:lastRenderedPageBreak/>
        <w:t>Abstract</w:t>
      </w:r>
    </w:p>
    <w:p w14:paraId="2BDF8919" w14:textId="77777777" w:rsidR="005E6DD3" w:rsidRPr="005E6DD3" w:rsidRDefault="005E6DD3" w:rsidP="005E6DD3">
      <w:pPr>
        <w:pStyle w:val="Heading2"/>
        <w:rPr>
          <w:color w:val="auto"/>
        </w:rPr>
      </w:pPr>
      <w:r w:rsidRPr="005E6DD3">
        <w:rPr>
          <w:color w:val="auto"/>
        </w:rPr>
        <w:t>Background</w:t>
      </w:r>
    </w:p>
    <w:p w14:paraId="46B53B9C" w14:textId="0253748E" w:rsidR="005E6DD3" w:rsidRDefault="005A4DEE" w:rsidP="00413964">
      <w:r w:rsidRPr="005A4DEE">
        <w:t>The prevalence of mental and physical comorbidities however is unknown in South Asia, as estimates of mental ill health in patients with NCDs have predominantly come from studies based in the United States, Europe and Australasia.</w:t>
      </w:r>
      <w:r>
        <w:t xml:space="preserve"> </w:t>
      </w:r>
      <w:r w:rsidR="00413964">
        <w:t xml:space="preserve">This systematic review and meta-analysis summarises evidence and provides pooled estimates </w:t>
      </w:r>
      <w:r w:rsidR="00413964" w:rsidRPr="007729C3">
        <w:t xml:space="preserve">of the prevalence of common mental disorders in adults with non-communicable diseases in </w:t>
      </w:r>
      <w:r w:rsidR="005E6DD3">
        <w:t>South Asia.</w:t>
      </w:r>
      <w:r w:rsidR="00413964">
        <w:t xml:space="preserve"> </w:t>
      </w:r>
    </w:p>
    <w:p w14:paraId="1F1EBD86" w14:textId="77777777" w:rsidR="005E6DD3" w:rsidRPr="005E6DD3" w:rsidRDefault="005E6DD3" w:rsidP="005E6DD3">
      <w:pPr>
        <w:pStyle w:val="Heading2"/>
        <w:rPr>
          <w:color w:val="auto"/>
        </w:rPr>
      </w:pPr>
      <w:r w:rsidRPr="005E6DD3">
        <w:rPr>
          <w:color w:val="auto"/>
        </w:rPr>
        <w:t>Methods</w:t>
      </w:r>
    </w:p>
    <w:p w14:paraId="0726E3C1" w14:textId="117C58DE" w:rsidR="005E6DD3" w:rsidRDefault="00413964" w:rsidP="00413964">
      <w:r w:rsidRPr="007729C3">
        <w:t>We included prevalence studies of depression and anxiety in adults with diabetes, cancer, cardiovascular disease, and chronic respiratory conditions</w:t>
      </w:r>
      <w:r w:rsidR="005E6DD3">
        <w:t xml:space="preserve"> in Bangladesh, India, and Pakistan</w:t>
      </w:r>
      <w:r>
        <w:t>, published from 1990 onwards in international and country-specific databases</w:t>
      </w:r>
      <w:r w:rsidRPr="007729C3">
        <w:t xml:space="preserve">. </w:t>
      </w:r>
    </w:p>
    <w:p w14:paraId="2F02CD8E" w14:textId="77777777" w:rsidR="005E6DD3" w:rsidRDefault="005E6DD3" w:rsidP="005E6DD3">
      <w:pPr>
        <w:pStyle w:val="Heading2"/>
      </w:pPr>
      <w:r w:rsidRPr="005E6DD3">
        <w:rPr>
          <w:color w:val="auto"/>
        </w:rPr>
        <w:t>Results</w:t>
      </w:r>
    </w:p>
    <w:p w14:paraId="4113B458" w14:textId="64C097FD" w:rsidR="005E6DD3" w:rsidRDefault="00413964" w:rsidP="00413964">
      <w:r w:rsidRPr="00A60E12">
        <w:t>Out of</w:t>
      </w:r>
      <w:r>
        <w:rPr>
          <w:b/>
        </w:rPr>
        <w:t xml:space="preserve"> </w:t>
      </w:r>
      <w:r w:rsidRPr="007729C3">
        <w:t xml:space="preserve">96 </w:t>
      </w:r>
      <w:r>
        <w:t xml:space="preserve">included </w:t>
      </w:r>
      <w:r w:rsidRPr="007729C3">
        <w:t xml:space="preserve">studies, 83 provided data for </w:t>
      </w:r>
      <w:r>
        <w:t>random effects meta-analyse</w:t>
      </w:r>
      <w:r w:rsidRPr="007729C3">
        <w:t xml:space="preserve">s. The pooled prevalence of depression </w:t>
      </w:r>
      <w:r>
        <w:t>was</w:t>
      </w:r>
      <w:r w:rsidRPr="007729C3">
        <w:t xml:space="preserve"> 44% (95% CI 26</w:t>
      </w:r>
      <w:r>
        <w:t xml:space="preserve"> to</w:t>
      </w:r>
      <w:r w:rsidRPr="007729C3">
        <w:t xml:space="preserve"> 62) for </w:t>
      </w:r>
      <w:r>
        <w:t xml:space="preserve">patients with </w:t>
      </w:r>
      <w:r w:rsidRPr="007729C3">
        <w:t>COPD</w:t>
      </w:r>
      <w:r>
        <w:t xml:space="preserve">, </w:t>
      </w:r>
      <w:r w:rsidRPr="007729C3">
        <w:t>40% (95% CI 34</w:t>
      </w:r>
      <w:r>
        <w:t xml:space="preserve"> to</w:t>
      </w:r>
      <w:r w:rsidRPr="007729C3">
        <w:t xml:space="preserve"> 45) for diabetes, 39% (95% CI 23</w:t>
      </w:r>
      <w:r>
        <w:t xml:space="preserve"> to</w:t>
      </w:r>
      <w:r w:rsidRPr="007729C3">
        <w:t xml:space="preserve"> 56) for stroke, 38% (95% CI 32</w:t>
      </w:r>
      <w:r>
        <w:t xml:space="preserve"> to</w:t>
      </w:r>
      <w:r w:rsidRPr="007729C3">
        <w:t xml:space="preserve"> 45) for hypertension</w:t>
      </w:r>
      <w:r>
        <w:t>, and</w:t>
      </w:r>
      <w:r w:rsidRPr="007729C3">
        <w:t xml:space="preserve"> 37% (95% CI 30</w:t>
      </w:r>
      <w:r>
        <w:t xml:space="preserve"> to</w:t>
      </w:r>
      <w:r w:rsidRPr="007729C3">
        <w:t xml:space="preserve"> 45) for cancer. </w:t>
      </w:r>
      <w:r>
        <w:t xml:space="preserve">The pooled prevalence of anxiety based on 28 studies was </w:t>
      </w:r>
      <w:r w:rsidRPr="007729C3">
        <w:t>29% (95% CI 22</w:t>
      </w:r>
      <w:r>
        <w:t xml:space="preserve"> to </w:t>
      </w:r>
      <w:r w:rsidRPr="007729C3">
        <w:t>36</w:t>
      </w:r>
      <w:r>
        <w:t xml:space="preserve">). </w:t>
      </w:r>
      <w:r w:rsidR="005A4DEE" w:rsidRPr="005A4DEE">
        <w:t>Many quality issues were identified in a critical appraisal of included studies, mostly relating to the sampling frame and selection process, the description of the methods and basic data, and the description of non-responders.</w:t>
      </w:r>
    </w:p>
    <w:p w14:paraId="18A5B1B0" w14:textId="77777777" w:rsidR="005E6DD3" w:rsidRPr="005E6DD3" w:rsidRDefault="005E6DD3" w:rsidP="005E6DD3">
      <w:pPr>
        <w:pStyle w:val="Heading2"/>
        <w:rPr>
          <w:color w:val="auto"/>
        </w:rPr>
      </w:pPr>
      <w:r w:rsidRPr="005E6DD3">
        <w:rPr>
          <w:color w:val="auto"/>
        </w:rPr>
        <w:t>Conclusions</w:t>
      </w:r>
    </w:p>
    <w:p w14:paraId="6F3C3E7A" w14:textId="1943D8B7" w:rsidR="00413964" w:rsidRPr="007729C3" w:rsidRDefault="00413964" w:rsidP="00413964">
      <w:r>
        <w:t>D</w:t>
      </w:r>
      <w:r w:rsidRPr="007729C3">
        <w:t xml:space="preserve">epression and anxiety are </w:t>
      </w:r>
      <w:r>
        <w:t xml:space="preserve">prevalent and underdiagnosed </w:t>
      </w:r>
      <w:r w:rsidRPr="007729C3">
        <w:t xml:space="preserve">in people with physical comorbidities in Bangladesh, India, and Pakistan. </w:t>
      </w:r>
      <w:r w:rsidR="005A4DEE">
        <w:t xml:space="preserve"> </w:t>
      </w:r>
    </w:p>
    <w:p w14:paraId="29CBEEC6" w14:textId="77777777" w:rsidR="00413964" w:rsidRDefault="00413964">
      <w:pPr>
        <w:rPr>
          <w:b/>
          <w:sz w:val="28"/>
        </w:rPr>
      </w:pPr>
    </w:p>
    <w:p w14:paraId="06CB035E" w14:textId="77777777" w:rsidR="009B7556" w:rsidRDefault="009B7556">
      <w:pPr>
        <w:rPr>
          <w:b/>
          <w:sz w:val="28"/>
        </w:rPr>
      </w:pPr>
    </w:p>
    <w:p w14:paraId="40ECDD05" w14:textId="77777777" w:rsidR="00D47E1A" w:rsidRDefault="00D47E1A">
      <w:pPr>
        <w:rPr>
          <w:rFonts w:asciiTheme="majorHAnsi" w:eastAsiaTheme="majorEastAsia" w:hAnsiTheme="majorHAnsi" w:cstheme="majorBidi"/>
          <w:b/>
          <w:bCs/>
          <w:sz w:val="28"/>
          <w:szCs w:val="28"/>
        </w:rPr>
      </w:pPr>
      <w:r>
        <w:br w:type="page"/>
      </w:r>
    </w:p>
    <w:p w14:paraId="354CEC04" w14:textId="4239DD55" w:rsidR="00F37CFD" w:rsidRPr="001E6B13" w:rsidRDefault="00AC4D4B" w:rsidP="001E6B13">
      <w:pPr>
        <w:pStyle w:val="Heading1"/>
        <w:rPr>
          <w:color w:val="auto"/>
        </w:rPr>
      </w:pPr>
      <w:r w:rsidRPr="001E6B13">
        <w:rPr>
          <w:color w:val="auto"/>
        </w:rPr>
        <w:lastRenderedPageBreak/>
        <w:t>Introduction</w:t>
      </w:r>
    </w:p>
    <w:p w14:paraId="63071823" w14:textId="77777777" w:rsidR="009145B4" w:rsidRDefault="009145B4" w:rsidP="009145B4">
      <w:pPr>
        <w:rPr>
          <w:rFonts w:cstheme="minorHAnsi"/>
          <w:b/>
        </w:rPr>
      </w:pPr>
    </w:p>
    <w:p w14:paraId="2235E9E2" w14:textId="77777777" w:rsidR="009145B4" w:rsidRPr="001E6B13" w:rsidRDefault="009145B4" w:rsidP="001E6B13">
      <w:pPr>
        <w:pStyle w:val="Heading2"/>
        <w:rPr>
          <w:color w:val="auto"/>
        </w:rPr>
      </w:pPr>
      <w:r w:rsidRPr="001E6B13">
        <w:rPr>
          <w:color w:val="auto"/>
        </w:rPr>
        <w:t>Common mental disorders and non-communicable diseases</w:t>
      </w:r>
    </w:p>
    <w:p w14:paraId="095A3D8D" w14:textId="059021A2" w:rsidR="009145B4" w:rsidRPr="007D024A" w:rsidRDefault="009145B4" w:rsidP="009145B4">
      <w:pPr>
        <w:pStyle w:val="headinglevel"/>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The WHO estimated that</w:t>
      </w:r>
      <w:r w:rsidR="003D1BF7">
        <w:rPr>
          <w:rFonts w:asciiTheme="minorHAnsi" w:hAnsiTheme="minorHAnsi" w:cstheme="minorHAnsi"/>
          <w:sz w:val="22"/>
          <w:szCs w:val="22"/>
        </w:rPr>
        <w:t xml:space="preserve"> </w:t>
      </w:r>
      <w:r>
        <w:rPr>
          <w:rFonts w:asciiTheme="minorHAnsi" w:hAnsiTheme="minorHAnsi" w:cstheme="minorHAnsi"/>
          <w:sz w:val="22"/>
          <w:szCs w:val="22"/>
        </w:rPr>
        <w:t>4.4% of the global population was living with depression and 3.6% was suffering from</w:t>
      </w:r>
      <w:r w:rsidR="003D1BF7">
        <w:rPr>
          <w:rFonts w:asciiTheme="minorHAnsi" w:hAnsiTheme="minorHAnsi" w:cstheme="minorHAnsi"/>
          <w:sz w:val="22"/>
          <w:szCs w:val="22"/>
        </w:rPr>
        <w:t xml:space="preserve"> an anxiety disorder in 2015</w:t>
      </w:r>
      <w:r w:rsidR="0064457A">
        <w:rPr>
          <w:rFonts w:asciiTheme="minorHAnsi" w:hAnsiTheme="minorHAnsi" w:cstheme="minorHAnsi"/>
          <w:sz w:val="22"/>
          <w:szCs w:val="22"/>
        </w:rPr>
        <w:t xml:space="preserve"> [</w:t>
      </w:r>
      <w:r w:rsidR="007D024A" w:rsidRPr="0064457A">
        <w:rPr>
          <w:rFonts w:asciiTheme="minorHAnsi" w:hAnsiTheme="minorHAnsi" w:cstheme="minorHAnsi"/>
          <w:sz w:val="22"/>
          <w:szCs w:val="22"/>
        </w:rPr>
        <w:t>1</w:t>
      </w:r>
      <w:r w:rsidR="0064457A" w:rsidRPr="0064457A">
        <w:rPr>
          <w:rFonts w:asciiTheme="minorHAnsi" w:hAnsiTheme="minorHAnsi" w:cstheme="minorHAnsi"/>
          <w:sz w:val="22"/>
          <w:szCs w:val="22"/>
        </w:rPr>
        <w:t>].</w:t>
      </w:r>
      <w:r w:rsidRPr="0064457A">
        <w:rPr>
          <w:rFonts w:asciiTheme="minorHAnsi" w:hAnsiTheme="minorHAnsi" w:cstheme="minorHAnsi"/>
          <w:sz w:val="22"/>
          <w:szCs w:val="22"/>
        </w:rPr>
        <w:t xml:space="preserve"> </w:t>
      </w:r>
      <w:r w:rsidR="003D1BF7">
        <w:rPr>
          <w:rFonts w:asciiTheme="minorHAnsi" w:hAnsiTheme="minorHAnsi" w:cstheme="minorHAnsi"/>
          <w:sz w:val="22"/>
          <w:szCs w:val="22"/>
        </w:rPr>
        <w:t xml:space="preserve">In low- and middle-income countries, </w:t>
      </w:r>
      <w:r w:rsidR="00A31200">
        <w:rPr>
          <w:rFonts w:asciiTheme="minorHAnsi" w:hAnsiTheme="minorHAnsi" w:cstheme="minorHAnsi"/>
          <w:sz w:val="22"/>
          <w:szCs w:val="22"/>
        </w:rPr>
        <w:t xml:space="preserve">the burden of disease caused by </w:t>
      </w:r>
      <w:r w:rsidR="003D1BF7">
        <w:rPr>
          <w:rFonts w:asciiTheme="minorHAnsi" w:hAnsiTheme="minorHAnsi" w:cstheme="minorHAnsi"/>
          <w:sz w:val="22"/>
          <w:szCs w:val="22"/>
        </w:rPr>
        <w:t xml:space="preserve">common mental disorders (CMDs), such as depression and anxiety, and non-communicable diseases (NCDs), such as diabetes and COPD, </w:t>
      </w:r>
      <w:r w:rsidR="00A31200">
        <w:rPr>
          <w:rFonts w:asciiTheme="minorHAnsi" w:hAnsiTheme="minorHAnsi" w:cstheme="minorHAnsi"/>
          <w:sz w:val="22"/>
          <w:szCs w:val="22"/>
        </w:rPr>
        <w:t>is</w:t>
      </w:r>
      <w:r w:rsidR="00286D33">
        <w:rPr>
          <w:rFonts w:asciiTheme="minorHAnsi" w:hAnsiTheme="minorHAnsi" w:cstheme="minorHAnsi"/>
          <w:sz w:val="22"/>
          <w:szCs w:val="22"/>
        </w:rPr>
        <w:t xml:space="preserve"> high [1]. While the burden of some NCDs such as cancer and diabetes is on the rise, trends in the global burden of mental illness vary between world regions and types of disorders. In analyses with data from 1990, 2007, and 2017, depressive and anxiety disorders consistently occupied the top twenty of leading causes of the global burden of disease for men and women [2].</w:t>
      </w:r>
      <w:r w:rsidR="00B35250">
        <w:rPr>
          <w:rFonts w:asciiTheme="minorHAnsi" w:hAnsiTheme="minorHAnsi" w:cstheme="minorHAnsi"/>
          <w:sz w:val="22"/>
          <w:szCs w:val="22"/>
        </w:rPr>
        <w:t xml:space="preserve"> </w:t>
      </w:r>
      <w:r w:rsidR="00B35250" w:rsidRPr="0064457A" w:rsidDel="00B35250">
        <w:rPr>
          <w:rFonts w:asciiTheme="minorHAnsi" w:hAnsiTheme="minorHAnsi" w:cstheme="minorHAnsi"/>
          <w:sz w:val="22"/>
          <w:szCs w:val="22"/>
        </w:rPr>
        <w:t xml:space="preserve"> </w:t>
      </w:r>
      <w:r w:rsidR="00376E57">
        <w:rPr>
          <w:rFonts w:asciiTheme="minorHAnsi" w:hAnsiTheme="minorHAnsi" w:cstheme="minorHAnsi"/>
          <w:sz w:val="22"/>
          <w:szCs w:val="22"/>
        </w:rPr>
        <w:t>T</w:t>
      </w:r>
      <w:r w:rsidRPr="006E5466">
        <w:rPr>
          <w:rFonts w:asciiTheme="minorHAnsi" w:hAnsiTheme="minorHAnsi" w:cstheme="minorHAnsi"/>
          <w:sz w:val="22"/>
          <w:szCs w:val="22"/>
        </w:rPr>
        <w:t xml:space="preserve">he prevalence of </w:t>
      </w:r>
      <w:r w:rsidR="003D1BF7">
        <w:rPr>
          <w:rFonts w:asciiTheme="minorHAnsi" w:hAnsiTheme="minorHAnsi" w:cstheme="minorHAnsi"/>
          <w:sz w:val="22"/>
          <w:szCs w:val="22"/>
        </w:rPr>
        <w:t xml:space="preserve">CMDs </w:t>
      </w:r>
      <w:r w:rsidRPr="006E5466">
        <w:rPr>
          <w:rFonts w:asciiTheme="minorHAnsi" w:hAnsiTheme="minorHAnsi" w:cstheme="minorHAnsi"/>
          <w:sz w:val="22"/>
          <w:szCs w:val="22"/>
        </w:rPr>
        <w:t xml:space="preserve">is higher among people with </w:t>
      </w:r>
      <w:r>
        <w:rPr>
          <w:rFonts w:asciiTheme="minorHAnsi" w:hAnsiTheme="minorHAnsi" w:cstheme="minorHAnsi"/>
          <w:sz w:val="22"/>
          <w:szCs w:val="22"/>
        </w:rPr>
        <w:t>a</w:t>
      </w:r>
      <w:r w:rsidR="006021D5">
        <w:rPr>
          <w:rFonts w:asciiTheme="minorHAnsi" w:hAnsiTheme="minorHAnsi" w:cstheme="minorHAnsi"/>
          <w:sz w:val="22"/>
          <w:szCs w:val="22"/>
        </w:rPr>
        <w:t xml:space="preserve"> physical</w:t>
      </w:r>
      <w:r w:rsidR="003D1BF7">
        <w:rPr>
          <w:rFonts w:asciiTheme="minorHAnsi" w:hAnsiTheme="minorHAnsi" w:cstheme="minorHAnsi"/>
          <w:sz w:val="22"/>
          <w:szCs w:val="22"/>
        </w:rPr>
        <w:t xml:space="preserve"> NCD</w:t>
      </w:r>
      <w:r w:rsidR="006021D5">
        <w:rPr>
          <w:rFonts w:asciiTheme="minorHAnsi" w:hAnsiTheme="minorHAnsi" w:cstheme="minorHAnsi"/>
          <w:sz w:val="22"/>
          <w:szCs w:val="22"/>
        </w:rPr>
        <w:t>,</w:t>
      </w:r>
      <w:r w:rsidR="003D1BF7">
        <w:rPr>
          <w:rFonts w:asciiTheme="minorHAnsi" w:hAnsiTheme="minorHAnsi" w:cstheme="minorHAnsi"/>
          <w:sz w:val="22"/>
          <w:szCs w:val="22"/>
        </w:rPr>
        <w:t xml:space="preserve"> </w:t>
      </w:r>
      <w:r w:rsidRPr="006E5466">
        <w:rPr>
          <w:rFonts w:asciiTheme="minorHAnsi" w:hAnsiTheme="minorHAnsi" w:cstheme="minorHAnsi"/>
          <w:sz w:val="22"/>
          <w:szCs w:val="22"/>
        </w:rPr>
        <w:t xml:space="preserve">than </w:t>
      </w:r>
      <w:r>
        <w:rPr>
          <w:rFonts w:asciiTheme="minorHAnsi" w:hAnsiTheme="minorHAnsi" w:cstheme="minorHAnsi"/>
          <w:sz w:val="22"/>
          <w:szCs w:val="22"/>
        </w:rPr>
        <w:t>among</w:t>
      </w:r>
      <w:r w:rsidRPr="006E5466">
        <w:rPr>
          <w:rFonts w:asciiTheme="minorHAnsi" w:hAnsiTheme="minorHAnsi" w:cstheme="minorHAnsi"/>
          <w:sz w:val="22"/>
          <w:szCs w:val="22"/>
        </w:rPr>
        <w:t xml:space="preserve"> those without.</w:t>
      </w:r>
      <w:r>
        <w:rPr>
          <w:rFonts w:asciiTheme="minorHAnsi" w:hAnsiTheme="minorHAnsi" w:cstheme="minorHAnsi"/>
          <w:sz w:val="22"/>
          <w:szCs w:val="22"/>
        </w:rPr>
        <w:t xml:space="preserve"> </w:t>
      </w:r>
      <w:r w:rsidRPr="006E5466">
        <w:rPr>
          <w:rFonts w:asciiTheme="minorHAnsi" w:hAnsiTheme="minorHAnsi" w:cstheme="minorHAnsi"/>
          <w:sz w:val="22"/>
          <w:szCs w:val="22"/>
        </w:rPr>
        <w:t>In the WHO World Health Surveys, between 9 and 23% of participants with one or more chronic physical conditions had comorbid depression</w:t>
      </w:r>
      <w:r w:rsidR="0064457A">
        <w:rPr>
          <w:rFonts w:asciiTheme="minorHAnsi" w:hAnsiTheme="minorHAnsi" w:cstheme="minorHAnsi"/>
          <w:sz w:val="22"/>
          <w:szCs w:val="22"/>
        </w:rPr>
        <w:t xml:space="preserve"> [</w:t>
      </w:r>
      <w:r w:rsidR="007D024A" w:rsidRPr="0064457A">
        <w:rPr>
          <w:rFonts w:asciiTheme="minorHAnsi" w:hAnsiTheme="minorHAnsi" w:cstheme="minorHAnsi"/>
          <w:sz w:val="22"/>
          <w:szCs w:val="22"/>
        </w:rPr>
        <w:t>3</w:t>
      </w:r>
      <w:r w:rsidR="0064457A" w:rsidRPr="0064457A">
        <w:rPr>
          <w:rFonts w:asciiTheme="minorHAnsi" w:hAnsiTheme="minorHAnsi" w:cstheme="minorHAnsi"/>
          <w:sz w:val="22"/>
          <w:szCs w:val="22"/>
        </w:rPr>
        <w:t>].</w:t>
      </w:r>
      <w:r w:rsidRPr="006E5466">
        <w:rPr>
          <w:rFonts w:asciiTheme="minorHAnsi" w:hAnsiTheme="minorHAnsi" w:cstheme="minorHAnsi"/>
          <w:sz w:val="22"/>
          <w:szCs w:val="22"/>
        </w:rPr>
        <w:t xml:space="preserve"> </w:t>
      </w:r>
      <w:r w:rsidR="00B34E28">
        <w:rPr>
          <w:rFonts w:asciiTheme="minorHAnsi" w:hAnsiTheme="minorHAnsi" w:cstheme="minorHAnsi"/>
          <w:sz w:val="22"/>
          <w:szCs w:val="22"/>
        </w:rPr>
        <w:t xml:space="preserve">In low- and middle-income countries, resources </w:t>
      </w:r>
      <w:r w:rsidR="00B34E28" w:rsidRPr="006E5466">
        <w:rPr>
          <w:rFonts w:asciiTheme="minorHAnsi" w:hAnsiTheme="minorHAnsi" w:cstheme="minorHAnsi"/>
          <w:sz w:val="22"/>
          <w:szCs w:val="22"/>
        </w:rPr>
        <w:t xml:space="preserve">and access to healthcare for CMDs </w:t>
      </w:r>
      <w:r w:rsidR="00B34E28">
        <w:rPr>
          <w:rFonts w:asciiTheme="minorHAnsi" w:hAnsiTheme="minorHAnsi" w:cstheme="minorHAnsi"/>
          <w:sz w:val="22"/>
          <w:szCs w:val="22"/>
        </w:rPr>
        <w:t>remain</w:t>
      </w:r>
      <w:r w:rsidR="00B34E28" w:rsidRPr="006E5466">
        <w:rPr>
          <w:rFonts w:asciiTheme="minorHAnsi" w:hAnsiTheme="minorHAnsi" w:cstheme="minorHAnsi"/>
          <w:sz w:val="22"/>
          <w:szCs w:val="22"/>
        </w:rPr>
        <w:t xml:space="preserve"> limited</w:t>
      </w:r>
      <w:r w:rsidR="0064457A">
        <w:rPr>
          <w:rFonts w:asciiTheme="minorHAnsi" w:hAnsiTheme="minorHAnsi" w:cstheme="minorHAnsi"/>
          <w:sz w:val="22"/>
          <w:szCs w:val="22"/>
        </w:rPr>
        <w:t xml:space="preserve"> </w:t>
      </w:r>
      <w:r w:rsidR="0064457A" w:rsidRPr="0064457A">
        <w:rPr>
          <w:rFonts w:asciiTheme="minorHAnsi" w:hAnsiTheme="minorHAnsi" w:cstheme="minorHAnsi"/>
          <w:sz w:val="22"/>
          <w:szCs w:val="22"/>
        </w:rPr>
        <w:t>[</w:t>
      </w:r>
      <w:r w:rsidR="007D024A" w:rsidRPr="0064457A">
        <w:rPr>
          <w:rFonts w:asciiTheme="minorHAnsi" w:hAnsiTheme="minorHAnsi" w:cstheme="minorHAnsi"/>
          <w:sz w:val="22"/>
          <w:szCs w:val="22"/>
        </w:rPr>
        <w:t>4</w:t>
      </w:r>
      <w:r w:rsidR="0064457A" w:rsidRPr="0064457A">
        <w:rPr>
          <w:rFonts w:asciiTheme="minorHAnsi" w:hAnsiTheme="minorHAnsi" w:cstheme="minorHAnsi"/>
          <w:sz w:val="22"/>
          <w:szCs w:val="22"/>
        </w:rPr>
        <w:t>].</w:t>
      </w:r>
      <w:r w:rsidR="003D1BF7">
        <w:rPr>
          <w:rFonts w:asciiTheme="minorHAnsi" w:hAnsiTheme="minorHAnsi" w:cstheme="minorHAnsi"/>
          <w:sz w:val="22"/>
          <w:szCs w:val="22"/>
        </w:rPr>
        <w:t xml:space="preserve"> A</w:t>
      </w:r>
      <w:r w:rsidR="003D1BF7" w:rsidRPr="006E5466">
        <w:rPr>
          <w:rFonts w:asciiTheme="minorHAnsi" w:hAnsiTheme="minorHAnsi" w:cstheme="minorHAnsi"/>
          <w:sz w:val="22"/>
          <w:szCs w:val="22"/>
        </w:rPr>
        <w:t>s a result</w:t>
      </w:r>
      <w:r w:rsidR="006021D5">
        <w:rPr>
          <w:rFonts w:asciiTheme="minorHAnsi" w:hAnsiTheme="minorHAnsi" w:cstheme="minorHAnsi"/>
          <w:sz w:val="22"/>
          <w:szCs w:val="22"/>
        </w:rPr>
        <w:t>,</w:t>
      </w:r>
      <w:r w:rsidR="003D1BF7" w:rsidRPr="006E5466">
        <w:rPr>
          <w:rFonts w:asciiTheme="minorHAnsi" w:hAnsiTheme="minorHAnsi" w:cstheme="minorHAnsi"/>
          <w:sz w:val="22"/>
          <w:szCs w:val="22"/>
        </w:rPr>
        <w:t xml:space="preserve"> </w:t>
      </w:r>
      <w:r w:rsidR="003D1BF7">
        <w:rPr>
          <w:rFonts w:asciiTheme="minorHAnsi" w:hAnsiTheme="minorHAnsi" w:cstheme="minorHAnsi"/>
          <w:sz w:val="22"/>
          <w:szCs w:val="22"/>
        </w:rPr>
        <w:t>patients with comorbid physical and mental</w:t>
      </w:r>
      <w:r w:rsidR="00BD77D0">
        <w:rPr>
          <w:rFonts w:asciiTheme="minorHAnsi" w:hAnsiTheme="minorHAnsi" w:cstheme="minorHAnsi"/>
          <w:sz w:val="22"/>
          <w:szCs w:val="22"/>
        </w:rPr>
        <w:t xml:space="preserve"> </w:t>
      </w:r>
      <w:r w:rsidR="006468D5">
        <w:rPr>
          <w:rFonts w:asciiTheme="minorHAnsi" w:hAnsiTheme="minorHAnsi" w:cstheme="minorHAnsi"/>
          <w:sz w:val="22"/>
          <w:szCs w:val="22"/>
        </w:rPr>
        <w:t>ill health</w:t>
      </w:r>
      <w:r w:rsidR="003D1BF7">
        <w:rPr>
          <w:rFonts w:asciiTheme="minorHAnsi" w:hAnsiTheme="minorHAnsi" w:cstheme="minorHAnsi"/>
          <w:sz w:val="22"/>
          <w:szCs w:val="22"/>
        </w:rPr>
        <w:t xml:space="preserve"> are less likely to be </w:t>
      </w:r>
      <w:r w:rsidR="00BD77D0">
        <w:rPr>
          <w:rFonts w:asciiTheme="minorHAnsi" w:hAnsiTheme="minorHAnsi" w:cstheme="minorHAnsi"/>
          <w:sz w:val="22"/>
          <w:szCs w:val="22"/>
        </w:rPr>
        <w:t>identified</w:t>
      </w:r>
      <w:r w:rsidR="003D1BF7">
        <w:rPr>
          <w:rFonts w:asciiTheme="minorHAnsi" w:hAnsiTheme="minorHAnsi" w:cstheme="minorHAnsi"/>
          <w:sz w:val="22"/>
          <w:szCs w:val="22"/>
        </w:rPr>
        <w:t>, diagnosed, and treated</w:t>
      </w:r>
      <w:r w:rsidR="0064457A">
        <w:rPr>
          <w:rFonts w:asciiTheme="minorHAnsi" w:hAnsiTheme="minorHAnsi" w:cstheme="minorHAnsi"/>
          <w:sz w:val="22"/>
          <w:szCs w:val="22"/>
        </w:rPr>
        <w:t xml:space="preserve"> [</w:t>
      </w:r>
      <w:r w:rsidR="007D024A" w:rsidRPr="0064457A">
        <w:rPr>
          <w:rFonts w:asciiTheme="minorHAnsi" w:hAnsiTheme="minorHAnsi" w:cstheme="minorHAnsi"/>
          <w:sz w:val="22"/>
          <w:szCs w:val="22"/>
        </w:rPr>
        <w:t>5</w:t>
      </w:r>
      <w:r w:rsidR="0064457A" w:rsidRPr="0064457A">
        <w:rPr>
          <w:rFonts w:asciiTheme="minorHAnsi" w:hAnsiTheme="minorHAnsi" w:cstheme="minorHAnsi"/>
          <w:sz w:val="22"/>
          <w:szCs w:val="22"/>
        </w:rPr>
        <w:t>].</w:t>
      </w:r>
    </w:p>
    <w:p w14:paraId="65F7F168" w14:textId="77777777" w:rsidR="00D71D45" w:rsidRDefault="00D71D45" w:rsidP="009145B4">
      <w:pPr>
        <w:pStyle w:val="headinglevel"/>
        <w:spacing w:before="0" w:beforeAutospacing="0" w:after="0" w:afterAutospacing="0" w:line="276" w:lineRule="auto"/>
        <w:rPr>
          <w:rFonts w:asciiTheme="minorHAnsi" w:hAnsiTheme="minorHAnsi" w:cstheme="minorHAnsi"/>
          <w:sz w:val="22"/>
          <w:szCs w:val="22"/>
        </w:rPr>
      </w:pPr>
    </w:p>
    <w:p w14:paraId="73F522E8" w14:textId="77777777" w:rsidR="001000A1" w:rsidRPr="001E6B13" w:rsidRDefault="00B34E28" w:rsidP="001E6B13">
      <w:pPr>
        <w:pStyle w:val="Heading2"/>
        <w:rPr>
          <w:color w:val="auto"/>
        </w:rPr>
      </w:pPr>
      <w:r w:rsidRPr="001E6B13">
        <w:rPr>
          <w:color w:val="auto"/>
        </w:rPr>
        <w:t>Integrated mental health as a global priority</w:t>
      </w:r>
    </w:p>
    <w:p w14:paraId="73DEA6EA" w14:textId="77777777" w:rsidR="00B34E28" w:rsidRDefault="00B34E28" w:rsidP="00B34E28">
      <w:pPr>
        <w:pStyle w:val="headinglevel"/>
        <w:spacing w:before="0" w:beforeAutospacing="0" w:after="0" w:afterAutospacing="0" w:line="276" w:lineRule="auto"/>
        <w:rPr>
          <w:rFonts w:asciiTheme="minorHAnsi" w:hAnsiTheme="minorHAnsi" w:cstheme="minorHAnsi"/>
          <w:b/>
          <w:sz w:val="22"/>
          <w:szCs w:val="22"/>
        </w:rPr>
      </w:pPr>
      <w:r w:rsidRPr="006E5466">
        <w:rPr>
          <w:rFonts w:asciiTheme="minorHAnsi" w:hAnsiTheme="minorHAnsi" w:cstheme="minorHAnsi"/>
          <w:sz w:val="22"/>
          <w:szCs w:val="22"/>
        </w:rPr>
        <w:t xml:space="preserve">There is now global consensus that the high burden of mental </w:t>
      </w:r>
      <w:r w:rsidR="006468D5">
        <w:rPr>
          <w:rFonts w:asciiTheme="minorHAnsi" w:hAnsiTheme="minorHAnsi" w:cstheme="minorHAnsi"/>
          <w:sz w:val="22"/>
          <w:szCs w:val="22"/>
        </w:rPr>
        <w:t>ill health</w:t>
      </w:r>
      <w:r w:rsidRPr="006E5466">
        <w:rPr>
          <w:rFonts w:asciiTheme="minorHAnsi" w:hAnsiTheme="minorHAnsi" w:cstheme="minorHAnsi"/>
          <w:sz w:val="22"/>
          <w:szCs w:val="22"/>
        </w:rPr>
        <w:t xml:space="preserve"> combined with lack of access to high quality mental health services in low- and middle-income countries should be a priori</w:t>
      </w:r>
      <w:r>
        <w:rPr>
          <w:rFonts w:asciiTheme="minorHAnsi" w:hAnsiTheme="minorHAnsi" w:cstheme="minorHAnsi"/>
          <w:sz w:val="22"/>
          <w:szCs w:val="22"/>
        </w:rPr>
        <w:t>ty for sustainable development</w:t>
      </w:r>
      <w:r w:rsidR="0064457A">
        <w:rPr>
          <w:rFonts w:asciiTheme="minorHAnsi" w:hAnsiTheme="minorHAnsi" w:cstheme="minorHAnsi"/>
          <w:sz w:val="22"/>
          <w:szCs w:val="22"/>
        </w:rPr>
        <w:t xml:space="preserve"> [</w:t>
      </w:r>
      <w:r w:rsidR="007D024A" w:rsidRPr="0064457A">
        <w:rPr>
          <w:rFonts w:asciiTheme="minorHAnsi" w:hAnsiTheme="minorHAnsi" w:cstheme="minorHAnsi"/>
          <w:sz w:val="22"/>
          <w:szCs w:val="22"/>
        </w:rPr>
        <w:t>6</w:t>
      </w:r>
      <w:r w:rsidR="0064457A" w:rsidRPr="0064457A">
        <w:rPr>
          <w:rFonts w:asciiTheme="minorHAnsi" w:hAnsiTheme="minorHAnsi" w:cstheme="minorHAnsi"/>
          <w:sz w:val="22"/>
          <w:szCs w:val="22"/>
        </w:rPr>
        <w:t>].</w:t>
      </w:r>
      <w:r w:rsidRPr="006E5466">
        <w:rPr>
          <w:rFonts w:asciiTheme="minorHAnsi" w:hAnsiTheme="minorHAnsi" w:cstheme="minorHAnsi"/>
          <w:sz w:val="22"/>
          <w:szCs w:val="22"/>
        </w:rPr>
        <w:t xml:space="preserve"> </w:t>
      </w:r>
      <w:r w:rsidR="00A31200">
        <w:rPr>
          <w:rFonts w:asciiTheme="minorHAnsi" w:hAnsiTheme="minorHAnsi" w:cstheme="minorHAnsi"/>
          <w:sz w:val="22"/>
          <w:szCs w:val="22"/>
        </w:rPr>
        <w:t>NCDs are included in the Sustainable Development goals, and t</w:t>
      </w:r>
      <w:r>
        <w:rPr>
          <w:rFonts w:asciiTheme="minorHAnsi" w:hAnsiTheme="minorHAnsi" w:cstheme="minorHAnsi"/>
          <w:sz w:val="22"/>
          <w:szCs w:val="22"/>
        </w:rPr>
        <w:t>he Lancet Commission on Global Mental Health and Sustainable Development has put the integration of mental health services at the very top of the global policy agenda</w:t>
      </w:r>
      <w:r w:rsidR="0064457A">
        <w:rPr>
          <w:rFonts w:asciiTheme="minorHAnsi" w:hAnsiTheme="minorHAnsi" w:cstheme="minorHAnsi"/>
          <w:sz w:val="22"/>
          <w:szCs w:val="22"/>
        </w:rPr>
        <w:t xml:space="preserve"> [</w:t>
      </w:r>
      <w:r w:rsidR="007D024A" w:rsidRPr="0064457A">
        <w:rPr>
          <w:rFonts w:asciiTheme="minorHAnsi" w:hAnsiTheme="minorHAnsi" w:cstheme="minorHAnsi"/>
          <w:sz w:val="22"/>
          <w:szCs w:val="22"/>
        </w:rPr>
        <w:t>7</w:t>
      </w:r>
      <w:r w:rsidR="0064457A" w:rsidRPr="0064457A">
        <w:rPr>
          <w:rFonts w:asciiTheme="minorHAnsi" w:hAnsiTheme="minorHAnsi" w:cstheme="minorHAnsi"/>
          <w:sz w:val="22"/>
          <w:szCs w:val="22"/>
        </w:rPr>
        <w:t>].</w:t>
      </w:r>
      <w:r>
        <w:rPr>
          <w:rFonts w:asciiTheme="minorHAnsi" w:hAnsiTheme="minorHAnsi" w:cstheme="minorHAnsi"/>
          <w:sz w:val="22"/>
          <w:szCs w:val="22"/>
        </w:rPr>
        <w:t xml:space="preserve"> </w:t>
      </w:r>
    </w:p>
    <w:p w14:paraId="3FB65A31" w14:textId="77777777" w:rsidR="001000A1" w:rsidRPr="001000A1" w:rsidRDefault="001000A1" w:rsidP="00B34E28">
      <w:pPr>
        <w:pStyle w:val="headinglevel"/>
        <w:spacing w:before="0" w:beforeAutospacing="0" w:after="0" w:afterAutospacing="0" w:line="276" w:lineRule="auto"/>
        <w:rPr>
          <w:rFonts w:asciiTheme="minorHAnsi" w:hAnsiTheme="minorHAnsi" w:cstheme="minorHAnsi"/>
          <w:b/>
          <w:sz w:val="22"/>
          <w:szCs w:val="22"/>
        </w:rPr>
      </w:pPr>
    </w:p>
    <w:p w14:paraId="51AED4F4" w14:textId="77777777" w:rsidR="00BD77D0" w:rsidRDefault="00B34E28" w:rsidP="00B34E28">
      <w:pPr>
        <w:pStyle w:val="headinglevel"/>
        <w:spacing w:before="0" w:beforeAutospacing="0" w:after="0" w:afterAutospacing="0" w:line="276" w:lineRule="auto"/>
        <w:rPr>
          <w:rFonts w:asciiTheme="minorHAnsi" w:hAnsiTheme="minorHAnsi" w:cstheme="minorHAnsi"/>
          <w:sz w:val="22"/>
          <w:szCs w:val="22"/>
        </w:rPr>
      </w:pPr>
      <w:r w:rsidRPr="00B34E28">
        <w:rPr>
          <w:rFonts w:asciiTheme="minorHAnsi" w:hAnsiTheme="minorHAnsi" w:cstheme="minorHAnsi"/>
          <w:sz w:val="22"/>
          <w:szCs w:val="22"/>
        </w:rPr>
        <w:t xml:space="preserve">Building on the momentum created to address these challenges, the IMPACT project </w:t>
      </w:r>
      <w:r>
        <w:rPr>
          <w:rFonts w:asciiTheme="minorHAnsi" w:hAnsiTheme="minorHAnsi" w:cstheme="minorHAnsi"/>
          <w:sz w:val="22"/>
          <w:szCs w:val="22"/>
        </w:rPr>
        <w:t>(Improving Mental and Physical Health Together</w:t>
      </w:r>
      <w:r w:rsidR="00BD77D0">
        <w:rPr>
          <w:rFonts w:asciiTheme="minorHAnsi" w:hAnsiTheme="minorHAnsi" w:cstheme="minorHAnsi"/>
          <w:sz w:val="22"/>
          <w:szCs w:val="22"/>
        </w:rPr>
        <w:t xml:space="preserve">, </w:t>
      </w:r>
      <w:r w:rsidR="00BD77D0" w:rsidRPr="00BD77D0">
        <w:rPr>
          <w:rFonts w:asciiTheme="minorHAnsi" w:hAnsiTheme="minorHAnsi" w:cstheme="minorHAnsi"/>
          <w:sz w:val="22"/>
          <w:szCs w:val="22"/>
        </w:rPr>
        <w:t>https://www.york.ac.uk/healthsciences/research/mental-health/projects/impact/</w:t>
      </w:r>
      <w:r>
        <w:rPr>
          <w:rFonts w:asciiTheme="minorHAnsi" w:hAnsiTheme="minorHAnsi" w:cstheme="minorHAnsi"/>
          <w:sz w:val="22"/>
          <w:szCs w:val="22"/>
        </w:rPr>
        <w:t xml:space="preserve">) </w:t>
      </w:r>
      <w:r w:rsidRPr="00B34E28">
        <w:rPr>
          <w:rFonts w:asciiTheme="minorHAnsi" w:hAnsiTheme="minorHAnsi" w:cstheme="minorHAnsi"/>
          <w:sz w:val="22"/>
          <w:szCs w:val="22"/>
        </w:rPr>
        <w:t xml:space="preserve">aims to improve the mental health of people with physical conditions, and the physical health of people with mental </w:t>
      </w:r>
      <w:r w:rsidR="006468D5">
        <w:rPr>
          <w:rFonts w:asciiTheme="minorHAnsi" w:hAnsiTheme="minorHAnsi" w:cstheme="minorHAnsi"/>
          <w:sz w:val="22"/>
          <w:szCs w:val="22"/>
        </w:rPr>
        <w:t>ill health</w:t>
      </w:r>
      <w:r w:rsidRPr="00B34E28">
        <w:rPr>
          <w:rFonts w:asciiTheme="minorHAnsi" w:hAnsiTheme="minorHAnsi" w:cstheme="minorHAnsi"/>
          <w:sz w:val="22"/>
          <w:szCs w:val="22"/>
        </w:rPr>
        <w:t xml:space="preserve">, in South Asia. </w:t>
      </w:r>
      <w:r w:rsidR="00BD77D0">
        <w:rPr>
          <w:rFonts w:asciiTheme="minorHAnsi" w:hAnsiTheme="minorHAnsi" w:cstheme="minorHAnsi"/>
          <w:sz w:val="22"/>
          <w:szCs w:val="22"/>
        </w:rPr>
        <w:t xml:space="preserve">By undertaking a rapid evidence review of </w:t>
      </w:r>
      <w:r w:rsidR="00BD77D0" w:rsidRPr="00B34E28">
        <w:rPr>
          <w:rFonts w:asciiTheme="minorHAnsi" w:hAnsiTheme="minorHAnsi" w:cstheme="minorHAnsi"/>
          <w:sz w:val="22"/>
          <w:szCs w:val="22"/>
        </w:rPr>
        <w:t>the burden of physical and mental health comorbidities in Bangladesh, India, and Pakistan</w:t>
      </w:r>
      <w:r w:rsidR="00BD77D0">
        <w:rPr>
          <w:rFonts w:asciiTheme="minorHAnsi" w:hAnsiTheme="minorHAnsi" w:cstheme="minorHAnsi"/>
          <w:sz w:val="22"/>
          <w:szCs w:val="22"/>
        </w:rPr>
        <w:t>, we will inform the development, implementation, and evaluation of interventions within the IMPACT project</w:t>
      </w:r>
      <w:r w:rsidR="00BD77D0" w:rsidRPr="00B34E28">
        <w:rPr>
          <w:rFonts w:asciiTheme="minorHAnsi" w:hAnsiTheme="minorHAnsi" w:cstheme="minorHAnsi"/>
          <w:sz w:val="22"/>
          <w:szCs w:val="22"/>
        </w:rPr>
        <w:t>.</w:t>
      </w:r>
    </w:p>
    <w:p w14:paraId="3B2C7599" w14:textId="77777777" w:rsidR="00B34E28" w:rsidRDefault="00B34E28" w:rsidP="00B34E28">
      <w:pPr>
        <w:pStyle w:val="headinglevel"/>
        <w:spacing w:before="0" w:beforeAutospacing="0" w:after="0" w:afterAutospacing="0" w:line="276" w:lineRule="auto"/>
        <w:rPr>
          <w:rFonts w:asciiTheme="minorHAnsi" w:hAnsiTheme="minorHAnsi" w:cstheme="minorHAnsi"/>
          <w:sz w:val="22"/>
          <w:szCs w:val="22"/>
        </w:rPr>
      </w:pPr>
    </w:p>
    <w:p w14:paraId="33A84A12" w14:textId="77777777" w:rsidR="00B34E28" w:rsidRPr="001E6B13" w:rsidRDefault="00B34E28" w:rsidP="001E6B13">
      <w:pPr>
        <w:pStyle w:val="Heading2"/>
        <w:rPr>
          <w:color w:val="auto"/>
        </w:rPr>
      </w:pPr>
      <w:r w:rsidRPr="001E6B13">
        <w:rPr>
          <w:color w:val="auto"/>
        </w:rPr>
        <w:t>Focus on Bangladesh, India, and Pakistan</w:t>
      </w:r>
    </w:p>
    <w:p w14:paraId="5A2E660F" w14:textId="77777777" w:rsidR="00B34E28" w:rsidRDefault="00B34E28" w:rsidP="00B34E28">
      <w:pPr>
        <w:pStyle w:val="headinglevel"/>
        <w:spacing w:before="0" w:beforeAutospacing="0" w:after="0" w:afterAutospacing="0" w:line="276" w:lineRule="auto"/>
        <w:rPr>
          <w:rFonts w:asciiTheme="minorHAnsi" w:hAnsiTheme="minorHAnsi" w:cstheme="minorHAnsi"/>
          <w:sz w:val="22"/>
          <w:szCs w:val="22"/>
        </w:rPr>
      </w:pPr>
    </w:p>
    <w:p w14:paraId="410E3F44" w14:textId="77777777" w:rsidR="006021D5" w:rsidRDefault="00114864" w:rsidP="00F37CFD">
      <w:pPr>
        <w:rPr>
          <w:rFonts w:cstheme="minorHAnsi"/>
        </w:rPr>
      </w:pPr>
      <w:r w:rsidRPr="006E5466">
        <w:rPr>
          <w:rFonts w:cstheme="minorHAnsi"/>
        </w:rPr>
        <w:t>In 201</w:t>
      </w:r>
      <w:r w:rsidR="00CC6A18" w:rsidRPr="006E5466">
        <w:rPr>
          <w:rFonts w:cstheme="minorHAnsi"/>
        </w:rPr>
        <w:t>7</w:t>
      </w:r>
      <w:r w:rsidRPr="006E5466">
        <w:rPr>
          <w:rFonts w:cstheme="minorHAnsi"/>
        </w:rPr>
        <w:t xml:space="preserve">, </w:t>
      </w:r>
      <w:r w:rsidR="0091552D" w:rsidRPr="006E5466">
        <w:rPr>
          <w:rFonts w:cstheme="minorHAnsi"/>
        </w:rPr>
        <w:t xml:space="preserve">people living in Bangladesh, India, and Pakistan comprised </w:t>
      </w:r>
      <w:r w:rsidR="00856F1D">
        <w:rPr>
          <w:rFonts w:cstheme="minorHAnsi"/>
        </w:rPr>
        <w:t>more than 22</w:t>
      </w:r>
      <w:r w:rsidR="00066DA7">
        <w:rPr>
          <w:rFonts w:cstheme="minorHAnsi"/>
        </w:rPr>
        <w:t>% of the world’s population</w:t>
      </w:r>
      <w:r w:rsidR="0064457A">
        <w:rPr>
          <w:rFonts w:cstheme="minorHAnsi"/>
        </w:rPr>
        <w:t xml:space="preserve"> [</w:t>
      </w:r>
      <w:r w:rsidR="007D024A" w:rsidRPr="0064457A">
        <w:rPr>
          <w:rFonts w:cstheme="minorHAnsi"/>
        </w:rPr>
        <w:t>8</w:t>
      </w:r>
      <w:r w:rsidR="0064457A" w:rsidRPr="0064457A">
        <w:rPr>
          <w:rFonts w:cstheme="minorHAnsi"/>
        </w:rPr>
        <w:t>].</w:t>
      </w:r>
      <w:r w:rsidR="00A31200">
        <w:rPr>
          <w:rFonts w:cstheme="minorHAnsi"/>
        </w:rPr>
        <w:t xml:space="preserve"> A</w:t>
      </w:r>
      <w:r w:rsidR="003C5736">
        <w:rPr>
          <w:rFonts w:cstheme="minorHAnsi"/>
        </w:rPr>
        <w:t xml:space="preserve"> growing number of people</w:t>
      </w:r>
      <w:r w:rsidR="00A31200">
        <w:rPr>
          <w:rFonts w:cstheme="minorHAnsi"/>
        </w:rPr>
        <w:t xml:space="preserve"> in these countries</w:t>
      </w:r>
      <w:r w:rsidR="003C5736">
        <w:rPr>
          <w:rFonts w:cstheme="minorHAnsi"/>
        </w:rPr>
        <w:t xml:space="preserve"> are </w:t>
      </w:r>
      <w:r w:rsidR="00326EA6" w:rsidRPr="006E5466">
        <w:rPr>
          <w:rFonts w:cstheme="minorHAnsi"/>
        </w:rPr>
        <w:t xml:space="preserve">living with </w:t>
      </w:r>
      <w:r w:rsidR="003D1BF7">
        <w:rPr>
          <w:rFonts w:cstheme="minorHAnsi"/>
        </w:rPr>
        <w:t>NCDs</w:t>
      </w:r>
      <w:r w:rsidR="00326EA6" w:rsidRPr="006E5466">
        <w:rPr>
          <w:rFonts w:cstheme="minorHAnsi"/>
        </w:rPr>
        <w:t xml:space="preserve">. </w:t>
      </w:r>
      <w:r w:rsidR="003D1BF7">
        <w:rPr>
          <w:rFonts w:cstheme="minorHAnsi"/>
        </w:rPr>
        <w:t>Data from India show</w:t>
      </w:r>
      <w:r w:rsidR="00A46B08">
        <w:rPr>
          <w:rFonts w:cstheme="minorHAnsi"/>
        </w:rPr>
        <w:t xml:space="preserve"> that m</w:t>
      </w:r>
      <w:r w:rsidR="00326EA6" w:rsidRPr="006E5466">
        <w:rPr>
          <w:rFonts w:cstheme="minorHAnsi"/>
        </w:rPr>
        <w:t>ajor risk factors, such as high systolic blood pressure, high fasting plasma glucose, high total cholesterol, and high body-mass index, have become more prevalent</w:t>
      </w:r>
      <w:r w:rsidR="0064457A">
        <w:rPr>
          <w:rFonts w:cstheme="minorHAnsi"/>
        </w:rPr>
        <w:t xml:space="preserve"> [</w:t>
      </w:r>
      <w:r w:rsidR="007D024A" w:rsidRPr="0064457A">
        <w:rPr>
          <w:rFonts w:cstheme="minorHAnsi"/>
        </w:rPr>
        <w:t>9</w:t>
      </w:r>
      <w:r w:rsidR="0064457A" w:rsidRPr="0064457A">
        <w:rPr>
          <w:rFonts w:cstheme="minorHAnsi"/>
        </w:rPr>
        <w:t>].</w:t>
      </w:r>
      <w:r w:rsidR="00A31200">
        <w:rPr>
          <w:rFonts w:cstheme="minorHAnsi"/>
        </w:rPr>
        <w:t xml:space="preserve"> </w:t>
      </w:r>
    </w:p>
    <w:p w14:paraId="5A9DEA2B" w14:textId="77777777" w:rsidR="00F37CFD" w:rsidRDefault="00F37CFD" w:rsidP="00F37CFD">
      <w:pPr>
        <w:rPr>
          <w:rFonts w:cstheme="minorHAnsi"/>
        </w:rPr>
      </w:pPr>
      <w:r w:rsidRPr="006E5466">
        <w:rPr>
          <w:rFonts w:cstheme="minorHAnsi"/>
        </w:rPr>
        <w:t xml:space="preserve">Of the total </w:t>
      </w:r>
      <w:r w:rsidR="00B43F1B">
        <w:rPr>
          <w:rFonts w:cstheme="minorHAnsi"/>
        </w:rPr>
        <w:t xml:space="preserve">number of </w:t>
      </w:r>
      <w:r w:rsidRPr="006E5466">
        <w:rPr>
          <w:rFonts w:cstheme="minorHAnsi"/>
        </w:rPr>
        <w:t>years of life lost</w:t>
      </w:r>
      <w:r w:rsidR="00B43F1B">
        <w:rPr>
          <w:rFonts w:cstheme="minorHAnsi"/>
        </w:rPr>
        <w:t xml:space="preserve"> globally</w:t>
      </w:r>
      <w:r w:rsidRPr="006E5466">
        <w:rPr>
          <w:rFonts w:cstheme="minorHAnsi"/>
        </w:rPr>
        <w:t xml:space="preserve"> due to premature mortality and disability because of chronic respiratory conditions, 32% of Disability Adjusted Life Years (DALYs) were lost</w:t>
      </w:r>
      <w:r w:rsidR="00127914">
        <w:rPr>
          <w:rFonts w:cstheme="minorHAnsi"/>
        </w:rPr>
        <w:t xml:space="preserve"> in India</w:t>
      </w:r>
      <w:r w:rsidR="0064457A">
        <w:rPr>
          <w:rFonts w:cstheme="minorHAnsi"/>
        </w:rPr>
        <w:t xml:space="preserve"> [</w:t>
      </w:r>
      <w:r w:rsidR="007D024A" w:rsidRPr="0064457A">
        <w:rPr>
          <w:rFonts w:cstheme="minorHAnsi"/>
        </w:rPr>
        <w:t>10</w:t>
      </w:r>
      <w:r w:rsidR="0064457A" w:rsidRPr="0064457A">
        <w:rPr>
          <w:rFonts w:cstheme="minorHAnsi"/>
        </w:rPr>
        <w:t>].</w:t>
      </w:r>
      <w:r w:rsidRPr="006E5466">
        <w:rPr>
          <w:rFonts w:cstheme="minorHAnsi"/>
        </w:rPr>
        <w:t xml:space="preserve"> Ischemic heart disease is the leading cause of </w:t>
      </w:r>
      <w:r w:rsidR="007749B6">
        <w:rPr>
          <w:rFonts w:cstheme="minorHAnsi"/>
        </w:rPr>
        <w:t>lost</w:t>
      </w:r>
      <w:r w:rsidR="003C5736">
        <w:rPr>
          <w:rFonts w:cstheme="minorHAnsi"/>
        </w:rPr>
        <w:t xml:space="preserve"> </w:t>
      </w:r>
      <w:r w:rsidRPr="006E5466">
        <w:rPr>
          <w:rFonts w:cstheme="minorHAnsi"/>
        </w:rPr>
        <w:t xml:space="preserve">DALYs in Pakistan, India, and Bangladesh, stroke is in the top 10 leading causes in all three countries, and </w:t>
      </w:r>
      <w:r w:rsidR="00B43F1B">
        <w:rPr>
          <w:rFonts w:cstheme="minorHAnsi"/>
        </w:rPr>
        <w:t>chronic obstructive pulmonary disease (COPD)</w:t>
      </w:r>
      <w:r w:rsidRPr="006E5466">
        <w:rPr>
          <w:rFonts w:cstheme="minorHAnsi"/>
        </w:rPr>
        <w:t xml:space="preserve"> </w:t>
      </w:r>
      <w:r w:rsidRPr="006E5466">
        <w:rPr>
          <w:rFonts w:cstheme="minorHAnsi"/>
        </w:rPr>
        <w:lastRenderedPageBreak/>
        <w:t xml:space="preserve">is in the </w:t>
      </w:r>
      <w:r w:rsidR="0022110B">
        <w:rPr>
          <w:rFonts w:cstheme="minorHAnsi"/>
        </w:rPr>
        <w:t>top five</w:t>
      </w:r>
      <w:r w:rsidR="00127914">
        <w:rPr>
          <w:rFonts w:cstheme="minorHAnsi"/>
        </w:rPr>
        <w:t xml:space="preserve"> in India and Bangladesh</w:t>
      </w:r>
      <w:r w:rsidR="0064457A">
        <w:rPr>
          <w:rFonts w:cstheme="minorHAnsi"/>
        </w:rPr>
        <w:t xml:space="preserve"> [</w:t>
      </w:r>
      <w:r w:rsidR="007D024A" w:rsidRPr="0064457A">
        <w:rPr>
          <w:rFonts w:cstheme="minorHAnsi"/>
        </w:rPr>
        <w:t>11</w:t>
      </w:r>
      <w:r w:rsidR="0064457A" w:rsidRPr="0064457A">
        <w:rPr>
          <w:rFonts w:cstheme="minorHAnsi"/>
        </w:rPr>
        <w:t>].</w:t>
      </w:r>
      <w:r w:rsidR="004E6DC3">
        <w:rPr>
          <w:rFonts w:cstheme="minorHAnsi"/>
        </w:rPr>
        <w:t xml:space="preserve"> M</w:t>
      </w:r>
      <w:r w:rsidRPr="006E5466">
        <w:rPr>
          <w:rFonts w:cstheme="minorHAnsi"/>
        </w:rPr>
        <w:t xml:space="preserve">ore than 18% of men and 15% of women in India over the age of 60 </w:t>
      </w:r>
      <w:r w:rsidR="00127914">
        <w:rPr>
          <w:rFonts w:cstheme="minorHAnsi"/>
        </w:rPr>
        <w:t>were living with diabetes in 2016</w:t>
      </w:r>
      <w:r w:rsidR="0064457A">
        <w:rPr>
          <w:rFonts w:cstheme="minorHAnsi"/>
        </w:rPr>
        <w:t xml:space="preserve"> [</w:t>
      </w:r>
      <w:r w:rsidR="007D024A" w:rsidRPr="0064457A">
        <w:rPr>
          <w:rFonts w:cstheme="minorHAnsi"/>
        </w:rPr>
        <w:t>12</w:t>
      </w:r>
      <w:r w:rsidR="0064457A" w:rsidRPr="0064457A">
        <w:rPr>
          <w:rFonts w:cstheme="minorHAnsi"/>
        </w:rPr>
        <w:t>].</w:t>
      </w:r>
      <w:r w:rsidRPr="006E5466">
        <w:rPr>
          <w:rFonts w:cstheme="minorHAnsi"/>
        </w:rPr>
        <w:t xml:space="preserve"> </w:t>
      </w:r>
      <w:r w:rsidR="0073221E">
        <w:rPr>
          <w:rFonts w:cstheme="minorHAnsi"/>
        </w:rPr>
        <w:t xml:space="preserve">Many more live with poorly controlled and undiagnosed diabetes, with one study estimating </w:t>
      </w:r>
      <w:r w:rsidR="00CC38C9">
        <w:rPr>
          <w:rFonts w:cstheme="minorHAnsi"/>
        </w:rPr>
        <w:t>that around 32 million people live with</w:t>
      </w:r>
      <w:r w:rsidR="0073221E">
        <w:rPr>
          <w:rFonts w:cstheme="minorHAnsi"/>
        </w:rPr>
        <w:t xml:space="preserve"> undiagnosed diabetes </w:t>
      </w:r>
      <w:r w:rsidR="00CC38C9">
        <w:rPr>
          <w:rFonts w:cstheme="minorHAnsi"/>
        </w:rPr>
        <w:t>in India</w:t>
      </w:r>
      <w:r w:rsidR="0064457A">
        <w:rPr>
          <w:rFonts w:cstheme="minorHAnsi"/>
        </w:rPr>
        <w:t xml:space="preserve"> [</w:t>
      </w:r>
      <w:r w:rsidR="007D024A" w:rsidRPr="0064457A">
        <w:rPr>
          <w:rFonts w:cstheme="minorHAnsi"/>
        </w:rPr>
        <w:t>13</w:t>
      </w:r>
      <w:r w:rsidR="0064457A" w:rsidRPr="0064457A">
        <w:rPr>
          <w:rFonts w:cstheme="minorHAnsi"/>
        </w:rPr>
        <w:t>].</w:t>
      </w:r>
      <w:r w:rsidR="00CC38C9">
        <w:rPr>
          <w:rFonts w:cstheme="minorHAnsi"/>
        </w:rPr>
        <w:t xml:space="preserve"> </w:t>
      </w:r>
      <w:r w:rsidR="00F30667">
        <w:rPr>
          <w:rFonts w:cstheme="minorHAnsi"/>
        </w:rPr>
        <w:t xml:space="preserve">This increases the risk of developing diabetic complications, as well as the risk of </w:t>
      </w:r>
      <w:r w:rsidR="007749B6">
        <w:rPr>
          <w:rFonts w:cstheme="minorHAnsi"/>
        </w:rPr>
        <w:t xml:space="preserve">developing other </w:t>
      </w:r>
      <w:r w:rsidR="00F30667">
        <w:rPr>
          <w:rFonts w:cstheme="minorHAnsi"/>
        </w:rPr>
        <w:t>NCDs which often co-exist with diabetes, such as coronary artery disease</w:t>
      </w:r>
      <w:r w:rsidR="0064457A">
        <w:rPr>
          <w:rFonts w:cstheme="minorHAnsi"/>
        </w:rPr>
        <w:t xml:space="preserve"> [</w:t>
      </w:r>
      <w:r w:rsidR="007D024A" w:rsidRPr="0064457A">
        <w:rPr>
          <w:rFonts w:cstheme="minorHAnsi"/>
        </w:rPr>
        <w:t>14</w:t>
      </w:r>
      <w:r w:rsidR="0064457A" w:rsidRPr="0064457A">
        <w:rPr>
          <w:rFonts w:cstheme="minorHAnsi"/>
        </w:rPr>
        <w:t>].</w:t>
      </w:r>
      <w:r w:rsidR="00A31200">
        <w:rPr>
          <w:rFonts w:cstheme="minorHAnsi"/>
        </w:rPr>
        <w:t xml:space="preserve"> </w:t>
      </w:r>
    </w:p>
    <w:p w14:paraId="772D64FC" w14:textId="77777777" w:rsidR="00A31200" w:rsidRPr="006E5466" w:rsidRDefault="00A31200" w:rsidP="00A31200">
      <w:pPr>
        <w:rPr>
          <w:rFonts w:cstheme="minorHAnsi"/>
        </w:rPr>
      </w:pPr>
      <w:r>
        <w:rPr>
          <w:rFonts w:cstheme="minorHAnsi"/>
        </w:rPr>
        <w:t xml:space="preserve">In addition to the </w:t>
      </w:r>
      <w:r w:rsidR="006021D5">
        <w:rPr>
          <w:rFonts w:cstheme="minorHAnsi"/>
        </w:rPr>
        <w:t>large</w:t>
      </w:r>
      <w:r>
        <w:rPr>
          <w:rFonts w:cstheme="minorHAnsi"/>
        </w:rPr>
        <w:t xml:space="preserve"> growing burden of NCDs, the WHO estimates that 27% of all people with depressive disorders and 23% of people with anxiety disorders live in South-East Asia, making this an important region to focus efforts on the integration of mental health services into systems for treatment of NCDs</w:t>
      </w:r>
      <w:r w:rsidR="00617B81">
        <w:rPr>
          <w:rFonts w:cstheme="minorHAnsi"/>
        </w:rPr>
        <w:t xml:space="preserve"> [</w:t>
      </w:r>
      <w:r w:rsidR="007D024A" w:rsidRPr="00617B81">
        <w:rPr>
          <w:rFonts w:cstheme="minorHAnsi"/>
        </w:rPr>
        <w:t>1</w:t>
      </w:r>
      <w:r w:rsidR="00617B81" w:rsidRPr="00617B81">
        <w:rPr>
          <w:rFonts w:cstheme="minorHAnsi"/>
        </w:rPr>
        <w:t>].</w:t>
      </w:r>
      <w:r>
        <w:rPr>
          <w:rFonts w:cstheme="minorHAnsi"/>
        </w:rPr>
        <w:t xml:space="preserve"> The prevalence </w:t>
      </w:r>
      <w:r w:rsidR="00504507">
        <w:rPr>
          <w:rFonts w:cstheme="minorHAnsi"/>
        </w:rPr>
        <w:t>of</w:t>
      </w:r>
      <w:r>
        <w:rPr>
          <w:rFonts w:cstheme="minorHAnsi"/>
        </w:rPr>
        <w:t xml:space="preserve"> mental and physical comorbidities however is un</w:t>
      </w:r>
      <w:r w:rsidR="006021D5">
        <w:rPr>
          <w:rFonts w:cstheme="minorHAnsi"/>
        </w:rPr>
        <w:t>known</w:t>
      </w:r>
      <w:r>
        <w:rPr>
          <w:rFonts w:cstheme="minorHAnsi"/>
        </w:rPr>
        <w:t xml:space="preserve"> in these countries, as estimates of </w:t>
      </w:r>
      <w:r w:rsidRPr="004E6DC3">
        <w:rPr>
          <w:rFonts w:ascii="Calibri" w:hAnsi="Calibri" w:cs="Calibri"/>
        </w:rPr>
        <w:t xml:space="preserve">mental </w:t>
      </w:r>
      <w:r w:rsidR="006468D5">
        <w:rPr>
          <w:rFonts w:ascii="Calibri" w:hAnsi="Calibri" w:cs="Calibri"/>
        </w:rPr>
        <w:t>ill health</w:t>
      </w:r>
      <w:r w:rsidRPr="004E6DC3">
        <w:rPr>
          <w:rFonts w:ascii="Calibri" w:hAnsi="Calibri" w:cs="Calibri"/>
        </w:rPr>
        <w:t xml:space="preserve"> in patients with NCDs have predominantly come from studies based in the United States, Europe and Australasia.</w:t>
      </w:r>
    </w:p>
    <w:p w14:paraId="238810EF" w14:textId="77777777" w:rsidR="00F37CFD" w:rsidRPr="006E5466" w:rsidRDefault="00F37CFD" w:rsidP="00F37CFD">
      <w:pPr>
        <w:rPr>
          <w:rFonts w:cstheme="minorHAnsi"/>
        </w:rPr>
      </w:pPr>
    </w:p>
    <w:p w14:paraId="35FE5E31" w14:textId="77777777" w:rsidR="006E5466" w:rsidRPr="001E6B13" w:rsidRDefault="004E6DC3" w:rsidP="001E6B13">
      <w:pPr>
        <w:pStyle w:val="Heading2"/>
        <w:rPr>
          <w:color w:val="auto"/>
        </w:rPr>
      </w:pPr>
      <w:r w:rsidRPr="001E6B13">
        <w:rPr>
          <w:color w:val="auto"/>
        </w:rPr>
        <w:t>Aim and objectives</w:t>
      </w:r>
    </w:p>
    <w:p w14:paraId="3828385B" w14:textId="0A202C28" w:rsidR="006A585C" w:rsidRPr="00301425" w:rsidRDefault="00AC4D4B">
      <w:pPr>
        <w:rPr>
          <w:rFonts w:ascii="Calibri" w:hAnsi="Calibri" w:cs="Calibri"/>
        </w:rPr>
      </w:pPr>
      <w:r w:rsidRPr="004E6DC3">
        <w:rPr>
          <w:rFonts w:ascii="Calibri" w:hAnsi="Calibri" w:cs="Calibri"/>
        </w:rPr>
        <w:t xml:space="preserve">The aim of this systematic review and meta-analysis is to summarise </w:t>
      </w:r>
      <w:r w:rsidR="00B77FEA" w:rsidRPr="004E6DC3">
        <w:rPr>
          <w:rFonts w:ascii="Calibri" w:hAnsi="Calibri" w:cs="Calibri"/>
        </w:rPr>
        <w:t>the</w:t>
      </w:r>
      <w:r w:rsidR="000E0D27" w:rsidRPr="004E6DC3">
        <w:rPr>
          <w:rFonts w:ascii="Calibri" w:hAnsi="Calibri" w:cs="Calibri"/>
        </w:rPr>
        <w:t xml:space="preserve"> </w:t>
      </w:r>
      <w:r w:rsidRPr="004E6DC3">
        <w:rPr>
          <w:rFonts w:ascii="Calibri" w:hAnsi="Calibri" w:cs="Calibri"/>
        </w:rPr>
        <w:t>evidence</w:t>
      </w:r>
      <w:r w:rsidR="00B77FEA" w:rsidRPr="004E6DC3">
        <w:rPr>
          <w:rFonts w:ascii="Calibri" w:hAnsi="Calibri" w:cs="Calibri"/>
        </w:rPr>
        <w:t xml:space="preserve"> and provide pooled estimates of</w:t>
      </w:r>
      <w:r w:rsidRPr="004E6DC3">
        <w:rPr>
          <w:rFonts w:ascii="Calibri" w:hAnsi="Calibri" w:cs="Calibri"/>
        </w:rPr>
        <w:t xml:space="preserve"> the prevalence of CMDs in adults with NCDs in Bangladesh, India, and Pakistan</w:t>
      </w:r>
      <w:r w:rsidR="00BD77D0">
        <w:rPr>
          <w:rFonts w:ascii="Calibri" w:hAnsi="Calibri" w:cs="Calibri"/>
        </w:rPr>
        <w:t xml:space="preserve">, to inform </w:t>
      </w:r>
      <w:r w:rsidR="00BD77D0">
        <w:rPr>
          <w:rFonts w:cstheme="minorHAnsi"/>
        </w:rPr>
        <w:t>the development, implementation, and evaluation of interventions within the IMPACT project</w:t>
      </w:r>
      <w:r w:rsidRPr="004E6DC3">
        <w:rPr>
          <w:rFonts w:ascii="Calibri" w:hAnsi="Calibri" w:cs="Calibri"/>
        </w:rPr>
        <w:t xml:space="preserve">. To achieve this aim, </w:t>
      </w:r>
      <w:r w:rsidR="000A61B8">
        <w:rPr>
          <w:rFonts w:ascii="Calibri" w:hAnsi="Calibri" w:cs="Calibri"/>
        </w:rPr>
        <w:t>we have thr</w:t>
      </w:r>
      <w:r w:rsidR="000C5045">
        <w:rPr>
          <w:rFonts w:ascii="Calibri" w:hAnsi="Calibri" w:cs="Calibri"/>
        </w:rPr>
        <w:t>ee objectives. Firstly, we will</w:t>
      </w:r>
      <w:r w:rsidRPr="004E6DC3">
        <w:rPr>
          <w:rFonts w:ascii="Calibri" w:hAnsi="Calibri" w:cs="Calibri"/>
        </w:rPr>
        <w:t xml:space="preserve"> identify </w:t>
      </w:r>
      <w:r w:rsidR="00BD77D0">
        <w:rPr>
          <w:rFonts w:ascii="Calibri" w:hAnsi="Calibri" w:cs="Calibri"/>
        </w:rPr>
        <w:t xml:space="preserve">evidence </w:t>
      </w:r>
      <w:r w:rsidRPr="004E6DC3">
        <w:rPr>
          <w:rFonts w:ascii="Calibri" w:hAnsi="Calibri" w:cs="Calibri"/>
        </w:rPr>
        <w:t xml:space="preserve">and </w:t>
      </w:r>
      <w:proofErr w:type="gramStart"/>
      <w:r w:rsidRPr="004E6DC3">
        <w:rPr>
          <w:rFonts w:ascii="Calibri" w:hAnsi="Calibri" w:cs="Calibri"/>
        </w:rPr>
        <w:t>meta-</w:t>
      </w:r>
      <w:proofErr w:type="gramEnd"/>
      <w:r w:rsidRPr="004E6DC3">
        <w:rPr>
          <w:rFonts w:ascii="Calibri" w:hAnsi="Calibri" w:cs="Calibri"/>
        </w:rPr>
        <w:t xml:space="preserve">analyse </w:t>
      </w:r>
      <w:r w:rsidR="00BD77D0">
        <w:rPr>
          <w:rFonts w:ascii="Calibri" w:hAnsi="Calibri" w:cs="Calibri"/>
        </w:rPr>
        <w:t>available data from studies exploring the</w:t>
      </w:r>
      <w:r w:rsidRPr="004E6DC3">
        <w:rPr>
          <w:rFonts w:ascii="Calibri" w:hAnsi="Calibri" w:cs="Calibri"/>
        </w:rPr>
        <w:t xml:space="preserve"> prevalence of CMDs in adults with NCDs in Bangladesh, India, and Pakistan</w:t>
      </w:r>
      <w:r w:rsidR="000A61B8">
        <w:rPr>
          <w:rFonts w:ascii="Calibri" w:hAnsi="Calibri" w:cs="Calibri"/>
        </w:rPr>
        <w:t xml:space="preserve">. Secondly, we plan to summarise evidence on determinants of CMDs in adults with NCDs, and thirdly, we aim to explore variation in the prevalence of CMDs in adults with NCDs in Bangladesh, India, and Pakistan. </w:t>
      </w:r>
      <w:r w:rsidR="007E711B">
        <w:rPr>
          <w:rFonts w:ascii="Calibri" w:hAnsi="Calibri" w:cs="Calibri"/>
        </w:rPr>
        <w:t xml:space="preserve">We will focus this review on prevalence rates of depression and anxiety, representing the two most prevalent CMDs worldwide. We will consider NCDs in the following broad categories of illness: type II diabetes, cancer, cardiovascular disease, and chronic respiratory disease.  </w:t>
      </w:r>
    </w:p>
    <w:p w14:paraId="7A06DBF0" w14:textId="77777777" w:rsidR="00B45A30" w:rsidRPr="001E6B13" w:rsidRDefault="006E5466" w:rsidP="001E6B13">
      <w:pPr>
        <w:pStyle w:val="Heading1"/>
        <w:rPr>
          <w:color w:val="auto"/>
        </w:rPr>
      </w:pPr>
      <w:r w:rsidRPr="001E6B13">
        <w:rPr>
          <w:color w:val="auto"/>
        </w:rPr>
        <w:t>Methods</w:t>
      </w:r>
    </w:p>
    <w:p w14:paraId="74308111" w14:textId="77777777" w:rsidR="006A585C" w:rsidRDefault="00ED1693">
      <w:r>
        <w:t>This systematic review</w:t>
      </w:r>
      <w:r w:rsidR="005307EA">
        <w:t xml:space="preserve"> and meta-analysis</w:t>
      </w:r>
      <w:r>
        <w:t xml:space="preserve"> </w:t>
      </w:r>
      <w:r w:rsidR="0075051A">
        <w:t>follow</w:t>
      </w:r>
      <w:r w:rsidR="002B3CB2">
        <w:t>s</w:t>
      </w:r>
      <w:r>
        <w:t xml:space="preserve"> the </w:t>
      </w:r>
      <w:r w:rsidR="000149AC">
        <w:t xml:space="preserve">Centre for Reviews and Dissemination Handbook and the </w:t>
      </w:r>
      <w:r>
        <w:t xml:space="preserve">guidance for </w:t>
      </w:r>
      <w:r w:rsidR="000149AC">
        <w:t xml:space="preserve">reporting of </w:t>
      </w:r>
      <w:r>
        <w:t>Meta-analyses Of Observational Studies in Epidemiology (MOOSE)</w:t>
      </w:r>
      <w:r w:rsidR="00617B81">
        <w:t xml:space="preserve"> [</w:t>
      </w:r>
      <w:r w:rsidR="007D024A" w:rsidRPr="00617B81">
        <w:t>15</w:t>
      </w:r>
      <w:proofErr w:type="gramStart"/>
      <w:r w:rsidR="007D024A" w:rsidRPr="00617B81">
        <w:t>,16</w:t>
      </w:r>
      <w:proofErr w:type="gramEnd"/>
      <w:r w:rsidR="00617B81" w:rsidRPr="00617B81">
        <w:t>].</w:t>
      </w:r>
      <w:r w:rsidR="00AA3AA0">
        <w:t xml:space="preserve"> </w:t>
      </w:r>
      <w:r w:rsidR="00F14750">
        <w:t>The</w:t>
      </w:r>
      <w:r w:rsidR="00765BB0">
        <w:t xml:space="preserve"> PROSPERO </w:t>
      </w:r>
      <w:r w:rsidR="00F14750">
        <w:t xml:space="preserve">database contains a brief version of the protocol </w:t>
      </w:r>
      <w:r w:rsidR="005B6FE2">
        <w:t>(</w:t>
      </w:r>
      <w:hyperlink r:id="rId8" w:history="1">
        <w:r w:rsidR="005B6FE2" w:rsidRPr="005965D8">
          <w:rPr>
            <w:rStyle w:val="Hyperlink"/>
          </w:rPr>
          <w:t>http://www.crd.york.ac.uk/PROSPERO/display_record.php?ID=CRD42018106502</w:t>
        </w:r>
      </w:hyperlink>
      <w:r w:rsidR="005B6FE2">
        <w:t>)</w:t>
      </w:r>
      <w:r w:rsidR="00DE4E99">
        <w:t xml:space="preserve"> and the full protocol is available from the study website (</w:t>
      </w:r>
      <w:r w:rsidR="00DE4E99" w:rsidRPr="00DE4E99">
        <w:t>https://www.york.ac.uk/healthsciences/research/mental-health/projects/impact/impact-outputs/</w:t>
      </w:r>
      <w:r w:rsidR="00DE4E99">
        <w:t>)</w:t>
      </w:r>
      <w:r w:rsidR="00F14750">
        <w:t>.</w:t>
      </w:r>
      <w:r w:rsidR="005B6FE2">
        <w:t xml:space="preserve"> </w:t>
      </w:r>
    </w:p>
    <w:p w14:paraId="063A873B" w14:textId="031EB1A7" w:rsidR="000250E1" w:rsidRDefault="000250E1"/>
    <w:p w14:paraId="0801F865" w14:textId="77777777" w:rsidR="006E5466" w:rsidRPr="001E6B13" w:rsidRDefault="004672FE" w:rsidP="001E6B13">
      <w:pPr>
        <w:pStyle w:val="Heading2"/>
        <w:rPr>
          <w:color w:val="auto"/>
        </w:rPr>
      </w:pPr>
      <w:r w:rsidRPr="001E6B13">
        <w:rPr>
          <w:color w:val="auto"/>
        </w:rPr>
        <w:t>Data sources and search strategy</w:t>
      </w:r>
    </w:p>
    <w:p w14:paraId="4CFDDE72" w14:textId="1151DD76" w:rsidR="005B6FE2" w:rsidRDefault="00531B18" w:rsidP="00F14750">
      <w:r>
        <w:t>A senior information specialist</w:t>
      </w:r>
      <w:r w:rsidR="00896FC4">
        <w:t xml:space="preserve"> (</w:t>
      </w:r>
      <w:proofErr w:type="spellStart"/>
      <w:r w:rsidR="00896FC4">
        <w:t>JuW</w:t>
      </w:r>
      <w:proofErr w:type="spellEnd"/>
      <w:r w:rsidR="00896FC4">
        <w:t>)</w:t>
      </w:r>
      <w:r>
        <w:t xml:space="preserve"> </w:t>
      </w:r>
      <w:r w:rsidR="000149AC">
        <w:t>conducted test searches to identify appropriate global health and Asian country-specific databases and web resources for relevant evidence. We searched the following databases and web resources during July to October 2018:</w:t>
      </w:r>
      <w:r w:rsidR="000A61B8">
        <w:t xml:space="preserve"> </w:t>
      </w:r>
      <w:r w:rsidR="005B6FE2">
        <w:t xml:space="preserve">BRAC Research &amp; Publication </w:t>
      </w:r>
      <w:r w:rsidR="000149AC">
        <w:t>website</w:t>
      </w:r>
      <w:r w:rsidR="000A61B8">
        <w:t xml:space="preserve">, </w:t>
      </w:r>
      <w:r w:rsidR="005B6FE2">
        <w:t>Cochrane</w:t>
      </w:r>
      <w:r w:rsidR="00990377">
        <w:t xml:space="preserve"> Database of Systematic Reviews</w:t>
      </w:r>
      <w:r w:rsidR="000149AC">
        <w:t xml:space="preserve"> (Wiley)</w:t>
      </w:r>
      <w:r w:rsidR="000A61B8">
        <w:t xml:space="preserve">, </w:t>
      </w:r>
      <w:r w:rsidR="005B6FE2">
        <w:t>Database of Abstracts of Reviews of Effect (Wiley)</w:t>
      </w:r>
      <w:r w:rsidR="000A61B8">
        <w:t xml:space="preserve">, </w:t>
      </w:r>
      <w:r w:rsidR="005B6FE2">
        <w:t xml:space="preserve">Global Health </w:t>
      </w:r>
      <w:r w:rsidR="000149AC">
        <w:t>(Ovid)</w:t>
      </w:r>
      <w:r w:rsidR="000A61B8">
        <w:t xml:space="preserve">, </w:t>
      </w:r>
      <w:r w:rsidR="005B6FE2">
        <w:t>Global Index Medicus (World Health Organization) Libraries</w:t>
      </w:r>
      <w:r w:rsidR="000A61B8">
        <w:t xml:space="preserve">, </w:t>
      </w:r>
      <w:r w:rsidR="005B6FE2">
        <w:t>Health Technology Assessment Database (Wiley)</w:t>
      </w:r>
      <w:r w:rsidR="000A61B8">
        <w:t xml:space="preserve">, </w:t>
      </w:r>
      <w:proofErr w:type="spellStart"/>
      <w:r w:rsidR="005B6FE2">
        <w:t>IndMED</w:t>
      </w:r>
      <w:proofErr w:type="spellEnd"/>
      <w:r w:rsidR="005B6FE2">
        <w:t xml:space="preserve"> (ICMR-NIC)</w:t>
      </w:r>
      <w:r w:rsidR="000A61B8">
        <w:t xml:space="preserve">, </w:t>
      </w:r>
      <w:r w:rsidR="005B6FE2">
        <w:t xml:space="preserve">Ovid MEDLINE(R) </w:t>
      </w:r>
      <w:r w:rsidR="00960194">
        <w:br/>
      </w:r>
      <w:r w:rsidR="005B6FE2">
        <w:t xml:space="preserve">(including In-Process &amp; Other Non-Indexed Citations and </w:t>
      </w:r>
      <w:proofErr w:type="spellStart"/>
      <w:r w:rsidR="005B6FE2">
        <w:t>Epub</w:t>
      </w:r>
      <w:proofErr w:type="spellEnd"/>
      <w:r w:rsidR="005B6FE2">
        <w:t xml:space="preserve"> Ahead of Print)</w:t>
      </w:r>
      <w:r w:rsidR="000A61B8">
        <w:t xml:space="preserve">, </w:t>
      </w:r>
      <w:proofErr w:type="spellStart"/>
      <w:r w:rsidR="005B6FE2">
        <w:t>PakMediNet</w:t>
      </w:r>
      <w:proofErr w:type="spellEnd"/>
      <w:r w:rsidR="005B6FE2">
        <w:t xml:space="preserve"> </w:t>
      </w:r>
      <w:r w:rsidR="005B6FE2">
        <w:lastRenderedPageBreak/>
        <w:t>(</w:t>
      </w:r>
      <w:proofErr w:type="spellStart"/>
      <w:r w:rsidR="005B6FE2">
        <w:t>PakCyber</w:t>
      </w:r>
      <w:proofErr w:type="spellEnd"/>
      <w:r w:rsidR="005B6FE2">
        <w:t>)</w:t>
      </w:r>
      <w:r w:rsidR="000A61B8">
        <w:t xml:space="preserve">, </w:t>
      </w:r>
      <w:proofErr w:type="spellStart"/>
      <w:r w:rsidR="005B6FE2">
        <w:t>PsycINFO</w:t>
      </w:r>
      <w:proofErr w:type="spellEnd"/>
      <w:r w:rsidR="005B6FE2">
        <w:t xml:space="preserve"> </w:t>
      </w:r>
      <w:r w:rsidR="000149AC">
        <w:t>(Ovid)</w:t>
      </w:r>
      <w:r w:rsidR="000A61B8">
        <w:t xml:space="preserve">, and </w:t>
      </w:r>
      <w:r w:rsidR="005B6FE2">
        <w:t xml:space="preserve">World Bank Group Research and Publications: Documents and Reports </w:t>
      </w:r>
      <w:r w:rsidR="000149AC">
        <w:t>website</w:t>
      </w:r>
      <w:r w:rsidR="000A61B8">
        <w:t xml:space="preserve">. </w:t>
      </w:r>
    </w:p>
    <w:p w14:paraId="424BABE2" w14:textId="6637490B" w:rsidR="005B6FE2" w:rsidRDefault="000149AC" w:rsidP="00ED1693">
      <w:r>
        <w:t xml:space="preserve">The information specialist identified search terms and developed strategies through iterative testing of terms identified by the project team </w:t>
      </w:r>
      <w:r w:rsidR="00A8304A">
        <w:t>members and</w:t>
      </w:r>
      <w:r>
        <w:t xml:space="preserve"> aided by known relevant papers. The search strategies were peer-review</w:t>
      </w:r>
      <w:r w:rsidR="002B3CB2">
        <w:t>ed</w:t>
      </w:r>
      <w:r>
        <w:t xml:space="preserve"> by a second information specialist. </w:t>
      </w:r>
      <w:proofErr w:type="spellStart"/>
      <w:r>
        <w:t>MeSH</w:t>
      </w:r>
      <w:proofErr w:type="spellEnd"/>
      <w:r>
        <w:t xml:space="preserve"> and free text word synonyms were searched </w:t>
      </w:r>
      <w:r w:rsidR="000E0D27">
        <w:t>the concepts</w:t>
      </w:r>
      <w:r w:rsidR="00990377" w:rsidRPr="00990377">
        <w:t xml:space="preserve"> ‘common mental disorders’ (including depression and anxiety disorders), ‘non-communicable diseases’ (cancer, diabetes, cardiovascular disease and COPD), ‘prevalence studies’ and ‘South Asia’</w:t>
      </w:r>
      <w:r>
        <w:t xml:space="preserve">. </w:t>
      </w:r>
      <w:r w:rsidR="00990377" w:rsidRPr="00990377">
        <w:t xml:space="preserve">Please see </w:t>
      </w:r>
      <w:r w:rsidR="002C6F5A">
        <w:t xml:space="preserve">Appendix 1 in the </w:t>
      </w:r>
      <w:r w:rsidR="00CA40D4">
        <w:t>Online Supplementary Document</w:t>
      </w:r>
      <w:r w:rsidR="00990377" w:rsidRPr="00990377">
        <w:t xml:space="preserve"> for full search strategies</w:t>
      </w:r>
      <w:r>
        <w:t xml:space="preserve"> including resource coverage dates where available.</w:t>
      </w:r>
    </w:p>
    <w:p w14:paraId="6C0DC93A" w14:textId="77777777" w:rsidR="00E04B6B" w:rsidRDefault="00F14750" w:rsidP="00E04B6B">
      <w:r>
        <w:t>We limited searches</w:t>
      </w:r>
      <w:r w:rsidR="00E04B6B">
        <w:t xml:space="preserve"> to studies published from 1990 onwards to ensure relevance to the current prevalence and determinants of CMDs. </w:t>
      </w:r>
    </w:p>
    <w:p w14:paraId="67EDA4E3" w14:textId="77777777" w:rsidR="00E04B6B" w:rsidRPr="00E04B6B" w:rsidRDefault="00037C26" w:rsidP="00E04B6B">
      <w:r>
        <w:t>We conducted this review</w:t>
      </w:r>
      <w:r w:rsidR="00E04B6B">
        <w:t xml:space="preserve"> within a short timeframe to inform research priorities at the start of the international IMPACT project. It was therefore not feasible to </w:t>
      </w:r>
      <w:r w:rsidR="000149AC">
        <w:t xml:space="preserve">scan references of included studies, or to </w:t>
      </w:r>
      <w:r w:rsidR="0075051A">
        <w:t>obtain</w:t>
      </w:r>
      <w:r w:rsidR="00E04B6B">
        <w:t xml:space="preserve"> unavailable papers.</w:t>
      </w:r>
    </w:p>
    <w:p w14:paraId="22DB8B2F" w14:textId="77777777" w:rsidR="004672FE" w:rsidRPr="001E6B13" w:rsidRDefault="00E04B6B" w:rsidP="001E6B13">
      <w:pPr>
        <w:pStyle w:val="Heading2"/>
        <w:rPr>
          <w:color w:val="auto"/>
        </w:rPr>
      </w:pPr>
      <w:r w:rsidRPr="001E6B13">
        <w:rPr>
          <w:color w:val="auto"/>
        </w:rPr>
        <w:t>Study selection</w:t>
      </w:r>
    </w:p>
    <w:p w14:paraId="6B8AE246" w14:textId="0DF131C1" w:rsidR="00894853" w:rsidRDefault="00037C26" w:rsidP="00DD21F1">
      <w:r>
        <w:t xml:space="preserve">We </w:t>
      </w:r>
      <w:r w:rsidR="0075051A">
        <w:t>include</w:t>
      </w:r>
      <w:r w:rsidR="002B3CB2">
        <w:t>d</w:t>
      </w:r>
      <w:r>
        <w:t xml:space="preserve"> </w:t>
      </w:r>
      <w:r w:rsidR="00B43F1B">
        <w:t xml:space="preserve">any </w:t>
      </w:r>
      <w:r>
        <w:t>o</w:t>
      </w:r>
      <w:r w:rsidR="00894853">
        <w:t xml:space="preserve">bservational </w:t>
      </w:r>
      <w:r w:rsidR="007D024A">
        <w:t>studies that</w:t>
      </w:r>
      <w:r w:rsidR="00B43F1B">
        <w:t xml:space="preserve"> were </w:t>
      </w:r>
      <w:r w:rsidR="0075051A">
        <w:t xml:space="preserve">published in any language, </w:t>
      </w:r>
      <w:r w:rsidR="00894853">
        <w:t>conducted in Bangladesh, India, or Pakistan</w:t>
      </w:r>
      <w:r w:rsidR="0075051A">
        <w:t>,</w:t>
      </w:r>
      <w:r w:rsidR="00894853">
        <w:t xml:space="preserve"> and asses</w:t>
      </w:r>
      <w:r w:rsidR="00B43F1B">
        <w:t>sed</w:t>
      </w:r>
      <w:r w:rsidR="00894853">
        <w:t xml:space="preserve"> prevalence or determinants of CMD in adults with a</w:t>
      </w:r>
      <w:r w:rsidR="008712BD">
        <w:t>n</w:t>
      </w:r>
      <w:r w:rsidR="00894853">
        <w:t xml:space="preserve"> NCD</w:t>
      </w:r>
      <w:r w:rsidR="000A61B8">
        <w:t xml:space="preserve">. Studies with the following criteria were included: observational studies including cross-sectional, case-control, and cohort studies, data collected in Bangladesh, India, or Pakistan, participants at least 18 years old, one </w:t>
      </w:r>
      <w:r w:rsidR="00894853">
        <w:t xml:space="preserve"> of four key NCDs: cardiovascular disease (including stroke, hypertension, angina), diabetes (type II), cancer, and chronic respiratory disease</w:t>
      </w:r>
      <w:r w:rsidR="000A61B8">
        <w:t>, r</w:t>
      </w:r>
      <w:r w:rsidR="00894853">
        <w:t>eporting on prevalence and/or determinants of one or multiple CMDs (depression and/or anxiety disorders)</w:t>
      </w:r>
      <w:r w:rsidR="000A61B8">
        <w:t>, and i</w:t>
      </w:r>
      <w:r w:rsidR="00894853">
        <w:t>dentification of patients with CMD via clinical diagnosis, use of a recognised psychiatric diagnostic instrument (e.g. SCID, CIDI), or through a validated screening tool (e.g. PHQ-9, GAD-7, HADS).</w:t>
      </w:r>
    </w:p>
    <w:p w14:paraId="77D47E2E" w14:textId="25131F44" w:rsidR="0075051A" w:rsidRDefault="00037C26" w:rsidP="00DD21F1">
      <w:r>
        <w:t xml:space="preserve">We </w:t>
      </w:r>
      <w:r w:rsidR="0075051A">
        <w:t>exclude</w:t>
      </w:r>
      <w:r w:rsidR="002B3CB2">
        <w:t>d</w:t>
      </w:r>
      <w:r>
        <w:t xml:space="preserve"> studies meeting</w:t>
      </w:r>
      <w:r w:rsidR="00894853">
        <w:t xml:space="preserve"> the following exclusion criteria:</w:t>
      </w:r>
      <w:r w:rsidR="000A61B8">
        <w:t xml:space="preserve"> s</w:t>
      </w:r>
      <w:r w:rsidR="00894853">
        <w:t>tudy designs other than observational, such as literature reviews, opinion papers, qualitative studies, posters and letters</w:t>
      </w:r>
      <w:r w:rsidR="000A61B8">
        <w:t>, s</w:t>
      </w:r>
      <w:r w:rsidR="00894853">
        <w:t>tudies with a sample size of less than 20 participants</w:t>
      </w:r>
      <w:r w:rsidR="000A61B8">
        <w:t>, d</w:t>
      </w:r>
      <w:r w:rsidR="00894853">
        <w:t>ata collected in multiple countries, without the possibility to extract country-specific information on Bangladesh, India, and/or Pakistan from the paper</w:t>
      </w:r>
      <w:r w:rsidR="000A61B8">
        <w:t>, s</w:t>
      </w:r>
      <w:r w:rsidR="00894853">
        <w:t xml:space="preserve">tudies with participants under 18 </w:t>
      </w:r>
      <w:r w:rsidR="00B43F1B">
        <w:t>years of age</w:t>
      </w:r>
      <w:r w:rsidR="00894853">
        <w:t xml:space="preserve">, for which </w:t>
      </w:r>
      <w:r w:rsidR="007501AD">
        <w:t xml:space="preserve">the review authors could not extract </w:t>
      </w:r>
      <w:r w:rsidR="00894853">
        <w:t>data for adults separately</w:t>
      </w:r>
      <w:r w:rsidR="000A61B8">
        <w:t>, s</w:t>
      </w:r>
      <w:r w:rsidR="00894853">
        <w:t>tudies reporting on the prevalence or determinants of CMD without reporting the use of a recognised diagnostic instrument or screening tool</w:t>
      </w:r>
      <w:r w:rsidR="000A61B8">
        <w:t>, and f</w:t>
      </w:r>
      <w:r w:rsidR="0075051A">
        <w:t>ull-text papers not available within the review period.</w:t>
      </w:r>
    </w:p>
    <w:p w14:paraId="2DF9AA17" w14:textId="77777777" w:rsidR="00D86DB5" w:rsidRPr="001E6B13" w:rsidRDefault="00D86DB5" w:rsidP="001E6B13">
      <w:pPr>
        <w:pStyle w:val="Heading2"/>
        <w:rPr>
          <w:color w:val="auto"/>
        </w:rPr>
      </w:pPr>
      <w:r w:rsidRPr="001E6B13">
        <w:rPr>
          <w:color w:val="auto"/>
        </w:rPr>
        <w:t>Screening strategy</w:t>
      </w:r>
    </w:p>
    <w:p w14:paraId="5DFF061A" w14:textId="29A3574B" w:rsidR="00D86DB5" w:rsidRDefault="00037C26" w:rsidP="00D86DB5">
      <w:r>
        <w:t xml:space="preserve">We </w:t>
      </w:r>
      <w:r w:rsidR="0075051A">
        <w:t>store</w:t>
      </w:r>
      <w:r w:rsidR="002B3CB2">
        <w:t>d</w:t>
      </w:r>
      <w:r w:rsidR="0075051A">
        <w:t xml:space="preserve"> and screen</w:t>
      </w:r>
      <w:r w:rsidR="002B3CB2">
        <w:t>ed</w:t>
      </w:r>
      <w:r>
        <w:t xml:space="preserve"> r</w:t>
      </w:r>
      <w:r w:rsidR="00D86DB5">
        <w:t>eferences in Mendeley reference management software (</w:t>
      </w:r>
      <w:r w:rsidR="005E6DD3">
        <w:t xml:space="preserve">Elsevier, Amsterdam, the Netherlands, </w:t>
      </w:r>
      <w:proofErr w:type="gramStart"/>
      <w:r w:rsidR="00B63BF3">
        <w:t>v</w:t>
      </w:r>
      <w:proofErr w:type="gramEnd"/>
      <w:r w:rsidR="00B63BF3">
        <w:t xml:space="preserve"> </w:t>
      </w:r>
      <w:r w:rsidR="00D86DB5">
        <w:t xml:space="preserve">1.18). After removing duplicates, </w:t>
      </w:r>
      <w:r w:rsidR="00BD77D0">
        <w:t>t</w:t>
      </w:r>
      <w:r w:rsidR="00790C05">
        <w:t xml:space="preserve">hree researchers (EU, LN, IW) together </w:t>
      </w:r>
      <w:r w:rsidR="0075051A">
        <w:t>screen</w:t>
      </w:r>
      <w:r w:rsidR="002B3CB2">
        <w:t>ed</w:t>
      </w:r>
      <w:r>
        <w:t xml:space="preserve"> titles and abstracts</w:t>
      </w:r>
      <w:r w:rsidR="00D86DB5">
        <w:t xml:space="preserve"> independently</w:t>
      </w:r>
      <w:r w:rsidR="00790C05">
        <w:t xml:space="preserve"> in duplicate</w:t>
      </w:r>
      <w:r w:rsidR="00D86DB5">
        <w:t xml:space="preserve">, and disagreements </w:t>
      </w:r>
      <w:r w:rsidR="002B3CB2">
        <w:t>we</w:t>
      </w:r>
      <w:r w:rsidR="0075051A">
        <w:t>re</w:t>
      </w:r>
      <w:r w:rsidR="00D86DB5">
        <w:t xml:space="preserve"> resolved through discussion, where </w:t>
      </w:r>
      <w:r w:rsidR="008712BD">
        <w:t>required</w:t>
      </w:r>
      <w:r w:rsidR="00D86DB5">
        <w:t xml:space="preserve"> involving a third researcher. </w:t>
      </w:r>
      <w:r w:rsidR="00531B18">
        <w:t>Two re</w:t>
      </w:r>
      <w:r w:rsidR="0075051A">
        <w:t>searchers independently screen</w:t>
      </w:r>
      <w:r w:rsidR="002B3CB2">
        <w:t>ed</w:t>
      </w:r>
      <w:r w:rsidR="00531B18">
        <w:t xml:space="preserve"> all f</w:t>
      </w:r>
      <w:r w:rsidR="00D86DB5">
        <w:t>ull-text papers</w:t>
      </w:r>
      <w:r w:rsidR="00790C05">
        <w:t xml:space="preserve"> (between EU, LN, and IW)</w:t>
      </w:r>
      <w:r w:rsidR="00531B18">
        <w:t>.</w:t>
      </w:r>
    </w:p>
    <w:p w14:paraId="1B99F3CE" w14:textId="77777777" w:rsidR="00D86DB5" w:rsidRPr="001E6B13" w:rsidRDefault="00D86DB5" w:rsidP="001E6B13">
      <w:pPr>
        <w:pStyle w:val="Heading2"/>
        <w:rPr>
          <w:color w:val="auto"/>
        </w:rPr>
      </w:pPr>
      <w:r w:rsidRPr="001E6B13">
        <w:rPr>
          <w:color w:val="auto"/>
        </w:rPr>
        <w:t>Data extraction</w:t>
      </w:r>
    </w:p>
    <w:p w14:paraId="7C2AEFF0" w14:textId="3B9D9513" w:rsidR="00D86DB5" w:rsidRPr="00D86DB5" w:rsidRDefault="00D86DB5" w:rsidP="00D86DB5">
      <w:r>
        <w:t xml:space="preserve">After piloting the data extraction form, </w:t>
      </w:r>
      <w:r w:rsidR="00037C26">
        <w:t>reviewer</w:t>
      </w:r>
      <w:r w:rsidR="00790C05">
        <w:t>s (EU, LN)</w:t>
      </w:r>
      <w:r w:rsidR="0075051A">
        <w:t xml:space="preserve"> extract</w:t>
      </w:r>
      <w:r w:rsidR="002B3CB2">
        <w:t>ed</w:t>
      </w:r>
      <w:r>
        <w:t xml:space="preserve"> </w:t>
      </w:r>
      <w:r w:rsidR="00037C26">
        <w:t xml:space="preserve">the following data </w:t>
      </w:r>
      <w:r w:rsidR="008712BD">
        <w:t>in</w:t>
      </w:r>
      <w:r>
        <w:t xml:space="preserve"> Microsoft Excel 2016</w:t>
      </w:r>
      <w:r w:rsidR="005E6DD3">
        <w:t xml:space="preserve"> (Microsoft </w:t>
      </w:r>
      <w:proofErr w:type="spellStart"/>
      <w:r w:rsidR="005E6DD3">
        <w:t>Inc</w:t>
      </w:r>
      <w:proofErr w:type="spellEnd"/>
      <w:r w:rsidR="005E6DD3">
        <w:t>, Seattle WA, USA)</w:t>
      </w:r>
      <w:r>
        <w:t xml:space="preserve">: </w:t>
      </w:r>
      <w:r w:rsidRPr="00D86DB5">
        <w:t xml:space="preserve">first author, year published, study objective, study population country (+region/ city), type of study, data source, participants, setting, sample size, </w:t>
      </w:r>
      <w:r w:rsidRPr="00D86DB5">
        <w:lastRenderedPageBreak/>
        <w:t xml:space="preserve">CMD, CMD </w:t>
      </w:r>
      <w:r>
        <w:t xml:space="preserve">diagnostic </w:t>
      </w:r>
      <w:r w:rsidRPr="00D86DB5">
        <w:t xml:space="preserve">criteria, NCD, NCD </w:t>
      </w:r>
      <w:r>
        <w:t xml:space="preserve">diagnostic </w:t>
      </w:r>
      <w:r w:rsidRPr="00D86DB5">
        <w:t>criteri</w:t>
      </w:r>
      <w:r w:rsidR="005307EA">
        <w:t>a, type of prevalence estimate</w:t>
      </w:r>
      <w:r w:rsidRPr="00D86DB5">
        <w:t xml:space="preserve">, </w:t>
      </w:r>
      <w:r w:rsidR="0075051A">
        <w:t xml:space="preserve">key determinants, summary estimates of anxiety and depression prevalence, </w:t>
      </w:r>
      <w:r w:rsidRPr="00D86DB5">
        <w:t>and comments.</w:t>
      </w:r>
      <w:r w:rsidR="005307EA">
        <w:t xml:space="preserve"> </w:t>
      </w:r>
    </w:p>
    <w:p w14:paraId="1643BCAE" w14:textId="77777777" w:rsidR="004672FE" w:rsidRPr="001E6B13" w:rsidRDefault="00D86DB5" w:rsidP="001E6B13">
      <w:pPr>
        <w:pStyle w:val="Heading2"/>
        <w:rPr>
          <w:color w:val="auto"/>
        </w:rPr>
      </w:pPr>
      <w:r w:rsidRPr="001E6B13">
        <w:rPr>
          <w:color w:val="auto"/>
        </w:rPr>
        <w:t>Quality assessment</w:t>
      </w:r>
    </w:p>
    <w:p w14:paraId="3FAA27AB" w14:textId="77777777" w:rsidR="00D86DB5" w:rsidRDefault="003271D9">
      <w:r>
        <w:t>T</w:t>
      </w:r>
      <w:r w:rsidR="002B3CB2">
        <w:t>wo reviewers</w:t>
      </w:r>
      <w:r w:rsidR="00790C05">
        <w:t xml:space="preserve"> (LN, PM)</w:t>
      </w:r>
      <w:r w:rsidR="0075051A">
        <w:t xml:space="preserve"> independently use</w:t>
      </w:r>
      <w:r w:rsidR="002B3CB2">
        <w:t>d</w:t>
      </w:r>
      <w:r w:rsidR="00037C26">
        <w:t xml:space="preserve"> t</w:t>
      </w:r>
      <w:r>
        <w:t>he appraisal tool for cross-sectional studies (AXIS) to assess the quality of studies included in the review</w:t>
      </w:r>
      <w:r w:rsidR="00617B81">
        <w:t xml:space="preserve"> [</w:t>
      </w:r>
      <w:r w:rsidR="007D024A" w:rsidRPr="00617B81">
        <w:t>17</w:t>
      </w:r>
      <w:r w:rsidR="00617B81" w:rsidRPr="00617B81">
        <w:t>].</w:t>
      </w:r>
      <w:r>
        <w:t xml:space="preserve"> </w:t>
      </w:r>
      <w:r w:rsidR="00790C05">
        <w:t xml:space="preserve">This tool was chosen because we anticipated to identify mainly cross-sectional studies. </w:t>
      </w:r>
      <w:r w:rsidR="0098167D">
        <w:t>A third review</w:t>
      </w:r>
      <w:r w:rsidR="0075051A">
        <w:t>er</w:t>
      </w:r>
      <w:r w:rsidR="00790C05">
        <w:t xml:space="preserve"> (EU)</w:t>
      </w:r>
      <w:r w:rsidR="0075051A">
        <w:t xml:space="preserve"> assess</w:t>
      </w:r>
      <w:r w:rsidR="002B3CB2">
        <w:t>ed</w:t>
      </w:r>
      <w:r w:rsidR="0098167D">
        <w:t xml:space="preserve"> 10% of the studies </w:t>
      </w:r>
      <w:r w:rsidR="008712BD">
        <w:t>for quality assurance and</w:t>
      </w:r>
      <w:r w:rsidR="0098167D">
        <w:t xml:space="preserve"> </w:t>
      </w:r>
      <w:r w:rsidR="002B3CB2">
        <w:t>was available</w:t>
      </w:r>
      <w:r w:rsidR="0098167D">
        <w:t xml:space="preserve"> to discuss disagreements. </w:t>
      </w:r>
    </w:p>
    <w:p w14:paraId="7DC09765" w14:textId="77777777" w:rsidR="0098167D" w:rsidRDefault="00037C26">
      <w:r>
        <w:t xml:space="preserve">We </w:t>
      </w:r>
      <w:r w:rsidR="0075051A">
        <w:t>compute</w:t>
      </w:r>
      <w:r w:rsidR="002B3CB2">
        <w:t>d</w:t>
      </w:r>
      <w:r>
        <w:t xml:space="preserve"> a</w:t>
      </w:r>
      <w:r w:rsidR="003A7DBC">
        <w:t xml:space="preserve"> summary score </w:t>
      </w:r>
      <w:r>
        <w:t>weigh</w:t>
      </w:r>
      <w:r w:rsidR="003A7DBC">
        <w:t>ing all</w:t>
      </w:r>
      <w:r w:rsidR="00980EEC">
        <w:t xml:space="preserve"> 20</w:t>
      </w:r>
      <w:r w:rsidR="003A7DBC">
        <w:t xml:space="preserve"> items equally</w:t>
      </w:r>
      <w:r>
        <w:t xml:space="preserve"> for use</w:t>
      </w:r>
      <w:r w:rsidR="003A7DBC">
        <w:t xml:space="preserve"> </w:t>
      </w:r>
      <w:r w:rsidR="00D31FC1">
        <w:t>in the meta-regression analysis, with a higher score indicating better quality.</w:t>
      </w:r>
    </w:p>
    <w:p w14:paraId="607CFA72" w14:textId="77777777" w:rsidR="00AA3AA0" w:rsidRPr="001E6B13" w:rsidRDefault="00AA3AA0" w:rsidP="001E6B13">
      <w:pPr>
        <w:pStyle w:val="Heading2"/>
        <w:rPr>
          <w:color w:val="auto"/>
        </w:rPr>
      </w:pPr>
      <w:r w:rsidRPr="001E6B13">
        <w:rPr>
          <w:color w:val="auto"/>
        </w:rPr>
        <w:t>Statistical analysis</w:t>
      </w:r>
    </w:p>
    <w:p w14:paraId="35A0D1E3" w14:textId="77777777" w:rsidR="00C80FE8" w:rsidRPr="004405C0" w:rsidRDefault="00C80FE8" w:rsidP="00AA3AA0">
      <w:r>
        <w:t xml:space="preserve">Despite anticipated heterogeneity in the results of included studies, </w:t>
      </w:r>
      <w:r w:rsidR="0075051A">
        <w:t xml:space="preserve">we </w:t>
      </w:r>
      <w:r w:rsidR="00790C05">
        <w:t>judged</w:t>
      </w:r>
      <w:r w:rsidR="00980EEC">
        <w:t xml:space="preserve"> that</w:t>
      </w:r>
      <w:r>
        <w:t xml:space="preserve"> a meta-analysis that </w:t>
      </w:r>
      <w:r w:rsidR="00790C05">
        <w:t>explores explanatory factors of</w:t>
      </w:r>
      <w:r>
        <w:t xml:space="preserve"> heterogeneity </w:t>
      </w:r>
      <w:r w:rsidR="00980EEC">
        <w:t>is</w:t>
      </w:r>
      <w:r w:rsidR="0075051A">
        <w:t xml:space="preserve"> </w:t>
      </w:r>
      <w:r>
        <w:t xml:space="preserve">more useful than a systematic review without a quantitative synthesis of results. </w:t>
      </w:r>
      <w:r w:rsidR="00AC6D7A" w:rsidRPr="00AC6D7A">
        <w:t xml:space="preserve">Ioannidis </w:t>
      </w:r>
      <w:r w:rsidR="00AC6D7A">
        <w:t>and colleagues have previously discussed these considerations in detail</w:t>
      </w:r>
      <w:r w:rsidR="00617B81">
        <w:t xml:space="preserve"> [</w:t>
      </w:r>
      <w:r w:rsidR="007D024A" w:rsidRPr="00617B81">
        <w:t>18</w:t>
      </w:r>
      <w:r w:rsidR="00617B81" w:rsidRPr="00617B81">
        <w:t>].</w:t>
      </w:r>
      <w:r w:rsidR="004405C0">
        <w:t xml:space="preserve"> They argued that, providing limitations of synthesising heterogeneous results are adequately acknowledged, quantitative syntheses can provide more information than qualitative interpretation of the results, and allow for an investigation of diversity in results.</w:t>
      </w:r>
    </w:p>
    <w:p w14:paraId="75A0CF92" w14:textId="25936131" w:rsidR="0078176F" w:rsidRDefault="002B3CB2" w:rsidP="00AA3AA0">
      <w:r>
        <w:t>One reviewer</w:t>
      </w:r>
      <w:r w:rsidR="00790C05">
        <w:t xml:space="preserve"> (EU)</w:t>
      </w:r>
      <w:r>
        <w:t xml:space="preserve"> </w:t>
      </w:r>
      <w:r w:rsidR="0075051A">
        <w:t>perform</w:t>
      </w:r>
      <w:r>
        <w:t>ed</w:t>
      </w:r>
      <w:r w:rsidR="00037C26">
        <w:t xml:space="preserve"> r</w:t>
      </w:r>
      <w:r w:rsidR="009A79C1">
        <w:t>andom-effects meta-analyses in Stata 15</w:t>
      </w:r>
      <w:r w:rsidR="005E6DD3">
        <w:t xml:space="preserve"> (</w:t>
      </w:r>
      <w:proofErr w:type="spellStart"/>
      <w:r w:rsidR="005E6DD3">
        <w:t>StataCorp</w:t>
      </w:r>
      <w:proofErr w:type="spellEnd"/>
      <w:r w:rsidR="005E6DD3">
        <w:t>, College Station TX, USA)</w:t>
      </w:r>
      <w:r w:rsidR="00037C26">
        <w:t xml:space="preserve"> under supervision of a statistician</w:t>
      </w:r>
      <w:r w:rsidR="00790C05">
        <w:t xml:space="preserve"> (NM)</w:t>
      </w:r>
      <w:r w:rsidR="009A79C1">
        <w:t xml:space="preserve">, using the </w:t>
      </w:r>
      <w:proofErr w:type="spellStart"/>
      <w:r w:rsidR="009A79C1" w:rsidRPr="00790C05">
        <w:rPr>
          <w:i/>
        </w:rPr>
        <w:t>metaprop</w:t>
      </w:r>
      <w:proofErr w:type="spellEnd"/>
      <w:r w:rsidR="009A79C1">
        <w:t xml:space="preserve"> command for meta-analysis of proportional data. </w:t>
      </w:r>
      <w:r w:rsidR="00037C26">
        <w:t xml:space="preserve">We </w:t>
      </w:r>
      <w:r w:rsidR="0075051A">
        <w:t>create</w:t>
      </w:r>
      <w:r>
        <w:t>d</w:t>
      </w:r>
      <w:r w:rsidR="00037C26">
        <w:t xml:space="preserve"> f</w:t>
      </w:r>
      <w:r w:rsidR="00AA3AA0" w:rsidRPr="00AA3AA0">
        <w:t>orest plots to calculate pooled estimates where appropriate, by type of NCD</w:t>
      </w:r>
      <w:r w:rsidR="009A79C1">
        <w:t xml:space="preserve">. </w:t>
      </w:r>
    </w:p>
    <w:p w14:paraId="354819A3" w14:textId="69A34287" w:rsidR="00AA3AA0" w:rsidRDefault="00AA3AA0" w:rsidP="00AA3AA0">
      <w:r w:rsidRPr="00AA3AA0">
        <w:t xml:space="preserve">To </w:t>
      </w:r>
      <w:r w:rsidR="002B3CB2">
        <w:t>estimate</w:t>
      </w:r>
      <w:r w:rsidRPr="00AA3AA0">
        <w:t xml:space="preserve"> </w:t>
      </w:r>
      <w:r w:rsidR="00376E57" w:rsidRPr="00AA3AA0">
        <w:t>heterogeneity,</w:t>
      </w:r>
      <w:r w:rsidRPr="00AA3AA0">
        <w:t xml:space="preserve"> </w:t>
      </w:r>
      <w:r w:rsidR="0078176F">
        <w:t xml:space="preserve">we </w:t>
      </w:r>
      <w:r w:rsidRPr="00AA3AA0">
        <w:t>calculate</w:t>
      </w:r>
      <w:r w:rsidR="002B3CB2">
        <w:t>d</w:t>
      </w:r>
      <w:r w:rsidR="0078176F">
        <w:t xml:space="preserve"> the I</w:t>
      </w:r>
      <w:r w:rsidR="0078176F">
        <w:rPr>
          <w:vertAlign w:val="superscript"/>
        </w:rPr>
        <w:t>2</w:t>
      </w:r>
      <w:r w:rsidRPr="00AA3AA0">
        <w:t xml:space="preserve"> stati</w:t>
      </w:r>
      <w:r w:rsidR="00810333">
        <w:t>stic</w:t>
      </w:r>
      <w:r w:rsidRPr="00AA3AA0">
        <w:t xml:space="preserve">. High heterogeneity </w:t>
      </w:r>
      <w:r w:rsidR="0078176F">
        <w:t>is</w:t>
      </w:r>
      <w:r w:rsidRPr="00AA3AA0">
        <w:t xml:space="preserve"> indicated if the </w:t>
      </w:r>
      <w:r w:rsidR="0078176F">
        <w:t>I</w:t>
      </w:r>
      <w:r w:rsidR="0078176F">
        <w:rPr>
          <w:vertAlign w:val="superscript"/>
        </w:rPr>
        <w:t>2</w:t>
      </w:r>
      <w:r w:rsidRPr="00AA3AA0">
        <w:t xml:space="preserve"> statistic is over 75% and low heterogeneity indicated if the </w:t>
      </w:r>
      <w:r w:rsidR="0078176F">
        <w:t>I</w:t>
      </w:r>
      <w:r w:rsidR="0078176F">
        <w:rPr>
          <w:vertAlign w:val="superscript"/>
        </w:rPr>
        <w:t>2</w:t>
      </w:r>
      <w:r w:rsidRPr="00AA3AA0">
        <w:t xml:space="preserve"> statistic </w:t>
      </w:r>
      <w:r>
        <w:t>is below 40%</w:t>
      </w:r>
      <w:r w:rsidR="00617B81">
        <w:t xml:space="preserve"> [</w:t>
      </w:r>
      <w:r w:rsidR="007D024A" w:rsidRPr="00376B7B">
        <w:t>19</w:t>
      </w:r>
      <w:r w:rsidR="00617B81" w:rsidRPr="00376B7B">
        <w:t>].</w:t>
      </w:r>
      <w:r>
        <w:t xml:space="preserve"> As we anticipate</w:t>
      </w:r>
      <w:r w:rsidR="002B3CB2">
        <w:t>d</w:t>
      </w:r>
      <w:r>
        <w:t xml:space="preserve"> considerable heterogeneity in the prevalence estimates of depression and anxiety, </w:t>
      </w:r>
      <w:r w:rsidR="00037C26">
        <w:t xml:space="preserve">we </w:t>
      </w:r>
      <w:r w:rsidR="0075051A">
        <w:t>employ</w:t>
      </w:r>
      <w:r w:rsidR="002B3CB2">
        <w:t>ed</w:t>
      </w:r>
      <w:r w:rsidR="00037C26">
        <w:t xml:space="preserve"> </w:t>
      </w:r>
      <w:r w:rsidR="0078176F">
        <w:t xml:space="preserve">random-effects </w:t>
      </w:r>
      <w:r>
        <w:t>meta-regression analys</w:t>
      </w:r>
      <w:r w:rsidR="0078176F">
        <w:t>e</w:t>
      </w:r>
      <w:r>
        <w:t xml:space="preserve">s </w:t>
      </w:r>
      <w:r w:rsidR="009A79C1">
        <w:t xml:space="preserve">with the </w:t>
      </w:r>
      <w:proofErr w:type="spellStart"/>
      <w:r w:rsidR="009A79C1" w:rsidRPr="00790C05">
        <w:rPr>
          <w:i/>
        </w:rPr>
        <w:t>metareg</w:t>
      </w:r>
      <w:proofErr w:type="spellEnd"/>
      <w:r w:rsidR="009A79C1">
        <w:t xml:space="preserve"> command in Stata 15 </w:t>
      </w:r>
      <w:r>
        <w:t xml:space="preserve">to explore factors associated with variations </w:t>
      </w:r>
      <w:r w:rsidR="0075051A">
        <w:t xml:space="preserve">in prevalence estimates of CMD. </w:t>
      </w:r>
      <w:r w:rsidR="00B64B57">
        <w:rPr>
          <w:rFonts w:eastAsia="Times New Roman" w:cs="Arial"/>
          <w:color w:val="000000"/>
          <w:lang w:eastAsia="en-GB"/>
        </w:rPr>
        <w:t>Depending on the availa</w:t>
      </w:r>
      <w:r w:rsidR="002B3CB2">
        <w:rPr>
          <w:rFonts w:eastAsia="Times New Roman" w:cs="Arial"/>
          <w:color w:val="000000"/>
          <w:lang w:eastAsia="en-GB"/>
        </w:rPr>
        <w:t xml:space="preserve">bility of data, covariates </w:t>
      </w:r>
      <w:r w:rsidR="00B64B57">
        <w:rPr>
          <w:rFonts w:eastAsia="Times New Roman" w:cs="Arial"/>
          <w:color w:val="000000"/>
          <w:lang w:eastAsia="en-GB"/>
        </w:rPr>
        <w:t>include</w:t>
      </w:r>
      <w:r w:rsidR="002B3CB2">
        <w:rPr>
          <w:rFonts w:eastAsia="Times New Roman" w:cs="Arial"/>
          <w:color w:val="000000"/>
          <w:lang w:eastAsia="en-GB"/>
        </w:rPr>
        <w:t>d</w:t>
      </w:r>
      <w:r w:rsidR="00B64B57">
        <w:rPr>
          <w:rFonts w:eastAsia="Times New Roman" w:cs="Arial"/>
          <w:color w:val="000000"/>
          <w:lang w:eastAsia="en-GB"/>
        </w:rPr>
        <w:t xml:space="preserve"> year of publication (continuous variable), setting (hospital versus other), </w:t>
      </w:r>
      <w:r w:rsidR="00951DF7">
        <w:rPr>
          <w:rFonts w:eastAsia="Times New Roman" w:cs="Arial"/>
          <w:color w:val="000000"/>
          <w:lang w:eastAsia="en-GB"/>
        </w:rPr>
        <w:t xml:space="preserve">country, </w:t>
      </w:r>
      <w:r w:rsidR="0022110B">
        <w:rPr>
          <w:rFonts w:eastAsia="Times New Roman" w:cs="Arial"/>
          <w:color w:val="000000"/>
          <w:lang w:eastAsia="en-GB"/>
        </w:rPr>
        <w:t xml:space="preserve">CMD diagnostic tool </w:t>
      </w:r>
      <w:r w:rsidR="00B64B57">
        <w:rPr>
          <w:rFonts w:eastAsia="Times New Roman" w:cs="Arial"/>
          <w:color w:val="000000"/>
          <w:lang w:eastAsia="en-GB"/>
        </w:rPr>
        <w:t>(clinical assessment versus self- or interviewer-completed), and study quality (total score AXIS tool).</w:t>
      </w:r>
    </w:p>
    <w:p w14:paraId="3670DF8E" w14:textId="0EA791C3" w:rsidR="00AE646C" w:rsidRPr="00301425" w:rsidRDefault="00037C26">
      <w:r>
        <w:t xml:space="preserve">We </w:t>
      </w:r>
      <w:r w:rsidR="0075051A">
        <w:t>investigate</w:t>
      </w:r>
      <w:r w:rsidR="002B3CB2">
        <w:t>d</w:t>
      </w:r>
      <w:r>
        <w:t xml:space="preserve"> p</w:t>
      </w:r>
      <w:r w:rsidR="00AC551F">
        <w:t xml:space="preserve">ublication bias using funnel plots. </w:t>
      </w:r>
      <w:r w:rsidR="00AA3AA0" w:rsidRPr="00AA3AA0">
        <w:t xml:space="preserve">Where the number of studies </w:t>
      </w:r>
      <w:r w:rsidR="0075051A">
        <w:t>allow</w:t>
      </w:r>
      <w:r w:rsidR="002B3CB2">
        <w:t>ed</w:t>
      </w:r>
      <w:r w:rsidR="00EF06BA">
        <w:t xml:space="preserve"> for</w:t>
      </w:r>
      <w:r w:rsidR="0078176F">
        <w:t xml:space="preserve"> </w:t>
      </w:r>
      <w:r w:rsidR="00B43F1B">
        <w:t>it</w:t>
      </w:r>
      <w:r w:rsidR="00AA3AA0" w:rsidRPr="00AA3AA0">
        <w:t xml:space="preserve">, we </w:t>
      </w:r>
      <w:r w:rsidR="0078176F">
        <w:t>perform</w:t>
      </w:r>
      <w:r w:rsidR="002B3CB2">
        <w:t>ed</w:t>
      </w:r>
      <w:r w:rsidR="00AA3AA0" w:rsidRPr="00AA3AA0">
        <w:t xml:space="preserve"> sensitivity analyses</w:t>
      </w:r>
      <w:r w:rsidR="00B43F1B">
        <w:t xml:space="preserve"> of </w:t>
      </w:r>
      <w:r w:rsidR="00A8304A">
        <w:t>high-quality</w:t>
      </w:r>
      <w:r w:rsidR="00B43F1B">
        <w:t xml:space="preserve"> studies</w:t>
      </w:r>
      <w:r w:rsidR="004405C0">
        <w:t xml:space="preserve"> based on AXIS scores</w:t>
      </w:r>
      <w:r w:rsidR="00B43F1B">
        <w:t>.</w:t>
      </w:r>
      <w:r w:rsidR="00AA3AA0" w:rsidRPr="00AA3AA0">
        <w:t xml:space="preserve"> </w:t>
      </w:r>
      <w:r w:rsidR="00980EEC">
        <w:t>For this purpose, we categorise</w:t>
      </w:r>
      <w:r w:rsidR="002B3CB2">
        <w:t>d</w:t>
      </w:r>
      <w:r w:rsidR="00980EEC">
        <w:t xml:space="preserve"> studies with a quality score of 15 or higher (out of 20) as high</w:t>
      </w:r>
      <w:r w:rsidR="004405C0">
        <w:t xml:space="preserve"> overall</w:t>
      </w:r>
      <w:r w:rsidR="00980EEC">
        <w:t xml:space="preserve"> quality. </w:t>
      </w:r>
    </w:p>
    <w:p w14:paraId="233D094E" w14:textId="77777777" w:rsidR="00433E50" w:rsidRPr="001E6B13" w:rsidRDefault="00433E50" w:rsidP="001E6B13">
      <w:pPr>
        <w:pStyle w:val="Heading1"/>
        <w:rPr>
          <w:color w:val="auto"/>
        </w:rPr>
      </w:pPr>
      <w:r w:rsidRPr="001E6B13">
        <w:rPr>
          <w:color w:val="auto"/>
        </w:rPr>
        <w:t>Results</w:t>
      </w:r>
    </w:p>
    <w:p w14:paraId="779AAA15" w14:textId="77777777" w:rsidR="00433E50" w:rsidRPr="00764EF1" w:rsidRDefault="00AC551F" w:rsidP="001E6B13">
      <w:pPr>
        <w:pStyle w:val="Heading2"/>
      </w:pPr>
      <w:r w:rsidRPr="001E6B13">
        <w:rPr>
          <w:color w:val="auto"/>
        </w:rPr>
        <w:t>Study characteristics</w:t>
      </w:r>
    </w:p>
    <w:p w14:paraId="037BE30A" w14:textId="52BED9AC" w:rsidR="00E86884" w:rsidRDefault="00BF2108">
      <w:r>
        <w:t xml:space="preserve">Out of </w:t>
      </w:r>
      <w:r w:rsidR="00825D4F">
        <w:t>165</w:t>
      </w:r>
      <w:r w:rsidR="00B70BC6">
        <w:t>4</w:t>
      </w:r>
      <w:r w:rsidR="00825D4F">
        <w:t xml:space="preserve"> </w:t>
      </w:r>
      <w:r>
        <w:t xml:space="preserve">non-duplicate records identified, </w:t>
      </w:r>
      <w:r w:rsidR="00825D4F">
        <w:t>9</w:t>
      </w:r>
      <w:r w:rsidR="001F1FEF">
        <w:t>6</w:t>
      </w:r>
      <w:r>
        <w:t xml:space="preserve"> were inc</w:t>
      </w:r>
      <w:r w:rsidR="00037C26">
        <w:t xml:space="preserve">luded </w:t>
      </w:r>
      <w:r w:rsidR="001F1FEF">
        <w:t>in the review</w:t>
      </w:r>
      <w:r w:rsidR="0022110B">
        <w:t xml:space="preserve"> and 83 were included for meta-analyses</w:t>
      </w:r>
      <w:r w:rsidR="00037C26">
        <w:t xml:space="preserve"> (Figure 1). </w:t>
      </w:r>
      <w:r w:rsidR="00284BF0">
        <w:t xml:space="preserve">Appendix </w:t>
      </w:r>
      <w:r w:rsidR="00CA40D4">
        <w:t>S</w:t>
      </w:r>
      <w:r w:rsidR="002C6F5A">
        <w:t>2</w:t>
      </w:r>
      <w:r w:rsidR="00284BF0">
        <w:t xml:space="preserve"> in the </w:t>
      </w:r>
      <w:r w:rsidR="002C6F5A">
        <w:t>O</w:t>
      </w:r>
      <w:r w:rsidR="00CA40D4">
        <w:t xml:space="preserve">nline </w:t>
      </w:r>
      <w:r w:rsidR="002C6F5A">
        <w:t>S</w:t>
      </w:r>
      <w:r w:rsidR="00284BF0">
        <w:t xml:space="preserve">upplementary </w:t>
      </w:r>
      <w:r w:rsidR="002C6F5A">
        <w:t xml:space="preserve">Document </w:t>
      </w:r>
      <w:r w:rsidR="00284BF0">
        <w:t xml:space="preserve">contains a full reference list of all included studies. </w:t>
      </w:r>
    </w:p>
    <w:p w14:paraId="42C1B067" w14:textId="77777777" w:rsidR="00D020EF" w:rsidRDefault="00037C26">
      <w:r>
        <w:t>Table 1 describes c</w:t>
      </w:r>
      <w:r w:rsidR="00BF2108">
        <w:t xml:space="preserve">haracteristics of the included studies. </w:t>
      </w:r>
      <w:r w:rsidR="006A1FEE">
        <w:t>Almost all studies were conducted in a hospital setting (94%).</w:t>
      </w:r>
      <w:r w:rsidR="00BF2108">
        <w:t xml:space="preserve"> </w:t>
      </w:r>
      <w:r w:rsidR="00C60D4F">
        <w:t>Studies were predominantly conducted in India (</w:t>
      </w:r>
      <w:r w:rsidR="00D322E0">
        <w:t>63</w:t>
      </w:r>
      <w:r w:rsidR="00C60D4F">
        <w:t xml:space="preserve">%), and </w:t>
      </w:r>
      <w:r w:rsidR="008712BD">
        <w:t>most</w:t>
      </w:r>
      <w:r w:rsidR="00C60D4F">
        <w:t xml:space="preserve"> studies included patients with diabetes</w:t>
      </w:r>
      <w:r w:rsidR="00825D4F">
        <w:t xml:space="preserve"> (4</w:t>
      </w:r>
      <w:r w:rsidR="001F1FEF">
        <w:t>2</w:t>
      </w:r>
      <w:r w:rsidR="00825D4F">
        <w:t>%)</w:t>
      </w:r>
      <w:r w:rsidR="00C60D4F">
        <w:t>, cardiovascular disease</w:t>
      </w:r>
      <w:r w:rsidR="00825D4F">
        <w:t xml:space="preserve"> (</w:t>
      </w:r>
      <w:r w:rsidR="001F1FEF">
        <w:t>28</w:t>
      </w:r>
      <w:r w:rsidR="00825D4F">
        <w:t>%)</w:t>
      </w:r>
      <w:r w:rsidR="00EF06BA">
        <w:t>,</w:t>
      </w:r>
      <w:r w:rsidR="00C60D4F">
        <w:t xml:space="preserve"> or cancer</w:t>
      </w:r>
      <w:r w:rsidR="00825D4F">
        <w:t xml:space="preserve"> (2</w:t>
      </w:r>
      <w:r w:rsidR="001F1FEF">
        <w:t>4</w:t>
      </w:r>
      <w:r w:rsidR="00825D4F">
        <w:t>%)</w:t>
      </w:r>
      <w:r w:rsidR="00C60D4F">
        <w:t>. Depression was studied more commonly than anxiety</w:t>
      </w:r>
      <w:r w:rsidR="00C80FE8">
        <w:t xml:space="preserve"> (in 99% and 35% of studies, respectively)</w:t>
      </w:r>
      <w:r w:rsidR="00C60D4F">
        <w:t xml:space="preserve">, and the HADS </w:t>
      </w:r>
      <w:r w:rsidR="00C60D4F">
        <w:lastRenderedPageBreak/>
        <w:t xml:space="preserve">and PHQ-9 screening tools were most often used to screen for depression. </w:t>
      </w:r>
      <w:r w:rsidR="00BD0927">
        <w:t xml:space="preserve">Thirteen studies could not be included in the meta-analyses, most commonly because the authors </w:t>
      </w:r>
      <w:r w:rsidR="009E5DFC">
        <w:t>provided only a combined estimate</w:t>
      </w:r>
      <w:r w:rsidR="00BD0927">
        <w:t xml:space="preserve"> for depression and anxiety</w:t>
      </w:r>
      <w:r w:rsidR="009E5DFC">
        <w:t xml:space="preserve"> rather than separate estimates</w:t>
      </w:r>
      <w:r w:rsidR="00BD0927">
        <w:t xml:space="preserve">. </w:t>
      </w:r>
    </w:p>
    <w:p w14:paraId="1B993AFC" w14:textId="77777777" w:rsidR="00825162" w:rsidRDefault="00825162">
      <w:r>
        <w:t xml:space="preserve">We had initially planned to summarise evidence </w:t>
      </w:r>
      <w:r w:rsidR="004405C0">
        <w:t>n</w:t>
      </w:r>
      <w:r>
        <w:t>ot only</w:t>
      </w:r>
      <w:r w:rsidR="004405C0">
        <w:t xml:space="preserve"> for</w:t>
      </w:r>
      <w:r>
        <w:t xml:space="preserve"> the prevalence but also the determinants of CMDs in adults with NCDs, but the literature identified was too inconsistent to provide a comprehensive overview.</w:t>
      </w:r>
    </w:p>
    <w:p w14:paraId="607887AC" w14:textId="373C122E" w:rsidR="00C80FE8" w:rsidRDefault="00C80FE8"/>
    <w:p w14:paraId="2A281E8E" w14:textId="77777777" w:rsidR="000C3964" w:rsidRDefault="000C3964" w:rsidP="00BF2108">
      <w:r w:rsidRPr="000C3964">
        <w:rPr>
          <w:highlight w:val="yellow"/>
        </w:rPr>
        <w:t>FIGURE 1 HERE</w:t>
      </w:r>
    </w:p>
    <w:p w14:paraId="6028F511" w14:textId="77777777" w:rsidR="000C3964" w:rsidRDefault="000C3964" w:rsidP="00BF2108"/>
    <w:p w14:paraId="4276833E" w14:textId="77777777" w:rsidR="00110854" w:rsidRDefault="00000337">
      <w:pPr>
        <w:rPr>
          <w:rFonts w:ascii="Times New Roman" w:hAnsi="Times New Roman" w:cs="Times New Roman"/>
          <w:sz w:val="20"/>
        </w:rPr>
      </w:pPr>
      <w:r w:rsidRPr="00000337">
        <w:rPr>
          <w:rFonts w:ascii="Times New Roman" w:hAnsi="Times New Roman" w:cs="Times New Roman"/>
          <w:sz w:val="20"/>
          <w:highlight w:val="yellow"/>
        </w:rPr>
        <w:t>TABLE 1 HERE</w:t>
      </w:r>
    </w:p>
    <w:p w14:paraId="5795C70D" w14:textId="77777777" w:rsidR="00000337" w:rsidRPr="00000337" w:rsidRDefault="00000337">
      <w:pPr>
        <w:rPr>
          <w:rFonts w:ascii="Times New Roman" w:hAnsi="Times New Roman" w:cs="Times New Roman"/>
          <w:sz w:val="20"/>
        </w:rPr>
      </w:pPr>
    </w:p>
    <w:p w14:paraId="28021C49" w14:textId="77777777" w:rsidR="00AC551F" w:rsidRPr="001E6B13" w:rsidRDefault="00AC551F" w:rsidP="001E6B13">
      <w:pPr>
        <w:pStyle w:val="Heading2"/>
        <w:rPr>
          <w:color w:val="auto"/>
        </w:rPr>
      </w:pPr>
      <w:r w:rsidRPr="001E6B13">
        <w:rPr>
          <w:color w:val="auto"/>
        </w:rPr>
        <w:t>Quality assessment</w:t>
      </w:r>
      <w:r w:rsidR="00B463A2" w:rsidRPr="001E6B13">
        <w:rPr>
          <w:color w:val="auto"/>
        </w:rPr>
        <w:t xml:space="preserve">  </w:t>
      </w:r>
    </w:p>
    <w:p w14:paraId="7403D8D5" w14:textId="3E6EFEF6" w:rsidR="00303993" w:rsidRDefault="00037C26" w:rsidP="00502021">
      <w:r>
        <w:t>The results of the quality assessment</w:t>
      </w:r>
      <w:r w:rsidR="00527534">
        <w:t>, including all 96 studies,</w:t>
      </w:r>
      <w:r>
        <w:t xml:space="preserve"> are</w:t>
      </w:r>
      <w:r w:rsidR="00AF0842">
        <w:t xml:space="preserve"> </w:t>
      </w:r>
      <w:r w:rsidR="007B492C">
        <w:t xml:space="preserve">shown in </w:t>
      </w:r>
      <w:r w:rsidR="00527534">
        <w:t xml:space="preserve">summary in Figure 2, and in </w:t>
      </w:r>
      <w:r w:rsidR="007B492C">
        <w:t xml:space="preserve">full in </w:t>
      </w:r>
      <w:r w:rsidR="00970061">
        <w:t xml:space="preserve">Figure </w:t>
      </w:r>
      <w:r w:rsidR="00CA40D4">
        <w:t>S</w:t>
      </w:r>
      <w:r w:rsidR="002C6F5A">
        <w:t>1</w:t>
      </w:r>
      <w:r w:rsidR="00CA40D4">
        <w:t xml:space="preserve"> in the Online Supplementary Document</w:t>
      </w:r>
      <w:r w:rsidR="00AF0842">
        <w:t>.</w:t>
      </w:r>
      <w:r w:rsidR="00976019">
        <w:t xml:space="preserve"> The most commonly identified quality issues were the sample frame and selection process, the description of the methods and basic data, and </w:t>
      </w:r>
      <w:r w:rsidR="00070561">
        <w:t>the</w:t>
      </w:r>
      <w:r w:rsidR="00976019">
        <w:t xml:space="preserve"> description of non-responders. </w:t>
      </w:r>
    </w:p>
    <w:p w14:paraId="2C0FF093" w14:textId="235CBDC2" w:rsidR="00B35250" w:rsidRDefault="00AB0BAA" w:rsidP="00502021">
      <w:r>
        <w:t xml:space="preserve">The stated aims and objectives for many studies referred to plans to establish the prevalence of depression and/or anxiety in the population, with the population either undefined or defined in terms of geographical setting (mostly a country or region). However, the sample strategies described were often not adequate for achieving this goal. Although almost all studies were hospital-based, </w:t>
      </w:r>
      <w:r w:rsidR="00EF06BA">
        <w:t>study aims</w:t>
      </w:r>
      <w:r>
        <w:t xml:space="preserve"> often implied the prevalence rates found in the studies would be relevant to the wider community. </w:t>
      </w:r>
      <w:bookmarkStart w:id="1" w:name="_Hlk15027086"/>
      <w:r w:rsidR="00B35250">
        <w:t xml:space="preserve">The potential and plausible differences in mental health between people attending a hospital for treatment of an NCD and those not seen in hospital were rarely </w:t>
      </w:r>
      <w:r w:rsidR="00B93647">
        <w:t>considered</w:t>
      </w:r>
      <w:r w:rsidR="00B35250">
        <w:t xml:space="preserve">. </w:t>
      </w:r>
      <w:bookmarkEnd w:id="1"/>
    </w:p>
    <w:p w14:paraId="52A26C0C" w14:textId="15E27785" w:rsidR="00AB0BAA" w:rsidRDefault="00AB0BAA" w:rsidP="00502021">
      <w:r>
        <w:t xml:space="preserve">In addition, people with previously diagnosed anxiety or depression, or those receiving antidepressants, were excluded from </w:t>
      </w:r>
      <w:r w:rsidR="00EF06BA">
        <w:t xml:space="preserve">many </w:t>
      </w:r>
      <w:r>
        <w:t xml:space="preserve">studies </w:t>
      </w:r>
      <w:r w:rsidR="00EF06BA">
        <w:t>that</w:t>
      </w:r>
      <w:r>
        <w:t xml:space="preserve"> aimed to assess the prevalence of anxiety or depression in NCD populations. </w:t>
      </w:r>
    </w:p>
    <w:p w14:paraId="3C17EE30" w14:textId="77777777" w:rsidR="00502021" w:rsidRDefault="00070561" w:rsidP="00502021">
      <w:r>
        <w:t xml:space="preserve">Most studies did not mention how many people </w:t>
      </w:r>
      <w:r w:rsidR="004405C0">
        <w:t>were missing from the source population due to non-response</w:t>
      </w:r>
      <w:r>
        <w:t xml:space="preserve">, and almost none of the studies provided characteristics of these </w:t>
      </w:r>
      <w:r w:rsidR="004405C0">
        <w:t>people</w:t>
      </w:r>
      <w:r>
        <w:t xml:space="preserve">. </w:t>
      </w:r>
      <w:r w:rsidR="00303993">
        <w:t>Very few authors reported they had calculated the required sample size ahead of conducting the study.</w:t>
      </w:r>
      <w:r w:rsidR="00AB0BAA">
        <w:t xml:space="preserve"> Reporting of potential conflicts of interest and confirmation of obtained ethical consent were absent or unclear in 27% of the studies.</w:t>
      </w:r>
    </w:p>
    <w:p w14:paraId="55A3FC6C" w14:textId="77777777" w:rsidR="00527534" w:rsidRPr="007C264C" w:rsidRDefault="00527534" w:rsidP="00527534">
      <w:r w:rsidRPr="008960CB">
        <w:rPr>
          <w:noProof/>
          <w:highlight w:val="yellow"/>
          <w:lang w:eastAsia="en-GB"/>
        </w:rPr>
        <w:t xml:space="preserve">FIGURE </w:t>
      </w:r>
      <w:r>
        <w:rPr>
          <w:noProof/>
          <w:highlight w:val="yellow"/>
          <w:lang w:eastAsia="en-GB"/>
        </w:rPr>
        <w:t>2</w:t>
      </w:r>
      <w:r w:rsidRPr="008960CB">
        <w:rPr>
          <w:noProof/>
          <w:highlight w:val="yellow"/>
          <w:lang w:eastAsia="en-GB"/>
        </w:rPr>
        <w:t xml:space="preserve"> HERE</w:t>
      </w:r>
    </w:p>
    <w:p w14:paraId="0F179F1E" w14:textId="77777777" w:rsidR="00527534" w:rsidRDefault="00527534" w:rsidP="00AA617C">
      <w:pPr>
        <w:rPr>
          <w:b/>
        </w:rPr>
      </w:pPr>
    </w:p>
    <w:p w14:paraId="183FFA3F" w14:textId="77777777" w:rsidR="00BD0927" w:rsidRPr="001E6B13" w:rsidRDefault="00AC551F" w:rsidP="001E6B13">
      <w:pPr>
        <w:pStyle w:val="Heading2"/>
        <w:rPr>
          <w:color w:val="auto"/>
        </w:rPr>
      </w:pPr>
      <w:r w:rsidRPr="001E6B13">
        <w:rPr>
          <w:color w:val="auto"/>
        </w:rPr>
        <w:t xml:space="preserve">Meta-analysis </w:t>
      </w:r>
    </w:p>
    <w:p w14:paraId="69700D23" w14:textId="77777777" w:rsidR="00A009A1" w:rsidRDefault="00A009A1" w:rsidP="00AA617C">
      <w:r>
        <w:t xml:space="preserve">Eighty-three studies were included in the meta-analyses, providing 94 estimates of depression or anxiety. Some studies provided multiple estimates because they were conducted in various countries, </w:t>
      </w:r>
      <w:r w:rsidR="00EF06BA">
        <w:t xml:space="preserve">because they </w:t>
      </w:r>
      <w:r>
        <w:t xml:space="preserve">reported on depression as well as anxiety, or </w:t>
      </w:r>
      <w:r w:rsidR="00EF06BA">
        <w:t xml:space="preserve">because they </w:t>
      </w:r>
      <w:r>
        <w:t>included various NCD patient groups.</w:t>
      </w:r>
      <w:r w:rsidR="00567169">
        <w:t xml:space="preserve"> Of the estimates for depression, </w:t>
      </w:r>
      <w:r w:rsidR="0000367A">
        <w:t>six</w:t>
      </w:r>
      <w:r w:rsidR="00567169">
        <w:t xml:space="preserve"> were from Bangladesh, 2</w:t>
      </w:r>
      <w:r w:rsidR="0000367A">
        <w:t>4</w:t>
      </w:r>
      <w:r w:rsidR="00567169">
        <w:t xml:space="preserve"> were from Pakistan and 64 from India. Of the estimates for anxiety, there we</w:t>
      </w:r>
      <w:r w:rsidR="0000367A">
        <w:t>re no estimates from Bangladesh, five from Pakistan, and</w:t>
      </w:r>
      <w:r w:rsidR="00567169">
        <w:t xml:space="preserve"> </w:t>
      </w:r>
      <w:r w:rsidR="0000367A">
        <w:t>23 from India.</w:t>
      </w:r>
    </w:p>
    <w:p w14:paraId="0AB4F825" w14:textId="77777777" w:rsidR="009F364D" w:rsidRPr="004F467D" w:rsidRDefault="004F467D" w:rsidP="00AA617C">
      <w:r>
        <w:lastRenderedPageBreak/>
        <w:t xml:space="preserve">The pooled prevalence of depression from </w:t>
      </w:r>
      <w:r w:rsidR="00E7113B">
        <w:t>94 estimates is</w:t>
      </w:r>
      <w:r w:rsidRPr="00783947">
        <w:t xml:space="preserve"> </w:t>
      </w:r>
      <w:r w:rsidRPr="00E7113B">
        <w:t>4</w:t>
      </w:r>
      <w:r w:rsidR="00E7113B" w:rsidRPr="00E7113B">
        <w:t>1</w:t>
      </w:r>
      <w:r w:rsidRPr="00E7113B">
        <w:t xml:space="preserve">% (95% CI </w:t>
      </w:r>
      <w:r w:rsidR="00E7113B" w:rsidRPr="00E7113B">
        <w:t>37</w:t>
      </w:r>
      <w:r w:rsidR="008B6E5F">
        <w:t xml:space="preserve"> to</w:t>
      </w:r>
      <w:r w:rsidRPr="00E7113B">
        <w:t xml:space="preserve"> </w:t>
      </w:r>
      <w:r w:rsidR="00E7113B" w:rsidRPr="00E7113B">
        <w:t>44</w:t>
      </w:r>
      <w:r w:rsidRPr="00E7113B">
        <w:t>, I</w:t>
      </w:r>
      <w:r w:rsidRPr="00E7113B">
        <w:rPr>
          <w:vertAlign w:val="superscript"/>
        </w:rPr>
        <w:t>2</w:t>
      </w:r>
      <w:r w:rsidRPr="00E7113B">
        <w:t>=9</w:t>
      </w:r>
      <w:r w:rsidR="00E7113B" w:rsidRPr="00E7113B">
        <w:t>7</w:t>
      </w:r>
      <w:r w:rsidRPr="00E7113B">
        <w:t>%)</w:t>
      </w:r>
      <w:r w:rsidR="00E7113B">
        <w:t>.</w:t>
      </w:r>
      <w:r>
        <w:t xml:space="preserve"> Twenty-eight studies provided data on the prevalence of anxiety, </w:t>
      </w:r>
      <w:r w:rsidR="0024352D">
        <w:t>with</w:t>
      </w:r>
      <w:r>
        <w:t xml:space="preserve"> a pooled estimate of 29% (95% CI </w:t>
      </w:r>
      <w:r w:rsidR="00E7113B">
        <w:t>22</w:t>
      </w:r>
      <w:r w:rsidR="008B6E5F">
        <w:t xml:space="preserve"> to </w:t>
      </w:r>
      <w:r w:rsidR="00E7113B">
        <w:t>36</w:t>
      </w:r>
      <w:r>
        <w:t>, I</w:t>
      </w:r>
      <w:r>
        <w:rPr>
          <w:vertAlign w:val="superscript"/>
        </w:rPr>
        <w:t>2</w:t>
      </w:r>
      <w:r>
        <w:t>=</w:t>
      </w:r>
      <w:r w:rsidR="00B15C5D">
        <w:t>96%)</w:t>
      </w:r>
      <w:r w:rsidR="00E7113B">
        <w:t>.</w:t>
      </w:r>
    </w:p>
    <w:p w14:paraId="5BA063A7" w14:textId="77777777" w:rsidR="00066376" w:rsidRDefault="00066376" w:rsidP="00AA617C">
      <w:r>
        <w:t>Patients with diabetes</w:t>
      </w:r>
    </w:p>
    <w:p w14:paraId="331BF10F" w14:textId="77777777" w:rsidR="009F364D" w:rsidRDefault="00810333" w:rsidP="00AA617C">
      <w:r>
        <w:t>The pooled prevalence of depression from 4</w:t>
      </w:r>
      <w:r w:rsidR="00E7113B">
        <w:t>3</w:t>
      </w:r>
      <w:r>
        <w:t xml:space="preserve"> estimates in 41 studies of patients with diabetes is </w:t>
      </w:r>
      <w:r w:rsidR="00E7113B">
        <w:t>40</w:t>
      </w:r>
      <w:r>
        <w:t>% (95% CI 34</w:t>
      </w:r>
      <w:r w:rsidR="008B6E5F">
        <w:t xml:space="preserve"> to</w:t>
      </w:r>
      <w:r>
        <w:t xml:space="preserve"> 45) (Figure </w:t>
      </w:r>
      <w:r w:rsidR="00527534">
        <w:t>3</w:t>
      </w:r>
      <w:r>
        <w:t xml:space="preserve">). </w:t>
      </w:r>
    </w:p>
    <w:p w14:paraId="03B79335" w14:textId="107AF06E" w:rsidR="00672237" w:rsidRDefault="0068713A" w:rsidP="00AA617C">
      <w:r>
        <w:t>Heterogeneity was extremely high (I</w:t>
      </w:r>
      <w:r>
        <w:rPr>
          <w:vertAlign w:val="superscript"/>
        </w:rPr>
        <w:t>2</w:t>
      </w:r>
      <w:r>
        <w:t xml:space="preserve"> 9</w:t>
      </w:r>
      <w:r w:rsidR="00810333">
        <w:t>7</w:t>
      </w:r>
      <w:r>
        <w:t xml:space="preserve">%), with prevalence rates </w:t>
      </w:r>
      <w:r w:rsidR="00810333">
        <w:t xml:space="preserve">ranging </w:t>
      </w:r>
      <w:r>
        <w:t xml:space="preserve">between 2% and 84%. </w:t>
      </w:r>
      <w:r w:rsidR="00672237">
        <w:t xml:space="preserve">For the smaller group of studies not from India, estimates ranged between 16% and 62% for patients with diabetes and depression in Bangladesh, and between 15% and 74% in Pakistan. </w:t>
      </w:r>
    </w:p>
    <w:p w14:paraId="4B649E0E" w14:textId="57C3231D" w:rsidR="00672237" w:rsidRDefault="007C264C" w:rsidP="00672237">
      <w:r>
        <w:t xml:space="preserve">The pooled prevalence of anxiety in </w:t>
      </w:r>
      <w:r w:rsidR="00C80398">
        <w:t>eight</w:t>
      </w:r>
      <w:r>
        <w:t xml:space="preserve"> studies of patients with diabetes is </w:t>
      </w:r>
      <w:r w:rsidR="00810333">
        <w:t>29</w:t>
      </w:r>
      <w:r>
        <w:t>% (</w:t>
      </w:r>
      <w:r w:rsidR="00810333">
        <w:t>95% CI 16</w:t>
      </w:r>
      <w:r w:rsidR="008B6E5F">
        <w:t xml:space="preserve"> to</w:t>
      </w:r>
      <w:r>
        <w:t xml:space="preserve"> 4</w:t>
      </w:r>
      <w:r w:rsidR="00810333">
        <w:t>4, I</w:t>
      </w:r>
      <w:r w:rsidR="00810333">
        <w:rPr>
          <w:vertAlign w:val="superscript"/>
        </w:rPr>
        <w:t>2</w:t>
      </w:r>
      <w:r w:rsidR="00810333">
        <w:t xml:space="preserve"> 97%</w:t>
      </w:r>
      <w:r>
        <w:t>)</w:t>
      </w:r>
      <w:r w:rsidR="0068713A">
        <w:t>.</w:t>
      </w:r>
      <w:r w:rsidR="00672237">
        <w:t xml:space="preserve"> All but two estimates were from India; two studies from Pakistan reported estimates of 12% and 58% for anxiety in patients with diabetes [</w:t>
      </w:r>
      <w:r w:rsidR="00330C47">
        <w:t>20, 21].</w:t>
      </w:r>
    </w:p>
    <w:p w14:paraId="3C94C8A9" w14:textId="77777777" w:rsidR="001000A1" w:rsidRDefault="001000A1" w:rsidP="00AA617C">
      <w:pPr>
        <w:rPr>
          <w:rFonts w:ascii="Times New Roman" w:hAnsi="Times New Roman" w:cs="Times New Roman"/>
          <w:b/>
          <w:sz w:val="20"/>
        </w:rPr>
      </w:pPr>
    </w:p>
    <w:p w14:paraId="43436EA9" w14:textId="6DBAAC6F" w:rsidR="001000A1" w:rsidRPr="001000A1" w:rsidRDefault="008960CB" w:rsidP="00810333">
      <w:r w:rsidRPr="008960CB">
        <w:rPr>
          <w:noProof/>
          <w:highlight w:val="yellow"/>
          <w:lang w:eastAsia="en-GB"/>
        </w:rPr>
        <w:t xml:space="preserve">FIGURE </w:t>
      </w:r>
      <w:r w:rsidR="00030A69">
        <w:rPr>
          <w:noProof/>
          <w:highlight w:val="yellow"/>
          <w:lang w:eastAsia="en-GB"/>
        </w:rPr>
        <w:t>3</w:t>
      </w:r>
      <w:r w:rsidRPr="008960CB">
        <w:rPr>
          <w:noProof/>
          <w:highlight w:val="yellow"/>
          <w:lang w:eastAsia="en-GB"/>
        </w:rPr>
        <w:t xml:space="preserve"> HERE</w:t>
      </w:r>
    </w:p>
    <w:p w14:paraId="49D2A89C" w14:textId="77777777" w:rsidR="00810333" w:rsidRDefault="00810333"/>
    <w:p w14:paraId="319B4FD9" w14:textId="77777777" w:rsidR="007C264C" w:rsidRPr="001E6B13" w:rsidRDefault="007C264C" w:rsidP="001E6B13">
      <w:pPr>
        <w:pStyle w:val="Heading3"/>
        <w:rPr>
          <w:color w:val="auto"/>
        </w:rPr>
      </w:pPr>
      <w:r w:rsidRPr="001E6B13">
        <w:rPr>
          <w:color w:val="auto"/>
        </w:rPr>
        <w:t>Patients with cancer or cancer survivors</w:t>
      </w:r>
    </w:p>
    <w:p w14:paraId="2E53163E" w14:textId="48EC0957" w:rsidR="00C70185" w:rsidRDefault="00E87412" w:rsidP="00AA617C">
      <w:r>
        <w:t>Nineteen</w:t>
      </w:r>
      <w:r w:rsidR="00C70185">
        <w:t xml:space="preserve"> studies reported prevalence rates of patients with cancer or cancer survivors. Many studies included patients seen at inpatient or outpatient units with all types of cancer, while three studies focussed on a specific type of cancer: head and neck cancer, </w:t>
      </w:r>
      <w:r w:rsidR="007D024A">
        <w:t>prostate-</w:t>
      </w:r>
      <w:r w:rsidR="00C70185">
        <w:t xml:space="preserve"> and breast cancer</w:t>
      </w:r>
      <w:r w:rsidR="00DB3D24">
        <w:t xml:space="preserve"> </w:t>
      </w:r>
      <w:r w:rsidR="00DB3D24" w:rsidRPr="00DB3D24">
        <w:t>[</w:t>
      </w:r>
      <w:r w:rsidR="00330C47" w:rsidRPr="00DD21F1">
        <w:t>2</w:t>
      </w:r>
      <w:r w:rsidR="00330C47">
        <w:t>2</w:t>
      </w:r>
      <w:r w:rsidR="007D024A" w:rsidRPr="00DD21F1">
        <w:t>-</w:t>
      </w:r>
      <w:r w:rsidR="00330C47" w:rsidRPr="00DD21F1">
        <w:t>2</w:t>
      </w:r>
      <w:r w:rsidR="00330C47">
        <w:t>4</w:t>
      </w:r>
      <w:r w:rsidR="00DB3D24" w:rsidRPr="00DD21F1">
        <w:t>].</w:t>
      </w:r>
      <w:r w:rsidR="00C70185" w:rsidRPr="00DB3D24">
        <w:t xml:space="preserve"> </w:t>
      </w:r>
      <w:r w:rsidR="00C70185">
        <w:t xml:space="preserve">The pooled prevalence of depression in these studies of patients with cancer </w:t>
      </w:r>
      <w:r w:rsidR="00070561">
        <w:t>was</w:t>
      </w:r>
      <w:r w:rsidR="00C70185">
        <w:t xml:space="preserve"> </w:t>
      </w:r>
      <w:r w:rsidR="00131B4E">
        <w:t>3</w:t>
      </w:r>
      <w:r>
        <w:t>7</w:t>
      </w:r>
      <w:r w:rsidR="00C70185">
        <w:t>% (95% CI 3</w:t>
      </w:r>
      <w:r>
        <w:t>0</w:t>
      </w:r>
      <w:r w:rsidR="008B6E5F">
        <w:t xml:space="preserve"> to</w:t>
      </w:r>
      <w:r w:rsidR="00C70185">
        <w:t xml:space="preserve"> </w:t>
      </w:r>
      <w:r w:rsidR="00131B4E">
        <w:t>4</w:t>
      </w:r>
      <w:r w:rsidR="0045012A">
        <w:t>5</w:t>
      </w:r>
      <w:r>
        <w:t>, I</w:t>
      </w:r>
      <w:r>
        <w:rPr>
          <w:vertAlign w:val="superscript"/>
        </w:rPr>
        <w:t>2</w:t>
      </w:r>
      <w:r>
        <w:t xml:space="preserve"> 94%) </w:t>
      </w:r>
      <w:r w:rsidR="00C70185">
        <w:t xml:space="preserve">(Figure </w:t>
      </w:r>
      <w:r w:rsidR="00527534">
        <w:t>4</w:t>
      </w:r>
      <w:r w:rsidR="0068713A">
        <w:t>).</w:t>
      </w:r>
      <w:r w:rsidR="00C70185">
        <w:t xml:space="preserve"> </w:t>
      </w:r>
      <w:r w:rsidR="00672237">
        <w:t>All but four estimates were from India; four studies from Pakistan reported depression prevalence rates between 10% and 65% for people with cancer.</w:t>
      </w:r>
    </w:p>
    <w:p w14:paraId="66194586" w14:textId="7B0D1B76" w:rsidR="00672237" w:rsidRDefault="00E87412" w:rsidP="00672237">
      <w:r>
        <w:t>Eleven</w:t>
      </w:r>
      <w:r w:rsidR="00B748B8">
        <w:t xml:space="preserve"> of the studies </w:t>
      </w:r>
      <w:r w:rsidR="001C0917">
        <w:t>that</w:t>
      </w:r>
      <w:r w:rsidR="00B748B8">
        <w:t xml:space="preserve"> reported on prevalence of depression also reported on the prevalence of anxiety. Pooling the studies resulted in a combined estimate of </w:t>
      </w:r>
      <w:r>
        <w:t>27</w:t>
      </w:r>
      <w:r w:rsidR="00B748B8">
        <w:t>% (</w:t>
      </w:r>
      <w:r w:rsidR="008E08B4">
        <w:t xml:space="preserve">95% CI </w:t>
      </w:r>
      <w:r w:rsidR="00B748B8">
        <w:t>1</w:t>
      </w:r>
      <w:r w:rsidR="00FB5043">
        <w:t>6</w:t>
      </w:r>
      <w:r w:rsidR="008B6E5F">
        <w:t xml:space="preserve"> to</w:t>
      </w:r>
      <w:r w:rsidR="00B748B8">
        <w:t xml:space="preserve"> 4</w:t>
      </w:r>
      <w:r>
        <w:t>0</w:t>
      </w:r>
      <w:r w:rsidR="008E08B4">
        <w:t>, I</w:t>
      </w:r>
      <w:r w:rsidR="008E08B4">
        <w:rPr>
          <w:vertAlign w:val="superscript"/>
        </w:rPr>
        <w:t>2</w:t>
      </w:r>
      <w:r w:rsidR="008E08B4">
        <w:t xml:space="preserve"> 97%</w:t>
      </w:r>
      <w:r w:rsidR="00B748B8">
        <w:t>)</w:t>
      </w:r>
      <w:r>
        <w:t>.</w:t>
      </w:r>
      <w:r w:rsidR="00330C47">
        <w:t xml:space="preserve"> Two studies were from Pakistan rather than India; these reported prevalence rates of 33% and 23</w:t>
      </w:r>
      <w:proofErr w:type="gramStart"/>
      <w:r w:rsidR="00330C47">
        <w:t xml:space="preserve">% </w:t>
      </w:r>
      <w:r w:rsidR="00672237">
        <w:t xml:space="preserve"> </w:t>
      </w:r>
      <w:r w:rsidR="00330C47">
        <w:t>[</w:t>
      </w:r>
      <w:proofErr w:type="gramEnd"/>
      <w:r w:rsidR="00330C47">
        <w:t>25,</w:t>
      </w:r>
      <w:r w:rsidR="00B63BF3">
        <w:t xml:space="preserve"> </w:t>
      </w:r>
      <w:r w:rsidR="00330C47">
        <w:t>26].</w:t>
      </w:r>
    </w:p>
    <w:p w14:paraId="5B34A440" w14:textId="0FDE92A5" w:rsidR="00131B4E" w:rsidRPr="000C3964" w:rsidRDefault="00131B4E" w:rsidP="00AA617C">
      <w:pPr>
        <w:rPr>
          <w:rFonts w:ascii="Times New Roman" w:hAnsi="Times New Roman" w:cs="Times New Roman"/>
          <w:b/>
          <w:sz w:val="20"/>
        </w:rPr>
      </w:pPr>
    </w:p>
    <w:p w14:paraId="0D8E1055" w14:textId="5B4F8633" w:rsidR="008960CB" w:rsidRPr="007C264C" w:rsidRDefault="008960CB" w:rsidP="008960CB">
      <w:r w:rsidRPr="008960CB">
        <w:rPr>
          <w:noProof/>
          <w:highlight w:val="yellow"/>
          <w:lang w:eastAsia="en-GB"/>
        </w:rPr>
        <w:t xml:space="preserve">FIGURE </w:t>
      </w:r>
      <w:r w:rsidR="00030A69">
        <w:rPr>
          <w:noProof/>
          <w:highlight w:val="yellow"/>
          <w:lang w:eastAsia="en-GB"/>
        </w:rPr>
        <w:t>4</w:t>
      </w:r>
      <w:r w:rsidRPr="008960CB">
        <w:rPr>
          <w:noProof/>
          <w:highlight w:val="yellow"/>
          <w:lang w:eastAsia="en-GB"/>
        </w:rPr>
        <w:t xml:space="preserve"> HERE</w:t>
      </w:r>
    </w:p>
    <w:p w14:paraId="1E1541A1" w14:textId="77777777" w:rsidR="00D353D1" w:rsidRDefault="00D353D1" w:rsidP="00AA617C"/>
    <w:p w14:paraId="30839288" w14:textId="77777777" w:rsidR="007C264C" w:rsidRPr="001E6B13" w:rsidRDefault="007C264C" w:rsidP="001E6B13">
      <w:pPr>
        <w:pStyle w:val="Heading3"/>
        <w:rPr>
          <w:color w:val="auto"/>
        </w:rPr>
      </w:pPr>
      <w:r w:rsidRPr="001E6B13">
        <w:rPr>
          <w:color w:val="auto"/>
        </w:rPr>
        <w:t>Patients with cardiovascular disease</w:t>
      </w:r>
    </w:p>
    <w:p w14:paraId="42994B77" w14:textId="0B9640EA" w:rsidR="00E25E95" w:rsidRDefault="00EC0ABF" w:rsidP="00E25E95">
      <w:r>
        <w:t>The 2</w:t>
      </w:r>
      <w:r w:rsidR="004A1595">
        <w:t>4</w:t>
      </w:r>
      <w:r w:rsidR="00B748B8">
        <w:t xml:space="preserve"> studies of CMD in patients with cardiovascular disease included studies of patients with angina (n=1), unspecified cardiovascular or cardiac disease (n=</w:t>
      </w:r>
      <w:r w:rsidR="004A1595">
        <w:t>5</w:t>
      </w:r>
      <w:r w:rsidR="00B748B8">
        <w:t>), heart failure (n=2), hypertension (n=4), stroke (n=6), coronary artery disease (n=</w:t>
      </w:r>
      <w:r w:rsidR="004A1595">
        <w:t>5</w:t>
      </w:r>
      <w:r w:rsidR="00B748B8">
        <w:t>)</w:t>
      </w:r>
      <w:r w:rsidR="004727A0">
        <w:t>, and myocardial infarction (n=1)</w:t>
      </w:r>
      <w:r w:rsidR="00B748B8">
        <w:t xml:space="preserve">. </w:t>
      </w:r>
      <w:bookmarkStart w:id="2" w:name="_Hlk15027496"/>
      <w:r w:rsidR="001C0917">
        <w:t>We p</w:t>
      </w:r>
      <w:r w:rsidR="00B93647">
        <w:t>er</w:t>
      </w:r>
      <w:r w:rsidR="001C0917">
        <w:t>formed m</w:t>
      </w:r>
      <w:r w:rsidR="00E25E95">
        <w:t xml:space="preserve">eta-analyses for </w:t>
      </w:r>
      <w:r w:rsidR="00B93647">
        <w:t>hypertension and stroke, as these were considered the two most homogenous chronic illness groups</w:t>
      </w:r>
      <w:r w:rsidR="00087D85">
        <w:t>. Both groups consisted of patients with the same diagnosis, contrary to the other groups comprising more than one study, in which the type of diagnosis and assessment varied</w:t>
      </w:r>
      <w:bookmarkEnd w:id="2"/>
      <w:r w:rsidR="00330C47">
        <w:t xml:space="preserve"> </w:t>
      </w:r>
      <w:r w:rsidR="004A1595">
        <w:t>T</w:t>
      </w:r>
      <w:r w:rsidR="00E25E95">
        <w:t xml:space="preserve">he </w:t>
      </w:r>
      <w:r w:rsidR="004A1595">
        <w:t xml:space="preserve">pooled </w:t>
      </w:r>
      <w:r w:rsidR="00E25E95">
        <w:t xml:space="preserve">prevalence of depression in patients with hypertension </w:t>
      </w:r>
      <w:r w:rsidR="004A1595">
        <w:t>was 38% (95% CI 32</w:t>
      </w:r>
      <w:r w:rsidR="008B6E5F">
        <w:t xml:space="preserve"> to</w:t>
      </w:r>
      <w:r w:rsidR="004A1595">
        <w:t xml:space="preserve"> 45, I</w:t>
      </w:r>
      <w:r w:rsidR="004A1595">
        <w:rPr>
          <w:vertAlign w:val="superscript"/>
        </w:rPr>
        <w:t>2</w:t>
      </w:r>
      <w:r w:rsidR="004A1595">
        <w:t xml:space="preserve">=91%) and the pooled prevalence of depression in patients with a previous stroke was </w:t>
      </w:r>
      <w:r w:rsidR="00AD6116">
        <w:t>39% (95% CI 23</w:t>
      </w:r>
      <w:r w:rsidR="008B6E5F">
        <w:t xml:space="preserve"> to</w:t>
      </w:r>
      <w:r w:rsidR="00AD6116">
        <w:t xml:space="preserve"> 56, I</w:t>
      </w:r>
      <w:r w:rsidR="00AD6116">
        <w:rPr>
          <w:vertAlign w:val="superscript"/>
        </w:rPr>
        <w:t>2</w:t>
      </w:r>
      <w:r w:rsidR="00AD6116">
        <w:t xml:space="preserve">=96%). </w:t>
      </w:r>
    </w:p>
    <w:p w14:paraId="3C43DA0C" w14:textId="1CE2D85A" w:rsidR="00330C47" w:rsidRPr="00AD6116" w:rsidRDefault="00330C47" w:rsidP="00E25E95">
      <w:r>
        <w:lastRenderedPageBreak/>
        <w:t xml:space="preserve">The reported prevalence of anxiety, which was estimated in patients with stroke, coronary artery disease, myocardial infarction, and unspecified heart disease, ranged from 3% to 58%. </w:t>
      </w:r>
    </w:p>
    <w:p w14:paraId="0DF0E8D4" w14:textId="77777777" w:rsidR="007C264C" w:rsidRPr="001E6B13" w:rsidRDefault="007C264C" w:rsidP="001E6B13">
      <w:pPr>
        <w:pStyle w:val="Heading3"/>
        <w:rPr>
          <w:color w:val="auto"/>
        </w:rPr>
      </w:pPr>
      <w:r w:rsidRPr="001E6B13">
        <w:rPr>
          <w:color w:val="auto"/>
        </w:rPr>
        <w:t>Patients with chronic respiratory conditions</w:t>
      </w:r>
    </w:p>
    <w:p w14:paraId="6E20C343" w14:textId="58F7D8A6" w:rsidR="00675B55" w:rsidRPr="00675B55" w:rsidRDefault="0045012A" w:rsidP="00AA617C">
      <w:r>
        <w:t>Seven</w:t>
      </w:r>
      <w:r w:rsidR="00675B55">
        <w:t xml:space="preserve"> studies</w:t>
      </w:r>
      <w:r w:rsidR="00330C47">
        <w:t>, six from India and one from Pakistan,</w:t>
      </w:r>
      <w:r w:rsidR="00247858">
        <w:t xml:space="preserve"> </w:t>
      </w:r>
      <w:r w:rsidR="00676C9B">
        <w:t xml:space="preserve">reported on the prevalence of CMD in patients with chronic respiratory conditions. One of these </w:t>
      </w:r>
      <w:r w:rsidR="00070561">
        <w:t xml:space="preserve">studies </w:t>
      </w:r>
      <w:r w:rsidR="00676C9B">
        <w:t>measured a prevalence of depression of 30% in patients with bronchial asthma</w:t>
      </w:r>
      <w:r w:rsidR="00376B7B">
        <w:t xml:space="preserve"> [</w:t>
      </w:r>
      <w:r w:rsidR="00AB4571" w:rsidRPr="00376B7B">
        <w:t>2</w:t>
      </w:r>
      <w:r w:rsidR="00AB4571">
        <w:t>7</w:t>
      </w:r>
      <w:r w:rsidR="00376B7B" w:rsidRPr="00376B7B">
        <w:t>],</w:t>
      </w:r>
      <w:r w:rsidR="00676C9B">
        <w:t xml:space="preserve"> </w:t>
      </w:r>
      <w:r w:rsidR="008D2E04">
        <w:t>one reported 1</w:t>
      </w:r>
      <w:r w:rsidR="001C0917">
        <w:t>9</w:t>
      </w:r>
      <w:r w:rsidR="008D2E04">
        <w:t>% anxiety among 59 patients with COPD</w:t>
      </w:r>
      <w:r w:rsidR="00376B7B">
        <w:t xml:space="preserve"> [</w:t>
      </w:r>
      <w:r w:rsidR="00AB4571" w:rsidRPr="00376B7B">
        <w:t>2</w:t>
      </w:r>
      <w:r w:rsidR="00AB4571">
        <w:t>8</w:t>
      </w:r>
      <w:r w:rsidR="00376B7B" w:rsidRPr="00376B7B">
        <w:t>],</w:t>
      </w:r>
      <w:r w:rsidR="008D2E04">
        <w:t xml:space="preserve"> </w:t>
      </w:r>
      <w:r w:rsidR="00675B55">
        <w:t xml:space="preserve">and </w:t>
      </w:r>
      <w:r>
        <w:t>six</w:t>
      </w:r>
      <w:r w:rsidR="00675B55">
        <w:t xml:space="preserve"> reported on the prevalence of depression in patients with COPD (Figure</w:t>
      </w:r>
      <w:r w:rsidR="00807F7C">
        <w:t xml:space="preserve"> </w:t>
      </w:r>
      <w:r w:rsidR="00527534">
        <w:t>5</w:t>
      </w:r>
      <w:r w:rsidR="00675B55">
        <w:t>) (pooled estim</w:t>
      </w:r>
      <w:r>
        <w:t>ate 44%, 95% CI 26</w:t>
      </w:r>
      <w:r w:rsidR="008B6E5F">
        <w:t xml:space="preserve"> to</w:t>
      </w:r>
      <w:r>
        <w:t xml:space="preserve"> 62</w:t>
      </w:r>
      <w:r w:rsidR="00675B55">
        <w:t>, I</w:t>
      </w:r>
      <w:r w:rsidR="00675B55">
        <w:rPr>
          <w:vertAlign w:val="superscript"/>
        </w:rPr>
        <w:t>2</w:t>
      </w:r>
      <w:r>
        <w:t xml:space="preserve"> 95</w:t>
      </w:r>
      <w:r w:rsidR="00675B55">
        <w:t xml:space="preserve">%). </w:t>
      </w:r>
      <w:r w:rsidR="00330C47">
        <w:t xml:space="preserve">The study of depression in patients with COPD from Pakistan reported a prevalence of 15% </w:t>
      </w:r>
      <w:r w:rsidR="00AB4571">
        <w:t>[29].</w:t>
      </w:r>
    </w:p>
    <w:p w14:paraId="79EFCEA8" w14:textId="77777777" w:rsidR="00703BB7" w:rsidRDefault="00703BB7"/>
    <w:p w14:paraId="2E56D2FC" w14:textId="2FA6E3E4" w:rsidR="00672237" w:rsidRDefault="0045012A">
      <w:pPr>
        <w:rPr>
          <w:b/>
        </w:rPr>
      </w:pPr>
      <w:r w:rsidRPr="008960CB">
        <w:rPr>
          <w:noProof/>
          <w:highlight w:val="yellow"/>
          <w:lang w:eastAsia="en-GB"/>
        </w:rPr>
        <w:t xml:space="preserve">FIGURE </w:t>
      </w:r>
      <w:r w:rsidR="00030A69">
        <w:rPr>
          <w:noProof/>
          <w:highlight w:val="yellow"/>
          <w:lang w:eastAsia="en-GB"/>
        </w:rPr>
        <w:t>5</w:t>
      </w:r>
      <w:r w:rsidRPr="008960CB">
        <w:rPr>
          <w:noProof/>
          <w:highlight w:val="yellow"/>
          <w:lang w:eastAsia="en-GB"/>
        </w:rPr>
        <w:t xml:space="preserve"> HERE</w:t>
      </w:r>
    </w:p>
    <w:p w14:paraId="28C5355B" w14:textId="77777777" w:rsidR="00672237" w:rsidRDefault="00672237">
      <w:pPr>
        <w:rPr>
          <w:b/>
        </w:rPr>
      </w:pPr>
    </w:p>
    <w:p w14:paraId="1B0BF728" w14:textId="77777777" w:rsidR="002006E2" w:rsidRDefault="002006E2" w:rsidP="001E6B13">
      <w:pPr>
        <w:pStyle w:val="Heading2"/>
      </w:pPr>
      <w:r w:rsidRPr="001E6B13">
        <w:rPr>
          <w:color w:val="auto"/>
        </w:rPr>
        <w:t>Risk of publication bias</w:t>
      </w:r>
    </w:p>
    <w:p w14:paraId="169E4261" w14:textId="30A0337B" w:rsidR="00980EEC" w:rsidRDefault="004405C0">
      <w:r>
        <w:t>To assess the risk of bias w</w:t>
      </w:r>
      <w:r w:rsidR="002006E2">
        <w:t xml:space="preserve">e constructed and visually inspected a funnel plot of </w:t>
      </w:r>
      <w:r w:rsidR="00051568">
        <w:t xml:space="preserve">prevalence estimates of depression, to which all but one </w:t>
      </w:r>
      <w:r>
        <w:t xml:space="preserve">of the studies contributed data </w:t>
      </w:r>
      <w:r w:rsidR="005105F8">
        <w:t>(</w:t>
      </w:r>
      <w:r w:rsidR="00CA40D4">
        <w:t xml:space="preserve">Online Supplementary Document, </w:t>
      </w:r>
      <w:r w:rsidR="005105F8">
        <w:t xml:space="preserve">Figure </w:t>
      </w:r>
      <w:r w:rsidR="00CA40D4">
        <w:t>S</w:t>
      </w:r>
      <w:r w:rsidR="002C6F5A">
        <w:t>2</w:t>
      </w:r>
      <w:r w:rsidR="005105F8">
        <w:t xml:space="preserve">). </w:t>
      </w:r>
      <w:r w:rsidR="00D7668F">
        <w:t>Visual inspection of t</w:t>
      </w:r>
      <w:r w:rsidR="008614C7">
        <w:t xml:space="preserve">he funnel plot </w:t>
      </w:r>
      <w:r w:rsidR="00D7668F">
        <w:t>shows a flat funnel-shaped distribution due to the large amount of relatively small studies, the lack of medium-sized samples</w:t>
      </w:r>
      <w:r w:rsidR="00794E64">
        <w:t>,</w:t>
      </w:r>
      <w:r w:rsidR="00D7668F">
        <w:t xml:space="preserve"> and a few very large studies. </w:t>
      </w:r>
      <w:r w:rsidR="00051568">
        <w:t>The studies with large sample sizes tend to have a lower prevalence rate of depression.</w:t>
      </w:r>
    </w:p>
    <w:p w14:paraId="5065349E" w14:textId="77777777" w:rsidR="00980EEC" w:rsidRPr="001E6B13" w:rsidRDefault="00980EEC" w:rsidP="001E6B13">
      <w:pPr>
        <w:pStyle w:val="Heading2"/>
        <w:rPr>
          <w:color w:val="auto"/>
        </w:rPr>
      </w:pPr>
      <w:r w:rsidRPr="001E6B13">
        <w:rPr>
          <w:color w:val="auto"/>
        </w:rPr>
        <w:t xml:space="preserve">Sensitivity analysis of </w:t>
      </w:r>
      <w:r w:rsidR="00A8304A" w:rsidRPr="001E6B13">
        <w:rPr>
          <w:color w:val="auto"/>
        </w:rPr>
        <w:t>high-quality</w:t>
      </w:r>
      <w:r w:rsidRPr="001E6B13">
        <w:rPr>
          <w:color w:val="auto"/>
        </w:rPr>
        <w:t xml:space="preserve"> studies</w:t>
      </w:r>
    </w:p>
    <w:p w14:paraId="55A05FC6" w14:textId="77777777" w:rsidR="00DF001E" w:rsidRPr="00DF001E" w:rsidRDefault="00DF001E" w:rsidP="00DF001E">
      <w:r>
        <w:t xml:space="preserve">Including 29 high quality studies only (quality score </w:t>
      </w:r>
      <w:r>
        <w:rPr>
          <w:rFonts w:cstheme="minorHAnsi"/>
        </w:rPr>
        <w:t>≥</w:t>
      </w:r>
      <w:r>
        <w:t>15 out of 20), the pooled prevalence of depression for all NCD categories is 35% (95% CI 0.30</w:t>
      </w:r>
      <w:r w:rsidR="008B6E5F">
        <w:t xml:space="preserve"> to</w:t>
      </w:r>
      <w:r>
        <w:t xml:space="preserve"> 0.41, I</w:t>
      </w:r>
      <w:r>
        <w:rPr>
          <w:vertAlign w:val="superscript"/>
        </w:rPr>
        <w:t>2</w:t>
      </w:r>
      <w:r>
        <w:t>=98%). Only three studies reporting on the prevalence of anxiety in diabetes, cancer, and stroke, respectively, were rated high quality, producing a pooled estimate of 33% (95% CI 0.10</w:t>
      </w:r>
      <w:r w:rsidR="008B6E5F">
        <w:t xml:space="preserve"> to </w:t>
      </w:r>
      <w:r>
        <w:t>0.62, I</w:t>
      </w:r>
      <w:r>
        <w:rPr>
          <w:vertAlign w:val="superscript"/>
        </w:rPr>
        <w:t>2</w:t>
      </w:r>
      <w:r>
        <w:t>=99%).</w:t>
      </w:r>
    </w:p>
    <w:p w14:paraId="0487089F" w14:textId="77777777" w:rsidR="00AC551F" w:rsidRPr="001E6B13" w:rsidRDefault="00AC551F" w:rsidP="001E6B13">
      <w:pPr>
        <w:pStyle w:val="Heading2"/>
        <w:rPr>
          <w:color w:val="auto"/>
        </w:rPr>
      </w:pPr>
      <w:r w:rsidRPr="001E6B13">
        <w:rPr>
          <w:color w:val="auto"/>
        </w:rPr>
        <w:t>Meta-regression</w:t>
      </w:r>
    </w:p>
    <w:p w14:paraId="4B627F7F" w14:textId="77777777" w:rsidR="00BC0898" w:rsidRDefault="001A19C7">
      <w:r>
        <w:t>R</w:t>
      </w:r>
      <w:r w:rsidR="007C484E">
        <w:t>estricted by the</w:t>
      </w:r>
      <w:r w:rsidR="00EE64A5">
        <w:t xml:space="preserve"> availability of reliable data on patient and study characteristics, </w:t>
      </w:r>
      <w:r w:rsidR="00F53788">
        <w:t>we</w:t>
      </w:r>
      <w:r w:rsidR="00BD139E">
        <w:t xml:space="preserve"> included </w:t>
      </w:r>
      <w:r w:rsidR="007C484E">
        <w:t>the following</w:t>
      </w:r>
      <w:r w:rsidR="00EE64A5">
        <w:t xml:space="preserve"> variables in the meta-regression analys</w:t>
      </w:r>
      <w:r w:rsidR="00026530">
        <w:t>is for depression prevalence</w:t>
      </w:r>
      <w:r w:rsidR="00EE64A5">
        <w:t xml:space="preserve">: year of publication, </w:t>
      </w:r>
      <w:r w:rsidR="007C484E">
        <w:t xml:space="preserve">country, </w:t>
      </w:r>
      <w:r w:rsidR="00026530">
        <w:t xml:space="preserve">NCD category, </w:t>
      </w:r>
      <w:r w:rsidR="00147A1F">
        <w:t>sample size (</w:t>
      </w:r>
      <w:r w:rsidR="00AF2EC7">
        <w:t>categorical</w:t>
      </w:r>
      <w:r w:rsidR="00147A1F">
        <w:t xml:space="preserve">), </w:t>
      </w:r>
      <w:r w:rsidR="00EE64A5">
        <w:t>type of CMD diagnostic tool (diagnostic interview versus screening tool), and the total score of study quality.</w:t>
      </w:r>
      <w:r w:rsidR="004E7D3B">
        <w:t xml:space="preserve"> </w:t>
      </w:r>
    </w:p>
    <w:p w14:paraId="1CC20CC5" w14:textId="6F2CE806" w:rsidR="00BC0898" w:rsidRDefault="00BC0898">
      <w:r>
        <w:t xml:space="preserve">The apparent associations between a higher prevalence of depression and a </w:t>
      </w:r>
      <w:r w:rsidR="00186FE7">
        <w:t>more recent</w:t>
      </w:r>
      <w:r>
        <w:t xml:space="preserve"> publication date</w:t>
      </w:r>
      <w:r w:rsidR="00AF2EC7">
        <w:t xml:space="preserve"> </w:t>
      </w:r>
      <w:r w:rsidR="00793511">
        <w:t xml:space="preserve">and </w:t>
      </w:r>
      <w:r w:rsidR="00147A1F">
        <w:t>lower quality score</w:t>
      </w:r>
      <w:r>
        <w:t xml:space="preserve"> </w:t>
      </w:r>
      <w:r w:rsidR="00ED0C62">
        <w:t xml:space="preserve">had limited impact </w:t>
      </w:r>
      <w:r w:rsidR="00C21D29">
        <w:t>o</w:t>
      </w:r>
      <w:r w:rsidR="00ED0C62">
        <w:t>n explaining heterogeneity (adjusted r</w:t>
      </w:r>
      <w:r w:rsidR="00ED0C62">
        <w:rPr>
          <w:vertAlign w:val="superscript"/>
        </w:rPr>
        <w:t>2</w:t>
      </w:r>
      <w:r w:rsidR="00ED0C62">
        <w:t>=</w:t>
      </w:r>
      <w:r w:rsidR="00AF2EC7">
        <w:t>0.</w:t>
      </w:r>
      <w:r w:rsidR="00793511">
        <w:t>4</w:t>
      </w:r>
      <w:r w:rsidR="00ED0C62">
        <w:t xml:space="preserve">%). </w:t>
      </w:r>
      <w:r w:rsidR="00147A1F">
        <w:t xml:space="preserve">None of the covariates were statistically significant </w:t>
      </w:r>
      <w:r w:rsidR="006A493F">
        <w:t>(</w:t>
      </w:r>
      <w:r w:rsidR="00CA40D4">
        <w:t>Online Supplementary Document</w:t>
      </w:r>
      <w:r w:rsidR="001432FD">
        <w:t xml:space="preserve">, </w:t>
      </w:r>
      <w:r w:rsidR="006A493F">
        <w:t xml:space="preserve">Table </w:t>
      </w:r>
      <w:r w:rsidR="00CA40D4">
        <w:t>S</w:t>
      </w:r>
      <w:r w:rsidR="002C6F5A">
        <w:t>1</w:t>
      </w:r>
      <w:r w:rsidR="006A493F">
        <w:t>)</w:t>
      </w:r>
      <w:r>
        <w:t>.</w:t>
      </w:r>
      <w:r w:rsidR="00147A1F">
        <w:t xml:space="preserve"> </w:t>
      </w:r>
    </w:p>
    <w:p w14:paraId="0CF80BCC" w14:textId="29F59AF4" w:rsidR="00000337" w:rsidRPr="00301425" w:rsidRDefault="00186FE7">
      <w:r>
        <w:t>For the meta-regression analysis modelling anxiety prevalence, year of publication</w:t>
      </w:r>
      <w:r w:rsidR="00567B7E">
        <w:t>, sample size,</w:t>
      </w:r>
      <w:r w:rsidR="00147A1F">
        <w:t xml:space="preserve"> </w:t>
      </w:r>
      <w:r>
        <w:t>and quality score</w:t>
      </w:r>
      <w:r w:rsidR="00147A1F">
        <w:t xml:space="preserve"> were included</w:t>
      </w:r>
      <w:r w:rsidR="008C55E2">
        <w:t xml:space="preserve">. </w:t>
      </w:r>
      <w:r>
        <w:t>For all other variables, some categories had</w:t>
      </w:r>
      <w:r w:rsidR="00AE64AB">
        <w:t xml:space="preserve"> cell counts of less than five and were therefore not included.</w:t>
      </w:r>
      <w:r w:rsidR="008C55E2">
        <w:t xml:space="preserve"> </w:t>
      </w:r>
      <w:r w:rsidR="00ED0C62">
        <w:t>These covariates explained more of the heterogeneity for anxiety prevalence (adjusted r</w:t>
      </w:r>
      <w:r w:rsidR="00ED0C62">
        <w:rPr>
          <w:vertAlign w:val="superscript"/>
        </w:rPr>
        <w:t>2</w:t>
      </w:r>
      <w:r w:rsidR="00ED0C62">
        <w:t>=</w:t>
      </w:r>
      <w:r w:rsidR="00AF2EC7">
        <w:t>11</w:t>
      </w:r>
      <w:r w:rsidR="00ED0C62">
        <w:t xml:space="preserve">%) than for depression. </w:t>
      </w:r>
      <w:r w:rsidR="00AF2EC7">
        <w:t xml:space="preserve">However, again none of the covariates were statistically </w:t>
      </w:r>
      <w:r w:rsidR="00ED0C62">
        <w:t>significant predictors of prevalence estimates</w:t>
      </w:r>
      <w:r w:rsidR="008C55E2" w:rsidRPr="008C55E2">
        <w:t xml:space="preserve"> (</w:t>
      </w:r>
      <w:r w:rsidR="00CA40D4">
        <w:t>Online Supplementary Document, Table S</w:t>
      </w:r>
      <w:r w:rsidR="002C6F5A">
        <w:t>2</w:t>
      </w:r>
      <w:r w:rsidR="008C55E2" w:rsidRPr="008C55E2">
        <w:t>).</w:t>
      </w:r>
    </w:p>
    <w:p w14:paraId="22E93993" w14:textId="77777777" w:rsidR="00433E50" w:rsidRPr="001E6B13" w:rsidRDefault="00433E50" w:rsidP="001E6B13">
      <w:pPr>
        <w:pStyle w:val="Heading1"/>
        <w:rPr>
          <w:color w:val="auto"/>
        </w:rPr>
      </w:pPr>
      <w:r w:rsidRPr="001E6B13">
        <w:rPr>
          <w:color w:val="auto"/>
        </w:rPr>
        <w:lastRenderedPageBreak/>
        <w:t>Discussion</w:t>
      </w:r>
    </w:p>
    <w:p w14:paraId="6852732C" w14:textId="77777777" w:rsidR="00697740" w:rsidRPr="001E6B13" w:rsidRDefault="00697740" w:rsidP="001E6B13">
      <w:pPr>
        <w:pStyle w:val="Heading2"/>
        <w:rPr>
          <w:color w:val="auto"/>
        </w:rPr>
      </w:pPr>
      <w:r w:rsidRPr="001E6B13">
        <w:rPr>
          <w:color w:val="auto"/>
        </w:rPr>
        <w:t>Summary of findings</w:t>
      </w:r>
    </w:p>
    <w:p w14:paraId="3E1956B8" w14:textId="77777777" w:rsidR="00BA6AB0" w:rsidRDefault="0034346D">
      <w:r>
        <w:t>Ninety-six</w:t>
      </w:r>
      <w:r w:rsidR="00BA6AB0">
        <w:t xml:space="preserve"> studies reported </w:t>
      </w:r>
      <w:r w:rsidR="00B70303">
        <w:t>on the prevalence</w:t>
      </w:r>
      <w:r w:rsidR="00BA6AB0">
        <w:t xml:space="preserve"> of CMDs in patients with NCDs in Bangladesh, India, or Pakistan</w:t>
      </w:r>
      <w:r w:rsidR="00332790">
        <w:t>, in predominantly hospital-based studies</w:t>
      </w:r>
      <w:r w:rsidR="00BA6AB0">
        <w:t xml:space="preserve">. The pooled estimate of depression was </w:t>
      </w:r>
      <w:r>
        <w:t>40</w:t>
      </w:r>
      <w:r w:rsidR="00D951D1">
        <w:t>%</w:t>
      </w:r>
      <w:r w:rsidR="00BA6AB0">
        <w:t xml:space="preserve"> in patients with diabetes, </w:t>
      </w:r>
      <w:r w:rsidR="00D951D1">
        <w:t>37%</w:t>
      </w:r>
      <w:r w:rsidR="00BA6AB0">
        <w:t xml:space="preserve"> in patients with cancer, </w:t>
      </w:r>
      <w:r>
        <w:t xml:space="preserve">38% in patients with hypertension, </w:t>
      </w:r>
      <w:r w:rsidR="00D951D1">
        <w:t>39%</w:t>
      </w:r>
      <w:r w:rsidR="00BA6AB0">
        <w:t xml:space="preserve"> in patients with stroke, and </w:t>
      </w:r>
      <w:r w:rsidR="00D951D1">
        <w:t>44%</w:t>
      </w:r>
      <w:r w:rsidR="00BA6AB0">
        <w:t xml:space="preserve"> in patients with COPD. The pooled </w:t>
      </w:r>
      <w:r w:rsidR="006D18C6">
        <w:t>prevalence</w:t>
      </w:r>
      <w:r w:rsidR="00BA6AB0">
        <w:t xml:space="preserve"> of anxiety was </w:t>
      </w:r>
      <w:r w:rsidR="00D951D1">
        <w:t>29%</w:t>
      </w:r>
      <w:r w:rsidR="00BA6AB0">
        <w:t xml:space="preserve"> in patients with diabetes and </w:t>
      </w:r>
      <w:r w:rsidR="00D951D1">
        <w:t>27%</w:t>
      </w:r>
      <w:r w:rsidR="00BA6AB0">
        <w:t xml:space="preserve"> in patients with cancer. </w:t>
      </w:r>
    </w:p>
    <w:p w14:paraId="1AC1FBEB" w14:textId="28B266F5" w:rsidR="001000A1" w:rsidRDefault="00D951D1" w:rsidP="00BA6AB0">
      <w:r>
        <w:t>Fo</w:t>
      </w:r>
      <w:r w:rsidR="00BA6AB0">
        <w:t>r all four NCDs, findings were extremely heterogeneous</w:t>
      </w:r>
      <w:r w:rsidR="00070561">
        <w:t>, f</w:t>
      </w:r>
      <w:r w:rsidR="00BA6AB0">
        <w:t xml:space="preserve">or example, the prevalence of depression in patients with diabetes ranged from 2% to 84%. </w:t>
      </w:r>
      <w:bookmarkStart w:id="3" w:name="_Hlk15204604"/>
      <w:r w:rsidR="00617443">
        <w:t xml:space="preserve">The meta-regression analyses </w:t>
      </w:r>
      <w:r w:rsidR="004E7D3B">
        <w:t>did not reveal study characteristics associated with the reported prevalence estimates of depression</w:t>
      </w:r>
      <w:r w:rsidR="00AF2EC7">
        <w:t xml:space="preserve"> and anxiety</w:t>
      </w:r>
      <w:r w:rsidR="000932F8">
        <w:t xml:space="preserve">. </w:t>
      </w:r>
      <w:r w:rsidR="00293179">
        <w:t xml:space="preserve">Study country was also not associated with prevalence of either depression or anxiety. </w:t>
      </w:r>
      <w:bookmarkEnd w:id="3"/>
      <w:r w:rsidR="006B11E6">
        <w:t xml:space="preserve">However, a sensitivity analysis with high quality studies only estimated a pooled prevalence of depression across NCDs of 35%, lower than the 41% found in the main analysis. </w:t>
      </w:r>
    </w:p>
    <w:p w14:paraId="1EEA30A1" w14:textId="77777777" w:rsidR="00697740" w:rsidRPr="001E6B13" w:rsidRDefault="00697740" w:rsidP="001E6B13">
      <w:pPr>
        <w:pStyle w:val="Heading2"/>
        <w:rPr>
          <w:color w:val="auto"/>
        </w:rPr>
      </w:pPr>
      <w:r w:rsidRPr="001E6B13">
        <w:rPr>
          <w:color w:val="auto"/>
        </w:rPr>
        <w:t>Limitations</w:t>
      </w:r>
    </w:p>
    <w:p w14:paraId="19584431" w14:textId="77777777" w:rsidR="00290304" w:rsidRDefault="00601D66" w:rsidP="00EC75E5">
      <w:r>
        <w:t>For</w:t>
      </w:r>
      <w:r w:rsidR="00290304">
        <w:t xml:space="preserve"> studies of prevalence, which summarise data</w:t>
      </w:r>
      <w:r w:rsidR="007819E2">
        <w:t xml:space="preserve"> from observational studies</w:t>
      </w:r>
      <w:r w:rsidR="00290304">
        <w:t xml:space="preserve"> </w:t>
      </w:r>
      <w:r w:rsidR="007819E2">
        <w:t>of</w:t>
      </w:r>
      <w:r w:rsidR="00290304">
        <w:t xml:space="preserve"> patients with varying characteristics and from a wide range of settings, heterogeneity in the estimates is to be expected. However,</w:t>
      </w:r>
      <w:r w:rsidR="00344C44">
        <w:t xml:space="preserve"> </w:t>
      </w:r>
      <w:r w:rsidR="00070561">
        <w:t xml:space="preserve">despite </w:t>
      </w:r>
      <w:r w:rsidR="00EC75E5">
        <w:t xml:space="preserve">our efforts to conduct a high-quality systematic review, </w:t>
      </w:r>
      <w:r>
        <w:t xml:space="preserve">it is likely that </w:t>
      </w:r>
      <w:r w:rsidR="00EC75E5">
        <w:t xml:space="preserve">the quality and heterogeneity of the included studies </w:t>
      </w:r>
      <w:r w:rsidR="002C235A">
        <w:t>affect</w:t>
      </w:r>
      <w:r w:rsidR="00EC75E5">
        <w:t xml:space="preserve"> the reliability of the findings.</w:t>
      </w:r>
    </w:p>
    <w:p w14:paraId="6A3CCC03" w14:textId="77777777" w:rsidR="0094624D" w:rsidRDefault="0094624D" w:rsidP="00EC75E5">
      <w:r>
        <w:t>Limitations of the primary evidence included a mismatch between intended study population and sampling strategies, no mention of participants who did not complete questionnaires or people who were approached but did not join the study, and limited descriptions of study methods and participant characteristics.</w:t>
      </w:r>
    </w:p>
    <w:p w14:paraId="396B827B" w14:textId="7E0AFE84" w:rsidR="001D2274" w:rsidRDefault="00290304">
      <w:r>
        <w:t xml:space="preserve">Most studies excluded patients who had a diagnosis of depression or anxiety, or who </w:t>
      </w:r>
      <w:r w:rsidR="001D2274">
        <w:t xml:space="preserve">were already receiving </w:t>
      </w:r>
      <w:r>
        <w:t xml:space="preserve">medication to treat a CMD prior to inclusion in the study. </w:t>
      </w:r>
      <w:r w:rsidR="001D2274">
        <w:t>E</w:t>
      </w:r>
      <w:r w:rsidR="006A68A5">
        <w:t xml:space="preserve">stimates </w:t>
      </w:r>
      <w:r w:rsidR="001D2274">
        <w:t>for these studies</w:t>
      </w:r>
      <w:r w:rsidR="006A68A5">
        <w:t xml:space="preserve"> therefore reflect undiagnosed depression or anxiety, rather than </w:t>
      </w:r>
      <w:r w:rsidR="004A3FF0">
        <w:t xml:space="preserve">the </w:t>
      </w:r>
      <w:r w:rsidR="006A68A5">
        <w:t>point prevalence estimate of common mental disorder</w:t>
      </w:r>
      <w:r w:rsidR="004A3FF0">
        <w:t xml:space="preserve"> in the total population of patients with NCDs</w:t>
      </w:r>
      <w:r w:rsidR="006A68A5">
        <w:t xml:space="preserve">. </w:t>
      </w:r>
      <w:r w:rsidR="00344C44">
        <w:t>Prevalence rates we reported are therefore likely to be underestimates of the true prevalence.</w:t>
      </w:r>
    </w:p>
    <w:p w14:paraId="6C797808" w14:textId="184DF468" w:rsidR="00290304" w:rsidRDefault="00293179">
      <w:r>
        <w:t>Although we explored</w:t>
      </w:r>
      <w:r w:rsidR="006B0F45">
        <w:t xml:space="preserve"> variation</w:t>
      </w:r>
      <w:r>
        <w:t xml:space="preserve"> in estimates related to </w:t>
      </w:r>
      <w:r w:rsidR="006B0F45">
        <w:t xml:space="preserve">whether a diagnostic interview or screening tool was used to identify depression and/ or anxiety, the type of screening tool, translation and validation of the tool, and how and by whom screening was performed, may explain some of the heterogeneity identified. Many different screening tools were identified (Table 1). The most commonly used tools, such as the PHQ-9, HADS, MADRS, BDI, and HAM have been widely translated and validated. However, not all studies reported whether an appropriately translated version was used. Some studies used less established measures without reporting on validation or translation of the tool, and some studies used multiple tools. </w:t>
      </w:r>
      <w:r w:rsidR="00202BA9">
        <w:t>Authors generally conducted studies</w:t>
      </w:r>
      <w:r w:rsidR="001D2274">
        <w:t xml:space="preserve"> in large, metropolitan hospitals with </w:t>
      </w:r>
      <w:r w:rsidR="004D6A13">
        <w:t>the resources</w:t>
      </w:r>
      <w:r w:rsidR="001D2274">
        <w:t xml:space="preserve"> to conduct </w:t>
      </w:r>
      <w:r w:rsidR="00077B54">
        <w:t>research</w:t>
      </w:r>
      <w:r w:rsidR="001D2274">
        <w:t xml:space="preserve">. </w:t>
      </w:r>
      <w:r w:rsidR="002C235A">
        <w:t xml:space="preserve">Only 6 </w:t>
      </w:r>
      <w:r w:rsidR="00601D66">
        <w:t>were community studies</w:t>
      </w:r>
      <w:r w:rsidR="002C235A">
        <w:t xml:space="preserve">. </w:t>
      </w:r>
      <w:r w:rsidR="001D2274">
        <w:t xml:space="preserve">This limits the generalisability of our findings, as the group of patients with NCDs attending these settings are likely to differ from those who attend smaller, regional hospitals or </w:t>
      </w:r>
      <w:r w:rsidR="00077B54">
        <w:t xml:space="preserve">those </w:t>
      </w:r>
      <w:r w:rsidR="001D2274">
        <w:t xml:space="preserve">who do not regularly visit the hospital due to either limited access </w:t>
      </w:r>
      <w:r w:rsidR="00077B54">
        <w:t xml:space="preserve">to healthcare </w:t>
      </w:r>
      <w:r w:rsidR="001D2274">
        <w:t xml:space="preserve">or a lower severity of illness. </w:t>
      </w:r>
      <w:r w:rsidR="00F47832">
        <w:t xml:space="preserve">However, prevalence rates were still found to be high in community studies included in our review. </w:t>
      </w:r>
      <w:r w:rsidR="00B344F5">
        <w:t>D</w:t>
      </w:r>
      <w:r w:rsidR="00F47832">
        <w:t xml:space="preserve">epression in patients with diabetes for example </w:t>
      </w:r>
      <w:r w:rsidR="00B344F5">
        <w:t>was found to be</w:t>
      </w:r>
      <w:r w:rsidR="00F47832">
        <w:t xml:space="preserve"> between 15% and 36%. A </w:t>
      </w:r>
      <w:r w:rsidR="00B344F5">
        <w:t>review of</w:t>
      </w:r>
      <w:r w:rsidR="00F47832">
        <w:t xml:space="preserve"> studies on diabetes and depression </w:t>
      </w:r>
      <w:r w:rsidR="00B344F5">
        <w:t xml:space="preserve">internationally </w:t>
      </w:r>
      <w:r w:rsidR="00F47832">
        <w:t xml:space="preserve">reported a prevalence of </w:t>
      </w:r>
      <w:r w:rsidR="00B344F5">
        <w:t>20% in 12 community studies, compared to 32% in studies with a clinic setting [30].</w:t>
      </w:r>
    </w:p>
    <w:p w14:paraId="0AFEB276" w14:textId="77777777" w:rsidR="00E94D3C" w:rsidRDefault="00E94D3C">
      <w:r>
        <w:lastRenderedPageBreak/>
        <w:t xml:space="preserve">It is possible that we missed relevant studies, particularly those published in journals specific to South-Asia. Although we searched in databases from Bangladesh, India, and Pakistan, these databases are more difficult to search due to their limited search interface. Our decision </w:t>
      </w:r>
      <w:r w:rsidR="00601D66">
        <w:t xml:space="preserve">not to </w:t>
      </w:r>
      <w:r>
        <w:t>include grey literature is also likely to have reduced the number of studies we identified.</w:t>
      </w:r>
    </w:p>
    <w:p w14:paraId="68110D8A" w14:textId="47071884" w:rsidR="00EC75E5" w:rsidRDefault="00EC75E5">
      <w:r>
        <w:t xml:space="preserve">Methodology for systematic reviews and meta-analyses of prevalence studies is underdeveloped compared to methods and guidance for evidence synthesis of randomised controlled trials and treatment studies. To our knowledge, no widely accepted </w:t>
      </w:r>
      <w:r w:rsidR="001E5EE0">
        <w:t xml:space="preserve">and validated </w:t>
      </w:r>
      <w:r>
        <w:t>tool for quality assessment of prevalence studies is available. Although we used a quality assessment tool developed for use with cross-sectional studies,</w:t>
      </w:r>
      <w:r w:rsidR="00DB3D24">
        <w:t>[</w:t>
      </w:r>
      <w:r w:rsidR="008B64FD" w:rsidRPr="00DD21F1">
        <w:t>17</w:t>
      </w:r>
      <w:r w:rsidR="00DB3D24" w:rsidRPr="00DD21F1">
        <w:t>]</w:t>
      </w:r>
      <w:r w:rsidRPr="00DB3D24">
        <w:t xml:space="preserve"> </w:t>
      </w:r>
      <w:r>
        <w:t>we found that the nature of the included studies meant assessment was subjective and extremely time-consuming</w:t>
      </w:r>
      <w:r w:rsidR="006A585C">
        <w:t>.</w:t>
      </w:r>
      <w:r w:rsidR="00130575">
        <w:t xml:space="preserve"> We see room for improvement of the tool, by providing more explicit guidance to the different items (for example, when are ‘basic data adequately described’?), and by re-assessing the weight given to certain indicators of study quality (for example, three out of 20 items address response rate and non-responder bias).</w:t>
      </w:r>
      <w:r w:rsidR="0094624D">
        <w:t xml:space="preserve"> We used summary scores of study quality weighing all items equally, as the tool developers provided no guidance for calculating summary scores.</w:t>
      </w:r>
    </w:p>
    <w:p w14:paraId="71415B92" w14:textId="77777777" w:rsidR="0097522D" w:rsidRDefault="0097522D">
      <w:r>
        <w:t xml:space="preserve">Some studies provided multiple estimates, either for multiple NCDs or for anxiety as well as depression. By including these estimates in one meta-regression analysis, we </w:t>
      </w:r>
      <w:r w:rsidR="0094624D">
        <w:t xml:space="preserve">will </w:t>
      </w:r>
      <w:r>
        <w:t xml:space="preserve">have underestimated the between-study variation. </w:t>
      </w:r>
      <w:r w:rsidR="00461ECB">
        <w:t xml:space="preserve">Similarly, the pooled estimate for depression in diabetes includes three estimates from the same study in three different countries. </w:t>
      </w:r>
      <w:r>
        <w:t>As it is highly unlike</w:t>
      </w:r>
      <w:r w:rsidR="0094624D">
        <w:t>ly</w:t>
      </w:r>
      <w:r>
        <w:t xml:space="preserve"> that this would have a substantial impact on the results, we have not adjusted for this. </w:t>
      </w:r>
    </w:p>
    <w:p w14:paraId="7362D437" w14:textId="77777777" w:rsidR="00AC6ADE" w:rsidRPr="00764EF1" w:rsidRDefault="00697740" w:rsidP="001E6B13">
      <w:pPr>
        <w:pStyle w:val="Heading2"/>
      </w:pPr>
      <w:r w:rsidRPr="001E6B13">
        <w:rPr>
          <w:color w:val="auto"/>
        </w:rPr>
        <w:t>Implications for research and practice</w:t>
      </w:r>
    </w:p>
    <w:p w14:paraId="31743CA4" w14:textId="77777777" w:rsidR="001373FB" w:rsidRDefault="006A68A5" w:rsidP="00617443">
      <w:r>
        <w:t>Given the heterogeneity of our findings</w:t>
      </w:r>
      <w:r w:rsidR="00684013">
        <w:t xml:space="preserve"> and the quality issues identified in many of the included studies,</w:t>
      </w:r>
      <w:r>
        <w:t xml:space="preserve"> the pooled estimates should not be interpreted as true estimates of the average prevalence rate of CMDs in people with NCDs in </w:t>
      </w:r>
      <w:r w:rsidR="003A7543">
        <w:t xml:space="preserve">these three </w:t>
      </w:r>
      <w:r>
        <w:t>South Asia</w:t>
      </w:r>
      <w:r w:rsidR="003A7543">
        <w:t>n countries</w:t>
      </w:r>
      <w:r>
        <w:t xml:space="preserve">. </w:t>
      </w:r>
      <w:r w:rsidR="001373FB">
        <w:t xml:space="preserve">Most of the estimates provided reflect the burden of disease in a hospital population with no previous diagnosis or treatment of mental </w:t>
      </w:r>
      <w:r w:rsidR="006468D5">
        <w:t>ill health</w:t>
      </w:r>
      <w:r w:rsidR="001373FB">
        <w:t xml:space="preserve">. </w:t>
      </w:r>
      <w:r w:rsidR="004E7D3B">
        <w:t>T</w:t>
      </w:r>
      <w:r w:rsidR="00617443">
        <w:t xml:space="preserve">he meta-regression analyses </w:t>
      </w:r>
      <w:r>
        <w:t>explained little of the variance</w:t>
      </w:r>
      <w:r w:rsidR="00A461AE">
        <w:t xml:space="preserve"> in prevalence rates</w:t>
      </w:r>
      <w:r>
        <w:t xml:space="preserve"> identified. Our findings also do not explain how prevalence rates of CMDs vary between patient groups. For example, most studies we included had a mixed sample of men and women and </w:t>
      </w:r>
      <w:r w:rsidR="00EE64A5">
        <w:t>estimates of depression and anxiety are likely to differ by gender</w:t>
      </w:r>
      <w:r>
        <w:t xml:space="preserve">. </w:t>
      </w:r>
    </w:p>
    <w:p w14:paraId="53472064" w14:textId="65101E6A" w:rsidR="006A68A5" w:rsidRDefault="00E8637E" w:rsidP="00617443">
      <w:r>
        <w:t xml:space="preserve">Our systematic review shows that gaps remain in knowledge on the burden of disease for CMDs and NCDs in Bangladesh, India, and Pakistan. </w:t>
      </w:r>
      <w:r w:rsidR="00EC12E9">
        <w:t>L</w:t>
      </w:r>
      <w:r w:rsidR="006A68A5">
        <w:t xml:space="preserve">arge and well-conducted </w:t>
      </w:r>
      <w:r w:rsidR="000D2369">
        <w:t xml:space="preserve">community </w:t>
      </w:r>
      <w:r w:rsidR="006A68A5">
        <w:t>surveys</w:t>
      </w:r>
      <w:r w:rsidR="00070561">
        <w:t>,</w:t>
      </w:r>
      <w:r w:rsidR="006A68A5">
        <w:t xml:space="preserve"> representative of the entire population of patients with NCDs</w:t>
      </w:r>
      <w:r w:rsidR="00070561">
        <w:t>,</w:t>
      </w:r>
      <w:r w:rsidR="006A68A5">
        <w:t xml:space="preserve"> would make a valuable contribution</w:t>
      </w:r>
      <w:r w:rsidR="00EC12E9">
        <w:t xml:space="preserve"> to research on the burden of physical and mental comorbidities in South Asia</w:t>
      </w:r>
      <w:r w:rsidR="00344C44">
        <w:t>, and provide robust data to policymakers to map demand for services.</w:t>
      </w:r>
      <w:r w:rsidR="00B33B0B">
        <w:t xml:space="preserve"> Worldwide case-control studies which have aimed to </w:t>
      </w:r>
      <w:r w:rsidR="00DB3D24">
        <w:t xml:space="preserve">investigate associations between psychosocial factors and heart disease </w:t>
      </w:r>
      <w:r w:rsidR="00B33B0B">
        <w:t>include the INTERHEART and INTERSTROKE studies</w:t>
      </w:r>
      <w:r w:rsidR="00DB3D24">
        <w:t xml:space="preserve"> [</w:t>
      </w:r>
      <w:r w:rsidR="003727B1">
        <w:t>31</w:t>
      </w:r>
      <w:r w:rsidR="00B344F5">
        <w:t>,</w:t>
      </w:r>
      <w:r w:rsidR="00B63BF3">
        <w:t xml:space="preserve"> </w:t>
      </w:r>
      <w:r w:rsidR="00B344F5">
        <w:t>32</w:t>
      </w:r>
      <w:r w:rsidR="00DB3D24">
        <w:t>]</w:t>
      </w:r>
      <w:r w:rsidR="00B33B0B">
        <w:t>. For South Asia, the INTERHEART study reported a 30% prevalence rate of depression for those who suffered from a myocardial infarction, compared to 19% depression in the control group, around the year 2000</w:t>
      </w:r>
      <w:r w:rsidR="00DB3D24">
        <w:t xml:space="preserve"> [</w:t>
      </w:r>
      <w:r w:rsidR="003727B1">
        <w:t>30</w:t>
      </w:r>
      <w:r w:rsidR="00DB3D24">
        <w:t>]</w:t>
      </w:r>
      <w:r w:rsidR="00B33B0B">
        <w:t>. In the INTERSTROKE study, patients from South Asia with acute stroke were found to be at higher odds of psychosocial stress, including depression, than a control group</w:t>
      </w:r>
      <w:r w:rsidR="00DB3D24">
        <w:t xml:space="preserve"> [</w:t>
      </w:r>
      <w:r w:rsidR="003727B1">
        <w:t>3</w:t>
      </w:r>
      <w:r w:rsidR="00B344F5">
        <w:t>2</w:t>
      </w:r>
      <w:r w:rsidR="00DB3D24">
        <w:t>]</w:t>
      </w:r>
      <w:r w:rsidR="00B33B0B">
        <w:t xml:space="preserve">. </w:t>
      </w:r>
    </w:p>
    <w:p w14:paraId="6AB27ABC" w14:textId="77777777" w:rsidR="00AE5D9B" w:rsidRDefault="006A68A5" w:rsidP="006A68A5">
      <w:r>
        <w:t>Although the wide variation in estimates of CMDs limit</w:t>
      </w:r>
      <w:r w:rsidR="006468D5">
        <w:t>s</w:t>
      </w:r>
      <w:r>
        <w:t xml:space="preserve"> our ability to draw definite conclusions on prevalence rates of CMDs in these patient groups, it is clear that the prevalence of depression and anxiety </w:t>
      </w:r>
      <w:r w:rsidR="007D29A6">
        <w:t>is</w:t>
      </w:r>
      <w:r>
        <w:t xml:space="preserve"> high in people with NCDs in South Asia. Prevalence rates between 20 and 30% are </w:t>
      </w:r>
      <w:r w:rsidR="004156C6">
        <w:t xml:space="preserve">among the </w:t>
      </w:r>
      <w:r>
        <w:t xml:space="preserve">lower-end estimates </w:t>
      </w:r>
      <w:r w:rsidR="00EC12E9">
        <w:t>and</w:t>
      </w:r>
      <w:r>
        <w:t xml:space="preserve"> constitute a </w:t>
      </w:r>
      <w:r w:rsidR="00AE5D9B">
        <w:t xml:space="preserve">great burden of mental </w:t>
      </w:r>
      <w:r w:rsidR="006468D5">
        <w:t>ill health</w:t>
      </w:r>
      <w:r>
        <w:t xml:space="preserve"> for which there </w:t>
      </w:r>
      <w:r w:rsidR="001373FB">
        <w:t xml:space="preserve">is </w:t>
      </w:r>
      <w:r>
        <w:t xml:space="preserve">currently </w:t>
      </w:r>
      <w:r w:rsidR="004156C6">
        <w:t>little attention</w:t>
      </w:r>
      <w:r w:rsidR="00070561">
        <w:t xml:space="preserve"> </w:t>
      </w:r>
      <w:r w:rsidR="004156C6">
        <w:t xml:space="preserve">in either research, practice, or policy. </w:t>
      </w:r>
    </w:p>
    <w:p w14:paraId="5C1B7967" w14:textId="2F2E398E" w:rsidR="002D4095" w:rsidRDefault="00242074" w:rsidP="006A68A5">
      <w:r>
        <w:lastRenderedPageBreak/>
        <w:t xml:space="preserve">CMDs and </w:t>
      </w:r>
      <w:r w:rsidR="00070561">
        <w:t xml:space="preserve">NCDs </w:t>
      </w:r>
      <w:r w:rsidR="00817DA7">
        <w:t xml:space="preserve">have </w:t>
      </w:r>
      <w:r w:rsidR="00070561">
        <w:t xml:space="preserve">a </w:t>
      </w:r>
      <w:r w:rsidR="00596F3B">
        <w:t>large</w:t>
      </w:r>
      <w:r w:rsidR="00070561">
        <w:t xml:space="preserve"> impact on</w:t>
      </w:r>
      <w:r>
        <w:t xml:space="preserve"> people’s quality of life and living with a</w:t>
      </w:r>
      <w:r w:rsidR="00EE64A5">
        <w:t>nxiety or depression</w:t>
      </w:r>
      <w:r>
        <w:t xml:space="preserve"> on top of </w:t>
      </w:r>
      <w:r w:rsidR="00AE5D9B">
        <w:t>a long-term physical illness</w:t>
      </w:r>
      <w:r>
        <w:t xml:space="preserve"> can lead to greater physical deterioration, functional impairment, lower adherence to medication</w:t>
      </w:r>
      <w:r w:rsidR="00D21065">
        <w:t>, and premature mortality</w:t>
      </w:r>
      <w:r w:rsidR="00376B7B">
        <w:t xml:space="preserve"> [</w:t>
      </w:r>
      <w:r w:rsidR="003727B1">
        <w:t>3</w:t>
      </w:r>
      <w:r w:rsidR="00B344F5">
        <w:t>3</w:t>
      </w:r>
      <w:r w:rsidR="008B64FD" w:rsidRPr="00376B7B">
        <w:t>,</w:t>
      </w:r>
      <w:r w:rsidR="003727B1">
        <w:t>3</w:t>
      </w:r>
      <w:r w:rsidR="00B344F5">
        <w:t>4</w:t>
      </w:r>
      <w:r w:rsidR="00376B7B" w:rsidRPr="00376B7B">
        <w:t>].</w:t>
      </w:r>
      <w:r w:rsidR="00AE5D9B">
        <w:t xml:space="preserve"> </w:t>
      </w:r>
      <w:r w:rsidR="002D4095">
        <w:t xml:space="preserve">However, successful implementation of integrated care for people with NCDs, including CMDs, faces many barriers. A </w:t>
      </w:r>
      <w:r w:rsidR="00E7551D">
        <w:t xml:space="preserve">recent review pointed towards a </w:t>
      </w:r>
      <w:r w:rsidR="002D4095">
        <w:t>lack of commitment from actors</w:t>
      </w:r>
      <w:r w:rsidR="009D6A5A">
        <w:t xml:space="preserve"> at all levels</w:t>
      </w:r>
      <w:r w:rsidR="00E7551D">
        <w:t>, which</w:t>
      </w:r>
      <w:r w:rsidR="002D4095">
        <w:t xml:space="preserve"> translates into </w:t>
      </w:r>
      <w:r w:rsidR="00E7551D">
        <w:t xml:space="preserve">limited human resources and skills, insufficient coordination of policies, and </w:t>
      </w:r>
      <w:r w:rsidR="002D4095">
        <w:t>low workforce preparedness</w:t>
      </w:r>
      <w:r w:rsidR="00376B7B">
        <w:t xml:space="preserve"> [</w:t>
      </w:r>
      <w:r w:rsidR="003727B1">
        <w:t>3</w:t>
      </w:r>
      <w:r w:rsidR="00B344F5">
        <w:t>5</w:t>
      </w:r>
      <w:r w:rsidR="00376B7B" w:rsidRPr="00376B7B">
        <w:t>].</w:t>
      </w:r>
      <w:r w:rsidR="00E7551D">
        <w:t xml:space="preserve"> </w:t>
      </w:r>
      <w:r w:rsidR="00AE5D9B">
        <w:t xml:space="preserve">If mental and physical comorbidity is </w:t>
      </w:r>
      <w:r w:rsidR="00031DD2">
        <w:t>as common as suggested by our findings</w:t>
      </w:r>
      <w:r w:rsidR="00AE5D9B">
        <w:t xml:space="preserve">, practitioners and </w:t>
      </w:r>
      <w:r w:rsidR="00DD21F1">
        <w:t>policymakers</w:t>
      </w:r>
      <w:r w:rsidR="00AE5D9B">
        <w:t xml:space="preserve"> </w:t>
      </w:r>
      <w:r w:rsidR="00376B7B">
        <w:t>must</w:t>
      </w:r>
      <w:r w:rsidR="007D29A6">
        <w:t xml:space="preserve"> act</w:t>
      </w:r>
      <w:r w:rsidR="002D4095">
        <w:t xml:space="preserve"> at the clinical </w:t>
      </w:r>
      <w:r w:rsidR="009D6A5A">
        <w:t xml:space="preserve">and the policy </w:t>
      </w:r>
      <w:r w:rsidR="002D4095">
        <w:t>level</w:t>
      </w:r>
      <w:r w:rsidR="00AE5D9B">
        <w:t xml:space="preserve">, </w:t>
      </w:r>
      <w:r w:rsidR="002D4095">
        <w:t>to make</w:t>
      </w:r>
      <w:r w:rsidR="00AE5D9B">
        <w:t xml:space="preserve"> </w:t>
      </w:r>
      <w:r w:rsidR="00E7551D">
        <w:t xml:space="preserve">high quality and </w:t>
      </w:r>
      <w:r w:rsidR="006F1181">
        <w:t xml:space="preserve">tailored </w:t>
      </w:r>
      <w:r w:rsidR="00031DD2">
        <w:t xml:space="preserve">mental health </w:t>
      </w:r>
      <w:r w:rsidR="006F1181">
        <w:t>care</w:t>
      </w:r>
      <w:r w:rsidR="00E7551D">
        <w:t xml:space="preserve"> </w:t>
      </w:r>
      <w:r w:rsidR="00AE5D9B">
        <w:t xml:space="preserve">available to </w:t>
      </w:r>
      <w:r w:rsidR="00031DD2">
        <w:t xml:space="preserve">patients with NCDs. </w:t>
      </w:r>
      <w:r w:rsidR="00E15967">
        <w:t xml:space="preserve">This is particularly relevant in low- and middle-income countries, where current resources and infrastructure may not be able to accommodate such comprehensive mental health care. </w:t>
      </w:r>
    </w:p>
    <w:p w14:paraId="250D4EF8" w14:textId="3046A1D6" w:rsidR="009839DB" w:rsidRPr="001E6B13" w:rsidRDefault="00E546C9" w:rsidP="001E6B13">
      <w:pPr>
        <w:pStyle w:val="Heading1"/>
        <w:rPr>
          <w:color w:val="auto"/>
        </w:rPr>
      </w:pPr>
      <w:r>
        <w:rPr>
          <w:color w:val="auto"/>
        </w:rPr>
        <w:t>Funding</w:t>
      </w:r>
    </w:p>
    <w:p w14:paraId="0CC5B754" w14:textId="07F683BF" w:rsidR="00453763" w:rsidRDefault="009839DB" w:rsidP="00453763">
      <w:r w:rsidRPr="007729C3">
        <w:t xml:space="preserve">This work </w:t>
      </w:r>
      <w:r w:rsidR="008468C4">
        <w:t>was partly</w:t>
      </w:r>
      <w:r w:rsidR="00DD21F1">
        <w:t xml:space="preserve"> </w:t>
      </w:r>
      <w:r w:rsidRPr="007729C3">
        <w:t>funded by the UK National Institute for Health Research (NIHR) Global Health Research as part of the IMPACT project (Project Number 17/63/130).</w:t>
      </w:r>
      <w:r w:rsidR="00A9685D" w:rsidRPr="00A9685D">
        <w:t xml:space="preserve"> This research was commissioned by the </w:t>
      </w:r>
      <w:r w:rsidR="00A9685D">
        <w:t>NIHR</w:t>
      </w:r>
      <w:r w:rsidR="00A9685D" w:rsidRPr="00A9685D">
        <w:t xml:space="preserve"> using Official Development Assistance (ODA) funding.</w:t>
      </w:r>
      <w:r w:rsidR="00453763">
        <w:t xml:space="preserve"> </w:t>
      </w:r>
      <w:r w:rsidR="008468C4">
        <w:t>Author</w:t>
      </w:r>
      <w:r w:rsidR="000C5045">
        <w:t>s</w:t>
      </w:r>
      <w:r w:rsidR="008468C4">
        <w:t xml:space="preserve"> EU</w:t>
      </w:r>
      <w:r w:rsidR="000C5045">
        <w:t xml:space="preserve"> and RC are</w:t>
      </w:r>
      <w:r w:rsidR="008468C4">
        <w:t xml:space="preserve"> part of the Cochrane Common Mental Disorders group, which is largely funded by the NIHR. </w:t>
      </w:r>
      <w:r w:rsidR="00453763">
        <w:t xml:space="preserve">Author NS was funded by the NIHR Collaboration for Leadership in Applied Health Research and Care Yorkshire and Humber (NIHR CLAHRC YH) </w:t>
      </w:r>
      <w:hyperlink r:id="rId9" w:history="1">
        <w:r w:rsidR="008468C4" w:rsidRPr="00367E0B">
          <w:rPr>
            <w:rStyle w:val="Hyperlink"/>
          </w:rPr>
          <w:t>www.clahrc-yh.nihr.ac.uk</w:t>
        </w:r>
      </w:hyperlink>
      <w:r w:rsidR="00453763">
        <w:t>. The views and opinions expressed are those of the authors, and not necessarily those of the NHS, the NIHR, or the Department of Health.</w:t>
      </w:r>
      <w:r w:rsidR="00A9685D" w:rsidRPr="00A9685D">
        <w:t xml:space="preserve"> </w:t>
      </w:r>
    </w:p>
    <w:p w14:paraId="00C56651" w14:textId="77777777" w:rsidR="000158CD" w:rsidRPr="001E6B13" w:rsidRDefault="0064457A" w:rsidP="001E6B13">
      <w:pPr>
        <w:pStyle w:val="Heading1"/>
        <w:rPr>
          <w:color w:val="auto"/>
        </w:rPr>
      </w:pPr>
      <w:r w:rsidRPr="001E6B13">
        <w:rPr>
          <w:color w:val="auto"/>
        </w:rPr>
        <w:t>Authorship contributions</w:t>
      </w:r>
    </w:p>
    <w:p w14:paraId="2FF2E01B" w14:textId="77777777" w:rsidR="000158CD" w:rsidRPr="00655BBE" w:rsidRDefault="00655BBE">
      <w:r>
        <w:t xml:space="preserve">RC, NS, LN and EU designed this study. EU, LN, RC, NS, IW, and </w:t>
      </w:r>
      <w:proofErr w:type="spellStart"/>
      <w:r>
        <w:t>JuW</w:t>
      </w:r>
      <w:proofErr w:type="spellEnd"/>
      <w:r>
        <w:t xml:space="preserve"> contributed to drafting the study protocol. </w:t>
      </w:r>
      <w:proofErr w:type="spellStart"/>
      <w:r>
        <w:t>JuW</w:t>
      </w:r>
      <w:proofErr w:type="spellEnd"/>
      <w:r>
        <w:t xml:space="preserve"> performed all searches. EU, LN, and IW screened the literature. LN, PM, and EU summarised and critically appraised the manuscript. NM advi</w:t>
      </w:r>
      <w:r w:rsidR="009E5DFC">
        <w:t>s</w:t>
      </w:r>
      <w:r>
        <w:t xml:space="preserve">ed on the data analyses and relevant sections of the manuscript. EU wrote the first draft and led the analyses. All authors contributed to </w:t>
      </w:r>
      <w:r w:rsidR="00B830CA">
        <w:t xml:space="preserve">the development of the study protocol and </w:t>
      </w:r>
      <w:r>
        <w:t xml:space="preserve">the writing of the manuscript from the first to the final draft. </w:t>
      </w:r>
    </w:p>
    <w:p w14:paraId="138C4BDF" w14:textId="77777777" w:rsidR="000158CD" w:rsidRPr="001E6B13" w:rsidRDefault="0064457A" w:rsidP="001E6B13">
      <w:pPr>
        <w:pStyle w:val="Heading1"/>
        <w:rPr>
          <w:color w:val="auto"/>
        </w:rPr>
      </w:pPr>
      <w:r w:rsidRPr="001E6B13">
        <w:rPr>
          <w:color w:val="auto"/>
        </w:rPr>
        <w:t>Competing</w:t>
      </w:r>
      <w:r w:rsidR="000158CD" w:rsidRPr="001E6B13">
        <w:rPr>
          <w:color w:val="auto"/>
        </w:rPr>
        <w:t xml:space="preserve"> interests</w:t>
      </w:r>
    </w:p>
    <w:p w14:paraId="084763BF" w14:textId="0F37327A" w:rsidR="000158CD" w:rsidRPr="00655BBE" w:rsidRDefault="00E546C9">
      <w:r w:rsidRPr="00E546C9">
        <w:t>The authors completed the Unified Competing Interest form at www.icmje.org/coi_disclosure.pdf (available upon request from the corresponding author), and de</w:t>
      </w:r>
      <w:r>
        <w:t>clare no conflicts of interest.</w:t>
      </w:r>
    </w:p>
    <w:p w14:paraId="35CA5B49" w14:textId="1E02509C" w:rsidR="00B31C6A" w:rsidRPr="001E6B13" w:rsidRDefault="00B8539D" w:rsidP="001E6B13">
      <w:pPr>
        <w:pStyle w:val="Heading1"/>
        <w:rPr>
          <w:color w:val="auto"/>
        </w:rPr>
      </w:pPr>
      <w:r>
        <w:rPr>
          <w:color w:val="auto"/>
        </w:rPr>
        <w:t>References</w:t>
      </w:r>
    </w:p>
    <w:p w14:paraId="2F1CC6E4" w14:textId="30C08C8C" w:rsidR="007D024A" w:rsidRPr="007D024A" w:rsidRDefault="008B64FD" w:rsidP="007D024A">
      <w:pPr>
        <w:rPr>
          <w:sz w:val="20"/>
        </w:rPr>
      </w:pPr>
      <w:r>
        <w:rPr>
          <w:sz w:val="20"/>
        </w:rPr>
        <w:t>1</w:t>
      </w:r>
      <w:r w:rsidR="00B63BF3">
        <w:rPr>
          <w:sz w:val="20"/>
        </w:rPr>
        <w:t xml:space="preserve"> </w:t>
      </w:r>
      <w:r w:rsidR="007D024A" w:rsidRPr="007D024A">
        <w:rPr>
          <w:sz w:val="20"/>
        </w:rPr>
        <w:t xml:space="preserve">World Health Organization. Depression and other Common Mental Disorders. Global Health Estimates. </w:t>
      </w:r>
      <w:r w:rsidR="00C745BF">
        <w:rPr>
          <w:sz w:val="20"/>
        </w:rPr>
        <w:t>World Health Organization</w:t>
      </w:r>
      <w:r w:rsidR="00260EFC">
        <w:rPr>
          <w:sz w:val="20"/>
        </w:rPr>
        <w:t>,</w:t>
      </w:r>
      <w:r w:rsidR="00C745BF">
        <w:rPr>
          <w:sz w:val="20"/>
        </w:rPr>
        <w:t xml:space="preserve"> 2017. Available: </w:t>
      </w:r>
      <w:r w:rsidR="00260EFC" w:rsidRPr="00260EFC">
        <w:rPr>
          <w:sz w:val="20"/>
        </w:rPr>
        <w:t>https://www.who.int/mental_health/management/depression/prevalence_global_health_estimates/en/</w:t>
      </w:r>
      <w:r w:rsidR="00260EFC">
        <w:rPr>
          <w:sz w:val="20"/>
        </w:rPr>
        <w:t>. Accessed: 8 Dec 2018.</w:t>
      </w:r>
    </w:p>
    <w:p w14:paraId="049C6FF5" w14:textId="7957B009" w:rsidR="00B63BF3" w:rsidRDefault="008B64FD" w:rsidP="007D024A">
      <w:pPr>
        <w:rPr>
          <w:sz w:val="20"/>
        </w:rPr>
      </w:pPr>
      <w:r>
        <w:rPr>
          <w:sz w:val="20"/>
        </w:rPr>
        <w:t>2</w:t>
      </w:r>
      <w:r w:rsidR="00B63BF3">
        <w:rPr>
          <w:sz w:val="20"/>
        </w:rPr>
        <w:t xml:space="preserve"> </w:t>
      </w:r>
      <w:r w:rsidR="00286D33">
        <w:rPr>
          <w:sz w:val="20"/>
        </w:rPr>
        <w:t xml:space="preserve">James SL, Abate D, Abate KH, </w:t>
      </w:r>
      <w:proofErr w:type="spellStart"/>
      <w:r w:rsidR="00286D33">
        <w:rPr>
          <w:sz w:val="20"/>
        </w:rPr>
        <w:t>Abay</w:t>
      </w:r>
      <w:proofErr w:type="spellEnd"/>
      <w:r w:rsidR="00286D33">
        <w:rPr>
          <w:sz w:val="20"/>
        </w:rPr>
        <w:t xml:space="preserve"> SM, </w:t>
      </w:r>
      <w:proofErr w:type="spellStart"/>
      <w:r w:rsidR="00286D33">
        <w:rPr>
          <w:sz w:val="20"/>
        </w:rPr>
        <w:t>Abbafati</w:t>
      </w:r>
      <w:proofErr w:type="spellEnd"/>
      <w:r w:rsidR="00286D33">
        <w:rPr>
          <w:sz w:val="20"/>
        </w:rPr>
        <w:t xml:space="preserve"> C, </w:t>
      </w:r>
      <w:proofErr w:type="spellStart"/>
      <w:r w:rsidR="00286D33">
        <w:rPr>
          <w:sz w:val="20"/>
        </w:rPr>
        <w:t>Abbasi</w:t>
      </w:r>
      <w:proofErr w:type="spellEnd"/>
      <w:r w:rsidR="00286D33">
        <w:rPr>
          <w:sz w:val="20"/>
        </w:rPr>
        <w:t xml:space="preserve"> N</w:t>
      </w:r>
      <w:r w:rsidR="00B63BF3">
        <w:rPr>
          <w:sz w:val="20"/>
        </w:rPr>
        <w:t>,</w:t>
      </w:r>
      <w:r w:rsidR="00286D33">
        <w:rPr>
          <w:sz w:val="20"/>
        </w:rPr>
        <w:t xml:space="preserve"> et al. Global, regional, and national incidence, prevalence, and years lived with disability for 354 diseases and injuries for 195 countries and territories, 1990-2017: A systematic analysis for the global burden of disease study </w:t>
      </w:r>
      <w:r w:rsidR="00B63BF3">
        <w:rPr>
          <w:sz w:val="20"/>
        </w:rPr>
        <w:t xml:space="preserve">2017. </w:t>
      </w:r>
      <w:r w:rsidR="00286D33">
        <w:rPr>
          <w:sz w:val="20"/>
        </w:rPr>
        <w:t>Lancet</w:t>
      </w:r>
      <w:r w:rsidR="00B30891">
        <w:rPr>
          <w:sz w:val="20"/>
        </w:rPr>
        <w:t xml:space="preserve">. 2018; </w:t>
      </w:r>
      <w:r w:rsidR="00286D33">
        <w:rPr>
          <w:sz w:val="20"/>
        </w:rPr>
        <w:t xml:space="preserve">392(10159):1789-1858. </w:t>
      </w:r>
      <w:r w:rsidR="00286D33" w:rsidRPr="007D024A" w:rsidDel="00286D33">
        <w:rPr>
          <w:sz w:val="20"/>
        </w:rPr>
        <w:t xml:space="preserve"> </w:t>
      </w:r>
    </w:p>
    <w:p w14:paraId="68CC9BFE" w14:textId="15F085FE" w:rsidR="007D024A" w:rsidRPr="00260EFC" w:rsidRDefault="008B64FD" w:rsidP="007D024A">
      <w:pPr>
        <w:rPr>
          <w:sz w:val="20"/>
        </w:rPr>
      </w:pPr>
      <w:r>
        <w:rPr>
          <w:sz w:val="20"/>
        </w:rPr>
        <w:lastRenderedPageBreak/>
        <w:t>3</w:t>
      </w:r>
      <w:r w:rsidR="00B63BF3">
        <w:rPr>
          <w:sz w:val="20"/>
        </w:rPr>
        <w:t xml:space="preserve"> </w:t>
      </w:r>
      <w:r w:rsidR="007D024A" w:rsidRPr="007D024A">
        <w:rPr>
          <w:sz w:val="20"/>
        </w:rPr>
        <w:t xml:space="preserve">Scott KM, </w:t>
      </w:r>
      <w:proofErr w:type="spellStart"/>
      <w:r w:rsidR="007D024A" w:rsidRPr="007D024A">
        <w:rPr>
          <w:sz w:val="20"/>
        </w:rPr>
        <w:t>Bruffaerts</w:t>
      </w:r>
      <w:proofErr w:type="spellEnd"/>
      <w:r w:rsidR="007D024A" w:rsidRPr="007D024A">
        <w:rPr>
          <w:sz w:val="20"/>
        </w:rPr>
        <w:t xml:space="preserve"> R, Tsang A, </w:t>
      </w:r>
      <w:proofErr w:type="spellStart"/>
      <w:r w:rsidR="007D024A" w:rsidRPr="007D024A">
        <w:rPr>
          <w:sz w:val="20"/>
        </w:rPr>
        <w:t>Ormel</w:t>
      </w:r>
      <w:proofErr w:type="spellEnd"/>
      <w:r w:rsidR="007D024A" w:rsidRPr="007D024A">
        <w:rPr>
          <w:sz w:val="20"/>
        </w:rPr>
        <w:t xml:space="preserve"> J, Alonso J, </w:t>
      </w:r>
      <w:proofErr w:type="spellStart"/>
      <w:r w:rsidR="007D024A" w:rsidRPr="007D024A">
        <w:rPr>
          <w:sz w:val="20"/>
        </w:rPr>
        <w:t>Angermeyer</w:t>
      </w:r>
      <w:proofErr w:type="spellEnd"/>
      <w:r w:rsidR="007D024A" w:rsidRPr="007D024A">
        <w:rPr>
          <w:sz w:val="20"/>
        </w:rPr>
        <w:t xml:space="preserve"> MC, et al. Depression–anxiety relationships with chronic physical conditions: Results from the World Mental Health sur</w:t>
      </w:r>
      <w:r>
        <w:rPr>
          <w:sz w:val="20"/>
        </w:rPr>
        <w:t>veys</w:t>
      </w:r>
      <w:r w:rsidRPr="00260EFC">
        <w:rPr>
          <w:sz w:val="20"/>
        </w:rPr>
        <w:t xml:space="preserve">. J Affect </w:t>
      </w:r>
      <w:proofErr w:type="spellStart"/>
      <w:r w:rsidRPr="00260EFC">
        <w:rPr>
          <w:sz w:val="20"/>
        </w:rPr>
        <w:t>Disord</w:t>
      </w:r>
      <w:proofErr w:type="spellEnd"/>
      <w:r w:rsidR="00260EFC">
        <w:rPr>
          <w:sz w:val="20"/>
        </w:rPr>
        <w:t>.</w:t>
      </w:r>
      <w:r w:rsidRPr="00260EFC">
        <w:rPr>
          <w:sz w:val="20"/>
        </w:rPr>
        <w:t xml:space="preserve"> </w:t>
      </w:r>
      <w:r w:rsidR="007D024A" w:rsidRPr="00260EFC">
        <w:rPr>
          <w:sz w:val="20"/>
        </w:rPr>
        <w:t xml:space="preserve"> 2007</w:t>
      </w:r>
      <w:proofErr w:type="gramStart"/>
      <w:r w:rsidR="007D024A" w:rsidRPr="00260EFC">
        <w:rPr>
          <w:sz w:val="20"/>
        </w:rPr>
        <w:t>;103</w:t>
      </w:r>
      <w:proofErr w:type="gramEnd"/>
      <w:r w:rsidR="007D024A" w:rsidRPr="00260EFC">
        <w:rPr>
          <w:sz w:val="20"/>
        </w:rPr>
        <w:t xml:space="preserve">(1):113–20. </w:t>
      </w:r>
    </w:p>
    <w:p w14:paraId="0C895570" w14:textId="2625A003" w:rsidR="007D024A" w:rsidRPr="00260EFC" w:rsidRDefault="008B64FD" w:rsidP="007D024A">
      <w:pPr>
        <w:rPr>
          <w:sz w:val="20"/>
        </w:rPr>
      </w:pPr>
      <w:r w:rsidRPr="00260EFC">
        <w:rPr>
          <w:sz w:val="20"/>
        </w:rPr>
        <w:t>4</w:t>
      </w:r>
      <w:r w:rsidR="00B63BF3">
        <w:rPr>
          <w:sz w:val="20"/>
        </w:rPr>
        <w:t xml:space="preserve"> </w:t>
      </w:r>
      <w:proofErr w:type="spellStart"/>
      <w:r w:rsidR="007D024A" w:rsidRPr="00260EFC">
        <w:rPr>
          <w:sz w:val="20"/>
        </w:rPr>
        <w:t>Wainberg</w:t>
      </w:r>
      <w:proofErr w:type="spellEnd"/>
      <w:r w:rsidR="007D024A" w:rsidRPr="00260EFC">
        <w:rPr>
          <w:sz w:val="20"/>
        </w:rPr>
        <w:t xml:space="preserve"> ML, </w:t>
      </w:r>
      <w:proofErr w:type="spellStart"/>
      <w:r w:rsidR="007D024A" w:rsidRPr="00260EFC">
        <w:rPr>
          <w:sz w:val="20"/>
        </w:rPr>
        <w:t>Scorza</w:t>
      </w:r>
      <w:proofErr w:type="spellEnd"/>
      <w:r w:rsidR="007D024A" w:rsidRPr="00260EFC">
        <w:rPr>
          <w:sz w:val="20"/>
        </w:rPr>
        <w:t xml:space="preserve"> P, Shultz JM, </w:t>
      </w:r>
      <w:proofErr w:type="spellStart"/>
      <w:r w:rsidR="007D024A" w:rsidRPr="00260EFC">
        <w:rPr>
          <w:sz w:val="20"/>
        </w:rPr>
        <w:t>Helpman</w:t>
      </w:r>
      <w:proofErr w:type="spellEnd"/>
      <w:r w:rsidR="007D024A" w:rsidRPr="00260EFC">
        <w:rPr>
          <w:sz w:val="20"/>
        </w:rPr>
        <w:t xml:space="preserve"> L, </w:t>
      </w:r>
      <w:proofErr w:type="spellStart"/>
      <w:r w:rsidR="007D024A" w:rsidRPr="00260EFC">
        <w:rPr>
          <w:sz w:val="20"/>
        </w:rPr>
        <w:t>Mootz</w:t>
      </w:r>
      <w:proofErr w:type="spellEnd"/>
      <w:r w:rsidR="007D024A" w:rsidRPr="00260EFC">
        <w:rPr>
          <w:sz w:val="20"/>
        </w:rPr>
        <w:t xml:space="preserve"> JJ, Johnson KA, et al. Challenges and Opportunities in Global Mental Health: a Research-to-Practice Per</w:t>
      </w:r>
      <w:r w:rsidRPr="00260EFC">
        <w:rPr>
          <w:sz w:val="20"/>
        </w:rPr>
        <w:t xml:space="preserve">spective. </w:t>
      </w:r>
      <w:proofErr w:type="spellStart"/>
      <w:r w:rsidRPr="00260EFC">
        <w:rPr>
          <w:sz w:val="20"/>
        </w:rPr>
        <w:t>Curr</w:t>
      </w:r>
      <w:proofErr w:type="spellEnd"/>
      <w:r w:rsidRPr="00260EFC">
        <w:rPr>
          <w:sz w:val="20"/>
        </w:rPr>
        <w:t xml:space="preserve"> Psychiatry Rep</w:t>
      </w:r>
      <w:r w:rsidR="00260EFC">
        <w:rPr>
          <w:sz w:val="20"/>
        </w:rPr>
        <w:t>.</w:t>
      </w:r>
      <w:r w:rsidRPr="00260EFC">
        <w:rPr>
          <w:sz w:val="20"/>
        </w:rPr>
        <w:t xml:space="preserve"> 2017</w:t>
      </w:r>
      <w:proofErr w:type="gramStart"/>
      <w:r w:rsidR="007D024A" w:rsidRPr="00260EFC">
        <w:rPr>
          <w:sz w:val="20"/>
        </w:rPr>
        <w:t>;19</w:t>
      </w:r>
      <w:proofErr w:type="gramEnd"/>
      <w:r w:rsidR="007D024A" w:rsidRPr="00260EFC">
        <w:rPr>
          <w:sz w:val="20"/>
        </w:rPr>
        <w:t xml:space="preserve">(5):28. </w:t>
      </w:r>
    </w:p>
    <w:p w14:paraId="0B9F6E53" w14:textId="680AA28F" w:rsidR="007D024A" w:rsidRPr="00260EFC" w:rsidRDefault="008B64FD" w:rsidP="007D024A">
      <w:pPr>
        <w:rPr>
          <w:sz w:val="20"/>
        </w:rPr>
      </w:pPr>
      <w:r w:rsidRPr="00260EFC">
        <w:rPr>
          <w:sz w:val="20"/>
        </w:rPr>
        <w:t>5</w:t>
      </w:r>
      <w:r w:rsidR="00B63BF3">
        <w:rPr>
          <w:sz w:val="20"/>
        </w:rPr>
        <w:t xml:space="preserve"> </w:t>
      </w:r>
      <w:r w:rsidR="007D024A" w:rsidRPr="00260EFC">
        <w:rPr>
          <w:sz w:val="20"/>
        </w:rPr>
        <w:t>World Health Organization. Management of physical health conditions in adults with se</w:t>
      </w:r>
      <w:r w:rsidRPr="00260EFC">
        <w:rPr>
          <w:sz w:val="20"/>
        </w:rPr>
        <w:t>vere mental disorders</w:t>
      </w:r>
      <w:r w:rsidR="007D024A" w:rsidRPr="00260EFC">
        <w:rPr>
          <w:sz w:val="20"/>
        </w:rPr>
        <w:t xml:space="preserve">. </w:t>
      </w:r>
      <w:r w:rsidR="00C745BF" w:rsidRPr="00260EFC">
        <w:rPr>
          <w:sz w:val="20"/>
        </w:rPr>
        <w:t>World Health Organization</w:t>
      </w:r>
      <w:r w:rsidR="00260EFC">
        <w:rPr>
          <w:sz w:val="20"/>
        </w:rPr>
        <w:t>,</w:t>
      </w:r>
      <w:r w:rsidR="007D024A" w:rsidRPr="00260EFC">
        <w:rPr>
          <w:sz w:val="20"/>
        </w:rPr>
        <w:t xml:space="preserve"> 2018</w:t>
      </w:r>
      <w:r w:rsidR="00260EFC">
        <w:rPr>
          <w:sz w:val="20"/>
        </w:rPr>
        <w:t xml:space="preserve">. </w:t>
      </w:r>
      <w:r w:rsidR="007D024A" w:rsidRPr="00260EFC">
        <w:rPr>
          <w:sz w:val="20"/>
        </w:rPr>
        <w:t xml:space="preserve">Available: </w:t>
      </w:r>
      <w:r w:rsidR="00260EFC" w:rsidRPr="00260EFC">
        <w:rPr>
          <w:sz w:val="20"/>
        </w:rPr>
        <w:t>http://apps.who.int/iris/bitstream/handle/10665/275718/9789241550383-eng.pdf</w:t>
      </w:r>
      <w:r w:rsidR="00260EFC">
        <w:rPr>
          <w:sz w:val="20"/>
        </w:rPr>
        <w:t>. Accessed: 20 Dec 2018.</w:t>
      </w:r>
      <w:r w:rsidRPr="00260EFC">
        <w:rPr>
          <w:sz w:val="20"/>
        </w:rPr>
        <w:t xml:space="preserve"> </w:t>
      </w:r>
    </w:p>
    <w:p w14:paraId="7E582850" w14:textId="572F2EC2" w:rsidR="007D024A" w:rsidRPr="00260EFC" w:rsidRDefault="00B63BF3" w:rsidP="007D024A">
      <w:pPr>
        <w:rPr>
          <w:sz w:val="20"/>
        </w:rPr>
      </w:pPr>
      <w:r>
        <w:rPr>
          <w:sz w:val="20"/>
        </w:rPr>
        <w:t xml:space="preserve">6 </w:t>
      </w:r>
      <w:r w:rsidR="007D024A" w:rsidRPr="00260EFC">
        <w:rPr>
          <w:sz w:val="20"/>
        </w:rPr>
        <w:t xml:space="preserve">WHO. </w:t>
      </w:r>
      <w:proofErr w:type="spellStart"/>
      <w:r w:rsidR="007D024A" w:rsidRPr="00260EFC">
        <w:rPr>
          <w:sz w:val="20"/>
        </w:rPr>
        <w:t>mhGAP</w:t>
      </w:r>
      <w:proofErr w:type="spellEnd"/>
      <w:r w:rsidR="007D024A" w:rsidRPr="00260EFC">
        <w:rPr>
          <w:sz w:val="20"/>
        </w:rPr>
        <w:t xml:space="preserve"> FORUM 2017. Mental health capacity building within countries. Ninth Meeting of the </w:t>
      </w:r>
      <w:proofErr w:type="spellStart"/>
      <w:r w:rsidR="007D024A" w:rsidRPr="00260EFC">
        <w:rPr>
          <w:sz w:val="20"/>
        </w:rPr>
        <w:t>mhGAP</w:t>
      </w:r>
      <w:proofErr w:type="spellEnd"/>
      <w:r w:rsidR="007D024A" w:rsidRPr="00260EFC">
        <w:rPr>
          <w:sz w:val="20"/>
        </w:rPr>
        <w:t xml:space="preserve"> Forum. Summary Report. </w:t>
      </w:r>
      <w:r w:rsidR="00C745BF" w:rsidRPr="00260EFC">
        <w:rPr>
          <w:sz w:val="20"/>
        </w:rPr>
        <w:t>World Health Organization</w:t>
      </w:r>
      <w:r w:rsidR="00260EFC">
        <w:rPr>
          <w:sz w:val="20"/>
        </w:rPr>
        <w:t>,</w:t>
      </w:r>
      <w:r w:rsidR="007D024A" w:rsidRPr="00260EFC">
        <w:rPr>
          <w:sz w:val="20"/>
        </w:rPr>
        <w:t xml:space="preserve"> 2017. Available: </w:t>
      </w:r>
      <w:r w:rsidR="00260EFC" w:rsidRPr="00260EFC">
        <w:rPr>
          <w:sz w:val="20"/>
        </w:rPr>
        <w:t>http://www.who.int/mental_health/mhgap/mhGAP_forum_report_2017.pdf</w:t>
      </w:r>
      <w:r w:rsidR="00260EFC">
        <w:rPr>
          <w:sz w:val="20"/>
        </w:rPr>
        <w:t>. Accessed: 20 Dec 2018.</w:t>
      </w:r>
      <w:r w:rsidR="008B64FD" w:rsidRPr="00260EFC">
        <w:rPr>
          <w:sz w:val="20"/>
        </w:rPr>
        <w:t xml:space="preserve"> </w:t>
      </w:r>
    </w:p>
    <w:p w14:paraId="170F6DD1" w14:textId="42DC7941" w:rsidR="007D024A" w:rsidRPr="00260EFC" w:rsidRDefault="008B64FD" w:rsidP="007D024A">
      <w:pPr>
        <w:rPr>
          <w:sz w:val="20"/>
        </w:rPr>
      </w:pPr>
      <w:r w:rsidRPr="00260EFC">
        <w:rPr>
          <w:sz w:val="20"/>
        </w:rPr>
        <w:t>7</w:t>
      </w:r>
      <w:r w:rsidR="00B63BF3">
        <w:rPr>
          <w:sz w:val="20"/>
        </w:rPr>
        <w:t xml:space="preserve"> </w:t>
      </w:r>
      <w:r w:rsidR="007D024A" w:rsidRPr="00260EFC">
        <w:rPr>
          <w:sz w:val="20"/>
        </w:rPr>
        <w:t xml:space="preserve">Patel V, </w:t>
      </w:r>
      <w:proofErr w:type="spellStart"/>
      <w:r w:rsidR="007D024A" w:rsidRPr="00260EFC">
        <w:rPr>
          <w:sz w:val="20"/>
        </w:rPr>
        <w:t>Saxena</w:t>
      </w:r>
      <w:proofErr w:type="spellEnd"/>
      <w:r w:rsidR="007D024A" w:rsidRPr="00260EFC">
        <w:rPr>
          <w:sz w:val="20"/>
        </w:rPr>
        <w:t xml:space="preserve"> S, Lund C, </w:t>
      </w:r>
      <w:proofErr w:type="spellStart"/>
      <w:r w:rsidR="007D024A" w:rsidRPr="00260EFC">
        <w:rPr>
          <w:sz w:val="20"/>
        </w:rPr>
        <w:t>Thornicroft</w:t>
      </w:r>
      <w:proofErr w:type="spellEnd"/>
      <w:r w:rsidR="007D024A" w:rsidRPr="00260EFC">
        <w:rPr>
          <w:sz w:val="20"/>
        </w:rPr>
        <w:t xml:space="preserve"> G, </w:t>
      </w:r>
      <w:proofErr w:type="spellStart"/>
      <w:r w:rsidR="007D024A" w:rsidRPr="00260EFC">
        <w:rPr>
          <w:sz w:val="20"/>
        </w:rPr>
        <w:t>Baingana</w:t>
      </w:r>
      <w:proofErr w:type="spellEnd"/>
      <w:r w:rsidR="007D024A" w:rsidRPr="00260EFC">
        <w:rPr>
          <w:sz w:val="20"/>
        </w:rPr>
        <w:t xml:space="preserve"> F, Bolton P, et al. The Lancet Commission on global mental health and sustainable development. Lancet</w:t>
      </w:r>
      <w:r w:rsidR="00260EFC">
        <w:rPr>
          <w:sz w:val="20"/>
        </w:rPr>
        <w:t>.</w:t>
      </w:r>
      <w:r w:rsidR="007D024A" w:rsidRPr="00260EFC">
        <w:rPr>
          <w:sz w:val="20"/>
        </w:rPr>
        <w:t xml:space="preserve"> 2018</w:t>
      </w:r>
      <w:proofErr w:type="gramStart"/>
      <w:r w:rsidR="007D024A" w:rsidRPr="00260EFC">
        <w:rPr>
          <w:sz w:val="20"/>
        </w:rPr>
        <w:t>;392</w:t>
      </w:r>
      <w:proofErr w:type="gramEnd"/>
      <w:r w:rsidR="007D024A" w:rsidRPr="00260EFC">
        <w:rPr>
          <w:sz w:val="20"/>
        </w:rPr>
        <w:t xml:space="preserve">(10157):1553–98. </w:t>
      </w:r>
    </w:p>
    <w:p w14:paraId="45F49C01" w14:textId="6C4297A4" w:rsidR="007D024A" w:rsidRPr="00260EFC" w:rsidRDefault="008B64FD" w:rsidP="007D024A">
      <w:pPr>
        <w:rPr>
          <w:sz w:val="20"/>
        </w:rPr>
      </w:pPr>
      <w:r w:rsidRPr="00260EFC">
        <w:rPr>
          <w:sz w:val="20"/>
        </w:rPr>
        <w:t>8</w:t>
      </w:r>
      <w:r w:rsidR="00920D61">
        <w:rPr>
          <w:sz w:val="20"/>
        </w:rPr>
        <w:t xml:space="preserve"> </w:t>
      </w:r>
      <w:r w:rsidR="007D024A" w:rsidRPr="00260EFC">
        <w:rPr>
          <w:sz w:val="20"/>
        </w:rPr>
        <w:t>UN. World Population Prospects. Key findi</w:t>
      </w:r>
      <w:r w:rsidRPr="00260EFC">
        <w:rPr>
          <w:sz w:val="20"/>
        </w:rPr>
        <w:t>ngs &amp; advance tables</w:t>
      </w:r>
      <w:r w:rsidR="007D024A" w:rsidRPr="00260EFC">
        <w:rPr>
          <w:sz w:val="20"/>
        </w:rPr>
        <w:t xml:space="preserve">. </w:t>
      </w:r>
      <w:r w:rsidR="00C745BF" w:rsidRPr="00260EFC">
        <w:rPr>
          <w:sz w:val="20"/>
        </w:rPr>
        <w:t>United Nations</w:t>
      </w:r>
      <w:r w:rsidR="00260EFC">
        <w:rPr>
          <w:sz w:val="20"/>
        </w:rPr>
        <w:t>,</w:t>
      </w:r>
      <w:r w:rsidR="007D024A" w:rsidRPr="00260EFC">
        <w:rPr>
          <w:sz w:val="20"/>
        </w:rPr>
        <w:t xml:space="preserve"> 2017</w:t>
      </w:r>
      <w:r w:rsidR="00260EFC">
        <w:rPr>
          <w:sz w:val="20"/>
        </w:rPr>
        <w:t>. Available</w:t>
      </w:r>
      <w:r w:rsidR="007D024A" w:rsidRPr="00260EFC">
        <w:rPr>
          <w:sz w:val="20"/>
        </w:rPr>
        <w:t xml:space="preserve">: </w:t>
      </w:r>
      <w:r w:rsidR="00260EFC" w:rsidRPr="00260EFC">
        <w:rPr>
          <w:sz w:val="20"/>
        </w:rPr>
        <w:t>https://population.un.org/wpp/Publications/Files/WPP2017_KeyFindings.pdf</w:t>
      </w:r>
      <w:r w:rsidR="00260EFC">
        <w:rPr>
          <w:sz w:val="20"/>
        </w:rPr>
        <w:t>. Accessed: 20 Dec 2018.</w:t>
      </w:r>
    </w:p>
    <w:p w14:paraId="5411AB3A" w14:textId="3024FB86" w:rsidR="007D024A" w:rsidRPr="00260EFC" w:rsidRDefault="008B64FD" w:rsidP="007D024A">
      <w:pPr>
        <w:rPr>
          <w:sz w:val="20"/>
        </w:rPr>
      </w:pPr>
      <w:r w:rsidRPr="00260EFC">
        <w:rPr>
          <w:sz w:val="20"/>
        </w:rPr>
        <w:t>9</w:t>
      </w:r>
      <w:r w:rsidR="00920D61">
        <w:rPr>
          <w:sz w:val="20"/>
        </w:rPr>
        <w:t xml:space="preserve"> </w:t>
      </w:r>
      <w:proofErr w:type="spellStart"/>
      <w:r w:rsidR="007D024A" w:rsidRPr="00260EFC">
        <w:rPr>
          <w:sz w:val="20"/>
        </w:rPr>
        <w:t>Dandona</w:t>
      </w:r>
      <w:proofErr w:type="spellEnd"/>
      <w:r w:rsidR="007D024A" w:rsidRPr="00260EFC">
        <w:rPr>
          <w:sz w:val="20"/>
        </w:rPr>
        <w:t xml:space="preserve"> L, </w:t>
      </w:r>
      <w:proofErr w:type="spellStart"/>
      <w:r w:rsidR="007D024A" w:rsidRPr="00260EFC">
        <w:rPr>
          <w:sz w:val="20"/>
        </w:rPr>
        <w:t>Dandona</w:t>
      </w:r>
      <w:proofErr w:type="spellEnd"/>
      <w:r w:rsidR="007D024A" w:rsidRPr="00260EFC">
        <w:rPr>
          <w:sz w:val="20"/>
        </w:rPr>
        <w:t xml:space="preserve"> R, Kumar GA, Shukla DK, Paul VK, Balakrishnan K, et al. Nations within a nation: variations in epidemiological transition across the states of India, 1990, 2013 and 2016 in the Global Burden of Disease Stud</w:t>
      </w:r>
      <w:r w:rsidRPr="00260EFC">
        <w:rPr>
          <w:sz w:val="20"/>
        </w:rPr>
        <w:t>y. Lancet</w:t>
      </w:r>
      <w:r w:rsidR="00260EFC">
        <w:rPr>
          <w:sz w:val="20"/>
        </w:rPr>
        <w:t>.</w:t>
      </w:r>
      <w:r w:rsidRPr="00260EFC">
        <w:rPr>
          <w:sz w:val="20"/>
        </w:rPr>
        <w:t xml:space="preserve"> 2017</w:t>
      </w:r>
      <w:proofErr w:type="gramStart"/>
      <w:r w:rsidR="007D024A" w:rsidRPr="00260EFC">
        <w:rPr>
          <w:sz w:val="20"/>
        </w:rPr>
        <w:t>;390</w:t>
      </w:r>
      <w:proofErr w:type="gramEnd"/>
      <w:r w:rsidR="007D024A" w:rsidRPr="00260EFC">
        <w:rPr>
          <w:sz w:val="20"/>
        </w:rPr>
        <w:t xml:space="preserve">(10111):2437–60. </w:t>
      </w:r>
    </w:p>
    <w:p w14:paraId="44E2BA3E" w14:textId="79C4A2DA" w:rsidR="007D024A" w:rsidRPr="00260EFC" w:rsidRDefault="00920D61" w:rsidP="007D024A">
      <w:pPr>
        <w:rPr>
          <w:sz w:val="20"/>
        </w:rPr>
      </w:pPr>
      <w:r>
        <w:rPr>
          <w:sz w:val="20"/>
        </w:rPr>
        <w:t xml:space="preserve">10 </w:t>
      </w:r>
      <w:r w:rsidR="007D024A" w:rsidRPr="00260EFC">
        <w:rPr>
          <w:sz w:val="20"/>
        </w:rPr>
        <w:t xml:space="preserve">Salvi S, Kumar GA, Dhaliwal RS, Paulson K, Agrawal A, </w:t>
      </w:r>
      <w:proofErr w:type="spellStart"/>
      <w:r w:rsidR="007D024A" w:rsidRPr="00260EFC">
        <w:rPr>
          <w:sz w:val="20"/>
        </w:rPr>
        <w:t>Koul</w:t>
      </w:r>
      <w:proofErr w:type="spellEnd"/>
      <w:r w:rsidR="007D024A" w:rsidRPr="00260EFC">
        <w:rPr>
          <w:sz w:val="20"/>
        </w:rPr>
        <w:t xml:space="preserve"> PA, et al. The burden of chronic respiratory diseases and their heterogeneity across the states of India: the Global Burden of Disease Study 1990</w:t>
      </w:r>
      <w:r w:rsidR="00ED0EFA" w:rsidRPr="00260EFC">
        <w:rPr>
          <w:sz w:val="20"/>
        </w:rPr>
        <w:t>–2016.</w:t>
      </w:r>
      <w:r w:rsidR="007D024A" w:rsidRPr="00260EFC">
        <w:rPr>
          <w:sz w:val="20"/>
        </w:rPr>
        <w:t xml:space="preserve"> Lancet Glob Heal</w:t>
      </w:r>
      <w:r w:rsidR="00260EFC">
        <w:rPr>
          <w:sz w:val="20"/>
        </w:rPr>
        <w:t>.</w:t>
      </w:r>
      <w:r w:rsidR="007D024A" w:rsidRPr="00260EFC">
        <w:rPr>
          <w:sz w:val="20"/>
        </w:rPr>
        <w:t xml:space="preserve"> </w:t>
      </w:r>
      <w:r w:rsidR="00C472CB">
        <w:rPr>
          <w:sz w:val="20"/>
        </w:rPr>
        <w:t>2018</w:t>
      </w:r>
      <w:proofErr w:type="gramStart"/>
      <w:r w:rsidR="00C472CB">
        <w:rPr>
          <w:sz w:val="20"/>
        </w:rPr>
        <w:t>;</w:t>
      </w:r>
      <w:r>
        <w:rPr>
          <w:sz w:val="20"/>
        </w:rPr>
        <w:t>6</w:t>
      </w:r>
      <w:proofErr w:type="gramEnd"/>
      <w:r>
        <w:rPr>
          <w:sz w:val="20"/>
        </w:rPr>
        <w:t>(12)</w:t>
      </w:r>
      <w:r w:rsidR="00C472CB">
        <w:rPr>
          <w:sz w:val="20"/>
        </w:rPr>
        <w:t>:</w:t>
      </w:r>
      <w:r w:rsidR="008B64FD" w:rsidRPr="00260EFC">
        <w:rPr>
          <w:sz w:val="20"/>
        </w:rPr>
        <w:t>e1363–74.</w:t>
      </w:r>
    </w:p>
    <w:p w14:paraId="490FC520" w14:textId="691B4D11" w:rsidR="007D024A" w:rsidRPr="00260EFC" w:rsidRDefault="008B64FD" w:rsidP="007D024A">
      <w:pPr>
        <w:rPr>
          <w:sz w:val="20"/>
        </w:rPr>
      </w:pPr>
      <w:r w:rsidRPr="00260EFC">
        <w:rPr>
          <w:sz w:val="20"/>
        </w:rPr>
        <w:t>11</w:t>
      </w:r>
      <w:r w:rsidR="00920D61">
        <w:rPr>
          <w:sz w:val="20"/>
        </w:rPr>
        <w:t xml:space="preserve"> </w:t>
      </w:r>
      <w:r w:rsidR="007D024A" w:rsidRPr="00260EFC">
        <w:rPr>
          <w:sz w:val="20"/>
        </w:rPr>
        <w:t xml:space="preserve">Hay SI, </w:t>
      </w:r>
      <w:proofErr w:type="spellStart"/>
      <w:r w:rsidR="007D024A" w:rsidRPr="00260EFC">
        <w:rPr>
          <w:sz w:val="20"/>
        </w:rPr>
        <w:t>Abajobir</w:t>
      </w:r>
      <w:proofErr w:type="spellEnd"/>
      <w:r w:rsidR="007D024A" w:rsidRPr="00260EFC">
        <w:rPr>
          <w:sz w:val="20"/>
        </w:rPr>
        <w:t xml:space="preserve"> AA, Abate KH, </w:t>
      </w:r>
      <w:proofErr w:type="spellStart"/>
      <w:r w:rsidR="007D024A" w:rsidRPr="00260EFC">
        <w:rPr>
          <w:sz w:val="20"/>
        </w:rPr>
        <w:t>Abbafati</w:t>
      </w:r>
      <w:proofErr w:type="spellEnd"/>
      <w:r w:rsidR="007D024A" w:rsidRPr="00260EFC">
        <w:rPr>
          <w:sz w:val="20"/>
        </w:rPr>
        <w:t xml:space="preserve"> C, Abbas KM, Abd-Allah F, et al. Global, regional, and national disability-adjusted life-years (DALYs) for 333 diseases and injuries and healthy life expectancy (HALE) for 195 countries and territories, 1990</w:t>
      </w:r>
      <w:r w:rsidR="00ED0EFA" w:rsidRPr="00260EFC">
        <w:rPr>
          <w:sz w:val="20"/>
        </w:rPr>
        <w:t>–</w:t>
      </w:r>
      <w:r w:rsidR="007D024A" w:rsidRPr="00260EFC">
        <w:rPr>
          <w:sz w:val="20"/>
        </w:rPr>
        <w:t>2016: a systematic analysis for the Global Burden of Disease Study 2016. Lancet</w:t>
      </w:r>
      <w:r w:rsidR="00260EFC">
        <w:rPr>
          <w:sz w:val="20"/>
        </w:rPr>
        <w:t>.</w:t>
      </w:r>
      <w:r w:rsidR="007D024A" w:rsidRPr="00260EFC">
        <w:rPr>
          <w:sz w:val="20"/>
        </w:rPr>
        <w:t xml:space="preserve"> </w:t>
      </w:r>
      <w:r w:rsidR="00ED0EFA" w:rsidRPr="00260EFC">
        <w:rPr>
          <w:sz w:val="20"/>
        </w:rPr>
        <w:t>2017</w:t>
      </w:r>
      <w:proofErr w:type="gramStart"/>
      <w:r w:rsidR="007D024A" w:rsidRPr="00260EFC">
        <w:rPr>
          <w:sz w:val="20"/>
        </w:rPr>
        <w:t>;390</w:t>
      </w:r>
      <w:proofErr w:type="gramEnd"/>
      <w:r w:rsidR="007D024A" w:rsidRPr="00260EFC">
        <w:rPr>
          <w:sz w:val="20"/>
        </w:rPr>
        <w:t xml:space="preserve">(10100):1260–344. </w:t>
      </w:r>
    </w:p>
    <w:p w14:paraId="7D0A25FA" w14:textId="7A0EE084" w:rsidR="007D024A" w:rsidRPr="00260EFC" w:rsidRDefault="008B64FD" w:rsidP="007D024A">
      <w:pPr>
        <w:rPr>
          <w:sz w:val="20"/>
        </w:rPr>
      </w:pPr>
      <w:r w:rsidRPr="00260EFC">
        <w:rPr>
          <w:sz w:val="20"/>
        </w:rPr>
        <w:t>12</w:t>
      </w:r>
      <w:r w:rsidR="00920D61">
        <w:rPr>
          <w:sz w:val="20"/>
        </w:rPr>
        <w:t xml:space="preserve"> </w:t>
      </w:r>
      <w:proofErr w:type="spellStart"/>
      <w:r w:rsidR="007D024A" w:rsidRPr="00260EFC">
        <w:rPr>
          <w:sz w:val="20"/>
        </w:rPr>
        <w:t>Tandon</w:t>
      </w:r>
      <w:proofErr w:type="spellEnd"/>
      <w:r w:rsidR="007D024A" w:rsidRPr="00260EFC">
        <w:rPr>
          <w:sz w:val="20"/>
        </w:rPr>
        <w:t xml:space="preserve"> N, </w:t>
      </w:r>
      <w:proofErr w:type="spellStart"/>
      <w:r w:rsidR="007D024A" w:rsidRPr="00260EFC">
        <w:rPr>
          <w:sz w:val="20"/>
        </w:rPr>
        <w:t>Anjana</w:t>
      </w:r>
      <w:proofErr w:type="spellEnd"/>
      <w:r w:rsidR="007D024A" w:rsidRPr="00260EFC">
        <w:rPr>
          <w:sz w:val="20"/>
        </w:rPr>
        <w:t xml:space="preserve"> RM, Mohan V, Kaur T, Afshin A, Ong K, et al. The increasing burden of diabetes and variations among the states of India: the Global Burden of Disease Study 1990</w:t>
      </w:r>
      <w:r w:rsidR="00ED0EFA" w:rsidRPr="00260EFC">
        <w:rPr>
          <w:sz w:val="20"/>
        </w:rPr>
        <w:t>–</w:t>
      </w:r>
      <w:r w:rsidR="007D024A" w:rsidRPr="00260EFC">
        <w:rPr>
          <w:sz w:val="20"/>
        </w:rPr>
        <w:t>2016. Lancet Glob Heal</w:t>
      </w:r>
      <w:r w:rsidR="00260EFC">
        <w:rPr>
          <w:sz w:val="20"/>
        </w:rPr>
        <w:t>.</w:t>
      </w:r>
      <w:r w:rsidR="007D024A" w:rsidRPr="00260EFC">
        <w:rPr>
          <w:sz w:val="20"/>
        </w:rPr>
        <w:t xml:space="preserve"> 2018</w:t>
      </w:r>
      <w:proofErr w:type="gramStart"/>
      <w:r w:rsidR="00C472CB">
        <w:rPr>
          <w:sz w:val="20"/>
        </w:rPr>
        <w:t>;</w:t>
      </w:r>
      <w:r w:rsidR="00920D61">
        <w:rPr>
          <w:sz w:val="20"/>
        </w:rPr>
        <w:t>6</w:t>
      </w:r>
      <w:proofErr w:type="gramEnd"/>
      <w:r w:rsidR="00920D61">
        <w:rPr>
          <w:sz w:val="20"/>
        </w:rPr>
        <w:t>(12):</w:t>
      </w:r>
      <w:r w:rsidR="00ED0EFA" w:rsidRPr="00260EFC">
        <w:rPr>
          <w:sz w:val="20"/>
        </w:rPr>
        <w:t>e1352–62.</w:t>
      </w:r>
    </w:p>
    <w:p w14:paraId="095FE15C" w14:textId="7E185EA3" w:rsidR="007D024A" w:rsidRPr="00260EFC" w:rsidRDefault="008B64FD" w:rsidP="007D024A">
      <w:pPr>
        <w:rPr>
          <w:sz w:val="20"/>
        </w:rPr>
      </w:pPr>
      <w:r w:rsidRPr="00260EFC">
        <w:rPr>
          <w:sz w:val="20"/>
        </w:rPr>
        <w:t>13</w:t>
      </w:r>
      <w:r w:rsidR="00920D61">
        <w:rPr>
          <w:sz w:val="20"/>
        </w:rPr>
        <w:t xml:space="preserve"> </w:t>
      </w:r>
      <w:proofErr w:type="spellStart"/>
      <w:r w:rsidR="007D024A" w:rsidRPr="00260EFC">
        <w:rPr>
          <w:sz w:val="20"/>
        </w:rPr>
        <w:t>Beagley</w:t>
      </w:r>
      <w:proofErr w:type="spellEnd"/>
      <w:r w:rsidR="007D024A" w:rsidRPr="00260EFC">
        <w:rPr>
          <w:sz w:val="20"/>
        </w:rPr>
        <w:t xml:space="preserve"> J, </w:t>
      </w:r>
      <w:proofErr w:type="spellStart"/>
      <w:r w:rsidR="007D024A" w:rsidRPr="00260EFC">
        <w:rPr>
          <w:sz w:val="20"/>
        </w:rPr>
        <w:t>Guariguata</w:t>
      </w:r>
      <w:proofErr w:type="spellEnd"/>
      <w:r w:rsidR="007D024A" w:rsidRPr="00260EFC">
        <w:rPr>
          <w:sz w:val="20"/>
        </w:rPr>
        <w:t xml:space="preserve"> L, Weil C, </w:t>
      </w:r>
      <w:proofErr w:type="spellStart"/>
      <w:r w:rsidR="007D024A" w:rsidRPr="00260EFC">
        <w:rPr>
          <w:sz w:val="20"/>
        </w:rPr>
        <w:t>Motala</w:t>
      </w:r>
      <w:proofErr w:type="spellEnd"/>
      <w:r w:rsidR="007D024A" w:rsidRPr="00260EFC">
        <w:rPr>
          <w:sz w:val="20"/>
        </w:rPr>
        <w:t xml:space="preserve"> AA. Global estimates of undiagnosed diabetes in adults. Diabetes Res </w:t>
      </w:r>
      <w:proofErr w:type="spellStart"/>
      <w:r w:rsidR="007D024A" w:rsidRPr="00260EFC">
        <w:rPr>
          <w:sz w:val="20"/>
        </w:rPr>
        <w:t>Clin</w:t>
      </w:r>
      <w:proofErr w:type="spellEnd"/>
      <w:r w:rsidR="007D024A" w:rsidRPr="00260EFC">
        <w:rPr>
          <w:sz w:val="20"/>
        </w:rPr>
        <w:t xml:space="preserve"> </w:t>
      </w:r>
      <w:proofErr w:type="spellStart"/>
      <w:r w:rsidR="007D024A" w:rsidRPr="00260EFC">
        <w:rPr>
          <w:sz w:val="20"/>
        </w:rPr>
        <w:t>Pract</w:t>
      </w:r>
      <w:proofErr w:type="spellEnd"/>
      <w:r w:rsidR="00260EFC">
        <w:rPr>
          <w:sz w:val="20"/>
        </w:rPr>
        <w:t>.</w:t>
      </w:r>
      <w:r w:rsidR="007D024A" w:rsidRPr="00260EFC">
        <w:rPr>
          <w:sz w:val="20"/>
        </w:rPr>
        <w:t xml:space="preserve"> 2014</w:t>
      </w:r>
      <w:proofErr w:type="gramStart"/>
      <w:r w:rsidR="007D024A" w:rsidRPr="00260EFC">
        <w:rPr>
          <w:sz w:val="20"/>
        </w:rPr>
        <w:t>;103</w:t>
      </w:r>
      <w:proofErr w:type="gramEnd"/>
      <w:r w:rsidR="007D024A" w:rsidRPr="00260EFC">
        <w:rPr>
          <w:sz w:val="20"/>
        </w:rPr>
        <w:t xml:space="preserve">(2):150–60. </w:t>
      </w:r>
    </w:p>
    <w:p w14:paraId="3E552B83" w14:textId="4FF93E0C" w:rsidR="007D024A" w:rsidRPr="00260EFC" w:rsidRDefault="008B64FD" w:rsidP="007D024A">
      <w:pPr>
        <w:rPr>
          <w:sz w:val="20"/>
        </w:rPr>
      </w:pPr>
      <w:r w:rsidRPr="00260EFC">
        <w:rPr>
          <w:sz w:val="20"/>
        </w:rPr>
        <w:t>14</w:t>
      </w:r>
      <w:r w:rsidR="00920D61">
        <w:rPr>
          <w:sz w:val="20"/>
        </w:rPr>
        <w:t xml:space="preserve"> </w:t>
      </w:r>
      <w:proofErr w:type="spellStart"/>
      <w:r w:rsidR="007D024A" w:rsidRPr="00260EFC">
        <w:rPr>
          <w:sz w:val="20"/>
        </w:rPr>
        <w:t>Unnikrishnan</w:t>
      </w:r>
      <w:proofErr w:type="spellEnd"/>
      <w:r w:rsidR="007D024A" w:rsidRPr="00260EFC">
        <w:rPr>
          <w:sz w:val="20"/>
        </w:rPr>
        <w:t xml:space="preserve"> R, </w:t>
      </w:r>
      <w:proofErr w:type="spellStart"/>
      <w:r w:rsidR="007D024A" w:rsidRPr="00260EFC">
        <w:rPr>
          <w:sz w:val="20"/>
        </w:rPr>
        <w:t>Anjana</w:t>
      </w:r>
      <w:proofErr w:type="spellEnd"/>
      <w:r w:rsidR="007D024A" w:rsidRPr="00260EFC">
        <w:rPr>
          <w:sz w:val="20"/>
        </w:rPr>
        <w:t xml:space="preserve"> RM, Mohan V. Diabetes mellitus and its complications in India. Nat Rev Endocrinol</w:t>
      </w:r>
      <w:r w:rsidR="00260EFC">
        <w:rPr>
          <w:sz w:val="20"/>
        </w:rPr>
        <w:t>.</w:t>
      </w:r>
      <w:r w:rsidR="007D024A" w:rsidRPr="00260EFC">
        <w:rPr>
          <w:sz w:val="20"/>
        </w:rPr>
        <w:t xml:space="preserve"> </w:t>
      </w:r>
      <w:r w:rsidR="00ED0EFA" w:rsidRPr="00260EFC">
        <w:rPr>
          <w:sz w:val="20"/>
        </w:rPr>
        <w:t>2016</w:t>
      </w:r>
      <w:proofErr w:type="gramStart"/>
      <w:r w:rsidR="007D024A" w:rsidRPr="00260EFC">
        <w:rPr>
          <w:sz w:val="20"/>
        </w:rPr>
        <w:t>;12</w:t>
      </w:r>
      <w:proofErr w:type="gramEnd"/>
      <w:r w:rsidR="00B63BF3">
        <w:rPr>
          <w:sz w:val="20"/>
        </w:rPr>
        <w:t>(6)</w:t>
      </w:r>
      <w:r w:rsidR="007D024A" w:rsidRPr="00260EFC">
        <w:rPr>
          <w:sz w:val="20"/>
        </w:rPr>
        <w:t>:357</w:t>
      </w:r>
      <w:r w:rsidR="00B63BF3">
        <w:rPr>
          <w:sz w:val="20"/>
        </w:rPr>
        <w:t>-70</w:t>
      </w:r>
      <w:r w:rsidR="007D024A" w:rsidRPr="00260EFC">
        <w:rPr>
          <w:sz w:val="20"/>
        </w:rPr>
        <w:t xml:space="preserve">. </w:t>
      </w:r>
    </w:p>
    <w:p w14:paraId="6473170E" w14:textId="0FC64FB3" w:rsidR="007D024A" w:rsidRPr="00260EFC" w:rsidRDefault="007D024A" w:rsidP="007D024A">
      <w:pPr>
        <w:rPr>
          <w:sz w:val="20"/>
        </w:rPr>
      </w:pPr>
      <w:r w:rsidRPr="00260EFC">
        <w:rPr>
          <w:sz w:val="20"/>
        </w:rPr>
        <w:t>15</w:t>
      </w:r>
      <w:r w:rsidR="00920D61">
        <w:rPr>
          <w:sz w:val="20"/>
        </w:rPr>
        <w:t xml:space="preserve"> </w:t>
      </w:r>
      <w:r w:rsidRPr="00260EFC">
        <w:rPr>
          <w:sz w:val="20"/>
        </w:rPr>
        <w:t>Centre for Reviews and Dissemination. Systematic Reviews. CRD’s guidance for undertaking reviews in health care. York: York Publishing Services</w:t>
      </w:r>
      <w:r w:rsidR="00260EFC">
        <w:rPr>
          <w:sz w:val="20"/>
        </w:rPr>
        <w:t>,</w:t>
      </w:r>
      <w:r w:rsidR="00B63BF3">
        <w:rPr>
          <w:sz w:val="20"/>
        </w:rPr>
        <w:t xml:space="preserve"> 2009;</w:t>
      </w:r>
      <w:r w:rsidR="00C745BF" w:rsidRPr="00260EFC">
        <w:rPr>
          <w:sz w:val="20"/>
        </w:rPr>
        <w:t xml:space="preserve"> </w:t>
      </w:r>
      <w:r w:rsidR="00404149" w:rsidRPr="00260EFC">
        <w:rPr>
          <w:sz w:val="20"/>
        </w:rPr>
        <w:t>Availa</w:t>
      </w:r>
      <w:r w:rsidR="00260EFC">
        <w:rPr>
          <w:sz w:val="20"/>
        </w:rPr>
        <w:t>ble</w:t>
      </w:r>
      <w:r w:rsidR="00404149" w:rsidRPr="00260EFC">
        <w:rPr>
          <w:sz w:val="20"/>
        </w:rPr>
        <w:t xml:space="preserve">: </w:t>
      </w:r>
      <w:r w:rsidR="00260EFC" w:rsidRPr="00260EFC">
        <w:rPr>
          <w:sz w:val="20"/>
        </w:rPr>
        <w:t>https://www.york.ac.uk/crd/guidance/</w:t>
      </w:r>
      <w:r w:rsidR="00260EFC">
        <w:rPr>
          <w:sz w:val="20"/>
        </w:rPr>
        <w:t xml:space="preserve">. Accessed: 9 Jan 2019. </w:t>
      </w:r>
      <w:r w:rsidR="00404149" w:rsidRPr="00260EFC">
        <w:rPr>
          <w:sz w:val="20"/>
        </w:rPr>
        <w:t xml:space="preserve"> </w:t>
      </w:r>
    </w:p>
    <w:p w14:paraId="2E486574" w14:textId="0461FFCB" w:rsidR="007D024A" w:rsidRPr="00260EFC" w:rsidRDefault="007D024A" w:rsidP="007D024A">
      <w:pPr>
        <w:rPr>
          <w:sz w:val="20"/>
        </w:rPr>
      </w:pPr>
      <w:r w:rsidRPr="00260EFC">
        <w:rPr>
          <w:sz w:val="20"/>
        </w:rPr>
        <w:t>16</w:t>
      </w:r>
      <w:r w:rsidR="00920D61">
        <w:rPr>
          <w:sz w:val="20"/>
        </w:rPr>
        <w:t xml:space="preserve"> </w:t>
      </w:r>
      <w:r w:rsidRPr="00260EFC">
        <w:rPr>
          <w:sz w:val="20"/>
        </w:rPr>
        <w:t>Stroup DF, Berlin JA, Morton SC, Olkin I, Williamson GD, Rennie D, et al. Meta-analysis of observational studies in epidemiology: a proposal for reporting. Meta-analysis Of Observational Studies in Epidemiolo</w:t>
      </w:r>
      <w:r w:rsidR="00ED0EFA" w:rsidRPr="00260EFC">
        <w:rPr>
          <w:sz w:val="20"/>
        </w:rPr>
        <w:t>gy (MOOSE) group. JAMA</w:t>
      </w:r>
      <w:r w:rsidR="00260EFC">
        <w:rPr>
          <w:sz w:val="20"/>
        </w:rPr>
        <w:t>.</w:t>
      </w:r>
      <w:r w:rsidR="00ED0EFA" w:rsidRPr="00260EFC">
        <w:rPr>
          <w:sz w:val="20"/>
        </w:rPr>
        <w:t xml:space="preserve"> 2000</w:t>
      </w:r>
      <w:proofErr w:type="gramStart"/>
      <w:r w:rsidRPr="00260EFC">
        <w:rPr>
          <w:sz w:val="20"/>
        </w:rPr>
        <w:t>;283</w:t>
      </w:r>
      <w:proofErr w:type="gramEnd"/>
      <w:r w:rsidRPr="00260EFC">
        <w:rPr>
          <w:sz w:val="20"/>
        </w:rPr>
        <w:t>(15):</w:t>
      </w:r>
      <w:r w:rsidR="00ED0EFA" w:rsidRPr="00260EFC">
        <w:rPr>
          <w:sz w:val="20"/>
        </w:rPr>
        <w:t xml:space="preserve"> </w:t>
      </w:r>
      <w:r w:rsidRPr="00260EFC">
        <w:rPr>
          <w:sz w:val="20"/>
        </w:rPr>
        <w:t xml:space="preserve">2008–12. </w:t>
      </w:r>
    </w:p>
    <w:p w14:paraId="2A68E62A" w14:textId="0A1C42BE" w:rsidR="007D024A" w:rsidRPr="00260EFC" w:rsidRDefault="007D024A" w:rsidP="007D024A">
      <w:pPr>
        <w:rPr>
          <w:sz w:val="20"/>
        </w:rPr>
      </w:pPr>
      <w:r w:rsidRPr="00260EFC">
        <w:rPr>
          <w:sz w:val="20"/>
        </w:rPr>
        <w:t>17</w:t>
      </w:r>
      <w:r w:rsidR="00920D61">
        <w:rPr>
          <w:sz w:val="20"/>
        </w:rPr>
        <w:t xml:space="preserve"> </w:t>
      </w:r>
      <w:proofErr w:type="spellStart"/>
      <w:r w:rsidRPr="00260EFC">
        <w:rPr>
          <w:sz w:val="20"/>
        </w:rPr>
        <w:t>Downes</w:t>
      </w:r>
      <w:proofErr w:type="spellEnd"/>
      <w:r w:rsidRPr="00260EFC">
        <w:rPr>
          <w:sz w:val="20"/>
        </w:rPr>
        <w:t xml:space="preserve"> MJ, Brennan ML, Williams HC, Dean RS. Development of a critical appraisal tool to assess the quality of cross-sectional studies (AXIS). BMJ Open</w:t>
      </w:r>
      <w:r w:rsidR="00260EFC">
        <w:rPr>
          <w:sz w:val="20"/>
        </w:rPr>
        <w:t>.</w:t>
      </w:r>
      <w:r w:rsidRPr="00260EFC">
        <w:rPr>
          <w:sz w:val="20"/>
        </w:rPr>
        <w:t xml:space="preserve"> </w:t>
      </w:r>
      <w:r w:rsidR="00863299" w:rsidRPr="00260EFC">
        <w:rPr>
          <w:sz w:val="20"/>
        </w:rPr>
        <w:t>2016</w:t>
      </w:r>
      <w:proofErr w:type="gramStart"/>
      <w:r w:rsidRPr="00260EFC">
        <w:rPr>
          <w:sz w:val="20"/>
        </w:rPr>
        <w:t>;6</w:t>
      </w:r>
      <w:r w:rsidR="00920D61">
        <w:rPr>
          <w:sz w:val="20"/>
        </w:rPr>
        <w:t>:</w:t>
      </w:r>
      <w:r w:rsidR="00863299" w:rsidRPr="00260EFC">
        <w:rPr>
          <w:sz w:val="20"/>
        </w:rPr>
        <w:t>e011458</w:t>
      </w:r>
      <w:proofErr w:type="gramEnd"/>
      <w:r w:rsidRPr="00260EFC">
        <w:rPr>
          <w:sz w:val="20"/>
        </w:rPr>
        <w:t xml:space="preserve">. </w:t>
      </w:r>
    </w:p>
    <w:p w14:paraId="155296A1" w14:textId="00B45723" w:rsidR="007D024A" w:rsidRPr="00260EFC" w:rsidRDefault="007D024A" w:rsidP="007D024A">
      <w:pPr>
        <w:rPr>
          <w:sz w:val="20"/>
        </w:rPr>
      </w:pPr>
      <w:r w:rsidRPr="00260EFC">
        <w:rPr>
          <w:sz w:val="20"/>
        </w:rPr>
        <w:t>18</w:t>
      </w:r>
      <w:r w:rsidR="00920D61">
        <w:rPr>
          <w:sz w:val="20"/>
        </w:rPr>
        <w:t xml:space="preserve"> </w:t>
      </w:r>
      <w:r w:rsidRPr="00260EFC">
        <w:rPr>
          <w:sz w:val="20"/>
        </w:rPr>
        <w:t xml:space="preserve">Ioannidis JPA, </w:t>
      </w:r>
      <w:proofErr w:type="spellStart"/>
      <w:r w:rsidRPr="00260EFC">
        <w:rPr>
          <w:sz w:val="20"/>
        </w:rPr>
        <w:t>Patsopoulos</w:t>
      </w:r>
      <w:proofErr w:type="spellEnd"/>
      <w:r w:rsidRPr="00260EFC">
        <w:rPr>
          <w:sz w:val="20"/>
        </w:rPr>
        <w:t xml:space="preserve"> NA, Rothstein HR. Reasons or excuses for avoiding meta-analysis in forest plots. BMJ</w:t>
      </w:r>
      <w:r w:rsidR="00260EFC">
        <w:rPr>
          <w:sz w:val="20"/>
        </w:rPr>
        <w:t>.</w:t>
      </w:r>
      <w:r w:rsidR="00920D61">
        <w:rPr>
          <w:sz w:val="20"/>
        </w:rPr>
        <w:t xml:space="preserve"> 2008</w:t>
      </w:r>
      <w:proofErr w:type="gramStart"/>
      <w:r w:rsidR="00920D61">
        <w:rPr>
          <w:sz w:val="20"/>
        </w:rPr>
        <w:t>;</w:t>
      </w:r>
      <w:r w:rsidRPr="00260EFC">
        <w:rPr>
          <w:sz w:val="20"/>
        </w:rPr>
        <w:t>336</w:t>
      </w:r>
      <w:proofErr w:type="gramEnd"/>
      <w:r w:rsidRPr="00260EFC">
        <w:rPr>
          <w:sz w:val="20"/>
        </w:rPr>
        <w:t>(7658):1413–</w:t>
      </w:r>
      <w:r w:rsidR="00920D61">
        <w:rPr>
          <w:sz w:val="20"/>
        </w:rPr>
        <w:t>1</w:t>
      </w:r>
      <w:r w:rsidRPr="00260EFC">
        <w:rPr>
          <w:sz w:val="20"/>
        </w:rPr>
        <w:t xml:space="preserve">5. </w:t>
      </w:r>
    </w:p>
    <w:p w14:paraId="1C6948E6" w14:textId="1229EC5B" w:rsidR="007D024A" w:rsidRDefault="007D024A" w:rsidP="007D024A">
      <w:pPr>
        <w:rPr>
          <w:sz w:val="20"/>
        </w:rPr>
      </w:pPr>
      <w:r w:rsidRPr="00260EFC">
        <w:rPr>
          <w:sz w:val="20"/>
        </w:rPr>
        <w:lastRenderedPageBreak/>
        <w:t>19</w:t>
      </w:r>
      <w:r w:rsidR="00920D61">
        <w:rPr>
          <w:sz w:val="20"/>
        </w:rPr>
        <w:t xml:space="preserve"> </w:t>
      </w:r>
      <w:r w:rsidRPr="00260EFC">
        <w:rPr>
          <w:sz w:val="20"/>
        </w:rPr>
        <w:t>Cochrane Collaboration. 9.5.2 Identifying and measuring heterogeneity. In: Higgins J, Green S, editors. Cochr</w:t>
      </w:r>
      <w:r w:rsidR="00863299" w:rsidRPr="00260EFC">
        <w:rPr>
          <w:sz w:val="20"/>
        </w:rPr>
        <w:t>ane Handbook</w:t>
      </w:r>
      <w:r w:rsidRPr="00260EFC">
        <w:rPr>
          <w:sz w:val="20"/>
        </w:rPr>
        <w:t>. 5.1.0.</w:t>
      </w:r>
      <w:r w:rsidR="00404149" w:rsidRPr="00260EFC">
        <w:rPr>
          <w:sz w:val="20"/>
        </w:rPr>
        <w:t xml:space="preserve"> The Cochrane Collaboration and John Wiley &amp; Sons Ltd</w:t>
      </w:r>
      <w:r w:rsidR="00B63BF3">
        <w:rPr>
          <w:sz w:val="20"/>
        </w:rPr>
        <w:t>;</w:t>
      </w:r>
      <w:r w:rsidR="00404149" w:rsidRPr="00260EFC">
        <w:rPr>
          <w:sz w:val="20"/>
        </w:rPr>
        <w:t xml:space="preserve"> </w:t>
      </w:r>
      <w:r w:rsidRPr="00260EFC">
        <w:rPr>
          <w:sz w:val="20"/>
        </w:rPr>
        <w:t>20</w:t>
      </w:r>
      <w:r w:rsidR="00260EFC">
        <w:rPr>
          <w:sz w:val="20"/>
        </w:rPr>
        <w:t xml:space="preserve">11. </w:t>
      </w:r>
      <w:r w:rsidRPr="00260EFC">
        <w:rPr>
          <w:sz w:val="20"/>
        </w:rPr>
        <w:t xml:space="preserve">Available: </w:t>
      </w:r>
      <w:hyperlink r:id="rId10" w:history="1">
        <w:r w:rsidR="00260EFC" w:rsidRPr="00AB0B6A">
          <w:rPr>
            <w:rStyle w:val="Hyperlink"/>
            <w:sz w:val="20"/>
          </w:rPr>
          <w:t>https://handbook-5-1.cochrane.org/chapter_9/9_5_2_identifying_and_measuring_heterogeneity.htm</w:t>
        </w:r>
      </w:hyperlink>
      <w:r w:rsidR="00260EFC">
        <w:rPr>
          <w:sz w:val="20"/>
        </w:rPr>
        <w:t xml:space="preserve">. Accessed: 18 Dec 2018. </w:t>
      </w:r>
      <w:r w:rsidR="00863299" w:rsidRPr="00260EFC">
        <w:rPr>
          <w:sz w:val="20"/>
        </w:rPr>
        <w:t xml:space="preserve"> </w:t>
      </w:r>
    </w:p>
    <w:p w14:paraId="497B8F77" w14:textId="0E8099D2" w:rsidR="00330C47" w:rsidRPr="00330C47" w:rsidRDefault="00920D61" w:rsidP="007D024A">
      <w:pPr>
        <w:rPr>
          <w:sz w:val="20"/>
          <w:szCs w:val="20"/>
        </w:rPr>
      </w:pPr>
      <w:r>
        <w:rPr>
          <w:sz w:val="20"/>
          <w:szCs w:val="20"/>
        </w:rPr>
        <w:t xml:space="preserve">20 </w:t>
      </w:r>
      <w:r w:rsidR="00330C47" w:rsidRPr="00DD21F1">
        <w:rPr>
          <w:rFonts w:ascii="Calibri" w:hAnsi="Calibri" w:cs="Calibri"/>
          <w:noProof/>
          <w:sz w:val="20"/>
          <w:szCs w:val="20"/>
        </w:rPr>
        <w:t xml:space="preserve">Khuwaja AK, Lalani S, Dhanani R, Azam IS, Rafique G, White F. Anxiety and depression among outpatients with type 2 diabetes: A multi-centre study of prevalence and associated factors. Diabetol Metab Syndr. 2010;2(1):72. </w:t>
      </w:r>
    </w:p>
    <w:p w14:paraId="0C09D73E" w14:textId="3D4B87F0" w:rsidR="00330C47" w:rsidRPr="00260EFC" w:rsidRDefault="00920D61" w:rsidP="007D024A">
      <w:pPr>
        <w:rPr>
          <w:sz w:val="20"/>
        </w:rPr>
      </w:pPr>
      <w:r>
        <w:rPr>
          <w:sz w:val="20"/>
        </w:rPr>
        <w:t>21</w:t>
      </w:r>
      <w:r w:rsidR="00330C47">
        <w:rPr>
          <w:sz w:val="20"/>
        </w:rPr>
        <w:t xml:space="preserve"> </w:t>
      </w:r>
      <w:r w:rsidR="00330C47" w:rsidRPr="00330C47">
        <w:rPr>
          <w:sz w:val="20"/>
        </w:rPr>
        <w:t xml:space="preserve">Rauf S, </w:t>
      </w:r>
      <w:proofErr w:type="spellStart"/>
      <w:r w:rsidR="00330C47" w:rsidRPr="00330C47">
        <w:rPr>
          <w:sz w:val="20"/>
        </w:rPr>
        <w:t>Rehman</w:t>
      </w:r>
      <w:proofErr w:type="spellEnd"/>
      <w:r w:rsidR="00330C47" w:rsidRPr="00330C47">
        <w:rPr>
          <w:sz w:val="20"/>
        </w:rPr>
        <w:t xml:space="preserve"> Z, </w:t>
      </w:r>
      <w:proofErr w:type="spellStart"/>
      <w:r w:rsidR="00330C47" w:rsidRPr="00330C47">
        <w:rPr>
          <w:sz w:val="20"/>
        </w:rPr>
        <w:t>Abrar</w:t>
      </w:r>
      <w:proofErr w:type="spellEnd"/>
      <w:r w:rsidR="00330C47" w:rsidRPr="00330C47">
        <w:rPr>
          <w:sz w:val="20"/>
        </w:rPr>
        <w:t xml:space="preserve"> K. Frequency of </w:t>
      </w:r>
      <w:proofErr w:type="spellStart"/>
      <w:r w:rsidR="00330C47" w:rsidRPr="00330C47">
        <w:rPr>
          <w:sz w:val="20"/>
        </w:rPr>
        <w:t>psyhiartic</w:t>
      </w:r>
      <w:proofErr w:type="spellEnd"/>
      <w:r w:rsidR="00330C47" w:rsidRPr="00330C47">
        <w:rPr>
          <w:sz w:val="20"/>
        </w:rPr>
        <w:t xml:space="preserve"> morbidity amongst patients with diabetes mellitus in a medical outpatient. </w:t>
      </w:r>
      <w:r w:rsidR="00B63BF3">
        <w:rPr>
          <w:sz w:val="20"/>
        </w:rPr>
        <w:t>A J Army Med Dent Corps. 2005</w:t>
      </w:r>
      <w:proofErr w:type="gramStart"/>
      <w:r w:rsidR="00B63BF3">
        <w:rPr>
          <w:sz w:val="20"/>
        </w:rPr>
        <w:t>;55</w:t>
      </w:r>
      <w:proofErr w:type="gramEnd"/>
      <w:r w:rsidR="00B63BF3">
        <w:rPr>
          <w:sz w:val="20"/>
        </w:rPr>
        <w:t>(1):14-17.</w:t>
      </w:r>
    </w:p>
    <w:p w14:paraId="0E1E720E" w14:textId="115845B6" w:rsidR="007D024A" w:rsidRPr="00260EFC" w:rsidRDefault="00330C47" w:rsidP="007D024A">
      <w:pPr>
        <w:rPr>
          <w:sz w:val="20"/>
        </w:rPr>
      </w:pPr>
      <w:r w:rsidRPr="00260EFC">
        <w:rPr>
          <w:sz w:val="20"/>
        </w:rPr>
        <w:t>2</w:t>
      </w:r>
      <w:r>
        <w:rPr>
          <w:sz w:val="20"/>
        </w:rPr>
        <w:t>2</w:t>
      </w:r>
      <w:r w:rsidR="00920D61">
        <w:rPr>
          <w:sz w:val="20"/>
        </w:rPr>
        <w:t xml:space="preserve"> </w:t>
      </w:r>
      <w:r w:rsidR="007D024A" w:rsidRPr="00260EFC">
        <w:rPr>
          <w:sz w:val="20"/>
        </w:rPr>
        <w:t xml:space="preserve">Pandey M, Devi N, Thomas BC, Kumar S V, Krishnan R, Ramdas K. Distress overlaps with anxiety and depression in patients with head </w:t>
      </w:r>
      <w:r w:rsidR="00863299" w:rsidRPr="00260EFC">
        <w:rPr>
          <w:sz w:val="20"/>
        </w:rPr>
        <w:t xml:space="preserve">and neck cancer. </w:t>
      </w:r>
      <w:proofErr w:type="spellStart"/>
      <w:r w:rsidR="00863299" w:rsidRPr="00260EFC">
        <w:rPr>
          <w:sz w:val="20"/>
        </w:rPr>
        <w:t>Psychooncology</w:t>
      </w:r>
      <w:proofErr w:type="spellEnd"/>
      <w:r w:rsidR="00260EFC">
        <w:rPr>
          <w:sz w:val="20"/>
        </w:rPr>
        <w:t>.</w:t>
      </w:r>
      <w:r w:rsidR="007D024A" w:rsidRPr="00260EFC">
        <w:rPr>
          <w:sz w:val="20"/>
        </w:rPr>
        <w:t xml:space="preserve"> 2007</w:t>
      </w:r>
      <w:proofErr w:type="gramStart"/>
      <w:r w:rsidR="007D024A" w:rsidRPr="00260EFC">
        <w:rPr>
          <w:sz w:val="20"/>
        </w:rPr>
        <w:t>;16:582</w:t>
      </w:r>
      <w:proofErr w:type="gramEnd"/>
      <w:r w:rsidR="007D024A" w:rsidRPr="00260EFC">
        <w:rPr>
          <w:sz w:val="20"/>
        </w:rPr>
        <w:t>–</w:t>
      </w:r>
      <w:r w:rsidR="00920D61">
        <w:rPr>
          <w:sz w:val="20"/>
        </w:rPr>
        <w:t>8</w:t>
      </w:r>
      <w:r w:rsidR="007D024A" w:rsidRPr="00260EFC">
        <w:rPr>
          <w:sz w:val="20"/>
        </w:rPr>
        <w:t xml:space="preserve">6. </w:t>
      </w:r>
    </w:p>
    <w:p w14:paraId="410A360A" w14:textId="772C6514" w:rsidR="007D024A" w:rsidRPr="00260EFC" w:rsidRDefault="00330C47" w:rsidP="007D024A">
      <w:pPr>
        <w:rPr>
          <w:sz w:val="20"/>
        </w:rPr>
      </w:pPr>
      <w:r w:rsidRPr="00260EFC">
        <w:rPr>
          <w:sz w:val="20"/>
        </w:rPr>
        <w:t>2</w:t>
      </w:r>
      <w:r>
        <w:rPr>
          <w:sz w:val="20"/>
        </w:rPr>
        <w:t>3</w:t>
      </w:r>
      <w:r w:rsidR="00920D61">
        <w:rPr>
          <w:sz w:val="20"/>
        </w:rPr>
        <w:t xml:space="preserve"> </w:t>
      </w:r>
      <w:proofErr w:type="spellStart"/>
      <w:r w:rsidR="007D024A" w:rsidRPr="00260EFC">
        <w:rPr>
          <w:sz w:val="20"/>
        </w:rPr>
        <w:t>Jadhav</w:t>
      </w:r>
      <w:proofErr w:type="spellEnd"/>
      <w:r w:rsidR="007D024A" w:rsidRPr="00260EFC">
        <w:rPr>
          <w:sz w:val="20"/>
        </w:rPr>
        <w:t xml:space="preserve"> SA, </w:t>
      </w:r>
      <w:proofErr w:type="spellStart"/>
      <w:r w:rsidR="007D024A" w:rsidRPr="00260EFC">
        <w:rPr>
          <w:sz w:val="20"/>
        </w:rPr>
        <w:t>Sukumar</w:t>
      </w:r>
      <w:proofErr w:type="spellEnd"/>
      <w:r w:rsidR="007D024A" w:rsidRPr="00260EFC">
        <w:rPr>
          <w:sz w:val="20"/>
        </w:rPr>
        <w:t xml:space="preserve"> S, Kumar G, Bhat SH. Prospective analysis of psychological distress in men being investigated for prostate cancer. Indian J Urol</w:t>
      </w:r>
      <w:r w:rsidR="00260EFC">
        <w:rPr>
          <w:sz w:val="20"/>
        </w:rPr>
        <w:t>.</w:t>
      </w:r>
      <w:r w:rsidR="007D024A" w:rsidRPr="00260EFC">
        <w:rPr>
          <w:sz w:val="20"/>
        </w:rPr>
        <w:t xml:space="preserve"> 2010</w:t>
      </w:r>
      <w:proofErr w:type="gramStart"/>
      <w:r w:rsidR="007D024A" w:rsidRPr="00260EFC">
        <w:rPr>
          <w:sz w:val="20"/>
        </w:rPr>
        <w:t>;26:490</w:t>
      </w:r>
      <w:proofErr w:type="gramEnd"/>
      <w:r w:rsidR="007D024A" w:rsidRPr="00260EFC">
        <w:rPr>
          <w:sz w:val="20"/>
        </w:rPr>
        <w:t>–</w:t>
      </w:r>
      <w:r w:rsidR="00920D61">
        <w:rPr>
          <w:sz w:val="20"/>
        </w:rPr>
        <w:t>9</w:t>
      </w:r>
      <w:r w:rsidR="007D024A" w:rsidRPr="00260EFC">
        <w:rPr>
          <w:sz w:val="20"/>
        </w:rPr>
        <w:t xml:space="preserve">3. </w:t>
      </w:r>
    </w:p>
    <w:p w14:paraId="3FC7E4E4" w14:textId="4D754D9F" w:rsidR="007D024A" w:rsidRDefault="00330C47" w:rsidP="007D024A">
      <w:pPr>
        <w:rPr>
          <w:sz w:val="20"/>
        </w:rPr>
      </w:pPr>
      <w:r w:rsidRPr="00260EFC">
        <w:rPr>
          <w:sz w:val="20"/>
        </w:rPr>
        <w:t>2</w:t>
      </w:r>
      <w:r>
        <w:rPr>
          <w:sz w:val="20"/>
        </w:rPr>
        <w:t>4</w:t>
      </w:r>
      <w:r w:rsidR="00920D61">
        <w:rPr>
          <w:sz w:val="20"/>
        </w:rPr>
        <w:t xml:space="preserve"> </w:t>
      </w:r>
      <w:proofErr w:type="spellStart"/>
      <w:r w:rsidR="007D024A" w:rsidRPr="00260EFC">
        <w:rPr>
          <w:sz w:val="20"/>
        </w:rPr>
        <w:t>Purkayastha</w:t>
      </w:r>
      <w:proofErr w:type="spellEnd"/>
      <w:r w:rsidR="007D024A" w:rsidRPr="00260EFC">
        <w:rPr>
          <w:sz w:val="20"/>
        </w:rPr>
        <w:t xml:space="preserve"> D, </w:t>
      </w:r>
      <w:proofErr w:type="spellStart"/>
      <w:r w:rsidR="007D024A" w:rsidRPr="00260EFC">
        <w:rPr>
          <w:sz w:val="20"/>
        </w:rPr>
        <w:t>Venkateswaran</w:t>
      </w:r>
      <w:proofErr w:type="spellEnd"/>
      <w:r w:rsidR="007D024A" w:rsidRPr="00260EFC">
        <w:rPr>
          <w:sz w:val="20"/>
        </w:rPr>
        <w:t xml:space="preserve"> C, </w:t>
      </w:r>
      <w:proofErr w:type="spellStart"/>
      <w:r w:rsidR="007D024A" w:rsidRPr="00260EFC">
        <w:rPr>
          <w:sz w:val="20"/>
        </w:rPr>
        <w:t>Nayar</w:t>
      </w:r>
      <w:proofErr w:type="spellEnd"/>
      <w:r w:rsidR="007D024A" w:rsidRPr="00260EFC">
        <w:rPr>
          <w:sz w:val="20"/>
        </w:rPr>
        <w:t xml:space="preserve"> K, </w:t>
      </w:r>
      <w:proofErr w:type="spellStart"/>
      <w:r w:rsidR="007D024A" w:rsidRPr="00260EFC">
        <w:rPr>
          <w:sz w:val="20"/>
        </w:rPr>
        <w:t>Unnikrishnan</w:t>
      </w:r>
      <w:proofErr w:type="spellEnd"/>
      <w:r w:rsidR="007D024A" w:rsidRPr="00260EFC">
        <w:rPr>
          <w:sz w:val="20"/>
        </w:rPr>
        <w:t xml:space="preserve"> UG. Prevalence of Depression in Breast Cancer Patients and its Association with their Quality of Life: A Cross-sectional Observational Study. Indian J </w:t>
      </w:r>
      <w:proofErr w:type="spellStart"/>
      <w:r w:rsidR="007D024A" w:rsidRPr="00260EFC">
        <w:rPr>
          <w:sz w:val="20"/>
        </w:rPr>
        <w:t>Palliat</w:t>
      </w:r>
      <w:proofErr w:type="spellEnd"/>
      <w:r w:rsidR="007D024A" w:rsidRPr="00260EFC">
        <w:rPr>
          <w:sz w:val="20"/>
        </w:rPr>
        <w:t xml:space="preserve"> Care</w:t>
      </w:r>
      <w:r w:rsidR="00260EFC">
        <w:rPr>
          <w:sz w:val="20"/>
        </w:rPr>
        <w:t>.</w:t>
      </w:r>
      <w:r w:rsidR="007D024A" w:rsidRPr="00260EFC">
        <w:rPr>
          <w:sz w:val="20"/>
        </w:rPr>
        <w:t xml:space="preserve"> 2017</w:t>
      </w:r>
      <w:proofErr w:type="gramStart"/>
      <w:r w:rsidR="007D024A" w:rsidRPr="00260EFC">
        <w:rPr>
          <w:sz w:val="20"/>
        </w:rPr>
        <w:t>;23:268</w:t>
      </w:r>
      <w:proofErr w:type="gramEnd"/>
      <w:r w:rsidR="007D024A" w:rsidRPr="00260EFC">
        <w:rPr>
          <w:sz w:val="20"/>
        </w:rPr>
        <w:t xml:space="preserve">–73. </w:t>
      </w:r>
    </w:p>
    <w:p w14:paraId="6E33FB27" w14:textId="5723487E" w:rsidR="00330C47" w:rsidRDefault="00920D61" w:rsidP="007D024A">
      <w:pPr>
        <w:rPr>
          <w:sz w:val="20"/>
        </w:rPr>
      </w:pPr>
      <w:r>
        <w:rPr>
          <w:sz w:val="20"/>
        </w:rPr>
        <w:t>25</w:t>
      </w:r>
      <w:r w:rsidR="00330C47">
        <w:rPr>
          <w:sz w:val="20"/>
        </w:rPr>
        <w:t xml:space="preserve"> </w:t>
      </w:r>
      <w:r w:rsidR="00330C47" w:rsidRPr="00330C47">
        <w:rPr>
          <w:sz w:val="20"/>
        </w:rPr>
        <w:t xml:space="preserve">Chaitanya NC, </w:t>
      </w:r>
      <w:proofErr w:type="spellStart"/>
      <w:r w:rsidR="00330C47" w:rsidRPr="00330C47">
        <w:rPr>
          <w:sz w:val="20"/>
        </w:rPr>
        <w:t>Garlapati</w:t>
      </w:r>
      <w:proofErr w:type="spellEnd"/>
      <w:r w:rsidR="00330C47" w:rsidRPr="00330C47">
        <w:rPr>
          <w:sz w:val="20"/>
        </w:rPr>
        <w:t xml:space="preserve"> K, Priyanka DR, Soma S, </w:t>
      </w:r>
      <w:proofErr w:type="spellStart"/>
      <w:r w:rsidR="00330C47" w:rsidRPr="00330C47">
        <w:rPr>
          <w:sz w:val="20"/>
        </w:rPr>
        <w:t>Suskandla</w:t>
      </w:r>
      <w:proofErr w:type="spellEnd"/>
      <w:r w:rsidR="00330C47" w:rsidRPr="00330C47">
        <w:rPr>
          <w:sz w:val="20"/>
        </w:rPr>
        <w:t xml:space="preserve"> U, </w:t>
      </w:r>
      <w:proofErr w:type="spellStart"/>
      <w:r w:rsidR="00330C47" w:rsidRPr="00330C47">
        <w:rPr>
          <w:sz w:val="20"/>
        </w:rPr>
        <w:t>Boinepally</w:t>
      </w:r>
      <w:proofErr w:type="spellEnd"/>
      <w:r w:rsidR="00330C47" w:rsidRPr="00330C47">
        <w:rPr>
          <w:sz w:val="20"/>
        </w:rPr>
        <w:t xml:space="preserve"> NH. Assessment of Anxiety and Depression in Oral Mucositis Patients Undergoing Cancer Chemoradiotherapy: A Randomized Cross-sectional Study. Indian J </w:t>
      </w:r>
      <w:proofErr w:type="spellStart"/>
      <w:r w:rsidR="00330C47" w:rsidRPr="00330C47">
        <w:rPr>
          <w:sz w:val="20"/>
        </w:rPr>
        <w:t>Palliat</w:t>
      </w:r>
      <w:proofErr w:type="spellEnd"/>
      <w:r w:rsidR="00330C47" w:rsidRPr="00330C47">
        <w:rPr>
          <w:sz w:val="20"/>
        </w:rPr>
        <w:t xml:space="preserve"> Care. 2016</w:t>
      </w:r>
      <w:proofErr w:type="gramStart"/>
      <w:r w:rsidR="00330C47" w:rsidRPr="00330C47">
        <w:rPr>
          <w:sz w:val="20"/>
        </w:rPr>
        <w:t>;22:446</w:t>
      </w:r>
      <w:proofErr w:type="gramEnd"/>
      <w:r w:rsidR="00330C47" w:rsidRPr="00330C47">
        <w:rPr>
          <w:sz w:val="20"/>
        </w:rPr>
        <w:t>–54.</w:t>
      </w:r>
    </w:p>
    <w:p w14:paraId="441F20FF" w14:textId="710924DD" w:rsidR="00B63BF3" w:rsidRDefault="00920D61" w:rsidP="007D024A">
      <w:pPr>
        <w:rPr>
          <w:sz w:val="20"/>
        </w:rPr>
      </w:pPr>
      <w:r>
        <w:rPr>
          <w:sz w:val="20"/>
        </w:rPr>
        <w:t xml:space="preserve">26 </w:t>
      </w:r>
      <w:r w:rsidR="00330C47" w:rsidRPr="00330C47">
        <w:rPr>
          <w:sz w:val="20"/>
        </w:rPr>
        <w:t xml:space="preserve">Lloyd CE, </w:t>
      </w:r>
      <w:proofErr w:type="spellStart"/>
      <w:r w:rsidR="00330C47" w:rsidRPr="00330C47">
        <w:rPr>
          <w:sz w:val="20"/>
        </w:rPr>
        <w:t>Nouwen</w:t>
      </w:r>
      <w:proofErr w:type="spellEnd"/>
      <w:r w:rsidR="00330C47" w:rsidRPr="00330C47">
        <w:rPr>
          <w:sz w:val="20"/>
        </w:rPr>
        <w:t xml:space="preserve"> A, Sartorius N, Ahmed HU, Alvarez A, </w:t>
      </w:r>
      <w:proofErr w:type="spellStart"/>
      <w:r w:rsidR="00330C47" w:rsidRPr="00330C47">
        <w:rPr>
          <w:sz w:val="20"/>
        </w:rPr>
        <w:t>Bahendeka</w:t>
      </w:r>
      <w:proofErr w:type="spellEnd"/>
      <w:r w:rsidR="00330C47" w:rsidRPr="00330C47">
        <w:rPr>
          <w:sz w:val="20"/>
        </w:rPr>
        <w:t xml:space="preserve"> S, et al. Prevalence and correlates of depressive disorders in people with Type 2 diabetes: results from the International Prevalence and Treatment of Diabetes and Depression (INTERPRET-DD) study, a collaborative study carried out in 14 countries. </w:t>
      </w:r>
      <w:proofErr w:type="spellStart"/>
      <w:r w:rsidR="00330C47" w:rsidRPr="00330C47">
        <w:rPr>
          <w:sz w:val="20"/>
        </w:rPr>
        <w:t>Diabet</w:t>
      </w:r>
      <w:proofErr w:type="spellEnd"/>
      <w:r w:rsidR="00330C47" w:rsidRPr="00330C47">
        <w:rPr>
          <w:sz w:val="20"/>
        </w:rPr>
        <w:t xml:space="preserve"> Med. 2018</w:t>
      </w:r>
      <w:proofErr w:type="gramStart"/>
      <w:r w:rsidR="00330C47" w:rsidRPr="00330C47">
        <w:rPr>
          <w:sz w:val="20"/>
        </w:rPr>
        <w:t>;35:760</w:t>
      </w:r>
      <w:proofErr w:type="gramEnd"/>
      <w:r w:rsidR="00330C47" w:rsidRPr="00330C47">
        <w:rPr>
          <w:sz w:val="20"/>
        </w:rPr>
        <w:t>–9.</w:t>
      </w:r>
      <w:r w:rsidR="00AB4571" w:rsidRPr="00260EFC" w:rsidDel="00AB4571">
        <w:rPr>
          <w:sz w:val="20"/>
        </w:rPr>
        <w:t xml:space="preserve"> </w:t>
      </w:r>
    </w:p>
    <w:p w14:paraId="72A4CEB3" w14:textId="287E543C" w:rsidR="007D024A" w:rsidRPr="00260EFC" w:rsidRDefault="00AB4571" w:rsidP="007D024A">
      <w:pPr>
        <w:rPr>
          <w:sz w:val="20"/>
        </w:rPr>
      </w:pPr>
      <w:r w:rsidRPr="00260EFC">
        <w:rPr>
          <w:sz w:val="20"/>
        </w:rPr>
        <w:t>2</w:t>
      </w:r>
      <w:r>
        <w:rPr>
          <w:sz w:val="20"/>
        </w:rPr>
        <w:t>7</w:t>
      </w:r>
      <w:r w:rsidR="00920D61">
        <w:rPr>
          <w:sz w:val="20"/>
        </w:rPr>
        <w:t xml:space="preserve"> </w:t>
      </w:r>
      <w:proofErr w:type="spellStart"/>
      <w:r w:rsidR="007D024A" w:rsidRPr="00260EFC">
        <w:rPr>
          <w:sz w:val="20"/>
        </w:rPr>
        <w:t>Misra</w:t>
      </w:r>
      <w:proofErr w:type="spellEnd"/>
      <w:r w:rsidR="007D024A" w:rsidRPr="00260EFC">
        <w:rPr>
          <w:sz w:val="20"/>
        </w:rPr>
        <w:t xml:space="preserve"> S, </w:t>
      </w:r>
      <w:proofErr w:type="spellStart"/>
      <w:r w:rsidR="007D024A" w:rsidRPr="00260EFC">
        <w:rPr>
          <w:sz w:val="20"/>
        </w:rPr>
        <w:t>Kundu</w:t>
      </w:r>
      <w:proofErr w:type="spellEnd"/>
      <w:r w:rsidR="007D024A" w:rsidRPr="00260EFC">
        <w:rPr>
          <w:sz w:val="20"/>
        </w:rPr>
        <w:t xml:space="preserve"> S, Majumder D, Kundu S, Ghoshal AG, Mitra R. A Study of Depression in Adult Patients with Bronchial Asthma Presenting to a Tertiary Care Hospital in Eastern India.</w:t>
      </w:r>
      <w:r w:rsidR="00863299" w:rsidRPr="00260EFC">
        <w:rPr>
          <w:sz w:val="20"/>
        </w:rPr>
        <w:t xml:space="preserve"> Indian J Chest Dis Allied Sci</w:t>
      </w:r>
      <w:r w:rsidR="00260EFC">
        <w:rPr>
          <w:sz w:val="20"/>
        </w:rPr>
        <w:t>.</w:t>
      </w:r>
      <w:r w:rsidR="00863299" w:rsidRPr="00260EFC">
        <w:rPr>
          <w:sz w:val="20"/>
        </w:rPr>
        <w:t xml:space="preserve"> </w:t>
      </w:r>
      <w:r w:rsidR="007D024A" w:rsidRPr="00260EFC">
        <w:rPr>
          <w:sz w:val="20"/>
        </w:rPr>
        <w:t>2015</w:t>
      </w:r>
      <w:proofErr w:type="gramStart"/>
      <w:r w:rsidR="007D024A" w:rsidRPr="00260EFC">
        <w:rPr>
          <w:sz w:val="20"/>
        </w:rPr>
        <w:t>;57:87</w:t>
      </w:r>
      <w:proofErr w:type="gramEnd"/>
      <w:r w:rsidR="007D024A" w:rsidRPr="00260EFC">
        <w:rPr>
          <w:sz w:val="20"/>
        </w:rPr>
        <w:t xml:space="preserve">–90. </w:t>
      </w:r>
    </w:p>
    <w:p w14:paraId="379A9AFE" w14:textId="47AC15F5" w:rsidR="007D024A" w:rsidRDefault="00AB4571" w:rsidP="007D024A">
      <w:pPr>
        <w:rPr>
          <w:sz w:val="20"/>
        </w:rPr>
      </w:pPr>
      <w:r w:rsidRPr="00260EFC">
        <w:rPr>
          <w:sz w:val="20"/>
        </w:rPr>
        <w:t>2</w:t>
      </w:r>
      <w:r>
        <w:rPr>
          <w:sz w:val="20"/>
        </w:rPr>
        <w:t>8</w:t>
      </w:r>
      <w:r w:rsidR="00920D61">
        <w:rPr>
          <w:sz w:val="20"/>
        </w:rPr>
        <w:t xml:space="preserve"> </w:t>
      </w:r>
      <w:r w:rsidR="007D024A" w:rsidRPr="00260EFC">
        <w:rPr>
          <w:sz w:val="20"/>
        </w:rPr>
        <w:t xml:space="preserve">Mehta JR, </w:t>
      </w:r>
      <w:proofErr w:type="spellStart"/>
      <w:r w:rsidR="007D024A" w:rsidRPr="00260EFC">
        <w:rPr>
          <w:sz w:val="20"/>
        </w:rPr>
        <w:t>Ratnani</w:t>
      </w:r>
      <w:proofErr w:type="spellEnd"/>
      <w:r w:rsidR="007D024A" w:rsidRPr="00260EFC">
        <w:rPr>
          <w:sz w:val="20"/>
        </w:rPr>
        <w:t xml:space="preserve"> IJ, Dave JD, Panchal BN, Patel AK, </w:t>
      </w:r>
      <w:proofErr w:type="spellStart"/>
      <w:r w:rsidR="007D024A" w:rsidRPr="00260EFC">
        <w:rPr>
          <w:sz w:val="20"/>
        </w:rPr>
        <w:t>Vala</w:t>
      </w:r>
      <w:proofErr w:type="spellEnd"/>
      <w:r w:rsidR="007D024A" w:rsidRPr="00260EFC">
        <w:rPr>
          <w:sz w:val="20"/>
        </w:rPr>
        <w:t xml:space="preserve"> AU. Association of psychiatric co-morbidities and quality of life with severity of chronic obstructive pulmonary disease. East Asian Arch Psychiatry</w:t>
      </w:r>
      <w:r w:rsidR="00260EFC">
        <w:rPr>
          <w:sz w:val="20"/>
        </w:rPr>
        <w:t>.</w:t>
      </w:r>
      <w:r w:rsidR="007D024A" w:rsidRPr="00260EFC">
        <w:rPr>
          <w:sz w:val="20"/>
        </w:rPr>
        <w:t xml:space="preserve"> 2014</w:t>
      </w:r>
      <w:proofErr w:type="gramStart"/>
      <w:r w:rsidR="007D024A" w:rsidRPr="00260EFC">
        <w:rPr>
          <w:sz w:val="20"/>
        </w:rPr>
        <w:t>;24:148</w:t>
      </w:r>
      <w:proofErr w:type="gramEnd"/>
      <w:r w:rsidR="007D024A" w:rsidRPr="00260EFC">
        <w:rPr>
          <w:sz w:val="20"/>
        </w:rPr>
        <w:t xml:space="preserve">–55. </w:t>
      </w:r>
    </w:p>
    <w:p w14:paraId="31C6125C" w14:textId="1767984F" w:rsidR="00AB4571" w:rsidRDefault="00920D61" w:rsidP="007D024A">
      <w:r>
        <w:rPr>
          <w:sz w:val="20"/>
        </w:rPr>
        <w:t>29</w:t>
      </w:r>
      <w:r w:rsidR="00AB4571">
        <w:rPr>
          <w:sz w:val="20"/>
        </w:rPr>
        <w:t xml:space="preserve"> </w:t>
      </w:r>
      <w:proofErr w:type="spellStart"/>
      <w:r w:rsidR="00AB4571" w:rsidRPr="00AB4571">
        <w:rPr>
          <w:sz w:val="20"/>
        </w:rPr>
        <w:t>Motiani</w:t>
      </w:r>
      <w:proofErr w:type="spellEnd"/>
      <w:r w:rsidR="00AB4571" w:rsidRPr="00AB4571">
        <w:rPr>
          <w:sz w:val="20"/>
        </w:rPr>
        <w:t xml:space="preserve"> B, </w:t>
      </w:r>
      <w:proofErr w:type="spellStart"/>
      <w:r w:rsidR="00AB4571" w:rsidRPr="00AB4571">
        <w:rPr>
          <w:sz w:val="20"/>
        </w:rPr>
        <w:t>Haidri</w:t>
      </w:r>
      <w:proofErr w:type="spellEnd"/>
      <w:r w:rsidR="00AB4571" w:rsidRPr="00AB4571">
        <w:rPr>
          <w:sz w:val="20"/>
        </w:rPr>
        <w:t xml:space="preserve"> FR, Rizvi N. Frequency of depression in Chronic Obstructive Pulmonary Disease (COPD) patients. </w:t>
      </w:r>
      <w:r w:rsidR="00AB4571">
        <w:rPr>
          <w:sz w:val="20"/>
        </w:rPr>
        <w:t xml:space="preserve">Pak J Med Sci. </w:t>
      </w:r>
      <w:r w:rsidR="00AB4571" w:rsidRPr="00AB4571">
        <w:rPr>
          <w:sz w:val="20"/>
        </w:rPr>
        <w:t>2011</w:t>
      </w:r>
      <w:proofErr w:type="gramStart"/>
      <w:r w:rsidR="00AB4571" w:rsidRPr="00AB4571">
        <w:rPr>
          <w:sz w:val="20"/>
        </w:rPr>
        <w:t>;27</w:t>
      </w:r>
      <w:proofErr w:type="gramEnd"/>
      <w:r w:rsidR="00AB4571" w:rsidRPr="00AB4571">
        <w:rPr>
          <w:sz w:val="20"/>
        </w:rPr>
        <w:t>(5):</w:t>
      </w:r>
      <w:r w:rsidR="00AB4571">
        <w:rPr>
          <w:sz w:val="20"/>
        </w:rPr>
        <w:t>111</w:t>
      </w:r>
      <w:r w:rsidR="00AB4571" w:rsidRPr="00AB4571">
        <w:rPr>
          <w:sz w:val="20"/>
        </w:rPr>
        <w:t>2–</w:t>
      </w:r>
      <w:r w:rsidR="00AB4571">
        <w:rPr>
          <w:sz w:val="20"/>
        </w:rPr>
        <w:t>1</w:t>
      </w:r>
      <w:r w:rsidR="00AB4571" w:rsidRPr="00AB4571">
        <w:rPr>
          <w:sz w:val="20"/>
        </w:rPr>
        <w:t>5.</w:t>
      </w:r>
      <w:r w:rsidR="00AB4571" w:rsidRPr="00AB4571">
        <w:t xml:space="preserve"> </w:t>
      </w:r>
    </w:p>
    <w:p w14:paraId="6D34AFAA" w14:textId="6671BFAC" w:rsidR="00B344F5" w:rsidRPr="00B344F5" w:rsidRDefault="00920D61" w:rsidP="007D024A">
      <w:pPr>
        <w:rPr>
          <w:sz w:val="20"/>
        </w:rPr>
      </w:pPr>
      <w:r>
        <w:rPr>
          <w:sz w:val="20"/>
          <w:szCs w:val="20"/>
        </w:rPr>
        <w:t>30</w:t>
      </w:r>
      <w:r w:rsidR="00B344F5">
        <w:rPr>
          <w:sz w:val="20"/>
        </w:rPr>
        <w:t xml:space="preserve"> Anderson RJ, Freedland KE, Clouse RE, </w:t>
      </w:r>
      <w:proofErr w:type="spellStart"/>
      <w:r w:rsidR="00B344F5">
        <w:rPr>
          <w:sz w:val="20"/>
        </w:rPr>
        <w:t>Lustman</w:t>
      </w:r>
      <w:proofErr w:type="spellEnd"/>
      <w:r w:rsidR="00B344F5">
        <w:rPr>
          <w:sz w:val="20"/>
        </w:rPr>
        <w:t xml:space="preserve"> PJ. The prevalence of comorbid depression in adults with diabetes. A meta-analysis. Dia</w:t>
      </w:r>
      <w:r>
        <w:rPr>
          <w:sz w:val="20"/>
        </w:rPr>
        <w:t>betes Care. 2001; 24(60):1069-</w:t>
      </w:r>
      <w:r w:rsidR="00B344F5">
        <w:rPr>
          <w:sz w:val="20"/>
        </w:rPr>
        <w:t>78.</w:t>
      </w:r>
      <w:r w:rsidR="00B344F5" w:rsidRPr="00DD21F1">
        <w:rPr>
          <w:sz w:val="20"/>
        </w:rPr>
        <w:t xml:space="preserve"> </w:t>
      </w:r>
    </w:p>
    <w:p w14:paraId="0B5CE25C" w14:textId="3110A3CE" w:rsidR="00F72BFA" w:rsidRDefault="003727B1" w:rsidP="007D024A">
      <w:pPr>
        <w:rPr>
          <w:sz w:val="20"/>
        </w:rPr>
      </w:pPr>
      <w:r>
        <w:rPr>
          <w:sz w:val="20"/>
        </w:rPr>
        <w:t>3</w:t>
      </w:r>
      <w:r w:rsidR="00B344F5">
        <w:rPr>
          <w:sz w:val="20"/>
        </w:rPr>
        <w:t>1</w:t>
      </w:r>
      <w:r w:rsidR="00920D61">
        <w:rPr>
          <w:sz w:val="20"/>
        </w:rPr>
        <w:t xml:space="preserve"> </w:t>
      </w:r>
      <w:proofErr w:type="spellStart"/>
      <w:r w:rsidR="00F72BFA" w:rsidRPr="00F72BFA">
        <w:rPr>
          <w:sz w:val="20"/>
        </w:rPr>
        <w:t>Rosengren</w:t>
      </w:r>
      <w:proofErr w:type="spellEnd"/>
      <w:r w:rsidR="00F72BFA">
        <w:rPr>
          <w:sz w:val="20"/>
        </w:rPr>
        <w:t xml:space="preserve"> A</w:t>
      </w:r>
      <w:r w:rsidR="00F72BFA" w:rsidRPr="00F72BFA">
        <w:rPr>
          <w:sz w:val="20"/>
        </w:rPr>
        <w:t>, Hawken</w:t>
      </w:r>
      <w:r w:rsidR="00F72BFA">
        <w:rPr>
          <w:sz w:val="20"/>
        </w:rPr>
        <w:t xml:space="preserve"> S</w:t>
      </w:r>
      <w:r w:rsidR="00F72BFA" w:rsidRPr="00F72BFA">
        <w:rPr>
          <w:sz w:val="20"/>
        </w:rPr>
        <w:t xml:space="preserve">, </w:t>
      </w:r>
      <w:proofErr w:type="spellStart"/>
      <w:r w:rsidR="00F72BFA" w:rsidRPr="00F72BFA">
        <w:rPr>
          <w:sz w:val="20"/>
        </w:rPr>
        <w:t>Ôunpuu</w:t>
      </w:r>
      <w:proofErr w:type="spellEnd"/>
      <w:r w:rsidR="00F72BFA">
        <w:rPr>
          <w:sz w:val="20"/>
        </w:rPr>
        <w:t xml:space="preserve"> S</w:t>
      </w:r>
      <w:r w:rsidR="00F72BFA" w:rsidRPr="00F72BFA">
        <w:rPr>
          <w:sz w:val="20"/>
        </w:rPr>
        <w:t xml:space="preserve">, </w:t>
      </w:r>
      <w:proofErr w:type="spellStart"/>
      <w:r w:rsidR="00F72BFA" w:rsidRPr="00F72BFA">
        <w:rPr>
          <w:sz w:val="20"/>
        </w:rPr>
        <w:t>Sliwa</w:t>
      </w:r>
      <w:proofErr w:type="spellEnd"/>
      <w:r w:rsidR="00F72BFA">
        <w:rPr>
          <w:sz w:val="20"/>
        </w:rPr>
        <w:t xml:space="preserve"> K</w:t>
      </w:r>
      <w:r w:rsidR="00F72BFA" w:rsidRPr="00F72BFA">
        <w:rPr>
          <w:sz w:val="20"/>
        </w:rPr>
        <w:t xml:space="preserve">, </w:t>
      </w:r>
      <w:proofErr w:type="spellStart"/>
      <w:r w:rsidR="00F72BFA" w:rsidRPr="00F72BFA">
        <w:rPr>
          <w:sz w:val="20"/>
        </w:rPr>
        <w:t>Zubaid</w:t>
      </w:r>
      <w:proofErr w:type="spellEnd"/>
      <w:r w:rsidR="00F72BFA">
        <w:rPr>
          <w:sz w:val="20"/>
        </w:rPr>
        <w:t xml:space="preserve"> M</w:t>
      </w:r>
      <w:r w:rsidR="00F72BFA" w:rsidRPr="00F72BFA">
        <w:rPr>
          <w:sz w:val="20"/>
        </w:rPr>
        <w:t xml:space="preserve">, </w:t>
      </w:r>
      <w:proofErr w:type="spellStart"/>
      <w:r w:rsidR="00F72BFA" w:rsidRPr="00F72BFA">
        <w:rPr>
          <w:sz w:val="20"/>
        </w:rPr>
        <w:t>Almahmeed</w:t>
      </w:r>
      <w:proofErr w:type="spellEnd"/>
      <w:r w:rsidR="00F72BFA">
        <w:rPr>
          <w:sz w:val="20"/>
        </w:rPr>
        <w:t xml:space="preserve"> WA</w:t>
      </w:r>
      <w:r w:rsidR="00F72BFA" w:rsidRPr="00F72BFA">
        <w:rPr>
          <w:sz w:val="20"/>
        </w:rPr>
        <w:t>,</w:t>
      </w:r>
      <w:r w:rsidR="00F72BFA">
        <w:rPr>
          <w:sz w:val="20"/>
        </w:rPr>
        <w:t xml:space="preserve"> et al. </w:t>
      </w:r>
      <w:r w:rsidR="00F72BFA" w:rsidRPr="00F72BFA">
        <w:rPr>
          <w:sz w:val="20"/>
        </w:rPr>
        <w:t>Association of psychosocial risk factors with risk of acute myocardial infarction in 11 119 cases and 13 648 controls from 52 countries (the INTERH</w:t>
      </w:r>
      <w:r w:rsidR="00B63BF3">
        <w:rPr>
          <w:sz w:val="20"/>
        </w:rPr>
        <w:t xml:space="preserve">EART study): case-control study. </w:t>
      </w:r>
      <w:r w:rsidR="00920D61">
        <w:rPr>
          <w:sz w:val="20"/>
        </w:rPr>
        <w:t>Lancet. 2004; 364(9438):953-</w:t>
      </w:r>
      <w:r w:rsidR="00F72BFA">
        <w:rPr>
          <w:sz w:val="20"/>
        </w:rPr>
        <w:t xml:space="preserve">62. </w:t>
      </w:r>
    </w:p>
    <w:p w14:paraId="4CF6A97B" w14:textId="6CBB8DEF" w:rsidR="00DB3D24" w:rsidRPr="00260EFC" w:rsidRDefault="003727B1" w:rsidP="007D024A">
      <w:pPr>
        <w:rPr>
          <w:sz w:val="20"/>
        </w:rPr>
      </w:pPr>
      <w:r>
        <w:rPr>
          <w:sz w:val="20"/>
        </w:rPr>
        <w:t>3</w:t>
      </w:r>
      <w:r w:rsidR="00B344F5">
        <w:rPr>
          <w:sz w:val="20"/>
        </w:rPr>
        <w:t>2</w:t>
      </w:r>
      <w:r w:rsidR="00920D61">
        <w:rPr>
          <w:sz w:val="20"/>
        </w:rPr>
        <w:t xml:space="preserve"> </w:t>
      </w:r>
      <w:r w:rsidR="00F72BFA" w:rsidRPr="00DB3D24">
        <w:rPr>
          <w:sz w:val="20"/>
        </w:rPr>
        <w:t>O'Donnell</w:t>
      </w:r>
      <w:r w:rsidR="00F72BFA">
        <w:rPr>
          <w:sz w:val="20"/>
        </w:rPr>
        <w:t xml:space="preserve"> MJ</w:t>
      </w:r>
      <w:r w:rsidR="00F72BFA" w:rsidRPr="00DB3D24">
        <w:rPr>
          <w:sz w:val="20"/>
        </w:rPr>
        <w:t>, Chin</w:t>
      </w:r>
      <w:r w:rsidR="00F72BFA">
        <w:rPr>
          <w:sz w:val="20"/>
        </w:rPr>
        <w:t xml:space="preserve"> SL</w:t>
      </w:r>
      <w:r w:rsidR="00F72BFA" w:rsidRPr="00DB3D24">
        <w:rPr>
          <w:sz w:val="20"/>
        </w:rPr>
        <w:t>, Rangarajan</w:t>
      </w:r>
      <w:r w:rsidR="00F72BFA">
        <w:rPr>
          <w:sz w:val="20"/>
        </w:rPr>
        <w:t xml:space="preserve"> S</w:t>
      </w:r>
      <w:r w:rsidR="00F72BFA" w:rsidRPr="00DB3D24">
        <w:rPr>
          <w:sz w:val="20"/>
        </w:rPr>
        <w:t>, Xavier</w:t>
      </w:r>
      <w:r w:rsidR="00F72BFA">
        <w:rPr>
          <w:sz w:val="20"/>
        </w:rPr>
        <w:t xml:space="preserve"> D</w:t>
      </w:r>
      <w:r w:rsidR="00F72BFA" w:rsidRPr="00DB3D24">
        <w:rPr>
          <w:sz w:val="20"/>
        </w:rPr>
        <w:t>, Liu</w:t>
      </w:r>
      <w:r w:rsidR="00F72BFA">
        <w:rPr>
          <w:sz w:val="20"/>
        </w:rPr>
        <w:t xml:space="preserve"> L</w:t>
      </w:r>
      <w:r w:rsidR="00F72BFA" w:rsidRPr="00DB3D24">
        <w:rPr>
          <w:sz w:val="20"/>
        </w:rPr>
        <w:t>, Zhang</w:t>
      </w:r>
      <w:r w:rsidR="00F72BFA">
        <w:rPr>
          <w:sz w:val="20"/>
        </w:rPr>
        <w:t xml:space="preserve"> H</w:t>
      </w:r>
      <w:r w:rsidR="00F72BFA" w:rsidRPr="00DB3D24">
        <w:rPr>
          <w:sz w:val="20"/>
        </w:rPr>
        <w:t xml:space="preserve">, </w:t>
      </w:r>
      <w:r w:rsidR="00F72BFA">
        <w:rPr>
          <w:sz w:val="20"/>
        </w:rPr>
        <w:t xml:space="preserve">et al. </w:t>
      </w:r>
      <w:r w:rsidR="00F72BFA" w:rsidRPr="00DB3D24">
        <w:rPr>
          <w:sz w:val="20"/>
        </w:rPr>
        <w:t>Global and regional effects of potentially modifiable risk factors associated with acute stroke in 32 countries (INT</w:t>
      </w:r>
      <w:r w:rsidR="00B63BF3">
        <w:rPr>
          <w:sz w:val="20"/>
        </w:rPr>
        <w:t xml:space="preserve">ERSTROKE): a case-control study. </w:t>
      </w:r>
      <w:r w:rsidR="00920D61">
        <w:rPr>
          <w:sz w:val="20"/>
        </w:rPr>
        <w:t>Lancet. 2016</w:t>
      </w:r>
      <w:proofErr w:type="gramStart"/>
      <w:r w:rsidR="00920D61">
        <w:rPr>
          <w:sz w:val="20"/>
        </w:rPr>
        <w:t>;388</w:t>
      </w:r>
      <w:proofErr w:type="gramEnd"/>
      <w:r w:rsidR="00920D61">
        <w:rPr>
          <w:sz w:val="20"/>
        </w:rPr>
        <w:t>(10046):761-</w:t>
      </w:r>
      <w:r w:rsidR="00F72BFA">
        <w:rPr>
          <w:sz w:val="20"/>
        </w:rPr>
        <w:t>75.</w:t>
      </w:r>
    </w:p>
    <w:p w14:paraId="4138E6C1" w14:textId="33B1682E" w:rsidR="007D024A" w:rsidRPr="00260EFC" w:rsidRDefault="003727B1" w:rsidP="007D024A">
      <w:pPr>
        <w:rPr>
          <w:sz w:val="20"/>
        </w:rPr>
      </w:pPr>
      <w:r>
        <w:rPr>
          <w:sz w:val="20"/>
        </w:rPr>
        <w:t>3</w:t>
      </w:r>
      <w:r w:rsidR="00B344F5">
        <w:rPr>
          <w:sz w:val="20"/>
        </w:rPr>
        <w:t>3</w:t>
      </w:r>
      <w:r w:rsidR="00920D61">
        <w:rPr>
          <w:sz w:val="20"/>
        </w:rPr>
        <w:t xml:space="preserve"> </w:t>
      </w:r>
      <w:proofErr w:type="spellStart"/>
      <w:r w:rsidR="007D024A" w:rsidRPr="00260EFC">
        <w:rPr>
          <w:sz w:val="20"/>
        </w:rPr>
        <w:t>Katon</w:t>
      </w:r>
      <w:proofErr w:type="spellEnd"/>
      <w:r w:rsidR="007D024A" w:rsidRPr="00260EFC">
        <w:rPr>
          <w:sz w:val="20"/>
        </w:rPr>
        <w:t xml:space="preserve"> W, </w:t>
      </w:r>
      <w:proofErr w:type="spellStart"/>
      <w:r w:rsidR="007D024A" w:rsidRPr="00260EFC">
        <w:rPr>
          <w:sz w:val="20"/>
        </w:rPr>
        <w:t>Ciechanowski</w:t>
      </w:r>
      <w:proofErr w:type="spellEnd"/>
      <w:r w:rsidR="007D024A" w:rsidRPr="00260EFC">
        <w:rPr>
          <w:sz w:val="20"/>
        </w:rPr>
        <w:t xml:space="preserve"> P. Impact of major depression on chronic m</w:t>
      </w:r>
      <w:r w:rsidR="00863299" w:rsidRPr="00260EFC">
        <w:rPr>
          <w:sz w:val="20"/>
        </w:rPr>
        <w:t xml:space="preserve">edical illness. J </w:t>
      </w:r>
      <w:proofErr w:type="spellStart"/>
      <w:r w:rsidR="00863299" w:rsidRPr="00260EFC">
        <w:rPr>
          <w:sz w:val="20"/>
        </w:rPr>
        <w:t>Psychosom</w:t>
      </w:r>
      <w:proofErr w:type="spellEnd"/>
      <w:r w:rsidR="00863299" w:rsidRPr="00260EFC">
        <w:rPr>
          <w:sz w:val="20"/>
        </w:rPr>
        <w:t xml:space="preserve"> Res</w:t>
      </w:r>
      <w:r w:rsidR="00260EFC">
        <w:rPr>
          <w:sz w:val="20"/>
        </w:rPr>
        <w:t>.</w:t>
      </w:r>
      <w:r w:rsidR="00863299" w:rsidRPr="00260EFC">
        <w:rPr>
          <w:sz w:val="20"/>
        </w:rPr>
        <w:t xml:space="preserve"> </w:t>
      </w:r>
      <w:r w:rsidR="007D024A" w:rsidRPr="00260EFC">
        <w:rPr>
          <w:sz w:val="20"/>
        </w:rPr>
        <w:t>2002</w:t>
      </w:r>
      <w:proofErr w:type="gramStart"/>
      <w:r w:rsidR="007D024A" w:rsidRPr="00260EFC">
        <w:rPr>
          <w:sz w:val="20"/>
        </w:rPr>
        <w:t>;53</w:t>
      </w:r>
      <w:proofErr w:type="gramEnd"/>
      <w:r w:rsidR="007D024A" w:rsidRPr="00260EFC">
        <w:rPr>
          <w:sz w:val="20"/>
        </w:rPr>
        <w:t xml:space="preserve">(4):859–63. </w:t>
      </w:r>
    </w:p>
    <w:p w14:paraId="3EF943D8" w14:textId="51B43B8F" w:rsidR="007D024A" w:rsidRPr="00260EFC" w:rsidRDefault="003727B1" w:rsidP="007D024A">
      <w:pPr>
        <w:rPr>
          <w:sz w:val="20"/>
        </w:rPr>
      </w:pPr>
      <w:r>
        <w:rPr>
          <w:sz w:val="20"/>
        </w:rPr>
        <w:t>3</w:t>
      </w:r>
      <w:r w:rsidR="00B344F5">
        <w:rPr>
          <w:sz w:val="20"/>
        </w:rPr>
        <w:t>4</w:t>
      </w:r>
      <w:r w:rsidR="00920D61">
        <w:rPr>
          <w:sz w:val="20"/>
        </w:rPr>
        <w:t xml:space="preserve"> </w:t>
      </w:r>
      <w:r w:rsidR="007D024A" w:rsidRPr="00260EFC">
        <w:rPr>
          <w:sz w:val="20"/>
        </w:rPr>
        <w:t>Chesney E, Goodwin GM, Fazel S. Risks of all-cause and suicide mortality in mental disorders: a meta-review. World Psychiatry</w:t>
      </w:r>
      <w:r w:rsidR="00260EFC">
        <w:rPr>
          <w:sz w:val="20"/>
        </w:rPr>
        <w:t>.</w:t>
      </w:r>
      <w:r w:rsidR="007D024A" w:rsidRPr="00260EFC">
        <w:rPr>
          <w:sz w:val="20"/>
        </w:rPr>
        <w:t xml:space="preserve"> 2014</w:t>
      </w:r>
      <w:proofErr w:type="gramStart"/>
      <w:r w:rsidR="007D024A" w:rsidRPr="00260EFC">
        <w:rPr>
          <w:sz w:val="20"/>
        </w:rPr>
        <w:t>;13</w:t>
      </w:r>
      <w:proofErr w:type="gramEnd"/>
      <w:r w:rsidR="007D024A" w:rsidRPr="00260EFC">
        <w:rPr>
          <w:sz w:val="20"/>
        </w:rPr>
        <w:t xml:space="preserve">(2):153–60. </w:t>
      </w:r>
    </w:p>
    <w:p w14:paraId="7BAC851D" w14:textId="52C083FA" w:rsidR="007D024A" w:rsidRPr="00260EFC" w:rsidRDefault="003727B1" w:rsidP="007D024A">
      <w:pPr>
        <w:rPr>
          <w:sz w:val="20"/>
        </w:rPr>
      </w:pPr>
      <w:r>
        <w:rPr>
          <w:sz w:val="20"/>
        </w:rPr>
        <w:lastRenderedPageBreak/>
        <w:t>3</w:t>
      </w:r>
      <w:r w:rsidR="00B344F5">
        <w:rPr>
          <w:sz w:val="20"/>
        </w:rPr>
        <w:t>5</w:t>
      </w:r>
      <w:r w:rsidR="00920D61">
        <w:rPr>
          <w:sz w:val="20"/>
        </w:rPr>
        <w:t xml:space="preserve"> </w:t>
      </w:r>
      <w:proofErr w:type="spellStart"/>
      <w:r w:rsidR="007D024A" w:rsidRPr="00260EFC">
        <w:rPr>
          <w:sz w:val="20"/>
        </w:rPr>
        <w:t>Thornicroft</w:t>
      </w:r>
      <w:proofErr w:type="spellEnd"/>
      <w:r w:rsidR="007D024A" w:rsidRPr="00260EFC">
        <w:rPr>
          <w:sz w:val="20"/>
        </w:rPr>
        <w:t xml:space="preserve"> G, Ahuja S, Barber S, Chisholm D, Collins PY, </w:t>
      </w:r>
      <w:proofErr w:type="spellStart"/>
      <w:r w:rsidR="007D024A" w:rsidRPr="00260EFC">
        <w:rPr>
          <w:sz w:val="20"/>
        </w:rPr>
        <w:t>Docrat</w:t>
      </w:r>
      <w:proofErr w:type="spellEnd"/>
      <w:r w:rsidR="007D024A" w:rsidRPr="00260EFC">
        <w:rPr>
          <w:sz w:val="20"/>
        </w:rPr>
        <w:t xml:space="preserve"> S, et al. Integrated care for people with long-term mental and physical health conditions in low-income and middle-income countries. Lancet Psych</w:t>
      </w:r>
      <w:r w:rsidR="00260EFC">
        <w:rPr>
          <w:sz w:val="20"/>
        </w:rPr>
        <w:t>.</w:t>
      </w:r>
      <w:r w:rsidR="00404149" w:rsidRPr="00260EFC">
        <w:rPr>
          <w:sz w:val="20"/>
        </w:rPr>
        <w:t xml:space="preserve"> </w:t>
      </w:r>
      <w:r w:rsidR="00920D61">
        <w:rPr>
          <w:sz w:val="20"/>
        </w:rPr>
        <w:t>2019</w:t>
      </w:r>
      <w:proofErr w:type="gramStart"/>
      <w:r w:rsidR="00920D61">
        <w:rPr>
          <w:sz w:val="20"/>
        </w:rPr>
        <w:t>;6</w:t>
      </w:r>
      <w:proofErr w:type="gramEnd"/>
      <w:r w:rsidR="00920D61">
        <w:rPr>
          <w:sz w:val="20"/>
        </w:rPr>
        <w:t>(2):174</w:t>
      </w:r>
      <w:r w:rsidR="00920D61" w:rsidRPr="00260EFC">
        <w:rPr>
          <w:sz w:val="20"/>
        </w:rPr>
        <w:t>–</w:t>
      </w:r>
      <w:r w:rsidR="00920D61">
        <w:rPr>
          <w:sz w:val="20"/>
        </w:rPr>
        <w:t xml:space="preserve">86. </w:t>
      </w:r>
      <w:r w:rsidR="00D87D6C" w:rsidRPr="00260EFC">
        <w:rPr>
          <w:sz w:val="20"/>
        </w:rPr>
        <w:t xml:space="preserve"> </w:t>
      </w:r>
    </w:p>
    <w:p w14:paraId="247BACF6" w14:textId="77777777" w:rsidR="00B31C6A" w:rsidRPr="00260EFC" w:rsidRDefault="00B31C6A" w:rsidP="00B31C6A"/>
    <w:p w14:paraId="37A723EC" w14:textId="77777777" w:rsidR="00000337" w:rsidRDefault="00000337">
      <w:pPr>
        <w:rPr>
          <w:b/>
          <w:sz w:val="24"/>
        </w:rPr>
      </w:pPr>
      <w:r>
        <w:rPr>
          <w:b/>
          <w:sz w:val="24"/>
        </w:rPr>
        <w:br w:type="page"/>
      </w:r>
    </w:p>
    <w:p w14:paraId="0535145F" w14:textId="13793DC0" w:rsidR="00B8539D" w:rsidRDefault="00B8539D" w:rsidP="001E6B13">
      <w:pPr>
        <w:pStyle w:val="Heading1"/>
        <w:rPr>
          <w:color w:val="auto"/>
        </w:rPr>
      </w:pPr>
      <w:r>
        <w:rPr>
          <w:color w:val="auto"/>
        </w:rPr>
        <w:lastRenderedPageBreak/>
        <w:t>Figure captions</w:t>
      </w:r>
    </w:p>
    <w:p w14:paraId="02002CAB" w14:textId="77777777" w:rsidR="00030A69" w:rsidRDefault="00030A69" w:rsidP="00030A69">
      <w:pPr>
        <w:rPr>
          <w:rFonts w:ascii="Times New Roman" w:hAnsi="Times New Roman" w:cs="Times New Roman"/>
          <w:b/>
          <w:sz w:val="20"/>
          <w:szCs w:val="20"/>
        </w:rPr>
      </w:pPr>
    </w:p>
    <w:p w14:paraId="22375A7B" w14:textId="125AAB20" w:rsidR="00030A69" w:rsidRPr="00030A69" w:rsidRDefault="00030A69" w:rsidP="00030A69">
      <w:pPr>
        <w:rPr>
          <w:rFonts w:cs="Arial"/>
          <w:szCs w:val="20"/>
        </w:rPr>
      </w:pPr>
      <w:r w:rsidRPr="00030A69">
        <w:rPr>
          <w:rFonts w:cs="Arial"/>
          <w:szCs w:val="20"/>
        </w:rPr>
        <w:t>Figure 1. Study selection process</w:t>
      </w:r>
      <w:r w:rsidR="00C01592">
        <w:rPr>
          <w:rFonts w:cs="Arial"/>
          <w:szCs w:val="20"/>
        </w:rPr>
        <w:t>.</w:t>
      </w:r>
      <w:r w:rsidRPr="00030A69">
        <w:rPr>
          <w:rFonts w:cs="Arial"/>
          <w:szCs w:val="20"/>
          <w:vertAlign w:val="superscript"/>
        </w:rPr>
        <w:t>1</w:t>
      </w:r>
    </w:p>
    <w:p w14:paraId="70144E59" w14:textId="1964BA95" w:rsidR="00030A69" w:rsidRPr="00030A69" w:rsidRDefault="00030A69" w:rsidP="00030A69">
      <w:pPr>
        <w:rPr>
          <w:rFonts w:ascii="Arial" w:hAnsi="Arial" w:cs="Arial"/>
          <w:sz w:val="18"/>
        </w:rPr>
      </w:pPr>
      <w:r w:rsidRPr="00030A69">
        <w:rPr>
          <w:rFonts w:ascii="Arial" w:hAnsi="Arial" w:cs="Arial"/>
          <w:sz w:val="18"/>
        </w:rPr>
        <w:t>Footnote 1. CMD = common mental disorders, NCD= non-communicable disease</w:t>
      </w:r>
    </w:p>
    <w:p w14:paraId="7101F9C0" w14:textId="28DF09B8" w:rsidR="00030A69" w:rsidRDefault="00030A69" w:rsidP="00030A69">
      <w:pPr>
        <w:rPr>
          <w:rFonts w:cs="Arial"/>
        </w:rPr>
      </w:pPr>
      <w:r w:rsidRPr="00030A69">
        <w:rPr>
          <w:rFonts w:cs="Arial"/>
        </w:rPr>
        <w:t>Figure 2. Summary of quality assessment</w:t>
      </w:r>
      <w:r w:rsidR="00C01592">
        <w:rPr>
          <w:rFonts w:cs="Arial"/>
        </w:rPr>
        <w:t>.</w:t>
      </w:r>
      <w:r w:rsidRPr="00030A69">
        <w:rPr>
          <w:rFonts w:cs="Arial"/>
        </w:rPr>
        <w:t xml:space="preserve"> </w:t>
      </w:r>
    </w:p>
    <w:p w14:paraId="5D5F65DD" w14:textId="1FB4C2D8" w:rsidR="006F4978" w:rsidRDefault="006F4978" w:rsidP="006F4978">
      <w:pPr>
        <w:ind w:firstLine="720"/>
        <w:rPr>
          <w:rFonts w:cs="Arial"/>
        </w:rPr>
      </w:pPr>
      <w:r>
        <w:rPr>
          <w:rFonts w:cs="Arial"/>
          <w:noProof/>
          <w:lang w:eastAsia="en-GB"/>
        </w:rPr>
        <mc:AlternateContent>
          <mc:Choice Requires="wps">
            <w:drawing>
              <wp:anchor distT="0" distB="0" distL="114300" distR="114300" simplePos="0" relativeHeight="251659264" behindDoc="0" locked="0" layoutInCell="1" allowOverlap="1" wp14:anchorId="311EE548" wp14:editId="458C8D19">
                <wp:simplePos x="0" y="0"/>
                <wp:positionH relativeFrom="column">
                  <wp:posOffset>142875</wp:posOffset>
                </wp:positionH>
                <wp:positionV relativeFrom="paragraph">
                  <wp:posOffset>10160</wp:posOffset>
                </wp:positionV>
                <wp:extent cx="190500" cy="180975"/>
                <wp:effectExtent l="0" t="0" r="0" b="9525"/>
                <wp:wrapNone/>
                <wp:docPr id="6" name="Rectangle 6"/>
                <wp:cNvGraphicFramePr/>
                <a:graphic xmlns:a="http://schemas.openxmlformats.org/drawingml/2006/main">
                  <a:graphicData uri="http://schemas.microsoft.com/office/word/2010/wordprocessingShape">
                    <wps:wsp>
                      <wps:cNvSpPr/>
                      <wps:spPr>
                        <a:xfrm>
                          <a:off x="0" y="0"/>
                          <a:ext cx="190500" cy="1809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7BA1DE" id="Rectangle 6" o:spid="_x0000_s1026" style="position:absolute;margin-left:11.25pt;margin-top:.8pt;width:1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" fillcolor="#92d050" stroked="f" strokeweight="1pt"/>
            </w:pict>
          </mc:Fallback>
        </mc:AlternateContent>
      </w:r>
      <w:r>
        <w:rPr>
          <w:rFonts w:cs="Arial"/>
          <w:noProof/>
          <w:lang w:eastAsia="en-GB"/>
        </w:rPr>
        <mc:AlternateContent>
          <mc:Choice Requires="wps">
            <w:drawing>
              <wp:anchor distT="0" distB="0" distL="114300" distR="114300" simplePos="0" relativeHeight="251661312" behindDoc="0" locked="0" layoutInCell="1" allowOverlap="1" wp14:anchorId="470A87E4" wp14:editId="6BAD8055">
                <wp:simplePos x="0" y="0"/>
                <wp:positionH relativeFrom="column">
                  <wp:posOffset>142875</wp:posOffset>
                </wp:positionH>
                <wp:positionV relativeFrom="paragraph">
                  <wp:posOffset>276225</wp:posOffset>
                </wp:positionV>
                <wp:extent cx="190500" cy="180975"/>
                <wp:effectExtent l="0" t="0" r="0" b="9525"/>
                <wp:wrapNone/>
                <wp:docPr id="7" name="Rectangle 7"/>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37747" id="Rectangle 7" o:spid="_x0000_s1026" style="position:absolute;margin-left:11.25pt;margin-top:21.75pt;width:1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" fillcolor="#ed7d31 [3205]" stroked="f" strokeweight="1pt"/>
            </w:pict>
          </mc:Fallback>
        </mc:AlternateContent>
      </w:r>
      <w:proofErr w:type="gramStart"/>
      <w:r w:rsidRPr="006F4978">
        <w:rPr>
          <w:rFonts w:cs="Arial"/>
        </w:rPr>
        <w:t>high</w:t>
      </w:r>
      <w:proofErr w:type="gramEnd"/>
      <w:r w:rsidRPr="006F4978">
        <w:rPr>
          <w:rFonts w:cs="Arial"/>
        </w:rPr>
        <w:t xml:space="preserve"> quality </w:t>
      </w:r>
    </w:p>
    <w:p w14:paraId="6F98E43F" w14:textId="3043E513" w:rsidR="006F4978" w:rsidRDefault="006F4978" w:rsidP="006F4978">
      <w:pPr>
        <w:ind w:left="720"/>
        <w:rPr>
          <w:rFonts w:cs="Arial"/>
        </w:rPr>
      </w:pPr>
      <w:r>
        <w:rPr>
          <w:rFonts w:cs="Arial"/>
          <w:noProof/>
          <w:lang w:eastAsia="en-GB"/>
        </w:rPr>
        <mc:AlternateContent>
          <mc:Choice Requires="wps">
            <w:drawing>
              <wp:anchor distT="0" distB="0" distL="114300" distR="114300" simplePos="0" relativeHeight="251663360" behindDoc="0" locked="0" layoutInCell="1" allowOverlap="1" wp14:anchorId="4765E568" wp14:editId="1FB40A39">
                <wp:simplePos x="0" y="0"/>
                <wp:positionH relativeFrom="column">
                  <wp:posOffset>142875</wp:posOffset>
                </wp:positionH>
                <wp:positionV relativeFrom="paragraph">
                  <wp:posOffset>275590</wp:posOffset>
                </wp:positionV>
                <wp:extent cx="190500" cy="180975"/>
                <wp:effectExtent l="0" t="0" r="0" b="9525"/>
                <wp:wrapNone/>
                <wp:docPr id="8" name="Rectangle 8"/>
                <wp:cNvGraphicFramePr/>
                <a:graphic xmlns:a="http://schemas.openxmlformats.org/drawingml/2006/main">
                  <a:graphicData uri="http://schemas.microsoft.com/office/word/2010/wordprocessingShape">
                    <wps:wsp>
                      <wps:cNvSpPr/>
                      <wps:spPr>
                        <a:xfrm>
                          <a:off x="0" y="0"/>
                          <a:ext cx="190500" cy="18097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CB2018" id="Rectangle 8" o:spid="_x0000_s1026" style="position:absolute;margin-left:11.25pt;margin-top:21.7pt;width:1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" fillcolor="red" stroked="f" strokeweight="1pt"/>
            </w:pict>
          </mc:Fallback>
        </mc:AlternateContent>
      </w:r>
      <w:proofErr w:type="gramStart"/>
      <w:r w:rsidRPr="006F4978">
        <w:rPr>
          <w:rFonts w:cs="Arial"/>
        </w:rPr>
        <w:t>unclear</w:t>
      </w:r>
      <w:proofErr w:type="gramEnd"/>
      <w:r w:rsidRPr="006F4978">
        <w:rPr>
          <w:rFonts w:cs="Arial"/>
        </w:rPr>
        <w:t xml:space="preserve"> quality </w:t>
      </w:r>
    </w:p>
    <w:p w14:paraId="0F84A120" w14:textId="26629D93" w:rsidR="006F4978" w:rsidRPr="006F4978" w:rsidRDefault="006F4978" w:rsidP="006F4978">
      <w:pPr>
        <w:ind w:left="720"/>
        <w:rPr>
          <w:rFonts w:cs="Arial"/>
        </w:rPr>
      </w:pPr>
      <w:proofErr w:type="gramStart"/>
      <w:r w:rsidRPr="006F4978">
        <w:rPr>
          <w:rFonts w:cs="Arial"/>
        </w:rPr>
        <w:t>low</w:t>
      </w:r>
      <w:proofErr w:type="gramEnd"/>
      <w:r w:rsidRPr="006F4978">
        <w:rPr>
          <w:rFonts w:cs="Arial"/>
        </w:rPr>
        <w:t xml:space="preserve"> quality</w:t>
      </w:r>
    </w:p>
    <w:p w14:paraId="274A3A6A" w14:textId="72EA2564" w:rsidR="00030A69" w:rsidRPr="00030A69" w:rsidRDefault="00030A69" w:rsidP="00030A69">
      <w:pPr>
        <w:rPr>
          <w:rFonts w:cs="Arial"/>
        </w:rPr>
      </w:pPr>
      <w:r w:rsidRPr="00030A69">
        <w:rPr>
          <w:rFonts w:cs="Arial"/>
        </w:rPr>
        <w:t>Figure 3. Meta-analysis of the prevalence of depression in patients with diabetes</w:t>
      </w:r>
      <w:r w:rsidR="00C01592">
        <w:rPr>
          <w:rFonts w:cs="Arial"/>
        </w:rPr>
        <w:t>.</w:t>
      </w:r>
      <w:r w:rsidRPr="00030A69">
        <w:rPr>
          <w:rFonts w:cs="Arial"/>
          <w:vertAlign w:val="superscript"/>
        </w:rPr>
        <w:t>1</w:t>
      </w:r>
      <w:proofErr w:type="gramStart"/>
      <w:r w:rsidR="00D155B7">
        <w:rPr>
          <w:rFonts w:cs="Arial"/>
          <w:vertAlign w:val="superscript"/>
        </w:rPr>
        <w:t>,2</w:t>
      </w:r>
      <w:proofErr w:type="gramEnd"/>
    </w:p>
    <w:p w14:paraId="14F32B55" w14:textId="23E84F84" w:rsidR="00030A69" w:rsidRDefault="00030A69" w:rsidP="00030A69">
      <w:pPr>
        <w:rPr>
          <w:rFonts w:ascii="Arial" w:hAnsi="Arial" w:cs="Arial"/>
          <w:sz w:val="18"/>
        </w:rPr>
      </w:pPr>
      <w:r w:rsidRPr="00030A69">
        <w:rPr>
          <w:rFonts w:ascii="Arial" w:hAnsi="Arial" w:cs="Arial"/>
          <w:sz w:val="18"/>
        </w:rPr>
        <w:t>Footnote 1. CMD = common mental disorders, NCD= non-communicable disease</w:t>
      </w:r>
    </w:p>
    <w:p w14:paraId="223F3A6B" w14:textId="06F6476C" w:rsidR="00D155B7" w:rsidRPr="00030A69" w:rsidRDefault="00D155B7" w:rsidP="00030A69">
      <w:pPr>
        <w:rPr>
          <w:rFonts w:ascii="Arial" w:hAnsi="Arial" w:cs="Arial"/>
          <w:sz w:val="18"/>
        </w:rPr>
      </w:pPr>
      <w:r>
        <w:rPr>
          <w:rFonts w:ascii="Arial" w:hAnsi="Arial" w:cs="Arial"/>
          <w:sz w:val="18"/>
        </w:rPr>
        <w:t xml:space="preserve">Footnote 2. </w:t>
      </w:r>
      <w:r w:rsidRPr="00D155B7">
        <w:rPr>
          <w:rFonts w:ascii="Arial" w:hAnsi="Arial" w:cs="Arial"/>
          <w:sz w:val="18"/>
        </w:rPr>
        <w:t>a. Three estimates are included for Lloyd et al 2018 for data from Bangladesh, India, and Pakistan.</w:t>
      </w:r>
    </w:p>
    <w:p w14:paraId="65AFAFA0" w14:textId="6A30AC86" w:rsidR="00030A69" w:rsidRPr="00030A69" w:rsidRDefault="00030A69" w:rsidP="00030A69">
      <w:pPr>
        <w:rPr>
          <w:rFonts w:cs="Arial"/>
        </w:rPr>
      </w:pPr>
      <w:r w:rsidRPr="00030A69">
        <w:rPr>
          <w:rFonts w:cs="Arial"/>
        </w:rPr>
        <w:t>Figure 4. Meta-analysis of the prevalence of depression in patients with cancer</w:t>
      </w:r>
      <w:r w:rsidR="00C01592">
        <w:rPr>
          <w:rFonts w:cs="Arial"/>
        </w:rPr>
        <w:t>.</w:t>
      </w:r>
      <w:r w:rsidRPr="00030A69">
        <w:rPr>
          <w:rFonts w:cs="Arial"/>
          <w:vertAlign w:val="superscript"/>
        </w:rPr>
        <w:t>1</w:t>
      </w:r>
    </w:p>
    <w:p w14:paraId="180CD3F9" w14:textId="33BF4AA7" w:rsidR="00030A69" w:rsidRPr="00030A69" w:rsidRDefault="00030A69" w:rsidP="00030A69">
      <w:pPr>
        <w:rPr>
          <w:rFonts w:ascii="Arial" w:hAnsi="Arial" w:cs="Arial"/>
          <w:sz w:val="18"/>
        </w:rPr>
      </w:pPr>
      <w:r w:rsidRPr="00030A69">
        <w:rPr>
          <w:rFonts w:ascii="Arial" w:hAnsi="Arial" w:cs="Arial"/>
          <w:sz w:val="18"/>
        </w:rPr>
        <w:t>Footnote 1. CMD = common mental disorders, NCD= non-communicable disease</w:t>
      </w:r>
    </w:p>
    <w:p w14:paraId="4096D5F5" w14:textId="025D4F21" w:rsidR="00030A69" w:rsidRPr="00030A69" w:rsidRDefault="00030A69" w:rsidP="00030A69">
      <w:pPr>
        <w:rPr>
          <w:rFonts w:cs="Arial"/>
        </w:rPr>
      </w:pPr>
      <w:r w:rsidRPr="00030A69">
        <w:rPr>
          <w:rFonts w:cs="Arial"/>
        </w:rPr>
        <w:t>Figure 5. Meta-analysis of the prevalence of depression in patients with COPD</w:t>
      </w:r>
      <w:r w:rsidR="00C01592">
        <w:rPr>
          <w:rFonts w:cs="Arial"/>
        </w:rPr>
        <w:t>.</w:t>
      </w:r>
      <w:r w:rsidRPr="00030A69">
        <w:rPr>
          <w:rFonts w:cs="Arial"/>
          <w:vertAlign w:val="superscript"/>
        </w:rPr>
        <w:t xml:space="preserve">1 </w:t>
      </w:r>
    </w:p>
    <w:p w14:paraId="416F8504" w14:textId="6E3294C6" w:rsidR="00000337" w:rsidRPr="008F1878" w:rsidRDefault="00030A69" w:rsidP="00000337">
      <w:pPr>
        <w:rPr>
          <w:rFonts w:ascii="Arial" w:hAnsi="Arial" w:cs="Arial"/>
          <w:sz w:val="18"/>
        </w:rPr>
      </w:pPr>
      <w:r w:rsidRPr="00030A69">
        <w:rPr>
          <w:rFonts w:ascii="Arial" w:hAnsi="Arial" w:cs="Arial"/>
          <w:sz w:val="18"/>
        </w:rPr>
        <w:t>Footnote 1. CMD = common mental disorders, NCD= non-communicable disease</w:t>
      </w:r>
    </w:p>
    <w:p w14:paraId="0D5E74FC" w14:textId="77777777" w:rsidR="000C5045" w:rsidRDefault="000C5045">
      <w:pPr>
        <w:rPr>
          <w:rFonts w:asciiTheme="majorHAnsi" w:eastAsiaTheme="majorEastAsia" w:hAnsiTheme="majorHAnsi" w:cstheme="majorBidi"/>
          <w:b/>
          <w:bCs/>
          <w:sz w:val="28"/>
          <w:szCs w:val="28"/>
        </w:rPr>
      </w:pPr>
      <w:r>
        <w:br w:type="page"/>
      </w:r>
    </w:p>
    <w:p w14:paraId="0F0CAAC7" w14:textId="5A872334" w:rsidR="001703D7" w:rsidRPr="001E6B13" w:rsidRDefault="001703D7" w:rsidP="001703D7">
      <w:pPr>
        <w:pStyle w:val="Heading1"/>
        <w:rPr>
          <w:color w:val="auto"/>
        </w:rPr>
      </w:pPr>
      <w:r w:rsidRPr="001E6B13">
        <w:rPr>
          <w:color w:val="auto"/>
        </w:rPr>
        <w:lastRenderedPageBreak/>
        <w:t xml:space="preserve">Tables </w:t>
      </w:r>
    </w:p>
    <w:p w14:paraId="74006044" w14:textId="77777777" w:rsidR="001703D7" w:rsidRDefault="001703D7" w:rsidP="001703D7">
      <w:pPr>
        <w:rPr>
          <w:rFonts w:ascii="Times New Roman" w:hAnsi="Times New Roman" w:cs="Times New Roman"/>
          <w:b/>
          <w:sz w:val="20"/>
        </w:rPr>
      </w:pPr>
    </w:p>
    <w:p w14:paraId="4D7A17F3" w14:textId="4B4195B3" w:rsidR="001703D7" w:rsidRPr="00000337" w:rsidRDefault="001703D7" w:rsidP="001703D7">
      <w:pPr>
        <w:rPr>
          <w:rFonts w:ascii="Times New Roman" w:hAnsi="Times New Roman" w:cs="Times New Roman"/>
          <w:b/>
          <w:sz w:val="20"/>
        </w:rPr>
      </w:pPr>
      <w:r w:rsidRPr="001432FD">
        <w:rPr>
          <w:rFonts w:ascii="Times New Roman" w:hAnsi="Times New Roman" w:cs="Times New Roman"/>
          <w:b/>
          <w:sz w:val="20"/>
        </w:rPr>
        <w:t>Table 1. Description of study characteristics</w:t>
      </w:r>
      <w:r w:rsidR="008F1878">
        <w:rPr>
          <w:rFonts w:ascii="Times New Roman" w:hAnsi="Times New Roman" w:cs="Times New Roman"/>
          <w:b/>
          <w:sz w:val="20"/>
        </w:rPr>
        <w:t>.</w:t>
      </w:r>
    </w:p>
    <w:p w14:paraId="5FF599DF" w14:textId="77777777" w:rsidR="001703D7" w:rsidRPr="001432FD" w:rsidRDefault="001703D7" w:rsidP="001703D7">
      <w:pPr>
        <w:rPr>
          <w:rFonts w:ascii="Times New Roman" w:hAnsi="Times New Roman" w:cs="Times New Roman"/>
          <w:b/>
          <w:sz w:val="20"/>
        </w:rPr>
      </w:pPr>
    </w:p>
    <w:tbl>
      <w:tblPr>
        <w:tblStyle w:val="TableGrid"/>
        <w:tblpPr w:leftFromText="180" w:rightFromText="180" w:vertAnchor="text" w:tblpY="1"/>
        <w:tblOverlap w:val="nev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954"/>
        <w:gridCol w:w="1984"/>
      </w:tblGrid>
      <w:tr w:rsidR="001703D7" w:rsidRPr="00FF5148" w14:paraId="4124D911" w14:textId="77777777" w:rsidTr="00197921">
        <w:tc>
          <w:tcPr>
            <w:tcW w:w="5954" w:type="dxa"/>
          </w:tcPr>
          <w:p w14:paraId="6C1CDC9F" w14:textId="77777777" w:rsidR="001703D7" w:rsidRPr="00FF5148" w:rsidRDefault="001703D7" w:rsidP="00197921">
            <w:pPr>
              <w:rPr>
                <w:rFonts w:ascii="Arial" w:hAnsi="Arial" w:cs="Arial"/>
                <w:b/>
                <w:sz w:val="20"/>
                <w:szCs w:val="20"/>
              </w:rPr>
            </w:pPr>
            <w:r w:rsidRPr="00FF5148">
              <w:rPr>
                <w:rFonts w:ascii="Arial" w:hAnsi="Arial" w:cs="Arial"/>
                <w:b/>
                <w:sz w:val="20"/>
                <w:szCs w:val="20"/>
              </w:rPr>
              <w:t>Study characteristic</w:t>
            </w:r>
          </w:p>
        </w:tc>
        <w:tc>
          <w:tcPr>
            <w:tcW w:w="1984" w:type="dxa"/>
          </w:tcPr>
          <w:p w14:paraId="2A48AD15" w14:textId="77777777" w:rsidR="001703D7" w:rsidRPr="001A0463" w:rsidRDefault="001703D7" w:rsidP="00197921">
            <w:pPr>
              <w:rPr>
                <w:rFonts w:ascii="Arial" w:hAnsi="Arial" w:cs="Arial"/>
                <w:b/>
                <w:sz w:val="20"/>
                <w:szCs w:val="20"/>
              </w:rPr>
            </w:pPr>
            <w:r w:rsidRPr="004405C0">
              <w:rPr>
                <w:rFonts w:ascii="Arial" w:hAnsi="Arial" w:cs="Arial"/>
                <w:b/>
                <w:sz w:val="20"/>
                <w:szCs w:val="20"/>
              </w:rPr>
              <w:t>No. studies</w:t>
            </w:r>
            <w:r>
              <w:rPr>
                <w:rFonts w:ascii="Arial" w:hAnsi="Arial" w:cs="Arial"/>
                <w:b/>
                <w:sz w:val="20"/>
                <w:szCs w:val="20"/>
              </w:rPr>
              <w:t xml:space="preserve"> </w:t>
            </w:r>
            <w:r w:rsidRPr="004405C0">
              <w:rPr>
                <w:rFonts w:ascii="Arial" w:hAnsi="Arial" w:cs="Arial"/>
                <w:b/>
                <w:sz w:val="20"/>
                <w:szCs w:val="20"/>
              </w:rPr>
              <w:t>(N=96)</w:t>
            </w:r>
          </w:p>
        </w:tc>
      </w:tr>
      <w:tr w:rsidR="001703D7" w:rsidRPr="00FF5148" w14:paraId="0A4DB792" w14:textId="77777777" w:rsidTr="00197921">
        <w:tc>
          <w:tcPr>
            <w:tcW w:w="5954" w:type="dxa"/>
            <w:tcBorders>
              <w:bottom w:val="nil"/>
            </w:tcBorders>
          </w:tcPr>
          <w:p w14:paraId="3DA8443B" w14:textId="77777777" w:rsidR="001703D7" w:rsidRPr="003955DE" w:rsidRDefault="001703D7" w:rsidP="00197921">
            <w:pPr>
              <w:rPr>
                <w:rFonts w:ascii="Arial" w:hAnsi="Arial" w:cs="Arial"/>
                <w:b/>
                <w:sz w:val="20"/>
                <w:szCs w:val="20"/>
                <w:vertAlign w:val="superscript"/>
              </w:rPr>
            </w:pPr>
            <w:r w:rsidRPr="00FF5148">
              <w:rPr>
                <w:rFonts w:ascii="Arial" w:hAnsi="Arial" w:cs="Arial"/>
                <w:b/>
                <w:sz w:val="20"/>
                <w:szCs w:val="20"/>
              </w:rPr>
              <w:t>Countries</w:t>
            </w:r>
          </w:p>
        </w:tc>
        <w:tc>
          <w:tcPr>
            <w:tcW w:w="1984" w:type="dxa"/>
            <w:tcBorders>
              <w:bottom w:val="nil"/>
            </w:tcBorders>
          </w:tcPr>
          <w:p w14:paraId="7B4E6A37" w14:textId="77777777" w:rsidR="001703D7" w:rsidRPr="004405C0" w:rsidRDefault="001703D7" w:rsidP="00197921">
            <w:pPr>
              <w:rPr>
                <w:rFonts w:ascii="Arial" w:hAnsi="Arial" w:cs="Arial"/>
                <w:sz w:val="20"/>
                <w:szCs w:val="20"/>
              </w:rPr>
            </w:pPr>
          </w:p>
        </w:tc>
      </w:tr>
      <w:tr w:rsidR="001703D7" w:rsidRPr="00FF5148" w14:paraId="674BAD33" w14:textId="77777777" w:rsidTr="00197921">
        <w:tc>
          <w:tcPr>
            <w:tcW w:w="5954" w:type="dxa"/>
            <w:tcBorders>
              <w:top w:val="nil"/>
              <w:bottom w:val="nil"/>
            </w:tcBorders>
          </w:tcPr>
          <w:p w14:paraId="62880B9E" w14:textId="77777777" w:rsidR="001703D7" w:rsidRPr="003955DE" w:rsidRDefault="001703D7" w:rsidP="00197921">
            <w:pPr>
              <w:rPr>
                <w:rFonts w:ascii="Arial" w:hAnsi="Arial" w:cs="Arial"/>
                <w:sz w:val="20"/>
                <w:szCs w:val="20"/>
              </w:rPr>
            </w:pPr>
            <w:r w:rsidRPr="00FF5148">
              <w:rPr>
                <w:rFonts w:ascii="Arial" w:hAnsi="Arial" w:cs="Arial"/>
                <w:sz w:val="20"/>
                <w:szCs w:val="20"/>
              </w:rPr>
              <w:t>India</w:t>
            </w:r>
          </w:p>
        </w:tc>
        <w:tc>
          <w:tcPr>
            <w:tcW w:w="1984" w:type="dxa"/>
            <w:tcBorders>
              <w:top w:val="nil"/>
              <w:bottom w:val="nil"/>
            </w:tcBorders>
          </w:tcPr>
          <w:p w14:paraId="1832935A" w14:textId="77777777" w:rsidR="001703D7" w:rsidRPr="004405C0" w:rsidRDefault="001703D7" w:rsidP="00197921">
            <w:pPr>
              <w:rPr>
                <w:rFonts w:ascii="Arial" w:hAnsi="Arial" w:cs="Arial"/>
                <w:sz w:val="20"/>
                <w:szCs w:val="20"/>
              </w:rPr>
            </w:pPr>
            <w:r>
              <w:rPr>
                <w:rFonts w:ascii="Arial" w:hAnsi="Arial" w:cs="Arial"/>
                <w:sz w:val="20"/>
                <w:szCs w:val="20"/>
              </w:rPr>
              <w:t>60</w:t>
            </w:r>
          </w:p>
        </w:tc>
      </w:tr>
      <w:tr w:rsidR="001703D7" w:rsidRPr="00FF5148" w14:paraId="5BA9AB12" w14:textId="77777777" w:rsidTr="00197921">
        <w:tc>
          <w:tcPr>
            <w:tcW w:w="5954" w:type="dxa"/>
            <w:tcBorders>
              <w:top w:val="nil"/>
              <w:bottom w:val="nil"/>
            </w:tcBorders>
          </w:tcPr>
          <w:p w14:paraId="5D405EA2" w14:textId="77777777" w:rsidR="001703D7" w:rsidRPr="003955DE" w:rsidRDefault="001703D7" w:rsidP="00197921">
            <w:pPr>
              <w:rPr>
                <w:rFonts w:ascii="Arial" w:hAnsi="Arial" w:cs="Arial"/>
                <w:sz w:val="20"/>
                <w:szCs w:val="20"/>
              </w:rPr>
            </w:pPr>
            <w:r w:rsidRPr="00FF5148">
              <w:rPr>
                <w:rFonts w:ascii="Arial" w:hAnsi="Arial" w:cs="Arial"/>
                <w:sz w:val="20"/>
                <w:szCs w:val="20"/>
              </w:rPr>
              <w:t>Pakistan</w:t>
            </w:r>
          </w:p>
        </w:tc>
        <w:tc>
          <w:tcPr>
            <w:tcW w:w="1984" w:type="dxa"/>
            <w:tcBorders>
              <w:top w:val="nil"/>
              <w:bottom w:val="nil"/>
            </w:tcBorders>
          </w:tcPr>
          <w:p w14:paraId="097B5648" w14:textId="77777777" w:rsidR="001703D7" w:rsidRPr="004405C0" w:rsidRDefault="001703D7" w:rsidP="00197921">
            <w:pPr>
              <w:rPr>
                <w:rFonts w:ascii="Arial" w:hAnsi="Arial" w:cs="Arial"/>
                <w:sz w:val="20"/>
                <w:szCs w:val="20"/>
              </w:rPr>
            </w:pPr>
            <w:r>
              <w:rPr>
                <w:rFonts w:ascii="Arial" w:hAnsi="Arial" w:cs="Arial"/>
                <w:sz w:val="20"/>
                <w:szCs w:val="20"/>
              </w:rPr>
              <w:t>30</w:t>
            </w:r>
          </w:p>
        </w:tc>
      </w:tr>
      <w:tr w:rsidR="001703D7" w:rsidRPr="00FF5148" w14:paraId="20B938F4" w14:textId="77777777" w:rsidTr="00197921">
        <w:tc>
          <w:tcPr>
            <w:tcW w:w="5954" w:type="dxa"/>
            <w:tcBorders>
              <w:top w:val="nil"/>
              <w:bottom w:val="nil"/>
            </w:tcBorders>
          </w:tcPr>
          <w:p w14:paraId="1714C41B" w14:textId="77777777" w:rsidR="001703D7" w:rsidRPr="00FF5148" w:rsidRDefault="001703D7" w:rsidP="00197921">
            <w:pPr>
              <w:rPr>
                <w:rFonts w:ascii="Arial" w:hAnsi="Arial" w:cs="Arial"/>
                <w:b/>
                <w:sz w:val="20"/>
                <w:szCs w:val="20"/>
              </w:rPr>
            </w:pPr>
            <w:r w:rsidRPr="00FF5148">
              <w:rPr>
                <w:rFonts w:ascii="Arial" w:hAnsi="Arial" w:cs="Arial"/>
                <w:sz w:val="20"/>
                <w:szCs w:val="20"/>
              </w:rPr>
              <w:t>Bangladesh</w:t>
            </w:r>
          </w:p>
        </w:tc>
        <w:tc>
          <w:tcPr>
            <w:tcW w:w="1984" w:type="dxa"/>
            <w:tcBorders>
              <w:top w:val="nil"/>
              <w:bottom w:val="nil"/>
            </w:tcBorders>
          </w:tcPr>
          <w:p w14:paraId="12B40F3C" w14:textId="77777777" w:rsidR="001703D7" w:rsidRPr="004405C0" w:rsidRDefault="001703D7" w:rsidP="00197921">
            <w:pPr>
              <w:rPr>
                <w:rFonts w:ascii="Arial" w:hAnsi="Arial" w:cs="Arial"/>
                <w:sz w:val="20"/>
                <w:szCs w:val="20"/>
              </w:rPr>
            </w:pPr>
            <w:r>
              <w:rPr>
                <w:rFonts w:ascii="Arial" w:hAnsi="Arial" w:cs="Arial"/>
                <w:sz w:val="20"/>
                <w:szCs w:val="20"/>
              </w:rPr>
              <w:t>5</w:t>
            </w:r>
          </w:p>
        </w:tc>
      </w:tr>
      <w:tr w:rsidR="001703D7" w:rsidRPr="00FF5148" w14:paraId="5A1A1901" w14:textId="77777777" w:rsidTr="00197921">
        <w:tc>
          <w:tcPr>
            <w:tcW w:w="5954" w:type="dxa"/>
            <w:tcBorders>
              <w:top w:val="nil"/>
              <w:bottom w:val="single" w:sz="4" w:space="0" w:color="auto"/>
            </w:tcBorders>
          </w:tcPr>
          <w:p w14:paraId="7CCABF67" w14:textId="77777777" w:rsidR="001703D7" w:rsidRPr="00FF5148" w:rsidRDefault="001703D7" w:rsidP="00197921">
            <w:pPr>
              <w:rPr>
                <w:rFonts w:ascii="Arial" w:hAnsi="Arial" w:cs="Arial"/>
                <w:b/>
                <w:sz w:val="20"/>
                <w:szCs w:val="20"/>
              </w:rPr>
            </w:pPr>
            <w:r w:rsidRPr="00FF5148">
              <w:rPr>
                <w:rFonts w:ascii="Arial" w:hAnsi="Arial" w:cs="Arial"/>
                <w:sz w:val="20"/>
                <w:szCs w:val="20"/>
              </w:rPr>
              <w:t>All three countries</w:t>
            </w:r>
          </w:p>
        </w:tc>
        <w:tc>
          <w:tcPr>
            <w:tcW w:w="1984" w:type="dxa"/>
            <w:tcBorders>
              <w:top w:val="nil"/>
            </w:tcBorders>
          </w:tcPr>
          <w:p w14:paraId="091DDFA9" w14:textId="77777777" w:rsidR="001703D7" w:rsidRPr="004405C0" w:rsidRDefault="001703D7" w:rsidP="00197921">
            <w:pPr>
              <w:rPr>
                <w:rFonts w:ascii="Arial" w:hAnsi="Arial" w:cs="Arial"/>
                <w:sz w:val="20"/>
                <w:szCs w:val="20"/>
              </w:rPr>
            </w:pPr>
            <w:r>
              <w:rPr>
                <w:rFonts w:ascii="Arial" w:hAnsi="Arial" w:cs="Arial"/>
                <w:sz w:val="20"/>
                <w:szCs w:val="20"/>
              </w:rPr>
              <w:t>1</w:t>
            </w:r>
          </w:p>
        </w:tc>
      </w:tr>
      <w:tr w:rsidR="001703D7" w:rsidRPr="00FF5148" w14:paraId="2169EDEB" w14:textId="77777777" w:rsidTr="00197921">
        <w:tc>
          <w:tcPr>
            <w:tcW w:w="5954" w:type="dxa"/>
            <w:tcBorders>
              <w:top w:val="single" w:sz="4" w:space="0" w:color="auto"/>
              <w:bottom w:val="nil"/>
            </w:tcBorders>
          </w:tcPr>
          <w:p w14:paraId="363E2790" w14:textId="77777777" w:rsidR="001703D7" w:rsidRPr="003955DE" w:rsidRDefault="001703D7" w:rsidP="00197921">
            <w:pPr>
              <w:rPr>
                <w:rFonts w:ascii="Arial" w:hAnsi="Arial" w:cs="Arial"/>
                <w:b/>
                <w:sz w:val="20"/>
                <w:szCs w:val="20"/>
              </w:rPr>
            </w:pPr>
            <w:r w:rsidRPr="00FF5148">
              <w:rPr>
                <w:rFonts w:ascii="Arial" w:hAnsi="Arial" w:cs="Arial"/>
                <w:b/>
                <w:sz w:val="20"/>
                <w:szCs w:val="20"/>
              </w:rPr>
              <w:t>Study design</w:t>
            </w:r>
          </w:p>
        </w:tc>
        <w:tc>
          <w:tcPr>
            <w:tcW w:w="1984" w:type="dxa"/>
            <w:tcBorders>
              <w:bottom w:val="nil"/>
            </w:tcBorders>
          </w:tcPr>
          <w:p w14:paraId="09807DE2" w14:textId="77777777" w:rsidR="001703D7" w:rsidRPr="004405C0" w:rsidRDefault="001703D7" w:rsidP="00197921">
            <w:pPr>
              <w:rPr>
                <w:rFonts w:ascii="Arial" w:hAnsi="Arial" w:cs="Arial"/>
                <w:sz w:val="20"/>
                <w:szCs w:val="20"/>
              </w:rPr>
            </w:pPr>
          </w:p>
        </w:tc>
      </w:tr>
      <w:tr w:rsidR="001703D7" w:rsidRPr="00FF5148" w14:paraId="139DCE3A" w14:textId="77777777" w:rsidTr="00197921">
        <w:tc>
          <w:tcPr>
            <w:tcW w:w="5954" w:type="dxa"/>
            <w:tcBorders>
              <w:top w:val="nil"/>
              <w:bottom w:val="nil"/>
            </w:tcBorders>
          </w:tcPr>
          <w:p w14:paraId="77D9074A" w14:textId="77777777" w:rsidR="001703D7" w:rsidRPr="003955DE" w:rsidRDefault="001703D7" w:rsidP="00197921">
            <w:pPr>
              <w:rPr>
                <w:rFonts w:ascii="Arial" w:hAnsi="Arial" w:cs="Arial"/>
                <w:i/>
                <w:sz w:val="20"/>
                <w:szCs w:val="20"/>
              </w:rPr>
            </w:pPr>
            <w:r w:rsidRPr="00FF5148">
              <w:rPr>
                <w:rFonts w:ascii="Arial" w:hAnsi="Arial" w:cs="Arial"/>
                <w:sz w:val="20"/>
                <w:szCs w:val="20"/>
              </w:rPr>
              <w:t xml:space="preserve">Cross-sectional </w:t>
            </w:r>
          </w:p>
        </w:tc>
        <w:tc>
          <w:tcPr>
            <w:tcW w:w="1984" w:type="dxa"/>
            <w:tcBorders>
              <w:top w:val="nil"/>
              <w:bottom w:val="nil"/>
            </w:tcBorders>
          </w:tcPr>
          <w:p w14:paraId="5BF9A78E" w14:textId="77777777" w:rsidR="001703D7" w:rsidRPr="004405C0" w:rsidRDefault="001703D7" w:rsidP="00197921">
            <w:pPr>
              <w:rPr>
                <w:rFonts w:ascii="Arial" w:hAnsi="Arial" w:cs="Arial"/>
                <w:sz w:val="20"/>
                <w:szCs w:val="20"/>
              </w:rPr>
            </w:pPr>
            <w:r>
              <w:rPr>
                <w:rFonts w:ascii="Arial" w:hAnsi="Arial" w:cs="Arial"/>
                <w:sz w:val="20"/>
                <w:szCs w:val="20"/>
              </w:rPr>
              <w:t>86</w:t>
            </w:r>
          </w:p>
        </w:tc>
      </w:tr>
      <w:tr w:rsidR="001703D7" w:rsidRPr="00FF5148" w14:paraId="68F5E698" w14:textId="77777777" w:rsidTr="00197921">
        <w:tc>
          <w:tcPr>
            <w:tcW w:w="5954" w:type="dxa"/>
            <w:tcBorders>
              <w:top w:val="nil"/>
              <w:bottom w:val="single" w:sz="4" w:space="0" w:color="auto"/>
            </w:tcBorders>
          </w:tcPr>
          <w:p w14:paraId="27FD402B" w14:textId="77777777" w:rsidR="001703D7" w:rsidRPr="00FF5148" w:rsidRDefault="001703D7" w:rsidP="00197921">
            <w:pPr>
              <w:rPr>
                <w:rFonts w:ascii="Arial" w:hAnsi="Arial" w:cs="Arial"/>
                <w:b/>
                <w:sz w:val="20"/>
                <w:szCs w:val="20"/>
              </w:rPr>
            </w:pPr>
            <w:r w:rsidRPr="00FF5148">
              <w:rPr>
                <w:rFonts w:ascii="Arial" w:hAnsi="Arial" w:cs="Arial"/>
                <w:sz w:val="20"/>
                <w:szCs w:val="20"/>
              </w:rPr>
              <w:t xml:space="preserve">Repeated measures </w:t>
            </w:r>
            <w:r w:rsidRPr="00FF5148">
              <w:rPr>
                <w:rFonts w:ascii="Arial" w:hAnsi="Arial" w:cs="Arial"/>
                <w:i/>
                <w:sz w:val="20"/>
                <w:szCs w:val="20"/>
              </w:rPr>
              <w:t>(incl. before and after)</w:t>
            </w:r>
          </w:p>
        </w:tc>
        <w:tc>
          <w:tcPr>
            <w:tcW w:w="1984" w:type="dxa"/>
            <w:tcBorders>
              <w:top w:val="nil"/>
              <w:bottom w:val="single" w:sz="4" w:space="0" w:color="auto"/>
            </w:tcBorders>
          </w:tcPr>
          <w:p w14:paraId="399374D5" w14:textId="77777777" w:rsidR="001703D7" w:rsidRPr="004405C0" w:rsidRDefault="001703D7" w:rsidP="00197921">
            <w:pPr>
              <w:rPr>
                <w:rFonts w:ascii="Arial" w:hAnsi="Arial" w:cs="Arial"/>
                <w:sz w:val="20"/>
                <w:szCs w:val="20"/>
              </w:rPr>
            </w:pPr>
            <w:r>
              <w:rPr>
                <w:rFonts w:ascii="Arial" w:hAnsi="Arial" w:cs="Arial"/>
                <w:sz w:val="20"/>
                <w:szCs w:val="20"/>
              </w:rPr>
              <w:t>10</w:t>
            </w:r>
          </w:p>
        </w:tc>
      </w:tr>
      <w:tr w:rsidR="001703D7" w:rsidRPr="00FF5148" w14:paraId="66E79298" w14:textId="77777777" w:rsidTr="00197921">
        <w:tc>
          <w:tcPr>
            <w:tcW w:w="5954" w:type="dxa"/>
            <w:tcBorders>
              <w:top w:val="single" w:sz="4" w:space="0" w:color="auto"/>
              <w:bottom w:val="nil"/>
            </w:tcBorders>
          </w:tcPr>
          <w:p w14:paraId="3C9C3F8B" w14:textId="77777777" w:rsidR="001703D7" w:rsidRPr="009874D9" w:rsidRDefault="001703D7" w:rsidP="00197921">
            <w:pPr>
              <w:rPr>
                <w:rFonts w:ascii="Arial" w:hAnsi="Arial" w:cs="Arial"/>
                <w:b/>
                <w:sz w:val="20"/>
                <w:szCs w:val="20"/>
              </w:rPr>
            </w:pPr>
            <w:r w:rsidRPr="00FF5148">
              <w:rPr>
                <w:rFonts w:ascii="Arial" w:hAnsi="Arial" w:cs="Arial"/>
                <w:b/>
                <w:sz w:val="20"/>
                <w:szCs w:val="20"/>
              </w:rPr>
              <w:t xml:space="preserve">Sample size </w:t>
            </w:r>
            <w:r>
              <w:rPr>
                <w:rFonts w:ascii="Arial" w:hAnsi="Arial" w:cs="Arial"/>
                <w:b/>
                <w:sz w:val="20"/>
                <w:szCs w:val="20"/>
              </w:rPr>
              <w:t>(of NCD patients)</w:t>
            </w:r>
          </w:p>
        </w:tc>
        <w:tc>
          <w:tcPr>
            <w:tcW w:w="1984" w:type="dxa"/>
            <w:tcBorders>
              <w:top w:val="single" w:sz="4" w:space="0" w:color="auto"/>
              <w:bottom w:val="nil"/>
            </w:tcBorders>
          </w:tcPr>
          <w:p w14:paraId="513E87AB" w14:textId="77777777" w:rsidR="001703D7" w:rsidRPr="004405C0" w:rsidRDefault="001703D7" w:rsidP="00197921">
            <w:pPr>
              <w:rPr>
                <w:rFonts w:ascii="Arial" w:hAnsi="Arial" w:cs="Arial"/>
                <w:sz w:val="20"/>
                <w:szCs w:val="20"/>
              </w:rPr>
            </w:pPr>
          </w:p>
        </w:tc>
      </w:tr>
      <w:tr w:rsidR="001703D7" w:rsidRPr="00FF5148" w14:paraId="2F96094F" w14:textId="77777777" w:rsidTr="00197921">
        <w:tc>
          <w:tcPr>
            <w:tcW w:w="5954" w:type="dxa"/>
            <w:tcBorders>
              <w:top w:val="nil"/>
              <w:bottom w:val="nil"/>
            </w:tcBorders>
          </w:tcPr>
          <w:p w14:paraId="5CEFCB80" w14:textId="77777777" w:rsidR="001703D7" w:rsidRPr="009874D9" w:rsidRDefault="001703D7" w:rsidP="00197921">
            <w:pPr>
              <w:rPr>
                <w:rFonts w:ascii="Arial" w:hAnsi="Arial" w:cs="Arial"/>
                <w:sz w:val="20"/>
                <w:szCs w:val="20"/>
              </w:rPr>
            </w:pPr>
            <w:r w:rsidRPr="00FF5148">
              <w:rPr>
                <w:rFonts w:ascii="Arial" w:hAnsi="Arial" w:cs="Arial"/>
                <w:sz w:val="20"/>
                <w:szCs w:val="20"/>
              </w:rPr>
              <w:t>20-49</w:t>
            </w:r>
          </w:p>
        </w:tc>
        <w:tc>
          <w:tcPr>
            <w:tcW w:w="1984" w:type="dxa"/>
            <w:tcBorders>
              <w:top w:val="nil"/>
              <w:bottom w:val="nil"/>
            </w:tcBorders>
          </w:tcPr>
          <w:p w14:paraId="765ED81F" w14:textId="77777777" w:rsidR="001703D7" w:rsidRPr="004405C0" w:rsidRDefault="001703D7" w:rsidP="00197921">
            <w:pPr>
              <w:rPr>
                <w:rFonts w:ascii="Arial" w:hAnsi="Arial" w:cs="Arial"/>
                <w:sz w:val="20"/>
                <w:szCs w:val="20"/>
              </w:rPr>
            </w:pPr>
            <w:r>
              <w:rPr>
                <w:rFonts w:ascii="Arial" w:hAnsi="Arial" w:cs="Arial"/>
                <w:sz w:val="20"/>
                <w:szCs w:val="20"/>
              </w:rPr>
              <w:t>9</w:t>
            </w:r>
          </w:p>
        </w:tc>
      </w:tr>
      <w:tr w:rsidR="001703D7" w:rsidRPr="00FF5148" w14:paraId="4D925429" w14:textId="77777777" w:rsidTr="00197921">
        <w:tc>
          <w:tcPr>
            <w:tcW w:w="5954" w:type="dxa"/>
            <w:tcBorders>
              <w:top w:val="nil"/>
              <w:bottom w:val="nil"/>
            </w:tcBorders>
          </w:tcPr>
          <w:p w14:paraId="29EFF2D8" w14:textId="77777777" w:rsidR="001703D7" w:rsidRPr="009874D9" w:rsidRDefault="001703D7" w:rsidP="00197921">
            <w:pPr>
              <w:rPr>
                <w:rFonts w:ascii="Arial" w:hAnsi="Arial" w:cs="Arial"/>
                <w:sz w:val="20"/>
                <w:szCs w:val="20"/>
              </w:rPr>
            </w:pPr>
            <w:r w:rsidRPr="00FF5148">
              <w:rPr>
                <w:rFonts w:ascii="Arial" w:hAnsi="Arial" w:cs="Arial"/>
                <w:sz w:val="20"/>
                <w:szCs w:val="20"/>
              </w:rPr>
              <w:t>50-200</w:t>
            </w:r>
          </w:p>
        </w:tc>
        <w:tc>
          <w:tcPr>
            <w:tcW w:w="1984" w:type="dxa"/>
            <w:tcBorders>
              <w:top w:val="nil"/>
              <w:bottom w:val="nil"/>
            </w:tcBorders>
          </w:tcPr>
          <w:p w14:paraId="75440575" w14:textId="77777777" w:rsidR="001703D7" w:rsidRPr="004405C0" w:rsidRDefault="001703D7" w:rsidP="00197921">
            <w:pPr>
              <w:rPr>
                <w:rFonts w:ascii="Arial" w:hAnsi="Arial" w:cs="Arial"/>
                <w:sz w:val="20"/>
                <w:szCs w:val="20"/>
              </w:rPr>
            </w:pPr>
            <w:r>
              <w:rPr>
                <w:rFonts w:ascii="Arial" w:hAnsi="Arial" w:cs="Arial"/>
                <w:sz w:val="20"/>
                <w:szCs w:val="20"/>
              </w:rPr>
              <w:t>56</w:t>
            </w:r>
          </w:p>
        </w:tc>
      </w:tr>
      <w:tr w:rsidR="001703D7" w:rsidRPr="00FF5148" w14:paraId="16849F07" w14:textId="77777777" w:rsidTr="00197921">
        <w:tc>
          <w:tcPr>
            <w:tcW w:w="5954" w:type="dxa"/>
            <w:tcBorders>
              <w:top w:val="nil"/>
            </w:tcBorders>
          </w:tcPr>
          <w:p w14:paraId="01B39013" w14:textId="77777777" w:rsidR="001703D7" w:rsidRPr="009874D9" w:rsidRDefault="001703D7" w:rsidP="00197921">
            <w:pPr>
              <w:rPr>
                <w:rFonts w:ascii="Arial" w:hAnsi="Arial" w:cs="Arial"/>
                <w:sz w:val="20"/>
                <w:szCs w:val="20"/>
              </w:rPr>
            </w:pPr>
            <w:r w:rsidRPr="009874D9">
              <w:rPr>
                <w:rFonts w:ascii="Arial" w:hAnsi="Arial" w:cs="Arial"/>
                <w:sz w:val="20"/>
                <w:szCs w:val="20"/>
              </w:rPr>
              <w:t>&gt; 200</w:t>
            </w:r>
          </w:p>
        </w:tc>
        <w:tc>
          <w:tcPr>
            <w:tcW w:w="1984" w:type="dxa"/>
            <w:tcBorders>
              <w:top w:val="nil"/>
            </w:tcBorders>
          </w:tcPr>
          <w:p w14:paraId="60AAE0F2" w14:textId="77777777" w:rsidR="001703D7" w:rsidRPr="004405C0" w:rsidRDefault="001703D7" w:rsidP="00197921">
            <w:pPr>
              <w:rPr>
                <w:rFonts w:ascii="Arial" w:hAnsi="Arial" w:cs="Arial"/>
                <w:sz w:val="20"/>
                <w:szCs w:val="20"/>
              </w:rPr>
            </w:pPr>
            <w:r>
              <w:rPr>
                <w:rFonts w:ascii="Arial" w:hAnsi="Arial" w:cs="Arial"/>
                <w:sz w:val="20"/>
                <w:szCs w:val="20"/>
              </w:rPr>
              <w:t>31</w:t>
            </w:r>
          </w:p>
        </w:tc>
      </w:tr>
      <w:tr w:rsidR="001703D7" w:rsidRPr="00FF5148" w14:paraId="71E18ED4" w14:textId="77777777" w:rsidTr="00197921">
        <w:tc>
          <w:tcPr>
            <w:tcW w:w="5954" w:type="dxa"/>
            <w:tcBorders>
              <w:bottom w:val="nil"/>
            </w:tcBorders>
          </w:tcPr>
          <w:p w14:paraId="78D5845D" w14:textId="77777777" w:rsidR="001703D7" w:rsidRPr="009874D9" w:rsidRDefault="001703D7" w:rsidP="00197921">
            <w:pPr>
              <w:rPr>
                <w:rFonts w:ascii="Arial" w:hAnsi="Arial" w:cs="Arial"/>
                <w:b/>
                <w:sz w:val="20"/>
                <w:szCs w:val="20"/>
              </w:rPr>
            </w:pPr>
            <w:r w:rsidRPr="00FF5148">
              <w:rPr>
                <w:rFonts w:ascii="Arial" w:hAnsi="Arial" w:cs="Arial"/>
                <w:b/>
                <w:sz w:val="20"/>
                <w:szCs w:val="20"/>
              </w:rPr>
              <w:t>Recruitment setting</w:t>
            </w:r>
          </w:p>
        </w:tc>
        <w:tc>
          <w:tcPr>
            <w:tcW w:w="1984" w:type="dxa"/>
            <w:tcBorders>
              <w:bottom w:val="nil"/>
            </w:tcBorders>
          </w:tcPr>
          <w:p w14:paraId="3243E629" w14:textId="77777777" w:rsidR="001703D7" w:rsidRPr="004405C0" w:rsidRDefault="001703D7" w:rsidP="00197921">
            <w:pPr>
              <w:rPr>
                <w:rFonts w:ascii="Arial" w:hAnsi="Arial" w:cs="Arial"/>
                <w:sz w:val="20"/>
                <w:szCs w:val="20"/>
              </w:rPr>
            </w:pPr>
          </w:p>
        </w:tc>
      </w:tr>
      <w:tr w:rsidR="001703D7" w:rsidRPr="00FF5148" w14:paraId="70DA60C3" w14:textId="77777777" w:rsidTr="00197921">
        <w:tc>
          <w:tcPr>
            <w:tcW w:w="5954" w:type="dxa"/>
            <w:tcBorders>
              <w:top w:val="nil"/>
              <w:bottom w:val="nil"/>
            </w:tcBorders>
          </w:tcPr>
          <w:p w14:paraId="75315658" w14:textId="77777777" w:rsidR="001703D7" w:rsidRPr="00FF5148" w:rsidRDefault="001703D7" w:rsidP="00197921">
            <w:pPr>
              <w:rPr>
                <w:rFonts w:ascii="Arial" w:hAnsi="Arial" w:cs="Arial"/>
                <w:b/>
                <w:sz w:val="20"/>
                <w:szCs w:val="20"/>
              </w:rPr>
            </w:pPr>
            <w:r w:rsidRPr="00FF5148">
              <w:rPr>
                <w:rFonts w:ascii="Arial" w:hAnsi="Arial" w:cs="Arial"/>
                <w:sz w:val="20"/>
                <w:szCs w:val="20"/>
              </w:rPr>
              <w:t>Community</w:t>
            </w:r>
          </w:p>
        </w:tc>
        <w:tc>
          <w:tcPr>
            <w:tcW w:w="1984" w:type="dxa"/>
            <w:tcBorders>
              <w:top w:val="nil"/>
              <w:bottom w:val="nil"/>
            </w:tcBorders>
          </w:tcPr>
          <w:p w14:paraId="00CA6D93" w14:textId="77777777" w:rsidR="001703D7" w:rsidRPr="004405C0" w:rsidRDefault="001703D7" w:rsidP="00197921">
            <w:pPr>
              <w:rPr>
                <w:rFonts w:ascii="Arial" w:hAnsi="Arial" w:cs="Arial"/>
                <w:sz w:val="20"/>
                <w:szCs w:val="20"/>
              </w:rPr>
            </w:pPr>
            <w:r>
              <w:rPr>
                <w:rFonts w:ascii="Arial" w:hAnsi="Arial" w:cs="Arial"/>
                <w:sz w:val="20"/>
                <w:szCs w:val="20"/>
              </w:rPr>
              <w:t>6</w:t>
            </w:r>
          </w:p>
        </w:tc>
      </w:tr>
      <w:tr w:rsidR="001703D7" w:rsidRPr="00FF5148" w14:paraId="036C35F5" w14:textId="77777777" w:rsidTr="00197921">
        <w:tc>
          <w:tcPr>
            <w:tcW w:w="5954" w:type="dxa"/>
            <w:tcBorders>
              <w:top w:val="nil"/>
            </w:tcBorders>
          </w:tcPr>
          <w:p w14:paraId="04BF1A2C" w14:textId="7A9C77BA" w:rsidR="001703D7" w:rsidRPr="00FF5148" w:rsidRDefault="001703D7" w:rsidP="001703D7">
            <w:pPr>
              <w:rPr>
                <w:rFonts w:ascii="Arial" w:hAnsi="Arial" w:cs="Arial"/>
                <w:b/>
                <w:sz w:val="20"/>
                <w:szCs w:val="20"/>
              </w:rPr>
            </w:pPr>
            <w:r w:rsidRPr="00FF5148">
              <w:rPr>
                <w:rFonts w:ascii="Arial" w:hAnsi="Arial" w:cs="Arial"/>
                <w:sz w:val="20"/>
                <w:szCs w:val="20"/>
              </w:rPr>
              <w:t>Hospital</w:t>
            </w:r>
            <w:r w:rsidR="008F1878" w:rsidRPr="008F1878">
              <w:rPr>
                <w:rFonts w:ascii="Arial" w:hAnsi="Arial" w:cs="Arial"/>
                <w:sz w:val="20"/>
                <w:szCs w:val="20"/>
              </w:rPr>
              <w:t>*</w:t>
            </w:r>
          </w:p>
        </w:tc>
        <w:tc>
          <w:tcPr>
            <w:tcW w:w="1984" w:type="dxa"/>
            <w:tcBorders>
              <w:top w:val="nil"/>
            </w:tcBorders>
          </w:tcPr>
          <w:p w14:paraId="325BB645" w14:textId="77777777" w:rsidR="001703D7" w:rsidRPr="004405C0" w:rsidRDefault="001703D7" w:rsidP="00197921">
            <w:pPr>
              <w:rPr>
                <w:rFonts w:ascii="Arial" w:hAnsi="Arial" w:cs="Arial"/>
                <w:sz w:val="20"/>
                <w:szCs w:val="20"/>
              </w:rPr>
            </w:pPr>
            <w:r>
              <w:rPr>
                <w:rFonts w:ascii="Arial" w:hAnsi="Arial" w:cs="Arial"/>
                <w:sz w:val="20"/>
                <w:szCs w:val="20"/>
              </w:rPr>
              <w:t>90</w:t>
            </w:r>
          </w:p>
        </w:tc>
      </w:tr>
      <w:tr w:rsidR="001703D7" w:rsidRPr="00FF5148" w14:paraId="23E3B29D" w14:textId="77777777" w:rsidTr="00197921">
        <w:tc>
          <w:tcPr>
            <w:tcW w:w="5954" w:type="dxa"/>
            <w:tcBorders>
              <w:bottom w:val="nil"/>
            </w:tcBorders>
          </w:tcPr>
          <w:p w14:paraId="695EB704" w14:textId="77777777" w:rsidR="001703D7" w:rsidRPr="006E6C63" w:rsidRDefault="001703D7" w:rsidP="00197921">
            <w:pPr>
              <w:rPr>
                <w:rFonts w:ascii="Arial" w:hAnsi="Arial" w:cs="Arial"/>
                <w:b/>
                <w:sz w:val="20"/>
                <w:szCs w:val="20"/>
              </w:rPr>
            </w:pPr>
            <w:r w:rsidRPr="00FF5148">
              <w:rPr>
                <w:rFonts w:ascii="Arial" w:hAnsi="Arial" w:cs="Arial"/>
                <w:b/>
                <w:sz w:val="20"/>
                <w:szCs w:val="20"/>
              </w:rPr>
              <w:t>Common mental disorder (CMD)</w:t>
            </w:r>
          </w:p>
        </w:tc>
        <w:tc>
          <w:tcPr>
            <w:tcW w:w="1984" w:type="dxa"/>
            <w:tcBorders>
              <w:bottom w:val="nil"/>
            </w:tcBorders>
          </w:tcPr>
          <w:p w14:paraId="71A00B70" w14:textId="77777777" w:rsidR="001703D7" w:rsidRPr="004405C0" w:rsidRDefault="001703D7" w:rsidP="00197921">
            <w:pPr>
              <w:rPr>
                <w:rFonts w:ascii="Arial" w:hAnsi="Arial" w:cs="Arial"/>
                <w:sz w:val="20"/>
                <w:szCs w:val="20"/>
              </w:rPr>
            </w:pPr>
          </w:p>
        </w:tc>
      </w:tr>
      <w:tr w:rsidR="001703D7" w:rsidRPr="00FF5148" w14:paraId="3453B382" w14:textId="77777777" w:rsidTr="00197921">
        <w:tc>
          <w:tcPr>
            <w:tcW w:w="5954" w:type="dxa"/>
            <w:tcBorders>
              <w:top w:val="nil"/>
              <w:bottom w:val="nil"/>
            </w:tcBorders>
          </w:tcPr>
          <w:p w14:paraId="7147EC4D" w14:textId="77777777" w:rsidR="001703D7" w:rsidRPr="006E6C63" w:rsidRDefault="001703D7" w:rsidP="00197921">
            <w:pPr>
              <w:rPr>
                <w:rFonts w:ascii="Arial" w:hAnsi="Arial" w:cs="Arial"/>
                <w:sz w:val="20"/>
                <w:szCs w:val="20"/>
              </w:rPr>
            </w:pPr>
            <w:r w:rsidRPr="00FF5148">
              <w:rPr>
                <w:rFonts w:ascii="Arial" w:hAnsi="Arial" w:cs="Arial"/>
                <w:sz w:val="20"/>
                <w:szCs w:val="20"/>
              </w:rPr>
              <w:t xml:space="preserve">Depression </w:t>
            </w:r>
          </w:p>
        </w:tc>
        <w:tc>
          <w:tcPr>
            <w:tcW w:w="1984" w:type="dxa"/>
            <w:tcBorders>
              <w:top w:val="nil"/>
              <w:bottom w:val="nil"/>
            </w:tcBorders>
          </w:tcPr>
          <w:p w14:paraId="6F4139CF" w14:textId="77777777" w:rsidR="001703D7" w:rsidRPr="004405C0" w:rsidRDefault="001703D7" w:rsidP="00197921">
            <w:pPr>
              <w:rPr>
                <w:rFonts w:ascii="Arial" w:hAnsi="Arial" w:cs="Arial"/>
                <w:sz w:val="20"/>
                <w:szCs w:val="20"/>
              </w:rPr>
            </w:pPr>
            <w:r>
              <w:rPr>
                <w:rFonts w:ascii="Arial" w:hAnsi="Arial" w:cs="Arial"/>
                <w:sz w:val="20"/>
                <w:szCs w:val="20"/>
              </w:rPr>
              <w:t>62</w:t>
            </w:r>
          </w:p>
        </w:tc>
      </w:tr>
      <w:tr w:rsidR="001703D7" w:rsidRPr="00FF5148" w14:paraId="7B2EEED8" w14:textId="77777777" w:rsidTr="00197921">
        <w:tc>
          <w:tcPr>
            <w:tcW w:w="5954" w:type="dxa"/>
            <w:tcBorders>
              <w:top w:val="nil"/>
              <w:bottom w:val="nil"/>
            </w:tcBorders>
          </w:tcPr>
          <w:p w14:paraId="0A1A5F11" w14:textId="77777777" w:rsidR="001703D7" w:rsidRPr="006E6C63" w:rsidRDefault="001703D7" w:rsidP="00197921">
            <w:pPr>
              <w:rPr>
                <w:rFonts w:ascii="Arial" w:hAnsi="Arial" w:cs="Arial"/>
                <w:sz w:val="20"/>
                <w:szCs w:val="20"/>
              </w:rPr>
            </w:pPr>
            <w:r w:rsidRPr="00FF5148">
              <w:rPr>
                <w:rFonts w:ascii="Arial" w:hAnsi="Arial" w:cs="Arial"/>
                <w:sz w:val="20"/>
                <w:szCs w:val="20"/>
              </w:rPr>
              <w:t>Anxiety</w:t>
            </w:r>
          </w:p>
        </w:tc>
        <w:tc>
          <w:tcPr>
            <w:tcW w:w="1984" w:type="dxa"/>
            <w:tcBorders>
              <w:top w:val="nil"/>
              <w:bottom w:val="nil"/>
            </w:tcBorders>
          </w:tcPr>
          <w:p w14:paraId="30BDC4AD" w14:textId="77777777" w:rsidR="001703D7" w:rsidRPr="004405C0" w:rsidRDefault="001703D7" w:rsidP="00197921">
            <w:pPr>
              <w:rPr>
                <w:rFonts w:ascii="Arial" w:hAnsi="Arial" w:cs="Arial"/>
                <w:sz w:val="20"/>
                <w:szCs w:val="20"/>
              </w:rPr>
            </w:pPr>
            <w:r>
              <w:rPr>
                <w:rFonts w:ascii="Arial" w:hAnsi="Arial" w:cs="Arial"/>
                <w:sz w:val="20"/>
                <w:szCs w:val="20"/>
              </w:rPr>
              <w:t>1</w:t>
            </w:r>
          </w:p>
        </w:tc>
      </w:tr>
      <w:tr w:rsidR="001703D7" w:rsidRPr="00FF5148" w14:paraId="47E82100" w14:textId="77777777" w:rsidTr="00197921">
        <w:tc>
          <w:tcPr>
            <w:tcW w:w="5954" w:type="dxa"/>
            <w:tcBorders>
              <w:top w:val="nil"/>
            </w:tcBorders>
          </w:tcPr>
          <w:p w14:paraId="528DD80B" w14:textId="77777777" w:rsidR="001703D7" w:rsidRPr="00FF5148" w:rsidRDefault="001703D7" w:rsidP="00197921">
            <w:pPr>
              <w:rPr>
                <w:rFonts w:ascii="Arial" w:hAnsi="Arial" w:cs="Arial"/>
                <w:b/>
                <w:sz w:val="20"/>
                <w:szCs w:val="20"/>
              </w:rPr>
            </w:pPr>
            <w:r w:rsidRPr="00FF5148">
              <w:rPr>
                <w:rFonts w:ascii="Arial" w:hAnsi="Arial" w:cs="Arial"/>
                <w:sz w:val="20"/>
                <w:szCs w:val="20"/>
              </w:rPr>
              <w:t>Both depression and anxiety</w:t>
            </w:r>
          </w:p>
        </w:tc>
        <w:tc>
          <w:tcPr>
            <w:tcW w:w="1984" w:type="dxa"/>
            <w:tcBorders>
              <w:top w:val="nil"/>
            </w:tcBorders>
          </w:tcPr>
          <w:p w14:paraId="26A5F657" w14:textId="77777777" w:rsidR="001703D7" w:rsidRPr="004405C0" w:rsidRDefault="001703D7" w:rsidP="00197921">
            <w:pPr>
              <w:rPr>
                <w:rFonts w:ascii="Arial" w:hAnsi="Arial" w:cs="Arial"/>
                <w:sz w:val="20"/>
                <w:szCs w:val="20"/>
              </w:rPr>
            </w:pPr>
            <w:r>
              <w:rPr>
                <w:rFonts w:ascii="Arial" w:hAnsi="Arial" w:cs="Arial"/>
                <w:sz w:val="20"/>
                <w:szCs w:val="20"/>
              </w:rPr>
              <w:t>33</w:t>
            </w:r>
          </w:p>
        </w:tc>
      </w:tr>
      <w:tr w:rsidR="001703D7" w:rsidRPr="00FF5148" w14:paraId="65B9EB07" w14:textId="77777777" w:rsidTr="00197921">
        <w:tc>
          <w:tcPr>
            <w:tcW w:w="5954" w:type="dxa"/>
            <w:tcBorders>
              <w:bottom w:val="nil"/>
            </w:tcBorders>
          </w:tcPr>
          <w:p w14:paraId="2F46DC16" w14:textId="77777777" w:rsidR="001703D7" w:rsidRPr="00FF5148" w:rsidRDefault="001703D7" w:rsidP="00197921">
            <w:pPr>
              <w:rPr>
                <w:rFonts w:ascii="Arial" w:hAnsi="Arial" w:cs="Arial"/>
                <w:sz w:val="20"/>
                <w:szCs w:val="20"/>
              </w:rPr>
            </w:pPr>
            <w:r w:rsidRPr="00FF5148">
              <w:rPr>
                <w:rFonts w:ascii="Arial" w:hAnsi="Arial" w:cs="Arial"/>
                <w:b/>
                <w:sz w:val="20"/>
                <w:szCs w:val="20"/>
              </w:rPr>
              <w:t>CMD screening tool</w:t>
            </w:r>
          </w:p>
        </w:tc>
        <w:tc>
          <w:tcPr>
            <w:tcW w:w="1984" w:type="dxa"/>
            <w:tcBorders>
              <w:bottom w:val="nil"/>
            </w:tcBorders>
          </w:tcPr>
          <w:p w14:paraId="4C75FEB9" w14:textId="77777777" w:rsidR="001703D7" w:rsidRPr="00FF5148" w:rsidRDefault="001703D7" w:rsidP="00197921">
            <w:pPr>
              <w:rPr>
                <w:rFonts w:ascii="Arial" w:hAnsi="Arial" w:cs="Arial"/>
                <w:sz w:val="20"/>
                <w:szCs w:val="20"/>
              </w:rPr>
            </w:pPr>
          </w:p>
        </w:tc>
      </w:tr>
      <w:tr w:rsidR="001703D7" w:rsidRPr="00FF5148" w14:paraId="10CF0980" w14:textId="77777777" w:rsidTr="00197921">
        <w:tc>
          <w:tcPr>
            <w:tcW w:w="5954" w:type="dxa"/>
            <w:tcBorders>
              <w:top w:val="nil"/>
              <w:bottom w:val="nil"/>
            </w:tcBorders>
          </w:tcPr>
          <w:p w14:paraId="287A53FF" w14:textId="77777777" w:rsidR="001703D7" w:rsidRPr="006E6C63" w:rsidRDefault="001703D7" w:rsidP="00197921">
            <w:pPr>
              <w:rPr>
                <w:rFonts w:ascii="Arial" w:hAnsi="Arial" w:cs="Arial"/>
                <w:sz w:val="20"/>
                <w:szCs w:val="20"/>
              </w:rPr>
            </w:pPr>
            <w:r w:rsidRPr="00FF5148">
              <w:rPr>
                <w:rFonts w:ascii="Arial" w:hAnsi="Arial" w:cs="Arial"/>
                <w:sz w:val="20"/>
                <w:szCs w:val="20"/>
              </w:rPr>
              <w:t>Patient Health Questionnaire (PHQ-9)</w:t>
            </w:r>
          </w:p>
        </w:tc>
        <w:tc>
          <w:tcPr>
            <w:tcW w:w="1984" w:type="dxa"/>
            <w:tcBorders>
              <w:top w:val="nil"/>
              <w:bottom w:val="nil"/>
            </w:tcBorders>
          </w:tcPr>
          <w:p w14:paraId="77F5190D" w14:textId="77777777" w:rsidR="001703D7" w:rsidRPr="00FF5148" w:rsidRDefault="001703D7" w:rsidP="00197921">
            <w:pPr>
              <w:rPr>
                <w:rFonts w:ascii="Arial" w:hAnsi="Arial" w:cs="Arial"/>
                <w:sz w:val="20"/>
                <w:szCs w:val="20"/>
              </w:rPr>
            </w:pPr>
            <w:r>
              <w:rPr>
                <w:rFonts w:ascii="Arial" w:hAnsi="Arial" w:cs="Arial"/>
                <w:sz w:val="20"/>
                <w:szCs w:val="20"/>
              </w:rPr>
              <w:t>20</w:t>
            </w:r>
          </w:p>
        </w:tc>
      </w:tr>
      <w:tr w:rsidR="001703D7" w:rsidRPr="00FF5148" w14:paraId="52031FA3" w14:textId="77777777" w:rsidTr="00197921">
        <w:tc>
          <w:tcPr>
            <w:tcW w:w="5954" w:type="dxa"/>
            <w:tcBorders>
              <w:top w:val="nil"/>
              <w:bottom w:val="nil"/>
            </w:tcBorders>
          </w:tcPr>
          <w:p w14:paraId="71AC3E0D" w14:textId="77777777" w:rsidR="001703D7" w:rsidRPr="006E6C63" w:rsidRDefault="001703D7" w:rsidP="00197921">
            <w:pPr>
              <w:rPr>
                <w:rFonts w:ascii="Arial" w:hAnsi="Arial" w:cs="Arial"/>
                <w:sz w:val="20"/>
                <w:szCs w:val="20"/>
              </w:rPr>
            </w:pPr>
            <w:r w:rsidRPr="00FF5148">
              <w:rPr>
                <w:rFonts w:ascii="Arial" w:hAnsi="Arial" w:cs="Arial"/>
                <w:sz w:val="20"/>
                <w:szCs w:val="20"/>
              </w:rPr>
              <w:t>Hospital Anxiety and Depression Scale (HADS)</w:t>
            </w:r>
          </w:p>
        </w:tc>
        <w:tc>
          <w:tcPr>
            <w:tcW w:w="1984" w:type="dxa"/>
            <w:tcBorders>
              <w:top w:val="nil"/>
              <w:bottom w:val="nil"/>
            </w:tcBorders>
          </w:tcPr>
          <w:p w14:paraId="77D56EA8" w14:textId="77777777" w:rsidR="001703D7" w:rsidRPr="00FF5148" w:rsidRDefault="001703D7" w:rsidP="00197921">
            <w:pPr>
              <w:rPr>
                <w:rFonts w:ascii="Arial" w:hAnsi="Arial" w:cs="Arial"/>
                <w:sz w:val="20"/>
                <w:szCs w:val="20"/>
              </w:rPr>
            </w:pPr>
            <w:r>
              <w:rPr>
                <w:rFonts w:ascii="Arial" w:hAnsi="Arial" w:cs="Arial"/>
                <w:sz w:val="20"/>
                <w:szCs w:val="20"/>
              </w:rPr>
              <w:t>14</w:t>
            </w:r>
          </w:p>
        </w:tc>
      </w:tr>
      <w:tr w:rsidR="001703D7" w:rsidRPr="00FF5148" w14:paraId="0E2F2BEF" w14:textId="77777777" w:rsidTr="00197921">
        <w:tc>
          <w:tcPr>
            <w:tcW w:w="5954" w:type="dxa"/>
            <w:tcBorders>
              <w:top w:val="nil"/>
              <w:bottom w:val="nil"/>
            </w:tcBorders>
          </w:tcPr>
          <w:p w14:paraId="5CE18CC0" w14:textId="77777777" w:rsidR="001703D7" w:rsidRPr="00FF5148" w:rsidRDefault="001703D7" w:rsidP="00197921">
            <w:pPr>
              <w:rPr>
                <w:rFonts w:ascii="Arial" w:hAnsi="Arial" w:cs="Arial"/>
                <w:b/>
                <w:sz w:val="20"/>
                <w:szCs w:val="20"/>
              </w:rPr>
            </w:pPr>
            <w:r w:rsidRPr="00FF5148">
              <w:rPr>
                <w:rFonts w:ascii="Arial" w:hAnsi="Arial" w:cs="Arial"/>
                <w:sz w:val="20"/>
                <w:szCs w:val="20"/>
              </w:rPr>
              <w:t>Diagnostic and Statistical Manual of Mental Disorders (DSM)</w:t>
            </w:r>
          </w:p>
        </w:tc>
        <w:tc>
          <w:tcPr>
            <w:tcW w:w="1984" w:type="dxa"/>
            <w:tcBorders>
              <w:top w:val="nil"/>
              <w:bottom w:val="nil"/>
            </w:tcBorders>
          </w:tcPr>
          <w:p w14:paraId="53E1881A" w14:textId="77777777" w:rsidR="001703D7" w:rsidRPr="00FF5148" w:rsidRDefault="001703D7" w:rsidP="00197921">
            <w:pPr>
              <w:rPr>
                <w:rFonts w:ascii="Arial" w:hAnsi="Arial" w:cs="Arial"/>
                <w:sz w:val="20"/>
                <w:szCs w:val="20"/>
              </w:rPr>
            </w:pPr>
            <w:r>
              <w:rPr>
                <w:rFonts w:ascii="Arial" w:hAnsi="Arial" w:cs="Arial"/>
                <w:sz w:val="20"/>
                <w:szCs w:val="20"/>
              </w:rPr>
              <w:t>9</w:t>
            </w:r>
          </w:p>
        </w:tc>
      </w:tr>
      <w:tr w:rsidR="001703D7" w:rsidRPr="00FF5148" w14:paraId="0D70749A" w14:textId="77777777" w:rsidTr="00197921">
        <w:tc>
          <w:tcPr>
            <w:tcW w:w="5954" w:type="dxa"/>
            <w:tcBorders>
              <w:top w:val="nil"/>
              <w:bottom w:val="nil"/>
            </w:tcBorders>
          </w:tcPr>
          <w:p w14:paraId="42B5252C" w14:textId="77777777" w:rsidR="001703D7" w:rsidRPr="006E6C63" w:rsidRDefault="001703D7" w:rsidP="00197921">
            <w:pPr>
              <w:rPr>
                <w:rFonts w:ascii="Arial" w:hAnsi="Arial" w:cs="Arial"/>
                <w:sz w:val="20"/>
                <w:szCs w:val="20"/>
              </w:rPr>
            </w:pPr>
            <w:r w:rsidRPr="00FF5148">
              <w:rPr>
                <w:rFonts w:ascii="Arial" w:hAnsi="Arial" w:cs="Arial"/>
                <w:sz w:val="20"/>
                <w:szCs w:val="20"/>
              </w:rPr>
              <w:t>Beck’s Depression Inventory (BDI)</w:t>
            </w:r>
          </w:p>
        </w:tc>
        <w:tc>
          <w:tcPr>
            <w:tcW w:w="1984" w:type="dxa"/>
            <w:tcBorders>
              <w:top w:val="nil"/>
              <w:bottom w:val="nil"/>
            </w:tcBorders>
          </w:tcPr>
          <w:p w14:paraId="3A5FEF69" w14:textId="77777777" w:rsidR="001703D7" w:rsidRPr="00FF5148" w:rsidRDefault="001703D7" w:rsidP="00197921">
            <w:pPr>
              <w:rPr>
                <w:rFonts w:ascii="Arial" w:hAnsi="Arial" w:cs="Arial"/>
                <w:sz w:val="20"/>
                <w:szCs w:val="20"/>
              </w:rPr>
            </w:pPr>
            <w:r>
              <w:rPr>
                <w:rFonts w:ascii="Arial" w:hAnsi="Arial" w:cs="Arial"/>
                <w:sz w:val="20"/>
                <w:szCs w:val="20"/>
              </w:rPr>
              <w:t>8</w:t>
            </w:r>
          </w:p>
        </w:tc>
      </w:tr>
      <w:tr w:rsidR="001703D7" w:rsidRPr="00FF5148" w14:paraId="424CB7F3" w14:textId="77777777" w:rsidTr="00197921">
        <w:tc>
          <w:tcPr>
            <w:tcW w:w="5954" w:type="dxa"/>
            <w:tcBorders>
              <w:top w:val="nil"/>
              <w:bottom w:val="nil"/>
            </w:tcBorders>
          </w:tcPr>
          <w:p w14:paraId="2E35E92D" w14:textId="77777777" w:rsidR="001703D7" w:rsidRPr="00FF5148" w:rsidRDefault="001703D7" w:rsidP="00197921">
            <w:pPr>
              <w:rPr>
                <w:rFonts w:ascii="Arial" w:hAnsi="Arial" w:cs="Arial"/>
                <w:sz w:val="20"/>
                <w:szCs w:val="20"/>
              </w:rPr>
            </w:pPr>
            <w:r w:rsidRPr="00FF5148">
              <w:rPr>
                <w:rFonts w:ascii="Arial" w:hAnsi="Arial" w:cs="Arial"/>
                <w:sz w:val="20"/>
                <w:szCs w:val="20"/>
              </w:rPr>
              <w:t>Hamilton Depression/Anxiety Rating Scale (HAM)</w:t>
            </w:r>
          </w:p>
        </w:tc>
        <w:tc>
          <w:tcPr>
            <w:tcW w:w="1984" w:type="dxa"/>
            <w:tcBorders>
              <w:top w:val="nil"/>
              <w:bottom w:val="nil"/>
            </w:tcBorders>
          </w:tcPr>
          <w:p w14:paraId="653F23C9" w14:textId="77777777" w:rsidR="001703D7" w:rsidRDefault="001703D7" w:rsidP="00197921">
            <w:pPr>
              <w:rPr>
                <w:rFonts w:ascii="Arial" w:hAnsi="Arial" w:cs="Arial"/>
                <w:sz w:val="20"/>
                <w:szCs w:val="20"/>
              </w:rPr>
            </w:pPr>
            <w:r>
              <w:rPr>
                <w:rFonts w:ascii="Arial" w:hAnsi="Arial" w:cs="Arial"/>
                <w:sz w:val="20"/>
                <w:szCs w:val="20"/>
              </w:rPr>
              <w:t>7</w:t>
            </w:r>
          </w:p>
        </w:tc>
      </w:tr>
      <w:tr w:rsidR="001703D7" w:rsidRPr="00FF5148" w14:paraId="319660CC" w14:textId="77777777" w:rsidTr="00197921">
        <w:tc>
          <w:tcPr>
            <w:tcW w:w="5954" w:type="dxa"/>
            <w:tcBorders>
              <w:top w:val="nil"/>
              <w:bottom w:val="nil"/>
            </w:tcBorders>
          </w:tcPr>
          <w:p w14:paraId="1439CEA1" w14:textId="77777777" w:rsidR="001703D7" w:rsidRPr="00FF5148" w:rsidRDefault="001703D7" w:rsidP="00197921">
            <w:pPr>
              <w:rPr>
                <w:rFonts w:ascii="Arial" w:hAnsi="Arial" w:cs="Arial"/>
                <w:sz w:val="20"/>
                <w:szCs w:val="20"/>
              </w:rPr>
            </w:pPr>
            <w:r w:rsidRPr="00FF5148">
              <w:rPr>
                <w:rFonts w:ascii="Arial" w:hAnsi="Arial" w:cs="Arial"/>
                <w:sz w:val="20"/>
                <w:szCs w:val="20"/>
              </w:rPr>
              <w:t>Montgomery-</w:t>
            </w:r>
            <w:proofErr w:type="spellStart"/>
            <w:r w:rsidRPr="00FF5148">
              <w:rPr>
                <w:rFonts w:ascii="Arial" w:hAnsi="Arial" w:cs="Arial"/>
                <w:sz w:val="20"/>
                <w:szCs w:val="20"/>
              </w:rPr>
              <w:t>Åsberg</w:t>
            </w:r>
            <w:proofErr w:type="spellEnd"/>
            <w:r w:rsidRPr="00FF5148">
              <w:rPr>
                <w:rFonts w:ascii="Arial" w:hAnsi="Arial" w:cs="Arial"/>
                <w:sz w:val="20"/>
                <w:szCs w:val="20"/>
              </w:rPr>
              <w:t xml:space="preserve"> Depression Rating Scale (MADRS)</w:t>
            </w:r>
          </w:p>
        </w:tc>
        <w:tc>
          <w:tcPr>
            <w:tcW w:w="1984" w:type="dxa"/>
            <w:tcBorders>
              <w:top w:val="nil"/>
              <w:bottom w:val="nil"/>
            </w:tcBorders>
          </w:tcPr>
          <w:p w14:paraId="08B8B8CE" w14:textId="77777777" w:rsidR="001703D7" w:rsidRDefault="001703D7" w:rsidP="00197921">
            <w:pPr>
              <w:rPr>
                <w:rFonts w:ascii="Arial" w:hAnsi="Arial" w:cs="Arial"/>
                <w:sz w:val="20"/>
                <w:szCs w:val="20"/>
              </w:rPr>
            </w:pPr>
            <w:r>
              <w:rPr>
                <w:rFonts w:ascii="Arial" w:hAnsi="Arial" w:cs="Arial"/>
                <w:sz w:val="20"/>
                <w:szCs w:val="20"/>
              </w:rPr>
              <w:t>4</w:t>
            </w:r>
          </w:p>
        </w:tc>
      </w:tr>
      <w:tr w:rsidR="001703D7" w:rsidRPr="00FF5148" w14:paraId="0E400591" w14:textId="77777777" w:rsidTr="00197921">
        <w:tc>
          <w:tcPr>
            <w:tcW w:w="5954" w:type="dxa"/>
            <w:tcBorders>
              <w:top w:val="nil"/>
              <w:bottom w:val="nil"/>
            </w:tcBorders>
          </w:tcPr>
          <w:p w14:paraId="710C4128" w14:textId="77777777" w:rsidR="001703D7" w:rsidRPr="00FF5148" w:rsidRDefault="001703D7" w:rsidP="00197921">
            <w:pPr>
              <w:rPr>
                <w:rFonts w:ascii="Arial" w:hAnsi="Arial" w:cs="Arial"/>
                <w:sz w:val="20"/>
                <w:szCs w:val="20"/>
              </w:rPr>
            </w:pPr>
            <w:r w:rsidRPr="00FF5148">
              <w:rPr>
                <w:rFonts w:ascii="Arial" w:hAnsi="Arial" w:cs="Arial"/>
                <w:sz w:val="20"/>
                <w:szCs w:val="20"/>
              </w:rPr>
              <w:t>Aga Khan University Anxiety and Depression Scale (AKU-ADS)</w:t>
            </w:r>
          </w:p>
        </w:tc>
        <w:tc>
          <w:tcPr>
            <w:tcW w:w="1984" w:type="dxa"/>
            <w:tcBorders>
              <w:top w:val="nil"/>
              <w:bottom w:val="nil"/>
            </w:tcBorders>
          </w:tcPr>
          <w:p w14:paraId="7E2C8D92" w14:textId="77777777" w:rsidR="001703D7" w:rsidRDefault="001703D7" w:rsidP="00197921">
            <w:pPr>
              <w:rPr>
                <w:rFonts w:ascii="Arial" w:hAnsi="Arial" w:cs="Arial"/>
                <w:sz w:val="20"/>
                <w:szCs w:val="20"/>
              </w:rPr>
            </w:pPr>
            <w:r>
              <w:rPr>
                <w:rFonts w:ascii="Arial" w:hAnsi="Arial" w:cs="Arial"/>
                <w:sz w:val="20"/>
                <w:szCs w:val="20"/>
              </w:rPr>
              <w:t>3</w:t>
            </w:r>
          </w:p>
        </w:tc>
      </w:tr>
      <w:tr w:rsidR="001703D7" w:rsidRPr="00FF5148" w14:paraId="1B0820BE" w14:textId="77777777" w:rsidTr="00197921">
        <w:tc>
          <w:tcPr>
            <w:tcW w:w="5954" w:type="dxa"/>
            <w:tcBorders>
              <w:top w:val="nil"/>
              <w:bottom w:val="nil"/>
            </w:tcBorders>
          </w:tcPr>
          <w:p w14:paraId="492231F7" w14:textId="77777777" w:rsidR="001703D7" w:rsidRPr="00FF5148" w:rsidRDefault="001703D7" w:rsidP="00197921">
            <w:pPr>
              <w:rPr>
                <w:rFonts w:ascii="Arial" w:hAnsi="Arial" w:cs="Arial"/>
                <w:sz w:val="20"/>
                <w:szCs w:val="20"/>
              </w:rPr>
            </w:pPr>
            <w:r w:rsidRPr="00FF5148">
              <w:rPr>
                <w:rFonts w:ascii="Arial" w:hAnsi="Arial" w:cs="Arial"/>
                <w:sz w:val="20"/>
                <w:szCs w:val="20"/>
              </w:rPr>
              <w:t>Geriatric Depression Scale (GDS)</w:t>
            </w:r>
          </w:p>
        </w:tc>
        <w:tc>
          <w:tcPr>
            <w:tcW w:w="1984" w:type="dxa"/>
            <w:tcBorders>
              <w:top w:val="nil"/>
              <w:bottom w:val="nil"/>
            </w:tcBorders>
          </w:tcPr>
          <w:p w14:paraId="3FE3A39A" w14:textId="77777777" w:rsidR="001703D7" w:rsidRDefault="001703D7" w:rsidP="00197921">
            <w:pPr>
              <w:rPr>
                <w:rFonts w:ascii="Arial" w:hAnsi="Arial" w:cs="Arial"/>
                <w:sz w:val="20"/>
                <w:szCs w:val="20"/>
              </w:rPr>
            </w:pPr>
            <w:r>
              <w:rPr>
                <w:rFonts w:ascii="Arial" w:hAnsi="Arial" w:cs="Arial"/>
                <w:sz w:val="20"/>
                <w:szCs w:val="20"/>
              </w:rPr>
              <w:t>3</w:t>
            </w:r>
          </w:p>
        </w:tc>
      </w:tr>
      <w:tr w:rsidR="001703D7" w:rsidRPr="00FF5148" w14:paraId="45A51094" w14:textId="77777777" w:rsidTr="00197921">
        <w:tc>
          <w:tcPr>
            <w:tcW w:w="5954" w:type="dxa"/>
            <w:tcBorders>
              <w:top w:val="nil"/>
              <w:bottom w:val="nil"/>
            </w:tcBorders>
          </w:tcPr>
          <w:p w14:paraId="21DCCBAD" w14:textId="77777777" w:rsidR="001703D7" w:rsidRPr="00FF5148" w:rsidRDefault="001703D7" w:rsidP="00197921">
            <w:pPr>
              <w:rPr>
                <w:rFonts w:ascii="Arial" w:hAnsi="Arial" w:cs="Arial"/>
                <w:sz w:val="20"/>
                <w:szCs w:val="20"/>
              </w:rPr>
            </w:pPr>
            <w:r w:rsidRPr="00FF5148">
              <w:rPr>
                <w:rFonts w:ascii="Arial" w:hAnsi="Arial" w:cs="Arial"/>
                <w:sz w:val="20"/>
                <w:szCs w:val="20"/>
              </w:rPr>
              <w:t>Siddiqui-Shah Depression Scale (SSDS)</w:t>
            </w:r>
          </w:p>
        </w:tc>
        <w:tc>
          <w:tcPr>
            <w:tcW w:w="1984" w:type="dxa"/>
            <w:tcBorders>
              <w:top w:val="nil"/>
              <w:bottom w:val="nil"/>
            </w:tcBorders>
          </w:tcPr>
          <w:p w14:paraId="2E7E7D99" w14:textId="77777777" w:rsidR="001703D7" w:rsidRDefault="001703D7" w:rsidP="00197921">
            <w:pPr>
              <w:rPr>
                <w:rFonts w:ascii="Arial" w:hAnsi="Arial" w:cs="Arial"/>
                <w:sz w:val="20"/>
                <w:szCs w:val="20"/>
              </w:rPr>
            </w:pPr>
            <w:r>
              <w:rPr>
                <w:rFonts w:ascii="Arial" w:hAnsi="Arial" w:cs="Arial"/>
                <w:sz w:val="20"/>
                <w:szCs w:val="20"/>
              </w:rPr>
              <w:t>3</w:t>
            </w:r>
          </w:p>
        </w:tc>
      </w:tr>
      <w:tr w:rsidR="001703D7" w:rsidRPr="00FF5148" w14:paraId="3F8E6789" w14:textId="77777777" w:rsidTr="00197921">
        <w:tc>
          <w:tcPr>
            <w:tcW w:w="5954" w:type="dxa"/>
            <w:tcBorders>
              <w:top w:val="nil"/>
              <w:bottom w:val="nil"/>
            </w:tcBorders>
          </w:tcPr>
          <w:p w14:paraId="6879C7DE" w14:textId="0289EA0F" w:rsidR="001703D7" w:rsidRPr="00DB03D0" w:rsidRDefault="001703D7" w:rsidP="001703D7">
            <w:pPr>
              <w:rPr>
                <w:rFonts w:ascii="Arial" w:hAnsi="Arial" w:cs="Arial"/>
                <w:sz w:val="20"/>
                <w:szCs w:val="20"/>
              </w:rPr>
            </w:pPr>
            <w:r>
              <w:rPr>
                <w:rFonts w:ascii="Arial" w:hAnsi="Arial" w:cs="Arial"/>
                <w:sz w:val="20"/>
                <w:szCs w:val="20"/>
              </w:rPr>
              <w:t>Other</w:t>
            </w:r>
            <w:r w:rsidR="008F1878">
              <w:rPr>
                <w:rStyle w:val="ilfuvd"/>
              </w:rPr>
              <w:t>†</w:t>
            </w:r>
          </w:p>
        </w:tc>
        <w:tc>
          <w:tcPr>
            <w:tcW w:w="1984" w:type="dxa"/>
            <w:tcBorders>
              <w:top w:val="nil"/>
              <w:bottom w:val="nil"/>
            </w:tcBorders>
          </w:tcPr>
          <w:p w14:paraId="22F58224" w14:textId="77777777" w:rsidR="001703D7" w:rsidRDefault="001703D7" w:rsidP="00197921">
            <w:pPr>
              <w:rPr>
                <w:rFonts w:ascii="Arial" w:hAnsi="Arial" w:cs="Arial"/>
                <w:sz w:val="20"/>
                <w:szCs w:val="20"/>
              </w:rPr>
            </w:pPr>
            <w:r>
              <w:rPr>
                <w:rFonts w:ascii="Arial" w:hAnsi="Arial" w:cs="Arial"/>
                <w:sz w:val="20"/>
                <w:szCs w:val="20"/>
              </w:rPr>
              <w:t>10</w:t>
            </w:r>
          </w:p>
        </w:tc>
      </w:tr>
      <w:tr w:rsidR="001703D7" w:rsidRPr="00FF5148" w14:paraId="12F58127" w14:textId="77777777" w:rsidTr="00197921">
        <w:tc>
          <w:tcPr>
            <w:tcW w:w="5954" w:type="dxa"/>
            <w:tcBorders>
              <w:top w:val="nil"/>
            </w:tcBorders>
          </w:tcPr>
          <w:p w14:paraId="5526BF0C" w14:textId="77777777" w:rsidR="001703D7" w:rsidRPr="00FF5148" w:rsidRDefault="001703D7" w:rsidP="00197921">
            <w:pPr>
              <w:rPr>
                <w:rFonts w:ascii="Arial" w:hAnsi="Arial" w:cs="Arial"/>
                <w:sz w:val="20"/>
                <w:szCs w:val="20"/>
              </w:rPr>
            </w:pPr>
            <w:r w:rsidRPr="00FF5148">
              <w:rPr>
                <w:rFonts w:ascii="Arial" w:hAnsi="Arial" w:cs="Arial"/>
                <w:sz w:val="20"/>
                <w:szCs w:val="20"/>
              </w:rPr>
              <w:t>Multiple tools</w:t>
            </w:r>
          </w:p>
        </w:tc>
        <w:tc>
          <w:tcPr>
            <w:tcW w:w="1984" w:type="dxa"/>
            <w:tcBorders>
              <w:top w:val="nil"/>
            </w:tcBorders>
          </w:tcPr>
          <w:p w14:paraId="4A7C05C0" w14:textId="77777777" w:rsidR="001703D7" w:rsidRDefault="001703D7" w:rsidP="00197921">
            <w:pPr>
              <w:rPr>
                <w:rFonts w:ascii="Arial" w:hAnsi="Arial" w:cs="Arial"/>
                <w:sz w:val="20"/>
                <w:szCs w:val="20"/>
              </w:rPr>
            </w:pPr>
            <w:r>
              <w:rPr>
                <w:rFonts w:ascii="Arial" w:hAnsi="Arial" w:cs="Arial"/>
                <w:sz w:val="20"/>
                <w:szCs w:val="20"/>
              </w:rPr>
              <w:t>15</w:t>
            </w:r>
          </w:p>
        </w:tc>
      </w:tr>
      <w:tr w:rsidR="001703D7" w:rsidRPr="00FF5148" w14:paraId="1D442A62" w14:textId="77777777" w:rsidTr="00197921">
        <w:trPr>
          <w:trHeight w:val="1431"/>
        </w:trPr>
        <w:tc>
          <w:tcPr>
            <w:tcW w:w="5954" w:type="dxa"/>
          </w:tcPr>
          <w:p w14:paraId="6F6865F2" w14:textId="77777777" w:rsidR="001703D7" w:rsidRPr="00FF5148" w:rsidRDefault="001703D7" w:rsidP="00197921">
            <w:pPr>
              <w:rPr>
                <w:rFonts w:ascii="Arial" w:hAnsi="Arial" w:cs="Arial"/>
                <w:b/>
                <w:sz w:val="20"/>
                <w:szCs w:val="20"/>
              </w:rPr>
            </w:pPr>
            <w:r w:rsidRPr="00FF5148">
              <w:rPr>
                <w:rFonts w:ascii="Arial" w:hAnsi="Arial" w:cs="Arial"/>
                <w:b/>
                <w:sz w:val="20"/>
                <w:szCs w:val="20"/>
              </w:rPr>
              <w:t>Non-communicable disease</w:t>
            </w:r>
          </w:p>
          <w:p w14:paraId="131BD846" w14:textId="77777777" w:rsidR="001703D7" w:rsidRPr="00FF5148" w:rsidRDefault="001703D7" w:rsidP="00197921">
            <w:pPr>
              <w:rPr>
                <w:rFonts w:ascii="Arial" w:hAnsi="Arial" w:cs="Arial"/>
                <w:sz w:val="20"/>
                <w:szCs w:val="20"/>
              </w:rPr>
            </w:pPr>
            <w:r w:rsidRPr="00FF5148">
              <w:rPr>
                <w:rFonts w:ascii="Arial" w:hAnsi="Arial" w:cs="Arial"/>
                <w:sz w:val="20"/>
                <w:szCs w:val="20"/>
              </w:rPr>
              <w:t xml:space="preserve">Diabetes </w:t>
            </w:r>
          </w:p>
          <w:p w14:paraId="2E44A383" w14:textId="77777777" w:rsidR="001703D7" w:rsidRPr="00FF5148" w:rsidRDefault="001703D7" w:rsidP="00197921">
            <w:pPr>
              <w:rPr>
                <w:rFonts w:ascii="Arial" w:hAnsi="Arial" w:cs="Arial"/>
                <w:i/>
                <w:sz w:val="20"/>
                <w:szCs w:val="20"/>
              </w:rPr>
            </w:pPr>
            <w:r w:rsidRPr="00FF5148">
              <w:rPr>
                <w:rFonts w:ascii="Arial" w:hAnsi="Arial" w:cs="Arial"/>
                <w:sz w:val="20"/>
                <w:szCs w:val="20"/>
              </w:rPr>
              <w:t xml:space="preserve">Cardiovascular disease </w:t>
            </w:r>
          </w:p>
          <w:p w14:paraId="1A41A744" w14:textId="77777777" w:rsidR="001703D7" w:rsidRPr="00FF5148" w:rsidRDefault="001703D7" w:rsidP="00197921">
            <w:pPr>
              <w:rPr>
                <w:rFonts w:ascii="Arial" w:hAnsi="Arial" w:cs="Arial"/>
                <w:sz w:val="20"/>
                <w:szCs w:val="20"/>
              </w:rPr>
            </w:pPr>
            <w:r w:rsidRPr="00FF5148">
              <w:rPr>
                <w:rFonts w:ascii="Arial" w:hAnsi="Arial" w:cs="Arial"/>
                <w:sz w:val="20"/>
                <w:szCs w:val="20"/>
              </w:rPr>
              <w:t>Cancer</w:t>
            </w:r>
          </w:p>
          <w:p w14:paraId="63BAAAE7" w14:textId="77777777" w:rsidR="001703D7" w:rsidRPr="00FF5148" w:rsidRDefault="001703D7" w:rsidP="00197921">
            <w:pPr>
              <w:rPr>
                <w:rFonts w:ascii="Arial" w:hAnsi="Arial" w:cs="Arial"/>
                <w:sz w:val="20"/>
                <w:szCs w:val="20"/>
              </w:rPr>
            </w:pPr>
            <w:r w:rsidRPr="00FF5148">
              <w:rPr>
                <w:rFonts w:ascii="Arial" w:hAnsi="Arial" w:cs="Arial"/>
                <w:sz w:val="20"/>
                <w:szCs w:val="20"/>
              </w:rPr>
              <w:t xml:space="preserve">Respiratory conditions </w:t>
            </w:r>
          </w:p>
          <w:p w14:paraId="0B3B3989" w14:textId="77777777" w:rsidR="001703D7" w:rsidRPr="00FF5148" w:rsidRDefault="001703D7" w:rsidP="00197921">
            <w:pPr>
              <w:rPr>
                <w:rFonts w:ascii="Arial" w:hAnsi="Arial" w:cs="Arial"/>
                <w:sz w:val="20"/>
                <w:szCs w:val="20"/>
              </w:rPr>
            </w:pPr>
            <w:r w:rsidRPr="00FF5148">
              <w:rPr>
                <w:rFonts w:ascii="Arial" w:hAnsi="Arial" w:cs="Arial"/>
                <w:sz w:val="20"/>
                <w:szCs w:val="20"/>
              </w:rPr>
              <w:t>Multiple conditions</w:t>
            </w:r>
          </w:p>
        </w:tc>
        <w:tc>
          <w:tcPr>
            <w:tcW w:w="1984" w:type="dxa"/>
          </w:tcPr>
          <w:p w14:paraId="7A1AF988" w14:textId="77777777" w:rsidR="001703D7" w:rsidRPr="00FF5148" w:rsidRDefault="001703D7" w:rsidP="00197921">
            <w:pPr>
              <w:rPr>
                <w:rFonts w:ascii="Arial" w:hAnsi="Arial" w:cs="Arial"/>
                <w:sz w:val="20"/>
                <w:szCs w:val="20"/>
              </w:rPr>
            </w:pPr>
          </w:p>
          <w:p w14:paraId="77E3E285" w14:textId="77777777" w:rsidR="001703D7" w:rsidRPr="00FF5148" w:rsidRDefault="001703D7" w:rsidP="00197921">
            <w:pPr>
              <w:rPr>
                <w:rFonts w:ascii="Arial" w:hAnsi="Arial" w:cs="Arial"/>
                <w:sz w:val="20"/>
                <w:szCs w:val="20"/>
              </w:rPr>
            </w:pPr>
            <w:r w:rsidRPr="00FF5148">
              <w:rPr>
                <w:rFonts w:ascii="Arial" w:hAnsi="Arial" w:cs="Arial"/>
                <w:sz w:val="20"/>
                <w:szCs w:val="20"/>
              </w:rPr>
              <w:t>40</w:t>
            </w:r>
          </w:p>
          <w:p w14:paraId="7C75FBED" w14:textId="77777777" w:rsidR="001703D7" w:rsidRPr="00FF5148" w:rsidRDefault="001703D7" w:rsidP="00197921">
            <w:pPr>
              <w:rPr>
                <w:rFonts w:ascii="Arial" w:hAnsi="Arial" w:cs="Arial"/>
                <w:sz w:val="20"/>
                <w:szCs w:val="20"/>
              </w:rPr>
            </w:pPr>
            <w:r w:rsidRPr="00FF5148">
              <w:rPr>
                <w:rFonts w:ascii="Arial" w:hAnsi="Arial" w:cs="Arial"/>
                <w:sz w:val="20"/>
                <w:szCs w:val="20"/>
              </w:rPr>
              <w:t>27</w:t>
            </w:r>
          </w:p>
          <w:p w14:paraId="554EBDCA" w14:textId="77777777" w:rsidR="001703D7" w:rsidRPr="00FF5148" w:rsidRDefault="001703D7" w:rsidP="00197921">
            <w:pPr>
              <w:rPr>
                <w:rFonts w:ascii="Arial" w:hAnsi="Arial" w:cs="Arial"/>
                <w:sz w:val="20"/>
                <w:szCs w:val="20"/>
              </w:rPr>
            </w:pPr>
            <w:r w:rsidRPr="00FF5148">
              <w:rPr>
                <w:rFonts w:ascii="Arial" w:hAnsi="Arial" w:cs="Arial"/>
                <w:sz w:val="20"/>
                <w:szCs w:val="20"/>
              </w:rPr>
              <w:t>23</w:t>
            </w:r>
          </w:p>
          <w:p w14:paraId="48D3D09D" w14:textId="77777777" w:rsidR="001703D7" w:rsidRPr="00FF5148" w:rsidRDefault="001703D7" w:rsidP="00197921">
            <w:pPr>
              <w:rPr>
                <w:rFonts w:ascii="Arial" w:hAnsi="Arial" w:cs="Arial"/>
                <w:sz w:val="20"/>
                <w:szCs w:val="20"/>
              </w:rPr>
            </w:pPr>
            <w:r w:rsidRPr="00FF5148">
              <w:rPr>
                <w:rFonts w:ascii="Arial" w:hAnsi="Arial" w:cs="Arial"/>
                <w:sz w:val="20"/>
                <w:szCs w:val="20"/>
              </w:rPr>
              <w:t>4</w:t>
            </w:r>
          </w:p>
          <w:p w14:paraId="00F6F5E6" w14:textId="77777777" w:rsidR="001703D7" w:rsidRPr="00FF5148" w:rsidRDefault="001703D7" w:rsidP="00197921">
            <w:pPr>
              <w:rPr>
                <w:rFonts w:ascii="Arial" w:hAnsi="Arial" w:cs="Arial"/>
                <w:sz w:val="20"/>
                <w:szCs w:val="20"/>
              </w:rPr>
            </w:pPr>
            <w:r w:rsidRPr="00FF5148">
              <w:rPr>
                <w:rFonts w:ascii="Arial" w:hAnsi="Arial" w:cs="Arial"/>
                <w:sz w:val="20"/>
                <w:szCs w:val="20"/>
              </w:rPr>
              <w:t>2</w:t>
            </w:r>
          </w:p>
        </w:tc>
      </w:tr>
    </w:tbl>
    <w:p w14:paraId="5B1AC36C" w14:textId="77777777" w:rsidR="001703D7" w:rsidRDefault="001703D7" w:rsidP="001703D7">
      <w:pPr>
        <w:spacing w:before="120"/>
        <w:rPr>
          <w:rFonts w:ascii="Arial" w:hAnsi="Arial" w:cs="Arial"/>
          <w:sz w:val="18"/>
        </w:rPr>
      </w:pPr>
    </w:p>
    <w:p w14:paraId="30D6D129" w14:textId="77777777" w:rsidR="001703D7" w:rsidRDefault="001703D7" w:rsidP="001703D7">
      <w:pPr>
        <w:spacing w:before="120"/>
        <w:rPr>
          <w:rFonts w:ascii="Arial" w:hAnsi="Arial" w:cs="Arial"/>
          <w:sz w:val="18"/>
        </w:rPr>
      </w:pPr>
      <w:r>
        <w:rPr>
          <w:rFonts w:ascii="Arial" w:hAnsi="Arial" w:cs="Arial"/>
          <w:sz w:val="18"/>
        </w:rPr>
        <w:br w:type="textWrapping" w:clear="all"/>
      </w:r>
    </w:p>
    <w:p w14:paraId="044D996E" w14:textId="6E66C0B4" w:rsidR="001703D7" w:rsidRDefault="008F1878" w:rsidP="001703D7">
      <w:pPr>
        <w:spacing w:before="120"/>
        <w:rPr>
          <w:rFonts w:ascii="Arial" w:hAnsi="Arial" w:cs="Arial"/>
          <w:sz w:val="18"/>
        </w:rPr>
      </w:pPr>
      <w:r>
        <w:rPr>
          <w:rFonts w:ascii="Arial" w:hAnsi="Arial" w:cs="Arial"/>
          <w:sz w:val="18"/>
        </w:rPr>
        <w:t>*</w:t>
      </w:r>
      <w:r w:rsidR="001703D7">
        <w:rPr>
          <w:rFonts w:ascii="Arial" w:hAnsi="Arial" w:cs="Arial"/>
          <w:sz w:val="18"/>
        </w:rPr>
        <w:t xml:space="preserve"> Includes patients recruited by phone or visit based on hospital records.</w:t>
      </w:r>
    </w:p>
    <w:p w14:paraId="2CC7F910" w14:textId="50035D22" w:rsidR="001703D7" w:rsidRPr="00FF5148" w:rsidRDefault="008F1878" w:rsidP="001703D7">
      <w:pPr>
        <w:spacing w:before="120"/>
        <w:rPr>
          <w:rFonts w:ascii="Arial" w:hAnsi="Arial" w:cs="Arial"/>
          <w:sz w:val="18"/>
        </w:rPr>
      </w:pPr>
      <w:r>
        <w:rPr>
          <w:rStyle w:val="ilfuvd"/>
        </w:rPr>
        <w:t xml:space="preserve">† </w:t>
      </w:r>
      <w:r w:rsidR="001703D7" w:rsidRPr="00FF5148">
        <w:rPr>
          <w:rFonts w:ascii="Arial" w:hAnsi="Arial" w:cs="Arial"/>
          <w:sz w:val="18"/>
        </w:rPr>
        <w:t xml:space="preserve">Other tools: International Classification of Diseases- 10 (2), </w:t>
      </w:r>
      <w:proofErr w:type="spellStart"/>
      <w:r w:rsidR="001703D7" w:rsidRPr="00FF5148">
        <w:rPr>
          <w:rFonts w:ascii="Arial" w:hAnsi="Arial" w:cs="Arial"/>
          <w:sz w:val="18"/>
        </w:rPr>
        <w:t>Center</w:t>
      </w:r>
      <w:proofErr w:type="spellEnd"/>
      <w:r w:rsidR="001703D7" w:rsidRPr="00FF5148">
        <w:rPr>
          <w:rFonts w:ascii="Arial" w:hAnsi="Arial" w:cs="Arial"/>
          <w:sz w:val="18"/>
        </w:rPr>
        <w:t xml:space="preserve"> for Epidemiological Studies Depression Scale (2), Major Depression Inventory (1), Mini-International Neuropsychiatric Interview (1), Depression Anxiety Stress Scales (1), Hopkins Symptoms Checklist-25 (1), Brief Edinburgh Depression Scale (1), and Mini-Mental State Examination (1)</w:t>
      </w:r>
    </w:p>
    <w:p w14:paraId="0EAAAF7C" w14:textId="366FD485" w:rsidR="009C505D" w:rsidRDefault="009C505D">
      <w:pPr>
        <w:rPr>
          <w:rFonts w:ascii="Arial" w:hAnsi="Arial" w:cs="Arial"/>
          <w:sz w:val="18"/>
        </w:rPr>
      </w:pPr>
      <w:r>
        <w:rPr>
          <w:rFonts w:ascii="Arial" w:hAnsi="Arial" w:cs="Arial"/>
          <w:sz w:val="18"/>
        </w:rPr>
        <w:br w:type="page"/>
      </w:r>
    </w:p>
    <w:p w14:paraId="7B38CE40" w14:textId="5B3AD4EF" w:rsidR="001703D7" w:rsidRPr="009C505D" w:rsidRDefault="009C505D" w:rsidP="009C505D">
      <w:pPr>
        <w:pStyle w:val="Heading1"/>
        <w:rPr>
          <w:color w:val="auto"/>
        </w:rPr>
      </w:pPr>
      <w:r w:rsidRPr="009C505D">
        <w:rPr>
          <w:color w:val="auto"/>
        </w:rPr>
        <w:lastRenderedPageBreak/>
        <w:t>Corresponding author</w:t>
      </w:r>
    </w:p>
    <w:p w14:paraId="7B07BAF3" w14:textId="31252A46" w:rsidR="009C505D" w:rsidRDefault="009C505D" w:rsidP="009C505D"/>
    <w:p w14:paraId="107D0E63" w14:textId="0814AB97" w:rsidR="009C505D" w:rsidRDefault="009C505D" w:rsidP="009C505D">
      <w:r>
        <w:t xml:space="preserve">Dr </w:t>
      </w:r>
      <w:proofErr w:type="spellStart"/>
      <w:r>
        <w:t>Eleonora</w:t>
      </w:r>
      <w:proofErr w:type="spellEnd"/>
      <w:r>
        <w:t xml:space="preserve"> P Uphoff, PhD</w:t>
      </w:r>
    </w:p>
    <w:p w14:paraId="289D95B4" w14:textId="77777777" w:rsidR="009C505D" w:rsidRDefault="009C505D" w:rsidP="009C505D">
      <w:r>
        <w:t>Centre for Reviews and Dissemination, University of York, York, YO10 5DD, United Kingdom</w:t>
      </w:r>
    </w:p>
    <w:p w14:paraId="79D380B0" w14:textId="42DA63CF" w:rsidR="009C505D" w:rsidRPr="009C505D" w:rsidRDefault="009C505D" w:rsidP="009C505D">
      <w:r>
        <w:t>noortje.uphoff@york.ac.uk</w:t>
      </w:r>
    </w:p>
    <w:p w14:paraId="470C8DC5" w14:textId="77777777" w:rsidR="001703D7" w:rsidRPr="001703D7" w:rsidRDefault="001703D7" w:rsidP="001703D7">
      <w:pPr>
        <w:rPr>
          <w:rFonts w:ascii="Times New Roman" w:hAnsi="Times New Roman" w:cs="Times New Roman"/>
          <w:b/>
          <w:sz w:val="24"/>
        </w:rPr>
      </w:pPr>
    </w:p>
    <w:sectPr w:rsidR="001703D7" w:rsidRPr="001703D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80CA3" w14:textId="77777777" w:rsidR="00293179" w:rsidRDefault="00293179" w:rsidP="000E1807">
      <w:pPr>
        <w:spacing w:after="0" w:line="240" w:lineRule="auto"/>
      </w:pPr>
      <w:r>
        <w:separator/>
      </w:r>
    </w:p>
  </w:endnote>
  <w:endnote w:type="continuationSeparator" w:id="0">
    <w:p w14:paraId="3E70C056" w14:textId="77777777" w:rsidR="00293179" w:rsidRDefault="00293179" w:rsidP="000E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Calibr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632977"/>
      <w:docPartObj>
        <w:docPartGallery w:val="Page Numbers (Bottom of Page)"/>
        <w:docPartUnique/>
      </w:docPartObj>
    </w:sdtPr>
    <w:sdtEndPr>
      <w:rPr>
        <w:noProof/>
      </w:rPr>
    </w:sdtEndPr>
    <w:sdtContent>
      <w:p w14:paraId="20B22AAA" w14:textId="4453A0D4" w:rsidR="00293179" w:rsidRDefault="00293179">
        <w:pPr>
          <w:pStyle w:val="Footer"/>
          <w:jc w:val="right"/>
        </w:pPr>
        <w:r>
          <w:fldChar w:fldCharType="begin"/>
        </w:r>
        <w:r>
          <w:instrText xml:space="preserve"> PAGE   \* MERGEFORMAT </w:instrText>
        </w:r>
        <w:r>
          <w:fldChar w:fldCharType="separate"/>
        </w:r>
        <w:r w:rsidR="0048597E">
          <w:rPr>
            <w:noProof/>
          </w:rPr>
          <w:t>18</w:t>
        </w:r>
        <w:r>
          <w:rPr>
            <w:noProof/>
          </w:rPr>
          <w:fldChar w:fldCharType="end"/>
        </w:r>
      </w:p>
    </w:sdtContent>
  </w:sdt>
  <w:p w14:paraId="6E1B6DBC" w14:textId="77777777" w:rsidR="00293179" w:rsidRDefault="00293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FD9A2" w14:textId="77777777" w:rsidR="00293179" w:rsidRDefault="00293179" w:rsidP="000E1807">
      <w:pPr>
        <w:spacing w:after="0" w:line="240" w:lineRule="auto"/>
      </w:pPr>
      <w:r>
        <w:separator/>
      </w:r>
    </w:p>
  </w:footnote>
  <w:footnote w:type="continuationSeparator" w:id="0">
    <w:p w14:paraId="16476A74" w14:textId="77777777" w:rsidR="00293179" w:rsidRDefault="00293179" w:rsidP="000E1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5F48"/>
    <w:multiLevelType w:val="hybridMultilevel"/>
    <w:tmpl w:val="A10016C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73B7C"/>
    <w:multiLevelType w:val="hybridMultilevel"/>
    <w:tmpl w:val="568EE964"/>
    <w:lvl w:ilvl="0" w:tplc="1722E3D0">
      <w:start w:val="5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7779A"/>
    <w:multiLevelType w:val="hybridMultilevel"/>
    <w:tmpl w:val="6372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C643E"/>
    <w:multiLevelType w:val="hybridMultilevel"/>
    <w:tmpl w:val="5C8C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75E79"/>
    <w:multiLevelType w:val="hybridMultilevel"/>
    <w:tmpl w:val="A2A8B86E"/>
    <w:lvl w:ilvl="0" w:tplc="0809000F">
      <w:start w:val="1"/>
      <w:numFmt w:val="decimal"/>
      <w:lvlText w:val="%1."/>
      <w:lvlJc w:val="lef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2B0AE6"/>
    <w:multiLevelType w:val="hybridMultilevel"/>
    <w:tmpl w:val="B9F22E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4D103D"/>
    <w:multiLevelType w:val="hybridMultilevel"/>
    <w:tmpl w:val="E8C2DB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582B4D"/>
    <w:multiLevelType w:val="hybridMultilevel"/>
    <w:tmpl w:val="827C6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BF051D"/>
    <w:multiLevelType w:val="hybridMultilevel"/>
    <w:tmpl w:val="C8C81966"/>
    <w:lvl w:ilvl="0" w:tplc="A8F2CBA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27207A"/>
    <w:multiLevelType w:val="hybridMultilevel"/>
    <w:tmpl w:val="C660E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352D8C"/>
    <w:multiLevelType w:val="hybridMultilevel"/>
    <w:tmpl w:val="7BF020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210792"/>
    <w:multiLevelType w:val="hybridMultilevel"/>
    <w:tmpl w:val="28ACB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F76EB6"/>
    <w:multiLevelType w:val="hybridMultilevel"/>
    <w:tmpl w:val="1A48A1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9C10A4"/>
    <w:multiLevelType w:val="hybridMultilevel"/>
    <w:tmpl w:val="CD5254F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E70844"/>
    <w:multiLevelType w:val="hybridMultilevel"/>
    <w:tmpl w:val="146A7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C05B78"/>
    <w:multiLevelType w:val="hybridMultilevel"/>
    <w:tmpl w:val="D1A4FE06"/>
    <w:lvl w:ilvl="0" w:tplc="0BC280E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224E65"/>
    <w:multiLevelType w:val="hybridMultilevel"/>
    <w:tmpl w:val="7B669C88"/>
    <w:lvl w:ilvl="0" w:tplc="90DE04C0">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783B37"/>
    <w:multiLevelType w:val="hybridMultilevel"/>
    <w:tmpl w:val="75360E6C"/>
    <w:lvl w:ilvl="0" w:tplc="30C0B3C0">
      <w:start w:val="50"/>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6F284F"/>
    <w:multiLevelType w:val="hybridMultilevel"/>
    <w:tmpl w:val="1218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3"/>
  </w:num>
  <w:num w:numId="4">
    <w:abstractNumId w:val="18"/>
  </w:num>
  <w:num w:numId="5">
    <w:abstractNumId w:val="1"/>
  </w:num>
  <w:num w:numId="6">
    <w:abstractNumId w:val="6"/>
  </w:num>
  <w:num w:numId="7">
    <w:abstractNumId w:val="16"/>
  </w:num>
  <w:num w:numId="8">
    <w:abstractNumId w:val="2"/>
  </w:num>
  <w:num w:numId="9">
    <w:abstractNumId w:val="7"/>
  </w:num>
  <w:num w:numId="10">
    <w:abstractNumId w:val="14"/>
  </w:num>
  <w:num w:numId="11">
    <w:abstractNumId w:val="17"/>
  </w:num>
  <w:num w:numId="12">
    <w:abstractNumId w:val="9"/>
  </w:num>
  <w:num w:numId="13">
    <w:abstractNumId w:val="0"/>
  </w:num>
  <w:num w:numId="14">
    <w:abstractNumId w:val="10"/>
  </w:num>
  <w:num w:numId="15">
    <w:abstractNumId w:val="13"/>
  </w:num>
  <w:num w:numId="16">
    <w:abstractNumId w:val="4"/>
  </w:num>
  <w:num w:numId="17">
    <w:abstractNumId w:val="11"/>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A0NTMyMDczsTC0NDRT0lEKTi0uzszPAykwrAUAdT9H2CwAAAA="/>
  </w:docVars>
  <w:rsids>
    <w:rsidRoot w:val="00290021"/>
    <w:rsid w:val="00000337"/>
    <w:rsid w:val="000035AF"/>
    <w:rsid w:val="0000367A"/>
    <w:rsid w:val="000149AC"/>
    <w:rsid w:val="000158CD"/>
    <w:rsid w:val="0001668C"/>
    <w:rsid w:val="000250E1"/>
    <w:rsid w:val="00026530"/>
    <w:rsid w:val="00026D78"/>
    <w:rsid w:val="00026F21"/>
    <w:rsid w:val="00030A69"/>
    <w:rsid w:val="00031DD2"/>
    <w:rsid w:val="00033D0C"/>
    <w:rsid w:val="00037C26"/>
    <w:rsid w:val="00040759"/>
    <w:rsid w:val="000417AB"/>
    <w:rsid w:val="00041A30"/>
    <w:rsid w:val="00051568"/>
    <w:rsid w:val="00052E36"/>
    <w:rsid w:val="00054B6A"/>
    <w:rsid w:val="0005794D"/>
    <w:rsid w:val="00066376"/>
    <w:rsid w:val="00066DA7"/>
    <w:rsid w:val="00066ED9"/>
    <w:rsid w:val="00070561"/>
    <w:rsid w:val="00077B54"/>
    <w:rsid w:val="00080C59"/>
    <w:rsid w:val="00087D85"/>
    <w:rsid w:val="000932F8"/>
    <w:rsid w:val="000A5AD9"/>
    <w:rsid w:val="000A61B8"/>
    <w:rsid w:val="000B444A"/>
    <w:rsid w:val="000B4919"/>
    <w:rsid w:val="000C3964"/>
    <w:rsid w:val="000C5045"/>
    <w:rsid w:val="000C58FB"/>
    <w:rsid w:val="000C7B11"/>
    <w:rsid w:val="000D2369"/>
    <w:rsid w:val="000E0D27"/>
    <w:rsid w:val="000E1807"/>
    <w:rsid w:val="000F0500"/>
    <w:rsid w:val="000F3CD8"/>
    <w:rsid w:val="000F3E00"/>
    <w:rsid w:val="001000A1"/>
    <w:rsid w:val="00101569"/>
    <w:rsid w:val="00102700"/>
    <w:rsid w:val="00110854"/>
    <w:rsid w:val="00112E80"/>
    <w:rsid w:val="00114864"/>
    <w:rsid w:val="0011716B"/>
    <w:rsid w:val="00127914"/>
    <w:rsid w:val="00130575"/>
    <w:rsid w:val="00131B4E"/>
    <w:rsid w:val="001373FB"/>
    <w:rsid w:val="001432FD"/>
    <w:rsid w:val="001478AD"/>
    <w:rsid w:val="00147A1F"/>
    <w:rsid w:val="001620D0"/>
    <w:rsid w:val="001703D7"/>
    <w:rsid w:val="00183BF2"/>
    <w:rsid w:val="00186508"/>
    <w:rsid w:val="00186FE7"/>
    <w:rsid w:val="00196DB8"/>
    <w:rsid w:val="001A0463"/>
    <w:rsid w:val="001A1413"/>
    <w:rsid w:val="001A19C7"/>
    <w:rsid w:val="001A1D8F"/>
    <w:rsid w:val="001A3799"/>
    <w:rsid w:val="001A4E0C"/>
    <w:rsid w:val="001B039B"/>
    <w:rsid w:val="001B2321"/>
    <w:rsid w:val="001B3FCE"/>
    <w:rsid w:val="001B52C7"/>
    <w:rsid w:val="001B6879"/>
    <w:rsid w:val="001C0917"/>
    <w:rsid w:val="001C2621"/>
    <w:rsid w:val="001D0C06"/>
    <w:rsid w:val="001D1CB9"/>
    <w:rsid w:val="001D2274"/>
    <w:rsid w:val="001D34F2"/>
    <w:rsid w:val="001D450A"/>
    <w:rsid w:val="001D6F7D"/>
    <w:rsid w:val="001D7865"/>
    <w:rsid w:val="001E0C86"/>
    <w:rsid w:val="001E5EE0"/>
    <w:rsid w:val="001E6B13"/>
    <w:rsid w:val="001E6D46"/>
    <w:rsid w:val="001F1FEF"/>
    <w:rsid w:val="001F7091"/>
    <w:rsid w:val="002006E2"/>
    <w:rsid w:val="00202BA9"/>
    <w:rsid w:val="00212286"/>
    <w:rsid w:val="00216D32"/>
    <w:rsid w:val="002176C5"/>
    <w:rsid w:val="0022110B"/>
    <w:rsid w:val="00225BC8"/>
    <w:rsid w:val="00230CC4"/>
    <w:rsid w:val="00231E2E"/>
    <w:rsid w:val="0024096A"/>
    <w:rsid w:val="00242074"/>
    <w:rsid w:val="0024352D"/>
    <w:rsid w:val="00247858"/>
    <w:rsid w:val="0025075B"/>
    <w:rsid w:val="00253F18"/>
    <w:rsid w:val="00260EFC"/>
    <w:rsid w:val="00262962"/>
    <w:rsid w:val="00284BF0"/>
    <w:rsid w:val="00286D33"/>
    <w:rsid w:val="00290021"/>
    <w:rsid w:val="00290304"/>
    <w:rsid w:val="00291484"/>
    <w:rsid w:val="00292B87"/>
    <w:rsid w:val="00293179"/>
    <w:rsid w:val="002A069B"/>
    <w:rsid w:val="002A1FC5"/>
    <w:rsid w:val="002A5B84"/>
    <w:rsid w:val="002B19EE"/>
    <w:rsid w:val="002B3CB2"/>
    <w:rsid w:val="002C235A"/>
    <w:rsid w:val="002C6F5A"/>
    <w:rsid w:val="002D4095"/>
    <w:rsid w:val="002D4352"/>
    <w:rsid w:val="002E4B2E"/>
    <w:rsid w:val="002E55FD"/>
    <w:rsid w:val="002E59A4"/>
    <w:rsid w:val="002F0A59"/>
    <w:rsid w:val="00301425"/>
    <w:rsid w:val="00303993"/>
    <w:rsid w:val="00321DA4"/>
    <w:rsid w:val="00326EA6"/>
    <w:rsid w:val="003271D9"/>
    <w:rsid w:val="00330C47"/>
    <w:rsid w:val="00332790"/>
    <w:rsid w:val="0034346D"/>
    <w:rsid w:val="00344C44"/>
    <w:rsid w:val="00347B14"/>
    <w:rsid w:val="00357077"/>
    <w:rsid w:val="0036142B"/>
    <w:rsid w:val="0037120B"/>
    <w:rsid w:val="003727B1"/>
    <w:rsid w:val="00373D60"/>
    <w:rsid w:val="0037634B"/>
    <w:rsid w:val="00376B7B"/>
    <w:rsid w:val="00376E57"/>
    <w:rsid w:val="00377712"/>
    <w:rsid w:val="00384C77"/>
    <w:rsid w:val="00387811"/>
    <w:rsid w:val="00390DA5"/>
    <w:rsid w:val="003921D2"/>
    <w:rsid w:val="003955DE"/>
    <w:rsid w:val="0039726B"/>
    <w:rsid w:val="003A7543"/>
    <w:rsid w:val="003A7DBC"/>
    <w:rsid w:val="003B329A"/>
    <w:rsid w:val="003C5736"/>
    <w:rsid w:val="003D0F38"/>
    <w:rsid w:val="003D1BF7"/>
    <w:rsid w:val="003E46DC"/>
    <w:rsid w:val="00404149"/>
    <w:rsid w:val="004059A6"/>
    <w:rsid w:val="00413964"/>
    <w:rsid w:val="004156C6"/>
    <w:rsid w:val="00422309"/>
    <w:rsid w:val="004241C4"/>
    <w:rsid w:val="00427E3F"/>
    <w:rsid w:val="00433E50"/>
    <w:rsid w:val="00440016"/>
    <w:rsid w:val="004405C0"/>
    <w:rsid w:val="00447D91"/>
    <w:rsid w:val="0045012A"/>
    <w:rsid w:val="00453537"/>
    <w:rsid w:val="00453763"/>
    <w:rsid w:val="004570E4"/>
    <w:rsid w:val="00461ECB"/>
    <w:rsid w:val="004637C0"/>
    <w:rsid w:val="00463E8E"/>
    <w:rsid w:val="00465060"/>
    <w:rsid w:val="004672FE"/>
    <w:rsid w:val="00470ABD"/>
    <w:rsid w:val="004727A0"/>
    <w:rsid w:val="004748F3"/>
    <w:rsid w:val="00475D00"/>
    <w:rsid w:val="00477778"/>
    <w:rsid w:val="00483B4A"/>
    <w:rsid w:val="0048597E"/>
    <w:rsid w:val="00494C0A"/>
    <w:rsid w:val="004A090B"/>
    <w:rsid w:val="004A1595"/>
    <w:rsid w:val="004A3A7F"/>
    <w:rsid w:val="004A3FF0"/>
    <w:rsid w:val="004B53F2"/>
    <w:rsid w:val="004B59AD"/>
    <w:rsid w:val="004C28E7"/>
    <w:rsid w:val="004C331A"/>
    <w:rsid w:val="004D0860"/>
    <w:rsid w:val="004D6A13"/>
    <w:rsid w:val="004E4566"/>
    <w:rsid w:val="004E6DC3"/>
    <w:rsid w:val="004E7B7B"/>
    <w:rsid w:val="004E7D3B"/>
    <w:rsid w:val="004F467D"/>
    <w:rsid w:val="00502021"/>
    <w:rsid w:val="005030EB"/>
    <w:rsid w:val="00504507"/>
    <w:rsid w:val="005105F8"/>
    <w:rsid w:val="00527534"/>
    <w:rsid w:val="005307EA"/>
    <w:rsid w:val="00531B18"/>
    <w:rsid w:val="005344AE"/>
    <w:rsid w:val="0053490F"/>
    <w:rsid w:val="005350A5"/>
    <w:rsid w:val="00536344"/>
    <w:rsid w:val="00540514"/>
    <w:rsid w:val="0054249D"/>
    <w:rsid w:val="00547285"/>
    <w:rsid w:val="00550F67"/>
    <w:rsid w:val="005620B5"/>
    <w:rsid w:val="0056645A"/>
    <w:rsid w:val="00567169"/>
    <w:rsid w:val="00567B7E"/>
    <w:rsid w:val="00574FC3"/>
    <w:rsid w:val="0058321E"/>
    <w:rsid w:val="00595B64"/>
    <w:rsid w:val="00596F3B"/>
    <w:rsid w:val="00597AD9"/>
    <w:rsid w:val="005A4DEE"/>
    <w:rsid w:val="005B6FE2"/>
    <w:rsid w:val="005C031A"/>
    <w:rsid w:val="005C3D85"/>
    <w:rsid w:val="005C507A"/>
    <w:rsid w:val="005D7B8E"/>
    <w:rsid w:val="005E6DD3"/>
    <w:rsid w:val="005F0E23"/>
    <w:rsid w:val="00601D66"/>
    <w:rsid w:val="006021D5"/>
    <w:rsid w:val="00607193"/>
    <w:rsid w:val="00610AB2"/>
    <w:rsid w:val="00610E66"/>
    <w:rsid w:val="00617443"/>
    <w:rsid w:val="00617B81"/>
    <w:rsid w:val="00621E8B"/>
    <w:rsid w:val="0062253B"/>
    <w:rsid w:val="0062351D"/>
    <w:rsid w:val="0064457A"/>
    <w:rsid w:val="006468D5"/>
    <w:rsid w:val="006519AE"/>
    <w:rsid w:val="00655BBE"/>
    <w:rsid w:val="006615BD"/>
    <w:rsid w:val="00672237"/>
    <w:rsid w:val="00673650"/>
    <w:rsid w:val="006736F9"/>
    <w:rsid w:val="00675B55"/>
    <w:rsid w:val="00676C9B"/>
    <w:rsid w:val="00684013"/>
    <w:rsid w:val="00687060"/>
    <w:rsid w:val="0068713A"/>
    <w:rsid w:val="00696457"/>
    <w:rsid w:val="00697740"/>
    <w:rsid w:val="006A1FEE"/>
    <w:rsid w:val="006A2AAB"/>
    <w:rsid w:val="006A493F"/>
    <w:rsid w:val="006A4C78"/>
    <w:rsid w:val="006A585C"/>
    <w:rsid w:val="006A5F8F"/>
    <w:rsid w:val="006A68A5"/>
    <w:rsid w:val="006A7BF1"/>
    <w:rsid w:val="006A7D47"/>
    <w:rsid w:val="006B0F45"/>
    <w:rsid w:val="006B11E6"/>
    <w:rsid w:val="006C1236"/>
    <w:rsid w:val="006D18C6"/>
    <w:rsid w:val="006D3326"/>
    <w:rsid w:val="006D3E49"/>
    <w:rsid w:val="006D748F"/>
    <w:rsid w:val="006E5466"/>
    <w:rsid w:val="006E6548"/>
    <w:rsid w:val="006E6C63"/>
    <w:rsid w:val="006E7926"/>
    <w:rsid w:val="006F1181"/>
    <w:rsid w:val="006F4978"/>
    <w:rsid w:val="006F7035"/>
    <w:rsid w:val="00703BB7"/>
    <w:rsid w:val="0070636F"/>
    <w:rsid w:val="00707D5D"/>
    <w:rsid w:val="00713B71"/>
    <w:rsid w:val="0072299C"/>
    <w:rsid w:val="0073221E"/>
    <w:rsid w:val="0073650C"/>
    <w:rsid w:val="007460EB"/>
    <w:rsid w:val="007501AD"/>
    <w:rsid w:val="0075051A"/>
    <w:rsid w:val="0075253F"/>
    <w:rsid w:val="00755B23"/>
    <w:rsid w:val="00763E31"/>
    <w:rsid w:val="00764EF1"/>
    <w:rsid w:val="00765BB0"/>
    <w:rsid w:val="007724FD"/>
    <w:rsid w:val="007729C3"/>
    <w:rsid w:val="00773E98"/>
    <w:rsid w:val="007749B6"/>
    <w:rsid w:val="0078176F"/>
    <w:rsid w:val="007819E2"/>
    <w:rsid w:val="00783947"/>
    <w:rsid w:val="00785A98"/>
    <w:rsid w:val="007868F0"/>
    <w:rsid w:val="007879DD"/>
    <w:rsid w:val="00790C05"/>
    <w:rsid w:val="00793511"/>
    <w:rsid w:val="00793589"/>
    <w:rsid w:val="00794E64"/>
    <w:rsid w:val="007A08A8"/>
    <w:rsid w:val="007A4266"/>
    <w:rsid w:val="007A4381"/>
    <w:rsid w:val="007A57AA"/>
    <w:rsid w:val="007B3B0A"/>
    <w:rsid w:val="007B492C"/>
    <w:rsid w:val="007C21FD"/>
    <w:rsid w:val="007C264C"/>
    <w:rsid w:val="007C484E"/>
    <w:rsid w:val="007C6478"/>
    <w:rsid w:val="007D024A"/>
    <w:rsid w:val="007D1E26"/>
    <w:rsid w:val="007D29A6"/>
    <w:rsid w:val="007D4FCC"/>
    <w:rsid w:val="007D5181"/>
    <w:rsid w:val="007D551B"/>
    <w:rsid w:val="007E10BC"/>
    <w:rsid w:val="007E711B"/>
    <w:rsid w:val="00801364"/>
    <w:rsid w:val="008017E8"/>
    <w:rsid w:val="00806E8B"/>
    <w:rsid w:val="00807F7C"/>
    <w:rsid w:val="00810333"/>
    <w:rsid w:val="008122BA"/>
    <w:rsid w:val="0081254E"/>
    <w:rsid w:val="00813EB0"/>
    <w:rsid w:val="00815FFD"/>
    <w:rsid w:val="00817DA7"/>
    <w:rsid w:val="008203E8"/>
    <w:rsid w:val="00825162"/>
    <w:rsid w:val="00825D4F"/>
    <w:rsid w:val="00835ED3"/>
    <w:rsid w:val="0083796B"/>
    <w:rsid w:val="008468C4"/>
    <w:rsid w:val="00856F1D"/>
    <w:rsid w:val="008614C7"/>
    <w:rsid w:val="00862269"/>
    <w:rsid w:val="00863299"/>
    <w:rsid w:val="00867351"/>
    <w:rsid w:val="00867677"/>
    <w:rsid w:val="008712BD"/>
    <w:rsid w:val="00874E47"/>
    <w:rsid w:val="008917ED"/>
    <w:rsid w:val="00894853"/>
    <w:rsid w:val="008960CB"/>
    <w:rsid w:val="00896FC4"/>
    <w:rsid w:val="008B2DD1"/>
    <w:rsid w:val="008B64FD"/>
    <w:rsid w:val="008B6E5F"/>
    <w:rsid w:val="008C0F6B"/>
    <w:rsid w:val="008C4EF9"/>
    <w:rsid w:val="008C55E2"/>
    <w:rsid w:val="008D2AA0"/>
    <w:rsid w:val="008D2D81"/>
    <w:rsid w:val="008D2E04"/>
    <w:rsid w:val="008D41F9"/>
    <w:rsid w:val="008D70E3"/>
    <w:rsid w:val="008E08B4"/>
    <w:rsid w:val="008E1302"/>
    <w:rsid w:val="008E71A4"/>
    <w:rsid w:val="008F049C"/>
    <w:rsid w:val="008F1878"/>
    <w:rsid w:val="0090659F"/>
    <w:rsid w:val="009106D6"/>
    <w:rsid w:val="009145B4"/>
    <w:rsid w:val="0091552D"/>
    <w:rsid w:val="00915A07"/>
    <w:rsid w:val="00917518"/>
    <w:rsid w:val="00920D61"/>
    <w:rsid w:val="009243C2"/>
    <w:rsid w:val="00926859"/>
    <w:rsid w:val="00933290"/>
    <w:rsid w:val="0094132A"/>
    <w:rsid w:val="00942B7C"/>
    <w:rsid w:val="0094624D"/>
    <w:rsid w:val="00951DF7"/>
    <w:rsid w:val="00952168"/>
    <w:rsid w:val="00954ABB"/>
    <w:rsid w:val="00960194"/>
    <w:rsid w:val="00970061"/>
    <w:rsid w:val="00973233"/>
    <w:rsid w:val="00974033"/>
    <w:rsid w:val="0097522D"/>
    <w:rsid w:val="00976019"/>
    <w:rsid w:val="00980EEC"/>
    <w:rsid w:val="0098167D"/>
    <w:rsid w:val="009839DB"/>
    <w:rsid w:val="009874D9"/>
    <w:rsid w:val="00987551"/>
    <w:rsid w:val="00990377"/>
    <w:rsid w:val="009A67EC"/>
    <w:rsid w:val="009A79C1"/>
    <w:rsid w:val="009B0D65"/>
    <w:rsid w:val="009B1BD8"/>
    <w:rsid w:val="009B7556"/>
    <w:rsid w:val="009C00B4"/>
    <w:rsid w:val="009C05E7"/>
    <w:rsid w:val="009C3275"/>
    <w:rsid w:val="009C505D"/>
    <w:rsid w:val="009D6A5A"/>
    <w:rsid w:val="009E0F93"/>
    <w:rsid w:val="009E1E2B"/>
    <w:rsid w:val="009E3FC7"/>
    <w:rsid w:val="009E5DFC"/>
    <w:rsid w:val="009F1E1A"/>
    <w:rsid w:val="009F364D"/>
    <w:rsid w:val="00A009A1"/>
    <w:rsid w:val="00A0105A"/>
    <w:rsid w:val="00A07287"/>
    <w:rsid w:val="00A079DD"/>
    <w:rsid w:val="00A12171"/>
    <w:rsid w:val="00A13224"/>
    <w:rsid w:val="00A31200"/>
    <w:rsid w:val="00A3533A"/>
    <w:rsid w:val="00A35513"/>
    <w:rsid w:val="00A375E0"/>
    <w:rsid w:val="00A42133"/>
    <w:rsid w:val="00A44ED4"/>
    <w:rsid w:val="00A455E9"/>
    <w:rsid w:val="00A461AE"/>
    <w:rsid w:val="00A46B08"/>
    <w:rsid w:val="00A510E6"/>
    <w:rsid w:val="00A60E12"/>
    <w:rsid w:val="00A65F24"/>
    <w:rsid w:val="00A77FC6"/>
    <w:rsid w:val="00A8304A"/>
    <w:rsid w:val="00A8484A"/>
    <w:rsid w:val="00A86426"/>
    <w:rsid w:val="00A9685D"/>
    <w:rsid w:val="00AA3AA0"/>
    <w:rsid w:val="00AA617C"/>
    <w:rsid w:val="00AB0BAA"/>
    <w:rsid w:val="00AB3689"/>
    <w:rsid w:val="00AB4571"/>
    <w:rsid w:val="00AB5358"/>
    <w:rsid w:val="00AC0E0C"/>
    <w:rsid w:val="00AC4D4B"/>
    <w:rsid w:val="00AC551F"/>
    <w:rsid w:val="00AC6ADE"/>
    <w:rsid w:val="00AC6D7A"/>
    <w:rsid w:val="00AD0743"/>
    <w:rsid w:val="00AD2792"/>
    <w:rsid w:val="00AD4836"/>
    <w:rsid w:val="00AD6116"/>
    <w:rsid w:val="00AD6C6F"/>
    <w:rsid w:val="00AE3F85"/>
    <w:rsid w:val="00AE4DFC"/>
    <w:rsid w:val="00AE5D9B"/>
    <w:rsid w:val="00AE646C"/>
    <w:rsid w:val="00AE64AB"/>
    <w:rsid w:val="00AF0842"/>
    <w:rsid w:val="00AF2EC7"/>
    <w:rsid w:val="00AF7982"/>
    <w:rsid w:val="00B004EE"/>
    <w:rsid w:val="00B00D0B"/>
    <w:rsid w:val="00B04DA7"/>
    <w:rsid w:val="00B133F7"/>
    <w:rsid w:val="00B15C5D"/>
    <w:rsid w:val="00B300D4"/>
    <w:rsid w:val="00B30891"/>
    <w:rsid w:val="00B31C6A"/>
    <w:rsid w:val="00B32A52"/>
    <w:rsid w:val="00B33B0B"/>
    <w:rsid w:val="00B344F5"/>
    <w:rsid w:val="00B34E28"/>
    <w:rsid w:val="00B35250"/>
    <w:rsid w:val="00B366A7"/>
    <w:rsid w:val="00B374EE"/>
    <w:rsid w:val="00B43F1B"/>
    <w:rsid w:val="00B45589"/>
    <w:rsid w:val="00B45A30"/>
    <w:rsid w:val="00B463A2"/>
    <w:rsid w:val="00B50437"/>
    <w:rsid w:val="00B51455"/>
    <w:rsid w:val="00B60BCF"/>
    <w:rsid w:val="00B63BF3"/>
    <w:rsid w:val="00B64B57"/>
    <w:rsid w:val="00B70303"/>
    <w:rsid w:val="00B70BC6"/>
    <w:rsid w:val="00B72698"/>
    <w:rsid w:val="00B737DD"/>
    <w:rsid w:val="00B748B8"/>
    <w:rsid w:val="00B77FEA"/>
    <w:rsid w:val="00B830CA"/>
    <w:rsid w:val="00B845DD"/>
    <w:rsid w:val="00B8539D"/>
    <w:rsid w:val="00B93647"/>
    <w:rsid w:val="00B94455"/>
    <w:rsid w:val="00B945D5"/>
    <w:rsid w:val="00B97C00"/>
    <w:rsid w:val="00BA1C9B"/>
    <w:rsid w:val="00BA2D55"/>
    <w:rsid w:val="00BA4241"/>
    <w:rsid w:val="00BA6AB0"/>
    <w:rsid w:val="00BB3A1C"/>
    <w:rsid w:val="00BB6484"/>
    <w:rsid w:val="00BC0898"/>
    <w:rsid w:val="00BC1C96"/>
    <w:rsid w:val="00BC4CC0"/>
    <w:rsid w:val="00BD08C0"/>
    <w:rsid w:val="00BD0927"/>
    <w:rsid w:val="00BD139E"/>
    <w:rsid w:val="00BD51CD"/>
    <w:rsid w:val="00BD77D0"/>
    <w:rsid w:val="00BE3018"/>
    <w:rsid w:val="00BF2108"/>
    <w:rsid w:val="00C00646"/>
    <w:rsid w:val="00C01592"/>
    <w:rsid w:val="00C032B0"/>
    <w:rsid w:val="00C178F1"/>
    <w:rsid w:val="00C21D29"/>
    <w:rsid w:val="00C24F0E"/>
    <w:rsid w:val="00C26B5D"/>
    <w:rsid w:val="00C308E0"/>
    <w:rsid w:val="00C30B3C"/>
    <w:rsid w:val="00C3157C"/>
    <w:rsid w:val="00C31624"/>
    <w:rsid w:val="00C472CB"/>
    <w:rsid w:val="00C50EB0"/>
    <w:rsid w:val="00C53519"/>
    <w:rsid w:val="00C5378D"/>
    <w:rsid w:val="00C556EF"/>
    <w:rsid w:val="00C60D4F"/>
    <w:rsid w:val="00C60FEA"/>
    <w:rsid w:val="00C676B9"/>
    <w:rsid w:val="00C70185"/>
    <w:rsid w:val="00C745BF"/>
    <w:rsid w:val="00C80398"/>
    <w:rsid w:val="00C80FE8"/>
    <w:rsid w:val="00C855F5"/>
    <w:rsid w:val="00C9327C"/>
    <w:rsid w:val="00C93314"/>
    <w:rsid w:val="00C95425"/>
    <w:rsid w:val="00C96D60"/>
    <w:rsid w:val="00C97F1B"/>
    <w:rsid w:val="00CA40D4"/>
    <w:rsid w:val="00CC38C9"/>
    <w:rsid w:val="00CC6363"/>
    <w:rsid w:val="00CC6A18"/>
    <w:rsid w:val="00CC7869"/>
    <w:rsid w:val="00CD6085"/>
    <w:rsid w:val="00CD61A0"/>
    <w:rsid w:val="00CD6968"/>
    <w:rsid w:val="00CE251F"/>
    <w:rsid w:val="00CE3635"/>
    <w:rsid w:val="00CF343B"/>
    <w:rsid w:val="00CF7922"/>
    <w:rsid w:val="00D020EF"/>
    <w:rsid w:val="00D155B7"/>
    <w:rsid w:val="00D21065"/>
    <w:rsid w:val="00D31FC1"/>
    <w:rsid w:val="00D322E0"/>
    <w:rsid w:val="00D3327F"/>
    <w:rsid w:val="00D3356C"/>
    <w:rsid w:val="00D3487A"/>
    <w:rsid w:val="00D34B38"/>
    <w:rsid w:val="00D353D1"/>
    <w:rsid w:val="00D40A70"/>
    <w:rsid w:val="00D41C0A"/>
    <w:rsid w:val="00D47E1A"/>
    <w:rsid w:val="00D57513"/>
    <w:rsid w:val="00D60FB0"/>
    <w:rsid w:val="00D6187B"/>
    <w:rsid w:val="00D62323"/>
    <w:rsid w:val="00D62E15"/>
    <w:rsid w:val="00D63ECC"/>
    <w:rsid w:val="00D71D45"/>
    <w:rsid w:val="00D7668F"/>
    <w:rsid w:val="00D84B95"/>
    <w:rsid w:val="00D86DB5"/>
    <w:rsid w:val="00D87D6C"/>
    <w:rsid w:val="00D90507"/>
    <w:rsid w:val="00D925AB"/>
    <w:rsid w:val="00D951D1"/>
    <w:rsid w:val="00D974AE"/>
    <w:rsid w:val="00DA7A80"/>
    <w:rsid w:val="00DB03D0"/>
    <w:rsid w:val="00DB1B43"/>
    <w:rsid w:val="00DB3D24"/>
    <w:rsid w:val="00DC1C07"/>
    <w:rsid w:val="00DC458B"/>
    <w:rsid w:val="00DC6ED4"/>
    <w:rsid w:val="00DD21F1"/>
    <w:rsid w:val="00DD44BE"/>
    <w:rsid w:val="00DD6CD0"/>
    <w:rsid w:val="00DE4E99"/>
    <w:rsid w:val="00DF001E"/>
    <w:rsid w:val="00DF2072"/>
    <w:rsid w:val="00E00B4B"/>
    <w:rsid w:val="00E0239B"/>
    <w:rsid w:val="00E04523"/>
    <w:rsid w:val="00E04B6B"/>
    <w:rsid w:val="00E138E9"/>
    <w:rsid w:val="00E15967"/>
    <w:rsid w:val="00E159FA"/>
    <w:rsid w:val="00E22B53"/>
    <w:rsid w:val="00E25E95"/>
    <w:rsid w:val="00E3551C"/>
    <w:rsid w:val="00E41344"/>
    <w:rsid w:val="00E47E56"/>
    <w:rsid w:val="00E50D4D"/>
    <w:rsid w:val="00E53A78"/>
    <w:rsid w:val="00E546C9"/>
    <w:rsid w:val="00E5490E"/>
    <w:rsid w:val="00E552A7"/>
    <w:rsid w:val="00E569F5"/>
    <w:rsid w:val="00E6142E"/>
    <w:rsid w:val="00E65557"/>
    <w:rsid w:val="00E7113B"/>
    <w:rsid w:val="00E73129"/>
    <w:rsid w:val="00E7415B"/>
    <w:rsid w:val="00E7551D"/>
    <w:rsid w:val="00E76F7F"/>
    <w:rsid w:val="00E82C71"/>
    <w:rsid w:val="00E8637E"/>
    <w:rsid w:val="00E86884"/>
    <w:rsid w:val="00E87412"/>
    <w:rsid w:val="00E877E3"/>
    <w:rsid w:val="00E87977"/>
    <w:rsid w:val="00E94D3C"/>
    <w:rsid w:val="00E96337"/>
    <w:rsid w:val="00EA2D91"/>
    <w:rsid w:val="00EA33D1"/>
    <w:rsid w:val="00EA73FA"/>
    <w:rsid w:val="00EA7EA3"/>
    <w:rsid w:val="00EB10AD"/>
    <w:rsid w:val="00EC0373"/>
    <w:rsid w:val="00EC0ABF"/>
    <w:rsid w:val="00EC12E9"/>
    <w:rsid w:val="00EC3150"/>
    <w:rsid w:val="00EC75E5"/>
    <w:rsid w:val="00ED0C62"/>
    <w:rsid w:val="00ED0EFA"/>
    <w:rsid w:val="00ED166A"/>
    <w:rsid w:val="00ED1693"/>
    <w:rsid w:val="00EE64A5"/>
    <w:rsid w:val="00EF06BA"/>
    <w:rsid w:val="00EF1623"/>
    <w:rsid w:val="00EF1A8B"/>
    <w:rsid w:val="00F01215"/>
    <w:rsid w:val="00F14750"/>
    <w:rsid w:val="00F20459"/>
    <w:rsid w:val="00F22AA1"/>
    <w:rsid w:val="00F30667"/>
    <w:rsid w:val="00F37CFD"/>
    <w:rsid w:val="00F43B69"/>
    <w:rsid w:val="00F45506"/>
    <w:rsid w:val="00F47832"/>
    <w:rsid w:val="00F53788"/>
    <w:rsid w:val="00F555BE"/>
    <w:rsid w:val="00F6699C"/>
    <w:rsid w:val="00F72BFA"/>
    <w:rsid w:val="00F84599"/>
    <w:rsid w:val="00FA3963"/>
    <w:rsid w:val="00FB1229"/>
    <w:rsid w:val="00FB2B80"/>
    <w:rsid w:val="00FB5043"/>
    <w:rsid w:val="00FC0244"/>
    <w:rsid w:val="00FC5E45"/>
    <w:rsid w:val="00FC6BA4"/>
    <w:rsid w:val="00FD45F0"/>
    <w:rsid w:val="00FE0C7D"/>
    <w:rsid w:val="00FE267D"/>
    <w:rsid w:val="00FE472D"/>
    <w:rsid w:val="00FE6836"/>
    <w:rsid w:val="00FF5148"/>
    <w:rsid w:val="00FF5B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F74316"/>
  <w15:chartTrackingRefBased/>
  <w15:docId w15:val="{4439F189-EC55-4AFF-BBCE-D17F9B6A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5A07"/>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915A07"/>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915A07"/>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D4B"/>
    <w:pPr>
      <w:ind w:left="720"/>
      <w:contextualSpacing/>
    </w:pPr>
  </w:style>
  <w:style w:type="character" w:styleId="Hyperlink">
    <w:name w:val="Hyperlink"/>
    <w:basedOn w:val="DefaultParagraphFont"/>
    <w:uiPriority w:val="99"/>
    <w:unhideWhenUsed/>
    <w:rsid w:val="00C97F1B"/>
    <w:rPr>
      <w:color w:val="0563C1" w:themeColor="hyperlink"/>
      <w:u w:val="single"/>
    </w:rPr>
  </w:style>
  <w:style w:type="character" w:customStyle="1" w:styleId="UnresolvedMention1">
    <w:name w:val="Unresolved Mention1"/>
    <w:basedOn w:val="DefaultParagraphFont"/>
    <w:uiPriority w:val="99"/>
    <w:semiHidden/>
    <w:unhideWhenUsed/>
    <w:rsid w:val="00C97F1B"/>
    <w:rPr>
      <w:color w:val="605E5C"/>
      <w:shd w:val="clear" w:color="auto" w:fill="E1DFDD"/>
    </w:rPr>
  </w:style>
  <w:style w:type="paragraph" w:customStyle="1" w:styleId="headinglevel">
    <w:name w:val="headinglevel"/>
    <w:basedOn w:val="Normal"/>
    <w:rsid w:val="008D41F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BF2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E1807"/>
    <w:rPr>
      <w:color w:val="605E5C"/>
      <w:shd w:val="clear" w:color="auto" w:fill="E1DFDD"/>
    </w:rPr>
  </w:style>
  <w:style w:type="paragraph" w:styleId="Header">
    <w:name w:val="header"/>
    <w:basedOn w:val="Normal"/>
    <w:link w:val="HeaderChar"/>
    <w:uiPriority w:val="99"/>
    <w:unhideWhenUsed/>
    <w:rsid w:val="000E1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807"/>
  </w:style>
  <w:style w:type="paragraph" w:styleId="Footer">
    <w:name w:val="footer"/>
    <w:basedOn w:val="Normal"/>
    <w:link w:val="FooterChar"/>
    <w:uiPriority w:val="99"/>
    <w:unhideWhenUsed/>
    <w:rsid w:val="000E1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807"/>
  </w:style>
  <w:style w:type="character" w:styleId="CommentReference">
    <w:name w:val="annotation reference"/>
    <w:basedOn w:val="DefaultParagraphFont"/>
    <w:uiPriority w:val="99"/>
    <w:semiHidden/>
    <w:unhideWhenUsed/>
    <w:rsid w:val="006A2AAB"/>
    <w:rPr>
      <w:sz w:val="16"/>
      <w:szCs w:val="16"/>
    </w:rPr>
  </w:style>
  <w:style w:type="paragraph" w:styleId="CommentText">
    <w:name w:val="annotation text"/>
    <w:basedOn w:val="Normal"/>
    <w:link w:val="CommentTextChar"/>
    <w:uiPriority w:val="99"/>
    <w:semiHidden/>
    <w:unhideWhenUsed/>
    <w:rsid w:val="006A2AAB"/>
    <w:pPr>
      <w:spacing w:line="240" w:lineRule="auto"/>
    </w:pPr>
    <w:rPr>
      <w:sz w:val="20"/>
      <w:szCs w:val="20"/>
    </w:rPr>
  </w:style>
  <w:style w:type="character" w:customStyle="1" w:styleId="CommentTextChar">
    <w:name w:val="Comment Text Char"/>
    <w:basedOn w:val="DefaultParagraphFont"/>
    <w:link w:val="CommentText"/>
    <w:uiPriority w:val="99"/>
    <w:semiHidden/>
    <w:rsid w:val="006A2AAB"/>
    <w:rPr>
      <w:sz w:val="20"/>
      <w:szCs w:val="20"/>
    </w:rPr>
  </w:style>
  <w:style w:type="paragraph" w:styleId="CommentSubject">
    <w:name w:val="annotation subject"/>
    <w:basedOn w:val="CommentText"/>
    <w:next w:val="CommentText"/>
    <w:link w:val="CommentSubjectChar"/>
    <w:uiPriority w:val="99"/>
    <w:semiHidden/>
    <w:unhideWhenUsed/>
    <w:rsid w:val="006A2AAB"/>
    <w:rPr>
      <w:b/>
      <w:bCs/>
    </w:rPr>
  </w:style>
  <w:style w:type="character" w:customStyle="1" w:styleId="CommentSubjectChar">
    <w:name w:val="Comment Subject Char"/>
    <w:basedOn w:val="CommentTextChar"/>
    <w:link w:val="CommentSubject"/>
    <w:uiPriority w:val="99"/>
    <w:semiHidden/>
    <w:rsid w:val="006A2AAB"/>
    <w:rPr>
      <w:b/>
      <w:bCs/>
      <w:sz w:val="20"/>
      <w:szCs w:val="20"/>
    </w:rPr>
  </w:style>
  <w:style w:type="paragraph" w:styleId="BalloonText">
    <w:name w:val="Balloon Text"/>
    <w:basedOn w:val="Normal"/>
    <w:link w:val="BalloonTextChar"/>
    <w:uiPriority w:val="99"/>
    <w:semiHidden/>
    <w:unhideWhenUsed/>
    <w:rsid w:val="006A2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AAB"/>
    <w:rPr>
      <w:rFonts w:ascii="Segoe UI" w:hAnsi="Segoe UI" w:cs="Segoe UI"/>
      <w:sz w:val="18"/>
      <w:szCs w:val="18"/>
    </w:rPr>
  </w:style>
  <w:style w:type="character" w:customStyle="1" w:styleId="Heading1Char">
    <w:name w:val="Heading 1 Char"/>
    <w:basedOn w:val="DefaultParagraphFont"/>
    <w:link w:val="Heading1"/>
    <w:uiPriority w:val="9"/>
    <w:rsid w:val="00915A0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915A0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915A07"/>
    <w:rPr>
      <w:rFonts w:asciiTheme="majorHAnsi" w:eastAsiaTheme="majorEastAsia" w:hAnsiTheme="majorHAnsi" w:cstheme="majorBidi"/>
      <w:b/>
      <w:bCs/>
      <w:color w:val="4472C4" w:themeColor="accent1"/>
    </w:rPr>
  </w:style>
  <w:style w:type="paragraph" w:styleId="Title">
    <w:name w:val="Title"/>
    <w:basedOn w:val="Normal"/>
    <w:next w:val="Normal"/>
    <w:link w:val="TitleChar"/>
    <w:uiPriority w:val="10"/>
    <w:qFormat/>
    <w:rsid w:val="00915A0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15A07"/>
    <w:rPr>
      <w:rFonts w:asciiTheme="majorHAnsi" w:eastAsiaTheme="majorEastAsia" w:hAnsiTheme="majorHAnsi" w:cstheme="majorBidi"/>
      <w:color w:val="323E4F" w:themeColor="text2" w:themeShade="BF"/>
      <w:spacing w:val="5"/>
      <w:kern w:val="28"/>
      <w:sz w:val="52"/>
      <w:szCs w:val="52"/>
    </w:rPr>
  </w:style>
  <w:style w:type="paragraph" w:styleId="NormalWeb">
    <w:name w:val="Normal (Web)"/>
    <w:basedOn w:val="Normal"/>
    <w:uiPriority w:val="99"/>
    <w:unhideWhenUsed/>
    <w:rsid w:val="00915A07"/>
    <w:pPr>
      <w:spacing w:after="200" w:line="276" w:lineRule="auto"/>
    </w:pPr>
    <w:rPr>
      <w:rFonts w:eastAsiaTheme="minorEastAsia" w:cs="Times New Roman"/>
    </w:rPr>
  </w:style>
  <w:style w:type="paragraph" w:styleId="z-TopofForm">
    <w:name w:val="HTML Top of Form"/>
    <w:basedOn w:val="Normal"/>
    <w:next w:val="Normal"/>
    <w:link w:val="z-TopofFormChar"/>
    <w:hidden/>
    <w:uiPriority w:val="99"/>
    <w:unhideWhenUsed/>
    <w:rsid w:val="00915A07"/>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rsid w:val="00915A07"/>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15A07"/>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915A07"/>
    <w:rPr>
      <w:rFonts w:ascii="Arial" w:eastAsia="Times New Roman" w:hAnsi="Arial" w:cs="Arial"/>
      <w:vanish/>
      <w:sz w:val="16"/>
      <w:szCs w:val="16"/>
      <w:lang w:eastAsia="en-GB"/>
    </w:rPr>
  </w:style>
  <w:style w:type="character" w:styleId="FollowedHyperlink">
    <w:name w:val="FollowedHyperlink"/>
    <w:basedOn w:val="DefaultParagraphFont"/>
    <w:uiPriority w:val="99"/>
    <w:semiHidden/>
    <w:unhideWhenUsed/>
    <w:rsid w:val="00B133F7"/>
    <w:rPr>
      <w:color w:val="954F72" w:themeColor="followedHyperlink"/>
      <w:u w:val="single"/>
    </w:rPr>
  </w:style>
  <w:style w:type="character" w:customStyle="1" w:styleId="UnresolvedMention3">
    <w:name w:val="Unresolved Mention3"/>
    <w:basedOn w:val="DefaultParagraphFont"/>
    <w:uiPriority w:val="99"/>
    <w:semiHidden/>
    <w:unhideWhenUsed/>
    <w:rsid w:val="00260EFC"/>
    <w:rPr>
      <w:color w:val="605E5C"/>
      <w:shd w:val="clear" w:color="auto" w:fill="E1DFDD"/>
    </w:rPr>
  </w:style>
  <w:style w:type="character" w:customStyle="1" w:styleId="UnresolvedMention">
    <w:name w:val="Unresolved Mention"/>
    <w:basedOn w:val="DefaultParagraphFont"/>
    <w:uiPriority w:val="99"/>
    <w:semiHidden/>
    <w:unhideWhenUsed/>
    <w:rsid w:val="008468C4"/>
    <w:rPr>
      <w:color w:val="605E5C"/>
      <w:shd w:val="clear" w:color="auto" w:fill="E1DFDD"/>
    </w:rPr>
  </w:style>
  <w:style w:type="character" w:customStyle="1" w:styleId="ilfuvd">
    <w:name w:val="ilfuvd"/>
    <w:basedOn w:val="DefaultParagraphFont"/>
    <w:rsid w:val="008F1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5335">
      <w:bodyDiv w:val="1"/>
      <w:marLeft w:val="0"/>
      <w:marRight w:val="0"/>
      <w:marTop w:val="0"/>
      <w:marBottom w:val="0"/>
      <w:divBdr>
        <w:top w:val="none" w:sz="0" w:space="0" w:color="auto"/>
        <w:left w:val="none" w:sz="0" w:space="0" w:color="auto"/>
        <w:bottom w:val="none" w:sz="0" w:space="0" w:color="auto"/>
        <w:right w:val="none" w:sz="0" w:space="0" w:color="auto"/>
      </w:divBdr>
    </w:div>
    <w:div w:id="850752560">
      <w:bodyDiv w:val="1"/>
      <w:marLeft w:val="0"/>
      <w:marRight w:val="0"/>
      <w:marTop w:val="0"/>
      <w:marBottom w:val="0"/>
      <w:divBdr>
        <w:top w:val="none" w:sz="0" w:space="0" w:color="auto"/>
        <w:left w:val="none" w:sz="0" w:space="0" w:color="auto"/>
        <w:bottom w:val="none" w:sz="0" w:space="0" w:color="auto"/>
        <w:right w:val="none" w:sz="0" w:space="0" w:color="auto"/>
      </w:divBdr>
    </w:div>
    <w:div w:id="2115007326">
      <w:bodyDiv w:val="1"/>
      <w:marLeft w:val="0"/>
      <w:marRight w:val="0"/>
      <w:marTop w:val="0"/>
      <w:marBottom w:val="0"/>
      <w:divBdr>
        <w:top w:val="none" w:sz="0" w:space="0" w:color="auto"/>
        <w:left w:val="none" w:sz="0" w:space="0" w:color="auto"/>
        <w:bottom w:val="none" w:sz="0" w:space="0" w:color="auto"/>
        <w:right w:val="none" w:sz="0" w:space="0" w:color="auto"/>
      </w:divBdr>
      <w:divsChild>
        <w:div w:id="1381855221">
          <w:marLeft w:val="0"/>
          <w:marRight w:val="0"/>
          <w:marTop w:val="0"/>
          <w:marBottom w:val="0"/>
          <w:divBdr>
            <w:top w:val="none" w:sz="0" w:space="0" w:color="auto"/>
            <w:left w:val="none" w:sz="0" w:space="0" w:color="auto"/>
            <w:bottom w:val="none" w:sz="0" w:space="0" w:color="auto"/>
            <w:right w:val="none" w:sz="0" w:space="0" w:color="auto"/>
          </w:divBdr>
        </w:div>
        <w:div w:id="950821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d.york.ac.uk/PROSPERO/display_record.php?ID=CRD4201810650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andbook-5-1.cochrane.org/chapter_9/9_5_2_identifying_and_measuring_heterogeneity.htm" TargetMode="External"/><Relationship Id="rId4" Type="http://schemas.openxmlformats.org/officeDocument/2006/relationships/settings" Target="settings.xml"/><Relationship Id="rId9" Type="http://schemas.openxmlformats.org/officeDocument/2006/relationships/hyperlink" Target="http://www.clahrc-yh.nih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C55C2-3C83-4388-A2BF-AEDCBD09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18</Pages>
  <Words>6737</Words>
  <Characters>38407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Computer Purser</dc:creator>
  <cp:keywords/>
  <dc:description/>
  <cp:lastModifiedBy>Noortje Uphoff</cp:lastModifiedBy>
  <cp:revision>19</cp:revision>
  <dcterms:created xsi:type="dcterms:W3CDTF">2019-08-09T08:50:00Z</dcterms:created>
  <dcterms:modified xsi:type="dcterms:W3CDTF">2019-08-09T14:23:00Z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e425fc2c-d475-3203-a38f-a28dea1fc027</vt:lpwstr>
  </property>
  <property fmtid="{D5CDD505-2E9C-101B-9397-08002B2CF9AE}" pid="24" name="Mendeley Citation Style_1">
    <vt:lpwstr>http://www.zotero.org/styles/vancouver</vt:lpwstr>
  </property>
</Properties>
</file>