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AF" w:rsidRDefault="00CA1F37" w:rsidP="0097350C">
      <w:pPr>
        <w:pStyle w:val="Heading2"/>
        <w:spacing w:line="360" w:lineRule="auto"/>
        <w:rPr>
          <w:sz w:val="36"/>
          <w:szCs w:val="36"/>
        </w:rPr>
      </w:pPr>
      <w:bookmarkStart w:id="0" w:name="_Toc423964344"/>
      <w:bookmarkStart w:id="1" w:name="_Toc446411509"/>
      <w:r>
        <w:rPr>
          <w:sz w:val="36"/>
          <w:szCs w:val="36"/>
        </w:rPr>
        <w:t xml:space="preserve">Grasping </w:t>
      </w:r>
      <w:r w:rsidR="00966FAF">
        <w:rPr>
          <w:sz w:val="36"/>
          <w:szCs w:val="36"/>
        </w:rPr>
        <w:t xml:space="preserve">Frankenstein’s Monster: </w:t>
      </w:r>
      <w:r w:rsidR="00446867">
        <w:rPr>
          <w:sz w:val="36"/>
          <w:szCs w:val="36"/>
        </w:rPr>
        <w:t>U</w:t>
      </w:r>
      <w:r w:rsidR="00F90D08">
        <w:rPr>
          <w:sz w:val="36"/>
          <w:szCs w:val="36"/>
        </w:rPr>
        <w:t>ncertainty</w:t>
      </w:r>
      <w:r w:rsidR="00966FAF">
        <w:rPr>
          <w:sz w:val="36"/>
          <w:szCs w:val="36"/>
        </w:rPr>
        <w:t xml:space="preserve"> in t</w:t>
      </w:r>
      <w:r w:rsidR="00C8325A" w:rsidRPr="00C8325A">
        <w:rPr>
          <w:sz w:val="36"/>
          <w:szCs w:val="36"/>
        </w:rPr>
        <w:t xml:space="preserve">he </w:t>
      </w:r>
      <w:r w:rsidR="00966FAF">
        <w:rPr>
          <w:sz w:val="36"/>
          <w:szCs w:val="36"/>
        </w:rPr>
        <w:t xml:space="preserve">downstream scope of the </w:t>
      </w:r>
      <w:r w:rsidR="00C8325A" w:rsidRPr="00C8325A">
        <w:rPr>
          <w:sz w:val="36"/>
          <w:szCs w:val="36"/>
        </w:rPr>
        <w:t>Nagoya Protocol</w:t>
      </w:r>
      <w:r w:rsidR="00966FAF">
        <w:rPr>
          <w:sz w:val="36"/>
          <w:szCs w:val="36"/>
        </w:rPr>
        <w:t>.</w:t>
      </w:r>
    </w:p>
    <w:p w:rsidR="00F94D09" w:rsidRPr="009A4A83" w:rsidRDefault="006E6E8C" w:rsidP="009A4A83">
      <w:pPr>
        <w:pStyle w:val="Heading2"/>
        <w:spacing w:line="360" w:lineRule="auto"/>
        <w:rPr>
          <w:b w:val="0"/>
          <w:sz w:val="28"/>
          <w:szCs w:val="28"/>
        </w:rPr>
      </w:pPr>
      <w:r>
        <w:rPr>
          <w:b w:val="0"/>
          <w:sz w:val="28"/>
          <w:szCs w:val="28"/>
        </w:rPr>
        <w:t>Peter S. Harrison</w:t>
      </w:r>
      <w:r w:rsidR="00D05FDA">
        <w:rPr>
          <w:b w:val="0"/>
          <w:sz w:val="28"/>
          <w:szCs w:val="28"/>
        </w:rPr>
        <w:t>*</w:t>
      </w:r>
      <w:bookmarkStart w:id="2" w:name="_GoBack"/>
      <w:bookmarkEnd w:id="2"/>
    </w:p>
    <w:p w:rsidR="00F35DAA" w:rsidRDefault="00F35DAA" w:rsidP="00595EF9">
      <w:pPr>
        <w:autoSpaceDE w:val="0"/>
        <w:autoSpaceDN w:val="0"/>
        <w:adjustRightInd w:val="0"/>
        <w:spacing w:after="0" w:line="360" w:lineRule="auto"/>
        <w:jc w:val="both"/>
        <w:rPr>
          <w:rFonts w:ascii="Times New Roman" w:hAnsi="Times New Roman" w:cs="Times New Roman"/>
          <w:b/>
          <w:sz w:val="24"/>
          <w:szCs w:val="24"/>
        </w:rPr>
      </w:pPr>
    </w:p>
    <w:p w:rsidR="009A4A83" w:rsidRDefault="009A4A83" w:rsidP="00595EF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F35DAA" w:rsidRDefault="00F35DAA" w:rsidP="00595EF9">
      <w:pPr>
        <w:autoSpaceDE w:val="0"/>
        <w:autoSpaceDN w:val="0"/>
        <w:adjustRightInd w:val="0"/>
        <w:spacing w:after="0" w:line="360" w:lineRule="auto"/>
        <w:jc w:val="both"/>
        <w:rPr>
          <w:rFonts w:ascii="Times New Roman" w:hAnsi="Times New Roman" w:cs="Times New Roman"/>
          <w:b/>
          <w:sz w:val="24"/>
          <w:szCs w:val="24"/>
        </w:rPr>
      </w:pPr>
    </w:p>
    <w:p w:rsidR="009A4A83" w:rsidRPr="00F35DAA" w:rsidRDefault="009A4A83" w:rsidP="00595EF9">
      <w:pPr>
        <w:autoSpaceDE w:val="0"/>
        <w:autoSpaceDN w:val="0"/>
        <w:adjustRightInd w:val="0"/>
        <w:spacing w:after="0" w:line="360" w:lineRule="auto"/>
        <w:jc w:val="both"/>
        <w:rPr>
          <w:rFonts w:ascii="Times New Roman" w:hAnsi="Times New Roman" w:cs="Times New Roman"/>
          <w:i/>
          <w:sz w:val="24"/>
          <w:szCs w:val="24"/>
        </w:rPr>
      </w:pPr>
      <w:r w:rsidRPr="00F35DAA">
        <w:rPr>
          <w:rFonts w:ascii="Times New Roman" w:hAnsi="Times New Roman" w:cs="Times New Roman"/>
          <w:i/>
          <w:sz w:val="24"/>
          <w:szCs w:val="24"/>
        </w:rPr>
        <w:t xml:space="preserve">The </w:t>
      </w:r>
      <w:r w:rsidR="00E11EF1" w:rsidRPr="00F35DAA">
        <w:rPr>
          <w:rFonts w:ascii="Times New Roman" w:hAnsi="Times New Roman" w:cs="Times New Roman"/>
          <w:i/>
          <w:sz w:val="24"/>
          <w:szCs w:val="24"/>
        </w:rPr>
        <w:t xml:space="preserve">2010 </w:t>
      </w:r>
      <w:r w:rsidRPr="00F35DAA">
        <w:rPr>
          <w:rFonts w:ascii="Times New Roman" w:hAnsi="Times New Roman" w:cs="Times New Roman"/>
          <w:i/>
          <w:sz w:val="24"/>
          <w:szCs w:val="24"/>
        </w:rPr>
        <w:t>Nagoya Protocol</w:t>
      </w:r>
      <w:r w:rsidRPr="00F35DAA">
        <w:rPr>
          <w:i/>
        </w:rPr>
        <w:t xml:space="preserve"> </w:t>
      </w:r>
      <w:r w:rsidR="00EE611E">
        <w:rPr>
          <w:i/>
        </w:rPr>
        <w:t xml:space="preserve">to </w:t>
      </w:r>
      <w:r w:rsidRPr="00F35DAA">
        <w:rPr>
          <w:rFonts w:ascii="Times New Roman" w:hAnsi="Times New Roman" w:cs="Times New Roman"/>
          <w:i/>
          <w:sz w:val="24"/>
          <w:szCs w:val="24"/>
        </w:rPr>
        <w:t xml:space="preserve">the </w:t>
      </w:r>
      <w:r w:rsidR="00E11EF1" w:rsidRPr="00F35DAA">
        <w:rPr>
          <w:rFonts w:ascii="Times New Roman" w:hAnsi="Times New Roman" w:cs="Times New Roman"/>
          <w:i/>
          <w:sz w:val="24"/>
          <w:szCs w:val="24"/>
        </w:rPr>
        <w:t xml:space="preserve">UN </w:t>
      </w:r>
      <w:r w:rsidRPr="00F35DAA">
        <w:rPr>
          <w:rFonts w:ascii="Times New Roman" w:hAnsi="Times New Roman" w:cs="Times New Roman"/>
          <w:i/>
          <w:sz w:val="24"/>
          <w:szCs w:val="24"/>
        </w:rPr>
        <w:t xml:space="preserve">Convention on Biological Diversity (the “Protocol”) </w:t>
      </w:r>
      <w:r w:rsidR="00EE611E">
        <w:rPr>
          <w:rFonts w:ascii="Times New Roman" w:hAnsi="Times New Roman" w:cs="Times New Roman"/>
          <w:i/>
          <w:sz w:val="24"/>
          <w:szCs w:val="24"/>
        </w:rPr>
        <w:t xml:space="preserve">is </w:t>
      </w:r>
      <w:r w:rsidRPr="00F35DAA">
        <w:rPr>
          <w:rFonts w:ascii="Times New Roman" w:hAnsi="Times New Roman" w:cs="Times New Roman"/>
          <w:i/>
          <w:sz w:val="24"/>
          <w:szCs w:val="24"/>
        </w:rPr>
        <w:t>intend</w:t>
      </w:r>
      <w:r w:rsidR="00EE611E">
        <w:rPr>
          <w:rFonts w:ascii="Times New Roman" w:hAnsi="Times New Roman" w:cs="Times New Roman"/>
          <w:i/>
          <w:sz w:val="24"/>
          <w:szCs w:val="24"/>
        </w:rPr>
        <w:t>ed</w:t>
      </w:r>
      <w:r w:rsidRPr="00F35DAA">
        <w:rPr>
          <w:rFonts w:ascii="Times New Roman" w:hAnsi="Times New Roman" w:cs="Times New Roman"/>
          <w:i/>
          <w:sz w:val="24"/>
          <w:szCs w:val="24"/>
        </w:rPr>
        <w:t xml:space="preserve"> to </w:t>
      </w:r>
      <w:r w:rsidR="00E11EF1" w:rsidRPr="00F35DAA">
        <w:rPr>
          <w:rFonts w:ascii="Times New Roman" w:hAnsi="Times New Roman" w:cs="Times New Roman"/>
          <w:i/>
          <w:sz w:val="24"/>
          <w:szCs w:val="24"/>
        </w:rPr>
        <w:t xml:space="preserve">assist </w:t>
      </w:r>
      <w:r w:rsidR="00FF0F7C">
        <w:rPr>
          <w:rFonts w:ascii="Times New Roman" w:hAnsi="Times New Roman" w:cs="Times New Roman"/>
          <w:i/>
          <w:sz w:val="24"/>
          <w:szCs w:val="24"/>
        </w:rPr>
        <w:t>t</w:t>
      </w:r>
      <w:r w:rsidR="00E11EF1" w:rsidRPr="00F35DAA">
        <w:rPr>
          <w:rFonts w:ascii="Times New Roman" w:hAnsi="Times New Roman" w:cs="Times New Roman"/>
          <w:i/>
          <w:sz w:val="24"/>
          <w:szCs w:val="24"/>
        </w:rPr>
        <w:t xml:space="preserve">he </w:t>
      </w:r>
      <w:r w:rsidR="005263DF" w:rsidRPr="00F35DAA">
        <w:rPr>
          <w:rFonts w:ascii="Times New Roman" w:hAnsi="Times New Roman" w:cs="Times New Roman"/>
          <w:i/>
          <w:sz w:val="24"/>
          <w:szCs w:val="24"/>
        </w:rPr>
        <w:t>prevent</w:t>
      </w:r>
      <w:r w:rsidR="00E11EF1" w:rsidRPr="00F35DAA">
        <w:rPr>
          <w:rFonts w:ascii="Times New Roman" w:hAnsi="Times New Roman" w:cs="Times New Roman"/>
          <w:i/>
          <w:sz w:val="24"/>
          <w:szCs w:val="24"/>
        </w:rPr>
        <w:t>ion</w:t>
      </w:r>
      <w:r w:rsidR="005263DF" w:rsidRPr="00F35DAA">
        <w:rPr>
          <w:rFonts w:ascii="Times New Roman" w:hAnsi="Times New Roman" w:cs="Times New Roman"/>
          <w:i/>
          <w:sz w:val="24"/>
          <w:szCs w:val="24"/>
        </w:rPr>
        <w:t xml:space="preserve"> </w:t>
      </w:r>
      <w:r w:rsidR="00E11EF1" w:rsidRPr="00F35DAA">
        <w:rPr>
          <w:rFonts w:ascii="Times New Roman" w:hAnsi="Times New Roman" w:cs="Times New Roman"/>
          <w:i/>
          <w:sz w:val="24"/>
          <w:szCs w:val="24"/>
        </w:rPr>
        <w:t xml:space="preserve">of </w:t>
      </w:r>
      <w:r w:rsidR="005263DF" w:rsidRPr="00F35DAA">
        <w:rPr>
          <w:rFonts w:ascii="Times New Roman" w:hAnsi="Times New Roman" w:cs="Times New Roman"/>
          <w:i/>
          <w:sz w:val="24"/>
          <w:szCs w:val="24"/>
        </w:rPr>
        <w:t>anthropogenic species eradication through habitat destruction</w:t>
      </w:r>
      <w:r w:rsidR="002530EB" w:rsidRPr="00F35DAA">
        <w:rPr>
          <w:rFonts w:ascii="Times New Roman" w:hAnsi="Times New Roman" w:cs="Times New Roman"/>
          <w:i/>
          <w:sz w:val="24"/>
          <w:szCs w:val="24"/>
        </w:rPr>
        <w:t>,</w:t>
      </w:r>
      <w:r w:rsidR="005263DF" w:rsidRPr="00F35DAA">
        <w:rPr>
          <w:rFonts w:ascii="Times New Roman" w:hAnsi="Times New Roman" w:cs="Times New Roman"/>
          <w:i/>
          <w:sz w:val="24"/>
          <w:szCs w:val="24"/>
        </w:rPr>
        <w:t xml:space="preserve"> and preserve threatened indigenous culture</w:t>
      </w:r>
      <w:r w:rsidR="002530EB" w:rsidRPr="00F35DAA">
        <w:rPr>
          <w:rFonts w:ascii="Times New Roman" w:hAnsi="Times New Roman" w:cs="Times New Roman"/>
          <w:i/>
          <w:sz w:val="24"/>
          <w:szCs w:val="24"/>
        </w:rPr>
        <w:t>,</w:t>
      </w:r>
      <w:r w:rsidR="005263DF" w:rsidRPr="00F35DAA">
        <w:rPr>
          <w:rFonts w:ascii="Times New Roman" w:hAnsi="Times New Roman" w:cs="Times New Roman"/>
          <w:i/>
          <w:sz w:val="24"/>
          <w:szCs w:val="24"/>
        </w:rPr>
        <w:t xml:space="preserve"> by cr</w:t>
      </w:r>
      <w:r w:rsidR="00E11EF1" w:rsidRPr="00F35DAA">
        <w:rPr>
          <w:rFonts w:ascii="Times New Roman" w:hAnsi="Times New Roman" w:cs="Times New Roman"/>
          <w:i/>
          <w:sz w:val="24"/>
          <w:szCs w:val="24"/>
        </w:rPr>
        <w:t>eating rights over the access to,</w:t>
      </w:r>
      <w:r w:rsidR="005263DF" w:rsidRPr="00F35DAA">
        <w:rPr>
          <w:rFonts w:ascii="Times New Roman" w:hAnsi="Times New Roman" w:cs="Times New Roman"/>
          <w:i/>
          <w:sz w:val="24"/>
          <w:szCs w:val="24"/>
        </w:rPr>
        <w:t xml:space="preserve"> and utilisation of</w:t>
      </w:r>
      <w:r w:rsidR="00E11EF1" w:rsidRPr="00F35DAA">
        <w:rPr>
          <w:rFonts w:ascii="Times New Roman" w:hAnsi="Times New Roman" w:cs="Times New Roman"/>
          <w:i/>
          <w:sz w:val="24"/>
          <w:szCs w:val="24"/>
        </w:rPr>
        <w:t>,</w:t>
      </w:r>
      <w:r w:rsidR="005263DF" w:rsidRPr="00F35DAA">
        <w:rPr>
          <w:rFonts w:ascii="Times New Roman" w:hAnsi="Times New Roman" w:cs="Times New Roman"/>
          <w:i/>
          <w:sz w:val="24"/>
          <w:szCs w:val="24"/>
        </w:rPr>
        <w:t xml:space="preserve"> genetic resources and traditional knowledge associated with genetic resources</w:t>
      </w:r>
      <w:r w:rsidR="00E82C46">
        <w:rPr>
          <w:rFonts w:ascii="Times New Roman" w:hAnsi="Times New Roman" w:cs="Times New Roman"/>
          <w:i/>
          <w:sz w:val="24"/>
          <w:szCs w:val="24"/>
        </w:rPr>
        <w:t xml:space="preserve"> (“TKAG</w:t>
      </w:r>
      <w:r w:rsidR="002530EB" w:rsidRPr="00F35DAA">
        <w:rPr>
          <w:rFonts w:ascii="Times New Roman" w:hAnsi="Times New Roman" w:cs="Times New Roman"/>
          <w:i/>
          <w:sz w:val="24"/>
          <w:szCs w:val="24"/>
        </w:rPr>
        <w:t xml:space="preserve">R”). This article explores </w:t>
      </w:r>
      <w:r w:rsidR="00FF0F7C">
        <w:rPr>
          <w:rFonts w:ascii="Times New Roman" w:hAnsi="Times New Roman" w:cs="Times New Roman"/>
          <w:i/>
          <w:sz w:val="24"/>
          <w:szCs w:val="24"/>
        </w:rPr>
        <w:t>and uncovers</w:t>
      </w:r>
      <w:r w:rsidR="002530EB" w:rsidRPr="00F35DAA">
        <w:rPr>
          <w:rFonts w:ascii="Times New Roman" w:hAnsi="Times New Roman" w:cs="Times New Roman"/>
          <w:i/>
          <w:sz w:val="24"/>
          <w:szCs w:val="24"/>
        </w:rPr>
        <w:t xml:space="preserve"> uncertainties in the drafting </w:t>
      </w:r>
      <w:r w:rsidR="00EE611E">
        <w:rPr>
          <w:rFonts w:ascii="Times New Roman" w:hAnsi="Times New Roman" w:cs="Times New Roman"/>
          <w:i/>
          <w:sz w:val="24"/>
          <w:szCs w:val="24"/>
        </w:rPr>
        <w:t xml:space="preserve">of </w:t>
      </w:r>
      <w:r w:rsidR="002530EB" w:rsidRPr="00F35DAA">
        <w:rPr>
          <w:rFonts w:ascii="Times New Roman" w:hAnsi="Times New Roman" w:cs="Times New Roman"/>
          <w:i/>
          <w:sz w:val="24"/>
          <w:szCs w:val="24"/>
        </w:rPr>
        <w:t>the Protoco</w:t>
      </w:r>
      <w:r w:rsidR="00E11EF1" w:rsidRPr="00F35DAA">
        <w:rPr>
          <w:rFonts w:ascii="Times New Roman" w:hAnsi="Times New Roman" w:cs="Times New Roman"/>
          <w:i/>
          <w:sz w:val="24"/>
          <w:szCs w:val="24"/>
        </w:rPr>
        <w:t xml:space="preserve">l </w:t>
      </w:r>
      <w:r w:rsidR="00FF0F7C">
        <w:rPr>
          <w:rFonts w:ascii="Times New Roman" w:hAnsi="Times New Roman" w:cs="Times New Roman"/>
          <w:i/>
          <w:sz w:val="24"/>
          <w:szCs w:val="24"/>
        </w:rPr>
        <w:t>which</w:t>
      </w:r>
      <w:r w:rsidR="00EE611E">
        <w:rPr>
          <w:rFonts w:ascii="Times New Roman" w:hAnsi="Times New Roman" w:cs="Times New Roman"/>
          <w:i/>
          <w:sz w:val="24"/>
          <w:szCs w:val="24"/>
        </w:rPr>
        <w:t xml:space="preserve"> relate to the </w:t>
      </w:r>
      <w:r w:rsidR="00E11EF1">
        <w:rPr>
          <w:rFonts w:ascii="Times New Roman" w:hAnsi="Times New Roman" w:cs="Times New Roman"/>
          <w:i/>
          <w:sz w:val="24"/>
          <w:szCs w:val="24"/>
        </w:rPr>
        <w:t xml:space="preserve">downstream scope of the Protocol rights </w:t>
      </w:r>
      <w:r w:rsidR="00EE611E">
        <w:rPr>
          <w:rFonts w:ascii="Times New Roman" w:hAnsi="Times New Roman" w:cs="Times New Roman"/>
          <w:i/>
          <w:sz w:val="24"/>
          <w:szCs w:val="24"/>
        </w:rPr>
        <w:t xml:space="preserve">to control </w:t>
      </w:r>
      <w:r w:rsidR="00E11EF1">
        <w:rPr>
          <w:rFonts w:ascii="Times New Roman" w:hAnsi="Times New Roman" w:cs="Times New Roman"/>
          <w:i/>
          <w:sz w:val="24"/>
          <w:szCs w:val="24"/>
        </w:rPr>
        <w:t xml:space="preserve">genetic </w:t>
      </w:r>
      <w:r w:rsidR="00EE611E">
        <w:rPr>
          <w:rFonts w:ascii="Times New Roman" w:hAnsi="Times New Roman" w:cs="Times New Roman"/>
          <w:i/>
          <w:sz w:val="24"/>
          <w:szCs w:val="24"/>
        </w:rPr>
        <w:t>resources and TKAGR used in genetic research and</w:t>
      </w:r>
      <w:r w:rsidR="00E82C46">
        <w:rPr>
          <w:rFonts w:ascii="Times New Roman" w:hAnsi="Times New Roman" w:cs="Times New Roman"/>
          <w:i/>
          <w:sz w:val="24"/>
          <w:szCs w:val="24"/>
        </w:rPr>
        <w:t xml:space="preserve"> drug discovery. In particular, the work</w:t>
      </w:r>
      <w:r w:rsidR="00E11EF1">
        <w:rPr>
          <w:rFonts w:ascii="Times New Roman" w:hAnsi="Times New Roman" w:cs="Times New Roman"/>
          <w:i/>
          <w:sz w:val="24"/>
          <w:szCs w:val="24"/>
        </w:rPr>
        <w:t xml:space="preserve"> </w:t>
      </w:r>
      <w:r w:rsidR="00E82C46">
        <w:rPr>
          <w:rFonts w:ascii="Times New Roman" w:hAnsi="Times New Roman" w:cs="Times New Roman"/>
          <w:i/>
          <w:sz w:val="24"/>
          <w:szCs w:val="24"/>
        </w:rPr>
        <w:t xml:space="preserve">focuses on </w:t>
      </w:r>
      <w:r w:rsidR="00FF0F7C">
        <w:rPr>
          <w:rFonts w:ascii="Times New Roman" w:hAnsi="Times New Roman" w:cs="Times New Roman"/>
          <w:i/>
          <w:sz w:val="24"/>
          <w:szCs w:val="24"/>
        </w:rPr>
        <w:t>whether the rights control</w:t>
      </w:r>
      <w:r w:rsidR="00E82C46">
        <w:rPr>
          <w:rFonts w:ascii="Times New Roman" w:hAnsi="Times New Roman" w:cs="Times New Roman"/>
          <w:i/>
          <w:sz w:val="24"/>
          <w:szCs w:val="24"/>
        </w:rPr>
        <w:t xml:space="preserve"> </w:t>
      </w:r>
      <w:r w:rsidR="008D5749">
        <w:rPr>
          <w:rFonts w:ascii="Times New Roman" w:hAnsi="Times New Roman" w:cs="Times New Roman"/>
          <w:i/>
          <w:sz w:val="24"/>
          <w:szCs w:val="24"/>
        </w:rPr>
        <w:t xml:space="preserve">synthesis of, and </w:t>
      </w:r>
      <w:r w:rsidR="00E82C46">
        <w:rPr>
          <w:rFonts w:ascii="Times New Roman" w:hAnsi="Times New Roman" w:cs="Times New Roman"/>
          <w:i/>
          <w:sz w:val="24"/>
          <w:szCs w:val="24"/>
        </w:rPr>
        <w:t>research upon</w:t>
      </w:r>
      <w:r w:rsidR="008D5749">
        <w:rPr>
          <w:rFonts w:ascii="Times New Roman" w:hAnsi="Times New Roman" w:cs="Times New Roman"/>
          <w:i/>
          <w:sz w:val="24"/>
          <w:szCs w:val="24"/>
        </w:rPr>
        <w:t>,</w:t>
      </w:r>
      <w:r w:rsidR="00E82C46">
        <w:rPr>
          <w:rFonts w:ascii="Times New Roman" w:hAnsi="Times New Roman" w:cs="Times New Roman"/>
          <w:i/>
          <w:sz w:val="24"/>
          <w:szCs w:val="24"/>
        </w:rPr>
        <w:t xml:space="preserve"> </w:t>
      </w:r>
      <w:r w:rsidR="00E11EF1">
        <w:rPr>
          <w:rFonts w:ascii="Times New Roman" w:hAnsi="Times New Roman" w:cs="Times New Roman"/>
          <w:i/>
          <w:sz w:val="24"/>
          <w:szCs w:val="24"/>
        </w:rPr>
        <w:t xml:space="preserve">human-made chemical derivatives of naturally occurring </w:t>
      </w:r>
      <w:proofErr w:type="spellStart"/>
      <w:r w:rsidR="00E11EF1">
        <w:rPr>
          <w:rFonts w:ascii="Times New Roman" w:hAnsi="Times New Roman" w:cs="Times New Roman"/>
          <w:i/>
          <w:sz w:val="24"/>
          <w:szCs w:val="24"/>
        </w:rPr>
        <w:t>biochemicals</w:t>
      </w:r>
      <w:proofErr w:type="spellEnd"/>
      <w:r w:rsidR="00E82C46">
        <w:rPr>
          <w:rFonts w:ascii="Times New Roman" w:hAnsi="Times New Roman" w:cs="Times New Roman"/>
          <w:i/>
          <w:sz w:val="24"/>
          <w:szCs w:val="24"/>
        </w:rPr>
        <w:t xml:space="preserve"> and </w:t>
      </w:r>
      <w:r w:rsidR="00FF0F7C">
        <w:rPr>
          <w:rFonts w:ascii="Times New Roman" w:hAnsi="Times New Roman" w:cs="Times New Roman"/>
          <w:i/>
          <w:sz w:val="24"/>
          <w:szCs w:val="24"/>
        </w:rPr>
        <w:t>i</w:t>
      </w:r>
      <w:r w:rsidR="00E82C46">
        <w:rPr>
          <w:rFonts w:ascii="Times New Roman" w:hAnsi="Times New Roman" w:cs="Times New Roman"/>
          <w:i/>
          <w:sz w:val="24"/>
          <w:szCs w:val="24"/>
        </w:rPr>
        <w:t xml:space="preserve">nnovations still yet more distal from the original generic resource or knowledge. In looking at control over informational linkages within </w:t>
      </w:r>
      <w:r w:rsidR="00317E59">
        <w:rPr>
          <w:rFonts w:ascii="Times New Roman" w:hAnsi="Times New Roman" w:cs="Times New Roman"/>
          <w:i/>
          <w:sz w:val="24"/>
          <w:szCs w:val="24"/>
        </w:rPr>
        <w:t>physiological</w:t>
      </w:r>
      <w:r w:rsidR="008D1A6E">
        <w:rPr>
          <w:rFonts w:ascii="Times New Roman" w:hAnsi="Times New Roman" w:cs="Times New Roman"/>
          <w:i/>
          <w:sz w:val="24"/>
          <w:szCs w:val="24"/>
        </w:rPr>
        <w:t xml:space="preserve"> and </w:t>
      </w:r>
      <w:r w:rsidR="00317E59">
        <w:rPr>
          <w:rFonts w:ascii="Times New Roman" w:hAnsi="Times New Roman" w:cs="Times New Roman"/>
          <w:i/>
          <w:sz w:val="24"/>
          <w:szCs w:val="24"/>
        </w:rPr>
        <w:t>pharmacological</w:t>
      </w:r>
      <w:r w:rsidR="008D5749">
        <w:rPr>
          <w:rFonts w:ascii="Times New Roman" w:hAnsi="Times New Roman" w:cs="Times New Roman"/>
          <w:i/>
          <w:sz w:val="24"/>
          <w:szCs w:val="24"/>
        </w:rPr>
        <w:t xml:space="preserve"> research,</w:t>
      </w:r>
      <w:r w:rsidR="00E82C46">
        <w:rPr>
          <w:rFonts w:ascii="Times New Roman" w:hAnsi="Times New Roman" w:cs="Times New Roman"/>
          <w:i/>
          <w:sz w:val="24"/>
          <w:szCs w:val="24"/>
        </w:rPr>
        <w:t xml:space="preserve"> the work also considers the uncertainties and challenges which may arise from </w:t>
      </w:r>
      <w:r w:rsidR="008D5749">
        <w:rPr>
          <w:rFonts w:ascii="Times New Roman" w:hAnsi="Times New Roman" w:cs="Times New Roman"/>
          <w:i/>
          <w:sz w:val="24"/>
          <w:szCs w:val="24"/>
        </w:rPr>
        <w:t xml:space="preserve">Protocol-based </w:t>
      </w:r>
      <w:r w:rsidR="00E82C46">
        <w:rPr>
          <w:rFonts w:ascii="Times New Roman" w:hAnsi="Times New Roman" w:cs="Times New Roman"/>
          <w:i/>
          <w:sz w:val="24"/>
          <w:szCs w:val="24"/>
        </w:rPr>
        <w:t xml:space="preserve">claims </w:t>
      </w:r>
      <w:r w:rsidR="008D5749">
        <w:rPr>
          <w:rFonts w:ascii="Times New Roman" w:hAnsi="Times New Roman" w:cs="Times New Roman"/>
          <w:i/>
          <w:sz w:val="24"/>
          <w:szCs w:val="24"/>
        </w:rPr>
        <w:t xml:space="preserve">asserted </w:t>
      </w:r>
      <w:r w:rsidR="00E82C46">
        <w:rPr>
          <w:rFonts w:ascii="Times New Roman" w:hAnsi="Times New Roman" w:cs="Times New Roman"/>
          <w:i/>
          <w:sz w:val="24"/>
          <w:szCs w:val="24"/>
        </w:rPr>
        <w:t xml:space="preserve">over </w:t>
      </w:r>
      <w:r w:rsidR="008D5749">
        <w:rPr>
          <w:rFonts w:ascii="Times New Roman" w:hAnsi="Times New Roman" w:cs="Times New Roman"/>
          <w:i/>
          <w:sz w:val="24"/>
          <w:szCs w:val="24"/>
        </w:rPr>
        <w:t>the nucleotide sequence</w:t>
      </w:r>
      <w:r w:rsidR="00E82C46">
        <w:rPr>
          <w:rFonts w:ascii="Times New Roman" w:hAnsi="Times New Roman" w:cs="Times New Roman"/>
          <w:i/>
          <w:sz w:val="24"/>
          <w:szCs w:val="24"/>
        </w:rPr>
        <w:t xml:space="preserve"> of </w:t>
      </w:r>
      <w:r w:rsidR="008D5749">
        <w:rPr>
          <w:rFonts w:ascii="Times New Roman" w:hAnsi="Times New Roman" w:cs="Times New Roman"/>
          <w:i/>
          <w:sz w:val="24"/>
          <w:szCs w:val="24"/>
        </w:rPr>
        <w:t xml:space="preserve">genes within </w:t>
      </w:r>
      <w:r w:rsidR="00E82C46">
        <w:rPr>
          <w:rFonts w:ascii="Times New Roman" w:hAnsi="Times New Roman" w:cs="Times New Roman"/>
          <w:i/>
          <w:sz w:val="24"/>
          <w:szCs w:val="24"/>
        </w:rPr>
        <w:t>a genetic resource</w:t>
      </w:r>
      <w:r w:rsidR="008D5749">
        <w:rPr>
          <w:rFonts w:ascii="Times New Roman" w:hAnsi="Times New Roman" w:cs="Times New Roman"/>
          <w:i/>
          <w:sz w:val="24"/>
          <w:szCs w:val="24"/>
        </w:rPr>
        <w:t xml:space="preserve"> (so-called digital sequence information)</w:t>
      </w:r>
      <w:r w:rsidR="00FF0F7C">
        <w:rPr>
          <w:rFonts w:ascii="Times New Roman" w:hAnsi="Times New Roman" w:cs="Times New Roman"/>
          <w:i/>
          <w:sz w:val="24"/>
          <w:szCs w:val="24"/>
        </w:rPr>
        <w:t>.</w:t>
      </w:r>
      <w:r w:rsidR="00E11EF1">
        <w:rPr>
          <w:rFonts w:ascii="Times New Roman" w:hAnsi="Times New Roman" w:cs="Times New Roman"/>
          <w:i/>
          <w:sz w:val="24"/>
          <w:szCs w:val="24"/>
        </w:rPr>
        <w:t xml:space="preserve"> </w:t>
      </w:r>
    </w:p>
    <w:p w:rsidR="009A4A83" w:rsidRDefault="009A4A83" w:rsidP="00595EF9">
      <w:pPr>
        <w:autoSpaceDE w:val="0"/>
        <w:autoSpaceDN w:val="0"/>
        <w:adjustRightInd w:val="0"/>
        <w:spacing w:after="0" w:line="360" w:lineRule="auto"/>
        <w:jc w:val="both"/>
        <w:rPr>
          <w:rFonts w:ascii="Times New Roman" w:hAnsi="Times New Roman" w:cs="Times New Roman"/>
          <w:b/>
          <w:sz w:val="24"/>
          <w:szCs w:val="24"/>
        </w:rPr>
      </w:pPr>
    </w:p>
    <w:p w:rsidR="009F6E55" w:rsidRPr="009F6E55" w:rsidRDefault="009A4A83" w:rsidP="00595EF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9F6E55" w:rsidRPr="009F6E55">
        <w:rPr>
          <w:rFonts w:ascii="Times New Roman" w:hAnsi="Times New Roman" w:cs="Times New Roman"/>
          <w:b/>
          <w:sz w:val="24"/>
          <w:szCs w:val="24"/>
        </w:rPr>
        <w:t>ntroduction</w:t>
      </w:r>
    </w:p>
    <w:p w:rsidR="009F6E55" w:rsidRDefault="009F6E55" w:rsidP="00595EF9">
      <w:pPr>
        <w:autoSpaceDE w:val="0"/>
        <w:autoSpaceDN w:val="0"/>
        <w:adjustRightInd w:val="0"/>
        <w:spacing w:after="0" w:line="360" w:lineRule="auto"/>
        <w:jc w:val="both"/>
        <w:rPr>
          <w:rFonts w:ascii="Times New Roman" w:hAnsi="Times New Roman" w:cs="Times New Roman"/>
          <w:sz w:val="24"/>
          <w:szCs w:val="24"/>
        </w:rPr>
      </w:pPr>
    </w:p>
    <w:p w:rsidR="00372F95" w:rsidRDefault="009D733D" w:rsidP="00595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34533" w:rsidRPr="006E6E8C">
        <w:rPr>
          <w:rFonts w:ascii="Times New Roman" w:hAnsi="Times New Roman" w:cs="Times New Roman"/>
          <w:sz w:val="24"/>
          <w:szCs w:val="24"/>
        </w:rPr>
        <w:t>Nagoya Protocol</w:t>
      </w:r>
      <w:r w:rsidR="00F34533" w:rsidRPr="006B5F48">
        <w:t xml:space="preserve"> </w:t>
      </w:r>
      <w:r w:rsidR="00F34533" w:rsidRPr="00EF4635">
        <w:rPr>
          <w:rFonts w:ascii="Times New Roman" w:hAnsi="Times New Roman" w:cs="Times New Roman"/>
          <w:sz w:val="24"/>
          <w:szCs w:val="24"/>
        </w:rPr>
        <w:t>on Access to Genetic Resources and the Fair and Equitable Sharing of Benefits Arising from their Utilization to the Convention on Biological Diversity (the “Protocol”)</w:t>
      </w:r>
      <w:r w:rsidR="00F94D09">
        <w:rPr>
          <w:rFonts w:ascii="Times New Roman" w:hAnsi="Times New Roman" w:cs="Times New Roman"/>
          <w:sz w:val="24"/>
          <w:szCs w:val="24"/>
        </w:rPr>
        <w:t xml:space="preserve"> </w:t>
      </w:r>
      <w:r>
        <w:rPr>
          <w:rFonts w:ascii="Times New Roman" w:hAnsi="Times New Roman" w:cs="Times New Roman"/>
          <w:sz w:val="24"/>
          <w:szCs w:val="24"/>
        </w:rPr>
        <w:t xml:space="preserve">sets out mechanisms to allow </w:t>
      </w:r>
      <w:r w:rsidRPr="009D733D">
        <w:rPr>
          <w:rFonts w:ascii="Times New Roman" w:hAnsi="Times New Roman" w:cs="Times New Roman"/>
          <w:sz w:val="24"/>
          <w:szCs w:val="24"/>
        </w:rPr>
        <w:t>countries</w:t>
      </w:r>
      <w:r w:rsidR="00372F95">
        <w:rPr>
          <w:rFonts w:ascii="Times New Roman" w:hAnsi="Times New Roman" w:cs="Times New Roman"/>
          <w:sz w:val="24"/>
          <w:szCs w:val="24"/>
        </w:rPr>
        <w:t>,</w:t>
      </w:r>
      <w:r w:rsidRPr="009D733D">
        <w:rPr>
          <w:rFonts w:ascii="Times New Roman" w:hAnsi="Times New Roman" w:cs="Times New Roman"/>
          <w:sz w:val="24"/>
          <w:szCs w:val="24"/>
        </w:rPr>
        <w:t xml:space="preserve"> and indigenous peoples</w:t>
      </w:r>
      <w:r w:rsidR="00372F95">
        <w:rPr>
          <w:rFonts w:ascii="Times New Roman" w:hAnsi="Times New Roman" w:cs="Times New Roman"/>
          <w:sz w:val="24"/>
          <w:szCs w:val="24"/>
        </w:rPr>
        <w:t>,</w:t>
      </w:r>
      <w:r w:rsidRPr="009D733D">
        <w:rPr>
          <w:rFonts w:ascii="Times New Roman" w:hAnsi="Times New Roman" w:cs="Times New Roman"/>
          <w:sz w:val="24"/>
          <w:szCs w:val="24"/>
        </w:rPr>
        <w:t xml:space="preserve"> </w:t>
      </w:r>
      <w:r>
        <w:rPr>
          <w:rFonts w:ascii="Times New Roman" w:hAnsi="Times New Roman" w:cs="Times New Roman"/>
          <w:sz w:val="24"/>
          <w:szCs w:val="24"/>
        </w:rPr>
        <w:t>to</w:t>
      </w:r>
      <w:r w:rsidRPr="009D733D">
        <w:rPr>
          <w:rFonts w:ascii="Times New Roman" w:hAnsi="Times New Roman" w:cs="Times New Roman"/>
          <w:sz w:val="24"/>
          <w:szCs w:val="24"/>
        </w:rPr>
        <w:t xml:space="preserve"> gain control over </w:t>
      </w:r>
      <w:r w:rsidR="0079623F">
        <w:rPr>
          <w:rFonts w:ascii="Times New Roman" w:hAnsi="Times New Roman" w:cs="Times New Roman"/>
          <w:sz w:val="24"/>
          <w:szCs w:val="24"/>
        </w:rPr>
        <w:t xml:space="preserve">the use of </w:t>
      </w:r>
      <w:r w:rsidR="007348DD">
        <w:rPr>
          <w:rFonts w:ascii="Times New Roman" w:hAnsi="Times New Roman" w:cs="Times New Roman"/>
          <w:sz w:val="24"/>
          <w:szCs w:val="24"/>
        </w:rPr>
        <w:t>genetic resources</w:t>
      </w:r>
      <w:r w:rsidRPr="009D733D">
        <w:rPr>
          <w:rFonts w:ascii="Times New Roman" w:hAnsi="Times New Roman" w:cs="Times New Roman"/>
          <w:sz w:val="24"/>
          <w:szCs w:val="24"/>
        </w:rPr>
        <w:t xml:space="preserve"> and, separately, indigenous peoples </w:t>
      </w:r>
      <w:r w:rsidR="009A5B9F">
        <w:rPr>
          <w:rFonts w:ascii="Times New Roman" w:hAnsi="Times New Roman" w:cs="Times New Roman"/>
          <w:sz w:val="24"/>
          <w:szCs w:val="24"/>
        </w:rPr>
        <w:t xml:space="preserve">to </w:t>
      </w:r>
      <w:r w:rsidRPr="009D733D">
        <w:rPr>
          <w:rFonts w:ascii="Times New Roman" w:hAnsi="Times New Roman" w:cs="Times New Roman"/>
          <w:sz w:val="24"/>
          <w:szCs w:val="24"/>
        </w:rPr>
        <w:t>gain control over</w:t>
      </w:r>
      <w:r>
        <w:rPr>
          <w:rFonts w:ascii="Times New Roman" w:hAnsi="Times New Roman" w:cs="Times New Roman"/>
          <w:sz w:val="24"/>
          <w:szCs w:val="24"/>
        </w:rPr>
        <w:t xml:space="preserve"> </w:t>
      </w:r>
      <w:r w:rsidR="009A5B9F">
        <w:rPr>
          <w:rFonts w:ascii="Times New Roman" w:hAnsi="Times New Roman" w:cs="Times New Roman"/>
          <w:sz w:val="24"/>
          <w:szCs w:val="24"/>
        </w:rPr>
        <w:t xml:space="preserve">the use of </w:t>
      </w:r>
      <w:r>
        <w:rPr>
          <w:rFonts w:ascii="Times New Roman" w:hAnsi="Times New Roman" w:cs="Times New Roman"/>
          <w:sz w:val="24"/>
          <w:szCs w:val="24"/>
        </w:rPr>
        <w:t>traditional knowledge associated with genetic resources (“TKAGR”).</w:t>
      </w:r>
      <w:r w:rsidRPr="009D733D">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9A5B9F">
        <w:rPr>
          <w:rFonts w:ascii="Times New Roman" w:hAnsi="Times New Roman" w:cs="Times New Roman"/>
          <w:sz w:val="24"/>
          <w:szCs w:val="24"/>
        </w:rPr>
        <w:t xml:space="preserve">of significant practical importance to those </w:t>
      </w:r>
      <w:r w:rsidR="00574434">
        <w:rPr>
          <w:rFonts w:ascii="Times New Roman" w:hAnsi="Times New Roman" w:cs="Times New Roman"/>
          <w:sz w:val="24"/>
          <w:szCs w:val="24"/>
        </w:rPr>
        <w:t xml:space="preserve">seeking to operate </w:t>
      </w:r>
      <w:r w:rsidR="009A5B9F">
        <w:rPr>
          <w:rFonts w:ascii="Times New Roman" w:hAnsi="Times New Roman" w:cs="Times New Roman"/>
          <w:sz w:val="24"/>
          <w:szCs w:val="24"/>
        </w:rPr>
        <w:t xml:space="preserve">the </w:t>
      </w:r>
      <w:r w:rsidR="00574434">
        <w:rPr>
          <w:rFonts w:ascii="Times New Roman" w:hAnsi="Times New Roman" w:cs="Times New Roman"/>
          <w:sz w:val="24"/>
          <w:szCs w:val="24"/>
        </w:rPr>
        <w:t>Protocol</w:t>
      </w:r>
      <w:r w:rsidR="008D0FFE">
        <w:rPr>
          <w:rFonts w:ascii="Times New Roman" w:hAnsi="Times New Roman" w:cs="Times New Roman"/>
          <w:sz w:val="24"/>
          <w:szCs w:val="24"/>
        </w:rPr>
        <w:t xml:space="preserve"> (</w:t>
      </w:r>
      <w:r w:rsidR="009A5B9F">
        <w:rPr>
          <w:rFonts w:ascii="Times New Roman" w:hAnsi="Times New Roman" w:cs="Times New Roman"/>
          <w:sz w:val="24"/>
          <w:szCs w:val="24"/>
        </w:rPr>
        <w:t>and to scientific researchers workin</w:t>
      </w:r>
      <w:r w:rsidR="008D0FFE">
        <w:rPr>
          <w:rFonts w:ascii="Times New Roman" w:hAnsi="Times New Roman" w:cs="Times New Roman"/>
          <w:sz w:val="24"/>
          <w:szCs w:val="24"/>
        </w:rPr>
        <w:t>g in many areas of biology)</w:t>
      </w:r>
      <w:r w:rsidR="009A5B9F">
        <w:rPr>
          <w:rFonts w:ascii="Times New Roman" w:hAnsi="Times New Roman" w:cs="Times New Roman"/>
          <w:sz w:val="24"/>
          <w:szCs w:val="24"/>
        </w:rPr>
        <w:t xml:space="preserve"> that the provisions of the Protocol are clear. </w:t>
      </w:r>
      <w:r w:rsidR="009A5B9F">
        <w:rPr>
          <w:rFonts w:ascii="Times New Roman" w:hAnsi="Times New Roman" w:cs="Times New Roman"/>
          <w:sz w:val="24"/>
          <w:szCs w:val="24"/>
        </w:rPr>
        <w:lastRenderedPageBreak/>
        <w:t>As this p</w:t>
      </w:r>
      <w:r w:rsidR="000F2620">
        <w:rPr>
          <w:rFonts w:ascii="Times New Roman" w:hAnsi="Times New Roman" w:cs="Times New Roman"/>
          <w:sz w:val="24"/>
          <w:szCs w:val="24"/>
        </w:rPr>
        <w:t>aper will set out, in some vital</w:t>
      </w:r>
      <w:r w:rsidR="00D05FDA">
        <w:rPr>
          <w:rFonts w:ascii="Times New Roman" w:hAnsi="Times New Roman" w:cs="Times New Roman"/>
          <w:sz w:val="24"/>
          <w:szCs w:val="24"/>
        </w:rPr>
        <w:t>,</w:t>
      </w:r>
      <w:r w:rsidR="00917185">
        <w:rPr>
          <w:rFonts w:ascii="Times New Roman" w:hAnsi="Times New Roman" w:cs="Times New Roman"/>
          <w:sz w:val="24"/>
          <w:szCs w:val="24"/>
        </w:rPr>
        <w:t xml:space="preserve"> </w:t>
      </w:r>
      <w:r w:rsidR="009A5B9F">
        <w:rPr>
          <w:rFonts w:ascii="Times New Roman" w:hAnsi="Times New Roman" w:cs="Times New Roman"/>
          <w:sz w:val="24"/>
          <w:szCs w:val="24"/>
        </w:rPr>
        <w:t>and practically relevant</w:t>
      </w:r>
      <w:r w:rsidR="00372F95">
        <w:rPr>
          <w:rFonts w:ascii="Times New Roman" w:hAnsi="Times New Roman" w:cs="Times New Roman"/>
          <w:sz w:val="24"/>
          <w:szCs w:val="24"/>
        </w:rPr>
        <w:t xml:space="preserve"> respects</w:t>
      </w:r>
      <w:r w:rsidR="007348DD">
        <w:rPr>
          <w:rFonts w:ascii="Times New Roman" w:hAnsi="Times New Roman" w:cs="Times New Roman"/>
          <w:sz w:val="24"/>
          <w:szCs w:val="24"/>
        </w:rPr>
        <w:t>,</w:t>
      </w:r>
      <w:r w:rsidR="00372F95">
        <w:rPr>
          <w:rFonts w:ascii="Times New Roman" w:hAnsi="Times New Roman" w:cs="Times New Roman"/>
          <w:sz w:val="24"/>
          <w:szCs w:val="24"/>
        </w:rPr>
        <w:t xml:space="preserve"> the Protocol lacks </w:t>
      </w:r>
      <w:r w:rsidR="009A5B9F">
        <w:rPr>
          <w:rFonts w:ascii="Times New Roman" w:hAnsi="Times New Roman" w:cs="Times New Roman"/>
          <w:sz w:val="24"/>
          <w:szCs w:val="24"/>
        </w:rPr>
        <w:t xml:space="preserve">the required clarity. </w:t>
      </w:r>
    </w:p>
    <w:p w:rsidR="007348DD" w:rsidRDefault="007348DD" w:rsidP="00595EF9">
      <w:pPr>
        <w:autoSpaceDE w:val="0"/>
        <w:autoSpaceDN w:val="0"/>
        <w:adjustRightInd w:val="0"/>
        <w:spacing w:after="0" w:line="360" w:lineRule="auto"/>
        <w:jc w:val="both"/>
        <w:rPr>
          <w:rFonts w:ascii="Times New Roman" w:hAnsi="Times New Roman" w:cs="Times New Roman"/>
          <w:sz w:val="24"/>
          <w:szCs w:val="24"/>
        </w:rPr>
      </w:pPr>
    </w:p>
    <w:p w:rsidR="008D68DC" w:rsidRDefault="009A5B9F" w:rsidP="00595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w:t>
      </w:r>
      <w:r w:rsidR="007348DD">
        <w:rPr>
          <w:rFonts w:ascii="Times New Roman" w:hAnsi="Times New Roman" w:cs="Times New Roman"/>
          <w:sz w:val="24"/>
          <w:szCs w:val="24"/>
        </w:rPr>
        <w:t>becoming particularly apparent</w:t>
      </w:r>
      <w:r>
        <w:rPr>
          <w:rFonts w:ascii="Times New Roman" w:hAnsi="Times New Roman" w:cs="Times New Roman"/>
          <w:sz w:val="24"/>
          <w:szCs w:val="24"/>
        </w:rPr>
        <w:t xml:space="preserve"> in</w:t>
      </w:r>
      <w:r w:rsidR="00574434">
        <w:rPr>
          <w:rFonts w:ascii="Times New Roman" w:hAnsi="Times New Roman" w:cs="Times New Roman"/>
          <w:sz w:val="24"/>
          <w:szCs w:val="24"/>
        </w:rPr>
        <w:t xml:space="preserve"> relation to the challenge posed by developments in synthetic biology. </w:t>
      </w:r>
      <w:r w:rsidR="007348DD">
        <w:rPr>
          <w:rFonts w:ascii="Times New Roman" w:hAnsi="Times New Roman" w:cs="Times New Roman"/>
          <w:sz w:val="24"/>
          <w:szCs w:val="24"/>
        </w:rPr>
        <w:t xml:space="preserve"> </w:t>
      </w:r>
      <w:r w:rsidR="0036558E">
        <w:rPr>
          <w:rFonts w:ascii="Times New Roman" w:hAnsi="Times New Roman" w:cs="Times New Roman"/>
          <w:sz w:val="24"/>
          <w:szCs w:val="24"/>
        </w:rPr>
        <w:t xml:space="preserve">Synthetic biology allows the </w:t>
      </w:r>
      <w:r w:rsidR="0036558E" w:rsidRPr="0036558E">
        <w:rPr>
          <w:rFonts w:ascii="Times New Roman" w:hAnsi="Times New Roman" w:cs="Times New Roman"/>
          <w:i/>
          <w:sz w:val="24"/>
          <w:szCs w:val="24"/>
        </w:rPr>
        <w:t>de novo</w:t>
      </w:r>
      <w:r w:rsidR="0036558E">
        <w:rPr>
          <w:rFonts w:ascii="Times New Roman" w:hAnsi="Times New Roman" w:cs="Times New Roman"/>
          <w:sz w:val="24"/>
          <w:szCs w:val="24"/>
        </w:rPr>
        <w:t xml:space="preserve"> synthesis of genetic material </w:t>
      </w:r>
      <w:r w:rsidR="004E2813" w:rsidRPr="004C7895">
        <w:rPr>
          <w:rFonts w:ascii="Times New Roman" w:hAnsi="Times New Roman" w:cs="Times New Roman"/>
          <w:sz w:val="24"/>
          <w:szCs w:val="24"/>
        </w:rPr>
        <w:t>without the need for a primer or template</w:t>
      </w:r>
      <w:r w:rsidR="009333A6">
        <w:rPr>
          <w:rFonts w:ascii="Times New Roman" w:hAnsi="Times New Roman" w:cs="Times New Roman"/>
          <w:sz w:val="24"/>
          <w:szCs w:val="24"/>
        </w:rPr>
        <w:t xml:space="preserve"> which is </w:t>
      </w:r>
      <w:r w:rsidR="009333A6" w:rsidRPr="00372F95">
        <w:rPr>
          <w:rFonts w:ascii="Times New Roman" w:hAnsi="Times New Roman" w:cs="Times New Roman"/>
          <w:i/>
          <w:sz w:val="24"/>
          <w:szCs w:val="24"/>
        </w:rPr>
        <w:t>physically</w:t>
      </w:r>
      <w:r w:rsidR="009333A6">
        <w:rPr>
          <w:rFonts w:ascii="Times New Roman" w:hAnsi="Times New Roman" w:cs="Times New Roman"/>
          <w:sz w:val="24"/>
          <w:szCs w:val="24"/>
        </w:rPr>
        <w:t xml:space="preserve"> derived from a genetic resource</w:t>
      </w:r>
      <w:r w:rsidR="004E2813" w:rsidRPr="004C7895">
        <w:rPr>
          <w:rFonts w:ascii="Times New Roman" w:hAnsi="Times New Roman" w:cs="Times New Roman"/>
          <w:sz w:val="24"/>
          <w:szCs w:val="24"/>
        </w:rPr>
        <w:t>.</w:t>
      </w:r>
      <w:r w:rsidR="00166580">
        <w:rPr>
          <w:rStyle w:val="FootnoteReference"/>
          <w:rFonts w:ascii="Times New Roman" w:hAnsi="Times New Roman" w:cs="Times New Roman"/>
          <w:sz w:val="24"/>
          <w:szCs w:val="24"/>
        </w:rPr>
        <w:footnoteReference w:id="1"/>
      </w:r>
      <w:r w:rsidR="004E2813" w:rsidRPr="004C7895">
        <w:rPr>
          <w:rFonts w:ascii="Times New Roman" w:hAnsi="Times New Roman" w:cs="Times New Roman"/>
          <w:sz w:val="24"/>
          <w:szCs w:val="24"/>
        </w:rPr>
        <w:t xml:space="preserve"> </w:t>
      </w:r>
      <w:r w:rsidR="007348DD">
        <w:rPr>
          <w:rFonts w:ascii="Times New Roman" w:hAnsi="Times New Roman" w:cs="Times New Roman"/>
          <w:sz w:val="24"/>
          <w:szCs w:val="24"/>
        </w:rPr>
        <w:t xml:space="preserve">New </w:t>
      </w:r>
      <w:hyperlink r:id="rId8" w:tooltip="Oligonucleotide synthesis" w:history="1">
        <w:r w:rsidR="00372F95" w:rsidRPr="008564DA">
          <w:rPr>
            <w:rFonts w:ascii="Times New Roman" w:hAnsi="Times New Roman" w:cs="Times New Roman"/>
            <w:sz w:val="24"/>
            <w:szCs w:val="24"/>
          </w:rPr>
          <w:t>DNA</w:t>
        </w:r>
        <w:r w:rsidR="003E6824" w:rsidRPr="009F6E55">
          <w:rPr>
            <w:rStyle w:val="FootnoteReference"/>
            <w:rFonts w:ascii="Times New Roman" w:hAnsi="Times New Roman" w:cs="Times New Roman"/>
          </w:rPr>
          <w:footnoteReference w:id="2"/>
        </w:r>
        <w:r w:rsidR="00372F95" w:rsidRPr="009F6E55">
          <w:rPr>
            <w:rFonts w:ascii="Times New Roman" w:hAnsi="Times New Roman" w:cs="Times New Roman"/>
            <w:sz w:val="24"/>
            <w:szCs w:val="24"/>
          </w:rPr>
          <w:t xml:space="preserve"> </w:t>
        </w:r>
        <w:r w:rsidR="004E2813" w:rsidRPr="008564DA">
          <w:rPr>
            <w:rFonts w:ascii="Times New Roman" w:hAnsi="Times New Roman" w:cs="Times New Roman"/>
            <w:sz w:val="24"/>
            <w:szCs w:val="24"/>
          </w:rPr>
          <w:t>strands</w:t>
        </w:r>
      </w:hyperlink>
      <w:r w:rsidR="004E2813" w:rsidRPr="008564DA">
        <w:rPr>
          <w:rFonts w:ascii="Times New Roman" w:hAnsi="Times New Roman" w:cs="Times New Roman"/>
          <w:sz w:val="24"/>
          <w:szCs w:val="24"/>
        </w:rPr>
        <w:t xml:space="preserve"> are built from a </w:t>
      </w:r>
      <w:hyperlink r:id="rId9" w:anchor="Digital_format" w:tooltip="Nucleic acid sequence" w:history="1">
        <w:r w:rsidR="004E2813" w:rsidRPr="008564DA">
          <w:rPr>
            <w:rFonts w:ascii="Times New Roman" w:hAnsi="Times New Roman" w:cs="Times New Roman"/>
            <w:sz w:val="24"/>
            <w:szCs w:val="24"/>
          </w:rPr>
          <w:t>digital database of the required base</w:t>
        </w:r>
      </w:hyperlink>
      <w:r w:rsidR="004E2813" w:rsidRPr="008564DA">
        <w:rPr>
          <w:rFonts w:ascii="Times New Roman" w:hAnsi="Times New Roman" w:cs="Times New Roman"/>
          <w:sz w:val="24"/>
          <w:szCs w:val="24"/>
        </w:rPr>
        <w:t xml:space="preserve"> pair sequences</w:t>
      </w:r>
      <w:r w:rsidR="00372F95" w:rsidRPr="008564DA">
        <w:rPr>
          <w:rFonts w:ascii="Times New Roman" w:hAnsi="Times New Roman" w:cs="Times New Roman"/>
          <w:sz w:val="24"/>
          <w:szCs w:val="24"/>
        </w:rPr>
        <w:t>, so-called “digital sequence information” (“DSI”)</w:t>
      </w:r>
      <w:r w:rsidR="004E2813" w:rsidRPr="008564DA">
        <w:rPr>
          <w:rFonts w:ascii="Times New Roman" w:hAnsi="Times New Roman" w:cs="Times New Roman"/>
          <w:sz w:val="24"/>
          <w:szCs w:val="24"/>
        </w:rPr>
        <w:t>. Once generated, these sy</w:t>
      </w:r>
      <w:r w:rsidR="00372F95" w:rsidRPr="008564DA">
        <w:rPr>
          <w:rFonts w:ascii="Times New Roman" w:hAnsi="Times New Roman" w:cs="Times New Roman"/>
          <w:sz w:val="24"/>
          <w:szCs w:val="24"/>
        </w:rPr>
        <w:t>nthetic DNA molecules work in an identical fashion to</w:t>
      </w:r>
      <w:r w:rsidR="004E2813" w:rsidRPr="008564DA">
        <w:rPr>
          <w:rFonts w:ascii="Times New Roman" w:hAnsi="Times New Roman" w:cs="Times New Roman"/>
          <w:sz w:val="24"/>
          <w:szCs w:val="24"/>
        </w:rPr>
        <w:t xml:space="preserve"> those created from a </w:t>
      </w:r>
      <w:r w:rsidR="00372F95" w:rsidRPr="008564DA">
        <w:rPr>
          <w:rFonts w:ascii="Times New Roman" w:hAnsi="Times New Roman" w:cs="Times New Roman"/>
          <w:sz w:val="24"/>
          <w:szCs w:val="24"/>
        </w:rPr>
        <w:t xml:space="preserve">physical </w:t>
      </w:r>
      <w:r w:rsidR="004E2813" w:rsidRPr="008564DA">
        <w:rPr>
          <w:rFonts w:ascii="Times New Roman" w:hAnsi="Times New Roman" w:cs="Times New Roman"/>
          <w:sz w:val="24"/>
          <w:szCs w:val="24"/>
        </w:rPr>
        <w:t>template and can be used in gene cloning</w:t>
      </w:r>
      <w:r w:rsidR="00372F95" w:rsidRPr="008564DA">
        <w:rPr>
          <w:rFonts w:ascii="Times New Roman" w:hAnsi="Times New Roman" w:cs="Times New Roman"/>
          <w:sz w:val="24"/>
          <w:szCs w:val="24"/>
        </w:rPr>
        <w:t>,</w:t>
      </w:r>
      <w:r w:rsidR="004E2813" w:rsidRPr="008564DA">
        <w:rPr>
          <w:rFonts w:ascii="Times New Roman" w:hAnsi="Times New Roman" w:cs="Times New Roman"/>
          <w:sz w:val="24"/>
          <w:szCs w:val="24"/>
        </w:rPr>
        <w:t xml:space="preserve"> or even in the generation of </w:t>
      </w:r>
      <w:r w:rsidR="00103DB5">
        <w:rPr>
          <w:rFonts w:ascii="Times New Roman" w:hAnsi="Times New Roman" w:cs="Times New Roman"/>
          <w:sz w:val="24"/>
          <w:szCs w:val="24"/>
        </w:rPr>
        <w:t xml:space="preserve">entire </w:t>
      </w:r>
      <w:r w:rsidR="004E2813" w:rsidRPr="008564DA">
        <w:rPr>
          <w:rFonts w:ascii="Times New Roman" w:hAnsi="Times New Roman" w:cs="Times New Roman"/>
          <w:sz w:val="24"/>
          <w:szCs w:val="24"/>
        </w:rPr>
        <w:t>synthetic genomes.</w:t>
      </w:r>
      <w:r w:rsidR="004E2813" w:rsidRPr="008564DA">
        <w:rPr>
          <w:rStyle w:val="FootnoteReference"/>
          <w:rFonts w:ascii="Times New Roman" w:hAnsi="Times New Roman" w:cs="Times New Roman"/>
          <w:sz w:val="24"/>
          <w:szCs w:val="24"/>
        </w:rPr>
        <w:footnoteReference w:id="3"/>
      </w:r>
      <w:r w:rsidR="009333A6" w:rsidRPr="008564DA">
        <w:rPr>
          <w:rFonts w:ascii="Times New Roman" w:hAnsi="Times New Roman" w:cs="Times New Roman"/>
          <w:sz w:val="24"/>
          <w:szCs w:val="24"/>
        </w:rPr>
        <w:t xml:space="preserve"> It is not clear whether the Protocol could (or should) cover the downstream use of</w:t>
      </w:r>
      <w:r w:rsidR="00372F95" w:rsidRPr="008564DA">
        <w:rPr>
          <w:rFonts w:ascii="Times New Roman" w:hAnsi="Times New Roman" w:cs="Times New Roman"/>
          <w:sz w:val="24"/>
          <w:szCs w:val="24"/>
        </w:rPr>
        <w:t xml:space="preserve"> DSI</w:t>
      </w:r>
      <w:r w:rsidR="00006A6C" w:rsidRPr="008564DA">
        <w:rPr>
          <w:rFonts w:ascii="Times New Roman" w:hAnsi="Times New Roman" w:cs="Times New Roman"/>
          <w:sz w:val="24"/>
          <w:szCs w:val="24"/>
        </w:rPr>
        <w:t xml:space="preserve">. If it does not, there is an arguable case that the use of synthetic biology techniques would create an effective mechanism for evading the </w:t>
      </w:r>
      <w:r w:rsidR="007348DD">
        <w:rPr>
          <w:rFonts w:ascii="Times New Roman" w:hAnsi="Times New Roman" w:cs="Times New Roman"/>
          <w:sz w:val="24"/>
          <w:szCs w:val="24"/>
        </w:rPr>
        <w:t>provision</w:t>
      </w:r>
      <w:r w:rsidR="00103DB5">
        <w:rPr>
          <w:rFonts w:ascii="Times New Roman" w:hAnsi="Times New Roman" w:cs="Times New Roman"/>
          <w:sz w:val="24"/>
          <w:szCs w:val="24"/>
        </w:rPr>
        <w:t>s</w:t>
      </w:r>
      <w:r w:rsidR="00006A6C" w:rsidRPr="008564DA">
        <w:rPr>
          <w:rFonts w:ascii="Times New Roman" w:hAnsi="Times New Roman" w:cs="Times New Roman"/>
          <w:sz w:val="24"/>
          <w:szCs w:val="24"/>
        </w:rPr>
        <w:t xml:space="preserve"> of the Protocol.  </w:t>
      </w:r>
      <w:r w:rsidR="007348DD" w:rsidRPr="008564DA">
        <w:rPr>
          <w:rFonts w:ascii="Times New Roman" w:hAnsi="Times New Roman" w:cs="Times New Roman"/>
          <w:sz w:val="24"/>
          <w:szCs w:val="24"/>
        </w:rPr>
        <w:t xml:space="preserve">The question of the </w:t>
      </w:r>
      <w:r w:rsidR="00103DB5">
        <w:rPr>
          <w:rFonts w:ascii="Times New Roman" w:hAnsi="Times New Roman" w:cs="Times New Roman"/>
          <w:sz w:val="24"/>
          <w:szCs w:val="24"/>
        </w:rPr>
        <w:t>control over</w:t>
      </w:r>
      <w:r w:rsidR="007348DD" w:rsidRPr="008564DA">
        <w:rPr>
          <w:rFonts w:ascii="Times New Roman" w:hAnsi="Times New Roman" w:cs="Times New Roman"/>
          <w:sz w:val="24"/>
          <w:szCs w:val="24"/>
        </w:rPr>
        <w:t xml:space="preserve"> DSI was identified</w:t>
      </w:r>
      <w:r w:rsidR="00103DB5">
        <w:rPr>
          <w:rFonts w:ascii="Times New Roman" w:hAnsi="Times New Roman" w:cs="Times New Roman"/>
          <w:sz w:val="24"/>
          <w:szCs w:val="24"/>
        </w:rPr>
        <w:t xml:space="preserve"> at the Thirteenth Conference of</w:t>
      </w:r>
      <w:r w:rsidR="007348DD" w:rsidRPr="008564DA">
        <w:rPr>
          <w:rFonts w:ascii="Times New Roman" w:hAnsi="Times New Roman" w:cs="Times New Roman"/>
          <w:sz w:val="24"/>
          <w:szCs w:val="24"/>
        </w:rPr>
        <w:t xml:space="preserve"> the Parties</w:t>
      </w:r>
      <w:r w:rsidR="00103DB5">
        <w:rPr>
          <w:rFonts w:ascii="Times New Roman" w:hAnsi="Times New Roman" w:cs="Times New Roman"/>
          <w:sz w:val="24"/>
          <w:szCs w:val="24"/>
        </w:rPr>
        <w:t xml:space="preserve"> (“COP”)</w:t>
      </w:r>
      <w:r w:rsidR="007348DD" w:rsidRPr="008564DA">
        <w:rPr>
          <w:rFonts w:ascii="Times New Roman" w:hAnsi="Times New Roman" w:cs="Times New Roman"/>
          <w:sz w:val="24"/>
          <w:szCs w:val="24"/>
        </w:rPr>
        <w:t xml:space="preserve"> to the United Nations Convention on Biological Diversity (“CBD”) in December 2016</w:t>
      </w:r>
      <w:r w:rsidR="007348DD" w:rsidRPr="008564DA">
        <w:rPr>
          <w:rStyle w:val="FootnoteReference"/>
          <w:rFonts w:ascii="Times New Roman" w:hAnsi="Times New Roman" w:cs="Times New Roman"/>
          <w:sz w:val="24"/>
          <w:szCs w:val="24"/>
        </w:rPr>
        <w:footnoteReference w:id="4"/>
      </w:r>
      <w:r w:rsidR="007348DD" w:rsidRPr="008564DA">
        <w:rPr>
          <w:rFonts w:ascii="Times New Roman" w:hAnsi="Times New Roman" w:cs="Times New Roman"/>
          <w:sz w:val="24"/>
          <w:szCs w:val="24"/>
        </w:rPr>
        <w:t xml:space="preserve"> as being one which</w:t>
      </w:r>
      <w:r w:rsidR="007348DD">
        <w:rPr>
          <w:rFonts w:ascii="Times New Roman" w:hAnsi="Times New Roman" w:cs="Times New Roman"/>
          <w:sz w:val="24"/>
          <w:szCs w:val="24"/>
        </w:rPr>
        <w:t xml:space="preserve"> re</w:t>
      </w:r>
      <w:r w:rsidR="00103DB5">
        <w:rPr>
          <w:rFonts w:ascii="Times New Roman" w:hAnsi="Times New Roman" w:cs="Times New Roman"/>
          <w:sz w:val="24"/>
          <w:szCs w:val="24"/>
        </w:rPr>
        <w:t xml:space="preserve">quired detailed investigation, and there </w:t>
      </w:r>
      <w:r w:rsidR="007348DD">
        <w:rPr>
          <w:rFonts w:ascii="Times New Roman" w:hAnsi="Times New Roman" w:cs="Times New Roman"/>
          <w:sz w:val="24"/>
          <w:szCs w:val="24"/>
        </w:rPr>
        <w:t xml:space="preserve">is now a significant body of work being undertaken </w:t>
      </w:r>
      <w:r w:rsidR="00103DB5">
        <w:rPr>
          <w:rFonts w:ascii="Times New Roman" w:hAnsi="Times New Roman" w:cs="Times New Roman"/>
          <w:sz w:val="24"/>
          <w:szCs w:val="24"/>
        </w:rPr>
        <w:t xml:space="preserve">under </w:t>
      </w:r>
      <w:r w:rsidR="007348DD">
        <w:rPr>
          <w:rFonts w:ascii="Times New Roman" w:hAnsi="Times New Roman" w:cs="Times New Roman"/>
          <w:sz w:val="24"/>
          <w:szCs w:val="24"/>
        </w:rPr>
        <w:t xml:space="preserve">the auspices of the </w:t>
      </w:r>
      <w:r w:rsidR="00103DB5">
        <w:rPr>
          <w:rFonts w:ascii="Times New Roman" w:hAnsi="Times New Roman" w:cs="Times New Roman"/>
          <w:sz w:val="24"/>
          <w:szCs w:val="24"/>
        </w:rPr>
        <w:t xml:space="preserve">COP </w:t>
      </w:r>
      <w:r w:rsidR="007348DD">
        <w:rPr>
          <w:rFonts w:ascii="Times New Roman" w:hAnsi="Times New Roman" w:cs="Times New Roman"/>
          <w:sz w:val="24"/>
          <w:szCs w:val="24"/>
        </w:rPr>
        <w:t xml:space="preserve">to </w:t>
      </w:r>
      <w:r w:rsidR="00103DB5">
        <w:rPr>
          <w:rFonts w:ascii="Times New Roman" w:hAnsi="Times New Roman" w:cs="Times New Roman"/>
          <w:sz w:val="24"/>
          <w:szCs w:val="24"/>
        </w:rPr>
        <w:t>address this</w:t>
      </w:r>
      <w:r w:rsidR="00F94D09">
        <w:rPr>
          <w:rFonts w:ascii="Times New Roman" w:hAnsi="Times New Roman" w:cs="Times New Roman"/>
          <w:sz w:val="24"/>
          <w:szCs w:val="24"/>
        </w:rPr>
        <w:t xml:space="preserve">. In February 2018, the COP’s </w:t>
      </w:r>
      <w:hyperlink r:id="rId10" w:history="1">
        <w:r w:rsidR="00F94D09" w:rsidRPr="00F94D09">
          <w:rPr>
            <w:rFonts w:ascii="Times New Roman" w:hAnsi="Times New Roman" w:cs="Times New Roman"/>
            <w:sz w:val="24"/>
            <w:szCs w:val="24"/>
          </w:rPr>
          <w:t>Ad Hoc Technical Expert Group (</w:t>
        </w:r>
        <w:r w:rsidR="00F94D09">
          <w:rPr>
            <w:rFonts w:ascii="Times New Roman" w:hAnsi="Times New Roman" w:cs="Times New Roman"/>
            <w:sz w:val="24"/>
            <w:szCs w:val="24"/>
          </w:rPr>
          <w:t>“</w:t>
        </w:r>
        <w:r w:rsidR="00F94D09" w:rsidRPr="00F94D09">
          <w:rPr>
            <w:rFonts w:ascii="Times New Roman" w:hAnsi="Times New Roman" w:cs="Times New Roman"/>
            <w:sz w:val="24"/>
            <w:szCs w:val="24"/>
          </w:rPr>
          <w:t>AHTEG</w:t>
        </w:r>
        <w:r w:rsidR="00F94D09">
          <w:rPr>
            <w:rFonts w:ascii="Times New Roman" w:hAnsi="Times New Roman" w:cs="Times New Roman"/>
            <w:sz w:val="24"/>
            <w:szCs w:val="24"/>
          </w:rPr>
          <w:t>”</w:t>
        </w:r>
        <w:r w:rsidR="00F94D09" w:rsidRPr="00F94D09">
          <w:rPr>
            <w:rFonts w:ascii="Times New Roman" w:hAnsi="Times New Roman" w:cs="Times New Roman"/>
            <w:sz w:val="24"/>
            <w:szCs w:val="24"/>
          </w:rPr>
          <w:t xml:space="preserve">) on </w:t>
        </w:r>
        <w:r w:rsidR="00F94D09">
          <w:rPr>
            <w:rFonts w:ascii="Times New Roman" w:hAnsi="Times New Roman" w:cs="Times New Roman"/>
            <w:sz w:val="24"/>
            <w:szCs w:val="24"/>
          </w:rPr>
          <w:t>DSI</w:t>
        </w:r>
        <w:r w:rsidR="008D0FFE">
          <w:rPr>
            <w:rFonts w:ascii="Times New Roman" w:hAnsi="Times New Roman" w:cs="Times New Roman"/>
            <w:sz w:val="24"/>
            <w:szCs w:val="24"/>
          </w:rPr>
          <w:t xml:space="preserve"> of</w:t>
        </w:r>
        <w:r w:rsidR="00F94D09" w:rsidRPr="00F94D09">
          <w:rPr>
            <w:rFonts w:ascii="Times New Roman" w:hAnsi="Times New Roman" w:cs="Times New Roman"/>
            <w:sz w:val="24"/>
            <w:szCs w:val="24"/>
          </w:rPr>
          <w:t xml:space="preserve"> Genetic Resources</w:t>
        </w:r>
      </w:hyperlink>
      <w:r w:rsidR="00F94D09" w:rsidRPr="00F94D09">
        <w:rPr>
          <w:rFonts w:ascii="Times New Roman" w:hAnsi="Times New Roman" w:cs="Times New Roman"/>
          <w:sz w:val="24"/>
          <w:szCs w:val="24"/>
        </w:rPr>
        <w:t xml:space="preserve"> presented a detailed report</w:t>
      </w:r>
      <w:r w:rsidR="007B133F">
        <w:rPr>
          <w:rStyle w:val="FootnoteReference"/>
          <w:rFonts w:ascii="Times New Roman" w:hAnsi="Times New Roman" w:cs="Times New Roman"/>
          <w:sz w:val="24"/>
          <w:szCs w:val="24"/>
        </w:rPr>
        <w:footnoteReference w:id="5"/>
      </w:r>
      <w:r w:rsidR="00F94D09" w:rsidRPr="00F94D09">
        <w:rPr>
          <w:rFonts w:ascii="Times New Roman" w:hAnsi="Times New Roman" w:cs="Times New Roman"/>
          <w:sz w:val="24"/>
          <w:szCs w:val="24"/>
        </w:rPr>
        <w:t xml:space="preserve"> on </w:t>
      </w:r>
      <w:r w:rsidR="008D0FFE">
        <w:rPr>
          <w:rFonts w:ascii="Times New Roman" w:hAnsi="Times New Roman" w:cs="Times New Roman"/>
          <w:sz w:val="24"/>
          <w:szCs w:val="24"/>
        </w:rPr>
        <w:t xml:space="preserve">the </w:t>
      </w:r>
      <w:r w:rsidR="00F94D09" w:rsidRPr="00F94D09">
        <w:rPr>
          <w:rFonts w:ascii="Times New Roman" w:hAnsi="Times New Roman" w:cs="Times New Roman"/>
          <w:sz w:val="24"/>
          <w:szCs w:val="24"/>
        </w:rPr>
        <w:t>concerns raised under consultation</w:t>
      </w:r>
      <w:r w:rsidR="007B133F">
        <w:rPr>
          <w:rFonts w:ascii="Times New Roman" w:hAnsi="Times New Roman" w:cs="Times New Roman"/>
          <w:sz w:val="24"/>
          <w:szCs w:val="24"/>
        </w:rPr>
        <w:t>, and this report will be further considered within the COP processes.</w:t>
      </w:r>
      <w:r w:rsidR="007B133F">
        <w:rPr>
          <w:rStyle w:val="FootnoteReference"/>
          <w:rFonts w:ascii="Times New Roman" w:hAnsi="Times New Roman" w:cs="Times New Roman"/>
          <w:sz w:val="24"/>
          <w:szCs w:val="24"/>
        </w:rPr>
        <w:footnoteReference w:id="6"/>
      </w:r>
      <w:r w:rsidR="007348DD">
        <w:rPr>
          <w:rFonts w:ascii="Times New Roman" w:hAnsi="Times New Roman" w:cs="Times New Roman"/>
          <w:sz w:val="24"/>
          <w:szCs w:val="24"/>
        </w:rPr>
        <w:t xml:space="preserve"> </w:t>
      </w:r>
    </w:p>
    <w:p w:rsidR="008D68DC" w:rsidRDefault="008D68DC" w:rsidP="00595EF9">
      <w:pPr>
        <w:autoSpaceDE w:val="0"/>
        <w:autoSpaceDN w:val="0"/>
        <w:adjustRightInd w:val="0"/>
        <w:spacing w:after="0" w:line="360" w:lineRule="auto"/>
        <w:jc w:val="both"/>
        <w:rPr>
          <w:rFonts w:ascii="Times New Roman" w:hAnsi="Times New Roman" w:cs="Times New Roman"/>
          <w:sz w:val="24"/>
          <w:szCs w:val="24"/>
        </w:rPr>
      </w:pPr>
    </w:p>
    <w:p w:rsidR="007348DD" w:rsidRDefault="00372F95" w:rsidP="00595EF9">
      <w:pPr>
        <w:autoSpaceDE w:val="0"/>
        <w:autoSpaceDN w:val="0"/>
        <w:adjustRightInd w:val="0"/>
        <w:spacing w:after="0" w:line="360" w:lineRule="auto"/>
        <w:jc w:val="both"/>
        <w:rPr>
          <w:rFonts w:ascii="Times New Roman" w:hAnsi="Times New Roman" w:cs="Times New Roman"/>
          <w:sz w:val="24"/>
          <w:szCs w:val="24"/>
        </w:rPr>
      </w:pPr>
      <w:r w:rsidRPr="008564DA">
        <w:rPr>
          <w:rFonts w:ascii="Times New Roman" w:hAnsi="Times New Roman" w:cs="Times New Roman"/>
          <w:sz w:val="24"/>
          <w:szCs w:val="24"/>
        </w:rPr>
        <w:t xml:space="preserve">As will be </w:t>
      </w:r>
      <w:r w:rsidR="007348DD">
        <w:rPr>
          <w:rFonts w:ascii="Times New Roman" w:hAnsi="Times New Roman" w:cs="Times New Roman"/>
          <w:sz w:val="24"/>
          <w:szCs w:val="24"/>
        </w:rPr>
        <w:t xml:space="preserve">briefly </w:t>
      </w:r>
      <w:r w:rsidRPr="008564DA">
        <w:rPr>
          <w:rFonts w:ascii="Times New Roman" w:hAnsi="Times New Roman" w:cs="Times New Roman"/>
          <w:sz w:val="24"/>
          <w:szCs w:val="24"/>
        </w:rPr>
        <w:t>discussed in this work, i</w:t>
      </w:r>
      <w:r w:rsidR="00006A6C" w:rsidRPr="008564DA">
        <w:rPr>
          <w:rFonts w:ascii="Times New Roman" w:hAnsi="Times New Roman" w:cs="Times New Roman"/>
          <w:sz w:val="24"/>
          <w:szCs w:val="24"/>
        </w:rPr>
        <w:t xml:space="preserve">f the Protocol is to be amended to cover </w:t>
      </w:r>
      <w:r w:rsidR="007348DD">
        <w:rPr>
          <w:rFonts w:ascii="Times New Roman" w:hAnsi="Times New Roman" w:cs="Times New Roman"/>
          <w:sz w:val="24"/>
          <w:szCs w:val="24"/>
        </w:rPr>
        <w:t xml:space="preserve">the </w:t>
      </w:r>
      <w:r w:rsidR="00006A6C" w:rsidRPr="008564DA">
        <w:rPr>
          <w:rFonts w:ascii="Times New Roman" w:hAnsi="Times New Roman" w:cs="Times New Roman"/>
          <w:sz w:val="24"/>
          <w:szCs w:val="24"/>
        </w:rPr>
        <w:t xml:space="preserve">use of </w:t>
      </w:r>
      <w:r w:rsidR="00271DB1" w:rsidRPr="008564DA">
        <w:rPr>
          <w:rFonts w:ascii="Times New Roman" w:hAnsi="Times New Roman" w:cs="Times New Roman"/>
          <w:sz w:val="24"/>
          <w:szCs w:val="24"/>
        </w:rPr>
        <w:t>DSI</w:t>
      </w:r>
      <w:r w:rsidR="00006A6C" w:rsidRPr="008564DA">
        <w:rPr>
          <w:rFonts w:ascii="Times New Roman" w:hAnsi="Times New Roman" w:cs="Times New Roman"/>
          <w:sz w:val="24"/>
          <w:szCs w:val="24"/>
        </w:rPr>
        <w:t xml:space="preserve">, this uncovers further problems in terms of who </w:t>
      </w:r>
      <w:r w:rsidR="00271DB1" w:rsidRPr="008564DA">
        <w:rPr>
          <w:rFonts w:ascii="Times New Roman" w:hAnsi="Times New Roman" w:cs="Times New Roman"/>
          <w:sz w:val="24"/>
          <w:szCs w:val="24"/>
        </w:rPr>
        <w:t>should be</w:t>
      </w:r>
      <w:r w:rsidR="00006A6C" w:rsidRPr="008564DA">
        <w:rPr>
          <w:rFonts w:ascii="Times New Roman" w:hAnsi="Times New Roman" w:cs="Times New Roman"/>
          <w:sz w:val="24"/>
          <w:szCs w:val="24"/>
        </w:rPr>
        <w:t xml:space="preserve"> entitled to ownership </w:t>
      </w:r>
      <w:r w:rsidR="00271DB1" w:rsidRPr="008564DA">
        <w:rPr>
          <w:rFonts w:ascii="Times New Roman" w:hAnsi="Times New Roman" w:cs="Times New Roman"/>
          <w:sz w:val="24"/>
          <w:szCs w:val="24"/>
        </w:rPr>
        <w:t xml:space="preserve">of the </w:t>
      </w:r>
      <w:r w:rsidR="00271DB1" w:rsidRPr="008564DA">
        <w:rPr>
          <w:rFonts w:ascii="Times New Roman" w:hAnsi="Times New Roman" w:cs="Times New Roman"/>
          <w:sz w:val="24"/>
          <w:szCs w:val="24"/>
        </w:rPr>
        <w:lastRenderedPageBreak/>
        <w:t>extended rights</w:t>
      </w:r>
      <w:r w:rsidR="007348DD">
        <w:rPr>
          <w:rFonts w:ascii="Times New Roman" w:hAnsi="Times New Roman" w:cs="Times New Roman"/>
          <w:sz w:val="24"/>
          <w:szCs w:val="24"/>
        </w:rPr>
        <w:t>,</w:t>
      </w:r>
      <w:r w:rsidR="00271DB1" w:rsidRPr="008564DA">
        <w:rPr>
          <w:rFonts w:ascii="Times New Roman" w:hAnsi="Times New Roman" w:cs="Times New Roman"/>
          <w:sz w:val="24"/>
          <w:szCs w:val="24"/>
        </w:rPr>
        <w:t xml:space="preserve"> and how they will be </w:t>
      </w:r>
      <w:r w:rsidR="00B30C21" w:rsidRPr="008564DA">
        <w:rPr>
          <w:rFonts w:ascii="Times New Roman" w:hAnsi="Times New Roman" w:cs="Times New Roman"/>
          <w:sz w:val="24"/>
          <w:szCs w:val="24"/>
        </w:rPr>
        <w:t>e</w:t>
      </w:r>
      <w:r w:rsidR="00271DB1" w:rsidRPr="008564DA">
        <w:rPr>
          <w:rFonts w:ascii="Times New Roman" w:hAnsi="Times New Roman" w:cs="Times New Roman"/>
          <w:sz w:val="24"/>
          <w:szCs w:val="24"/>
        </w:rPr>
        <w:t>nforced.</w:t>
      </w:r>
      <w:r w:rsidR="00271DB1" w:rsidRPr="008564DA">
        <w:rPr>
          <w:rStyle w:val="FootnoteReference"/>
          <w:rFonts w:ascii="Times New Roman" w:hAnsi="Times New Roman" w:cs="Times New Roman"/>
          <w:sz w:val="24"/>
          <w:szCs w:val="24"/>
        </w:rPr>
        <w:footnoteReference w:id="7"/>
      </w:r>
      <w:r w:rsidR="007348DD">
        <w:rPr>
          <w:rFonts w:ascii="Times New Roman" w:hAnsi="Times New Roman" w:cs="Times New Roman"/>
          <w:sz w:val="24"/>
          <w:szCs w:val="24"/>
        </w:rPr>
        <w:t xml:space="preserve"> </w:t>
      </w:r>
      <w:r w:rsidR="00ED0DF2">
        <w:rPr>
          <w:rFonts w:ascii="Times New Roman" w:hAnsi="Times New Roman" w:cs="Times New Roman"/>
          <w:sz w:val="24"/>
          <w:szCs w:val="24"/>
        </w:rPr>
        <w:t>However, t</w:t>
      </w:r>
      <w:r w:rsidR="008564DA">
        <w:rPr>
          <w:rFonts w:ascii="Times New Roman" w:hAnsi="Times New Roman" w:cs="Times New Roman"/>
          <w:sz w:val="24"/>
          <w:szCs w:val="24"/>
        </w:rPr>
        <w:t xml:space="preserve">he aim of the current paper </w:t>
      </w:r>
      <w:r w:rsidR="00103DB5">
        <w:rPr>
          <w:rFonts w:ascii="Times New Roman" w:hAnsi="Times New Roman" w:cs="Times New Roman"/>
          <w:sz w:val="24"/>
          <w:szCs w:val="24"/>
        </w:rPr>
        <w:t xml:space="preserve">is </w:t>
      </w:r>
      <w:r w:rsidR="002B0817">
        <w:rPr>
          <w:rFonts w:ascii="Times New Roman" w:hAnsi="Times New Roman" w:cs="Times New Roman"/>
          <w:sz w:val="24"/>
          <w:szCs w:val="24"/>
        </w:rPr>
        <w:t>to highlight</w:t>
      </w:r>
      <w:r w:rsidR="00103DB5">
        <w:rPr>
          <w:rFonts w:ascii="Times New Roman" w:hAnsi="Times New Roman" w:cs="Times New Roman"/>
          <w:sz w:val="24"/>
          <w:szCs w:val="24"/>
        </w:rPr>
        <w:t>,</w:t>
      </w:r>
      <w:r w:rsidR="002B0817">
        <w:rPr>
          <w:rFonts w:ascii="Times New Roman" w:hAnsi="Times New Roman" w:cs="Times New Roman"/>
          <w:sz w:val="24"/>
          <w:szCs w:val="24"/>
        </w:rPr>
        <w:t xml:space="preserve"> </w:t>
      </w:r>
      <w:r w:rsidR="00ED0DF2">
        <w:rPr>
          <w:rFonts w:ascii="Times New Roman" w:hAnsi="Times New Roman" w:cs="Times New Roman"/>
          <w:sz w:val="24"/>
          <w:szCs w:val="24"/>
        </w:rPr>
        <w:t>that notwithstanding the current focus o</w:t>
      </w:r>
      <w:r w:rsidR="005D11CB">
        <w:rPr>
          <w:rFonts w:ascii="Times New Roman" w:hAnsi="Times New Roman" w:cs="Times New Roman"/>
          <w:sz w:val="24"/>
          <w:szCs w:val="24"/>
        </w:rPr>
        <w:t>n</w:t>
      </w:r>
      <w:r w:rsidR="00ED0DF2">
        <w:rPr>
          <w:rFonts w:ascii="Times New Roman" w:hAnsi="Times New Roman" w:cs="Times New Roman"/>
          <w:sz w:val="24"/>
          <w:szCs w:val="24"/>
        </w:rPr>
        <w:t xml:space="preserve"> coverage of DSI</w:t>
      </w:r>
      <w:r w:rsidR="005D11CB">
        <w:rPr>
          <w:rFonts w:ascii="Times New Roman" w:hAnsi="Times New Roman" w:cs="Times New Roman"/>
          <w:sz w:val="24"/>
          <w:szCs w:val="24"/>
        </w:rPr>
        <w:t>,</w:t>
      </w:r>
      <w:r w:rsidR="00ED0DF2">
        <w:rPr>
          <w:rFonts w:ascii="Times New Roman" w:hAnsi="Times New Roman" w:cs="Times New Roman"/>
          <w:sz w:val="24"/>
          <w:szCs w:val="24"/>
        </w:rPr>
        <w:t xml:space="preserve"> </w:t>
      </w:r>
      <w:r w:rsidR="002B0817">
        <w:rPr>
          <w:rFonts w:ascii="Times New Roman" w:hAnsi="Times New Roman" w:cs="Times New Roman"/>
          <w:sz w:val="24"/>
          <w:szCs w:val="24"/>
        </w:rPr>
        <w:t>a further</w:t>
      </w:r>
      <w:r w:rsidR="00B30C21">
        <w:rPr>
          <w:rFonts w:ascii="Times New Roman" w:hAnsi="Times New Roman" w:cs="Times New Roman"/>
          <w:sz w:val="24"/>
          <w:szCs w:val="24"/>
        </w:rPr>
        <w:t xml:space="preserve"> </w:t>
      </w:r>
      <w:r w:rsidR="007348DD">
        <w:rPr>
          <w:rFonts w:ascii="Times New Roman" w:hAnsi="Times New Roman" w:cs="Times New Roman"/>
          <w:sz w:val="24"/>
          <w:szCs w:val="24"/>
        </w:rPr>
        <w:t xml:space="preserve">important </w:t>
      </w:r>
      <w:r w:rsidR="002B0817">
        <w:rPr>
          <w:rFonts w:ascii="Times New Roman" w:hAnsi="Times New Roman" w:cs="Times New Roman"/>
          <w:sz w:val="24"/>
          <w:szCs w:val="24"/>
        </w:rPr>
        <w:t>ambiguity</w:t>
      </w:r>
      <w:r w:rsidR="00B30C21">
        <w:rPr>
          <w:rFonts w:ascii="Times New Roman" w:hAnsi="Times New Roman" w:cs="Times New Roman"/>
          <w:sz w:val="24"/>
          <w:szCs w:val="24"/>
        </w:rPr>
        <w:t xml:space="preserve"> in the do</w:t>
      </w:r>
      <w:r w:rsidR="005D11CB">
        <w:rPr>
          <w:rFonts w:ascii="Times New Roman" w:hAnsi="Times New Roman" w:cs="Times New Roman"/>
          <w:sz w:val="24"/>
          <w:szCs w:val="24"/>
        </w:rPr>
        <w:t>wnstream scope of the Protocol should not be overlooked.</w:t>
      </w:r>
      <w:r w:rsidR="008564DA">
        <w:rPr>
          <w:rFonts w:ascii="Times New Roman" w:hAnsi="Times New Roman" w:cs="Times New Roman"/>
          <w:sz w:val="24"/>
          <w:szCs w:val="24"/>
        </w:rPr>
        <w:t xml:space="preserve"> </w:t>
      </w:r>
    </w:p>
    <w:p w:rsidR="00F34533" w:rsidRDefault="00F34533" w:rsidP="00595EF9">
      <w:pPr>
        <w:autoSpaceDE w:val="0"/>
        <w:autoSpaceDN w:val="0"/>
        <w:adjustRightInd w:val="0"/>
        <w:spacing w:after="0" w:line="360" w:lineRule="auto"/>
        <w:jc w:val="both"/>
        <w:rPr>
          <w:rFonts w:ascii="Times New Roman" w:hAnsi="Times New Roman" w:cs="Times New Roman"/>
          <w:sz w:val="24"/>
          <w:szCs w:val="24"/>
        </w:rPr>
      </w:pPr>
    </w:p>
    <w:p w:rsidR="00F34533" w:rsidRDefault="00F34533" w:rsidP="00F34533">
      <w:pPr>
        <w:autoSpaceDE w:val="0"/>
        <w:autoSpaceDN w:val="0"/>
        <w:adjustRightInd w:val="0"/>
        <w:spacing w:after="0" w:line="360" w:lineRule="auto"/>
        <w:jc w:val="both"/>
        <w:rPr>
          <w:rFonts w:ascii="Times New Roman" w:hAnsi="Times New Roman" w:cs="Times New Roman"/>
          <w:sz w:val="24"/>
          <w:szCs w:val="24"/>
        </w:rPr>
      </w:pPr>
      <w:r w:rsidRPr="00EE0C17">
        <w:rPr>
          <w:rFonts w:ascii="Times New Roman" w:hAnsi="Times New Roman" w:cs="Times New Roman"/>
          <w:sz w:val="24"/>
          <w:szCs w:val="24"/>
        </w:rPr>
        <w:t xml:space="preserve">Mary Shelley’s </w:t>
      </w:r>
      <w:r>
        <w:rPr>
          <w:rFonts w:ascii="Times New Roman" w:hAnsi="Times New Roman" w:cs="Times New Roman"/>
          <w:sz w:val="24"/>
          <w:szCs w:val="24"/>
        </w:rPr>
        <w:t xml:space="preserve">1818 work </w:t>
      </w:r>
      <w:r w:rsidRPr="00EE0C17">
        <w:rPr>
          <w:rFonts w:ascii="Times New Roman" w:hAnsi="Times New Roman" w:cs="Times New Roman"/>
          <w:i/>
          <w:sz w:val="24"/>
          <w:szCs w:val="24"/>
        </w:rPr>
        <w:t>Frankenstein; or, The Modern Prometheus</w:t>
      </w:r>
      <w:r w:rsidRPr="00EE0C17">
        <w:rPr>
          <w:rFonts w:ascii="Times New Roman" w:hAnsi="Times New Roman" w:cs="Times New Roman"/>
          <w:sz w:val="24"/>
          <w:szCs w:val="24"/>
        </w:rPr>
        <w:t xml:space="preserve"> </w:t>
      </w:r>
      <w:r>
        <w:rPr>
          <w:rFonts w:ascii="Times New Roman" w:hAnsi="Times New Roman" w:cs="Times New Roman"/>
          <w:sz w:val="24"/>
          <w:szCs w:val="24"/>
        </w:rPr>
        <w:t>has come to symbolise the dangers in seeking to control nature and its protagonist has become synonymous with the “improper” creation of life forms.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Popular culture has envisioned Frankenstein’s flawed creature as being incorrectly assembled from a “parts bin” of stolen human organs and limbs. This paper argues that, </w:t>
      </w:r>
      <w:r w:rsidRPr="00166580">
        <w:rPr>
          <w:rFonts w:ascii="Times New Roman" w:hAnsi="Times New Roman" w:cs="Times New Roman"/>
          <w:sz w:val="24"/>
          <w:szCs w:val="24"/>
        </w:rPr>
        <w:t xml:space="preserve">in its failure to clearly define the downstream limits to the use of </w:t>
      </w:r>
      <w:r>
        <w:rPr>
          <w:rFonts w:ascii="Times New Roman" w:hAnsi="Times New Roman" w:cs="Times New Roman"/>
          <w:sz w:val="24"/>
          <w:szCs w:val="24"/>
        </w:rPr>
        <w:t xml:space="preserve">genetic resources (particularly whether it covers the downstream use of </w:t>
      </w:r>
      <w:r w:rsidR="009F6E55">
        <w:rPr>
          <w:rFonts w:ascii="Times New Roman" w:hAnsi="Times New Roman" w:cs="Times New Roman"/>
          <w:sz w:val="24"/>
          <w:szCs w:val="24"/>
        </w:rPr>
        <w:t>hu</w:t>
      </w:r>
      <w:r w:rsidRPr="00166580">
        <w:rPr>
          <w:rFonts w:ascii="Times New Roman" w:hAnsi="Times New Roman" w:cs="Times New Roman"/>
          <w:sz w:val="24"/>
          <w:szCs w:val="24"/>
        </w:rPr>
        <w:t>man-made chemical derivatives of naturally occurring biochemicals</w:t>
      </w:r>
      <w:r>
        <w:rPr>
          <w:rFonts w:ascii="Times New Roman" w:hAnsi="Times New Roman" w:cs="Times New Roman"/>
          <w:sz w:val="24"/>
          <w:szCs w:val="24"/>
        </w:rPr>
        <w:t xml:space="preserve">) the Protocol is, in part, </w:t>
      </w:r>
      <w:r w:rsidRPr="00EF4635">
        <w:rPr>
          <w:rFonts w:ascii="Times New Roman" w:hAnsi="Times New Roman" w:cs="Times New Roman"/>
          <w:sz w:val="24"/>
          <w:szCs w:val="24"/>
        </w:rPr>
        <w:t xml:space="preserve">a </w:t>
      </w:r>
      <w:r>
        <w:rPr>
          <w:rFonts w:ascii="Times New Roman" w:hAnsi="Times New Roman" w:cs="Times New Roman"/>
          <w:sz w:val="24"/>
          <w:szCs w:val="24"/>
        </w:rPr>
        <w:t xml:space="preserve">similarly </w:t>
      </w:r>
      <w:r w:rsidRPr="00EF4635">
        <w:rPr>
          <w:rFonts w:ascii="Times New Roman" w:hAnsi="Times New Roman" w:cs="Times New Roman"/>
          <w:sz w:val="24"/>
          <w:szCs w:val="24"/>
        </w:rPr>
        <w:t>flawed creation</w:t>
      </w:r>
      <w:r>
        <w:rPr>
          <w:rFonts w:ascii="Times New Roman" w:hAnsi="Times New Roman" w:cs="Times New Roman"/>
          <w:sz w:val="24"/>
          <w:szCs w:val="24"/>
        </w:rPr>
        <w:t>.</w:t>
      </w:r>
    </w:p>
    <w:p w:rsidR="00F34533" w:rsidRDefault="00F34533" w:rsidP="00595EF9">
      <w:pPr>
        <w:autoSpaceDE w:val="0"/>
        <w:autoSpaceDN w:val="0"/>
        <w:adjustRightInd w:val="0"/>
        <w:spacing w:after="0" w:line="360" w:lineRule="auto"/>
        <w:jc w:val="both"/>
        <w:rPr>
          <w:rFonts w:ascii="Times New Roman" w:hAnsi="Times New Roman" w:cs="Times New Roman"/>
          <w:sz w:val="24"/>
          <w:szCs w:val="24"/>
        </w:rPr>
      </w:pPr>
    </w:p>
    <w:p w:rsidR="00F73A9A" w:rsidRPr="000F2620" w:rsidRDefault="00F34533" w:rsidP="00CE1D43">
      <w:pPr>
        <w:autoSpaceDE w:val="0"/>
        <w:autoSpaceDN w:val="0"/>
        <w:adjustRightInd w:val="0"/>
        <w:spacing w:after="0" w:line="360" w:lineRule="auto"/>
        <w:jc w:val="both"/>
        <w:rPr>
          <w:rFonts w:ascii="Times New Roman" w:hAnsi="Times New Roman" w:cs="Times New Roman"/>
          <w:sz w:val="24"/>
          <w:szCs w:val="24"/>
          <w:highlight w:val="cyan"/>
        </w:rPr>
      </w:pPr>
      <w:r>
        <w:rPr>
          <w:rFonts w:ascii="Times New Roman" w:hAnsi="Times New Roman" w:cs="Times New Roman"/>
          <w:sz w:val="24"/>
          <w:szCs w:val="24"/>
        </w:rPr>
        <w:t>T</w:t>
      </w:r>
      <w:r w:rsidR="00F73A9A" w:rsidRPr="00895518">
        <w:rPr>
          <w:rFonts w:ascii="Times New Roman" w:hAnsi="Times New Roman" w:cs="Times New Roman"/>
          <w:sz w:val="24"/>
          <w:szCs w:val="24"/>
        </w:rPr>
        <w:t>his work will briefly examine the reasons behind the creation of the CBD and the Protocol</w:t>
      </w:r>
      <w:r w:rsidR="00F73A9A">
        <w:rPr>
          <w:rFonts w:ascii="Times New Roman" w:hAnsi="Times New Roman" w:cs="Times New Roman"/>
          <w:sz w:val="24"/>
          <w:szCs w:val="24"/>
        </w:rPr>
        <w:t>,</w:t>
      </w:r>
      <w:r w:rsidR="00F73A9A" w:rsidRPr="00895518">
        <w:rPr>
          <w:rFonts w:ascii="Times New Roman" w:hAnsi="Times New Roman" w:cs="Times New Roman"/>
          <w:sz w:val="24"/>
          <w:szCs w:val="24"/>
        </w:rPr>
        <w:t xml:space="preserve"> and outline the provisions of the Protocol which put the access and fair and equitable benefits sharing (“ABS”) objectives of the CBD into effect.</w:t>
      </w:r>
      <w:r w:rsidR="00F73A9A">
        <w:rPr>
          <w:rFonts w:ascii="Times New Roman" w:hAnsi="Times New Roman" w:cs="Times New Roman"/>
          <w:sz w:val="24"/>
          <w:szCs w:val="24"/>
        </w:rPr>
        <w:t xml:space="preserve"> It will then highlight the downstream complexities in modern drug discovery, and </w:t>
      </w:r>
      <w:r w:rsidR="00F73A9A" w:rsidRPr="00895518">
        <w:rPr>
          <w:rFonts w:ascii="Times New Roman" w:hAnsi="Times New Roman" w:cs="Times New Roman"/>
          <w:sz w:val="24"/>
          <w:szCs w:val="24"/>
        </w:rPr>
        <w:t>the fact that it is highly likely that the scientific (and commercial) benefits of using a piece of original TKAGR</w:t>
      </w:r>
      <w:r w:rsidR="009C4260">
        <w:rPr>
          <w:rFonts w:ascii="Times New Roman" w:hAnsi="Times New Roman" w:cs="Times New Roman"/>
          <w:sz w:val="24"/>
          <w:szCs w:val="24"/>
        </w:rPr>
        <w:t>,</w:t>
      </w:r>
      <w:r w:rsidR="00F73A9A" w:rsidRPr="00895518">
        <w:rPr>
          <w:rFonts w:ascii="Times New Roman" w:hAnsi="Times New Roman" w:cs="Times New Roman"/>
          <w:sz w:val="24"/>
          <w:szCs w:val="24"/>
        </w:rPr>
        <w:t xml:space="preserve"> or genetic resource</w:t>
      </w:r>
      <w:r w:rsidR="009C4260">
        <w:rPr>
          <w:rFonts w:ascii="Times New Roman" w:hAnsi="Times New Roman" w:cs="Times New Roman"/>
          <w:sz w:val="24"/>
          <w:szCs w:val="24"/>
        </w:rPr>
        <w:t>,</w:t>
      </w:r>
      <w:r w:rsidR="00F73A9A" w:rsidRPr="00895518">
        <w:rPr>
          <w:rFonts w:ascii="Times New Roman" w:hAnsi="Times New Roman" w:cs="Times New Roman"/>
          <w:sz w:val="24"/>
          <w:szCs w:val="24"/>
        </w:rPr>
        <w:t xml:space="preserve"> will be significantly distal to a complex process of mixing and dilution of the original information/resource.</w:t>
      </w:r>
      <w:r w:rsidR="00F73A9A">
        <w:rPr>
          <w:rFonts w:ascii="Times New Roman" w:hAnsi="Times New Roman" w:cs="Times New Roman"/>
          <w:sz w:val="24"/>
          <w:szCs w:val="24"/>
        </w:rPr>
        <w:t xml:space="preserve"> </w:t>
      </w:r>
      <w:r w:rsidR="00CE1D43" w:rsidRPr="000F2620">
        <w:rPr>
          <w:rFonts w:ascii="Times New Roman" w:hAnsi="Times New Roman" w:cs="Times New Roman"/>
          <w:sz w:val="24"/>
          <w:szCs w:val="24"/>
        </w:rPr>
        <w:t xml:space="preserve">Although, as will be discussed, there are helpful doctrinal analyses of the Protocol </w:t>
      </w:r>
      <w:r w:rsidR="000F2620" w:rsidRPr="000F2620">
        <w:rPr>
          <w:rFonts w:ascii="Times New Roman" w:hAnsi="Times New Roman" w:cs="Times New Roman"/>
          <w:sz w:val="24"/>
          <w:szCs w:val="24"/>
        </w:rPr>
        <w:t>with</w:t>
      </w:r>
      <w:r w:rsidR="00CE1D43" w:rsidRPr="000F2620">
        <w:rPr>
          <w:rFonts w:ascii="Times New Roman" w:hAnsi="Times New Roman" w:cs="Times New Roman"/>
          <w:sz w:val="24"/>
          <w:szCs w:val="24"/>
        </w:rPr>
        <w:t xml:space="preserve">in the </w:t>
      </w:r>
      <w:r w:rsidR="000F2620" w:rsidRPr="000F2620">
        <w:rPr>
          <w:rFonts w:ascii="Times New Roman" w:hAnsi="Times New Roman" w:cs="Times New Roman"/>
          <w:sz w:val="24"/>
          <w:szCs w:val="24"/>
        </w:rPr>
        <w:t xml:space="preserve">existing </w:t>
      </w:r>
      <w:r w:rsidR="00CE1D43" w:rsidRPr="000F2620">
        <w:rPr>
          <w:rFonts w:ascii="Times New Roman" w:hAnsi="Times New Roman" w:cs="Times New Roman"/>
          <w:sz w:val="24"/>
          <w:szCs w:val="24"/>
        </w:rPr>
        <w:t>literature, the aim of thi</w:t>
      </w:r>
      <w:r w:rsidR="000F2620" w:rsidRPr="000F2620">
        <w:rPr>
          <w:rFonts w:ascii="Times New Roman" w:hAnsi="Times New Roman" w:cs="Times New Roman"/>
          <w:sz w:val="24"/>
          <w:szCs w:val="24"/>
        </w:rPr>
        <w:t>s work is t</w:t>
      </w:r>
      <w:r w:rsidR="006C7759">
        <w:rPr>
          <w:rFonts w:ascii="Times New Roman" w:hAnsi="Times New Roman" w:cs="Times New Roman"/>
          <w:sz w:val="24"/>
          <w:szCs w:val="24"/>
        </w:rPr>
        <w:t>o extend such</w:t>
      </w:r>
      <w:r w:rsidR="000F2620" w:rsidRPr="000F2620">
        <w:rPr>
          <w:rFonts w:ascii="Times New Roman" w:hAnsi="Times New Roman" w:cs="Times New Roman"/>
          <w:sz w:val="24"/>
          <w:szCs w:val="24"/>
        </w:rPr>
        <w:t xml:space="preserve"> analysis</w:t>
      </w:r>
      <w:r w:rsidR="00CE1D43" w:rsidRPr="000F2620">
        <w:rPr>
          <w:rFonts w:ascii="Times New Roman" w:hAnsi="Times New Roman" w:cs="Times New Roman"/>
          <w:sz w:val="24"/>
          <w:szCs w:val="24"/>
        </w:rPr>
        <w:t xml:space="preserve"> into the questions </w:t>
      </w:r>
      <w:r w:rsidR="000F2620" w:rsidRPr="000F2620">
        <w:rPr>
          <w:rFonts w:ascii="Times New Roman" w:hAnsi="Times New Roman" w:cs="Times New Roman"/>
          <w:sz w:val="24"/>
          <w:szCs w:val="24"/>
        </w:rPr>
        <w:t xml:space="preserve">concerning </w:t>
      </w:r>
      <w:r w:rsidR="00CE1D43" w:rsidRPr="000F2620">
        <w:rPr>
          <w:rFonts w:ascii="Times New Roman" w:hAnsi="Times New Roman" w:cs="Times New Roman"/>
          <w:sz w:val="24"/>
          <w:szCs w:val="24"/>
        </w:rPr>
        <w:t xml:space="preserve">of the Protocol’s reach </w:t>
      </w:r>
      <w:r w:rsidR="000F2620">
        <w:rPr>
          <w:rFonts w:ascii="Times New Roman" w:hAnsi="Times New Roman" w:cs="Times New Roman"/>
          <w:sz w:val="24"/>
          <w:szCs w:val="24"/>
        </w:rPr>
        <w:t>into the more distal uses of genetic resources and TKAGR within drug discovery.</w:t>
      </w:r>
    </w:p>
    <w:p w:rsidR="008D68DC" w:rsidRDefault="008D68DC" w:rsidP="00595EF9">
      <w:pPr>
        <w:autoSpaceDE w:val="0"/>
        <w:autoSpaceDN w:val="0"/>
        <w:adjustRightInd w:val="0"/>
        <w:spacing w:after="0" w:line="360" w:lineRule="auto"/>
        <w:jc w:val="both"/>
        <w:rPr>
          <w:rFonts w:ascii="Times New Roman" w:hAnsi="Times New Roman" w:cs="Times New Roman"/>
          <w:sz w:val="24"/>
          <w:szCs w:val="24"/>
        </w:rPr>
      </w:pPr>
    </w:p>
    <w:p w:rsidR="00F73A9A" w:rsidRDefault="00F73A9A" w:rsidP="00595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concludes that the Protocol is something of a “Frankenstein’s</w:t>
      </w:r>
      <w:r w:rsidRPr="00EF4635">
        <w:rPr>
          <w:rFonts w:ascii="Times New Roman" w:hAnsi="Times New Roman" w:cs="Times New Roman"/>
          <w:sz w:val="24"/>
          <w:szCs w:val="24"/>
        </w:rPr>
        <w:t xml:space="preserve"> </w:t>
      </w:r>
      <w:r>
        <w:rPr>
          <w:rFonts w:ascii="Times New Roman" w:hAnsi="Times New Roman" w:cs="Times New Roman"/>
          <w:sz w:val="24"/>
          <w:szCs w:val="24"/>
        </w:rPr>
        <w:t xml:space="preserve">monster”, </w:t>
      </w:r>
      <w:r w:rsidRPr="00EF4635">
        <w:rPr>
          <w:rFonts w:ascii="Times New Roman" w:hAnsi="Times New Roman" w:cs="Times New Roman"/>
          <w:sz w:val="24"/>
          <w:szCs w:val="24"/>
        </w:rPr>
        <w:t xml:space="preserve">bolted together from </w:t>
      </w:r>
      <w:r>
        <w:rPr>
          <w:rFonts w:ascii="Times New Roman" w:hAnsi="Times New Roman" w:cs="Times New Roman"/>
          <w:sz w:val="24"/>
          <w:szCs w:val="24"/>
        </w:rPr>
        <w:t xml:space="preserve">a number of “re-purposed” </w:t>
      </w:r>
      <w:r w:rsidRPr="00EF4635">
        <w:rPr>
          <w:rFonts w:ascii="Times New Roman" w:hAnsi="Times New Roman" w:cs="Times New Roman"/>
          <w:sz w:val="24"/>
          <w:szCs w:val="24"/>
        </w:rPr>
        <w:t xml:space="preserve">definitions </w:t>
      </w:r>
      <w:r>
        <w:rPr>
          <w:rFonts w:ascii="Times New Roman" w:hAnsi="Times New Roman" w:cs="Times New Roman"/>
          <w:sz w:val="24"/>
          <w:szCs w:val="24"/>
        </w:rPr>
        <w:t xml:space="preserve">from the </w:t>
      </w:r>
      <w:r w:rsidRPr="00EF4635">
        <w:rPr>
          <w:rFonts w:ascii="Times New Roman" w:hAnsi="Times New Roman" w:cs="Times New Roman"/>
          <w:sz w:val="24"/>
          <w:szCs w:val="24"/>
        </w:rPr>
        <w:t>Convention on Biological Diversity</w:t>
      </w:r>
      <w:r>
        <w:rPr>
          <w:rFonts w:ascii="Times New Roman" w:hAnsi="Times New Roman" w:cs="Times New Roman"/>
          <w:sz w:val="24"/>
          <w:szCs w:val="24"/>
        </w:rPr>
        <w:t xml:space="preserve"> (“CBD”)</w:t>
      </w:r>
      <w:r w:rsidRPr="00EF4635">
        <w:rPr>
          <w:rFonts w:ascii="Times New Roman" w:hAnsi="Times New Roman" w:cs="Times New Roman"/>
          <w:sz w:val="24"/>
          <w:szCs w:val="24"/>
        </w:rPr>
        <w:t xml:space="preserve"> in such a way that </w:t>
      </w:r>
      <w:r>
        <w:rPr>
          <w:rFonts w:ascii="Times New Roman" w:hAnsi="Times New Roman" w:cs="Times New Roman"/>
          <w:sz w:val="24"/>
          <w:szCs w:val="24"/>
        </w:rPr>
        <w:t xml:space="preserve">the scope of downstream protection offered in relation to </w:t>
      </w:r>
      <w:r w:rsidR="009F6E55">
        <w:rPr>
          <w:rFonts w:ascii="Times New Roman" w:hAnsi="Times New Roman" w:cs="Times New Roman"/>
          <w:sz w:val="24"/>
          <w:szCs w:val="24"/>
        </w:rPr>
        <w:t>hu</w:t>
      </w:r>
      <w:r>
        <w:rPr>
          <w:rFonts w:ascii="Times New Roman" w:hAnsi="Times New Roman" w:cs="Times New Roman"/>
          <w:sz w:val="24"/>
          <w:szCs w:val="24"/>
        </w:rPr>
        <w:t>man-made derivatives of biochemicals is</w:t>
      </w:r>
      <w:r w:rsidRPr="00EF4635">
        <w:rPr>
          <w:rFonts w:ascii="Times New Roman" w:hAnsi="Times New Roman" w:cs="Times New Roman"/>
          <w:sz w:val="24"/>
          <w:szCs w:val="24"/>
        </w:rPr>
        <w:t xml:space="preserve"> </w:t>
      </w:r>
      <w:r>
        <w:rPr>
          <w:rFonts w:ascii="Times New Roman" w:hAnsi="Times New Roman" w:cs="Times New Roman"/>
          <w:sz w:val="24"/>
          <w:szCs w:val="24"/>
        </w:rPr>
        <w:t>unclear</w:t>
      </w:r>
      <w:r w:rsidRPr="00EF4635">
        <w:rPr>
          <w:rFonts w:ascii="Times New Roman" w:hAnsi="Times New Roman" w:cs="Times New Roman"/>
          <w:sz w:val="24"/>
          <w:szCs w:val="24"/>
        </w:rPr>
        <w:t>.</w:t>
      </w:r>
      <w:r>
        <w:rPr>
          <w:rFonts w:ascii="Times New Roman" w:hAnsi="Times New Roman" w:cs="Times New Roman"/>
          <w:sz w:val="24"/>
          <w:szCs w:val="24"/>
        </w:rPr>
        <w:t xml:space="preserve"> </w:t>
      </w:r>
    </w:p>
    <w:p w:rsidR="00F73A9A" w:rsidRDefault="00F73A9A" w:rsidP="00595EF9">
      <w:pPr>
        <w:autoSpaceDE w:val="0"/>
        <w:autoSpaceDN w:val="0"/>
        <w:adjustRightInd w:val="0"/>
        <w:spacing w:after="0" w:line="360" w:lineRule="auto"/>
        <w:jc w:val="both"/>
        <w:rPr>
          <w:rFonts w:ascii="Times New Roman" w:hAnsi="Times New Roman" w:cs="Times New Roman"/>
          <w:sz w:val="24"/>
          <w:szCs w:val="24"/>
        </w:rPr>
      </w:pPr>
    </w:p>
    <w:p w:rsidR="00F73A9A" w:rsidRDefault="00F73A9A" w:rsidP="00595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paper then looks to downstream coverage of the Protocol in relation to </w:t>
      </w:r>
      <w:r w:rsidRPr="00EC72DF">
        <w:rPr>
          <w:rFonts w:ascii="Times New Roman" w:hAnsi="Times New Roman" w:cs="Times New Roman"/>
          <w:i/>
          <w:sz w:val="24"/>
          <w:szCs w:val="24"/>
        </w:rPr>
        <w:t>informational</w:t>
      </w:r>
      <w:r>
        <w:rPr>
          <w:rFonts w:ascii="Times New Roman" w:hAnsi="Times New Roman" w:cs="Times New Roman"/>
          <w:sz w:val="24"/>
          <w:szCs w:val="24"/>
        </w:rPr>
        <w:t xml:space="preserve">, rather than </w:t>
      </w:r>
      <w:r w:rsidRPr="00EC72DF">
        <w:rPr>
          <w:rFonts w:ascii="Times New Roman" w:hAnsi="Times New Roman" w:cs="Times New Roman"/>
          <w:i/>
          <w:sz w:val="24"/>
          <w:szCs w:val="24"/>
        </w:rPr>
        <w:t>physical</w:t>
      </w:r>
      <w:r>
        <w:rPr>
          <w:rFonts w:ascii="Times New Roman" w:hAnsi="Times New Roman" w:cs="Times New Roman"/>
          <w:sz w:val="24"/>
          <w:szCs w:val="24"/>
        </w:rPr>
        <w:t xml:space="preserve">, links. </w:t>
      </w:r>
      <w:r w:rsidRPr="00AA203D">
        <w:rPr>
          <w:rFonts w:ascii="Times New Roman" w:hAnsi="Times New Roman" w:cs="Times New Roman"/>
          <w:sz w:val="24"/>
          <w:szCs w:val="24"/>
        </w:rPr>
        <w:t xml:space="preserve">Here the paper </w:t>
      </w:r>
      <w:r>
        <w:rPr>
          <w:rFonts w:ascii="Times New Roman" w:hAnsi="Times New Roman" w:cs="Times New Roman"/>
          <w:sz w:val="24"/>
          <w:szCs w:val="24"/>
        </w:rPr>
        <w:t xml:space="preserve">firstly </w:t>
      </w:r>
      <w:r w:rsidRPr="00AA203D">
        <w:rPr>
          <w:rFonts w:ascii="Times New Roman" w:hAnsi="Times New Roman" w:cs="Times New Roman"/>
          <w:sz w:val="24"/>
          <w:szCs w:val="24"/>
        </w:rPr>
        <w:t>concludes</w:t>
      </w:r>
      <w:r>
        <w:rPr>
          <w:rFonts w:ascii="Times New Roman" w:hAnsi="Times New Roman" w:cs="Times New Roman"/>
          <w:sz w:val="24"/>
          <w:szCs w:val="24"/>
        </w:rPr>
        <w:t xml:space="preserve"> that there is no inherent reason why amendment of the </w:t>
      </w:r>
      <w:r w:rsidRPr="00434997">
        <w:rPr>
          <w:rFonts w:ascii="Times New Roman" w:hAnsi="Times New Roman" w:cs="Times New Roman"/>
          <w:sz w:val="24"/>
          <w:szCs w:val="24"/>
        </w:rPr>
        <w:t>Protocol</w:t>
      </w:r>
      <w:r>
        <w:rPr>
          <w:rFonts w:ascii="Times New Roman" w:hAnsi="Times New Roman" w:cs="Times New Roman"/>
          <w:sz w:val="24"/>
          <w:szCs w:val="24"/>
        </w:rPr>
        <w:t xml:space="preserve"> to cover DSI would change the current treatment of biochemical product</w:t>
      </w:r>
      <w:r w:rsidR="009C4260">
        <w:rPr>
          <w:rFonts w:ascii="Times New Roman" w:hAnsi="Times New Roman" w:cs="Times New Roman"/>
          <w:sz w:val="24"/>
          <w:szCs w:val="24"/>
        </w:rPr>
        <w:t>s</w:t>
      </w:r>
      <w:r>
        <w:rPr>
          <w:rFonts w:ascii="Times New Roman" w:hAnsi="Times New Roman" w:cs="Times New Roman"/>
          <w:sz w:val="24"/>
          <w:szCs w:val="24"/>
        </w:rPr>
        <w:t xml:space="preserve"> of gene expression, or of </w:t>
      </w:r>
      <w:r w:rsidR="009F6E55">
        <w:rPr>
          <w:rFonts w:ascii="Times New Roman" w:hAnsi="Times New Roman" w:cs="Times New Roman"/>
          <w:sz w:val="24"/>
          <w:szCs w:val="24"/>
        </w:rPr>
        <w:t>hu</w:t>
      </w:r>
      <w:r>
        <w:rPr>
          <w:rFonts w:ascii="Times New Roman" w:hAnsi="Times New Roman" w:cs="Times New Roman"/>
          <w:sz w:val="24"/>
          <w:szCs w:val="24"/>
        </w:rPr>
        <w:t xml:space="preserve">man-made derivatives of such products.  </w:t>
      </w:r>
    </w:p>
    <w:p w:rsidR="00F73A9A" w:rsidRDefault="00F73A9A" w:rsidP="00595EF9">
      <w:pPr>
        <w:autoSpaceDE w:val="0"/>
        <w:autoSpaceDN w:val="0"/>
        <w:adjustRightInd w:val="0"/>
        <w:spacing w:after="0" w:line="360" w:lineRule="auto"/>
        <w:jc w:val="both"/>
        <w:rPr>
          <w:rFonts w:ascii="Times New Roman" w:hAnsi="Times New Roman" w:cs="Times New Roman"/>
          <w:sz w:val="24"/>
          <w:szCs w:val="24"/>
        </w:rPr>
      </w:pPr>
    </w:p>
    <w:p w:rsidR="00F73A9A" w:rsidRDefault="00F73A9A" w:rsidP="00595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secondly concludes that, although the downstream scope of coverage of the Protocol in relation to TKAGR is likely to cover downstream use which is not covered by the provisions relating to genetic resources </w:t>
      </w:r>
      <w:r w:rsidRPr="00F73A9A">
        <w:rPr>
          <w:rFonts w:ascii="Times New Roman" w:hAnsi="Times New Roman" w:cs="Times New Roman"/>
          <w:i/>
          <w:sz w:val="24"/>
          <w:szCs w:val="24"/>
        </w:rPr>
        <w:t>per se</w:t>
      </w:r>
      <w:r>
        <w:rPr>
          <w:rFonts w:ascii="Times New Roman" w:hAnsi="Times New Roman" w:cs="Times New Roman"/>
          <w:sz w:val="24"/>
          <w:szCs w:val="24"/>
        </w:rPr>
        <w:t xml:space="preserve">, </w:t>
      </w:r>
      <w:r w:rsidR="00ED0DF2" w:rsidRPr="00ED0DF2">
        <w:rPr>
          <w:rFonts w:ascii="Times New Roman" w:hAnsi="Times New Roman" w:cs="Times New Roman"/>
          <w:sz w:val="24"/>
          <w:szCs w:val="24"/>
        </w:rPr>
        <w:t xml:space="preserve">where </w:t>
      </w:r>
      <w:r>
        <w:rPr>
          <w:rFonts w:ascii="Times New Roman" w:hAnsi="Times New Roman" w:cs="Times New Roman"/>
          <w:sz w:val="24"/>
          <w:szCs w:val="24"/>
        </w:rPr>
        <w:t xml:space="preserve">TKAGR </w:t>
      </w:r>
      <w:r w:rsidR="00ED0DF2" w:rsidRPr="00ED0DF2">
        <w:rPr>
          <w:rFonts w:ascii="Times New Roman" w:hAnsi="Times New Roman" w:cs="Times New Roman"/>
          <w:sz w:val="24"/>
          <w:szCs w:val="24"/>
        </w:rPr>
        <w:t>serves as a research “lead” for further develo</w:t>
      </w:r>
      <w:r w:rsidR="008D0FFE">
        <w:rPr>
          <w:rFonts w:ascii="Times New Roman" w:hAnsi="Times New Roman" w:cs="Times New Roman"/>
          <w:sz w:val="24"/>
          <w:szCs w:val="24"/>
        </w:rPr>
        <w:t>pment</w:t>
      </w:r>
      <w:r w:rsidR="00ED0DF2" w:rsidRPr="00ED0DF2">
        <w:rPr>
          <w:rFonts w:ascii="Times New Roman" w:hAnsi="Times New Roman" w:cs="Times New Roman"/>
          <w:sz w:val="24"/>
          <w:szCs w:val="24"/>
        </w:rPr>
        <w:t xml:space="preserve"> the Protocol itself gives no clear guidance as to how far that knowledge can have a “reach through effect” into new scientific discoveries, or at what stage a researcher would be considered free of the traditional knowledge right.</w:t>
      </w:r>
      <w:r w:rsidR="00F34533">
        <w:rPr>
          <w:rFonts w:ascii="Times New Roman" w:hAnsi="Times New Roman" w:cs="Times New Roman"/>
          <w:sz w:val="24"/>
          <w:szCs w:val="24"/>
        </w:rPr>
        <w:t xml:space="preserve"> However, although the scope of such very distal reach of is unclear, it is likely that some synthetic biological work using DSI (where the route to obtaining the DSI has been stimulated by TKAGR) would fall under the ambit of indigenous peoples’ right to control such knowledge. </w:t>
      </w:r>
      <w:r w:rsidR="005D11CB">
        <w:rPr>
          <w:rFonts w:ascii="Times New Roman" w:hAnsi="Times New Roman" w:cs="Times New Roman"/>
          <w:sz w:val="24"/>
          <w:szCs w:val="24"/>
        </w:rPr>
        <w:t xml:space="preserve"> </w:t>
      </w:r>
    </w:p>
    <w:p w:rsidR="008564DA" w:rsidRPr="00F73A9A" w:rsidRDefault="008564DA" w:rsidP="00F73A9A">
      <w:pPr>
        <w:autoSpaceDE w:val="0"/>
        <w:autoSpaceDN w:val="0"/>
        <w:adjustRightInd w:val="0"/>
        <w:spacing w:after="0" w:line="360" w:lineRule="auto"/>
        <w:jc w:val="both"/>
        <w:rPr>
          <w:rFonts w:ascii="Times New Roman" w:hAnsi="Times New Roman" w:cs="Times New Roman"/>
          <w:sz w:val="24"/>
          <w:szCs w:val="24"/>
        </w:rPr>
      </w:pPr>
    </w:p>
    <w:p w:rsidR="0097350C" w:rsidRPr="00D443B0" w:rsidRDefault="0097350C" w:rsidP="0097350C">
      <w:pPr>
        <w:pStyle w:val="Heading2"/>
        <w:spacing w:line="360" w:lineRule="auto"/>
      </w:pPr>
      <w:r>
        <w:t xml:space="preserve">Claims of </w:t>
      </w:r>
      <w:r w:rsidRPr="00D443B0">
        <w:t>misappropriation of genetic resources</w:t>
      </w:r>
      <w:bookmarkEnd w:id="0"/>
      <w:bookmarkEnd w:id="1"/>
    </w:p>
    <w:p w:rsidR="0097350C" w:rsidRDefault="0097350C" w:rsidP="00973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compounds that have pharmacological effects in humans are derived from </w:t>
      </w:r>
      <w:r w:rsidR="005F469C">
        <w:rPr>
          <w:rFonts w:ascii="Times New Roman" w:hAnsi="Times New Roman" w:cs="Times New Roman"/>
          <w:sz w:val="24"/>
          <w:szCs w:val="24"/>
        </w:rPr>
        <w:t xml:space="preserve">living </w:t>
      </w:r>
      <w:r>
        <w:rPr>
          <w:rFonts w:ascii="Times New Roman" w:hAnsi="Times New Roman" w:cs="Times New Roman"/>
          <w:sz w:val="24"/>
          <w:szCs w:val="24"/>
        </w:rPr>
        <w:t>organisms. In some cases these compounds have been honed by hundreds of millions of years of evolution to have exquisite selectivity and potency in biological systems</w:t>
      </w:r>
      <w:r w:rsidR="00FC4511">
        <w:rPr>
          <w:rFonts w:ascii="Times New Roman" w:hAnsi="Times New Roman" w:cs="Times New Roman"/>
          <w:sz w:val="24"/>
          <w:szCs w:val="24"/>
        </w:rPr>
        <w:t xml:space="preserve">. </w:t>
      </w:r>
      <w:r>
        <w:rPr>
          <w:rFonts w:ascii="Times New Roman" w:hAnsi="Times New Roman" w:cs="Times New Roman"/>
          <w:sz w:val="24"/>
          <w:szCs w:val="24"/>
        </w:rPr>
        <w:t xml:space="preserve">In some cases the biological effect produced by evolution has been harnessed by </w:t>
      </w:r>
      <w:r w:rsidR="009F6E55">
        <w:rPr>
          <w:rFonts w:ascii="Times New Roman" w:hAnsi="Times New Roman" w:cs="Times New Roman"/>
          <w:sz w:val="24"/>
          <w:szCs w:val="24"/>
        </w:rPr>
        <w:t>hu</w:t>
      </w:r>
      <w:r>
        <w:rPr>
          <w:rFonts w:ascii="Times New Roman" w:hAnsi="Times New Roman" w:cs="Times New Roman"/>
          <w:sz w:val="24"/>
          <w:szCs w:val="24"/>
        </w:rPr>
        <w:t>man</w:t>
      </w:r>
      <w:r w:rsidR="009F6E55">
        <w:rPr>
          <w:rFonts w:ascii="Times New Roman" w:hAnsi="Times New Roman" w:cs="Times New Roman"/>
          <w:sz w:val="24"/>
          <w:szCs w:val="24"/>
        </w:rPr>
        <w:t>s</w:t>
      </w:r>
      <w:r>
        <w:rPr>
          <w:rFonts w:ascii="Times New Roman" w:hAnsi="Times New Roman" w:cs="Times New Roman"/>
          <w:sz w:val="24"/>
          <w:szCs w:val="24"/>
        </w:rPr>
        <w:t xml:space="preserve"> to provide beneficial</w:t>
      </w:r>
      <w:r w:rsidR="00FD3DE0">
        <w:rPr>
          <w:rFonts w:ascii="Times New Roman" w:hAnsi="Times New Roman" w:cs="Times New Roman"/>
          <w:sz w:val="24"/>
          <w:szCs w:val="24"/>
        </w:rPr>
        <w:t xml:space="preserve"> </w:t>
      </w:r>
      <w:r>
        <w:rPr>
          <w:rFonts w:ascii="Times New Roman" w:hAnsi="Times New Roman" w:cs="Times New Roman"/>
          <w:sz w:val="24"/>
          <w:szCs w:val="24"/>
        </w:rPr>
        <w:t>therapeutic effects and m</w:t>
      </w:r>
      <w:r w:rsidRPr="001F4E91">
        <w:rPr>
          <w:rFonts w:ascii="Times New Roman" w:hAnsi="Times New Roman" w:cs="Times New Roman"/>
          <w:sz w:val="24"/>
          <w:szCs w:val="24"/>
        </w:rPr>
        <w:t xml:space="preserve">any currently </w:t>
      </w:r>
      <w:r>
        <w:rPr>
          <w:rFonts w:ascii="Times New Roman" w:hAnsi="Times New Roman" w:cs="Times New Roman"/>
          <w:sz w:val="24"/>
          <w:szCs w:val="24"/>
        </w:rPr>
        <w:t>approved</w:t>
      </w:r>
      <w:r w:rsidRPr="001F4E91">
        <w:rPr>
          <w:rFonts w:ascii="Times New Roman" w:hAnsi="Times New Roman" w:cs="Times New Roman"/>
          <w:sz w:val="24"/>
          <w:szCs w:val="24"/>
        </w:rPr>
        <w:t xml:space="preserve"> drugs have their origin in plant</w:t>
      </w:r>
      <w:r>
        <w:rPr>
          <w:rFonts w:ascii="Times New Roman" w:hAnsi="Times New Roman" w:cs="Times New Roman"/>
          <w:sz w:val="24"/>
          <w:szCs w:val="24"/>
        </w:rPr>
        <w:t xml:space="preserve">s and fungi </w:t>
      </w:r>
      <w:r w:rsidRPr="001F4E91">
        <w:rPr>
          <w:rStyle w:val="FootnoteReference"/>
          <w:rFonts w:ascii="Times New Roman" w:hAnsi="Times New Roman" w:cs="Times New Roman"/>
          <w:sz w:val="24"/>
          <w:szCs w:val="24"/>
        </w:rPr>
        <w:footnoteReference w:id="9"/>
      </w:r>
      <w:r w:rsidR="000617BC">
        <w:rPr>
          <w:rFonts w:ascii="Times New Roman" w:hAnsi="Times New Roman" w:cs="Times New Roman"/>
          <w:sz w:val="24"/>
          <w:szCs w:val="24"/>
        </w:rPr>
        <w:t xml:space="preserve"> or animal venoms.</w:t>
      </w:r>
      <w:r>
        <w:rPr>
          <w:rStyle w:val="FootnoteReference"/>
          <w:rFonts w:ascii="Times New Roman" w:hAnsi="Times New Roman" w:cs="Times New Roman"/>
          <w:sz w:val="24"/>
          <w:szCs w:val="24"/>
        </w:rPr>
        <w:footnoteReference w:id="10"/>
      </w:r>
    </w:p>
    <w:p w:rsidR="00B969F4" w:rsidRDefault="0097350C" w:rsidP="008B3B62">
      <w:pPr>
        <w:spacing w:line="360" w:lineRule="auto"/>
        <w:jc w:val="both"/>
        <w:rPr>
          <w:rFonts w:ascii="Times New Roman" w:hAnsi="Times New Roman" w:cs="Times New Roman"/>
          <w:sz w:val="24"/>
          <w:szCs w:val="24"/>
        </w:rPr>
      </w:pPr>
      <w:r>
        <w:rPr>
          <w:rFonts w:ascii="Times New Roman" w:hAnsi="Times New Roman" w:cs="Times New Roman"/>
          <w:sz w:val="24"/>
          <w:szCs w:val="24"/>
        </w:rPr>
        <w:t>Often</w:t>
      </w:r>
      <w:r w:rsidRPr="001F4E91">
        <w:rPr>
          <w:rFonts w:ascii="Times New Roman" w:hAnsi="Times New Roman" w:cs="Times New Roman"/>
          <w:sz w:val="24"/>
          <w:szCs w:val="24"/>
        </w:rPr>
        <w:t xml:space="preserve"> the Western understanding that a </w:t>
      </w:r>
      <w:r>
        <w:rPr>
          <w:rFonts w:ascii="Times New Roman" w:hAnsi="Times New Roman" w:cs="Times New Roman"/>
          <w:sz w:val="24"/>
          <w:szCs w:val="24"/>
        </w:rPr>
        <w:t>particular organism</w:t>
      </w:r>
      <w:r w:rsidRPr="001F4E91">
        <w:rPr>
          <w:rFonts w:ascii="Times New Roman" w:hAnsi="Times New Roman" w:cs="Times New Roman"/>
          <w:sz w:val="24"/>
          <w:szCs w:val="24"/>
        </w:rPr>
        <w:t xml:space="preserve"> contained a compound of potential therapeutic benefit arose out of the knowledge of folk-healers or traditional medicine systems.</w:t>
      </w:r>
      <w:r w:rsidRPr="001F4E91">
        <w:rPr>
          <w:rStyle w:val="FootnoteReference"/>
          <w:rFonts w:ascii="Times New Roman" w:hAnsi="Times New Roman" w:cs="Times New Roman"/>
          <w:sz w:val="24"/>
          <w:szCs w:val="24"/>
        </w:rPr>
        <w:footnoteReference w:id="11"/>
      </w:r>
      <w:r w:rsidRPr="001F4E91">
        <w:rPr>
          <w:rFonts w:ascii="Times New Roman" w:hAnsi="Times New Roman" w:cs="Times New Roman"/>
          <w:sz w:val="24"/>
          <w:szCs w:val="24"/>
        </w:rPr>
        <w:t xml:space="preserve"> </w:t>
      </w:r>
      <w:r>
        <w:rPr>
          <w:rFonts w:ascii="Times New Roman" w:hAnsi="Times New Roman" w:cs="Times New Roman"/>
          <w:sz w:val="24"/>
          <w:szCs w:val="24"/>
        </w:rPr>
        <w:t xml:space="preserve">In many historical cases, those Western ethnobotanists and scientists </w:t>
      </w:r>
      <w:r>
        <w:rPr>
          <w:rFonts w:ascii="Times New Roman" w:hAnsi="Times New Roman" w:cs="Times New Roman"/>
          <w:sz w:val="24"/>
          <w:szCs w:val="24"/>
        </w:rPr>
        <w:lastRenderedPageBreak/>
        <w:t xml:space="preserve">accessing and using </w:t>
      </w:r>
      <w:r w:rsidR="009D733D">
        <w:rPr>
          <w:rFonts w:ascii="Times New Roman" w:hAnsi="Times New Roman" w:cs="Times New Roman"/>
          <w:sz w:val="24"/>
          <w:szCs w:val="24"/>
        </w:rPr>
        <w:t xml:space="preserve">TKAGR </w:t>
      </w:r>
      <w:r>
        <w:rPr>
          <w:rFonts w:ascii="Times New Roman" w:hAnsi="Times New Roman" w:cs="Times New Roman"/>
          <w:sz w:val="24"/>
          <w:szCs w:val="24"/>
        </w:rPr>
        <w:t>have treated this knowledge as a “public good” and have treated the originators of this knowledge to be undeserving of recognition</w:t>
      </w:r>
      <w:r w:rsidR="008D0FFE">
        <w:rPr>
          <w:rFonts w:ascii="Times New Roman" w:hAnsi="Times New Roman" w:cs="Times New Roman"/>
          <w:sz w:val="24"/>
          <w:szCs w:val="24"/>
        </w:rPr>
        <w:t>,</w:t>
      </w:r>
      <w:r>
        <w:rPr>
          <w:rFonts w:ascii="Times New Roman" w:hAnsi="Times New Roman" w:cs="Times New Roman"/>
          <w:sz w:val="24"/>
          <w:szCs w:val="24"/>
        </w:rPr>
        <w:t xml:space="preserve"> or reward</w:t>
      </w:r>
      <w:r w:rsidR="008D0FFE">
        <w:rPr>
          <w:rFonts w:ascii="Times New Roman" w:hAnsi="Times New Roman" w:cs="Times New Roman"/>
          <w:sz w:val="24"/>
          <w:szCs w:val="24"/>
        </w:rPr>
        <w:t>,</w:t>
      </w:r>
      <w:r>
        <w:rPr>
          <w:rFonts w:ascii="Times New Roman" w:hAnsi="Times New Roman" w:cs="Times New Roman"/>
          <w:sz w:val="24"/>
          <w:szCs w:val="24"/>
        </w:rPr>
        <w:t xml:space="preserve"> for its subsequent use</w:t>
      </w:r>
      <w:r w:rsidR="008D0FFE">
        <w:rPr>
          <w:rFonts w:ascii="Times New Roman" w:hAnsi="Times New Roman" w:cs="Times New Roman"/>
          <w:sz w:val="24"/>
          <w:szCs w:val="24"/>
        </w:rPr>
        <w:t>,</w:t>
      </w:r>
      <w:r>
        <w:rPr>
          <w:rFonts w:ascii="Times New Roman" w:hAnsi="Times New Roman" w:cs="Times New Roman"/>
          <w:sz w:val="24"/>
          <w:szCs w:val="24"/>
        </w:rPr>
        <w:t xml:space="preserve"> and similarly undeserving of any degree of control over the use of the information.</w:t>
      </w:r>
      <w:r>
        <w:rPr>
          <w:rStyle w:val="FootnoteReference"/>
        </w:rPr>
        <w:footnoteReference w:id="12"/>
      </w:r>
      <w:r w:rsidR="00B30C21">
        <w:rPr>
          <w:rFonts w:ascii="Times New Roman" w:hAnsi="Times New Roman" w:cs="Times New Roman"/>
          <w:sz w:val="24"/>
          <w:szCs w:val="24"/>
        </w:rPr>
        <w:t xml:space="preserve"> </w:t>
      </w:r>
      <w:r w:rsidR="0027610B">
        <w:rPr>
          <w:rFonts w:ascii="Times New Roman" w:hAnsi="Times New Roman" w:cs="Times New Roman"/>
          <w:sz w:val="24"/>
          <w:szCs w:val="24"/>
        </w:rPr>
        <w:t xml:space="preserve"> </w:t>
      </w:r>
    </w:p>
    <w:p w:rsidR="00DB2E93" w:rsidRDefault="00E8736B" w:rsidP="008B3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Longstanding political </w:t>
      </w:r>
      <w:r w:rsidR="0097366D">
        <w:rPr>
          <w:rFonts w:ascii="Times New Roman" w:hAnsi="Times New Roman" w:cs="Times New Roman"/>
          <w:sz w:val="24"/>
          <w:szCs w:val="24"/>
        </w:rPr>
        <w:t>c</w:t>
      </w:r>
      <w:r w:rsidR="0097366D" w:rsidRPr="0097366D">
        <w:rPr>
          <w:rFonts w:ascii="Times New Roman" w:hAnsi="Times New Roman" w:cs="Times New Roman"/>
          <w:sz w:val="24"/>
          <w:szCs w:val="24"/>
        </w:rPr>
        <w:t xml:space="preserve">oncerns </w:t>
      </w:r>
      <w:r w:rsidR="0097366D">
        <w:rPr>
          <w:rFonts w:ascii="Times New Roman" w:hAnsi="Times New Roman" w:cs="Times New Roman"/>
          <w:sz w:val="24"/>
          <w:szCs w:val="24"/>
        </w:rPr>
        <w:t>as to</w:t>
      </w:r>
      <w:r w:rsidR="0097366D" w:rsidRPr="0097366D">
        <w:rPr>
          <w:rFonts w:ascii="Times New Roman" w:hAnsi="Times New Roman" w:cs="Times New Roman"/>
          <w:sz w:val="24"/>
          <w:szCs w:val="24"/>
        </w:rPr>
        <w:t xml:space="preserve"> the unfairness </w:t>
      </w:r>
      <w:r w:rsidR="0097366D" w:rsidRPr="00B30C21">
        <w:rPr>
          <w:rFonts w:ascii="Times New Roman" w:hAnsi="Times New Roman" w:cs="Times New Roman"/>
          <w:sz w:val="24"/>
          <w:szCs w:val="24"/>
        </w:rPr>
        <w:t>of the</w:t>
      </w:r>
      <w:r w:rsidR="0097366D">
        <w:t xml:space="preserve"> </w:t>
      </w:r>
      <w:r w:rsidR="0097350C" w:rsidRPr="00780276">
        <w:rPr>
          <w:rFonts w:ascii="Times New Roman" w:hAnsi="Times New Roman" w:cs="Times New Roman"/>
          <w:sz w:val="24"/>
          <w:szCs w:val="24"/>
        </w:rPr>
        <w:t xml:space="preserve">situation </w:t>
      </w:r>
      <w:r w:rsidR="0097366D">
        <w:rPr>
          <w:rFonts w:ascii="Times New Roman" w:hAnsi="Times New Roman" w:cs="Times New Roman"/>
          <w:sz w:val="24"/>
          <w:szCs w:val="24"/>
        </w:rPr>
        <w:t>in which</w:t>
      </w:r>
      <w:r w:rsidR="0097350C" w:rsidRPr="00780276">
        <w:rPr>
          <w:rFonts w:ascii="Times New Roman" w:hAnsi="Times New Roman" w:cs="Times New Roman"/>
          <w:sz w:val="24"/>
          <w:szCs w:val="24"/>
        </w:rPr>
        <w:t xml:space="preserve"> a genetic resource</w:t>
      </w:r>
      <w:r w:rsidR="00316E16">
        <w:rPr>
          <w:rFonts w:ascii="Times New Roman" w:hAnsi="Times New Roman" w:cs="Times New Roman"/>
          <w:sz w:val="24"/>
          <w:szCs w:val="24"/>
        </w:rPr>
        <w:t xml:space="preserve"> </w:t>
      </w:r>
      <w:r w:rsidR="0097350C" w:rsidRPr="00780276">
        <w:rPr>
          <w:rFonts w:ascii="Times New Roman" w:hAnsi="Times New Roman" w:cs="Times New Roman"/>
          <w:sz w:val="24"/>
          <w:szCs w:val="24"/>
        </w:rPr>
        <w:t>(and</w:t>
      </w:r>
      <w:r w:rsidR="00B969F4">
        <w:rPr>
          <w:rFonts w:ascii="Times New Roman" w:hAnsi="Times New Roman" w:cs="Times New Roman"/>
          <w:sz w:val="24"/>
          <w:szCs w:val="24"/>
        </w:rPr>
        <w:t xml:space="preserve"> relevant TKAGR</w:t>
      </w:r>
      <w:r w:rsidR="0097350C">
        <w:rPr>
          <w:rFonts w:ascii="Times New Roman" w:hAnsi="Times New Roman" w:cs="Times New Roman"/>
          <w:sz w:val="24"/>
          <w:szCs w:val="24"/>
        </w:rPr>
        <w:t xml:space="preserve">) </w:t>
      </w:r>
      <w:r w:rsidR="0097350C" w:rsidRPr="00780276">
        <w:rPr>
          <w:rFonts w:ascii="Times New Roman" w:hAnsi="Times New Roman" w:cs="Times New Roman"/>
          <w:sz w:val="24"/>
          <w:szCs w:val="24"/>
        </w:rPr>
        <w:t xml:space="preserve">obtained from indigenous peoples </w:t>
      </w:r>
      <w:r w:rsidR="0097350C">
        <w:rPr>
          <w:rFonts w:ascii="Times New Roman" w:hAnsi="Times New Roman" w:cs="Times New Roman"/>
          <w:sz w:val="24"/>
          <w:szCs w:val="24"/>
        </w:rPr>
        <w:t xml:space="preserve">is </w:t>
      </w:r>
      <w:r w:rsidR="0097350C" w:rsidRPr="00780276">
        <w:rPr>
          <w:rFonts w:ascii="Times New Roman" w:hAnsi="Times New Roman" w:cs="Times New Roman"/>
          <w:sz w:val="24"/>
          <w:szCs w:val="24"/>
        </w:rPr>
        <w:t xml:space="preserve">used scientifically, or commercially, without </w:t>
      </w:r>
      <w:r w:rsidR="0097350C">
        <w:rPr>
          <w:rFonts w:ascii="Times New Roman" w:hAnsi="Times New Roman" w:cs="Times New Roman"/>
          <w:sz w:val="24"/>
          <w:szCs w:val="24"/>
        </w:rPr>
        <w:t>their consent and/or without those</w:t>
      </w:r>
      <w:r w:rsidR="0097350C" w:rsidRPr="00780276">
        <w:rPr>
          <w:rFonts w:ascii="Times New Roman" w:hAnsi="Times New Roman" w:cs="Times New Roman"/>
          <w:sz w:val="24"/>
          <w:szCs w:val="24"/>
        </w:rPr>
        <w:t xml:space="preserve"> indigenous peoples having received any benefit from the “downstream” use of said genetic resources </w:t>
      </w:r>
      <w:r w:rsidR="0097350C">
        <w:rPr>
          <w:rFonts w:ascii="Times New Roman" w:hAnsi="Times New Roman" w:cs="Times New Roman"/>
          <w:sz w:val="24"/>
          <w:szCs w:val="24"/>
        </w:rPr>
        <w:t>and/</w:t>
      </w:r>
      <w:r w:rsidR="0097350C" w:rsidRPr="00780276">
        <w:rPr>
          <w:rFonts w:ascii="Times New Roman" w:hAnsi="Times New Roman" w:cs="Times New Roman"/>
          <w:sz w:val="24"/>
          <w:szCs w:val="24"/>
        </w:rPr>
        <w:t xml:space="preserve">or </w:t>
      </w:r>
      <w:r w:rsidR="0097350C">
        <w:rPr>
          <w:rFonts w:ascii="Times New Roman" w:hAnsi="Times New Roman" w:cs="Times New Roman"/>
          <w:sz w:val="24"/>
          <w:szCs w:val="24"/>
        </w:rPr>
        <w:t xml:space="preserve">the </w:t>
      </w:r>
      <w:r w:rsidR="0097350C" w:rsidRPr="00780276">
        <w:rPr>
          <w:rFonts w:ascii="Times New Roman" w:hAnsi="Times New Roman" w:cs="Times New Roman"/>
          <w:sz w:val="24"/>
          <w:szCs w:val="24"/>
        </w:rPr>
        <w:t>related</w:t>
      </w:r>
      <w:r w:rsidR="0097350C">
        <w:rPr>
          <w:rFonts w:ascii="Times New Roman" w:hAnsi="Times New Roman" w:cs="Times New Roman"/>
          <w:sz w:val="24"/>
          <w:szCs w:val="24"/>
        </w:rPr>
        <w:t xml:space="preserve"> </w:t>
      </w:r>
      <w:r w:rsidR="0097350C" w:rsidRPr="00780276">
        <w:rPr>
          <w:rFonts w:ascii="Times New Roman" w:hAnsi="Times New Roman" w:cs="Times New Roman"/>
          <w:sz w:val="24"/>
          <w:szCs w:val="24"/>
        </w:rPr>
        <w:t>information</w:t>
      </w:r>
      <w:r w:rsidR="00B30C21">
        <w:rPr>
          <w:rFonts w:ascii="Times New Roman" w:hAnsi="Times New Roman" w:cs="Times New Roman"/>
          <w:sz w:val="24"/>
          <w:szCs w:val="24"/>
        </w:rPr>
        <w:t>,</w:t>
      </w:r>
      <w:r>
        <w:rPr>
          <w:rFonts w:ascii="Times New Roman" w:hAnsi="Times New Roman" w:cs="Times New Roman"/>
          <w:sz w:val="24"/>
          <w:szCs w:val="24"/>
        </w:rPr>
        <w:t xml:space="preserve"> </w:t>
      </w:r>
      <w:r w:rsidR="0097350C" w:rsidRPr="00780276">
        <w:rPr>
          <w:rFonts w:ascii="Times New Roman" w:hAnsi="Times New Roman" w:cs="Times New Roman"/>
          <w:sz w:val="24"/>
          <w:szCs w:val="24"/>
        </w:rPr>
        <w:t>led to a movement to secure legal mechanisms by which</w:t>
      </w:r>
      <w:r w:rsidR="0073261C">
        <w:rPr>
          <w:rFonts w:ascii="Times New Roman" w:hAnsi="Times New Roman" w:cs="Times New Roman"/>
          <w:sz w:val="24"/>
          <w:szCs w:val="24"/>
        </w:rPr>
        <w:t>:</w:t>
      </w:r>
      <w:r w:rsidR="0097350C" w:rsidRPr="00780276">
        <w:rPr>
          <w:rFonts w:ascii="Times New Roman" w:hAnsi="Times New Roman" w:cs="Times New Roman"/>
          <w:sz w:val="24"/>
          <w:szCs w:val="24"/>
        </w:rPr>
        <w:t xml:space="preserve"> </w:t>
      </w:r>
      <w:r w:rsidR="0073261C">
        <w:rPr>
          <w:rFonts w:ascii="Times New Roman" w:hAnsi="Times New Roman" w:cs="Times New Roman"/>
          <w:sz w:val="24"/>
          <w:szCs w:val="24"/>
        </w:rPr>
        <w:t xml:space="preserve">a) </w:t>
      </w:r>
      <w:r w:rsidR="00FC4511" w:rsidRPr="009D733D">
        <w:rPr>
          <w:rFonts w:ascii="Times New Roman" w:hAnsi="Times New Roman" w:cs="Times New Roman"/>
          <w:sz w:val="24"/>
          <w:szCs w:val="24"/>
        </w:rPr>
        <w:t xml:space="preserve">countries and </w:t>
      </w:r>
      <w:r w:rsidR="0097350C" w:rsidRPr="009D733D">
        <w:rPr>
          <w:rFonts w:ascii="Times New Roman" w:hAnsi="Times New Roman" w:cs="Times New Roman"/>
          <w:sz w:val="24"/>
          <w:szCs w:val="24"/>
        </w:rPr>
        <w:t>indigenous peoples would gain control over genetic resources</w:t>
      </w:r>
      <w:r w:rsidR="009D733D" w:rsidRPr="009D733D">
        <w:rPr>
          <w:rFonts w:ascii="Times New Roman" w:hAnsi="Times New Roman" w:cs="Times New Roman"/>
          <w:sz w:val="24"/>
          <w:szCs w:val="24"/>
        </w:rPr>
        <w:t>;</w:t>
      </w:r>
      <w:r w:rsidR="0097350C" w:rsidRPr="009D733D">
        <w:rPr>
          <w:rFonts w:ascii="Times New Roman" w:hAnsi="Times New Roman" w:cs="Times New Roman"/>
          <w:sz w:val="24"/>
          <w:szCs w:val="24"/>
        </w:rPr>
        <w:t xml:space="preserve"> and</w:t>
      </w:r>
      <w:r w:rsidR="0073261C" w:rsidRPr="009D733D">
        <w:rPr>
          <w:rFonts w:ascii="Times New Roman" w:hAnsi="Times New Roman" w:cs="Times New Roman"/>
          <w:sz w:val="24"/>
          <w:szCs w:val="24"/>
        </w:rPr>
        <w:t>,</w:t>
      </w:r>
      <w:r w:rsidR="0097350C" w:rsidRPr="009D733D">
        <w:rPr>
          <w:rFonts w:ascii="Times New Roman" w:hAnsi="Times New Roman" w:cs="Times New Roman"/>
          <w:sz w:val="24"/>
          <w:szCs w:val="24"/>
        </w:rPr>
        <w:t xml:space="preserve"> </w:t>
      </w:r>
      <w:r w:rsidR="0073261C" w:rsidRPr="009D733D">
        <w:rPr>
          <w:rFonts w:ascii="Times New Roman" w:hAnsi="Times New Roman" w:cs="Times New Roman"/>
          <w:sz w:val="24"/>
          <w:szCs w:val="24"/>
        </w:rPr>
        <w:t>separately, b) indigenous peoples would gain control over T</w:t>
      </w:r>
      <w:r w:rsidR="009D733D" w:rsidRPr="009D733D">
        <w:rPr>
          <w:rFonts w:ascii="Times New Roman" w:hAnsi="Times New Roman" w:cs="Times New Roman"/>
          <w:sz w:val="24"/>
          <w:szCs w:val="24"/>
        </w:rPr>
        <w:t>K</w:t>
      </w:r>
      <w:r w:rsidR="0073261C" w:rsidRPr="009D733D">
        <w:rPr>
          <w:rFonts w:ascii="Times New Roman" w:hAnsi="Times New Roman" w:cs="Times New Roman"/>
          <w:sz w:val="24"/>
          <w:szCs w:val="24"/>
        </w:rPr>
        <w:t>A</w:t>
      </w:r>
      <w:r w:rsidR="009D733D" w:rsidRPr="009D733D">
        <w:rPr>
          <w:rFonts w:ascii="Times New Roman" w:hAnsi="Times New Roman" w:cs="Times New Roman"/>
          <w:sz w:val="24"/>
          <w:szCs w:val="24"/>
        </w:rPr>
        <w:t>G</w:t>
      </w:r>
      <w:r w:rsidR="0073261C" w:rsidRPr="009D733D">
        <w:rPr>
          <w:rFonts w:ascii="Times New Roman" w:hAnsi="Times New Roman" w:cs="Times New Roman"/>
          <w:sz w:val="24"/>
          <w:szCs w:val="24"/>
        </w:rPr>
        <w:t>R,</w:t>
      </w:r>
      <w:r w:rsidR="0097350C" w:rsidRPr="009D733D">
        <w:rPr>
          <w:rFonts w:ascii="Times New Roman" w:hAnsi="Times New Roman" w:cs="Times New Roman"/>
          <w:sz w:val="24"/>
          <w:szCs w:val="24"/>
        </w:rPr>
        <w:t xml:space="preserve"> such that misappropriation could no longer occur</w:t>
      </w:r>
      <w:r w:rsidR="008B3B62" w:rsidRPr="009D733D">
        <w:rPr>
          <w:rFonts w:ascii="Times New Roman" w:hAnsi="Times New Roman" w:cs="Times New Roman"/>
          <w:sz w:val="24"/>
          <w:szCs w:val="24"/>
        </w:rPr>
        <w:t>.</w:t>
      </w:r>
    </w:p>
    <w:p w:rsidR="00316E16" w:rsidRPr="009D733D" w:rsidRDefault="0073261C" w:rsidP="008B3B62">
      <w:pPr>
        <w:spacing w:line="360" w:lineRule="auto"/>
        <w:jc w:val="both"/>
        <w:rPr>
          <w:rFonts w:ascii="Times New Roman" w:hAnsi="Times New Roman" w:cs="Times New Roman"/>
          <w:sz w:val="24"/>
          <w:szCs w:val="24"/>
        </w:rPr>
      </w:pPr>
      <w:r w:rsidRPr="0073261C">
        <w:rPr>
          <w:rFonts w:ascii="Times New Roman" w:hAnsi="Times New Roman" w:cs="Times New Roman"/>
          <w:sz w:val="24"/>
          <w:szCs w:val="24"/>
        </w:rPr>
        <w:t>It is worth noting that</w:t>
      </w:r>
      <w:r>
        <w:t xml:space="preserve"> </w:t>
      </w:r>
      <w:r>
        <w:rPr>
          <w:rFonts w:ascii="Times New Roman" w:hAnsi="Times New Roman" w:cs="Times New Roman"/>
          <w:sz w:val="24"/>
          <w:szCs w:val="24"/>
        </w:rPr>
        <w:t xml:space="preserve">such resources are not easily protected through “classical” intellectual property rights </w:t>
      </w:r>
      <w:r w:rsidR="00DB2E93">
        <w:rPr>
          <w:rFonts w:ascii="Times New Roman" w:hAnsi="Times New Roman" w:cs="Times New Roman"/>
          <w:sz w:val="24"/>
          <w:szCs w:val="24"/>
        </w:rPr>
        <w:t>(</w:t>
      </w:r>
      <w:r w:rsidR="00DB2E93" w:rsidRPr="00780276">
        <w:rPr>
          <w:rFonts w:ascii="Times New Roman" w:hAnsi="Times New Roman" w:cs="Times New Roman"/>
          <w:sz w:val="24"/>
          <w:szCs w:val="24"/>
        </w:rPr>
        <w:t>such as copyright, patents, utility models, trade secrets, trade marks, plant variety protection, or geographical indication</w:t>
      </w:r>
      <w:r w:rsidR="00DB2E93">
        <w:rPr>
          <w:rFonts w:ascii="Times New Roman" w:hAnsi="Times New Roman" w:cs="Times New Roman"/>
          <w:sz w:val="24"/>
          <w:szCs w:val="24"/>
        </w:rPr>
        <w:t>s), or through the law of confidence</w:t>
      </w:r>
      <w:r w:rsidR="00DB2E93" w:rsidRPr="00780276">
        <w:rPr>
          <w:rFonts w:ascii="Times New Roman" w:hAnsi="Times New Roman" w:cs="Times New Roman"/>
          <w:sz w:val="24"/>
          <w:szCs w:val="24"/>
        </w:rPr>
        <w:t>.</w:t>
      </w:r>
      <w:r w:rsidR="00DB2E93" w:rsidRPr="00780276">
        <w:rPr>
          <w:rStyle w:val="FootnoteReference"/>
          <w:rFonts w:ascii="Times New Roman" w:hAnsi="Times New Roman" w:cs="Times New Roman"/>
          <w:sz w:val="24"/>
          <w:szCs w:val="24"/>
        </w:rPr>
        <w:footnoteReference w:id="13"/>
      </w:r>
      <w:r w:rsidR="00DB2E93" w:rsidRPr="00780276">
        <w:rPr>
          <w:rFonts w:ascii="Times New Roman" w:hAnsi="Times New Roman" w:cs="Times New Roman"/>
          <w:sz w:val="24"/>
          <w:szCs w:val="24"/>
        </w:rPr>
        <w:t xml:space="preserve"> </w:t>
      </w:r>
      <w:r w:rsidR="00DB2E93">
        <w:rPr>
          <w:rFonts w:ascii="Times New Roman" w:hAnsi="Times New Roman" w:cs="Times New Roman"/>
          <w:sz w:val="24"/>
          <w:szCs w:val="24"/>
        </w:rPr>
        <w:t>F</w:t>
      </w:r>
      <w:r>
        <w:rPr>
          <w:rFonts w:ascii="Times New Roman" w:hAnsi="Times New Roman" w:cs="Times New Roman"/>
          <w:sz w:val="24"/>
          <w:szCs w:val="24"/>
        </w:rPr>
        <w:t>or example</w:t>
      </w:r>
      <w:r w:rsidR="00DB2E93">
        <w:rPr>
          <w:rFonts w:ascii="Times New Roman" w:hAnsi="Times New Roman" w:cs="Times New Roman"/>
          <w:sz w:val="24"/>
          <w:szCs w:val="24"/>
        </w:rPr>
        <w:t>,</w:t>
      </w:r>
      <w:r>
        <w:rPr>
          <w:rFonts w:ascii="Times New Roman" w:hAnsi="Times New Roman" w:cs="Times New Roman"/>
          <w:sz w:val="24"/>
          <w:szCs w:val="24"/>
        </w:rPr>
        <w:t xml:space="preserve"> the multi-generational nature of much indigenous knowledge of the properties of a genetic resource would </w:t>
      </w:r>
      <w:r w:rsidR="008D0FFE">
        <w:rPr>
          <w:rFonts w:ascii="Times New Roman" w:hAnsi="Times New Roman" w:cs="Times New Roman"/>
          <w:sz w:val="24"/>
          <w:szCs w:val="24"/>
        </w:rPr>
        <w:t xml:space="preserve">inherently </w:t>
      </w:r>
      <w:r>
        <w:rPr>
          <w:rFonts w:ascii="Times New Roman" w:hAnsi="Times New Roman" w:cs="Times New Roman"/>
          <w:sz w:val="24"/>
          <w:szCs w:val="24"/>
        </w:rPr>
        <w:t xml:space="preserve">render any potential patent protection for such “inventions” invalid for lack or novelty. </w:t>
      </w:r>
      <w:r w:rsidR="00DB2E93">
        <w:rPr>
          <w:rFonts w:ascii="Times New Roman" w:hAnsi="Times New Roman" w:cs="Times New Roman"/>
          <w:sz w:val="24"/>
          <w:szCs w:val="24"/>
        </w:rPr>
        <w:t xml:space="preserve">Accordingly, protection of these rights has focused on the creation of a </w:t>
      </w:r>
      <w:r w:rsidR="00DB2E93" w:rsidRPr="007F3E15">
        <w:rPr>
          <w:rFonts w:ascii="Times New Roman" w:eastAsia="Times New Roman" w:hAnsi="Times New Roman" w:cs="Times New Roman"/>
          <w:i/>
          <w:sz w:val="24"/>
          <w:szCs w:val="24"/>
        </w:rPr>
        <w:t>sui generis</w:t>
      </w:r>
      <w:r w:rsidR="00DB2E93">
        <w:rPr>
          <w:rFonts w:ascii="Times New Roman" w:eastAsia="Times New Roman" w:hAnsi="Times New Roman" w:cs="Times New Roman"/>
          <w:sz w:val="24"/>
          <w:szCs w:val="24"/>
        </w:rPr>
        <w:t xml:space="preserve"> </w:t>
      </w:r>
      <w:r w:rsidR="008D0FFE">
        <w:rPr>
          <w:rFonts w:ascii="Times New Roman" w:eastAsia="Times New Roman" w:hAnsi="Times New Roman" w:cs="Times New Roman"/>
          <w:sz w:val="24"/>
          <w:szCs w:val="24"/>
        </w:rPr>
        <w:t>system</w:t>
      </w:r>
      <w:r w:rsidR="00DB2E93">
        <w:rPr>
          <w:rFonts w:ascii="Times New Roman" w:eastAsia="Times New Roman" w:hAnsi="Times New Roman" w:cs="Times New Roman"/>
          <w:sz w:val="24"/>
          <w:szCs w:val="24"/>
        </w:rPr>
        <w:t xml:space="preserve"> which, independent of currently-established intellectual property rights, would ensure that genetic resources and related knowledge could only be controlled by those originally holding the resource or information.</w:t>
      </w:r>
      <w:r w:rsidR="00D95BE2">
        <w:rPr>
          <w:rFonts w:ascii="Times New Roman" w:hAnsi="Times New Roman" w:cs="Times New Roman"/>
          <w:sz w:val="24"/>
          <w:szCs w:val="24"/>
        </w:rPr>
        <w:t xml:space="preserve"> </w:t>
      </w:r>
    </w:p>
    <w:p w:rsidR="005E02C6" w:rsidRPr="008B3B62" w:rsidRDefault="00316E16" w:rsidP="008B3B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CBD came into force on </w:t>
      </w:r>
      <w:r w:rsidR="005E02C6" w:rsidRPr="008B3B62">
        <w:rPr>
          <w:rFonts w:ascii="Times New Roman" w:hAnsi="Times New Roman" w:cs="Times New Roman"/>
          <w:sz w:val="24"/>
          <w:szCs w:val="24"/>
        </w:rPr>
        <w:t>29 December 1993, having been ratified by 194 members of the United Nations.</w:t>
      </w:r>
      <w:r w:rsidR="005E02C6" w:rsidRPr="008B3B62">
        <w:rPr>
          <w:rFonts w:ascii="Times New Roman" w:hAnsi="Times New Roman" w:cs="Times New Roman"/>
          <w:sz w:val="24"/>
          <w:szCs w:val="24"/>
          <w:vertAlign w:val="superscript"/>
        </w:rPr>
        <w:footnoteReference w:id="14"/>
      </w:r>
      <w:r w:rsidR="005E02C6" w:rsidRPr="008B3B62">
        <w:rPr>
          <w:rFonts w:ascii="Times New Roman" w:hAnsi="Times New Roman" w:cs="Times New Roman"/>
          <w:sz w:val="24"/>
          <w:szCs w:val="24"/>
          <w:vertAlign w:val="superscript"/>
        </w:rPr>
        <w:t xml:space="preserve"> </w:t>
      </w:r>
      <w:r w:rsidR="00F7280E" w:rsidRPr="008B3B62">
        <w:rPr>
          <w:rFonts w:ascii="Times New Roman" w:hAnsi="Times New Roman" w:cs="Times New Roman"/>
          <w:sz w:val="24"/>
          <w:szCs w:val="24"/>
        </w:rPr>
        <w:t>T</w:t>
      </w:r>
      <w:r w:rsidR="005E02C6" w:rsidRPr="008B3B62">
        <w:rPr>
          <w:rFonts w:ascii="Times New Roman" w:hAnsi="Times New Roman" w:cs="Times New Roman"/>
          <w:sz w:val="24"/>
          <w:szCs w:val="24"/>
        </w:rPr>
        <w:t>he CBD is a convention which looks to protect the biodiversity of the planet,</w:t>
      </w:r>
      <w:r w:rsidR="005E02C6" w:rsidRPr="008B3B62">
        <w:rPr>
          <w:rFonts w:ascii="Times New Roman" w:hAnsi="Times New Roman" w:cs="Times New Roman"/>
          <w:sz w:val="24"/>
          <w:szCs w:val="24"/>
          <w:vertAlign w:val="superscript"/>
        </w:rPr>
        <w:footnoteReference w:id="15"/>
      </w:r>
      <w:r w:rsidR="005E02C6" w:rsidRPr="008B3B62">
        <w:rPr>
          <w:rFonts w:ascii="Times New Roman" w:hAnsi="Times New Roman" w:cs="Times New Roman"/>
          <w:sz w:val="24"/>
          <w:szCs w:val="24"/>
        </w:rPr>
        <w:t xml:space="preserve"> ensuring sustainable use and fair and equitable sharing of the exploitation of </w:t>
      </w:r>
      <w:r w:rsidR="005E02C6" w:rsidRPr="008B3B62">
        <w:rPr>
          <w:rFonts w:ascii="Times New Roman" w:hAnsi="Times New Roman" w:cs="Times New Roman"/>
          <w:sz w:val="24"/>
          <w:szCs w:val="24"/>
        </w:rPr>
        <w:lastRenderedPageBreak/>
        <w:t xml:space="preserve">biodiversity. </w:t>
      </w:r>
      <w:r w:rsidR="0006060B" w:rsidRPr="008B3B62">
        <w:rPr>
          <w:rFonts w:ascii="Times New Roman" w:hAnsi="Times New Roman" w:cs="Times New Roman"/>
          <w:sz w:val="24"/>
          <w:szCs w:val="24"/>
        </w:rPr>
        <w:t>It is toward</w:t>
      </w:r>
      <w:r w:rsidR="005E02C6" w:rsidRPr="008B3B62">
        <w:rPr>
          <w:rFonts w:ascii="Times New Roman" w:hAnsi="Times New Roman" w:cs="Times New Roman"/>
          <w:sz w:val="24"/>
          <w:szCs w:val="24"/>
        </w:rPr>
        <w:t xml:space="preserve"> that final end</w:t>
      </w:r>
      <w:r w:rsidR="0006060B" w:rsidRPr="008B3B62">
        <w:rPr>
          <w:rFonts w:ascii="Times New Roman" w:hAnsi="Times New Roman" w:cs="Times New Roman"/>
          <w:sz w:val="24"/>
          <w:szCs w:val="24"/>
        </w:rPr>
        <w:t xml:space="preserve"> </w:t>
      </w:r>
      <w:r w:rsidR="00E747EB" w:rsidRPr="008B3B62">
        <w:rPr>
          <w:rFonts w:ascii="Times New Roman" w:hAnsi="Times New Roman" w:cs="Times New Roman"/>
          <w:sz w:val="24"/>
          <w:szCs w:val="24"/>
        </w:rPr>
        <w:t xml:space="preserve">that </w:t>
      </w:r>
      <w:r w:rsidR="009B2570" w:rsidRPr="008B3B62">
        <w:rPr>
          <w:rFonts w:ascii="Times New Roman" w:hAnsi="Times New Roman" w:cs="Times New Roman"/>
          <w:sz w:val="24"/>
          <w:szCs w:val="24"/>
        </w:rPr>
        <w:t xml:space="preserve">CBD </w:t>
      </w:r>
      <w:r w:rsidR="00E747EB" w:rsidRPr="008B3B62">
        <w:rPr>
          <w:rFonts w:ascii="Times New Roman" w:hAnsi="Times New Roman" w:cs="Times New Roman"/>
          <w:sz w:val="24"/>
          <w:szCs w:val="24"/>
        </w:rPr>
        <w:t>Article</w:t>
      </w:r>
      <w:r w:rsidR="005E02C6" w:rsidRPr="008B3B62">
        <w:rPr>
          <w:rFonts w:ascii="Times New Roman" w:hAnsi="Times New Roman" w:cs="Times New Roman"/>
          <w:sz w:val="24"/>
          <w:szCs w:val="24"/>
        </w:rPr>
        <w:t xml:space="preserve"> 8(j) requires that each contracting party shall “as far as possible and as appropriate”</w:t>
      </w:r>
      <w:r w:rsidR="005E02C6" w:rsidRPr="00F83235">
        <w:t>:</w:t>
      </w:r>
      <w:r w:rsidR="005E02C6">
        <w:t xml:space="preserve"> </w:t>
      </w:r>
    </w:p>
    <w:p w:rsidR="005E02C6" w:rsidRPr="00F83235" w:rsidRDefault="005E02C6" w:rsidP="005E02C6">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F83235">
        <w:rPr>
          <w:rFonts w:ascii="Times New Roman" w:hAnsi="Times New Roman" w:cs="Times New Roman"/>
          <w:sz w:val="24"/>
          <w:szCs w:val="24"/>
        </w:rPr>
        <w:t>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ED6F5A">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6"/>
      </w:r>
    </w:p>
    <w:p w:rsidR="005E02C6" w:rsidRPr="00F770C4" w:rsidRDefault="008D0FFE" w:rsidP="005E02C6">
      <w:pPr>
        <w:pStyle w:val="NormalWeb"/>
        <w:spacing w:line="360" w:lineRule="auto"/>
        <w:jc w:val="both"/>
        <w:rPr>
          <w:color w:val="000000"/>
        </w:rPr>
      </w:pPr>
      <w:r>
        <w:rPr>
          <w:bCs/>
        </w:rPr>
        <w:t xml:space="preserve">However, </w:t>
      </w:r>
      <w:r w:rsidR="009B2570">
        <w:rPr>
          <w:bCs/>
        </w:rPr>
        <w:t xml:space="preserve">CBD </w:t>
      </w:r>
      <w:r w:rsidR="00FC4511" w:rsidRPr="00817ABF">
        <w:t>Article 8(j)</w:t>
      </w:r>
      <w:r w:rsidR="00D95BE2">
        <w:t xml:space="preserve"> contains no detail as to how its aims should be met</w:t>
      </w:r>
      <w:r w:rsidR="00B43D78">
        <w:t>.</w:t>
      </w:r>
      <w:r w:rsidR="00D95BE2">
        <w:t xml:space="preserve"> </w:t>
      </w:r>
      <w:r w:rsidR="00B43D78">
        <w:t>I</w:t>
      </w:r>
      <w:r w:rsidR="00D95BE2">
        <w:t>n the years after 1993</w:t>
      </w:r>
      <w:r w:rsidR="00B43D78">
        <w:t>,</w:t>
      </w:r>
      <w:r w:rsidR="00D95BE2">
        <w:t xml:space="preserve"> attempts were made to develop consistent guidelines towards </w:t>
      </w:r>
      <w:r w:rsidR="00B43D78">
        <w:t xml:space="preserve">its </w:t>
      </w:r>
      <w:r w:rsidR="00D95BE2">
        <w:t>implementation</w:t>
      </w:r>
      <w:r w:rsidR="00B43D78">
        <w:t xml:space="preserve"> </w:t>
      </w:r>
      <w:r>
        <w:t>culminating in the (non-binding)</w:t>
      </w:r>
      <w:r w:rsidR="00B43D78">
        <w:t xml:space="preserve"> 2002 “</w:t>
      </w:r>
      <w:r w:rsidR="00B43D78" w:rsidRPr="000070BB">
        <w:rPr>
          <w:bCs/>
        </w:rPr>
        <w:t>Bonn Guidelines on Access to Genetic Resources and Fair and Equitable Sharing of the Benefits Arising out of their Utilization</w:t>
      </w:r>
      <w:r w:rsidR="00B43D78">
        <w:rPr>
          <w:bCs/>
        </w:rPr>
        <w:t>.</w:t>
      </w:r>
      <w:r w:rsidR="00B43D78" w:rsidRPr="000070BB">
        <w:rPr>
          <w:bCs/>
        </w:rPr>
        <w:t>”</w:t>
      </w:r>
      <w:r w:rsidR="00B43D78" w:rsidRPr="000070BB">
        <w:rPr>
          <w:rStyle w:val="FootnoteReference"/>
          <w:bCs/>
        </w:rPr>
        <w:footnoteReference w:id="17"/>
      </w:r>
      <w:r w:rsidR="00D95BE2">
        <w:t xml:space="preserve"> </w:t>
      </w:r>
      <w:r w:rsidR="00B43D78">
        <w:t xml:space="preserve">The bringing into </w:t>
      </w:r>
      <w:r w:rsidR="00B43D78" w:rsidRPr="00B43D78">
        <w:rPr>
          <w:i/>
        </w:rPr>
        <w:t>binding</w:t>
      </w:r>
      <w:r w:rsidR="00B43D78">
        <w:t xml:space="preserve"> effect of </w:t>
      </w:r>
      <w:r w:rsidR="00B43D78">
        <w:rPr>
          <w:bCs/>
        </w:rPr>
        <w:t xml:space="preserve">CBD </w:t>
      </w:r>
      <w:r w:rsidR="00B43D78" w:rsidRPr="00817ABF">
        <w:t>Article 8(j)</w:t>
      </w:r>
      <w:r w:rsidR="00B43D78">
        <w:t xml:space="preserve"> </w:t>
      </w:r>
      <w:r>
        <w:rPr>
          <w:bCs/>
        </w:rPr>
        <w:t>had to await</w:t>
      </w:r>
      <w:r w:rsidR="005E02C6">
        <w:rPr>
          <w:bCs/>
        </w:rPr>
        <w:t xml:space="preserve"> the adoption </w:t>
      </w:r>
      <w:r>
        <w:rPr>
          <w:bCs/>
        </w:rPr>
        <w:t>(</w:t>
      </w:r>
      <w:r w:rsidR="005E02C6">
        <w:rPr>
          <w:bCs/>
        </w:rPr>
        <w:t>i</w:t>
      </w:r>
      <w:r w:rsidR="00B47846">
        <w:t>n October 2010</w:t>
      </w:r>
      <w:r>
        <w:t>)</w:t>
      </w:r>
      <w:r w:rsidR="00B47846">
        <w:t xml:space="preserve"> of the Protocol</w:t>
      </w:r>
      <w:r w:rsidR="00CB12AD">
        <w:t>,</w:t>
      </w:r>
      <w:r w:rsidR="0007683E">
        <w:t xml:space="preserve"> which </w:t>
      </w:r>
      <w:r w:rsidR="00FC4511">
        <w:t>came into force on 12 October 2014</w:t>
      </w:r>
      <w:r w:rsidR="00D95BE2">
        <w:t>,</w:t>
      </w:r>
      <w:r w:rsidR="00FC4511">
        <w:rPr>
          <w:rStyle w:val="FootnoteReference"/>
        </w:rPr>
        <w:footnoteReference w:id="18"/>
      </w:r>
      <w:r w:rsidR="005F469C">
        <w:rPr>
          <w:vertAlign w:val="superscript"/>
        </w:rPr>
        <w:t xml:space="preserve"> </w:t>
      </w:r>
      <w:r w:rsidR="00B47846">
        <w:t xml:space="preserve">and </w:t>
      </w:r>
      <w:r w:rsidR="0007683E">
        <w:t xml:space="preserve">now </w:t>
      </w:r>
      <w:r w:rsidR="005E02C6">
        <w:t xml:space="preserve">has </w:t>
      </w:r>
      <w:r w:rsidR="00FC4511">
        <w:t xml:space="preserve">over </w:t>
      </w:r>
      <w:r w:rsidR="005E02C6">
        <w:t>100</w:t>
      </w:r>
      <w:r w:rsidR="005E02C6" w:rsidRPr="003960DF">
        <w:t xml:space="preserve"> ratified</w:t>
      </w:r>
      <w:r w:rsidR="00FC4511">
        <w:t xml:space="preserve"> parties</w:t>
      </w:r>
      <w:r w:rsidR="005E02C6" w:rsidRPr="003960DF">
        <w:t>.</w:t>
      </w:r>
      <w:r w:rsidR="005E02C6" w:rsidRPr="003960DF">
        <w:rPr>
          <w:rStyle w:val="FootnoteReference"/>
        </w:rPr>
        <w:footnoteReference w:id="19"/>
      </w:r>
      <w:r w:rsidR="005E02C6" w:rsidRPr="003960DF">
        <w:t xml:space="preserve"> </w:t>
      </w:r>
    </w:p>
    <w:p w:rsidR="00316E16" w:rsidRDefault="005E02C6" w:rsidP="005E02C6">
      <w:pPr>
        <w:pStyle w:val="NormalWeb"/>
        <w:spacing w:line="360" w:lineRule="auto"/>
        <w:jc w:val="both"/>
      </w:pPr>
      <w:r>
        <w:t>The key</w:t>
      </w:r>
      <w:r w:rsidRPr="00F87EA5">
        <w:t xml:space="preserve"> aim of the Protocol is to provide a </w:t>
      </w:r>
      <w:r>
        <w:t xml:space="preserve">set of </w:t>
      </w:r>
      <w:r w:rsidRPr="00B43D78">
        <w:t>binding</w:t>
      </w:r>
      <w:r>
        <w:t xml:space="preserve"> mechanisms for implementing the </w:t>
      </w:r>
      <w:r w:rsidR="005D11CB">
        <w:t>“ABS”</w:t>
      </w:r>
      <w:r w:rsidRPr="00F87EA5">
        <w:t xml:space="preserve"> objectives of the CBD</w:t>
      </w:r>
      <w:r>
        <w:t xml:space="preserve">. However, </w:t>
      </w:r>
      <w:r w:rsidR="00316E16">
        <w:t xml:space="preserve">originating as it does from the CBD, </w:t>
      </w:r>
      <w:r>
        <w:t xml:space="preserve">the </w:t>
      </w:r>
      <w:r w:rsidRPr="00F87EA5">
        <w:t>Protocol</w:t>
      </w:r>
      <w:r>
        <w:t xml:space="preserve"> is deliberately limited </w:t>
      </w:r>
      <w:r w:rsidR="00316E16">
        <w:t xml:space="preserve">in its </w:t>
      </w:r>
      <w:r>
        <w:t>scope</w:t>
      </w:r>
      <w:r w:rsidR="00316E16">
        <w:t>:</w:t>
      </w:r>
      <w:r>
        <w:t xml:space="preserve"> its focus is on the misappropriation of </w:t>
      </w:r>
      <w:r w:rsidRPr="00F83235">
        <w:rPr>
          <w:i/>
        </w:rPr>
        <w:t>genetic</w:t>
      </w:r>
      <w:r w:rsidR="00880969">
        <w:t xml:space="preserve"> resources</w:t>
      </w:r>
      <w:r>
        <w:t xml:space="preserve"> </w:t>
      </w:r>
      <w:r w:rsidR="00880969">
        <w:t>(</w:t>
      </w:r>
      <w:r>
        <w:t xml:space="preserve">and the misuse of traditional knowledge which is related to a particular </w:t>
      </w:r>
      <w:r w:rsidRPr="003960DF">
        <w:t xml:space="preserve">genetic </w:t>
      </w:r>
      <w:r w:rsidR="00880969">
        <w:t>resource)</w:t>
      </w:r>
      <w:r w:rsidR="008C0AE1">
        <w:t>,</w:t>
      </w:r>
      <w:r>
        <w:t xml:space="preserve"> rather than attempting to create a</w:t>
      </w:r>
      <w:r w:rsidR="00F640F6">
        <w:t>ny sort of</w:t>
      </w:r>
      <w:r>
        <w:t xml:space="preserve"> broader positive right in traditional knowledge</w:t>
      </w:r>
      <w:r w:rsidR="000208E2">
        <w:t xml:space="preserve"> </w:t>
      </w:r>
      <w:r w:rsidR="008C0AE1" w:rsidRPr="0090424D">
        <w:rPr>
          <w:i/>
        </w:rPr>
        <w:t>per se</w:t>
      </w:r>
      <w:r w:rsidR="008D0FFE">
        <w:t>,</w:t>
      </w:r>
      <w:r w:rsidR="008C0AE1">
        <w:t xml:space="preserve"> </w:t>
      </w:r>
      <w:r w:rsidR="008D0FFE">
        <w:t xml:space="preserve">or </w:t>
      </w:r>
      <w:r w:rsidR="008C0AE1">
        <w:t>in indigenous cultural expression</w:t>
      </w:r>
      <w:r>
        <w:t xml:space="preserve">. </w:t>
      </w:r>
    </w:p>
    <w:p w:rsidR="00C35FDD" w:rsidRDefault="009B2570" w:rsidP="005E02C6">
      <w:pPr>
        <w:pStyle w:val="NormalWeb"/>
        <w:spacing w:line="360" w:lineRule="auto"/>
        <w:jc w:val="both"/>
      </w:pPr>
      <w:r>
        <w:t>T</w:t>
      </w:r>
      <w:r w:rsidR="005E02C6">
        <w:t xml:space="preserve">he </w:t>
      </w:r>
      <w:r w:rsidR="005E02C6" w:rsidRPr="00F87EA5">
        <w:t>Protocol</w:t>
      </w:r>
      <w:r w:rsidR="005E02C6">
        <w:t xml:space="preserve"> looks to apply two obligations (</w:t>
      </w:r>
      <w:r w:rsidR="005E02C6" w:rsidRPr="00D443B0">
        <w:rPr>
          <w:i/>
        </w:rPr>
        <w:t>access</w:t>
      </w:r>
      <w:r w:rsidR="005E02C6">
        <w:t xml:space="preserve"> subject only to prior informed consent and </w:t>
      </w:r>
      <w:r w:rsidR="005E02C6" w:rsidRPr="00D443B0">
        <w:rPr>
          <w:i/>
        </w:rPr>
        <w:t>use</w:t>
      </w:r>
      <w:r w:rsidR="005E02C6">
        <w:t xml:space="preserve"> subject to benefit sharing) to the users of two separate, </w:t>
      </w:r>
      <w:r w:rsidR="004C7C23">
        <w:t xml:space="preserve">but closely related, resources: </w:t>
      </w:r>
      <w:r w:rsidR="005E02C6">
        <w:t>genetic resour</w:t>
      </w:r>
      <w:r w:rsidR="00E747EB">
        <w:t>ces and TKAGR</w:t>
      </w:r>
      <w:r w:rsidR="005E02C6">
        <w:t xml:space="preserve">. </w:t>
      </w:r>
      <w:r w:rsidR="00372362">
        <w:t xml:space="preserve"> </w:t>
      </w:r>
      <w:r w:rsidR="005E02C6">
        <w:t>The key operative provisi</w:t>
      </w:r>
      <w:r w:rsidR="00C759DA">
        <w:t xml:space="preserve">ons </w:t>
      </w:r>
      <w:r w:rsidR="000A72B5">
        <w:t xml:space="preserve">of the Protocol </w:t>
      </w:r>
      <w:r w:rsidR="00C759DA">
        <w:t>are summarised in Table 1.</w:t>
      </w:r>
    </w:p>
    <w:p w:rsidR="00F35DAA" w:rsidRDefault="00F35DAA" w:rsidP="005E02C6">
      <w:pPr>
        <w:pStyle w:val="NormalWeb"/>
        <w:spacing w:line="360" w:lineRule="auto"/>
        <w:jc w:val="both"/>
      </w:pPr>
    </w:p>
    <w:p w:rsidR="00C759DA" w:rsidRPr="005D6303" w:rsidRDefault="00C759DA" w:rsidP="00C759DA">
      <w:pPr>
        <w:pStyle w:val="NormalWeb"/>
        <w:jc w:val="both"/>
        <w:rPr>
          <w:b/>
          <w:u w:val="single"/>
        </w:rPr>
      </w:pPr>
      <w:r>
        <w:rPr>
          <w:b/>
          <w:u w:val="single"/>
        </w:rPr>
        <w:t xml:space="preserve">Table </w:t>
      </w:r>
      <w:r w:rsidRPr="00F47C8B">
        <w:rPr>
          <w:b/>
          <w:u w:val="single"/>
        </w:rPr>
        <w:t>1 Key elements of the</w:t>
      </w:r>
      <w:r>
        <w:rPr>
          <w:b/>
          <w:u w:val="single"/>
        </w:rPr>
        <w:t xml:space="preserve"> Nagoya </w:t>
      </w:r>
      <w:r w:rsidRPr="00F47C8B">
        <w:rPr>
          <w:b/>
          <w:u w:val="single"/>
        </w:rPr>
        <w:t xml:space="preserve">Protocol articles giving rise to positive rights  </w:t>
      </w:r>
    </w:p>
    <w:tbl>
      <w:tblPr>
        <w:tblStyle w:val="TableGrid"/>
        <w:tblW w:w="0" w:type="auto"/>
        <w:tblLook w:val="04A0"/>
      </w:tblPr>
      <w:tblGrid>
        <w:gridCol w:w="908"/>
        <w:gridCol w:w="2010"/>
        <w:gridCol w:w="1490"/>
        <w:gridCol w:w="2667"/>
        <w:gridCol w:w="2167"/>
      </w:tblGrid>
      <w:tr w:rsidR="00C759DA" w:rsidRPr="002A0FB7" w:rsidTr="007838D8">
        <w:tc>
          <w:tcPr>
            <w:tcW w:w="908" w:type="dxa"/>
            <w:shd w:val="clear" w:color="auto" w:fill="F2F2F2" w:themeFill="background1" w:themeFillShade="F2"/>
          </w:tcPr>
          <w:p w:rsidR="00C759DA" w:rsidRPr="005D6303" w:rsidRDefault="00C759DA" w:rsidP="007838D8">
            <w:pPr>
              <w:pStyle w:val="NormalWeb"/>
              <w:rPr>
                <w:b/>
                <w:sz w:val="22"/>
                <w:szCs w:val="22"/>
              </w:rPr>
            </w:pPr>
            <w:r w:rsidRPr="005D6303">
              <w:rPr>
                <w:b/>
                <w:sz w:val="22"/>
                <w:szCs w:val="22"/>
              </w:rPr>
              <w:t>Article</w:t>
            </w:r>
          </w:p>
        </w:tc>
        <w:tc>
          <w:tcPr>
            <w:tcW w:w="2010" w:type="dxa"/>
            <w:shd w:val="clear" w:color="auto" w:fill="F2F2F2" w:themeFill="background1" w:themeFillShade="F2"/>
          </w:tcPr>
          <w:p w:rsidR="00C759DA" w:rsidRPr="005D6303" w:rsidRDefault="00C759DA" w:rsidP="007838D8">
            <w:pPr>
              <w:pStyle w:val="NormalWeb"/>
              <w:rPr>
                <w:b/>
                <w:sz w:val="22"/>
                <w:szCs w:val="22"/>
              </w:rPr>
            </w:pPr>
            <w:r w:rsidRPr="005D6303">
              <w:rPr>
                <w:b/>
                <w:sz w:val="22"/>
                <w:szCs w:val="22"/>
              </w:rPr>
              <w:t>“Right holder”</w:t>
            </w:r>
          </w:p>
        </w:tc>
        <w:tc>
          <w:tcPr>
            <w:tcW w:w="1490" w:type="dxa"/>
            <w:shd w:val="clear" w:color="auto" w:fill="F2F2F2" w:themeFill="background1" w:themeFillShade="F2"/>
          </w:tcPr>
          <w:p w:rsidR="00C759DA" w:rsidRPr="005D6303" w:rsidRDefault="00C759DA" w:rsidP="007838D8">
            <w:pPr>
              <w:pStyle w:val="NormalWeb"/>
              <w:rPr>
                <w:b/>
                <w:sz w:val="22"/>
                <w:szCs w:val="22"/>
              </w:rPr>
            </w:pPr>
            <w:r w:rsidRPr="005D6303">
              <w:rPr>
                <w:b/>
                <w:sz w:val="22"/>
                <w:szCs w:val="22"/>
              </w:rPr>
              <w:t>Subject matter</w:t>
            </w:r>
          </w:p>
          <w:p w:rsidR="00C759DA" w:rsidRPr="005D6303" w:rsidRDefault="00C759DA" w:rsidP="007838D8">
            <w:pPr>
              <w:pStyle w:val="NormalWeb"/>
              <w:rPr>
                <w:b/>
                <w:sz w:val="22"/>
                <w:szCs w:val="22"/>
              </w:rPr>
            </w:pPr>
          </w:p>
        </w:tc>
        <w:tc>
          <w:tcPr>
            <w:tcW w:w="2667" w:type="dxa"/>
            <w:shd w:val="clear" w:color="auto" w:fill="F2F2F2" w:themeFill="background1" w:themeFillShade="F2"/>
          </w:tcPr>
          <w:p w:rsidR="00C759DA" w:rsidRPr="005D6303" w:rsidRDefault="00C759DA" w:rsidP="007838D8">
            <w:pPr>
              <w:pStyle w:val="NormalWeb"/>
              <w:rPr>
                <w:b/>
                <w:sz w:val="22"/>
                <w:szCs w:val="22"/>
              </w:rPr>
            </w:pPr>
            <w:r w:rsidRPr="005D6303">
              <w:rPr>
                <w:b/>
                <w:sz w:val="22"/>
                <w:szCs w:val="22"/>
              </w:rPr>
              <w:t>Controlled activity</w:t>
            </w:r>
          </w:p>
        </w:tc>
        <w:tc>
          <w:tcPr>
            <w:tcW w:w="2167" w:type="dxa"/>
            <w:shd w:val="clear" w:color="auto" w:fill="F2F2F2" w:themeFill="background1" w:themeFillShade="F2"/>
          </w:tcPr>
          <w:p w:rsidR="00C759DA" w:rsidRPr="005D6303" w:rsidRDefault="00C759DA" w:rsidP="007838D8">
            <w:pPr>
              <w:pStyle w:val="NormalWeb"/>
              <w:rPr>
                <w:b/>
                <w:sz w:val="22"/>
                <w:szCs w:val="22"/>
              </w:rPr>
            </w:pPr>
            <w:r w:rsidRPr="005D6303">
              <w:rPr>
                <w:b/>
                <w:sz w:val="22"/>
                <w:szCs w:val="22"/>
              </w:rPr>
              <w:t>Condition</w:t>
            </w: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5(1)</w:t>
            </w:r>
          </w:p>
        </w:tc>
        <w:tc>
          <w:tcPr>
            <w:tcW w:w="2010" w:type="dxa"/>
          </w:tcPr>
          <w:p w:rsidR="00C759DA" w:rsidRPr="002A0FB7" w:rsidRDefault="00C759DA" w:rsidP="007838D8">
            <w:pPr>
              <w:pStyle w:val="NormalWeb"/>
              <w:rPr>
                <w:sz w:val="20"/>
                <w:szCs w:val="20"/>
              </w:rPr>
            </w:pPr>
            <w:r w:rsidRPr="002A0FB7">
              <w:rPr>
                <w:sz w:val="20"/>
                <w:szCs w:val="20"/>
              </w:rPr>
              <w:t>Party</w:t>
            </w:r>
          </w:p>
        </w:tc>
        <w:tc>
          <w:tcPr>
            <w:tcW w:w="1490" w:type="dxa"/>
          </w:tcPr>
          <w:p w:rsidR="00C759DA" w:rsidRPr="002A0FB7" w:rsidRDefault="00C759DA" w:rsidP="007838D8">
            <w:pPr>
              <w:pStyle w:val="NormalWeb"/>
              <w:rPr>
                <w:sz w:val="20"/>
                <w:szCs w:val="20"/>
              </w:rPr>
            </w:pPr>
            <w:r w:rsidRPr="002A0FB7">
              <w:rPr>
                <w:sz w:val="20"/>
                <w:szCs w:val="20"/>
              </w:rPr>
              <w:t>genetic resources</w:t>
            </w:r>
          </w:p>
        </w:tc>
        <w:tc>
          <w:tcPr>
            <w:tcW w:w="2667" w:type="dxa"/>
          </w:tcPr>
          <w:p w:rsidR="00C759DA" w:rsidRDefault="00C759DA" w:rsidP="007838D8">
            <w:pPr>
              <w:pStyle w:val="NormalWeb"/>
              <w:rPr>
                <w:sz w:val="20"/>
                <w:szCs w:val="20"/>
              </w:rPr>
            </w:pPr>
            <w:r>
              <w:rPr>
                <w:sz w:val="20"/>
                <w:szCs w:val="20"/>
              </w:rPr>
              <w:t>u</w:t>
            </w:r>
            <w:r w:rsidRPr="002A0FB7">
              <w:rPr>
                <w:sz w:val="20"/>
                <w:szCs w:val="20"/>
              </w:rPr>
              <w:t>tilization</w:t>
            </w:r>
          </w:p>
          <w:p w:rsidR="00C759DA" w:rsidRPr="002A0FB7" w:rsidRDefault="00C759DA" w:rsidP="007838D8">
            <w:pPr>
              <w:pStyle w:val="NormalWeb"/>
              <w:rPr>
                <w:sz w:val="20"/>
                <w:szCs w:val="20"/>
              </w:rPr>
            </w:pPr>
            <w:r>
              <w:rPr>
                <w:sz w:val="20"/>
                <w:szCs w:val="20"/>
              </w:rPr>
              <w:t>(including “</w:t>
            </w:r>
            <w:r w:rsidRPr="002A0FB7">
              <w:rPr>
                <w:sz w:val="20"/>
                <w:szCs w:val="20"/>
              </w:rPr>
              <w:t>subsequent applications and commercialization</w:t>
            </w:r>
            <w:r>
              <w:rPr>
                <w:sz w:val="20"/>
                <w:szCs w:val="20"/>
              </w:rPr>
              <w:t>”)</w:t>
            </w:r>
          </w:p>
        </w:tc>
        <w:tc>
          <w:tcPr>
            <w:tcW w:w="2167" w:type="dxa"/>
          </w:tcPr>
          <w:p w:rsidR="00C759DA" w:rsidRPr="002A0FB7" w:rsidRDefault="00C759DA" w:rsidP="007838D8">
            <w:pPr>
              <w:pStyle w:val="NormalWeb"/>
              <w:rPr>
                <w:sz w:val="20"/>
                <w:szCs w:val="20"/>
              </w:rPr>
            </w:pPr>
            <w:r w:rsidRPr="002A0FB7">
              <w:rPr>
                <w:sz w:val="20"/>
                <w:szCs w:val="20"/>
              </w:rPr>
              <w:t>fair and equitable sharing upon mutually agreed terms</w:t>
            </w: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5(2)</w:t>
            </w:r>
          </w:p>
        </w:tc>
        <w:tc>
          <w:tcPr>
            <w:tcW w:w="2010" w:type="dxa"/>
          </w:tcPr>
          <w:p w:rsidR="00C759DA" w:rsidRPr="002A0FB7" w:rsidRDefault="00C759DA" w:rsidP="007838D8">
            <w:pPr>
              <w:pStyle w:val="NormalWeb"/>
              <w:rPr>
                <w:sz w:val="20"/>
                <w:szCs w:val="20"/>
              </w:rPr>
            </w:pPr>
            <w:r w:rsidRPr="002A0FB7">
              <w:rPr>
                <w:sz w:val="20"/>
                <w:szCs w:val="20"/>
              </w:rPr>
              <w:t>indigenous and local communities</w:t>
            </w:r>
          </w:p>
        </w:tc>
        <w:tc>
          <w:tcPr>
            <w:tcW w:w="1490" w:type="dxa"/>
          </w:tcPr>
          <w:p w:rsidR="00C759DA" w:rsidRPr="002A0FB7" w:rsidRDefault="00C759DA" w:rsidP="007838D8">
            <w:pPr>
              <w:pStyle w:val="NormalWeb"/>
              <w:rPr>
                <w:sz w:val="20"/>
                <w:szCs w:val="20"/>
              </w:rPr>
            </w:pPr>
            <w:r>
              <w:rPr>
                <w:sz w:val="20"/>
                <w:szCs w:val="20"/>
              </w:rPr>
              <w:t>g</w:t>
            </w:r>
            <w:r w:rsidRPr="002A0FB7">
              <w:rPr>
                <w:sz w:val="20"/>
                <w:szCs w:val="20"/>
              </w:rPr>
              <w:t>enetic resources</w:t>
            </w:r>
          </w:p>
        </w:tc>
        <w:tc>
          <w:tcPr>
            <w:tcW w:w="2667" w:type="dxa"/>
          </w:tcPr>
          <w:p w:rsidR="00C759DA" w:rsidRPr="002A0FB7" w:rsidRDefault="00C759DA" w:rsidP="007838D8">
            <w:pPr>
              <w:pStyle w:val="NormalWeb"/>
              <w:rPr>
                <w:sz w:val="20"/>
                <w:szCs w:val="20"/>
              </w:rPr>
            </w:pPr>
            <w:r w:rsidRPr="002A0FB7">
              <w:rPr>
                <w:sz w:val="20"/>
                <w:szCs w:val="20"/>
              </w:rPr>
              <w:t>utilization</w:t>
            </w:r>
          </w:p>
        </w:tc>
        <w:tc>
          <w:tcPr>
            <w:tcW w:w="2167" w:type="dxa"/>
          </w:tcPr>
          <w:p w:rsidR="00C759DA" w:rsidRPr="002A0FB7" w:rsidRDefault="00C759DA" w:rsidP="007838D8">
            <w:pPr>
              <w:pStyle w:val="NormalWeb"/>
              <w:rPr>
                <w:sz w:val="20"/>
                <w:szCs w:val="20"/>
              </w:rPr>
            </w:pPr>
            <w:r w:rsidRPr="002A0FB7">
              <w:rPr>
                <w:sz w:val="20"/>
                <w:szCs w:val="20"/>
              </w:rPr>
              <w:t xml:space="preserve">fair and equitable sharing </w:t>
            </w:r>
            <w:r>
              <w:rPr>
                <w:sz w:val="20"/>
                <w:szCs w:val="20"/>
              </w:rPr>
              <w:t>based on</w:t>
            </w:r>
            <w:r w:rsidRPr="002A0FB7">
              <w:rPr>
                <w:sz w:val="20"/>
                <w:szCs w:val="20"/>
              </w:rPr>
              <w:t xml:space="preserve"> mutually agreed terms</w:t>
            </w: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5(5)</w:t>
            </w:r>
          </w:p>
        </w:tc>
        <w:tc>
          <w:tcPr>
            <w:tcW w:w="2010" w:type="dxa"/>
          </w:tcPr>
          <w:p w:rsidR="00C759DA" w:rsidRPr="002A0FB7" w:rsidRDefault="00C759DA" w:rsidP="007838D8">
            <w:pPr>
              <w:pStyle w:val="NormalWeb"/>
              <w:rPr>
                <w:sz w:val="20"/>
                <w:szCs w:val="20"/>
              </w:rPr>
            </w:pPr>
            <w:r w:rsidRPr="002A0FB7">
              <w:rPr>
                <w:sz w:val="20"/>
                <w:szCs w:val="20"/>
              </w:rPr>
              <w:t>indigenous and local communities</w:t>
            </w:r>
          </w:p>
        </w:tc>
        <w:tc>
          <w:tcPr>
            <w:tcW w:w="1490" w:type="dxa"/>
          </w:tcPr>
          <w:p w:rsidR="00C759DA" w:rsidRPr="002A0FB7" w:rsidRDefault="004C7C23" w:rsidP="007838D8">
            <w:pPr>
              <w:pStyle w:val="NormalWeb"/>
              <w:rPr>
                <w:sz w:val="20"/>
                <w:szCs w:val="20"/>
              </w:rPr>
            </w:pPr>
            <w:r>
              <w:rPr>
                <w:sz w:val="20"/>
                <w:szCs w:val="20"/>
              </w:rPr>
              <w:t>TKAGR</w:t>
            </w:r>
          </w:p>
        </w:tc>
        <w:tc>
          <w:tcPr>
            <w:tcW w:w="2667" w:type="dxa"/>
          </w:tcPr>
          <w:p w:rsidR="00C759DA" w:rsidRPr="002A0FB7" w:rsidRDefault="00C759DA" w:rsidP="007838D8">
            <w:pPr>
              <w:pStyle w:val="NormalWeb"/>
              <w:rPr>
                <w:sz w:val="20"/>
                <w:szCs w:val="20"/>
              </w:rPr>
            </w:pPr>
            <w:r w:rsidRPr="002A0FB7">
              <w:rPr>
                <w:sz w:val="20"/>
                <w:szCs w:val="20"/>
              </w:rPr>
              <w:t>utilization</w:t>
            </w:r>
          </w:p>
        </w:tc>
        <w:tc>
          <w:tcPr>
            <w:tcW w:w="2167" w:type="dxa"/>
          </w:tcPr>
          <w:p w:rsidR="00C759DA" w:rsidRPr="002A0FB7" w:rsidRDefault="00C759DA" w:rsidP="007838D8">
            <w:pPr>
              <w:pStyle w:val="NormalWeb"/>
              <w:rPr>
                <w:sz w:val="20"/>
                <w:szCs w:val="20"/>
              </w:rPr>
            </w:pPr>
            <w:r w:rsidRPr="002A0FB7">
              <w:rPr>
                <w:sz w:val="20"/>
                <w:szCs w:val="20"/>
              </w:rPr>
              <w:t>fair and equitable sharing upon mutually agreed terms</w:t>
            </w: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6(1)</w:t>
            </w:r>
          </w:p>
        </w:tc>
        <w:tc>
          <w:tcPr>
            <w:tcW w:w="2010" w:type="dxa"/>
          </w:tcPr>
          <w:p w:rsidR="00C759DA" w:rsidRPr="002A0FB7" w:rsidRDefault="00C759DA" w:rsidP="007838D8">
            <w:pPr>
              <w:pStyle w:val="NormalWeb"/>
              <w:rPr>
                <w:sz w:val="20"/>
                <w:szCs w:val="20"/>
              </w:rPr>
            </w:pPr>
            <w:r w:rsidRPr="002A0FB7">
              <w:rPr>
                <w:sz w:val="20"/>
                <w:szCs w:val="20"/>
              </w:rPr>
              <w:t>Party</w:t>
            </w:r>
          </w:p>
        </w:tc>
        <w:tc>
          <w:tcPr>
            <w:tcW w:w="1490" w:type="dxa"/>
          </w:tcPr>
          <w:p w:rsidR="00C759DA" w:rsidRPr="002A0FB7" w:rsidRDefault="00C759DA" w:rsidP="007838D8">
            <w:pPr>
              <w:pStyle w:val="NormalWeb"/>
              <w:rPr>
                <w:sz w:val="20"/>
                <w:szCs w:val="20"/>
              </w:rPr>
            </w:pPr>
            <w:r w:rsidRPr="002A0FB7">
              <w:rPr>
                <w:sz w:val="20"/>
                <w:szCs w:val="20"/>
              </w:rPr>
              <w:t>genetic resources</w:t>
            </w:r>
          </w:p>
        </w:tc>
        <w:tc>
          <w:tcPr>
            <w:tcW w:w="2667" w:type="dxa"/>
          </w:tcPr>
          <w:p w:rsidR="00C759DA" w:rsidRPr="002A0FB7" w:rsidRDefault="00C759DA" w:rsidP="007838D8">
            <w:pPr>
              <w:pStyle w:val="NormalWeb"/>
              <w:rPr>
                <w:sz w:val="20"/>
                <w:szCs w:val="20"/>
              </w:rPr>
            </w:pPr>
            <w:r w:rsidRPr="002A0FB7">
              <w:rPr>
                <w:sz w:val="20"/>
                <w:szCs w:val="20"/>
              </w:rPr>
              <w:t>access for utilization</w:t>
            </w:r>
          </w:p>
        </w:tc>
        <w:tc>
          <w:tcPr>
            <w:tcW w:w="2167" w:type="dxa"/>
          </w:tcPr>
          <w:p w:rsidR="00C759DA" w:rsidRPr="002A0FB7" w:rsidRDefault="00C759DA" w:rsidP="007838D8">
            <w:pPr>
              <w:pStyle w:val="NormalWeb"/>
              <w:rPr>
                <w:sz w:val="20"/>
                <w:szCs w:val="20"/>
              </w:rPr>
            </w:pPr>
            <w:r>
              <w:rPr>
                <w:sz w:val="20"/>
                <w:szCs w:val="20"/>
              </w:rPr>
              <w:t>prior informed consent</w:t>
            </w: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6(2)</w:t>
            </w:r>
          </w:p>
        </w:tc>
        <w:tc>
          <w:tcPr>
            <w:tcW w:w="2010" w:type="dxa"/>
          </w:tcPr>
          <w:p w:rsidR="00C759DA" w:rsidRPr="002A0FB7" w:rsidRDefault="00C759DA" w:rsidP="007838D8">
            <w:pPr>
              <w:pStyle w:val="NormalWeb"/>
              <w:rPr>
                <w:sz w:val="20"/>
                <w:szCs w:val="20"/>
              </w:rPr>
            </w:pPr>
            <w:r w:rsidRPr="002A0FB7">
              <w:rPr>
                <w:sz w:val="20"/>
                <w:szCs w:val="20"/>
              </w:rPr>
              <w:t>“indigenous and local communities”</w:t>
            </w:r>
          </w:p>
        </w:tc>
        <w:tc>
          <w:tcPr>
            <w:tcW w:w="1490" w:type="dxa"/>
          </w:tcPr>
          <w:p w:rsidR="00C759DA" w:rsidRPr="002A0FB7" w:rsidRDefault="00C759DA" w:rsidP="007838D8">
            <w:pPr>
              <w:pStyle w:val="NormalWeb"/>
              <w:rPr>
                <w:sz w:val="20"/>
                <w:szCs w:val="20"/>
              </w:rPr>
            </w:pPr>
            <w:r w:rsidRPr="002A0FB7">
              <w:rPr>
                <w:sz w:val="20"/>
                <w:szCs w:val="20"/>
              </w:rPr>
              <w:t>genetic resources</w:t>
            </w:r>
          </w:p>
        </w:tc>
        <w:tc>
          <w:tcPr>
            <w:tcW w:w="2667" w:type="dxa"/>
          </w:tcPr>
          <w:p w:rsidR="00C759DA" w:rsidRPr="002A0FB7" w:rsidRDefault="00C759DA" w:rsidP="007838D8">
            <w:pPr>
              <w:pStyle w:val="NormalWeb"/>
              <w:rPr>
                <w:sz w:val="20"/>
                <w:szCs w:val="20"/>
              </w:rPr>
            </w:pPr>
            <w:r w:rsidRPr="002A0FB7">
              <w:rPr>
                <w:sz w:val="20"/>
                <w:szCs w:val="20"/>
              </w:rPr>
              <w:t>access</w:t>
            </w:r>
          </w:p>
        </w:tc>
        <w:tc>
          <w:tcPr>
            <w:tcW w:w="2167" w:type="dxa"/>
          </w:tcPr>
          <w:p w:rsidR="00C759DA" w:rsidRDefault="00C759DA" w:rsidP="007838D8">
            <w:pPr>
              <w:pStyle w:val="NormalWeb"/>
              <w:rPr>
                <w:sz w:val="20"/>
                <w:szCs w:val="20"/>
              </w:rPr>
            </w:pPr>
            <w:r>
              <w:rPr>
                <w:sz w:val="20"/>
                <w:szCs w:val="20"/>
              </w:rPr>
              <w:t>prior informed consent</w:t>
            </w:r>
          </w:p>
          <w:p w:rsidR="00C759DA" w:rsidRPr="00775B8F" w:rsidRDefault="00C759DA" w:rsidP="007838D8">
            <w:pPr>
              <w:pStyle w:val="NormalWeb"/>
              <w:rPr>
                <w:sz w:val="20"/>
                <w:szCs w:val="20"/>
              </w:rPr>
            </w:pPr>
            <w:r w:rsidRPr="00775B8F">
              <w:rPr>
                <w:sz w:val="20"/>
                <w:szCs w:val="20"/>
              </w:rPr>
              <w:t>or “approval and involvement”</w:t>
            </w:r>
          </w:p>
          <w:p w:rsidR="00C759DA" w:rsidRPr="002A0FB7" w:rsidRDefault="00C759DA" w:rsidP="007838D8">
            <w:pPr>
              <w:pStyle w:val="NormalWeb"/>
              <w:rPr>
                <w:sz w:val="20"/>
                <w:szCs w:val="20"/>
              </w:rPr>
            </w:pPr>
          </w:p>
        </w:tc>
      </w:tr>
      <w:tr w:rsidR="00C759DA" w:rsidRPr="002A0FB7" w:rsidTr="007838D8">
        <w:tc>
          <w:tcPr>
            <w:tcW w:w="908" w:type="dxa"/>
          </w:tcPr>
          <w:p w:rsidR="00C759DA" w:rsidRPr="002A0FB7" w:rsidRDefault="00C759DA" w:rsidP="007838D8">
            <w:pPr>
              <w:pStyle w:val="NormalWeb"/>
              <w:rPr>
                <w:sz w:val="20"/>
                <w:szCs w:val="20"/>
              </w:rPr>
            </w:pPr>
            <w:r w:rsidRPr="002A0FB7">
              <w:rPr>
                <w:sz w:val="20"/>
                <w:szCs w:val="20"/>
              </w:rPr>
              <w:t>7</w:t>
            </w:r>
          </w:p>
        </w:tc>
        <w:tc>
          <w:tcPr>
            <w:tcW w:w="2010" w:type="dxa"/>
          </w:tcPr>
          <w:p w:rsidR="00C759DA" w:rsidRPr="002A0FB7" w:rsidRDefault="00C759DA" w:rsidP="007838D8">
            <w:pPr>
              <w:pStyle w:val="NormalWeb"/>
              <w:rPr>
                <w:sz w:val="20"/>
                <w:szCs w:val="20"/>
              </w:rPr>
            </w:pPr>
            <w:r w:rsidRPr="002A0FB7">
              <w:rPr>
                <w:sz w:val="20"/>
                <w:szCs w:val="20"/>
              </w:rPr>
              <w:t>“indigenous and local communities”</w:t>
            </w:r>
          </w:p>
        </w:tc>
        <w:tc>
          <w:tcPr>
            <w:tcW w:w="1490" w:type="dxa"/>
          </w:tcPr>
          <w:p w:rsidR="00C759DA" w:rsidRPr="002A0FB7" w:rsidRDefault="00C759DA" w:rsidP="007838D8">
            <w:pPr>
              <w:pStyle w:val="NormalWeb"/>
              <w:rPr>
                <w:sz w:val="20"/>
                <w:szCs w:val="20"/>
              </w:rPr>
            </w:pPr>
            <w:r w:rsidRPr="002A0FB7">
              <w:rPr>
                <w:sz w:val="20"/>
                <w:szCs w:val="20"/>
              </w:rPr>
              <w:t>TKAGR</w:t>
            </w:r>
          </w:p>
        </w:tc>
        <w:tc>
          <w:tcPr>
            <w:tcW w:w="2667" w:type="dxa"/>
          </w:tcPr>
          <w:p w:rsidR="00C759DA" w:rsidRPr="002A0FB7" w:rsidRDefault="00C759DA" w:rsidP="007838D8">
            <w:pPr>
              <w:pStyle w:val="NormalWeb"/>
              <w:rPr>
                <w:sz w:val="20"/>
                <w:szCs w:val="20"/>
              </w:rPr>
            </w:pPr>
            <w:r>
              <w:rPr>
                <w:sz w:val="20"/>
                <w:szCs w:val="20"/>
              </w:rPr>
              <w:t>a</w:t>
            </w:r>
            <w:r w:rsidRPr="002A0FB7">
              <w:rPr>
                <w:sz w:val="20"/>
                <w:szCs w:val="20"/>
              </w:rPr>
              <w:t>ccess</w:t>
            </w:r>
          </w:p>
        </w:tc>
        <w:tc>
          <w:tcPr>
            <w:tcW w:w="2167" w:type="dxa"/>
          </w:tcPr>
          <w:p w:rsidR="00C759DA" w:rsidRDefault="00C759DA" w:rsidP="007838D8">
            <w:pPr>
              <w:pStyle w:val="NormalWeb"/>
              <w:rPr>
                <w:sz w:val="20"/>
                <w:szCs w:val="20"/>
              </w:rPr>
            </w:pPr>
            <w:r>
              <w:rPr>
                <w:sz w:val="20"/>
                <w:szCs w:val="20"/>
              </w:rPr>
              <w:t>prior informed consent</w:t>
            </w:r>
          </w:p>
          <w:p w:rsidR="00C759DA" w:rsidRPr="00093151" w:rsidRDefault="00C759DA" w:rsidP="007838D8">
            <w:pPr>
              <w:pStyle w:val="NormalWeb"/>
              <w:rPr>
                <w:sz w:val="20"/>
                <w:szCs w:val="20"/>
              </w:rPr>
            </w:pPr>
            <w:r w:rsidRPr="00093151">
              <w:rPr>
                <w:sz w:val="20"/>
                <w:szCs w:val="20"/>
              </w:rPr>
              <w:t xml:space="preserve">or </w:t>
            </w:r>
          </w:p>
          <w:p w:rsidR="00C759DA" w:rsidRDefault="00C759DA" w:rsidP="007838D8">
            <w:pPr>
              <w:pStyle w:val="NormalWeb"/>
              <w:rPr>
                <w:sz w:val="20"/>
                <w:szCs w:val="20"/>
              </w:rPr>
            </w:pPr>
            <w:r w:rsidRPr="00093151">
              <w:rPr>
                <w:sz w:val="20"/>
                <w:szCs w:val="20"/>
              </w:rPr>
              <w:t>“approval and involvement”</w:t>
            </w:r>
          </w:p>
          <w:p w:rsidR="00C759DA" w:rsidRDefault="00C759DA" w:rsidP="007838D8">
            <w:pPr>
              <w:pStyle w:val="NormalWeb"/>
              <w:rPr>
                <w:sz w:val="20"/>
                <w:szCs w:val="20"/>
              </w:rPr>
            </w:pPr>
            <w:r>
              <w:rPr>
                <w:sz w:val="20"/>
                <w:szCs w:val="20"/>
              </w:rPr>
              <w:t>and establishment of mutually agreed terms</w:t>
            </w:r>
          </w:p>
          <w:p w:rsidR="009F6E55" w:rsidRPr="002A0FB7" w:rsidRDefault="009F6E55" w:rsidP="007838D8">
            <w:pPr>
              <w:pStyle w:val="NormalWeb"/>
              <w:rPr>
                <w:sz w:val="20"/>
                <w:szCs w:val="20"/>
              </w:rPr>
            </w:pPr>
          </w:p>
        </w:tc>
      </w:tr>
    </w:tbl>
    <w:p w:rsidR="00AB0367" w:rsidRDefault="00AB0367" w:rsidP="00B228E3">
      <w:pPr>
        <w:pStyle w:val="NormalWeb"/>
        <w:spacing w:line="360" w:lineRule="auto"/>
        <w:jc w:val="both"/>
      </w:pPr>
    </w:p>
    <w:p w:rsidR="00B228E3" w:rsidRPr="00810EFA" w:rsidRDefault="003B76B7" w:rsidP="00B228E3">
      <w:pPr>
        <w:pStyle w:val="NormalWeb"/>
        <w:spacing w:line="360" w:lineRule="auto"/>
        <w:jc w:val="both"/>
        <w:rPr>
          <w:b/>
        </w:rPr>
      </w:pPr>
      <w:r>
        <w:rPr>
          <w:b/>
        </w:rPr>
        <w:t xml:space="preserve">Genetic resources, </w:t>
      </w:r>
      <w:r w:rsidR="00F640F6">
        <w:rPr>
          <w:b/>
        </w:rPr>
        <w:t>TKAGR and t</w:t>
      </w:r>
      <w:r w:rsidR="00B228E3" w:rsidRPr="00810EFA">
        <w:rPr>
          <w:b/>
        </w:rPr>
        <w:t xml:space="preserve">he problem of </w:t>
      </w:r>
      <w:r w:rsidR="00545481">
        <w:rPr>
          <w:b/>
        </w:rPr>
        <w:t>“</w:t>
      </w:r>
      <w:r w:rsidR="00B228E3" w:rsidRPr="00810EFA">
        <w:rPr>
          <w:b/>
        </w:rPr>
        <w:t>downstream</w:t>
      </w:r>
      <w:r w:rsidR="00545481">
        <w:rPr>
          <w:b/>
        </w:rPr>
        <w:t>”</w:t>
      </w:r>
      <w:r w:rsidR="00B228E3" w:rsidRPr="00810EFA">
        <w:rPr>
          <w:b/>
        </w:rPr>
        <w:t xml:space="preserve"> use</w:t>
      </w:r>
    </w:p>
    <w:p w:rsidR="003708C0" w:rsidRDefault="009B2570" w:rsidP="009B2570">
      <w:pPr>
        <w:pStyle w:val="NormalWeb"/>
        <w:spacing w:line="360" w:lineRule="auto"/>
        <w:jc w:val="both"/>
      </w:pPr>
      <w:r>
        <w:t>Were</w:t>
      </w:r>
      <w:r w:rsidR="005F469C">
        <w:t xml:space="preserve"> </w:t>
      </w:r>
      <w:r w:rsidR="00B228E3" w:rsidRPr="003A15B6">
        <w:t>all downstream uses of a piece of</w:t>
      </w:r>
      <w:r w:rsidR="00B228E3">
        <w:t xml:space="preserve"> TKAGR</w:t>
      </w:r>
      <w:r w:rsidR="00B228E3" w:rsidRPr="003A15B6">
        <w:t xml:space="preserve"> </w:t>
      </w:r>
      <w:r w:rsidR="003B76B7">
        <w:t xml:space="preserve">or genetic resource </w:t>
      </w:r>
      <w:r w:rsidR="00B228E3" w:rsidRPr="003A15B6">
        <w:t>derived in a simple, linear</w:t>
      </w:r>
      <w:r w:rsidR="00B228E3">
        <w:t>,</w:t>
      </w:r>
      <w:r w:rsidR="00B228E3" w:rsidRPr="003A15B6">
        <w:t xml:space="preserve"> fashion from the original piece of knowledge</w:t>
      </w:r>
      <w:r w:rsidR="00B228E3">
        <w:t xml:space="preserve"> </w:t>
      </w:r>
      <w:r w:rsidR="003B76B7">
        <w:t>or genetic resource</w:t>
      </w:r>
      <w:r w:rsidR="005F469C">
        <w:t>,</w:t>
      </w:r>
      <w:r w:rsidR="003B76B7">
        <w:t xml:space="preserve"> </w:t>
      </w:r>
      <w:r w:rsidR="00B228E3">
        <w:t>then the scope of a positive right in such a piece of TKAGR</w:t>
      </w:r>
      <w:r w:rsidR="003B76B7">
        <w:t xml:space="preserve"> or genetic resource</w:t>
      </w:r>
      <w:r w:rsidR="005F469C">
        <w:t xml:space="preserve"> </w:t>
      </w:r>
      <w:r w:rsidR="002457DF">
        <w:t>might</w:t>
      </w:r>
      <w:r w:rsidR="005F469C">
        <w:t xml:space="preserve"> be relatively easy to determine</w:t>
      </w:r>
      <w:r w:rsidR="002457DF" w:rsidRPr="00D81C14">
        <w:t xml:space="preserve">. </w:t>
      </w:r>
      <w:r w:rsidR="00CB12AD">
        <w:t xml:space="preserve">This is rarely the case. </w:t>
      </w:r>
      <w:r w:rsidR="002457DF" w:rsidRPr="00D81C14">
        <w:t xml:space="preserve">It is, of course, entirely possible that the scientific (and commercial) benefits of using a particular piece of </w:t>
      </w:r>
      <w:r w:rsidR="00891831">
        <w:t>TKAGR</w:t>
      </w:r>
      <w:r w:rsidR="002457DF" w:rsidRPr="00D81C14">
        <w:t xml:space="preserve"> </w:t>
      </w:r>
      <w:r w:rsidR="007C7529">
        <w:t xml:space="preserve">or genetic resource </w:t>
      </w:r>
      <w:r w:rsidR="002457DF" w:rsidRPr="00D81C14">
        <w:t xml:space="preserve">may be relatively “proximal” to that </w:t>
      </w:r>
      <w:r w:rsidR="00891831">
        <w:t>TKAGR</w:t>
      </w:r>
      <w:r w:rsidR="00CB12AD">
        <w:t xml:space="preserve"> or resource</w:t>
      </w:r>
      <w:r w:rsidR="008D0FFE">
        <w:t>. T</w:t>
      </w:r>
      <w:r w:rsidR="002457DF" w:rsidRPr="00D81C14">
        <w:t xml:space="preserve">he history of pharmacology is full of the </w:t>
      </w:r>
      <w:r w:rsidR="002457DF" w:rsidRPr="00D81C14">
        <w:lastRenderedPageBreak/>
        <w:t>use of relatively simple plant extracts or compounds directly purified from such extracts to give a therapeutic benefit.</w:t>
      </w:r>
      <w:r w:rsidR="002457DF" w:rsidRPr="00D81C14">
        <w:rPr>
          <w:vertAlign w:val="superscript"/>
        </w:rPr>
        <w:footnoteReference w:id="20"/>
      </w:r>
      <w:r w:rsidR="002457DF">
        <w:t xml:space="preserve"> </w:t>
      </w:r>
      <w:r w:rsidR="002457DF" w:rsidRPr="00EF3BFD">
        <w:t xml:space="preserve">However, the extraction and testing </w:t>
      </w:r>
      <w:r w:rsidR="009F6E55">
        <w:t xml:space="preserve">of </w:t>
      </w:r>
      <w:r w:rsidR="002457DF" w:rsidRPr="00EF3BFD">
        <w:t>a biochemical constituent of a genetic resource is, within modern drug discovery, far more usually merely the beginning, rather than the end, of a process of findi</w:t>
      </w:r>
      <w:r w:rsidR="00C35FDD">
        <w:t>ng a safe and efficacious drug.</w:t>
      </w:r>
      <w:r w:rsidR="002457DF" w:rsidRPr="00EF3BFD">
        <w:rPr>
          <w:vertAlign w:val="superscript"/>
        </w:rPr>
        <w:footnoteReference w:id="21"/>
      </w:r>
      <w:r w:rsidR="00C35FDD">
        <w:rPr>
          <w:vertAlign w:val="superscript"/>
        </w:rPr>
        <w:t xml:space="preserve"> </w:t>
      </w:r>
      <w:r w:rsidR="007C7529" w:rsidRPr="007C7529">
        <w:t>From that point the</w:t>
      </w:r>
      <w:r w:rsidR="00B228E3" w:rsidRPr="007C7529">
        <w:t xml:space="preserve"> development “trails” within drug development are often long</w:t>
      </w:r>
      <w:r w:rsidR="00891831">
        <w:t>,</w:t>
      </w:r>
      <w:r w:rsidR="00B228E3" w:rsidRPr="007C7529">
        <w:t xml:space="preserve"> and </w:t>
      </w:r>
      <w:r w:rsidR="008C0AE1" w:rsidRPr="007C7529">
        <w:t xml:space="preserve">very </w:t>
      </w:r>
      <w:r w:rsidR="00B228E3" w:rsidRPr="007C7529">
        <w:t>complicated</w:t>
      </w:r>
      <w:r w:rsidR="008D0FFE">
        <w:t>.</w:t>
      </w:r>
      <w:r w:rsidR="00CA1F37">
        <w:rPr>
          <w:rStyle w:val="FootnoteReference"/>
        </w:rPr>
        <w:footnoteReference w:id="22"/>
      </w:r>
      <w:r w:rsidR="008C0AE1" w:rsidRPr="007C7529">
        <w:t xml:space="preserve"> </w:t>
      </w:r>
      <w:r w:rsidR="008D0FFE">
        <w:t>Indeed,</w:t>
      </w:r>
      <w:r w:rsidR="008C0AE1" w:rsidRPr="007C7529">
        <w:t xml:space="preserve"> </w:t>
      </w:r>
      <w:r w:rsidR="00B228E3" w:rsidRPr="007C7529">
        <w:t>the original contribution from biological source or traditional kn</w:t>
      </w:r>
      <w:r w:rsidR="009F6E55">
        <w:t>owledge is often overestimated.</w:t>
      </w:r>
      <w:r w:rsidR="00B228E3" w:rsidRPr="007C7529">
        <w:rPr>
          <w:vertAlign w:val="superscript"/>
        </w:rPr>
        <w:footnoteReference w:id="23"/>
      </w:r>
      <w:r w:rsidR="00B228E3" w:rsidRPr="007C7529">
        <w:t xml:space="preserve"> </w:t>
      </w:r>
    </w:p>
    <w:p w:rsidR="00B228E3" w:rsidRDefault="003708C0" w:rsidP="009B2570">
      <w:pPr>
        <w:pStyle w:val="NormalWeb"/>
        <w:spacing w:line="360" w:lineRule="auto"/>
        <w:jc w:val="both"/>
      </w:pPr>
      <w:r>
        <w:t xml:space="preserve">Biologically active compounds </w:t>
      </w:r>
      <w:r w:rsidR="00316E16">
        <w:t>almost always</w:t>
      </w:r>
      <w:r>
        <w:t xml:space="preserve"> act as “ligands” at biological receptor sites on (or within) cells and their behaviour is dependent upon </w:t>
      </w:r>
      <w:r w:rsidR="00316E16">
        <w:t xml:space="preserve">how </w:t>
      </w:r>
      <w:r>
        <w:t>their 3-dimensional structure</w:t>
      </w:r>
      <w:r w:rsidR="00316E16">
        <w:t xml:space="preserve"> interacts with that receptor site (or family of such sites)</w:t>
      </w:r>
      <w:r>
        <w:t>. Therefore, a</w:t>
      </w:r>
      <w:r w:rsidR="00C35FDD">
        <w:t xml:space="preserve"> key </w:t>
      </w:r>
      <w:r>
        <w:t>tool</w:t>
      </w:r>
      <w:r w:rsidR="00C35FDD">
        <w:t xml:space="preserve"> in the pharmacologist’s research armoury is to set about making </w:t>
      </w:r>
      <w:r>
        <w:t>structural</w:t>
      </w:r>
      <w:r w:rsidR="00C35FDD">
        <w:t xml:space="preserve"> derivatives of </w:t>
      </w:r>
      <w:r w:rsidR="00316E16">
        <w:t xml:space="preserve">the </w:t>
      </w:r>
      <w:r w:rsidR="00C35FDD">
        <w:t>extracted biochemical constituents of a genetic resource to determine how such changes will affect the</w:t>
      </w:r>
      <w:r w:rsidR="008D0FFE">
        <w:t>ir</w:t>
      </w:r>
      <w:r w:rsidR="00C35FDD">
        <w:t xml:space="preserve"> biological behaviour</w:t>
      </w:r>
      <w:r>
        <w:t xml:space="preserve">. </w:t>
      </w:r>
    </w:p>
    <w:p w:rsidR="003708C0" w:rsidRPr="007C7529" w:rsidRDefault="0030749B" w:rsidP="009B2570">
      <w:pPr>
        <w:pStyle w:val="NormalWeb"/>
        <w:spacing w:line="360" w:lineRule="auto"/>
        <w:jc w:val="both"/>
      </w:pPr>
      <w:r>
        <w:t>In addition, t</w:t>
      </w:r>
      <w:r w:rsidR="003708C0">
        <w:t>he finding of a new pharmacologically active compound within a genetic resource may uncover an as yet unknown biological mechanism within humans (or at least previously unknown ways of affecting known systems) which can give rise to further lines of research, both in terms of new chemical entities</w:t>
      </w:r>
      <w:r w:rsidR="008D0FFE">
        <w:t>,</w:t>
      </w:r>
      <w:r w:rsidR="003708C0">
        <w:t xml:space="preserve"> and new therapeutic benefits. In this way it is highly likely that the scientific (and commercial) benefits of using a piece of original TKAGR or </w:t>
      </w:r>
      <w:r w:rsidR="000C6EAB">
        <w:t xml:space="preserve">genetic resource </w:t>
      </w:r>
      <w:r w:rsidR="003708C0">
        <w:t>will be significantly distal to a complex process of mixing and dilution of the original information.</w:t>
      </w:r>
    </w:p>
    <w:p w:rsidR="000C6EAB" w:rsidRDefault="0030749B" w:rsidP="00B228E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Accordingly, a</w:t>
      </w:r>
      <w:r w:rsidR="00B228E3" w:rsidRPr="005B18E5">
        <w:rPr>
          <w:rFonts w:ascii="Times New Roman" w:hAnsi="Times New Roman" w:cs="Times New Roman"/>
          <w:sz w:val="24"/>
          <w:szCs w:val="24"/>
        </w:rPr>
        <w:t xml:space="preserve"> piece of </w:t>
      </w:r>
      <w:r>
        <w:rPr>
          <w:rFonts w:ascii="Times New Roman" w:hAnsi="Times New Roman" w:cs="Times New Roman"/>
          <w:sz w:val="24"/>
          <w:szCs w:val="24"/>
        </w:rPr>
        <w:t xml:space="preserve">TKAGR </w:t>
      </w:r>
      <w:r w:rsidR="00B228E3" w:rsidRPr="005B18E5">
        <w:rPr>
          <w:rFonts w:ascii="Times New Roman" w:hAnsi="Times New Roman" w:cs="Times New Roman"/>
          <w:sz w:val="24"/>
          <w:szCs w:val="24"/>
        </w:rPr>
        <w:t xml:space="preserve">can take many </w:t>
      </w:r>
      <w:r w:rsidR="007C7529">
        <w:rPr>
          <w:rFonts w:ascii="Times New Roman" w:hAnsi="Times New Roman" w:cs="Times New Roman"/>
          <w:sz w:val="24"/>
          <w:szCs w:val="24"/>
        </w:rPr>
        <w:t>routes</w:t>
      </w:r>
      <w:r w:rsidR="00B228E3" w:rsidRPr="005B18E5">
        <w:rPr>
          <w:rFonts w:ascii="Times New Roman" w:hAnsi="Times New Roman" w:cs="Times New Roman"/>
          <w:sz w:val="24"/>
          <w:szCs w:val="24"/>
        </w:rPr>
        <w:t xml:space="preserve"> within the drug discovery process – there are ma</w:t>
      </w:r>
      <w:r w:rsidR="00B228E3">
        <w:rPr>
          <w:rFonts w:ascii="Times New Roman" w:hAnsi="Times New Roman" w:cs="Times New Roman"/>
          <w:sz w:val="24"/>
          <w:szCs w:val="24"/>
        </w:rPr>
        <w:t xml:space="preserve">ny pathways and </w:t>
      </w:r>
      <w:r w:rsidR="008D0FFE">
        <w:rPr>
          <w:rFonts w:ascii="Times New Roman" w:hAnsi="Times New Roman" w:cs="Times New Roman"/>
          <w:sz w:val="24"/>
          <w:szCs w:val="24"/>
        </w:rPr>
        <w:t>feedback loops. T</w:t>
      </w:r>
      <w:r w:rsidR="00B228E3" w:rsidRPr="005B18E5">
        <w:rPr>
          <w:rFonts w:ascii="Times New Roman" w:hAnsi="Times New Roman" w:cs="Times New Roman"/>
          <w:sz w:val="24"/>
          <w:szCs w:val="24"/>
        </w:rPr>
        <w:t xml:space="preserve">he original information may be admixed to a greater body of existing information regarding the clinical problem, and there may be </w:t>
      </w:r>
      <w:r w:rsidR="004F120B">
        <w:rPr>
          <w:rFonts w:ascii="Times New Roman" w:hAnsi="Times New Roman" w:cs="Times New Roman"/>
          <w:sz w:val="24"/>
          <w:szCs w:val="24"/>
        </w:rPr>
        <w:t xml:space="preserve">yet </w:t>
      </w:r>
      <w:r w:rsidR="00B228E3" w:rsidRPr="005B18E5">
        <w:rPr>
          <w:rFonts w:ascii="Times New Roman" w:hAnsi="Times New Roman" w:cs="Times New Roman"/>
          <w:sz w:val="24"/>
          <w:szCs w:val="24"/>
        </w:rPr>
        <w:lastRenderedPageBreak/>
        <w:t>further admixture to the original information of discoveries derived from it an</w:t>
      </w:r>
      <w:r w:rsidR="00B228E3">
        <w:rPr>
          <w:rFonts w:ascii="Times New Roman" w:hAnsi="Times New Roman" w:cs="Times New Roman"/>
          <w:sz w:val="24"/>
          <w:szCs w:val="24"/>
        </w:rPr>
        <w:t>d subsequent admixture to other “parallel”</w:t>
      </w:r>
      <w:r w:rsidR="00B228E3" w:rsidRPr="005B18E5">
        <w:rPr>
          <w:rFonts w:ascii="Times New Roman" w:hAnsi="Times New Roman" w:cs="Times New Roman"/>
          <w:sz w:val="24"/>
          <w:szCs w:val="24"/>
        </w:rPr>
        <w:t xml:space="preserve"> information which is not derived from it. In such a way</w:t>
      </w:r>
      <w:r w:rsidR="00B228E3">
        <w:rPr>
          <w:rFonts w:ascii="Times New Roman" w:hAnsi="Times New Roman" w:cs="Times New Roman"/>
          <w:sz w:val="24"/>
          <w:szCs w:val="24"/>
        </w:rPr>
        <w:t>,</w:t>
      </w:r>
      <w:r w:rsidR="00B228E3" w:rsidRPr="005B18E5">
        <w:rPr>
          <w:rFonts w:ascii="Times New Roman" w:hAnsi="Times New Roman" w:cs="Times New Roman"/>
          <w:sz w:val="24"/>
          <w:szCs w:val="24"/>
        </w:rPr>
        <w:t xml:space="preserve"> the original </w:t>
      </w:r>
      <w:r w:rsidR="009B2570">
        <w:rPr>
          <w:rFonts w:ascii="Times New Roman" w:hAnsi="Times New Roman" w:cs="Times New Roman"/>
          <w:sz w:val="24"/>
          <w:szCs w:val="24"/>
        </w:rPr>
        <w:t>source</w:t>
      </w:r>
      <w:r w:rsidR="00B228E3" w:rsidRPr="005B18E5">
        <w:rPr>
          <w:rFonts w:ascii="Times New Roman" w:hAnsi="Times New Roman" w:cs="Times New Roman"/>
          <w:sz w:val="24"/>
          <w:szCs w:val="24"/>
        </w:rPr>
        <w:t xml:space="preserve"> is “diluted” or “attenuated”.</w:t>
      </w:r>
      <w:r w:rsidR="00B228E3">
        <w:rPr>
          <w:rFonts w:ascii="Times New Roman" w:hAnsi="Times New Roman" w:cs="Times New Roman"/>
          <w:sz w:val="24"/>
          <w:szCs w:val="24"/>
        </w:rPr>
        <w:t xml:space="preserve"> Figure 1</w:t>
      </w:r>
      <w:r w:rsidR="00B228E3" w:rsidRPr="005B18E5">
        <w:rPr>
          <w:rFonts w:ascii="Times New Roman" w:hAnsi="Times New Roman" w:cs="Times New Roman"/>
          <w:sz w:val="24"/>
          <w:szCs w:val="24"/>
        </w:rPr>
        <w:t xml:space="preserve"> </w:t>
      </w:r>
      <w:r w:rsidR="009B2570">
        <w:rPr>
          <w:rFonts w:ascii="Times New Roman" w:hAnsi="Times New Roman" w:cs="Times New Roman"/>
          <w:sz w:val="24"/>
          <w:szCs w:val="24"/>
        </w:rPr>
        <w:t xml:space="preserve">is </w:t>
      </w:r>
      <w:r w:rsidR="00B228E3" w:rsidRPr="005B18E5">
        <w:rPr>
          <w:rFonts w:ascii="Times New Roman" w:hAnsi="Times New Roman" w:cs="Times New Roman"/>
          <w:sz w:val="24"/>
          <w:szCs w:val="24"/>
        </w:rPr>
        <w:t xml:space="preserve">a much-simplified schematic showing some of the potential steps that a </w:t>
      </w:r>
      <w:r w:rsidR="00B228E3">
        <w:rPr>
          <w:rFonts w:ascii="Times New Roman" w:hAnsi="Times New Roman" w:cs="Times New Roman"/>
          <w:sz w:val="24"/>
          <w:szCs w:val="24"/>
        </w:rPr>
        <w:t>genetic resource/</w:t>
      </w:r>
      <w:r w:rsidR="00B228E3" w:rsidRPr="005B18E5">
        <w:rPr>
          <w:rFonts w:ascii="Times New Roman" w:hAnsi="Times New Roman" w:cs="Times New Roman"/>
          <w:sz w:val="24"/>
          <w:szCs w:val="24"/>
        </w:rPr>
        <w:t>piece of traditional knowledge may take within a drug discovery process.</w:t>
      </w:r>
    </w:p>
    <w:p w:rsidR="00F35DAA" w:rsidRPr="00AB0367" w:rsidRDefault="00F35DAA" w:rsidP="00B228E3">
      <w:pPr>
        <w:spacing w:line="360" w:lineRule="auto"/>
        <w:jc w:val="both"/>
        <w:rPr>
          <w:rFonts w:ascii="Times New Roman" w:hAnsi="Times New Roman" w:cs="Times New Roman"/>
          <w:sz w:val="24"/>
          <w:szCs w:val="24"/>
        </w:rPr>
      </w:pPr>
    </w:p>
    <w:p w:rsidR="00B228E3" w:rsidRPr="008C0AE1" w:rsidRDefault="00B228E3" w:rsidP="00B228E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Figure 1</w:t>
      </w:r>
      <w:r w:rsidR="00545481">
        <w:rPr>
          <w:rFonts w:ascii="Times New Roman" w:hAnsi="Times New Roman" w:cs="Times New Roman"/>
          <w:b/>
          <w:sz w:val="24"/>
          <w:szCs w:val="24"/>
          <w:u w:val="single"/>
        </w:rPr>
        <w:t>.</w:t>
      </w:r>
      <w:r>
        <w:rPr>
          <w:rFonts w:ascii="Times New Roman" w:hAnsi="Times New Roman" w:cs="Times New Roman"/>
          <w:b/>
          <w:sz w:val="24"/>
          <w:szCs w:val="24"/>
          <w:u w:val="single"/>
        </w:rPr>
        <w:t xml:space="preserve"> Simplified s</w:t>
      </w:r>
      <w:r w:rsidRPr="00CB1841">
        <w:rPr>
          <w:rFonts w:ascii="Times New Roman" w:hAnsi="Times New Roman" w:cs="Times New Roman"/>
          <w:b/>
          <w:sz w:val="24"/>
          <w:szCs w:val="24"/>
          <w:u w:val="single"/>
        </w:rPr>
        <w:t xml:space="preserve">chematic of path taken by a piece of </w:t>
      </w:r>
      <w:r w:rsidR="00891831">
        <w:rPr>
          <w:rFonts w:ascii="Times New Roman" w:hAnsi="Times New Roman" w:cs="Times New Roman"/>
          <w:b/>
          <w:sz w:val="24"/>
          <w:szCs w:val="24"/>
          <w:u w:val="single"/>
        </w:rPr>
        <w:t>TKAGR/GR</w:t>
      </w:r>
      <w:r w:rsidRPr="00CB1841">
        <w:rPr>
          <w:rFonts w:ascii="Times New Roman" w:hAnsi="Times New Roman" w:cs="Times New Roman"/>
          <w:b/>
          <w:sz w:val="24"/>
          <w:szCs w:val="24"/>
          <w:u w:val="single"/>
        </w:rPr>
        <w:t xml:space="preserve"> within the drug discovery process.</w:t>
      </w:r>
    </w:p>
    <w:p w:rsidR="00B228E3" w:rsidRDefault="00B228E3" w:rsidP="00B228E3">
      <w:pPr>
        <w:spacing w:line="360" w:lineRule="auto"/>
        <w:jc w:val="both"/>
        <w:rPr>
          <w:rFonts w:ascii="Times New Roman" w:hAnsi="Times New Roman" w:cs="Times New Roman"/>
          <w:sz w:val="24"/>
          <w:szCs w:val="24"/>
        </w:rPr>
      </w:pPr>
      <w:r w:rsidRPr="000E5962">
        <w:rPr>
          <w:rFonts w:ascii="Times New Roman" w:hAnsi="Times New Roman" w:cs="Times New Roman"/>
          <w:noProof/>
          <w:sz w:val="24"/>
          <w:szCs w:val="24"/>
        </w:rPr>
        <w:drawing>
          <wp:inline distT="0" distB="0" distL="0" distR="0">
            <wp:extent cx="5826797" cy="3192632"/>
            <wp:effectExtent l="0" t="19050" r="0" b="45868"/>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228E3" w:rsidRDefault="00B228E3" w:rsidP="00B228E3">
      <w:pPr>
        <w:spacing w:line="360" w:lineRule="auto"/>
        <w:jc w:val="both"/>
        <w:rPr>
          <w:rFonts w:ascii="Times New Roman" w:hAnsi="Times New Roman" w:cs="Times New Roman"/>
          <w:sz w:val="24"/>
          <w:szCs w:val="24"/>
        </w:rPr>
      </w:pPr>
    </w:p>
    <w:p w:rsidR="00AB0367" w:rsidRDefault="0030749B" w:rsidP="00E92E4C">
      <w:pPr>
        <w:pStyle w:val="NormalWeb"/>
        <w:spacing w:line="360" w:lineRule="auto"/>
        <w:jc w:val="both"/>
      </w:pPr>
      <w:r w:rsidRPr="005964E7">
        <w:t>Despite its potential scientific complexity</w:t>
      </w:r>
      <w:r w:rsidR="000C6EAB">
        <w:t>,</w:t>
      </w:r>
      <w:r w:rsidRPr="005964E7">
        <w:t xml:space="preserve"> none of these processes are mysterious. However, as we will see, </w:t>
      </w:r>
      <w:r w:rsidR="00DE0EB7" w:rsidRPr="005964E7">
        <w:t xml:space="preserve">the Protocol </w:t>
      </w:r>
      <w:r w:rsidRPr="005964E7">
        <w:t>is not obviously orientated towards dealing with the</w:t>
      </w:r>
      <w:r w:rsidR="009B2570" w:rsidRPr="005964E7">
        <w:t xml:space="preserve"> problem of distal downstream use</w:t>
      </w:r>
      <w:r w:rsidRPr="005964E7">
        <w:t xml:space="preserve"> within drug discovery. </w:t>
      </w:r>
      <w:r w:rsidR="00891831" w:rsidRPr="005964E7">
        <w:t xml:space="preserve"> </w:t>
      </w:r>
      <w:r w:rsidR="008D0FFE">
        <w:t>Since</w:t>
      </w:r>
      <w:r w:rsidR="00576DE3" w:rsidRPr="005964E7">
        <w:t xml:space="preserve"> the Protocol arises out of the CBD</w:t>
      </w:r>
      <w:r w:rsidR="008D0FFE">
        <w:t>,</w:t>
      </w:r>
      <w:r w:rsidR="00576DE3" w:rsidRPr="005964E7">
        <w:t xml:space="preserve"> unsurprisingly</w:t>
      </w:r>
      <w:r w:rsidR="008D0FFE">
        <w:t xml:space="preserve"> much of its</w:t>
      </w:r>
      <w:r w:rsidR="00576DE3" w:rsidRPr="005964E7">
        <w:t xml:space="preserve"> focus is upon the control of </w:t>
      </w:r>
      <w:r w:rsidR="00576DE3" w:rsidRPr="005964E7">
        <w:rPr>
          <w:i/>
        </w:rPr>
        <w:t>genetic</w:t>
      </w:r>
      <w:r w:rsidR="00576DE3" w:rsidRPr="005964E7">
        <w:t xml:space="preserve"> </w:t>
      </w:r>
      <w:r w:rsidR="00576DE3" w:rsidRPr="005964E7">
        <w:rPr>
          <w:i/>
        </w:rPr>
        <w:t>resources</w:t>
      </w:r>
      <w:r w:rsidR="00576DE3" w:rsidRPr="005964E7">
        <w:t xml:space="preserve"> in their simplest sense. </w:t>
      </w:r>
      <w:r w:rsidR="005964E7" w:rsidRPr="005964E7">
        <w:t>Accordingly</w:t>
      </w:r>
      <w:r w:rsidR="00891831" w:rsidRPr="005964E7">
        <w:t xml:space="preserve"> </w:t>
      </w:r>
      <w:r w:rsidR="005964E7" w:rsidRPr="005964E7">
        <w:t xml:space="preserve">(as </w:t>
      </w:r>
      <w:r w:rsidR="00891831" w:rsidRPr="005964E7">
        <w:t>can be seen in Table 1</w:t>
      </w:r>
      <w:r w:rsidR="009B2570" w:rsidRPr="005964E7">
        <w:t xml:space="preserve"> </w:t>
      </w:r>
      <w:r w:rsidR="00891831" w:rsidRPr="005964E7">
        <w:t>above</w:t>
      </w:r>
      <w:r w:rsidR="005964E7" w:rsidRPr="005964E7">
        <w:t>)</w:t>
      </w:r>
      <w:r w:rsidR="00891831" w:rsidRPr="005964E7">
        <w:t xml:space="preserve"> at the heart of the Protocol’s positive rights are concepts of “access”</w:t>
      </w:r>
      <w:r w:rsidRPr="005964E7">
        <w:t xml:space="preserve"> </w:t>
      </w:r>
      <w:r w:rsidR="008D0FFE">
        <w:t xml:space="preserve">to, </w:t>
      </w:r>
      <w:r w:rsidRPr="005964E7">
        <w:t>and</w:t>
      </w:r>
      <w:r w:rsidR="00891831" w:rsidRPr="005964E7">
        <w:t xml:space="preserve"> “utilization”</w:t>
      </w:r>
      <w:r w:rsidR="008D0FFE">
        <w:t xml:space="preserve"> </w:t>
      </w:r>
      <w:r w:rsidRPr="005964E7">
        <w:t>of</w:t>
      </w:r>
      <w:r w:rsidR="008D0FFE">
        <w:t>,</w:t>
      </w:r>
      <w:r w:rsidR="00E92E4C" w:rsidRPr="005964E7">
        <w:t xml:space="preserve"> “genetic resources”</w:t>
      </w:r>
      <w:r w:rsidR="00576DE3" w:rsidRPr="005964E7">
        <w:t xml:space="preserve">. </w:t>
      </w:r>
      <w:r w:rsidR="008D0FFE">
        <w:t>D</w:t>
      </w:r>
      <w:r w:rsidR="005964E7" w:rsidRPr="005964E7">
        <w:t>etermining how these terms can be used to apply ABS principles to downstream use within drug discovery requires doctrinal analysis</w:t>
      </w:r>
      <w:r w:rsidR="000C6EAB">
        <w:t xml:space="preserve"> of these terms</w:t>
      </w:r>
      <w:r w:rsidR="005964E7" w:rsidRPr="005964E7">
        <w:t xml:space="preserve"> </w:t>
      </w:r>
      <w:r w:rsidR="008D0FFE">
        <w:t>alongside</w:t>
      </w:r>
      <w:r w:rsidR="000C6EAB">
        <w:t xml:space="preserve"> </w:t>
      </w:r>
      <w:r w:rsidR="005964E7" w:rsidRPr="005964E7">
        <w:t xml:space="preserve">application to the relevant science. </w:t>
      </w:r>
      <w:r w:rsidR="000C6EAB">
        <w:t>Accordingly, e</w:t>
      </w:r>
      <w:r w:rsidR="005964E7" w:rsidRPr="005964E7">
        <w:t>ach of these term</w:t>
      </w:r>
      <w:r w:rsidR="000C6EAB">
        <w:t>s</w:t>
      </w:r>
      <w:r w:rsidR="005964E7" w:rsidRPr="005964E7">
        <w:t xml:space="preserve"> will be dealt with in turn</w:t>
      </w:r>
      <w:r w:rsidR="000C6EAB">
        <w:t>,</w:t>
      </w:r>
      <w:r w:rsidR="005964E7" w:rsidRPr="005964E7">
        <w:t xml:space="preserve"> and their significance explained.</w:t>
      </w:r>
    </w:p>
    <w:p w:rsidR="00115E71" w:rsidRDefault="00115E71" w:rsidP="00115E71">
      <w:pPr>
        <w:pStyle w:val="Heading2"/>
        <w:spacing w:line="360" w:lineRule="auto"/>
      </w:pPr>
      <w:bookmarkStart w:id="3" w:name="_Toc423964358"/>
      <w:bookmarkStart w:id="4" w:name="_Toc446411528"/>
      <w:r w:rsidRPr="008C3EF4">
        <w:lastRenderedPageBreak/>
        <w:t xml:space="preserve">What does </w:t>
      </w:r>
      <w:r>
        <w:t>“</w:t>
      </w:r>
      <w:r w:rsidRPr="008C3EF4">
        <w:t>access</w:t>
      </w:r>
      <w:r>
        <w:t>”</w:t>
      </w:r>
      <w:r w:rsidRPr="008C3EF4">
        <w:t xml:space="preserve"> </w:t>
      </w:r>
      <w:r>
        <w:t xml:space="preserve">to a genetic resource </w:t>
      </w:r>
      <w:r w:rsidRPr="008C3EF4">
        <w:t>mean?</w:t>
      </w:r>
      <w:bookmarkEnd w:id="3"/>
      <w:bookmarkEnd w:id="4"/>
    </w:p>
    <w:p w:rsidR="00115E71" w:rsidRPr="00A75636"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the importance of the term, </w:t>
      </w:r>
      <w:r w:rsidR="00B315CF">
        <w:rPr>
          <w:rFonts w:ascii="Times New Roman" w:hAnsi="Times New Roman" w:cs="Times New Roman"/>
          <w:sz w:val="24"/>
          <w:szCs w:val="24"/>
        </w:rPr>
        <w:t>“</w:t>
      </w:r>
      <w:r>
        <w:rPr>
          <w:rFonts w:ascii="Times New Roman" w:hAnsi="Times New Roman" w:cs="Times New Roman"/>
          <w:sz w:val="24"/>
          <w:szCs w:val="24"/>
        </w:rPr>
        <w:t>access</w:t>
      </w:r>
      <w:r w:rsidR="00B315CF">
        <w:rPr>
          <w:rFonts w:ascii="Times New Roman" w:hAnsi="Times New Roman" w:cs="Times New Roman"/>
          <w:sz w:val="24"/>
          <w:szCs w:val="24"/>
        </w:rPr>
        <w:t>”</w:t>
      </w:r>
      <w:r>
        <w:rPr>
          <w:rFonts w:ascii="Times New Roman" w:hAnsi="Times New Roman" w:cs="Times New Roman"/>
          <w:sz w:val="24"/>
          <w:szCs w:val="24"/>
        </w:rPr>
        <w:t xml:space="preserve"> is not defined within the CBD</w:t>
      </w:r>
      <w:r w:rsidR="008D0FFE">
        <w:rPr>
          <w:rFonts w:ascii="Times New Roman" w:hAnsi="Times New Roman" w:cs="Times New Roman"/>
          <w:sz w:val="24"/>
          <w:szCs w:val="24"/>
        </w:rPr>
        <w:t>,</w:t>
      </w:r>
      <w:r>
        <w:rPr>
          <w:rFonts w:ascii="Times New Roman" w:hAnsi="Times New Roman" w:cs="Times New Roman"/>
          <w:sz w:val="24"/>
          <w:szCs w:val="24"/>
        </w:rPr>
        <w:t xml:space="preserve"> or the Protocol. </w:t>
      </w:r>
    </w:p>
    <w:p w:rsidR="00115E71" w:rsidRPr="00A75636" w:rsidRDefault="00115E71" w:rsidP="00115E71">
      <w:pPr>
        <w:spacing w:line="360" w:lineRule="auto"/>
        <w:jc w:val="both"/>
        <w:rPr>
          <w:rFonts w:ascii="Times New Roman" w:hAnsi="Times New Roman" w:cs="Times New Roman"/>
          <w:sz w:val="24"/>
          <w:szCs w:val="24"/>
        </w:rPr>
      </w:pPr>
      <w:r w:rsidRPr="00FB77DE">
        <w:rPr>
          <w:rFonts w:ascii="Times New Roman" w:hAnsi="Times New Roman" w:cs="Times New Roman"/>
          <w:sz w:val="24"/>
          <w:szCs w:val="24"/>
        </w:rPr>
        <w:t xml:space="preserve">In relation to a </w:t>
      </w:r>
      <w:r w:rsidRPr="003052D4">
        <w:rPr>
          <w:rFonts w:ascii="Times New Roman" w:hAnsi="Times New Roman" w:cs="Times New Roman"/>
          <w:i/>
          <w:sz w:val="24"/>
          <w:szCs w:val="24"/>
        </w:rPr>
        <w:t>physical</w:t>
      </w:r>
      <w:r w:rsidRPr="00FB77DE">
        <w:rPr>
          <w:rFonts w:ascii="Times New Roman" w:hAnsi="Times New Roman" w:cs="Times New Roman"/>
          <w:sz w:val="24"/>
          <w:szCs w:val="24"/>
        </w:rPr>
        <w:t xml:space="preserve"> resource</w:t>
      </w:r>
      <w:r>
        <w:rPr>
          <w:rFonts w:ascii="Times New Roman" w:hAnsi="Times New Roman" w:cs="Times New Roman"/>
          <w:sz w:val="24"/>
          <w:szCs w:val="24"/>
        </w:rPr>
        <w:t>,</w:t>
      </w:r>
      <w:r w:rsidRPr="00FB77DE">
        <w:rPr>
          <w:rFonts w:ascii="Times New Roman" w:hAnsi="Times New Roman" w:cs="Times New Roman"/>
          <w:sz w:val="24"/>
          <w:szCs w:val="24"/>
        </w:rPr>
        <w:t xml:space="preserve"> it is clear that accessing that resource </w:t>
      </w:r>
      <w:r w:rsidR="00F70D39">
        <w:rPr>
          <w:rFonts w:ascii="Times New Roman" w:hAnsi="Times New Roman" w:cs="Times New Roman"/>
          <w:sz w:val="24"/>
          <w:szCs w:val="24"/>
        </w:rPr>
        <w:t>could simply mean</w:t>
      </w:r>
      <w:r w:rsidRPr="00FB77DE">
        <w:rPr>
          <w:rFonts w:ascii="Times New Roman" w:hAnsi="Times New Roman" w:cs="Times New Roman"/>
          <w:sz w:val="24"/>
          <w:szCs w:val="24"/>
        </w:rPr>
        <w:t xml:space="preserve"> taking </w:t>
      </w:r>
      <w:r w:rsidRPr="00FB77DE">
        <w:rPr>
          <w:rFonts w:ascii="Times New Roman" w:hAnsi="Times New Roman" w:cs="Times New Roman"/>
          <w:i/>
          <w:sz w:val="24"/>
          <w:szCs w:val="24"/>
        </w:rPr>
        <w:t>physical</w:t>
      </w:r>
      <w:r w:rsidRPr="00FB77DE">
        <w:rPr>
          <w:rFonts w:ascii="Times New Roman" w:hAnsi="Times New Roman" w:cs="Times New Roman"/>
          <w:sz w:val="24"/>
          <w:szCs w:val="24"/>
        </w:rPr>
        <w:t xml:space="preserve"> possession of the resource. An ethnobiologist being given plant samples by a group of indigenous peoples</w:t>
      </w:r>
      <w:r>
        <w:rPr>
          <w:rFonts w:ascii="Times New Roman" w:hAnsi="Times New Roman" w:cs="Times New Roman"/>
          <w:sz w:val="24"/>
          <w:szCs w:val="24"/>
        </w:rPr>
        <w:t xml:space="preserve"> (or a government department)</w:t>
      </w:r>
      <w:r w:rsidRPr="00FB77DE">
        <w:rPr>
          <w:rFonts w:ascii="Times New Roman" w:hAnsi="Times New Roman" w:cs="Times New Roman"/>
          <w:sz w:val="24"/>
          <w:szCs w:val="24"/>
        </w:rPr>
        <w:t xml:space="preserve"> is clearly </w:t>
      </w:r>
      <w:r>
        <w:rPr>
          <w:rFonts w:ascii="Times New Roman" w:hAnsi="Times New Roman" w:cs="Times New Roman"/>
          <w:sz w:val="24"/>
          <w:szCs w:val="24"/>
        </w:rPr>
        <w:t>“</w:t>
      </w:r>
      <w:r w:rsidRPr="00FB77DE">
        <w:rPr>
          <w:rFonts w:ascii="Times New Roman" w:hAnsi="Times New Roman" w:cs="Times New Roman"/>
          <w:sz w:val="24"/>
          <w:szCs w:val="24"/>
        </w:rPr>
        <w:t>accessing</w:t>
      </w:r>
      <w:r>
        <w:rPr>
          <w:rFonts w:ascii="Times New Roman" w:hAnsi="Times New Roman" w:cs="Times New Roman"/>
          <w:sz w:val="24"/>
          <w:szCs w:val="24"/>
        </w:rPr>
        <w:t>”</w:t>
      </w:r>
      <w:r w:rsidRPr="00FB77DE">
        <w:rPr>
          <w:rFonts w:ascii="Times New Roman" w:hAnsi="Times New Roman" w:cs="Times New Roman"/>
          <w:sz w:val="24"/>
          <w:szCs w:val="24"/>
        </w:rPr>
        <w:t xml:space="preserve"> those samples. </w:t>
      </w:r>
      <w:r>
        <w:rPr>
          <w:rFonts w:ascii="Times New Roman" w:hAnsi="Times New Roman" w:cs="Times New Roman"/>
          <w:sz w:val="24"/>
          <w:szCs w:val="24"/>
        </w:rPr>
        <w:t xml:space="preserve">However, is </w:t>
      </w:r>
      <w:r w:rsidRPr="003A411B">
        <w:rPr>
          <w:rFonts w:ascii="Times New Roman" w:hAnsi="Times New Roman" w:cs="Times New Roman"/>
          <w:sz w:val="24"/>
          <w:szCs w:val="24"/>
        </w:rPr>
        <w:t xml:space="preserve">a geneticist who is </w:t>
      </w:r>
      <w:r>
        <w:rPr>
          <w:rFonts w:ascii="Times New Roman" w:hAnsi="Times New Roman" w:cs="Times New Roman"/>
          <w:sz w:val="24"/>
          <w:szCs w:val="24"/>
        </w:rPr>
        <w:t xml:space="preserve">later </w:t>
      </w:r>
      <w:r w:rsidRPr="003A411B">
        <w:rPr>
          <w:rFonts w:ascii="Times New Roman" w:hAnsi="Times New Roman" w:cs="Times New Roman"/>
          <w:sz w:val="24"/>
          <w:szCs w:val="24"/>
        </w:rPr>
        <w:t xml:space="preserve">given that plant by the ethnobiologist </w:t>
      </w:r>
      <w:r>
        <w:rPr>
          <w:rFonts w:ascii="Times New Roman" w:hAnsi="Times New Roman" w:cs="Times New Roman"/>
          <w:sz w:val="24"/>
          <w:szCs w:val="24"/>
        </w:rPr>
        <w:t>(</w:t>
      </w:r>
      <w:r w:rsidRPr="003A411B">
        <w:rPr>
          <w:rFonts w:ascii="Times New Roman" w:hAnsi="Times New Roman" w:cs="Times New Roman"/>
          <w:sz w:val="24"/>
          <w:szCs w:val="24"/>
        </w:rPr>
        <w:t xml:space="preserve">and </w:t>
      </w:r>
      <w:r>
        <w:rPr>
          <w:rFonts w:ascii="Times New Roman" w:hAnsi="Times New Roman" w:cs="Times New Roman"/>
          <w:sz w:val="24"/>
          <w:szCs w:val="24"/>
        </w:rPr>
        <w:t>goes on to extract</w:t>
      </w:r>
      <w:r w:rsidRPr="003A411B">
        <w:rPr>
          <w:rFonts w:ascii="Times New Roman" w:hAnsi="Times New Roman" w:cs="Times New Roman"/>
          <w:sz w:val="24"/>
          <w:szCs w:val="24"/>
        </w:rPr>
        <w:t xml:space="preserve"> DNA from it</w:t>
      </w:r>
      <w:r>
        <w:rPr>
          <w:rFonts w:ascii="Times New Roman" w:hAnsi="Times New Roman" w:cs="Times New Roman"/>
          <w:sz w:val="24"/>
          <w:szCs w:val="24"/>
        </w:rPr>
        <w:t>)</w:t>
      </w:r>
      <w:r w:rsidRPr="003A411B">
        <w:rPr>
          <w:rFonts w:ascii="Times New Roman" w:hAnsi="Times New Roman" w:cs="Times New Roman"/>
          <w:sz w:val="24"/>
          <w:szCs w:val="24"/>
        </w:rPr>
        <w:t xml:space="preserve"> equally </w:t>
      </w:r>
      <w:r>
        <w:rPr>
          <w:rFonts w:ascii="Times New Roman" w:hAnsi="Times New Roman" w:cs="Times New Roman"/>
          <w:sz w:val="24"/>
          <w:szCs w:val="24"/>
        </w:rPr>
        <w:t>“</w:t>
      </w:r>
      <w:r w:rsidRPr="003A411B">
        <w:rPr>
          <w:rFonts w:ascii="Times New Roman" w:hAnsi="Times New Roman" w:cs="Times New Roman"/>
          <w:sz w:val="24"/>
          <w:szCs w:val="24"/>
        </w:rPr>
        <w:t>accessing</w:t>
      </w:r>
      <w:r>
        <w:rPr>
          <w:rFonts w:ascii="Times New Roman" w:hAnsi="Times New Roman" w:cs="Times New Roman"/>
          <w:sz w:val="24"/>
          <w:szCs w:val="24"/>
        </w:rPr>
        <w:t>”</w:t>
      </w:r>
      <w:r w:rsidRPr="003A411B">
        <w:rPr>
          <w:rFonts w:ascii="Times New Roman" w:hAnsi="Times New Roman" w:cs="Times New Roman"/>
          <w:sz w:val="24"/>
          <w:szCs w:val="24"/>
        </w:rPr>
        <w:t xml:space="preserve"> that material</w:t>
      </w:r>
      <w:r>
        <w:rPr>
          <w:rFonts w:ascii="Times New Roman" w:hAnsi="Times New Roman" w:cs="Times New Roman"/>
          <w:sz w:val="24"/>
          <w:szCs w:val="24"/>
        </w:rPr>
        <w:t>?</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“Access” could conceivably mean the </w:t>
      </w:r>
      <w:r w:rsidRPr="005E417F">
        <w:rPr>
          <w:rFonts w:ascii="Times New Roman" w:hAnsi="Times New Roman" w:cs="Times New Roman"/>
          <w:sz w:val="24"/>
          <w:szCs w:val="24"/>
        </w:rPr>
        <w:t>first-time</w:t>
      </w:r>
      <w:r w:rsidRPr="003052D4">
        <w:rPr>
          <w:rFonts w:ascii="Times New Roman" w:hAnsi="Times New Roman" w:cs="Times New Roman"/>
          <w:sz w:val="24"/>
          <w:szCs w:val="24"/>
        </w:rPr>
        <w:t xml:space="preserve"> physical apprehension</w:t>
      </w:r>
      <w:r>
        <w:rPr>
          <w:rFonts w:ascii="Times New Roman" w:hAnsi="Times New Roman" w:cs="Times New Roman"/>
          <w:sz w:val="24"/>
          <w:szCs w:val="24"/>
        </w:rPr>
        <w:t xml:space="preserve"> of a physical resource or the</w:t>
      </w:r>
      <w:r w:rsidRPr="003052D4">
        <w:rPr>
          <w:rFonts w:ascii="Times New Roman" w:hAnsi="Times New Roman" w:cs="Times New Roman"/>
          <w:sz w:val="24"/>
          <w:szCs w:val="24"/>
        </w:rPr>
        <w:t xml:space="preserve"> </w:t>
      </w:r>
      <w:r w:rsidRPr="005A6184">
        <w:rPr>
          <w:rFonts w:ascii="Times New Roman" w:hAnsi="Times New Roman" w:cs="Times New Roman"/>
          <w:i/>
          <w:sz w:val="24"/>
          <w:szCs w:val="24"/>
        </w:rPr>
        <w:t>continued</w:t>
      </w:r>
      <w:r w:rsidRPr="003052D4">
        <w:rPr>
          <w:rFonts w:ascii="Times New Roman" w:hAnsi="Times New Roman" w:cs="Times New Roman"/>
          <w:sz w:val="24"/>
          <w:szCs w:val="24"/>
        </w:rPr>
        <w:t xml:space="preserve"> physical apprehension</w:t>
      </w:r>
      <w:r>
        <w:rPr>
          <w:rFonts w:ascii="Times New Roman" w:hAnsi="Times New Roman" w:cs="Times New Roman"/>
          <w:sz w:val="24"/>
          <w:szCs w:val="24"/>
        </w:rPr>
        <w:t xml:space="preserve"> of a physical resource. Whether access refers to the first accessing or to a continued/ongoing access is important. If it is the latter</w:t>
      </w:r>
      <w:r w:rsidR="00D05FDA">
        <w:rPr>
          <w:rFonts w:ascii="Times New Roman" w:hAnsi="Times New Roman" w:cs="Times New Roman"/>
          <w:sz w:val="24"/>
          <w:szCs w:val="24"/>
        </w:rPr>
        <w:t>,</w:t>
      </w:r>
      <w:r>
        <w:t xml:space="preserve"> </w:t>
      </w:r>
      <w:r>
        <w:rPr>
          <w:rFonts w:ascii="Times New Roman" w:hAnsi="Times New Roman" w:cs="Times New Roman"/>
          <w:sz w:val="24"/>
          <w:szCs w:val="24"/>
        </w:rPr>
        <w:t xml:space="preserve">one could see access as </w:t>
      </w:r>
      <w:r w:rsidRPr="00FE5810">
        <w:rPr>
          <w:rFonts w:ascii="Times New Roman" w:hAnsi="Times New Roman" w:cs="Times New Roman"/>
          <w:sz w:val="24"/>
          <w:szCs w:val="24"/>
        </w:rPr>
        <w:t>extend</w:t>
      </w:r>
      <w:r>
        <w:rPr>
          <w:rFonts w:ascii="Times New Roman" w:hAnsi="Times New Roman" w:cs="Times New Roman"/>
          <w:sz w:val="24"/>
          <w:szCs w:val="24"/>
        </w:rPr>
        <w:t>ing</w:t>
      </w:r>
      <w:r w:rsidRPr="00FE5810">
        <w:rPr>
          <w:rFonts w:ascii="Times New Roman" w:hAnsi="Times New Roman" w:cs="Times New Roman"/>
          <w:sz w:val="24"/>
          <w:szCs w:val="24"/>
        </w:rPr>
        <w:t xml:space="preserve"> beyond mere </w:t>
      </w:r>
      <w:r w:rsidRPr="00FE5810">
        <w:rPr>
          <w:rFonts w:ascii="Times New Roman" w:hAnsi="Times New Roman" w:cs="Times New Roman"/>
          <w:i/>
          <w:sz w:val="24"/>
          <w:szCs w:val="24"/>
        </w:rPr>
        <w:t>physical</w:t>
      </w:r>
      <w:r w:rsidRPr="00FE5810">
        <w:rPr>
          <w:rFonts w:ascii="Times New Roman" w:hAnsi="Times New Roman" w:cs="Times New Roman"/>
          <w:sz w:val="24"/>
          <w:szCs w:val="24"/>
        </w:rPr>
        <w:t xml:space="preserve"> access within the jurisdiction in which the genetic resources are held, to a</w:t>
      </w:r>
      <w:r>
        <w:rPr>
          <w:rFonts w:ascii="Times New Roman" w:hAnsi="Times New Roman" w:cs="Times New Roman"/>
          <w:sz w:val="24"/>
          <w:szCs w:val="24"/>
        </w:rPr>
        <w:t xml:space="preserve"> broader</w:t>
      </w:r>
      <w:r w:rsidRPr="00FE5810">
        <w:rPr>
          <w:rFonts w:ascii="Times New Roman" w:hAnsi="Times New Roman" w:cs="Times New Roman"/>
          <w:sz w:val="24"/>
          <w:szCs w:val="24"/>
        </w:rPr>
        <w:t xml:space="preserve"> concept of </w:t>
      </w:r>
      <w:r w:rsidRPr="00FE5810">
        <w:rPr>
          <w:rFonts w:ascii="Times New Roman" w:hAnsi="Times New Roman" w:cs="Times New Roman"/>
          <w:i/>
          <w:sz w:val="24"/>
          <w:szCs w:val="24"/>
        </w:rPr>
        <w:t>legal</w:t>
      </w:r>
      <w:r>
        <w:rPr>
          <w:rFonts w:ascii="Times New Roman" w:hAnsi="Times New Roman" w:cs="Times New Roman"/>
          <w:sz w:val="24"/>
          <w:szCs w:val="24"/>
        </w:rPr>
        <w:t xml:space="preserve"> access</w:t>
      </w:r>
      <w:r w:rsidR="000C6EAB">
        <w:rPr>
          <w:rFonts w:ascii="Times New Roman" w:hAnsi="Times New Roman" w:cs="Times New Roman"/>
          <w:sz w:val="24"/>
          <w:szCs w:val="24"/>
        </w:rPr>
        <w:t xml:space="preserve"> - t</w:t>
      </w:r>
      <w:r>
        <w:rPr>
          <w:rFonts w:ascii="Times New Roman" w:hAnsi="Times New Roman" w:cs="Times New Roman"/>
          <w:sz w:val="24"/>
          <w:szCs w:val="24"/>
        </w:rPr>
        <w:t xml:space="preserve">his </w:t>
      </w:r>
      <w:r w:rsidRPr="00FE5810">
        <w:rPr>
          <w:rFonts w:ascii="Times New Roman" w:hAnsi="Times New Roman" w:cs="Times New Roman"/>
          <w:sz w:val="24"/>
          <w:szCs w:val="24"/>
        </w:rPr>
        <w:t>bei</w:t>
      </w:r>
      <w:r>
        <w:rPr>
          <w:rFonts w:ascii="Times New Roman" w:hAnsi="Times New Roman" w:cs="Times New Roman"/>
          <w:sz w:val="24"/>
          <w:szCs w:val="24"/>
        </w:rPr>
        <w:t xml:space="preserve">ng a permission for the continued holding of a </w:t>
      </w:r>
      <w:r w:rsidR="00B70BB0">
        <w:rPr>
          <w:rFonts w:ascii="Times New Roman" w:hAnsi="Times New Roman" w:cs="Times New Roman"/>
          <w:sz w:val="24"/>
          <w:szCs w:val="24"/>
        </w:rPr>
        <w:t>genetic resource</w:t>
      </w:r>
      <w:r w:rsidRPr="00FE5810">
        <w:rPr>
          <w:rFonts w:ascii="Times New Roman" w:hAnsi="Times New Roman" w:cs="Times New Roman"/>
          <w:sz w:val="24"/>
          <w:szCs w:val="24"/>
        </w:rPr>
        <w:t xml:space="preserve"> that would be otherwise be prohibited</w:t>
      </w:r>
      <w:r>
        <w:rPr>
          <w:rFonts w:ascii="Times New Roman" w:hAnsi="Times New Roman" w:cs="Times New Roman"/>
          <w:sz w:val="24"/>
          <w:szCs w:val="24"/>
        </w:rPr>
        <w:t>.</w:t>
      </w:r>
      <w:r w:rsidRPr="00FE5810">
        <w:rPr>
          <w:rFonts w:ascii="Times New Roman" w:hAnsi="Times New Roman" w:cs="Times New Roman"/>
          <w:sz w:val="24"/>
          <w:szCs w:val="24"/>
        </w:rPr>
        <w:t xml:space="preserve"> </w:t>
      </w:r>
      <w:r>
        <w:rPr>
          <w:rFonts w:ascii="Times New Roman" w:hAnsi="Times New Roman" w:cs="Times New Roman"/>
          <w:sz w:val="24"/>
          <w:szCs w:val="24"/>
        </w:rPr>
        <w:t>The debate on this point is far from settled and has been the subject of some polemic debate.</w:t>
      </w:r>
      <w:r w:rsidR="000C6EAB" w:rsidRPr="000C6EAB">
        <w:rPr>
          <w:rStyle w:val="FootnoteReference"/>
          <w:rFonts w:ascii="Times New Roman" w:hAnsi="Times New Roman" w:cs="Times New Roman"/>
          <w:sz w:val="24"/>
          <w:szCs w:val="24"/>
        </w:rPr>
        <w:t xml:space="preserve"> </w:t>
      </w:r>
      <w:r w:rsidR="000C6EAB" w:rsidRPr="00FE5810">
        <w:rPr>
          <w:rStyle w:val="FootnoteReference"/>
          <w:rFonts w:ascii="Times New Roman" w:hAnsi="Times New Roman" w:cs="Times New Roman"/>
          <w:sz w:val="24"/>
          <w:szCs w:val="24"/>
        </w:rPr>
        <w:footnoteReference w:id="24"/>
      </w:r>
      <w:r w:rsidR="000C6EAB" w:rsidRPr="00FE5810">
        <w:rPr>
          <w:rFonts w:ascii="Times New Roman" w:hAnsi="Times New Roman" w:cs="Times New Roman"/>
          <w:sz w:val="24"/>
          <w:szCs w:val="24"/>
        </w:rPr>
        <w:t xml:space="preserve"> </w:t>
      </w:r>
    </w:p>
    <w:p w:rsidR="00115E71" w:rsidRPr="003D6141" w:rsidRDefault="00B01185" w:rsidP="00115E71">
      <w:pPr>
        <w:spacing w:line="360" w:lineRule="auto"/>
        <w:jc w:val="both"/>
      </w:pPr>
      <w:r>
        <w:rPr>
          <w:rFonts w:ascii="Times New Roman" w:hAnsi="Times New Roman" w:cs="Times New Roman"/>
          <w:bCs/>
          <w:iCs/>
          <w:sz w:val="24"/>
          <w:szCs w:val="24"/>
        </w:rPr>
        <w:t>D</w:t>
      </w:r>
      <w:r w:rsidR="00115E71" w:rsidRPr="009118FC">
        <w:rPr>
          <w:rFonts w:ascii="Times New Roman" w:hAnsi="Times New Roman" w:cs="Times New Roman"/>
          <w:bCs/>
          <w:iCs/>
          <w:sz w:val="24"/>
          <w:szCs w:val="24"/>
        </w:rPr>
        <w:t xml:space="preserve">uring the negotiation of the Protocol </w:t>
      </w:r>
      <w:r>
        <w:rPr>
          <w:rFonts w:ascii="Times New Roman" w:hAnsi="Times New Roman" w:cs="Times New Roman"/>
          <w:bCs/>
          <w:iCs/>
          <w:sz w:val="24"/>
          <w:szCs w:val="24"/>
        </w:rPr>
        <w:t>t</w:t>
      </w:r>
      <w:r w:rsidR="00115E71" w:rsidRPr="009118FC">
        <w:rPr>
          <w:rFonts w:ascii="Times New Roman" w:hAnsi="Times New Roman" w:cs="Times New Roman"/>
          <w:bCs/>
          <w:iCs/>
          <w:sz w:val="24"/>
          <w:szCs w:val="24"/>
        </w:rPr>
        <w:t xml:space="preserve">he view of many </w:t>
      </w:r>
      <w:r w:rsidR="008D0FFE">
        <w:rPr>
          <w:rFonts w:ascii="Times New Roman" w:hAnsi="Times New Roman" w:cs="Times New Roman"/>
          <w:bCs/>
          <w:iCs/>
          <w:sz w:val="24"/>
          <w:szCs w:val="24"/>
        </w:rPr>
        <w:t xml:space="preserve">genetic </w:t>
      </w:r>
      <w:r w:rsidR="00115E71" w:rsidRPr="009118FC">
        <w:rPr>
          <w:rFonts w:ascii="Times New Roman" w:hAnsi="Times New Roman" w:cs="Times New Roman"/>
          <w:bCs/>
          <w:iCs/>
          <w:sz w:val="24"/>
          <w:szCs w:val="24"/>
        </w:rPr>
        <w:t xml:space="preserve">“user” countries was that genetic resources are </w:t>
      </w:r>
      <w:r>
        <w:rPr>
          <w:rFonts w:ascii="Times New Roman" w:hAnsi="Times New Roman" w:cs="Times New Roman"/>
          <w:bCs/>
          <w:iCs/>
          <w:sz w:val="24"/>
          <w:szCs w:val="24"/>
        </w:rPr>
        <w:t>“</w:t>
      </w:r>
      <w:r w:rsidR="00115E71" w:rsidRPr="009118FC">
        <w:rPr>
          <w:rFonts w:ascii="Times New Roman" w:hAnsi="Times New Roman" w:cs="Times New Roman"/>
          <w:bCs/>
          <w:iCs/>
          <w:sz w:val="24"/>
          <w:szCs w:val="24"/>
        </w:rPr>
        <w:t>accessed</w:t>
      </w:r>
      <w:r>
        <w:rPr>
          <w:rFonts w:ascii="Times New Roman" w:hAnsi="Times New Roman" w:cs="Times New Roman"/>
          <w:bCs/>
          <w:iCs/>
          <w:sz w:val="24"/>
          <w:szCs w:val="24"/>
        </w:rPr>
        <w:t>”</w:t>
      </w:r>
      <w:r w:rsidR="00115E71" w:rsidRPr="009118FC">
        <w:rPr>
          <w:rFonts w:ascii="Times New Roman" w:hAnsi="Times New Roman" w:cs="Times New Roman"/>
          <w:bCs/>
          <w:iCs/>
          <w:sz w:val="24"/>
          <w:szCs w:val="24"/>
        </w:rPr>
        <w:t xml:space="preserve"> when a biological sample crosses a national boundary. The view of </w:t>
      </w:r>
      <w:r w:rsidR="008D0FFE">
        <w:rPr>
          <w:rFonts w:ascii="Times New Roman" w:hAnsi="Times New Roman" w:cs="Times New Roman"/>
          <w:bCs/>
          <w:iCs/>
          <w:sz w:val="24"/>
          <w:szCs w:val="24"/>
        </w:rPr>
        <w:t xml:space="preserve">genetic </w:t>
      </w:r>
      <w:r w:rsidR="00115E71" w:rsidRPr="009118FC">
        <w:rPr>
          <w:rFonts w:ascii="Times New Roman" w:hAnsi="Times New Roman" w:cs="Times New Roman"/>
          <w:bCs/>
          <w:iCs/>
          <w:sz w:val="24"/>
          <w:szCs w:val="24"/>
        </w:rPr>
        <w:t xml:space="preserve">“provider” countries was that access occurs when biological material is </w:t>
      </w:r>
      <w:r w:rsidR="00115E71" w:rsidRPr="008337C3">
        <w:rPr>
          <w:rFonts w:ascii="Times New Roman" w:hAnsi="Times New Roman" w:cs="Times New Roman"/>
          <w:bCs/>
          <w:i/>
          <w:iCs/>
          <w:sz w:val="24"/>
          <w:szCs w:val="24"/>
        </w:rPr>
        <w:t>used</w:t>
      </w:r>
      <w:r w:rsidR="00115E71" w:rsidRPr="009118FC">
        <w:rPr>
          <w:rFonts w:ascii="Times New Roman" w:hAnsi="Times New Roman" w:cs="Times New Roman"/>
          <w:bCs/>
          <w:iCs/>
          <w:sz w:val="24"/>
          <w:szCs w:val="24"/>
        </w:rPr>
        <w:t xml:space="preserve"> – regardless of whether it crosses a national boundary.</w:t>
      </w:r>
      <w:r w:rsidRPr="009118FC">
        <w:rPr>
          <w:rStyle w:val="FootnoteReference"/>
          <w:rFonts w:ascii="Times New Roman" w:hAnsi="Times New Roman" w:cs="Times New Roman"/>
          <w:bCs/>
          <w:iCs/>
          <w:sz w:val="24"/>
          <w:szCs w:val="24"/>
        </w:rPr>
        <w:footnoteReference w:id="25"/>
      </w:r>
      <w:r w:rsidR="00115E71">
        <w:rPr>
          <w:rFonts w:ascii="Times New Roman" w:hAnsi="Times New Roman" w:cs="Times New Roman"/>
          <w:bCs/>
          <w:iCs/>
          <w:sz w:val="24"/>
          <w:szCs w:val="24"/>
        </w:rPr>
        <w:t xml:space="preserve"> </w:t>
      </w:r>
      <w:r w:rsidR="003D6141">
        <w:rPr>
          <w:rFonts w:ascii="Times New Roman" w:eastAsia="Times New Roman" w:hAnsi="Times New Roman" w:cs="Times New Roman"/>
          <w:sz w:val="24"/>
          <w:szCs w:val="24"/>
          <w:lang w:bidi="he-IL"/>
        </w:rPr>
        <w:t>I</w:t>
      </w:r>
      <w:r w:rsidR="00115E71">
        <w:rPr>
          <w:rFonts w:ascii="Times New Roman" w:eastAsia="Times New Roman" w:hAnsi="Times New Roman" w:cs="Times New Roman"/>
          <w:sz w:val="24"/>
          <w:szCs w:val="24"/>
          <w:lang w:bidi="he-IL"/>
        </w:rPr>
        <w:t xml:space="preserve">f </w:t>
      </w:r>
      <w:r w:rsidR="00115E71" w:rsidRPr="006D6605">
        <w:rPr>
          <w:rFonts w:ascii="Times New Roman" w:eastAsia="Times New Roman" w:hAnsi="Times New Roman" w:cs="Times New Roman"/>
          <w:sz w:val="24"/>
          <w:szCs w:val="24"/>
          <w:lang w:bidi="he-IL"/>
        </w:rPr>
        <w:t xml:space="preserve">this broader interpretation of access, encompassing subsequent activity, </w:t>
      </w:r>
      <w:r w:rsidR="00115E71">
        <w:rPr>
          <w:rFonts w:ascii="Times New Roman" w:eastAsia="Times New Roman" w:hAnsi="Times New Roman" w:cs="Times New Roman"/>
          <w:sz w:val="24"/>
          <w:szCs w:val="24"/>
          <w:lang w:bidi="he-IL"/>
        </w:rPr>
        <w:t>is not correct</w:t>
      </w:r>
      <w:r w:rsidR="00D05FDA">
        <w:rPr>
          <w:rFonts w:ascii="Times New Roman" w:eastAsia="Times New Roman" w:hAnsi="Times New Roman" w:cs="Times New Roman"/>
          <w:sz w:val="24"/>
          <w:szCs w:val="24"/>
          <w:lang w:bidi="he-IL"/>
        </w:rPr>
        <w:t>,</w:t>
      </w:r>
      <w:r w:rsidR="00115E71">
        <w:rPr>
          <w:rFonts w:ascii="Times New Roman" w:eastAsia="Times New Roman" w:hAnsi="Times New Roman" w:cs="Times New Roman"/>
          <w:sz w:val="24"/>
          <w:szCs w:val="24"/>
          <w:lang w:bidi="he-IL"/>
        </w:rPr>
        <w:t xml:space="preserve"> then </w:t>
      </w:r>
      <w:r w:rsidR="00115E71" w:rsidRPr="006D6605">
        <w:rPr>
          <w:rFonts w:ascii="Times New Roman" w:eastAsia="Times New Roman" w:hAnsi="Times New Roman" w:cs="Times New Roman"/>
          <w:sz w:val="24"/>
          <w:szCs w:val="24"/>
          <w:lang w:bidi="he-IL"/>
        </w:rPr>
        <w:t xml:space="preserve">the </w:t>
      </w:r>
      <w:r w:rsidR="00115E71">
        <w:rPr>
          <w:rFonts w:ascii="Times New Roman" w:eastAsia="Times New Roman" w:hAnsi="Times New Roman" w:cs="Times New Roman"/>
          <w:sz w:val="24"/>
          <w:szCs w:val="24"/>
          <w:lang w:bidi="he-IL"/>
        </w:rPr>
        <w:t xml:space="preserve">requirement for consent/approval </w:t>
      </w:r>
      <w:r w:rsidR="00D05FDA">
        <w:rPr>
          <w:rFonts w:ascii="Times New Roman" w:eastAsia="Times New Roman" w:hAnsi="Times New Roman" w:cs="Times New Roman"/>
          <w:sz w:val="24"/>
          <w:szCs w:val="24"/>
          <w:lang w:bidi="he-IL"/>
        </w:rPr>
        <w:t xml:space="preserve">from </w:t>
      </w:r>
      <w:r w:rsidR="00115E71" w:rsidRPr="006D6605">
        <w:rPr>
          <w:rFonts w:ascii="Times New Roman" w:eastAsia="Times New Roman" w:hAnsi="Times New Roman" w:cs="Times New Roman"/>
          <w:sz w:val="24"/>
          <w:szCs w:val="24"/>
          <w:lang w:bidi="he-IL"/>
        </w:rPr>
        <w:t xml:space="preserve">the rights holders would </w:t>
      </w:r>
      <w:r w:rsidR="00115E71">
        <w:rPr>
          <w:rFonts w:ascii="Times New Roman" w:eastAsia="Times New Roman" w:hAnsi="Times New Roman" w:cs="Times New Roman"/>
          <w:sz w:val="24"/>
          <w:szCs w:val="24"/>
          <w:lang w:bidi="he-IL"/>
        </w:rPr>
        <w:t xml:space="preserve">arguably </w:t>
      </w:r>
      <w:r w:rsidR="00115E71" w:rsidRPr="006D6605">
        <w:rPr>
          <w:rFonts w:ascii="Times New Roman" w:eastAsia="Times New Roman" w:hAnsi="Times New Roman" w:cs="Times New Roman"/>
          <w:sz w:val="24"/>
          <w:szCs w:val="24"/>
          <w:lang w:bidi="he-IL"/>
        </w:rPr>
        <w:t xml:space="preserve">be </w:t>
      </w:r>
      <w:r w:rsidR="00115E71">
        <w:rPr>
          <w:rFonts w:ascii="Times New Roman" w:eastAsia="Times New Roman" w:hAnsi="Times New Roman" w:cs="Times New Roman"/>
          <w:sz w:val="24"/>
          <w:szCs w:val="24"/>
          <w:lang w:bidi="he-IL"/>
        </w:rPr>
        <w:t>restricted</w:t>
      </w:r>
      <w:r w:rsidR="00115E71" w:rsidRPr="006D6605">
        <w:rPr>
          <w:rFonts w:ascii="Times New Roman" w:eastAsia="Times New Roman" w:hAnsi="Times New Roman" w:cs="Times New Roman"/>
          <w:sz w:val="24"/>
          <w:szCs w:val="24"/>
          <w:lang w:bidi="he-IL"/>
        </w:rPr>
        <w:t xml:space="preserve"> solely to the </w:t>
      </w:r>
      <w:r w:rsidR="00115E71" w:rsidRPr="00D544AC">
        <w:rPr>
          <w:rFonts w:ascii="Times New Roman" w:eastAsia="Times New Roman" w:hAnsi="Times New Roman" w:cs="Times New Roman"/>
          <w:i/>
          <w:sz w:val="24"/>
          <w:szCs w:val="24"/>
          <w:lang w:bidi="he-IL"/>
        </w:rPr>
        <w:t>very first</w:t>
      </w:r>
      <w:r w:rsidR="00115E71" w:rsidRPr="006D6605">
        <w:rPr>
          <w:rFonts w:ascii="Times New Roman" w:eastAsia="Times New Roman" w:hAnsi="Times New Roman" w:cs="Times New Roman"/>
          <w:sz w:val="24"/>
          <w:szCs w:val="24"/>
          <w:lang w:bidi="he-IL"/>
        </w:rPr>
        <w:t xml:space="preserve"> occasion upon which the</w:t>
      </w:r>
      <w:r w:rsidR="00115E71">
        <w:rPr>
          <w:rFonts w:ascii="Times New Roman" w:eastAsia="Times New Roman" w:hAnsi="Times New Roman" w:cs="Times New Roman"/>
          <w:sz w:val="24"/>
          <w:szCs w:val="24"/>
          <w:lang w:bidi="he-IL"/>
        </w:rPr>
        <w:t xml:space="preserve"> subject matter of the</w:t>
      </w:r>
      <w:r w:rsidR="00115E71" w:rsidRPr="006D6605">
        <w:rPr>
          <w:rFonts w:ascii="Times New Roman" w:eastAsia="Times New Roman" w:hAnsi="Times New Roman" w:cs="Times New Roman"/>
          <w:sz w:val="24"/>
          <w:szCs w:val="24"/>
          <w:lang w:bidi="he-IL"/>
        </w:rPr>
        <w:t xml:space="preserve"> rights in question</w:t>
      </w:r>
      <w:r w:rsidR="00115E71">
        <w:rPr>
          <w:rFonts w:ascii="Times New Roman" w:eastAsia="Times New Roman" w:hAnsi="Times New Roman" w:cs="Times New Roman"/>
          <w:sz w:val="24"/>
          <w:szCs w:val="24"/>
          <w:lang w:bidi="he-IL"/>
        </w:rPr>
        <w:t xml:space="preserve"> were acquired. At first sight this may seem unduly limited. However, one has to appreciate that the Protocol does, within Article 5, contain other provisions ensuring that the “utilization” of the resource is su</w:t>
      </w:r>
      <w:r w:rsidR="00D05FDA">
        <w:rPr>
          <w:rFonts w:ascii="Times New Roman" w:eastAsia="Times New Roman" w:hAnsi="Times New Roman" w:cs="Times New Roman"/>
          <w:sz w:val="24"/>
          <w:szCs w:val="24"/>
          <w:lang w:bidi="he-IL"/>
        </w:rPr>
        <w:t>bject to mutually agreed terms</w:t>
      </w:r>
      <w:r w:rsidR="00115E71">
        <w:rPr>
          <w:rFonts w:ascii="Times New Roman" w:eastAsia="Times New Roman" w:hAnsi="Times New Roman" w:cs="Times New Roman"/>
          <w:sz w:val="24"/>
          <w:szCs w:val="24"/>
          <w:lang w:bidi="he-IL"/>
        </w:rPr>
        <w:t>. This narrow interpretation is arguably also consistent with the overriding objective of the Protocol set out at Article 1:</w:t>
      </w:r>
    </w:p>
    <w:p w:rsidR="00115E71" w:rsidRDefault="00115E71" w:rsidP="00115E71">
      <w:pPr>
        <w:spacing w:line="360" w:lineRule="auto"/>
        <w:ind w:left="567"/>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w:t>
      </w:r>
      <w:r w:rsidRPr="00D0572E">
        <w:rPr>
          <w:rFonts w:ascii="Times New Roman" w:eastAsia="Times New Roman" w:hAnsi="Times New Roman" w:cs="Times New Roman"/>
          <w:sz w:val="24"/>
          <w:szCs w:val="24"/>
          <w:lang w:bidi="he-IL"/>
        </w:rPr>
        <w:t xml:space="preserve">The objective of this Protocol is the fair and equitable sharing of the benefits arising from the utilization of genetic resources, </w:t>
      </w:r>
      <w:r w:rsidRPr="00D0572E">
        <w:rPr>
          <w:rFonts w:ascii="Times New Roman" w:eastAsia="Times New Roman" w:hAnsi="Times New Roman" w:cs="Times New Roman"/>
          <w:b/>
          <w:sz w:val="24"/>
          <w:szCs w:val="24"/>
          <w:lang w:bidi="he-IL"/>
        </w:rPr>
        <w:t>including by</w:t>
      </w:r>
      <w:r w:rsidRPr="00D0572E">
        <w:rPr>
          <w:rFonts w:ascii="Times New Roman" w:eastAsia="Times New Roman" w:hAnsi="Times New Roman" w:cs="Times New Roman"/>
          <w:sz w:val="24"/>
          <w:szCs w:val="24"/>
          <w:lang w:bidi="he-IL"/>
        </w:rPr>
        <w:t xml:space="preserve">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Pr>
          <w:rFonts w:ascii="Times New Roman" w:eastAsia="Times New Roman" w:hAnsi="Times New Roman" w:cs="Times New Roman"/>
          <w:sz w:val="24"/>
          <w:szCs w:val="24"/>
          <w:lang w:bidi="he-IL"/>
        </w:rPr>
        <w:t xml:space="preserve">” </w:t>
      </w:r>
      <w:r w:rsidRPr="005D6303">
        <w:rPr>
          <w:rFonts w:ascii="Times New Roman" w:eastAsia="Times New Roman" w:hAnsi="Times New Roman" w:cs="Times New Roman"/>
          <w:sz w:val="24"/>
          <w:szCs w:val="24"/>
          <w:lang w:bidi="he-IL"/>
        </w:rPr>
        <w:t>[emphasis added]</w:t>
      </w:r>
      <w:r>
        <w:rPr>
          <w:rFonts w:ascii="Times New Roman" w:eastAsia="Times New Roman" w:hAnsi="Times New Roman" w:cs="Times New Roman"/>
          <w:sz w:val="24"/>
          <w:szCs w:val="24"/>
          <w:lang w:bidi="he-IL"/>
        </w:rPr>
        <w:t xml:space="preserve"> </w:t>
      </w:r>
    </w:p>
    <w:p w:rsidR="00115E71" w:rsidRDefault="00115E71" w:rsidP="00115E7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bidi="he-IL"/>
        </w:rPr>
        <w:t>Indeed, if anything, Article 1 could be said to envisage “access” as something of a narrower subset of broader “</w:t>
      </w:r>
      <w:r w:rsidRPr="00D0572E">
        <w:rPr>
          <w:rFonts w:ascii="Times New Roman" w:eastAsia="Times New Roman" w:hAnsi="Times New Roman" w:cs="Times New Roman"/>
          <w:sz w:val="24"/>
          <w:szCs w:val="24"/>
          <w:lang w:bidi="he-IL"/>
        </w:rPr>
        <w:t>utilization</w:t>
      </w:r>
      <w:r>
        <w:rPr>
          <w:rFonts w:ascii="Times New Roman" w:eastAsia="Times New Roman" w:hAnsi="Times New Roman" w:cs="Times New Roman"/>
          <w:sz w:val="24"/>
          <w:szCs w:val="24"/>
          <w:lang w:bidi="he-IL"/>
        </w:rPr>
        <w:t>”</w:t>
      </w:r>
      <w:r w:rsidR="00971614">
        <w:rPr>
          <w:rFonts w:ascii="Times New Roman" w:eastAsia="Times New Roman" w:hAnsi="Times New Roman" w:cs="Times New Roman"/>
          <w:sz w:val="24"/>
          <w:szCs w:val="24"/>
          <w:lang w:bidi="he-IL"/>
        </w:rPr>
        <w:t>,</w:t>
      </w:r>
      <w:r>
        <w:rPr>
          <w:rFonts w:ascii="Times New Roman" w:eastAsia="Times New Roman" w:hAnsi="Times New Roman" w:cs="Times New Roman"/>
          <w:sz w:val="24"/>
          <w:szCs w:val="24"/>
          <w:lang w:bidi="he-IL"/>
        </w:rPr>
        <w:t xml:space="preserve"> rather than being required to be co-terminous with it. </w:t>
      </w:r>
    </w:p>
    <w:p w:rsidR="008502E4" w:rsidRPr="00DF50C7" w:rsidRDefault="00115E71" w:rsidP="00115E71">
      <w:pPr>
        <w:spacing w:line="360" w:lineRule="auto"/>
        <w:jc w:val="both"/>
        <w:rPr>
          <w:rFonts w:ascii="Times New Roman" w:hAnsi="Times New Roman" w:cs="Times New Roman"/>
          <w:sz w:val="24"/>
          <w:szCs w:val="24"/>
        </w:rPr>
      </w:pPr>
      <w:r w:rsidRPr="00F84207">
        <w:rPr>
          <w:rFonts w:ascii="Times New Roman" w:hAnsi="Times New Roman" w:cs="Times New Roman"/>
          <w:sz w:val="24"/>
          <w:szCs w:val="24"/>
        </w:rPr>
        <w:t xml:space="preserve">However, </w:t>
      </w:r>
      <w:r>
        <w:rPr>
          <w:rFonts w:ascii="Times New Roman" w:hAnsi="Times New Roman" w:cs="Times New Roman"/>
          <w:sz w:val="24"/>
          <w:szCs w:val="24"/>
        </w:rPr>
        <w:t>even if we do take a broader interpretation - wherein</w:t>
      </w:r>
      <w:r w:rsidRPr="00F84207">
        <w:rPr>
          <w:rFonts w:ascii="Times New Roman" w:hAnsi="Times New Roman" w:cs="Times New Roman"/>
          <w:sz w:val="24"/>
          <w:szCs w:val="24"/>
        </w:rPr>
        <w:t xml:space="preserve"> Article 6 envisages a positive right controlling some sort of </w:t>
      </w:r>
      <w:r w:rsidRPr="00F84207">
        <w:rPr>
          <w:rFonts w:ascii="Times New Roman" w:hAnsi="Times New Roman" w:cs="Times New Roman"/>
          <w:i/>
          <w:sz w:val="24"/>
          <w:szCs w:val="24"/>
        </w:rPr>
        <w:t>ongoing</w:t>
      </w:r>
      <w:r w:rsidRPr="00F84207">
        <w:rPr>
          <w:rFonts w:ascii="Times New Roman" w:hAnsi="Times New Roman" w:cs="Times New Roman"/>
          <w:sz w:val="24"/>
          <w:szCs w:val="24"/>
        </w:rPr>
        <w:t xml:space="preserve"> </w:t>
      </w:r>
      <w:r>
        <w:rPr>
          <w:rFonts w:ascii="Times New Roman" w:hAnsi="Times New Roman" w:cs="Times New Roman"/>
          <w:sz w:val="24"/>
          <w:szCs w:val="24"/>
        </w:rPr>
        <w:t>legal access -</w:t>
      </w:r>
      <w:r w:rsidRPr="00F84207">
        <w:rPr>
          <w:rFonts w:ascii="Times New Roman" w:hAnsi="Times New Roman" w:cs="Times New Roman"/>
          <w:sz w:val="24"/>
          <w:szCs w:val="24"/>
        </w:rPr>
        <w:t xml:space="preserve"> we are left with the question: what is it access </w:t>
      </w:r>
      <w:r w:rsidRPr="00971614">
        <w:rPr>
          <w:rFonts w:ascii="Times New Roman" w:hAnsi="Times New Roman" w:cs="Times New Roman"/>
          <w:i/>
          <w:sz w:val="24"/>
          <w:szCs w:val="24"/>
        </w:rPr>
        <w:t>to</w:t>
      </w:r>
      <w:r w:rsidRPr="00F84207">
        <w:rPr>
          <w:rFonts w:ascii="Times New Roman" w:hAnsi="Times New Roman" w:cs="Times New Roman"/>
          <w:sz w:val="24"/>
          <w:szCs w:val="24"/>
        </w:rPr>
        <w:t>? Does it relate only to use of genetic material containing DNA, the DNA alone</w:t>
      </w:r>
      <w:r>
        <w:rPr>
          <w:rFonts w:ascii="Times New Roman" w:hAnsi="Times New Roman" w:cs="Times New Roman"/>
          <w:sz w:val="24"/>
          <w:szCs w:val="24"/>
        </w:rPr>
        <w:t>,</w:t>
      </w:r>
      <w:r w:rsidRPr="00F84207">
        <w:rPr>
          <w:rFonts w:ascii="Times New Roman" w:hAnsi="Times New Roman" w:cs="Times New Roman"/>
          <w:sz w:val="24"/>
          <w:szCs w:val="24"/>
        </w:rPr>
        <w:t xml:space="preserve"> or does it envisage something yet further, such as “access” to other chemical compounds found </w:t>
      </w:r>
      <w:r w:rsidR="003D6141">
        <w:rPr>
          <w:rFonts w:ascii="Times New Roman" w:hAnsi="Times New Roman" w:cs="Times New Roman"/>
          <w:sz w:val="24"/>
          <w:szCs w:val="24"/>
        </w:rPr>
        <w:t>with</w:t>
      </w:r>
      <w:r w:rsidRPr="00F84207">
        <w:rPr>
          <w:rFonts w:ascii="Times New Roman" w:hAnsi="Times New Roman" w:cs="Times New Roman"/>
          <w:sz w:val="24"/>
          <w:szCs w:val="24"/>
        </w:rPr>
        <w:t xml:space="preserve">in </w:t>
      </w:r>
      <w:r w:rsidR="003D6141">
        <w:rPr>
          <w:rFonts w:ascii="Times New Roman" w:hAnsi="Times New Roman" w:cs="Times New Roman"/>
          <w:sz w:val="24"/>
          <w:szCs w:val="24"/>
        </w:rPr>
        <w:t xml:space="preserve">an </w:t>
      </w:r>
      <w:r w:rsidRPr="00F84207">
        <w:rPr>
          <w:rFonts w:ascii="Times New Roman" w:hAnsi="Times New Roman" w:cs="Times New Roman"/>
          <w:sz w:val="24"/>
          <w:szCs w:val="24"/>
        </w:rPr>
        <w:t>organism - for example a plant-derived, therapeutically-active ligand?</w:t>
      </w:r>
      <w:r>
        <w:rPr>
          <w:rFonts w:ascii="Times New Roman" w:hAnsi="Times New Roman" w:cs="Times New Roman"/>
          <w:sz w:val="24"/>
          <w:szCs w:val="24"/>
        </w:rPr>
        <w:t xml:space="preserve"> To address that question we need to look to the</w:t>
      </w:r>
      <w:r w:rsidR="00DF50C7">
        <w:rPr>
          <w:rFonts w:ascii="Times New Roman" w:hAnsi="Times New Roman" w:cs="Times New Roman"/>
          <w:sz w:val="24"/>
          <w:szCs w:val="24"/>
        </w:rPr>
        <w:t xml:space="preserve"> meaning of “genetic resources”</w:t>
      </w:r>
    </w:p>
    <w:p w:rsidR="00115E71" w:rsidRPr="00FC1F85" w:rsidRDefault="00115E71" w:rsidP="00115E71">
      <w:pPr>
        <w:pStyle w:val="Heading2"/>
        <w:spacing w:line="360" w:lineRule="auto"/>
      </w:pPr>
      <w:bookmarkStart w:id="5" w:name="_Toc423964359"/>
      <w:bookmarkStart w:id="6" w:name="_Toc446411529"/>
      <w:r w:rsidRPr="00353696">
        <w:t xml:space="preserve">The meaning of </w:t>
      </w:r>
      <w:r>
        <w:t>“g</w:t>
      </w:r>
      <w:r w:rsidRPr="00353696">
        <w:t>enetic resources”</w:t>
      </w:r>
      <w:bookmarkEnd w:id="5"/>
      <w:bookmarkEnd w:id="6"/>
    </w:p>
    <w:p w:rsidR="00115E71" w:rsidRDefault="00115E71" w:rsidP="00115E71">
      <w:pPr>
        <w:spacing w:line="360" w:lineRule="auto"/>
        <w:jc w:val="both"/>
        <w:rPr>
          <w:rFonts w:ascii="Times New Roman" w:hAnsi="Times New Roman" w:cs="Times New Roman"/>
          <w:bCs/>
          <w:sz w:val="24"/>
          <w:szCs w:val="24"/>
        </w:rPr>
      </w:pPr>
      <w:r>
        <w:rPr>
          <w:rFonts w:ascii="Times New Roman" w:hAnsi="Times New Roman" w:cs="Times New Roman"/>
          <w:sz w:val="24"/>
          <w:szCs w:val="24"/>
        </w:rPr>
        <w:t>The concept of “genetic resources” is clearly at the heart of the Protocol. It is the subject matter which is “utilized”, “accessed” and “accessed for utilization”. Given the importance of the term, the definition provided within the Protocol is surprisingly brief.</w:t>
      </w:r>
      <w:r w:rsidRPr="004B2FF3">
        <w:rPr>
          <w:bCs/>
        </w:rPr>
        <w:t xml:space="preserve"> </w:t>
      </w:r>
      <w:r>
        <w:rPr>
          <w:rFonts w:ascii="Times New Roman" w:hAnsi="Times New Roman" w:cs="Times New Roman"/>
          <w:bCs/>
          <w:sz w:val="24"/>
          <w:szCs w:val="24"/>
        </w:rPr>
        <w:t xml:space="preserve">Indeed, the definition of “genetic resources” is taken in its entirety from the definition provided in </w:t>
      </w:r>
      <w:r>
        <w:rPr>
          <w:rFonts w:ascii="Times New Roman" w:hAnsi="Times New Roman" w:cs="Times New Roman"/>
          <w:sz w:val="24"/>
          <w:szCs w:val="24"/>
        </w:rPr>
        <w:t xml:space="preserve">Article 2 of the </w:t>
      </w:r>
      <w:r>
        <w:rPr>
          <w:rFonts w:ascii="Times New Roman" w:hAnsi="Times New Roman" w:cs="Times New Roman"/>
          <w:bCs/>
          <w:sz w:val="24"/>
          <w:szCs w:val="24"/>
        </w:rPr>
        <w:t xml:space="preserve">CBD. </w:t>
      </w:r>
      <w:r w:rsidR="00B01185">
        <w:rPr>
          <w:rFonts w:ascii="Times New Roman" w:hAnsi="Times New Roman" w:cs="Times New Roman"/>
          <w:bCs/>
          <w:sz w:val="24"/>
          <w:szCs w:val="24"/>
        </w:rPr>
        <w:t>D</w:t>
      </w:r>
      <w:r>
        <w:rPr>
          <w:rFonts w:ascii="Times New Roman" w:hAnsi="Times New Roman" w:cs="Times New Roman"/>
          <w:bCs/>
          <w:sz w:val="24"/>
          <w:szCs w:val="24"/>
        </w:rPr>
        <w:t xml:space="preserve">uring negotiation of the CBD there was little discussion </w:t>
      </w:r>
      <w:r w:rsidRPr="004B2FF3">
        <w:rPr>
          <w:rFonts w:ascii="Times New Roman" w:hAnsi="Times New Roman" w:cs="Times New Roman"/>
          <w:bCs/>
          <w:sz w:val="24"/>
          <w:szCs w:val="24"/>
        </w:rPr>
        <w:t xml:space="preserve">of the meaning of “genetic resources” and </w:t>
      </w:r>
      <w:r w:rsidR="00971614">
        <w:rPr>
          <w:rFonts w:ascii="Times New Roman" w:hAnsi="Times New Roman" w:cs="Times New Roman"/>
          <w:bCs/>
          <w:sz w:val="24"/>
          <w:szCs w:val="24"/>
        </w:rPr>
        <w:t>(</w:t>
      </w:r>
      <w:r w:rsidRPr="004B2FF3">
        <w:rPr>
          <w:rFonts w:ascii="Times New Roman" w:hAnsi="Times New Roman" w:cs="Times New Roman"/>
          <w:bCs/>
          <w:sz w:val="24"/>
          <w:szCs w:val="24"/>
        </w:rPr>
        <w:t>due to time pressures</w:t>
      </w:r>
      <w:r w:rsidR="00971614">
        <w:rPr>
          <w:rFonts w:ascii="Times New Roman" w:hAnsi="Times New Roman" w:cs="Times New Roman"/>
          <w:bCs/>
          <w:sz w:val="24"/>
          <w:szCs w:val="24"/>
        </w:rPr>
        <w:t>)</w:t>
      </w:r>
      <w:r w:rsidRPr="004B2FF3">
        <w:rPr>
          <w:rFonts w:ascii="Times New Roman" w:hAnsi="Times New Roman" w:cs="Times New Roman"/>
          <w:bCs/>
          <w:sz w:val="24"/>
          <w:szCs w:val="24"/>
        </w:rPr>
        <w:t xml:space="preserve"> a “lowest common denominator” definition, legally ambiguous, but acceptable to the majority, was decided upon.</w:t>
      </w:r>
      <w:r w:rsidR="00B01185">
        <w:rPr>
          <w:rStyle w:val="FootnoteReference"/>
          <w:rFonts w:ascii="Times New Roman" w:hAnsi="Times New Roman" w:cs="Times New Roman"/>
          <w:bCs/>
          <w:sz w:val="24"/>
          <w:szCs w:val="24"/>
        </w:rPr>
        <w:footnoteReference w:id="26"/>
      </w:r>
      <w:r w:rsidR="00B01185">
        <w:rPr>
          <w:rFonts w:ascii="Times New Roman" w:hAnsi="Times New Roman" w:cs="Times New Roman"/>
          <w:bCs/>
          <w:sz w:val="24"/>
          <w:szCs w:val="24"/>
        </w:rPr>
        <w:t xml:space="preserve"> </w:t>
      </w:r>
      <w:r>
        <w:rPr>
          <w:rFonts w:ascii="Times New Roman" w:hAnsi="Times New Roman" w:cs="Times New Roman"/>
          <w:bCs/>
          <w:sz w:val="24"/>
          <w:szCs w:val="24"/>
        </w:rPr>
        <w:t xml:space="preserve"> That definition is as follows:</w:t>
      </w:r>
    </w:p>
    <w:p w:rsidR="00115E71" w:rsidRPr="00353696" w:rsidRDefault="00115E71" w:rsidP="00115E7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353696">
        <w:rPr>
          <w:rFonts w:ascii="Times New Roman" w:hAnsi="Times New Roman" w:cs="Times New Roman"/>
          <w:sz w:val="24"/>
          <w:szCs w:val="24"/>
        </w:rPr>
        <w:t>Genetic resources" means genetic materia</w:t>
      </w:r>
      <w:r>
        <w:rPr>
          <w:rFonts w:ascii="Times New Roman" w:hAnsi="Times New Roman" w:cs="Times New Roman"/>
          <w:sz w:val="24"/>
          <w:szCs w:val="24"/>
        </w:rPr>
        <w:t>l of actual or potential value.”</w:t>
      </w:r>
    </w:p>
    <w:p w:rsidR="00115E71" w:rsidRPr="00F72B24"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115E71" w:rsidRPr="00483CD9" w:rsidRDefault="00115E71" w:rsidP="00115E71">
      <w:pPr>
        <w:spacing w:line="360" w:lineRule="auto"/>
        <w:ind w:left="567"/>
        <w:jc w:val="both"/>
        <w:rPr>
          <w:rFonts w:ascii="Times New Roman" w:hAnsi="Times New Roman" w:cs="Times New Roman"/>
          <w:bCs/>
          <w:sz w:val="24"/>
          <w:szCs w:val="24"/>
        </w:rPr>
      </w:pPr>
      <w:r>
        <w:rPr>
          <w:rFonts w:ascii="Times New Roman" w:hAnsi="Times New Roman" w:cs="Times New Roman"/>
          <w:sz w:val="24"/>
          <w:szCs w:val="24"/>
        </w:rPr>
        <w:lastRenderedPageBreak/>
        <w:t>“</w:t>
      </w:r>
      <w:r w:rsidRPr="00353696">
        <w:rPr>
          <w:rFonts w:ascii="Times New Roman" w:hAnsi="Times New Roman" w:cs="Times New Roman"/>
          <w:sz w:val="24"/>
          <w:szCs w:val="24"/>
        </w:rPr>
        <w:t>Genetic material" means any material of plant, animal, microbial or other origin containin</w:t>
      </w:r>
      <w:r>
        <w:rPr>
          <w:rFonts w:ascii="Times New Roman" w:hAnsi="Times New Roman" w:cs="Times New Roman"/>
          <w:sz w:val="24"/>
          <w:szCs w:val="24"/>
        </w:rPr>
        <w:t>g functional units of heredity.”</w:t>
      </w:r>
      <w:r>
        <w:rPr>
          <w:rStyle w:val="FootnoteReference"/>
          <w:rFonts w:ascii="Times New Roman" w:hAnsi="Times New Roman" w:cs="Times New Roman"/>
          <w:sz w:val="24"/>
          <w:szCs w:val="24"/>
        </w:rPr>
        <w:footnoteReference w:id="27"/>
      </w:r>
    </w:p>
    <w:p w:rsidR="00115E71" w:rsidRPr="00353696" w:rsidRDefault="00115E71" w:rsidP="00115E71">
      <w:pPr>
        <w:pStyle w:val="NormalWeb"/>
        <w:spacing w:line="360" w:lineRule="auto"/>
        <w:jc w:val="both"/>
      </w:pPr>
      <w:r>
        <w:t>The first point to note is that the definition of “genetic resources” is not coterminous with that of “genetic material” but is “</w:t>
      </w:r>
      <w:r w:rsidRPr="00353696">
        <w:t>genetic materia</w:t>
      </w:r>
      <w:r>
        <w:t xml:space="preserve">l of actual or potential value”. It is not entirely clear what this limitation to </w:t>
      </w:r>
      <w:r w:rsidR="003D6141">
        <w:t>“</w:t>
      </w:r>
      <w:r>
        <w:t>actual or potential value</w:t>
      </w:r>
      <w:r w:rsidR="003D6141">
        <w:t>”</w:t>
      </w:r>
      <w:r>
        <w:t xml:space="preserve"> achieves. One might ask what is meant by “value” and </w:t>
      </w:r>
      <w:r w:rsidR="003D6141">
        <w:t xml:space="preserve">indeed </w:t>
      </w:r>
      <w:r>
        <w:t>further ask: “actual or potential value” to whom? However one answers these questions, it is arguable that the definition is flexible enough to provide for changes in what constitutes actual or potential value as science and technology develop.</w:t>
      </w:r>
      <w:r>
        <w:rPr>
          <w:rStyle w:val="FootnoteReference"/>
        </w:rPr>
        <w:footnoteReference w:id="28"/>
      </w:r>
      <w:r>
        <w:t xml:space="preserve"> </w:t>
      </w:r>
    </w:p>
    <w:p w:rsidR="00115E71" w:rsidRDefault="00115E71" w:rsidP="00115E71">
      <w:pPr>
        <w:pStyle w:val="NormalWeb"/>
        <w:spacing w:line="360" w:lineRule="auto"/>
        <w:jc w:val="both"/>
      </w:pPr>
      <w:r>
        <w:t>The term “functional units of heredity” is not defined in either the Protocol or the CBD itself.  However, on the face of it</w:t>
      </w:r>
      <w:r w:rsidR="00B071DB">
        <w:t>,</w:t>
      </w:r>
      <w:r>
        <w:t xml:space="preserve"> a functional unit of heredity would seem to refer to a gene; the Merrion Webster dictionary</w:t>
      </w:r>
      <w:r>
        <w:rPr>
          <w:rStyle w:val="FootnoteReference"/>
        </w:rPr>
        <w:footnoteReference w:id="29"/>
      </w:r>
      <w:r>
        <w:t xml:space="preserve"> defines a gene as:</w:t>
      </w:r>
    </w:p>
    <w:p w:rsidR="00115E71" w:rsidRDefault="00115E71" w:rsidP="00115E71">
      <w:pPr>
        <w:pStyle w:val="NormalWeb"/>
        <w:spacing w:line="360" w:lineRule="auto"/>
        <w:ind w:left="567"/>
        <w:jc w:val="both"/>
        <w:rPr>
          <w:b/>
        </w:rPr>
      </w:pPr>
      <w:r>
        <w:t>“</w:t>
      </w:r>
      <w:r w:rsidRPr="008A512B">
        <w:t>a specific sequence of nucleotides in DNA or RNA</w:t>
      </w:r>
      <w:r w:rsidR="00E62FC1">
        <w:rPr>
          <w:rStyle w:val="FootnoteReference"/>
        </w:rPr>
        <w:footnoteReference w:id="30"/>
      </w:r>
      <w:r w:rsidRPr="008A512B">
        <w:t xml:space="preserve"> that is located usually on a chromosome and that is the </w:t>
      </w:r>
      <w:r w:rsidRPr="0013058E">
        <w:rPr>
          <w:b/>
        </w:rPr>
        <w:t>functional unit of inheritance</w:t>
      </w:r>
      <w:r w:rsidRPr="008A512B">
        <w:t xml:space="preserve"> controlling the transmission and expression of one or more traits by specifying the structure of a particular polypeptide and especially a protein or controlling the function of other </w:t>
      </w:r>
      <w:hyperlink r:id="rId16" w:history="1">
        <w:r w:rsidRPr="008A512B">
          <w:t>genetic</w:t>
        </w:r>
      </w:hyperlink>
      <w:r w:rsidRPr="008A512B">
        <w:t xml:space="preserve"> material</w:t>
      </w:r>
      <w:r w:rsidRPr="00546F7A">
        <w:t>”</w:t>
      </w:r>
      <w:r w:rsidR="00B071DB">
        <w:t>.</w:t>
      </w:r>
      <w:r>
        <w:t xml:space="preserve"> </w:t>
      </w:r>
      <w:r w:rsidRPr="00546F7A">
        <w:t>[emphasis added]</w:t>
      </w:r>
    </w:p>
    <w:p w:rsidR="00115E71" w:rsidRDefault="00115E71" w:rsidP="00115E71">
      <w:pPr>
        <w:pStyle w:val="NormalWeb"/>
        <w:spacing w:line="360" w:lineRule="auto"/>
        <w:jc w:val="both"/>
      </w:pPr>
      <w:r>
        <w:t xml:space="preserve">In its very narrowest sense, “material </w:t>
      </w:r>
      <w:r w:rsidRPr="00353696">
        <w:t>of plant, animal, microbial or other origin</w:t>
      </w:r>
      <w:r>
        <w:t xml:space="preserve"> containing functional units of heredity” could refer solely to DNA extracted from the cells of an organism (this being the a part of the original organism </w:t>
      </w:r>
      <w:r w:rsidRPr="0082385C">
        <w:t xml:space="preserve">which </w:t>
      </w:r>
      <w:r>
        <w:t xml:space="preserve">contains functional hereditary units) whether that DNA encodes for the entire genome of the organism, or encodes for only a sub-set of genes of interest. </w:t>
      </w:r>
    </w:p>
    <w:p w:rsidR="00115E71" w:rsidRPr="0030749B" w:rsidRDefault="00115E71" w:rsidP="00115E71">
      <w:pPr>
        <w:pStyle w:val="NormalWeb"/>
        <w:spacing w:line="360" w:lineRule="auto"/>
        <w:jc w:val="both"/>
        <w:rPr>
          <w:bCs/>
        </w:rPr>
      </w:pPr>
      <w:r>
        <w:t xml:space="preserve">However, one might </w:t>
      </w:r>
      <w:r w:rsidR="00CB12AD">
        <w:t xml:space="preserve">additionally </w:t>
      </w:r>
      <w:r>
        <w:t>argue that the term “material” could more broadly refer to an entire organism (or any part of an organism) which contains “functional units of heredity”. If this were the case</w:t>
      </w:r>
      <w:r w:rsidR="00B70BB0">
        <w:t>,</w:t>
      </w:r>
      <w:r>
        <w:t xml:space="preserve"> “genetic material” of an organism would include </w:t>
      </w:r>
      <w:r w:rsidRPr="003D6141">
        <w:rPr>
          <w:i/>
        </w:rPr>
        <w:t>any</w:t>
      </w:r>
      <w:r>
        <w:t xml:space="preserve"> element of the </w:t>
      </w:r>
      <w:r>
        <w:lastRenderedPageBreak/>
        <w:t>organism which would enable it to be propagated – which in a plant would include either a cutting</w:t>
      </w:r>
      <w:r w:rsidR="003D6141">
        <w:t>,</w:t>
      </w:r>
      <w:r>
        <w:t xml:space="preserve"> or a seed</w:t>
      </w:r>
      <w:r w:rsidR="003D6141">
        <w:t>,</w:t>
      </w:r>
      <w:r>
        <w:t xml:space="preserve"> or a spore. Such a definition of “genetic material” would also appear to be broad enough to encompass </w:t>
      </w:r>
      <w:r w:rsidR="003D6141">
        <w:t xml:space="preserve">eukaryotic </w:t>
      </w:r>
      <w:r w:rsidR="00F50B03">
        <w:t>cells</w:t>
      </w:r>
      <w:r w:rsidR="00B071DB">
        <w:t xml:space="preserve"> (such as erythrocytes)</w:t>
      </w:r>
      <w:r w:rsidR="00F50B03">
        <w:t xml:space="preserve"> containing only </w:t>
      </w:r>
      <w:r>
        <w:t>mitochondrial DNA</w:t>
      </w:r>
      <w:r w:rsidR="003D6141">
        <w:rPr>
          <w:rStyle w:val="FootnoteReference"/>
        </w:rPr>
        <w:footnoteReference w:id="31"/>
      </w:r>
      <w:r w:rsidR="00F50B03">
        <w:t xml:space="preserve"> (arguably a</w:t>
      </w:r>
      <w:r>
        <w:t xml:space="preserve"> </w:t>
      </w:r>
      <w:r w:rsidR="003D6141">
        <w:t>“</w:t>
      </w:r>
      <w:r>
        <w:t>functional unit of heredity</w:t>
      </w:r>
      <w:r w:rsidR="003D6141">
        <w:t>”</w:t>
      </w:r>
      <w:r>
        <w:t xml:space="preserve">, if only of the mitochondrion itself). </w:t>
      </w:r>
    </w:p>
    <w:p w:rsidR="00115E71" w:rsidRDefault="004B3AA6" w:rsidP="00115E71">
      <w:pPr>
        <w:pStyle w:val="NormalWeb"/>
        <w:spacing w:line="360" w:lineRule="auto"/>
        <w:jc w:val="both"/>
      </w:pPr>
      <w:r>
        <w:t>T</w:t>
      </w:r>
      <w:r w:rsidR="00F70D39">
        <w:t>he CBD does</w:t>
      </w:r>
      <w:r w:rsidR="00115E71">
        <w:t xml:space="preserve"> </w:t>
      </w:r>
      <w:r>
        <w:t xml:space="preserve">go on to </w:t>
      </w:r>
      <w:r w:rsidR="00115E71">
        <w:t>provide a</w:t>
      </w:r>
      <w:r w:rsidR="00F70D39">
        <w:t>,</w:t>
      </w:r>
      <w:r w:rsidR="00115E71">
        <w:t xml:space="preserve"> </w:t>
      </w:r>
      <w:r w:rsidR="00F70D39">
        <w:t xml:space="preserve">potentially helpful, </w:t>
      </w:r>
      <w:r w:rsidR="00115E71">
        <w:t xml:space="preserve">separate definition of </w:t>
      </w:r>
      <w:r w:rsidR="00115E71" w:rsidRPr="009D6697">
        <w:t xml:space="preserve">"Biological resources" </w:t>
      </w:r>
      <w:r w:rsidR="00115E71">
        <w:t xml:space="preserve">which: </w:t>
      </w:r>
    </w:p>
    <w:p w:rsidR="00115E71" w:rsidRDefault="00115E71" w:rsidP="00115E71">
      <w:pPr>
        <w:pStyle w:val="NormalWeb"/>
        <w:spacing w:line="360" w:lineRule="auto"/>
        <w:ind w:left="567"/>
        <w:jc w:val="both"/>
      </w:pPr>
      <w:r>
        <w:t>“</w:t>
      </w:r>
      <w:r w:rsidRPr="009D6697">
        <w:t>includes genetic resources, organisms or parts thereof, populations, or any other biotic component of ecosystems with actual or potential use or value for humanity.</w:t>
      </w:r>
      <w:r>
        <w:t>”</w:t>
      </w:r>
      <w:r>
        <w:rPr>
          <w:rStyle w:val="FootnoteReference"/>
        </w:rPr>
        <w:footnoteReference w:id="32"/>
      </w:r>
    </w:p>
    <w:p w:rsidR="00115E71" w:rsidRDefault="00115E71" w:rsidP="00115E71">
      <w:pPr>
        <w:pStyle w:val="NormalWeb"/>
        <w:spacing w:line="360" w:lineRule="auto"/>
        <w:jc w:val="both"/>
      </w:pPr>
      <w:r>
        <w:t>This separate definition of “biological resource”</w:t>
      </w:r>
      <w:r w:rsidR="00B071DB">
        <w:t>,</w:t>
      </w:r>
      <w:r>
        <w:t xml:space="preserve"> which includes “genetic resources” within a broader definition, alongside separate mention of “</w:t>
      </w:r>
      <w:r w:rsidRPr="009D6697">
        <w:t>organisms or parts thereof</w:t>
      </w:r>
      <w:r>
        <w:t xml:space="preserve">” would seem to suggest that the narrower (DNA-only) interpretation of “genetic resources” is correct. There otherwise seems little additional work for a broader (part of organism) definition of “genetic material” to do (other than to distinguish parts of organisms which do not contain units of heredity such as structural proteins, although this is a small subset of </w:t>
      </w:r>
      <w:r w:rsidR="00971614">
        <w:t xml:space="preserve">the </w:t>
      </w:r>
      <w:r>
        <w:t>part</w:t>
      </w:r>
      <w:r w:rsidR="00971614">
        <w:t>s</w:t>
      </w:r>
      <w:r>
        <w:t xml:space="preserve"> of </w:t>
      </w:r>
      <w:r w:rsidR="00971614">
        <w:t>an organism</w:t>
      </w:r>
      <w:r>
        <w:t xml:space="preserve">). </w:t>
      </w:r>
    </w:p>
    <w:p w:rsidR="00115E71" w:rsidRPr="0013058E" w:rsidRDefault="00115E71" w:rsidP="00115E71">
      <w:pPr>
        <w:pStyle w:val="NormalWeb"/>
        <w:spacing w:line="360" w:lineRule="auto"/>
        <w:jc w:val="both"/>
      </w:pPr>
      <w:r>
        <w:t>This narrow interpretation is supported by Correa</w:t>
      </w:r>
      <w:r>
        <w:rPr>
          <w:rStyle w:val="FootnoteReference"/>
        </w:rPr>
        <w:footnoteReference w:id="33"/>
      </w:r>
      <w:r>
        <w:t xml:space="preserve"> who notes that it is consistent with the prevailing thinking in the </w:t>
      </w:r>
      <w:r>
        <w:rPr>
          <w:bCs/>
        </w:rPr>
        <w:t>early 90’s (when the CBD was agreed) that manipulation of large or small sections of DNA would be the crucial element in exploitation of genetic resources.</w:t>
      </w:r>
    </w:p>
    <w:p w:rsidR="00115E71" w:rsidRPr="00D00B95" w:rsidRDefault="00194117" w:rsidP="00115E71">
      <w:pPr>
        <w:pStyle w:val="Heading2"/>
        <w:spacing w:line="360" w:lineRule="auto"/>
      </w:pPr>
      <w:bookmarkStart w:id="7" w:name="_Toc423964360"/>
      <w:bookmarkStart w:id="8" w:name="_Toc446411530"/>
      <w:r>
        <w:t>The p</w:t>
      </w:r>
      <w:r w:rsidR="00115E71">
        <w:t>roducts of genetic expression</w:t>
      </w:r>
      <w:bookmarkEnd w:id="7"/>
      <w:bookmarkEnd w:id="8"/>
    </w:p>
    <w:p w:rsidR="00115E71" w:rsidRDefault="00115E71" w:rsidP="00115E71">
      <w:pPr>
        <w:pStyle w:val="NormalWeb"/>
        <w:spacing w:line="360" w:lineRule="auto"/>
        <w:jc w:val="both"/>
      </w:pPr>
      <w:r>
        <w:t xml:space="preserve">Genes (the CBD’s “functional units of heredity”) are the way in which an organism encodes the instructions for making the </w:t>
      </w:r>
      <w:r w:rsidR="00BC47D4">
        <w:t>proteins</w:t>
      </w:r>
      <w:r>
        <w:t xml:space="preserve"> which make up the structural components of cell and tissues, and which regulate and catalyse reactions within the cells. </w:t>
      </w:r>
      <w:r w:rsidR="00BC47D4">
        <w:t>Where such</w:t>
      </w:r>
      <w:r>
        <w:t xml:space="preserve"> protein is an enzyme</w:t>
      </w:r>
      <w:r w:rsidR="00971614">
        <w:t>,</w:t>
      </w:r>
      <w:r>
        <w:t xml:space="preserve"> it will (subject to regulatory messages) catalyse the conversion of other </w:t>
      </w:r>
      <w:r>
        <w:lastRenderedPageBreak/>
        <w:t>biochemicals within the cell.</w:t>
      </w:r>
      <w:r>
        <w:rPr>
          <w:rStyle w:val="FootnoteReference"/>
        </w:rPr>
        <w:footnoteReference w:id="34"/>
      </w:r>
      <w:r>
        <w:t xml:space="preserve"> In this way the (non-DNA) biochemical components of an organism are an </w:t>
      </w:r>
      <w:r w:rsidRPr="00A91E6D">
        <w:rPr>
          <w:i/>
        </w:rPr>
        <w:t>expression</w:t>
      </w:r>
      <w:r>
        <w:t xml:space="preserve"> of the genetic material of the cell, even if they are not </w:t>
      </w:r>
      <w:r w:rsidRPr="003E5F21">
        <w:rPr>
          <w:i/>
        </w:rPr>
        <w:t>themselves</w:t>
      </w:r>
      <w:r>
        <w:t xml:space="preserve"> functional units of heredity. </w:t>
      </w:r>
    </w:p>
    <w:p w:rsidR="00115E71" w:rsidRDefault="00115E71" w:rsidP="00115E71">
      <w:pPr>
        <w:pStyle w:val="NormalWeb"/>
        <w:spacing w:line="360" w:lineRule="auto"/>
        <w:jc w:val="both"/>
      </w:pPr>
      <w:r>
        <w:t xml:space="preserve">The question of whether “non-DNA” biological components of an organism fall within the scope of “genetic resources” for the purpose of the Protocol is an important one. If they did not, potentially important substances found within an organism – including the biologically-active ligands which have biological effects in other organisms (such as </w:t>
      </w:r>
      <w:r w:rsidR="00971614">
        <w:t xml:space="preserve">the </w:t>
      </w:r>
      <w:r>
        <w:t>prokaryotic and eukaryotic toxins</w:t>
      </w:r>
      <w:r w:rsidR="00971614">
        <w:t xml:space="preserve"> from which many medicines or pharmacological tools are derived</w:t>
      </w:r>
      <w:r>
        <w:t>) would arguably be excluded from the access and benefit sharing provisions of the Protocol.</w:t>
      </w:r>
    </w:p>
    <w:p w:rsidR="00115E71" w:rsidRDefault="00115E71" w:rsidP="00115E71">
      <w:pPr>
        <w:pStyle w:val="NormalWeb"/>
        <w:spacing w:line="360" w:lineRule="auto"/>
        <w:jc w:val="both"/>
      </w:pPr>
      <w:r>
        <w:t>If one takes a narrow interpretation of “genetic resources” to include only the DNA of an organism</w:t>
      </w:r>
      <w:r w:rsidR="00971614">
        <w:t>,</w:t>
      </w:r>
      <w:r>
        <w:t xml:space="preserve"> then one might argue that “use” of that DNA will, of necessity, include only those techniques in which that piece of DNA itself is manipulated. These might include taking the entire genome of an organism (that could be expressed in its entirety through nuclear transfer cloning) or a sub-set of genes of interest which can be spliced into the genome of another organism</w:t>
      </w:r>
      <w:r w:rsidRPr="00B315CF">
        <w:t>.</w:t>
      </w:r>
      <w:r w:rsidR="00F069EB">
        <w:rPr>
          <w:rStyle w:val="FootnoteReference"/>
        </w:rPr>
        <w:footnoteReference w:id="35"/>
      </w:r>
      <w:r>
        <w:t xml:space="preserve"> Such a sub-set of genes could be used to provide the recipient (genetically modified) plant, animal, fungus or microorganism with a beneficial advantage (</w:t>
      </w:r>
      <w:r w:rsidRPr="006E5485">
        <w:rPr>
          <w:i/>
        </w:rPr>
        <w:t>e.g.</w:t>
      </w:r>
      <w:r>
        <w:t xml:space="preserve"> drought, pest, or herbicide resistance) or to stimulate the recipient organism to synthesise a particular molecule (which molecule itself may be used to provide a therapeutic benefit). Although these are undoubtedly powerful and commercially important techniques, they do not include “use” which takes a product of genetic expression (such as a protein or a metabolite produced through enzyme catalysis) as a starting point. </w:t>
      </w:r>
    </w:p>
    <w:p w:rsidR="00115E71" w:rsidRDefault="00115E71" w:rsidP="00115E71">
      <w:pPr>
        <w:pStyle w:val="NormalWeb"/>
        <w:spacing w:line="360" w:lineRule="auto"/>
        <w:jc w:val="both"/>
      </w:pPr>
      <w:r>
        <w:t xml:space="preserve">The fear that such products of genetic expression would be excluded from the access and benefit sharing provisions of the Protocol was a major driving force for the </w:t>
      </w:r>
      <w:r w:rsidR="00971614">
        <w:t>advocates</w:t>
      </w:r>
      <w:r>
        <w:t xml:space="preserve"> for the </w:t>
      </w:r>
      <w:r>
        <w:lastRenderedPageBreak/>
        <w:t xml:space="preserve">“provider” countries at the negotiations of what would become the Protocol. </w:t>
      </w:r>
      <w:r>
        <w:rPr>
          <w:rStyle w:val="FootnoteReference"/>
          <w:rFonts w:ascii="TimesNewRoman,BoldItalic" w:hAnsi="TimesNewRoman,BoldItalic" w:cs="TimesNewRoman,BoldItalic"/>
          <w:bCs/>
          <w:iCs/>
        </w:rPr>
        <w:footnoteReference w:id="36"/>
      </w:r>
      <w:r w:rsidRPr="006E5485">
        <w:rPr>
          <w:vertAlign w:val="superscript"/>
        </w:rPr>
        <w:t>,</w:t>
      </w:r>
      <w:r>
        <w:t xml:space="preserve"> Aubertin &amp; Filoche</w:t>
      </w:r>
      <w:r>
        <w:rPr>
          <w:rStyle w:val="FootnoteReference"/>
        </w:rPr>
        <w:footnoteReference w:id="37"/>
      </w:r>
      <w:r>
        <w:t xml:space="preserve"> report that provider country negotiators argued that: </w:t>
      </w:r>
    </w:p>
    <w:p w:rsidR="00115E71" w:rsidRPr="004911D6" w:rsidRDefault="00115E71" w:rsidP="00115E71">
      <w:pPr>
        <w:spacing w:line="360" w:lineRule="auto"/>
        <w:ind w:left="567"/>
        <w:rPr>
          <w:rFonts w:ascii="Times New Roman" w:hAnsi="Times New Roman" w:cs="Times New Roman"/>
          <w:sz w:val="24"/>
          <w:szCs w:val="24"/>
        </w:rPr>
      </w:pPr>
      <w:r w:rsidRPr="004911D6">
        <w:rPr>
          <w:rFonts w:ascii="Times New Roman" w:hAnsi="Times New Roman" w:cs="Times New Roman"/>
          <w:sz w:val="24"/>
          <w:szCs w:val="24"/>
        </w:rPr>
        <w:t>“the creation of wealth (and thus of benefits which may be shared) does not take place as result of the use of DNA, or the genes themselves, but (in 89% of cases according to the megadiverse group of countries) as a result of research and development regarding biochemical components (which include not only natural molecules, but also synthetic products which copy a natural molecule, medicines and so on).”</w:t>
      </w:r>
    </w:p>
    <w:p w:rsidR="00115E71" w:rsidRDefault="00115E71" w:rsidP="00115E71">
      <w:pPr>
        <w:spacing w:line="360" w:lineRule="auto"/>
        <w:rPr>
          <w:rFonts w:ascii="Times New Roman" w:hAnsi="Times New Roman" w:cs="Times New Roman"/>
          <w:sz w:val="24"/>
          <w:szCs w:val="24"/>
        </w:rPr>
      </w:pPr>
      <w:r>
        <w:rPr>
          <w:rFonts w:ascii="Times New Roman" w:hAnsi="Times New Roman" w:cs="Times New Roman"/>
          <w:sz w:val="24"/>
          <w:szCs w:val="24"/>
        </w:rPr>
        <w:t xml:space="preserve">and that: </w:t>
      </w:r>
    </w:p>
    <w:p w:rsidR="00115E71" w:rsidRDefault="00115E71" w:rsidP="00115E71">
      <w:pPr>
        <w:pStyle w:val="NormalWeb"/>
        <w:spacing w:line="360" w:lineRule="auto"/>
        <w:ind w:left="567"/>
        <w:jc w:val="both"/>
      </w:pPr>
      <w:r w:rsidRPr="004911D6">
        <w:t>“a Protocol dealing only with the use of genetic resources in the strict sense of the term, and not derivatives, would therefore be meaningless</w:t>
      </w:r>
      <w:r>
        <w:t>”</w:t>
      </w:r>
      <w:r w:rsidRPr="004911D6">
        <w:t>.</w:t>
      </w:r>
    </w:p>
    <w:p w:rsidR="003E6824" w:rsidRDefault="00115E71" w:rsidP="00115E71">
      <w:pPr>
        <w:pStyle w:val="NormalWeb"/>
        <w:spacing w:line="360" w:lineRule="auto"/>
        <w:jc w:val="both"/>
        <w:rPr>
          <w:bCs/>
        </w:rPr>
      </w:pPr>
      <w:r>
        <w:rPr>
          <w:bCs/>
        </w:rPr>
        <w:t>Correa</w:t>
      </w:r>
      <w:r>
        <w:rPr>
          <w:rStyle w:val="FootnoteReference"/>
          <w:bCs/>
        </w:rPr>
        <w:footnoteReference w:id="38"/>
      </w:r>
      <w:r>
        <w:rPr>
          <w:bCs/>
        </w:rPr>
        <w:t xml:space="preserve"> reports that the result of the negotiation was the addition to the Protocol of the concepts of “utilization”, “biotechnology” and “derivative” which were not present in the CBD and states that</w:t>
      </w:r>
      <w:r w:rsidR="00BC47D4">
        <w:rPr>
          <w:bCs/>
        </w:rPr>
        <w:t>:</w:t>
      </w:r>
    </w:p>
    <w:p w:rsidR="00115E71" w:rsidRDefault="00115E71" w:rsidP="003E6824">
      <w:pPr>
        <w:pStyle w:val="NormalWeb"/>
        <w:spacing w:line="360" w:lineRule="auto"/>
        <w:ind w:left="567"/>
        <w:jc w:val="both"/>
        <w:rPr>
          <w:i/>
          <w:color w:val="000000"/>
        </w:rPr>
      </w:pPr>
      <w:r>
        <w:rPr>
          <w:bCs/>
        </w:rPr>
        <w:t>“</w:t>
      </w:r>
      <w:r w:rsidRPr="003E6824">
        <w:rPr>
          <w:color w:val="000000"/>
        </w:rPr>
        <w:t>the common understanding among all Parties was that the definition of “Utilization of genetic resources” held the key to determining whether the scope covered derivatives or not</w:t>
      </w:r>
      <w:r>
        <w:rPr>
          <w:i/>
          <w:color w:val="000000"/>
        </w:rPr>
        <w:t>”.</w:t>
      </w:r>
    </w:p>
    <w:p w:rsidR="00115E71" w:rsidRDefault="00115E71" w:rsidP="00115E71">
      <w:pPr>
        <w:pStyle w:val="NormalWeb"/>
        <w:spacing w:line="360" w:lineRule="auto"/>
        <w:ind w:right="-334"/>
        <w:jc w:val="both"/>
        <w:rPr>
          <w:color w:val="000000"/>
        </w:rPr>
      </w:pPr>
      <w:r w:rsidRPr="00C25504">
        <w:rPr>
          <w:color w:val="000000"/>
        </w:rPr>
        <w:t>Greiber</w:t>
      </w:r>
      <w:r>
        <w:rPr>
          <w:i/>
          <w:color w:val="000000"/>
        </w:rPr>
        <w:t xml:space="preserve"> et al. </w:t>
      </w:r>
      <w:r>
        <w:rPr>
          <w:color w:val="000000"/>
        </w:rPr>
        <w:t>also report that:</w:t>
      </w:r>
    </w:p>
    <w:p w:rsidR="00115E71" w:rsidRDefault="00115E71" w:rsidP="00115E71">
      <w:pPr>
        <w:pStyle w:val="NormalWeb"/>
        <w:spacing w:line="360" w:lineRule="auto"/>
        <w:ind w:left="567"/>
        <w:jc w:val="both"/>
        <w:rPr>
          <w:bCs/>
        </w:rPr>
      </w:pPr>
      <w:r>
        <w:rPr>
          <w:color w:val="000000"/>
        </w:rPr>
        <w:t xml:space="preserve">“Late in the protocol negotiations, it became clear that many of the contentious technical issues could be solved if there were a clear understanding of the concept of utilization. ...the Parties included Subparagraph (c) defining the term “utilization of genetic resources”. This definition helps to provide legal certainty through specific </w:t>
      </w:r>
      <w:r>
        <w:rPr>
          <w:color w:val="000000"/>
        </w:rPr>
        <w:lastRenderedPageBreak/>
        <w:t>indicators that make a clear test for determining when the Nagoya Protocol governs a particular activity and when it triggers the obligation to share benefits.”</w:t>
      </w:r>
      <w:r w:rsidRPr="00C25504">
        <w:rPr>
          <w:rStyle w:val="Heading3Char"/>
          <w:i/>
          <w:color w:val="000000"/>
        </w:rPr>
        <w:t xml:space="preserve"> </w:t>
      </w:r>
      <w:r w:rsidRPr="00C25504">
        <w:rPr>
          <w:rStyle w:val="FootnoteReference"/>
          <w:color w:val="000000"/>
        </w:rPr>
        <w:footnoteReference w:id="39"/>
      </w:r>
      <w:r>
        <w:rPr>
          <w:color w:val="000000"/>
        </w:rPr>
        <w:t xml:space="preserve"> </w:t>
      </w:r>
    </w:p>
    <w:p w:rsidR="0030749B" w:rsidRPr="003D5529" w:rsidRDefault="00B70BB0" w:rsidP="00115E71">
      <w:pPr>
        <w:pStyle w:val="NormalWeb"/>
        <w:spacing w:line="360" w:lineRule="auto"/>
        <w:jc w:val="both"/>
      </w:pPr>
      <w:r>
        <w:t>So, i</w:t>
      </w:r>
      <w:r w:rsidR="00115E71">
        <w:t>t is to the definition of “u</w:t>
      </w:r>
      <w:r w:rsidR="00115E71" w:rsidRPr="00376321">
        <w:t>tilization of genetic resource</w:t>
      </w:r>
      <w:r w:rsidR="00115E71">
        <w:t>s</w:t>
      </w:r>
      <w:r w:rsidR="00115E71" w:rsidRPr="00376321">
        <w:t>”</w:t>
      </w:r>
      <w:r w:rsidR="00115E71">
        <w:t xml:space="preserve"> </w:t>
      </w:r>
      <w:r w:rsidR="00115E71" w:rsidRPr="00376321">
        <w:t>that we must now turn.</w:t>
      </w:r>
      <w:r w:rsidR="00115E71">
        <w:t xml:space="preserve"> As will be seen, some of the confidence in the clarity of the definition shown in the last quote is</w:t>
      </w:r>
      <w:r w:rsidR="00194117">
        <w:t>, for this author,</w:t>
      </w:r>
      <w:r w:rsidR="00F70D39">
        <w:t xml:space="preserve"> optimistic. </w:t>
      </w:r>
    </w:p>
    <w:p w:rsidR="00115E71" w:rsidRPr="00FC7234" w:rsidRDefault="00115E71" w:rsidP="00115E71">
      <w:pPr>
        <w:pStyle w:val="Heading2"/>
        <w:spacing w:line="360" w:lineRule="auto"/>
      </w:pPr>
      <w:bookmarkStart w:id="9" w:name="_Toc423964361"/>
      <w:bookmarkStart w:id="10" w:name="_Toc446411531"/>
      <w:r w:rsidRPr="00E52CC5">
        <w:t>What does “</w:t>
      </w:r>
      <w:r>
        <w:t xml:space="preserve">utilization </w:t>
      </w:r>
      <w:r w:rsidRPr="009D3C43">
        <w:rPr>
          <w:lang w:bidi="he-IL"/>
        </w:rPr>
        <w:t>of genetic resources</w:t>
      </w:r>
      <w:r w:rsidRPr="009D3C43">
        <w:t>”</w:t>
      </w:r>
      <w:r w:rsidRPr="00E52CC5">
        <w:t xml:space="preserve"> mean?</w:t>
      </w:r>
      <w:bookmarkEnd w:id="9"/>
      <w:bookmarkEnd w:id="10"/>
    </w:p>
    <w:p w:rsidR="00115E71" w:rsidRDefault="00115E71" w:rsidP="00115E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Protocol genetic resources is used in tandem with the term “utilization”. Article 3 of the Protocol which deals with scope adds little</w:t>
      </w:r>
      <w:r w:rsidR="00971614">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merely states:</w:t>
      </w:r>
    </w:p>
    <w:p w:rsidR="00115E71" w:rsidRPr="001D6896" w:rsidRDefault="00115E71" w:rsidP="00115E71">
      <w:pPr>
        <w:spacing w:line="360" w:lineRule="auto"/>
        <w:ind w:left="283"/>
        <w:jc w:val="both"/>
        <w:rPr>
          <w:rFonts w:ascii="Times New Roman" w:hAnsi="Times New Roman" w:cs="Times New Roman"/>
          <w:sz w:val="24"/>
          <w:szCs w:val="24"/>
        </w:rPr>
      </w:pPr>
      <w:r w:rsidRPr="001D6896">
        <w:rPr>
          <w:rFonts w:ascii="Times New Roman" w:hAnsi="Times New Roman" w:cs="Times New Roman"/>
          <w:sz w:val="24"/>
          <w:szCs w:val="24"/>
        </w:rPr>
        <w:t>“This Protocol shall apply to genetic resources within the scope of Article 15 of the Convention and to the benefits arising from the utilization of such resources. This Protocol shall also apply to traditional knowledge associated with genetic resources within the scope of the Convention and to the benefits arising from the utilization of such knowledge”.</w:t>
      </w:r>
      <w:r w:rsidRPr="001D6896">
        <w:rPr>
          <w:rStyle w:val="FootnoteReference"/>
          <w:rFonts w:ascii="Times New Roman" w:hAnsi="Times New Roman" w:cs="Times New Roman"/>
          <w:sz w:val="24"/>
          <w:szCs w:val="24"/>
        </w:rPr>
        <w:footnoteReference w:id="40"/>
      </w:r>
    </w:p>
    <w:p w:rsidR="00115E71" w:rsidRDefault="00115E71" w:rsidP="00115E7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Article 5(1) refers to the sharing of </w:t>
      </w:r>
      <w:r w:rsidRPr="00FC7234">
        <w:rPr>
          <w:rFonts w:ascii="Times New Roman" w:eastAsia="Times New Roman" w:hAnsi="Times New Roman" w:cs="Times New Roman"/>
          <w:sz w:val="24"/>
          <w:szCs w:val="24"/>
        </w:rPr>
        <w:t xml:space="preserve">benefits </w:t>
      </w:r>
      <w:r>
        <w:rPr>
          <w:rFonts w:ascii="Times New Roman" w:eastAsia="Times New Roman" w:hAnsi="Times New Roman" w:cs="Times New Roman"/>
          <w:sz w:val="24"/>
          <w:szCs w:val="24"/>
        </w:rPr>
        <w:t>“</w:t>
      </w:r>
      <w:r w:rsidRPr="00FC7234">
        <w:rPr>
          <w:rFonts w:ascii="Times New Roman" w:eastAsia="Times New Roman" w:hAnsi="Times New Roman" w:cs="Times New Roman"/>
          <w:sz w:val="24"/>
          <w:szCs w:val="24"/>
        </w:rPr>
        <w:t>arising from the utilization of genetic resources as well as subsequent applications and commercialization</w:t>
      </w:r>
      <w:r>
        <w:rPr>
          <w:rFonts w:ascii="Times New Roman" w:eastAsia="Times New Roman" w:hAnsi="Times New Roman" w:cs="Times New Roman"/>
          <w:sz w:val="24"/>
          <w:szCs w:val="24"/>
        </w:rPr>
        <w:t>”,</w:t>
      </w:r>
      <w:r w:rsidRPr="00FC7234">
        <w:rPr>
          <w:rFonts w:ascii="Times New Roman" w:eastAsia="Times New Roman" w:hAnsi="Times New Roman" w:cs="Times New Roman"/>
          <w:sz w:val="24"/>
          <w:szCs w:val="24"/>
        </w:rPr>
        <w:t xml:space="preserve"> Article 5(2) refer</w:t>
      </w:r>
      <w:r>
        <w:rPr>
          <w:rFonts w:ascii="Times New Roman" w:eastAsia="Times New Roman" w:hAnsi="Times New Roman" w:cs="Times New Roman"/>
          <w:sz w:val="24"/>
          <w:szCs w:val="24"/>
        </w:rPr>
        <w:t>s</w:t>
      </w:r>
      <w:r w:rsidRPr="00FC7234">
        <w:rPr>
          <w:rFonts w:ascii="Times New Roman" w:eastAsia="Times New Roman" w:hAnsi="Times New Roman" w:cs="Times New Roman"/>
          <w:sz w:val="24"/>
          <w:szCs w:val="24"/>
        </w:rPr>
        <w:t xml:space="preserve"> to benefits arising from the </w:t>
      </w:r>
      <w:r>
        <w:rPr>
          <w:rFonts w:ascii="Times New Roman" w:eastAsia="Times New Roman" w:hAnsi="Times New Roman" w:cs="Times New Roman"/>
          <w:sz w:val="24"/>
          <w:szCs w:val="24"/>
        </w:rPr>
        <w:t>“</w:t>
      </w:r>
      <w:r w:rsidRPr="00FC7234">
        <w:rPr>
          <w:rFonts w:ascii="Times New Roman" w:eastAsia="Times New Roman" w:hAnsi="Times New Roman" w:cs="Times New Roman"/>
          <w:sz w:val="24"/>
          <w:szCs w:val="24"/>
        </w:rPr>
        <w:t>utilization of genetic resources</w:t>
      </w:r>
      <w:r>
        <w:rPr>
          <w:rFonts w:ascii="Times New Roman" w:eastAsia="Times New Roman" w:hAnsi="Times New Roman" w:cs="Times New Roman"/>
          <w:sz w:val="24"/>
          <w:szCs w:val="24"/>
        </w:rPr>
        <w:t>”</w:t>
      </w:r>
      <w:r w:rsidRPr="00C739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Article 6(1) refers to</w:t>
      </w:r>
      <w:r>
        <w:rPr>
          <w:rFonts w:ascii="Times New Roman" w:eastAsia="Times New Roman" w:hAnsi="Times New Roman" w:cs="Times New Roman"/>
          <w:sz w:val="24"/>
          <w:szCs w:val="24"/>
          <w:lang w:bidi="he-IL"/>
        </w:rPr>
        <w:t xml:space="preserve"> access to genetic resources for their “utilization”. So what does “utilization” mean here?</w:t>
      </w:r>
      <w:r>
        <w:rPr>
          <w:rFonts w:ascii="Times New Roman" w:hAnsi="Times New Roman" w:cs="Times New Roman"/>
          <w:sz w:val="24"/>
          <w:szCs w:val="24"/>
        </w:rPr>
        <w:t xml:space="preserve"> </w:t>
      </w:r>
    </w:p>
    <w:p w:rsidR="00115E71" w:rsidRPr="00D21E79"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relevant </w:t>
      </w:r>
      <w:r w:rsidRPr="00D21E79">
        <w:rPr>
          <w:rFonts w:ascii="Times New Roman" w:hAnsi="Times New Roman" w:cs="Times New Roman"/>
          <w:sz w:val="24"/>
          <w:szCs w:val="24"/>
        </w:rPr>
        <w:t xml:space="preserve">definitions </w:t>
      </w:r>
      <w:r>
        <w:rPr>
          <w:rFonts w:ascii="Times New Roman" w:hAnsi="Times New Roman" w:cs="Times New Roman"/>
          <w:sz w:val="24"/>
          <w:szCs w:val="24"/>
        </w:rPr>
        <w:t>are provided in</w:t>
      </w:r>
      <w:r w:rsidRPr="00D21E79">
        <w:rPr>
          <w:rFonts w:ascii="Times New Roman" w:hAnsi="Times New Roman" w:cs="Times New Roman"/>
          <w:sz w:val="24"/>
          <w:szCs w:val="24"/>
        </w:rPr>
        <w:t xml:space="preserve"> Art</w:t>
      </w:r>
      <w:r>
        <w:rPr>
          <w:rFonts w:ascii="Times New Roman" w:hAnsi="Times New Roman" w:cs="Times New Roman"/>
          <w:sz w:val="24"/>
          <w:szCs w:val="24"/>
        </w:rPr>
        <w:t xml:space="preserve">icle 2 of the Protocol: </w:t>
      </w:r>
    </w:p>
    <w:p w:rsidR="00115E71" w:rsidRPr="00130E5A" w:rsidRDefault="00115E71" w:rsidP="00115E71">
      <w:pPr>
        <w:spacing w:line="360" w:lineRule="auto"/>
        <w:ind w:left="720"/>
        <w:jc w:val="both"/>
        <w:rPr>
          <w:rFonts w:ascii="Times New Roman" w:hAnsi="Times New Roman" w:cs="Times New Roman"/>
          <w:sz w:val="24"/>
          <w:szCs w:val="24"/>
        </w:rPr>
      </w:pPr>
      <w:r w:rsidRPr="00130E5A">
        <w:rPr>
          <w:rFonts w:ascii="Times New Roman" w:hAnsi="Times New Roman" w:cs="Times New Roman"/>
          <w:sz w:val="24"/>
          <w:szCs w:val="24"/>
        </w:rPr>
        <w:t xml:space="preserve">(b) “Utilization of genetic resources” means to conduct research and development on the genetic and/or biochemical composition of genetic resources, including through the application of biotechnology as defined in Article 2 of the Convention; </w:t>
      </w:r>
    </w:p>
    <w:p w:rsidR="00115E71" w:rsidRPr="00130E5A" w:rsidRDefault="00115E71" w:rsidP="00115E71">
      <w:pPr>
        <w:spacing w:line="360" w:lineRule="auto"/>
        <w:ind w:left="720"/>
        <w:jc w:val="both"/>
        <w:rPr>
          <w:rFonts w:ascii="Times New Roman" w:hAnsi="Times New Roman" w:cs="Times New Roman"/>
          <w:sz w:val="24"/>
          <w:szCs w:val="24"/>
        </w:rPr>
      </w:pPr>
      <w:r w:rsidRPr="00130E5A">
        <w:rPr>
          <w:rFonts w:ascii="Times New Roman" w:hAnsi="Times New Roman" w:cs="Times New Roman"/>
          <w:sz w:val="24"/>
          <w:szCs w:val="24"/>
        </w:rPr>
        <w:t>(d) “Biotechnology” as defined in Article 2 of the Convention means any technological application that uses biological systems, living organisms, or derivatives thereof, to make or modify products or processes for specific use.</w:t>
      </w:r>
    </w:p>
    <w:p w:rsidR="00115E71" w:rsidRDefault="00115E71" w:rsidP="00115E71">
      <w:pPr>
        <w:spacing w:line="360" w:lineRule="auto"/>
        <w:ind w:left="720"/>
        <w:jc w:val="both"/>
        <w:rPr>
          <w:rFonts w:ascii="Times New Roman" w:hAnsi="Times New Roman" w:cs="Times New Roman"/>
          <w:i/>
          <w:sz w:val="24"/>
          <w:szCs w:val="24"/>
        </w:rPr>
      </w:pPr>
      <w:r w:rsidRPr="00130E5A">
        <w:rPr>
          <w:rFonts w:ascii="Times New Roman" w:hAnsi="Times New Roman" w:cs="Times New Roman"/>
          <w:sz w:val="24"/>
          <w:szCs w:val="24"/>
        </w:rPr>
        <w:lastRenderedPageBreak/>
        <w:t>(e) “Derivative” means a naturally occurring biochemical compound resulting from the genetic expression or metabolism of biological or genetic resources, even if it does not contain functional units of heredity.</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starting point for analysis is the term “research and development on the </w:t>
      </w:r>
      <w:r w:rsidRPr="00333854">
        <w:rPr>
          <w:rFonts w:ascii="Times New Roman" w:hAnsi="Times New Roman" w:cs="Times New Roman"/>
          <w:sz w:val="24"/>
          <w:szCs w:val="24"/>
        </w:rPr>
        <w:t>genetic and/or biochemical composition of genetic resources</w:t>
      </w:r>
      <w:r>
        <w:rPr>
          <w:rFonts w:ascii="Times New Roman" w:hAnsi="Times New Roman" w:cs="Times New Roman"/>
          <w:sz w:val="24"/>
          <w:szCs w:val="24"/>
        </w:rPr>
        <w:t xml:space="preserve">”.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and development on the “genetic composition of genetic resources” would seem relatively clear – meaning analysis of the DNA sequences found within the particular genetic resource. What, though, does research and development on the </w:t>
      </w:r>
      <w:r w:rsidRPr="00A47B9C">
        <w:rPr>
          <w:rFonts w:ascii="Times New Roman" w:hAnsi="Times New Roman" w:cs="Times New Roman"/>
          <w:i/>
          <w:sz w:val="24"/>
          <w:szCs w:val="24"/>
        </w:rPr>
        <w:t>biochemical</w:t>
      </w:r>
      <w:r>
        <w:rPr>
          <w:rFonts w:ascii="Times New Roman" w:hAnsi="Times New Roman" w:cs="Times New Roman"/>
          <w:sz w:val="24"/>
          <w:szCs w:val="24"/>
        </w:rPr>
        <w:t xml:space="preserve"> </w:t>
      </w:r>
      <w:r w:rsidRPr="00333854">
        <w:rPr>
          <w:rFonts w:ascii="Times New Roman" w:hAnsi="Times New Roman" w:cs="Times New Roman"/>
          <w:sz w:val="24"/>
          <w:szCs w:val="24"/>
        </w:rPr>
        <w:t>composition of genetic resources</w:t>
      </w:r>
      <w:r>
        <w:rPr>
          <w:rFonts w:ascii="Times New Roman" w:hAnsi="Times New Roman" w:cs="Times New Roman"/>
          <w:sz w:val="24"/>
          <w:szCs w:val="24"/>
        </w:rPr>
        <w:t xml:space="preserve"> mean?</w:t>
      </w:r>
    </w:p>
    <w:p w:rsidR="00115E71" w:rsidRDefault="00115E71" w:rsidP="00115E71">
      <w:pPr>
        <w:pStyle w:val="NormalWeb"/>
        <w:spacing w:line="360" w:lineRule="auto"/>
        <w:jc w:val="both"/>
      </w:pPr>
      <w:r>
        <w:t xml:space="preserve">As we have seen above, the definition of “genetic resources”/“genetic material” in </w:t>
      </w:r>
      <w:r w:rsidR="00F37409">
        <w:t>the Protocol</w:t>
      </w:r>
      <w:r>
        <w:t xml:space="preserve"> (via Article 2 of the CBD) is rather scant. As is also highlighted above, the “material...containing functional units of heredity” within the definition of “genetic resources” can possibly be interpreted in two ways: </w:t>
      </w:r>
    </w:p>
    <w:p w:rsidR="00115E71" w:rsidRDefault="00115E71" w:rsidP="006041EA">
      <w:pPr>
        <w:pStyle w:val="NormalWeb"/>
        <w:numPr>
          <w:ilvl w:val="0"/>
          <w:numId w:val="5"/>
        </w:numPr>
        <w:spacing w:after="240" w:afterAutospacing="0" w:line="360" w:lineRule="auto"/>
        <w:ind w:left="714" w:right="-335" w:hanging="357"/>
        <w:jc w:val="both"/>
      </w:pPr>
      <w:r>
        <w:t xml:space="preserve">functional units of heredity </w:t>
      </w:r>
      <w:r w:rsidRPr="00971614">
        <w:rPr>
          <w:i/>
        </w:rPr>
        <w:t>alone</w:t>
      </w:r>
      <w:r>
        <w:t>; or</w:t>
      </w:r>
    </w:p>
    <w:p w:rsidR="00115E71" w:rsidRPr="00451CF0" w:rsidRDefault="00115E71" w:rsidP="006041EA">
      <w:pPr>
        <w:pStyle w:val="NormalWeb"/>
        <w:numPr>
          <w:ilvl w:val="0"/>
          <w:numId w:val="5"/>
        </w:numPr>
        <w:spacing w:line="360" w:lineRule="auto"/>
        <w:jc w:val="both"/>
        <w:rPr>
          <w:bCs/>
        </w:rPr>
      </w:pPr>
      <w:r>
        <w:t>more broadly as “material” of the organism in question which contains “functional units of heredity”.</w:t>
      </w:r>
    </w:p>
    <w:p w:rsidR="00115E71" w:rsidRDefault="00115E71" w:rsidP="00115E71">
      <w:pPr>
        <w:pStyle w:val="NormalWeb"/>
        <w:spacing w:line="360" w:lineRule="auto"/>
        <w:jc w:val="both"/>
      </w:pPr>
      <w:r>
        <w:t xml:space="preserve">If one assumes for the moment that the first (functional units of heredity </w:t>
      </w:r>
      <w:r w:rsidRPr="00B70BB0">
        <w:rPr>
          <w:i/>
        </w:rPr>
        <w:t>alone</w:t>
      </w:r>
      <w:r>
        <w:t xml:space="preserve">) interpretation is correct, this leaves us with a difficult question over the meaning of research and development on the </w:t>
      </w:r>
      <w:r w:rsidRPr="00A47B9C">
        <w:rPr>
          <w:i/>
        </w:rPr>
        <w:t>biochemical</w:t>
      </w:r>
      <w:r>
        <w:t xml:space="preserve"> </w:t>
      </w:r>
      <w:r w:rsidRPr="00333854">
        <w:t xml:space="preserve">composition of genetic </w:t>
      </w:r>
      <w:r>
        <w:t>material/</w:t>
      </w:r>
      <w:r w:rsidRPr="00333854">
        <w:t>resources</w:t>
      </w:r>
      <w:r>
        <w:t xml:space="preserve">. If we reasonably assume that “genetic composition” means the nucleotide sequence within a strand of DNA, then we are left looking for </w:t>
      </w:r>
      <w:r w:rsidRPr="00BE3D3A">
        <w:rPr>
          <w:i/>
        </w:rPr>
        <w:t>other</w:t>
      </w:r>
      <w:r>
        <w:t xml:space="preserve"> biochemical elements of the DNA strand(s) which may be the subject for investigation. </w:t>
      </w:r>
      <w:r w:rsidR="00F069EB">
        <w:t>What could these</w:t>
      </w:r>
      <w:r w:rsidR="00971614">
        <w:t xml:space="preserve"> be?</w:t>
      </w:r>
    </w:p>
    <w:p w:rsidR="00115E71" w:rsidRPr="00A47B9C" w:rsidRDefault="00115E71" w:rsidP="00115E71">
      <w:pPr>
        <w:pStyle w:val="NormalWeb"/>
        <w:spacing w:line="360" w:lineRule="auto"/>
        <w:jc w:val="both"/>
        <w:rPr>
          <w:bCs/>
        </w:rPr>
      </w:pPr>
      <w:r>
        <w:t>Within eukaryotic organisms</w:t>
      </w:r>
      <w:r w:rsidR="00B70BB0">
        <w:t>,</w:t>
      </w:r>
      <w:r>
        <w:t xml:space="preserve"> nuclear DNA is wrapped around structural proteins called histones to form a composite material called </w:t>
      </w:r>
      <w:r w:rsidR="00971614">
        <w:t>“</w:t>
      </w:r>
      <w:r>
        <w:t>chromatin</w:t>
      </w:r>
      <w:r w:rsidR="00971614">
        <w:t>”</w:t>
      </w:r>
      <w:r>
        <w:t>. These structures (together with non-histone chromosomal proteins) are used to assist the organised coiling of DNA within a chromosome, protecting it, ensuring it fits within the nucleus and regulating gene expression.</w:t>
      </w:r>
      <w:r>
        <w:rPr>
          <w:rStyle w:val="FootnoteReference"/>
        </w:rPr>
        <w:footnoteReference w:id="41"/>
      </w:r>
      <w:r>
        <w:t xml:space="preserve"> Modification of histones</w:t>
      </w:r>
      <w:r w:rsidR="00A55D0E">
        <w:rPr>
          <w:rStyle w:val="FootnoteReference"/>
        </w:rPr>
        <w:footnoteReference w:id="42"/>
      </w:r>
      <w:r>
        <w:t xml:space="preserve"> </w:t>
      </w:r>
      <w:r w:rsidR="00F17207">
        <w:t>(</w:t>
      </w:r>
      <w:r>
        <w:t>together with DNA-methylation</w:t>
      </w:r>
      <w:r w:rsidR="00E3233C">
        <w:rPr>
          <w:rStyle w:val="FootnoteReference"/>
        </w:rPr>
        <w:footnoteReference w:id="43"/>
      </w:r>
      <w:r w:rsidR="00E3233C">
        <w:t>)</w:t>
      </w:r>
      <w:r>
        <w:t xml:space="preserve"> are mechanisms </w:t>
      </w:r>
      <w:r>
        <w:lastRenderedPageBreak/>
        <w:t xml:space="preserve">for bringing about long-lasting heritable (so-called “epigenetic”) changes to the way in which the genome of an organism is expressed which are </w:t>
      </w:r>
      <w:r w:rsidR="00971614">
        <w:t xml:space="preserve">distinctly </w:t>
      </w:r>
      <w:r>
        <w:t>separate from modification of the nucleotide sequence.</w:t>
      </w:r>
      <w:r>
        <w:rPr>
          <w:rStyle w:val="FootnoteReference"/>
        </w:rPr>
        <w:footnoteReference w:id="44"/>
      </w:r>
      <w:r w:rsidR="00A55D0E">
        <w:rPr>
          <w:vertAlign w:val="superscript"/>
        </w:rPr>
        <w:t xml:space="preserve"> </w:t>
      </w:r>
      <w:r w:rsidR="00971614">
        <w:t>So, s</w:t>
      </w:r>
      <w:r>
        <w:t xml:space="preserve">tudies of chromatin structure and epigenetics would arguably meet the narrow definition of non-nucleotide sequence research on units of heredity. However, (although they are </w:t>
      </w:r>
      <w:r w:rsidR="00A55D0E">
        <w:t xml:space="preserve">very </w:t>
      </w:r>
      <w:r>
        <w:t xml:space="preserve">important areas for study in their own right) in the light of broader concerns over the scope of “utilization of genetic resources”, it would seem perverse to give </w:t>
      </w:r>
      <w:r w:rsidR="00B071DB">
        <w:t>the term “</w:t>
      </w:r>
      <w:r>
        <w:t xml:space="preserve">research and development on the biochemical </w:t>
      </w:r>
      <w:r w:rsidRPr="00333854">
        <w:t>composition of genetic resources</w:t>
      </w:r>
      <w:r w:rsidR="00B071DB">
        <w:t>”</w:t>
      </w:r>
      <w:r>
        <w:t xml:space="preserve"> such a narrow interpretation.</w:t>
      </w:r>
      <w:r>
        <w:rPr>
          <w:rStyle w:val="FootnoteReference"/>
        </w:rPr>
        <w:footnoteReference w:id="45"/>
      </w:r>
      <w:r>
        <w:t xml:space="preserve">  </w:t>
      </w:r>
    </w:p>
    <w:p w:rsidR="00470D82"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contrast, if we interpret “genetic material” to not be limited to DNA </w:t>
      </w:r>
      <w:r w:rsidR="00971614">
        <w:rPr>
          <w:rFonts w:ascii="Times New Roman" w:hAnsi="Times New Roman" w:cs="Times New Roman"/>
          <w:sz w:val="24"/>
          <w:szCs w:val="24"/>
        </w:rPr>
        <w:t>(</w:t>
      </w:r>
      <w:r>
        <w:rPr>
          <w:rFonts w:ascii="Times New Roman" w:hAnsi="Times New Roman" w:cs="Times New Roman"/>
          <w:sz w:val="24"/>
          <w:szCs w:val="24"/>
        </w:rPr>
        <w:t>with or without histones</w:t>
      </w:r>
      <w:r w:rsidR="00971614">
        <w:rPr>
          <w:rFonts w:ascii="Times New Roman" w:hAnsi="Times New Roman" w:cs="Times New Roman"/>
          <w:sz w:val="24"/>
          <w:szCs w:val="24"/>
        </w:rPr>
        <w:t>),</w:t>
      </w:r>
      <w:r>
        <w:rPr>
          <w:rFonts w:ascii="Times New Roman" w:hAnsi="Times New Roman" w:cs="Times New Roman"/>
          <w:sz w:val="24"/>
          <w:szCs w:val="24"/>
        </w:rPr>
        <w:t xml:space="preserve"> </w:t>
      </w:r>
      <w:r w:rsidRPr="00A21C54">
        <w:rPr>
          <w:rFonts w:ascii="Times New Roman" w:hAnsi="Times New Roman" w:cs="Times New Roman"/>
          <w:sz w:val="24"/>
          <w:szCs w:val="24"/>
        </w:rPr>
        <w:t>but</w:t>
      </w:r>
      <w:r>
        <w:rPr>
          <w:rFonts w:ascii="Times New Roman" w:hAnsi="Times New Roman" w:cs="Times New Roman"/>
          <w:sz w:val="24"/>
          <w:szCs w:val="24"/>
        </w:rPr>
        <w:t xml:space="preserve"> </w:t>
      </w:r>
      <w:r w:rsidR="00971614">
        <w:rPr>
          <w:rFonts w:ascii="Times New Roman" w:hAnsi="Times New Roman" w:cs="Times New Roman"/>
          <w:sz w:val="24"/>
          <w:szCs w:val="24"/>
        </w:rPr>
        <w:t xml:space="preserve">to </w:t>
      </w:r>
      <w:r>
        <w:rPr>
          <w:rFonts w:ascii="Times New Roman" w:hAnsi="Times New Roman" w:cs="Times New Roman"/>
          <w:sz w:val="24"/>
          <w:szCs w:val="24"/>
        </w:rPr>
        <w:t>more broadly include that “</w:t>
      </w:r>
      <w:r w:rsidRPr="00353696">
        <w:rPr>
          <w:rFonts w:ascii="Times New Roman" w:hAnsi="Times New Roman" w:cs="Times New Roman"/>
          <w:sz w:val="24"/>
          <w:szCs w:val="24"/>
        </w:rPr>
        <w:t>material of plant, animal, microbial or other origin</w:t>
      </w:r>
      <w:r>
        <w:rPr>
          <w:rFonts w:ascii="Times New Roman" w:hAnsi="Times New Roman" w:cs="Times New Roman"/>
          <w:sz w:val="24"/>
          <w:szCs w:val="24"/>
        </w:rPr>
        <w:t>” which contains the</w:t>
      </w:r>
      <w:r w:rsidRPr="00353696">
        <w:rPr>
          <w:rFonts w:ascii="Times New Roman" w:hAnsi="Times New Roman" w:cs="Times New Roman"/>
          <w:sz w:val="24"/>
          <w:szCs w:val="24"/>
        </w:rPr>
        <w:t xml:space="preserve"> </w:t>
      </w:r>
      <w:r>
        <w:rPr>
          <w:rFonts w:ascii="Times New Roman" w:hAnsi="Times New Roman" w:cs="Times New Roman"/>
          <w:sz w:val="24"/>
          <w:szCs w:val="24"/>
        </w:rPr>
        <w:t xml:space="preserve">“functional units of heredity” (that is </w:t>
      </w:r>
      <w:r w:rsidRPr="00C739BA">
        <w:rPr>
          <w:rFonts w:ascii="Times New Roman" w:hAnsi="Times New Roman" w:cs="Times New Roman"/>
          <w:i/>
          <w:sz w:val="24"/>
          <w:szCs w:val="24"/>
        </w:rPr>
        <w:t>any</w:t>
      </w:r>
      <w:r>
        <w:rPr>
          <w:rFonts w:ascii="Times New Roman" w:hAnsi="Times New Roman" w:cs="Times New Roman"/>
          <w:sz w:val="24"/>
          <w:szCs w:val="24"/>
        </w:rPr>
        <w:t xml:space="preserve"> part of an organism which contains genetic material), it would logically follow that research and development on the </w:t>
      </w:r>
      <w:r w:rsidRPr="00C67D5D">
        <w:rPr>
          <w:rFonts w:ascii="Times New Roman" w:hAnsi="Times New Roman" w:cs="Times New Roman"/>
          <w:i/>
          <w:sz w:val="24"/>
          <w:szCs w:val="24"/>
        </w:rPr>
        <w:t>biochemical</w:t>
      </w:r>
      <w:r>
        <w:rPr>
          <w:rFonts w:ascii="Times New Roman" w:hAnsi="Times New Roman" w:cs="Times New Roman"/>
          <w:sz w:val="24"/>
          <w:szCs w:val="24"/>
        </w:rPr>
        <w:t xml:space="preserve"> composition of genetic resources would appear to mean research on the biochemical composition of such “</w:t>
      </w:r>
      <w:r w:rsidRPr="00353696">
        <w:rPr>
          <w:rFonts w:ascii="Times New Roman" w:hAnsi="Times New Roman" w:cs="Times New Roman"/>
          <w:sz w:val="24"/>
          <w:szCs w:val="24"/>
        </w:rPr>
        <w:t>material of plant, animal, microbial or other origin containin</w:t>
      </w:r>
      <w:r>
        <w:rPr>
          <w:rFonts w:ascii="Times New Roman" w:hAnsi="Times New Roman" w:cs="Times New Roman"/>
          <w:sz w:val="24"/>
          <w:szCs w:val="24"/>
        </w:rPr>
        <w:t xml:space="preserve">g functional units of heredity”.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DNA nucleotide sequence element of the resource would appear to be dealt with by the first part (genetic composition) of the definition, the reference to “biochemical composition” could arguably mean all those </w:t>
      </w:r>
      <w:r w:rsidRPr="006E5EBA">
        <w:rPr>
          <w:rFonts w:ascii="Times New Roman" w:hAnsi="Times New Roman" w:cs="Times New Roman"/>
          <w:i/>
          <w:sz w:val="24"/>
          <w:szCs w:val="24"/>
        </w:rPr>
        <w:t>other</w:t>
      </w:r>
      <w:r>
        <w:rPr>
          <w:rFonts w:ascii="Times New Roman" w:hAnsi="Times New Roman" w:cs="Times New Roman"/>
          <w:sz w:val="24"/>
          <w:szCs w:val="24"/>
        </w:rPr>
        <w:t xml:space="preserve"> biochemical e</w:t>
      </w:r>
      <w:r w:rsidR="00971614">
        <w:rPr>
          <w:rFonts w:ascii="Times New Roman" w:hAnsi="Times New Roman" w:cs="Times New Roman"/>
          <w:sz w:val="24"/>
          <w:szCs w:val="24"/>
        </w:rPr>
        <w:t>lements present in the material</w:t>
      </w:r>
      <w:r>
        <w:rPr>
          <w:rFonts w:ascii="Times New Roman" w:hAnsi="Times New Roman" w:cs="Times New Roman"/>
          <w:sz w:val="24"/>
          <w:szCs w:val="24"/>
        </w:rPr>
        <w:t xml:space="preserve"> </w:t>
      </w:r>
      <w:r w:rsidR="00971614">
        <w:rPr>
          <w:rFonts w:ascii="Times New Roman" w:hAnsi="Times New Roman" w:cs="Times New Roman"/>
          <w:sz w:val="24"/>
          <w:szCs w:val="24"/>
        </w:rPr>
        <w:t xml:space="preserve">which are </w:t>
      </w:r>
      <w:r>
        <w:rPr>
          <w:rFonts w:ascii="Times New Roman" w:hAnsi="Times New Roman" w:cs="Times New Roman"/>
          <w:sz w:val="24"/>
          <w:szCs w:val="24"/>
        </w:rPr>
        <w:t xml:space="preserve">created through genetic expression. </w:t>
      </w:r>
      <w:r w:rsidR="00971614">
        <w:rPr>
          <w:rFonts w:ascii="Times New Roman" w:hAnsi="Times New Roman" w:cs="Times New Roman"/>
          <w:sz w:val="24"/>
          <w:szCs w:val="24"/>
        </w:rPr>
        <w:t>For this author, t</w:t>
      </w:r>
      <w:r>
        <w:rPr>
          <w:rFonts w:ascii="Times New Roman" w:hAnsi="Times New Roman" w:cs="Times New Roman"/>
          <w:sz w:val="24"/>
          <w:szCs w:val="24"/>
        </w:rPr>
        <w:t xml:space="preserve">his interpretation seems by far the more realistic - even though the narrow interpretation of “genetic resources” (as is discussed above) would seem to be the correct one when looking at the CBD </w:t>
      </w:r>
      <w:r w:rsidRPr="00C75589">
        <w:rPr>
          <w:rFonts w:ascii="Times New Roman" w:hAnsi="Times New Roman" w:cs="Times New Roman"/>
          <w:i/>
          <w:sz w:val="24"/>
          <w:szCs w:val="24"/>
        </w:rPr>
        <w:t>alone</w:t>
      </w:r>
      <w:r>
        <w:rPr>
          <w:rFonts w:ascii="Times New Roman" w:hAnsi="Times New Roman" w:cs="Times New Roman"/>
          <w:sz w:val="24"/>
          <w:szCs w:val="24"/>
        </w:rPr>
        <w:t>.</w:t>
      </w:r>
    </w:p>
    <w:p w:rsidR="00115E71" w:rsidRPr="00CB44C0" w:rsidRDefault="00971614" w:rsidP="00115E71">
      <w:pPr>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color w:val="000000"/>
          <w:sz w:val="24"/>
          <w:szCs w:val="24"/>
        </w:rPr>
        <w:lastRenderedPageBreak/>
        <w:t>Indeed, e</w:t>
      </w:r>
      <w:r w:rsidR="00115E71">
        <w:rPr>
          <w:rFonts w:ascii="Times New Roman" w:hAnsi="Times New Roman" w:cs="Times New Roman"/>
          <w:color w:val="000000"/>
          <w:sz w:val="24"/>
          <w:szCs w:val="24"/>
        </w:rPr>
        <w:t xml:space="preserve">xamining the meaning of </w:t>
      </w:r>
      <w:r w:rsidR="00B071DB">
        <w:rPr>
          <w:rFonts w:ascii="Times New Roman" w:hAnsi="Times New Roman" w:cs="Times New Roman"/>
          <w:color w:val="000000"/>
          <w:sz w:val="24"/>
          <w:szCs w:val="24"/>
        </w:rPr>
        <w:t>“</w:t>
      </w:r>
      <w:r w:rsidR="00115E71">
        <w:rPr>
          <w:rFonts w:ascii="Times New Roman" w:hAnsi="Times New Roman" w:cs="Times New Roman"/>
          <w:color w:val="000000"/>
          <w:sz w:val="24"/>
          <w:szCs w:val="24"/>
        </w:rPr>
        <w:t>research and development on genetic resources</w:t>
      </w:r>
      <w:r w:rsidR="00B071DB">
        <w:rPr>
          <w:rFonts w:ascii="Times New Roman" w:hAnsi="Times New Roman" w:cs="Times New Roman"/>
          <w:color w:val="000000"/>
          <w:sz w:val="24"/>
          <w:szCs w:val="24"/>
        </w:rPr>
        <w:t>”</w:t>
      </w:r>
      <w:r w:rsidR="00115E71">
        <w:rPr>
          <w:rFonts w:ascii="Times New Roman" w:hAnsi="Times New Roman" w:cs="Times New Roman"/>
          <w:color w:val="000000"/>
          <w:sz w:val="24"/>
          <w:szCs w:val="24"/>
        </w:rPr>
        <w:t>, Correa follows a similar line of reasoning:</w:t>
      </w:r>
    </w:p>
    <w:p w:rsidR="00115E71" w:rsidRPr="001E1F14" w:rsidRDefault="00115E71" w:rsidP="00115E71">
      <w:pPr>
        <w:autoSpaceDE w:val="0"/>
        <w:autoSpaceDN w:val="0"/>
        <w:adjustRightInd w:val="0"/>
        <w:spacing w:after="0" w:line="360" w:lineRule="auto"/>
        <w:jc w:val="both"/>
        <w:rPr>
          <w:rFonts w:ascii="Times New Roman" w:hAnsi="Times New Roman" w:cs="Times New Roman"/>
          <w:i/>
          <w:color w:val="000000"/>
          <w:sz w:val="24"/>
          <w:szCs w:val="24"/>
        </w:rPr>
      </w:pPr>
    </w:p>
    <w:p w:rsidR="00115E71" w:rsidRDefault="00115E71" w:rsidP="00115E71">
      <w:pPr>
        <w:spacing w:line="360" w:lineRule="auto"/>
        <w:ind w:left="567"/>
        <w:jc w:val="both"/>
        <w:rPr>
          <w:rFonts w:ascii="Times New Roman" w:hAnsi="Times New Roman" w:cs="Times New Roman"/>
          <w:sz w:val="24"/>
          <w:szCs w:val="24"/>
        </w:rPr>
      </w:pPr>
      <w:r>
        <w:rPr>
          <w:rFonts w:ascii="Times New Roman" w:hAnsi="Times New Roman" w:cs="Times New Roman"/>
          <w:color w:val="000000"/>
          <w:sz w:val="24"/>
          <w:szCs w:val="24"/>
        </w:rPr>
        <w:t>“...</w:t>
      </w:r>
      <w:r w:rsidRPr="00130E5A">
        <w:rPr>
          <w:rFonts w:ascii="Times New Roman" w:hAnsi="Times New Roman" w:cs="Times New Roman"/>
          <w:color w:val="000000"/>
          <w:sz w:val="24"/>
          <w:szCs w:val="24"/>
        </w:rPr>
        <w:t>Interestingly, this definition</w:t>
      </w:r>
      <w:r>
        <w:rPr>
          <w:rFonts w:ascii="Times New Roman" w:hAnsi="Times New Roman" w:cs="Times New Roman"/>
          <w:color w:val="000000"/>
          <w:sz w:val="24"/>
          <w:szCs w:val="24"/>
        </w:rPr>
        <w:t xml:space="preserve"> [of utilization]</w:t>
      </w:r>
      <w:r w:rsidRPr="00130E5A">
        <w:rPr>
          <w:rFonts w:ascii="Times New Roman" w:hAnsi="Times New Roman" w:cs="Times New Roman"/>
          <w:color w:val="000000"/>
          <w:sz w:val="24"/>
          <w:szCs w:val="24"/>
        </w:rPr>
        <w:t xml:space="preserve"> alludes to research and development on the ‘biochemical composition’ of genetic resources, that is, the arrangement of the chemistry of the compounds of living tissues and the processes in a living organism, and not to research and development on biochemical </w:t>
      </w:r>
      <w:r w:rsidRPr="00130E5A">
        <w:rPr>
          <w:rFonts w:ascii="Times New Roman" w:hAnsi="Times New Roman" w:cs="Times New Roman"/>
          <w:iCs/>
          <w:color w:val="000000"/>
          <w:sz w:val="24"/>
          <w:szCs w:val="24"/>
        </w:rPr>
        <w:t xml:space="preserve">compounds </w:t>
      </w:r>
      <w:r w:rsidRPr="00130E5A">
        <w:rPr>
          <w:rFonts w:ascii="Times New Roman" w:hAnsi="Times New Roman" w:cs="Times New Roman"/>
          <w:color w:val="000000"/>
          <w:sz w:val="24"/>
          <w:szCs w:val="24"/>
        </w:rPr>
        <w:t xml:space="preserve">as such. It may be understood, however, that any study of a ‘biochemical composition’ may include that of the individual components.” </w:t>
      </w:r>
      <w:r>
        <w:rPr>
          <w:rStyle w:val="FootnoteReference"/>
          <w:rFonts w:ascii="Times New Roman" w:hAnsi="Times New Roman" w:cs="Times New Roman"/>
          <w:color w:val="000000"/>
          <w:sz w:val="24"/>
          <w:szCs w:val="24"/>
        </w:rPr>
        <w:footnoteReference w:id="46"/>
      </w:r>
    </w:p>
    <w:p w:rsidR="00115E71" w:rsidRPr="00A55D0E" w:rsidRDefault="00115E71" w:rsidP="007C10E1">
      <w:pPr>
        <w:spacing w:line="360" w:lineRule="auto"/>
        <w:jc w:val="both"/>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Such a broad interpretation is supported by the </w:t>
      </w:r>
      <w:r w:rsidR="00F70D39">
        <w:rPr>
          <w:rFonts w:ascii="TimesNewRoman,BoldItalic" w:hAnsi="TimesNewRoman,BoldItalic" w:cs="TimesNewRoman,BoldItalic"/>
          <w:bCs/>
          <w:iCs/>
          <w:sz w:val="24"/>
          <w:szCs w:val="24"/>
        </w:rPr>
        <w:t xml:space="preserve">2008 </w:t>
      </w:r>
      <w:r w:rsidRPr="00F67151">
        <w:rPr>
          <w:rFonts w:ascii="TimesNewRoman,BoldItalic" w:hAnsi="TimesNewRoman,BoldItalic" w:cs="TimesNewRoman,BoldItalic"/>
          <w:bCs/>
          <w:iCs/>
          <w:sz w:val="24"/>
          <w:szCs w:val="24"/>
        </w:rPr>
        <w:t>Report of the Meeting of the Group of Legal and Technical Experts</w:t>
      </w:r>
      <w:r>
        <w:rPr>
          <w:rFonts w:ascii="TimesNewRoman,BoldItalic" w:hAnsi="TimesNewRoman,BoldItalic" w:cs="TimesNewRoman,BoldItalic"/>
          <w:bCs/>
          <w:iCs/>
          <w:sz w:val="24"/>
          <w:szCs w:val="24"/>
        </w:rPr>
        <w:t xml:space="preserve"> (“GLTE”)</w:t>
      </w:r>
      <w:r w:rsidRPr="00F67151">
        <w:rPr>
          <w:rFonts w:ascii="TimesNewRoman,BoldItalic" w:hAnsi="TimesNewRoman,BoldItalic" w:cs="TimesNewRoman,BoldItalic"/>
          <w:bCs/>
          <w:iCs/>
          <w:sz w:val="24"/>
          <w:szCs w:val="24"/>
        </w:rPr>
        <w:t xml:space="preserve"> on Concepts, Terms, Working Definitions and Sectoral Approaches</w:t>
      </w:r>
      <w:r w:rsidR="00470D82">
        <w:rPr>
          <w:rFonts w:ascii="TimesNewRoman,BoldItalic" w:hAnsi="TimesNewRoman,BoldItalic" w:cs="TimesNewRoman,BoldItalic"/>
          <w:bCs/>
          <w:iCs/>
          <w:sz w:val="24"/>
          <w:szCs w:val="24"/>
        </w:rPr>
        <w:t>, which</w:t>
      </w:r>
      <w:r w:rsidR="00F70D39">
        <w:rPr>
          <w:rFonts w:ascii="TimesNewRoman,BoldItalic" w:hAnsi="TimesNewRoman,BoldItalic" w:cs="TimesNewRoman,BoldItalic"/>
          <w:bCs/>
          <w:iCs/>
          <w:sz w:val="24"/>
          <w:szCs w:val="24"/>
        </w:rPr>
        <w:t xml:space="preserve"> sets out a </w:t>
      </w:r>
      <w:r w:rsidR="00F70D39" w:rsidRPr="00130E5A">
        <w:rPr>
          <w:rFonts w:ascii="Times New Roman" w:hAnsi="Times New Roman" w:cs="Times New Roman"/>
          <w:sz w:val="24"/>
          <w:szCs w:val="24"/>
        </w:rPr>
        <w:t>non-exhaustive list</w:t>
      </w:r>
      <w:r w:rsidR="00F70D39">
        <w:rPr>
          <w:rFonts w:ascii="Times New Roman" w:hAnsi="Times New Roman" w:cs="Times New Roman"/>
          <w:sz w:val="24"/>
          <w:szCs w:val="24"/>
        </w:rPr>
        <w:t xml:space="preserve"> of </w:t>
      </w:r>
      <w:r w:rsidR="00F70D39" w:rsidRPr="00130E5A">
        <w:rPr>
          <w:rFonts w:ascii="Times New Roman" w:hAnsi="Times New Roman" w:cs="Times New Roman"/>
          <w:sz w:val="24"/>
          <w:szCs w:val="24"/>
        </w:rPr>
        <w:t>kinds of R&amp;D</w:t>
      </w:r>
      <w:r w:rsidR="00F70D39">
        <w:rPr>
          <w:rFonts w:ascii="Times New Roman" w:hAnsi="Times New Roman" w:cs="Times New Roman"/>
          <w:sz w:val="24"/>
          <w:szCs w:val="24"/>
        </w:rPr>
        <w:t xml:space="preserve"> that could be included as utilisation</w:t>
      </w:r>
      <w:r>
        <w:rPr>
          <w:rFonts w:ascii="TimesNewRoman,BoldItalic" w:hAnsi="TimesNewRoman,BoldItalic" w:cs="TimesNewRoman,BoldItalic"/>
          <w:bCs/>
          <w:iCs/>
          <w:sz w:val="24"/>
          <w:szCs w:val="24"/>
        </w:rPr>
        <w:t>.</w:t>
      </w:r>
      <w:r>
        <w:rPr>
          <w:rStyle w:val="FootnoteReference"/>
          <w:rFonts w:ascii="TimesNewRoman,BoldItalic" w:hAnsi="TimesNewRoman,BoldItalic" w:cs="TimesNewRoman,BoldItalic"/>
          <w:bCs/>
          <w:iCs/>
          <w:sz w:val="24"/>
          <w:szCs w:val="24"/>
        </w:rPr>
        <w:footnoteReference w:id="47"/>
      </w:r>
      <w:r w:rsidRPr="00130E5A">
        <w:rPr>
          <w:rFonts w:ascii="Times New Roman" w:hAnsi="Times New Roman" w:cs="Times New Roman"/>
          <w:sz w:val="24"/>
          <w:szCs w:val="24"/>
        </w:rPr>
        <w:t xml:space="preserve"> </w:t>
      </w:r>
      <w:r>
        <w:rPr>
          <w:rFonts w:ascii="Times New Roman" w:hAnsi="Times New Roman" w:cs="Times New Roman"/>
          <w:color w:val="000000"/>
          <w:sz w:val="24"/>
          <w:szCs w:val="24"/>
        </w:rPr>
        <w:t>Th</w:t>
      </w:r>
      <w:r w:rsidR="00A55D0E">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list is instructive. Although most </w:t>
      </w:r>
      <w:r w:rsidR="008E4D15">
        <w:rPr>
          <w:rFonts w:ascii="Times New Roman" w:hAnsi="Times New Roman" w:cs="Times New Roman"/>
          <w:color w:val="000000"/>
          <w:sz w:val="24"/>
          <w:szCs w:val="24"/>
        </w:rPr>
        <w:t xml:space="preserve">activities </w:t>
      </w:r>
      <w:r>
        <w:rPr>
          <w:rFonts w:ascii="Times New Roman" w:hAnsi="Times New Roman" w:cs="Times New Roman"/>
          <w:color w:val="000000"/>
          <w:sz w:val="24"/>
          <w:szCs w:val="24"/>
        </w:rPr>
        <w:t>are equally consistent with a DNA-only interpretation of “genetic resources”</w:t>
      </w:r>
      <w:r w:rsidR="008E4D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w:t>
      </w:r>
      <w:r w:rsidR="008E4D15">
        <w:rPr>
          <w:rFonts w:ascii="Times New Roman" w:hAnsi="Times New Roman" w:cs="Times New Roman"/>
          <w:color w:val="000000"/>
          <w:sz w:val="24"/>
          <w:szCs w:val="24"/>
        </w:rPr>
        <w:t xml:space="preserve"> GTLE</w:t>
      </w:r>
      <w:r>
        <w:rPr>
          <w:rFonts w:ascii="Times New Roman" w:hAnsi="Times New Roman" w:cs="Times New Roman"/>
          <w:color w:val="000000"/>
          <w:sz w:val="24"/>
          <w:szCs w:val="24"/>
        </w:rPr>
        <w:t xml:space="preserve"> suggestion of </w:t>
      </w:r>
      <w:r w:rsidRPr="00E609AE">
        <w:rPr>
          <w:rFonts w:ascii="Times New Roman" w:hAnsi="Times New Roman" w:cs="Times New Roman"/>
          <w:color w:val="000000"/>
          <w:sz w:val="24"/>
          <w:szCs w:val="24"/>
        </w:rPr>
        <w:t>“</w:t>
      </w:r>
      <w:r w:rsidRPr="00E609AE">
        <w:rPr>
          <w:rFonts w:ascii="Times New Roman" w:hAnsi="Times New Roman" w:cs="Times New Roman"/>
          <w:sz w:val="24"/>
          <w:szCs w:val="24"/>
        </w:rPr>
        <w:t>Propagation and cultivation of the genetic resource in the form received”</w:t>
      </w:r>
      <w:r>
        <w:rPr>
          <w:rFonts w:ascii="Times New Roman" w:hAnsi="Times New Roman" w:cs="Times New Roman"/>
          <w:sz w:val="24"/>
          <w:szCs w:val="24"/>
        </w:rPr>
        <w:t xml:space="preserve"> is clearly more consistent with a broader “part of organism” interpretation, as this would </w:t>
      </w:r>
      <w:r w:rsidR="00971614">
        <w:rPr>
          <w:rFonts w:ascii="Times New Roman" w:hAnsi="Times New Roman" w:cs="Times New Roman"/>
          <w:sz w:val="24"/>
          <w:szCs w:val="24"/>
        </w:rPr>
        <w:t xml:space="preserve">clearly </w:t>
      </w:r>
      <w:r>
        <w:rPr>
          <w:rFonts w:ascii="Times New Roman" w:hAnsi="Times New Roman" w:cs="Times New Roman"/>
          <w:sz w:val="24"/>
          <w:szCs w:val="24"/>
        </w:rPr>
        <w:t>include propagation of seeds, spores or cuttings of plants.</w:t>
      </w:r>
      <w:r w:rsidR="002E41F4">
        <w:rPr>
          <w:rFonts w:ascii="Times New Roman" w:hAnsi="Times New Roman" w:cs="Times New Roman"/>
          <w:sz w:val="24"/>
          <w:szCs w:val="24"/>
        </w:rPr>
        <w:t xml:space="preserve"> </w:t>
      </w:r>
    </w:p>
    <w:p w:rsidR="00E609AE" w:rsidRDefault="004D2611" w:rsidP="00E5668E">
      <w:pPr>
        <w:pStyle w:val="NormalWeb"/>
        <w:spacing w:line="360" w:lineRule="auto"/>
        <w:jc w:val="both"/>
        <w:rPr>
          <w:color w:val="000000"/>
        </w:rPr>
      </w:pPr>
      <w:r>
        <w:t>Within the European Union</w:t>
      </w:r>
      <w:r w:rsidR="00E609AE">
        <w:t>,</w:t>
      </w:r>
      <w:r>
        <w:t xml:space="preserve"> the provisions of the Protocol were brought into effect through </w:t>
      </w:r>
      <w:r>
        <w:rPr>
          <w:color w:val="000000"/>
        </w:rPr>
        <w:t>R</w:t>
      </w:r>
      <w:r w:rsidRPr="00736FEC">
        <w:rPr>
          <w:color w:val="000000"/>
        </w:rPr>
        <w:t xml:space="preserve">egulation </w:t>
      </w:r>
      <w:r>
        <w:rPr>
          <w:color w:val="000000"/>
        </w:rPr>
        <w:t xml:space="preserve">511/2014 </w:t>
      </w:r>
      <w:r w:rsidRPr="00736FEC">
        <w:rPr>
          <w:color w:val="000000"/>
        </w:rPr>
        <w:t>of 16 April 2014</w:t>
      </w:r>
      <w:r w:rsidR="00C75589">
        <w:rPr>
          <w:color w:val="000000"/>
        </w:rPr>
        <w:t xml:space="preserve"> (the “ABS </w:t>
      </w:r>
      <w:r>
        <w:rPr>
          <w:color w:val="000000"/>
        </w:rPr>
        <w:t xml:space="preserve">Regulation”). </w:t>
      </w:r>
      <w:r w:rsidR="00C75589">
        <w:rPr>
          <w:color w:val="000000"/>
        </w:rPr>
        <w:t>Since the ABS R</w:t>
      </w:r>
      <w:r w:rsidR="00BC142C">
        <w:rPr>
          <w:color w:val="000000"/>
        </w:rPr>
        <w:t>egulation</w:t>
      </w:r>
      <w:r w:rsidR="00B071DB">
        <w:rPr>
          <w:color w:val="000000"/>
        </w:rPr>
        <w:t>,</w:t>
      </w:r>
      <w:r w:rsidR="00BC142C">
        <w:rPr>
          <w:color w:val="000000"/>
        </w:rPr>
        <w:t xml:space="preserve"> </w:t>
      </w:r>
      <w:r w:rsidR="00C75589">
        <w:rPr>
          <w:color w:val="000000"/>
        </w:rPr>
        <w:t>in part</w:t>
      </w:r>
      <w:r w:rsidR="00B071DB">
        <w:rPr>
          <w:color w:val="000000"/>
        </w:rPr>
        <w:t>,</w:t>
      </w:r>
      <w:r w:rsidR="00C75589">
        <w:rPr>
          <w:color w:val="000000"/>
        </w:rPr>
        <w:t xml:space="preserve"> </w:t>
      </w:r>
      <w:r w:rsidR="00BC142C">
        <w:rPr>
          <w:color w:val="000000"/>
        </w:rPr>
        <w:t>mirrors the Protocol</w:t>
      </w:r>
      <w:r w:rsidR="00E609AE">
        <w:rPr>
          <w:color w:val="000000"/>
        </w:rPr>
        <w:t>,</w:t>
      </w:r>
      <w:r w:rsidR="00BC142C">
        <w:rPr>
          <w:color w:val="000000"/>
        </w:rPr>
        <w:t xml:space="preserve"> and g</w:t>
      </w:r>
      <w:r w:rsidR="00C75589">
        <w:rPr>
          <w:color w:val="000000"/>
        </w:rPr>
        <w:t>iven the lack of clarity in</w:t>
      </w:r>
      <w:r>
        <w:rPr>
          <w:color w:val="000000"/>
        </w:rPr>
        <w:t xml:space="preserve"> the Protocol, in August 2016 the EU Commission issued </w:t>
      </w:r>
      <w:r w:rsidR="00BC142C">
        <w:rPr>
          <w:color w:val="000000"/>
        </w:rPr>
        <w:t xml:space="preserve">its </w:t>
      </w:r>
      <w:r>
        <w:rPr>
          <w:color w:val="000000"/>
        </w:rPr>
        <w:t xml:space="preserve">guidance on the scope and meaning of terms within the </w:t>
      </w:r>
      <w:r w:rsidR="00C75589">
        <w:rPr>
          <w:color w:val="000000"/>
        </w:rPr>
        <w:t xml:space="preserve">ABS </w:t>
      </w:r>
      <w:r>
        <w:rPr>
          <w:color w:val="000000"/>
        </w:rPr>
        <w:t>Regulation</w:t>
      </w:r>
      <w:r w:rsidR="00BC142C">
        <w:rPr>
          <w:color w:val="000000"/>
        </w:rPr>
        <w:t xml:space="preserve"> through Notice 2016/C</w:t>
      </w:r>
      <w:r>
        <w:rPr>
          <w:color w:val="000000"/>
        </w:rPr>
        <w:t xml:space="preserve">313/01 (the “Notice”).  </w:t>
      </w:r>
      <w:r w:rsidR="00C75589">
        <w:rPr>
          <w:color w:val="000000"/>
        </w:rPr>
        <w:t>Of interest to our analysis, t</w:t>
      </w:r>
      <w:r>
        <w:rPr>
          <w:color w:val="000000"/>
        </w:rPr>
        <w:t>he Notice seeks to provide some explanation for the position</w:t>
      </w:r>
      <w:r w:rsidR="00BC142C">
        <w:rPr>
          <w:color w:val="000000"/>
        </w:rPr>
        <w:t>s</w:t>
      </w:r>
      <w:r>
        <w:rPr>
          <w:color w:val="000000"/>
        </w:rPr>
        <w:t xml:space="preserve"> taken. In relation </w:t>
      </w:r>
      <w:r w:rsidRPr="00BC142C">
        <w:rPr>
          <w:color w:val="000000"/>
        </w:rPr>
        <w:t xml:space="preserve">to </w:t>
      </w:r>
      <w:r w:rsidR="002E41F4">
        <w:rPr>
          <w:color w:val="000000"/>
        </w:rPr>
        <w:t>“</w:t>
      </w:r>
      <w:r w:rsidRPr="00BC142C">
        <w:rPr>
          <w:color w:val="000000"/>
        </w:rPr>
        <w:t>utilisation of genetic resources</w:t>
      </w:r>
      <w:r w:rsidR="002E41F4">
        <w:rPr>
          <w:color w:val="000000"/>
        </w:rPr>
        <w:t>”</w:t>
      </w:r>
      <w:r w:rsidR="00BC142C">
        <w:rPr>
          <w:color w:val="000000"/>
        </w:rPr>
        <w:t>,</w:t>
      </w:r>
      <w:r w:rsidRPr="00BC142C">
        <w:rPr>
          <w:color w:val="000000"/>
        </w:rPr>
        <w:t xml:space="preserve"> the Notice </w:t>
      </w:r>
      <w:r w:rsidR="00BC142C" w:rsidRPr="00BC142C">
        <w:rPr>
          <w:color w:val="000000"/>
        </w:rPr>
        <w:t xml:space="preserve">states that the Protocol </w:t>
      </w:r>
      <w:r w:rsidRPr="00BC142C">
        <w:rPr>
          <w:color w:val="000000"/>
        </w:rPr>
        <w:t>definition is</w:t>
      </w:r>
      <w:r w:rsidR="00E609AE">
        <w:rPr>
          <w:color w:val="000000"/>
        </w:rPr>
        <w:t>:</w:t>
      </w:r>
      <w:r w:rsidRPr="00BC142C">
        <w:rPr>
          <w:color w:val="000000"/>
        </w:rPr>
        <w:t xml:space="preserve"> </w:t>
      </w:r>
    </w:p>
    <w:p w:rsidR="003E6824" w:rsidRPr="00E609AE" w:rsidRDefault="00BC142C" w:rsidP="00E609AE">
      <w:pPr>
        <w:autoSpaceDE w:val="0"/>
        <w:autoSpaceDN w:val="0"/>
        <w:adjustRightInd w:val="0"/>
        <w:spacing w:after="0" w:line="360" w:lineRule="auto"/>
        <w:ind w:left="720"/>
        <w:jc w:val="both"/>
        <w:rPr>
          <w:rFonts w:ascii="Times New Roman" w:hAnsi="Times New Roman" w:cs="Times New Roman"/>
          <w:color w:val="000000"/>
          <w:sz w:val="24"/>
          <w:szCs w:val="24"/>
        </w:rPr>
      </w:pPr>
      <w:r w:rsidRPr="00E609AE">
        <w:rPr>
          <w:rFonts w:ascii="Times New Roman" w:hAnsi="Times New Roman" w:cs="Times New Roman"/>
          <w:color w:val="000000"/>
          <w:sz w:val="24"/>
          <w:szCs w:val="24"/>
        </w:rPr>
        <w:lastRenderedPageBreak/>
        <w:t>“</w:t>
      </w:r>
      <w:r w:rsidR="00E609AE">
        <w:rPr>
          <w:rFonts w:ascii="Times New Roman" w:hAnsi="Times New Roman" w:cs="Times New Roman"/>
          <w:color w:val="000000"/>
          <w:sz w:val="24"/>
          <w:szCs w:val="24"/>
        </w:rPr>
        <w:t>…</w:t>
      </w:r>
      <w:r w:rsidR="004D2611" w:rsidRPr="00E609AE">
        <w:rPr>
          <w:rFonts w:ascii="Times New Roman" w:hAnsi="Times New Roman" w:cs="Times New Roman"/>
          <w:color w:val="000000"/>
          <w:sz w:val="24"/>
          <w:szCs w:val="24"/>
        </w:rPr>
        <w:t>quite broad and covers various activities relevant for many sectors, without providing for a list of specific activities to be covered</w:t>
      </w:r>
      <w:r w:rsidRPr="00E609AE">
        <w:rPr>
          <w:rFonts w:ascii="Times New Roman" w:hAnsi="Times New Roman" w:cs="Times New Roman"/>
          <w:color w:val="000000"/>
          <w:sz w:val="24"/>
          <w:szCs w:val="24"/>
        </w:rPr>
        <w:t xml:space="preserve"> ... </w:t>
      </w:r>
      <w:r w:rsidR="004D2611" w:rsidRPr="00E609AE">
        <w:rPr>
          <w:rFonts w:ascii="Times New Roman" w:hAnsi="Times New Roman" w:cs="Times New Roman"/>
          <w:color w:val="000000"/>
          <w:sz w:val="24"/>
          <w:szCs w:val="24"/>
        </w:rPr>
        <w:t>so as not to pre-empt changes in the rapidly evolving knowledge and technology in this domain</w:t>
      </w:r>
      <w:r w:rsidRPr="00E609AE">
        <w:rPr>
          <w:rFonts w:ascii="Times New Roman" w:hAnsi="Times New Roman" w:cs="Times New Roman"/>
          <w:color w:val="000000"/>
          <w:sz w:val="24"/>
          <w:szCs w:val="24"/>
        </w:rPr>
        <w:t>”.</w:t>
      </w:r>
      <w:r w:rsidRPr="00E609AE">
        <w:rPr>
          <w:rFonts w:ascii="Times New Roman" w:hAnsi="Times New Roman" w:cs="Times New Roman"/>
          <w:sz w:val="24"/>
          <w:szCs w:val="24"/>
          <w:vertAlign w:val="superscript"/>
        </w:rPr>
        <w:footnoteReference w:id="48"/>
      </w:r>
      <w:r w:rsidRPr="00E609AE">
        <w:rPr>
          <w:rFonts w:ascii="Times New Roman" w:hAnsi="Times New Roman" w:cs="Times New Roman"/>
          <w:color w:val="000000"/>
          <w:sz w:val="24"/>
          <w:szCs w:val="24"/>
        </w:rPr>
        <w:t xml:space="preserve"> </w:t>
      </w:r>
    </w:p>
    <w:p w:rsidR="00E609AE" w:rsidRDefault="00BC142C" w:rsidP="00E5668E">
      <w:pPr>
        <w:pStyle w:val="NormalWeb"/>
        <w:spacing w:line="360" w:lineRule="auto"/>
        <w:jc w:val="both"/>
        <w:rPr>
          <w:color w:val="000000"/>
        </w:rPr>
      </w:pPr>
      <w:r>
        <w:rPr>
          <w:color w:val="000000"/>
        </w:rPr>
        <w:t>The Notice appears to see the definition of</w:t>
      </w:r>
      <w:r w:rsidR="00C75589">
        <w:rPr>
          <w:color w:val="000000"/>
        </w:rPr>
        <w:t xml:space="preserve"> </w:t>
      </w:r>
      <w:r w:rsidRPr="001B032D">
        <w:rPr>
          <w:color w:val="000000"/>
        </w:rPr>
        <w:t>“research and development” as being key to understanding the scope of the Protocol.</w:t>
      </w:r>
      <w:r w:rsidRPr="001B032D">
        <w:rPr>
          <w:rStyle w:val="FootnoteReference"/>
          <w:color w:val="000000"/>
        </w:rPr>
        <w:footnoteReference w:id="49"/>
      </w:r>
      <w:r w:rsidRPr="001B032D">
        <w:rPr>
          <w:color w:val="000000"/>
        </w:rPr>
        <w:t xml:space="preserve"> </w:t>
      </w:r>
      <w:r w:rsidR="001B032D" w:rsidRPr="001B032D">
        <w:rPr>
          <w:color w:val="000000"/>
        </w:rPr>
        <w:t xml:space="preserve"> Noting that these are </w:t>
      </w:r>
      <w:r w:rsidR="004D2611" w:rsidRPr="001B032D">
        <w:rPr>
          <w:color w:val="000000"/>
        </w:rPr>
        <w:t>not defined in the Nagoya Protocol</w:t>
      </w:r>
      <w:r w:rsidR="00C75589">
        <w:rPr>
          <w:color w:val="000000"/>
        </w:rPr>
        <w:t>,</w:t>
      </w:r>
      <w:r w:rsidR="004D2611" w:rsidRPr="001B032D">
        <w:rPr>
          <w:color w:val="000000"/>
        </w:rPr>
        <w:t xml:space="preserve"> </w:t>
      </w:r>
      <w:r w:rsidR="001B032D" w:rsidRPr="001B032D">
        <w:rPr>
          <w:color w:val="000000"/>
        </w:rPr>
        <w:t>the Commission state</w:t>
      </w:r>
      <w:r w:rsidR="00641052">
        <w:rPr>
          <w:color w:val="000000"/>
        </w:rPr>
        <w:t>s</w:t>
      </w:r>
      <w:r w:rsidR="001B032D" w:rsidRPr="001B032D">
        <w:rPr>
          <w:color w:val="000000"/>
        </w:rPr>
        <w:t xml:space="preserve"> that </w:t>
      </w:r>
      <w:r w:rsidR="004D2611" w:rsidRPr="001B032D">
        <w:rPr>
          <w:color w:val="000000"/>
        </w:rPr>
        <w:t>interpretation of these terms</w:t>
      </w:r>
      <w:r w:rsidR="00E609AE">
        <w:rPr>
          <w:color w:val="000000"/>
        </w:rPr>
        <w:t>:</w:t>
      </w:r>
    </w:p>
    <w:p w:rsidR="00E609AE" w:rsidRDefault="001B032D" w:rsidP="00E609AE">
      <w:pPr>
        <w:autoSpaceDE w:val="0"/>
        <w:autoSpaceDN w:val="0"/>
        <w:adjustRightInd w:val="0"/>
        <w:spacing w:after="0" w:line="360" w:lineRule="auto"/>
        <w:ind w:left="720"/>
        <w:jc w:val="both"/>
        <w:rPr>
          <w:color w:val="000000"/>
        </w:rPr>
      </w:pPr>
      <w:r w:rsidRPr="00E609AE">
        <w:rPr>
          <w:rFonts w:ascii="Times New Roman" w:hAnsi="Times New Roman" w:cs="Times New Roman"/>
          <w:color w:val="000000"/>
          <w:sz w:val="24"/>
          <w:szCs w:val="24"/>
        </w:rPr>
        <w:t>“</w:t>
      </w:r>
      <w:r w:rsidR="00E609AE">
        <w:rPr>
          <w:rFonts w:ascii="Times New Roman" w:hAnsi="Times New Roman" w:cs="Times New Roman"/>
          <w:color w:val="000000"/>
          <w:sz w:val="24"/>
          <w:szCs w:val="24"/>
        </w:rPr>
        <w:t>…</w:t>
      </w:r>
      <w:r w:rsidR="004D2611" w:rsidRPr="00E609AE">
        <w:rPr>
          <w:rFonts w:ascii="Times New Roman" w:hAnsi="Times New Roman" w:cs="Times New Roman"/>
          <w:color w:val="000000"/>
          <w:sz w:val="24"/>
          <w:szCs w:val="24"/>
        </w:rPr>
        <w:t>should be based on their ordinary meaning in the context they are used and in the light of the purpose of the Regulation</w:t>
      </w:r>
      <w:r w:rsidRPr="00E609AE">
        <w:rPr>
          <w:rFonts w:ascii="Times New Roman" w:hAnsi="Times New Roman" w:cs="Times New Roman"/>
          <w:color w:val="000000"/>
          <w:sz w:val="24"/>
          <w:szCs w:val="24"/>
        </w:rPr>
        <w:t>”</w:t>
      </w:r>
      <w:r w:rsidR="004D2611" w:rsidRPr="00E609AE">
        <w:rPr>
          <w:rFonts w:ascii="Times New Roman" w:hAnsi="Times New Roman" w:cs="Times New Roman"/>
          <w:color w:val="000000"/>
          <w:sz w:val="24"/>
          <w:szCs w:val="24"/>
        </w:rPr>
        <w:t>.</w:t>
      </w:r>
      <w:r w:rsidRPr="00E609AE">
        <w:rPr>
          <w:rFonts w:ascii="Times New Roman" w:hAnsi="Times New Roman" w:cs="Times New Roman"/>
          <w:sz w:val="24"/>
          <w:szCs w:val="24"/>
          <w:vertAlign w:val="superscript"/>
        </w:rPr>
        <w:footnoteReference w:id="50"/>
      </w:r>
      <w:r w:rsidRPr="00E609AE">
        <w:rPr>
          <w:color w:val="000000"/>
          <w:vertAlign w:val="superscript"/>
        </w:rPr>
        <w:t xml:space="preserve"> </w:t>
      </w:r>
    </w:p>
    <w:p w:rsidR="00717C2F" w:rsidRDefault="001B032D" w:rsidP="00E5668E">
      <w:pPr>
        <w:pStyle w:val="NormalWeb"/>
        <w:spacing w:line="360" w:lineRule="auto"/>
        <w:jc w:val="both"/>
        <w:rPr>
          <w:color w:val="000000"/>
        </w:rPr>
      </w:pPr>
      <w:r>
        <w:rPr>
          <w:color w:val="000000"/>
        </w:rPr>
        <w:t xml:space="preserve">The Commission appear to be </w:t>
      </w:r>
      <w:r w:rsidR="00C75589">
        <w:rPr>
          <w:color w:val="000000"/>
        </w:rPr>
        <w:t xml:space="preserve">particularly </w:t>
      </w:r>
      <w:r>
        <w:rPr>
          <w:color w:val="000000"/>
        </w:rPr>
        <w:t xml:space="preserve">concerned that so-called “upstream” activities </w:t>
      </w:r>
      <w:r w:rsidR="00C75589">
        <w:rPr>
          <w:color w:val="000000"/>
        </w:rPr>
        <w:t>(</w:t>
      </w:r>
      <w:r>
        <w:rPr>
          <w:color w:val="000000"/>
        </w:rPr>
        <w:t xml:space="preserve">such </w:t>
      </w:r>
      <w:r w:rsidRPr="00E5668E">
        <w:rPr>
          <w:color w:val="000000"/>
        </w:rPr>
        <w:t>as the maintenance and management</w:t>
      </w:r>
      <w:r w:rsidR="00C75589">
        <w:rPr>
          <w:color w:val="000000"/>
        </w:rPr>
        <w:t>)</w:t>
      </w:r>
      <w:r w:rsidRPr="00E5668E">
        <w:rPr>
          <w:color w:val="000000"/>
        </w:rPr>
        <w:t xml:space="preserve"> of a genetic collection for conservation purposes should not be caught.</w:t>
      </w:r>
      <w:r w:rsidR="00E5668E">
        <w:rPr>
          <w:rStyle w:val="FootnoteReference"/>
          <w:color w:val="000000"/>
        </w:rPr>
        <w:footnoteReference w:id="51"/>
      </w:r>
      <w:r w:rsidRPr="00E5668E">
        <w:rPr>
          <w:color w:val="000000"/>
        </w:rPr>
        <w:t xml:space="preserve"> </w:t>
      </w:r>
      <w:r w:rsidR="00C75589">
        <w:rPr>
          <w:color w:val="000000"/>
        </w:rPr>
        <w:t>However, i</w:t>
      </w:r>
      <w:r w:rsidRPr="00E5668E">
        <w:rPr>
          <w:color w:val="000000"/>
        </w:rPr>
        <w:t>n relation to “downstream” activities the Notice is arguably less clear</w:t>
      </w:r>
      <w:r w:rsidR="00E5668E" w:rsidRPr="00E5668E">
        <w:rPr>
          <w:color w:val="000000"/>
        </w:rPr>
        <w:t>,</w:t>
      </w:r>
      <w:r w:rsidRPr="00E5668E">
        <w:rPr>
          <w:color w:val="000000"/>
        </w:rPr>
        <w:t xml:space="preserve"> but propose</w:t>
      </w:r>
      <w:r w:rsidR="00C75589">
        <w:rPr>
          <w:color w:val="000000"/>
        </w:rPr>
        <w:t>s</w:t>
      </w:r>
      <w:r w:rsidRPr="00E5668E">
        <w:rPr>
          <w:color w:val="000000"/>
        </w:rPr>
        <w:t xml:space="preserve"> that researchers use </w:t>
      </w:r>
      <w:r w:rsidR="00E5668E" w:rsidRPr="00E5668E">
        <w:rPr>
          <w:color w:val="000000"/>
        </w:rPr>
        <w:t xml:space="preserve">a ‘litmus test’ where </w:t>
      </w:r>
      <w:r w:rsidR="004D2611" w:rsidRPr="00E5668E">
        <w:rPr>
          <w:color w:val="000000"/>
        </w:rPr>
        <w:t>users should ask themselves whether what they are doing with the genetic resources</w:t>
      </w:r>
      <w:r w:rsidR="00717C2F">
        <w:rPr>
          <w:color w:val="000000"/>
        </w:rPr>
        <w:t>:</w:t>
      </w:r>
      <w:r w:rsidR="004D2611" w:rsidRPr="00E5668E">
        <w:rPr>
          <w:color w:val="000000"/>
        </w:rPr>
        <w:t xml:space="preserve"> </w:t>
      </w:r>
    </w:p>
    <w:p w:rsidR="00115E71" w:rsidRPr="00B071DB" w:rsidRDefault="00E5668E" w:rsidP="00717C2F">
      <w:pPr>
        <w:autoSpaceDE w:val="0"/>
        <w:autoSpaceDN w:val="0"/>
        <w:adjustRightInd w:val="0"/>
        <w:spacing w:after="0" w:line="360" w:lineRule="auto"/>
        <w:ind w:left="720"/>
        <w:jc w:val="both"/>
        <w:rPr>
          <w:rFonts w:ascii="Times New Roman" w:hAnsi="Times New Roman" w:cs="Times New Roman"/>
          <w:color w:val="000000"/>
          <w:sz w:val="24"/>
          <w:szCs w:val="24"/>
        </w:rPr>
      </w:pPr>
      <w:r w:rsidRPr="00717C2F">
        <w:rPr>
          <w:rFonts w:ascii="Times New Roman" w:hAnsi="Times New Roman" w:cs="Times New Roman"/>
          <w:color w:val="000000"/>
          <w:sz w:val="24"/>
          <w:szCs w:val="24"/>
        </w:rPr>
        <w:t>“</w:t>
      </w:r>
      <w:r w:rsidR="004D2611" w:rsidRPr="00717C2F">
        <w:rPr>
          <w:rFonts w:ascii="Times New Roman" w:hAnsi="Times New Roman" w:cs="Times New Roman"/>
          <w:color w:val="000000"/>
          <w:sz w:val="24"/>
          <w:szCs w:val="24"/>
        </w:rPr>
        <w:t xml:space="preserve">creates new insight into characteristics of the genetic resource which is of (potential) benefit to the further process of product development. If this is the case, </w:t>
      </w:r>
      <w:r w:rsidRPr="00717C2F">
        <w:rPr>
          <w:rFonts w:ascii="Times New Roman" w:hAnsi="Times New Roman" w:cs="Times New Roman"/>
          <w:color w:val="000000"/>
          <w:sz w:val="24"/>
          <w:szCs w:val="24"/>
        </w:rPr>
        <w:t xml:space="preserve">the activity ... </w:t>
      </w:r>
      <w:r w:rsidR="004D2611" w:rsidRPr="00717C2F">
        <w:rPr>
          <w:rFonts w:ascii="Times New Roman" w:hAnsi="Times New Roman" w:cs="Times New Roman"/>
          <w:color w:val="000000"/>
          <w:sz w:val="24"/>
          <w:szCs w:val="24"/>
        </w:rPr>
        <w:t>should be considered research and therefore fal</w:t>
      </w:r>
      <w:r w:rsidRPr="00717C2F">
        <w:rPr>
          <w:rFonts w:ascii="Times New Roman" w:hAnsi="Times New Roman" w:cs="Times New Roman"/>
          <w:color w:val="000000"/>
          <w:sz w:val="24"/>
          <w:szCs w:val="24"/>
        </w:rPr>
        <w:t>ls under the term ‘utilisation’</w:t>
      </w:r>
      <w:r w:rsidR="009464A8" w:rsidRPr="00717C2F">
        <w:rPr>
          <w:rFonts w:ascii="Times New Roman" w:hAnsi="Times New Roman" w:cs="Times New Roman"/>
          <w:color w:val="000000"/>
          <w:sz w:val="24"/>
          <w:szCs w:val="24"/>
        </w:rPr>
        <w:t xml:space="preserve">” </w:t>
      </w:r>
      <w:r w:rsidRPr="00B071DB">
        <w:rPr>
          <w:rFonts w:ascii="Times New Roman" w:hAnsi="Times New Roman" w:cs="Times New Roman"/>
          <w:sz w:val="24"/>
          <w:szCs w:val="24"/>
          <w:vertAlign w:val="superscript"/>
        </w:rPr>
        <w:footnoteReference w:id="52"/>
      </w:r>
    </w:p>
    <w:p w:rsidR="00717C2F" w:rsidRPr="00130E5A" w:rsidRDefault="00717C2F" w:rsidP="00E62FC1">
      <w:pPr>
        <w:autoSpaceDE w:val="0"/>
        <w:autoSpaceDN w:val="0"/>
        <w:adjustRightInd w:val="0"/>
        <w:spacing w:after="0" w:line="360" w:lineRule="auto"/>
        <w:jc w:val="both"/>
        <w:rPr>
          <w:color w:val="000000"/>
        </w:rPr>
      </w:pPr>
    </w:p>
    <w:p w:rsidR="00115E71" w:rsidRPr="000A35B6" w:rsidRDefault="00115E71" w:rsidP="00115E71">
      <w:pPr>
        <w:pStyle w:val="Heading2"/>
        <w:spacing w:line="360" w:lineRule="auto"/>
      </w:pPr>
      <w:bookmarkStart w:id="11" w:name="_Toc423964362"/>
      <w:bookmarkStart w:id="12" w:name="_Toc446411532"/>
      <w:r>
        <w:t xml:space="preserve">The Meaning of “Biotechnology” and </w:t>
      </w:r>
      <w:r w:rsidR="00B376CF">
        <w:t>“d</w:t>
      </w:r>
      <w:r w:rsidRPr="000A35B6">
        <w:t>erivatives”</w:t>
      </w:r>
      <w:bookmarkEnd w:id="11"/>
      <w:bookmarkEnd w:id="12"/>
    </w:p>
    <w:p w:rsidR="00115E71" w:rsidRDefault="00115E71" w:rsidP="00115E7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 stated above, </w:t>
      </w:r>
      <w:r w:rsidR="00E609AE">
        <w:rPr>
          <w:rFonts w:ascii="Times New Roman" w:hAnsi="Times New Roman" w:cs="Times New Roman"/>
          <w:sz w:val="24"/>
          <w:szCs w:val="24"/>
        </w:rPr>
        <w:t>given the overall context</w:t>
      </w:r>
      <w:r>
        <w:rPr>
          <w:rFonts w:ascii="Times New Roman" w:hAnsi="Times New Roman" w:cs="Times New Roman"/>
          <w:sz w:val="24"/>
          <w:szCs w:val="24"/>
        </w:rPr>
        <w:t>, a reading of “</w:t>
      </w:r>
      <w:r w:rsidRPr="00130E5A">
        <w:rPr>
          <w:rFonts w:ascii="Times New Roman" w:hAnsi="Times New Roman" w:cs="Times New Roman"/>
          <w:sz w:val="24"/>
          <w:szCs w:val="24"/>
        </w:rPr>
        <w:t>conduct research and development on the biochemical composition of genetic resources</w:t>
      </w:r>
      <w:r>
        <w:rPr>
          <w:rFonts w:ascii="Times New Roman" w:hAnsi="Times New Roman" w:cs="Times New Roman"/>
          <w:sz w:val="24"/>
          <w:szCs w:val="24"/>
        </w:rPr>
        <w:t xml:space="preserve">” to include non-DNA biochemicals appears to be the interpretation which avoids outcomes which seem counter to the overall spirit of the Protocol. </w:t>
      </w:r>
    </w:p>
    <w:p w:rsidR="00115E71" w:rsidRDefault="00115E71" w:rsidP="00115E71">
      <w:pPr>
        <w:spacing w:line="360" w:lineRule="auto"/>
        <w:jc w:val="both"/>
        <w:rPr>
          <w:rFonts w:ascii="Times New Roman" w:hAnsi="Times New Roman" w:cs="Times New Roman"/>
          <w:sz w:val="24"/>
          <w:szCs w:val="24"/>
        </w:rPr>
      </w:pPr>
      <w:r w:rsidRPr="00426C42">
        <w:rPr>
          <w:rFonts w:ascii="Times New Roman" w:hAnsi="Times New Roman" w:cs="Times New Roman"/>
          <w:sz w:val="24"/>
          <w:szCs w:val="24"/>
        </w:rPr>
        <w:lastRenderedPageBreak/>
        <w:t>Morgera</w:t>
      </w:r>
      <w:r>
        <w:t xml:space="preserve"> </w:t>
      </w:r>
      <w:r w:rsidRPr="00E658DE">
        <w:rPr>
          <w:rFonts w:ascii="Times New Roman" w:hAnsi="Times New Roman" w:cs="Times New Roman"/>
          <w:i/>
        </w:rPr>
        <w:t>et al.</w:t>
      </w:r>
      <w:r w:rsidRPr="00470D82">
        <w:rPr>
          <w:rStyle w:val="FootnoteReference"/>
        </w:rPr>
        <w:footnoteReference w:id="53"/>
      </w:r>
      <w:r w:rsidRPr="00470D82">
        <w:rPr>
          <w:rFonts w:ascii="Times New Roman" w:hAnsi="Times New Roman" w:cs="Times New Roman"/>
          <w:sz w:val="24"/>
          <w:szCs w:val="24"/>
        </w:rPr>
        <w:t xml:space="preserve"> </w:t>
      </w:r>
      <w:r>
        <w:rPr>
          <w:rFonts w:ascii="Times New Roman" w:hAnsi="Times New Roman" w:cs="Times New Roman"/>
          <w:sz w:val="24"/>
          <w:szCs w:val="24"/>
        </w:rPr>
        <w:t>suggest that “biochemical composition of genetic resources” in Article 2(c) does not</w:t>
      </w:r>
      <w:r w:rsidR="00B071DB">
        <w:rPr>
          <w:rFonts w:ascii="Times New Roman" w:hAnsi="Times New Roman" w:cs="Times New Roman"/>
          <w:sz w:val="24"/>
          <w:szCs w:val="24"/>
        </w:rPr>
        <w:t>,</w:t>
      </w:r>
      <w:r>
        <w:rPr>
          <w:rFonts w:ascii="Times New Roman" w:hAnsi="Times New Roman" w:cs="Times New Roman"/>
          <w:sz w:val="24"/>
          <w:szCs w:val="24"/>
        </w:rPr>
        <w:t xml:space="preserve"> in fact</w:t>
      </w:r>
      <w:r w:rsidR="00B071DB">
        <w:rPr>
          <w:rFonts w:ascii="Times New Roman" w:hAnsi="Times New Roman" w:cs="Times New Roman"/>
          <w:sz w:val="24"/>
          <w:szCs w:val="24"/>
        </w:rPr>
        <w:t>,</w:t>
      </w:r>
      <w:r>
        <w:rPr>
          <w:rFonts w:ascii="Times New Roman" w:hAnsi="Times New Roman" w:cs="Times New Roman"/>
          <w:sz w:val="24"/>
          <w:szCs w:val="24"/>
        </w:rPr>
        <w:t xml:space="preserve"> clarify the object of the utilisation “self-evidently”</w:t>
      </w:r>
      <w:r w:rsidR="00BF73FE">
        <w:rPr>
          <w:rFonts w:ascii="Times New Roman" w:hAnsi="Times New Roman" w:cs="Times New Roman"/>
          <w:sz w:val="24"/>
          <w:szCs w:val="24"/>
        </w:rPr>
        <w:t>,</w:t>
      </w:r>
      <w:r>
        <w:rPr>
          <w:rFonts w:ascii="Times New Roman" w:hAnsi="Times New Roman" w:cs="Times New Roman"/>
          <w:sz w:val="24"/>
          <w:szCs w:val="24"/>
        </w:rPr>
        <w:t xml:space="preserve"> but go on to state that the combined reading of Article 2(c) with the other “new” defin</w:t>
      </w:r>
      <w:r w:rsidR="00E609AE">
        <w:rPr>
          <w:rFonts w:ascii="Times New Roman" w:hAnsi="Times New Roman" w:cs="Times New Roman"/>
          <w:sz w:val="24"/>
          <w:szCs w:val="24"/>
        </w:rPr>
        <w:t>itions provided in the Protocol,</w:t>
      </w:r>
      <w:r w:rsidR="00BF73FE">
        <w:rPr>
          <w:rFonts w:ascii="Times New Roman" w:hAnsi="Times New Roman" w:cs="Times New Roman"/>
          <w:sz w:val="24"/>
          <w:szCs w:val="24"/>
        </w:rPr>
        <w:t xml:space="preserve"> </w:t>
      </w:r>
      <w:r>
        <w:rPr>
          <w:rFonts w:ascii="Times New Roman" w:hAnsi="Times New Roman" w:cs="Times New Roman"/>
          <w:sz w:val="24"/>
          <w:szCs w:val="24"/>
        </w:rPr>
        <w:t>“in particular that of derivatives”</w:t>
      </w:r>
      <w:r w:rsidR="00E609AE">
        <w:rPr>
          <w:rFonts w:ascii="Times New Roman" w:hAnsi="Times New Roman" w:cs="Times New Roman"/>
          <w:sz w:val="24"/>
          <w:szCs w:val="24"/>
        </w:rPr>
        <w:t>,</w:t>
      </w:r>
      <w:r>
        <w:rPr>
          <w:rFonts w:ascii="Times New Roman" w:hAnsi="Times New Roman" w:cs="Times New Roman"/>
          <w:sz w:val="24"/>
          <w:szCs w:val="24"/>
        </w:rPr>
        <w:t xml:space="preserve"> leads to the conclusion that utilization of genetic resources includes research on the products of genetic expression.  </w:t>
      </w:r>
    </w:p>
    <w:p w:rsidR="00115E71" w:rsidRPr="00AC728B" w:rsidRDefault="006A5DD5"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As will be seen below,</w:t>
      </w:r>
      <w:r w:rsidR="00BF73FE">
        <w:rPr>
          <w:rFonts w:ascii="Times New Roman" w:hAnsi="Times New Roman" w:cs="Times New Roman"/>
          <w:sz w:val="24"/>
          <w:szCs w:val="24"/>
        </w:rPr>
        <w:t xml:space="preserve"> for this author</w:t>
      </w:r>
      <w:r>
        <w:rPr>
          <w:rFonts w:ascii="Times New Roman" w:hAnsi="Times New Roman" w:cs="Times New Roman"/>
          <w:sz w:val="24"/>
          <w:szCs w:val="24"/>
        </w:rPr>
        <w:t xml:space="preserve"> </w:t>
      </w:r>
      <w:r w:rsidR="00115E71">
        <w:rPr>
          <w:rFonts w:ascii="Times New Roman" w:hAnsi="Times New Roman" w:cs="Times New Roman"/>
          <w:sz w:val="24"/>
          <w:szCs w:val="24"/>
        </w:rPr>
        <w:t xml:space="preserve">the definition </w:t>
      </w:r>
      <w:r w:rsidR="00BF73FE">
        <w:rPr>
          <w:rFonts w:ascii="Times New Roman" w:hAnsi="Times New Roman" w:cs="Times New Roman"/>
          <w:sz w:val="24"/>
          <w:szCs w:val="24"/>
        </w:rPr>
        <w:t>of “d</w:t>
      </w:r>
      <w:r w:rsidR="00115E71">
        <w:rPr>
          <w:rFonts w:ascii="Times New Roman" w:hAnsi="Times New Roman" w:cs="Times New Roman"/>
          <w:sz w:val="24"/>
          <w:szCs w:val="24"/>
        </w:rPr>
        <w:t xml:space="preserve">erivatives” falls far short of providing clarity. </w:t>
      </w:r>
      <w:r w:rsidR="00115E71" w:rsidRPr="00AC728B">
        <w:rPr>
          <w:rFonts w:ascii="Times New Roman" w:hAnsi="Times New Roman" w:cs="Times New Roman"/>
          <w:sz w:val="24"/>
          <w:szCs w:val="24"/>
        </w:rPr>
        <w:t>(Although as will be explained, since that lack of clarity is found in a non-limiting example it arguably does not actually serve to effectively limit the scope of the definition of “</w:t>
      </w:r>
      <w:r w:rsidR="00115E71" w:rsidRPr="00AC728B">
        <w:rPr>
          <w:rFonts w:ascii="Times New Roman" w:eastAsia="Times New Roman" w:hAnsi="Times New Roman" w:cs="Times New Roman"/>
          <w:sz w:val="24"/>
          <w:szCs w:val="24"/>
          <w:lang w:bidi="he-IL"/>
        </w:rPr>
        <w:t>utilization of genetic resources”.)</w:t>
      </w:r>
      <w:r w:rsidR="00115E71">
        <w:rPr>
          <w:rFonts w:ascii="Times New Roman" w:eastAsia="Times New Roman" w:hAnsi="Times New Roman" w:cs="Times New Roman"/>
          <w:sz w:val="24"/>
          <w:szCs w:val="24"/>
          <w:lang w:bidi="he-IL"/>
        </w:rPr>
        <w:t xml:space="preserve"> </w:t>
      </w:r>
    </w:p>
    <w:p w:rsidR="00115E71" w:rsidRPr="00376321" w:rsidRDefault="00115E71" w:rsidP="00115E71">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If one performs a simple “de-nesting” of the nested definitions found within “utilization</w:t>
      </w:r>
      <w:r w:rsidRPr="00107015">
        <w:rPr>
          <w:rFonts w:ascii="Times New Roman" w:hAnsi="Times New Roman" w:cs="Times New Roman"/>
          <w:sz w:val="24"/>
          <w:szCs w:val="24"/>
        </w:rPr>
        <w:t xml:space="preserve"> of genetic resources</w:t>
      </w:r>
      <w:r>
        <w:rPr>
          <w:rFonts w:ascii="Times New Roman" w:hAnsi="Times New Roman" w:cs="Times New Roman"/>
          <w:sz w:val="24"/>
          <w:szCs w:val="24"/>
        </w:rPr>
        <w:t>”</w:t>
      </w:r>
      <w:r w:rsidRPr="00107015">
        <w:rPr>
          <w:rFonts w:ascii="Times New Roman" w:hAnsi="Times New Roman" w:cs="Times New Roman"/>
          <w:sz w:val="24"/>
          <w:szCs w:val="24"/>
        </w:rPr>
        <w:t xml:space="preserve"> </w:t>
      </w:r>
      <w:r>
        <w:rPr>
          <w:rFonts w:ascii="Times New Roman" w:hAnsi="Times New Roman" w:cs="Times New Roman"/>
          <w:sz w:val="24"/>
          <w:szCs w:val="24"/>
        </w:rPr>
        <w:t>one</w:t>
      </w:r>
      <w:r w:rsidRPr="00107015">
        <w:rPr>
          <w:rFonts w:ascii="Times New Roman" w:hAnsi="Times New Roman" w:cs="Times New Roman"/>
          <w:sz w:val="24"/>
          <w:szCs w:val="24"/>
        </w:rPr>
        <w:t xml:space="preserve"> </w:t>
      </w:r>
      <w:r>
        <w:rPr>
          <w:rFonts w:ascii="Times New Roman" w:hAnsi="Times New Roman" w:cs="Times New Roman"/>
          <w:sz w:val="24"/>
          <w:szCs w:val="24"/>
        </w:rPr>
        <w:t>arrives</w:t>
      </w:r>
      <w:r w:rsidRPr="00107015">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107015">
        <w:rPr>
          <w:rFonts w:ascii="Times New Roman" w:hAnsi="Times New Roman" w:cs="Times New Roman"/>
          <w:sz w:val="24"/>
          <w:szCs w:val="24"/>
        </w:rPr>
        <w:t>the fol</w:t>
      </w:r>
      <w:r>
        <w:rPr>
          <w:rFonts w:ascii="Times New Roman" w:hAnsi="Times New Roman" w:cs="Times New Roman"/>
          <w:sz w:val="24"/>
          <w:szCs w:val="24"/>
        </w:rPr>
        <w:t>l</w:t>
      </w:r>
      <w:r w:rsidRPr="00107015">
        <w:rPr>
          <w:rFonts w:ascii="Times New Roman" w:hAnsi="Times New Roman" w:cs="Times New Roman"/>
          <w:sz w:val="24"/>
          <w:szCs w:val="24"/>
        </w:rPr>
        <w:t>owing</w:t>
      </w:r>
      <w:r>
        <w:rPr>
          <w:rFonts w:ascii="Times New Roman" w:hAnsi="Times New Roman" w:cs="Times New Roman"/>
          <w:sz w:val="24"/>
          <w:szCs w:val="24"/>
        </w:rPr>
        <w:t>:</w:t>
      </w:r>
    </w:p>
    <w:p w:rsidR="00115E71" w:rsidRDefault="00115E71" w:rsidP="00115E71">
      <w:pPr>
        <w:spacing w:line="360" w:lineRule="auto"/>
        <w:ind w:left="567"/>
        <w:jc w:val="both"/>
        <w:rPr>
          <w:rFonts w:ascii="Times New Roman" w:hAnsi="Times New Roman" w:cs="Times New Roman"/>
          <w:sz w:val="24"/>
          <w:szCs w:val="24"/>
        </w:rPr>
      </w:pPr>
      <w:r w:rsidRPr="009A018A">
        <w:rPr>
          <w:rFonts w:ascii="Times New Roman" w:hAnsi="Times New Roman" w:cs="Times New Roman"/>
          <w:sz w:val="24"/>
          <w:szCs w:val="24"/>
        </w:rPr>
        <w:t>“Utilization of genetic resources” means to conduct research and development on the genetic and/or biochemical composition of genetic resources, including through the application of [any technological application that uses biological systems, living organisms, or [naturally occurring biochemical compounds resulting from the genetic expression or metabolism of biological or genetic resources, (even if they do not contain functional units of heredity)] thereof, to make or modify products or processes for specific use]</w:t>
      </w:r>
      <w:r>
        <w:rPr>
          <w:rFonts w:ascii="Times New Roman" w:hAnsi="Times New Roman" w:cs="Times New Roman"/>
          <w:sz w:val="24"/>
          <w:szCs w:val="24"/>
        </w:rPr>
        <w:t>]</w:t>
      </w:r>
      <w:r w:rsidRPr="009A018A">
        <w:rPr>
          <w:rFonts w:ascii="Times New Roman" w:hAnsi="Times New Roman" w:cs="Times New Roman"/>
          <w:sz w:val="24"/>
          <w:szCs w:val="24"/>
        </w:rPr>
        <w:t xml:space="preserve">.”  </w:t>
      </w:r>
    </w:p>
    <w:p w:rsidR="00115E71" w:rsidRPr="00546F7A" w:rsidRDefault="00115E71" w:rsidP="00115E71">
      <w:pPr>
        <w:spacing w:line="360" w:lineRule="auto"/>
        <w:ind w:left="567"/>
        <w:jc w:val="both"/>
        <w:rPr>
          <w:rFonts w:ascii="Times New Roman" w:hAnsi="Times New Roman" w:cs="Times New Roman"/>
          <w:sz w:val="24"/>
          <w:szCs w:val="24"/>
        </w:rPr>
      </w:pPr>
      <w:r w:rsidRPr="00546F7A">
        <w:rPr>
          <w:rFonts w:ascii="Times New Roman" w:hAnsi="Times New Roman" w:cs="Times New Roman"/>
          <w:sz w:val="24"/>
          <w:szCs w:val="24"/>
        </w:rPr>
        <w:t>(NB. The square brackets show the nesting of the definitions)</w:t>
      </w:r>
    </w:p>
    <w:p w:rsidR="00115E71" w:rsidRDefault="00115E71" w:rsidP="00115E71">
      <w:pPr>
        <w:spacing w:line="360" w:lineRule="auto"/>
        <w:jc w:val="both"/>
        <w:rPr>
          <w:rFonts w:ascii="Times New Roman" w:hAnsi="Times New Roman" w:cs="Times New Roman"/>
          <w:sz w:val="24"/>
          <w:szCs w:val="24"/>
        </w:rPr>
      </w:pPr>
      <w:r w:rsidRPr="00031B87">
        <w:rPr>
          <w:rFonts w:ascii="Times New Roman" w:hAnsi="Times New Roman" w:cs="Times New Roman"/>
          <w:sz w:val="24"/>
          <w:szCs w:val="24"/>
        </w:rPr>
        <w:t>The complexity, and lack of clarity, is obvious.</w:t>
      </w:r>
    </w:p>
    <w:p w:rsidR="00BF73FE" w:rsidRDefault="00115E71" w:rsidP="008470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“Biotechnology” is provided as a (non-limiting) example of one of the means </w:t>
      </w:r>
      <w:r w:rsidRPr="006F410E">
        <w:rPr>
          <w:rFonts w:ascii="Times New Roman" w:hAnsi="Times New Roman" w:cs="Times New Roman"/>
          <w:i/>
          <w:sz w:val="24"/>
          <w:szCs w:val="24"/>
        </w:rPr>
        <w:t>by which</w:t>
      </w:r>
      <w:r>
        <w:rPr>
          <w:rFonts w:ascii="Times New Roman" w:hAnsi="Times New Roman" w:cs="Times New Roman"/>
          <w:sz w:val="24"/>
          <w:szCs w:val="24"/>
        </w:rPr>
        <w:t xml:space="preserve"> </w:t>
      </w:r>
      <w:r w:rsidRPr="006F410E">
        <w:rPr>
          <w:rFonts w:ascii="Times New Roman" w:hAnsi="Times New Roman" w:cs="Times New Roman"/>
          <w:sz w:val="24"/>
          <w:szCs w:val="24"/>
        </w:rPr>
        <w:t>to conduct</w:t>
      </w:r>
      <w:r>
        <w:rPr>
          <w:rFonts w:ascii="Times New Roman" w:hAnsi="Times New Roman" w:cs="Times New Roman"/>
          <w:sz w:val="24"/>
          <w:szCs w:val="24"/>
        </w:rPr>
        <w:t xml:space="preserve"> research and development on</w:t>
      </w:r>
      <w:r w:rsidRPr="009A018A">
        <w:rPr>
          <w:rFonts w:ascii="Times New Roman" w:hAnsi="Times New Roman" w:cs="Times New Roman"/>
          <w:sz w:val="24"/>
          <w:szCs w:val="24"/>
        </w:rPr>
        <w:t xml:space="preserve"> the genetic and/or biochemical composition</w:t>
      </w:r>
      <w:r>
        <w:rPr>
          <w:rFonts w:ascii="Times New Roman" w:hAnsi="Times New Roman" w:cs="Times New Roman"/>
          <w:sz w:val="24"/>
          <w:szCs w:val="24"/>
        </w:rPr>
        <w:t xml:space="preserve"> genetic resources; that is it is described as a mechanism or </w:t>
      </w:r>
      <w:r w:rsidRPr="009F625A">
        <w:rPr>
          <w:rFonts w:ascii="Times New Roman" w:hAnsi="Times New Roman" w:cs="Times New Roman"/>
          <w:i/>
          <w:sz w:val="24"/>
          <w:szCs w:val="24"/>
        </w:rPr>
        <w:t>too</w:t>
      </w:r>
      <w:r>
        <w:rPr>
          <w:rFonts w:ascii="Times New Roman" w:hAnsi="Times New Roman" w:cs="Times New Roman"/>
          <w:i/>
          <w:sz w:val="24"/>
          <w:szCs w:val="24"/>
        </w:rPr>
        <w:t>l</w:t>
      </w:r>
      <w:r>
        <w:rPr>
          <w:rFonts w:ascii="Times New Roman" w:hAnsi="Times New Roman" w:cs="Times New Roman"/>
          <w:sz w:val="24"/>
          <w:szCs w:val="24"/>
        </w:rPr>
        <w:t xml:space="preserve">. </w:t>
      </w:r>
    </w:p>
    <w:p w:rsidR="00115E71" w:rsidRPr="00BF73FE" w:rsidRDefault="00115E71" w:rsidP="00115E71">
      <w:pPr>
        <w:spacing w:line="360" w:lineRule="auto"/>
        <w:jc w:val="both"/>
      </w:pPr>
      <w:r>
        <w:rPr>
          <w:rFonts w:ascii="Times New Roman" w:hAnsi="Times New Roman" w:cs="Times New Roman"/>
          <w:sz w:val="24"/>
          <w:szCs w:val="24"/>
        </w:rPr>
        <w:t xml:space="preserve">The general understanding of biotechnology </w:t>
      </w:r>
      <w:r w:rsidR="00BF73FE">
        <w:rPr>
          <w:rFonts w:ascii="Times New Roman" w:hAnsi="Times New Roman" w:cs="Times New Roman"/>
          <w:sz w:val="24"/>
          <w:szCs w:val="24"/>
        </w:rPr>
        <w:t xml:space="preserve">as a technique </w:t>
      </w:r>
      <w:r>
        <w:rPr>
          <w:rFonts w:ascii="Times New Roman" w:hAnsi="Times New Roman" w:cs="Times New Roman"/>
          <w:sz w:val="24"/>
          <w:szCs w:val="24"/>
        </w:rPr>
        <w:t>is broad and such technology has a long history</w:t>
      </w:r>
      <w:r w:rsidR="00847017">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F432F1">
        <w:t xml:space="preserve"> </w:t>
      </w:r>
      <w:r w:rsidR="00BF73FE" w:rsidRPr="00BF73FE">
        <w:rPr>
          <w:rFonts w:ascii="Times New Roman" w:hAnsi="Times New Roman" w:cs="Times New Roman"/>
          <w:sz w:val="24"/>
          <w:szCs w:val="24"/>
        </w:rPr>
        <w:t xml:space="preserve">However, </w:t>
      </w:r>
      <w:r w:rsidR="00BF73FE">
        <w:rPr>
          <w:rFonts w:ascii="Times New Roman" w:hAnsi="Times New Roman" w:cs="Times New Roman"/>
          <w:sz w:val="24"/>
          <w:szCs w:val="24"/>
        </w:rPr>
        <w:t>n</w:t>
      </w:r>
      <w:r>
        <w:rPr>
          <w:rFonts w:ascii="Times New Roman" w:hAnsi="Times New Roman" w:cs="Times New Roman"/>
          <w:sz w:val="24"/>
          <w:szCs w:val="24"/>
        </w:rPr>
        <w:t xml:space="preserve">otwithstanding the different means used, one of the recurring similarities of all types of biotechnology is the </w:t>
      </w:r>
      <w:r w:rsidR="000E54DD">
        <w:rPr>
          <w:rFonts w:ascii="Times New Roman" w:hAnsi="Times New Roman" w:cs="Times New Roman"/>
          <w:sz w:val="24"/>
          <w:szCs w:val="24"/>
        </w:rPr>
        <w:t xml:space="preserve">production of a final “product”, </w:t>
      </w:r>
      <w:r>
        <w:rPr>
          <w:rFonts w:ascii="Times New Roman" w:hAnsi="Times New Roman" w:cs="Times New Roman"/>
          <w:sz w:val="24"/>
          <w:szCs w:val="24"/>
        </w:rPr>
        <w:t>whether that be a disease-resistant crop, a monoclonal antibody, an antibiotic</w:t>
      </w:r>
      <w:r w:rsidR="00437399">
        <w:rPr>
          <w:rFonts w:ascii="Times New Roman" w:hAnsi="Times New Roman" w:cs="Times New Roman"/>
          <w:sz w:val="24"/>
          <w:szCs w:val="24"/>
        </w:rPr>
        <w:t>, a beer</w:t>
      </w:r>
      <w:r w:rsidR="00B071DB">
        <w:rPr>
          <w:rFonts w:ascii="Times New Roman" w:hAnsi="Times New Roman" w:cs="Times New Roman"/>
          <w:sz w:val="24"/>
          <w:szCs w:val="24"/>
        </w:rPr>
        <w:t>,</w:t>
      </w:r>
      <w:r>
        <w:rPr>
          <w:rFonts w:ascii="Times New Roman" w:hAnsi="Times New Roman" w:cs="Times New Roman"/>
          <w:sz w:val="24"/>
          <w:szCs w:val="24"/>
        </w:rPr>
        <w:t xml:space="preserve"> or a stilton cheese. </w:t>
      </w:r>
      <w:r>
        <w:rPr>
          <w:rFonts w:ascii="Times New Roman" w:hAnsi="Times New Roman" w:cs="Times New Roman"/>
          <w:sz w:val="24"/>
          <w:szCs w:val="24"/>
        </w:rPr>
        <w:lastRenderedPageBreak/>
        <w:t>This focus on products is, of course, reflected in the definition originally provided in the CBD:</w:t>
      </w:r>
    </w:p>
    <w:p w:rsidR="00115E71" w:rsidRPr="00546F7A" w:rsidRDefault="00115E71" w:rsidP="00115E71">
      <w:pPr>
        <w:spacing w:line="360" w:lineRule="auto"/>
        <w:ind w:left="510"/>
        <w:jc w:val="both"/>
        <w:rPr>
          <w:rFonts w:ascii="Times New Roman" w:hAnsi="Times New Roman" w:cs="Times New Roman"/>
          <w:sz w:val="24"/>
          <w:szCs w:val="24"/>
        </w:rPr>
      </w:pPr>
      <w:r>
        <w:rPr>
          <w:rFonts w:ascii="Times New Roman" w:hAnsi="Times New Roman" w:cs="Times New Roman"/>
          <w:sz w:val="24"/>
          <w:szCs w:val="24"/>
        </w:rPr>
        <w:t xml:space="preserve">“A </w:t>
      </w:r>
      <w:r w:rsidRPr="00130E5A">
        <w:rPr>
          <w:rFonts w:ascii="Times New Roman" w:hAnsi="Times New Roman" w:cs="Times New Roman"/>
          <w:sz w:val="24"/>
          <w:szCs w:val="24"/>
        </w:rPr>
        <w:t xml:space="preserve">technological application that uses biological systems, living organisms, or derivatives thereof, to </w:t>
      </w:r>
      <w:r w:rsidRPr="00DD2B4E">
        <w:rPr>
          <w:rFonts w:ascii="Times New Roman" w:hAnsi="Times New Roman" w:cs="Times New Roman"/>
          <w:b/>
          <w:sz w:val="24"/>
          <w:szCs w:val="24"/>
        </w:rPr>
        <w:t>make or modify products or processes</w:t>
      </w:r>
      <w:r w:rsidRPr="00130E5A">
        <w:rPr>
          <w:rFonts w:ascii="Times New Roman" w:hAnsi="Times New Roman" w:cs="Times New Roman"/>
          <w:sz w:val="24"/>
          <w:szCs w:val="24"/>
        </w:rPr>
        <w:t xml:space="preserve"> for specific use</w:t>
      </w:r>
      <w:r>
        <w:rPr>
          <w:rFonts w:ascii="Times New Roman" w:hAnsi="Times New Roman" w:cs="Times New Roman"/>
          <w:sz w:val="24"/>
          <w:szCs w:val="24"/>
        </w:rPr>
        <w:t xml:space="preserve">” </w:t>
      </w:r>
      <w:r w:rsidRPr="00546F7A">
        <w:rPr>
          <w:rFonts w:ascii="Times New Roman" w:hAnsi="Times New Roman" w:cs="Times New Roman"/>
          <w:sz w:val="24"/>
          <w:szCs w:val="24"/>
        </w:rPr>
        <w:t>[emphasis added]</w:t>
      </w:r>
      <w:r>
        <w:rPr>
          <w:rFonts w:ascii="Times New Roman" w:hAnsi="Times New Roman" w:cs="Times New Roman"/>
          <w:sz w:val="24"/>
          <w:szCs w:val="24"/>
        </w:rPr>
        <w:t xml:space="preserve"> </w:t>
      </w:r>
      <w:r w:rsidRPr="00546F7A">
        <w:rPr>
          <w:rStyle w:val="FootnoteReference"/>
          <w:rFonts w:ascii="Times New Roman" w:hAnsi="Times New Roman" w:cs="Times New Roman"/>
          <w:sz w:val="24"/>
          <w:szCs w:val="24"/>
        </w:rPr>
        <w:footnoteReference w:id="55"/>
      </w:r>
    </w:p>
    <w:p w:rsidR="00115E71" w:rsidRDefault="00EB520C"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we assume </w:t>
      </w:r>
      <w:r w:rsidR="00115E71">
        <w:rPr>
          <w:rFonts w:ascii="Times New Roman" w:hAnsi="Times New Roman" w:cs="Times New Roman"/>
          <w:sz w:val="24"/>
          <w:szCs w:val="24"/>
        </w:rPr>
        <w:t xml:space="preserve">that the original CBD definition of genetic material intended to capture DNA alone, we can see that the definition of “Biotechnology” was entirely consistent with that narrow interpretation. It would be consistent the use of transgenic whole organisms (“living organisms”) whose genome has been modified by the insertion of particular genes to manufacture a particular proteins (or downstream products from those proteins where those proteins are enzymes). It would certainly include (but not be limited to) </w:t>
      </w:r>
      <w:r w:rsidR="00115E71" w:rsidRPr="00D220B5">
        <w:rPr>
          <w:rFonts w:ascii="Times New Roman" w:hAnsi="Times New Roman" w:cs="Times New Roman"/>
          <w:sz w:val="24"/>
          <w:szCs w:val="24"/>
        </w:rPr>
        <w:t>the application of</w:t>
      </w:r>
      <w:r w:rsidR="00115E71">
        <w:rPr>
          <w:rFonts w:ascii="Times New Roman" w:hAnsi="Times New Roman" w:cs="Times New Roman"/>
          <w:sz w:val="24"/>
          <w:szCs w:val="24"/>
        </w:rPr>
        <w:t xml:space="preserve"> “</w:t>
      </w:r>
      <w:r w:rsidR="00115E71" w:rsidRPr="009216BF">
        <w:rPr>
          <w:rFonts w:ascii="Times New Roman" w:hAnsi="Times New Roman" w:cs="Times New Roman"/>
          <w:i/>
          <w:sz w:val="24"/>
          <w:szCs w:val="24"/>
        </w:rPr>
        <w:t>In vitro</w:t>
      </w:r>
      <w:r w:rsidR="00115E71" w:rsidRPr="00A1021C">
        <w:rPr>
          <w:rFonts w:ascii="Times New Roman" w:hAnsi="Times New Roman" w:cs="Times New Roman"/>
          <w:sz w:val="24"/>
          <w:szCs w:val="24"/>
        </w:rPr>
        <w:t xml:space="preserve"> nucleic acid techniques, including recombinant deoxyribonucleic acid (DNA) and direct injection of nucleic acid into cells or organelles</w:t>
      </w:r>
      <w:r w:rsidR="00115E71">
        <w:rPr>
          <w:rFonts w:ascii="Times New Roman" w:hAnsi="Times New Roman" w:cs="Times New Roman"/>
          <w:sz w:val="24"/>
          <w:szCs w:val="24"/>
        </w:rPr>
        <w:t>.</w:t>
      </w:r>
      <w:r w:rsidR="00115E71" w:rsidRPr="00A1021C">
        <w:rPr>
          <w:rFonts w:ascii="Times New Roman" w:hAnsi="Times New Roman" w:cs="Times New Roman"/>
          <w:sz w:val="24"/>
          <w:szCs w:val="24"/>
        </w:rPr>
        <w:t>”</w:t>
      </w:r>
      <w:r w:rsidR="00115E71">
        <w:rPr>
          <w:rStyle w:val="FootnoteReference"/>
          <w:rFonts w:ascii="Times New Roman" w:hAnsi="Times New Roman" w:cs="Times New Roman"/>
          <w:sz w:val="24"/>
          <w:szCs w:val="24"/>
        </w:rPr>
        <w:footnoteReference w:id="56"/>
      </w:r>
    </w:p>
    <w:p w:rsidR="00E609AE"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if we assume that “genetic material” should be read as (also) meaning “parts of organisms which contain functional units of heredity” then in terms of “conducting research and development on the </w:t>
      </w:r>
      <w:r w:rsidRPr="00904573">
        <w:rPr>
          <w:rFonts w:ascii="Times New Roman" w:hAnsi="Times New Roman" w:cs="Times New Roman"/>
          <w:i/>
          <w:sz w:val="24"/>
          <w:szCs w:val="24"/>
        </w:rPr>
        <w:t>genetic</w:t>
      </w:r>
      <w:r>
        <w:rPr>
          <w:rFonts w:ascii="Times New Roman" w:hAnsi="Times New Roman" w:cs="Times New Roman"/>
          <w:sz w:val="24"/>
          <w:szCs w:val="24"/>
        </w:rPr>
        <w:t xml:space="preserve"> composition” such an interpretation would be consistent with techniques which do not specifically seek to move DNA through </w:t>
      </w:r>
      <w:r>
        <w:rPr>
          <w:rFonts w:ascii="Times New Roman" w:hAnsi="Times New Roman" w:cs="Times New Roman"/>
          <w:i/>
          <w:sz w:val="24"/>
          <w:szCs w:val="24"/>
        </w:rPr>
        <w:t>i</w:t>
      </w:r>
      <w:r w:rsidRPr="009216BF">
        <w:rPr>
          <w:rFonts w:ascii="Times New Roman" w:hAnsi="Times New Roman" w:cs="Times New Roman"/>
          <w:i/>
          <w:sz w:val="24"/>
          <w:szCs w:val="24"/>
        </w:rPr>
        <w:t>n vitro</w:t>
      </w:r>
      <w:r w:rsidRPr="00A1021C">
        <w:rPr>
          <w:rFonts w:ascii="Times New Roman" w:hAnsi="Times New Roman" w:cs="Times New Roman"/>
          <w:sz w:val="24"/>
          <w:szCs w:val="24"/>
        </w:rPr>
        <w:t xml:space="preserve"> nucleic acid techniques</w:t>
      </w:r>
      <w:r>
        <w:rPr>
          <w:rFonts w:ascii="Times New Roman" w:hAnsi="Times New Roman" w:cs="Times New Roman"/>
          <w:sz w:val="24"/>
          <w:szCs w:val="24"/>
        </w:rPr>
        <w:t>, but which attempt the</w:t>
      </w:r>
      <w:r w:rsidR="00E609AE">
        <w:rPr>
          <w:rFonts w:ascii="Times New Roman" w:hAnsi="Times New Roman" w:cs="Times New Roman"/>
          <w:sz w:val="24"/>
          <w:szCs w:val="24"/>
        </w:rPr>
        <w:t>:</w:t>
      </w:r>
    </w:p>
    <w:p w:rsidR="00E609AE" w:rsidRDefault="00115E71" w:rsidP="00E609AE">
      <w:pPr>
        <w:spacing w:line="360" w:lineRule="auto"/>
        <w:ind w:left="510"/>
        <w:jc w:val="both"/>
        <w:rPr>
          <w:rFonts w:ascii="Times New Roman" w:hAnsi="Times New Roman" w:cs="Times New Roman"/>
          <w:sz w:val="24"/>
          <w:szCs w:val="24"/>
        </w:rPr>
      </w:pPr>
      <w:r>
        <w:rPr>
          <w:rFonts w:ascii="Times New Roman" w:hAnsi="Times New Roman" w:cs="Times New Roman"/>
          <w:sz w:val="24"/>
          <w:szCs w:val="24"/>
        </w:rPr>
        <w:t>“</w:t>
      </w:r>
      <w:r w:rsidRPr="009216BF">
        <w:rPr>
          <w:rFonts w:ascii="Times New Roman" w:hAnsi="Times New Roman" w:cs="Times New Roman"/>
          <w:sz w:val="24"/>
          <w:szCs w:val="24"/>
        </w:rPr>
        <w:t>Fusion of cells beyond the taxonomic family, that overcome natural physiological reproductive or recombination barriers and that are not techniques used in traditional breeding and selection.”</w:t>
      </w:r>
      <w:r w:rsidRPr="00E609AE">
        <w:rPr>
          <w:rFonts w:ascii="Times New Roman" w:hAnsi="Times New Roman" w:cs="Times New Roman"/>
          <w:vertAlign w:val="superscript"/>
        </w:rPr>
        <w:footnoteReference w:id="57"/>
      </w:r>
      <w:r w:rsidRPr="00E609AE">
        <w:rPr>
          <w:rFonts w:ascii="Times New Roman" w:hAnsi="Times New Roman" w:cs="Times New Roman"/>
          <w:sz w:val="24"/>
          <w:szCs w:val="24"/>
          <w:vertAlign w:val="superscript"/>
        </w:rPr>
        <w:t xml:space="preserve"> </w:t>
      </w:r>
    </w:p>
    <w:p w:rsidR="00115E71" w:rsidRPr="009216BF"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Such techniques could include the production of monoclonal antibodies through the creation of hybridoma cell lines made by fusing B-lymphocytes with a myeloma cell line.</w:t>
      </w:r>
      <w:r>
        <w:rPr>
          <w:rStyle w:val="FootnoteReference"/>
          <w:rFonts w:ascii="Times New Roman" w:hAnsi="Times New Roman" w:cs="Times New Roman"/>
          <w:sz w:val="24"/>
          <w:szCs w:val="24"/>
        </w:rPr>
        <w:footnoteReference w:id="58"/>
      </w:r>
    </w:p>
    <w:p w:rsidR="00115E71" w:rsidRDefault="00115E71" w:rsidP="00115E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both the examples above, one might argue that the “Biotechnology” is being used to exploit the </w:t>
      </w:r>
      <w:r w:rsidRPr="002A772B">
        <w:rPr>
          <w:rFonts w:ascii="Times New Roman" w:eastAsia="Times New Roman" w:hAnsi="Times New Roman" w:cs="Times New Roman"/>
          <w:i/>
          <w:sz w:val="24"/>
          <w:szCs w:val="24"/>
        </w:rPr>
        <w:t>genetic</w:t>
      </w:r>
      <w:r>
        <w:rPr>
          <w:rFonts w:ascii="Times New Roman" w:eastAsia="Times New Roman" w:hAnsi="Times New Roman" w:cs="Times New Roman"/>
          <w:sz w:val="24"/>
          <w:szCs w:val="24"/>
        </w:rPr>
        <w:t xml:space="preserve"> composition of the “genetic resource”</w:t>
      </w:r>
      <w:r w:rsidR="00847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rather than being part of the </w:t>
      </w:r>
      <w:r>
        <w:rPr>
          <w:rFonts w:ascii="Times New Roman" w:eastAsia="Times New Roman" w:hAnsi="Times New Roman" w:cs="Times New Roman"/>
          <w:sz w:val="24"/>
          <w:szCs w:val="24"/>
        </w:rPr>
        <w:lastRenderedPageBreak/>
        <w:t xml:space="preserve">research and development on the (non-chromatin) </w:t>
      </w:r>
      <w:r w:rsidRPr="00E010CC">
        <w:rPr>
          <w:rFonts w:ascii="Times New Roman" w:eastAsia="Times New Roman" w:hAnsi="Times New Roman" w:cs="Times New Roman"/>
          <w:i/>
          <w:sz w:val="24"/>
          <w:szCs w:val="24"/>
        </w:rPr>
        <w:t>biochemical</w:t>
      </w:r>
      <w:r>
        <w:rPr>
          <w:rFonts w:ascii="Times New Roman" w:eastAsia="Times New Roman" w:hAnsi="Times New Roman" w:cs="Times New Roman"/>
          <w:sz w:val="24"/>
          <w:szCs w:val="24"/>
        </w:rPr>
        <w:t xml:space="preserve"> composition of the “genetic resource”. </w:t>
      </w:r>
    </w:p>
    <w:p w:rsidR="00115E71" w:rsidRDefault="00115E71" w:rsidP="00115E7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If this is correct, how then might these “biotechnology” applications be used in the research and development of the </w:t>
      </w:r>
      <w:r w:rsidRPr="00E010CC">
        <w:rPr>
          <w:rFonts w:ascii="Times New Roman" w:eastAsia="Times New Roman" w:hAnsi="Times New Roman" w:cs="Times New Roman"/>
          <w:i/>
          <w:sz w:val="24"/>
          <w:szCs w:val="24"/>
        </w:rPr>
        <w:t>biochemical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of the genetic resource? As we have seen, the understanding of biotechnology extends beyond what the Cartagena Protocol </w:t>
      </w:r>
      <w:r w:rsidRPr="00E010CC">
        <w:rPr>
          <w:rFonts w:ascii="Times New Roman" w:eastAsia="Times New Roman" w:hAnsi="Times New Roman" w:cs="Times New Roman"/>
          <w:sz w:val="24"/>
          <w:szCs w:val="24"/>
        </w:rPr>
        <w:t>on Biosafety to the Convention on Biological Diversity</w:t>
      </w:r>
      <w:r>
        <w:rPr>
          <w:rFonts w:ascii="Times New Roman" w:eastAsia="Times New Roman" w:hAnsi="Times New Roman" w:cs="Times New Roman"/>
          <w:sz w:val="24"/>
          <w:szCs w:val="24"/>
        </w:rPr>
        <w:t xml:space="preserve"> calls “Modern Biotechnology”</w:t>
      </w:r>
      <w:r>
        <w:rPr>
          <w:rStyle w:val="FootnoteReference"/>
          <w:rFonts w:ascii="Times New Roman" w:eastAsia="Times New Roman" w:hAnsi="Times New Roman" w:cs="Times New Roman"/>
          <w:sz w:val="24"/>
          <w:szCs w:val="24"/>
        </w:rPr>
        <w:footnoteReference w:id="59"/>
      </w:r>
      <w:r>
        <w:rPr>
          <w:rFonts w:ascii="Times New Roman" w:eastAsia="Times New Roman" w:hAnsi="Times New Roman" w:cs="Times New Roman"/>
          <w:sz w:val="24"/>
          <w:szCs w:val="24"/>
        </w:rPr>
        <w:t xml:space="preserve"> (essentially </w:t>
      </w:r>
      <w:r w:rsidRPr="00E010CC">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nucleic acid techniques and cell fusion techniques) and the definition within the CBD is certainly not so limited.</w:t>
      </w:r>
      <w:r>
        <w:rPr>
          <w:rStyle w:val="FootnoteReference"/>
          <w:rFonts w:ascii="Times New Roman" w:eastAsia="Times New Roman" w:hAnsi="Times New Roman" w:cs="Times New Roman"/>
          <w:sz w:val="24"/>
          <w:szCs w:val="24"/>
        </w:rPr>
        <w:footnoteReference w:id="60"/>
      </w:r>
      <w:r>
        <w:rPr>
          <w:rFonts w:ascii="Times New Roman" w:eastAsia="Times New Roman" w:hAnsi="Times New Roman" w:cs="Times New Roman"/>
          <w:sz w:val="24"/>
          <w:szCs w:val="24"/>
        </w:rPr>
        <w:t xml:space="preserve"> Such research into the biochemical composition</w:t>
      </w:r>
      <w:r>
        <w:rPr>
          <w:rFonts w:ascii="Times New Roman" w:hAnsi="Times New Roman" w:cs="Times New Roman"/>
          <w:sz w:val="24"/>
          <w:szCs w:val="24"/>
        </w:rPr>
        <w:t xml:space="preserve"> of genetic resource would certainly include the use of cell and tissue cultures using </w:t>
      </w:r>
      <w:r w:rsidRPr="00714DA5">
        <w:rPr>
          <w:rFonts w:ascii="Times New Roman" w:hAnsi="Times New Roman" w:cs="Times New Roman"/>
          <w:i/>
          <w:sz w:val="24"/>
          <w:szCs w:val="24"/>
        </w:rPr>
        <w:t>unmodified</w:t>
      </w:r>
      <w:r>
        <w:rPr>
          <w:rFonts w:ascii="Times New Roman" w:hAnsi="Times New Roman" w:cs="Times New Roman"/>
          <w:sz w:val="24"/>
          <w:szCs w:val="24"/>
        </w:rPr>
        <w:t xml:space="preserve"> organisms to assist in the making of greater amount of the substance in question. </w:t>
      </w:r>
    </w:p>
    <w:p w:rsidR="00115E71" w:rsidRPr="001D7A32"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practice, however, there is no split in the use of biotechnology techniques as between </w:t>
      </w:r>
      <w:r w:rsidRPr="00356324">
        <w:rPr>
          <w:rFonts w:ascii="Times New Roman" w:hAnsi="Times New Roman" w:cs="Times New Roman"/>
          <w:i/>
          <w:sz w:val="24"/>
          <w:szCs w:val="24"/>
        </w:rPr>
        <w:t>genetic</w:t>
      </w:r>
      <w:r>
        <w:rPr>
          <w:rFonts w:ascii="Times New Roman" w:hAnsi="Times New Roman" w:cs="Times New Roman"/>
          <w:sz w:val="24"/>
          <w:szCs w:val="24"/>
        </w:rPr>
        <w:t xml:space="preserve"> and </w:t>
      </w:r>
      <w:r w:rsidRPr="00356324">
        <w:rPr>
          <w:rFonts w:ascii="Times New Roman" w:hAnsi="Times New Roman" w:cs="Times New Roman"/>
          <w:i/>
          <w:sz w:val="24"/>
          <w:szCs w:val="24"/>
        </w:rPr>
        <w:t>biochemical</w:t>
      </w:r>
      <w:r>
        <w:rPr>
          <w:rFonts w:ascii="Times New Roman" w:hAnsi="Times New Roman" w:cs="Times New Roman"/>
          <w:sz w:val="24"/>
          <w:szCs w:val="24"/>
        </w:rPr>
        <w:t xml:space="preserve"> composition - </w:t>
      </w:r>
      <w:r w:rsidRPr="002B3271">
        <w:rPr>
          <w:rFonts w:ascii="Times New Roman" w:hAnsi="Times New Roman" w:cs="Times New Roman"/>
          <w:i/>
          <w:sz w:val="24"/>
          <w:szCs w:val="24"/>
        </w:rPr>
        <w:t>all</w:t>
      </w:r>
      <w:r>
        <w:rPr>
          <w:rFonts w:ascii="Times New Roman" w:hAnsi="Times New Roman" w:cs="Times New Roman"/>
          <w:sz w:val="24"/>
          <w:szCs w:val="24"/>
        </w:rPr>
        <w:t xml:space="preserve"> biotechnology techniques are available for research on the (non-DNA) biochemical composition of a resource, notably the use of genetically modified bacteria</w:t>
      </w:r>
      <w:r w:rsidR="000E54DD">
        <w:rPr>
          <w:rFonts w:ascii="Times New Roman" w:hAnsi="Times New Roman" w:cs="Times New Roman"/>
          <w:sz w:val="24"/>
          <w:szCs w:val="24"/>
        </w:rPr>
        <w:t>,</w:t>
      </w:r>
      <w:r>
        <w:rPr>
          <w:rFonts w:ascii="Times New Roman" w:hAnsi="Times New Roman" w:cs="Times New Roman"/>
          <w:sz w:val="24"/>
          <w:szCs w:val="24"/>
        </w:rPr>
        <w:t xml:space="preserve"> or eukaryotic cell lines</w:t>
      </w:r>
      <w:r w:rsidR="000E54DD">
        <w:rPr>
          <w:rFonts w:ascii="Times New Roman" w:hAnsi="Times New Roman" w:cs="Times New Roman"/>
          <w:sz w:val="24"/>
          <w:szCs w:val="24"/>
        </w:rPr>
        <w:t>,</w:t>
      </w:r>
      <w:r>
        <w:rPr>
          <w:rFonts w:ascii="Times New Roman" w:hAnsi="Times New Roman" w:cs="Times New Roman"/>
          <w:sz w:val="24"/>
          <w:szCs w:val="24"/>
        </w:rPr>
        <w:t xml:space="preserve"> to produce </w:t>
      </w:r>
      <w:r w:rsidR="000E54DD">
        <w:rPr>
          <w:rFonts w:ascii="Times New Roman" w:hAnsi="Times New Roman" w:cs="Times New Roman"/>
          <w:sz w:val="24"/>
          <w:szCs w:val="24"/>
        </w:rPr>
        <w:t xml:space="preserve">a </w:t>
      </w:r>
      <w:r>
        <w:rPr>
          <w:rFonts w:ascii="Times New Roman" w:hAnsi="Times New Roman" w:cs="Times New Roman"/>
          <w:sz w:val="24"/>
          <w:szCs w:val="24"/>
        </w:rPr>
        <w:t>sufficient quantity of a substance for analysis and study. One might imagine here the production of human interferon through the use of transgenic bacteria.</w:t>
      </w:r>
      <w:r>
        <w:rPr>
          <w:rStyle w:val="FootnoteReference"/>
          <w:rFonts w:ascii="Times New Roman" w:hAnsi="Times New Roman" w:cs="Times New Roman"/>
          <w:sz w:val="24"/>
          <w:szCs w:val="24"/>
        </w:rPr>
        <w:footnoteReference w:id="61"/>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To conclude, the un-amended definition of “Biotechnology” in the CBD is entirely consistent with a broad interpretation of “genetic resources” to mean “parts of an organism containing functional units of heredity” and “</w:t>
      </w:r>
      <w:r>
        <w:rPr>
          <w:rFonts w:ascii="Times New Roman" w:eastAsia="Times New Roman" w:hAnsi="Times New Roman" w:cs="Times New Roman"/>
          <w:sz w:val="24"/>
          <w:szCs w:val="24"/>
        </w:rPr>
        <w:t>biochemical composition</w:t>
      </w:r>
      <w:r>
        <w:rPr>
          <w:rFonts w:ascii="Times New Roman" w:hAnsi="Times New Roman" w:cs="Times New Roman"/>
          <w:sz w:val="24"/>
          <w:szCs w:val="24"/>
        </w:rPr>
        <w:t xml:space="preserve"> of genetic resource” to include the non-DNA products of genetic expression. It is, however, equally consistent with a narrower chromatin-only interpretation of “genetic resource” or a chromatin-only interpretation of “research and development on the biochemical composition of the genetic resource”.</w:t>
      </w:r>
    </w:p>
    <w:p w:rsidR="00115E71" w:rsidRPr="00904573" w:rsidRDefault="00115E71" w:rsidP="00115E71">
      <w:pPr>
        <w:pStyle w:val="Heading3"/>
      </w:pPr>
      <w:bookmarkStart w:id="13" w:name="_Toc423964363"/>
      <w:bookmarkStart w:id="14" w:name="_Toc446411533"/>
      <w:r w:rsidRPr="00904573">
        <w:t xml:space="preserve">Does the </w:t>
      </w:r>
      <w:r w:rsidR="006A5DD5">
        <w:t>“</w:t>
      </w:r>
      <w:r w:rsidRPr="00904573">
        <w:t>new</w:t>
      </w:r>
      <w:r w:rsidR="006A5DD5">
        <w:t>”</w:t>
      </w:r>
      <w:r w:rsidR="00B376CF">
        <w:t xml:space="preserve"> definition of “D</w:t>
      </w:r>
      <w:r w:rsidRPr="00904573">
        <w:t>erivative” assist?</w:t>
      </w:r>
      <w:bookmarkEnd w:id="13"/>
      <w:bookmarkEnd w:id="14"/>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As we have seen</w:t>
      </w:r>
      <w:r w:rsidR="002D411C">
        <w:rPr>
          <w:rFonts w:ascii="Times New Roman" w:hAnsi="Times New Roman" w:cs="Times New Roman"/>
          <w:sz w:val="24"/>
          <w:szCs w:val="24"/>
        </w:rPr>
        <w:t>,</w:t>
      </w:r>
      <w:r>
        <w:rPr>
          <w:rFonts w:ascii="Times New Roman" w:hAnsi="Times New Roman" w:cs="Times New Roman"/>
          <w:sz w:val="24"/>
          <w:szCs w:val="24"/>
        </w:rPr>
        <w:t xml:space="preserve"> the Protoc</w:t>
      </w:r>
      <w:r w:rsidR="00B376CF">
        <w:rPr>
          <w:rFonts w:ascii="Times New Roman" w:hAnsi="Times New Roman" w:cs="Times New Roman"/>
          <w:sz w:val="24"/>
          <w:szCs w:val="24"/>
        </w:rPr>
        <w:t>ol introduces a definition of “D</w:t>
      </w:r>
      <w:r>
        <w:rPr>
          <w:rFonts w:ascii="Times New Roman" w:hAnsi="Times New Roman" w:cs="Times New Roman"/>
          <w:sz w:val="24"/>
          <w:szCs w:val="24"/>
        </w:rPr>
        <w:t>erivative”:</w:t>
      </w:r>
    </w:p>
    <w:p w:rsidR="00115E71" w:rsidRPr="00C57875" w:rsidRDefault="00115E71" w:rsidP="00115E71">
      <w:pPr>
        <w:spacing w:line="360" w:lineRule="auto"/>
        <w:ind w:left="720"/>
        <w:jc w:val="both"/>
        <w:rPr>
          <w:rFonts w:ascii="Times New Roman" w:hAnsi="Times New Roman" w:cs="Times New Roman"/>
          <w:i/>
          <w:sz w:val="24"/>
          <w:szCs w:val="24"/>
        </w:rPr>
      </w:pPr>
      <w:r>
        <w:rPr>
          <w:rFonts w:ascii="Times New Roman" w:hAnsi="Times New Roman" w:cs="Times New Roman"/>
          <w:sz w:val="24"/>
          <w:szCs w:val="24"/>
        </w:rPr>
        <w:lastRenderedPageBreak/>
        <w:t>“</w:t>
      </w:r>
      <w:r w:rsidRPr="00130E5A">
        <w:rPr>
          <w:rFonts w:ascii="Times New Roman" w:hAnsi="Times New Roman" w:cs="Times New Roman"/>
          <w:sz w:val="24"/>
          <w:szCs w:val="24"/>
        </w:rPr>
        <w:t>a naturally occurring biochemical compound resulting from the genetic expression or metabolism of biological or genetic resources, even if it does not contain functional units of heredity.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2"/>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In itself, the definition of “Derivative” is clear. Had it been inserted as an expansion of the definition of “genetic material” at Article 2 of the CBD it would have unambiguously expanded that term to include any protein (such as an enzyme) produced through genetic expression or any naturally occurring compound produced through enzyme</w:t>
      </w:r>
      <w:r w:rsidR="00DE71B0">
        <w:rPr>
          <w:rFonts w:ascii="Times New Roman" w:hAnsi="Times New Roman" w:cs="Times New Roman"/>
          <w:sz w:val="24"/>
          <w:szCs w:val="24"/>
        </w:rPr>
        <w:t>-</w:t>
      </w:r>
      <w:r>
        <w:rPr>
          <w:rFonts w:ascii="Times New Roman" w:hAnsi="Times New Roman" w:cs="Times New Roman"/>
          <w:sz w:val="24"/>
          <w:szCs w:val="24"/>
        </w:rPr>
        <w:t>catalysed metabolism within the organism in question. This is not, ho</w:t>
      </w:r>
      <w:r w:rsidR="00EB520C">
        <w:rPr>
          <w:rFonts w:ascii="Times New Roman" w:hAnsi="Times New Roman" w:cs="Times New Roman"/>
          <w:sz w:val="24"/>
          <w:szCs w:val="24"/>
        </w:rPr>
        <w:t>wever, how the phrase is used. I</w:t>
      </w:r>
      <w:r>
        <w:rPr>
          <w:rFonts w:ascii="Times New Roman" w:hAnsi="Times New Roman" w:cs="Times New Roman"/>
          <w:sz w:val="24"/>
          <w:szCs w:val="24"/>
        </w:rPr>
        <w:t xml:space="preserve">ndeed it is not used as a capitalised defined term </w:t>
      </w:r>
      <w:r w:rsidRPr="008E0370">
        <w:rPr>
          <w:rFonts w:ascii="Times New Roman" w:hAnsi="Times New Roman" w:cs="Times New Roman"/>
          <w:i/>
          <w:sz w:val="24"/>
          <w:szCs w:val="24"/>
        </w:rPr>
        <w:t>anywhere</w:t>
      </w:r>
      <w:r>
        <w:rPr>
          <w:rFonts w:ascii="Times New Roman" w:hAnsi="Times New Roman" w:cs="Times New Roman"/>
          <w:sz w:val="24"/>
          <w:szCs w:val="24"/>
        </w:rPr>
        <w:t xml:space="preserve"> within the Protocol.</w:t>
      </w:r>
      <w:r w:rsidR="00470D82">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Instead it is arguably used as what appears to be a clarificatory example of the term “Biotechnology”.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As we will see, the way in which “Derivative” entered into the Protocol is complex. However, if we understand the mention of “derivatives” within the Article 2 CBD (and Article 2 Protocol) definition of Biotechnology as being a reference to “Derivative” as a defined term within Article 2(e) of the Protocol, then its effect is (arguably) to amend the definition of Biochemistry to the following:</w:t>
      </w:r>
    </w:p>
    <w:p w:rsidR="00DE71B0" w:rsidRDefault="00115E71" w:rsidP="005A56D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A018A">
        <w:rPr>
          <w:rFonts w:ascii="Times New Roman" w:hAnsi="Times New Roman" w:cs="Times New Roman"/>
          <w:sz w:val="24"/>
          <w:szCs w:val="24"/>
        </w:rPr>
        <w:t xml:space="preserve">any technological application that uses biological systems, living organisms, or </w:t>
      </w:r>
      <w:r w:rsidRPr="001324D0">
        <w:rPr>
          <w:rFonts w:ascii="Times New Roman" w:hAnsi="Times New Roman" w:cs="Times New Roman"/>
          <w:b/>
          <w:sz w:val="24"/>
          <w:szCs w:val="24"/>
        </w:rPr>
        <w:t>[naturally occurring biochemical compounds resulting from the genetic expression or metabolism of biological or genetic resources, (even if they do not contain functional units of heredity</w:t>
      </w:r>
      <w:r w:rsidRPr="009A018A">
        <w:rPr>
          <w:rFonts w:ascii="Times New Roman" w:hAnsi="Times New Roman" w:cs="Times New Roman"/>
          <w:sz w:val="24"/>
          <w:szCs w:val="24"/>
        </w:rPr>
        <w:t>)</w:t>
      </w:r>
      <w:r w:rsidRPr="001324D0">
        <w:rPr>
          <w:rFonts w:ascii="Times New Roman" w:hAnsi="Times New Roman" w:cs="Times New Roman"/>
          <w:b/>
          <w:sz w:val="24"/>
          <w:szCs w:val="24"/>
        </w:rPr>
        <w:t xml:space="preserve">] </w:t>
      </w:r>
      <w:r w:rsidRPr="009A018A">
        <w:rPr>
          <w:rFonts w:ascii="Times New Roman" w:hAnsi="Times New Roman" w:cs="Times New Roman"/>
          <w:sz w:val="24"/>
          <w:szCs w:val="24"/>
        </w:rPr>
        <w:t>thereof, to make or modify products or processes for specific use</w:t>
      </w:r>
      <w:r>
        <w:rPr>
          <w:rFonts w:ascii="Times New Roman" w:hAnsi="Times New Roman" w:cs="Times New Roman"/>
          <w:sz w:val="24"/>
          <w:szCs w:val="24"/>
        </w:rPr>
        <w:t>”</w:t>
      </w:r>
      <w:r w:rsidR="001324D0">
        <w:rPr>
          <w:rFonts w:ascii="Times New Roman" w:hAnsi="Times New Roman" w:cs="Times New Roman"/>
          <w:sz w:val="24"/>
          <w:szCs w:val="24"/>
        </w:rPr>
        <w:t xml:space="preserve"> (bold text denotes substitution).</w:t>
      </w:r>
    </w:p>
    <w:p w:rsidR="00115E71" w:rsidRPr="00457477" w:rsidRDefault="000F2008"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substitution in place, i</w:t>
      </w:r>
      <w:r w:rsidR="005A56DC">
        <w:rPr>
          <w:rFonts w:ascii="Times New Roman" w:hAnsi="Times New Roman" w:cs="Times New Roman"/>
          <w:sz w:val="24"/>
          <w:szCs w:val="24"/>
        </w:rPr>
        <w:t>t is not entirely clear what work the</w:t>
      </w:r>
      <w:r w:rsidR="00115E71" w:rsidRPr="00DE71B0">
        <w:rPr>
          <w:rFonts w:ascii="Times New Roman" w:hAnsi="Times New Roman" w:cs="Times New Roman"/>
          <w:sz w:val="24"/>
          <w:szCs w:val="24"/>
        </w:rPr>
        <w:t xml:space="preserve"> “thereof” </w:t>
      </w:r>
      <w:r w:rsidR="005A56DC">
        <w:rPr>
          <w:rFonts w:ascii="Times New Roman" w:hAnsi="Times New Roman" w:cs="Times New Roman"/>
          <w:sz w:val="24"/>
          <w:szCs w:val="24"/>
        </w:rPr>
        <w:t>is performing in that sentence</w:t>
      </w:r>
      <w:r w:rsidR="007268B7">
        <w:rPr>
          <w:rFonts w:ascii="Times New Roman" w:hAnsi="Times New Roman" w:cs="Times New Roman"/>
          <w:sz w:val="24"/>
          <w:szCs w:val="24"/>
        </w:rPr>
        <w:t xml:space="preserve">. </w:t>
      </w:r>
      <w:r w:rsidR="000D7732">
        <w:rPr>
          <w:rFonts w:ascii="Times New Roman" w:hAnsi="Times New Roman" w:cs="Times New Roman"/>
          <w:sz w:val="24"/>
          <w:szCs w:val="24"/>
        </w:rPr>
        <w:t xml:space="preserve">Reference to a derivative (undefined) of </w:t>
      </w:r>
      <w:r w:rsidR="000D7732" w:rsidRPr="009A018A">
        <w:rPr>
          <w:rFonts w:ascii="Times New Roman" w:hAnsi="Times New Roman" w:cs="Times New Roman"/>
          <w:sz w:val="24"/>
          <w:szCs w:val="24"/>
        </w:rPr>
        <w:t>biological systems</w:t>
      </w:r>
      <w:r w:rsidR="000D7732">
        <w:rPr>
          <w:rFonts w:ascii="Times New Roman" w:hAnsi="Times New Roman" w:cs="Times New Roman"/>
          <w:sz w:val="24"/>
          <w:szCs w:val="24"/>
        </w:rPr>
        <w:t xml:space="preserve"> or</w:t>
      </w:r>
      <w:r w:rsidR="000D7732" w:rsidRPr="009A018A">
        <w:rPr>
          <w:rFonts w:ascii="Times New Roman" w:hAnsi="Times New Roman" w:cs="Times New Roman"/>
          <w:sz w:val="24"/>
          <w:szCs w:val="24"/>
        </w:rPr>
        <w:t xml:space="preserve"> living organisms</w:t>
      </w:r>
      <w:r w:rsidR="000D7732">
        <w:rPr>
          <w:rFonts w:ascii="Times New Roman" w:hAnsi="Times New Roman" w:cs="Times New Roman"/>
          <w:sz w:val="24"/>
          <w:szCs w:val="24"/>
        </w:rPr>
        <w:t xml:space="preserve"> suggests that the system or organism has been manipulated</w:t>
      </w:r>
      <w:r w:rsidR="0052603B">
        <w:rPr>
          <w:rFonts w:ascii="Times New Roman" w:hAnsi="Times New Roman" w:cs="Times New Roman"/>
          <w:sz w:val="24"/>
          <w:szCs w:val="24"/>
        </w:rPr>
        <w:t xml:space="preserve"> is some way. Genetic manipulation of such systems or organism</w:t>
      </w:r>
      <w:r w:rsidR="00A922FF">
        <w:rPr>
          <w:rFonts w:ascii="Times New Roman" w:hAnsi="Times New Roman" w:cs="Times New Roman"/>
          <w:sz w:val="24"/>
          <w:szCs w:val="24"/>
        </w:rPr>
        <w:t>s</w:t>
      </w:r>
      <w:r w:rsidR="0052603B">
        <w:rPr>
          <w:rFonts w:ascii="Times New Roman" w:hAnsi="Times New Roman" w:cs="Times New Roman"/>
          <w:sz w:val="24"/>
          <w:szCs w:val="24"/>
        </w:rPr>
        <w:t xml:space="preserve"> to make products or processes is, of course, “classic” biotechnology. </w:t>
      </w:r>
      <w:r w:rsidR="00A922FF">
        <w:rPr>
          <w:rFonts w:ascii="Times New Roman" w:hAnsi="Times New Roman" w:cs="Times New Roman"/>
          <w:sz w:val="24"/>
          <w:szCs w:val="24"/>
        </w:rPr>
        <w:t xml:space="preserve">Here the “thereof” seems sensible. </w:t>
      </w:r>
      <w:r w:rsidR="0052603B">
        <w:rPr>
          <w:rFonts w:ascii="Times New Roman" w:hAnsi="Times New Roman" w:cs="Times New Roman"/>
          <w:sz w:val="24"/>
          <w:szCs w:val="24"/>
        </w:rPr>
        <w:t xml:space="preserve">However, once one makes the substitution of </w:t>
      </w:r>
      <w:r>
        <w:rPr>
          <w:rFonts w:ascii="Times New Roman" w:hAnsi="Times New Roman" w:cs="Times New Roman"/>
          <w:sz w:val="24"/>
          <w:szCs w:val="24"/>
        </w:rPr>
        <w:t>“</w:t>
      </w:r>
      <w:r w:rsidR="0052603B">
        <w:rPr>
          <w:rFonts w:ascii="Times New Roman" w:hAnsi="Times New Roman" w:cs="Times New Roman"/>
          <w:sz w:val="24"/>
          <w:szCs w:val="24"/>
        </w:rPr>
        <w:t>derivative</w:t>
      </w:r>
      <w:r>
        <w:rPr>
          <w:rFonts w:ascii="Times New Roman" w:hAnsi="Times New Roman" w:cs="Times New Roman"/>
          <w:sz w:val="24"/>
          <w:szCs w:val="24"/>
        </w:rPr>
        <w:t>”</w:t>
      </w:r>
      <w:r w:rsidR="0052603B">
        <w:rPr>
          <w:rFonts w:ascii="Times New Roman" w:hAnsi="Times New Roman" w:cs="Times New Roman"/>
          <w:sz w:val="24"/>
          <w:szCs w:val="24"/>
        </w:rPr>
        <w:t xml:space="preserve"> with its </w:t>
      </w:r>
      <w:r w:rsidR="00CD3355">
        <w:rPr>
          <w:rFonts w:ascii="Times New Roman" w:hAnsi="Times New Roman" w:cs="Times New Roman"/>
          <w:sz w:val="24"/>
          <w:szCs w:val="24"/>
        </w:rPr>
        <w:t xml:space="preserve">new </w:t>
      </w:r>
      <w:r w:rsidR="0052603B">
        <w:rPr>
          <w:rFonts w:ascii="Times New Roman" w:hAnsi="Times New Roman" w:cs="Times New Roman"/>
          <w:sz w:val="24"/>
          <w:szCs w:val="24"/>
        </w:rPr>
        <w:t>definition</w:t>
      </w:r>
      <w:r w:rsidR="00CD3355">
        <w:rPr>
          <w:rFonts w:ascii="Times New Roman" w:hAnsi="Times New Roman" w:cs="Times New Roman"/>
          <w:sz w:val="24"/>
          <w:szCs w:val="24"/>
        </w:rPr>
        <w:t>,</w:t>
      </w:r>
      <w:r w:rsidR="0052603B">
        <w:rPr>
          <w:rFonts w:ascii="Times New Roman" w:hAnsi="Times New Roman" w:cs="Times New Roman"/>
          <w:sz w:val="24"/>
          <w:szCs w:val="24"/>
        </w:rPr>
        <w:t xml:space="preserve"> the presence of the “thereof” </w:t>
      </w:r>
      <w:r w:rsidR="00A922FF">
        <w:rPr>
          <w:rFonts w:ascii="Times New Roman" w:hAnsi="Times New Roman" w:cs="Times New Roman"/>
          <w:sz w:val="24"/>
          <w:szCs w:val="24"/>
        </w:rPr>
        <w:t>becomes more confusing. T</w:t>
      </w:r>
      <w:r w:rsidR="00457477">
        <w:rPr>
          <w:rFonts w:ascii="Times New Roman" w:hAnsi="Times New Roman" w:cs="Times New Roman"/>
          <w:sz w:val="24"/>
          <w:szCs w:val="24"/>
        </w:rPr>
        <w:t xml:space="preserve">he substituted definition </w:t>
      </w:r>
      <w:r w:rsidR="001D5E49">
        <w:rPr>
          <w:rFonts w:ascii="Times New Roman" w:hAnsi="Times New Roman" w:cs="Times New Roman"/>
          <w:sz w:val="24"/>
          <w:szCs w:val="24"/>
        </w:rPr>
        <w:t>makes reference to “</w:t>
      </w:r>
      <w:r w:rsidR="001D5E49" w:rsidRPr="009A018A">
        <w:rPr>
          <w:rFonts w:ascii="Times New Roman" w:hAnsi="Times New Roman" w:cs="Times New Roman"/>
          <w:sz w:val="24"/>
          <w:szCs w:val="24"/>
        </w:rPr>
        <w:t xml:space="preserve">genetic expression or </w:t>
      </w:r>
      <w:r w:rsidR="001D5E49" w:rsidRPr="009A018A">
        <w:rPr>
          <w:rFonts w:ascii="Times New Roman" w:hAnsi="Times New Roman" w:cs="Times New Roman"/>
          <w:sz w:val="24"/>
          <w:szCs w:val="24"/>
        </w:rPr>
        <w:lastRenderedPageBreak/>
        <w:t>metabolism of biological or genetic resources</w:t>
      </w:r>
      <w:r w:rsidR="001D5E49">
        <w:rPr>
          <w:rFonts w:ascii="Times New Roman" w:hAnsi="Times New Roman" w:cs="Times New Roman"/>
          <w:sz w:val="24"/>
          <w:szCs w:val="24"/>
        </w:rPr>
        <w:t>” so why does that need to further particularised to be “of” biological systems or “of” living organisms? Such further particularisation is arguably otiose. It certainly does not enhance clarity.</w:t>
      </w:r>
      <w:r>
        <w:rPr>
          <w:rFonts w:ascii="Times New Roman" w:hAnsi="Times New Roman" w:cs="Times New Roman"/>
          <w:sz w:val="24"/>
          <w:szCs w:val="24"/>
        </w:rPr>
        <w:t xml:space="preserve"> One might charitably conclude that the presence of the “thereof” is </w:t>
      </w:r>
      <w:r w:rsidRPr="00DE71B0">
        <w:rPr>
          <w:rFonts w:ascii="Times New Roman" w:hAnsi="Times New Roman" w:cs="Times New Roman"/>
          <w:sz w:val="24"/>
          <w:szCs w:val="24"/>
        </w:rPr>
        <w:t xml:space="preserve">vestigial </w:t>
      </w:r>
      <w:r>
        <w:rPr>
          <w:rFonts w:ascii="Times New Roman" w:hAnsi="Times New Roman" w:cs="Times New Roman"/>
          <w:sz w:val="24"/>
          <w:szCs w:val="24"/>
        </w:rPr>
        <w:t xml:space="preserve">- </w:t>
      </w:r>
      <w:r w:rsidRPr="00DE71B0">
        <w:rPr>
          <w:rFonts w:ascii="Times New Roman" w:hAnsi="Times New Roman" w:cs="Times New Roman"/>
          <w:sz w:val="24"/>
          <w:szCs w:val="24"/>
        </w:rPr>
        <w:t>having been left behind during a rushed negotiation</w:t>
      </w:r>
      <w:r>
        <w:rPr>
          <w:rFonts w:ascii="Times New Roman" w:hAnsi="Times New Roman" w:cs="Times New Roman"/>
          <w:sz w:val="24"/>
          <w:szCs w:val="24"/>
        </w:rPr>
        <w:t>. As will be discussed below, the reality is more complex.</w:t>
      </w:r>
    </w:p>
    <w:p w:rsidR="00115E71" w:rsidRDefault="0052603B"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1D5E49" w:rsidRPr="001D5E49">
        <w:rPr>
          <w:rFonts w:ascii="Times New Roman" w:hAnsi="Times New Roman" w:cs="Times New Roman"/>
          <w:sz w:val="24"/>
          <w:szCs w:val="24"/>
        </w:rPr>
        <w:t>ith</w:t>
      </w:r>
      <w:r>
        <w:rPr>
          <w:rFonts w:ascii="Times New Roman" w:hAnsi="Times New Roman" w:cs="Times New Roman"/>
          <w:sz w:val="24"/>
          <w:szCs w:val="24"/>
        </w:rPr>
        <w:t xml:space="preserve"> or without </w:t>
      </w:r>
      <w:r w:rsidR="001D5E49" w:rsidRPr="001D5E49">
        <w:rPr>
          <w:rFonts w:ascii="Times New Roman" w:hAnsi="Times New Roman" w:cs="Times New Roman"/>
          <w:sz w:val="24"/>
          <w:szCs w:val="24"/>
        </w:rPr>
        <w:t xml:space="preserve">the “thereof”, </w:t>
      </w:r>
      <w:r w:rsidR="001324D0">
        <w:rPr>
          <w:rFonts w:ascii="Times New Roman" w:hAnsi="Times New Roman" w:cs="Times New Roman"/>
          <w:sz w:val="24"/>
          <w:szCs w:val="24"/>
        </w:rPr>
        <w:t>one might argue that what is being</w:t>
      </w:r>
      <w:r w:rsidR="00115E71" w:rsidRPr="001D5E49">
        <w:rPr>
          <w:rFonts w:ascii="Times New Roman" w:hAnsi="Times New Roman" w:cs="Times New Roman"/>
          <w:sz w:val="24"/>
          <w:szCs w:val="24"/>
        </w:rPr>
        <w:t xml:space="preserve"> described is the use of a “naturally occurring biochemical compound resulting from the genetic expression or metabolism of biological or genetic resources”</w:t>
      </w:r>
      <w:r w:rsidR="00115E71" w:rsidRPr="001D5E49">
        <w:rPr>
          <w:rFonts w:ascii="Times New Roman" w:hAnsi="Times New Roman" w:cs="Times New Roman"/>
          <w:i/>
          <w:sz w:val="24"/>
          <w:szCs w:val="24"/>
        </w:rPr>
        <w:t xml:space="preserve"> </w:t>
      </w:r>
      <w:r w:rsidR="00115E71" w:rsidRPr="001D5E49">
        <w:rPr>
          <w:rFonts w:ascii="Times New Roman" w:hAnsi="Times New Roman" w:cs="Times New Roman"/>
          <w:sz w:val="24"/>
          <w:szCs w:val="24"/>
        </w:rPr>
        <w:t xml:space="preserve">within a technical application used in research upon genetic resources. This interpretation is </w:t>
      </w:r>
      <w:r w:rsidR="001324D0">
        <w:rPr>
          <w:rFonts w:ascii="Times New Roman" w:hAnsi="Times New Roman" w:cs="Times New Roman"/>
          <w:sz w:val="24"/>
          <w:szCs w:val="24"/>
        </w:rPr>
        <w:t>incomplete</w:t>
      </w:r>
      <w:r>
        <w:rPr>
          <w:rFonts w:ascii="Times New Roman" w:hAnsi="Times New Roman" w:cs="Times New Roman"/>
          <w:sz w:val="24"/>
          <w:szCs w:val="24"/>
        </w:rPr>
        <w:t xml:space="preserve"> </w:t>
      </w:r>
      <w:r w:rsidR="00115E71" w:rsidRPr="001D5E49">
        <w:rPr>
          <w:rFonts w:ascii="Times New Roman" w:hAnsi="Times New Roman" w:cs="Times New Roman"/>
          <w:sz w:val="24"/>
          <w:szCs w:val="24"/>
        </w:rPr>
        <w:t xml:space="preserve">- as we saw above, the underlying constant of Biotechnology is that it is a </w:t>
      </w:r>
      <w:r w:rsidR="00115E71" w:rsidRPr="001D5E49">
        <w:rPr>
          <w:rFonts w:ascii="Times New Roman" w:hAnsi="Times New Roman" w:cs="Times New Roman"/>
          <w:i/>
          <w:sz w:val="24"/>
          <w:szCs w:val="24"/>
        </w:rPr>
        <w:t>process</w:t>
      </w:r>
      <w:r w:rsidR="00115E71" w:rsidRPr="001D5E49">
        <w:rPr>
          <w:rFonts w:ascii="Times New Roman" w:hAnsi="Times New Roman" w:cs="Times New Roman"/>
          <w:sz w:val="24"/>
          <w:szCs w:val="24"/>
        </w:rPr>
        <w:t xml:space="preserve"> for producing product and this requirement is still present within the definition. However, putting that requirement to one side for the moment, we need to recognise that the application of a “naturally occurring biochemical compound” </w:t>
      </w:r>
      <w:r w:rsidR="001324D0">
        <w:rPr>
          <w:rFonts w:ascii="Times New Roman" w:hAnsi="Times New Roman" w:cs="Times New Roman"/>
          <w:sz w:val="24"/>
          <w:szCs w:val="24"/>
        </w:rPr>
        <w:t xml:space="preserve">here </w:t>
      </w:r>
      <w:r w:rsidR="00115E71" w:rsidRPr="001D5E49">
        <w:rPr>
          <w:rFonts w:ascii="Times New Roman" w:hAnsi="Times New Roman" w:cs="Times New Roman"/>
          <w:sz w:val="24"/>
          <w:szCs w:val="24"/>
        </w:rPr>
        <w:t xml:space="preserve">is a description of the </w:t>
      </w:r>
      <w:r w:rsidR="00115E71" w:rsidRPr="001D5E49">
        <w:rPr>
          <w:rFonts w:ascii="Times New Roman" w:hAnsi="Times New Roman" w:cs="Times New Roman"/>
          <w:i/>
          <w:sz w:val="24"/>
          <w:szCs w:val="24"/>
        </w:rPr>
        <w:t>actor</w:t>
      </w:r>
      <w:r w:rsidR="00115E71" w:rsidRPr="001D5E49">
        <w:rPr>
          <w:rFonts w:ascii="Times New Roman" w:hAnsi="Times New Roman" w:cs="Times New Roman"/>
          <w:sz w:val="24"/>
          <w:szCs w:val="24"/>
        </w:rPr>
        <w:t xml:space="preserve"> upon a </w:t>
      </w:r>
      <w:r w:rsidR="00115E71" w:rsidRPr="001D5E49">
        <w:rPr>
          <w:rFonts w:ascii="Times New Roman" w:hAnsi="Times New Roman" w:cs="Times New Roman"/>
          <w:i/>
          <w:sz w:val="24"/>
          <w:szCs w:val="24"/>
        </w:rPr>
        <w:t>subject</w:t>
      </w:r>
      <w:r w:rsidR="00115E71" w:rsidRPr="001D5E49">
        <w:rPr>
          <w:rFonts w:ascii="Times New Roman" w:hAnsi="Times New Roman" w:cs="Times New Roman"/>
          <w:sz w:val="24"/>
          <w:szCs w:val="24"/>
        </w:rPr>
        <w:t xml:space="preserve">, rather than a description of the </w:t>
      </w:r>
      <w:r w:rsidR="00115E71" w:rsidRPr="00A922FF">
        <w:rPr>
          <w:rFonts w:ascii="Times New Roman" w:hAnsi="Times New Roman" w:cs="Times New Roman"/>
          <w:i/>
          <w:sz w:val="24"/>
          <w:szCs w:val="24"/>
        </w:rPr>
        <w:t>subject itself.</w:t>
      </w:r>
      <w:r w:rsidR="00115E71">
        <w:rPr>
          <w:rFonts w:ascii="Times New Roman" w:hAnsi="Times New Roman" w:cs="Times New Roman"/>
          <w:sz w:val="24"/>
          <w:szCs w:val="24"/>
        </w:rPr>
        <w:t xml:space="preserve"> </w:t>
      </w:r>
    </w:p>
    <w:p w:rsidR="00115E71" w:rsidRPr="00436C2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A922FF">
        <w:rPr>
          <w:rFonts w:ascii="Times New Roman" w:hAnsi="Times New Roman" w:cs="Times New Roman"/>
          <w:sz w:val="24"/>
          <w:szCs w:val="24"/>
        </w:rPr>
        <w:t xml:space="preserve">this use as a </w:t>
      </w:r>
      <w:r w:rsidR="00A922FF" w:rsidRPr="00CD3355">
        <w:rPr>
          <w:rFonts w:ascii="Times New Roman" w:hAnsi="Times New Roman" w:cs="Times New Roman"/>
          <w:i/>
          <w:sz w:val="24"/>
          <w:szCs w:val="24"/>
        </w:rPr>
        <w:t>tool</w:t>
      </w:r>
      <w:r w:rsidR="00A922FF">
        <w:rPr>
          <w:rFonts w:ascii="Times New Roman" w:hAnsi="Times New Roman" w:cs="Times New Roman"/>
          <w:sz w:val="24"/>
          <w:szCs w:val="24"/>
        </w:rPr>
        <w:t xml:space="preserve"> </w:t>
      </w:r>
      <w:r>
        <w:rPr>
          <w:rFonts w:ascii="Times New Roman" w:hAnsi="Times New Roman" w:cs="Times New Roman"/>
          <w:sz w:val="24"/>
          <w:szCs w:val="24"/>
        </w:rPr>
        <w:t>was the intention of the negotiators of the Protocol</w:t>
      </w:r>
      <w:r w:rsidR="006A5DD5">
        <w:rPr>
          <w:rFonts w:ascii="Times New Roman" w:hAnsi="Times New Roman" w:cs="Times New Roman"/>
          <w:sz w:val="24"/>
          <w:szCs w:val="24"/>
        </w:rPr>
        <w:t>,</w:t>
      </w:r>
      <w:r>
        <w:rPr>
          <w:rFonts w:ascii="Times New Roman" w:hAnsi="Times New Roman" w:cs="Times New Roman"/>
          <w:sz w:val="24"/>
          <w:szCs w:val="24"/>
        </w:rPr>
        <w:t xml:space="preserve"> then the definition of “Derivative”, and where it is inserted</w:t>
      </w:r>
      <w:r w:rsidR="006A5DD5">
        <w:rPr>
          <w:rFonts w:ascii="Times New Roman" w:hAnsi="Times New Roman" w:cs="Times New Roman"/>
          <w:sz w:val="24"/>
          <w:szCs w:val="24"/>
        </w:rPr>
        <w:t>,</w:t>
      </w:r>
      <w:r>
        <w:rPr>
          <w:rFonts w:ascii="Times New Roman" w:hAnsi="Times New Roman" w:cs="Times New Roman"/>
          <w:sz w:val="24"/>
          <w:szCs w:val="24"/>
        </w:rPr>
        <w:t xml:space="preserve"> works relatively clearly. There are, indeed, very many such </w:t>
      </w:r>
      <w:r w:rsidRPr="003114AC">
        <w:rPr>
          <w:rFonts w:ascii="Times New Roman" w:hAnsi="Times New Roman" w:cs="Times New Roman"/>
          <w:sz w:val="24"/>
          <w:szCs w:val="24"/>
        </w:rPr>
        <w:t>“naturally occurring biochemical compound</w:t>
      </w:r>
      <w:r>
        <w:rPr>
          <w:rFonts w:ascii="Times New Roman" w:hAnsi="Times New Roman" w:cs="Times New Roman"/>
          <w:sz w:val="24"/>
          <w:szCs w:val="24"/>
        </w:rPr>
        <w:t>s</w:t>
      </w:r>
      <w:r w:rsidRPr="003114AC">
        <w:rPr>
          <w:rFonts w:ascii="Times New Roman" w:hAnsi="Times New Roman" w:cs="Times New Roman"/>
          <w:sz w:val="24"/>
          <w:szCs w:val="24"/>
        </w:rPr>
        <w:t xml:space="preserve"> resulting from the genetic expression or metabolism of biological or genetic resources”</w:t>
      </w:r>
      <w:r>
        <w:rPr>
          <w:rFonts w:ascii="Times New Roman" w:hAnsi="Times New Roman" w:cs="Times New Roman"/>
          <w:sz w:val="24"/>
          <w:szCs w:val="24"/>
        </w:rPr>
        <w:t xml:space="preserve"> which are used </w:t>
      </w:r>
      <w:r w:rsidR="00A922FF">
        <w:rPr>
          <w:rFonts w:ascii="Times New Roman" w:hAnsi="Times New Roman" w:cs="Times New Roman"/>
          <w:sz w:val="24"/>
          <w:szCs w:val="24"/>
        </w:rPr>
        <w:t xml:space="preserve">as tools </w:t>
      </w:r>
      <w:r>
        <w:rPr>
          <w:rFonts w:ascii="Times New Roman" w:hAnsi="Times New Roman" w:cs="Times New Roman"/>
          <w:sz w:val="24"/>
          <w:szCs w:val="24"/>
        </w:rPr>
        <w:t>in the conduct of research upon the “</w:t>
      </w:r>
      <w:r w:rsidRPr="00436C21">
        <w:rPr>
          <w:rFonts w:ascii="Times New Roman" w:hAnsi="Times New Roman" w:cs="Times New Roman"/>
          <w:sz w:val="24"/>
          <w:szCs w:val="24"/>
        </w:rPr>
        <w:t>genetic and/or biochemical composition of genetic resources</w:t>
      </w:r>
      <w:r>
        <w:rPr>
          <w:rFonts w:ascii="Times New Roman" w:hAnsi="Times New Roman" w:cs="Times New Roman"/>
          <w:sz w:val="24"/>
          <w:szCs w:val="24"/>
        </w:rPr>
        <w:t xml:space="preserve">”. There does not appear </w:t>
      </w:r>
      <w:r w:rsidR="00A922FF">
        <w:rPr>
          <w:rFonts w:ascii="Times New Roman" w:hAnsi="Times New Roman" w:cs="Times New Roman"/>
          <w:sz w:val="24"/>
          <w:szCs w:val="24"/>
        </w:rPr>
        <w:t xml:space="preserve">in these definitions </w:t>
      </w:r>
      <w:r>
        <w:rPr>
          <w:rFonts w:ascii="Times New Roman" w:hAnsi="Times New Roman" w:cs="Times New Roman"/>
          <w:sz w:val="24"/>
          <w:szCs w:val="24"/>
        </w:rPr>
        <w:t xml:space="preserve">to be a requirement that the genetic resources from which the tool is taken has to be the </w:t>
      </w:r>
      <w:r w:rsidRPr="00A922FF">
        <w:rPr>
          <w:rFonts w:ascii="Times New Roman" w:hAnsi="Times New Roman" w:cs="Times New Roman"/>
          <w:i/>
          <w:sz w:val="24"/>
          <w:szCs w:val="24"/>
        </w:rPr>
        <w:t>same</w:t>
      </w:r>
      <w:r>
        <w:rPr>
          <w:rFonts w:ascii="Times New Roman" w:hAnsi="Times New Roman" w:cs="Times New Roman"/>
          <w:sz w:val="24"/>
          <w:szCs w:val="24"/>
        </w:rPr>
        <w:t xml:space="preserve"> genetic resource upon which the tool is being used. As such, the definition would include the use of DNA probes taken from other organisms, dyes and stains derived from plants, animals, fungi and microbes, inhibitors of intracellular metabolism, and ligands at intracellular or extracellular receptors. Nor is there, of course, any restriction on using a tool obtained from one organism (“genetic resource”) upon the </w:t>
      </w:r>
      <w:r w:rsidRPr="00436C21">
        <w:rPr>
          <w:rFonts w:ascii="Times New Roman" w:hAnsi="Times New Roman" w:cs="Times New Roman"/>
          <w:sz w:val="24"/>
          <w:szCs w:val="24"/>
        </w:rPr>
        <w:t xml:space="preserve">biochemical composition of </w:t>
      </w:r>
      <w:r w:rsidRPr="00A922FF">
        <w:rPr>
          <w:rFonts w:ascii="Times New Roman" w:hAnsi="Times New Roman" w:cs="Times New Roman"/>
          <w:i/>
          <w:sz w:val="24"/>
          <w:szCs w:val="24"/>
        </w:rPr>
        <w:t>the same</w:t>
      </w:r>
      <w:r>
        <w:rPr>
          <w:rFonts w:ascii="Times New Roman" w:hAnsi="Times New Roman" w:cs="Times New Roman"/>
          <w:sz w:val="24"/>
          <w:szCs w:val="24"/>
        </w:rPr>
        <w:t xml:space="preserve"> genetic resource – one might imagine here the </w:t>
      </w:r>
      <w:r w:rsidR="00B81830">
        <w:rPr>
          <w:rFonts w:ascii="Times New Roman" w:hAnsi="Times New Roman" w:cs="Times New Roman"/>
          <w:sz w:val="24"/>
          <w:szCs w:val="24"/>
        </w:rPr>
        <w:t xml:space="preserve">(admittedly narrow) </w:t>
      </w:r>
      <w:r>
        <w:rPr>
          <w:rFonts w:ascii="Times New Roman" w:hAnsi="Times New Roman" w:cs="Times New Roman"/>
          <w:sz w:val="24"/>
          <w:szCs w:val="24"/>
        </w:rPr>
        <w:t>use o</w:t>
      </w:r>
      <w:r w:rsidR="00F37409">
        <w:rPr>
          <w:rFonts w:ascii="Times New Roman" w:hAnsi="Times New Roman" w:cs="Times New Roman"/>
          <w:sz w:val="24"/>
          <w:szCs w:val="24"/>
        </w:rPr>
        <w:t>f tetrodotoxin obtained from a</w:t>
      </w:r>
      <w:r>
        <w:rPr>
          <w:rFonts w:ascii="Times New Roman" w:hAnsi="Times New Roman" w:cs="Times New Roman"/>
          <w:sz w:val="24"/>
          <w:szCs w:val="24"/>
        </w:rPr>
        <w:t xml:space="preserve"> </w:t>
      </w:r>
      <w:r w:rsidR="00B81830" w:rsidRPr="00B81830">
        <w:rPr>
          <w:rFonts w:ascii="Times New Roman" w:hAnsi="Times New Roman" w:cs="Times New Roman"/>
          <w:i/>
          <w:sz w:val="24"/>
          <w:szCs w:val="24"/>
        </w:rPr>
        <w:t xml:space="preserve">Tetraodontidae </w:t>
      </w:r>
      <w:r>
        <w:rPr>
          <w:rFonts w:ascii="Times New Roman" w:hAnsi="Times New Roman" w:cs="Times New Roman"/>
          <w:sz w:val="24"/>
          <w:szCs w:val="24"/>
        </w:rPr>
        <w:t>puffer fish to examine voltage-gated sodium channels in the same species of puffer fish.</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p>
    <w:p w:rsidR="00C41B5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Although the definition of “</w:t>
      </w:r>
      <w:r w:rsidR="00A922FF">
        <w:rPr>
          <w:rFonts w:ascii="Times New Roman" w:hAnsi="Times New Roman" w:cs="Times New Roman"/>
          <w:sz w:val="24"/>
          <w:szCs w:val="24"/>
        </w:rPr>
        <w:t>D</w:t>
      </w:r>
      <w:r>
        <w:rPr>
          <w:rFonts w:ascii="Times New Roman" w:hAnsi="Times New Roman" w:cs="Times New Roman"/>
          <w:sz w:val="24"/>
          <w:szCs w:val="24"/>
        </w:rPr>
        <w:t xml:space="preserve">erivative” </w:t>
      </w:r>
      <w:r w:rsidR="00C41B51">
        <w:rPr>
          <w:rFonts w:ascii="Times New Roman" w:hAnsi="Times New Roman" w:cs="Times New Roman"/>
          <w:sz w:val="24"/>
          <w:szCs w:val="24"/>
        </w:rPr>
        <w:t xml:space="preserve">as a tool </w:t>
      </w:r>
      <w:r>
        <w:rPr>
          <w:rFonts w:ascii="Times New Roman" w:hAnsi="Times New Roman" w:cs="Times New Roman"/>
          <w:sz w:val="24"/>
          <w:szCs w:val="24"/>
        </w:rPr>
        <w:t xml:space="preserve">clearly works in this (limited) way, it hardly seems a necessary clarification, given that the use of such compounds have long been a </w:t>
      </w:r>
      <w:r>
        <w:rPr>
          <w:rFonts w:ascii="Times New Roman" w:hAnsi="Times New Roman" w:cs="Times New Roman"/>
          <w:sz w:val="24"/>
          <w:szCs w:val="24"/>
        </w:rPr>
        <w:lastRenderedPageBreak/>
        <w:t>mainstay of biological research techniques.</w:t>
      </w:r>
      <w:r w:rsidR="002D411C">
        <w:rPr>
          <w:rFonts w:ascii="Times New Roman" w:hAnsi="Times New Roman" w:cs="Times New Roman"/>
          <w:sz w:val="24"/>
          <w:szCs w:val="24"/>
        </w:rPr>
        <w:t xml:space="preserve"> </w:t>
      </w:r>
      <w:r>
        <w:rPr>
          <w:rFonts w:ascii="Times New Roman" w:hAnsi="Times New Roman" w:cs="Times New Roman"/>
          <w:sz w:val="24"/>
          <w:szCs w:val="24"/>
        </w:rPr>
        <w:t xml:space="preserve">In addition, such </w:t>
      </w:r>
      <w:r w:rsidR="00682231">
        <w:rPr>
          <w:rFonts w:ascii="Times New Roman" w:hAnsi="Times New Roman" w:cs="Times New Roman"/>
          <w:sz w:val="24"/>
          <w:szCs w:val="24"/>
        </w:rPr>
        <w:t>a</w:t>
      </w:r>
      <w:r>
        <w:rPr>
          <w:rFonts w:ascii="Times New Roman" w:hAnsi="Times New Roman" w:cs="Times New Roman"/>
          <w:sz w:val="24"/>
          <w:szCs w:val="24"/>
        </w:rPr>
        <w:t xml:space="preserve"> </w:t>
      </w:r>
      <w:r w:rsidR="00C41B51">
        <w:rPr>
          <w:rFonts w:ascii="Times New Roman" w:hAnsi="Times New Roman" w:cs="Times New Roman"/>
          <w:sz w:val="24"/>
          <w:szCs w:val="24"/>
        </w:rPr>
        <w:t xml:space="preserve">detailed </w:t>
      </w:r>
      <w:r>
        <w:rPr>
          <w:rFonts w:ascii="Times New Roman" w:hAnsi="Times New Roman" w:cs="Times New Roman"/>
          <w:sz w:val="24"/>
          <w:szCs w:val="24"/>
        </w:rPr>
        <w:t xml:space="preserve">explanation hardly seems “in character” given the other, rather sparse, definitions provided within the CBD and Protocol.  </w:t>
      </w:r>
    </w:p>
    <w:p w:rsidR="007D6A5B"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also have the remaining problem that </w:t>
      </w:r>
      <w:r w:rsidR="00C41B51">
        <w:rPr>
          <w:rFonts w:ascii="Times New Roman" w:hAnsi="Times New Roman" w:cs="Times New Roman"/>
          <w:sz w:val="24"/>
          <w:szCs w:val="24"/>
        </w:rPr>
        <w:t xml:space="preserve">in the definition of Biotechnology </w:t>
      </w:r>
      <w:r>
        <w:rPr>
          <w:rFonts w:ascii="Times New Roman" w:hAnsi="Times New Roman" w:cs="Times New Roman"/>
          <w:sz w:val="24"/>
          <w:szCs w:val="24"/>
        </w:rPr>
        <w:t>the application using the “</w:t>
      </w:r>
      <w:r w:rsidRPr="003114AC">
        <w:rPr>
          <w:rFonts w:ascii="Times New Roman" w:hAnsi="Times New Roman" w:cs="Times New Roman"/>
          <w:sz w:val="24"/>
          <w:szCs w:val="24"/>
        </w:rPr>
        <w:t>naturally occurring biochemical compound</w:t>
      </w:r>
      <w:r>
        <w:rPr>
          <w:rFonts w:ascii="Times New Roman" w:hAnsi="Times New Roman" w:cs="Times New Roman"/>
          <w:sz w:val="24"/>
          <w:szCs w:val="24"/>
        </w:rPr>
        <w:t xml:space="preserve">” should </w:t>
      </w:r>
      <w:r w:rsidR="00C41B51">
        <w:rPr>
          <w:rFonts w:ascii="Times New Roman" w:hAnsi="Times New Roman" w:cs="Times New Roman"/>
          <w:sz w:val="24"/>
          <w:szCs w:val="24"/>
        </w:rPr>
        <w:t>“</w:t>
      </w:r>
      <w:r w:rsidR="00C41B51" w:rsidRPr="009A018A">
        <w:rPr>
          <w:rFonts w:ascii="Times New Roman" w:hAnsi="Times New Roman" w:cs="Times New Roman"/>
          <w:sz w:val="24"/>
          <w:szCs w:val="24"/>
        </w:rPr>
        <w:t>make or modify products or processes for specific use</w:t>
      </w:r>
      <w:r w:rsidR="00C41B51">
        <w:rPr>
          <w:rFonts w:ascii="Times New Roman" w:hAnsi="Times New Roman" w:cs="Times New Roman"/>
          <w:sz w:val="24"/>
          <w:szCs w:val="24"/>
        </w:rPr>
        <w:t xml:space="preserve">” </w:t>
      </w:r>
      <w:r>
        <w:rPr>
          <w:rFonts w:ascii="Times New Roman" w:hAnsi="Times New Roman" w:cs="Times New Roman"/>
          <w:sz w:val="24"/>
          <w:szCs w:val="24"/>
        </w:rPr>
        <w:t>which is clearly not the case with all biological research tools. So</w:t>
      </w:r>
      <w:r w:rsidR="001324D0">
        <w:rPr>
          <w:rFonts w:ascii="Times New Roman" w:hAnsi="Times New Roman" w:cs="Times New Roman"/>
          <w:sz w:val="24"/>
          <w:szCs w:val="24"/>
        </w:rPr>
        <w:t>,</w:t>
      </w:r>
      <w:r>
        <w:rPr>
          <w:rFonts w:ascii="Times New Roman" w:hAnsi="Times New Roman" w:cs="Times New Roman"/>
          <w:sz w:val="24"/>
          <w:szCs w:val="24"/>
        </w:rPr>
        <w:t xml:space="preserve"> wh</w:t>
      </w:r>
      <w:r w:rsidR="001324D0">
        <w:rPr>
          <w:rFonts w:ascii="Times New Roman" w:hAnsi="Times New Roman" w:cs="Times New Roman"/>
          <w:sz w:val="24"/>
          <w:szCs w:val="24"/>
        </w:rPr>
        <w:t>at</w:t>
      </w:r>
      <w:r>
        <w:rPr>
          <w:rFonts w:ascii="Times New Roman" w:hAnsi="Times New Roman" w:cs="Times New Roman"/>
          <w:sz w:val="24"/>
          <w:szCs w:val="24"/>
        </w:rPr>
        <w:t xml:space="preserve"> </w:t>
      </w:r>
      <w:r w:rsidR="00EB520C">
        <w:rPr>
          <w:rFonts w:ascii="Times New Roman" w:hAnsi="Times New Roman" w:cs="Times New Roman"/>
          <w:sz w:val="24"/>
          <w:szCs w:val="24"/>
        </w:rPr>
        <w:t xml:space="preserve">then </w:t>
      </w:r>
      <w:r>
        <w:rPr>
          <w:rFonts w:ascii="Times New Roman" w:hAnsi="Times New Roman" w:cs="Times New Roman"/>
          <w:sz w:val="24"/>
          <w:szCs w:val="24"/>
        </w:rPr>
        <w:t>is th</w:t>
      </w:r>
      <w:r w:rsidR="001324D0">
        <w:rPr>
          <w:rFonts w:ascii="Times New Roman" w:hAnsi="Times New Roman" w:cs="Times New Roman"/>
          <w:sz w:val="24"/>
          <w:szCs w:val="24"/>
        </w:rPr>
        <w:t>e purpose of the</w:t>
      </w:r>
      <w:r>
        <w:rPr>
          <w:rFonts w:ascii="Times New Roman" w:hAnsi="Times New Roman" w:cs="Times New Roman"/>
          <w:sz w:val="24"/>
          <w:szCs w:val="24"/>
        </w:rPr>
        <w:t xml:space="preserve"> expanded definition of “Derivative”?</w:t>
      </w:r>
    </w:p>
    <w:p w:rsidR="00115E71" w:rsidRPr="007D6A5B" w:rsidRDefault="001324D0" w:rsidP="00115E71">
      <w:pPr>
        <w:spacing w:line="360" w:lineRule="auto"/>
        <w:jc w:val="both"/>
        <w:rPr>
          <w:rFonts w:ascii="Times New Roman" w:hAnsi="Times New Roman" w:cs="Times New Roman"/>
          <w:b/>
          <w:sz w:val="24"/>
          <w:szCs w:val="24"/>
        </w:rPr>
      </w:pPr>
      <w:r w:rsidRPr="001324D0">
        <w:rPr>
          <w:rFonts w:ascii="Times New Roman" w:hAnsi="Times New Roman" w:cs="Times New Roman"/>
          <w:b/>
          <w:sz w:val="24"/>
          <w:szCs w:val="24"/>
        </w:rPr>
        <w:t>What is the purpose of the expanded definition of “Derivative”?</w:t>
      </w:r>
      <w:r w:rsidR="00115E71" w:rsidRPr="007D6A5B">
        <w:rPr>
          <w:rFonts w:ascii="Times New Roman" w:hAnsi="Times New Roman" w:cs="Times New Roman"/>
          <w:b/>
          <w:sz w:val="24"/>
          <w:szCs w:val="24"/>
        </w:rPr>
        <w:t xml:space="preserve"> </w:t>
      </w:r>
    </w:p>
    <w:p w:rsidR="00641052" w:rsidRDefault="00847017"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the negotiation of the Protocol</w:t>
      </w:r>
      <w:r w:rsidR="00641052">
        <w:rPr>
          <w:rFonts w:ascii="Times New Roman" w:hAnsi="Times New Roman" w:cs="Times New Roman"/>
          <w:sz w:val="24"/>
          <w:szCs w:val="24"/>
        </w:rPr>
        <w:t>,</w:t>
      </w:r>
      <w:r>
        <w:rPr>
          <w:rFonts w:ascii="Times New Roman" w:hAnsi="Times New Roman" w:cs="Times New Roman"/>
          <w:sz w:val="24"/>
          <w:szCs w:val="24"/>
        </w:rPr>
        <w:t xml:space="preserve"> </w:t>
      </w:r>
      <w:r w:rsidR="00115E71">
        <w:rPr>
          <w:rFonts w:ascii="Times New Roman" w:hAnsi="Times New Roman" w:cs="Times New Roman"/>
          <w:sz w:val="24"/>
          <w:szCs w:val="24"/>
        </w:rPr>
        <w:t xml:space="preserve">developing nations sought to ensure that the Protocol included specific reference to </w:t>
      </w:r>
      <w:r w:rsidR="001324D0">
        <w:rPr>
          <w:rFonts w:ascii="Times New Roman" w:hAnsi="Times New Roman" w:cs="Times New Roman"/>
          <w:sz w:val="24"/>
          <w:szCs w:val="24"/>
        </w:rPr>
        <w:t>“</w:t>
      </w:r>
      <w:r w:rsidR="00115E71">
        <w:rPr>
          <w:rFonts w:ascii="Times New Roman" w:hAnsi="Times New Roman" w:cs="Times New Roman"/>
          <w:sz w:val="24"/>
          <w:szCs w:val="24"/>
        </w:rPr>
        <w:t>derivatives</w:t>
      </w:r>
      <w:r w:rsidR="001324D0">
        <w:rPr>
          <w:rFonts w:ascii="Times New Roman" w:hAnsi="Times New Roman" w:cs="Times New Roman"/>
          <w:sz w:val="24"/>
          <w:szCs w:val="24"/>
        </w:rPr>
        <w:t>”</w:t>
      </w:r>
      <w:r w:rsidR="00115E71">
        <w:rPr>
          <w:rFonts w:ascii="Times New Roman" w:hAnsi="Times New Roman" w:cs="Times New Roman"/>
          <w:sz w:val="24"/>
          <w:szCs w:val="24"/>
        </w:rPr>
        <w:t>, arguing that this is where the main interest of modern biological research lies.</w:t>
      </w:r>
      <w:r w:rsidRPr="008347AC">
        <w:rPr>
          <w:rStyle w:val="FootnoteReference"/>
        </w:rPr>
        <w:footnoteReference w:id="65"/>
      </w:r>
      <w:r w:rsidRPr="008347AC">
        <w:rPr>
          <w:rFonts w:ascii="Times New Roman" w:hAnsi="Times New Roman" w:cs="Times New Roman"/>
          <w:sz w:val="24"/>
          <w:szCs w:val="24"/>
        </w:rPr>
        <w:t xml:space="preserve"> </w:t>
      </w:r>
      <w:r w:rsidR="00115E71">
        <w:rPr>
          <w:rFonts w:ascii="Times New Roman" w:hAnsi="Times New Roman" w:cs="Times New Roman"/>
          <w:sz w:val="24"/>
          <w:szCs w:val="24"/>
        </w:rPr>
        <w:t xml:space="preserve"> In contrast, </w:t>
      </w:r>
      <w:r w:rsidR="007D6A5B">
        <w:rPr>
          <w:rFonts w:ascii="Times New Roman" w:hAnsi="Times New Roman" w:cs="Times New Roman"/>
          <w:sz w:val="24"/>
          <w:szCs w:val="24"/>
        </w:rPr>
        <w:t xml:space="preserve">(perhaps for the same reason) </w:t>
      </w:r>
      <w:r w:rsidR="00115E71">
        <w:rPr>
          <w:rFonts w:ascii="Times New Roman" w:hAnsi="Times New Roman" w:cs="Times New Roman"/>
          <w:sz w:val="24"/>
          <w:szCs w:val="24"/>
        </w:rPr>
        <w:t xml:space="preserve">some developed nations sought to ensure that the provisions of the Protocol merely applied to </w:t>
      </w:r>
      <w:r w:rsidR="00115E71" w:rsidRPr="009A018A">
        <w:rPr>
          <w:rFonts w:ascii="Times New Roman" w:hAnsi="Times New Roman" w:cs="Times New Roman"/>
          <w:sz w:val="24"/>
          <w:szCs w:val="24"/>
        </w:rPr>
        <w:t>functional units of heredity</w:t>
      </w:r>
      <w:r w:rsidR="00115E71">
        <w:rPr>
          <w:rFonts w:ascii="Times New Roman" w:hAnsi="Times New Roman" w:cs="Times New Roman"/>
          <w:sz w:val="24"/>
          <w:szCs w:val="24"/>
        </w:rPr>
        <w:t xml:space="preserve"> (i.e. DNA).</w:t>
      </w:r>
      <w:r w:rsidR="00115E71">
        <w:rPr>
          <w:rStyle w:val="FootnoteReference"/>
          <w:rFonts w:ascii="Times New Roman" w:hAnsi="Times New Roman" w:cs="Times New Roman"/>
          <w:sz w:val="24"/>
          <w:szCs w:val="24"/>
        </w:rPr>
        <w:footnoteReference w:id="66"/>
      </w:r>
      <w:r w:rsidR="00115E71">
        <w:rPr>
          <w:rFonts w:ascii="Times New Roman" w:hAnsi="Times New Roman" w:cs="Times New Roman"/>
          <w:sz w:val="24"/>
          <w:szCs w:val="24"/>
        </w:rPr>
        <w:t xml:space="preserve"> </w:t>
      </w:r>
    </w:p>
    <w:p w:rsidR="00115E71" w:rsidRDefault="00847017"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15E71">
        <w:rPr>
          <w:rFonts w:ascii="Times New Roman" w:hAnsi="Times New Roman" w:cs="Times New Roman"/>
          <w:sz w:val="24"/>
          <w:szCs w:val="24"/>
        </w:rPr>
        <w:t>s a result of this impasse, the term “derivative” did not find its way into the operative terms of the Protocol but it was understood that by way of compromise the term “utilization of genetic resources” would include the “notion” of derivatives.</w:t>
      </w:r>
      <w:r>
        <w:rPr>
          <w:rStyle w:val="FootnoteReference"/>
          <w:rFonts w:ascii="Times New Roman" w:hAnsi="Times New Roman" w:cs="Times New Roman"/>
          <w:sz w:val="24"/>
          <w:szCs w:val="24"/>
        </w:rPr>
        <w:footnoteReference w:id="67"/>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As we have seen, the word “derivative” was already present in the existing (1992) CBD definition of “</w:t>
      </w:r>
      <w:r w:rsidRPr="008347AC">
        <w:rPr>
          <w:rFonts w:ascii="Times New Roman" w:hAnsi="Times New Roman" w:cs="Times New Roman"/>
          <w:sz w:val="24"/>
          <w:szCs w:val="24"/>
        </w:rPr>
        <w:t>Biotechnology"</w:t>
      </w:r>
      <w:r>
        <w:rPr>
          <w:rFonts w:ascii="Times New Roman" w:hAnsi="Times New Roman" w:cs="Times New Roman"/>
          <w:sz w:val="24"/>
          <w:szCs w:val="24"/>
        </w:rPr>
        <w:t>,</w:t>
      </w:r>
      <w:r w:rsidRPr="008347AC">
        <w:rPr>
          <w:rFonts w:ascii="Times New Roman" w:hAnsi="Times New Roman" w:cs="Times New Roman"/>
          <w:sz w:val="24"/>
          <w:szCs w:val="24"/>
        </w:rPr>
        <w:t xml:space="preserve"> </w:t>
      </w:r>
      <w:r>
        <w:rPr>
          <w:rFonts w:ascii="Times New Roman" w:hAnsi="Times New Roman" w:cs="Times New Roman"/>
          <w:sz w:val="24"/>
          <w:szCs w:val="24"/>
        </w:rPr>
        <w:t>namely:</w:t>
      </w:r>
      <w:r w:rsidRPr="008347AC">
        <w:rPr>
          <w:rFonts w:ascii="Times New Roman" w:hAnsi="Times New Roman" w:cs="Times New Roman"/>
          <w:sz w:val="24"/>
          <w:szCs w:val="24"/>
        </w:rPr>
        <w:t xml:space="preserve"> </w:t>
      </w:r>
    </w:p>
    <w:p w:rsidR="00115E71" w:rsidRDefault="00115E71" w:rsidP="00115E7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8347AC">
        <w:rPr>
          <w:rFonts w:ascii="Times New Roman" w:hAnsi="Times New Roman" w:cs="Times New Roman"/>
          <w:sz w:val="24"/>
          <w:szCs w:val="24"/>
        </w:rPr>
        <w:t xml:space="preserve">any technological application that uses biological systems, living organisms, or </w:t>
      </w:r>
      <w:r w:rsidRPr="00546F7A">
        <w:rPr>
          <w:rFonts w:ascii="Times New Roman" w:hAnsi="Times New Roman" w:cs="Times New Roman"/>
          <w:b/>
          <w:sz w:val="24"/>
          <w:szCs w:val="24"/>
        </w:rPr>
        <w:t>derivatives</w:t>
      </w:r>
      <w:r w:rsidRPr="008347AC">
        <w:rPr>
          <w:rFonts w:ascii="Times New Roman" w:hAnsi="Times New Roman" w:cs="Times New Roman"/>
          <w:sz w:val="24"/>
          <w:szCs w:val="24"/>
        </w:rPr>
        <w:t xml:space="preserve"> thereof, to make or modify </w:t>
      </w:r>
      <w:r w:rsidRPr="009D73E3">
        <w:rPr>
          <w:rFonts w:ascii="Times New Roman" w:hAnsi="Times New Roman" w:cs="Times New Roman"/>
          <w:sz w:val="24"/>
          <w:szCs w:val="24"/>
        </w:rPr>
        <w:t>product</w:t>
      </w:r>
      <w:r>
        <w:rPr>
          <w:rFonts w:ascii="Times New Roman" w:hAnsi="Times New Roman" w:cs="Times New Roman"/>
          <w:sz w:val="24"/>
          <w:szCs w:val="24"/>
        </w:rPr>
        <w:t>s or processes for specific use”</w:t>
      </w:r>
      <w:r w:rsidRPr="008347AC">
        <w:rPr>
          <w:rFonts w:ascii="Arial" w:eastAsia="Times New Roman" w:hAnsi="Arial" w:cs="Arial"/>
          <w:color w:val="333333"/>
          <w:sz w:val="10"/>
          <w:szCs w:val="10"/>
        </w:rPr>
        <w:t xml:space="preserve"> </w:t>
      </w:r>
      <w:r w:rsidRPr="00546F7A">
        <w:rPr>
          <w:rFonts w:ascii="Times New Roman" w:hAnsi="Times New Roman" w:cs="Times New Roman"/>
          <w:sz w:val="24"/>
          <w:szCs w:val="24"/>
        </w:rPr>
        <w:t>[emphasis added].</w:t>
      </w:r>
      <w:r>
        <w:rPr>
          <w:rFonts w:ascii="Times New Roman" w:hAnsi="Times New Roman" w:cs="Times New Roman"/>
          <w:sz w:val="24"/>
          <w:szCs w:val="24"/>
        </w:rPr>
        <w:t xml:space="preserve"> </w:t>
      </w:r>
    </w:p>
    <w:p w:rsidR="00EB520C" w:rsidRDefault="007D6A5B"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As discussed above, w</w:t>
      </w:r>
      <w:r w:rsidR="00115E71">
        <w:rPr>
          <w:rFonts w:ascii="Times New Roman" w:hAnsi="Times New Roman" w:cs="Times New Roman"/>
          <w:sz w:val="24"/>
          <w:szCs w:val="24"/>
        </w:rPr>
        <w:t xml:space="preserve">hat appears to be referred to here is derivatives of biological systems or living organisms (which have most likely been created through modification of the genetic material within them), rather than to the biochemicals produced through translation of genes into proteins. Notwithstanding that (very) distinctly different use, the presence of the word </w:t>
      </w:r>
      <w:r w:rsidR="00115E71">
        <w:rPr>
          <w:rFonts w:ascii="Times New Roman" w:hAnsi="Times New Roman" w:cs="Times New Roman"/>
          <w:sz w:val="24"/>
          <w:szCs w:val="24"/>
        </w:rPr>
        <w:lastRenderedPageBreak/>
        <w:t>“derivative” at that position appears to have acted as an easily negotiated route for insertion of the new definition of “Derivative”</w:t>
      </w:r>
      <w:r w:rsidR="00EB520C">
        <w:rPr>
          <w:rFonts w:ascii="Times New Roman" w:hAnsi="Times New Roman" w:cs="Times New Roman"/>
          <w:sz w:val="24"/>
          <w:szCs w:val="24"/>
        </w:rPr>
        <w:t>,</w:t>
      </w:r>
      <w:r w:rsidR="00115E71">
        <w:rPr>
          <w:rFonts w:ascii="Times New Roman" w:hAnsi="Times New Roman" w:cs="Times New Roman"/>
          <w:sz w:val="24"/>
          <w:szCs w:val="24"/>
        </w:rPr>
        <w:t xml:space="preserve"> without </w:t>
      </w:r>
      <w:r w:rsidR="00EB520C">
        <w:rPr>
          <w:rFonts w:ascii="Times New Roman" w:hAnsi="Times New Roman" w:cs="Times New Roman"/>
          <w:sz w:val="24"/>
          <w:szCs w:val="24"/>
        </w:rPr>
        <w:t xml:space="preserve">the parties becoming involved in a potentially fractious confrontation over </w:t>
      </w:r>
      <w:r w:rsidR="00115E71">
        <w:rPr>
          <w:rFonts w:ascii="Times New Roman" w:hAnsi="Times New Roman" w:cs="Times New Roman"/>
          <w:sz w:val="24"/>
          <w:szCs w:val="24"/>
        </w:rPr>
        <w:t xml:space="preserve">a new definition of “Biotechnology”. </w:t>
      </w:r>
    </w:p>
    <w:p w:rsidR="007D6A5B" w:rsidRDefault="001324D0"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this author </w:t>
      </w:r>
      <w:r w:rsidR="00B81830">
        <w:rPr>
          <w:rFonts w:ascii="Times New Roman" w:hAnsi="Times New Roman" w:cs="Times New Roman"/>
          <w:sz w:val="24"/>
          <w:szCs w:val="24"/>
        </w:rPr>
        <w:t xml:space="preserve">using </w:t>
      </w:r>
      <w:r>
        <w:rPr>
          <w:rFonts w:ascii="Times New Roman" w:hAnsi="Times New Roman" w:cs="Times New Roman"/>
          <w:sz w:val="24"/>
          <w:szCs w:val="24"/>
        </w:rPr>
        <w:t xml:space="preserve">a strict doctrinal interpretation, </w:t>
      </w:r>
      <w:r w:rsidR="00B81830">
        <w:rPr>
          <w:rFonts w:ascii="Times New Roman" w:hAnsi="Times New Roman" w:cs="Times New Roman"/>
          <w:sz w:val="24"/>
          <w:szCs w:val="24"/>
        </w:rPr>
        <w:t xml:space="preserve">the </w:t>
      </w:r>
      <w:r w:rsidR="00115E71">
        <w:rPr>
          <w:rFonts w:ascii="Times New Roman" w:hAnsi="Times New Roman" w:cs="Times New Roman"/>
          <w:sz w:val="24"/>
          <w:szCs w:val="24"/>
        </w:rPr>
        <w:t xml:space="preserve">taking </w:t>
      </w:r>
      <w:r w:rsidR="00B81830">
        <w:rPr>
          <w:rFonts w:ascii="Times New Roman" w:hAnsi="Times New Roman" w:cs="Times New Roman"/>
          <w:sz w:val="24"/>
          <w:szCs w:val="24"/>
        </w:rPr>
        <w:t xml:space="preserve">of </w:t>
      </w:r>
      <w:r w:rsidR="00115E71">
        <w:rPr>
          <w:rFonts w:ascii="Times New Roman" w:hAnsi="Times New Roman" w:cs="Times New Roman"/>
          <w:sz w:val="24"/>
          <w:szCs w:val="24"/>
        </w:rPr>
        <w:t xml:space="preserve">that route </w:t>
      </w:r>
      <w:r w:rsidR="00682231">
        <w:rPr>
          <w:rFonts w:ascii="Times New Roman" w:hAnsi="Times New Roman" w:cs="Times New Roman"/>
          <w:sz w:val="24"/>
          <w:szCs w:val="24"/>
        </w:rPr>
        <w:t>has left</w:t>
      </w:r>
      <w:r w:rsidR="00115E71">
        <w:rPr>
          <w:rFonts w:ascii="Times New Roman" w:hAnsi="Times New Roman" w:cs="Times New Roman"/>
          <w:sz w:val="24"/>
          <w:szCs w:val="24"/>
        </w:rPr>
        <w:t xml:space="preserve"> us with the rather limited effect of “Derivative” as a non-limiting example of a tool to be used on genetic resources (and a strange hangover requirement to directly produce a product or process as would be the case with a Biotechnology application). The result is certainly difficult to untangle. </w:t>
      </w:r>
    </w:p>
    <w:p w:rsidR="00115E71" w:rsidRDefault="00115E71" w:rsidP="00115E71">
      <w:pPr>
        <w:spacing w:line="360" w:lineRule="auto"/>
        <w:jc w:val="both"/>
        <w:rPr>
          <w:rFonts w:ascii="Times New Roman" w:hAnsi="Times New Roman" w:cs="Times New Roman"/>
          <w:sz w:val="24"/>
          <w:szCs w:val="24"/>
        </w:rPr>
      </w:pPr>
      <w:r w:rsidRPr="00426C42">
        <w:rPr>
          <w:rFonts w:ascii="Times New Roman" w:hAnsi="Times New Roman" w:cs="Times New Roman"/>
          <w:sz w:val="24"/>
          <w:szCs w:val="24"/>
        </w:rPr>
        <w:t>Morgera</w:t>
      </w:r>
      <w:r>
        <w:t xml:space="preserve"> </w:t>
      </w:r>
      <w:r w:rsidRPr="00E658DE">
        <w:rPr>
          <w:rFonts w:ascii="Times New Roman" w:hAnsi="Times New Roman" w:cs="Times New Roman"/>
          <w:i/>
        </w:rPr>
        <w:t>et al.</w:t>
      </w:r>
      <w:r w:rsidRPr="008347AC">
        <w:rPr>
          <w:rStyle w:val="FootnoteReference"/>
        </w:rPr>
        <w:footnoteReference w:id="68"/>
      </w:r>
      <w:r w:rsidRPr="008347AC">
        <w:rPr>
          <w:rFonts w:ascii="Times New Roman" w:hAnsi="Times New Roman" w:cs="Times New Roman"/>
          <w:sz w:val="24"/>
          <w:szCs w:val="24"/>
        </w:rPr>
        <w:t xml:space="preserve"> </w:t>
      </w:r>
      <w:r>
        <w:rPr>
          <w:rFonts w:ascii="Times New Roman" w:hAnsi="Times New Roman" w:cs="Times New Roman"/>
          <w:sz w:val="24"/>
          <w:szCs w:val="24"/>
        </w:rPr>
        <w:t xml:space="preserve">refer to this </w:t>
      </w:r>
      <w:r w:rsidR="00EB520C">
        <w:rPr>
          <w:rFonts w:ascii="Times New Roman" w:hAnsi="Times New Roman" w:cs="Times New Roman"/>
          <w:sz w:val="24"/>
          <w:szCs w:val="24"/>
        </w:rPr>
        <w:t>outcome</w:t>
      </w:r>
      <w:r>
        <w:rPr>
          <w:rFonts w:ascii="Times New Roman" w:hAnsi="Times New Roman" w:cs="Times New Roman"/>
          <w:sz w:val="24"/>
          <w:szCs w:val="24"/>
        </w:rPr>
        <w:t xml:space="preserve"> as “puzzling”. </w:t>
      </w:r>
      <w:r w:rsidR="00FA20F0">
        <w:rPr>
          <w:rFonts w:ascii="Times New Roman" w:hAnsi="Times New Roman" w:cs="Times New Roman"/>
          <w:sz w:val="24"/>
          <w:szCs w:val="24"/>
        </w:rPr>
        <w:t xml:space="preserve">Notwithstanding this </w:t>
      </w:r>
      <w:r>
        <w:rPr>
          <w:rFonts w:ascii="Times New Roman" w:hAnsi="Times New Roman" w:cs="Times New Roman"/>
          <w:sz w:val="24"/>
          <w:szCs w:val="24"/>
        </w:rPr>
        <w:t xml:space="preserve">they </w:t>
      </w:r>
      <w:r w:rsidR="00FA20F0">
        <w:rPr>
          <w:rFonts w:ascii="Times New Roman" w:hAnsi="Times New Roman" w:cs="Times New Roman"/>
          <w:sz w:val="24"/>
          <w:szCs w:val="24"/>
        </w:rPr>
        <w:t xml:space="preserve">state that </w:t>
      </w:r>
      <w:r>
        <w:rPr>
          <w:rFonts w:ascii="Times New Roman" w:hAnsi="Times New Roman" w:cs="Times New Roman"/>
          <w:sz w:val="24"/>
          <w:szCs w:val="24"/>
        </w:rPr>
        <w:t>the relevance of the definition of “Derivative” to the interpretation of “utilization of genetic resources” can be argued on two grounds:</w:t>
      </w:r>
    </w:p>
    <w:p w:rsidR="00115E71" w:rsidRDefault="00115E71" w:rsidP="006041EA">
      <w:pPr>
        <w:pStyle w:val="ListParagraph"/>
        <w:numPr>
          <w:ilvl w:val="0"/>
          <w:numId w:val="4"/>
        </w:numPr>
        <w:spacing w:line="360" w:lineRule="auto"/>
        <w:jc w:val="both"/>
      </w:pPr>
      <w:r>
        <w:t xml:space="preserve">““utilization” </w:t>
      </w:r>
      <w:r w:rsidRPr="00D57CA4">
        <w:rPr>
          <w:b/>
        </w:rPr>
        <w:t>implicitly</w:t>
      </w:r>
      <w:r>
        <w:rPr>
          <w:i/>
        </w:rPr>
        <w:t xml:space="preserve"> </w:t>
      </w:r>
      <w:r>
        <w:t xml:space="preserve">refers also to research and development through the application of biotechnology </w:t>
      </w:r>
      <w:r w:rsidRPr="00D57CA4">
        <w:rPr>
          <w:b/>
        </w:rPr>
        <w:t>on</w:t>
      </w:r>
      <w:r>
        <w:t xml:space="preserve"> derivatives” </w:t>
      </w:r>
      <w:r w:rsidRPr="00546F7A">
        <w:t>[emphasis added]</w:t>
      </w:r>
      <w:r>
        <w:t>; and</w:t>
      </w:r>
    </w:p>
    <w:p w:rsidR="00115E71" w:rsidRDefault="00115E71" w:rsidP="00115E71">
      <w:pPr>
        <w:pStyle w:val="ListParagraph"/>
        <w:spacing w:line="360" w:lineRule="auto"/>
        <w:jc w:val="both"/>
      </w:pPr>
    </w:p>
    <w:p w:rsidR="00115E71" w:rsidRDefault="00115E71" w:rsidP="006041EA">
      <w:pPr>
        <w:pStyle w:val="ListParagraph"/>
        <w:numPr>
          <w:ilvl w:val="0"/>
          <w:numId w:val="4"/>
        </w:numPr>
        <w:spacing w:line="360" w:lineRule="auto"/>
        <w:jc w:val="both"/>
      </w:pPr>
      <w:r>
        <w:t>“The definition of “utilization” makes reference to the “biochemical composition of genetic resources” which arguably relates to the reference to compounds in the definition of “derivatives” as it is only the latter that provides the necessary elements to circumscribe this otherwise vague concept”.</w:t>
      </w:r>
      <w:r>
        <w:rPr>
          <w:rStyle w:val="FootnoteReference"/>
        </w:rPr>
        <w:footnoteReference w:id="69"/>
      </w:r>
    </w:p>
    <w:p w:rsidR="00115E71" w:rsidRDefault="00115E71" w:rsidP="00115E71">
      <w:pPr>
        <w:pStyle w:val="ListParagraph"/>
        <w:spacing w:line="360" w:lineRule="auto"/>
        <w:jc w:val="both"/>
      </w:pPr>
    </w:p>
    <w:p w:rsidR="00115E71" w:rsidRDefault="00115E71" w:rsidP="00115E71">
      <w:pPr>
        <w:spacing w:line="360" w:lineRule="auto"/>
        <w:jc w:val="both"/>
        <w:rPr>
          <w:rFonts w:ascii="Times New Roman" w:hAnsi="Times New Roman" w:cs="Times New Roman"/>
          <w:sz w:val="24"/>
          <w:szCs w:val="24"/>
        </w:rPr>
      </w:pPr>
      <w:r w:rsidRPr="00F34733">
        <w:rPr>
          <w:rFonts w:ascii="Times New Roman" w:hAnsi="Times New Roman" w:cs="Times New Roman"/>
          <w:sz w:val="24"/>
          <w:szCs w:val="24"/>
        </w:rPr>
        <w:t xml:space="preserve">With regard to point </w:t>
      </w:r>
      <w:r>
        <w:rPr>
          <w:rFonts w:ascii="Times New Roman" w:hAnsi="Times New Roman" w:cs="Times New Roman"/>
          <w:sz w:val="24"/>
          <w:szCs w:val="24"/>
        </w:rPr>
        <w:t>b</w:t>
      </w:r>
      <w:r w:rsidRPr="00F34733">
        <w:rPr>
          <w:rFonts w:ascii="Times New Roman" w:hAnsi="Times New Roman" w:cs="Times New Roman"/>
          <w:sz w:val="24"/>
          <w:szCs w:val="24"/>
        </w:rPr>
        <w:t>) Morgera</w:t>
      </w:r>
      <w:r w:rsidRPr="00F34733">
        <w:rPr>
          <w:sz w:val="24"/>
          <w:szCs w:val="24"/>
        </w:rPr>
        <w:t xml:space="preserve"> </w:t>
      </w:r>
      <w:r w:rsidRPr="00F34733">
        <w:rPr>
          <w:rFonts w:ascii="Times New Roman" w:hAnsi="Times New Roman" w:cs="Times New Roman"/>
          <w:i/>
          <w:sz w:val="24"/>
          <w:szCs w:val="24"/>
        </w:rPr>
        <w:t xml:space="preserve">et al. </w:t>
      </w:r>
      <w:r w:rsidRPr="00F34733">
        <w:rPr>
          <w:rFonts w:ascii="Times New Roman" w:hAnsi="Times New Roman" w:cs="Times New Roman"/>
          <w:sz w:val="24"/>
          <w:szCs w:val="24"/>
        </w:rPr>
        <w:t xml:space="preserve">appear to suggest that the term “biochemical composition of genetic resources” is unclear. </w:t>
      </w:r>
      <w:r w:rsidR="001324D0">
        <w:rPr>
          <w:rFonts w:ascii="Times New Roman" w:hAnsi="Times New Roman" w:cs="Times New Roman"/>
          <w:sz w:val="24"/>
          <w:szCs w:val="24"/>
        </w:rPr>
        <w:t>Although understandable, a</w:t>
      </w:r>
      <w:r w:rsidRPr="00F34733">
        <w:rPr>
          <w:rFonts w:ascii="Times New Roman" w:hAnsi="Times New Roman" w:cs="Times New Roman"/>
          <w:sz w:val="24"/>
          <w:szCs w:val="24"/>
        </w:rPr>
        <w:t xml:space="preserve">s discussed above, this author believes one can interpret that term clearly </w:t>
      </w:r>
      <w:r w:rsidR="00B376CF">
        <w:rPr>
          <w:rFonts w:ascii="Times New Roman" w:hAnsi="Times New Roman" w:cs="Times New Roman"/>
          <w:sz w:val="24"/>
          <w:szCs w:val="24"/>
        </w:rPr>
        <w:t xml:space="preserve">enough </w:t>
      </w:r>
      <w:r w:rsidRPr="00F34733">
        <w:rPr>
          <w:rFonts w:ascii="Times New Roman" w:hAnsi="Times New Roman" w:cs="Times New Roman"/>
          <w:sz w:val="24"/>
          <w:szCs w:val="24"/>
        </w:rPr>
        <w:t xml:space="preserve">when one broadly interprets “genetic material” to include </w:t>
      </w:r>
      <w:r>
        <w:rPr>
          <w:rFonts w:ascii="Times New Roman" w:hAnsi="Times New Roman" w:cs="Times New Roman"/>
          <w:sz w:val="24"/>
          <w:szCs w:val="24"/>
        </w:rPr>
        <w:t xml:space="preserve">the </w:t>
      </w:r>
      <w:r w:rsidRPr="00F34733">
        <w:rPr>
          <w:rFonts w:ascii="Times New Roman" w:hAnsi="Times New Roman" w:cs="Times New Roman"/>
          <w:sz w:val="24"/>
          <w:szCs w:val="24"/>
        </w:rPr>
        <w:t xml:space="preserve">cells of an organism which contain </w:t>
      </w:r>
      <w:r>
        <w:rPr>
          <w:rFonts w:ascii="Times New Roman" w:hAnsi="Times New Roman" w:cs="Times New Roman"/>
          <w:sz w:val="24"/>
          <w:szCs w:val="24"/>
        </w:rPr>
        <w:t>“</w:t>
      </w:r>
      <w:r w:rsidRPr="00F34733">
        <w:rPr>
          <w:rFonts w:ascii="Times New Roman" w:hAnsi="Times New Roman" w:cs="Times New Roman"/>
          <w:sz w:val="24"/>
          <w:szCs w:val="24"/>
        </w:rPr>
        <w:t xml:space="preserve">functional units of heredity”. However, even assuming uncertainty in this regard, given that “Derivative” is used as an example of a tool (“Biotechnology”) used to act </w:t>
      </w:r>
      <w:r w:rsidRPr="00623AB5">
        <w:rPr>
          <w:rFonts w:ascii="Times New Roman" w:hAnsi="Times New Roman" w:cs="Times New Roman"/>
          <w:i/>
          <w:sz w:val="24"/>
          <w:szCs w:val="24"/>
        </w:rPr>
        <w:t>upon</w:t>
      </w:r>
      <w:r w:rsidRPr="00F34733">
        <w:rPr>
          <w:rFonts w:ascii="Times New Roman" w:hAnsi="Times New Roman" w:cs="Times New Roman"/>
          <w:sz w:val="24"/>
          <w:szCs w:val="24"/>
        </w:rPr>
        <w:t xml:space="preserve"> the subject of “biochemical composition of genetic resources” it is hard to see how one can easily use the reference to “biochemical compound” in the definition of Derivative to guide us as to the overall meaning of “biochemical composition of genetic resources”.</w:t>
      </w:r>
      <w:r>
        <w:rPr>
          <w:rFonts w:ascii="Times New Roman" w:hAnsi="Times New Roman" w:cs="Times New Roman"/>
          <w:sz w:val="24"/>
          <w:szCs w:val="24"/>
        </w:rPr>
        <w:t xml:space="preserve"> </w:t>
      </w:r>
    </w:p>
    <w:p w:rsidR="00115E71" w:rsidRPr="003E7376"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use of “derivative” as somehow clarificatory of, or integrated within, “genetic resources”, notwithstanding rules of interpretation is prevalent. </w:t>
      </w:r>
      <w:r w:rsidRPr="003E7376">
        <w:rPr>
          <w:rFonts w:ascii="Times New Roman" w:hAnsi="Times New Roman" w:cs="Times New Roman"/>
          <w:sz w:val="24"/>
          <w:szCs w:val="24"/>
        </w:rPr>
        <w:t xml:space="preserve">Vogel </w:t>
      </w:r>
      <w:r w:rsidRPr="003E7376">
        <w:rPr>
          <w:rFonts w:ascii="Times New Roman" w:hAnsi="Times New Roman" w:cs="Times New Roman"/>
          <w:i/>
          <w:sz w:val="24"/>
          <w:szCs w:val="24"/>
        </w:rPr>
        <w:t>et al.</w:t>
      </w:r>
      <w:r w:rsidRPr="003E7376">
        <w:rPr>
          <w:rStyle w:val="FootnoteReference"/>
          <w:rFonts w:ascii="Times New Roman" w:hAnsi="Times New Roman" w:cs="Times New Roman"/>
          <w:sz w:val="24"/>
          <w:szCs w:val="24"/>
        </w:rPr>
        <w:footnoteReference w:id="70"/>
      </w:r>
      <w:r w:rsidRPr="003E7376">
        <w:rPr>
          <w:rFonts w:ascii="Times New Roman" w:hAnsi="Times New Roman" w:cs="Times New Roman"/>
          <w:sz w:val="24"/>
          <w:szCs w:val="24"/>
        </w:rPr>
        <w:t xml:space="preserve"> are highly cr</w:t>
      </w:r>
      <w:r>
        <w:rPr>
          <w:rFonts w:ascii="Times New Roman" w:hAnsi="Times New Roman" w:cs="Times New Roman"/>
          <w:sz w:val="24"/>
          <w:szCs w:val="24"/>
        </w:rPr>
        <w:t>i</w:t>
      </w:r>
      <w:r w:rsidRPr="003E7376">
        <w:rPr>
          <w:rFonts w:ascii="Times New Roman" w:hAnsi="Times New Roman" w:cs="Times New Roman"/>
          <w:sz w:val="24"/>
          <w:szCs w:val="24"/>
        </w:rPr>
        <w:t>tical of this approach:</w:t>
      </w:r>
    </w:p>
    <w:p w:rsidR="00115E71" w:rsidRDefault="00115E71" w:rsidP="00115E7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A85508">
        <w:rPr>
          <w:rFonts w:ascii="Times New Roman" w:hAnsi="Times New Roman" w:cs="Times New Roman"/>
          <w:sz w:val="24"/>
          <w:szCs w:val="24"/>
        </w:rPr>
        <w:t xml:space="preserve">Despite the introduction of ‘derivative’ in Article 2 (e), ‘derivative’ is not incorporated into Article 3 which defines the scope. Nevertheless, many delegates and scholars are not disheartened. They have inferred ‘derivative’ in the phrase ‘utilisation of such sources’. Unfortunately for the advocates, such an inference is not obvious and would morph ‘utilisation of such sources’ into a </w:t>
      </w:r>
      <w:r>
        <w:rPr>
          <w:rFonts w:ascii="Times New Roman" w:hAnsi="Times New Roman" w:cs="Times New Roman"/>
          <w:sz w:val="24"/>
          <w:szCs w:val="24"/>
        </w:rPr>
        <w:t>“</w:t>
      </w:r>
      <w:r w:rsidRPr="00A85508">
        <w:rPr>
          <w:rFonts w:ascii="Times New Roman" w:hAnsi="Times New Roman" w:cs="Times New Roman"/>
          <w:sz w:val="24"/>
          <w:szCs w:val="24"/>
        </w:rPr>
        <w:t>panchrestron</w:t>
      </w:r>
      <w:r>
        <w:rPr>
          <w:rFonts w:ascii="Times New Roman" w:hAnsi="Times New Roman" w:cs="Times New Roman"/>
          <w:sz w:val="24"/>
          <w:szCs w:val="24"/>
        </w:rPr>
        <w:t>”</w:t>
      </w:r>
      <w:r w:rsidRPr="00A85508">
        <w:rPr>
          <w:rFonts w:ascii="Times New Roman" w:hAnsi="Times New Roman" w:cs="Times New Roman"/>
          <w:sz w:val="24"/>
          <w:szCs w:val="24"/>
        </w:rPr>
        <w:t xml:space="preserve">, Garrett Hardin’s neologism for something that signifies everything and therefore means nothing” </w:t>
      </w:r>
      <w:r>
        <w:rPr>
          <w:rStyle w:val="FootnoteReference"/>
        </w:rPr>
        <w:footnoteReference w:id="71"/>
      </w:r>
    </w:p>
    <w:p w:rsidR="00115E71" w:rsidRDefault="00115E71" w:rsidP="00115E71">
      <w:pPr>
        <w:spacing w:line="360" w:lineRule="auto"/>
        <w:jc w:val="both"/>
        <w:rPr>
          <w:rFonts w:ascii="Times New Roman" w:hAnsi="Times New Roman" w:cs="Times New Roman"/>
          <w:sz w:val="24"/>
          <w:szCs w:val="24"/>
        </w:rPr>
      </w:pPr>
      <w:r w:rsidRPr="00426C42">
        <w:rPr>
          <w:rFonts w:ascii="Times New Roman" w:hAnsi="Times New Roman" w:cs="Times New Roman"/>
          <w:sz w:val="24"/>
          <w:szCs w:val="24"/>
        </w:rPr>
        <w:t>Morgera</w:t>
      </w:r>
      <w:r>
        <w:t xml:space="preserve"> </w:t>
      </w:r>
      <w:r w:rsidRPr="00E658DE">
        <w:rPr>
          <w:rFonts w:ascii="Times New Roman" w:hAnsi="Times New Roman" w:cs="Times New Roman"/>
          <w:i/>
        </w:rPr>
        <w:t>et al.</w:t>
      </w:r>
      <w:r w:rsidRPr="00B80993">
        <w:rPr>
          <w:rFonts w:ascii="Times New Roman" w:hAnsi="Times New Roman" w:cs="Times New Roman"/>
        </w:rPr>
        <w:t>’s</w:t>
      </w:r>
      <w:r>
        <w:rPr>
          <w:rFonts w:ascii="Times New Roman" w:hAnsi="Times New Roman" w:cs="Times New Roman"/>
          <w:i/>
        </w:rPr>
        <w:t xml:space="preserve"> </w:t>
      </w:r>
      <w:r>
        <w:rPr>
          <w:rFonts w:ascii="Times New Roman" w:hAnsi="Times New Roman" w:cs="Times New Roman"/>
          <w:sz w:val="24"/>
          <w:szCs w:val="24"/>
        </w:rPr>
        <w:t>point a</w:t>
      </w:r>
      <w:r w:rsidRPr="001654A0">
        <w:rPr>
          <w:rFonts w:ascii="Times New Roman" w:hAnsi="Times New Roman" w:cs="Times New Roman"/>
          <w:sz w:val="24"/>
          <w:szCs w:val="24"/>
        </w:rPr>
        <w:t xml:space="preserve">) </w:t>
      </w:r>
      <w:r>
        <w:rPr>
          <w:rFonts w:ascii="Times New Roman" w:hAnsi="Times New Roman" w:cs="Times New Roman"/>
          <w:sz w:val="24"/>
          <w:szCs w:val="24"/>
        </w:rPr>
        <w:t>is</w:t>
      </w:r>
      <w:r w:rsidR="00B376CF">
        <w:rPr>
          <w:rFonts w:ascii="Times New Roman" w:hAnsi="Times New Roman" w:cs="Times New Roman"/>
          <w:sz w:val="24"/>
          <w:szCs w:val="24"/>
        </w:rPr>
        <w:t>,</w:t>
      </w:r>
      <w:r>
        <w:rPr>
          <w:rFonts w:ascii="Times New Roman" w:hAnsi="Times New Roman" w:cs="Times New Roman"/>
          <w:sz w:val="24"/>
          <w:szCs w:val="24"/>
        </w:rPr>
        <w:t xml:space="preserve"> </w:t>
      </w:r>
      <w:r w:rsidR="00FA20F0">
        <w:rPr>
          <w:rFonts w:ascii="Times New Roman" w:hAnsi="Times New Roman" w:cs="Times New Roman"/>
          <w:sz w:val="24"/>
          <w:szCs w:val="24"/>
        </w:rPr>
        <w:t>for this author</w:t>
      </w:r>
      <w:r w:rsidR="00B376CF">
        <w:rPr>
          <w:rFonts w:ascii="Times New Roman" w:hAnsi="Times New Roman" w:cs="Times New Roman"/>
          <w:sz w:val="24"/>
          <w:szCs w:val="24"/>
        </w:rPr>
        <w:t>,</w:t>
      </w:r>
      <w:r>
        <w:rPr>
          <w:rFonts w:ascii="Times New Roman" w:hAnsi="Times New Roman" w:cs="Times New Roman"/>
          <w:sz w:val="24"/>
          <w:szCs w:val="24"/>
        </w:rPr>
        <w:t xml:space="preserve"> </w:t>
      </w:r>
      <w:r w:rsidR="00C32545">
        <w:rPr>
          <w:rFonts w:ascii="Times New Roman" w:hAnsi="Times New Roman" w:cs="Times New Roman"/>
          <w:sz w:val="24"/>
          <w:szCs w:val="24"/>
        </w:rPr>
        <w:t xml:space="preserve">the </w:t>
      </w:r>
      <w:r>
        <w:rPr>
          <w:rFonts w:ascii="Times New Roman" w:hAnsi="Times New Roman" w:cs="Times New Roman"/>
          <w:sz w:val="24"/>
          <w:szCs w:val="24"/>
        </w:rPr>
        <w:t>stronger.</w:t>
      </w:r>
      <w:r>
        <w:rPr>
          <w:rFonts w:ascii="Times New Roman" w:hAnsi="Times New Roman" w:cs="Times New Roman"/>
        </w:rPr>
        <w:t xml:space="preserve"> They </w:t>
      </w:r>
      <w:r w:rsidRPr="00CD2425">
        <w:rPr>
          <w:rFonts w:ascii="Times New Roman" w:hAnsi="Times New Roman" w:cs="Times New Roman"/>
          <w:sz w:val="24"/>
          <w:szCs w:val="24"/>
        </w:rPr>
        <w:t>suggest that if your understanding of “</w:t>
      </w:r>
      <w:r w:rsidRPr="001654A0">
        <w:rPr>
          <w:rFonts w:ascii="Times New Roman" w:hAnsi="Times New Roman" w:cs="Times New Roman"/>
          <w:sz w:val="24"/>
          <w:szCs w:val="24"/>
        </w:rPr>
        <w:t>biotechnology</w:t>
      </w:r>
      <w:r>
        <w:rPr>
          <w:rFonts w:ascii="Times New Roman" w:hAnsi="Times New Roman" w:cs="Times New Roman"/>
          <w:sz w:val="24"/>
          <w:szCs w:val="24"/>
        </w:rPr>
        <w:t xml:space="preserve">” is a narrow one, meaning merely the use of organisms to make products following manipulation of their genetic material, then such an understanding would not be entirely consistent with research on the products of genetic expression found within a genetic resource. They suggest that expanding the meaning of biotechnology to include the use of “Derivatives” (as newly defined) is consistent with “biotechnology” meaning a broader range of activities and, in particular, including research on the products of genetic expression found in a genetic resource.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first blush, this may seem a reasonable interpretation. Indeed, as we have seen the original definition of “Biotechnology” in Article 2 of the CBD (without the expansion of the term “derivative”) appears to refer only to the use of biological systems or </w:t>
      </w:r>
      <w:r w:rsidR="00B81830">
        <w:rPr>
          <w:rFonts w:ascii="Times New Roman" w:hAnsi="Times New Roman" w:cs="Times New Roman"/>
          <w:sz w:val="24"/>
          <w:szCs w:val="24"/>
        </w:rPr>
        <w:t xml:space="preserve">of </w:t>
      </w:r>
      <w:r>
        <w:rPr>
          <w:rFonts w:ascii="Times New Roman" w:hAnsi="Times New Roman" w:cs="Times New Roman"/>
          <w:sz w:val="24"/>
          <w:szCs w:val="24"/>
        </w:rPr>
        <w:t xml:space="preserve">living organisms (which have most likely been created through modification of the genetic material within them) </w:t>
      </w:r>
      <w:r w:rsidRPr="00623AB5">
        <w:rPr>
          <w:rFonts w:ascii="Times New Roman" w:hAnsi="Times New Roman" w:cs="Times New Roman"/>
          <w:i/>
          <w:sz w:val="24"/>
          <w:szCs w:val="24"/>
        </w:rPr>
        <w:t>to make products</w:t>
      </w:r>
      <w:r>
        <w:rPr>
          <w:rFonts w:ascii="Times New Roman" w:hAnsi="Times New Roman" w:cs="Times New Roman"/>
          <w:sz w:val="24"/>
          <w:szCs w:val="24"/>
        </w:rPr>
        <w:t>. However, although that interpretation is certainly consistent with a narrower understanding of biotech</w:t>
      </w:r>
      <w:r w:rsidR="00B81830">
        <w:rPr>
          <w:rFonts w:ascii="Times New Roman" w:hAnsi="Times New Roman" w:cs="Times New Roman"/>
          <w:sz w:val="24"/>
          <w:szCs w:val="24"/>
        </w:rPr>
        <w:t>nology, as was discussed above</w:t>
      </w:r>
      <w:r w:rsidR="00E609AE">
        <w:rPr>
          <w:rFonts w:ascii="Times New Roman" w:hAnsi="Times New Roman" w:cs="Times New Roman"/>
          <w:sz w:val="24"/>
          <w:szCs w:val="24"/>
        </w:rPr>
        <w:t>,</w:t>
      </w:r>
      <w:r w:rsidR="00B81830">
        <w:rPr>
          <w:rFonts w:ascii="Times New Roman" w:hAnsi="Times New Roman" w:cs="Times New Roman"/>
          <w:sz w:val="24"/>
          <w:szCs w:val="24"/>
        </w:rPr>
        <w:t xml:space="preserve"> </w:t>
      </w:r>
      <w:r>
        <w:rPr>
          <w:rFonts w:ascii="Times New Roman" w:hAnsi="Times New Roman" w:cs="Times New Roman"/>
          <w:sz w:val="24"/>
          <w:szCs w:val="24"/>
        </w:rPr>
        <w:t xml:space="preserve">the use </w:t>
      </w:r>
      <w:r w:rsidR="00B81830">
        <w:rPr>
          <w:rFonts w:ascii="Times New Roman" w:hAnsi="Times New Roman" w:cs="Times New Roman"/>
          <w:sz w:val="24"/>
          <w:szCs w:val="24"/>
        </w:rPr>
        <w:t>of those “narrow” techniques is</w:t>
      </w:r>
      <w:r>
        <w:rPr>
          <w:rFonts w:ascii="Times New Roman" w:hAnsi="Times New Roman" w:cs="Times New Roman"/>
          <w:sz w:val="24"/>
          <w:szCs w:val="24"/>
        </w:rPr>
        <w:t xml:space="preserve"> still entirely consistent with a broad interpretation of “genetic resources” and a broad interpretation of “research and development on the genetic or biochemical composition”.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the inclusion of the new definition of “Derivatives” within the definition of “Biotechnology” is consistent with a broad understanding of the term biotechnology and with </w:t>
      </w:r>
      <w:r>
        <w:rPr>
          <w:rFonts w:ascii="Times New Roman" w:hAnsi="Times New Roman" w:cs="Times New Roman"/>
          <w:sz w:val="24"/>
          <w:szCs w:val="24"/>
        </w:rPr>
        <w:lastRenderedPageBreak/>
        <w:t xml:space="preserve">research on the products of genetic expression found within the cells of a genetic resource. However, if this were the aim of the inclusion of a specific definition of “Derivative”, it seems a relatively imprecise way of achieving the end, and we are still left with the problem of reconciling the need for the application to directly produce or modify a product or process.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concluding that the operative effect of the new definition of “derivative” is to further clarify that research and development on “naturally occurring biochemical compounds resulting from genetic expression or cellular metabolism and not containing DNA” can fall within “utilization of genetic resources”, </w:t>
      </w:r>
      <w:r w:rsidRPr="00426C42">
        <w:rPr>
          <w:rFonts w:ascii="Times New Roman" w:hAnsi="Times New Roman" w:cs="Times New Roman"/>
          <w:sz w:val="24"/>
          <w:szCs w:val="24"/>
        </w:rPr>
        <w:t>Morgera</w:t>
      </w:r>
      <w:r>
        <w:t xml:space="preserve"> </w:t>
      </w:r>
      <w:r w:rsidRPr="00E033C4">
        <w:rPr>
          <w:rFonts w:ascii="Times New Roman" w:hAnsi="Times New Roman" w:cs="Times New Roman"/>
          <w:i/>
          <w:sz w:val="24"/>
          <w:szCs w:val="24"/>
        </w:rPr>
        <w:t xml:space="preserve">et al. </w:t>
      </w:r>
      <w:r w:rsidRPr="00E033C4">
        <w:rPr>
          <w:rFonts w:ascii="Times New Roman" w:hAnsi="Times New Roman" w:cs="Times New Roman"/>
          <w:sz w:val="24"/>
          <w:szCs w:val="24"/>
        </w:rPr>
        <w:t xml:space="preserve">are </w:t>
      </w:r>
      <w:r>
        <w:rPr>
          <w:rFonts w:ascii="Times New Roman" w:hAnsi="Times New Roman" w:cs="Times New Roman"/>
          <w:sz w:val="24"/>
          <w:szCs w:val="24"/>
        </w:rPr>
        <w:t xml:space="preserve">(unsurprisingly) </w:t>
      </w:r>
      <w:r w:rsidRPr="00E033C4">
        <w:rPr>
          <w:rFonts w:ascii="Times New Roman" w:hAnsi="Times New Roman" w:cs="Times New Roman"/>
          <w:sz w:val="24"/>
          <w:szCs w:val="24"/>
        </w:rPr>
        <w:t>concerned that “the unfortunate drafting may raise doubts in interpreters and as a consequence lead to variations in national legislation implementing the Protocol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p>
    <w:p w:rsidR="00115E71" w:rsidRDefault="00C32545"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t>
      </w:r>
      <w:r w:rsidR="00115E71">
        <w:rPr>
          <w:rFonts w:ascii="Times New Roman" w:hAnsi="Times New Roman" w:cs="Times New Roman"/>
          <w:sz w:val="24"/>
          <w:szCs w:val="24"/>
        </w:rPr>
        <w:t>we might broadly conclu</w:t>
      </w:r>
      <w:r w:rsidR="00B376CF">
        <w:rPr>
          <w:rFonts w:ascii="Times New Roman" w:hAnsi="Times New Roman" w:cs="Times New Roman"/>
          <w:sz w:val="24"/>
          <w:szCs w:val="24"/>
        </w:rPr>
        <w:t>de that the new definition of “D</w:t>
      </w:r>
      <w:r w:rsidR="00115E71">
        <w:rPr>
          <w:rFonts w:ascii="Times New Roman" w:hAnsi="Times New Roman" w:cs="Times New Roman"/>
          <w:sz w:val="24"/>
          <w:szCs w:val="24"/>
        </w:rPr>
        <w:t>erivative” though</w:t>
      </w:r>
      <w:r w:rsidR="00FA20F0">
        <w:rPr>
          <w:rFonts w:ascii="Times New Roman" w:hAnsi="Times New Roman" w:cs="Times New Roman"/>
          <w:sz w:val="24"/>
          <w:szCs w:val="24"/>
        </w:rPr>
        <w:t>,</w:t>
      </w:r>
      <w:r w:rsidR="00115E71">
        <w:rPr>
          <w:rFonts w:ascii="Times New Roman" w:hAnsi="Times New Roman" w:cs="Times New Roman"/>
          <w:sz w:val="24"/>
          <w:szCs w:val="24"/>
        </w:rPr>
        <w:t xml:space="preserve"> in itself</w:t>
      </w:r>
      <w:r w:rsidR="00FA20F0">
        <w:rPr>
          <w:rFonts w:ascii="Times New Roman" w:hAnsi="Times New Roman" w:cs="Times New Roman"/>
          <w:sz w:val="24"/>
          <w:szCs w:val="24"/>
        </w:rPr>
        <w:t>,</w:t>
      </w:r>
      <w:r w:rsidR="00115E71">
        <w:rPr>
          <w:rFonts w:ascii="Times New Roman" w:hAnsi="Times New Roman" w:cs="Times New Roman"/>
          <w:sz w:val="24"/>
          <w:szCs w:val="24"/>
        </w:rPr>
        <w:t xml:space="preserve"> clear</w:t>
      </w:r>
      <w:r w:rsidR="00B376CF">
        <w:rPr>
          <w:rFonts w:ascii="Times New Roman" w:hAnsi="Times New Roman" w:cs="Times New Roman"/>
          <w:sz w:val="24"/>
          <w:szCs w:val="24"/>
        </w:rPr>
        <w:t>,</w:t>
      </w:r>
      <w:r w:rsidR="00115E71">
        <w:rPr>
          <w:rFonts w:ascii="Times New Roman" w:hAnsi="Times New Roman" w:cs="Times New Roman"/>
          <w:sz w:val="24"/>
          <w:szCs w:val="24"/>
        </w:rPr>
        <w:t xml:space="preserve"> is poorly placed within the definitions provided within the CBD and the Protocol. As part of the definition of “genetic material” or “genetic resource” it would have provided welcome clarification. As part of the definition of “Biotechnology” (which is itself merely a non-limiting example of research and development) perhaps all we can really say with regard to the use of the term “Derivative” is that it is at least not-inconsistent with the definition of “biochemical composition of genetic resources” including naturally occurring products of genetic expression. </w:t>
      </w:r>
    </w:p>
    <w:p w:rsidR="00115E71" w:rsidRPr="00FD0382" w:rsidRDefault="00115E71" w:rsidP="00115E71">
      <w:pPr>
        <w:pStyle w:val="Heading2"/>
        <w:spacing w:line="360" w:lineRule="auto"/>
      </w:pPr>
      <w:bookmarkStart w:id="15" w:name="_Toc423964364"/>
      <w:bookmarkStart w:id="16" w:name="_Toc446411534"/>
      <w:r>
        <w:t xml:space="preserve"> “</w:t>
      </w:r>
      <w:r w:rsidRPr="00FD0382">
        <w:t>Isolated</w:t>
      </w:r>
      <w:r>
        <w:t>”</w:t>
      </w:r>
      <w:r w:rsidRPr="00FD0382">
        <w:t xml:space="preserve"> derivatives</w:t>
      </w:r>
      <w:bookmarkEnd w:id="15"/>
      <w:bookmarkEnd w:id="16"/>
    </w:p>
    <w:p w:rsidR="00115E71" w:rsidRDefault="00115E71" w:rsidP="00115E71">
      <w:pPr>
        <w:spacing w:line="360" w:lineRule="auto"/>
        <w:jc w:val="both"/>
        <w:rPr>
          <w:rFonts w:ascii="Times New Roman" w:hAnsi="Times New Roman" w:cs="Times New Roman"/>
          <w:sz w:val="24"/>
          <w:szCs w:val="24"/>
        </w:rPr>
      </w:pPr>
      <w:r w:rsidRPr="00426C42">
        <w:rPr>
          <w:rFonts w:ascii="Times New Roman" w:hAnsi="Times New Roman" w:cs="Times New Roman"/>
          <w:sz w:val="24"/>
          <w:szCs w:val="24"/>
        </w:rPr>
        <w:t>Morgera</w:t>
      </w:r>
      <w:r>
        <w:t xml:space="preserve"> </w:t>
      </w:r>
      <w:r w:rsidRPr="00821A96">
        <w:rPr>
          <w:rFonts w:ascii="Times New Roman" w:hAnsi="Times New Roman" w:cs="Times New Roman"/>
          <w:i/>
          <w:sz w:val="24"/>
          <w:szCs w:val="24"/>
        </w:rPr>
        <w:t>et al.</w:t>
      </w:r>
      <w:r w:rsidRPr="00821A96">
        <w:rPr>
          <w:rFonts w:ascii="Times New Roman" w:hAnsi="Times New Roman" w:cs="Times New Roman"/>
          <w:sz w:val="24"/>
          <w:szCs w:val="24"/>
        </w:rPr>
        <w:t xml:space="preserve"> raise the problem of what they refer to as an “isolated derivative”</w:t>
      </w:r>
      <w:r>
        <w:rPr>
          <w:rFonts w:ascii="Times New Roman" w:hAnsi="Times New Roman" w:cs="Times New Roman"/>
          <w:sz w:val="24"/>
          <w:szCs w:val="24"/>
        </w:rPr>
        <w:t>,</w:t>
      </w:r>
      <w:r w:rsidRPr="00821A96">
        <w:rPr>
          <w:rFonts w:ascii="Times New Roman" w:hAnsi="Times New Roman" w:cs="Times New Roman"/>
          <w:sz w:val="24"/>
          <w:szCs w:val="24"/>
        </w:rPr>
        <w:t xml:space="preserve"> that is a derivative “acquired and utilised without physical access to genetic resources, such as those isolated from their natural environment and available </w:t>
      </w:r>
      <w:r w:rsidRPr="00821A96">
        <w:rPr>
          <w:rFonts w:ascii="Times New Roman" w:hAnsi="Times New Roman" w:cs="Times New Roman"/>
          <w:i/>
          <w:sz w:val="24"/>
          <w:szCs w:val="24"/>
        </w:rPr>
        <w:t>ex situ</w:t>
      </w:r>
      <w:r>
        <w:rPr>
          <w:rFonts w:ascii="Times New Roman" w:hAnsi="Times New Roman" w:cs="Times New Roman"/>
          <w:i/>
          <w:sz w:val="24"/>
          <w:szCs w:val="24"/>
        </w:rPr>
        <w:t>.</w:t>
      </w:r>
      <w:r w:rsidRPr="00821A96">
        <w:rPr>
          <w:rFonts w:ascii="Times New Roman" w:hAnsi="Times New Roman" w:cs="Times New Roman"/>
          <w:sz w:val="24"/>
          <w:szCs w:val="24"/>
        </w:rPr>
        <w:t>”</w:t>
      </w:r>
      <w:r>
        <w:rPr>
          <w:rStyle w:val="FootnoteReference"/>
          <w:rFonts w:ascii="Times New Roman" w:hAnsi="Times New Roman" w:cs="Times New Roman"/>
        </w:rPr>
        <w:footnoteReference w:id="73"/>
      </w:r>
      <w:r>
        <w:rPr>
          <w:rFonts w:ascii="Times New Roman" w:hAnsi="Times New Roman" w:cs="Times New Roman"/>
          <w:sz w:val="24"/>
          <w:szCs w:val="24"/>
        </w:rPr>
        <w:t xml:space="preserve"> Although they argue that such compounds fall within the scope of “utilization of genetic resources” they are concerned that there may be</w:t>
      </w:r>
      <w:r w:rsidRPr="00E033C4">
        <w:rPr>
          <w:rFonts w:ascii="Times New Roman" w:hAnsi="Times New Roman" w:cs="Times New Roman"/>
          <w:sz w:val="24"/>
          <w:szCs w:val="24"/>
        </w:rPr>
        <w:t xml:space="preserve"> variations in nation</w:t>
      </w:r>
      <w:r>
        <w:rPr>
          <w:rFonts w:ascii="Times New Roman" w:hAnsi="Times New Roman" w:cs="Times New Roman"/>
          <w:sz w:val="24"/>
          <w:szCs w:val="24"/>
        </w:rPr>
        <w:t>al legislation implementing this aspect of the</w:t>
      </w:r>
      <w:r w:rsidRPr="00E033C4">
        <w:rPr>
          <w:rFonts w:ascii="Times New Roman" w:hAnsi="Times New Roman" w:cs="Times New Roman"/>
          <w:sz w:val="24"/>
          <w:szCs w:val="24"/>
        </w:rPr>
        <w:t xml:space="preserve"> Protocol</w:t>
      </w:r>
      <w:r>
        <w:rPr>
          <w:rFonts w:ascii="Times New Roman" w:hAnsi="Times New Roman" w:cs="Times New Roman"/>
          <w:sz w:val="24"/>
          <w:szCs w:val="24"/>
        </w:rPr>
        <w:t>.</w:t>
      </w:r>
    </w:p>
    <w:p w:rsidR="00470D82" w:rsidRPr="008B527C" w:rsidRDefault="00115E71" w:rsidP="004D2611">
      <w:pPr>
        <w:spacing w:line="360" w:lineRule="auto"/>
        <w:jc w:val="both"/>
        <w:rPr>
          <w:rFonts w:ascii="Times New Roman" w:hAnsi="Times New Roman" w:cs="Times New Roman"/>
          <w:sz w:val="24"/>
          <w:szCs w:val="24"/>
        </w:rPr>
      </w:pPr>
      <w:r>
        <w:rPr>
          <w:rFonts w:ascii="Times New Roman" w:hAnsi="Times New Roman" w:cs="Times New Roman"/>
          <w:sz w:val="24"/>
          <w:szCs w:val="24"/>
        </w:rPr>
        <w:t>This author sees no realistic difficulty in interpreting “</w:t>
      </w:r>
      <w:r w:rsidRPr="009A018A">
        <w:rPr>
          <w:rFonts w:ascii="Times New Roman" w:hAnsi="Times New Roman" w:cs="Times New Roman"/>
          <w:sz w:val="24"/>
          <w:szCs w:val="24"/>
        </w:rPr>
        <w:t>research and development on the genetic and/or biochemical composition of genetic resources</w:t>
      </w:r>
      <w:r>
        <w:rPr>
          <w:rFonts w:ascii="Times New Roman" w:hAnsi="Times New Roman" w:cs="Times New Roman"/>
          <w:sz w:val="24"/>
          <w:szCs w:val="24"/>
        </w:rPr>
        <w:t xml:space="preserve">” as encompassing work on such an isolated derivative. The mere fact that a naturally occurring compound has been </w:t>
      </w:r>
      <w:r w:rsidR="001C1A66">
        <w:rPr>
          <w:rFonts w:ascii="Times New Roman" w:hAnsi="Times New Roman" w:cs="Times New Roman"/>
          <w:sz w:val="24"/>
          <w:szCs w:val="24"/>
        </w:rPr>
        <w:t xml:space="preserve">physically </w:t>
      </w:r>
      <w:r>
        <w:rPr>
          <w:rFonts w:ascii="Times New Roman" w:hAnsi="Times New Roman" w:cs="Times New Roman"/>
          <w:sz w:val="24"/>
          <w:szCs w:val="24"/>
        </w:rPr>
        <w:t xml:space="preserve">isolated from its genetic resource source makes it no less a constituent part of </w:t>
      </w:r>
      <w:r w:rsidRPr="009A018A">
        <w:rPr>
          <w:rFonts w:ascii="Times New Roman" w:hAnsi="Times New Roman" w:cs="Times New Roman"/>
          <w:sz w:val="24"/>
          <w:szCs w:val="24"/>
        </w:rPr>
        <w:t xml:space="preserve">biochemical </w:t>
      </w:r>
      <w:r w:rsidRPr="009A018A">
        <w:rPr>
          <w:rFonts w:ascii="Times New Roman" w:hAnsi="Times New Roman" w:cs="Times New Roman"/>
          <w:sz w:val="24"/>
          <w:szCs w:val="24"/>
        </w:rPr>
        <w:lastRenderedPageBreak/>
        <w:t>composition</w:t>
      </w:r>
      <w:r>
        <w:rPr>
          <w:rFonts w:ascii="Times New Roman" w:hAnsi="Times New Roman" w:cs="Times New Roman"/>
          <w:sz w:val="24"/>
          <w:szCs w:val="24"/>
        </w:rPr>
        <w:t xml:space="preserve"> and </w:t>
      </w:r>
      <w:r w:rsidRPr="00FD0382">
        <w:rPr>
          <w:rFonts w:ascii="Times New Roman" w:hAnsi="Times New Roman" w:cs="Times New Roman"/>
          <w:i/>
          <w:sz w:val="24"/>
          <w:szCs w:val="24"/>
        </w:rPr>
        <w:t>in vitro</w:t>
      </w:r>
      <w:r>
        <w:rPr>
          <w:rFonts w:ascii="Times New Roman" w:hAnsi="Times New Roman" w:cs="Times New Roman"/>
          <w:sz w:val="24"/>
          <w:szCs w:val="24"/>
        </w:rPr>
        <w:t xml:space="preserve"> (or indeed </w:t>
      </w:r>
      <w:r w:rsidRPr="00FD0382">
        <w:rPr>
          <w:rFonts w:ascii="Times New Roman" w:hAnsi="Times New Roman" w:cs="Times New Roman"/>
          <w:i/>
          <w:sz w:val="24"/>
          <w:szCs w:val="24"/>
        </w:rPr>
        <w:t>in silico</w:t>
      </w:r>
      <w:r>
        <w:rPr>
          <w:rFonts w:ascii="Times New Roman" w:hAnsi="Times New Roman" w:cs="Times New Roman"/>
          <w:sz w:val="24"/>
          <w:szCs w:val="24"/>
        </w:rPr>
        <w:t xml:space="preserve">) study of it no less study of the </w:t>
      </w:r>
      <w:r w:rsidRPr="009A018A">
        <w:rPr>
          <w:rFonts w:ascii="Times New Roman" w:hAnsi="Times New Roman" w:cs="Times New Roman"/>
          <w:sz w:val="24"/>
          <w:szCs w:val="24"/>
        </w:rPr>
        <w:t xml:space="preserve">biochemical </w:t>
      </w:r>
      <w:r>
        <w:rPr>
          <w:rFonts w:ascii="Times New Roman" w:hAnsi="Times New Roman" w:cs="Times New Roman"/>
          <w:sz w:val="24"/>
          <w:szCs w:val="24"/>
        </w:rPr>
        <w:t>composition of genetic resource source.</w:t>
      </w:r>
      <w:r w:rsidR="00C32545">
        <w:rPr>
          <w:rStyle w:val="FootnoteReference"/>
          <w:rFonts w:ascii="Times New Roman" w:hAnsi="Times New Roman" w:cs="Times New Roman"/>
          <w:color w:val="000000"/>
          <w:sz w:val="24"/>
          <w:szCs w:val="24"/>
        </w:rPr>
        <w:footnoteReference w:id="74"/>
      </w:r>
      <w:r>
        <w:rPr>
          <w:rFonts w:ascii="Times New Roman" w:hAnsi="Times New Roman" w:cs="Times New Roman"/>
          <w:sz w:val="24"/>
          <w:szCs w:val="24"/>
        </w:rPr>
        <w:t xml:space="preserve"> </w:t>
      </w:r>
    </w:p>
    <w:p w:rsidR="00115E71" w:rsidRPr="00590664" w:rsidRDefault="00115E71" w:rsidP="00115E71">
      <w:pPr>
        <w:pStyle w:val="Heading2"/>
        <w:spacing w:line="360" w:lineRule="auto"/>
      </w:pPr>
      <w:bookmarkStart w:id="17" w:name="_Toc423964365"/>
      <w:bookmarkStart w:id="18" w:name="_Toc446411535"/>
      <w:r>
        <w:t xml:space="preserve">The problem of </w:t>
      </w:r>
      <w:r w:rsidRPr="00590664">
        <w:t>“Chemical Derivatives”</w:t>
      </w:r>
      <w:bookmarkEnd w:id="17"/>
      <w:bookmarkEnd w:id="18"/>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provided above would appear to strongly suggest that research and development on the naturally occurring biochemical compounds resulting from genetic expression </w:t>
      </w:r>
      <w:r w:rsidR="004E7645">
        <w:rPr>
          <w:rFonts w:ascii="Times New Roman" w:hAnsi="Times New Roman" w:cs="Times New Roman"/>
          <w:sz w:val="24"/>
          <w:szCs w:val="24"/>
        </w:rPr>
        <w:t>(</w:t>
      </w:r>
      <w:r>
        <w:rPr>
          <w:rFonts w:ascii="Times New Roman" w:hAnsi="Times New Roman" w:cs="Times New Roman"/>
          <w:sz w:val="24"/>
          <w:szCs w:val="24"/>
        </w:rPr>
        <w:t>or cellular metabolism of a genetic resource</w:t>
      </w:r>
      <w:r w:rsidR="004E7645">
        <w:rPr>
          <w:rFonts w:ascii="Times New Roman" w:hAnsi="Times New Roman" w:cs="Times New Roman"/>
          <w:sz w:val="24"/>
          <w:szCs w:val="24"/>
        </w:rPr>
        <w:t>)</w:t>
      </w:r>
      <w:r>
        <w:rPr>
          <w:rFonts w:ascii="Times New Roman" w:hAnsi="Times New Roman" w:cs="Times New Roman"/>
          <w:sz w:val="24"/>
          <w:szCs w:val="24"/>
        </w:rPr>
        <w:t xml:space="preserve"> falls within the scope of “utilization of genetic resources” for the purposes of the benefit sharing provisions of Article 5 of the Protocol. </w:t>
      </w:r>
    </w:p>
    <w:p w:rsidR="00115E71"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as </w:t>
      </w:r>
      <w:r w:rsidR="00FA20F0">
        <w:rPr>
          <w:rFonts w:ascii="Times New Roman" w:hAnsi="Times New Roman" w:cs="Times New Roman"/>
          <w:sz w:val="24"/>
          <w:szCs w:val="24"/>
        </w:rPr>
        <w:t xml:space="preserve">discussed, </w:t>
      </w:r>
      <w:r>
        <w:rPr>
          <w:rFonts w:ascii="Times New Roman" w:hAnsi="Times New Roman" w:cs="Times New Roman"/>
          <w:sz w:val="24"/>
          <w:szCs w:val="24"/>
        </w:rPr>
        <w:t>the identification and isolation of such a compound (though often of great importance) is often merely the beginning of a research and development trail aimed at the production of chemicals, which though based upon the original compound, are chemically modified such as to enhance their biological efficacy and bioavailability and reduce their side-effect profile relative to the original compound. Within the field of biochemistry such compounds are referred to as chemical derivatives (or more simply</w:t>
      </w:r>
      <w:r w:rsidR="00B81830">
        <w:rPr>
          <w:rFonts w:ascii="Times New Roman" w:hAnsi="Times New Roman" w:cs="Times New Roman"/>
          <w:sz w:val="24"/>
          <w:szCs w:val="24"/>
        </w:rPr>
        <w:t xml:space="preserve"> as just</w:t>
      </w:r>
      <w:r>
        <w:rPr>
          <w:rFonts w:ascii="Times New Roman" w:hAnsi="Times New Roman" w:cs="Times New Roman"/>
          <w:sz w:val="24"/>
          <w:szCs w:val="24"/>
        </w:rPr>
        <w:t xml:space="preserve"> </w:t>
      </w:r>
      <w:r w:rsidR="00B81830">
        <w:rPr>
          <w:rFonts w:ascii="Times New Roman" w:hAnsi="Times New Roman" w:cs="Times New Roman"/>
          <w:sz w:val="24"/>
          <w:szCs w:val="24"/>
        </w:rPr>
        <w:t>“</w:t>
      </w:r>
      <w:r>
        <w:rPr>
          <w:rFonts w:ascii="Times New Roman" w:hAnsi="Times New Roman" w:cs="Times New Roman"/>
          <w:sz w:val="24"/>
          <w:szCs w:val="24"/>
        </w:rPr>
        <w:t>derivatives</w:t>
      </w:r>
      <w:r w:rsidR="00A80D4F">
        <w:rPr>
          <w:rFonts w:ascii="Times New Roman" w:hAnsi="Times New Roman" w:cs="Times New Roman"/>
          <w:sz w:val="24"/>
          <w:szCs w:val="24"/>
        </w:rPr>
        <w:t>”</w:t>
      </w:r>
      <w:r>
        <w:rPr>
          <w:rFonts w:ascii="Times New Roman" w:hAnsi="Times New Roman" w:cs="Times New Roman"/>
          <w:sz w:val="24"/>
          <w:szCs w:val="24"/>
        </w:rPr>
        <w:t>) of the original biochemical.</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t>
      </w:r>
    </w:p>
    <w:p w:rsidR="00115E71" w:rsidRDefault="00115E71" w:rsidP="00115E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One might suggest that</w:t>
      </w:r>
      <w:r w:rsidR="00641052">
        <w:rPr>
          <w:rFonts w:ascii="Times New Roman" w:hAnsi="Times New Roman" w:cs="Times New Roman"/>
          <w:sz w:val="24"/>
          <w:szCs w:val="24"/>
        </w:rPr>
        <w:t>,</w:t>
      </w:r>
      <w:r>
        <w:rPr>
          <w:rFonts w:ascii="Times New Roman" w:hAnsi="Times New Roman" w:cs="Times New Roman"/>
          <w:sz w:val="24"/>
          <w:szCs w:val="24"/>
        </w:rPr>
        <w:t xml:space="preserve"> in the light of the long-standing use of the term “derivative” within the field of biochemistry</w:t>
      </w:r>
      <w:r w:rsidR="00641052">
        <w:rPr>
          <w:rFonts w:ascii="Times New Roman" w:hAnsi="Times New Roman" w:cs="Times New Roman"/>
          <w:sz w:val="24"/>
          <w:szCs w:val="24"/>
        </w:rPr>
        <w:t>,</w:t>
      </w:r>
      <w:r>
        <w:rPr>
          <w:rFonts w:ascii="Times New Roman" w:hAnsi="Times New Roman" w:cs="Times New Roman"/>
          <w:sz w:val="24"/>
          <w:szCs w:val="24"/>
        </w:rPr>
        <w:t xml:space="preserve"> the use of the term “derivative” within the Protocol is unfortunate and potentially confusing.</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Notwithstanding this potential confusion, we need to be absolutely clear; the reference to “Derivative” within the Protocol is </w:t>
      </w:r>
      <w:r w:rsidRPr="004230A6">
        <w:rPr>
          <w:rFonts w:ascii="Times New Roman" w:hAnsi="Times New Roman" w:cs="Times New Roman"/>
          <w:i/>
          <w:sz w:val="24"/>
          <w:szCs w:val="24"/>
        </w:rPr>
        <w:t>not</w:t>
      </w:r>
      <w:r>
        <w:rPr>
          <w:rFonts w:ascii="Times New Roman" w:hAnsi="Times New Roman" w:cs="Times New Roman"/>
          <w:sz w:val="24"/>
          <w:szCs w:val="24"/>
        </w:rPr>
        <w:t xml:space="preserve"> a reference to </w:t>
      </w:r>
      <w:r w:rsidR="009F6E55">
        <w:rPr>
          <w:rFonts w:ascii="Times New Roman" w:hAnsi="Times New Roman" w:cs="Times New Roman"/>
          <w:sz w:val="24"/>
          <w:szCs w:val="24"/>
        </w:rPr>
        <w:t>hu</w:t>
      </w:r>
      <w:r>
        <w:rPr>
          <w:rFonts w:ascii="Times New Roman" w:hAnsi="Times New Roman" w:cs="Times New Roman"/>
          <w:sz w:val="24"/>
          <w:szCs w:val="24"/>
        </w:rPr>
        <w:t>man-made chemical derivatives, but (as we have seen) has a very specific given meaning in the Protocol, being:</w:t>
      </w:r>
    </w:p>
    <w:p w:rsidR="00470D82" w:rsidRDefault="00470D82" w:rsidP="00115E71">
      <w:pPr>
        <w:autoSpaceDE w:val="0"/>
        <w:autoSpaceDN w:val="0"/>
        <w:adjustRightInd w:val="0"/>
        <w:spacing w:after="0" w:line="360" w:lineRule="auto"/>
        <w:jc w:val="both"/>
        <w:rPr>
          <w:rFonts w:ascii="Times New Roman" w:hAnsi="Times New Roman" w:cs="Times New Roman"/>
          <w:sz w:val="24"/>
          <w:szCs w:val="24"/>
        </w:rPr>
      </w:pPr>
    </w:p>
    <w:p w:rsidR="00115E71" w:rsidRPr="00FB35D0" w:rsidRDefault="00115E71" w:rsidP="00115E71">
      <w:pPr>
        <w:spacing w:line="360" w:lineRule="auto"/>
        <w:ind w:left="567"/>
        <w:jc w:val="both"/>
        <w:rPr>
          <w:rFonts w:ascii="Times New Roman" w:hAnsi="Times New Roman" w:cs="Times New Roman"/>
          <w:sz w:val="24"/>
          <w:szCs w:val="24"/>
        </w:rPr>
      </w:pPr>
      <w:r w:rsidRPr="00FB35D0">
        <w:rPr>
          <w:rFonts w:ascii="Times New Roman" w:hAnsi="Times New Roman" w:cs="Times New Roman"/>
          <w:sz w:val="24"/>
          <w:szCs w:val="24"/>
        </w:rPr>
        <w:t>“a naturally occurring biochemical compound resulting from the genetic expression or metabolism of biological or genetic resources, even if it does not contain functional units of heredity.”</w:t>
      </w:r>
      <w:r>
        <w:rPr>
          <w:rStyle w:val="FootnoteReference"/>
          <w:rFonts w:ascii="Times New Roman" w:hAnsi="Times New Roman" w:cs="Times New Roman"/>
          <w:sz w:val="24"/>
          <w:szCs w:val="24"/>
        </w:rPr>
        <w:footnoteReference w:id="77"/>
      </w:r>
    </w:p>
    <w:p w:rsidR="00115E71" w:rsidRDefault="00115E71" w:rsidP="00115E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By definition then, the meaning of the phrase “</w:t>
      </w:r>
      <w:r w:rsidRPr="00FB35D0">
        <w:rPr>
          <w:rFonts w:ascii="Times New Roman" w:hAnsi="Times New Roman" w:cs="Times New Roman"/>
          <w:sz w:val="24"/>
          <w:szCs w:val="24"/>
        </w:rPr>
        <w:t>naturally occurring</w:t>
      </w:r>
      <w:r>
        <w:rPr>
          <w:rFonts w:ascii="Times New Roman" w:hAnsi="Times New Roman" w:cs="Times New Roman"/>
          <w:sz w:val="24"/>
          <w:szCs w:val="24"/>
        </w:rPr>
        <w:t>”</w:t>
      </w:r>
      <w:r w:rsidRPr="00FB35D0">
        <w:rPr>
          <w:rFonts w:ascii="Times New Roman" w:hAnsi="Times New Roman" w:cs="Times New Roman"/>
          <w:sz w:val="24"/>
          <w:szCs w:val="24"/>
        </w:rPr>
        <w:t xml:space="preserve"> </w:t>
      </w:r>
      <w:r>
        <w:rPr>
          <w:rFonts w:ascii="Times New Roman" w:hAnsi="Times New Roman" w:cs="Times New Roman"/>
          <w:sz w:val="24"/>
          <w:szCs w:val="24"/>
        </w:rPr>
        <w:t xml:space="preserve">excludes any </w:t>
      </w:r>
      <w:r w:rsidR="009F6E55">
        <w:rPr>
          <w:rFonts w:ascii="Times New Roman" w:hAnsi="Times New Roman" w:cs="Times New Roman"/>
          <w:sz w:val="24"/>
          <w:szCs w:val="24"/>
        </w:rPr>
        <w:t>hu</w:t>
      </w:r>
      <w:r>
        <w:rPr>
          <w:rFonts w:ascii="Times New Roman" w:hAnsi="Times New Roman" w:cs="Times New Roman"/>
          <w:sz w:val="24"/>
          <w:szCs w:val="24"/>
        </w:rPr>
        <w:t xml:space="preserve">man-made, non-naturally chemical derivatives. However, we should not be confused into believing that this limitation could assist us in the broader question of whether chemical derivatives fall within the scope of Article 5.  The operative effect of the term </w:t>
      </w:r>
      <w:r w:rsidRPr="00E352E6">
        <w:rPr>
          <w:rFonts w:ascii="Times New Roman" w:hAnsi="Times New Roman" w:cs="Times New Roman"/>
          <w:sz w:val="24"/>
          <w:szCs w:val="24"/>
        </w:rPr>
        <w:t>“Derivative”</w:t>
      </w:r>
      <w:r>
        <w:rPr>
          <w:rFonts w:ascii="Times New Roman" w:hAnsi="Times New Roman" w:cs="Times New Roman"/>
          <w:sz w:val="24"/>
          <w:szCs w:val="24"/>
        </w:rPr>
        <w:t xml:space="preserve"> has been examined above, and</w:t>
      </w:r>
      <w:r w:rsidR="004E7645">
        <w:rPr>
          <w:rFonts w:ascii="Times New Roman" w:hAnsi="Times New Roman" w:cs="Times New Roman"/>
          <w:sz w:val="24"/>
          <w:szCs w:val="24"/>
        </w:rPr>
        <w:t>,</w:t>
      </w:r>
      <w:r>
        <w:rPr>
          <w:rFonts w:ascii="Times New Roman" w:hAnsi="Times New Roman" w:cs="Times New Roman"/>
          <w:sz w:val="24"/>
          <w:szCs w:val="24"/>
        </w:rPr>
        <w:t xml:space="preserve"> as this term is used within Article 2 of the Protocol (as a non-limiting example of “Biochemistry”)</w:t>
      </w:r>
      <w:r w:rsidR="004E7645">
        <w:rPr>
          <w:rFonts w:ascii="Times New Roman" w:hAnsi="Times New Roman" w:cs="Times New Roman"/>
          <w:sz w:val="24"/>
          <w:szCs w:val="24"/>
        </w:rPr>
        <w:t>,</w:t>
      </w:r>
      <w:r>
        <w:rPr>
          <w:rFonts w:ascii="Times New Roman" w:hAnsi="Times New Roman" w:cs="Times New Roman"/>
          <w:sz w:val="24"/>
          <w:szCs w:val="24"/>
        </w:rPr>
        <w:t xml:space="preserve"> it would not operate to </w:t>
      </w:r>
      <w:r w:rsidRPr="000A36B5">
        <w:rPr>
          <w:rFonts w:ascii="Times New Roman" w:hAnsi="Times New Roman" w:cs="Times New Roman"/>
          <w:sz w:val="24"/>
          <w:szCs w:val="24"/>
        </w:rPr>
        <w:t xml:space="preserve">extend the scope of the meaning of research and development on genetic resources. </w:t>
      </w:r>
      <w:r w:rsidRPr="009F1753">
        <w:rPr>
          <w:rFonts w:ascii="Times New Roman" w:hAnsi="Times New Roman" w:cs="Times New Roman"/>
          <w:sz w:val="24"/>
          <w:szCs w:val="24"/>
        </w:rPr>
        <w:t xml:space="preserve">Crucially, however, neither would its limited scope </w:t>
      </w:r>
      <w:r>
        <w:rPr>
          <w:rFonts w:ascii="Times New Roman" w:hAnsi="Times New Roman" w:cs="Times New Roman"/>
          <w:sz w:val="24"/>
          <w:szCs w:val="24"/>
        </w:rPr>
        <w:t xml:space="preserve">(of itself) </w:t>
      </w:r>
      <w:r w:rsidRPr="009F1753">
        <w:rPr>
          <w:rFonts w:ascii="Times New Roman" w:hAnsi="Times New Roman" w:cs="Times New Roman"/>
          <w:sz w:val="24"/>
          <w:szCs w:val="24"/>
        </w:rPr>
        <w:t>operate to limit the scope of meaning of research and development on genetic resources to research and development upon naturally occurring compounds alone.</w:t>
      </w:r>
      <w:r>
        <w:rPr>
          <w:rStyle w:val="FootnoteReference"/>
          <w:rFonts w:ascii="Times New Roman" w:hAnsi="Times New Roman" w:cs="Times New Roman"/>
          <w:sz w:val="24"/>
          <w:szCs w:val="24"/>
        </w:rPr>
        <w:footnoteReference w:id="78"/>
      </w:r>
    </w:p>
    <w:p w:rsidR="00115E71" w:rsidRDefault="00115E71" w:rsidP="00115E71">
      <w:pPr>
        <w:autoSpaceDE w:val="0"/>
        <w:autoSpaceDN w:val="0"/>
        <w:adjustRightInd w:val="0"/>
        <w:spacing w:after="0" w:line="360" w:lineRule="auto"/>
        <w:jc w:val="both"/>
        <w:rPr>
          <w:rFonts w:ascii="Times New Roman" w:hAnsi="Times New Roman" w:cs="Times New Roman"/>
          <w:sz w:val="24"/>
          <w:szCs w:val="24"/>
        </w:rPr>
      </w:pPr>
    </w:p>
    <w:p w:rsidR="00115E71" w:rsidRDefault="00115E71" w:rsidP="00115E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 to this question of interpretation (if there is one) has to lie in the definition of “utilization of genetic resources” and particularly the phrase “research and development on the biochemical composition of genetic resources”. </w:t>
      </w:r>
    </w:p>
    <w:p w:rsidR="00115E71" w:rsidRDefault="00115E71" w:rsidP="00115E71">
      <w:pPr>
        <w:autoSpaceDE w:val="0"/>
        <w:autoSpaceDN w:val="0"/>
        <w:adjustRightInd w:val="0"/>
        <w:spacing w:after="0" w:line="360" w:lineRule="auto"/>
        <w:jc w:val="both"/>
        <w:rPr>
          <w:rFonts w:ascii="Times New Roman" w:hAnsi="Times New Roman" w:cs="Times New Roman"/>
          <w:sz w:val="24"/>
          <w:szCs w:val="24"/>
        </w:rPr>
      </w:pPr>
    </w:p>
    <w:p w:rsidR="00115E71" w:rsidRPr="00F50DA1" w:rsidRDefault="00115E71" w:rsidP="00115E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Assuming “biochemical composition of genetic resources” to mean the products of genetic expression, we can be reasonably confident that </w:t>
      </w:r>
      <w:r>
        <w:rPr>
          <w:rFonts w:ascii="Times New Roman" w:hAnsi="Times New Roman" w:cs="Times New Roman"/>
          <w:color w:val="000000"/>
          <w:sz w:val="24"/>
          <w:szCs w:val="24"/>
        </w:rPr>
        <w:t xml:space="preserve">the following broad classes of substances created by the </w:t>
      </w:r>
      <w:r w:rsidRPr="00922BBB">
        <w:rPr>
          <w:rFonts w:ascii="Times New Roman" w:hAnsi="Times New Roman" w:cs="Times New Roman"/>
          <w:color w:val="000000"/>
          <w:sz w:val="24"/>
          <w:szCs w:val="24"/>
        </w:rPr>
        <w:t xml:space="preserve">metabolism of </w:t>
      </w:r>
      <w:r>
        <w:rPr>
          <w:rFonts w:ascii="Times New Roman" w:hAnsi="Times New Roman" w:cs="Times New Roman"/>
          <w:color w:val="000000"/>
          <w:sz w:val="24"/>
          <w:szCs w:val="24"/>
        </w:rPr>
        <w:t xml:space="preserve">a </w:t>
      </w:r>
      <w:r w:rsidRPr="00922BBB">
        <w:rPr>
          <w:rFonts w:ascii="Times New Roman" w:hAnsi="Times New Roman" w:cs="Times New Roman"/>
          <w:color w:val="000000"/>
          <w:sz w:val="24"/>
          <w:szCs w:val="24"/>
        </w:rPr>
        <w:t>genetic resource</w:t>
      </w:r>
      <w:r>
        <w:rPr>
          <w:rFonts w:ascii="Times New Roman" w:hAnsi="Times New Roman" w:cs="Times New Roman"/>
          <w:color w:val="000000"/>
          <w:sz w:val="24"/>
          <w:szCs w:val="24"/>
        </w:rPr>
        <w:t xml:space="preserve"> would fall within the provisions of Article 5:</w:t>
      </w:r>
    </w:p>
    <w:p w:rsidR="00115E71" w:rsidRPr="00922BBB" w:rsidRDefault="00115E71" w:rsidP="00115E71">
      <w:pPr>
        <w:autoSpaceDE w:val="0"/>
        <w:autoSpaceDN w:val="0"/>
        <w:adjustRightInd w:val="0"/>
        <w:spacing w:after="0" w:line="360" w:lineRule="auto"/>
        <w:jc w:val="both"/>
        <w:rPr>
          <w:rFonts w:ascii="Times New Roman" w:hAnsi="Times New Roman" w:cs="Times New Roman"/>
          <w:color w:val="000000"/>
          <w:sz w:val="24"/>
          <w:szCs w:val="24"/>
        </w:rPr>
      </w:pPr>
    </w:p>
    <w:p w:rsidR="00115E71" w:rsidRPr="00922BBB" w:rsidRDefault="00115E71" w:rsidP="006041EA">
      <w:pPr>
        <w:pStyle w:val="ListParagraph"/>
        <w:numPr>
          <w:ilvl w:val="0"/>
          <w:numId w:val="3"/>
        </w:numPr>
        <w:autoSpaceDE w:val="0"/>
        <w:autoSpaceDN w:val="0"/>
        <w:adjustRightInd w:val="0"/>
        <w:spacing w:line="360" w:lineRule="auto"/>
        <w:contextualSpacing/>
        <w:jc w:val="both"/>
        <w:rPr>
          <w:color w:val="000000"/>
        </w:rPr>
      </w:pPr>
      <w:r w:rsidRPr="00922BBB">
        <w:rPr>
          <w:color w:val="000000"/>
        </w:rPr>
        <w:t>a naturally occurring RNA strand produced directly from the transcription of the DNA of the organism;</w:t>
      </w:r>
    </w:p>
    <w:p w:rsidR="00115E71" w:rsidRPr="00922BBB" w:rsidRDefault="00115E71" w:rsidP="00115E71">
      <w:pPr>
        <w:autoSpaceDE w:val="0"/>
        <w:autoSpaceDN w:val="0"/>
        <w:adjustRightInd w:val="0"/>
        <w:spacing w:after="0" w:line="360" w:lineRule="auto"/>
        <w:jc w:val="both"/>
        <w:rPr>
          <w:rFonts w:ascii="Times New Roman" w:hAnsi="Times New Roman" w:cs="Times New Roman"/>
          <w:color w:val="000000"/>
          <w:sz w:val="24"/>
          <w:szCs w:val="24"/>
        </w:rPr>
      </w:pPr>
    </w:p>
    <w:p w:rsidR="00115E71" w:rsidRPr="00922BBB" w:rsidRDefault="00115E71" w:rsidP="006041EA">
      <w:pPr>
        <w:pStyle w:val="ListParagraph"/>
        <w:numPr>
          <w:ilvl w:val="0"/>
          <w:numId w:val="3"/>
        </w:numPr>
        <w:autoSpaceDE w:val="0"/>
        <w:autoSpaceDN w:val="0"/>
        <w:adjustRightInd w:val="0"/>
        <w:spacing w:line="360" w:lineRule="auto"/>
        <w:contextualSpacing/>
        <w:jc w:val="both"/>
        <w:rPr>
          <w:color w:val="000000"/>
        </w:rPr>
      </w:pPr>
      <w:r w:rsidRPr="00922BBB">
        <w:rPr>
          <w:color w:val="000000"/>
        </w:rPr>
        <w:t>a naturally occurring protein produced from the transcription/translation of the DNA of the organism;</w:t>
      </w:r>
    </w:p>
    <w:p w:rsidR="00115E71" w:rsidRPr="00922BBB" w:rsidRDefault="00115E71" w:rsidP="00115E71">
      <w:pPr>
        <w:autoSpaceDE w:val="0"/>
        <w:autoSpaceDN w:val="0"/>
        <w:adjustRightInd w:val="0"/>
        <w:spacing w:after="0" w:line="360" w:lineRule="auto"/>
        <w:jc w:val="both"/>
        <w:rPr>
          <w:rFonts w:ascii="Times New Roman" w:hAnsi="Times New Roman" w:cs="Times New Roman"/>
          <w:color w:val="000000"/>
          <w:sz w:val="24"/>
          <w:szCs w:val="24"/>
        </w:rPr>
      </w:pPr>
    </w:p>
    <w:p w:rsidR="00115E71" w:rsidRPr="00922BBB" w:rsidRDefault="00115E71" w:rsidP="006041EA">
      <w:pPr>
        <w:pStyle w:val="ListParagraph"/>
        <w:numPr>
          <w:ilvl w:val="0"/>
          <w:numId w:val="3"/>
        </w:numPr>
        <w:autoSpaceDE w:val="0"/>
        <w:autoSpaceDN w:val="0"/>
        <w:adjustRightInd w:val="0"/>
        <w:spacing w:line="360" w:lineRule="auto"/>
        <w:contextualSpacing/>
        <w:jc w:val="both"/>
        <w:rPr>
          <w:color w:val="000000"/>
        </w:rPr>
      </w:pPr>
      <w:r w:rsidRPr="00922BBB">
        <w:rPr>
          <w:color w:val="000000"/>
        </w:rPr>
        <w:t>glycosylated protein (such as a functional enzyme) produced from the metabolism of the protein produced in (b) above; and</w:t>
      </w:r>
    </w:p>
    <w:p w:rsidR="00115E71" w:rsidRPr="00922BBB" w:rsidRDefault="00115E71" w:rsidP="00115E71">
      <w:pPr>
        <w:autoSpaceDE w:val="0"/>
        <w:autoSpaceDN w:val="0"/>
        <w:adjustRightInd w:val="0"/>
        <w:spacing w:after="0" w:line="360" w:lineRule="auto"/>
        <w:jc w:val="both"/>
        <w:rPr>
          <w:rFonts w:ascii="Times New Roman" w:hAnsi="Times New Roman" w:cs="Times New Roman"/>
          <w:color w:val="000000"/>
          <w:sz w:val="24"/>
          <w:szCs w:val="24"/>
        </w:rPr>
      </w:pPr>
    </w:p>
    <w:p w:rsidR="00115E71" w:rsidRDefault="00115E71" w:rsidP="006041EA">
      <w:pPr>
        <w:pStyle w:val="ListParagraph"/>
        <w:numPr>
          <w:ilvl w:val="0"/>
          <w:numId w:val="3"/>
        </w:numPr>
        <w:autoSpaceDE w:val="0"/>
        <w:autoSpaceDN w:val="0"/>
        <w:adjustRightInd w:val="0"/>
        <w:spacing w:line="360" w:lineRule="auto"/>
        <w:contextualSpacing/>
        <w:jc w:val="both"/>
        <w:rPr>
          <w:color w:val="000000"/>
        </w:rPr>
      </w:pPr>
      <w:r w:rsidRPr="00922BBB">
        <w:rPr>
          <w:color w:val="000000"/>
        </w:rPr>
        <w:t>biochemical compound</w:t>
      </w:r>
      <w:r>
        <w:rPr>
          <w:color w:val="000000"/>
        </w:rPr>
        <w:t xml:space="preserve"> (“X”)</w:t>
      </w:r>
      <w:r w:rsidRPr="00922BBB">
        <w:rPr>
          <w:color w:val="000000"/>
        </w:rPr>
        <w:t xml:space="preserve"> </w:t>
      </w:r>
      <w:r>
        <w:rPr>
          <w:color w:val="000000"/>
        </w:rPr>
        <w:t>whose synthesis was catalysed by the enzyme in (c) above.</w:t>
      </w:r>
    </w:p>
    <w:p w:rsidR="00115E71" w:rsidRPr="00DE151B" w:rsidRDefault="00115E71" w:rsidP="00115E71">
      <w:pPr>
        <w:pStyle w:val="ListParagraph"/>
        <w:spacing w:line="360" w:lineRule="auto"/>
        <w:rPr>
          <w:color w:val="000000"/>
        </w:rPr>
      </w:pPr>
    </w:p>
    <w:p w:rsidR="00115E71" w:rsidRDefault="004E7645"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Clearly</w:t>
      </w:r>
      <w:r w:rsidR="00115E71">
        <w:rPr>
          <w:rFonts w:ascii="Times New Roman" w:hAnsi="Times New Roman" w:cs="Times New Roman"/>
          <w:sz w:val="24"/>
          <w:szCs w:val="24"/>
        </w:rPr>
        <w:t>,</w:t>
      </w:r>
      <w:r w:rsidR="00115E71" w:rsidRPr="00D3107B">
        <w:rPr>
          <w:rFonts w:ascii="Times New Roman" w:hAnsi="Times New Roman" w:cs="Times New Roman"/>
          <w:sz w:val="24"/>
          <w:szCs w:val="24"/>
        </w:rPr>
        <w:t xml:space="preserve"> a chemical derivative of the biochemical </w:t>
      </w:r>
      <w:r w:rsidR="00115E71">
        <w:rPr>
          <w:rFonts w:ascii="Times New Roman" w:hAnsi="Times New Roman" w:cs="Times New Roman"/>
          <w:sz w:val="24"/>
          <w:szCs w:val="24"/>
        </w:rPr>
        <w:t>“X”</w:t>
      </w:r>
      <w:r w:rsidR="00115E71" w:rsidRPr="00D3107B">
        <w:rPr>
          <w:rFonts w:ascii="Times New Roman" w:hAnsi="Times New Roman" w:cs="Times New Roman"/>
          <w:sz w:val="24"/>
          <w:szCs w:val="24"/>
        </w:rPr>
        <w:t xml:space="preserve"> above is not a member of the set of </w:t>
      </w:r>
      <w:r w:rsidR="00115E71">
        <w:rPr>
          <w:rFonts w:ascii="Times New Roman" w:hAnsi="Times New Roman" w:cs="Times New Roman"/>
          <w:sz w:val="24"/>
          <w:szCs w:val="24"/>
        </w:rPr>
        <w:t>endogenous</w:t>
      </w:r>
      <w:r w:rsidR="00115E71" w:rsidRPr="00D3107B">
        <w:rPr>
          <w:rFonts w:ascii="Times New Roman" w:hAnsi="Times New Roman" w:cs="Times New Roman"/>
          <w:sz w:val="24"/>
          <w:szCs w:val="24"/>
        </w:rPr>
        <w:t xml:space="preserve"> compounds which are naturally produced within </w:t>
      </w:r>
      <w:r>
        <w:rPr>
          <w:rFonts w:ascii="Times New Roman" w:hAnsi="Times New Roman" w:cs="Times New Roman"/>
          <w:sz w:val="24"/>
          <w:szCs w:val="24"/>
        </w:rPr>
        <w:t xml:space="preserve">a cell by genetic expression and </w:t>
      </w:r>
      <w:r w:rsidR="00115E71">
        <w:rPr>
          <w:rFonts w:ascii="Times New Roman" w:hAnsi="Times New Roman" w:cs="Times New Roman"/>
          <w:sz w:val="24"/>
          <w:szCs w:val="24"/>
        </w:rPr>
        <w:t xml:space="preserve">it would not be part of the “biochemical composition” of the genetic resource. </w:t>
      </w:r>
    </w:p>
    <w:p w:rsidR="00F939F3" w:rsidRDefault="00115E71" w:rsidP="00F939F3">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Could, however, the production of a chemical derivative of “X” (called hereafter “X-A”) be considered to be part of the </w:t>
      </w:r>
      <w:r w:rsidR="00641052">
        <w:rPr>
          <w:rFonts w:ascii="Times New Roman" w:hAnsi="Times New Roman" w:cs="Times New Roman"/>
          <w:sz w:val="24"/>
          <w:szCs w:val="24"/>
        </w:rPr>
        <w:t>“research and development” on X?</w:t>
      </w:r>
      <w:r>
        <w:rPr>
          <w:rFonts w:ascii="Times New Roman" w:hAnsi="Times New Roman" w:cs="Times New Roman"/>
          <w:sz w:val="24"/>
          <w:szCs w:val="24"/>
        </w:rPr>
        <w:t xml:space="preserve"> </w:t>
      </w:r>
      <w:r w:rsidR="00BE0643">
        <w:rPr>
          <w:rFonts w:ascii="Times New Roman" w:hAnsi="Times New Roman" w:cs="Times New Roman"/>
          <w:sz w:val="24"/>
          <w:szCs w:val="24"/>
        </w:rPr>
        <w:t>T</w:t>
      </w:r>
      <w:r>
        <w:rPr>
          <w:rFonts w:ascii="Times New Roman" w:hAnsi="Times New Roman" w:cs="Times New Roman"/>
          <w:sz w:val="24"/>
          <w:szCs w:val="24"/>
        </w:rPr>
        <w:t xml:space="preserve">he use of chemical derivatives of an endogenous biochemical can be used to enhance our understanding of the interaction between X and the intra- or extra-cellular target through which X has a biological effect. Is this sufficient to constitute research on the </w:t>
      </w:r>
      <w:r w:rsidRPr="00F01678">
        <w:rPr>
          <w:rFonts w:ascii="Times New Roman" w:hAnsi="Times New Roman" w:cs="Times New Roman"/>
          <w:i/>
          <w:sz w:val="24"/>
          <w:szCs w:val="24"/>
        </w:rPr>
        <w:t>original</w:t>
      </w:r>
      <w:r>
        <w:rPr>
          <w:rFonts w:ascii="Times New Roman" w:hAnsi="Times New Roman" w:cs="Times New Roman"/>
          <w:sz w:val="24"/>
          <w:szCs w:val="24"/>
        </w:rPr>
        <w:t xml:space="preserve"> substance?</w:t>
      </w:r>
      <w:r w:rsidR="00F939F3">
        <w:rPr>
          <w:rFonts w:ascii="Times New Roman" w:hAnsi="Times New Roman" w:cs="Times New Roman"/>
          <w:sz w:val="24"/>
          <w:szCs w:val="24"/>
        </w:rPr>
        <w:t xml:space="preserve"> Although </w:t>
      </w:r>
      <w:r w:rsidR="00F939F3" w:rsidRPr="00CB7920">
        <w:rPr>
          <w:rFonts w:ascii="Times New Roman" w:hAnsi="Times New Roman" w:cs="Times New Roman"/>
          <w:color w:val="000000"/>
          <w:sz w:val="24"/>
          <w:szCs w:val="24"/>
        </w:rPr>
        <w:t>Correa</w:t>
      </w:r>
      <w:r w:rsidR="00F939F3">
        <w:rPr>
          <w:rFonts w:ascii="Times New Roman" w:hAnsi="Times New Roman" w:cs="Times New Roman"/>
          <w:color w:val="000000"/>
          <w:sz w:val="24"/>
          <w:szCs w:val="24"/>
        </w:rPr>
        <w:t xml:space="preserve"> is comfortable that a broad definition of </w:t>
      </w:r>
      <w:r w:rsidR="00A80D4F">
        <w:rPr>
          <w:rFonts w:ascii="Times New Roman" w:hAnsi="Times New Roman" w:cs="Times New Roman"/>
          <w:color w:val="000000"/>
          <w:sz w:val="24"/>
          <w:szCs w:val="24"/>
        </w:rPr>
        <w:t>“</w:t>
      </w:r>
      <w:r w:rsidR="00F939F3" w:rsidRPr="0029079A">
        <w:rPr>
          <w:rFonts w:ascii="Times New Roman" w:hAnsi="Times New Roman" w:cs="Times New Roman"/>
          <w:color w:val="000000"/>
          <w:sz w:val="24"/>
          <w:szCs w:val="24"/>
        </w:rPr>
        <w:t>re</w:t>
      </w:r>
      <w:r w:rsidR="00A80D4F">
        <w:rPr>
          <w:rFonts w:ascii="Times New Roman" w:hAnsi="Times New Roman" w:cs="Times New Roman"/>
          <w:color w:val="000000"/>
          <w:sz w:val="24"/>
          <w:szCs w:val="24"/>
        </w:rPr>
        <w:t>search and development”</w:t>
      </w:r>
      <w:r w:rsidR="00F939F3" w:rsidRPr="00F939F3">
        <w:rPr>
          <w:rFonts w:ascii="Times New Roman" w:hAnsi="Times New Roman" w:cs="Times New Roman"/>
          <w:color w:val="000000"/>
          <w:sz w:val="24"/>
          <w:szCs w:val="24"/>
        </w:rPr>
        <w:t xml:space="preserve"> </w:t>
      </w:r>
      <w:r w:rsidR="00F939F3">
        <w:rPr>
          <w:rFonts w:ascii="Times New Roman" w:hAnsi="Times New Roman" w:cs="Times New Roman"/>
          <w:color w:val="000000"/>
          <w:sz w:val="24"/>
          <w:szCs w:val="24"/>
        </w:rPr>
        <w:t xml:space="preserve">would mean that the </w:t>
      </w:r>
      <w:r w:rsidR="00F939F3" w:rsidRPr="0029079A">
        <w:rPr>
          <w:rFonts w:ascii="Times New Roman" w:hAnsi="Times New Roman" w:cs="Times New Roman"/>
          <w:color w:val="000000"/>
          <w:sz w:val="24"/>
          <w:szCs w:val="24"/>
        </w:rPr>
        <w:t>benefit</w:t>
      </w:r>
      <w:r w:rsidR="00F939F3">
        <w:rPr>
          <w:rFonts w:ascii="Times New Roman" w:hAnsi="Times New Roman" w:cs="Times New Roman"/>
          <w:color w:val="000000"/>
          <w:sz w:val="24"/>
          <w:szCs w:val="24"/>
        </w:rPr>
        <w:t xml:space="preserve"> sharing obligations of the Protocol would</w:t>
      </w:r>
      <w:r w:rsidR="00F939F3" w:rsidRPr="0029079A">
        <w:rPr>
          <w:rFonts w:ascii="Times New Roman" w:hAnsi="Times New Roman" w:cs="Times New Roman"/>
          <w:color w:val="000000"/>
          <w:sz w:val="24"/>
          <w:szCs w:val="24"/>
        </w:rPr>
        <w:t xml:space="preserve"> encompass</w:t>
      </w:r>
      <w:r w:rsidR="00F939F3">
        <w:rPr>
          <w:rFonts w:ascii="Times New Roman" w:hAnsi="Times New Roman" w:cs="Times New Roman"/>
          <w:color w:val="000000"/>
          <w:sz w:val="24"/>
          <w:szCs w:val="24"/>
        </w:rPr>
        <w:t xml:space="preserve"> work upon </w:t>
      </w:r>
      <w:r w:rsidR="00062D30">
        <w:rPr>
          <w:rFonts w:ascii="Times New Roman" w:hAnsi="Times New Roman" w:cs="Times New Roman"/>
          <w:color w:val="000000"/>
          <w:sz w:val="24"/>
          <w:szCs w:val="24"/>
        </w:rPr>
        <w:t xml:space="preserve">a </w:t>
      </w:r>
      <w:r w:rsidR="00F939F3">
        <w:rPr>
          <w:rFonts w:ascii="Times New Roman" w:hAnsi="Times New Roman" w:cs="Times New Roman"/>
          <w:color w:val="000000"/>
          <w:sz w:val="24"/>
          <w:szCs w:val="24"/>
        </w:rPr>
        <w:t>naturally</w:t>
      </w:r>
      <w:r w:rsidR="004E7645">
        <w:rPr>
          <w:rFonts w:ascii="Times New Roman" w:hAnsi="Times New Roman" w:cs="Times New Roman"/>
          <w:color w:val="000000"/>
          <w:sz w:val="24"/>
          <w:szCs w:val="24"/>
        </w:rPr>
        <w:t xml:space="preserve"> occurring biochemical compound, h</w:t>
      </w:r>
      <w:r w:rsidR="00F939F3">
        <w:rPr>
          <w:rFonts w:ascii="Times New Roman" w:hAnsi="Times New Roman" w:cs="Times New Roman"/>
          <w:color w:val="000000"/>
          <w:sz w:val="24"/>
          <w:szCs w:val="24"/>
        </w:rPr>
        <w:t>e states that</w:t>
      </w:r>
      <w:r w:rsidR="004E7645">
        <w:rPr>
          <w:rFonts w:ascii="Times New Roman" w:hAnsi="Times New Roman" w:cs="Times New Roman"/>
          <w:color w:val="000000"/>
          <w:sz w:val="24"/>
          <w:szCs w:val="24"/>
        </w:rPr>
        <w:t>:</w:t>
      </w:r>
      <w:r w:rsidR="00F939F3">
        <w:rPr>
          <w:rFonts w:ascii="Times New Roman" w:hAnsi="Times New Roman" w:cs="Times New Roman"/>
          <w:color w:val="000000"/>
          <w:sz w:val="24"/>
          <w:szCs w:val="24"/>
        </w:rPr>
        <w:t xml:space="preserve"> </w:t>
      </w:r>
    </w:p>
    <w:p w:rsidR="00115E71" w:rsidRPr="00F939F3" w:rsidRDefault="00F939F3" w:rsidP="00F939F3">
      <w:pPr>
        <w:spacing w:line="360" w:lineRule="auto"/>
        <w:ind w:left="567"/>
        <w:jc w:val="both"/>
      </w:pPr>
      <w:r w:rsidRPr="00F939F3">
        <w:rPr>
          <w:rFonts w:ascii="Times New Roman" w:hAnsi="Times New Roman" w:cs="Times New Roman"/>
          <w:color w:val="000000"/>
          <w:sz w:val="24"/>
          <w:szCs w:val="24"/>
        </w:rPr>
        <w:t>“</w:t>
      </w:r>
      <w:r w:rsidR="00115E71" w:rsidRPr="00F939F3">
        <w:rPr>
          <w:rFonts w:ascii="Times New Roman" w:hAnsi="Times New Roman" w:cs="Times New Roman"/>
          <w:color w:val="000000"/>
          <w:sz w:val="24"/>
          <w:szCs w:val="24"/>
        </w:rPr>
        <w:t xml:space="preserve">the extent to </w:t>
      </w:r>
      <w:r w:rsidR="00115E71" w:rsidRPr="00F939F3">
        <w:rPr>
          <w:rFonts w:ascii="Times New Roman" w:hAnsi="Times New Roman" w:cs="Times New Roman"/>
          <w:sz w:val="24"/>
          <w:szCs w:val="24"/>
        </w:rPr>
        <w:t>which</w:t>
      </w:r>
      <w:r w:rsidR="00115E71" w:rsidRPr="00F939F3">
        <w:rPr>
          <w:rFonts w:ascii="Times New Roman" w:hAnsi="Times New Roman" w:cs="Times New Roman"/>
          <w:color w:val="000000"/>
          <w:sz w:val="24"/>
          <w:szCs w:val="24"/>
        </w:rPr>
        <w:t xml:space="preserve"> it would apply to downstream products derived, in turn, from such compounds is less clear.</w:t>
      </w:r>
      <w:r w:rsidR="00115E71" w:rsidRPr="00F939F3">
        <w:rPr>
          <w:rStyle w:val="FootnoteReference"/>
          <w:rFonts w:ascii="Times New Roman" w:hAnsi="Times New Roman" w:cs="Times New Roman"/>
          <w:color w:val="000000"/>
          <w:sz w:val="24"/>
          <w:szCs w:val="24"/>
        </w:rPr>
        <w:footnoteReference w:id="79"/>
      </w:r>
    </w:p>
    <w:p w:rsidR="00115E71" w:rsidRPr="00B16E09" w:rsidRDefault="00115E71" w:rsidP="00115E71">
      <w:pPr>
        <w:spacing w:line="360" w:lineRule="auto"/>
        <w:jc w:val="both"/>
        <w:rPr>
          <w:rFonts w:ascii="Times New Roman" w:hAnsi="Times New Roman" w:cs="Times New Roman"/>
          <w:sz w:val="24"/>
          <w:szCs w:val="24"/>
        </w:rPr>
      </w:pPr>
      <w:r>
        <w:rPr>
          <w:rFonts w:ascii="Times New Roman" w:hAnsi="Times New Roman" w:cs="Times New Roman"/>
          <w:sz w:val="24"/>
          <w:szCs w:val="24"/>
        </w:rPr>
        <w:t>Aubertin &amp; Filoche</w:t>
      </w:r>
      <w:r>
        <w:rPr>
          <w:rStyle w:val="FootnoteReference"/>
          <w:rFonts w:ascii="Times New Roman" w:hAnsi="Times New Roman" w:cs="Times New Roman"/>
          <w:sz w:val="24"/>
          <w:szCs w:val="24"/>
        </w:rPr>
        <w:footnoteReference w:id="80"/>
      </w:r>
      <w:r w:rsidRPr="002B7FDC">
        <w:rPr>
          <w:rFonts w:ascii="Times New Roman" w:hAnsi="Times New Roman" w:cs="Times New Roman"/>
          <w:i/>
          <w:sz w:val="24"/>
          <w:szCs w:val="24"/>
        </w:rPr>
        <w:t xml:space="preserve"> </w:t>
      </w:r>
      <w:r>
        <w:rPr>
          <w:rFonts w:ascii="Times New Roman" w:hAnsi="Times New Roman" w:cs="Times New Roman"/>
          <w:sz w:val="24"/>
          <w:szCs w:val="24"/>
        </w:rPr>
        <w:t xml:space="preserve">are </w:t>
      </w:r>
      <w:r>
        <w:rPr>
          <w:rFonts w:ascii="Times New Roman" w:hAnsi="Times New Roman" w:cs="Times New Roman"/>
          <w:color w:val="000000"/>
          <w:sz w:val="24"/>
          <w:szCs w:val="24"/>
        </w:rPr>
        <w:t>somewhat more certain</w:t>
      </w:r>
      <w:r w:rsidR="007C653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state:</w:t>
      </w:r>
    </w:p>
    <w:p w:rsidR="00115E71" w:rsidRDefault="00436EE9" w:rsidP="00115E71">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15E71" w:rsidRPr="00E352E6">
        <w:rPr>
          <w:rFonts w:ascii="Times New Roman" w:hAnsi="Times New Roman" w:cs="Times New Roman"/>
          <w:sz w:val="24"/>
          <w:szCs w:val="24"/>
        </w:rPr>
        <w:t xml:space="preserve">By presenting derivatives as nothing more than a biochemical compound from a living organism, </w:t>
      </w:r>
      <w:r w:rsidR="00115E71" w:rsidRPr="00436EE9">
        <w:rPr>
          <w:rFonts w:ascii="Times New Roman" w:hAnsi="Times New Roman" w:cs="Times New Roman"/>
          <w:sz w:val="24"/>
          <w:szCs w:val="24"/>
        </w:rPr>
        <w:t xml:space="preserve">claims relating to synthetic molecules with a structure similar to a natural substance fall outside the scope of the Protocol. It would therefore appear that a natural molecule which has been synthesized and altered does not fall within the scope of the Protocol, even if it was “inspired” by nature.” </w:t>
      </w:r>
    </w:p>
    <w:p w:rsidR="00BE0643" w:rsidRPr="00E352E6" w:rsidRDefault="00BE0643" w:rsidP="00115E71">
      <w:pPr>
        <w:autoSpaceDE w:val="0"/>
        <w:autoSpaceDN w:val="0"/>
        <w:adjustRightInd w:val="0"/>
        <w:spacing w:after="0" w:line="360" w:lineRule="auto"/>
        <w:ind w:left="720"/>
        <w:jc w:val="both"/>
        <w:rPr>
          <w:rFonts w:ascii="Times New Roman" w:hAnsi="Times New Roman" w:cs="Times New Roman"/>
          <w:sz w:val="24"/>
          <w:szCs w:val="24"/>
        </w:rPr>
      </w:pPr>
    </w:p>
    <w:p w:rsidR="00115E71" w:rsidRPr="005171AE" w:rsidRDefault="00115E71" w:rsidP="00115E71">
      <w:pPr>
        <w:spacing w:line="360" w:lineRule="auto"/>
        <w:jc w:val="both"/>
        <w:rPr>
          <w:rFonts w:ascii="Times New Roman" w:hAnsi="Times New Roman" w:cs="Times New Roman"/>
          <w:color w:val="000000"/>
          <w:sz w:val="24"/>
          <w:szCs w:val="24"/>
        </w:rPr>
      </w:pPr>
      <w:r w:rsidRPr="00CF53E3">
        <w:rPr>
          <w:rFonts w:ascii="Times New Roman" w:hAnsi="Times New Roman" w:cs="Times New Roman"/>
          <w:color w:val="000000"/>
          <w:sz w:val="24"/>
          <w:szCs w:val="24"/>
        </w:rPr>
        <w:t xml:space="preserve">As discussed above, the </w:t>
      </w:r>
      <w:r w:rsidR="00062D30">
        <w:rPr>
          <w:rFonts w:ascii="Times New Roman" w:hAnsi="Times New Roman" w:cs="Times New Roman"/>
          <w:color w:val="000000"/>
          <w:sz w:val="24"/>
          <w:szCs w:val="24"/>
        </w:rPr>
        <w:t>GTLE</w:t>
      </w:r>
      <w:r w:rsidRPr="00CF53E3">
        <w:rPr>
          <w:rFonts w:ascii="Times New Roman" w:hAnsi="Times New Roman" w:cs="Times New Roman"/>
          <w:color w:val="000000"/>
          <w:sz w:val="24"/>
          <w:szCs w:val="24"/>
        </w:rPr>
        <w:t xml:space="preserve"> arrived at a non-exhaustive list of “typical uses” of genetic resources.</w:t>
      </w:r>
      <w:r w:rsidR="00062D30" w:rsidRPr="00CF53E3">
        <w:rPr>
          <w:sz w:val="24"/>
          <w:szCs w:val="24"/>
          <w:vertAlign w:val="superscript"/>
        </w:rPr>
        <w:footnoteReference w:id="81"/>
      </w:r>
      <w:r w:rsidRPr="00CF53E3">
        <w:rPr>
          <w:rFonts w:ascii="Times New Roman" w:hAnsi="Times New Roman" w:cs="Times New Roman"/>
          <w:color w:val="000000"/>
          <w:sz w:val="24"/>
          <w:szCs w:val="24"/>
        </w:rPr>
        <w:t xml:space="preserve"> Amongst that long list there was one use that could arguably be construed as encompassing a chemical derivative namely:  </w:t>
      </w:r>
    </w:p>
    <w:p w:rsidR="00115E71" w:rsidRPr="00CF53E3" w:rsidRDefault="00115E71" w:rsidP="00115E71">
      <w:pPr>
        <w:spacing w:line="360" w:lineRule="auto"/>
        <w:ind w:left="567"/>
        <w:jc w:val="both"/>
        <w:rPr>
          <w:rFonts w:ascii="Times New Roman" w:hAnsi="Times New Roman" w:cs="Times New Roman"/>
          <w:color w:val="000000"/>
          <w:sz w:val="24"/>
          <w:szCs w:val="24"/>
        </w:rPr>
      </w:pPr>
      <w:r w:rsidRPr="00CF53E3">
        <w:rPr>
          <w:rFonts w:ascii="Times New Roman" w:hAnsi="Times New Roman" w:cs="Times New Roman"/>
          <w:color w:val="000000"/>
          <w:sz w:val="24"/>
          <w:szCs w:val="24"/>
        </w:rPr>
        <w:t xml:space="preserve">“Use of genetic material as a "factory" to produce organic compounds, such as: Active compounds for pharmaceutical production” </w:t>
      </w:r>
    </w:p>
    <w:p w:rsidR="00115E71" w:rsidRDefault="00115E71" w:rsidP="00115E71">
      <w:pPr>
        <w:spacing w:line="360" w:lineRule="auto"/>
        <w:jc w:val="both"/>
        <w:rPr>
          <w:rFonts w:ascii="Times New Roman" w:hAnsi="Times New Roman" w:cs="Times New Roman"/>
          <w:color w:val="000000"/>
          <w:sz w:val="24"/>
          <w:szCs w:val="24"/>
        </w:rPr>
      </w:pPr>
      <w:r w:rsidRPr="00CF53E3">
        <w:rPr>
          <w:rFonts w:ascii="Times New Roman" w:hAnsi="Times New Roman" w:cs="Times New Roman"/>
          <w:color w:val="000000"/>
          <w:sz w:val="24"/>
          <w:szCs w:val="24"/>
        </w:rPr>
        <w:t xml:space="preserve">However, since the list of organic compounds to be manufactured concludes with “Other naturally occurring compounds” it would appear that the active compounds envisaged are </w:t>
      </w:r>
      <w:r w:rsidRPr="00BD048A">
        <w:rPr>
          <w:rFonts w:ascii="Times New Roman" w:hAnsi="Times New Roman" w:cs="Times New Roman"/>
          <w:i/>
          <w:color w:val="000000"/>
          <w:sz w:val="24"/>
          <w:szCs w:val="24"/>
        </w:rPr>
        <w:lastRenderedPageBreak/>
        <w:t>naturally occurring</w:t>
      </w:r>
      <w:r w:rsidRPr="00CF53E3">
        <w:rPr>
          <w:rFonts w:ascii="Times New Roman" w:hAnsi="Times New Roman" w:cs="Times New Roman"/>
          <w:color w:val="000000"/>
          <w:sz w:val="24"/>
          <w:szCs w:val="24"/>
        </w:rPr>
        <w:t xml:space="preserve"> rather than </w:t>
      </w:r>
      <w:r w:rsidR="009F6E55">
        <w:rPr>
          <w:rFonts w:ascii="Times New Roman" w:hAnsi="Times New Roman" w:cs="Times New Roman"/>
          <w:color w:val="000000"/>
          <w:sz w:val="24"/>
          <w:szCs w:val="24"/>
        </w:rPr>
        <w:t>hu</w:t>
      </w:r>
      <w:r w:rsidRPr="00CF53E3">
        <w:rPr>
          <w:rFonts w:ascii="Times New Roman" w:hAnsi="Times New Roman" w:cs="Times New Roman"/>
          <w:color w:val="000000"/>
          <w:sz w:val="24"/>
          <w:szCs w:val="24"/>
        </w:rPr>
        <w:t xml:space="preserve">man-made derivatives.  Overall the uses are </w:t>
      </w:r>
      <w:r>
        <w:rPr>
          <w:rFonts w:ascii="Times New Roman" w:hAnsi="Times New Roman" w:cs="Times New Roman"/>
          <w:color w:val="000000"/>
          <w:sz w:val="24"/>
          <w:szCs w:val="24"/>
        </w:rPr>
        <w:t>entirely</w:t>
      </w:r>
      <w:r w:rsidRPr="00CF53E3">
        <w:rPr>
          <w:rFonts w:ascii="Times New Roman" w:hAnsi="Times New Roman" w:cs="Times New Roman"/>
          <w:color w:val="000000"/>
          <w:sz w:val="24"/>
          <w:szCs w:val="24"/>
        </w:rPr>
        <w:t xml:space="preserve"> focussed on work on naturally occurring</w:t>
      </w:r>
      <w:r>
        <w:rPr>
          <w:rFonts w:ascii="Times New Roman" w:hAnsi="Times New Roman" w:cs="Times New Roman"/>
          <w:color w:val="000000"/>
          <w:sz w:val="24"/>
          <w:szCs w:val="24"/>
        </w:rPr>
        <w:t xml:space="preserve"> substances</w:t>
      </w:r>
      <w:r w:rsidRPr="00CF53E3">
        <w:rPr>
          <w:rFonts w:ascii="Times New Roman" w:hAnsi="Times New Roman" w:cs="Times New Roman"/>
          <w:color w:val="000000"/>
          <w:sz w:val="24"/>
          <w:szCs w:val="24"/>
        </w:rPr>
        <w:t xml:space="preserve">. A similar approach is taken in respect of a discussion on the meaning of “derivatives”. </w:t>
      </w:r>
      <w:r w:rsidR="004E7645">
        <w:rPr>
          <w:rFonts w:ascii="Times New Roman" w:hAnsi="Times New Roman" w:cs="Times New Roman"/>
          <w:color w:val="000000"/>
          <w:sz w:val="24"/>
          <w:szCs w:val="24"/>
        </w:rPr>
        <w:t>So, a</w:t>
      </w:r>
      <w:r w:rsidRPr="00CF53E3">
        <w:rPr>
          <w:rFonts w:ascii="Times New Roman" w:hAnsi="Times New Roman" w:cs="Times New Roman"/>
          <w:color w:val="000000"/>
          <w:sz w:val="24"/>
          <w:szCs w:val="24"/>
        </w:rPr>
        <w:t xml:space="preserve">lthough an opportunity was there </w:t>
      </w:r>
      <w:r>
        <w:rPr>
          <w:rFonts w:ascii="Times New Roman" w:hAnsi="Times New Roman" w:cs="Times New Roman"/>
          <w:color w:val="000000"/>
          <w:sz w:val="24"/>
          <w:szCs w:val="24"/>
        </w:rPr>
        <w:t>for the drafters of the Protocol to</w:t>
      </w:r>
      <w:r w:rsidRPr="00CF53E3">
        <w:rPr>
          <w:rFonts w:ascii="Times New Roman" w:hAnsi="Times New Roman" w:cs="Times New Roman"/>
          <w:color w:val="000000"/>
          <w:sz w:val="24"/>
          <w:szCs w:val="24"/>
        </w:rPr>
        <w:t xml:space="preserve"> specifically identify</w:t>
      </w:r>
      <w:r w:rsidR="00A80D4F">
        <w:rPr>
          <w:rFonts w:ascii="Times New Roman" w:hAnsi="Times New Roman" w:cs="Times New Roman"/>
          <w:color w:val="000000"/>
          <w:sz w:val="24"/>
          <w:szCs w:val="24"/>
        </w:rPr>
        <w:t xml:space="preserve"> human-made</w:t>
      </w:r>
      <w:r w:rsidRPr="00CF53E3">
        <w:rPr>
          <w:rFonts w:ascii="Times New Roman" w:hAnsi="Times New Roman" w:cs="Times New Roman"/>
          <w:color w:val="000000"/>
          <w:sz w:val="24"/>
          <w:szCs w:val="24"/>
        </w:rPr>
        <w:t xml:space="preserve"> </w:t>
      </w:r>
      <w:r w:rsidRPr="00F01678">
        <w:rPr>
          <w:rFonts w:ascii="Times New Roman" w:hAnsi="Times New Roman" w:cs="Times New Roman"/>
          <w:i/>
          <w:color w:val="000000"/>
          <w:sz w:val="24"/>
          <w:szCs w:val="24"/>
        </w:rPr>
        <w:t>chemical</w:t>
      </w:r>
      <w:r w:rsidRPr="00CF53E3">
        <w:rPr>
          <w:rFonts w:ascii="Times New Roman" w:hAnsi="Times New Roman" w:cs="Times New Roman"/>
          <w:color w:val="000000"/>
          <w:sz w:val="24"/>
          <w:szCs w:val="24"/>
        </w:rPr>
        <w:t xml:space="preserve"> derivatives of the biochemical composition of genetic resources</w:t>
      </w:r>
      <w:r w:rsidR="00977ABD">
        <w:rPr>
          <w:rFonts w:ascii="Times New Roman" w:hAnsi="Times New Roman" w:cs="Times New Roman"/>
          <w:color w:val="000000"/>
          <w:sz w:val="24"/>
          <w:szCs w:val="24"/>
        </w:rPr>
        <w:t xml:space="preserve">, </w:t>
      </w:r>
      <w:r w:rsidR="004E7645">
        <w:rPr>
          <w:rFonts w:ascii="Times New Roman" w:hAnsi="Times New Roman" w:cs="Times New Roman"/>
          <w:color w:val="000000"/>
          <w:sz w:val="24"/>
          <w:szCs w:val="24"/>
        </w:rPr>
        <w:t>that</w:t>
      </w:r>
      <w:r w:rsidRPr="00CF53E3">
        <w:rPr>
          <w:rFonts w:ascii="Times New Roman" w:hAnsi="Times New Roman" w:cs="Times New Roman"/>
          <w:color w:val="000000"/>
          <w:sz w:val="24"/>
          <w:szCs w:val="24"/>
        </w:rPr>
        <w:t xml:space="preserve"> opportunity was not taken.</w:t>
      </w:r>
    </w:p>
    <w:p w:rsidR="00977ABD" w:rsidRDefault="001711B2" w:rsidP="007A1406">
      <w:pPr>
        <w:pStyle w:val="NormalWeb"/>
        <w:spacing w:line="360" w:lineRule="auto"/>
        <w:jc w:val="both"/>
        <w:rPr>
          <w:color w:val="000000"/>
        </w:rPr>
      </w:pPr>
      <w:r>
        <w:rPr>
          <w:color w:val="000000"/>
        </w:rPr>
        <w:t>In relation to “derivatives”</w:t>
      </w:r>
      <w:r w:rsidR="004E7645">
        <w:rPr>
          <w:color w:val="000000"/>
        </w:rPr>
        <w:t>,</w:t>
      </w:r>
      <w:r>
        <w:rPr>
          <w:color w:val="000000"/>
        </w:rPr>
        <w:t xml:space="preserve"> </w:t>
      </w:r>
      <w:r w:rsidR="004E7645">
        <w:rPr>
          <w:color w:val="000000"/>
        </w:rPr>
        <w:t xml:space="preserve">for this author </w:t>
      </w:r>
      <w:r>
        <w:rPr>
          <w:color w:val="000000"/>
        </w:rPr>
        <w:t xml:space="preserve">the Commission Notice </w:t>
      </w:r>
      <w:r w:rsidR="007A1406">
        <w:rPr>
          <w:color w:val="000000"/>
        </w:rPr>
        <w:t>gloss</w:t>
      </w:r>
      <w:r w:rsidR="004E7645">
        <w:rPr>
          <w:color w:val="000000"/>
        </w:rPr>
        <w:t>es</w:t>
      </w:r>
      <w:r w:rsidR="007A1406">
        <w:rPr>
          <w:color w:val="000000"/>
        </w:rPr>
        <w:t xml:space="preserve"> over t</w:t>
      </w:r>
      <w:r w:rsidR="00977ABD">
        <w:rPr>
          <w:color w:val="000000"/>
        </w:rPr>
        <w:t xml:space="preserve">he doctrinal problems outlined </w:t>
      </w:r>
      <w:r w:rsidR="007A1406">
        <w:rPr>
          <w:color w:val="000000"/>
        </w:rPr>
        <w:t>above</w:t>
      </w:r>
      <w:r w:rsidR="00977ABD">
        <w:rPr>
          <w:color w:val="000000"/>
        </w:rPr>
        <w:t>. It states that:</w:t>
      </w:r>
    </w:p>
    <w:p w:rsidR="00977ABD" w:rsidRPr="00977ABD" w:rsidRDefault="00F37409" w:rsidP="00977ABD">
      <w:pPr>
        <w:spacing w:line="360" w:lineRule="auto"/>
        <w:ind w:left="567"/>
        <w:jc w:val="both"/>
        <w:rPr>
          <w:color w:val="000000"/>
          <w:sz w:val="24"/>
          <w:szCs w:val="24"/>
        </w:rPr>
      </w:pPr>
      <w:r>
        <w:rPr>
          <w:rFonts w:ascii="Times New Roman" w:hAnsi="Times New Roman" w:cs="Times New Roman"/>
          <w:color w:val="000000"/>
          <w:sz w:val="24"/>
          <w:szCs w:val="24"/>
        </w:rPr>
        <w:t>“</w:t>
      </w:r>
      <w:r w:rsidR="001711B2" w:rsidRPr="00977ABD">
        <w:rPr>
          <w:rFonts w:ascii="Times New Roman" w:hAnsi="Times New Roman" w:cs="Times New Roman"/>
          <w:color w:val="000000"/>
          <w:sz w:val="24"/>
          <w:szCs w:val="24"/>
        </w:rPr>
        <w:t>through the concept of ‘biotechnology’, the definition of utilisation is interlinked with the definition of ‘derivatives’ in Article 2(e) of the Protocol, which clarifies that ‘derivative’ means ‘a naturally occurring biochemical compound resulting from the genetic expression or metabolism of biological or genetic resources, even if it does not contain functional units of heredity</w:t>
      </w:r>
      <w:r w:rsidR="007A1406" w:rsidRPr="00977ABD">
        <w:rPr>
          <w:rFonts w:ascii="Times New Roman" w:hAnsi="Times New Roman" w:cs="Times New Roman"/>
          <w:color w:val="000000"/>
          <w:sz w:val="24"/>
          <w:szCs w:val="24"/>
        </w:rPr>
        <w:t>”.</w:t>
      </w:r>
      <w:r w:rsidR="007A1406" w:rsidRPr="00977ABD">
        <w:rPr>
          <w:rStyle w:val="FootnoteReference"/>
          <w:rFonts w:ascii="Times New Roman" w:hAnsi="Times New Roman" w:cs="Times New Roman"/>
          <w:color w:val="000000"/>
          <w:sz w:val="24"/>
          <w:szCs w:val="24"/>
        </w:rPr>
        <w:footnoteReference w:id="82"/>
      </w:r>
      <w:r w:rsidR="007A1406" w:rsidRPr="00977ABD">
        <w:rPr>
          <w:rFonts w:ascii="Times New Roman" w:hAnsi="Times New Roman" w:cs="Times New Roman"/>
          <w:color w:val="000000"/>
          <w:sz w:val="24"/>
          <w:szCs w:val="24"/>
        </w:rPr>
        <w:t xml:space="preserve"> </w:t>
      </w:r>
    </w:p>
    <w:p w:rsidR="00977ABD" w:rsidRDefault="00977ABD" w:rsidP="007A1406">
      <w:pPr>
        <w:pStyle w:val="NormalWeb"/>
        <w:spacing w:line="360" w:lineRule="auto"/>
        <w:jc w:val="both"/>
        <w:rPr>
          <w:color w:val="000000"/>
        </w:rPr>
      </w:pPr>
      <w:r>
        <w:rPr>
          <w:color w:val="000000"/>
        </w:rPr>
        <w:t>The Commission</w:t>
      </w:r>
      <w:r w:rsidR="007A1406" w:rsidRPr="007A1406">
        <w:rPr>
          <w:color w:val="000000"/>
        </w:rPr>
        <w:t xml:space="preserve"> go on to conclude that</w:t>
      </w:r>
      <w:r>
        <w:rPr>
          <w:color w:val="000000"/>
        </w:rPr>
        <w:t>:</w:t>
      </w:r>
    </w:p>
    <w:p w:rsidR="00977ABD" w:rsidRPr="00977ABD" w:rsidRDefault="007A1406" w:rsidP="00977ABD">
      <w:pPr>
        <w:spacing w:line="360" w:lineRule="auto"/>
        <w:ind w:left="567"/>
        <w:jc w:val="both"/>
        <w:rPr>
          <w:rFonts w:ascii="Times New Roman" w:hAnsi="Times New Roman" w:cs="Times New Roman"/>
          <w:color w:val="000000"/>
          <w:sz w:val="24"/>
          <w:szCs w:val="24"/>
        </w:rPr>
      </w:pPr>
      <w:r w:rsidRPr="00977ABD">
        <w:rPr>
          <w:rFonts w:ascii="Times New Roman" w:hAnsi="Times New Roman" w:cs="Times New Roman"/>
          <w:color w:val="000000"/>
          <w:sz w:val="24"/>
          <w:szCs w:val="24"/>
        </w:rPr>
        <w:t>“</w:t>
      </w:r>
      <w:r w:rsidR="001711B2" w:rsidRPr="00977ABD">
        <w:rPr>
          <w:rFonts w:ascii="Times New Roman" w:hAnsi="Times New Roman" w:cs="Times New Roman"/>
          <w:color w:val="000000"/>
          <w:sz w:val="24"/>
          <w:szCs w:val="24"/>
        </w:rPr>
        <w:t>research and development on derivatives (whether or not containing functional units of heredity) is within scope where they are derived from genetic resour</w:t>
      </w:r>
      <w:r w:rsidR="002B1C9E" w:rsidRPr="00977ABD">
        <w:rPr>
          <w:rFonts w:ascii="Times New Roman" w:hAnsi="Times New Roman" w:cs="Times New Roman"/>
          <w:color w:val="000000"/>
          <w:sz w:val="24"/>
          <w:szCs w:val="24"/>
        </w:rPr>
        <w:t>ces accessed under the Protocol</w:t>
      </w:r>
      <w:r w:rsidRPr="00977ABD">
        <w:rPr>
          <w:rFonts w:ascii="Times New Roman" w:hAnsi="Times New Roman" w:cs="Times New Roman"/>
          <w:color w:val="000000"/>
          <w:sz w:val="24"/>
          <w:szCs w:val="24"/>
        </w:rPr>
        <w:t>”</w:t>
      </w:r>
      <w:r w:rsidR="001711B2" w:rsidRPr="00977ABD">
        <w:rPr>
          <w:rFonts w:ascii="Times New Roman" w:hAnsi="Times New Roman" w:cs="Times New Roman"/>
          <w:color w:val="000000"/>
          <w:sz w:val="24"/>
          <w:szCs w:val="24"/>
        </w:rPr>
        <w:t>.</w:t>
      </w:r>
      <w:r w:rsidR="00977ABD">
        <w:rPr>
          <w:rStyle w:val="FootnoteReference"/>
          <w:rFonts w:ascii="Times New Roman" w:hAnsi="Times New Roman" w:cs="Times New Roman"/>
          <w:color w:val="000000"/>
          <w:sz w:val="24"/>
          <w:szCs w:val="24"/>
        </w:rPr>
        <w:footnoteReference w:id="83"/>
      </w:r>
      <w:r w:rsidR="004B625D" w:rsidRPr="00977ABD">
        <w:rPr>
          <w:rFonts w:ascii="Times New Roman" w:hAnsi="Times New Roman" w:cs="Times New Roman"/>
          <w:color w:val="000000"/>
          <w:sz w:val="24"/>
          <w:szCs w:val="24"/>
        </w:rPr>
        <w:t xml:space="preserve"> </w:t>
      </w:r>
    </w:p>
    <w:p w:rsidR="001711B2" w:rsidRDefault="002B1C9E" w:rsidP="007A1406">
      <w:pPr>
        <w:pStyle w:val="NormalWeb"/>
        <w:spacing w:line="360" w:lineRule="auto"/>
        <w:jc w:val="both"/>
        <w:rPr>
          <w:color w:val="000000"/>
        </w:rPr>
      </w:pPr>
      <w:r>
        <w:rPr>
          <w:color w:val="000000"/>
        </w:rPr>
        <w:t xml:space="preserve">It is however clear from the examples set out by the Commission that the derivatives they refer to are </w:t>
      </w:r>
      <w:r w:rsidRPr="007C653C">
        <w:rPr>
          <w:i/>
          <w:color w:val="000000"/>
        </w:rPr>
        <w:t>naturally</w:t>
      </w:r>
      <w:r>
        <w:rPr>
          <w:color w:val="000000"/>
        </w:rPr>
        <w:t xml:space="preserve"> occurring products of genetic expression, not </w:t>
      </w:r>
      <w:r w:rsidR="00A80D4F">
        <w:rPr>
          <w:color w:val="000000"/>
        </w:rPr>
        <w:t xml:space="preserve">human-made </w:t>
      </w:r>
      <w:r>
        <w:rPr>
          <w:color w:val="000000"/>
        </w:rPr>
        <w:t xml:space="preserve">chemical derivatives thereof.  </w:t>
      </w:r>
    </w:p>
    <w:p w:rsidR="00BD1E59" w:rsidRDefault="00115E71" w:rsidP="00115E71">
      <w:pPr>
        <w:spacing w:line="360" w:lineRule="auto"/>
        <w:jc w:val="both"/>
        <w:rPr>
          <w:rFonts w:ascii="Times New Roman" w:hAnsi="Times New Roman" w:cs="Times New Roman"/>
          <w:sz w:val="24"/>
          <w:szCs w:val="24"/>
        </w:rPr>
      </w:pPr>
      <w:r w:rsidRPr="00FD3DE0">
        <w:rPr>
          <w:rFonts w:ascii="Times New Roman" w:hAnsi="Times New Roman" w:cs="Times New Roman"/>
          <w:color w:val="000000"/>
          <w:sz w:val="24"/>
          <w:szCs w:val="24"/>
        </w:rPr>
        <w:t xml:space="preserve">Overall, </w:t>
      </w:r>
      <w:r w:rsidR="00317CB0">
        <w:rPr>
          <w:rFonts w:ascii="Times New Roman" w:hAnsi="Times New Roman" w:cs="Times New Roman"/>
          <w:color w:val="000000"/>
          <w:sz w:val="24"/>
          <w:szCs w:val="24"/>
        </w:rPr>
        <w:t xml:space="preserve">therefore, </w:t>
      </w:r>
      <w:r w:rsidRPr="00FD3DE0">
        <w:rPr>
          <w:rFonts w:ascii="Times New Roman" w:hAnsi="Times New Roman" w:cs="Times New Roman"/>
          <w:color w:val="000000"/>
          <w:sz w:val="24"/>
          <w:szCs w:val="24"/>
        </w:rPr>
        <w:t xml:space="preserve">one has to conclude that </w:t>
      </w:r>
      <w:r w:rsidRPr="00FD3DE0">
        <w:rPr>
          <w:rFonts w:ascii="Times New Roman" w:hAnsi="Times New Roman" w:cs="Times New Roman"/>
          <w:sz w:val="24"/>
          <w:szCs w:val="24"/>
        </w:rPr>
        <w:t xml:space="preserve">the question of whether “utilization” </w:t>
      </w:r>
      <w:r w:rsidR="002B1C9E" w:rsidRPr="00FD3DE0">
        <w:rPr>
          <w:rFonts w:ascii="Times New Roman" w:hAnsi="Times New Roman" w:cs="Times New Roman"/>
          <w:sz w:val="24"/>
          <w:szCs w:val="24"/>
        </w:rPr>
        <w:t xml:space="preserve">within the meaning of the Protocol </w:t>
      </w:r>
      <w:r w:rsidRPr="00FD3DE0">
        <w:rPr>
          <w:rFonts w:ascii="Times New Roman" w:hAnsi="Times New Roman" w:cs="Times New Roman"/>
          <w:sz w:val="24"/>
          <w:szCs w:val="24"/>
        </w:rPr>
        <w:t xml:space="preserve">includes work on </w:t>
      </w:r>
      <w:r w:rsidRPr="00FD3DE0">
        <w:rPr>
          <w:rFonts w:ascii="Times New Roman" w:hAnsi="Times New Roman" w:cs="Times New Roman"/>
          <w:i/>
          <w:sz w:val="24"/>
          <w:szCs w:val="24"/>
        </w:rPr>
        <w:t>human-made</w:t>
      </w:r>
      <w:r w:rsidRPr="00FD3DE0">
        <w:rPr>
          <w:rFonts w:ascii="Times New Roman" w:hAnsi="Times New Roman" w:cs="Times New Roman"/>
          <w:sz w:val="24"/>
          <w:szCs w:val="24"/>
        </w:rPr>
        <w:t xml:space="preserve"> chemical derivatives of naturally occurring biochemicals remains entirely unclear.</w:t>
      </w:r>
      <w:r w:rsidR="00641052">
        <w:rPr>
          <w:rFonts w:ascii="Times New Roman" w:hAnsi="Times New Roman" w:cs="Times New Roman"/>
          <w:sz w:val="24"/>
          <w:szCs w:val="24"/>
        </w:rPr>
        <w:t xml:space="preserve"> </w:t>
      </w:r>
      <w:r w:rsidR="00317CB0">
        <w:rPr>
          <w:rFonts w:ascii="Times New Roman" w:hAnsi="Times New Roman" w:cs="Times New Roman"/>
          <w:sz w:val="24"/>
          <w:szCs w:val="24"/>
        </w:rPr>
        <w:t>So, i</w:t>
      </w:r>
      <w:r w:rsidR="00BD1E59" w:rsidRPr="00BD1E59">
        <w:rPr>
          <w:rFonts w:ascii="Times New Roman" w:hAnsi="Times New Roman" w:cs="Times New Roman"/>
          <w:sz w:val="24"/>
          <w:szCs w:val="24"/>
        </w:rPr>
        <w:t xml:space="preserve">f </w:t>
      </w:r>
      <w:r w:rsidR="00317CB0">
        <w:rPr>
          <w:rFonts w:ascii="Times New Roman" w:hAnsi="Times New Roman" w:cs="Times New Roman"/>
          <w:sz w:val="24"/>
          <w:szCs w:val="24"/>
        </w:rPr>
        <w:t xml:space="preserve">it is unclear whether </w:t>
      </w:r>
      <w:r w:rsidR="00BD1E59" w:rsidRPr="00BD1E59">
        <w:rPr>
          <w:rFonts w:ascii="Times New Roman" w:hAnsi="Times New Roman" w:cs="Times New Roman"/>
          <w:sz w:val="24"/>
          <w:szCs w:val="24"/>
        </w:rPr>
        <w:t>the Protocol directly cover</w:t>
      </w:r>
      <w:r w:rsidR="00317CB0">
        <w:rPr>
          <w:rFonts w:ascii="Times New Roman" w:hAnsi="Times New Roman" w:cs="Times New Roman"/>
          <w:sz w:val="24"/>
          <w:szCs w:val="24"/>
        </w:rPr>
        <w:t>s</w:t>
      </w:r>
      <w:r w:rsidR="00BD1E59" w:rsidRPr="00BD1E59">
        <w:rPr>
          <w:rFonts w:ascii="Times New Roman" w:hAnsi="Times New Roman" w:cs="Times New Roman"/>
          <w:sz w:val="24"/>
          <w:szCs w:val="24"/>
        </w:rPr>
        <w:t xml:space="preserve"> human-made </w:t>
      </w:r>
      <w:r w:rsidR="00BD1E59" w:rsidRPr="001E2172">
        <w:rPr>
          <w:rFonts w:ascii="Times New Roman" w:hAnsi="Times New Roman" w:cs="Times New Roman"/>
          <w:sz w:val="24"/>
          <w:szCs w:val="24"/>
        </w:rPr>
        <w:t>chemical derivatives</w:t>
      </w:r>
      <w:r w:rsidR="00317CB0">
        <w:rPr>
          <w:rFonts w:ascii="Times New Roman" w:hAnsi="Times New Roman" w:cs="Times New Roman"/>
          <w:sz w:val="24"/>
          <w:szCs w:val="24"/>
        </w:rPr>
        <w:t>,</w:t>
      </w:r>
      <w:r w:rsidR="00BD1E59">
        <w:rPr>
          <w:rFonts w:ascii="Times New Roman" w:hAnsi="Times New Roman" w:cs="Times New Roman"/>
          <w:sz w:val="24"/>
          <w:szCs w:val="24"/>
        </w:rPr>
        <w:t xml:space="preserve"> we need to consider whether more indirect </w:t>
      </w:r>
      <w:r w:rsidR="00BD1E59" w:rsidRPr="00BD1E59">
        <w:rPr>
          <w:rFonts w:ascii="Times New Roman" w:hAnsi="Times New Roman" w:cs="Times New Roman"/>
          <w:i/>
          <w:sz w:val="24"/>
          <w:szCs w:val="24"/>
        </w:rPr>
        <w:t>informational</w:t>
      </w:r>
      <w:r w:rsidR="00BD1E59">
        <w:rPr>
          <w:rFonts w:ascii="Times New Roman" w:hAnsi="Times New Roman" w:cs="Times New Roman"/>
          <w:sz w:val="24"/>
          <w:szCs w:val="24"/>
        </w:rPr>
        <w:t xml:space="preserve"> linkages will lead to downstream use of such derivatives falling within the scope of the Protocol. </w:t>
      </w:r>
      <w:r w:rsidR="00317CB0">
        <w:rPr>
          <w:rFonts w:ascii="Times New Roman" w:hAnsi="Times New Roman" w:cs="Times New Roman"/>
          <w:sz w:val="24"/>
          <w:szCs w:val="24"/>
        </w:rPr>
        <w:t xml:space="preserve">It is to those </w:t>
      </w:r>
      <w:r w:rsidR="00317CB0" w:rsidRPr="00317CB0">
        <w:rPr>
          <w:rFonts w:ascii="Times New Roman" w:hAnsi="Times New Roman" w:cs="Times New Roman"/>
          <w:sz w:val="24"/>
          <w:szCs w:val="24"/>
        </w:rPr>
        <w:t xml:space="preserve">informational </w:t>
      </w:r>
      <w:r w:rsidR="00317CB0">
        <w:rPr>
          <w:rFonts w:ascii="Times New Roman" w:hAnsi="Times New Roman" w:cs="Times New Roman"/>
          <w:sz w:val="24"/>
          <w:szCs w:val="24"/>
        </w:rPr>
        <w:t>linkages that we will now turn.</w:t>
      </w:r>
    </w:p>
    <w:p w:rsidR="00F35DAA" w:rsidRDefault="00F35DAA" w:rsidP="00115E71">
      <w:pPr>
        <w:spacing w:line="360" w:lineRule="auto"/>
        <w:jc w:val="both"/>
        <w:rPr>
          <w:rFonts w:ascii="Times New Roman" w:hAnsi="Times New Roman" w:cs="Times New Roman"/>
          <w:sz w:val="24"/>
          <w:szCs w:val="24"/>
        </w:rPr>
      </w:pPr>
    </w:p>
    <w:p w:rsidR="00BD1E59" w:rsidRPr="00BD1E59" w:rsidRDefault="00BD1E59" w:rsidP="00115E71">
      <w:pPr>
        <w:spacing w:line="360" w:lineRule="auto"/>
        <w:jc w:val="both"/>
        <w:rPr>
          <w:rFonts w:ascii="Times New Roman" w:hAnsi="Times New Roman" w:cs="Times New Roman"/>
          <w:b/>
          <w:sz w:val="24"/>
          <w:szCs w:val="24"/>
        </w:rPr>
      </w:pPr>
      <w:r w:rsidRPr="00BD1E59">
        <w:rPr>
          <w:rFonts w:ascii="Times New Roman" w:hAnsi="Times New Roman" w:cs="Times New Roman"/>
          <w:b/>
          <w:sz w:val="24"/>
          <w:szCs w:val="24"/>
        </w:rPr>
        <w:lastRenderedPageBreak/>
        <w:t>Informational Link</w:t>
      </w:r>
      <w:r w:rsidR="00317CB0">
        <w:rPr>
          <w:rFonts w:ascii="Times New Roman" w:hAnsi="Times New Roman" w:cs="Times New Roman"/>
          <w:b/>
          <w:sz w:val="24"/>
          <w:szCs w:val="24"/>
        </w:rPr>
        <w:t>age</w:t>
      </w:r>
      <w:r w:rsidRPr="00BD1E59">
        <w:rPr>
          <w:rFonts w:ascii="Times New Roman" w:hAnsi="Times New Roman" w:cs="Times New Roman"/>
          <w:b/>
          <w:sz w:val="24"/>
          <w:szCs w:val="24"/>
        </w:rPr>
        <w:t>s</w:t>
      </w:r>
      <w:r w:rsidR="00A80D4F">
        <w:rPr>
          <w:rFonts w:ascii="Times New Roman" w:hAnsi="Times New Roman" w:cs="Times New Roman"/>
          <w:b/>
          <w:sz w:val="24"/>
          <w:szCs w:val="24"/>
        </w:rPr>
        <w:t xml:space="preserve"> 1</w:t>
      </w:r>
      <w:r w:rsidR="004B625D">
        <w:rPr>
          <w:rFonts w:ascii="Times New Roman" w:hAnsi="Times New Roman" w:cs="Times New Roman"/>
          <w:b/>
          <w:sz w:val="24"/>
          <w:szCs w:val="24"/>
        </w:rPr>
        <w:t>: Digital Sequence Information</w:t>
      </w:r>
    </w:p>
    <w:p w:rsidR="00317CB0" w:rsidRDefault="001C1A66" w:rsidP="00C2492C">
      <w:pPr>
        <w:pStyle w:val="NormalWeb"/>
        <w:spacing w:line="360" w:lineRule="auto"/>
        <w:jc w:val="both"/>
      </w:pPr>
      <w:r>
        <w:t xml:space="preserve">As seen, </w:t>
      </w:r>
      <w:r w:rsidR="00115E71" w:rsidRPr="001C1A66">
        <w:t xml:space="preserve">there remain significant uncertainties over what constitutes “research and development” on “genetic resources”. However, one clear constant in the discussion on “utilisation” set out above is that the research is done upon DNA </w:t>
      </w:r>
      <w:r w:rsidR="00977ABD">
        <w:t>(</w:t>
      </w:r>
      <w:r w:rsidR="00115E71" w:rsidRPr="001C1A66">
        <w:t>or</w:t>
      </w:r>
      <w:r w:rsidR="00115E71">
        <w:t xml:space="preserve"> </w:t>
      </w:r>
      <w:r w:rsidR="00977ABD">
        <w:t>biochemical</w:t>
      </w:r>
      <w:r w:rsidR="00062D30">
        <w:t>s</w:t>
      </w:r>
      <w:r w:rsidR="00977ABD">
        <w:t>)</w:t>
      </w:r>
      <w:r w:rsidR="00115E71">
        <w:t xml:space="preserve"> which have physically originated </w:t>
      </w:r>
      <w:r w:rsidR="00115E71" w:rsidRPr="00BD048A">
        <w:rPr>
          <w:i/>
        </w:rPr>
        <w:t>from the genetic resource itself</w:t>
      </w:r>
      <w:r w:rsidR="00115E71">
        <w:t xml:space="preserve">. </w:t>
      </w:r>
      <w:r w:rsidR="00C2492C">
        <w:t xml:space="preserve"> </w:t>
      </w:r>
      <w:r w:rsidR="00115E71">
        <w:t xml:space="preserve">What if, however, the subject for research and development did not </w:t>
      </w:r>
      <w:r w:rsidR="00115E71" w:rsidRPr="003D41D3">
        <w:rPr>
          <w:i/>
        </w:rPr>
        <w:t>physically</w:t>
      </w:r>
      <w:r w:rsidR="00115E71">
        <w:t xml:space="preserve"> originate from the genetic resource itself</w:t>
      </w:r>
      <w:r w:rsidR="00977ABD">
        <w:t>,</w:t>
      </w:r>
      <w:r w:rsidR="00115E71">
        <w:t xml:space="preserve"> but was independently synthesised using information gained from the original genetic resource? </w:t>
      </w:r>
    </w:p>
    <w:p w:rsidR="00C86836" w:rsidRDefault="00115E71" w:rsidP="00C2492C">
      <w:pPr>
        <w:pStyle w:val="NormalWeb"/>
        <w:spacing w:line="360" w:lineRule="auto"/>
        <w:jc w:val="both"/>
      </w:pPr>
      <w:r>
        <w:t>Suc</w:t>
      </w:r>
      <w:r w:rsidR="00EB2D21">
        <w:t>h a situation could arise where</w:t>
      </w:r>
      <w:r w:rsidR="00A511BE">
        <w:t xml:space="preserve"> </w:t>
      </w:r>
      <w:r>
        <w:t xml:space="preserve">one </w:t>
      </w:r>
      <w:r w:rsidRPr="00EB2D21">
        <w:rPr>
          <w:color w:val="000000"/>
        </w:rPr>
        <w:t>had</w:t>
      </w:r>
      <w:r>
        <w:t xml:space="preserve"> </w:t>
      </w:r>
      <w:r w:rsidR="00A511BE">
        <w:t xml:space="preserve">made </w:t>
      </w:r>
      <w:r w:rsidR="00A511BE" w:rsidRPr="00A511BE">
        <w:rPr>
          <w:i/>
        </w:rPr>
        <w:t>de novo</w:t>
      </w:r>
      <w:r w:rsidR="00A511BE">
        <w:t xml:space="preserve"> DNA or “synthetic DNA” </w:t>
      </w:r>
      <w:r>
        <w:t>on the basis of</w:t>
      </w:r>
      <w:r w:rsidR="00A511BE">
        <w:t xml:space="preserve"> the</w:t>
      </w:r>
      <w:r>
        <w:t xml:space="preserve"> </w:t>
      </w:r>
      <w:r w:rsidR="00E302BF">
        <w:t>DSI</w:t>
      </w:r>
      <w:r w:rsidR="00A511BE">
        <w:t xml:space="preserve"> of the original genetic resource. </w:t>
      </w:r>
      <w:r w:rsidR="00317CB0">
        <w:t>As mentioned in the introduction, the</w:t>
      </w:r>
      <w:r w:rsidR="00BC0B2A">
        <w:t xml:space="preserve"> concern that such a synthetic route would allow for an evasion of the ABS pr</w:t>
      </w:r>
      <w:r w:rsidR="00CC08B5">
        <w:t>inc</w:t>
      </w:r>
      <w:r w:rsidR="000B259F">
        <w:t>i</w:t>
      </w:r>
      <w:r w:rsidR="00CC08B5">
        <w:t xml:space="preserve">ples </w:t>
      </w:r>
      <w:r w:rsidR="00BC0B2A">
        <w:t xml:space="preserve">of the Protocol has stimulated the COP to investigate whether </w:t>
      </w:r>
      <w:r w:rsidR="00E302BF">
        <w:t>DSI</w:t>
      </w:r>
      <w:r w:rsidR="00BC0B2A">
        <w:t xml:space="preserve"> should be covered by the Protocol.</w:t>
      </w:r>
      <w:r w:rsidR="00BC0B2A">
        <w:rPr>
          <w:rStyle w:val="FootnoteReference"/>
        </w:rPr>
        <w:footnoteReference w:id="84"/>
      </w:r>
      <w:r w:rsidR="00BC0B2A">
        <w:t xml:space="preserve"> Indeed</w:t>
      </w:r>
      <w:r w:rsidR="0014157E">
        <w:t>, such fears are well founded. T</w:t>
      </w:r>
      <w:r w:rsidR="00C2492C" w:rsidRPr="000A463D">
        <w:t>he Commission Notice clearly takes the position that</w:t>
      </w:r>
      <w:r w:rsidR="00C86836">
        <w:t>:</w:t>
      </w:r>
      <w:r w:rsidR="00C2492C" w:rsidRPr="000A463D">
        <w:t xml:space="preserve"> </w:t>
      </w:r>
    </w:p>
    <w:p w:rsidR="00C86836" w:rsidRDefault="00C2492C" w:rsidP="00C86836">
      <w:pPr>
        <w:pStyle w:val="NormalWeb"/>
        <w:spacing w:line="360" w:lineRule="auto"/>
        <w:ind w:left="567" w:right="397"/>
        <w:jc w:val="both"/>
      </w:pPr>
      <w:r w:rsidRPr="000A463D">
        <w:t xml:space="preserve">“as the reference to Derivatives in the Protocol is to </w:t>
      </w:r>
      <w:r w:rsidRPr="000A463D">
        <w:rPr>
          <w:i/>
          <w:iCs/>
        </w:rPr>
        <w:t>naturally occurring</w:t>
      </w:r>
      <w:r w:rsidRPr="000A463D">
        <w:t xml:space="preserve"> biochemical compounds the definition does not cover material such as synthetic gene segments.</w:t>
      </w:r>
      <w:r w:rsidR="00C86836">
        <w:t xml:space="preserve">” </w:t>
      </w:r>
      <w:r w:rsidR="00C86836">
        <w:rPr>
          <w:rStyle w:val="FootnoteReference"/>
        </w:rPr>
        <w:footnoteReference w:id="85"/>
      </w:r>
      <w:r w:rsidRPr="000A463D">
        <w:t xml:space="preserve"> </w:t>
      </w:r>
    </w:p>
    <w:p w:rsidR="00C2492C" w:rsidRPr="000A463D" w:rsidRDefault="00C2492C" w:rsidP="00C2492C">
      <w:pPr>
        <w:pStyle w:val="NormalWeb"/>
        <w:spacing w:line="360" w:lineRule="auto"/>
        <w:jc w:val="both"/>
      </w:pPr>
      <w:r w:rsidRPr="000A463D">
        <w:t xml:space="preserve">In addition, they go one to state that: </w:t>
      </w:r>
    </w:p>
    <w:p w:rsidR="00C2492C" w:rsidRPr="000A463D" w:rsidRDefault="00C2492C" w:rsidP="00E302BF">
      <w:pPr>
        <w:pStyle w:val="NormalWeb"/>
        <w:spacing w:line="360" w:lineRule="auto"/>
        <w:ind w:left="567" w:right="397"/>
        <w:jc w:val="both"/>
      </w:pPr>
      <w:r w:rsidRPr="000A463D">
        <w:t>“</w:t>
      </w:r>
      <w:r>
        <w:t>…</w:t>
      </w:r>
      <w:r w:rsidRPr="000A463D">
        <w:t xml:space="preserve">the Protocol deals with access to and utilisation of genetic resources </w:t>
      </w:r>
      <w:r w:rsidRPr="000A463D">
        <w:rPr>
          <w:i/>
          <w:iCs/>
        </w:rPr>
        <w:t>as such</w:t>
      </w:r>
      <w:r w:rsidRPr="000A463D">
        <w:t xml:space="preserve"> and therefore does not regulate issues concerning digital information obtained from genetic resources.”</w:t>
      </w:r>
      <w:r w:rsidR="00C86836">
        <w:t xml:space="preserve"> </w:t>
      </w:r>
      <w:r w:rsidRPr="000A463D">
        <w:rPr>
          <w:rStyle w:val="FootnoteReference"/>
        </w:rPr>
        <w:footnoteReference w:id="86"/>
      </w:r>
    </w:p>
    <w:p w:rsidR="00BA55D9" w:rsidRDefault="00BC0B2A" w:rsidP="00BA55D9">
      <w:pPr>
        <w:pStyle w:val="NormalWeb"/>
        <w:spacing w:line="360" w:lineRule="auto"/>
        <w:jc w:val="both"/>
      </w:pPr>
      <w:r>
        <w:t>Since t</w:t>
      </w:r>
      <w:r w:rsidR="00A511BE">
        <w:t xml:space="preserve">he focus of this article is on the downstream scope of the Protocol in relation to non-DNA </w:t>
      </w:r>
      <w:r w:rsidR="009F6E55">
        <w:t>human-</w:t>
      </w:r>
      <w:r w:rsidR="00A511BE">
        <w:t>made chemical derivatives</w:t>
      </w:r>
      <w:r>
        <w:t xml:space="preserve"> this work will not seek to examine </w:t>
      </w:r>
      <w:r w:rsidR="00511445">
        <w:t xml:space="preserve">in detail </w:t>
      </w:r>
      <w:r w:rsidR="0073495D">
        <w:t>the arguments for and</w:t>
      </w:r>
      <w:r>
        <w:t xml:space="preserve"> against coverage of </w:t>
      </w:r>
      <w:r w:rsidR="00E302BF">
        <w:t>DSI</w:t>
      </w:r>
      <w:r>
        <w:t xml:space="preserve"> under the Protocol. However, e</w:t>
      </w:r>
      <w:r w:rsidR="00115E71">
        <w:t xml:space="preserve">xtending control over </w:t>
      </w:r>
      <w:r w:rsidR="00BA55D9">
        <w:t>“</w:t>
      </w:r>
      <w:r w:rsidR="00115E71">
        <w:t>gen</w:t>
      </w:r>
      <w:r w:rsidR="000B259F">
        <w:t>etic information</w:t>
      </w:r>
      <w:r w:rsidR="00BA55D9">
        <w:t>”</w:t>
      </w:r>
      <w:r w:rsidR="000B259F">
        <w:t xml:space="preserve"> could </w:t>
      </w:r>
      <w:r w:rsidR="00BA55D9">
        <w:t xml:space="preserve">potentially </w:t>
      </w:r>
      <w:r w:rsidR="000B259F">
        <w:t>extend</w:t>
      </w:r>
      <w:r w:rsidR="00115E71">
        <w:t xml:space="preserve"> the scope and nature of access and benefit sharing provisions </w:t>
      </w:r>
      <w:r w:rsidR="00014C84">
        <w:t xml:space="preserve">under </w:t>
      </w:r>
      <w:r w:rsidR="00014C84" w:rsidRPr="00F35EAD">
        <w:t xml:space="preserve">Article 6 and Article 5(1) and (2) </w:t>
      </w:r>
      <w:r w:rsidR="00115E71">
        <w:t>of the Protocol</w:t>
      </w:r>
      <w:r w:rsidR="00BA55D9">
        <w:t xml:space="preserve"> rather than merely fixing a lacuna in current provision</w:t>
      </w:r>
      <w:r w:rsidR="00014C84">
        <w:t>.</w:t>
      </w:r>
      <w:r w:rsidR="00BA55D9">
        <w:t xml:space="preserve"> </w:t>
      </w:r>
      <w:r w:rsidR="00106B56">
        <w:t>Certainly, m</w:t>
      </w:r>
      <w:r w:rsidR="00B85EB4">
        <w:t xml:space="preserve">oving to control over </w:t>
      </w:r>
      <w:r w:rsidR="00B85EB4" w:rsidRPr="00BA55D9">
        <w:rPr>
          <w:i/>
        </w:rPr>
        <w:t>information</w:t>
      </w:r>
      <w:r w:rsidR="00902516">
        <w:t xml:space="preserve"> </w:t>
      </w:r>
      <w:r w:rsidR="00B85EB4">
        <w:lastRenderedPageBreak/>
        <w:t>leads to significant questions of allocation of the right to control such information</w:t>
      </w:r>
      <w:r w:rsidR="005A512F">
        <w:t>,</w:t>
      </w:r>
      <w:r w:rsidR="00B45C0C">
        <w:t xml:space="preserve"> and </w:t>
      </w:r>
      <w:r w:rsidR="00BA55D9">
        <w:t xml:space="preserve">to </w:t>
      </w:r>
      <w:r w:rsidR="00B45C0C">
        <w:t>questions of</w:t>
      </w:r>
      <w:r w:rsidR="0073495D">
        <w:t xml:space="preserve"> what </w:t>
      </w:r>
      <w:r w:rsidR="00BA55D9">
        <w:t xml:space="preserve">might </w:t>
      </w:r>
      <w:r w:rsidR="00317CB0">
        <w:t>constitute</w:t>
      </w:r>
      <w:r w:rsidR="00B45C0C">
        <w:t xml:space="preserve"> “infringement”</w:t>
      </w:r>
      <w:r w:rsidR="00BA55D9">
        <w:t xml:space="preserve"> of the right</w:t>
      </w:r>
      <w:r w:rsidR="00B85EB4">
        <w:t xml:space="preserve">. </w:t>
      </w:r>
      <w:r w:rsidR="00902516">
        <w:t xml:space="preserve">These questions less obviously arise when looking at control over a </w:t>
      </w:r>
      <w:r w:rsidR="00902516" w:rsidRPr="00106B56">
        <w:rPr>
          <w:i/>
        </w:rPr>
        <w:t>physical</w:t>
      </w:r>
      <w:r w:rsidR="00902516">
        <w:t xml:space="preserve"> genetic resource – in that case one knows that the physical genetic resource at least came from (a perhaps traceable) </w:t>
      </w:r>
      <w:r w:rsidR="00317CB0">
        <w:t xml:space="preserve">physical </w:t>
      </w:r>
      <w:r w:rsidR="00317CB0" w:rsidRPr="00062D30">
        <w:rPr>
          <w:i/>
        </w:rPr>
        <w:t>something</w:t>
      </w:r>
      <w:r w:rsidR="00902516">
        <w:t xml:space="preserve">. </w:t>
      </w:r>
    </w:p>
    <w:p w:rsidR="00317CB0" w:rsidRDefault="00932BBB" w:rsidP="00BA55D9">
      <w:pPr>
        <w:pStyle w:val="NormalWeb"/>
        <w:spacing w:line="360" w:lineRule="auto"/>
        <w:jc w:val="both"/>
      </w:pPr>
      <w:r>
        <w:t xml:space="preserve">In relation to </w:t>
      </w:r>
      <w:r w:rsidR="00B45C0C">
        <w:t xml:space="preserve">wholly, or very closely, </w:t>
      </w:r>
      <w:r>
        <w:t>conserved DNA sequences, these sequences may have been preserved across aeons and taxonomic groupings – just because the original sequence was determined from a sample taken from</w:t>
      </w:r>
      <w:r w:rsidR="00317CB0">
        <w:t>, say,</w:t>
      </w:r>
      <w:r>
        <w:t xml:space="preserve"> a </w:t>
      </w:r>
      <w:r w:rsidRPr="009D5A7D">
        <w:rPr>
          <w:i/>
        </w:rPr>
        <w:t>liana</w:t>
      </w:r>
      <w:r>
        <w:t xml:space="preserve"> from a megadiverse nation, </w:t>
      </w:r>
      <w:r w:rsidR="000B259F">
        <w:t>it is entirely possible for</w:t>
      </w:r>
      <w:r>
        <w:t xml:space="preserve"> the same sequence </w:t>
      </w:r>
      <w:r w:rsidR="000B259F">
        <w:t xml:space="preserve">to have been </w:t>
      </w:r>
      <w:r>
        <w:t>determined from a yeast</w:t>
      </w:r>
      <w:r w:rsidR="00B40EC7">
        <w:t>,</w:t>
      </w:r>
      <w:r w:rsidR="000B259F">
        <w:rPr>
          <w:rStyle w:val="FootnoteReference"/>
        </w:rPr>
        <w:footnoteReference w:id="87"/>
      </w:r>
      <w:r>
        <w:t xml:space="preserve"> a mouse, or an elephant. </w:t>
      </w:r>
      <w:r w:rsidR="00B45C0C">
        <w:t xml:space="preserve"> </w:t>
      </w:r>
      <w:r w:rsidR="00062D30">
        <w:t>Indeed</w:t>
      </w:r>
      <w:r w:rsidR="00282E41">
        <w:t>,</w:t>
      </w:r>
      <w:r w:rsidR="00B45C0C">
        <w:t xml:space="preserve"> “</w:t>
      </w:r>
      <w:r w:rsidR="00B45C0C" w:rsidRPr="00317CB0">
        <w:rPr>
          <w:i/>
        </w:rPr>
        <w:t>75% of human expressed genetic make-up is the same as a pumpkin - 57% the same as a cabbage</w:t>
      </w:r>
      <w:r w:rsidR="00B45C0C" w:rsidRPr="00130022">
        <w:t>”</w:t>
      </w:r>
      <w:r w:rsidR="00B45C0C">
        <w:t>.</w:t>
      </w:r>
      <w:r w:rsidR="00B45C0C">
        <w:rPr>
          <w:rStyle w:val="FootnoteReference"/>
        </w:rPr>
        <w:footnoteReference w:id="88"/>
      </w:r>
      <w:r w:rsidR="00B45C0C">
        <w:t xml:space="preserve"> </w:t>
      </w:r>
    </w:p>
    <w:p w:rsidR="00932BBB" w:rsidRDefault="006F210F" w:rsidP="00BA55D9">
      <w:pPr>
        <w:pStyle w:val="NormalWeb"/>
        <w:spacing w:line="360" w:lineRule="auto"/>
        <w:jc w:val="both"/>
      </w:pPr>
      <w:r>
        <w:t xml:space="preserve">One might </w:t>
      </w:r>
      <w:r w:rsidR="00621098">
        <w:t xml:space="preserve">then </w:t>
      </w:r>
      <w:r>
        <w:t>ask w</w:t>
      </w:r>
      <w:r w:rsidR="00B45C0C">
        <w:t xml:space="preserve">hy a particular nation (or indigenous group) </w:t>
      </w:r>
      <w:r>
        <w:t xml:space="preserve">should </w:t>
      </w:r>
      <w:r w:rsidR="00B45C0C">
        <w:t>have a right to control “access” to a nucleotide sequence which has been determined from an organism (</w:t>
      </w:r>
      <w:r w:rsidR="00317CB0">
        <w:t xml:space="preserve">our </w:t>
      </w:r>
      <w:r w:rsidR="00B45C0C" w:rsidRPr="00D20EA2">
        <w:rPr>
          <w:i/>
        </w:rPr>
        <w:t>liana</w:t>
      </w:r>
      <w:r w:rsidR="00B45C0C">
        <w:t>) which was found within a certain na</w:t>
      </w:r>
      <w:r w:rsidR="00BA55D9">
        <w:t>tion state (say Ecuador) when that sequence</w:t>
      </w:r>
      <w:r w:rsidR="00B45C0C">
        <w:t xml:space="preserve"> could have </w:t>
      </w:r>
      <w:r w:rsidR="0073495D">
        <w:t>equally</w:t>
      </w:r>
      <w:r w:rsidR="00BA55D9">
        <w:t>,</w:t>
      </w:r>
      <w:r w:rsidR="0073495D">
        <w:t xml:space="preserve"> and </w:t>
      </w:r>
      <w:r w:rsidR="00B45C0C">
        <w:t>as easily</w:t>
      </w:r>
      <w:r w:rsidR="00BA55D9">
        <w:t>,</w:t>
      </w:r>
      <w:r w:rsidR="00B45C0C">
        <w:t xml:space="preserve"> been determined from a yeast in Burton-on-Trent</w:t>
      </w:r>
      <w:r>
        <w:t>.</w:t>
      </w:r>
      <w:r w:rsidR="00B45C0C">
        <w:rPr>
          <w:rStyle w:val="FootnoteReference"/>
        </w:rPr>
        <w:footnoteReference w:id="89"/>
      </w:r>
      <w:r w:rsidR="00B45C0C">
        <w:t xml:space="preserve"> </w:t>
      </w:r>
      <w:r w:rsidR="00932BBB">
        <w:t xml:space="preserve">In what way is the code from the </w:t>
      </w:r>
      <w:r w:rsidR="00932BBB" w:rsidRPr="000E5147">
        <w:rPr>
          <w:i/>
        </w:rPr>
        <w:t>liana</w:t>
      </w:r>
      <w:r w:rsidR="00932BBB">
        <w:t xml:space="preserve"> unique or special</w:t>
      </w:r>
      <w:r>
        <w:t>,</w:t>
      </w:r>
      <w:r w:rsidR="00932BBB">
        <w:t xml:space="preserve"> such that a right to control access is justifiable?</w:t>
      </w:r>
    </w:p>
    <w:p w:rsidR="00621098" w:rsidRDefault="00621098"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We need also</w:t>
      </w:r>
      <w:r w:rsidR="00E302BF">
        <w:rPr>
          <w:rFonts w:ascii="Times New Roman" w:hAnsi="Times New Roman" w:cs="Times New Roman"/>
          <w:sz w:val="24"/>
          <w:szCs w:val="24"/>
        </w:rPr>
        <w:t xml:space="preserve"> to</w:t>
      </w:r>
      <w:r>
        <w:rPr>
          <w:rFonts w:ascii="Times New Roman" w:hAnsi="Times New Roman" w:cs="Times New Roman"/>
          <w:sz w:val="24"/>
          <w:szCs w:val="24"/>
        </w:rPr>
        <w:t xml:space="preserve"> ask: </w:t>
      </w:r>
      <w:r w:rsidR="00BA55D9">
        <w:rPr>
          <w:rFonts w:ascii="Times New Roman" w:hAnsi="Times New Roman" w:cs="Times New Roman"/>
          <w:sz w:val="24"/>
          <w:szCs w:val="24"/>
        </w:rPr>
        <w:t xml:space="preserve">If </w:t>
      </w:r>
      <w:r w:rsidR="00932BBB">
        <w:rPr>
          <w:rFonts w:ascii="Times New Roman" w:hAnsi="Times New Roman" w:cs="Times New Roman"/>
          <w:sz w:val="24"/>
          <w:szCs w:val="24"/>
        </w:rPr>
        <w:t xml:space="preserve">the nucleotide sequence is entirely conserved across taxonomic groups then what would happen if the “accessor” of the nucleotide sequence argued in their defence that the sequence information actually used by them had originated not from the Ecuadorian </w:t>
      </w:r>
      <w:r w:rsidR="00932BBB" w:rsidRPr="00D20EA2">
        <w:rPr>
          <w:rFonts w:ascii="Times New Roman" w:hAnsi="Times New Roman" w:cs="Times New Roman"/>
          <w:i/>
          <w:sz w:val="24"/>
          <w:szCs w:val="24"/>
        </w:rPr>
        <w:t>liana</w:t>
      </w:r>
      <w:r w:rsidR="00CC08B5">
        <w:rPr>
          <w:rFonts w:ascii="Times New Roman" w:hAnsi="Times New Roman" w:cs="Times New Roman"/>
          <w:sz w:val="24"/>
          <w:szCs w:val="24"/>
        </w:rPr>
        <w:t>,</w:t>
      </w:r>
      <w:r w:rsidR="00932BBB">
        <w:rPr>
          <w:rFonts w:ascii="Times New Roman" w:hAnsi="Times New Roman" w:cs="Times New Roman"/>
          <w:sz w:val="24"/>
          <w:szCs w:val="24"/>
        </w:rPr>
        <w:t xml:space="preserve"> but from the defendant’s independent determination from the genome of the Burtonian yeast? In this case would control over the sequence reside in the party which controls the resource from which the nucleotide sequence information was </w:t>
      </w:r>
      <w:r w:rsidR="00932BBB" w:rsidRPr="00D52114">
        <w:rPr>
          <w:rFonts w:ascii="Times New Roman" w:hAnsi="Times New Roman" w:cs="Times New Roman"/>
          <w:i/>
          <w:sz w:val="24"/>
          <w:szCs w:val="24"/>
        </w:rPr>
        <w:t>first</w:t>
      </w:r>
      <w:r w:rsidR="00932BBB">
        <w:rPr>
          <w:rFonts w:ascii="Times New Roman" w:hAnsi="Times New Roman" w:cs="Times New Roman"/>
          <w:sz w:val="24"/>
          <w:szCs w:val="24"/>
        </w:rPr>
        <w:t xml:space="preserve"> determined – akin to a path-independent monopoly right to the sequence? Or is there </w:t>
      </w:r>
      <w:r w:rsidR="00CC08B5">
        <w:rPr>
          <w:rFonts w:ascii="Times New Roman" w:hAnsi="Times New Roman" w:cs="Times New Roman"/>
          <w:sz w:val="24"/>
          <w:szCs w:val="24"/>
        </w:rPr>
        <w:t xml:space="preserve">to be </w:t>
      </w:r>
      <w:r w:rsidR="00932BBB">
        <w:rPr>
          <w:rFonts w:ascii="Times New Roman" w:hAnsi="Times New Roman" w:cs="Times New Roman"/>
          <w:sz w:val="24"/>
          <w:szCs w:val="24"/>
        </w:rPr>
        <w:t xml:space="preserve">an </w:t>
      </w:r>
      <w:r w:rsidR="00932BBB" w:rsidRPr="00020F26">
        <w:rPr>
          <w:rFonts w:ascii="Times New Roman" w:hAnsi="Times New Roman" w:cs="Times New Roman"/>
          <w:i/>
          <w:sz w:val="24"/>
          <w:szCs w:val="24"/>
        </w:rPr>
        <w:t>originality</w:t>
      </w:r>
      <w:r w:rsidR="00932BBB">
        <w:rPr>
          <w:rFonts w:ascii="Times New Roman" w:hAnsi="Times New Roman" w:cs="Times New Roman"/>
          <w:sz w:val="24"/>
          <w:szCs w:val="24"/>
        </w:rPr>
        <w:t xml:space="preserve"> requirement (akin to copyright) where independent (non-path dependent) determination of the sequence</w:t>
      </w:r>
      <w:r w:rsidR="006F210F">
        <w:rPr>
          <w:rFonts w:ascii="Times New Roman" w:hAnsi="Times New Roman" w:cs="Times New Roman"/>
          <w:sz w:val="24"/>
          <w:szCs w:val="24"/>
        </w:rPr>
        <w:t xml:space="preserve"> by a third party</w:t>
      </w:r>
      <w:r w:rsidR="00932BBB">
        <w:rPr>
          <w:rFonts w:ascii="Times New Roman" w:hAnsi="Times New Roman" w:cs="Times New Roman"/>
          <w:sz w:val="24"/>
          <w:szCs w:val="24"/>
        </w:rPr>
        <w:t xml:space="preserve"> constitutes a defence to “infringement”? </w:t>
      </w:r>
      <w:r w:rsidR="006F210F">
        <w:rPr>
          <w:rFonts w:ascii="Times New Roman" w:hAnsi="Times New Roman" w:cs="Times New Roman"/>
          <w:sz w:val="24"/>
          <w:szCs w:val="24"/>
        </w:rPr>
        <w:t>W</w:t>
      </w:r>
      <w:r w:rsidR="00932BBB">
        <w:rPr>
          <w:rFonts w:ascii="Times New Roman" w:hAnsi="Times New Roman" w:cs="Times New Roman"/>
          <w:sz w:val="24"/>
          <w:szCs w:val="24"/>
        </w:rPr>
        <w:t xml:space="preserve">hat if the defendant (although truly independently sequencing the nucleotide sequence) had been in some way </w:t>
      </w:r>
      <w:r w:rsidR="00B45C0C">
        <w:rPr>
          <w:rFonts w:ascii="Times New Roman" w:hAnsi="Times New Roman" w:cs="Times New Roman"/>
          <w:sz w:val="24"/>
          <w:szCs w:val="24"/>
        </w:rPr>
        <w:lastRenderedPageBreak/>
        <w:t xml:space="preserve">been </w:t>
      </w:r>
      <w:r w:rsidR="00932BBB">
        <w:rPr>
          <w:rFonts w:ascii="Times New Roman" w:hAnsi="Times New Roman" w:cs="Times New Roman"/>
          <w:sz w:val="24"/>
          <w:szCs w:val="24"/>
        </w:rPr>
        <w:t xml:space="preserve">directed toward that gene by an understanding of functionality of sequence by work done on the </w:t>
      </w:r>
      <w:r w:rsidR="00932BBB" w:rsidRPr="00695214">
        <w:rPr>
          <w:rFonts w:ascii="Times New Roman" w:hAnsi="Times New Roman" w:cs="Times New Roman"/>
          <w:i/>
          <w:sz w:val="24"/>
          <w:szCs w:val="24"/>
        </w:rPr>
        <w:t>liana</w:t>
      </w:r>
      <w:r w:rsidR="00932BBB">
        <w:rPr>
          <w:rFonts w:ascii="Times New Roman" w:hAnsi="Times New Roman" w:cs="Times New Roman"/>
          <w:sz w:val="24"/>
          <w:szCs w:val="24"/>
        </w:rPr>
        <w:t xml:space="preserve">? </w:t>
      </w:r>
    </w:p>
    <w:p w:rsidR="0073495D" w:rsidRDefault="00317CB0"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w</w:t>
      </w:r>
      <w:r w:rsidR="00932BBB">
        <w:rPr>
          <w:rFonts w:ascii="Times New Roman" w:hAnsi="Times New Roman" w:cs="Times New Roman"/>
          <w:sz w:val="24"/>
          <w:szCs w:val="24"/>
        </w:rPr>
        <w:t xml:space="preserve">hat if the nucleotide sequence were not </w:t>
      </w:r>
      <w:r w:rsidR="00621098">
        <w:rPr>
          <w:rFonts w:ascii="Times New Roman" w:hAnsi="Times New Roman" w:cs="Times New Roman"/>
          <w:sz w:val="24"/>
          <w:szCs w:val="24"/>
        </w:rPr>
        <w:t>exactly</w:t>
      </w:r>
      <w:r w:rsidR="00932BBB">
        <w:rPr>
          <w:rFonts w:ascii="Times New Roman" w:hAnsi="Times New Roman" w:cs="Times New Roman"/>
          <w:sz w:val="24"/>
          <w:szCs w:val="24"/>
        </w:rPr>
        <w:t xml:space="preserve"> conserved across species</w:t>
      </w:r>
      <w:r w:rsidR="00CC08B5">
        <w:rPr>
          <w:rFonts w:ascii="Times New Roman" w:hAnsi="Times New Roman" w:cs="Times New Roman"/>
          <w:sz w:val="24"/>
          <w:szCs w:val="24"/>
        </w:rPr>
        <w:t>?</w:t>
      </w:r>
      <w:r w:rsidR="0073495D">
        <w:rPr>
          <w:rFonts w:ascii="Times New Roman" w:hAnsi="Times New Roman" w:cs="Times New Roman"/>
          <w:sz w:val="24"/>
          <w:szCs w:val="24"/>
        </w:rPr>
        <w:t xml:space="preserve">  H</w:t>
      </w:r>
      <w:r w:rsidR="00932BBB">
        <w:rPr>
          <w:rFonts w:ascii="Times New Roman" w:hAnsi="Times New Roman" w:cs="Times New Roman"/>
          <w:sz w:val="24"/>
          <w:szCs w:val="24"/>
        </w:rPr>
        <w:t>ow similar would the “copied” sequence need to be</w:t>
      </w:r>
      <w:r w:rsidR="006F210F">
        <w:rPr>
          <w:rFonts w:ascii="Times New Roman" w:hAnsi="Times New Roman" w:cs="Times New Roman"/>
          <w:sz w:val="24"/>
          <w:szCs w:val="24"/>
        </w:rPr>
        <w:t xml:space="preserve"> to be </w:t>
      </w:r>
      <w:r w:rsidR="00932BBB">
        <w:rPr>
          <w:rFonts w:ascii="Times New Roman" w:hAnsi="Times New Roman" w:cs="Times New Roman"/>
          <w:sz w:val="24"/>
          <w:szCs w:val="24"/>
        </w:rPr>
        <w:t>considered an “acces</w:t>
      </w:r>
      <w:r w:rsidR="0075229B">
        <w:rPr>
          <w:rFonts w:ascii="Times New Roman" w:hAnsi="Times New Roman" w:cs="Times New Roman"/>
          <w:sz w:val="24"/>
          <w:szCs w:val="24"/>
        </w:rPr>
        <w:t>sing” of the original sequence. W</w:t>
      </w:r>
      <w:r w:rsidR="00932BBB">
        <w:rPr>
          <w:rFonts w:ascii="Times New Roman" w:hAnsi="Times New Roman" w:cs="Times New Roman"/>
          <w:sz w:val="24"/>
          <w:szCs w:val="24"/>
        </w:rPr>
        <w:t xml:space="preserve">ould </w:t>
      </w:r>
      <w:r w:rsidR="006F210F">
        <w:rPr>
          <w:rFonts w:ascii="Times New Roman" w:hAnsi="Times New Roman" w:cs="Times New Roman"/>
          <w:sz w:val="24"/>
          <w:szCs w:val="24"/>
        </w:rPr>
        <w:t>infringement/accessing</w:t>
      </w:r>
      <w:r w:rsidR="00932BBB">
        <w:rPr>
          <w:rFonts w:ascii="Times New Roman" w:hAnsi="Times New Roman" w:cs="Times New Roman"/>
          <w:sz w:val="24"/>
          <w:szCs w:val="24"/>
        </w:rPr>
        <w:t xml:space="preserve"> in some way rely upon </w:t>
      </w:r>
      <w:r w:rsidR="00B45C0C">
        <w:rPr>
          <w:rFonts w:ascii="Times New Roman" w:hAnsi="Times New Roman" w:cs="Times New Roman"/>
          <w:sz w:val="24"/>
          <w:szCs w:val="24"/>
        </w:rPr>
        <w:t xml:space="preserve">some measure of </w:t>
      </w:r>
      <w:r w:rsidR="00932BBB" w:rsidRPr="00C35D00">
        <w:rPr>
          <w:rFonts w:ascii="Times New Roman" w:hAnsi="Times New Roman" w:cs="Times New Roman"/>
          <w:sz w:val="24"/>
          <w:szCs w:val="24"/>
        </w:rPr>
        <w:t>“functionality”</w:t>
      </w:r>
      <w:r w:rsidR="00566EC8">
        <w:rPr>
          <w:rFonts w:ascii="Times New Roman" w:hAnsi="Times New Roman" w:cs="Times New Roman"/>
          <w:sz w:val="24"/>
          <w:szCs w:val="24"/>
        </w:rPr>
        <w:t xml:space="preserve"> of the unit of heredity</w:t>
      </w:r>
      <w:r w:rsidR="00C76049">
        <w:rPr>
          <w:rFonts w:ascii="Times New Roman" w:hAnsi="Times New Roman" w:cs="Times New Roman"/>
          <w:sz w:val="24"/>
          <w:szCs w:val="24"/>
        </w:rPr>
        <w:t xml:space="preserve"> </w:t>
      </w:r>
      <w:r w:rsidR="00FF5458">
        <w:rPr>
          <w:rStyle w:val="FootnoteReference"/>
          <w:rFonts w:ascii="Times New Roman" w:hAnsi="Times New Roman" w:cs="Times New Roman"/>
          <w:sz w:val="24"/>
          <w:szCs w:val="24"/>
        </w:rPr>
        <w:footnoteReference w:id="90"/>
      </w:r>
      <w:r w:rsidR="006F210F">
        <w:rPr>
          <w:rFonts w:ascii="Times New Roman" w:hAnsi="Times New Roman" w:cs="Times New Roman"/>
          <w:sz w:val="24"/>
          <w:szCs w:val="24"/>
        </w:rPr>
        <w:t xml:space="preserve"> </w:t>
      </w:r>
      <w:r w:rsidR="00621098">
        <w:rPr>
          <w:rFonts w:ascii="Times New Roman" w:hAnsi="Times New Roman" w:cs="Times New Roman"/>
          <w:sz w:val="24"/>
          <w:szCs w:val="24"/>
        </w:rPr>
        <w:t>and h</w:t>
      </w:r>
      <w:r w:rsidR="00932BBB" w:rsidRPr="00C35D00">
        <w:rPr>
          <w:rFonts w:ascii="Times New Roman" w:hAnsi="Times New Roman" w:cs="Times New Roman"/>
          <w:sz w:val="24"/>
          <w:szCs w:val="24"/>
        </w:rPr>
        <w:t xml:space="preserve">ow </w:t>
      </w:r>
      <w:r w:rsidR="00B45C0C">
        <w:rPr>
          <w:rFonts w:ascii="Times New Roman" w:hAnsi="Times New Roman" w:cs="Times New Roman"/>
          <w:sz w:val="24"/>
          <w:szCs w:val="24"/>
        </w:rPr>
        <w:t>would</w:t>
      </w:r>
      <w:r w:rsidR="00932BBB" w:rsidRPr="00C35D00">
        <w:rPr>
          <w:rFonts w:ascii="Times New Roman" w:hAnsi="Times New Roman" w:cs="Times New Roman"/>
          <w:sz w:val="24"/>
          <w:szCs w:val="24"/>
        </w:rPr>
        <w:t xml:space="preserve"> one</w:t>
      </w:r>
      <w:r w:rsidR="006F210F">
        <w:rPr>
          <w:rFonts w:ascii="Times New Roman" w:hAnsi="Times New Roman" w:cs="Times New Roman"/>
          <w:sz w:val="24"/>
          <w:szCs w:val="24"/>
        </w:rPr>
        <w:t xml:space="preserve"> begin</w:t>
      </w:r>
      <w:r w:rsidR="00932BBB" w:rsidRPr="00C35D00">
        <w:rPr>
          <w:rFonts w:ascii="Times New Roman" w:hAnsi="Times New Roman" w:cs="Times New Roman"/>
          <w:sz w:val="24"/>
          <w:szCs w:val="24"/>
        </w:rPr>
        <w:t xml:space="preserve"> determine or compare such </w:t>
      </w:r>
      <w:r w:rsidR="00932BBB">
        <w:rPr>
          <w:rFonts w:ascii="Times New Roman" w:hAnsi="Times New Roman" w:cs="Times New Roman"/>
          <w:sz w:val="24"/>
          <w:szCs w:val="24"/>
        </w:rPr>
        <w:t>“</w:t>
      </w:r>
      <w:r w:rsidR="00932BBB" w:rsidRPr="00C35D00">
        <w:rPr>
          <w:rFonts w:ascii="Times New Roman" w:hAnsi="Times New Roman" w:cs="Times New Roman"/>
          <w:sz w:val="24"/>
          <w:szCs w:val="24"/>
        </w:rPr>
        <w:t>functionalities</w:t>
      </w:r>
      <w:r w:rsidR="00932BBB">
        <w:rPr>
          <w:rFonts w:ascii="Times New Roman" w:hAnsi="Times New Roman" w:cs="Times New Roman"/>
          <w:sz w:val="24"/>
          <w:szCs w:val="24"/>
        </w:rPr>
        <w:t>”?</w:t>
      </w:r>
      <w:r w:rsidR="00C76049">
        <w:rPr>
          <w:rFonts w:ascii="Times New Roman" w:hAnsi="Times New Roman" w:cs="Times New Roman"/>
          <w:sz w:val="24"/>
          <w:szCs w:val="24"/>
        </w:rPr>
        <w:t xml:space="preserve"> </w:t>
      </w:r>
    </w:p>
    <w:p w:rsidR="00E302BF" w:rsidRDefault="00391B71"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One definition of functionality is the affect that the presence or absence of a gene has on the phenotypic characteristics of the host organism. In some cases that may be simple</w:t>
      </w:r>
      <w:r w:rsidR="00E302BF">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F2620">
        <w:rPr>
          <w:rFonts w:ascii="Times New Roman" w:hAnsi="Times New Roman" w:cs="Times New Roman"/>
          <w:sz w:val="24"/>
          <w:szCs w:val="24"/>
        </w:rPr>
        <w:t>others it</w:t>
      </w:r>
      <w:r>
        <w:rPr>
          <w:rFonts w:ascii="Times New Roman" w:hAnsi="Times New Roman" w:cs="Times New Roman"/>
          <w:sz w:val="24"/>
          <w:szCs w:val="24"/>
        </w:rPr>
        <w:t xml:space="preserve"> could be far less determinable.</w:t>
      </w:r>
      <w:r w:rsidR="005A512F">
        <w:rPr>
          <w:rStyle w:val="FootnoteReference"/>
          <w:rFonts w:ascii="Times New Roman" w:hAnsi="Times New Roman" w:cs="Times New Roman"/>
          <w:sz w:val="24"/>
          <w:szCs w:val="24"/>
        </w:rPr>
        <w:footnoteReference w:id="91"/>
      </w:r>
      <w:r w:rsidR="005A51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229B" w:rsidRDefault="00391B71"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related, but more granular, definition of </w:t>
      </w:r>
      <w:r w:rsidR="00902516">
        <w:rPr>
          <w:rFonts w:ascii="Times New Roman" w:hAnsi="Times New Roman" w:cs="Times New Roman"/>
          <w:sz w:val="24"/>
          <w:szCs w:val="24"/>
        </w:rPr>
        <w:t xml:space="preserve">functionality could mean </w:t>
      </w:r>
      <w:r>
        <w:rPr>
          <w:rFonts w:ascii="Times New Roman" w:hAnsi="Times New Roman" w:cs="Times New Roman"/>
          <w:sz w:val="24"/>
          <w:szCs w:val="24"/>
        </w:rPr>
        <w:t xml:space="preserve">the </w:t>
      </w:r>
      <w:r w:rsidR="00902516">
        <w:rPr>
          <w:rFonts w:ascii="Times New Roman" w:hAnsi="Times New Roman" w:cs="Times New Roman"/>
          <w:sz w:val="24"/>
          <w:szCs w:val="24"/>
        </w:rPr>
        <w:t xml:space="preserve">ability of a gene to make a protein which then goes on to perform a </w:t>
      </w:r>
      <w:r w:rsidR="0075229B">
        <w:rPr>
          <w:rFonts w:ascii="Times New Roman" w:hAnsi="Times New Roman" w:cs="Times New Roman"/>
          <w:sz w:val="24"/>
          <w:szCs w:val="24"/>
        </w:rPr>
        <w:t xml:space="preserve">particular </w:t>
      </w:r>
      <w:r w:rsidR="00902516">
        <w:rPr>
          <w:rFonts w:ascii="Times New Roman" w:hAnsi="Times New Roman" w:cs="Times New Roman"/>
          <w:sz w:val="24"/>
          <w:szCs w:val="24"/>
        </w:rPr>
        <w:t>function.</w:t>
      </w:r>
      <w:r w:rsidR="0077705C">
        <w:rPr>
          <w:rFonts w:ascii="Times New Roman" w:hAnsi="Times New Roman" w:cs="Times New Roman"/>
          <w:sz w:val="24"/>
          <w:szCs w:val="24"/>
        </w:rPr>
        <w:t xml:space="preserve"> </w:t>
      </w:r>
      <w:r w:rsidR="0075229B">
        <w:rPr>
          <w:rFonts w:ascii="Times New Roman" w:hAnsi="Times New Roman" w:cs="Times New Roman"/>
          <w:sz w:val="24"/>
          <w:szCs w:val="24"/>
        </w:rPr>
        <w:t xml:space="preserve">That function may </w:t>
      </w:r>
      <w:r>
        <w:rPr>
          <w:rFonts w:ascii="Times New Roman" w:hAnsi="Times New Roman" w:cs="Times New Roman"/>
          <w:sz w:val="24"/>
          <w:szCs w:val="24"/>
        </w:rPr>
        <w:t xml:space="preserve">itself </w:t>
      </w:r>
      <w:r w:rsidR="0075229B">
        <w:rPr>
          <w:rFonts w:ascii="Times New Roman" w:hAnsi="Times New Roman" w:cs="Times New Roman"/>
          <w:sz w:val="24"/>
          <w:szCs w:val="24"/>
        </w:rPr>
        <w:t>be to synthesise a further (non-protein) molecule which goes on to have a downstream function within the biochemistry of the cell.</w:t>
      </w:r>
      <w:r w:rsidR="00621098">
        <w:rPr>
          <w:rFonts w:ascii="Times New Roman" w:hAnsi="Times New Roman" w:cs="Times New Roman"/>
          <w:sz w:val="24"/>
          <w:szCs w:val="24"/>
        </w:rPr>
        <w:t xml:space="preserve"> According to that definition, the claim to </w:t>
      </w:r>
      <w:r w:rsidR="0092177B">
        <w:rPr>
          <w:rFonts w:ascii="Times New Roman" w:hAnsi="Times New Roman" w:cs="Times New Roman"/>
          <w:sz w:val="24"/>
          <w:szCs w:val="24"/>
        </w:rPr>
        <w:t>a particular</w:t>
      </w:r>
      <w:r w:rsidR="00621098">
        <w:rPr>
          <w:rFonts w:ascii="Times New Roman" w:hAnsi="Times New Roman" w:cs="Times New Roman"/>
          <w:sz w:val="24"/>
          <w:szCs w:val="24"/>
        </w:rPr>
        <w:t xml:space="preserve"> genetic sequence would be rooted in the biochemical “product” produced by expression of the sequence</w:t>
      </w:r>
      <w:r w:rsidR="00E302BF">
        <w:rPr>
          <w:rFonts w:ascii="Times New Roman" w:hAnsi="Times New Roman" w:cs="Times New Roman"/>
          <w:sz w:val="24"/>
          <w:szCs w:val="24"/>
        </w:rPr>
        <w:t xml:space="preserve"> </w:t>
      </w:r>
      <w:r w:rsidR="005A512F">
        <w:rPr>
          <w:rFonts w:ascii="Times New Roman" w:hAnsi="Times New Roman" w:cs="Times New Roman"/>
          <w:sz w:val="24"/>
          <w:szCs w:val="24"/>
        </w:rPr>
        <w:t>(and potentially the biological e</w:t>
      </w:r>
      <w:r w:rsidR="00E302BF">
        <w:rPr>
          <w:rFonts w:ascii="Times New Roman" w:hAnsi="Times New Roman" w:cs="Times New Roman"/>
          <w:sz w:val="24"/>
          <w:szCs w:val="24"/>
        </w:rPr>
        <w:t>ffect of that product</w:t>
      </w:r>
      <w:r w:rsidR="005A512F">
        <w:rPr>
          <w:rFonts w:ascii="Times New Roman" w:hAnsi="Times New Roman" w:cs="Times New Roman"/>
          <w:sz w:val="24"/>
          <w:szCs w:val="24"/>
        </w:rPr>
        <w:t>)</w:t>
      </w:r>
      <w:r w:rsidR="00621098">
        <w:rPr>
          <w:rFonts w:ascii="Times New Roman" w:hAnsi="Times New Roman" w:cs="Times New Roman"/>
          <w:sz w:val="24"/>
          <w:szCs w:val="24"/>
        </w:rPr>
        <w:t>.</w:t>
      </w:r>
      <w:r w:rsidR="0075229B">
        <w:rPr>
          <w:rFonts w:ascii="Times New Roman" w:hAnsi="Times New Roman" w:cs="Times New Roman"/>
          <w:sz w:val="24"/>
          <w:szCs w:val="24"/>
        </w:rPr>
        <w:t xml:space="preserve"> </w:t>
      </w:r>
    </w:p>
    <w:p w:rsidR="00836493" w:rsidRDefault="00902516"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Unfortunately, g</w:t>
      </w:r>
      <w:r w:rsidR="00E46C08">
        <w:rPr>
          <w:rFonts w:ascii="Times New Roman" w:hAnsi="Times New Roman" w:cs="Times New Roman"/>
          <w:sz w:val="24"/>
          <w:szCs w:val="24"/>
        </w:rPr>
        <w:t xml:space="preserve">ene expression </w:t>
      </w:r>
      <w:r>
        <w:rPr>
          <w:rFonts w:ascii="Times New Roman" w:hAnsi="Times New Roman" w:cs="Times New Roman"/>
          <w:sz w:val="24"/>
          <w:szCs w:val="24"/>
        </w:rPr>
        <w:t>(</w:t>
      </w:r>
      <w:r w:rsidR="00E46C08">
        <w:rPr>
          <w:rFonts w:ascii="Times New Roman" w:hAnsi="Times New Roman" w:cs="Times New Roman"/>
          <w:sz w:val="24"/>
          <w:szCs w:val="24"/>
        </w:rPr>
        <w:t>in eukaryotes</w:t>
      </w:r>
      <w:r>
        <w:rPr>
          <w:rFonts w:ascii="Times New Roman" w:hAnsi="Times New Roman" w:cs="Times New Roman"/>
          <w:sz w:val="24"/>
          <w:szCs w:val="24"/>
        </w:rPr>
        <w:t>)</w:t>
      </w:r>
      <w:r w:rsidR="00E46C08">
        <w:rPr>
          <w:rFonts w:ascii="Times New Roman" w:hAnsi="Times New Roman" w:cs="Times New Roman"/>
          <w:sz w:val="24"/>
          <w:szCs w:val="24"/>
        </w:rPr>
        <w:t xml:space="preserve"> is rarely simple. There are many levels of gene regulation</w:t>
      </w:r>
      <w:r w:rsidR="009966BC">
        <w:rPr>
          <w:rFonts w:ascii="Times New Roman" w:hAnsi="Times New Roman" w:cs="Times New Roman"/>
          <w:sz w:val="24"/>
          <w:szCs w:val="24"/>
        </w:rPr>
        <w:t>,</w:t>
      </w:r>
      <w:r w:rsidR="00E46C08">
        <w:rPr>
          <w:rFonts w:ascii="Times New Roman" w:hAnsi="Times New Roman" w:cs="Times New Roman"/>
          <w:sz w:val="24"/>
          <w:szCs w:val="24"/>
        </w:rPr>
        <w:t xml:space="preserve"> and the same string of genetic code on a chromosome can</w:t>
      </w:r>
      <w:r w:rsidR="005E06CE">
        <w:rPr>
          <w:rFonts w:ascii="Times New Roman" w:hAnsi="Times New Roman" w:cs="Times New Roman"/>
          <w:sz w:val="24"/>
          <w:szCs w:val="24"/>
        </w:rPr>
        <w:t>,</w:t>
      </w:r>
      <w:r w:rsidR="00E46C08">
        <w:rPr>
          <w:rFonts w:ascii="Times New Roman" w:hAnsi="Times New Roman" w:cs="Times New Roman"/>
          <w:sz w:val="24"/>
          <w:szCs w:val="24"/>
        </w:rPr>
        <w:t xml:space="preserve"> </w:t>
      </w:r>
      <w:r w:rsidR="005E06CE">
        <w:rPr>
          <w:rFonts w:ascii="Times New Roman" w:hAnsi="Times New Roman" w:cs="Times New Roman"/>
          <w:sz w:val="24"/>
          <w:szCs w:val="24"/>
        </w:rPr>
        <w:t xml:space="preserve">through </w:t>
      </w:r>
      <w:r w:rsidR="0076698C">
        <w:rPr>
          <w:rFonts w:ascii="Times New Roman" w:hAnsi="Times New Roman" w:cs="Times New Roman"/>
          <w:sz w:val="24"/>
          <w:szCs w:val="24"/>
        </w:rPr>
        <w:t>th</w:t>
      </w:r>
      <w:r w:rsidR="0092177B">
        <w:rPr>
          <w:rFonts w:ascii="Times New Roman" w:hAnsi="Times New Roman" w:cs="Times New Roman"/>
          <w:sz w:val="24"/>
          <w:szCs w:val="24"/>
        </w:rPr>
        <w:t xml:space="preserve">e process of </w:t>
      </w:r>
      <w:r w:rsidR="005E06CE">
        <w:rPr>
          <w:rFonts w:ascii="Times New Roman" w:hAnsi="Times New Roman" w:cs="Times New Roman"/>
          <w:sz w:val="24"/>
          <w:szCs w:val="24"/>
        </w:rPr>
        <w:t xml:space="preserve">alternative splicing of the DNA, </w:t>
      </w:r>
      <w:r w:rsidR="00E46C08">
        <w:rPr>
          <w:rFonts w:ascii="Times New Roman" w:hAnsi="Times New Roman" w:cs="Times New Roman"/>
          <w:sz w:val="24"/>
          <w:szCs w:val="24"/>
        </w:rPr>
        <w:t>code fo</w:t>
      </w:r>
      <w:r w:rsidR="00E302BF">
        <w:rPr>
          <w:rFonts w:ascii="Times New Roman" w:hAnsi="Times New Roman" w:cs="Times New Roman"/>
          <w:sz w:val="24"/>
          <w:szCs w:val="24"/>
        </w:rPr>
        <w:t>r a number of different protein</w:t>
      </w:r>
      <w:r w:rsidR="005E06CE">
        <w:rPr>
          <w:rFonts w:ascii="Times New Roman" w:hAnsi="Times New Roman" w:cs="Times New Roman"/>
          <w:sz w:val="24"/>
          <w:szCs w:val="24"/>
        </w:rPr>
        <w:t xml:space="preserve"> isoforms. In this </w:t>
      </w:r>
      <w:r w:rsidR="00621098">
        <w:rPr>
          <w:rFonts w:ascii="Times New Roman" w:hAnsi="Times New Roman" w:cs="Times New Roman"/>
          <w:sz w:val="24"/>
          <w:szCs w:val="24"/>
        </w:rPr>
        <w:t xml:space="preserve">way the </w:t>
      </w:r>
      <w:r w:rsidR="000D7B8E">
        <w:rPr>
          <w:rFonts w:ascii="Times New Roman" w:hAnsi="Times New Roman" w:cs="Times New Roman"/>
          <w:sz w:val="24"/>
          <w:szCs w:val="24"/>
        </w:rPr>
        <w:t>“</w:t>
      </w:r>
      <w:r w:rsidR="0092177B">
        <w:rPr>
          <w:rFonts w:ascii="Times New Roman" w:hAnsi="Times New Roman" w:cs="Times New Roman"/>
          <w:sz w:val="24"/>
          <w:szCs w:val="24"/>
        </w:rPr>
        <w:t>mere</w:t>
      </w:r>
      <w:r w:rsidR="000D7B8E">
        <w:rPr>
          <w:rFonts w:ascii="Times New Roman" w:hAnsi="Times New Roman" w:cs="Times New Roman"/>
          <w:sz w:val="24"/>
          <w:szCs w:val="24"/>
        </w:rPr>
        <w:t>”</w:t>
      </w:r>
      <w:r w:rsidR="0092177B">
        <w:rPr>
          <w:rFonts w:ascii="Times New Roman" w:hAnsi="Times New Roman" w:cs="Times New Roman"/>
          <w:sz w:val="24"/>
          <w:szCs w:val="24"/>
        </w:rPr>
        <w:t xml:space="preserve"> </w:t>
      </w:r>
      <w:r w:rsidR="005E06CE">
        <w:rPr>
          <w:rFonts w:ascii="Times New Roman" w:hAnsi="Times New Roman" w:cs="Times New Roman"/>
          <w:sz w:val="24"/>
          <w:szCs w:val="24"/>
        </w:rPr>
        <w:t xml:space="preserve">20,000 or so genes in the human genome can code for </w:t>
      </w:r>
      <w:r w:rsidR="00A80D4F">
        <w:rPr>
          <w:rFonts w:ascii="Times New Roman" w:hAnsi="Times New Roman" w:cs="Times New Roman"/>
          <w:sz w:val="24"/>
          <w:szCs w:val="24"/>
        </w:rPr>
        <w:t xml:space="preserve">the </w:t>
      </w:r>
      <w:r w:rsidR="0092177B">
        <w:rPr>
          <w:rFonts w:ascii="Times New Roman" w:hAnsi="Times New Roman" w:cs="Times New Roman"/>
          <w:sz w:val="24"/>
          <w:szCs w:val="24"/>
        </w:rPr>
        <w:t xml:space="preserve">very </w:t>
      </w:r>
      <w:r w:rsidR="0017384B">
        <w:rPr>
          <w:rFonts w:ascii="Times New Roman" w:hAnsi="Times New Roman" w:cs="Times New Roman"/>
          <w:sz w:val="24"/>
          <w:szCs w:val="24"/>
        </w:rPr>
        <w:t>much greater number</w:t>
      </w:r>
      <w:r w:rsidR="00A80D4F">
        <w:rPr>
          <w:rFonts w:ascii="Times New Roman" w:hAnsi="Times New Roman" w:cs="Times New Roman"/>
          <w:sz w:val="24"/>
          <w:szCs w:val="24"/>
        </w:rPr>
        <w:t xml:space="preserve"> </w:t>
      </w:r>
      <w:r w:rsidR="005E06CE">
        <w:rPr>
          <w:rFonts w:ascii="Times New Roman" w:hAnsi="Times New Roman" w:cs="Times New Roman"/>
          <w:sz w:val="24"/>
          <w:szCs w:val="24"/>
        </w:rPr>
        <w:t>different proteins</w:t>
      </w:r>
      <w:r w:rsidR="00A80D4F">
        <w:rPr>
          <w:rFonts w:ascii="Times New Roman" w:hAnsi="Times New Roman" w:cs="Times New Roman"/>
          <w:sz w:val="24"/>
          <w:szCs w:val="24"/>
        </w:rPr>
        <w:t xml:space="preserve"> found in a human</w:t>
      </w:r>
      <w:r w:rsidR="005E06CE">
        <w:rPr>
          <w:rFonts w:ascii="Times New Roman" w:hAnsi="Times New Roman" w:cs="Times New Roman"/>
          <w:sz w:val="24"/>
          <w:szCs w:val="24"/>
        </w:rPr>
        <w:t>.</w:t>
      </w:r>
      <w:r w:rsidR="005E06CE">
        <w:rPr>
          <w:rStyle w:val="FootnoteReference"/>
          <w:rFonts w:ascii="Times New Roman" w:hAnsi="Times New Roman" w:cs="Times New Roman"/>
          <w:sz w:val="24"/>
          <w:szCs w:val="24"/>
        </w:rPr>
        <w:footnoteReference w:id="92"/>
      </w:r>
      <w:r w:rsidR="005E06CE">
        <w:rPr>
          <w:rFonts w:ascii="Times New Roman" w:hAnsi="Times New Roman" w:cs="Times New Roman"/>
          <w:sz w:val="24"/>
          <w:szCs w:val="24"/>
        </w:rPr>
        <w:t xml:space="preserve"> </w:t>
      </w:r>
      <w:r w:rsidR="002B086F">
        <w:rPr>
          <w:rFonts w:ascii="Times New Roman" w:hAnsi="Times New Roman" w:cs="Times New Roman"/>
          <w:sz w:val="24"/>
          <w:szCs w:val="24"/>
        </w:rPr>
        <w:t xml:space="preserve">In humans it may be that around 95% of multi-exon protein-coding genes produce alternate-spliced </w:t>
      </w:r>
      <w:r w:rsidR="0020444E">
        <w:rPr>
          <w:rFonts w:ascii="Times New Roman" w:hAnsi="Times New Roman" w:cs="Times New Roman"/>
          <w:sz w:val="24"/>
          <w:szCs w:val="24"/>
        </w:rPr>
        <w:t xml:space="preserve">protein </w:t>
      </w:r>
      <w:r w:rsidR="002B086F">
        <w:rPr>
          <w:rFonts w:ascii="Times New Roman" w:hAnsi="Times New Roman" w:cs="Times New Roman"/>
          <w:sz w:val="24"/>
          <w:szCs w:val="24"/>
        </w:rPr>
        <w:t>variants.</w:t>
      </w:r>
      <w:r w:rsidR="002B086F">
        <w:rPr>
          <w:rStyle w:val="FootnoteReference"/>
          <w:rFonts w:ascii="Times New Roman" w:hAnsi="Times New Roman" w:cs="Times New Roman"/>
          <w:sz w:val="24"/>
          <w:szCs w:val="24"/>
        </w:rPr>
        <w:footnoteReference w:id="93"/>
      </w:r>
      <w:r w:rsidR="002B086F">
        <w:rPr>
          <w:rFonts w:ascii="Times New Roman" w:hAnsi="Times New Roman" w:cs="Times New Roman"/>
          <w:sz w:val="24"/>
          <w:szCs w:val="24"/>
        </w:rPr>
        <w:t xml:space="preserve"> </w:t>
      </w:r>
      <w:r w:rsidR="005E06CE">
        <w:rPr>
          <w:rFonts w:ascii="Times New Roman" w:hAnsi="Times New Roman" w:cs="Times New Roman"/>
          <w:sz w:val="24"/>
          <w:szCs w:val="24"/>
        </w:rPr>
        <w:t>In some cases</w:t>
      </w:r>
      <w:r w:rsidR="002B086F">
        <w:rPr>
          <w:rFonts w:ascii="Times New Roman" w:hAnsi="Times New Roman" w:cs="Times New Roman"/>
          <w:sz w:val="24"/>
          <w:szCs w:val="24"/>
        </w:rPr>
        <w:t>,</w:t>
      </w:r>
      <w:r w:rsidR="005E06CE">
        <w:rPr>
          <w:rFonts w:ascii="Times New Roman" w:hAnsi="Times New Roman" w:cs="Times New Roman"/>
          <w:sz w:val="24"/>
          <w:szCs w:val="24"/>
        </w:rPr>
        <w:t xml:space="preserve"> the different parts of a protein are even coded for on entirely different chromosomes.</w:t>
      </w:r>
      <w:r w:rsidR="00106B56">
        <w:rPr>
          <w:rStyle w:val="FootnoteReference"/>
          <w:rFonts w:ascii="Times New Roman" w:hAnsi="Times New Roman" w:cs="Times New Roman"/>
          <w:sz w:val="24"/>
          <w:szCs w:val="24"/>
        </w:rPr>
        <w:footnoteReference w:id="94"/>
      </w:r>
      <w:r w:rsidR="005E06CE">
        <w:rPr>
          <w:rFonts w:ascii="Times New Roman" w:hAnsi="Times New Roman" w:cs="Times New Roman"/>
          <w:sz w:val="24"/>
          <w:szCs w:val="24"/>
        </w:rPr>
        <w:t xml:space="preserve">  </w:t>
      </w:r>
    </w:p>
    <w:p w:rsidR="00D4118F" w:rsidRDefault="00836493"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correlation between protein amino acid sequence and the gene coding for it </w:t>
      </w:r>
      <w:r w:rsidR="0017384B">
        <w:rPr>
          <w:rFonts w:ascii="Times New Roman" w:hAnsi="Times New Roman" w:cs="Times New Roman"/>
          <w:sz w:val="24"/>
          <w:szCs w:val="24"/>
        </w:rPr>
        <w:t xml:space="preserve">is yet further complicated (in both prokaryotes and eukaryotes) by the process of messenger RNA </w:t>
      </w:r>
      <w:r w:rsidR="004C0E41">
        <w:rPr>
          <w:rFonts w:ascii="Times New Roman" w:hAnsi="Times New Roman" w:cs="Times New Roman"/>
          <w:sz w:val="24"/>
          <w:szCs w:val="24"/>
        </w:rPr>
        <w:t>“</w:t>
      </w:r>
      <w:r w:rsidR="0017384B">
        <w:rPr>
          <w:rFonts w:ascii="Times New Roman" w:hAnsi="Times New Roman" w:cs="Times New Roman"/>
          <w:sz w:val="24"/>
          <w:szCs w:val="24"/>
        </w:rPr>
        <w:t>editing</w:t>
      </w:r>
      <w:r w:rsidR="004C0E41">
        <w:rPr>
          <w:rFonts w:ascii="Times New Roman" w:hAnsi="Times New Roman" w:cs="Times New Roman"/>
          <w:sz w:val="24"/>
          <w:szCs w:val="24"/>
        </w:rPr>
        <w:t>”</w:t>
      </w:r>
      <w:r>
        <w:rPr>
          <w:rFonts w:ascii="Times New Roman" w:hAnsi="Times New Roman" w:cs="Times New Roman"/>
          <w:sz w:val="24"/>
          <w:szCs w:val="24"/>
        </w:rPr>
        <w:t xml:space="preserve">. </w:t>
      </w:r>
      <w:r w:rsidR="0017384B">
        <w:rPr>
          <w:rFonts w:ascii="Times New Roman" w:hAnsi="Times New Roman" w:cs="Times New Roman"/>
          <w:sz w:val="24"/>
          <w:szCs w:val="24"/>
        </w:rPr>
        <w:t xml:space="preserve"> Here the nucleotide sequence in the messenger RNA is altered </w:t>
      </w:r>
      <w:r w:rsidR="0017384B" w:rsidRPr="0017384B">
        <w:rPr>
          <w:rFonts w:ascii="Times New Roman" w:hAnsi="Times New Roman" w:cs="Times New Roman"/>
          <w:i/>
          <w:sz w:val="24"/>
          <w:szCs w:val="24"/>
        </w:rPr>
        <w:t>before</w:t>
      </w:r>
      <w:r w:rsidR="0017384B">
        <w:rPr>
          <w:rFonts w:ascii="Times New Roman" w:hAnsi="Times New Roman" w:cs="Times New Roman"/>
          <w:sz w:val="24"/>
          <w:szCs w:val="24"/>
        </w:rPr>
        <w:t xml:space="preserve"> protein synthesis</w:t>
      </w:r>
      <w:r w:rsidR="004C0E41">
        <w:rPr>
          <w:rFonts w:ascii="Times New Roman" w:hAnsi="Times New Roman" w:cs="Times New Roman"/>
          <w:sz w:val="24"/>
          <w:szCs w:val="24"/>
        </w:rPr>
        <w:t>,</w:t>
      </w:r>
      <w:r w:rsidR="0017384B">
        <w:rPr>
          <w:rFonts w:ascii="Times New Roman" w:hAnsi="Times New Roman" w:cs="Times New Roman"/>
          <w:sz w:val="24"/>
          <w:szCs w:val="24"/>
        </w:rPr>
        <w:t xml:space="preserve"> such that the amino acid in the final protein </w:t>
      </w:r>
      <w:r w:rsidR="004C0E41">
        <w:rPr>
          <w:rFonts w:ascii="Times New Roman" w:hAnsi="Times New Roman" w:cs="Times New Roman"/>
          <w:sz w:val="24"/>
          <w:szCs w:val="24"/>
        </w:rPr>
        <w:t>will</w:t>
      </w:r>
      <w:r w:rsidR="0017384B">
        <w:rPr>
          <w:rFonts w:ascii="Times New Roman" w:hAnsi="Times New Roman" w:cs="Times New Roman"/>
          <w:sz w:val="24"/>
          <w:szCs w:val="24"/>
        </w:rPr>
        <w:t xml:space="preserve"> differ from that which </w:t>
      </w:r>
      <w:r w:rsidR="004C0E41">
        <w:rPr>
          <w:rFonts w:ascii="Times New Roman" w:hAnsi="Times New Roman" w:cs="Times New Roman"/>
          <w:sz w:val="24"/>
          <w:szCs w:val="24"/>
        </w:rPr>
        <w:t>would</w:t>
      </w:r>
      <w:r w:rsidR="0017384B">
        <w:rPr>
          <w:rFonts w:ascii="Times New Roman" w:hAnsi="Times New Roman" w:cs="Times New Roman"/>
          <w:sz w:val="24"/>
          <w:szCs w:val="24"/>
        </w:rPr>
        <w:t xml:space="preserve"> </w:t>
      </w:r>
      <w:r w:rsidR="0092177B">
        <w:rPr>
          <w:rFonts w:ascii="Times New Roman" w:hAnsi="Times New Roman" w:cs="Times New Roman"/>
          <w:sz w:val="24"/>
          <w:szCs w:val="24"/>
        </w:rPr>
        <w:t xml:space="preserve">ordinarily </w:t>
      </w:r>
      <w:r w:rsidR="0017384B">
        <w:rPr>
          <w:rFonts w:ascii="Times New Roman" w:hAnsi="Times New Roman" w:cs="Times New Roman"/>
          <w:sz w:val="24"/>
          <w:szCs w:val="24"/>
        </w:rPr>
        <w:t xml:space="preserve">have </w:t>
      </w:r>
      <w:r w:rsidR="0092177B">
        <w:rPr>
          <w:rFonts w:ascii="Times New Roman" w:hAnsi="Times New Roman" w:cs="Times New Roman"/>
          <w:sz w:val="24"/>
          <w:szCs w:val="24"/>
        </w:rPr>
        <w:t xml:space="preserve">been </w:t>
      </w:r>
      <w:r w:rsidR="0017384B">
        <w:rPr>
          <w:rFonts w:ascii="Times New Roman" w:hAnsi="Times New Roman" w:cs="Times New Roman"/>
          <w:sz w:val="24"/>
          <w:szCs w:val="24"/>
        </w:rPr>
        <w:t>predicted from the</w:t>
      </w:r>
      <w:r w:rsidR="004C0E41">
        <w:rPr>
          <w:rFonts w:ascii="Times New Roman" w:hAnsi="Times New Roman" w:cs="Times New Roman"/>
          <w:sz w:val="24"/>
          <w:szCs w:val="24"/>
        </w:rPr>
        <w:t xml:space="preserve"> nucleotide sequence in the encoding gene.</w:t>
      </w:r>
      <w:r w:rsidR="004C0E41" w:rsidRPr="004C0E41">
        <w:rPr>
          <w:rStyle w:val="FootnoteReference"/>
          <w:rFonts w:ascii="Times New Roman" w:hAnsi="Times New Roman" w:cs="Times New Roman"/>
          <w:sz w:val="24"/>
          <w:szCs w:val="24"/>
        </w:rPr>
        <w:t xml:space="preserve"> </w:t>
      </w:r>
      <w:r w:rsidR="004C0E41">
        <w:rPr>
          <w:rStyle w:val="FootnoteReference"/>
          <w:rFonts w:ascii="Times New Roman" w:hAnsi="Times New Roman" w:cs="Times New Roman"/>
          <w:sz w:val="24"/>
          <w:szCs w:val="24"/>
        </w:rPr>
        <w:footnoteReference w:id="95"/>
      </w:r>
      <w:r w:rsidR="004C0E41">
        <w:rPr>
          <w:rFonts w:ascii="Times New Roman" w:hAnsi="Times New Roman" w:cs="Times New Roman"/>
          <w:sz w:val="24"/>
          <w:szCs w:val="24"/>
        </w:rPr>
        <w:t xml:space="preserve">  </w:t>
      </w:r>
      <w:r w:rsidR="0017384B">
        <w:rPr>
          <w:rFonts w:ascii="Times New Roman" w:hAnsi="Times New Roman" w:cs="Times New Roman"/>
          <w:sz w:val="24"/>
          <w:szCs w:val="24"/>
        </w:rPr>
        <w:t xml:space="preserve"> </w:t>
      </w:r>
    </w:p>
    <w:p w:rsidR="00391B71" w:rsidRDefault="0076698C" w:rsidP="00932BBB">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92177B">
        <w:rPr>
          <w:rFonts w:ascii="Times New Roman" w:hAnsi="Times New Roman" w:cs="Times New Roman"/>
          <w:sz w:val="24"/>
          <w:szCs w:val="24"/>
        </w:rPr>
        <w:t>iven sufficient understanding of the relevant genome-proteome linkage</w:t>
      </w:r>
      <w:r>
        <w:rPr>
          <w:rFonts w:ascii="Times New Roman" w:hAnsi="Times New Roman" w:cs="Times New Roman"/>
          <w:sz w:val="24"/>
          <w:szCs w:val="24"/>
        </w:rPr>
        <w:t>,</w:t>
      </w:r>
      <w:r w:rsidR="0092177B">
        <w:rPr>
          <w:rFonts w:ascii="Times New Roman" w:hAnsi="Times New Roman" w:cs="Times New Roman"/>
          <w:sz w:val="24"/>
          <w:szCs w:val="24"/>
        </w:rPr>
        <w:t xml:space="preserve"> </w:t>
      </w:r>
      <w:r w:rsidR="00621098">
        <w:rPr>
          <w:rFonts w:ascii="Times New Roman" w:hAnsi="Times New Roman" w:cs="Times New Roman"/>
          <w:sz w:val="24"/>
          <w:szCs w:val="24"/>
        </w:rPr>
        <w:t xml:space="preserve">reading back from the </w:t>
      </w:r>
      <w:r w:rsidR="00D4118F">
        <w:rPr>
          <w:rFonts w:ascii="Times New Roman" w:hAnsi="Times New Roman" w:cs="Times New Roman"/>
          <w:sz w:val="24"/>
          <w:szCs w:val="24"/>
        </w:rPr>
        <w:t>biochemical “</w:t>
      </w:r>
      <w:r w:rsidR="00621098">
        <w:rPr>
          <w:rFonts w:ascii="Times New Roman" w:hAnsi="Times New Roman" w:cs="Times New Roman"/>
          <w:sz w:val="24"/>
          <w:szCs w:val="24"/>
        </w:rPr>
        <w:t>product</w:t>
      </w:r>
      <w:r w:rsidR="00D4118F">
        <w:rPr>
          <w:rFonts w:ascii="Times New Roman" w:hAnsi="Times New Roman" w:cs="Times New Roman"/>
          <w:sz w:val="24"/>
          <w:szCs w:val="24"/>
        </w:rPr>
        <w:t>”</w:t>
      </w:r>
      <w:r w:rsidR="00621098">
        <w:rPr>
          <w:rFonts w:ascii="Times New Roman" w:hAnsi="Times New Roman" w:cs="Times New Roman"/>
          <w:sz w:val="24"/>
          <w:szCs w:val="24"/>
        </w:rPr>
        <w:t xml:space="preserve"> to the code is </w:t>
      </w:r>
      <w:r w:rsidR="004C0E41">
        <w:rPr>
          <w:rFonts w:ascii="Times New Roman" w:hAnsi="Times New Roman" w:cs="Times New Roman"/>
          <w:sz w:val="24"/>
          <w:szCs w:val="24"/>
        </w:rPr>
        <w:t xml:space="preserve">perhaps </w:t>
      </w:r>
      <w:r w:rsidR="00621098">
        <w:rPr>
          <w:rFonts w:ascii="Times New Roman" w:hAnsi="Times New Roman" w:cs="Times New Roman"/>
          <w:sz w:val="24"/>
          <w:szCs w:val="24"/>
        </w:rPr>
        <w:t>not impossible</w:t>
      </w:r>
      <w:r>
        <w:rPr>
          <w:rFonts w:ascii="Times New Roman" w:hAnsi="Times New Roman" w:cs="Times New Roman"/>
          <w:sz w:val="24"/>
          <w:szCs w:val="24"/>
        </w:rPr>
        <w:t>. However</w:t>
      </w:r>
      <w:r w:rsidR="00D4118F">
        <w:rPr>
          <w:rFonts w:ascii="Times New Roman" w:hAnsi="Times New Roman" w:cs="Times New Roman"/>
          <w:sz w:val="24"/>
          <w:szCs w:val="24"/>
        </w:rPr>
        <w:t xml:space="preserve">, the complexity, and required level of understanding of the relevant gene expression-protein linkage, may </w:t>
      </w:r>
      <w:r w:rsidR="00E302BF">
        <w:rPr>
          <w:rFonts w:ascii="Times New Roman" w:hAnsi="Times New Roman" w:cs="Times New Roman"/>
          <w:sz w:val="24"/>
          <w:szCs w:val="24"/>
        </w:rPr>
        <w:t xml:space="preserve">well </w:t>
      </w:r>
      <w:r w:rsidR="00A80D4F">
        <w:rPr>
          <w:rFonts w:ascii="Times New Roman" w:hAnsi="Times New Roman" w:cs="Times New Roman"/>
          <w:sz w:val="24"/>
          <w:szCs w:val="24"/>
        </w:rPr>
        <w:t xml:space="preserve">significantly </w:t>
      </w:r>
      <w:r w:rsidR="00D4118F">
        <w:rPr>
          <w:rFonts w:ascii="Times New Roman" w:hAnsi="Times New Roman" w:cs="Times New Roman"/>
          <w:sz w:val="24"/>
          <w:szCs w:val="24"/>
        </w:rPr>
        <w:t xml:space="preserve">complicate claims to </w:t>
      </w:r>
      <w:r w:rsidR="00E302BF">
        <w:rPr>
          <w:rFonts w:ascii="Times New Roman" w:hAnsi="Times New Roman" w:cs="Times New Roman"/>
          <w:sz w:val="24"/>
          <w:szCs w:val="24"/>
        </w:rPr>
        <w:t>a particular DSI</w:t>
      </w:r>
      <w:r w:rsidR="00D4118F">
        <w:rPr>
          <w:rFonts w:ascii="Times New Roman" w:hAnsi="Times New Roman" w:cs="Times New Roman"/>
          <w:sz w:val="24"/>
          <w:szCs w:val="24"/>
        </w:rPr>
        <w:t xml:space="preserve">. </w:t>
      </w:r>
      <w:r>
        <w:rPr>
          <w:rFonts w:ascii="Times New Roman" w:hAnsi="Times New Roman" w:cs="Times New Roman"/>
          <w:sz w:val="24"/>
          <w:szCs w:val="24"/>
        </w:rPr>
        <w:t xml:space="preserve">In particular, since </w:t>
      </w:r>
      <w:r w:rsidR="000D7B8E">
        <w:rPr>
          <w:rFonts w:ascii="Times New Roman" w:hAnsi="Times New Roman" w:cs="Times New Roman"/>
          <w:sz w:val="24"/>
          <w:szCs w:val="24"/>
        </w:rPr>
        <w:t xml:space="preserve">many </w:t>
      </w:r>
      <w:r>
        <w:rPr>
          <w:rFonts w:ascii="Times New Roman" w:hAnsi="Times New Roman" w:cs="Times New Roman"/>
          <w:sz w:val="24"/>
          <w:szCs w:val="24"/>
        </w:rPr>
        <w:t xml:space="preserve">different proteins can be manufactured from </w:t>
      </w:r>
      <w:r w:rsidR="000D7B8E">
        <w:rPr>
          <w:rFonts w:ascii="Times New Roman" w:hAnsi="Times New Roman" w:cs="Times New Roman"/>
          <w:sz w:val="24"/>
          <w:szCs w:val="24"/>
        </w:rPr>
        <w:t xml:space="preserve">the same gene, claims over DSI based upon protein functionality may give rise to multiple separate (and competing) claims over a single gene. </w:t>
      </w:r>
      <w:r w:rsidR="00D4118F">
        <w:rPr>
          <w:rFonts w:ascii="Times New Roman" w:hAnsi="Times New Roman" w:cs="Times New Roman"/>
          <w:sz w:val="24"/>
          <w:szCs w:val="24"/>
        </w:rPr>
        <w:t xml:space="preserve"> </w:t>
      </w:r>
    </w:p>
    <w:p w:rsidR="009966BC" w:rsidRDefault="005A512F" w:rsidP="0073495D">
      <w:pPr>
        <w:spacing w:line="360" w:lineRule="auto"/>
        <w:jc w:val="both"/>
        <w:rPr>
          <w:rFonts w:ascii="Times New Roman" w:hAnsi="Times New Roman" w:cs="Times New Roman"/>
          <w:sz w:val="24"/>
          <w:szCs w:val="24"/>
        </w:rPr>
      </w:pPr>
      <w:r>
        <w:rPr>
          <w:rFonts w:ascii="Times New Roman" w:hAnsi="Times New Roman" w:cs="Times New Roman"/>
          <w:sz w:val="24"/>
          <w:szCs w:val="24"/>
        </w:rPr>
        <w:t>Yet f</w:t>
      </w:r>
      <w:r w:rsidR="00D4118F">
        <w:rPr>
          <w:rFonts w:ascii="Times New Roman" w:hAnsi="Times New Roman" w:cs="Times New Roman"/>
          <w:sz w:val="24"/>
          <w:szCs w:val="24"/>
        </w:rPr>
        <w:t xml:space="preserve">urther complication may arise where third parties claim a degree of difference in </w:t>
      </w:r>
      <w:r w:rsidR="00E302BF">
        <w:rPr>
          <w:rFonts w:ascii="Times New Roman" w:hAnsi="Times New Roman" w:cs="Times New Roman"/>
          <w:sz w:val="24"/>
          <w:szCs w:val="24"/>
        </w:rPr>
        <w:t xml:space="preserve">the </w:t>
      </w:r>
      <w:r w:rsidR="00D4118F">
        <w:rPr>
          <w:rFonts w:ascii="Times New Roman" w:hAnsi="Times New Roman" w:cs="Times New Roman"/>
          <w:sz w:val="24"/>
          <w:szCs w:val="24"/>
        </w:rPr>
        <w:t>functionality</w:t>
      </w:r>
      <w:r w:rsidR="0014157E">
        <w:rPr>
          <w:rFonts w:ascii="Times New Roman" w:hAnsi="Times New Roman" w:cs="Times New Roman"/>
          <w:sz w:val="24"/>
          <w:szCs w:val="24"/>
        </w:rPr>
        <w:t xml:space="preserve"> and structure</w:t>
      </w:r>
      <w:r w:rsidR="00D4118F">
        <w:rPr>
          <w:rFonts w:ascii="Times New Roman" w:hAnsi="Times New Roman" w:cs="Times New Roman"/>
          <w:sz w:val="24"/>
          <w:szCs w:val="24"/>
        </w:rPr>
        <w:t xml:space="preserve"> of </w:t>
      </w:r>
      <w:r w:rsidR="0014157E">
        <w:rPr>
          <w:rFonts w:ascii="Times New Roman" w:hAnsi="Times New Roman" w:cs="Times New Roman"/>
          <w:sz w:val="24"/>
          <w:szCs w:val="24"/>
        </w:rPr>
        <w:t>“</w:t>
      </w:r>
      <w:r w:rsidR="00D4118F" w:rsidRPr="0014157E">
        <w:rPr>
          <w:rFonts w:ascii="Times New Roman" w:hAnsi="Times New Roman" w:cs="Times New Roman"/>
          <w:sz w:val="24"/>
          <w:szCs w:val="24"/>
        </w:rPr>
        <w:t>their</w:t>
      </w:r>
      <w:r w:rsidR="0014157E">
        <w:rPr>
          <w:rFonts w:ascii="Times New Roman" w:hAnsi="Times New Roman" w:cs="Times New Roman"/>
          <w:sz w:val="24"/>
          <w:szCs w:val="24"/>
        </w:rPr>
        <w:t>”</w:t>
      </w:r>
      <w:r w:rsidR="00D4118F">
        <w:rPr>
          <w:rFonts w:ascii="Times New Roman" w:hAnsi="Times New Roman" w:cs="Times New Roman"/>
          <w:sz w:val="24"/>
          <w:szCs w:val="24"/>
        </w:rPr>
        <w:t xml:space="preserve"> protein relative to that found in the claimed genetic resource. </w:t>
      </w:r>
      <w:r w:rsidR="00111254">
        <w:rPr>
          <w:rFonts w:ascii="Times New Roman" w:hAnsi="Times New Roman" w:cs="Times New Roman"/>
          <w:sz w:val="24"/>
          <w:szCs w:val="24"/>
        </w:rPr>
        <w:t>As between different species</w:t>
      </w:r>
      <w:r w:rsidR="0014157E">
        <w:rPr>
          <w:rFonts w:ascii="Times New Roman" w:hAnsi="Times New Roman" w:cs="Times New Roman"/>
          <w:sz w:val="24"/>
          <w:szCs w:val="24"/>
        </w:rPr>
        <w:t xml:space="preserve"> (say the </w:t>
      </w:r>
      <w:r w:rsidR="0014157E" w:rsidRPr="0014157E">
        <w:rPr>
          <w:rFonts w:ascii="Times New Roman" w:hAnsi="Times New Roman" w:cs="Times New Roman"/>
          <w:i/>
          <w:sz w:val="24"/>
          <w:szCs w:val="24"/>
        </w:rPr>
        <w:t>liana</w:t>
      </w:r>
      <w:r w:rsidR="0014157E">
        <w:rPr>
          <w:rFonts w:ascii="Times New Roman" w:hAnsi="Times New Roman" w:cs="Times New Roman"/>
          <w:sz w:val="24"/>
          <w:szCs w:val="24"/>
        </w:rPr>
        <w:t xml:space="preserve"> and the yeast)</w:t>
      </w:r>
      <w:r w:rsidR="00D4118F">
        <w:rPr>
          <w:rFonts w:ascii="Times New Roman" w:hAnsi="Times New Roman" w:cs="Times New Roman"/>
          <w:sz w:val="24"/>
          <w:szCs w:val="24"/>
        </w:rPr>
        <w:t>,</w:t>
      </w:r>
      <w:r w:rsidR="00111254">
        <w:rPr>
          <w:rFonts w:ascii="Times New Roman" w:hAnsi="Times New Roman" w:cs="Times New Roman"/>
          <w:sz w:val="24"/>
          <w:szCs w:val="24"/>
        </w:rPr>
        <w:t xml:space="preserve"> </w:t>
      </w:r>
      <w:r w:rsidR="00391B71" w:rsidRPr="00AF566A">
        <w:rPr>
          <w:rFonts w:ascii="Times New Roman" w:hAnsi="Times New Roman" w:cs="Times New Roman"/>
          <w:sz w:val="24"/>
          <w:szCs w:val="24"/>
        </w:rPr>
        <w:t xml:space="preserve">even where the primary peptide sequence </w:t>
      </w:r>
      <w:r w:rsidR="00D4118F">
        <w:rPr>
          <w:rFonts w:ascii="Times New Roman" w:hAnsi="Times New Roman" w:cs="Times New Roman"/>
          <w:sz w:val="24"/>
          <w:szCs w:val="24"/>
        </w:rPr>
        <w:t xml:space="preserve">of a protein </w:t>
      </w:r>
      <w:r w:rsidR="00391B71" w:rsidRPr="00AF566A">
        <w:rPr>
          <w:rFonts w:ascii="Times New Roman" w:hAnsi="Times New Roman" w:cs="Times New Roman"/>
          <w:sz w:val="24"/>
          <w:szCs w:val="24"/>
        </w:rPr>
        <w:t xml:space="preserve">is identical, there would </w:t>
      </w:r>
      <w:r w:rsidR="00391B71">
        <w:rPr>
          <w:rFonts w:ascii="Times New Roman" w:hAnsi="Times New Roman" w:cs="Times New Roman"/>
          <w:sz w:val="24"/>
          <w:szCs w:val="24"/>
        </w:rPr>
        <w:t xml:space="preserve">very </w:t>
      </w:r>
      <w:r w:rsidR="00391B71" w:rsidRPr="00AF566A">
        <w:rPr>
          <w:rFonts w:ascii="Times New Roman" w:hAnsi="Times New Roman" w:cs="Times New Roman"/>
          <w:sz w:val="24"/>
          <w:szCs w:val="24"/>
        </w:rPr>
        <w:t>likely to be a difference in the types and nature of post-translational modification/glycosylation of the protein</w:t>
      </w:r>
      <w:r w:rsidR="0014157E">
        <w:rPr>
          <w:rFonts w:ascii="Times New Roman" w:hAnsi="Times New Roman" w:cs="Times New Roman"/>
          <w:sz w:val="24"/>
          <w:szCs w:val="24"/>
        </w:rPr>
        <w:t>.</w:t>
      </w:r>
      <w:r w:rsidR="00391B71" w:rsidRPr="00AF566A">
        <w:rPr>
          <w:rFonts w:ascii="Times New Roman" w:hAnsi="Times New Roman" w:cs="Times New Roman"/>
          <w:sz w:val="24"/>
          <w:szCs w:val="24"/>
        </w:rPr>
        <w:t xml:space="preserve"> Essentially, although they would appear </w:t>
      </w:r>
      <w:r w:rsidR="00391B71" w:rsidRPr="009966BC">
        <w:rPr>
          <w:rFonts w:ascii="Times New Roman" w:hAnsi="Times New Roman" w:cs="Times New Roman"/>
          <w:i/>
          <w:sz w:val="24"/>
          <w:szCs w:val="24"/>
        </w:rPr>
        <w:t>similar</w:t>
      </w:r>
      <w:r w:rsidR="00391B71" w:rsidRPr="00AF566A">
        <w:rPr>
          <w:rFonts w:ascii="Times New Roman" w:hAnsi="Times New Roman" w:cs="Times New Roman"/>
          <w:sz w:val="24"/>
          <w:szCs w:val="24"/>
        </w:rPr>
        <w:t>, they would not be identical</w:t>
      </w:r>
      <w:r w:rsidR="0014157E">
        <w:rPr>
          <w:rFonts w:ascii="Times New Roman" w:hAnsi="Times New Roman" w:cs="Times New Roman"/>
          <w:sz w:val="24"/>
          <w:szCs w:val="24"/>
        </w:rPr>
        <w:t xml:space="preserve"> and they may have subtle differences in function</w:t>
      </w:r>
      <w:r w:rsidR="00391B71" w:rsidRPr="00AF566A">
        <w:rPr>
          <w:rFonts w:ascii="Times New Roman" w:hAnsi="Times New Roman" w:cs="Times New Roman"/>
          <w:sz w:val="24"/>
          <w:szCs w:val="24"/>
        </w:rPr>
        <w:t xml:space="preserve">.  How much </w:t>
      </w:r>
      <w:r w:rsidR="0014157E">
        <w:rPr>
          <w:rFonts w:ascii="Times New Roman" w:hAnsi="Times New Roman" w:cs="Times New Roman"/>
          <w:sz w:val="24"/>
          <w:szCs w:val="24"/>
        </w:rPr>
        <w:t xml:space="preserve">functional </w:t>
      </w:r>
      <w:r w:rsidR="00391B71" w:rsidRPr="00AF566A">
        <w:rPr>
          <w:rFonts w:ascii="Times New Roman" w:hAnsi="Times New Roman" w:cs="Times New Roman"/>
          <w:sz w:val="24"/>
          <w:szCs w:val="24"/>
        </w:rPr>
        <w:t xml:space="preserve">similarity would be required for </w:t>
      </w:r>
      <w:r w:rsidR="0014157E">
        <w:rPr>
          <w:rFonts w:ascii="Times New Roman" w:hAnsi="Times New Roman" w:cs="Times New Roman"/>
          <w:sz w:val="24"/>
          <w:szCs w:val="24"/>
        </w:rPr>
        <w:t>the protein in the yeast</w:t>
      </w:r>
      <w:r w:rsidR="00E302BF">
        <w:rPr>
          <w:rFonts w:ascii="Times New Roman" w:hAnsi="Times New Roman" w:cs="Times New Roman"/>
          <w:sz w:val="24"/>
          <w:szCs w:val="24"/>
        </w:rPr>
        <w:t xml:space="preserve"> to be considered the same as that in the </w:t>
      </w:r>
      <w:r w:rsidR="00E302BF" w:rsidRPr="00E302BF">
        <w:rPr>
          <w:rFonts w:ascii="Times New Roman" w:hAnsi="Times New Roman" w:cs="Times New Roman"/>
          <w:i/>
          <w:sz w:val="24"/>
          <w:szCs w:val="24"/>
        </w:rPr>
        <w:t>liana</w:t>
      </w:r>
      <w:r w:rsidR="0014157E">
        <w:rPr>
          <w:rFonts w:ascii="Times New Roman" w:hAnsi="Times New Roman" w:cs="Times New Roman"/>
          <w:sz w:val="24"/>
          <w:szCs w:val="24"/>
        </w:rPr>
        <w:t xml:space="preserve">? </w:t>
      </w:r>
    </w:p>
    <w:p w:rsidR="009B3BAF" w:rsidRDefault="00391B71" w:rsidP="0073495D">
      <w:pPr>
        <w:spacing w:line="360" w:lineRule="auto"/>
        <w:jc w:val="both"/>
        <w:rPr>
          <w:rFonts w:ascii="Times New Roman" w:hAnsi="Times New Roman" w:cs="Times New Roman"/>
          <w:sz w:val="24"/>
          <w:szCs w:val="24"/>
        </w:rPr>
      </w:pPr>
      <w:r w:rsidRPr="00AF566A">
        <w:rPr>
          <w:rFonts w:ascii="Times New Roman" w:hAnsi="Times New Roman" w:cs="Times New Roman"/>
          <w:sz w:val="24"/>
          <w:szCs w:val="24"/>
        </w:rPr>
        <w:t>These are not insurmountable difficulties when looking at medicines regulation (for example see the treatment of “biosimilars” by medicines regulatory agencies</w:t>
      </w:r>
      <w:r w:rsidRPr="00016B18">
        <w:rPr>
          <w:rFonts w:ascii="Times New Roman" w:hAnsi="Times New Roman" w:cs="Times New Roman"/>
          <w:sz w:val="24"/>
          <w:szCs w:val="24"/>
          <w:vertAlign w:val="superscript"/>
        </w:rPr>
        <w:footnoteReference w:id="96"/>
      </w:r>
      <w:r w:rsidR="00E302BF">
        <w:rPr>
          <w:rFonts w:ascii="Times New Roman" w:hAnsi="Times New Roman" w:cs="Times New Roman"/>
          <w:sz w:val="24"/>
          <w:szCs w:val="24"/>
        </w:rPr>
        <w:t xml:space="preserve">), </w:t>
      </w:r>
      <w:r>
        <w:rPr>
          <w:rFonts w:ascii="Times New Roman" w:hAnsi="Times New Roman" w:cs="Times New Roman"/>
          <w:sz w:val="24"/>
          <w:szCs w:val="24"/>
        </w:rPr>
        <w:t>or indeed in patent litigation. However</w:t>
      </w:r>
      <w:r w:rsidR="009B3BAF">
        <w:rPr>
          <w:rFonts w:ascii="Times New Roman" w:hAnsi="Times New Roman" w:cs="Times New Roman"/>
          <w:sz w:val="24"/>
          <w:szCs w:val="24"/>
        </w:rPr>
        <w:t>,</w:t>
      </w:r>
      <w:r>
        <w:rPr>
          <w:rFonts w:ascii="Times New Roman" w:hAnsi="Times New Roman" w:cs="Times New Roman"/>
          <w:sz w:val="24"/>
          <w:szCs w:val="24"/>
        </w:rPr>
        <w:t xml:space="preserve"> in both cases, the definition of the required functionality has been established by the regulatory applicant</w:t>
      </w:r>
      <w:r w:rsidR="0014157E">
        <w:rPr>
          <w:rFonts w:ascii="Times New Roman" w:hAnsi="Times New Roman" w:cs="Times New Roman"/>
          <w:sz w:val="24"/>
          <w:szCs w:val="24"/>
        </w:rPr>
        <w:t>,</w:t>
      </w:r>
      <w:r>
        <w:rPr>
          <w:rFonts w:ascii="Times New Roman" w:hAnsi="Times New Roman" w:cs="Times New Roman"/>
          <w:sz w:val="24"/>
          <w:szCs w:val="24"/>
        </w:rPr>
        <w:t xml:space="preserve"> or patentee</w:t>
      </w:r>
      <w:r w:rsidR="0014157E">
        <w:rPr>
          <w:rFonts w:ascii="Times New Roman" w:hAnsi="Times New Roman" w:cs="Times New Roman"/>
          <w:sz w:val="24"/>
          <w:szCs w:val="24"/>
        </w:rPr>
        <w:t>,</w:t>
      </w:r>
      <w:r>
        <w:rPr>
          <w:rFonts w:ascii="Times New Roman" w:hAnsi="Times New Roman" w:cs="Times New Roman"/>
          <w:sz w:val="24"/>
          <w:szCs w:val="24"/>
        </w:rPr>
        <w:t xml:space="preserve"> in very detailed terms</w:t>
      </w:r>
      <w:r w:rsidR="00BD24A0">
        <w:rPr>
          <w:rFonts w:ascii="Times New Roman" w:hAnsi="Times New Roman" w:cs="Times New Roman"/>
          <w:sz w:val="24"/>
          <w:szCs w:val="24"/>
        </w:rPr>
        <w:t xml:space="preserve"> and that detail forms </w:t>
      </w:r>
      <w:r w:rsidR="009B3BAF">
        <w:rPr>
          <w:rFonts w:ascii="Times New Roman" w:hAnsi="Times New Roman" w:cs="Times New Roman"/>
          <w:sz w:val="24"/>
          <w:szCs w:val="24"/>
        </w:rPr>
        <w:t xml:space="preserve">part of </w:t>
      </w:r>
      <w:r w:rsidR="00BD24A0">
        <w:rPr>
          <w:rFonts w:ascii="Times New Roman" w:hAnsi="Times New Roman" w:cs="Times New Roman"/>
          <w:sz w:val="24"/>
          <w:szCs w:val="24"/>
        </w:rPr>
        <w:t>the basis of the grant of exclusivity to the right holder. It is not at all clear how such a requirement could be accommodated within the Protocol</w:t>
      </w:r>
      <w:r w:rsidR="009966BC">
        <w:rPr>
          <w:rFonts w:ascii="Times New Roman" w:hAnsi="Times New Roman" w:cs="Times New Roman"/>
          <w:sz w:val="24"/>
          <w:szCs w:val="24"/>
        </w:rPr>
        <w:t xml:space="preserve"> as it stands</w:t>
      </w:r>
      <w:r w:rsidR="00BD24A0">
        <w:rPr>
          <w:rFonts w:ascii="Times New Roman" w:hAnsi="Times New Roman" w:cs="Times New Roman"/>
          <w:sz w:val="24"/>
          <w:szCs w:val="24"/>
        </w:rPr>
        <w:t xml:space="preserve">. </w:t>
      </w:r>
    </w:p>
    <w:p w:rsidR="00434997" w:rsidRDefault="009966BC" w:rsidP="008955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 m</w:t>
      </w:r>
      <w:r w:rsidR="00BD24A0">
        <w:rPr>
          <w:rFonts w:ascii="Times New Roman" w:hAnsi="Times New Roman" w:cs="Times New Roman"/>
          <w:sz w:val="24"/>
          <w:szCs w:val="24"/>
        </w:rPr>
        <w:t xml:space="preserve">oving from control over </w:t>
      </w:r>
      <w:r w:rsidR="00BD24A0" w:rsidRPr="009B3BAF">
        <w:rPr>
          <w:rFonts w:ascii="Times New Roman" w:hAnsi="Times New Roman" w:cs="Times New Roman"/>
          <w:i/>
          <w:sz w:val="24"/>
          <w:szCs w:val="24"/>
        </w:rPr>
        <w:t>physical</w:t>
      </w:r>
      <w:r w:rsidR="00BD24A0">
        <w:rPr>
          <w:rFonts w:ascii="Times New Roman" w:hAnsi="Times New Roman" w:cs="Times New Roman"/>
          <w:sz w:val="24"/>
          <w:szCs w:val="24"/>
        </w:rPr>
        <w:t xml:space="preserve"> genetic resources to </w:t>
      </w:r>
      <w:r w:rsidR="00BD24A0" w:rsidRPr="009B3BAF">
        <w:rPr>
          <w:rFonts w:ascii="Times New Roman" w:hAnsi="Times New Roman" w:cs="Times New Roman"/>
          <w:i/>
          <w:sz w:val="24"/>
          <w:szCs w:val="24"/>
        </w:rPr>
        <w:t>informational</w:t>
      </w:r>
      <w:r w:rsidR="00BD24A0">
        <w:rPr>
          <w:rFonts w:ascii="Times New Roman" w:hAnsi="Times New Roman" w:cs="Times New Roman"/>
          <w:sz w:val="24"/>
          <w:szCs w:val="24"/>
        </w:rPr>
        <w:t xml:space="preserve"> genetic resources </w:t>
      </w:r>
      <w:r w:rsidR="00434997">
        <w:rPr>
          <w:rFonts w:ascii="Times New Roman" w:hAnsi="Times New Roman" w:cs="Times New Roman"/>
          <w:sz w:val="24"/>
          <w:szCs w:val="24"/>
        </w:rPr>
        <w:t xml:space="preserve">will likely </w:t>
      </w:r>
      <w:r w:rsidR="009B3BAF">
        <w:rPr>
          <w:rFonts w:ascii="Times New Roman" w:hAnsi="Times New Roman" w:cs="Times New Roman"/>
          <w:sz w:val="24"/>
          <w:szCs w:val="24"/>
        </w:rPr>
        <w:t>require</w:t>
      </w:r>
      <w:r w:rsidR="00BD24A0">
        <w:rPr>
          <w:rFonts w:ascii="Times New Roman" w:hAnsi="Times New Roman" w:cs="Times New Roman"/>
          <w:sz w:val="24"/>
          <w:szCs w:val="24"/>
        </w:rPr>
        <w:t xml:space="preserve"> an appreciation of concepts of </w:t>
      </w:r>
      <w:r w:rsidR="00566EC8" w:rsidRPr="00434997">
        <w:rPr>
          <w:rFonts w:ascii="Times New Roman" w:hAnsi="Times New Roman" w:cs="Times New Roman"/>
          <w:sz w:val="24"/>
          <w:szCs w:val="24"/>
        </w:rPr>
        <w:t>“firstness”</w:t>
      </w:r>
      <w:r w:rsidR="00BD24A0" w:rsidRPr="00434997">
        <w:rPr>
          <w:rFonts w:ascii="Times New Roman" w:hAnsi="Times New Roman" w:cs="Times New Roman"/>
          <w:sz w:val="24"/>
          <w:szCs w:val="24"/>
        </w:rPr>
        <w:t xml:space="preserve"> and </w:t>
      </w:r>
      <w:r w:rsidR="009B3BAF">
        <w:rPr>
          <w:rFonts w:ascii="Times New Roman" w:hAnsi="Times New Roman" w:cs="Times New Roman"/>
          <w:sz w:val="24"/>
          <w:szCs w:val="24"/>
        </w:rPr>
        <w:t xml:space="preserve">detailed </w:t>
      </w:r>
      <w:r w:rsidR="00BD24A0" w:rsidRPr="00434997">
        <w:rPr>
          <w:rFonts w:ascii="Times New Roman" w:hAnsi="Times New Roman" w:cs="Times New Roman"/>
          <w:sz w:val="24"/>
          <w:szCs w:val="24"/>
        </w:rPr>
        <w:t xml:space="preserve">claims to functionality – </w:t>
      </w:r>
      <w:r w:rsidR="00566EC8" w:rsidRPr="00434997">
        <w:rPr>
          <w:rFonts w:ascii="Times New Roman" w:hAnsi="Times New Roman" w:cs="Times New Roman"/>
          <w:sz w:val="24"/>
          <w:szCs w:val="24"/>
        </w:rPr>
        <w:t>c</w:t>
      </w:r>
      <w:r w:rsidR="006F210F" w:rsidRPr="00434997">
        <w:rPr>
          <w:rFonts w:ascii="Times New Roman" w:hAnsi="Times New Roman" w:cs="Times New Roman"/>
          <w:sz w:val="24"/>
          <w:szCs w:val="24"/>
        </w:rPr>
        <w:t>oncept</w:t>
      </w:r>
      <w:r w:rsidR="00BD24A0" w:rsidRPr="00434997">
        <w:rPr>
          <w:rFonts w:ascii="Times New Roman" w:hAnsi="Times New Roman" w:cs="Times New Roman"/>
          <w:sz w:val="24"/>
          <w:szCs w:val="24"/>
        </w:rPr>
        <w:t>s more at home within the ambit of patent law and</w:t>
      </w:r>
      <w:r w:rsidR="006F210F" w:rsidRPr="00434997">
        <w:rPr>
          <w:rFonts w:ascii="Times New Roman" w:hAnsi="Times New Roman" w:cs="Times New Roman"/>
          <w:sz w:val="24"/>
          <w:szCs w:val="24"/>
        </w:rPr>
        <w:t xml:space="preserve"> apparently </w:t>
      </w:r>
      <w:r w:rsidR="00BD24A0" w:rsidRPr="00434997">
        <w:rPr>
          <w:rFonts w:ascii="Times New Roman" w:hAnsi="Times New Roman" w:cs="Times New Roman"/>
          <w:sz w:val="24"/>
          <w:szCs w:val="24"/>
        </w:rPr>
        <w:t xml:space="preserve">not </w:t>
      </w:r>
      <w:r w:rsidR="006F210F" w:rsidRPr="00434997">
        <w:rPr>
          <w:rFonts w:ascii="Times New Roman" w:hAnsi="Times New Roman" w:cs="Times New Roman"/>
          <w:sz w:val="24"/>
          <w:szCs w:val="24"/>
        </w:rPr>
        <w:t xml:space="preserve">envisaged (and </w:t>
      </w:r>
      <w:r w:rsidR="00BD24A0" w:rsidRPr="00434997">
        <w:rPr>
          <w:rFonts w:ascii="Times New Roman" w:hAnsi="Times New Roman" w:cs="Times New Roman"/>
          <w:sz w:val="24"/>
          <w:szCs w:val="24"/>
        </w:rPr>
        <w:t xml:space="preserve">certainly </w:t>
      </w:r>
      <w:r w:rsidR="009303A4" w:rsidRPr="00434997">
        <w:rPr>
          <w:rFonts w:ascii="Times New Roman" w:hAnsi="Times New Roman" w:cs="Times New Roman"/>
          <w:sz w:val="24"/>
          <w:szCs w:val="24"/>
        </w:rPr>
        <w:t xml:space="preserve">not </w:t>
      </w:r>
      <w:r w:rsidR="00BD24A0" w:rsidRPr="00434997">
        <w:rPr>
          <w:rFonts w:ascii="Times New Roman" w:hAnsi="Times New Roman" w:cs="Times New Roman"/>
          <w:sz w:val="24"/>
          <w:szCs w:val="24"/>
        </w:rPr>
        <w:t xml:space="preserve">currently </w:t>
      </w:r>
      <w:r w:rsidR="00566EC8" w:rsidRPr="00434997">
        <w:rPr>
          <w:rFonts w:ascii="Times New Roman" w:hAnsi="Times New Roman" w:cs="Times New Roman"/>
          <w:sz w:val="24"/>
          <w:szCs w:val="24"/>
        </w:rPr>
        <w:t>legislated for) within Articles 6 and 5(1) and (2) of the Protocol.</w:t>
      </w:r>
      <w:r w:rsidR="009B3BAF">
        <w:rPr>
          <w:rFonts w:ascii="Times New Roman" w:hAnsi="Times New Roman" w:cs="Times New Roman"/>
          <w:sz w:val="24"/>
          <w:szCs w:val="24"/>
        </w:rPr>
        <w:t xml:space="preserve"> </w:t>
      </w:r>
    </w:p>
    <w:p w:rsidR="00434997" w:rsidRDefault="00895518" w:rsidP="00BA54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light of this analysis, w</w:t>
      </w:r>
      <w:r w:rsidR="00434997">
        <w:rPr>
          <w:rFonts w:ascii="Times New Roman" w:hAnsi="Times New Roman" w:cs="Times New Roman"/>
          <w:sz w:val="24"/>
          <w:szCs w:val="24"/>
        </w:rPr>
        <w:t>ould a move to permit the coverage of DSI within the Protocol impact upon the question of ABS control over</w:t>
      </w:r>
      <w:r w:rsidR="00856A3D">
        <w:rPr>
          <w:rFonts w:ascii="Times New Roman" w:hAnsi="Times New Roman" w:cs="Times New Roman"/>
          <w:sz w:val="24"/>
          <w:szCs w:val="24"/>
        </w:rPr>
        <w:t xml:space="preserve"> the biochemical product of gene expression or of </w:t>
      </w:r>
      <w:r w:rsidR="009F6E55">
        <w:rPr>
          <w:rFonts w:ascii="Times New Roman" w:hAnsi="Times New Roman" w:cs="Times New Roman"/>
          <w:sz w:val="24"/>
          <w:szCs w:val="24"/>
        </w:rPr>
        <w:t>hu</w:t>
      </w:r>
      <w:r w:rsidR="00856A3D">
        <w:rPr>
          <w:rFonts w:ascii="Times New Roman" w:hAnsi="Times New Roman" w:cs="Times New Roman"/>
          <w:sz w:val="24"/>
          <w:szCs w:val="24"/>
        </w:rPr>
        <w:t xml:space="preserve">man-made derivatives of such products? </w:t>
      </w:r>
      <w:r w:rsidR="00856A3D" w:rsidRPr="000D7B8E">
        <w:rPr>
          <w:rFonts w:ascii="Times New Roman" w:hAnsi="Times New Roman" w:cs="Times New Roman"/>
          <w:sz w:val="24"/>
          <w:szCs w:val="24"/>
        </w:rPr>
        <w:t xml:space="preserve">The answer to that question </w:t>
      </w:r>
      <w:r w:rsidR="000D7B8E">
        <w:rPr>
          <w:rFonts w:ascii="Times New Roman" w:hAnsi="Times New Roman" w:cs="Times New Roman"/>
          <w:sz w:val="24"/>
          <w:szCs w:val="24"/>
        </w:rPr>
        <w:t>is dependent up</w:t>
      </w:r>
      <w:r w:rsidR="00856A3D" w:rsidRPr="000D7B8E">
        <w:rPr>
          <w:rFonts w:ascii="Times New Roman" w:hAnsi="Times New Roman" w:cs="Times New Roman"/>
          <w:sz w:val="24"/>
          <w:szCs w:val="24"/>
        </w:rPr>
        <w:t>on how the Protocol was amended to bring coverage of DSI into effect. However, for this author</w:t>
      </w:r>
      <w:r w:rsidR="004B625D" w:rsidRPr="000D7B8E">
        <w:rPr>
          <w:rFonts w:ascii="Times New Roman" w:hAnsi="Times New Roman" w:cs="Times New Roman"/>
          <w:sz w:val="24"/>
          <w:szCs w:val="24"/>
        </w:rPr>
        <w:t>,</w:t>
      </w:r>
      <w:r w:rsidR="00856A3D" w:rsidRPr="000D7B8E">
        <w:rPr>
          <w:rFonts w:ascii="Times New Roman" w:hAnsi="Times New Roman" w:cs="Times New Roman"/>
          <w:sz w:val="24"/>
          <w:szCs w:val="24"/>
        </w:rPr>
        <w:t xml:space="preserve"> there is no inherent reason why Articles 6 and 5(1) and (2) of the Protocol would require to be </w:t>
      </w:r>
      <w:r w:rsidR="004B625D" w:rsidRPr="000D7B8E">
        <w:rPr>
          <w:rFonts w:ascii="Times New Roman" w:hAnsi="Times New Roman" w:cs="Times New Roman"/>
          <w:sz w:val="24"/>
          <w:szCs w:val="24"/>
        </w:rPr>
        <w:t>amended</w:t>
      </w:r>
      <w:r w:rsidR="00856A3D" w:rsidRPr="000D7B8E">
        <w:rPr>
          <w:rFonts w:ascii="Times New Roman" w:hAnsi="Times New Roman" w:cs="Times New Roman"/>
          <w:sz w:val="24"/>
          <w:szCs w:val="24"/>
        </w:rPr>
        <w:t xml:space="preserve"> in a way </w:t>
      </w:r>
      <w:r w:rsidR="000D7B8E" w:rsidRPr="000D7B8E">
        <w:rPr>
          <w:rFonts w:ascii="Times New Roman" w:hAnsi="Times New Roman" w:cs="Times New Roman"/>
          <w:sz w:val="24"/>
          <w:szCs w:val="24"/>
        </w:rPr>
        <w:t>which would</w:t>
      </w:r>
      <w:r w:rsidR="00856A3D" w:rsidRPr="000D7B8E">
        <w:rPr>
          <w:rFonts w:ascii="Times New Roman" w:hAnsi="Times New Roman" w:cs="Times New Roman"/>
          <w:sz w:val="24"/>
          <w:szCs w:val="24"/>
        </w:rPr>
        <w:t xml:space="preserve"> change the </w:t>
      </w:r>
      <w:r w:rsidR="004B625D" w:rsidRPr="000D7B8E">
        <w:rPr>
          <w:rFonts w:ascii="Times New Roman" w:hAnsi="Times New Roman" w:cs="Times New Roman"/>
          <w:sz w:val="24"/>
          <w:szCs w:val="24"/>
        </w:rPr>
        <w:t xml:space="preserve">current </w:t>
      </w:r>
      <w:r w:rsidR="00856A3D" w:rsidRPr="000D7B8E">
        <w:rPr>
          <w:rFonts w:ascii="Times New Roman" w:hAnsi="Times New Roman" w:cs="Times New Roman"/>
          <w:sz w:val="24"/>
          <w:szCs w:val="24"/>
        </w:rPr>
        <w:t>treatment of biochemical product</w:t>
      </w:r>
      <w:r w:rsidR="000D7B8E" w:rsidRPr="000D7B8E">
        <w:rPr>
          <w:rFonts w:ascii="Times New Roman" w:hAnsi="Times New Roman" w:cs="Times New Roman"/>
          <w:sz w:val="24"/>
          <w:szCs w:val="24"/>
        </w:rPr>
        <w:t>s</w:t>
      </w:r>
      <w:r w:rsidR="00856A3D" w:rsidRPr="000D7B8E">
        <w:rPr>
          <w:rFonts w:ascii="Times New Roman" w:hAnsi="Times New Roman" w:cs="Times New Roman"/>
          <w:sz w:val="24"/>
          <w:szCs w:val="24"/>
        </w:rPr>
        <w:t xml:space="preserve"> of gene expression</w:t>
      </w:r>
      <w:r w:rsidR="00C34D8D" w:rsidRPr="000D7B8E">
        <w:rPr>
          <w:rFonts w:ascii="Times New Roman" w:hAnsi="Times New Roman" w:cs="Times New Roman"/>
          <w:sz w:val="24"/>
          <w:szCs w:val="24"/>
        </w:rPr>
        <w:t>,</w:t>
      </w:r>
      <w:r w:rsidR="00856A3D" w:rsidRPr="000D7B8E">
        <w:rPr>
          <w:rFonts w:ascii="Times New Roman" w:hAnsi="Times New Roman" w:cs="Times New Roman"/>
          <w:sz w:val="24"/>
          <w:szCs w:val="24"/>
        </w:rPr>
        <w:t xml:space="preserve"> or of </w:t>
      </w:r>
      <w:r w:rsidR="009F6E55">
        <w:rPr>
          <w:rFonts w:ascii="Times New Roman" w:hAnsi="Times New Roman" w:cs="Times New Roman"/>
          <w:sz w:val="24"/>
          <w:szCs w:val="24"/>
        </w:rPr>
        <w:t>hu</w:t>
      </w:r>
      <w:r w:rsidR="00856A3D" w:rsidRPr="000D7B8E">
        <w:rPr>
          <w:rFonts w:ascii="Times New Roman" w:hAnsi="Times New Roman" w:cs="Times New Roman"/>
          <w:sz w:val="24"/>
          <w:szCs w:val="24"/>
        </w:rPr>
        <w:t>man-made derivatives of such products</w:t>
      </w:r>
      <w:r w:rsidR="004B625D" w:rsidRPr="000D7B8E">
        <w:rPr>
          <w:rFonts w:ascii="Times New Roman" w:hAnsi="Times New Roman" w:cs="Times New Roman"/>
          <w:sz w:val="24"/>
          <w:szCs w:val="24"/>
        </w:rPr>
        <w:t>.</w:t>
      </w:r>
      <w:r w:rsidR="004B625D">
        <w:rPr>
          <w:rFonts w:ascii="Times New Roman" w:hAnsi="Times New Roman" w:cs="Times New Roman"/>
          <w:sz w:val="24"/>
          <w:szCs w:val="24"/>
        </w:rPr>
        <w:t xml:space="preserve"> </w:t>
      </w:r>
    </w:p>
    <w:p w:rsidR="000B259F" w:rsidRDefault="000B259F" w:rsidP="00BA54BD">
      <w:pPr>
        <w:autoSpaceDE w:val="0"/>
        <w:autoSpaceDN w:val="0"/>
        <w:adjustRightInd w:val="0"/>
        <w:spacing w:after="0" w:line="360" w:lineRule="auto"/>
        <w:jc w:val="both"/>
        <w:rPr>
          <w:rFonts w:ascii="Times New Roman" w:hAnsi="Times New Roman" w:cs="Times New Roman"/>
          <w:sz w:val="24"/>
          <w:szCs w:val="24"/>
        </w:rPr>
      </w:pPr>
    </w:p>
    <w:p w:rsidR="00CA1F37" w:rsidRDefault="00BA54BD" w:rsidP="00CC08B5">
      <w:pPr>
        <w:autoSpaceDE w:val="0"/>
        <w:autoSpaceDN w:val="0"/>
        <w:adjustRightInd w:val="0"/>
        <w:spacing w:after="0" w:line="360" w:lineRule="auto"/>
        <w:jc w:val="both"/>
        <w:rPr>
          <w:rFonts w:ascii="Times New Roman" w:hAnsi="Times New Roman" w:cs="Times New Roman"/>
          <w:sz w:val="24"/>
          <w:szCs w:val="24"/>
        </w:rPr>
      </w:pPr>
      <w:r w:rsidRPr="00CC08B5">
        <w:rPr>
          <w:rFonts w:ascii="Times New Roman" w:hAnsi="Times New Roman" w:cs="Times New Roman"/>
          <w:sz w:val="24"/>
          <w:szCs w:val="24"/>
        </w:rPr>
        <w:t>Although</w:t>
      </w:r>
      <w:r w:rsidR="004B625D">
        <w:rPr>
          <w:rFonts w:ascii="Times New Roman" w:hAnsi="Times New Roman" w:cs="Times New Roman"/>
          <w:sz w:val="24"/>
          <w:szCs w:val="24"/>
        </w:rPr>
        <w:t>, as we have seen, control over genetic information</w:t>
      </w:r>
      <w:r w:rsidRPr="00CC08B5">
        <w:rPr>
          <w:rFonts w:ascii="Times New Roman" w:hAnsi="Times New Roman" w:cs="Times New Roman"/>
          <w:sz w:val="24"/>
          <w:szCs w:val="24"/>
        </w:rPr>
        <w:t xml:space="preserve"> is </w:t>
      </w:r>
      <w:r w:rsidR="004B625D">
        <w:rPr>
          <w:rFonts w:ascii="Times New Roman" w:hAnsi="Times New Roman" w:cs="Times New Roman"/>
          <w:sz w:val="24"/>
          <w:szCs w:val="24"/>
        </w:rPr>
        <w:t xml:space="preserve">potentially </w:t>
      </w:r>
      <w:r w:rsidRPr="00CC08B5">
        <w:rPr>
          <w:rFonts w:ascii="Times New Roman" w:hAnsi="Times New Roman" w:cs="Times New Roman"/>
          <w:sz w:val="24"/>
          <w:szCs w:val="24"/>
        </w:rPr>
        <w:t xml:space="preserve">problematic with regard to genetic resources </w:t>
      </w:r>
      <w:r w:rsidRPr="00CC08B5">
        <w:rPr>
          <w:rFonts w:ascii="Times New Roman" w:hAnsi="Times New Roman" w:cs="Times New Roman"/>
          <w:i/>
          <w:sz w:val="24"/>
          <w:szCs w:val="24"/>
        </w:rPr>
        <w:t>per se</w:t>
      </w:r>
      <w:r w:rsidR="009966BC">
        <w:rPr>
          <w:rFonts w:ascii="Times New Roman" w:hAnsi="Times New Roman" w:cs="Times New Roman"/>
          <w:sz w:val="24"/>
          <w:szCs w:val="24"/>
        </w:rPr>
        <w:t>,</w:t>
      </w:r>
      <w:r w:rsidRPr="00CC08B5">
        <w:rPr>
          <w:rFonts w:ascii="Times New Roman" w:hAnsi="Times New Roman" w:cs="Times New Roman"/>
          <w:sz w:val="24"/>
          <w:szCs w:val="24"/>
        </w:rPr>
        <w:t xml:space="preserve"> the</w:t>
      </w:r>
      <w:r w:rsidR="00CC08B5">
        <w:rPr>
          <w:rFonts w:ascii="Times New Roman" w:hAnsi="Times New Roman" w:cs="Times New Roman"/>
          <w:sz w:val="24"/>
          <w:szCs w:val="24"/>
        </w:rPr>
        <w:t xml:space="preserve">re </w:t>
      </w:r>
      <w:r w:rsidR="004B625D">
        <w:rPr>
          <w:rFonts w:ascii="Times New Roman" w:hAnsi="Times New Roman" w:cs="Times New Roman"/>
          <w:sz w:val="24"/>
          <w:szCs w:val="24"/>
        </w:rPr>
        <w:t xml:space="preserve">already </w:t>
      </w:r>
      <w:r w:rsidR="00CC08B5">
        <w:rPr>
          <w:rFonts w:ascii="Times New Roman" w:hAnsi="Times New Roman" w:cs="Times New Roman"/>
          <w:sz w:val="24"/>
          <w:szCs w:val="24"/>
        </w:rPr>
        <w:t xml:space="preserve">are provisions of the Protocol in which </w:t>
      </w:r>
      <w:r w:rsidR="00C34D8D">
        <w:rPr>
          <w:rFonts w:ascii="Times New Roman" w:hAnsi="Times New Roman" w:cs="Times New Roman"/>
          <w:sz w:val="24"/>
          <w:szCs w:val="24"/>
        </w:rPr>
        <w:t xml:space="preserve">the concept of </w:t>
      </w:r>
      <w:r w:rsidR="00CC08B5">
        <w:rPr>
          <w:rFonts w:ascii="Times New Roman" w:hAnsi="Times New Roman" w:cs="Times New Roman"/>
          <w:sz w:val="24"/>
          <w:szCs w:val="24"/>
        </w:rPr>
        <w:t xml:space="preserve">information is at the </w:t>
      </w:r>
      <w:r w:rsidR="005A512F">
        <w:rPr>
          <w:rFonts w:ascii="Times New Roman" w:hAnsi="Times New Roman" w:cs="Times New Roman"/>
          <w:sz w:val="24"/>
          <w:szCs w:val="24"/>
        </w:rPr>
        <w:t xml:space="preserve">very </w:t>
      </w:r>
      <w:r w:rsidR="00CC08B5">
        <w:rPr>
          <w:rFonts w:ascii="Times New Roman" w:hAnsi="Times New Roman" w:cs="Times New Roman"/>
          <w:sz w:val="24"/>
          <w:szCs w:val="24"/>
        </w:rPr>
        <w:t xml:space="preserve">heart of the right. These are </w:t>
      </w:r>
      <w:r w:rsidRPr="00CC08B5">
        <w:rPr>
          <w:rFonts w:ascii="Times New Roman" w:hAnsi="Times New Roman" w:cs="Times New Roman"/>
          <w:sz w:val="24"/>
          <w:szCs w:val="24"/>
        </w:rPr>
        <w:t>Articles 7 and 5(5)</w:t>
      </w:r>
      <w:r w:rsidR="00CC08B5">
        <w:rPr>
          <w:rFonts w:ascii="Times New Roman" w:hAnsi="Times New Roman" w:cs="Times New Roman"/>
          <w:sz w:val="24"/>
          <w:szCs w:val="24"/>
        </w:rPr>
        <w:t xml:space="preserve"> in relation to TKAGR</w:t>
      </w:r>
      <w:r w:rsidRPr="00CC08B5">
        <w:rPr>
          <w:rFonts w:ascii="Times New Roman" w:hAnsi="Times New Roman" w:cs="Times New Roman"/>
          <w:sz w:val="24"/>
          <w:szCs w:val="24"/>
        </w:rPr>
        <w:t>.  It is possible</w:t>
      </w:r>
      <w:r w:rsidR="00C34D8D">
        <w:rPr>
          <w:rFonts w:ascii="Times New Roman" w:hAnsi="Times New Roman" w:cs="Times New Roman"/>
          <w:sz w:val="24"/>
          <w:szCs w:val="24"/>
        </w:rPr>
        <w:t>,</w:t>
      </w:r>
      <w:r w:rsidRPr="00CC08B5">
        <w:rPr>
          <w:rFonts w:ascii="Times New Roman" w:hAnsi="Times New Roman" w:cs="Times New Roman"/>
          <w:sz w:val="24"/>
          <w:szCs w:val="24"/>
        </w:rPr>
        <w:t xml:space="preserve"> therefore</w:t>
      </w:r>
      <w:r w:rsidR="00C34D8D">
        <w:rPr>
          <w:rFonts w:ascii="Times New Roman" w:hAnsi="Times New Roman" w:cs="Times New Roman"/>
          <w:sz w:val="24"/>
          <w:szCs w:val="24"/>
        </w:rPr>
        <w:t>,</w:t>
      </w:r>
      <w:r w:rsidRPr="00CC08B5">
        <w:rPr>
          <w:rFonts w:ascii="Times New Roman" w:hAnsi="Times New Roman" w:cs="Times New Roman"/>
          <w:sz w:val="24"/>
          <w:szCs w:val="24"/>
        </w:rPr>
        <w:t xml:space="preserve"> that the </w:t>
      </w:r>
      <w:r w:rsidR="00C34D8D">
        <w:rPr>
          <w:rFonts w:ascii="Times New Roman" w:hAnsi="Times New Roman" w:cs="Times New Roman"/>
          <w:sz w:val="24"/>
          <w:szCs w:val="24"/>
        </w:rPr>
        <w:t xml:space="preserve">downstream </w:t>
      </w:r>
      <w:r w:rsidRPr="00CC08B5">
        <w:rPr>
          <w:rFonts w:ascii="Times New Roman" w:hAnsi="Times New Roman" w:cs="Times New Roman"/>
          <w:sz w:val="24"/>
          <w:szCs w:val="24"/>
        </w:rPr>
        <w:t>scope of protection offered by these provisions will be more flexible</w:t>
      </w:r>
      <w:r w:rsidR="00C34D8D">
        <w:rPr>
          <w:rFonts w:ascii="Times New Roman" w:hAnsi="Times New Roman" w:cs="Times New Roman"/>
          <w:sz w:val="24"/>
          <w:szCs w:val="24"/>
        </w:rPr>
        <w:t xml:space="preserve"> </w:t>
      </w:r>
      <w:r w:rsidR="00062D30">
        <w:rPr>
          <w:rFonts w:ascii="Times New Roman" w:hAnsi="Times New Roman" w:cs="Times New Roman"/>
          <w:sz w:val="24"/>
          <w:szCs w:val="24"/>
        </w:rPr>
        <w:t>(</w:t>
      </w:r>
      <w:r w:rsidR="00C34D8D">
        <w:rPr>
          <w:rFonts w:ascii="Times New Roman" w:hAnsi="Times New Roman" w:cs="Times New Roman"/>
          <w:sz w:val="24"/>
          <w:szCs w:val="24"/>
        </w:rPr>
        <w:t>and more extensive</w:t>
      </w:r>
      <w:r w:rsidR="00062D30">
        <w:rPr>
          <w:rFonts w:ascii="Times New Roman" w:hAnsi="Times New Roman" w:cs="Times New Roman"/>
          <w:sz w:val="24"/>
          <w:szCs w:val="24"/>
        </w:rPr>
        <w:t>)</w:t>
      </w:r>
      <w:r w:rsidRPr="00CC08B5">
        <w:rPr>
          <w:rFonts w:ascii="Times New Roman" w:hAnsi="Times New Roman" w:cs="Times New Roman"/>
          <w:sz w:val="24"/>
          <w:szCs w:val="24"/>
        </w:rPr>
        <w:t xml:space="preserve"> than the protections offered by Article 6 and 5(1) and (2), (and quite clearly some informational link was entirely intended by the formulators</w:t>
      </w:r>
      <w:r w:rsidR="00C34D8D">
        <w:rPr>
          <w:rFonts w:ascii="Times New Roman" w:hAnsi="Times New Roman" w:cs="Times New Roman"/>
          <w:sz w:val="24"/>
          <w:szCs w:val="24"/>
        </w:rPr>
        <w:t xml:space="preserve"> of the Protocol). I</w:t>
      </w:r>
      <w:r w:rsidRPr="00CC08B5">
        <w:rPr>
          <w:rFonts w:ascii="Times New Roman" w:hAnsi="Times New Roman" w:cs="Times New Roman"/>
          <w:sz w:val="24"/>
          <w:szCs w:val="24"/>
        </w:rPr>
        <w:t>t is to these positive protections that we will now turn.</w:t>
      </w:r>
      <w:bookmarkStart w:id="19" w:name="_Toc423964368"/>
      <w:bookmarkStart w:id="20" w:name="_Toc446411538"/>
    </w:p>
    <w:p w:rsidR="00CC08B5" w:rsidRPr="00CC08B5" w:rsidRDefault="00CC08B5" w:rsidP="00CC08B5">
      <w:pPr>
        <w:autoSpaceDE w:val="0"/>
        <w:autoSpaceDN w:val="0"/>
        <w:adjustRightInd w:val="0"/>
        <w:spacing w:after="0" w:line="360" w:lineRule="auto"/>
        <w:jc w:val="both"/>
        <w:rPr>
          <w:rFonts w:ascii="Times New Roman" w:hAnsi="Times New Roman" w:cs="Times New Roman"/>
          <w:sz w:val="24"/>
          <w:szCs w:val="24"/>
        </w:rPr>
      </w:pPr>
    </w:p>
    <w:p w:rsidR="00CA1F37" w:rsidRDefault="009966BC" w:rsidP="00CA1F37">
      <w:pPr>
        <w:pStyle w:val="Heading2"/>
        <w:spacing w:line="360" w:lineRule="auto"/>
      </w:pPr>
      <w:r w:rsidRPr="009966BC">
        <w:t>Informational Linkages</w:t>
      </w:r>
      <w:r w:rsidR="00A80D4F">
        <w:t xml:space="preserve"> 2</w:t>
      </w:r>
      <w:r w:rsidRPr="009966BC">
        <w:t>:</w:t>
      </w:r>
      <w:r>
        <w:t xml:space="preserve"> </w:t>
      </w:r>
      <w:r w:rsidR="00CA1F37" w:rsidRPr="00226BEB">
        <w:t xml:space="preserve">The right to control “access” to </w:t>
      </w:r>
      <w:r w:rsidR="00CA1F37">
        <w:t>TKAGR resources</w:t>
      </w:r>
      <w:r w:rsidR="00CA1F37" w:rsidRPr="00226BEB">
        <w:t xml:space="preserve"> under Article 7</w:t>
      </w:r>
    </w:p>
    <w:p w:rsidR="006D0856" w:rsidRDefault="00CA1F37" w:rsidP="00CA1F37">
      <w:pPr>
        <w:pStyle w:val="NormalWeb"/>
        <w:spacing w:line="360" w:lineRule="auto"/>
        <w:jc w:val="both"/>
      </w:pPr>
      <w:r>
        <w:t>TKAGR has no internationally accepted definition.</w:t>
      </w:r>
      <w:r>
        <w:rPr>
          <w:rStyle w:val="FootnoteReference"/>
        </w:rPr>
        <w:footnoteReference w:id="97"/>
      </w:r>
      <w:r>
        <w:t xml:space="preserve"> However, in relation to potentially useful genetic resources it is perhaps best described as the knowledge (however held, whosoever held by, and however widely) that tells us that any type of genetic resource may be useful</w:t>
      </w:r>
      <w:r w:rsidR="00A80D4F">
        <w:t>,</w:t>
      </w:r>
      <w:r>
        <w:t xml:space="preserve"> and the ways it can</w:t>
      </w:r>
      <w:r w:rsidR="002F17F7">
        <w:t xml:space="preserve"> be</w:t>
      </w:r>
      <w:r>
        <w:t xml:space="preserve"> used and prepared to give that usefulness. Crucially (and obviously) for our current analysis</w:t>
      </w:r>
      <w:r w:rsidR="00793EA8">
        <w:t>,</w:t>
      </w:r>
      <w:r>
        <w:t xml:space="preserve"> traditional knowledge is not a </w:t>
      </w:r>
      <w:r w:rsidRPr="00DB42B1">
        <w:rPr>
          <w:i/>
        </w:rPr>
        <w:t>physical</w:t>
      </w:r>
      <w:r>
        <w:t xml:space="preserve"> resource but an </w:t>
      </w:r>
      <w:r w:rsidRPr="00DB42B1">
        <w:rPr>
          <w:i/>
        </w:rPr>
        <w:t>informational</w:t>
      </w:r>
      <w:r>
        <w:t xml:space="preserve"> one and this changes the very nature of how it can be “accessed”.  </w:t>
      </w:r>
    </w:p>
    <w:p w:rsidR="00CA1F37" w:rsidRDefault="00CA1F37" w:rsidP="00CA1F37">
      <w:pPr>
        <w:pStyle w:val="NormalWeb"/>
        <w:spacing w:line="360" w:lineRule="auto"/>
        <w:jc w:val="both"/>
      </w:pPr>
      <w:r>
        <w:lastRenderedPageBreak/>
        <w:t xml:space="preserve">Access in the form of mere </w:t>
      </w:r>
      <w:r w:rsidRPr="00FE547D">
        <w:rPr>
          <w:i/>
        </w:rPr>
        <w:t>physical</w:t>
      </w:r>
      <w:r w:rsidRPr="006B0760">
        <w:t xml:space="preserve"> </w:t>
      </w:r>
      <w:r>
        <w:t>acquisition cannot apply</w:t>
      </w:r>
      <w:r w:rsidR="00A80D4F">
        <w:t>. A</w:t>
      </w:r>
      <w:r>
        <w:t xml:space="preserve">lthough </w:t>
      </w:r>
      <w:r w:rsidRPr="008337C3">
        <w:t>traditional knowledge can be recorded in physical form</w:t>
      </w:r>
      <w:r>
        <w:t>,</w:t>
      </w:r>
      <w:r w:rsidR="00A80D4F">
        <w:t xml:space="preserve"> it</w:t>
      </w:r>
      <w:r w:rsidRPr="008337C3">
        <w:t xml:space="preserve"> is certainly not limited to </w:t>
      </w:r>
      <w:r w:rsidR="00A80D4F">
        <w:t>such form</w:t>
      </w:r>
      <w:r w:rsidRPr="008337C3">
        <w:t>.</w:t>
      </w:r>
      <w:r>
        <w:t xml:space="preserve"> The “acquisition” here is instead conceptual, and the acquiring of the concept could certainly be argued to be access to the information. However, does this mean that it is only the </w:t>
      </w:r>
      <w:r w:rsidRPr="00227A07">
        <w:rPr>
          <w:i/>
        </w:rPr>
        <w:t>first</w:t>
      </w:r>
      <w:r>
        <w:t xml:space="preserve"> acquisition of the concept from the holders of the information which is the “accessing” event? One might imagine here that an ethnobiologist obtains the first disclosure from a particular indigenous group in Ecuador of the anti-tumour effects of ground-up </w:t>
      </w:r>
      <w:r w:rsidRPr="00227A07">
        <w:rPr>
          <w:i/>
        </w:rPr>
        <w:t>liana</w:t>
      </w:r>
      <w:r>
        <w:t xml:space="preserve"> seeds. It is hard to argue that such an event is other than an “accessing” for the purpose of Article 7. However, what about the case where our ethnobiologist publishes her findings and a third-party uses them to find the appropriate </w:t>
      </w:r>
      <w:r w:rsidRPr="00227A07">
        <w:rPr>
          <w:i/>
        </w:rPr>
        <w:t>liana</w:t>
      </w:r>
      <w:r>
        <w:t xml:space="preserve"> for anti-cancer research purposes? Is the initial reading the “accessing” or is it the acting upon that reading to source the </w:t>
      </w:r>
      <w:r w:rsidRPr="00A80D4F">
        <w:rPr>
          <w:i/>
        </w:rPr>
        <w:t>liana</w:t>
      </w:r>
      <w:r>
        <w:t xml:space="preserve">? </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the overall purpose of the Protocol (and the access provisions of Article 6) it would seem perverse to limit access to the very </w:t>
      </w:r>
      <w:r w:rsidRPr="00DA6B8C">
        <w:rPr>
          <w:rFonts w:ascii="Times New Roman" w:hAnsi="Times New Roman" w:cs="Times New Roman"/>
          <w:i/>
          <w:sz w:val="24"/>
          <w:szCs w:val="24"/>
        </w:rPr>
        <w:t>first</w:t>
      </w:r>
      <w:r>
        <w:rPr>
          <w:rFonts w:ascii="Times New Roman" w:hAnsi="Times New Roman" w:cs="Times New Roman"/>
          <w:sz w:val="24"/>
          <w:szCs w:val="24"/>
        </w:rPr>
        <w:t xml:space="preserve"> accessing event - a “one-off” event, a single dipping into the “well” of indigenous information, after which all further use of the information is permitted. Indeed, given the overall context of the Protocol, it would seem more consistent that each new user should require consent to access </w:t>
      </w:r>
      <w:r w:rsidR="00062D30">
        <w:rPr>
          <w:rFonts w:ascii="Times New Roman" w:hAnsi="Times New Roman" w:cs="Times New Roman"/>
          <w:sz w:val="24"/>
          <w:szCs w:val="24"/>
        </w:rPr>
        <w:t>(</w:t>
      </w:r>
      <w:r>
        <w:rPr>
          <w:rFonts w:ascii="Times New Roman" w:hAnsi="Times New Roman" w:cs="Times New Roman"/>
          <w:sz w:val="24"/>
          <w:szCs w:val="24"/>
        </w:rPr>
        <w:t xml:space="preserve">and that for each user continued “access” to a piece of </w:t>
      </w:r>
      <w:r w:rsidR="00062D30">
        <w:rPr>
          <w:rFonts w:ascii="Times New Roman" w:hAnsi="Times New Roman" w:cs="Times New Roman"/>
          <w:sz w:val="24"/>
          <w:szCs w:val="24"/>
        </w:rPr>
        <w:t xml:space="preserve">TKAGR </w:t>
      </w:r>
      <w:r>
        <w:rPr>
          <w:rFonts w:ascii="Times New Roman" w:hAnsi="Times New Roman" w:cs="Times New Roman"/>
          <w:sz w:val="24"/>
          <w:szCs w:val="24"/>
        </w:rPr>
        <w:t xml:space="preserve">requires </w:t>
      </w:r>
      <w:r w:rsidRPr="00A50700">
        <w:rPr>
          <w:rFonts w:ascii="Times New Roman" w:hAnsi="Times New Roman" w:cs="Times New Roman"/>
          <w:i/>
          <w:sz w:val="24"/>
          <w:szCs w:val="24"/>
        </w:rPr>
        <w:t>continual</w:t>
      </w:r>
      <w:r>
        <w:rPr>
          <w:rFonts w:ascii="Times New Roman" w:hAnsi="Times New Roman" w:cs="Times New Roman"/>
          <w:sz w:val="24"/>
          <w:szCs w:val="24"/>
        </w:rPr>
        <w:t xml:space="preserve"> ongoing consent from the holders of the traditional knowledge for use of the knowledge</w:t>
      </w:r>
      <w:r w:rsidR="00062D30">
        <w:rPr>
          <w:rFonts w:ascii="Times New Roman" w:hAnsi="Times New Roman" w:cs="Times New Roman"/>
          <w:sz w:val="24"/>
          <w:szCs w:val="24"/>
        </w:rPr>
        <w:t>)</w:t>
      </w:r>
      <w:r>
        <w:rPr>
          <w:rFonts w:ascii="Times New Roman" w:hAnsi="Times New Roman" w:cs="Times New Roman"/>
          <w:sz w:val="24"/>
          <w:szCs w:val="24"/>
        </w:rPr>
        <w:t>. If this were not the case the provisions of Article 7 would be limited, and easily evaded.</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where one creates a requirement for ongoing consent to “access” in relation to something as intangible as an idea, there is potential for the scope of control to be very broad indeed. Does the reference to prior informed consent here mean that that consent must encompass </w:t>
      </w:r>
      <w:r w:rsidRPr="00FE547D">
        <w:rPr>
          <w:rFonts w:ascii="Times New Roman" w:hAnsi="Times New Roman" w:cs="Times New Roman"/>
          <w:i/>
          <w:sz w:val="24"/>
          <w:szCs w:val="24"/>
        </w:rPr>
        <w:t>all</w:t>
      </w:r>
      <w:r>
        <w:rPr>
          <w:rFonts w:ascii="Times New Roman" w:hAnsi="Times New Roman" w:cs="Times New Roman"/>
          <w:sz w:val="24"/>
          <w:szCs w:val="24"/>
        </w:rPr>
        <w:t xml:space="preserve"> continued usage of the information, and that </w:t>
      </w:r>
      <w:r w:rsidRPr="007D1D42">
        <w:rPr>
          <w:rFonts w:ascii="Times New Roman" w:hAnsi="Times New Roman" w:cs="Times New Roman"/>
          <w:i/>
          <w:sz w:val="24"/>
          <w:szCs w:val="24"/>
        </w:rPr>
        <w:t>any</w:t>
      </w:r>
      <w:r>
        <w:rPr>
          <w:rFonts w:ascii="Times New Roman" w:hAnsi="Times New Roman" w:cs="Times New Roman"/>
          <w:sz w:val="24"/>
          <w:szCs w:val="24"/>
        </w:rPr>
        <w:t xml:space="preserve"> new use of the information, howsoever remote, requires permission? </w:t>
      </w:r>
      <w:r w:rsidRPr="000929F6">
        <w:rPr>
          <w:rFonts w:ascii="Times New Roman" w:hAnsi="Times New Roman" w:cs="Times New Roman"/>
          <w:sz w:val="24"/>
          <w:szCs w:val="24"/>
        </w:rPr>
        <w:t xml:space="preserve">What about the pharmacologist who tests the </w:t>
      </w:r>
      <w:r w:rsidRPr="00C34D8D">
        <w:rPr>
          <w:rFonts w:ascii="Times New Roman" w:hAnsi="Times New Roman" w:cs="Times New Roman"/>
          <w:i/>
          <w:sz w:val="24"/>
          <w:szCs w:val="24"/>
        </w:rPr>
        <w:t>liana</w:t>
      </w:r>
      <w:r w:rsidRPr="000929F6">
        <w:rPr>
          <w:rFonts w:ascii="Times New Roman" w:hAnsi="Times New Roman" w:cs="Times New Roman"/>
          <w:sz w:val="24"/>
          <w:szCs w:val="24"/>
        </w:rPr>
        <w:t xml:space="preserve"> extract</w:t>
      </w:r>
      <w:r>
        <w:rPr>
          <w:rFonts w:ascii="Times New Roman" w:hAnsi="Times New Roman" w:cs="Times New Roman"/>
          <w:sz w:val="24"/>
          <w:szCs w:val="24"/>
        </w:rPr>
        <w:t xml:space="preserve"> </w:t>
      </w:r>
      <w:r w:rsidRPr="000929F6">
        <w:rPr>
          <w:rFonts w:ascii="Times New Roman" w:hAnsi="Times New Roman" w:cs="Times New Roman"/>
          <w:sz w:val="24"/>
          <w:szCs w:val="24"/>
        </w:rPr>
        <w:t>against tumour cells? What about the synthetic chemist who makes a chemical derivative o</w:t>
      </w:r>
      <w:r w:rsidR="00793EA8">
        <w:rPr>
          <w:rFonts w:ascii="Times New Roman" w:hAnsi="Times New Roman" w:cs="Times New Roman"/>
          <w:sz w:val="24"/>
          <w:szCs w:val="24"/>
        </w:rPr>
        <w:t>f that</w:t>
      </w:r>
      <w:r w:rsidRPr="000929F6">
        <w:rPr>
          <w:rFonts w:ascii="Times New Roman" w:hAnsi="Times New Roman" w:cs="Times New Roman"/>
          <w:sz w:val="24"/>
          <w:szCs w:val="24"/>
        </w:rPr>
        <w:t xml:space="preserve"> extract</w:t>
      </w:r>
      <w:r>
        <w:rPr>
          <w:rFonts w:ascii="Times New Roman" w:hAnsi="Times New Roman" w:cs="Times New Roman"/>
          <w:sz w:val="24"/>
          <w:szCs w:val="24"/>
        </w:rPr>
        <w:t>,</w:t>
      </w:r>
      <w:r w:rsidRPr="000929F6">
        <w:rPr>
          <w:rFonts w:ascii="Times New Roman" w:hAnsi="Times New Roman" w:cs="Times New Roman"/>
          <w:sz w:val="24"/>
          <w:szCs w:val="24"/>
        </w:rPr>
        <w:t xml:space="preserve"> and so on?</w:t>
      </w:r>
      <w:r>
        <w:rPr>
          <w:rFonts w:ascii="Times New Roman" w:hAnsi="Times New Roman" w:cs="Times New Roman"/>
          <w:sz w:val="24"/>
          <w:szCs w:val="24"/>
        </w:rPr>
        <w:t xml:space="preserve"> When is the information no longer being </w:t>
      </w:r>
      <w:r w:rsidRPr="00D02895">
        <w:rPr>
          <w:rFonts w:ascii="Times New Roman" w:hAnsi="Times New Roman" w:cs="Times New Roman"/>
          <w:i/>
          <w:sz w:val="24"/>
          <w:szCs w:val="24"/>
        </w:rPr>
        <w:t>used</w:t>
      </w:r>
      <w:r>
        <w:rPr>
          <w:rFonts w:ascii="Times New Roman" w:hAnsi="Times New Roman" w:cs="Times New Roman"/>
          <w:sz w:val="24"/>
          <w:szCs w:val="24"/>
        </w:rPr>
        <w:t>? The Protocol is silent as to these questions.</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Notably, however, in relation to Article 7, there appears to be no requirement in the Protocol that a piece of traditional knowledge should be connected to a </w:t>
      </w:r>
      <w:r w:rsidRPr="007D7755">
        <w:rPr>
          <w:rFonts w:ascii="Times New Roman" w:hAnsi="Times New Roman" w:cs="Times New Roman"/>
          <w:i/>
          <w:sz w:val="24"/>
          <w:szCs w:val="24"/>
        </w:rPr>
        <w:t>specific</w:t>
      </w:r>
      <w:r>
        <w:rPr>
          <w:rFonts w:ascii="Times New Roman" w:hAnsi="Times New Roman" w:cs="Times New Roman"/>
          <w:sz w:val="24"/>
          <w:szCs w:val="24"/>
        </w:rPr>
        <w:t xml:space="preserve"> physical sample of genetic resource – indeed</w:t>
      </w:r>
      <w:r w:rsidR="00A80D4F">
        <w:rPr>
          <w:rFonts w:ascii="Times New Roman" w:hAnsi="Times New Roman" w:cs="Times New Roman"/>
          <w:sz w:val="24"/>
          <w:szCs w:val="24"/>
        </w:rPr>
        <w:t>,</w:t>
      </w:r>
      <w:r>
        <w:rPr>
          <w:rFonts w:ascii="Times New Roman" w:hAnsi="Times New Roman" w:cs="Times New Roman"/>
          <w:sz w:val="24"/>
          <w:szCs w:val="24"/>
        </w:rPr>
        <w:t xml:space="preserve"> such a requirement would be overly restrictive, and would </w:t>
      </w:r>
      <w:r w:rsidR="00C34D8D">
        <w:rPr>
          <w:rFonts w:ascii="Times New Roman" w:hAnsi="Times New Roman" w:cs="Times New Roman"/>
          <w:sz w:val="24"/>
          <w:szCs w:val="24"/>
        </w:rPr>
        <w:t xml:space="preserve">again </w:t>
      </w:r>
      <w:r>
        <w:rPr>
          <w:rFonts w:ascii="Times New Roman" w:hAnsi="Times New Roman" w:cs="Times New Roman"/>
          <w:sz w:val="24"/>
          <w:szCs w:val="24"/>
        </w:rPr>
        <w:t xml:space="preserve">potentially lead to the Article 7 right being easily evaded. </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Article 7 also contains no express requirement for the information to be used in any particular way. There is no requirement within Article 7 (unlike Article 6(1)) that the genetic resource to which a piece of traditional knowledge is associated should simultaneously be “utilised” as seem</w:t>
      </w:r>
      <w:r w:rsidR="00D02895">
        <w:rPr>
          <w:rFonts w:ascii="Times New Roman" w:hAnsi="Times New Roman" w:cs="Times New Roman"/>
          <w:sz w:val="24"/>
          <w:szCs w:val="24"/>
        </w:rPr>
        <w:t xml:space="preserve">s to be the case </w:t>
      </w:r>
      <w:r w:rsidR="002F17F7">
        <w:rPr>
          <w:rFonts w:ascii="Times New Roman" w:hAnsi="Times New Roman" w:cs="Times New Roman"/>
          <w:sz w:val="24"/>
          <w:szCs w:val="24"/>
        </w:rPr>
        <w:t xml:space="preserve">under </w:t>
      </w:r>
      <w:r w:rsidR="00D02895">
        <w:rPr>
          <w:rFonts w:ascii="Times New Roman" w:hAnsi="Times New Roman" w:cs="Times New Roman"/>
          <w:sz w:val="24"/>
          <w:szCs w:val="24"/>
        </w:rPr>
        <w:t xml:space="preserve">Article 6(1). </w:t>
      </w:r>
      <w:r>
        <w:rPr>
          <w:rFonts w:ascii="Times New Roman" w:hAnsi="Times New Roman" w:cs="Times New Roman"/>
          <w:sz w:val="24"/>
          <w:szCs w:val="24"/>
        </w:rPr>
        <w:t xml:space="preserve">Accordingly, TKAGR can realistically only mean information which relates to the characteristics and properties of a “genetic resource” more generally.  </w:t>
      </w:r>
      <w:r w:rsidRPr="00196868">
        <w:rPr>
          <w:rFonts w:ascii="Times New Roman" w:hAnsi="Times New Roman" w:cs="Times New Roman"/>
          <w:sz w:val="24"/>
          <w:szCs w:val="24"/>
        </w:rPr>
        <w:t>Genetic resource here, of course</w:t>
      </w:r>
      <w:r>
        <w:rPr>
          <w:rFonts w:ascii="Times New Roman" w:hAnsi="Times New Roman" w:cs="Times New Roman"/>
          <w:sz w:val="24"/>
          <w:szCs w:val="24"/>
        </w:rPr>
        <w:t>,</w:t>
      </w:r>
      <w:r w:rsidRPr="00196868">
        <w:rPr>
          <w:rFonts w:ascii="Times New Roman" w:hAnsi="Times New Roman" w:cs="Times New Roman"/>
          <w:sz w:val="24"/>
          <w:szCs w:val="24"/>
        </w:rPr>
        <w:t xml:space="preserve"> means </w:t>
      </w:r>
      <w:r w:rsidRPr="00FA5761">
        <w:rPr>
          <w:rFonts w:ascii="Times New Roman" w:hAnsi="Times New Roman" w:cs="Times New Roman"/>
          <w:sz w:val="24"/>
          <w:szCs w:val="24"/>
        </w:rPr>
        <w:t>material of plant, animal, microbial or other origin containing functional units of heredity</w:t>
      </w:r>
      <w:r w:rsidRPr="00196868">
        <w:rPr>
          <w:rFonts w:ascii="Times New Roman" w:hAnsi="Times New Roman" w:cs="Times New Roman"/>
          <w:sz w:val="24"/>
          <w:szCs w:val="24"/>
        </w:rPr>
        <w:t xml:space="preserve"> which is of actual</w:t>
      </w:r>
      <w:r w:rsidR="00024102">
        <w:rPr>
          <w:rFonts w:ascii="Times New Roman" w:hAnsi="Times New Roman" w:cs="Times New Roman"/>
          <w:sz w:val="24"/>
          <w:szCs w:val="24"/>
        </w:rPr>
        <w:t>,</w:t>
      </w:r>
      <w:r w:rsidRPr="00196868">
        <w:rPr>
          <w:rFonts w:ascii="Times New Roman" w:hAnsi="Times New Roman" w:cs="Times New Roman"/>
          <w:sz w:val="24"/>
          <w:szCs w:val="24"/>
        </w:rPr>
        <w:t xml:space="preserve"> or potential</w:t>
      </w:r>
      <w:r w:rsidR="00024102">
        <w:rPr>
          <w:rFonts w:ascii="Times New Roman" w:hAnsi="Times New Roman" w:cs="Times New Roman"/>
          <w:sz w:val="24"/>
          <w:szCs w:val="24"/>
        </w:rPr>
        <w:t>,</w:t>
      </w:r>
      <w:r w:rsidRPr="00196868">
        <w:rPr>
          <w:rFonts w:ascii="Times New Roman" w:hAnsi="Times New Roman" w:cs="Times New Roman"/>
          <w:sz w:val="24"/>
          <w:szCs w:val="24"/>
        </w:rPr>
        <w:t xml:space="preserve"> value.</w:t>
      </w:r>
      <w:r>
        <w:rPr>
          <w:rFonts w:ascii="Times New Roman" w:hAnsi="Times New Roman" w:cs="Times New Roman"/>
          <w:sz w:val="24"/>
          <w:szCs w:val="24"/>
        </w:rPr>
        <w:t xml:space="preserve"> </w:t>
      </w:r>
      <w:r w:rsidR="00024102" w:rsidRPr="00421D02">
        <w:rPr>
          <w:rFonts w:ascii="Times New Roman" w:hAnsi="Times New Roman" w:cs="Times New Roman"/>
          <w:sz w:val="24"/>
          <w:szCs w:val="24"/>
        </w:rPr>
        <w:t>P</w:t>
      </w:r>
      <w:r w:rsidRPr="00421D02">
        <w:rPr>
          <w:rFonts w:ascii="Times New Roman" w:hAnsi="Times New Roman" w:cs="Times New Roman"/>
          <w:sz w:val="24"/>
          <w:szCs w:val="24"/>
        </w:rPr>
        <w:t xml:space="preserve">resumably, </w:t>
      </w:r>
      <w:r w:rsidRPr="00421D02">
        <w:rPr>
          <w:rFonts w:ascii="Times New Roman" w:hAnsi="Times New Roman" w:cs="Times New Roman"/>
          <w:i/>
          <w:sz w:val="24"/>
          <w:szCs w:val="24"/>
        </w:rPr>
        <w:t>any</w:t>
      </w:r>
      <w:r w:rsidRPr="00421D02">
        <w:rPr>
          <w:rFonts w:ascii="Times New Roman" w:hAnsi="Times New Roman" w:cs="Times New Roman"/>
          <w:sz w:val="24"/>
          <w:szCs w:val="24"/>
        </w:rPr>
        <w:t xml:space="preserve"> information relating to a particular plant, animal, microbe or other organism (presumably also covering fungi) containing functional units of heredity will be covered.</w:t>
      </w:r>
    </w:p>
    <w:p w:rsidR="008D1A6E" w:rsidRDefault="008D1A6E" w:rsidP="00CA1F37">
      <w:pPr>
        <w:pStyle w:val="Heading2"/>
        <w:spacing w:line="360" w:lineRule="auto"/>
      </w:pPr>
    </w:p>
    <w:p w:rsidR="00CA1F37" w:rsidRDefault="009966BC" w:rsidP="00CA1F37">
      <w:pPr>
        <w:pStyle w:val="Heading2"/>
        <w:spacing w:line="360" w:lineRule="auto"/>
      </w:pPr>
      <w:r w:rsidRPr="009966BC">
        <w:t>Informational Linkages</w:t>
      </w:r>
      <w:r w:rsidR="00A80D4F">
        <w:t xml:space="preserve"> 3</w:t>
      </w:r>
      <w:r w:rsidRPr="009966BC">
        <w:t>:</w:t>
      </w:r>
      <w:r>
        <w:t xml:space="preserve"> </w:t>
      </w:r>
      <w:r w:rsidR="00472DA9">
        <w:t>TKAGR and t</w:t>
      </w:r>
      <w:r w:rsidR="00CA1F37" w:rsidRPr="00226BEB">
        <w:t xml:space="preserve">he right to </w:t>
      </w:r>
      <w:r w:rsidR="002F17F7">
        <w:t xml:space="preserve">benefit-sharing under </w:t>
      </w:r>
      <w:r w:rsidR="00CA1F37" w:rsidRPr="002441FB">
        <w:t>Article 5(5)</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The key term in relation to understanding the scope of the right under Article 5(5) is clearly “u</w:t>
      </w:r>
      <w:r w:rsidRPr="002441FB">
        <w:rPr>
          <w:rFonts w:ascii="Times New Roman" w:hAnsi="Times New Roman" w:cs="Times New Roman"/>
          <w:sz w:val="24"/>
          <w:szCs w:val="24"/>
        </w:rPr>
        <w:t>til</w:t>
      </w:r>
      <w:r>
        <w:rPr>
          <w:rFonts w:ascii="Times New Roman" w:hAnsi="Times New Roman" w:cs="Times New Roman"/>
          <w:sz w:val="24"/>
          <w:szCs w:val="24"/>
        </w:rPr>
        <w:t>i</w:t>
      </w:r>
      <w:r w:rsidRPr="002441FB">
        <w:rPr>
          <w:rFonts w:ascii="Times New Roman" w:hAnsi="Times New Roman" w:cs="Times New Roman"/>
          <w:sz w:val="24"/>
          <w:szCs w:val="24"/>
        </w:rPr>
        <w:t>zation</w:t>
      </w:r>
      <w:r>
        <w:rPr>
          <w:rFonts w:ascii="Times New Roman" w:hAnsi="Times New Roman" w:cs="Times New Roman"/>
          <w:sz w:val="24"/>
          <w:szCs w:val="24"/>
        </w:rPr>
        <w:t xml:space="preserve"> of traditional knowledge </w:t>
      </w:r>
      <w:r w:rsidRPr="002441FB">
        <w:rPr>
          <w:rFonts w:ascii="Times New Roman" w:hAnsi="Times New Roman" w:cs="Times New Roman"/>
          <w:sz w:val="24"/>
          <w:szCs w:val="24"/>
        </w:rPr>
        <w:t>associated with genetic resources</w:t>
      </w:r>
      <w:r>
        <w:rPr>
          <w:rFonts w:ascii="Times New Roman" w:hAnsi="Times New Roman" w:cs="Times New Roman"/>
          <w:sz w:val="24"/>
          <w:szCs w:val="24"/>
        </w:rPr>
        <w:t xml:space="preserve">”. Unlike utilization of genetic resources, this term is not expressly defined within the Protocol </w:t>
      </w:r>
      <w:r w:rsidR="00793EA8">
        <w:rPr>
          <w:rFonts w:ascii="Times New Roman" w:hAnsi="Times New Roman" w:cs="Times New Roman"/>
          <w:sz w:val="24"/>
          <w:szCs w:val="24"/>
        </w:rPr>
        <w:t>(</w:t>
      </w:r>
      <w:r>
        <w:rPr>
          <w:rFonts w:ascii="Times New Roman" w:hAnsi="Times New Roman" w:cs="Times New Roman"/>
          <w:sz w:val="24"/>
          <w:szCs w:val="24"/>
        </w:rPr>
        <w:t>or the CBD</w:t>
      </w:r>
      <w:r w:rsidR="00793EA8">
        <w:rPr>
          <w:rFonts w:ascii="Times New Roman" w:hAnsi="Times New Roman" w:cs="Times New Roman"/>
          <w:sz w:val="24"/>
          <w:szCs w:val="24"/>
        </w:rPr>
        <w:t>)</w:t>
      </w:r>
      <w:r>
        <w:rPr>
          <w:rFonts w:ascii="Times New Roman" w:hAnsi="Times New Roman" w:cs="Times New Roman"/>
          <w:sz w:val="24"/>
          <w:szCs w:val="24"/>
        </w:rPr>
        <w:t xml:space="preserve">. As with “access” to </w:t>
      </w:r>
      <w:r w:rsidR="00E747EB">
        <w:rPr>
          <w:rFonts w:ascii="Times New Roman" w:hAnsi="Times New Roman" w:cs="Times New Roman"/>
          <w:sz w:val="24"/>
          <w:szCs w:val="24"/>
        </w:rPr>
        <w:t xml:space="preserve">TKAGR </w:t>
      </w:r>
      <w:r>
        <w:rPr>
          <w:rFonts w:ascii="Times New Roman" w:hAnsi="Times New Roman" w:cs="Times New Roman"/>
          <w:sz w:val="24"/>
          <w:szCs w:val="24"/>
        </w:rPr>
        <w:t xml:space="preserve">under Article 7, it is clear that such use does not have to relate to a specific </w:t>
      </w:r>
      <w:r w:rsidRPr="00836084">
        <w:rPr>
          <w:rFonts w:ascii="Times New Roman" w:hAnsi="Times New Roman" w:cs="Times New Roman"/>
          <w:i/>
          <w:sz w:val="24"/>
          <w:szCs w:val="24"/>
        </w:rPr>
        <w:t>physical</w:t>
      </w:r>
      <w:r>
        <w:rPr>
          <w:rFonts w:ascii="Times New Roman" w:hAnsi="Times New Roman" w:cs="Times New Roman"/>
          <w:sz w:val="24"/>
          <w:szCs w:val="24"/>
        </w:rPr>
        <w:t xml:space="preserve"> sample of a genetic resource.</w:t>
      </w:r>
    </w:p>
    <w:p w:rsidR="00421D02"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Morgera </w:t>
      </w:r>
      <w:r w:rsidRPr="00E13F47">
        <w:rPr>
          <w:rFonts w:ascii="Times New Roman" w:hAnsi="Times New Roman" w:cs="Times New Roman"/>
          <w:i/>
          <w:sz w:val="24"/>
          <w:szCs w:val="24"/>
        </w:rPr>
        <w:t>et al</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suggest that “utilization of traditional knowledge associated with genetic resources” needs to be understood “by combining different elements of the Protocol” and that the term can be “interpreted along similar lines to the definition of utilization of genetic resources”. This approach has much appeal, however</w:t>
      </w:r>
      <w:r w:rsidR="00C34D8D">
        <w:rPr>
          <w:rFonts w:ascii="Times New Roman" w:hAnsi="Times New Roman" w:cs="Times New Roman"/>
          <w:sz w:val="24"/>
          <w:szCs w:val="24"/>
        </w:rPr>
        <w:t>, as we have seen in the analyse</w:t>
      </w:r>
      <w:r>
        <w:rPr>
          <w:rFonts w:ascii="Times New Roman" w:hAnsi="Times New Roman" w:cs="Times New Roman"/>
          <w:sz w:val="24"/>
          <w:szCs w:val="24"/>
        </w:rPr>
        <w:t>s above, the meaning of “utilization of genetic resources” (and also “access to geneti</w:t>
      </w:r>
      <w:r w:rsidR="00421D02">
        <w:rPr>
          <w:rFonts w:ascii="Times New Roman" w:hAnsi="Times New Roman" w:cs="Times New Roman"/>
          <w:sz w:val="24"/>
          <w:szCs w:val="24"/>
        </w:rPr>
        <w:t>c resources”) is far from clear</w:t>
      </w:r>
      <w:r>
        <w:rPr>
          <w:rFonts w:ascii="Times New Roman" w:hAnsi="Times New Roman" w:cs="Times New Roman"/>
          <w:sz w:val="24"/>
          <w:szCs w:val="24"/>
        </w:rPr>
        <w:t xml:space="preserve"> </w:t>
      </w:r>
      <w:r w:rsidR="00421D02">
        <w:rPr>
          <w:rFonts w:ascii="Times New Roman" w:hAnsi="Times New Roman" w:cs="Times New Roman"/>
          <w:sz w:val="24"/>
          <w:szCs w:val="24"/>
        </w:rPr>
        <w:t>(</w:t>
      </w:r>
      <w:r>
        <w:rPr>
          <w:rFonts w:ascii="Times New Roman" w:hAnsi="Times New Roman" w:cs="Times New Roman"/>
          <w:sz w:val="24"/>
          <w:szCs w:val="24"/>
        </w:rPr>
        <w:t xml:space="preserve">particularly where the purported causal link is </w:t>
      </w:r>
      <w:r w:rsidRPr="00424586">
        <w:rPr>
          <w:rFonts w:ascii="Times New Roman" w:hAnsi="Times New Roman" w:cs="Times New Roman"/>
          <w:i/>
          <w:sz w:val="24"/>
          <w:szCs w:val="24"/>
        </w:rPr>
        <w:t>informational</w:t>
      </w:r>
      <w:r>
        <w:rPr>
          <w:rFonts w:ascii="Times New Roman" w:hAnsi="Times New Roman" w:cs="Times New Roman"/>
          <w:sz w:val="24"/>
          <w:szCs w:val="24"/>
        </w:rPr>
        <w:t xml:space="preserve"> rather than physical</w:t>
      </w:r>
      <w:r w:rsidR="00421D02">
        <w:rPr>
          <w:rFonts w:ascii="Times New Roman" w:hAnsi="Times New Roman" w:cs="Times New Roman"/>
          <w:sz w:val="24"/>
          <w:szCs w:val="24"/>
        </w:rPr>
        <w:t>)</w:t>
      </w:r>
      <w:r>
        <w:rPr>
          <w:rFonts w:ascii="Times New Roman" w:hAnsi="Times New Roman" w:cs="Times New Roman"/>
          <w:sz w:val="24"/>
          <w:szCs w:val="24"/>
        </w:rPr>
        <w:t xml:space="preserve">. </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should also note that although there is no doubt that the provisions of Article 7 and Article 5(5) should work together with Article 6 and Article 5(1) and (2) where appropriate, the meaning </w:t>
      </w:r>
      <w:r w:rsidR="00682231">
        <w:rPr>
          <w:rFonts w:ascii="Times New Roman" w:hAnsi="Times New Roman" w:cs="Times New Roman"/>
          <w:sz w:val="24"/>
          <w:szCs w:val="24"/>
        </w:rPr>
        <w:t xml:space="preserve">of </w:t>
      </w:r>
      <w:r w:rsidR="00682231">
        <w:rPr>
          <w:rFonts w:ascii="Times New Roman" w:hAnsi="Times New Roman" w:cs="Times New Roman"/>
          <w:i/>
          <w:sz w:val="24"/>
          <w:szCs w:val="24"/>
        </w:rPr>
        <w:t>“</w:t>
      </w:r>
      <w:r>
        <w:rPr>
          <w:rFonts w:ascii="Times New Roman" w:hAnsi="Times New Roman" w:cs="Times New Roman"/>
          <w:sz w:val="24"/>
          <w:szCs w:val="24"/>
        </w:rPr>
        <w:t>utilization of traditional knowledge associated with genetic resources” does not seem to be expressly linked to, or restricted by, the definition of “utilization of gen</w:t>
      </w:r>
      <w:r w:rsidR="00C34D8D">
        <w:rPr>
          <w:rFonts w:ascii="Times New Roman" w:hAnsi="Times New Roman" w:cs="Times New Roman"/>
          <w:sz w:val="24"/>
          <w:szCs w:val="24"/>
        </w:rPr>
        <w:t>etic resources”</w:t>
      </w:r>
      <w:r w:rsidR="00421D02">
        <w:rPr>
          <w:rFonts w:ascii="Times New Roman" w:hAnsi="Times New Roman" w:cs="Times New Roman"/>
          <w:sz w:val="24"/>
          <w:szCs w:val="24"/>
        </w:rPr>
        <w:t>. N</w:t>
      </w:r>
      <w:r w:rsidR="00C34D8D">
        <w:rPr>
          <w:rFonts w:ascii="Times New Roman" w:hAnsi="Times New Roman" w:cs="Times New Roman"/>
          <w:sz w:val="24"/>
          <w:szCs w:val="24"/>
        </w:rPr>
        <w:t>or is there any</w:t>
      </w:r>
      <w:r>
        <w:rPr>
          <w:rFonts w:ascii="Times New Roman" w:hAnsi="Times New Roman" w:cs="Times New Roman"/>
          <w:sz w:val="24"/>
          <w:szCs w:val="24"/>
        </w:rPr>
        <w:t xml:space="preserve"> requirement that “utilization of genetic resources” should occur </w:t>
      </w:r>
      <w:r>
        <w:rPr>
          <w:rFonts w:ascii="Times New Roman" w:hAnsi="Times New Roman" w:cs="Times New Roman"/>
          <w:sz w:val="24"/>
          <w:szCs w:val="24"/>
        </w:rPr>
        <w:lastRenderedPageBreak/>
        <w:t xml:space="preserve">alongside the “utilization of traditional knowledge associated with genetic resources” (although there will, of course, be many occasions when both will happen concurrently). </w:t>
      </w:r>
    </w:p>
    <w:p w:rsidR="00CA1F37" w:rsidRDefault="00CA1F37" w:rsidP="00CA1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Morgera </w:t>
      </w:r>
      <w:r w:rsidRPr="00A63409">
        <w:rPr>
          <w:rFonts w:ascii="Times New Roman" w:hAnsi="Times New Roman" w:cs="Times New Roman"/>
          <w:i/>
          <w:sz w:val="24"/>
          <w:szCs w:val="24"/>
        </w:rPr>
        <w:t>et al</w:t>
      </w:r>
      <w:r>
        <w:rPr>
          <w:rFonts w:ascii="Times New Roman" w:hAnsi="Times New Roman" w:cs="Times New Roman"/>
          <w:i/>
          <w:sz w:val="24"/>
          <w:szCs w:val="24"/>
        </w:rPr>
        <w:t xml:space="preserve">. </w:t>
      </w:r>
      <w:r w:rsidR="00421D02">
        <w:rPr>
          <w:rFonts w:ascii="Times New Roman" w:hAnsi="Times New Roman" w:cs="Times New Roman"/>
          <w:sz w:val="24"/>
          <w:szCs w:val="24"/>
        </w:rPr>
        <w:t xml:space="preserve">actually </w:t>
      </w:r>
      <w:r>
        <w:rPr>
          <w:rFonts w:ascii="Times New Roman" w:hAnsi="Times New Roman" w:cs="Times New Roman"/>
          <w:sz w:val="24"/>
          <w:szCs w:val="24"/>
        </w:rPr>
        <w:t xml:space="preserve">go on to imply </w:t>
      </w:r>
      <w:r w:rsidR="00421D02">
        <w:rPr>
          <w:rFonts w:ascii="Times New Roman" w:hAnsi="Times New Roman" w:cs="Times New Roman"/>
          <w:sz w:val="24"/>
          <w:szCs w:val="24"/>
        </w:rPr>
        <w:t xml:space="preserve">that “utilization of TKAGR” is </w:t>
      </w:r>
      <w:r>
        <w:rPr>
          <w:rFonts w:ascii="Times New Roman" w:hAnsi="Times New Roman" w:cs="Times New Roman"/>
          <w:sz w:val="24"/>
          <w:szCs w:val="24"/>
        </w:rPr>
        <w:t>something distinctly different from (and</w:t>
      </w:r>
      <w:r w:rsidR="001E5221">
        <w:rPr>
          <w:rFonts w:ascii="Times New Roman" w:hAnsi="Times New Roman" w:cs="Times New Roman"/>
          <w:sz w:val="24"/>
          <w:szCs w:val="24"/>
        </w:rPr>
        <w:t>,</w:t>
      </w:r>
      <w:r>
        <w:rPr>
          <w:rFonts w:ascii="Times New Roman" w:hAnsi="Times New Roman" w:cs="Times New Roman"/>
          <w:sz w:val="24"/>
          <w:szCs w:val="24"/>
        </w:rPr>
        <w:t xml:space="preserve"> </w:t>
      </w:r>
      <w:r w:rsidR="001E5221">
        <w:rPr>
          <w:rFonts w:ascii="Times New Roman" w:hAnsi="Times New Roman" w:cs="Times New Roman"/>
          <w:sz w:val="24"/>
          <w:szCs w:val="24"/>
        </w:rPr>
        <w:t xml:space="preserve">for this author, </w:t>
      </w:r>
      <w:r w:rsidR="00421D02">
        <w:rPr>
          <w:rFonts w:ascii="Times New Roman" w:hAnsi="Times New Roman" w:cs="Times New Roman"/>
          <w:sz w:val="24"/>
          <w:szCs w:val="24"/>
        </w:rPr>
        <w:t xml:space="preserve">clearly </w:t>
      </w:r>
      <w:r>
        <w:rPr>
          <w:rFonts w:ascii="Times New Roman" w:hAnsi="Times New Roman" w:cs="Times New Roman"/>
          <w:sz w:val="24"/>
          <w:szCs w:val="24"/>
        </w:rPr>
        <w:t>broader than) “ut</w:t>
      </w:r>
      <w:r w:rsidR="00335DB4">
        <w:rPr>
          <w:rFonts w:ascii="Times New Roman" w:hAnsi="Times New Roman" w:cs="Times New Roman"/>
          <w:sz w:val="24"/>
          <w:szCs w:val="24"/>
        </w:rPr>
        <w:t>ilisation of genetic resources”.</w:t>
      </w:r>
      <w:r w:rsidR="00421D02">
        <w:rPr>
          <w:rFonts w:ascii="Times New Roman" w:hAnsi="Times New Roman" w:cs="Times New Roman"/>
          <w:sz w:val="24"/>
          <w:szCs w:val="24"/>
        </w:rPr>
        <w:t xml:space="preserve"> They suggest</w:t>
      </w:r>
      <w:r>
        <w:rPr>
          <w:rFonts w:ascii="Times New Roman" w:hAnsi="Times New Roman" w:cs="Times New Roman"/>
          <w:sz w:val="24"/>
          <w:szCs w:val="24"/>
        </w:rPr>
        <w:t xml:space="preserve"> that </w:t>
      </w:r>
      <w:r w:rsidRPr="007D1A00">
        <w:rPr>
          <w:rFonts w:ascii="Times New Roman" w:hAnsi="Times New Roman" w:cs="Times New Roman"/>
          <w:sz w:val="24"/>
          <w:szCs w:val="24"/>
        </w:rPr>
        <w:t>the traditional knowledge should</w:t>
      </w:r>
      <w:r>
        <w:rPr>
          <w:rFonts w:ascii="Times New Roman" w:hAnsi="Times New Roman" w:cs="Times New Roman"/>
          <w:sz w:val="24"/>
          <w:szCs w:val="24"/>
        </w:rPr>
        <w:t>:</w:t>
      </w:r>
      <w:r w:rsidRPr="007D1A00">
        <w:rPr>
          <w:rFonts w:ascii="Times New Roman" w:hAnsi="Times New Roman" w:cs="Times New Roman"/>
          <w:sz w:val="24"/>
          <w:szCs w:val="24"/>
        </w:rPr>
        <w:t xml:space="preserve"> </w:t>
      </w:r>
    </w:p>
    <w:p w:rsidR="00CA1F37" w:rsidRDefault="00CA1F37" w:rsidP="00CA1F37">
      <w:pPr>
        <w:spacing w:line="360" w:lineRule="auto"/>
        <w:ind w:left="567"/>
        <w:jc w:val="both"/>
        <w:rPr>
          <w:rFonts w:ascii="Times New Roman" w:hAnsi="Times New Roman" w:cs="Times New Roman"/>
          <w:sz w:val="24"/>
          <w:szCs w:val="24"/>
        </w:rPr>
      </w:pPr>
      <w:r w:rsidRPr="007D1A00">
        <w:rPr>
          <w:rFonts w:ascii="Times New Roman" w:hAnsi="Times New Roman" w:cs="Times New Roman"/>
          <w:sz w:val="24"/>
          <w:szCs w:val="24"/>
        </w:rPr>
        <w:t>“serve as lead information for the utilisation of genetic resources, it can be understood as hinging on the same intent (research and development)</w:t>
      </w:r>
      <w:r>
        <w:rPr>
          <w:rFonts w:ascii="Times New Roman" w:hAnsi="Times New Roman" w:cs="Times New Roman"/>
          <w:sz w:val="24"/>
          <w:szCs w:val="24"/>
        </w:rPr>
        <w:t xml:space="preserve"> </w:t>
      </w:r>
      <w:r w:rsidRPr="007D1A00">
        <w:rPr>
          <w:rFonts w:ascii="Times New Roman" w:hAnsi="Times New Roman" w:cs="Times New Roman"/>
          <w:sz w:val="24"/>
          <w:szCs w:val="24"/>
        </w:rPr>
        <w:t>as genetic resources</w:t>
      </w:r>
      <w:r>
        <w:rPr>
          <w:rFonts w:ascii="Times New Roman" w:hAnsi="Times New Roman" w:cs="Times New Roman"/>
          <w:sz w:val="24"/>
          <w:szCs w:val="24"/>
        </w:rPr>
        <w:t>.</w:t>
      </w:r>
      <w:r w:rsidRPr="007D1A00">
        <w:rPr>
          <w:rFonts w:ascii="Times New Roman" w:hAnsi="Times New Roman" w:cs="Times New Roman"/>
          <w:sz w:val="24"/>
          <w:szCs w:val="24"/>
        </w:rPr>
        <w:t xml:space="preserve">” </w:t>
      </w:r>
      <w:r w:rsidRPr="00A63409">
        <w:rPr>
          <w:rStyle w:val="FootnoteReference"/>
          <w:rFonts w:ascii="Times New Roman" w:hAnsi="Times New Roman" w:cs="Times New Roman"/>
          <w:sz w:val="24"/>
          <w:szCs w:val="24"/>
        </w:rPr>
        <w:footnoteReference w:id="99"/>
      </w:r>
    </w:p>
    <w:p w:rsidR="00CA1F37" w:rsidRPr="00685585" w:rsidRDefault="00CA1F37" w:rsidP="00CA1F37">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Here </w:t>
      </w:r>
      <w:r w:rsidR="00D02895">
        <w:rPr>
          <w:rFonts w:ascii="Times New Roman" w:hAnsi="Times New Roman" w:cs="Times New Roman"/>
          <w:sz w:val="24"/>
          <w:szCs w:val="24"/>
        </w:rPr>
        <w:t xml:space="preserve">they </w:t>
      </w:r>
      <w:r>
        <w:rPr>
          <w:rFonts w:ascii="Times New Roman" w:hAnsi="Times New Roman" w:cs="Times New Roman"/>
          <w:sz w:val="24"/>
          <w:szCs w:val="24"/>
        </w:rPr>
        <w:t>reflect the view of t</w:t>
      </w:r>
      <w:r w:rsidRPr="00A63409">
        <w:rPr>
          <w:rFonts w:ascii="Times New Roman" w:hAnsi="Times New Roman" w:cs="Times New Roman"/>
          <w:sz w:val="24"/>
          <w:szCs w:val="24"/>
        </w:rPr>
        <w:t xml:space="preserve">he </w:t>
      </w:r>
      <w:r w:rsidRPr="00A63409">
        <w:rPr>
          <w:rFonts w:ascii="Times New Roman" w:hAnsi="Times New Roman" w:cs="Times New Roman"/>
          <w:bCs/>
          <w:sz w:val="24"/>
          <w:szCs w:val="24"/>
        </w:rPr>
        <w:t>Ad Hoc Open-Ended Inter-Sessio</w:t>
      </w:r>
      <w:r>
        <w:rPr>
          <w:rFonts w:ascii="Times New Roman" w:hAnsi="Times New Roman" w:cs="Times New Roman"/>
          <w:bCs/>
          <w:sz w:val="24"/>
          <w:szCs w:val="24"/>
        </w:rPr>
        <w:t>nal Working Group on Article 8(j</w:t>
      </w:r>
      <w:r w:rsidRPr="00A63409">
        <w:rPr>
          <w:rFonts w:ascii="Times New Roman" w:hAnsi="Times New Roman" w:cs="Times New Roman"/>
          <w:bCs/>
          <w:sz w:val="24"/>
          <w:szCs w:val="24"/>
        </w:rPr>
        <w:t>) and Related Provisions of the Convention on Biological Diversity</w:t>
      </w:r>
      <w:r>
        <w:rPr>
          <w:rFonts w:ascii="Times New Roman" w:hAnsi="Times New Roman" w:cs="Times New Roman"/>
          <w:bCs/>
          <w:sz w:val="24"/>
          <w:szCs w:val="24"/>
        </w:rPr>
        <w:t xml:space="preserve"> who state that:</w:t>
      </w:r>
    </w:p>
    <w:p w:rsidR="00CA1F37" w:rsidRDefault="00CA1F37" w:rsidP="00CA1F37">
      <w:pPr>
        <w:autoSpaceDE w:val="0"/>
        <w:autoSpaceDN w:val="0"/>
        <w:adjustRightInd w:val="0"/>
        <w:spacing w:after="0" w:line="360" w:lineRule="auto"/>
        <w:ind w:left="567"/>
        <w:jc w:val="both"/>
        <w:rPr>
          <w:rFonts w:ascii="Times New Roman" w:hAnsi="Times New Roman" w:cs="Times New Roman"/>
          <w:color w:val="000000"/>
        </w:rPr>
      </w:pPr>
      <w:r w:rsidRPr="00685585">
        <w:rPr>
          <w:rFonts w:ascii="Times New Roman" w:hAnsi="Times New Roman" w:cs="Times New Roman"/>
          <w:color w:val="000000"/>
          <w:sz w:val="24"/>
          <w:szCs w:val="24"/>
        </w:rPr>
        <w:t>“</w:t>
      </w:r>
      <w:r w:rsidRPr="00685585">
        <w:rPr>
          <w:rFonts w:ascii="Times New Roman" w:hAnsi="Times New Roman" w:cs="Times New Roman"/>
          <w:sz w:val="24"/>
          <w:szCs w:val="24"/>
        </w:rPr>
        <w:t xml:space="preserve">In essence, traditional knowledge that sparks the process or provides the lead to the properties of a genetic resource although it may not be reflected in the end-product </w:t>
      </w:r>
      <w:r w:rsidR="001C1A66">
        <w:rPr>
          <w:rFonts w:ascii="Times New Roman" w:hAnsi="Times New Roman" w:cs="Times New Roman"/>
          <w:sz w:val="24"/>
          <w:szCs w:val="24"/>
        </w:rPr>
        <w:t xml:space="preserve">it </w:t>
      </w:r>
      <w:r w:rsidRPr="00685585">
        <w:rPr>
          <w:rFonts w:ascii="Times New Roman" w:hAnsi="Times New Roman" w:cs="Times New Roman"/>
          <w:sz w:val="24"/>
          <w:szCs w:val="24"/>
        </w:rPr>
        <w:t>remains associa</w:t>
      </w:r>
      <w:r w:rsidRPr="006661CC">
        <w:rPr>
          <w:rFonts w:ascii="Times New Roman" w:hAnsi="Times New Roman" w:cs="Times New Roman"/>
          <w:sz w:val="24"/>
          <w:szCs w:val="24"/>
        </w:rPr>
        <w:t>ted to that product.”</w:t>
      </w:r>
      <w:r>
        <w:rPr>
          <w:rFonts w:ascii="Times New Roman" w:hAnsi="Times New Roman" w:cs="Times New Roman"/>
          <w:color w:val="000000"/>
        </w:rPr>
        <w:t xml:space="preserve"> </w:t>
      </w:r>
      <w:r>
        <w:rPr>
          <w:rStyle w:val="FootnoteReference"/>
          <w:rFonts w:ascii="Times New Roman" w:hAnsi="Times New Roman" w:cs="Times New Roman"/>
          <w:bCs/>
        </w:rPr>
        <w:footnoteReference w:id="100"/>
      </w:r>
    </w:p>
    <w:p w:rsidR="00CA1F37" w:rsidRPr="006661CC" w:rsidRDefault="00CA1F37" w:rsidP="00CA1F37">
      <w:pPr>
        <w:autoSpaceDE w:val="0"/>
        <w:autoSpaceDN w:val="0"/>
        <w:adjustRightInd w:val="0"/>
        <w:spacing w:after="0" w:line="360" w:lineRule="auto"/>
        <w:ind w:left="567"/>
        <w:rPr>
          <w:rFonts w:ascii="Times New Roman" w:hAnsi="Times New Roman" w:cs="Times New Roman"/>
          <w:color w:val="000000"/>
        </w:rPr>
      </w:pPr>
    </w:p>
    <w:p w:rsidR="00CA1F37" w:rsidRPr="004441A6" w:rsidRDefault="009966BC" w:rsidP="00CA1F37">
      <w:pPr>
        <w:spacing w:line="360" w:lineRule="auto"/>
        <w:jc w:val="both"/>
        <w:rPr>
          <w:rFonts w:ascii="Times New Roman" w:hAnsi="Times New Roman" w:cs="Times New Roman"/>
          <w:bCs/>
          <w:sz w:val="24"/>
          <w:szCs w:val="24"/>
        </w:rPr>
      </w:pPr>
      <w:r>
        <w:rPr>
          <w:rFonts w:ascii="Times New Roman" w:hAnsi="Times New Roman" w:cs="Times New Roman"/>
          <w:sz w:val="24"/>
          <w:szCs w:val="24"/>
        </w:rPr>
        <w:t>a</w:t>
      </w:r>
      <w:r w:rsidR="00CA1F37">
        <w:rPr>
          <w:rFonts w:ascii="Times New Roman" w:hAnsi="Times New Roman" w:cs="Times New Roman"/>
          <w:sz w:val="24"/>
          <w:szCs w:val="24"/>
        </w:rPr>
        <w:t xml:space="preserve">nd </w:t>
      </w:r>
      <w:r w:rsidR="001E5221">
        <w:rPr>
          <w:rFonts w:ascii="Times New Roman" w:hAnsi="Times New Roman" w:cs="Times New Roman"/>
          <w:sz w:val="24"/>
          <w:szCs w:val="24"/>
        </w:rPr>
        <w:t xml:space="preserve">also the view </w:t>
      </w:r>
      <w:r w:rsidR="00CA1F37">
        <w:rPr>
          <w:rFonts w:ascii="Times New Roman" w:hAnsi="Times New Roman" w:cs="Times New Roman"/>
          <w:sz w:val="24"/>
          <w:szCs w:val="24"/>
        </w:rPr>
        <w:t xml:space="preserve">of the </w:t>
      </w:r>
      <w:r w:rsidR="00CA1F37" w:rsidRPr="004441A6">
        <w:rPr>
          <w:rFonts w:ascii="Times New Roman" w:hAnsi="Times New Roman" w:cs="Times New Roman"/>
          <w:bCs/>
          <w:sz w:val="24"/>
          <w:szCs w:val="24"/>
        </w:rPr>
        <w:t>Group of Technical and Legal Experts on Traditional Knowledge Associated with Genetic Resources in the Context of the International Regime on Access and Benefit-Sharing</w:t>
      </w:r>
      <w:r w:rsidR="00CA1F37">
        <w:rPr>
          <w:rFonts w:ascii="Times New Roman" w:hAnsi="Times New Roman" w:cs="Times New Roman"/>
          <w:bCs/>
          <w:sz w:val="24"/>
          <w:szCs w:val="24"/>
        </w:rPr>
        <w:t xml:space="preserve"> who state:</w:t>
      </w:r>
    </w:p>
    <w:p w:rsidR="00CA1F37" w:rsidRPr="00A63409" w:rsidRDefault="00CA1F37" w:rsidP="00CA1F37">
      <w:pPr>
        <w:spacing w:line="360" w:lineRule="auto"/>
        <w:ind w:left="510"/>
        <w:jc w:val="both"/>
        <w:rPr>
          <w:rFonts w:ascii="Times New Roman" w:hAnsi="Times New Roman" w:cs="Times New Roman"/>
          <w:sz w:val="24"/>
          <w:szCs w:val="24"/>
        </w:rPr>
      </w:pPr>
      <w:r w:rsidRPr="006661C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661CC">
        <w:rPr>
          <w:rFonts w:ascii="Times New Roman" w:hAnsi="Times New Roman" w:cs="Times New Roman"/>
          <w:color w:val="000000"/>
          <w:sz w:val="24"/>
          <w:szCs w:val="24"/>
        </w:rPr>
        <w:t>traditional knowledge often provides the lead to genetic resources with potential properties, even if the traditional knowledge does not match the end product.  Thus it should nevertheless be covered by the International Regime.  Although the traditional knowledge used for the final product may not match the body of traditional knowledge, traditional knowledge adds value to genetic resources by providing a massive increase of efficiency in identifying genetic resources with potential properties. Traditional knowledge can therefore be considered as an indicator of the potential properties of a genetic resource. At the same time, it was noted by some that traditional knowledge does not always provide useful leads to genetic resources.”</w:t>
      </w:r>
      <w:r>
        <w:rPr>
          <w:rStyle w:val="FootnoteReference"/>
        </w:rPr>
        <w:footnoteReference w:id="101"/>
      </w:r>
    </w:p>
    <w:p w:rsidR="00D02895" w:rsidRDefault="00C34D8D" w:rsidP="00CA1F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However, t</w:t>
      </w:r>
      <w:r w:rsidR="00CA1F37">
        <w:rPr>
          <w:rFonts w:ascii="Times New Roman" w:hAnsi="Times New Roman" w:cs="Times New Roman"/>
          <w:color w:val="000000"/>
          <w:sz w:val="24"/>
          <w:szCs w:val="24"/>
        </w:rPr>
        <w:t>he work of these UNEP</w:t>
      </w:r>
      <w:r w:rsidR="00CA1F37">
        <w:rPr>
          <w:rStyle w:val="FootnoteReference"/>
          <w:rFonts w:ascii="Times New Roman" w:hAnsi="Times New Roman" w:cs="Times New Roman"/>
          <w:color w:val="000000"/>
          <w:sz w:val="24"/>
          <w:szCs w:val="24"/>
        </w:rPr>
        <w:footnoteReference w:id="102"/>
      </w:r>
      <w:r w:rsidR="00CA1F37">
        <w:rPr>
          <w:rFonts w:ascii="Times New Roman" w:hAnsi="Times New Roman" w:cs="Times New Roman"/>
          <w:color w:val="000000"/>
          <w:sz w:val="24"/>
          <w:szCs w:val="24"/>
        </w:rPr>
        <w:t xml:space="preserve"> expert groups was not incorporated into the operative provisions of the Protocol, so we are left to look at general principles and the </w:t>
      </w:r>
      <w:r w:rsidR="00CA1F37">
        <w:rPr>
          <w:rFonts w:ascii="Times New Roman" w:hAnsi="Times New Roman" w:cs="Times New Roman"/>
          <w:sz w:val="24"/>
          <w:szCs w:val="24"/>
        </w:rPr>
        <w:t xml:space="preserve">overall context of the Protocol </w:t>
      </w:r>
      <w:r w:rsidR="001E5221">
        <w:rPr>
          <w:rFonts w:ascii="Times New Roman" w:hAnsi="Times New Roman" w:cs="Times New Roman"/>
          <w:sz w:val="24"/>
          <w:szCs w:val="24"/>
        </w:rPr>
        <w:t>(</w:t>
      </w:r>
      <w:r w:rsidR="00CA1F37">
        <w:rPr>
          <w:rFonts w:ascii="Times New Roman" w:hAnsi="Times New Roman" w:cs="Times New Roman"/>
          <w:sz w:val="24"/>
          <w:szCs w:val="24"/>
        </w:rPr>
        <w:t>and of Article 8(j) of the CBD</w:t>
      </w:r>
      <w:r w:rsidR="001E5221">
        <w:rPr>
          <w:rFonts w:ascii="Times New Roman" w:hAnsi="Times New Roman" w:cs="Times New Roman"/>
          <w:sz w:val="24"/>
          <w:szCs w:val="24"/>
        </w:rPr>
        <w:t>)</w:t>
      </w:r>
      <w:r w:rsidR="00CA1F37">
        <w:rPr>
          <w:rFonts w:ascii="Times New Roman" w:hAnsi="Times New Roman" w:cs="Times New Roman"/>
          <w:sz w:val="24"/>
          <w:szCs w:val="24"/>
        </w:rPr>
        <w:t xml:space="preserve">.  </w:t>
      </w:r>
    </w:p>
    <w:p w:rsidR="00D02895" w:rsidRDefault="00D02895" w:rsidP="00CA1F37">
      <w:pPr>
        <w:autoSpaceDE w:val="0"/>
        <w:autoSpaceDN w:val="0"/>
        <w:adjustRightInd w:val="0"/>
        <w:spacing w:after="0" w:line="360" w:lineRule="auto"/>
        <w:jc w:val="both"/>
        <w:rPr>
          <w:rFonts w:ascii="Times New Roman" w:hAnsi="Times New Roman" w:cs="Times New Roman"/>
          <w:sz w:val="24"/>
          <w:szCs w:val="24"/>
        </w:rPr>
      </w:pPr>
    </w:p>
    <w:p w:rsidR="00793EA8" w:rsidRDefault="001E5221" w:rsidP="00CA1F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seems</w:t>
      </w:r>
      <w:r w:rsidR="00CA1F37">
        <w:rPr>
          <w:rFonts w:ascii="Times New Roman" w:hAnsi="Times New Roman" w:cs="Times New Roman"/>
          <w:sz w:val="24"/>
          <w:szCs w:val="24"/>
        </w:rPr>
        <w:t xml:space="preserve"> clear is that the rights under </w:t>
      </w:r>
      <w:r>
        <w:rPr>
          <w:rFonts w:ascii="Times New Roman" w:hAnsi="Times New Roman" w:cs="Times New Roman"/>
          <w:sz w:val="24"/>
          <w:szCs w:val="24"/>
        </w:rPr>
        <w:t xml:space="preserve">both </w:t>
      </w:r>
      <w:r w:rsidR="004823F2">
        <w:rPr>
          <w:rFonts w:ascii="Times New Roman" w:hAnsi="Times New Roman" w:cs="Times New Roman"/>
          <w:sz w:val="24"/>
          <w:szCs w:val="24"/>
        </w:rPr>
        <w:t xml:space="preserve">Article 5(5), and Article 7, and </w:t>
      </w:r>
      <w:r w:rsidR="00CA1F37">
        <w:rPr>
          <w:rFonts w:ascii="Times New Roman" w:hAnsi="Times New Roman" w:cs="Times New Roman"/>
          <w:sz w:val="24"/>
          <w:szCs w:val="24"/>
        </w:rPr>
        <w:t xml:space="preserve">are about </w:t>
      </w:r>
      <w:r w:rsidR="00335DB4">
        <w:rPr>
          <w:rFonts w:ascii="Times New Roman" w:hAnsi="Times New Roman" w:cs="Times New Roman"/>
          <w:sz w:val="24"/>
          <w:szCs w:val="24"/>
        </w:rPr>
        <w:t>control over</w:t>
      </w:r>
      <w:r w:rsidR="00CA1F37">
        <w:rPr>
          <w:rFonts w:ascii="Times New Roman" w:hAnsi="Times New Roman" w:cs="Times New Roman"/>
          <w:sz w:val="24"/>
          <w:szCs w:val="24"/>
        </w:rPr>
        <w:t xml:space="preserve"> </w:t>
      </w:r>
      <w:r w:rsidR="00CA1F37" w:rsidRPr="001E5221">
        <w:rPr>
          <w:rFonts w:ascii="Times New Roman" w:hAnsi="Times New Roman" w:cs="Times New Roman"/>
          <w:i/>
          <w:sz w:val="24"/>
          <w:szCs w:val="24"/>
        </w:rPr>
        <w:t>information</w:t>
      </w:r>
      <w:r w:rsidR="00CA1F37">
        <w:rPr>
          <w:rFonts w:ascii="Times New Roman" w:hAnsi="Times New Roman" w:cs="Times New Roman"/>
          <w:sz w:val="24"/>
          <w:szCs w:val="24"/>
        </w:rPr>
        <w:t xml:space="preserve"> rather than the utilisation of a particular physical resource and although one might expect that the “downstream” scope of a right to information may extend further than one rooted in a physical resource</w:t>
      </w:r>
      <w:r w:rsidR="00D02895">
        <w:rPr>
          <w:rFonts w:ascii="Times New Roman" w:hAnsi="Times New Roman" w:cs="Times New Roman"/>
          <w:sz w:val="24"/>
          <w:szCs w:val="24"/>
        </w:rPr>
        <w:t>,</w:t>
      </w:r>
      <w:r w:rsidR="00CA1F37">
        <w:rPr>
          <w:rFonts w:ascii="Times New Roman" w:hAnsi="Times New Roman" w:cs="Times New Roman"/>
          <w:sz w:val="24"/>
          <w:szCs w:val="24"/>
        </w:rPr>
        <w:t xml:space="preserve"> we have no guidance </w:t>
      </w:r>
      <w:r>
        <w:rPr>
          <w:rFonts w:ascii="Times New Roman" w:hAnsi="Times New Roman" w:cs="Times New Roman"/>
          <w:sz w:val="24"/>
          <w:szCs w:val="24"/>
        </w:rPr>
        <w:t xml:space="preserve">from the Protocol itself </w:t>
      </w:r>
      <w:r w:rsidR="00335DB4">
        <w:rPr>
          <w:rFonts w:ascii="Times New Roman" w:hAnsi="Times New Roman" w:cs="Times New Roman"/>
          <w:sz w:val="24"/>
          <w:szCs w:val="24"/>
        </w:rPr>
        <w:t>(</w:t>
      </w:r>
      <w:r>
        <w:rPr>
          <w:rFonts w:ascii="Times New Roman" w:hAnsi="Times New Roman" w:cs="Times New Roman"/>
          <w:sz w:val="24"/>
          <w:szCs w:val="24"/>
        </w:rPr>
        <w:t xml:space="preserve">or </w:t>
      </w:r>
      <w:r w:rsidR="00335DB4">
        <w:rPr>
          <w:rFonts w:ascii="Times New Roman" w:hAnsi="Times New Roman" w:cs="Times New Roman"/>
          <w:sz w:val="24"/>
          <w:szCs w:val="24"/>
        </w:rPr>
        <w:t xml:space="preserve">the </w:t>
      </w:r>
      <w:r>
        <w:rPr>
          <w:rFonts w:ascii="Times New Roman" w:hAnsi="Times New Roman" w:cs="Times New Roman"/>
          <w:sz w:val="24"/>
          <w:szCs w:val="24"/>
        </w:rPr>
        <w:t>CBD</w:t>
      </w:r>
      <w:r w:rsidR="00335DB4">
        <w:rPr>
          <w:rFonts w:ascii="Times New Roman" w:hAnsi="Times New Roman" w:cs="Times New Roman"/>
          <w:sz w:val="24"/>
          <w:szCs w:val="24"/>
        </w:rPr>
        <w:t>)</w:t>
      </w:r>
      <w:r>
        <w:rPr>
          <w:rFonts w:ascii="Times New Roman" w:hAnsi="Times New Roman" w:cs="Times New Roman"/>
          <w:sz w:val="24"/>
          <w:szCs w:val="24"/>
        </w:rPr>
        <w:t xml:space="preserve"> as to </w:t>
      </w:r>
      <w:r w:rsidR="00CA1F37">
        <w:rPr>
          <w:rFonts w:ascii="Times New Roman" w:hAnsi="Times New Roman" w:cs="Times New Roman"/>
          <w:sz w:val="24"/>
          <w:szCs w:val="24"/>
        </w:rPr>
        <w:t>whether the scope of Article 5(5) or Article 7 should extend to all downstream products, in all circumstances.</w:t>
      </w:r>
      <w:r w:rsidR="00984F11">
        <w:rPr>
          <w:rFonts w:ascii="Times New Roman" w:hAnsi="Times New Roman" w:cs="Times New Roman"/>
          <w:sz w:val="24"/>
          <w:szCs w:val="24"/>
        </w:rPr>
        <w:t xml:space="preserve"> </w:t>
      </w:r>
      <w:r w:rsidR="004823F2">
        <w:rPr>
          <w:rFonts w:ascii="Times New Roman" w:hAnsi="Times New Roman" w:cs="Times New Roman"/>
          <w:sz w:val="24"/>
          <w:szCs w:val="24"/>
        </w:rPr>
        <w:t xml:space="preserve"> </w:t>
      </w:r>
    </w:p>
    <w:p w:rsidR="00793EA8" w:rsidRDefault="00793EA8" w:rsidP="00CA1F37">
      <w:pPr>
        <w:autoSpaceDE w:val="0"/>
        <w:autoSpaceDN w:val="0"/>
        <w:adjustRightInd w:val="0"/>
        <w:spacing w:after="0" w:line="360" w:lineRule="auto"/>
        <w:jc w:val="both"/>
        <w:rPr>
          <w:rFonts w:ascii="Times New Roman" w:hAnsi="Times New Roman" w:cs="Times New Roman"/>
          <w:sz w:val="24"/>
          <w:szCs w:val="24"/>
        </w:rPr>
      </w:pPr>
    </w:p>
    <w:p w:rsidR="00AA30C2" w:rsidRDefault="004823F2" w:rsidP="00CA1F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At first blush</w:t>
      </w:r>
      <w:r w:rsidR="00062D30">
        <w:rPr>
          <w:rFonts w:ascii="Times New Roman" w:hAnsi="Times New Roman" w:cs="Times New Roman"/>
          <w:sz w:val="24"/>
          <w:szCs w:val="24"/>
        </w:rPr>
        <w:t>,</w:t>
      </w:r>
      <w:r>
        <w:rPr>
          <w:rFonts w:ascii="Times New Roman" w:hAnsi="Times New Roman" w:cs="Times New Roman"/>
          <w:sz w:val="24"/>
          <w:szCs w:val="24"/>
        </w:rPr>
        <w:t xml:space="preserve"> one is tempted to take </w:t>
      </w:r>
      <w:r w:rsidR="001E5221">
        <w:rPr>
          <w:rFonts w:ascii="Times New Roman" w:hAnsi="Times New Roman" w:cs="Times New Roman"/>
          <w:sz w:val="24"/>
          <w:szCs w:val="24"/>
        </w:rPr>
        <w:t>the</w:t>
      </w:r>
      <w:r>
        <w:rPr>
          <w:rFonts w:ascii="Times New Roman" w:hAnsi="Times New Roman" w:cs="Times New Roman"/>
          <w:sz w:val="24"/>
          <w:szCs w:val="24"/>
        </w:rPr>
        <w:t xml:space="preserve"> absolutist</w:t>
      </w:r>
      <w:r w:rsidR="001E5221">
        <w:rPr>
          <w:rFonts w:ascii="Times New Roman" w:hAnsi="Times New Roman" w:cs="Times New Roman"/>
          <w:sz w:val="24"/>
          <w:szCs w:val="24"/>
        </w:rPr>
        <w:t xml:space="preserve"> view that </w:t>
      </w:r>
      <w:r w:rsidR="001E5221" w:rsidRPr="004823F2">
        <w:rPr>
          <w:rFonts w:ascii="Times New Roman" w:hAnsi="Times New Roman" w:cs="Times New Roman"/>
          <w:i/>
          <w:sz w:val="24"/>
          <w:szCs w:val="24"/>
        </w:rPr>
        <w:t>any</w:t>
      </w:r>
      <w:r w:rsidR="001E5221">
        <w:rPr>
          <w:rFonts w:ascii="Times New Roman" w:hAnsi="Times New Roman" w:cs="Times New Roman"/>
          <w:sz w:val="24"/>
          <w:szCs w:val="24"/>
        </w:rPr>
        <w:t xml:space="preserve"> benefit </w:t>
      </w:r>
      <w:r>
        <w:rPr>
          <w:rFonts w:ascii="Times New Roman" w:hAnsi="Times New Roman" w:cs="Times New Roman"/>
          <w:sz w:val="24"/>
          <w:szCs w:val="24"/>
        </w:rPr>
        <w:t xml:space="preserve">which derives from (or accessing of) a piece of TKAGR, no matter how distantly </w:t>
      </w:r>
      <w:r w:rsidR="00062D30">
        <w:rPr>
          <w:rFonts w:ascii="Times New Roman" w:hAnsi="Times New Roman" w:cs="Times New Roman"/>
          <w:sz w:val="24"/>
          <w:szCs w:val="24"/>
        </w:rPr>
        <w:t xml:space="preserve">far </w:t>
      </w:r>
      <w:r>
        <w:rPr>
          <w:rFonts w:ascii="Times New Roman" w:hAnsi="Times New Roman" w:cs="Times New Roman"/>
          <w:sz w:val="24"/>
          <w:szCs w:val="24"/>
        </w:rPr>
        <w:t xml:space="preserve">down the drug discovery pathway, is covered by the provisions of Article 5(5) or Article 7 respectively. Whether such a </w:t>
      </w:r>
      <w:r w:rsidR="00062D30">
        <w:rPr>
          <w:rFonts w:ascii="Times New Roman" w:hAnsi="Times New Roman" w:cs="Times New Roman"/>
          <w:sz w:val="24"/>
          <w:szCs w:val="24"/>
        </w:rPr>
        <w:t xml:space="preserve">far-reaching </w:t>
      </w:r>
      <w:r>
        <w:rPr>
          <w:rFonts w:ascii="Times New Roman" w:hAnsi="Times New Roman" w:cs="Times New Roman"/>
          <w:sz w:val="24"/>
          <w:szCs w:val="24"/>
        </w:rPr>
        <w:t xml:space="preserve">scope is </w:t>
      </w:r>
      <w:r w:rsidR="00793EA8">
        <w:rPr>
          <w:rFonts w:ascii="Times New Roman" w:hAnsi="Times New Roman" w:cs="Times New Roman"/>
          <w:sz w:val="24"/>
          <w:szCs w:val="24"/>
        </w:rPr>
        <w:t xml:space="preserve">philosophically </w:t>
      </w:r>
      <w:r>
        <w:rPr>
          <w:rFonts w:ascii="Times New Roman" w:hAnsi="Times New Roman" w:cs="Times New Roman"/>
          <w:sz w:val="24"/>
          <w:szCs w:val="24"/>
        </w:rPr>
        <w:t xml:space="preserve">justifiable </w:t>
      </w:r>
      <w:r w:rsidR="00AA30C2">
        <w:rPr>
          <w:rFonts w:ascii="Times New Roman" w:hAnsi="Times New Roman" w:cs="Times New Roman"/>
          <w:sz w:val="24"/>
          <w:szCs w:val="24"/>
        </w:rPr>
        <w:t xml:space="preserve">the subject </w:t>
      </w:r>
      <w:r w:rsidR="00793EA8">
        <w:rPr>
          <w:rFonts w:ascii="Times New Roman" w:hAnsi="Times New Roman" w:cs="Times New Roman"/>
          <w:sz w:val="24"/>
          <w:szCs w:val="24"/>
        </w:rPr>
        <w:t xml:space="preserve">of </w:t>
      </w:r>
      <w:r w:rsidR="00AA30C2">
        <w:rPr>
          <w:rFonts w:ascii="Times New Roman" w:hAnsi="Times New Roman" w:cs="Times New Roman"/>
          <w:sz w:val="24"/>
          <w:szCs w:val="24"/>
        </w:rPr>
        <w:t>work</w:t>
      </w:r>
      <w:r w:rsidR="00793EA8">
        <w:rPr>
          <w:rFonts w:ascii="Times New Roman" w:hAnsi="Times New Roman" w:cs="Times New Roman"/>
          <w:sz w:val="24"/>
          <w:szCs w:val="24"/>
        </w:rPr>
        <w:t xml:space="preserve"> currently being undertaken by this author</w:t>
      </w:r>
      <w:r w:rsidR="00AA30C2">
        <w:rPr>
          <w:rFonts w:ascii="Times New Roman" w:hAnsi="Times New Roman" w:cs="Times New Roman"/>
          <w:sz w:val="24"/>
          <w:szCs w:val="24"/>
        </w:rPr>
        <w:t>.</w:t>
      </w:r>
      <w:r>
        <w:rPr>
          <w:rFonts w:ascii="Times New Roman" w:hAnsi="Times New Roman" w:cs="Times New Roman"/>
          <w:sz w:val="24"/>
          <w:szCs w:val="24"/>
        </w:rPr>
        <w:t xml:space="preserve"> </w:t>
      </w:r>
    </w:p>
    <w:p w:rsidR="00984F11" w:rsidRDefault="00984F11" w:rsidP="00CA1F37">
      <w:pPr>
        <w:autoSpaceDE w:val="0"/>
        <w:autoSpaceDN w:val="0"/>
        <w:adjustRightInd w:val="0"/>
        <w:spacing w:after="0" w:line="360" w:lineRule="auto"/>
        <w:jc w:val="both"/>
        <w:rPr>
          <w:rFonts w:ascii="Times New Roman" w:hAnsi="Times New Roman" w:cs="Times New Roman"/>
          <w:sz w:val="24"/>
          <w:szCs w:val="24"/>
        </w:rPr>
      </w:pPr>
    </w:p>
    <w:p w:rsidR="00AA30C2" w:rsidRDefault="00793EA8" w:rsidP="00CA1F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about </w:t>
      </w:r>
      <w:r w:rsidR="00AA30C2">
        <w:rPr>
          <w:rFonts w:ascii="Times New Roman" w:hAnsi="Times New Roman" w:cs="Times New Roman"/>
          <w:sz w:val="24"/>
          <w:szCs w:val="24"/>
        </w:rPr>
        <w:t xml:space="preserve">where the determination of a DSI has been arrived </w:t>
      </w:r>
      <w:r w:rsidR="00682231">
        <w:rPr>
          <w:rFonts w:ascii="Times New Roman" w:hAnsi="Times New Roman" w:cs="Times New Roman"/>
          <w:sz w:val="24"/>
          <w:szCs w:val="24"/>
        </w:rPr>
        <w:t>at by</w:t>
      </w:r>
      <w:r w:rsidR="00AA30C2">
        <w:rPr>
          <w:rFonts w:ascii="Times New Roman" w:hAnsi="Times New Roman" w:cs="Times New Roman"/>
          <w:sz w:val="24"/>
          <w:szCs w:val="24"/>
        </w:rPr>
        <w:t xml:space="preserve"> following the experimental “lea</w:t>
      </w:r>
      <w:r>
        <w:rPr>
          <w:rFonts w:ascii="Times New Roman" w:hAnsi="Times New Roman" w:cs="Times New Roman"/>
          <w:sz w:val="24"/>
          <w:szCs w:val="24"/>
        </w:rPr>
        <w:t>d” provided by a piece of TKAGR?  T</w:t>
      </w:r>
      <w:r w:rsidR="00AA30C2">
        <w:rPr>
          <w:rFonts w:ascii="Times New Roman" w:hAnsi="Times New Roman" w:cs="Times New Roman"/>
          <w:sz w:val="24"/>
          <w:szCs w:val="24"/>
        </w:rPr>
        <w:t xml:space="preserve">here </w:t>
      </w:r>
      <w:r>
        <w:rPr>
          <w:rFonts w:ascii="Times New Roman" w:hAnsi="Times New Roman" w:cs="Times New Roman"/>
          <w:sz w:val="24"/>
          <w:szCs w:val="24"/>
        </w:rPr>
        <w:t xml:space="preserve">seems an at least </w:t>
      </w:r>
      <w:r w:rsidR="00AA30C2">
        <w:rPr>
          <w:rFonts w:ascii="Times New Roman" w:hAnsi="Times New Roman" w:cs="Times New Roman"/>
          <w:sz w:val="24"/>
          <w:szCs w:val="24"/>
        </w:rPr>
        <w:t>arguable case to be m</w:t>
      </w:r>
      <w:r w:rsidR="00682231">
        <w:rPr>
          <w:rFonts w:ascii="Times New Roman" w:hAnsi="Times New Roman" w:cs="Times New Roman"/>
          <w:sz w:val="24"/>
          <w:szCs w:val="24"/>
        </w:rPr>
        <w:t>ade for saying that the use of that</w:t>
      </w:r>
      <w:r w:rsidR="00AA30C2">
        <w:rPr>
          <w:rFonts w:ascii="Times New Roman" w:hAnsi="Times New Roman" w:cs="Times New Roman"/>
          <w:sz w:val="24"/>
          <w:szCs w:val="24"/>
        </w:rPr>
        <w:t xml:space="preserve"> D</w:t>
      </w:r>
      <w:r w:rsidR="00682231">
        <w:rPr>
          <w:rFonts w:ascii="Times New Roman" w:hAnsi="Times New Roman" w:cs="Times New Roman"/>
          <w:sz w:val="24"/>
          <w:szCs w:val="24"/>
        </w:rPr>
        <w:t>SI is</w:t>
      </w:r>
      <w:r w:rsidR="00AA30C2">
        <w:rPr>
          <w:rFonts w:ascii="Times New Roman" w:hAnsi="Times New Roman" w:cs="Times New Roman"/>
          <w:sz w:val="24"/>
          <w:szCs w:val="24"/>
        </w:rPr>
        <w:t xml:space="preserve"> subject to Article 5(5) or Article 7. This may, in part, solve the problem of Protocol avoidance arising out of the use of synthetic biology, but </w:t>
      </w:r>
      <w:r>
        <w:rPr>
          <w:rFonts w:ascii="Times New Roman" w:hAnsi="Times New Roman" w:cs="Times New Roman"/>
          <w:sz w:val="24"/>
          <w:szCs w:val="24"/>
        </w:rPr>
        <w:t>it would</w:t>
      </w:r>
      <w:r w:rsidR="00AA30C2">
        <w:rPr>
          <w:rFonts w:ascii="Times New Roman" w:hAnsi="Times New Roman" w:cs="Times New Roman"/>
          <w:sz w:val="24"/>
          <w:szCs w:val="24"/>
        </w:rPr>
        <w:t xml:space="preserve"> be a right limited to indigenous peoples (as opposed to Parties to the Protocol).</w:t>
      </w:r>
      <w:r w:rsidR="00682231">
        <w:rPr>
          <w:rFonts w:ascii="Times New Roman" w:hAnsi="Times New Roman" w:cs="Times New Roman"/>
          <w:sz w:val="24"/>
          <w:szCs w:val="24"/>
        </w:rPr>
        <w:t xml:space="preserve"> Again, however, the</w:t>
      </w:r>
      <w:r w:rsidR="00AA30C2">
        <w:rPr>
          <w:rFonts w:ascii="Times New Roman" w:hAnsi="Times New Roman" w:cs="Times New Roman"/>
          <w:sz w:val="24"/>
          <w:szCs w:val="24"/>
        </w:rPr>
        <w:t xml:space="preserve"> question of whether</w:t>
      </w:r>
      <w:r w:rsidR="00682231">
        <w:rPr>
          <w:rFonts w:ascii="Times New Roman" w:hAnsi="Times New Roman" w:cs="Times New Roman"/>
          <w:sz w:val="24"/>
          <w:szCs w:val="24"/>
        </w:rPr>
        <w:t xml:space="preserve"> it is justifiable for a</w:t>
      </w:r>
      <w:r w:rsidR="00AA30C2">
        <w:rPr>
          <w:rFonts w:ascii="Times New Roman" w:hAnsi="Times New Roman" w:cs="Times New Roman"/>
          <w:sz w:val="24"/>
          <w:szCs w:val="24"/>
        </w:rPr>
        <w:t xml:space="preserve"> DSI </w:t>
      </w:r>
      <w:r w:rsidR="00682231">
        <w:rPr>
          <w:rFonts w:ascii="Times New Roman" w:hAnsi="Times New Roman" w:cs="Times New Roman"/>
          <w:sz w:val="24"/>
          <w:szCs w:val="24"/>
        </w:rPr>
        <w:t>to be</w:t>
      </w:r>
      <w:r w:rsidR="00AA30C2">
        <w:rPr>
          <w:rFonts w:ascii="Times New Roman" w:hAnsi="Times New Roman" w:cs="Times New Roman"/>
          <w:sz w:val="24"/>
          <w:szCs w:val="24"/>
        </w:rPr>
        <w:t xml:space="preserve"> covered </w:t>
      </w:r>
      <w:r w:rsidR="00682231">
        <w:rPr>
          <w:rFonts w:ascii="Times New Roman" w:hAnsi="Times New Roman" w:cs="Times New Roman"/>
          <w:sz w:val="24"/>
          <w:szCs w:val="24"/>
        </w:rPr>
        <w:t xml:space="preserve">by the Protocol when that </w:t>
      </w:r>
      <w:r w:rsidR="00AA30C2">
        <w:rPr>
          <w:rFonts w:ascii="Times New Roman" w:hAnsi="Times New Roman" w:cs="Times New Roman"/>
          <w:sz w:val="24"/>
          <w:szCs w:val="24"/>
        </w:rPr>
        <w:t xml:space="preserve">DSI has been derived from TKAGR via </w:t>
      </w:r>
      <w:r w:rsidR="00682231">
        <w:rPr>
          <w:rFonts w:ascii="Times New Roman" w:hAnsi="Times New Roman" w:cs="Times New Roman"/>
          <w:sz w:val="24"/>
          <w:szCs w:val="24"/>
        </w:rPr>
        <w:t>very</w:t>
      </w:r>
      <w:r w:rsidR="00AA30C2">
        <w:rPr>
          <w:rFonts w:ascii="Times New Roman" w:hAnsi="Times New Roman" w:cs="Times New Roman"/>
          <w:sz w:val="24"/>
          <w:szCs w:val="24"/>
        </w:rPr>
        <w:t xml:space="preserve"> circuitous routes </w:t>
      </w:r>
      <w:r w:rsidR="00682231">
        <w:rPr>
          <w:rFonts w:ascii="Times New Roman" w:hAnsi="Times New Roman" w:cs="Times New Roman"/>
          <w:sz w:val="24"/>
          <w:szCs w:val="24"/>
        </w:rPr>
        <w:t xml:space="preserve">is </w:t>
      </w:r>
      <w:r>
        <w:rPr>
          <w:rFonts w:ascii="Times New Roman" w:hAnsi="Times New Roman" w:cs="Times New Roman"/>
          <w:sz w:val="24"/>
          <w:szCs w:val="24"/>
        </w:rPr>
        <w:t>again the subject of work currently being undertaken by this author.</w:t>
      </w:r>
    </w:p>
    <w:p w:rsidR="00CA1F37" w:rsidRDefault="00CA1F37" w:rsidP="00CA1F37">
      <w:pPr>
        <w:autoSpaceDE w:val="0"/>
        <w:autoSpaceDN w:val="0"/>
        <w:adjustRightInd w:val="0"/>
        <w:spacing w:after="0" w:line="360" w:lineRule="auto"/>
        <w:jc w:val="both"/>
        <w:rPr>
          <w:rFonts w:ascii="Times New Roman" w:hAnsi="Times New Roman" w:cs="Times New Roman"/>
          <w:sz w:val="24"/>
          <w:szCs w:val="24"/>
        </w:rPr>
      </w:pPr>
    </w:p>
    <w:p w:rsidR="00CA1F37" w:rsidRPr="00976160" w:rsidRDefault="00CA1F37" w:rsidP="00CA1F37">
      <w:pPr>
        <w:pStyle w:val="Heading2"/>
        <w:spacing w:line="360" w:lineRule="auto"/>
      </w:pPr>
      <w:r w:rsidRPr="00976160">
        <w:t>Conclusion</w:t>
      </w:r>
      <w:r w:rsidR="00335DB4">
        <w:t>s</w:t>
      </w:r>
      <w:r w:rsidRPr="00976160">
        <w:t xml:space="preserve"> </w:t>
      </w:r>
    </w:p>
    <w:p w:rsidR="00CA1F37" w:rsidRPr="00CB2743" w:rsidRDefault="00CA1F37" w:rsidP="00CA1F37">
      <w:pPr>
        <w:pStyle w:val="NormalWeb"/>
        <w:spacing w:line="360" w:lineRule="auto"/>
        <w:jc w:val="both"/>
        <w:rPr>
          <w:highlight w:val="yellow"/>
        </w:rPr>
      </w:pPr>
      <w:r w:rsidRPr="0087004D">
        <w:t xml:space="preserve">So, is the Protocol a flawed creation? As we have seen, the Protocol was born out of, and is heavily reliant upon, the CBD. </w:t>
      </w:r>
      <w:r w:rsidR="00C34D8D" w:rsidRPr="0087004D">
        <w:t>This work argues that d</w:t>
      </w:r>
      <w:r w:rsidRPr="0087004D">
        <w:t xml:space="preserve">efinitions which were put into the </w:t>
      </w:r>
      <w:r w:rsidRPr="0087004D">
        <w:lastRenderedPageBreak/>
        <w:t xml:space="preserve">CBD for one end have been “repurposed” for use in the Protocol. This is particularly true of the definition of </w:t>
      </w:r>
      <w:r w:rsidR="00D02895" w:rsidRPr="0087004D">
        <w:t>“</w:t>
      </w:r>
      <w:r w:rsidRPr="0087004D">
        <w:t>Derivative</w:t>
      </w:r>
      <w:r w:rsidR="00D02895" w:rsidRPr="0087004D">
        <w:t>”</w:t>
      </w:r>
      <w:r w:rsidRPr="0087004D">
        <w:t xml:space="preserve"> and of </w:t>
      </w:r>
      <w:r w:rsidR="00D02895" w:rsidRPr="0087004D">
        <w:t>“</w:t>
      </w:r>
      <w:r w:rsidRPr="0087004D">
        <w:t>Biotechnology</w:t>
      </w:r>
      <w:r w:rsidR="00D02895" w:rsidRPr="0087004D">
        <w:t>”,</w:t>
      </w:r>
      <w:r w:rsidRPr="0087004D">
        <w:t xml:space="preserve"> and the results are confusing. This reuse of parts was perhaps understandable given the conflicting views</w:t>
      </w:r>
      <w:r w:rsidR="001E5221">
        <w:t xml:space="preserve"> of,</w:t>
      </w:r>
      <w:r w:rsidRPr="0087004D">
        <w:t xml:space="preserve"> and time pressures</w:t>
      </w:r>
      <w:r w:rsidR="001E5221">
        <w:t xml:space="preserve"> </w:t>
      </w:r>
      <w:r w:rsidR="00335DB4">
        <w:t>up</w:t>
      </w:r>
      <w:r w:rsidR="001E5221">
        <w:t xml:space="preserve">on, </w:t>
      </w:r>
      <w:r w:rsidRPr="0087004D">
        <w:t xml:space="preserve">the negotiating parties who had a desire to achieve </w:t>
      </w:r>
      <w:r w:rsidR="00D02895" w:rsidRPr="0087004D">
        <w:t>mutual acceptable</w:t>
      </w:r>
      <w:r w:rsidRPr="0087004D">
        <w:t xml:space="preserve"> agreements</w:t>
      </w:r>
      <w:r w:rsidR="00D02895" w:rsidRPr="0087004D">
        <w:t xml:space="preserve"> between conflicting camps</w:t>
      </w:r>
      <w:r w:rsidRPr="0087004D">
        <w:t xml:space="preserve">. However, for </w:t>
      </w:r>
      <w:r w:rsidR="00C34D8D" w:rsidRPr="0087004D">
        <w:t>those following in their wake</w:t>
      </w:r>
      <w:r w:rsidR="0087004D">
        <w:t>,</w:t>
      </w:r>
      <w:r w:rsidR="00C34D8D" w:rsidRPr="0087004D">
        <w:t xml:space="preserve"> who</w:t>
      </w:r>
      <w:r w:rsidRPr="0087004D">
        <w:t xml:space="preserve"> are required to understand and bring into effect the rights and duties created by the Protocol</w:t>
      </w:r>
      <w:r w:rsidR="0087004D">
        <w:t>,</w:t>
      </w:r>
      <w:r w:rsidRPr="0087004D">
        <w:t xml:space="preserve"> this “Frankensteinian” model of treaty drafting has been unhelpful.</w:t>
      </w:r>
      <w:r w:rsidRPr="00CB2743">
        <w:rPr>
          <w:highlight w:val="yellow"/>
        </w:rPr>
        <w:t xml:space="preserve"> </w:t>
      </w:r>
    </w:p>
    <w:p w:rsidR="001E5221" w:rsidRDefault="00CA1F37" w:rsidP="00CA1F37">
      <w:pPr>
        <w:spacing w:line="360" w:lineRule="auto"/>
        <w:jc w:val="both"/>
        <w:rPr>
          <w:rFonts w:ascii="Times New Roman" w:eastAsia="Times New Roman" w:hAnsi="Times New Roman" w:cs="Times New Roman"/>
          <w:sz w:val="24"/>
          <w:szCs w:val="24"/>
        </w:rPr>
      </w:pPr>
      <w:r w:rsidRPr="0087004D">
        <w:rPr>
          <w:rFonts w:ascii="Times New Roman" w:eastAsia="Times New Roman" w:hAnsi="Times New Roman" w:cs="Times New Roman"/>
          <w:sz w:val="24"/>
          <w:szCs w:val="24"/>
        </w:rPr>
        <w:t xml:space="preserve">As demonstrated in this paper, the drafting of the Protocol creates serious problems in determining the downstream scope of its protection. It seems reasonably clear that the Protocol envisages that a genetic resource includes, not only the genome of that resource, but the biochemical compounds found within the resource which are created by the expression of that genome. What is less clear is whether the scope of protection extends to the </w:t>
      </w:r>
      <w:r w:rsidR="009F6E55">
        <w:rPr>
          <w:rFonts w:ascii="Times New Roman" w:eastAsia="Times New Roman" w:hAnsi="Times New Roman" w:cs="Times New Roman"/>
          <w:sz w:val="24"/>
          <w:szCs w:val="24"/>
        </w:rPr>
        <w:t>hu</w:t>
      </w:r>
      <w:r w:rsidRPr="0087004D">
        <w:rPr>
          <w:rFonts w:ascii="Times New Roman" w:eastAsia="Times New Roman" w:hAnsi="Times New Roman" w:cs="Times New Roman"/>
          <w:sz w:val="24"/>
          <w:szCs w:val="24"/>
        </w:rPr>
        <w:t>man-made chemical derivatives of such biochemical compounds. For patent practitioners used to arguing infringement cases involving small differences in chemical composition</w:t>
      </w:r>
      <w:r w:rsidR="0087004D">
        <w:rPr>
          <w:rFonts w:ascii="Times New Roman" w:eastAsia="Times New Roman" w:hAnsi="Times New Roman" w:cs="Times New Roman"/>
          <w:sz w:val="24"/>
          <w:szCs w:val="24"/>
        </w:rPr>
        <w:t>,</w:t>
      </w:r>
      <w:r w:rsidRPr="0087004D">
        <w:rPr>
          <w:rFonts w:ascii="Times New Roman" w:eastAsia="Times New Roman" w:hAnsi="Times New Roman" w:cs="Times New Roman"/>
          <w:sz w:val="24"/>
          <w:szCs w:val="24"/>
        </w:rPr>
        <w:t xml:space="preserve"> the existence of such potential “loop-holes” will be surprising. </w:t>
      </w:r>
    </w:p>
    <w:p w:rsidR="00CA1F37" w:rsidRDefault="00CA1F37" w:rsidP="00CA1F37">
      <w:pPr>
        <w:spacing w:line="360" w:lineRule="auto"/>
        <w:jc w:val="both"/>
        <w:rPr>
          <w:rFonts w:ascii="Times New Roman" w:eastAsia="Times New Roman" w:hAnsi="Times New Roman" w:cs="Times New Roman"/>
          <w:sz w:val="24"/>
          <w:szCs w:val="24"/>
        </w:rPr>
      </w:pPr>
      <w:r w:rsidRPr="0087004D">
        <w:rPr>
          <w:rFonts w:ascii="Times New Roman" w:eastAsia="Times New Roman" w:hAnsi="Times New Roman" w:cs="Times New Roman"/>
          <w:sz w:val="24"/>
          <w:szCs w:val="24"/>
        </w:rPr>
        <w:t>Still more surprising is the confusion surrounding protection of genetic information under the Protocol. If a synthetic gene which is informationally (but not physically) derived from a genetic resource is not considered to be part of that genetic resource, the potential for evasion of the provisions of the Protocol are potentially great. Given recent advances in synthetic biology and</w:t>
      </w:r>
      <w:r w:rsidR="0087004D">
        <w:rPr>
          <w:rFonts w:ascii="Times New Roman" w:eastAsia="Times New Roman" w:hAnsi="Times New Roman" w:cs="Times New Roman"/>
          <w:sz w:val="24"/>
          <w:szCs w:val="24"/>
        </w:rPr>
        <w:t xml:space="preserve"> the prospect of using mere digital</w:t>
      </w:r>
      <w:r w:rsidRPr="0087004D">
        <w:rPr>
          <w:rFonts w:ascii="Times New Roman" w:eastAsia="Times New Roman" w:hAnsi="Times New Roman" w:cs="Times New Roman"/>
          <w:sz w:val="24"/>
          <w:szCs w:val="24"/>
        </w:rPr>
        <w:t xml:space="preserve"> sequence information in gene and prote</w:t>
      </w:r>
      <w:r w:rsidR="00D02895" w:rsidRPr="0087004D">
        <w:rPr>
          <w:rFonts w:ascii="Times New Roman" w:eastAsia="Times New Roman" w:hAnsi="Times New Roman" w:cs="Times New Roman"/>
          <w:sz w:val="24"/>
          <w:szCs w:val="24"/>
        </w:rPr>
        <w:t>in engineering,</w:t>
      </w:r>
      <w:r w:rsidR="0087004D">
        <w:rPr>
          <w:rStyle w:val="FootnoteReference"/>
          <w:rFonts w:ascii="Times New Roman" w:eastAsia="Times New Roman" w:hAnsi="Times New Roman" w:cs="Times New Roman"/>
          <w:sz w:val="24"/>
          <w:szCs w:val="24"/>
        </w:rPr>
        <w:footnoteReference w:id="103"/>
      </w:r>
      <w:r w:rsidR="00D02895" w:rsidRPr="0087004D">
        <w:rPr>
          <w:rFonts w:ascii="Times New Roman" w:eastAsia="Times New Roman" w:hAnsi="Times New Roman" w:cs="Times New Roman"/>
          <w:sz w:val="24"/>
          <w:szCs w:val="24"/>
        </w:rPr>
        <w:t xml:space="preserve"> the prospects for</w:t>
      </w:r>
      <w:r w:rsidRPr="0087004D">
        <w:rPr>
          <w:rFonts w:ascii="Times New Roman" w:eastAsia="Times New Roman" w:hAnsi="Times New Roman" w:cs="Times New Roman"/>
          <w:sz w:val="24"/>
          <w:szCs w:val="24"/>
        </w:rPr>
        <w:t xml:space="preserve"> evasion are yet greater.</w:t>
      </w:r>
      <w:r w:rsidR="0087004D">
        <w:rPr>
          <w:rFonts w:ascii="Times New Roman" w:eastAsia="Times New Roman" w:hAnsi="Times New Roman" w:cs="Times New Roman"/>
          <w:sz w:val="24"/>
          <w:szCs w:val="24"/>
        </w:rPr>
        <w:t xml:space="preserve"> </w:t>
      </w:r>
    </w:p>
    <w:p w:rsidR="00CA1F37" w:rsidRPr="009966BC" w:rsidRDefault="00CA1F37" w:rsidP="00CA1F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potential for such evasion may be prevented by the existence of rights in TKAGR</w:t>
      </w:r>
      <w:r w:rsidR="001E5221">
        <w:rPr>
          <w:rFonts w:ascii="Times New Roman" w:eastAsia="Times New Roman" w:hAnsi="Times New Roman" w:cs="Times New Roman"/>
          <w:sz w:val="24"/>
          <w:szCs w:val="24"/>
        </w:rPr>
        <w:t xml:space="preserve"> under </w:t>
      </w:r>
      <w:r w:rsidR="001E5221">
        <w:rPr>
          <w:rFonts w:ascii="Times New Roman" w:hAnsi="Times New Roman" w:cs="Times New Roman"/>
          <w:sz w:val="24"/>
          <w:szCs w:val="24"/>
        </w:rPr>
        <w:t>Article 5(5) or Article 7</w:t>
      </w:r>
      <w:r>
        <w:rPr>
          <w:rFonts w:ascii="Times New Roman" w:eastAsia="Times New Roman" w:hAnsi="Times New Roman" w:cs="Times New Roman"/>
          <w:sz w:val="24"/>
          <w:szCs w:val="24"/>
        </w:rPr>
        <w:t xml:space="preserve">. Given the inherent </w:t>
      </w:r>
      <w:r w:rsidRPr="0072436C">
        <w:rPr>
          <w:rFonts w:ascii="Times New Roman" w:eastAsia="Times New Roman" w:hAnsi="Times New Roman" w:cs="Times New Roman"/>
          <w:i/>
          <w:sz w:val="24"/>
          <w:szCs w:val="24"/>
        </w:rPr>
        <w:t>informational</w:t>
      </w:r>
      <w:r>
        <w:rPr>
          <w:rFonts w:ascii="Times New Roman" w:eastAsia="Times New Roman" w:hAnsi="Times New Roman" w:cs="Times New Roman"/>
          <w:sz w:val="24"/>
          <w:szCs w:val="24"/>
        </w:rPr>
        <w:t xml:space="preserve"> nature of TKAGR it is c</w:t>
      </w:r>
      <w:r w:rsidR="00D00EDF">
        <w:rPr>
          <w:rFonts w:ascii="Times New Roman" w:eastAsia="Times New Roman" w:hAnsi="Times New Roman" w:cs="Times New Roman"/>
          <w:sz w:val="24"/>
          <w:szCs w:val="24"/>
        </w:rPr>
        <w:t>onceivable that the rights in TKAG</w:t>
      </w:r>
      <w:r>
        <w:rPr>
          <w:rFonts w:ascii="Times New Roman" w:eastAsia="Times New Roman" w:hAnsi="Times New Roman" w:cs="Times New Roman"/>
          <w:sz w:val="24"/>
          <w:szCs w:val="24"/>
        </w:rPr>
        <w:t xml:space="preserve">R created by the Protocol could extend </w:t>
      </w:r>
      <w:r w:rsidR="00D02895">
        <w:rPr>
          <w:rFonts w:ascii="Times New Roman" w:eastAsia="Times New Roman" w:hAnsi="Times New Roman" w:cs="Times New Roman"/>
          <w:sz w:val="24"/>
          <w:szCs w:val="24"/>
        </w:rPr>
        <w:t xml:space="preserve">well </w:t>
      </w:r>
      <w:r>
        <w:rPr>
          <w:rFonts w:ascii="Times New Roman" w:eastAsia="Times New Roman" w:hAnsi="Times New Roman" w:cs="Times New Roman"/>
          <w:sz w:val="24"/>
          <w:szCs w:val="24"/>
        </w:rPr>
        <w:t xml:space="preserve">beyond those provided for genetic resources </w:t>
      </w:r>
      <w:r w:rsidRPr="0072436C">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Certainly, TKAGR </w:t>
      </w:r>
      <w:r w:rsidRPr="00470986">
        <w:rPr>
          <w:rFonts w:ascii="Times New Roman" w:hAnsi="Times New Roman" w:cs="Times New Roman"/>
          <w:sz w:val="24"/>
          <w:szCs w:val="24"/>
        </w:rPr>
        <w:t xml:space="preserve">is </w:t>
      </w:r>
      <w:r>
        <w:rPr>
          <w:rFonts w:ascii="Times New Roman" w:hAnsi="Times New Roman" w:cs="Times New Roman"/>
          <w:sz w:val="24"/>
          <w:szCs w:val="24"/>
        </w:rPr>
        <w:t xml:space="preserve">of an </w:t>
      </w:r>
      <w:r w:rsidRPr="00470986">
        <w:rPr>
          <w:rFonts w:ascii="Times New Roman" w:hAnsi="Times New Roman" w:cs="Times New Roman"/>
          <w:sz w:val="24"/>
          <w:szCs w:val="24"/>
        </w:rPr>
        <w:t xml:space="preserve">unrelated </w:t>
      </w:r>
      <w:r>
        <w:rPr>
          <w:rFonts w:ascii="Times New Roman" w:hAnsi="Times New Roman" w:cs="Times New Roman"/>
          <w:sz w:val="24"/>
          <w:szCs w:val="24"/>
        </w:rPr>
        <w:t xml:space="preserve">type to the </w:t>
      </w:r>
      <w:r w:rsidRPr="00470986">
        <w:rPr>
          <w:rFonts w:ascii="Times New Roman" w:hAnsi="Times New Roman" w:cs="Times New Roman"/>
          <w:sz w:val="24"/>
          <w:szCs w:val="24"/>
        </w:rPr>
        <w:t xml:space="preserve">informational </w:t>
      </w:r>
      <w:r>
        <w:rPr>
          <w:rFonts w:ascii="Times New Roman" w:hAnsi="Times New Roman" w:cs="Times New Roman"/>
          <w:sz w:val="24"/>
          <w:szCs w:val="24"/>
        </w:rPr>
        <w:t>component of a genetic resource</w:t>
      </w:r>
      <w:r w:rsidR="00793EA8">
        <w:rPr>
          <w:rFonts w:ascii="Times New Roman" w:hAnsi="Times New Roman" w:cs="Times New Roman"/>
          <w:sz w:val="24"/>
          <w:szCs w:val="24"/>
        </w:rPr>
        <w:t>,</w:t>
      </w:r>
      <w:r w:rsidRPr="0047098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70986">
        <w:rPr>
          <w:rFonts w:ascii="Times New Roman" w:hAnsi="Times New Roman" w:cs="Times New Roman"/>
          <w:sz w:val="24"/>
          <w:szCs w:val="24"/>
        </w:rPr>
        <w:t xml:space="preserve">the definition of a genetic resource </w:t>
      </w:r>
      <w:r>
        <w:rPr>
          <w:rFonts w:ascii="Times New Roman" w:hAnsi="Times New Roman" w:cs="Times New Roman"/>
          <w:sz w:val="24"/>
          <w:szCs w:val="24"/>
        </w:rPr>
        <w:t xml:space="preserve">in the Protocol does not </w:t>
      </w:r>
      <w:r w:rsidRPr="00470986">
        <w:rPr>
          <w:rFonts w:ascii="Times New Roman" w:hAnsi="Times New Roman" w:cs="Times New Roman"/>
          <w:sz w:val="24"/>
          <w:szCs w:val="24"/>
        </w:rPr>
        <w:t xml:space="preserve">delimit the meaning or scope of </w:t>
      </w:r>
      <w:r>
        <w:rPr>
          <w:rFonts w:ascii="Times New Roman" w:hAnsi="Times New Roman" w:cs="Times New Roman"/>
          <w:sz w:val="24"/>
          <w:szCs w:val="24"/>
        </w:rPr>
        <w:t xml:space="preserve">the </w:t>
      </w:r>
      <w:r w:rsidRPr="00470986">
        <w:rPr>
          <w:rFonts w:ascii="Times New Roman" w:hAnsi="Times New Roman" w:cs="Times New Roman"/>
          <w:sz w:val="24"/>
          <w:szCs w:val="24"/>
        </w:rPr>
        <w:t>traditional knowledge associated with</w:t>
      </w:r>
      <w:r>
        <w:rPr>
          <w:rFonts w:ascii="Times New Roman" w:hAnsi="Times New Roman" w:cs="Times New Roman"/>
          <w:sz w:val="24"/>
          <w:szCs w:val="24"/>
        </w:rPr>
        <w:t xml:space="preserve"> that</w:t>
      </w:r>
      <w:r w:rsidRPr="00470986">
        <w:rPr>
          <w:rFonts w:ascii="Times New Roman" w:hAnsi="Times New Roman" w:cs="Times New Roman"/>
          <w:sz w:val="24"/>
          <w:szCs w:val="24"/>
        </w:rPr>
        <w:t xml:space="preserve"> genetic resource</w:t>
      </w:r>
      <w:r>
        <w:rPr>
          <w:rFonts w:ascii="Times New Roman" w:hAnsi="Times New Roman" w:cs="Times New Roman"/>
          <w:sz w:val="24"/>
          <w:szCs w:val="24"/>
        </w:rPr>
        <w:t>.</w:t>
      </w:r>
    </w:p>
    <w:p w:rsidR="00CA1F37" w:rsidRDefault="00CA1F37" w:rsidP="00F35DAA">
      <w:pPr>
        <w:pStyle w:val="NormalWeb"/>
        <w:spacing w:line="360" w:lineRule="auto"/>
        <w:jc w:val="both"/>
      </w:pPr>
      <w:r>
        <w:t>However, w</w:t>
      </w:r>
      <w:r w:rsidRPr="00903649">
        <w:t>ha</w:t>
      </w:r>
      <w:r>
        <w:t>t seems to be missing from the positive</w:t>
      </w:r>
      <w:r w:rsidRPr="00903649">
        <w:t xml:space="preserve"> rights in relation to </w:t>
      </w:r>
      <w:r>
        <w:t>TKAGR</w:t>
      </w:r>
      <w:r w:rsidRPr="00903649">
        <w:t xml:space="preserve"> under the Protocol is any principle or guidance for determining a balance which combines fair </w:t>
      </w:r>
      <w:r w:rsidRPr="00903649">
        <w:lastRenderedPageBreak/>
        <w:t xml:space="preserve">protection for the traditional knowledge/genetic resources rights holders with a reasonable degree of legal certainty for third parties. Where such knowledge serves as a research “lead” for further development, the Protocol </w:t>
      </w:r>
      <w:r>
        <w:t xml:space="preserve">itself </w:t>
      </w:r>
      <w:r w:rsidRPr="00903649">
        <w:t>gives no clear guidance as to how far that knowledge can have a “reach through effect” into new scientific discoveries</w:t>
      </w:r>
      <w:r w:rsidR="002F17F7">
        <w:t xml:space="preserve">, or at what stage </w:t>
      </w:r>
      <w:r w:rsidRPr="00903649">
        <w:t xml:space="preserve">a researcher </w:t>
      </w:r>
      <w:r w:rsidR="002F17F7">
        <w:t xml:space="preserve">would </w:t>
      </w:r>
      <w:r w:rsidRPr="00903649">
        <w:t>be considered free of the traditional knowledge right.</w:t>
      </w:r>
    </w:p>
    <w:bookmarkEnd w:id="19"/>
    <w:bookmarkEnd w:id="20"/>
    <w:p w:rsidR="001D3B59" w:rsidRPr="000A463D" w:rsidRDefault="001D3B59">
      <w:pPr>
        <w:rPr>
          <w:rFonts w:ascii="Times New Roman" w:hAnsi="Times New Roman" w:cs="Times New Roman"/>
          <w:sz w:val="24"/>
          <w:szCs w:val="24"/>
        </w:rPr>
      </w:pPr>
    </w:p>
    <w:sectPr w:rsidR="001D3B59" w:rsidRPr="000A463D" w:rsidSect="00126D0F">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812" w:rsidRDefault="00056812" w:rsidP="00115E71">
      <w:pPr>
        <w:spacing w:after="0" w:line="240" w:lineRule="auto"/>
      </w:pPr>
      <w:r>
        <w:separator/>
      </w:r>
    </w:p>
  </w:endnote>
  <w:endnote w:type="continuationSeparator" w:id="0">
    <w:p w:rsidR="00056812" w:rsidRDefault="00056812" w:rsidP="00115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57669"/>
      <w:docPartObj>
        <w:docPartGallery w:val="Page Numbers (Bottom of Page)"/>
        <w:docPartUnique/>
      </w:docPartObj>
    </w:sdtPr>
    <w:sdtContent>
      <w:p w:rsidR="00FF0F7C" w:rsidRDefault="00FF0F7C">
        <w:pPr>
          <w:pStyle w:val="Footer"/>
          <w:jc w:val="center"/>
        </w:pPr>
        <w:r>
          <w:rPr>
            <w:noProof/>
          </w:rPr>
          <w:fldChar w:fldCharType="begin"/>
        </w:r>
        <w:r>
          <w:rPr>
            <w:noProof/>
          </w:rPr>
          <w:instrText xml:space="preserve"> PAGE   \* MERGEFORMAT </w:instrText>
        </w:r>
        <w:r>
          <w:rPr>
            <w:noProof/>
          </w:rPr>
          <w:fldChar w:fldCharType="separate"/>
        </w:r>
        <w:r w:rsidR="0086701A">
          <w:rPr>
            <w:noProof/>
          </w:rPr>
          <w:t>4</w:t>
        </w:r>
        <w:r>
          <w:rPr>
            <w:noProof/>
          </w:rPr>
          <w:fldChar w:fldCharType="end"/>
        </w:r>
      </w:p>
    </w:sdtContent>
  </w:sdt>
  <w:p w:rsidR="00FF0F7C" w:rsidRDefault="00FF0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812" w:rsidRDefault="00056812" w:rsidP="00115E71">
      <w:pPr>
        <w:spacing w:after="0" w:line="240" w:lineRule="auto"/>
      </w:pPr>
      <w:r>
        <w:separator/>
      </w:r>
    </w:p>
  </w:footnote>
  <w:footnote w:type="continuationSeparator" w:id="0">
    <w:p w:rsidR="00056812" w:rsidRDefault="00056812" w:rsidP="00115E71">
      <w:pPr>
        <w:spacing w:after="0" w:line="240" w:lineRule="auto"/>
      </w:pPr>
      <w:r>
        <w:continuationSeparator/>
      </w:r>
    </w:p>
  </w:footnote>
  <w:footnote w:id="1">
    <w:p w:rsidR="00FF0F7C" w:rsidRDefault="00FF0F7C" w:rsidP="00D05FDA">
      <w:pPr>
        <w:pStyle w:val="FootnoteText"/>
      </w:pPr>
      <w:r>
        <w:t xml:space="preserve">* </w:t>
      </w:r>
      <w:r w:rsidRPr="00BF5C28">
        <w:t>Lecturer in Intellectual Property Law, York Law School, University of York; BSc</w:t>
      </w:r>
      <w:r>
        <w:t xml:space="preserve"> </w:t>
      </w:r>
      <w:r w:rsidRPr="00BF5C28">
        <w:t>(Hons) (Manc), PhD (Bris), PhD (York), PGDipIP (Bris), Solicitor (England &amp; Wales)</w:t>
      </w:r>
    </w:p>
    <w:p w:rsidR="00FF0F7C" w:rsidRDefault="00FF0F7C">
      <w:pPr>
        <w:pStyle w:val="FootnoteText"/>
      </w:pPr>
    </w:p>
    <w:p w:rsidR="00FF0F7C" w:rsidRDefault="00FF0F7C">
      <w:pPr>
        <w:pStyle w:val="FootnoteText"/>
      </w:pPr>
      <w:r>
        <w:rPr>
          <w:rStyle w:val="FootnoteReference"/>
        </w:rPr>
        <w:footnoteRef/>
      </w:r>
      <w:r>
        <w:t xml:space="preserve"> </w:t>
      </w:r>
      <w:r>
        <w:rPr>
          <w:rStyle w:val="citation"/>
        </w:rPr>
        <w:t xml:space="preserve">For an accessible review of the history of the development of synthetic biology techniques see: </w:t>
      </w:r>
      <w:r>
        <w:t xml:space="preserve">J C Venter, </w:t>
      </w:r>
      <w:r w:rsidRPr="0087004D">
        <w:rPr>
          <w:i/>
        </w:rPr>
        <w:t>Life at the Speed of Life, From the Double Helix to the Dawn of Digital Life</w:t>
      </w:r>
      <w:r>
        <w:t xml:space="preserve"> (Abacus, London 2013) 250</w:t>
      </w:r>
    </w:p>
    <w:p w:rsidR="00FF0F7C" w:rsidRDefault="00FF0F7C">
      <w:pPr>
        <w:pStyle w:val="FootnoteText"/>
      </w:pPr>
    </w:p>
  </w:footnote>
  <w:footnote w:id="2">
    <w:p w:rsidR="00FF0F7C" w:rsidRDefault="00FF0F7C" w:rsidP="003E6824">
      <w:pPr>
        <w:pStyle w:val="FootnoteText"/>
        <w:jc w:val="both"/>
      </w:pPr>
      <w:r>
        <w:rPr>
          <w:rStyle w:val="FootnoteReference"/>
        </w:rPr>
        <w:footnoteRef/>
      </w:r>
      <w:r>
        <w:t xml:space="preserve"> Deoxyribonucleic acid</w:t>
      </w:r>
    </w:p>
    <w:p w:rsidR="00FF0F7C" w:rsidRDefault="00FF0F7C" w:rsidP="003E6824">
      <w:pPr>
        <w:pStyle w:val="FootnoteText"/>
      </w:pPr>
    </w:p>
  </w:footnote>
  <w:footnote w:id="3">
    <w:p w:rsidR="00FF0F7C" w:rsidRPr="008564DA" w:rsidRDefault="00FF0F7C" w:rsidP="00166580">
      <w:pPr>
        <w:pStyle w:val="FootnoteText"/>
        <w:jc w:val="both"/>
        <w:rPr>
          <w:rStyle w:val="citation"/>
        </w:rPr>
      </w:pPr>
      <w:r>
        <w:rPr>
          <w:rStyle w:val="FootnoteReference"/>
        </w:rPr>
        <w:footnoteRef/>
      </w:r>
      <w:r>
        <w:t xml:space="preserve"> </w:t>
      </w:r>
      <w:hyperlink r:id="rId1" w:history="1">
        <w:r>
          <w:rPr>
            <w:rStyle w:val="citation"/>
          </w:rPr>
          <w:t>D</w:t>
        </w:r>
        <w:r w:rsidRPr="008564DA">
          <w:rPr>
            <w:rStyle w:val="citation"/>
          </w:rPr>
          <w:t>G Gibson</w:t>
        </w:r>
      </w:hyperlink>
      <w:r>
        <w:rPr>
          <w:rStyle w:val="citation"/>
        </w:rPr>
        <w:t xml:space="preserve"> et al.,</w:t>
      </w:r>
      <w:r w:rsidRPr="008564DA">
        <w:rPr>
          <w:rStyle w:val="citation"/>
        </w:rPr>
        <w:t xml:space="preserve"> “Creation of a Bacterial Cell Controlled by a Chemically Synthesized Genome” (2010)  329 (5987) Science 52</w:t>
      </w:r>
    </w:p>
    <w:p w:rsidR="00FF0F7C" w:rsidRDefault="00FF0F7C" w:rsidP="004E2813">
      <w:pPr>
        <w:pStyle w:val="FootnoteText"/>
        <w:jc w:val="both"/>
      </w:pPr>
    </w:p>
  </w:footnote>
  <w:footnote w:id="4">
    <w:p w:rsidR="00FF0F7C" w:rsidRDefault="00FF0F7C" w:rsidP="007348DD">
      <w:pPr>
        <w:pStyle w:val="FootnoteText"/>
      </w:pPr>
      <w:r>
        <w:rPr>
          <w:rStyle w:val="FootnoteReference"/>
        </w:rPr>
        <w:footnoteRef/>
      </w:r>
      <w:r>
        <w:t xml:space="preserve">  CBD/COP/DEC/XIII/16 (16 December 2016)</w:t>
      </w:r>
    </w:p>
    <w:p w:rsidR="00FF0F7C" w:rsidRDefault="00FF0F7C" w:rsidP="007348DD">
      <w:pPr>
        <w:pStyle w:val="FootnoteText"/>
      </w:pPr>
    </w:p>
  </w:footnote>
  <w:footnote w:id="5">
    <w:p w:rsidR="00FF0F7C" w:rsidRDefault="00FF0F7C" w:rsidP="007B133F">
      <w:pPr>
        <w:pStyle w:val="FootnoteText"/>
      </w:pPr>
      <w:r>
        <w:rPr>
          <w:rStyle w:val="FootnoteReference"/>
        </w:rPr>
        <w:footnoteRef/>
      </w:r>
      <w:r>
        <w:t xml:space="preserve">  CBD/DSI/AHTEG/2018/1/4</w:t>
      </w:r>
    </w:p>
    <w:p w:rsidR="00FF0F7C" w:rsidRDefault="00FF0F7C" w:rsidP="007B133F">
      <w:pPr>
        <w:pStyle w:val="FootnoteText"/>
      </w:pPr>
    </w:p>
  </w:footnote>
  <w:footnote w:id="6">
    <w:p w:rsidR="00FF0F7C" w:rsidRDefault="00FF0F7C">
      <w:pPr>
        <w:pStyle w:val="FootnoteText"/>
        <w:rPr>
          <w:sz w:val="22"/>
          <w:szCs w:val="22"/>
        </w:rPr>
      </w:pPr>
      <w:r>
        <w:rPr>
          <w:rStyle w:val="FootnoteReference"/>
        </w:rPr>
        <w:footnoteRef/>
      </w:r>
      <w:r>
        <w:t xml:space="preserve"> Including the Fourteenth Conference of the Parties, November 2018. See </w:t>
      </w:r>
      <w:r w:rsidRPr="007B133F">
        <w:t>CBD/NP/MOP/3/1/Add.2, 33</w:t>
      </w:r>
    </w:p>
    <w:p w:rsidR="00FF0F7C" w:rsidRDefault="00FF0F7C">
      <w:pPr>
        <w:pStyle w:val="FootnoteText"/>
      </w:pPr>
    </w:p>
  </w:footnote>
  <w:footnote w:id="7">
    <w:p w:rsidR="00FF0F7C" w:rsidRDefault="00FF0F7C">
      <w:pPr>
        <w:pStyle w:val="FootnoteText"/>
      </w:pPr>
      <w:r>
        <w:rPr>
          <w:rStyle w:val="FootnoteReference"/>
        </w:rPr>
        <w:footnoteRef/>
      </w:r>
      <w:r>
        <w:t xml:space="preserve"> See Comments of the Life Science Committee of the Chartered Institute of Patent Attorneys (2017) 47(1) CIPA Journal 9 and also (2018) 47(10) CIPA Journal 9</w:t>
      </w:r>
    </w:p>
    <w:p w:rsidR="00FF0F7C" w:rsidRDefault="00FF0F7C">
      <w:pPr>
        <w:pStyle w:val="FootnoteText"/>
      </w:pPr>
    </w:p>
  </w:footnote>
  <w:footnote w:id="8">
    <w:p w:rsidR="00FF0F7C" w:rsidRDefault="00FF0F7C" w:rsidP="00F34533">
      <w:pPr>
        <w:pStyle w:val="FootnoteText"/>
      </w:pPr>
      <w:r>
        <w:rPr>
          <w:rStyle w:val="FootnoteReference"/>
        </w:rPr>
        <w:footnoteRef/>
      </w:r>
      <w:r>
        <w:t xml:space="preserve"> Jon Turney, </w:t>
      </w:r>
      <w:r w:rsidRPr="007C10E1">
        <w:rPr>
          <w:i/>
        </w:rPr>
        <w:t>Frankenstein’s Footsteps: Science, Genetics and Popular Culture</w:t>
      </w:r>
      <w:r>
        <w:t xml:space="preserve"> (Yale University Press 1998) 26</w:t>
      </w:r>
    </w:p>
    <w:p w:rsidR="00FF0F7C" w:rsidRDefault="00FF0F7C" w:rsidP="00F34533">
      <w:pPr>
        <w:pStyle w:val="FootnoteText"/>
      </w:pPr>
    </w:p>
  </w:footnote>
  <w:footnote w:id="9">
    <w:p w:rsidR="00FF0F7C" w:rsidRDefault="00FF0F7C" w:rsidP="0097350C">
      <w:pPr>
        <w:pStyle w:val="FootnoteText"/>
        <w:jc w:val="both"/>
        <w:rPr>
          <w:color w:val="000000"/>
        </w:rPr>
      </w:pPr>
      <w:r>
        <w:rPr>
          <w:rStyle w:val="FootnoteReference"/>
        </w:rPr>
        <w:footnoteRef/>
      </w:r>
      <w:r>
        <w:t xml:space="preserve"> Paul A</w:t>
      </w:r>
      <w:r w:rsidRPr="00540BBD">
        <w:t xml:space="preserve"> Cox, “The ethnobotanical approach to drug discovery: strengths and limitations” in </w:t>
      </w:r>
      <w:r w:rsidRPr="00540BBD">
        <w:rPr>
          <w:color w:val="000000"/>
        </w:rPr>
        <w:t xml:space="preserve">Derek J Chadwick and Joan Marsh (eds), </w:t>
      </w:r>
      <w:r w:rsidRPr="00540BBD">
        <w:rPr>
          <w:i/>
          <w:color w:val="000000"/>
        </w:rPr>
        <w:t>Ethnobotany and the Search for New Drugs</w:t>
      </w:r>
      <w:r w:rsidRPr="00540BBD">
        <w:rPr>
          <w:color w:val="000000"/>
        </w:rPr>
        <w:t xml:space="preserve"> (John Wiley &amp; Sons 1994) </w:t>
      </w:r>
      <w:r>
        <w:rPr>
          <w:color w:val="000000"/>
        </w:rPr>
        <w:t xml:space="preserve">(Ciba Foundation Symp 185) </w:t>
      </w:r>
      <w:r w:rsidRPr="00540BBD">
        <w:rPr>
          <w:color w:val="000000"/>
        </w:rPr>
        <w:t>25</w:t>
      </w:r>
      <w:r>
        <w:rPr>
          <w:color w:val="000000"/>
        </w:rPr>
        <w:t xml:space="preserve">, 27; </w:t>
      </w:r>
      <w:r>
        <w:t>Norman R</w:t>
      </w:r>
      <w:r w:rsidRPr="009A7B2D">
        <w:t xml:space="preserve"> Farnsworth, “The role of ethnopharmacology in drug development” in </w:t>
      </w:r>
      <w:r w:rsidRPr="009A7B2D">
        <w:rPr>
          <w:i/>
        </w:rPr>
        <w:t>Bioactive compounds from Plants</w:t>
      </w:r>
      <w:r w:rsidRPr="009A7B2D">
        <w:t xml:space="preserve"> </w:t>
      </w:r>
      <w:r w:rsidRPr="009A7B2D">
        <w:rPr>
          <w:color w:val="000000"/>
        </w:rPr>
        <w:t>(John Wiley &amp; Sons 1994)</w:t>
      </w:r>
      <w:r>
        <w:rPr>
          <w:color w:val="000000"/>
        </w:rPr>
        <w:t xml:space="preserve"> </w:t>
      </w:r>
      <w:r w:rsidRPr="009A7B2D">
        <w:rPr>
          <w:color w:val="000000"/>
        </w:rPr>
        <w:t>(Ciba Foundation Symp 154) 2</w:t>
      </w:r>
      <w:r>
        <w:t xml:space="preserve"> </w:t>
      </w:r>
    </w:p>
    <w:p w:rsidR="00FF0F7C" w:rsidRDefault="00FF0F7C" w:rsidP="0097350C">
      <w:pPr>
        <w:pStyle w:val="FootnoteText"/>
        <w:jc w:val="both"/>
      </w:pPr>
    </w:p>
  </w:footnote>
  <w:footnote w:id="10">
    <w:p w:rsidR="00FF0F7C" w:rsidRDefault="00FF0F7C" w:rsidP="0097350C">
      <w:pPr>
        <w:pStyle w:val="FootnoteText"/>
        <w:jc w:val="both"/>
      </w:pPr>
      <w:r>
        <w:rPr>
          <w:rStyle w:val="FootnoteReference"/>
        </w:rPr>
        <w:footnoteRef/>
      </w:r>
      <w:r>
        <w:t xml:space="preserve"> Glenn F King (ed), </w:t>
      </w:r>
      <w:r w:rsidRPr="008A2FCE">
        <w:rPr>
          <w:i/>
        </w:rPr>
        <w:t>Venoms to Drugs: Venom as a Source for the Development of Human Therapeutics</w:t>
      </w:r>
      <w:r>
        <w:t xml:space="preserve"> (Royal Society of Chemistry, Abingdon, 2014</w:t>
      </w:r>
    </w:p>
    <w:p w:rsidR="00FF0F7C" w:rsidRDefault="00FF0F7C" w:rsidP="0097350C">
      <w:pPr>
        <w:pStyle w:val="FootnoteText"/>
        <w:jc w:val="both"/>
      </w:pPr>
    </w:p>
  </w:footnote>
  <w:footnote w:id="11">
    <w:p w:rsidR="00FF0F7C" w:rsidRPr="007251F4" w:rsidRDefault="00FF0F7C" w:rsidP="0097350C">
      <w:pPr>
        <w:pStyle w:val="FootnoteText"/>
        <w:jc w:val="both"/>
      </w:pPr>
      <w:r>
        <w:rPr>
          <w:rStyle w:val="FootnoteReference"/>
        </w:rPr>
        <w:footnoteRef/>
      </w:r>
      <w:r>
        <w:t xml:space="preserve"> Londa Schiebinger, </w:t>
      </w:r>
      <w:r w:rsidRPr="007251F4">
        <w:rPr>
          <w:i/>
        </w:rPr>
        <w:t>Plants and Empire, Colonial Bioprospecting in the Atlantic World</w:t>
      </w:r>
      <w:r>
        <w:rPr>
          <w:i/>
        </w:rPr>
        <w:t xml:space="preserve"> </w:t>
      </w:r>
      <w:r>
        <w:t xml:space="preserve"> (Harvard University Press 2004); </w:t>
      </w:r>
      <w:r>
        <w:rPr>
          <w:color w:val="000000"/>
        </w:rPr>
        <w:t>Michael J</w:t>
      </w:r>
      <w:r w:rsidRPr="00540BBD">
        <w:rPr>
          <w:color w:val="000000"/>
        </w:rPr>
        <w:t xml:space="preserve"> Balick and Paul A Cox, </w:t>
      </w:r>
      <w:r>
        <w:rPr>
          <w:i/>
          <w:color w:val="000000"/>
        </w:rPr>
        <w:t>Plants, People, and Culture:</w:t>
      </w:r>
      <w:r w:rsidRPr="00540BBD">
        <w:rPr>
          <w:i/>
          <w:color w:val="000000"/>
        </w:rPr>
        <w:t xml:space="preserve"> The Science of Ethnobotany</w:t>
      </w:r>
      <w:r w:rsidRPr="00540BBD">
        <w:rPr>
          <w:color w:val="000000"/>
        </w:rPr>
        <w:t xml:space="preserve"> (Sci</w:t>
      </w:r>
      <w:r>
        <w:rPr>
          <w:color w:val="000000"/>
        </w:rPr>
        <w:t>entific American Library 1997)</w:t>
      </w:r>
    </w:p>
    <w:p w:rsidR="00FF0F7C" w:rsidRDefault="00FF0F7C" w:rsidP="0097350C">
      <w:pPr>
        <w:pStyle w:val="FootnoteText"/>
        <w:jc w:val="both"/>
      </w:pPr>
    </w:p>
  </w:footnote>
  <w:footnote w:id="12">
    <w:p w:rsidR="00FF0F7C" w:rsidRDefault="00FF0F7C" w:rsidP="0097350C">
      <w:pPr>
        <w:pStyle w:val="FootnoteText"/>
        <w:jc w:val="both"/>
      </w:pPr>
      <w:r>
        <w:rPr>
          <w:rStyle w:val="FootnoteReference"/>
        </w:rPr>
        <w:footnoteRef/>
      </w:r>
      <w:r>
        <w:t xml:space="preserve"> </w:t>
      </w:r>
      <w:r w:rsidRPr="00047A84">
        <w:t>Philip Schuler</w:t>
      </w:r>
      <w:r>
        <w:t>,</w:t>
      </w:r>
      <w:r w:rsidRPr="00047A84">
        <w:t xml:space="preserve"> “Biopiracy and Commercialization of Ethnobotanic</w:t>
      </w:r>
      <w:r>
        <w:t>al Knowledge” in J</w:t>
      </w:r>
      <w:r w:rsidRPr="00047A84">
        <w:t xml:space="preserve"> Michael Finger &amp; Philip Schuler (eds) </w:t>
      </w:r>
      <w:r w:rsidRPr="00047A84">
        <w:rPr>
          <w:i/>
        </w:rPr>
        <w:t>Poor People’s Knowledge</w:t>
      </w:r>
      <w:r>
        <w:t xml:space="preserve"> (World Bank and OUP 2004)</w:t>
      </w:r>
    </w:p>
    <w:p w:rsidR="00FF0F7C" w:rsidRDefault="00FF0F7C" w:rsidP="0097350C">
      <w:pPr>
        <w:pStyle w:val="FootnoteText"/>
        <w:jc w:val="both"/>
      </w:pPr>
    </w:p>
  </w:footnote>
  <w:footnote w:id="13">
    <w:p w:rsidR="00FF0F7C" w:rsidRDefault="00FF0F7C" w:rsidP="00DB2E93">
      <w:pPr>
        <w:pStyle w:val="FootnoteText"/>
        <w:jc w:val="both"/>
      </w:pPr>
      <w:r>
        <w:rPr>
          <w:rStyle w:val="FootnoteReference"/>
        </w:rPr>
        <w:footnoteRef/>
      </w:r>
      <w:r>
        <w:t xml:space="preserve"> </w:t>
      </w:r>
      <w:r w:rsidRPr="001446C8">
        <w:t>Graham Dutfield</w:t>
      </w:r>
      <w:r>
        <w:t>,</w:t>
      </w:r>
      <w:r w:rsidRPr="001446C8">
        <w:t xml:space="preserve"> </w:t>
      </w:r>
      <w:r w:rsidRPr="001446C8">
        <w:rPr>
          <w:i/>
        </w:rPr>
        <w:t>Intellectual Property Rights, Biogenetic Resources and Traditional Knowledge</w:t>
      </w:r>
      <w:r w:rsidRPr="001446C8">
        <w:t xml:space="preserve"> (Earthscan Publications</w:t>
      </w:r>
      <w:r>
        <w:t xml:space="preserve">, London and Sterling, VA </w:t>
      </w:r>
      <w:r w:rsidRPr="001446C8">
        <w:t xml:space="preserve"> 2004)</w:t>
      </w:r>
      <w:r>
        <w:t>, 101</w:t>
      </w:r>
    </w:p>
    <w:p w:rsidR="00FF0F7C" w:rsidRPr="009D43D0" w:rsidRDefault="00FF0F7C" w:rsidP="00DB2E93">
      <w:pPr>
        <w:pStyle w:val="FootnoteText"/>
      </w:pPr>
    </w:p>
  </w:footnote>
  <w:footnote w:id="14">
    <w:p w:rsidR="00FF0F7C" w:rsidRPr="00D503E1" w:rsidRDefault="00FF0F7C" w:rsidP="005E02C6">
      <w:pPr>
        <w:pStyle w:val="FootnoteText"/>
        <w:jc w:val="both"/>
      </w:pPr>
      <w:r>
        <w:rPr>
          <w:rStyle w:val="FootnoteReference"/>
        </w:rPr>
        <w:footnoteRef/>
      </w:r>
      <w:r>
        <w:t xml:space="preserve"> </w:t>
      </w:r>
      <w:hyperlink r:id="rId2" w:history="1">
        <w:r w:rsidRPr="00D503E1">
          <w:rPr>
            <w:rStyle w:val="Hyperlink"/>
            <w:color w:val="auto"/>
            <w:u w:val="none"/>
          </w:rPr>
          <w:t>http://www.cbd.int/information/parties.shtml</w:t>
        </w:r>
      </w:hyperlink>
      <w:r w:rsidRPr="00D503E1">
        <w:t xml:space="preserve"> </w:t>
      </w:r>
      <w:r>
        <w:t xml:space="preserve">(Accessed November 2017) </w:t>
      </w:r>
      <w:r w:rsidRPr="00D503E1">
        <w:t xml:space="preserve">A notable omission is the United States of America which signed the convention in June 1993 but has so far failed to ratify; the only signatory to do so.  </w:t>
      </w:r>
    </w:p>
    <w:p w:rsidR="00FF0F7C" w:rsidRPr="00D503E1" w:rsidRDefault="00FF0F7C" w:rsidP="005E02C6">
      <w:pPr>
        <w:pStyle w:val="FootnoteText"/>
        <w:jc w:val="both"/>
      </w:pPr>
    </w:p>
  </w:footnote>
  <w:footnote w:id="15">
    <w:p w:rsidR="00FF0F7C" w:rsidRPr="00D503E1" w:rsidRDefault="00FF0F7C" w:rsidP="005E02C6">
      <w:pPr>
        <w:pStyle w:val="FootnoteText"/>
        <w:jc w:val="both"/>
      </w:pPr>
      <w:r w:rsidRPr="00D503E1">
        <w:rPr>
          <w:rStyle w:val="FootnoteReference"/>
        </w:rPr>
        <w:footnoteRef/>
      </w:r>
      <w:r w:rsidRPr="00D503E1">
        <w:t xml:space="preserve"> </w:t>
      </w:r>
      <w:r>
        <w:t xml:space="preserve">Tobias Kiene, </w:t>
      </w:r>
      <w:r w:rsidRPr="009B3E84">
        <w:rPr>
          <w:i/>
        </w:rPr>
        <w:t>The Legal Protection of Traditional Knowle</w:t>
      </w:r>
      <w:r>
        <w:rPr>
          <w:i/>
        </w:rPr>
        <w:t xml:space="preserve">dge in the Pharmaceutical Field. </w:t>
      </w:r>
      <w:r w:rsidRPr="009B3E84">
        <w:rPr>
          <w:i/>
        </w:rPr>
        <w:t>An Intercultural Problem on the International Agenda</w:t>
      </w:r>
      <w:r>
        <w:rPr>
          <w:i/>
        </w:rPr>
        <w:t xml:space="preserve"> </w:t>
      </w:r>
      <w:r>
        <w:t xml:space="preserve"> (Waxmann, Münster 2012), </w:t>
      </w:r>
      <w:r w:rsidRPr="00D503E1">
        <w:t>198</w:t>
      </w:r>
    </w:p>
    <w:p w:rsidR="00FF0F7C" w:rsidRPr="00D503E1" w:rsidRDefault="00FF0F7C" w:rsidP="005E02C6">
      <w:pPr>
        <w:pStyle w:val="FootnoteText"/>
        <w:jc w:val="both"/>
      </w:pPr>
    </w:p>
  </w:footnote>
  <w:footnote w:id="16">
    <w:p w:rsidR="00FF0F7C" w:rsidRPr="00D503E1" w:rsidRDefault="00FF0F7C" w:rsidP="005E02C6">
      <w:pPr>
        <w:pStyle w:val="FootnoteText"/>
        <w:jc w:val="both"/>
      </w:pPr>
      <w:r w:rsidRPr="00D503E1">
        <w:rPr>
          <w:rStyle w:val="FootnoteReference"/>
        </w:rPr>
        <w:footnoteRef/>
      </w:r>
      <w:r w:rsidRPr="00D503E1">
        <w:t xml:space="preserve"> </w:t>
      </w:r>
      <w:hyperlink r:id="rId3" w:history="1">
        <w:r w:rsidRPr="00D503E1">
          <w:rPr>
            <w:rStyle w:val="Hyperlink"/>
            <w:color w:val="auto"/>
            <w:u w:val="none"/>
          </w:rPr>
          <w:t>http://www.cbd.int/convention/articles/default.shtml?a=cbd-08</w:t>
        </w:r>
      </w:hyperlink>
      <w:r w:rsidRPr="00D503E1">
        <w:t xml:space="preserve"> (</w:t>
      </w:r>
      <w:r>
        <w:t>Accessed November 2018</w:t>
      </w:r>
      <w:r w:rsidRPr="00D503E1">
        <w:t>)</w:t>
      </w:r>
    </w:p>
    <w:p w:rsidR="00FF0F7C" w:rsidRPr="00D503E1" w:rsidRDefault="00FF0F7C" w:rsidP="005E02C6">
      <w:pPr>
        <w:pStyle w:val="FootnoteText"/>
        <w:jc w:val="both"/>
      </w:pPr>
    </w:p>
  </w:footnote>
  <w:footnote w:id="17">
    <w:p w:rsidR="00FF0F7C" w:rsidRPr="00D503E1" w:rsidRDefault="00FF0F7C" w:rsidP="00B43D78">
      <w:pPr>
        <w:pStyle w:val="FootnoteText"/>
        <w:jc w:val="both"/>
      </w:pPr>
      <w:r w:rsidRPr="00D503E1">
        <w:rPr>
          <w:rStyle w:val="FootnoteReference"/>
        </w:rPr>
        <w:footnoteRef/>
      </w:r>
      <w:r>
        <w:t xml:space="preserve"> CBD COP Decision VI/24</w:t>
      </w:r>
    </w:p>
    <w:p w:rsidR="00FF0F7C" w:rsidRDefault="00FF0F7C" w:rsidP="00B43D78">
      <w:pPr>
        <w:pStyle w:val="FootnoteText"/>
        <w:jc w:val="both"/>
      </w:pPr>
    </w:p>
  </w:footnote>
  <w:footnote w:id="18">
    <w:p w:rsidR="00FF0F7C" w:rsidRDefault="00FF0F7C" w:rsidP="00FC4511">
      <w:pPr>
        <w:pStyle w:val="FootnoteText"/>
        <w:jc w:val="both"/>
      </w:pPr>
      <w:r w:rsidRPr="00D503E1">
        <w:rPr>
          <w:rStyle w:val="FootnoteReference"/>
        </w:rPr>
        <w:footnoteRef/>
      </w:r>
      <w:r w:rsidRPr="00D503E1">
        <w:t xml:space="preserve"> </w:t>
      </w:r>
      <w:hyperlink r:id="rId4" w:history="1">
        <w:r w:rsidRPr="00D503E1">
          <w:rPr>
            <w:rStyle w:val="Hyperlink"/>
            <w:color w:val="auto"/>
            <w:u w:val="none"/>
          </w:rPr>
          <w:t>http://www.cbd.int/doc/press/2014/pr-2014-10-12--protocol-en.pdf</w:t>
        </w:r>
      </w:hyperlink>
      <w:r>
        <w:t xml:space="preserve"> </w:t>
      </w:r>
      <w:r w:rsidRPr="00CB6FF1">
        <w:t>(</w:t>
      </w:r>
      <w:r>
        <w:t>Accessed November 2018</w:t>
      </w:r>
      <w:r w:rsidRPr="00CB6FF1">
        <w:t>)</w:t>
      </w:r>
      <w:r>
        <w:t xml:space="preserve"> </w:t>
      </w:r>
    </w:p>
    <w:p w:rsidR="00FF0F7C" w:rsidRDefault="00FF0F7C" w:rsidP="00FC4511">
      <w:pPr>
        <w:pStyle w:val="FootnoteText"/>
        <w:jc w:val="both"/>
      </w:pPr>
    </w:p>
  </w:footnote>
  <w:footnote w:id="19">
    <w:p w:rsidR="00FF0F7C" w:rsidRDefault="00FF0F7C" w:rsidP="005E02C6">
      <w:pPr>
        <w:pStyle w:val="FootnoteText"/>
        <w:jc w:val="both"/>
      </w:pPr>
      <w:r>
        <w:rPr>
          <w:rStyle w:val="FootnoteReference"/>
        </w:rPr>
        <w:footnoteRef/>
      </w:r>
      <w:r>
        <w:t xml:space="preserve"> A history of the development of protection of TKAGR can be found in Frantzeska Papadopoulou, </w:t>
      </w:r>
      <w:r w:rsidRPr="00334D51">
        <w:rPr>
          <w:i/>
        </w:rPr>
        <w:t>The Protection of Traditional Knowledge on Genetic Resources</w:t>
      </w:r>
      <w:r>
        <w:t xml:space="preserve"> (Edward Elgar, Cheltenham 2018)</w:t>
      </w:r>
    </w:p>
  </w:footnote>
  <w:footnote w:id="20">
    <w:p w:rsidR="00FF0F7C" w:rsidRDefault="00FF0F7C" w:rsidP="002457DF">
      <w:pPr>
        <w:pStyle w:val="FootnoteText"/>
        <w:jc w:val="both"/>
      </w:pPr>
      <w:r>
        <w:rPr>
          <w:rStyle w:val="FootnoteReference"/>
        </w:rPr>
        <w:footnoteRef/>
      </w:r>
      <w:r>
        <w:t xml:space="preserve"> One can see this where particular endogenous toxins are simply extracted and used. One example is the use of the puffer fish toxin, tetrodotoxin as a research tool. CH</w:t>
      </w:r>
      <w:r w:rsidRPr="0011325D">
        <w:t xml:space="preserve"> Lee </w:t>
      </w:r>
      <w:r>
        <w:t>and PC Ruben, “</w:t>
      </w:r>
      <w:r w:rsidRPr="0011325D">
        <w:t>Interaction between voltage-gated sodium channels a</w:t>
      </w:r>
      <w:r>
        <w:t xml:space="preserve">nd the neurotoxin, tetrodotoxin” (2008) </w:t>
      </w:r>
      <w:r w:rsidRPr="0011325D">
        <w:t>2(6)</w:t>
      </w:r>
      <w:r>
        <w:t xml:space="preserve"> Channels (Austin) 407</w:t>
      </w:r>
    </w:p>
    <w:p w:rsidR="00FF0F7C" w:rsidRDefault="00FF0F7C" w:rsidP="002457DF">
      <w:pPr>
        <w:pStyle w:val="FootnoteText"/>
        <w:jc w:val="both"/>
      </w:pPr>
    </w:p>
  </w:footnote>
  <w:footnote w:id="21">
    <w:p w:rsidR="00FF0F7C" w:rsidRDefault="00FF0F7C" w:rsidP="002457DF">
      <w:pPr>
        <w:pStyle w:val="FootnoteText"/>
        <w:jc w:val="both"/>
      </w:pPr>
      <w:r>
        <w:rPr>
          <w:rStyle w:val="FootnoteReference"/>
        </w:rPr>
        <w:footnoteRef/>
      </w:r>
      <w:r>
        <w:t xml:space="preserve"> DG Grahame-Smith and JK Aronson, </w:t>
      </w:r>
      <w:r w:rsidRPr="00784950">
        <w:rPr>
          <w:i/>
        </w:rPr>
        <w:t>Oxford Textbook of Clinical Pharmacology and Drug Therapy</w:t>
      </w:r>
      <w:r>
        <w:t xml:space="preserve"> (Oxford University Press, Oxford 1992), 3; John Hall, “The drug development process” in Ignazio Di Giovanna and Gareth Hayes (eds) </w:t>
      </w:r>
      <w:r w:rsidRPr="00784950">
        <w:rPr>
          <w:i/>
        </w:rPr>
        <w:t xml:space="preserve">Principles of Clinical Research </w:t>
      </w:r>
      <w:r>
        <w:t>(Wrightson Biomedical Publishing, Petersfield UK 2001) 1</w:t>
      </w:r>
    </w:p>
    <w:p w:rsidR="00FF0F7C" w:rsidRDefault="00FF0F7C" w:rsidP="002457DF">
      <w:pPr>
        <w:pStyle w:val="FootnoteText"/>
        <w:jc w:val="both"/>
      </w:pPr>
    </w:p>
  </w:footnote>
  <w:footnote w:id="22">
    <w:p w:rsidR="00FF0F7C" w:rsidRDefault="00FF0F7C" w:rsidP="00CA1F37">
      <w:pPr>
        <w:pStyle w:val="FootnoteText"/>
        <w:jc w:val="both"/>
      </w:pPr>
      <w:r w:rsidRPr="00CA1F37">
        <w:rPr>
          <w:rStyle w:val="FootnoteReference"/>
        </w:rPr>
        <w:footnoteRef/>
      </w:r>
      <w:r>
        <w:t xml:space="preserve"> See Hugo </w:t>
      </w:r>
      <w:r w:rsidRPr="00CA1F37">
        <w:t xml:space="preserve">Kubinyi in Enrique Raviña, </w:t>
      </w:r>
      <w:r w:rsidRPr="00CA1F37">
        <w:rPr>
          <w:i/>
        </w:rPr>
        <w:t>The Evolution of Drug Discovery: From Traditional Medicines to Modern Drugs</w:t>
      </w:r>
      <w:r w:rsidRPr="00CA1F37">
        <w:t xml:space="preserve"> (Wiley-VCH, Weinheim, Germany, 2011), 463</w:t>
      </w:r>
    </w:p>
    <w:p w:rsidR="00FF0F7C" w:rsidRDefault="00FF0F7C" w:rsidP="00CA1F37">
      <w:pPr>
        <w:pStyle w:val="FootnoteText"/>
      </w:pPr>
    </w:p>
  </w:footnote>
  <w:footnote w:id="23">
    <w:p w:rsidR="00FF0F7C" w:rsidRDefault="00FF0F7C" w:rsidP="00B228E3">
      <w:pPr>
        <w:pStyle w:val="FootnoteText"/>
      </w:pPr>
      <w:r>
        <w:rPr>
          <w:rStyle w:val="FootnoteReference"/>
        </w:rPr>
        <w:footnoteRef/>
      </w:r>
      <w:r>
        <w:t xml:space="preserve"> </w:t>
      </w:r>
      <w:r w:rsidRPr="00DA081F">
        <w:t>Graham Dutfield</w:t>
      </w:r>
      <w:r>
        <w:t>,</w:t>
      </w:r>
      <w:r w:rsidRPr="00DA081F">
        <w:t xml:space="preserve"> “A critical analysis of the debate on traditional knowledge, drug discovery and patent-based biopiracy”</w:t>
      </w:r>
      <w:r>
        <w:t xml:space="preserve"> (2011) 33(4) EIPR</w:t>
      </w:r>
      <w:r w:rsidRPr="00DA081F">
        <w:t xml:space="preserve"> 238</w:t>
      </w:r>
    </w:p>
    <w:p w:rsidR="00FF0F7C" w:rsidRPr="00DA081F" w:rsidRDefault="00FF0F7C" w:rsidP="00B228E3">
      <w:pPr>
        <w:pStyle w:val="FootnoteText"/>
      </w:pPr>
    </w:p>
  </w:footnote>
  <w:footnote w:id="24">
    <w:p w:rsidR="00FF0F7C" w:rsidRDefault="00FF0F7C" w:rsidP="000C6EAB">
      <w:pPr>
        <w:pStyle w:val="FootnoteText"/>
        <w:jc w:val="both"/>
      </w:pPr>
      <w:r>
        <w:rPr>
          <w:rStyle w:val="FootnoteReference"/>
        </w:rPr>
        <w:footnoteRef/>
      </w:r>
      <w:r>
        <w:t xml:space="preserve"> Pierre Du Plessis,</w:t>
      </w:r>
      <w:r w:rsidRPr="009507FD">
        <w:t xml:space="preserve"> “Disclosure of origin of biological resources and potential effects of the  Protocol” (</w:t>
      </w:r>
      <w:r>
        <w:t xml:space="preserve">2011) 40(5) CIPA Journal 331; </w:t>
      </w:r>
      <w:r w:rsidRPr="009B3E84">
        <w:t xml:space="preserve">Tim </w:t>
      </w:r>
      <w:r>
        <w:t xml:space="preserve">Roberts, </w:t>
      </w:r>
      <w:r w:rsidRPr="009B3E84">
        <w:t>“CBD and</w:t>
      </w:r>
      <w:r>
        <w:t xml:space="preserve"> Nagoya</w:t>
      </w:r>
      <w:r w:rsidRPr="009B3E84">
        <w:t xml:space="preserve">  – a rejoinder” </w:t>
      </w:r>
      <w:r>
        <w:t xml:space="preserve">(2011) 40(6) </w:t>
      </w:r>
      <w:r w:rsidRPr="00D33C57">
        <w:t>CIPA Journal</w:t>
      </w:r>
      <w:r>
        <w:t xml:space="preserve"> 403; </w:t>
      </w:r>
      <w:r w:rsidRPr="000C6EAB">
        <w:t>Pierre Du Plessis, “CBD and Nagoya” (2011)  40(7)  CIPA Journal 466</w:t>
      </w:r>
    </w:p>
    <w:p w:rsidR="00FF0F7C" w:rsidRPr="009507FD" w:rsidRDefault="00FF0F7C" w:rsidP="000C6EAB">
      <w:pPr>
        <w:pStyle w:val="FootnoteText"/>
        <w:jc w:val="both"/>
      </w:pPr>
    </w:p>
  </w:footnote>
  <w:footnote w:id="25">
    <w:p w:rsidR="00FF0F7C" w:rsidRPr="009B3E84" w:rsidRDefault="00FF0F7C" w:rsidP="00B01185">
      <w:pPr>
        <w:pStyle w:val="FootnoteText"/>
        <w:jc w:val="both"/>
      </w:pPr>
      <w:r>
        <w:rPr>
          <w:rStyle w:val="FootnoteReference"/>
        </w:rPr>
        <w:footnoteRef/>
      </w:r>
      <w:r>
        <w:t xml:space="preserve"> MW Tvedt, and OK</w:t>
      </w:r>
      <w:r w:rsidRPr="009B3E84">
        <w:t xml:space="preserve"> Fauchald, </w:t>
      </w:r>
      <w:r>
        <w:t xml:space="preserve">“Implementing the </w:t>
      </w:r>
      <w:r w:rsidRPr="009B3E84">
        <w:t>Protocol on ABS: A Hypothetical Case Study on Enfo</w:t>
      </w:r>
      <w:r>
        <w:t>rcing Benefit Sharing in Norway” (2011)</w:t>
      </w:r>
      <w:r w:rsidRPr="009B3E84">
        <w:t xml:space="preserve"> 14(5)</w:t>
      </w:r>
      <w:r>
        <w:t xml:space="preserve"> JWIP 383</w:t>
      </w:r>
    </w:p>
    <w:p w:rsidR="00FF0F7C" w:rsidRPr="009B3E84" w:rsidRDefault="00FF0F7C" w:rsidP="00B01185">
      <w:pPr>
        <w:pStyle w:val="FootnoteText"/>
      </w:pPr>
    </w:p>
  </w:footnote>
  <w:footnote w:id="26">
    <w:p w:rsidR="00FF0F7C" w:rsidRDefault="00FF0F7C" w:rsidP="00B01185">
      <w:pPr>
        <w:pStyle w:val="FootnoteText"/>
        <w:jc w:val="both"/>
      </w:pPr>
      <w:r>
        <w:rPr>
          <w:rStyle w:val="FootnoteReference"/>
        </w:rPr>
        <w:footnoteRef/>
      </w:r>
      <w:r>
        <w:t xml:space="preserve"> Carlos M</w:t>
      </w:r>
      <w:r w:rsidRPr="00855463">
        <w:t xml:space="preserve"> </w:t>
      </w:r>
      <w:r>
        <w:t>Correa</w:t>
      </w:r>
      <w:r w:rsidRPr="00855463">
        <w:t xml:space="preserve"> </w:t>
      </w:r>
      <w:r w:rsidRPr="00855463">
        <w:rPr>
          <w:bCs/>
        </w:rPr>
        <w:t xml:space="preserve">“Implications for BioTrade of the  Protocol on Access to Genetic Resources and the Fair and Equitable Sharing of Benefits Arising from their Utilization” </w:t>
      </w:r>
      <w:r w:rsidRPr="00855463">
        <w:t xml:space="preserve">(2012) </w:t>
      </w:r>
      <w:r>
        <w:t xml:space="preserve">paper </w:t>
      </w:r>
      <w:r w:rsidRPr="00855463">
        <w:rPr>
          <w:bCs/>
        </w:rPr>
        <w:t>prepared for the BioTrade Initiative on UNCTAD (UNCTAD/DITC/TED/2011/9</w:t>
      </w:r>
      <w:r>
        <w:rPr>
          <w:bCs/>
        </w:rPr>
        <w:t>)</w:t>
      </w:r>
    </w:p>
    <w:p w:rsidR="00FF0F7C" w:rsidRDefault="00FF0F7C" w:rsidP="00B01185">
      <w:pPr>
        <w:pStyle w:val="FootnoteText"/>
        <w:jc w:val="both"/>
      </w:pPr>
    </w:p>
  </w:footnote>
  <w:footnote w:id="27">
    <w:p w:rsidR="00FF0F7C" w:rsidRPr="00182482" w:rsidRDefault="00FF0F7C" w:rsidP="00115E71">
      <w:pPr>
        <w:pStyle w:val="FootnoteText"/>
        <w:jc w:val="both"/>
      </w:pPr>
      <w:r>
        <w:rPr>
          <w:rStyle w:val="FootnoteReference"/>
        </w:rPr>
        <w:footnoteRef/>
      </w:r>
      <w:r>
        <w:t xml:space="preserve"> </w:t>
      </w:r>
      <w:r w:rsidRPr="00182482">
        <w:t>CBD Article 2</w:t>
      </w:r>
    </w:p>
    <w:p w:rsidR="00FF0F7C" w:rsidRPr="00182482" w:rsidRDefault="00FF0F7C" w:rsidP="00115E71">
      <w:pPr>
        <w:pStyle w:val="FootnoteText"/>
        <w:rPr>
          <w:b/>
        </w:rPr>
      </w:pPr>
    </w:p>
  </w:footnote>
  <w:footnote w:id="28">
    <w:p w:rsidR="00FF0F7C" w:rsidRDefault="00FF0F7C" w:rsidP="00115E71">
      <w:pPr>
        <w:pStyle w:val="FootnoteText"/>
        <w:jc w:val="both"/>
      </w:pPr>
      <w:r>
        <w:rPr>
          <w:rStyle w:val="FootnoteReference"/>
        </w:rPr>
        <w:footnoteRef/>
      </w:r>
      <w:r>
        <w:t xml:space="preserve"> </w:t>
      </w:r>
      <w:r w:rsidRPr="00420E4D">
        <w:t>Thomas Greiber</w:t>
      </w:r>
      <w:r>
        <w:t xml:space="preserve"> et al.  </w:t>
      </w:r>
      <w:r w:rsidRPr="001374D8">
        <w:rPr>
          <w:i/>
        </w:rPr>
        <w:t xml:space="preserve">IUCN Explanatory Guide to the </w:t>
      </w:r>
      <w:r w:rsidRPr="001374D8">
        <w:rPr>
          <w:bCs/>
          <w:i/>
        </w:rPr>
        <w:t>Protocol</w:t>
      </w:r>
      <w:r w:rsidRPr="001374D8">
        <w:rPr>
          <w:i/>
        </w:rPr>
        <w:t xml:space="preserve"> on Access and Benefit-sharing</w:t>
      </w:r>
      <w:r w:rsidRPr="00420E4D">
        <w:t xml:space="preserve">. </w:t>
      </w:r>
      <w:r>
        <w:t>(IUCN Environmental Policy and Law Paper No.83, 2012) , 64</w:t>
      </w:r>
    </w:p>
    <w:p w:rsidR="00FF0F7C" w:rsidRDefault="00FF0F7C" w:rsidP="00115E71">
      <w:pPr>
        <w:pStyle w:val="FootnoteText"/>
        <w:jc w:val="both"/>
      </w:pPr>
      <w:r>
        <w:t>(</w:t>
      </w:r>
      <w:hyperlink r:id="rId5" w:history="1">
        <w:r w:rsidRPr="00BC15BA">
          <w:rPr>
            <w:rStyle w:val="Hyperlink"/>
            <w:color w:val="auto"/>
            <w:u w:val="none"/>
          </w:rPr>
          <w:t>https://cmsdata.iucn.org/downloads/an_explanatory_guide_to_the__protocol.pdf</w:t>
        </w:r>
      </w:hyperlink>
      <w:r w:rsidRPr="00BC15BA">
        <w:t>)</w:t>
      </w:r>
      <w:r>
        <w:t xml:space="preserve"> (Accessed November 2018)</w:t>
      </w:r>
    </w:p>
    <w:p w:rsidR="00FF0F7C" w:rsidRDefault="00FF0F7C" w:rsidP="00115E71">
      <w:pPr>
        <w:pStyle w:val="FootnoteText"/>
        <w:jc w:val="both"/>
      </w:pPr>
    </w:p>
  </w:footnote>
  <w:footnote w:id="29">
    <w:p w:rsidR="00FF0F7C" w:rsidRDefault="00FF0F7C" w:rsidP="00115E71">
      <w:pPr>
        <w:pStyle w:val="FootnoteText"/>
        <w:jc w:val="both"/>
      </w:pPr>
      <w:r>
        <w:rPr>
          <w:rStyle w:val="FootnoteReference"/>
        </w:rPr>
        <w:footnoteRef/>
      </w:r>
      <w:r>
        <w:t xml:space="preserve"> “Gene” in </w:t>
      </w:r>
      <w:r w:rsidRPr="00C177E2">
        <w:t xml:space="preserve">Merriam-Webster.com. </w:t>
      </w:r>
    </w:p>
    <w:p w:rsidR="00FF0F7C" w:rsidRDefault="00FF0F7C" w:rsidP="00115E71">
      <w:pPr>
        <w:pStyle w:val="FootnoteText"/>
        <w:jc w:val="both"/>
      </w:pPr>
      <w:hyperlink r:id="rId6" w:history="1">
        <w:r w:rsidRPr="00C177E2">
          <w:t>http://www.merriam-webster.com/dictionary/gene</w:t>
        </w:r>
      </w:hyperlink>
      <w:r w:rsidRPr="00C177E2">
        <w:t xml:space="preserve"> (</w:t>
      </w:r>
      <w:r>
        <w:t>Accessed November 2018</w:t>
      </w:r>
      <w:r w:rsidRPr="00C177E2">
        <w:t>).</w:t>
      </w:r>
    </w:p>
    <w:p w:rsidR="00FF0F7C" w:rsidRDefault="00FF0F7C" w:rsidP="00115E71">
      <w:pPr>
        <w:pStyle w:val="FootnoteText"/>
        <w:jc w:val="both"/>
      </w:pPr>
    </w:p>
  </w:footnote>
  <w:footnote w:id="30">
    <w:p w:rsidR="00FF0F7C" w:rsidRDefault="00FF0F7C">
      <w:pPr>
        <w:pStyle w:val="FootnoteText"/>
      </w:pPr>
      <w:r>
        <w:rPr>
          <w:rStyle w:val="FootnoteReference"/>
        </w:rPr>
        <w:footnoteRef/>
      </w:r>
      <w:r>
        <w:t xml:space="preserve"> Ribonucleic acid</w:t>
      </w:r>
    </w:p>
  </w:footnote>
  <w:footnote w:id="31">
    <w:p w:rsidR="00FF0F7C" w:rsidRPr="00F84207" w:rsidRDefault="00FF0F7C" w:rsidP="003D6141">
      <w:pPr>
        <w:pStyle w:val="FootnoteText"/>
        <w:jc w:val="both"/>
      </w:pPr>
      <w:r w:rsidRPr="00280DDF">
        <w:rPr>
          <w:vertAlign w:val="superscript"/>
        </w:rPr>
        <w:footnoteRef/>
      </w:r>
      <w:r>
        <w:t xml:space="preserve"> </w:t>
      </w:r>
      <w:r w:rsidRPr="00B53CDC">
        <w:rPr>
          <w:bCs/>
        </w:rPr>
        <w:t>Francisco J Iborra</w:t>
      </w:r>
      <w:r>
        <w:t xml:space="preserve"> et al.</w:t>
      </w:r>
      <w:r w:rsidRPr="00B53CDC">
        <w:t xml:space="preserve"> </w:t>
      </w:r>
      <w:r>
        <w:t>“</w:t>
      </w:r>
      <w:r w:rsidRPr="00F84207">
        <w:t>The functional organization of mitochondrial genomes in human cells</w:t>
      </w:r>
      <w:r>
        <w:t xml:space="preserve">” (2004) 2 </w:t>
      </w:r>
      <w:r w:rsidRPr="00B53CDC">
        <w:t xml:space="preserve">BMC Biology </w:t>
      </w:r>
      <w:r>
        <w:t>9 </w:t>
      </w:r>
    </w:p>
    <w:p w:rsidR="00FF0F7C" w:rsidRDefault="00FF0F7C" w:rsidP="003D6141">
      <w:pPr>
        <w:pStyle w:val="FootnoteText"/>
        <w:jc w:val="both"/>
      </w:pPr>
    </w:p>
  </w:footnote>
  <w:footnote w:id="32">
    <w:p w:rsidR="00FF0F7C" w:rsidRDefault="00FF0F7C" w:rsidP="00115E71">
      <w:pPr>
        <w:pStyle w:val="FootnoteText"/>
      </w:pPr>
      <w:r>
        <w:rPr>
          <w:rStyle w:val="FootnoteReference"/>
        </w:rPr>
        <w:footnoteRef/>
      </w:r>
      <w:r>
        <w:t xml:space="preserve"> CBD Article 2</w:t>
      </w:r>
    </w:p>
    <w:p w:rsidR="00FF0F7C" w:rsidRDefault="00FF0F7C" w:rsidP="00115E71">
      <w:pPr>
        <w:pStyle w:val="FootnoteText"/>
      </w:pPr>
    </w:p>
  </w:footnote>
  <w:footnote w:id="33">
    <w:p w:rsidR="00FF0F7C" w:rsidRDefault="00FF0F7C" w:rsidP="00115E71">
      <w:pPr>
        <w:pStyle w:val="FootnoteText"/>
      </w:pPr>
      <w:r>
        <w:rPr>
          <w:rStyle w:val="FootnoteReference"/>
        </w:rPr>
        <w:footnoteRef/>
      </w:r>
      <w:r>
        <w:t xml:space="preserve"> Correa (</w:t>
      </w:r>
      <w:r w:rsidRPr="00784B81">
        <w:t>n 26</w:t>
      </w:r>
      <w:r>
        <w:t>)</w:t>
      </w:r>
      <w:r w:rsidRPr="00855463">
        <w:t xml:space="preserve"> </w:t>
      </w:r>
    </w:p>
    <w:p w:rsidR="00FF0F7C" w:rsidRDefault="00FF0F7C" w:rsidP="00115E71">
      <w:pPr>
        <w:pStyle w:val="FootnoteText"/>
      </w:pPr>
    </w:p>
  </w:footnote>
  <w:footnote w:id="34">
    <w:p w:rsidR="00FF0F7C" w:rsidRDefault="00FF0F7C" w:rsidP="00115E71">
      <w:pPr>
        <w:pStyle w:val="FootnoteText"/>
        <w:jc w:val="both"/>
      </w:pPr>
      <w:r>
        <w:rPr>
          <w:rStyle w:val="FootnoteReference"/>
        </w:rPr>
        <w:footnoteRef/>
      </w:r>
      <w:r>
        <w:t xml:space="preserve"> See Christopher K Mathews, KE van Holde and Kevin G Ahern </w:t>
      </w:r>
      <w:r w:rsidRPr="00937F3C">
        <w:rPr>
          <w:i/>
        </w:rPr>
        <w:t>Biochemistry</w:t>
      </w:r>
      <w:r>
        <w:t xml:space="preserve"> (Benjamin Cummins, San Francisco, 2000), 875-1110</w:t>
      </w:r>
    </w:p>
    <w:p w:rsidR="00FF0F7C" w:rsidRDefault="00FF0F7C" w:rsidP="00115E71">
      <w:pPr>
        <w:pStyle w:val="FootnoteText"/>
      </w:pPr>
    </w:p>
  </w:footnote>
  <w:footnote w:id="35">
    <w:p w:rsidR="00FF0F7C" w:rsidRDefault="00FF0F7C">
      <w:pPr>
        <w:pStyle w:val="FootnoteText"/>
      </w:pPr>
      <w:r>
        <w:rPr>
          <w:rStyle w:val="FootnoteReference"/>
        </w:rPr>
        <w:footnoteRef/>
      </w:r>
      <w:r>
        <w:t xml:space="preserve"> Including (but certainly not limited to) CRISPR/Cas9 gene editing technology; See F Zhang, Y Wen, X Guo “CRISPR/Cas9 for gene editing: progress, implication and challenges” (2014 23 Human Molecular Genetics R40; PD Hsu, ES Lander, F Zhang “Development and applications of CRISPR for gene engineering (2014) 157(6) Cell 1262</w:t>
      </w:r>
    </w:p>
    <w:p w:rsidR="00FF0F7C" w:rsidRDefault="00FF0F7C">
      <w:pPr>
        <w:pStyle w:val="FootnoteText"/>
      </w:pPr>
    </w:p>
  </w:footnote>
  <w:footnote w:id="36">
    <w:p w:rsidR="00FF0F7C" w:rsidRDefault="00FF0F7C" w:rsidP="00115E71">
      <w:pPr>
        <w:pStyle w:val="FootnoteText"/>
        <w:jc w:val="both"/>
      </w:pPr>
      <w:r>
        <w:rPr>
          <w:rStyle w:val="FootnoteReference"/>
        </w:rPr>
        <w:footnoteRef/>
      </w:r>
      <w:r>
        <w:t xml:space="preserve"> EC </w:t>
      </w:r>
      <w:r w:rsidRPr="00324A23">
        <w:t>Kamau,</w:t>
      </w:r>
      <w:r>
        <w:t xml:space="preserve"> B </w:t>
      </w:r>
      <w:r w:rsidRPr="00324A23">
        <w:t>Fedder</w:t>
      </w:r>
      <w:r>
        <w:t>,</w:t>
      </w:r>
      <w:r w:rsidRPr="00324A23">
        <w:t xml:space="preserve"> and </w:t>
      </w:r>
      <w:r>
        <w:t xml:space="preserve">G </w:t>
      </w:r>
      <w:r w:rsidRPr="00324A23">
        <w:t>Winter</w:t>
      </w:r>
      <w:r>
        <w:t xml:space="preserve">, “The </w:t>
      </w:r>
      <w:r w:rsidRPr="00324A23">
        <w:t>Protocol on Access to Genetic Resources and Benefit Sharing: What is New and what are the Implications for Provider and User Countrie</w:t>
      </w:r>
      <w:r>
        <w:t>s and the Scientific Community?” (2010) 6(3)</w:t>
      </w:r>
      <w:r w:rsidRPr="00324A23">
        <w:t xml:space="preserve"> </w:t>
      </w:r>
      <w:r w:rsidRPr="009B3E84">
        <w:rPr>
          <w:iCs/>
        </w:rPr>
        <w:t>Law, Environment and Development Journal</w:t>
      </w:r>
      <w:r w:rsidRPr="00324A23">
        <w:t xml:space="preserve"> 246</w:t>
      </w:r>
      <w:r>
        <w:t>, 251; Correa (n 26</w:t>
      </w:r>
      <w:r w:rsidRPr="00FE4B2D">
        <w:t xml:space="preserve">), </w:t>
      </w:r>
      <w:r w:rsidRPr="00FE4B2D">
        <w:rPr>
          <w:bCs/>
        </w:rPr>
        <w:t>14</w:t>
      </w:r>
      <w:r>
        <w:rPr>
          <w:bCs/>
        </w:rPr>
        <w:t xml:space="preserve">; </w:t>
      </w:r>
      <w:r>
        <w:t xml:space="preserve">Elisa Morgera, Elsa Tsioumani and Matthias Buck, </w:t>
      </w:r>
      <w:r w:rsidRPr="00420E4D">
        <w:rPr>
          <w:i/>
        </w:rPr>
        <w:t xml:space="preserve">Unravelling the  Protocol: A Commentary on the  Protocol on Access and Benefit Sharing </w:t>
      </w:r>
      <w:r>
        <w:rPr>
          <w:i/>
        </w:rPr>
        <w:t>t</w:t>
      </w:r>
      <w:r w:rsidRPr="00420E4D">
        <w:rPr>
          <w:i/>
        </w:rPr>
        <w:t>o the Convention on Biological Diversity</w:t>
      </w:r>
      <w:r>
        <w:t xml:space="preserve"> (Brill/Nijhoff, Leiden 2014), 66; </w:t>
      </w:r>
      <w:r w:rsidRPr="00420E4D">
        <w:t>Greiber</w:t>
      </w:r>
      <w:r>
        <w:t xml:space="preserve"> </w:t>
      </w:r>
      <w:r w:rsidRPr="00E62FC1">
        <w:t xml:space="preserve">(n </w:t>
      </w:r>
      <w:r>
        <w:t>28), 63</w:t>
      </w:r>
    </w:p>
    <w:p w:rsidR="00FF0F7C" w:rsidRDefault="00FF0F7C" w:rsidP="00115E71">
      <w:pPr>
        <w:pStyle w:val="FootnoteText"/>
        <w:jc w:val="both"/>
      </w:pPr>
    </w:p>
  </w:footnote>
  <w:footnote w:id="37">
    <w:p w:rsidR="00FF0F7C" w:rsidRDefault="00FF0F7C" w:rsidP="00115E71">
      <w:pPr>
        <w:pStyle w:val="FootnoteText"/>
        <w:jc w:val="both"/>
      </w:pPr>
      <w:r>
        <w:rPr>
          <w:rStyle w:val="FootnoteReference"/>
        </w:rPr>
        <w:footnoteRef/>
      </w:r>
      <w:r>
        <w:t xml:space="preserve"> </w:t>
      </w:r>
      <w:r w:rsidRPr="00AD16EC">
        <w:t>C</w:t>
      </w:r>
      <w:r>
        <w:t>atherine</w:t>
      </w:r>
      <w:r w:rsidRPr="00AD16EC">
        <w:t xml:space="preserve"> </w:t>
      </w:r>
      <w:r>
        <w:t>Aubertin and</w:t>
      </w:r>
      <w:r w:rsidRPr="00AD16EC">
        <w:t xml:space="preserve"> </w:t>
      </w:r>
      <w:r>
        <w:t>Geoffroy</w:t>
      </w:r>
      <w:r w:rsidRPr="00AD16EC">
        <w:t xml:space="preserve"> Filoche “</w:t>
      </w:r>
      <w:r w:rsidRPr="00AD16EC">
        <w:rPr>
          <w:lang w:val="fr-FR"/>
        </w:rPr>
        <w:t xml:space="preserve">The  Protocol </w:t>
      </w:r>
      <w:r>
        <w:rPr>
          <w:lang w:val="fr-FR"/>
        </w:rPr>
        <w:t>on the use of genetic resources</w:t>
      </w:r>
      <w:r w:rsidRPr="00AD16EC">
        <w:rPr>
          <w:lang w:val="fr-FR"/>
        </w:rPr>
        <w:t>: one embodiment of an endless discussion</w:t>
      </w:r>
      <w:r>
        <w:t>”</w:t>
      </w:r>
      <w:r>
        <w:rPr>
          <w:lang w:val="fr-FR"/>
        </w:rPr>
        <w:t xml:space="preserve"> </w:t>
      </w:r>
      <w:r>
        <w:t xml:space="preserve">(2011) </w:t>
      </w:r>
      <w:r w:rsidRPr="00AD16EC">
        <w:t>2(1) Sustentabilidade em Debate – Brasília 51</w:t>
      </w:r>
    </w:p>
    <w:p w:rsidR="00FF0F7C" w:rsidRPr="00AD16EC" w:rsidRDefault="00FF0F7C" w:rsidP="00115E71">
      <w:pPr>
        <w:pStyle w:val="FootnoteText"/>
      </w:pPr>
    </w:p>
  </w:footnote>
  <w:footnote w:id="38">
    <w:p w:rsidR="00FF0F7C" w:rsidRDefault="00FF0F7C" w:rsidP="00115E71">
      <w:pPr>
        <w:pStyle w:val="FootnoteText"/>
        <w:jc w:val="both"/>
      </w:pPr>
      <w:r>
        <w:rPr>
          <w:rStyle w:val="FootnoteReference"/>
        </w:rPr>
        <w:footnoteRef/>
      </w:r>
      <w:r>
        <w:t xml:space="preserve"> Correa (n 26)</w:t>
      </w:r>
      <w:r w:rsidRPr="008C1383">
        <w:t>, 14</w:t>
      </w:r>
    </w:p>
    <w:p w:rsidR="00FF0F7C" w:rsidRDefault="00FF0F7C" w:rsidP="00115E71">
      <w:pPr>
        <w:pStyle w:val="FootnoteText"/>
        <w:jc w:val="both"/>
      </w:pPr>
    </w:p>
  </w:footnote>
  <w:footnote w:id="39">
    <w:p w:rsidR="00FF0F7C" w:rsidRDefault="00FF0F7C" w:rsidP="00115E71">
      <w:pPr>
        <w:pStyle w:val="FootnoteText"/>
        <w:jc w:val="both"/>
      </w:pPr>
      <w:r>
        <w:rPr>
          <w:rStyle w:val="FootnoteReference"/>
        </w:rPr>
        <w:footnoteRef/>
      </w:r>
      <w:r w:rsidRPr="00420E4D">
        <w:t xml:space="preserve"> </w:t>
      </w:r>
      <w:r>
        <w:t xml:space="preserve">Greiber (n </w:t>
      </w:r>
      <w:r w:rsidRPr="00784B81">
        <w:t>28</w:t>
      </w:r>
      <w:r w:rsidRPr="00FE4B2D">
        <w:t>), 63</w:t>
      </w:r>
    </w:p>
    <w:p w:rsidR="00FF0F7C" w:rsidRDefault="00FF0F7C" w:rsidP="00115E71">
      <w:pPr>
        <w:pStyle w:val="FootnoteText"/>
        <w:jc w:val="both"/>
      </w:pPr>
    </w:p>
  </w:footnote>
  <w:footnote w:id="40">
    <w:p w:rsidR="00FF0F7C" w:rsidRDefault="00FF0F7C" w:rsidP="00115E71">
      <w:pPr>
        <w:pStyle w:val="FootnoteText"/>
        <w:jc w:val="both"/>
      </w:pPr>
      <w:r>
        <w:rPr>
          <w:rStyle w:val="FootnoteReference"/>
        </w:rPr>
        <w:footnoteRef/>
      </w:r>
      <w:r>
        <w:t xml:space="preserve"> Article 3 of the Protocol</w:t>
      </w:r>
    </w:p>
    <w:p w:rsidR="00FF0F7C" w:rsidRDefault="00FF0F7C" w:rsidP="00115E71">
      <w:pPr>
        <w:pStyle w:val="FootnoteText"/>
      </w:pPr>
    </w:p>
  </w:footnote>
  <w:footnote w:id="41">
    <w:p w:rsidR="00FF0F7C" w:rsidRDefault="00FF0F7C" w:rsidP="00115E71">
      <w:pPr>
        <w:pStyle w:val="FootnoteText"/>
        <w:jc w:val="both"/>
      </w:pPr>
      <w:r>
        <w:rPr>
          <w:rStyle w:val="FootnoteReference"/>
        </w:rPr>
        <w:footnoteRef/>
      </w:r>
      <w:r>
        <w:t xml:space="preserve"> See Mathews (n 34), 1075: Arthur M Lesk, </w:t>
      </w:r>
      <w:r w:rsidRPr="002B086F">
        <w:rPr>
          <w:i/>
        </w:rPr>
        <w:t>Introduction to Genomics</w:t>
      </w:r>
      <w:r>
        <w:t xml:space="preserve"> (Oxford University Press, Oxford 2012), 10</w:t>
      </w:r>
    </w:p>
    <w:p w:rsidR="00FF0F7C" w:rsidRDefault="00FF0F7C" w:rsidP="00115E71">
      <w:pPr>
        <w:pStyle w:val="FootnoteText"/>
        <w:jc w:val="both"/>
      </w:pPr>
    </w:p>
  </w:footnote>
  <w:footnote w:id="42">
    <w:p w:rsidR="00FF0F7C" w:rsidRDefault="00FF0F7C">
      <w:pPr>
        <w:pStyle w:val="FootnoteText"/>
      </w:pPr>
      <w:r>
        <w:rPr>
          <w:rStyle w:val="FootnoteReference"/>
        </w:rPr>
        <w:footnoteRef/>
      </w:r>
      <w:r>
        <w:t xml:space="preserve"> T. Kouzarides, “</w:t>
      </w:r>
      <w:r w:rsidRPr="00292621">
        <w:t>Chromatin modifications and their function</w:t>
      </w:r>
      <w:r>
        <w:t>” (2007) 128 Cell 693; T Jenuwein and CD Allis, “</w:t>
      </w:r>
      <w:r w:rsidRPr="00292621">
        <w:t>Translating the histone code</w:t>
      </w:r>
      <w:r>
        <w:t>” (2001) 293 Science 1074</w:t>
      </w:r>
    </w:p>
    <w:p w:rsidR="00FF0F7C" w:rsidRDefault="00FF0F7C">
      <w:pPr>
        <w:pStyle w:val="FootnoteText"/>
      </w:pPr>
    </w:p>
  </w:footnote>
  <w:footnote w:id="43">
    <w:p w:rsidR="00FF0F7C" w:rsidRDefault="00FF0F7C">
      <w:pPr>
        <w:pStyle w:val="FootnoteText"/>
      </w:pPr>
      <w:r>
        <w:rPr>
          <w:rStyle w:val="FootnoteReference"/>
        </w:rPr>
        <w:footnoteRef/>
      </w:r>
      <w:r>
        <w:t xml:space="preserve">  J D  Lewis </w:t>
      </w:r>
      <w:r w:rsidRPr="00B071DB">
        <w:t>et al.</w:t>
      </w:r>
      <w:r>
        <w:t xml:space="preserve"> “</w:t>
      </w:r>
      <w:r w:rsidRPr="00F61998">
        <w:t>Purification, sequence, and cellular localization of a novel chromosomal protein that binds to Methylated DNA”</w:t>
      </w:r>
      <w:r>
        <w:rPr>
          <w:rStyle w:val="title-text"/>
          <w:color w:val="505050"/>
          <w:sz w:val="27"/>
          <w:szCs w:val="27"/>
        </w:rPr>
        <w:t xml:space="preserve"> </w:t>
      </w:r>
      <w:r>
        <w:t xml:space="preserve">(1992) 69 Cell 905; X Nan </w:t>
      </w:r>
      <w:r w:rsidRPr="00B071DB">
        <w:t>et al.</w:t>
      </w:r>
      <w:r>
        <w:t xml:space="preserve"> “</w:t>
      </w:r>
      <w:r w:rsidRPr="00F61998">
        <w:t>Transcriptional repression by the methyl-CpG-binding protein MeCP2 involves a histone deacetylase complex</w:t>
      </w:r>
      <w:r>
        <w:t>” (1998) 393 Nature 386; NL Adkins and PT Georgel “MeCP2: Structure and Function” (2011) 89 Biochem Cell Biol 1</w:t>
      </w:r>
    </w:p>
    <w:p w:rsidR="00FF0F7C" w:rsidRDefault="00FF0F7C">
      <w:pPr>
        <w:pStyle w:val="FootnoteText"/>
      </w:pPr>
    </w:p>
  </w:footnote>
  <w:footnote w:id="44">
    <w:p w:rsidR="00FF0F7C" w:rsidRDefault="00FF0F7C" w:rsidP="00115E71">
      <w:pPr>
        <w:pStyle w:val="FootnoteText"/>
        <w:jc w:val="both"/>
        <w:rPr>
          <w:rStyle w:val="citation"/>
        </w:rPr>
      </w:pPr>
      <w:r>
        <w:rPr>
          <w:rStyle w:val="FootnoteReference"/>
        </w:rPr>
        <w:footnoteRef/>
      </w:r>
      <w:r>
        <w:t xml:space="preserve"> Adrian </w:t>
      </w:r>
      <w:r>
        <w:rPr>
          <w:rStyle w:val="citation"/>
        </w:rPr>
        <w:t xml:space="preserve">Bird, “Perceptions of epigenetics” (2007) 447 Nature 396; Gary Felsenfeld, “A Brief History of Epigenetics” in C David Allis et al. (eds) </w:t>
      </w:r>
      <w:r w:rsidRPr="00AD112C">
        <w:rPr>
          <w:rStyle w:val="citation"/>
          <w:i/>
        </w:rPr>
        <w:t>Epigenetics</w:t>
      </w:r>
      <w:r>
        <w:rPr>
          <w:rStyle w:val="citation"/>
        </w:rPr>
        <w:t xml:space="preserve"> (Cold Spring Harbor Laboratory Press, New York 2007), 15; Nessa Carey, </w:t>
      </w:r>
      <w:r w:rsidRPr="00B47846">
        <w:rPr>
          <w:rStyle w:val="citation"/>
          <w:i/>
        </w:rPr>
        <w:t>The epigenetics revolution. How modern biology is rewriting our understanding of genetics, disease and inheritance</w:t>
      </w:r>
      <w:r>
        <w:rPr>
          <w:rStyle w:val="citation"/>
        </w:rPr>
        <w:t xml:space="preserve"> (Icon Books, London 2012), 178</w:t>
      </w:r>
    </w:p>
    <w:p w:rsidR="00FF0F7C" w:rsidRDefault="00FF0F7C" w:rsidP="00115E71">
      <w:pPr>
        <w:pStyle w:val="FootnoteText"/>
        <w:jc w:val="both"/>
      </w:pPr>
    </w:p>
  </w:footnote>
  <w:footnote w:id="45">
    <w:p w:rsidR="00FF0F7C" w:rsidRPr="00583173" w:rsidRDefault="00FF0F7C" w:rsidP="00115E71">
      <w:pPr>
        <w:pStyle w:val="FootnoteText"/>
        <w:jc w:val="both"/>
      </w:pPr>
      <w:r>
        <w:rPr>
          <w:rStyle w:val="FootnoteReference"/>
        </w:rPr>
        <w:footnoteRef/>
      </w:r>
      <w:r>
        <w:t xml:space="preserve"> This approach is consistent with the </w:t>
      </w:r>
      <w:r w:rsidRPr="00B50527">
        <w:t>rule of interpretation</w:t>
      </w:r>
      <w:r>
        <w:t xml:space="preserve"> set out in Article 31(1) of the 1969 Vienna Convention on the Law o</w:t>
      </w:r>
      <w:r w:rsidRPr="00F72A8D">
        <w:t xml:space="preserve">f Treaties </w:t>
      </w:r>
      <w:r>
        <w:t>namely: “</w:t>
      </w:r>
      <w:r w:rsidRPr="00B50527">
        <w:t>A treaty shall be interpreted in good faith in accordance with the ordinary meaning to be given to the terms of the treaty in their context and in the light of its object and purpose</w:t>
      </w:r>
      <w:r>
        <w:t>”</w:t>
      </w:r>
      <w:r w:rsidRPr="00B50527">
        <w:t>.</w:t>
      </w:r>
    </w:p>
    <w:p w:rsidR="00FF0F7C" w:rsidRDefault="00FF0F7C" w:rsidP="00115E71">
      <w:pPr>
        <w:pStyle w:val="FootnoteText"/>
      </w:pPr>
    </w:p>
  </w:footnote>
  <w:footnote w:id="46">
    <w:p w:rsidR="00FF0F7C" w:rsidRDefault="00FF0F7C" w:rsidP="00115E71">
      <w:pPr>
        <w:pStyle w:val="FootnoteText"/>
        <w:jc w:val="both"/>
      </w:pPr>
      <w:r>
        <w:rPr>
          <w:rStyle w:val="FootnoteReference"/>
        </w:rPr>
        <w:footnoteRef/>
      </w:r>
      <w:r>
        <w:t xml:space="preserve"> Correa (n 26)</w:t>
      </w:r>
      <w:r w:rsidRPr="008C1383">
        <w:t>, 14</w:t>
      </w:r>
    </w:p>
    <w:p w:rsidR="00FF0F7C" w:rsidRDefault="00FF0F7C" w:rsidP="00115E71">
      <w:pPr>
        <w:pStyle w:val="FootnoteText"/>
        <w:jc w:val="both"/>
      </w:pPr>
    </w:p>
  </w:footnote>
  <w:footnote w:id="47">
    <w:p w:rsidR="00FF0F7C" w:rsidRDefault="00FF0F7C" w:rsidP="00115E71">
      <w:pPr>
        <w:pStyle w:val="FootnoteText"/>
        <w:jc w:val="both"/>
      </w:pPr>
      <w:r>
        <w:rPr>
          <w:rStyle w:val="FootnoteReference"/>
        </w:rPr>
        <w:footnoteRef/>
      </w:r>
      <w:r>
        <w:t xml:space="preserve"> </w:t>
      </w:r>
      <w:r w:rsidRPr="00855463">
        <w:rPr>
          <w:color w:val="231F20"/>
        </w:rPr>
        <w:t xml:space="preserve">Report of the Meeting of the Group of Legal and Technical Experts on Concepts, Terms, Working Definitions </w:t>
      </w:r>
      <w:r>
        <w:rPr>
          <w:color w:val="231F20"/>
        </w:rPr>
        <w:t>and Sectoral Approaches, UN Doc</w:t>
      </w:r>
      <w:r w:rsidRPr="00855463">
        <w:rPr>
          <w:color w:val="231F20"/>
        </w:rPr>
        <w:t xml:space="preserve"> UNEP/CBD/WG-ABS/7/2 (</w:t>
      </w:r>
      <w:r>
        <w:t xml:space="preserve">12 December </w:t>
      </w:r>
      <w:r w:rsidRPr="00855463">
        <w:rPr>
          <w:color w:val="231F20"/>
        </w:rPr>
        <w:t>2008)</w:t>
      </w:r>
      <w:r>
        <w:rPr>
          <w:color w:val="231F20"/>
        </w:rPr>
        <w:t xml:space="preserve"> </w:t>
      </w:r>
      <w:hyperlink r:id="rId7" w:history="1">
        <w:r w:rsidRPr="00D503E1">
          <w:rPr>
            <w:rStyle w:val="Hyperlink"/>
            <w:color w:val="auto"/>
            <w:u w:val="none"/>
          </w:rPr>
          <w:t>https://www.cbd.int/doc/meetings/abs/abswg-07/official/abswg-07-02-en.pdf</w:t>
        </w:r>
      </w:hyperlink>
      <w:r>
        <w:t xml:space="preserve"> (Accessed November 2018): See also discussion by </w:t>
      </w:r>
      <w:r w:rsidRPr="00E62FC1">
        <w:rPr>
          <w:color w:val="231F20"/>
        </w:rPr>
        <w:t>EC Kamau, B Fedder, and G Winter, “The Protocol on Access to Genetic Resources and Benefit Sharing: What is New and what are the Implications for Provider and User Countries and the Scientific Community?” (2010) 6(3) Law, Environment and Development Journal 246, 251</w:t>
      </w:r>
    </w:p>
    <w:p w:rsidR="00FF0F7C" w:rsidRDefault="00FF0F7C" w:rsidP="00115E71">
      <w:pPr>
        <w:pStyle w:val="FootnoteText"/>
        <w:jc w:val="both"/>
      </w:pPr>
    </w:p>
  </w:footnote>
  <w:footnote w:id="48">
    <w:p w:rsidR="00FF0F7C" w:rsidRDefault="00FF0F7C">
      <w:pPr>
        <w:pStyle w:val="FootnoteText"/>
        <w:rPr>
          <w:color w:val="000000"/>
        </w:rPr>
      </w:pPr>
      <w:r>
        <w:rPr>
          <w:rStyle w:val="FootnoteReference"/>
        </w:rPr>
        <w:footnoteRef/>
      </w:r>
      <w:r>
        <w:t xml:space="preserve"> Commission </w:t>
      </w:r>
      <w:r>
        <w:rPr>
          <w:color w:val="000000"/>
        </w:rPr>
        <w:t>Notice 2016/C313/01 para 2.3.3</w:t>
      </w:r>
    </w:p>
    <w:p w:rsidR="00FF0F7C" w:rsidRDefault="00FF0F7C">
      <w:pPr>
        <w:pStyle w:val="FootnoteText"/>
      </w:pPr>
    </w:p>
  </w:footnote>
  <w:footnote w:id="49">
    <w:p w:rsidR="00FF0F7C" w:rsidRDefault="00FF0F7C">
      <w:pPr>
        <w:pStyle w:val="FootnoteText"/>
        <w:rPr>
          <w:color w:val="000000"/>
        </w:rPr>
      </w:pPr>
      <w:r>
        <w:rPr>
          <w:rStyle w:val="FootnoteReference"/>
        </w:rPr>
        <w:footnoteRef/>
      </w:r>
      <w:r>
        <w:t xml:space="preserve"> Ibid.</w:t>
      </w:r>
    </w:p>
    <w:p w:rsidR="00FF0F7C" w:rsidRDefault="00FF0F7C">
      <w:pPr>
        <w:pStyle w:val="FootnoteText"/>
      </w:pPr>
    </w:p>
  </w:footnote>
  <w:footnote w:id="50">
    <w:p w:rsidR="00FF0F7C" w:rsidRDefault="00FF0F7C">
      <w:pPr>
        <w:pStyle w:val="FootnoteText"/>
        <w:rPr>
          <w:color w:val="000000"/>
        </w:rPr>
      </w:pPr>
      <w:r>
        <w:rPr>
          <w:rStyle w:val="FootnoteReference"/>
        </w:rPr>
        <w:footnoteRef/>
      </w:r>
      <w:r>
        <w:t xml:space="preserve"> Ibid.</w:t>
      </w:r>
    </w:p>
    <w:p w:rsidR="00FF0F7C" w:rsidRDefault="00FF0F7C">
      <w:pPr>
        <w:pStyle w:val="FootnoteText"/>
      </w:pPr>
    </w:p>
  </w:footnote>
  <w:footnote w:id="51">
    <w:p w:rsidR="00FF0F7C" w:rsidRDefault="00FF0F7C">
      <w:pPr>
        <w:pStyle w:val="FootnoteText"/>
      </w:pPr>
      <w:r>
        <w:rPr>
          <w:rStyle w:val="FootnoteReference"/>
        </w:rPr>
        <w:footnoteRef/>
      </w:r>
      <w:r>
        <w:t xml:space="preserve"> Indeed this was a major concern of industry actors during the consultation period of the Commission Notice (see Elisa Morgera and Miranda Geelhoed, Consultancy on the Notion of “Utilisation” in the Nagoya Protocol and the EU ABS Regulation for the Upstream Actors” </w:t>
      </w:r>
      <w:hyperlink r:id="rId8" w:history="1">
        <w:r w:rsidRPr="00F35DAA">
          <w:rPr>
            <w:rStyle w:val="Hyperlink"/>
            <w:color w:val="auto"/>
            <w:u w:val="none"/>
          </w:rPr>
          <w:t>http://ec.europa.eu/environment/nature/biodiversity/international/abs/pdf/ABS%20Final%20Report%20upstream%20users.pdf</w:t>
        </w:r>
      </w:hyperlink>
      <w:r>
        <w:t xml:space="preserve"> ( Accessed November 2018))</w:t>
      </w:r>
    </w:p>
    <w:p w:rsidR="00FF0F7C" w:rsidRDefault="00FF0F7C">
      <w:pPr>
        <w:pStyle w:val="FootnoteText"/>
      </w:pPr>
    </w:p>
  </w:footnote>
  <w:footnote w:id="52">
    <w:p w:rsidR="00FF0F7C" w:rsidRDefault="00FF0F7C" w:rsidP="00E5668E">
      <w:pPr>
        <w:pStyle w:val="FootnoteText"/>
      </w:pPr>
      <w:r>
        <w:rPr>
          <w:rStyle w:val="FootnoteReference"/>
        </w:rPr>
        <w:footnoteRef/>
      </w:r>
      <w:r>
        <w:t xml:space="preserve"> Commission </w:t>
      </w:r>
      <w:r>
        <w:rPr>
          <w:color w:val="000000"/>
        </w:rPr>
        <w:t>Notice (n 48) para 2.3.3</w:t>
      </w:r>
    </w:p>
    <w:p w:rsidR="00FF0F7C" w:rsidRDefault="00FF0F7C">
      <w:pPr>
        <w:pStyle w:val="FootnoteText"/>
      </w:pPr>
    </w:p>
  </w:footnote>
  <w:footnote w:id="53">
    <w:p w:rsidR="00FF0F7C" w:rsidRDefault="00FF0F7C" w:rsidP="00115E71">
      <w:pPr>
        <w:pStyle w:val="FootnoteText"/>
      </w:pPr>
      <w:r w:rsidRPr="003611C4">
        <w:rPr>
          <w:rStyle w:val="FootnoteReference"/>
        </w:rPr>
        <w:footnoteRef/>
      </w:r>
      <w:r w:rsidRPr="003611C4">
        <w:t xml:space="preserve"> Morgera, </w:t>
      </w:r>
      <w:r w:rsidRPr="003611C4">
        <w:rPr>
          <w:i/>
        </w:rPr>
        <w:t xml:space="preserve">Unravelling the  Protocol </w:t>
      </w:r>
      <w:r>
        <w:t>(n 36</w:t>
      </w:r>
      <w:r w:rsidRPr="003611C4">
        <w:t>), 65</w:t>
      </w:r>
    </w:p>
    <w:p w:rsidR="00FF0F7C" w:rsidRDefault="00FF0F7C" w:rsidP="00115E71">
      <w:pPr>
        <w:pStyle w:val="FootnoteText"/>
      </w:pPr>
    </w:p>
  </w:footnote>
  <w:footnote w:id="54">
    <w:p w:rsidR="00FF0F7C" w:rsidRDefault="00FF0F7C" w:rsidP="00115E71">
      <w:pPr>
        <w:pStyle w:val="FootnoteText"/>
      </w:pPr>
      <w:r>
        <w:rPr>
          <w:rStyle w:val="FootnoteReference"/>
        </w:rPr>
        <w:footnoteRef/>
      </w:r>
      <w:r>
        <w:t xml:space="preserve"> Dutfield, </w:t>
      </w:r>
      <w:r w:rsidRPr="00153279">
        <w:rPr>
          <w:i/>
        </w:rPr>
        <w:t xml:space="preserve">Intellectual Property, </w:t>
      </w:r>
      <w:r>
        <w:rPr>
          <w:i/>
        </w:rPr>
        <w:t>Biog</w:t>
      </w:r>
      <w:r w:rsidRPr="00153279">
        <w:rPr>
          <w:i/>
        </w:rPr>
        <w:t>enetic Resources and Traditional Knowledge</w:t>
      </w:r>
      <w:r>
        <w:t xml:space="preserve"> ( n 12), 14</w:t>
      </w:r>
    </w:p>
    <w:p w:rsidR="00FF0F7C" w:rsidRDefault="00FF0F7C" w:rsidP="00115E71">
      <w:pPr>
        <w:pStyle w:val="FootnoteText"/>
      </w:pPr>
    </w:p>
  </w:footnote>
  <w:footnote w:id="55">
    <w:p w:rsidR="00FF0F7C" w:rsidRDefault="00FF0F7C" w:rsidP="00115E71">
      <w:pPr>
        <w:pStyle w:val="FootnoteText"/>
      </w:pPr>
      <w:r>
        <w:rPr>
          <w:rStyle w:val="FootnoteReference"/>
        </w:rPr>
        <w:footnoteRef/>
      </w:r>
      <w:r>
        <w:t xml:space="preserve"> Protocol Article  2</w:t>
      </w:r>
    </w:p>
    <w:p w:rsidR="00FF0F7C" w:rsidRDefault="00FF0F7C" w:rsidP="00115E71">
      <w:pPr>
        <w:pStyle w:val="FootnoteText"/>
      </w:pPr>
      <w:r>
        <w:t xml:space="preserve"> </w:t>
      </w:r>
    </w:p>
  </w:footnote>
  <w:footnote w:id="56">
    <w:p w:rsidR="00FF0F7C" w:rsidRDefault="00FF0F7C" w:rsidP="00115E71">
      <w:pPr>
        <w:pStyle w:val="FootnoteText"/>
      </w:pPr>
      <w:r>
        <w:rPr>
          <w:rStyle w:val="FootnoteReference"/>
        </w:rPr>
        <w:footnoteRef/>
      </w:r>
      <w:r>
        <w:t xml:space="preserve"> Article 3(i) (a), </w:t>
      </w:r>
      <w:r w:rsidRPr="00CB1E94">
        <w:t>Cartagena Protocol on Biosafety to the Convention on Biological Diversity</w:t>
      </w:r>
    </w:p>
    <w:p w:rsidR="00FF0F7C" w:rsidRDefault="00FF0F7C" w:rsidP="00115E71">
      <w:pPr>
        <w:pStyle w:val="FootnoteText"/>
      </w:pPr>
    </w:p>
  </w:footnote>
  <w:footnote w:id="57">
    <w:p w:rsidR="00FF0F7C" w:rsidRDefault="00FF0F7C" w:rsidP="008D4DC9">
      <w:pPr>
        <w:pStyle w:val="FootnoteText"/>
      </w:pPr>
      <w:r>
        <w:rPr>
          <w:rStyle w:val="FootnoteReference"/>
        </w:rPr>
        <w:footnoteRef/>
      </w:r>
      <w:r>
        <w:t xml:space="preserve"> Ibid.</w:t>
      </w:r>
    </w:p>
    <w:p w:rsidR="00FF0F7C" w:rsidRDefault="00FF0F7C" w:rsidP="00115E71">
      <w:pPr>
        <w:pStyle w:val="FootnoteText"/>
      </w:pPr>
    </w:p>
  </w:footnote>
  <w:footnote w:id="58">
    <w:p w:rsidR="00FF0F7C" w:rsidRDefault="00FF0F7C" w:rsidP="00115E71">
      <w:pPr>
        <w:pStyle w:val="FootnoteText"/>
        <w:rPr>
          <w:rStyle w:val="citation"/>
        </w:rPr>
      </w:pPr>
      <w:r>
        <w:rPr>
          <w:rStyle w:val="FootnoteReference"/>
        </w:rPr>
        <w:footnoteRef/>
      </w:r>
      <w:r>
        <w:t xml:space="preserve"> César </w:t>
      </w:r>
      <w:r>
        <w:rPr>
          <w:rStyle w:val="citation"/>
        </w:rPr>
        <w:t xml:space="preserve">Milstein, “The hybridoma revolution: an offshoot of basic research" (1999) </w:t>
      </w:r>
      <w:r w:rsidRPr="002A772B">
        <w:rPr>
          <w:rStyle w:val="citation"/>
          <w:bCs/>
        </w:rPr>
        <w:t>21</w:t>
      </w:r>
      <w:r>
        <w:rPr>
          <w:rStyle w:val="citation"/>
        </w:rPr>
        <w:t xml:space="preserve"> (11) </w:t>
      </w:r>
      <w:r>
        <w:rPr>
          <w:rStyle w:val="citation"/>
          <w:i/>
          <w:iCs/>
        </w:rPr>
        <w:t xml:space="preserve">BioEssays </w:t>
      </w:r>
      <w:r>
        <w:rPr>
          <w:rStyle w:val="citation"/>
        </w:rPr>
        <w:t xml:space="preserve"> 966</w:t>
      </w:r>
    </w:p>
    <w:p w:rsidR="00FF0F7C" w:rsidRDefault="00FF0F7C" w:rsidP="00115E71">
      <w:pPr>
        <w:pStyle w:val="FootnoteText"/>
      </w:pPr>
    </w:p>
  </w:footnote>
  <w:footnote w:id="59">
    <w:p w:rsidR="00FF0F7C" w:rsidRDefault="00FF0F7C" w:rsidP="008D4DC9">
      <w:pPr>
        <w:pStyle w:val="FootnoteText"/>
      </w:pPr>
      <w:r>
        <w:rPr>
          <w:rStyle w:val="FootnoteReference"/>
        </w:rPr>
        <w:footnoteRef/>
      </w:r>
      <w:r>
        <w:t xml:space="preserve"> Article 3(i), </w:t>
      </w:r>
      <w:r w:rsidRPr="00CB1E94">
        <w:t>Cartagena Protocol on Biosafety on Biosafety to the Convention on Biological Diversity</w:t>
      </w:r>
    </w:p>
    <w:p w:rsidR="00FF0F7C" w:rsidRDefault="00FF0F7C" w:rsidP="00115E71">
      <w:pPr>
        <w:pStyle w:val="FootnoteText"/>
        <w:jc w:val="both"/>
      </w:pPr>
    </w:p>
  </w:footnote>
  <w:footnote w:id="60">
    <w:p w:rsidR="00FF0F7C" w:rsidRDefault="00FF0F7C" w:rsidP="00115E71">
      <w:pPr>
        <w:pStyle w:val="FootnoteText"/>
        <w:jc w:val="both"/>
      </w:pPr>
      <w:r>
        <w:rPr>
          <w:rStyle w:val="FootnoteReference"/>
        </w:rPr>
        <w:footnoteRef/>
      </w:r>
      <w:r>
        <w:t xml:space="preserve"> Indeed the presence of a narrower definition for “Modern Biotechnology” within the </w:t>
      </w:r>
      <w:r w:rsidRPr="00CB1E94">
        <w:t>Cartagena Protocol on Biosafety to the Convention on Biological Diversity</w:t>
      </w:r>
      <w:r>
        <w:t xml:space="preserve"> supports a broader interpretation for “biotechnology” within the CBD and Protocol.</w:t>
      </w:r>
    </w:p>
    <w:p w:rsidR="00FF0F7C" w:rsidRDefault="00FF0F7C" w:rsidP="00115E71">
      <w:pPr>
        <w:pStyle w:val="FootnoteText"/>
        <w:jc w:val="both"/>
      </w:pPr>
    </w:p>
  </w:footnote>
  <w:footnote w:id="61">
    <w:p w:rsidR="00FF0F7C" w:rsidRDefault="00FF0F7C" w:rsidP="00115E71">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2B3271">
        <w:rPr>
          <w:rFonts w:ascii="Times New Roman" w:hAnsi="Times New Roman" w:cs="Times New Roman"/>
          <w:sz w:val="20"/>
          <w:szCs w:val="20"/>
        </w:rPr>
        <w:t>D Riesenberg</w:t>
      </w:r>
      <w:r>
        <w:rPr>
          <w:rFonts w:ascii="Times New Roman" w:hAnsi="Times New Roman" w:cs="Times New Roman"/>
          <w:sz w:val="20"/>
          <w:szCs w:val="20"/>
        </w:rPr>
        <w:t xml:space="preserve"> et al., “</w:t>
      </w:r>
      <w:r w:rsidRPr="002B3271">
        <w:rPr>
          <w:rFonts w:ascii="Times New Roman" w:hAnsi="Times New Roman" w:cs="Times New Roman"/>
          <w:sz w:val="20"/>
          <w:szCs w:val="20"/>
        </w:rPr>
        <w:t xml:space="preserve">High cell density fermentation of recombinant </w:t>
      </w:r>
      <w:r w:rsidRPr="00BD3CAE">
        <w:rPr>
          <w:rFonts w:ascii="Times New Roman" w:hAnsi="Times New Roman" w:cs="Times New Roman"/>
          <w:i/>
          <w:sz w:val="20"/>
          <w:szCs w:val="20"/>
        </w:rPr>
        <w:t>Escherichia coli</w:t>
      </w:r>
      <w:r w:rsidRPr="002B3271">
        <w:rPr>
          <w:rFonts w:ascii="Times New Roman" w:hAnsi="Times New Roman" w:cs="Times New Roman"/>
          <w:sz w:val="20"/>
          <w:szCs w:val="20"/>
        </w:rPr>
        <w:t xml:space="preserve"> expressing human interferon alpha 1</w:t>
      </w:r>
      <w:r>
        <w:rPr>
          <w:rFonts w:ascii="Times New Roman" w:hAnsi="Times New Roman" w:cs="Times New Roman"/>
          <w:sz w:val="20"/>
          <w:szCs w:val="20"/>
        </w:rPr>
        <w:t>” (1990) 34(1) Appl Microbiol Biotechnol</w:t>
      </w:r>
      <w:r w:rsidRPr="002B3271">
        <w:rPr>
          <w:rFonts w:ascii="Times New Roman" w:hAnsi="Times New Roman" w:cs="Times New Roman"/>
          <w:sz w:val="20"/>
          <w:szCs w:val="20"/>
        </w:rPr>
        <w:t xml:space="preserve"> </w:t>
      </w:r>
      <w:r>
        <w:rPr>
          <w:rFonts w:ascii="Times New Roman" w:hAnsi="Times New Roman" w:cs="Times New Roman"/>
          <w:sz w:val="20"/>
          <w:szCs w:val="20"/>
        </w:rPr>
        <w:t>77</w:t>
      </w:r>
      <w:r w:rsidRPr="002B3271">
        <w:rPr>
          <w:rFonts w:ascii="Times New Roman" w:hAnsi="Times New Roman" w:cs="Times New Roman"/>
          <w:sz w:val="20"/>
          <w:szCs w:val="20"/>
        </w:rPr>
        <w:t xml:space="preserve"> </w:t>
      </w:r>
    </w:p>
    <w:p w:rsidR="00FF0F7C" w:rsidRPr="002B3271" w:rsidRDefault="00FF0F7C" w:rsidP="00115E71">
      <w:pPr>
        <w:autoSpaceDE w:val="0"/>
        <w:autoSpaceDN w:val="0"/>
        <w:adjustRightInd w:val="0"/>
        <w:spacing w:after="0" w:line="240" w:lineRule="auto"/>
        <w:jc w:val="both"/>
        <w:rPr>
          <w:rFonts w:ascii="Times New Roman" w:hAnsi="Times New Roman" w:cs="Times New Roman"/>
          <w:sz w:val="20"/>
          <w:szCs w:val="20"/>
        </w:rPr>
      </w:pPr>
    </w:p>
  </w:footnote>
  <w:footnote w:id="62">
    <w:p w:rsidR="00FF0F7C" w:rsidRDefault="00FF0F7C" w:rsidP="00115E71">
      <w:pPr>
        <w:pStyle w:val="FootnoteText"/>
        <w:jc w:val="both"/>
      </w:pPr>
      <w:r>
        <w:rPr>
          <w:rStyle w:val="FootnoteReference"/>
        </w:rPr>
        <w:footnoteRef/>
      </w:r>
      <w:r>
        <w:t xml:space="preserve"> Nagoya Protocol Article 2(e) </w:t>
      </w:r>
    </w:p>
    <w:p w:rsidR="00FF0F7C" w:rsidRDefault="00FF0F7C" w:rsidP="00115E71">
      <w:pPr>
        <w:pStyle w:val="FootnoteText"/>
        <w:jc w:val="both"/>
      </w:pPr>
    </w:p>
  </w:footnote>
  <w:footnote w:id="63">
    <w:p w:rsidR="00FF0F7C" w:rsidRDefault="00FF0F7C" w:rsidP="00470D82">
      <w:pPr>
        <w:pStyle w:val="FootnoteText"/>
        <w:jc w:val="both"/>
      </w:pPr>
      <w:r>
        <w:rPr>
          <w:rStyle w:val="FootnoteReference"/>
        </w:rPr>
        <w:footnoteRef/>
      </w:r>
      <w:r>
        <w:t xml:space="preserve"> </w:t>
      </w:r>
      <w:r w:rsidRPr="00A10438">
        <w:t>It is interesting to note that “derivatives” may have been used in this way in the indicative list of typical mutually agreed terms set out at Paragraph 44(i) of the</w:t>
      </w:r>
      <w:r>
        <w:t xml:space="preserve"> pre-Protocol</w:t>
      </w:r>
      <w:r w:rsidRPr="00A10438">
        <w:t xml:space="preserve"> (non-binding) Bonn Guidelines: </w:t>
      </w:r>
      <w:r w:rsidRPr="00A10438">
        <w:rPr>
          <w:color w:val="000000"/>
        </w:rPr>
        <w:t>“Provisions regarding the sharing of benefits arising from the commercial and other utilization of genetic resources and their derivatives and produc</w:t>
      </w:r>
      <w:r>
        <w:rPr>
          <w:color w:val="000000"/>
        </w:rPr>
        <w:t xml:space="preserve">ts.” (COP 6 Decision </w:t>
      </w:r>
      <w:r w:rsidRPr="00A10438">
        <w:rPr>
          <w:color w:val="000000"/>
        </w:rPr>
        <w:t xml:space="preserve">VI/24 “Bonn Guidelines” Part D Paragraph 44(i)). However, </w:t>
      </w:r>
      <w:r>
        <w:rPr>
          <w:color w:val="000000"/>
        </w:rPr>
        <w:t xml:space="preserve">even here </w:t>
      </w:r>
      <w:r w:rsidRPr="00A10438">
        <w:rPr>
          <w:color w:val="000000"/>
        </w:rPr>
        <w:t xml:space="preserve">it is not really </w:t>
      </w:r>
      <w:r>
        <w:rPr>
          <w:color w:val="000000"/>
        </w:rPr>
        <w:t>evident</w:t>
      </w:r>
      <w:r w:rsidRPr="00A10438">
        <w:rPr>
          <w:color w:val="000000"/>
        </w:rPr>
        <w:t xml:space="preserve"> what is meant by a “derivative</w:t>
      </w:r>
      <w:r>
        <w:rPr>
          <w:color w:val="000000"/>
        </w:rPr>
        <w:t>”</w:t>
      </w:r>
      <w:r w:rsidRPr="00A10438">
        <w:rPr>
          <w:color w:val="000000"/>
        </w:rPr>
        <w:t xml:space="preserve"> of a genetic resource in this context.</w:t>
      </w:r>
    </w:p>
  </w:footnote>
  <w:footnote w:id="64">
    <w:p w:rsidR="00FF0F7C" w:rsidRPr="0011325D" w:rsidRDefault="00FF0F7C" w:rsidP="00115E71">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11325D">
        <w:rPr>
          <w:rFonts w:ascii="Times New Roman" w:hAnsi="Times New Roman" w:cs="Times New Roman"/>
          <w:sz w:val="20"/>
          <w:szCs w:val="20"/>
        </w:rPr>
        <w:t xml:space="preserve">Lee </w:t>
      </w:r>
      <w:r>
        <w:rPr>
          <w:rFonts w:ascii="Times New Roman" w:hAnsi="Times New Roman" w:cs="Times New Roman"/>
          <w:sz w:val="20"/>
          <w:szCs w:val="20"/>
        </w:rPr>
        <w:t>and Ruben (n 20)</w:t>
      </w:r>
    </w:p>
    <w:p w:rsidR="00FF0F7C" w:rsidRDefault="00FF0F7C" w:rsidP="00115E71">
      <w:pPr>
        <w:pStyle w:val="FootnoteText"/>
      </w:pPr>
    </w:p>
  </w:footnote>
  <w:footnote w:id="65">
    <w:p w:rsidR="00FF0F7C" w:rsidRDefault="00FF0F7C" w:rsidP="00847017">
      <w:pPr>
        <w:pStyle w:val="FootnoteText"/>
        <w:jc w:val="both"/>
      </w:pPr>
      <w:r>
        <w:rPr>
          <w:rStyle w:val="FootnoteReference"/>
        </w:rPr>
        <w:footnoteRef/>
      </w:r>
      <w:r>
        <w:t xml:space="preserve"> Morgera, </w:t>
      </w:r>
      <w:r>
        <w:rPr>
          <w:i/>
        </w:rPr>
        <w:t xml:space="preserve">Unravelling the  Protocol </w:t>
      </w:r>
      <w:r>
        <w:t>(n 36</w:t>
      </w:r>
      <w:r w:rsidRPr="0029045F">
        <w:t>), 66</w:t>
      </w:r>
    </w:p>
    <w:p w:rsidR="00FF0F7C" w:rsidRDefault="00FF0F7C" w:rsidP="00847017">
      <w:pPr>
        <w:pStyle w:val="FootnoteText"/>
        <w:jc w:val="both"/>
      </w:pPr>
    </w:p>
  </w:footnote>
  <w:footnote w:id="66">
    <w:p w:rsidR="00FF0F7C" w:rsidRDefault="00FF0F7C" w:rsidP="00115E71">
      <w:pPr>
        <w:pStyle w:val="FootnoteText"/>
        <w:jc w:val="both"/>
      </w:pPr>
      <w:r>
        <w:rPr>
          <w:rStyle w:val="FootnoteReference"/>
        </w:rPr>
        <w:footnoteRef/>
      </w:r>
      <w:r>
        <w:t xml:space="preserve"> Matthias Buck and Claire Hamilton, “The  Protocol on Access to Genetic Resources and Benefit-sharing Arising from their Utilisation to the Convention on Biological Diversity” Review of European Community and International Environmental Law (2011) 47, 56</w:t>
      </w:r>
    </w:p>
    <w:p w:rsidR="00FF0F7C" w:rsidRDefault="00FF0F7C" w:rsidP="00115E71">
      <w:pPr>
        <w:pStyle w:val="FootnoteText"/>
        <w:jc w:val="both"/>
      </w:pPr>
    </w:p>
  </w:footnote>
  <w:footnote w:id="67">
    <w:p w:rsidR="00FF0F7C" w:rsidRDefault="00FF0F7C" w:rsidP="00847017">
      <w:pPr>
        <w:pStyle w:val="FootnoteText"/>
        <w:jc w:val="both"/>
      </w:pPr>
      <w:r>
        <w:rPr>
          <w:rStyle w:val="FootnoteReference"/>
        </w:rPr>
        <w:footnoteRef/>
      </w:r>
      <w:r>
        <w:t xml:space="preserve"> Ryo Kosaka, </w:t>
      </w:r>
      <w:r w:rsidRPr="008F5490">
        <w:rPr>
          <w:i/>
        </w:rPr>
        <w:t>The Negotiating History of the  Protocol on ABS: Japanese Perspective</w:t>
      </w:r>
      <w:r>
        <w:t xml:space="preserve"> (2012) </w:t>
      </w:r>
      <w:hyperlink r:id="rId9" w:history="1">
        <w:r w:rsidRPr="00D503E1">
          <w:rPr>
            <w:rStyle w:val="Hyperlink"/>
            <w:color w:val="auto"/>
            <w:u w:val="none"/>
          </w:rPr>
          <w:t>http://www.ipaj.org/english_journal/pdf/9-1_Kohsaka.pdf</w:t>
        </w:r>
      </w:hyperlink>
      <w:r w:rsidRPr="00D503E1">
        <w:t xml:space="preserve"> </w:t>
      </w:r>
      <w:r>
        <w:t>(Accessed November 2018)</w:t>
      </w:r>
    </w:p>
    <w:p w:rsidR="00FF0F7C" w:rsidRDefault="00FF0F7C" w:rsidP="00847017">
      <w:pPr>
        <w:pStyle w:val="FootnoteText"/>
      </w:pPr>
      <w:r>
        <w:t xml:space="preserve"> </w:t>
      </w:r>
    </w:p>
  </w:footnote>
  <w:footnote w:id="68">
    <w:p w:rsidR="00FF0F7C" w:rsidRDefault="00FF0F7C" w:rsidP="00115E71">
      <w:pPr>
        <w:pStyle w:val="FootnoteText"/>
      </w:pPr>
      <w:r>
        <w:rPr>
          <w:rStyle w:val="FootnoteReference"/>
        </w:rPr>
        <w:footnoteRef/>
      </w:r>
      <w:r>
        <w:t xml:space="preserve"> Morgera, </w:t>
      </w:r>
      <w:r>
        <w:rPr>
          <w:i/>
        </w:rPr>
        <w:t xml:space="preserve">Unravelling the  Protocol </w:t>
      </w:r>
      <w:r>
        <w:t>(n 36</w:t>
      </w:r>
      <w:r w:rsidRPr="0029045F">
        <w:t>), 66</w:t>
      </w:r>
    </w:p>
    <w:p w:rsidR="00FF0F7C" w:rsidRDefault="00FF0F7C" w:rsidP="00115E71">
      <w:pPr>
        <w:pStyle w:val="FootnoteText"/>
      </w:pPr>
    </w:p>
  </w:footnote>
  <w:footnote w:id="69">
    <w:p w:rsidR="00FF0F7C" w:rsidRDefault="00FF0F7C" w:rsidP="00115E71">
      <w:pPr>
        <w:pStyle w:val="FootnoteText"/>
      </w:pPr>
      <w:r>
        <w:rPr>
          <w:rStyle w:val="FootnoteReference"/>
        </w:rPr>
        <w:footnoteRef/>
      </w:r>
      <w:r>
        <w:t xml:space="preserve"> Morgera, </w:t>
      </w:r>
      <w:r>
        <w:rPr>
          <w:i/>
        </w:rPr>
        <w:t xml:space="preserve">Unravelling the  Protocol </w:t>
      </w:r>
      <w:r>
        <w:t>(n 36), 67</w:t>
      </w:r>
    </w:p>
    <w:p w:rsidR="00FF0F7C" w:rsidRDefault="00FF0F7C" w:rsidP="00115E71">
      <w:pPr>
        <w:pStyle w:val="FootnoteText"/>
      </w:pPr>
    </w:p>
  </w:footnote>
  <w:footnote w:id="70">
    <w:p w:rsidR="00FF0F7C" w:rsidRPr="00A85508" w:rsidRDefault="00FF0F7C" w:rsidP="00115E71">
      <w:pPr>
        <w:pStyle w:val="FootnoteText"/>
        <w:jc w:val="both"/>
      </w:pPr>
      <w:r w:rsidRPr="00A85508">
        <w:rPr>
          <w:rStyle w:val="FootnoteReference"/>
        </w:rPr>
        <w:footnoteRef/>
      </w:r>
      <w:r>
        <w:t xml:space="preserve"> Joseph Henry Vogel et al.</w:t>
      </w:r>
      <w:r w:rsidRPr="00A85508">
        <w:t>, “The Economics of Information, Studiously Ignored in the  Protocol on Access to Genetic</w:t>
      </w:r>
      <w:r>
        <w:t xml:space="preserve"> </w:t>
      </w:r>
      <w:r w:rsidRPr="00A85508">
        <w:t>Resources and Benefit Sharing” (2011) 7/1 Law, Envir</w:t>
      </w:r>
      <w:r>
        <w:t xml:space="preserve">onment and Development Journal </w:t>
      </w:r>
      <w:r w:rsidRPr="00A85508">
        <w:t>52</w:t>
      </w:r>
    </w:p>
    <w:p w:rsidR="00FF0F7C" w:rsidRPr="00A85508" w:rsidRDefault="00FF0F7C" w:rsidP="00115E71">
      <w:pPr>
        <w:pStyle w:val="FootnoteText"/>
        <w:jc w:val="both"/>
      </w:pPr>
    </w:p>
  </w:footnote>
  <w:footnote w:id="71">
    <w:p w:rsidR="00FF0F7C" w:rsidRPr="00A85508" w:rsidRDefault="00FF0F7C" w:rsidP="00115E71">
      <w:pPr>
        <w:autoSpaceDE w:val="0"/>
        <w:autoSpaceDN w:val="0"/>
        <w:adjustRightInd w:val="0"/>
        <w:spacing w:after="0" w:line="240" w:lineRule="auto"/>
        <w:jc w:val="both"/>
        <w:rPr>
          <w:rFonts w:ascii="Times New Roman" w:eastAsia="Times New Roman" w:hAnsi="Times New Roman" w:cs="Times New Roman"/>
          <w:sz w:val="20"/>
          <w:szCs w:val="20"/>
        </w:rPr>
      </w:pPr>
      <w:r w:rsidRPr="00A85508">
        <w:rPr>
          <w:rStyle w:val="FootnoteReference"/>
          <w:sz w:val="20"/>
          <w:szCs w:val="20"/>
        </w:rPr>
        <w:footnoteRef/>
      </w:r>
      <w:r>
        <w:rPr>
          <w:rFonts w:ascii="Times New Roman" w:eastAsia="Times New Roman" w:hAnsi="Times New Roman" w:cs="Times New Roman"/>
          <w:sz w:val="20"/>
          <w:szCs w:val="20"/>
        </w:rPr>
        <w:t xml:space="preserve"> </w:t>
      </w:r>
      <w:r w:rsidRPr="00A85508">
        <w:rPr>
          <w:rFonts w:ascii="Times New Roman" w:eastAsia="Times New Roman" w:hAnsi="Times New Roman" w:cs="Times New Roman"/>
          <w:sz w:val="20"/>
          <w:szCs w:val="20"/>
        </w:rPr>
        <w:t xml:space="preserve">Garrett Hardin, ‘Meaninglessness of the Word Protoplasm’ (1956) 82/3 Scientific Monthly 112 </w:t>
      </w:r>
    </w:p>
    <w:p w:rsidR="00FF0F7C" w:rsidRDefault="00FF0F7C" w:rsidP="00115E71">
      <w:pPr>
        <w:pStyle w:val="FootnoteText"/>
        <w:jc w:val="both"/>
      </w:pPr>
    </w:p>
  </w:footnote>
  <w:footnote w:id="72">
    <w:p w:rsidR="00FF0F7C" w:rsidRDefault="00FF0F7C" w:rsidP="00115E71">
      <w:pPr>
        <w:pStyle w:val="FootnoteText"/>
      </w:pPr>
      <w:r>
        <w:rPr>
          <w:rStyle w:val="FootnoteReference"/>
        </w:rPr>
        <w:footnoteRef/>
      </w:r>
      <w:r>
        <w:t xml:space="preserve"> Morgera, </w:t>
      </w:r>
      <w:r>
        <w:rPr>
          <w:i/>
        </w:rPr>
        <w:t xml:space="preserve">Unravelling the  Protocol  </w:t>
      </w:r>
      <w:r>
        <w:t>(n 36), 68</w:t>
      </w:r>
    </w:p>
    <w:p w:rsidR="00FF0F7C" w:rsidRDefault="00FF0F7C" w:rsidP="00115E71">
      <w:pPr>
        <w:pStyle w:val="FootnoteText"/>
      </w:pPr>
    </w:p>
  </w:footnote>
  <w:footnote w:id="73">
    <w:p w:rsidR="00FF0F7C" w:rsidRDefault="00FF0F7C" w:rsidP="00115E71">
      <w:pPr>
        <w:pStyle w:val="FootnoteText"/>
      </w:pPr>
      <w:r>
        <w:rPr>
          <w:rStyle w:val="FootnoteReference"/>
        </w:rPr>
        <w:footnoteRef/>
      </w:r>
      <w:r>
        <w:t xml:space="preserve"> Ibid.</w:t>
      </w:r>
    </w:p>
    <w:p w:rsidR="00FF0F7C" w:rsidRDefault="00FF0F7C" w:rsidP="00115E71">
      <w:pPr>
        <w:pStyle w:val="FootnoteText"/>
      </w:pPr>
    </w:p>
  </w:footnote>
  <w:footnote w:id="74">
    <w:p w:rsidR="00FF0F7C" w:rsidRDefault="00FF0F7C" w:rsidP="00C32545">
      <w:pPr>
        <w:pStyle w:val="FootnoteText"/>
      </w:pPr>
      <w:r>
        <w:rPr>
          <w:rStyle w:val="FootnoteReference"/>
        </w:rPr>
        <w:footnoteRef/>
      </w:r>
      <w:r>
        <w:t xml:space="preserve"> Correa (n 26) </w:t>
      </w:r>
      <w:r w:rsidRPr="008C1383">
        <w:t>14</w:t>
      </w:r>
    </w:p>
    <w:p w:rsidR="00FF0F7C" w:rsidRDefault="00FF0F7C" w:rsidP="00C32545">
      <w:pPr>
        <w:pStyle w:val="FootnoteText"/>
      </w:pPr>
    </w:p>
  </w:footnote>
  <w:footnote w:id="75">
    <w:p w:rsidR="00FF0F7C" w:rsidRDefault="00FF0F7C" w:rsidP="00115E71">
      <w:pPr>
        <w:pStyle w:val="FootnoteText"/>
        <w:jc w:val="both"/>
        <w:rPr>
          <w:bCs/>
        </w:rPr>
      </w:pPr>
      <w:r>
        <w:rPr>
          <w:rStyle w:val="FootnoteReference"/>
        </w:rPr>
        <w:footnoteRef/>
      </w:r>
      <w:r>
        <w:t xml:space="preserve"> </w:t>
      </w:r>
      <w:r w:rsidRPr="00B62516">
        <w:rPr>
          <w:bCs/>
        </w:rPr>
        <w:t xml:space="preserve">Derivative : “a chemical substance related structurally to another substance and theoretically </w:t>
      </w:r>
      <w:hyperlink r:id="rId10" w:history="1">
        <w:r w:rsidRPr="00B62516">
          <w:rPr>
            <w:bCs/>
          </w:rPr>
          <w:t>derivable</w:t>
        </w:r>
      </w:hyperlink>
      <w:r w:rsidRPr="00B62516">
        <w:rPr>
          <w:bCs/>
        </w:rPr>
        <w:t xml:space="preserve"> from it” </w:t>
      </w:r>
      <w:r>
        <w:rPr>
          <w:bCs/>
        </w:rPr>
        <w:t>(</w:t>
      </w:r>
      <w:hyperlink r:id="rId11" w:history="1">
        <w:r w:rsidRPr="00B47DA2">
          <w:rPr>
            <w:rStyle w:val="Hyperlink"/>
            <w:bCs/>
            <w:color w:val="auto"/>
            <w:u w:val="none"/>
          </w:rPr>
          <w:t>http://www.merriam-webster.com/dictionary/derivative</w:t>
        </w:r>
      </w:hyperlink>
      <w:r>
        <w:t>)</w:t>
      </w:r>
      <w:r>
        <w:rPr>
          <w:bCs/>
        </w:rPr>
        <w:t xml:space="preserve"> (Accessed November</w:t>
      </w:r>
      <w:r>
        <w:t xml:space="preserve"> 2018 </w:t>
      </w:r>
      <w:r>
        <w:rPr>
          <w:bCs/>
        </w:rPr>
        <w:t>)</w:t>
      </w:r>
    </w:p>
    <w:p w:rsidR="00FF0F7C" w:rsidRPr="00B62516" w:rsidRDefault="00FF0F7C" w:rsidP="00115E71">
      <w:pPr>
        <w:pStyle w:val="FootnoteText"/>
        <w:jc w:val="both"/>
        <w:rPr>
          <w:bCs/>
        </w:rPr>
      </w:pPr>
    </w:p>
  </w:footnote>
  <w:footnote w:id="76">
    <w:p w:rsidR="00FF0F7C" w:rsidRDefault="00FF0F7C" w:rsidP="00115E71">
      <w:pPr>
        <w:pStyle w:val="FootnoteText"/>
        <w:jc w:val="both"/>
      </w:pPr>
      <w:r>
        <w:rPr>
          <w:rStyle w:val="FootnoteReference"/>
        </w:rPr>
        <w:footnoteRef/>
      </w:r>
      <w:r>
        <w:t xml:space="preserve"> Though as we have seen, it was perhaps originally used for an entirely different purpose within the CBD.</w:t>
      </w:r>
    </w:p>
    <w:p w:rsidR="00FF0F7C" w:rsidRDefault="00FF0F7C" w:rsidP="00115E71">
      <w:pPr>
        <w:pStyle w:val="FootnoteText"/>
      </w:pPr>
    </w:p>
  </w:footnote>
  <w:footnote w:id="77">
    <w:p w:rsidR="00FF0F7C" w:rsidRDefault="00FF0F7C" w:rsidP="00115E71">
      <w:pPr>
        <w:pStyle w:val="FootnoteText"/>
        <w:jc w:val="both"/>
      </w:pPr>
      <w:r>
        <w:rPr>
          <w:rStyle w:val="FootnoteReference"/>
        </w:rPr>
        <w:footnoteRef/>
      </w:r>
      <w:r>
        <w:t xml:space="preserve"> Nagoya Protocol, Article 2(e)</w:t>
      </w:r>
    </w:p>
    <w:p w:rsidR="00FF0F7C" w:rsidRDefault="00FF0F7C" w:rsidP="00115E71">
      <w:pPr>
        <w:pStyle w:val="FootnoteText"/>
        <w:jc w:val="both"/>
      </w:pPr>
    </w:p>
  </w:footnote>
  <w:footnote w:id="78">
    <w:p w:rsidR="00FF0F7C" w:rsidRDefault="00FF0F7C" w:rsidP="00115E71">
      <w:pPr>
        <w:pStyle w:val="FootnoteText"/>
        <w:jc w:val="both"/>
      </w:pPr>
      <w:r>
        <w:rPr>
          <w:rStyle w:val="FootnoteReference"/>
        </w:rPr>
        <w:footnoteRef/>
      </w:r>
      <w:r>
        <w:t xml:space="preserve"> </w:t>
      </w:r>
      <w:r w:rsidRPr="001D637B">
        <w:t>Although the operative effect of the definition of Derivative does not assist us in this regard, we can at least note that if the broad aim of introducing the term</w:t>
      </w:r>
      <w:r>
        <w:t xml:space="preserve"> “Derivative” had been (as Morg</w:t>
      </w:r>
      <w:r w:rsidRPr="001D637B">
        <w:t xml:space="preserve">era </w:t>
      </w:r>
      <w:r w:rsidRPr="001D637B">
        <w:rPr>
          <w:i/>
        </w:rPr>
        <w:t>et al.</w:t>
      </w:r>
      <w:r w:rsidRPr="001D637B">
        <w:t xml:space="preserve"> </w:t>
      </w:r>
      <w:r>
        <w:t xml:space="preserve">(n 36) </w:t>
      </w:r>
      <w:r w:rsidRPr="001D637B">
        <w:t>suggest) to ensure that compounds naturally produced within a cell by genetic expression were caught within the access and benefit sharing provisions of the Protocol the concept of derivative would not include a chemical derivative.</w:t>
      </w:r>
    </w:p>
    <w:p w:rsidR="00FF0F7C" w:rsidRDefault="00FF0F7C" w:rsidP="00115E71">
      <w:pPr>
        <w:pStyle w:val="FootnoteText"/>
        <w:jc w:val="both"/>
      </w:pPr>
    </w:p>
  </w:footnote>
  <w:footnote w:id="79">
    <w:p w:rsidR="00FF0F7C" w:rsidRDefault="00FF0F7C" w:rsidP="00115E71">
      <w:pPr>
        <w:pStyle w:val="FootnoteText"/>
      </w:pPr>
      <w:r>
        <w:rPr>
          <w:rStyle w:val="FootnoteReference"/>
        </w:rPr>
        <w:footnoteRef/>
      </w:r>
      <w:r>
        <w:t xml:space="preserve"> Correa (n 26)</w:t>
      </w:r>
    </w:p>
    <w:p w:rsidR="00FF0F7C" w:rsidRDefault="00FF0F7C" w:rsidP="00115E71">
      <w:pPr>
        <w:pStyle w:val="FootnoteText"/>
      </w:pPr>
    </w:p>
  </w:footnote>
  <w:footnote w:id="80">
    <w:p w:rsidR="00FF0F7C" w:rsidRDefault="00FF0F7C" w:rsidP="00115E71">
      <w:pPr>
        <w:pStyle w:val="FootnoteText"/>
      </w:pPr>
      <w:r>
        <w:rPr>
          <w:rStyle w:val="FootnoteReference"/>
        </w:rPr>
        <w:footnoteRef/>
      </w:r>
      <w:r>
        <w:t xml:space="preserve"> Aubertin and </w:t>
      </w:r>
      <w:r w:rsidRPr="00AD16EC">
        <w:t>Filoche</w:t>
      </w:r>
      <w:r>
        <w:t xml:space="preserve"> (n 37)</w:t>
      </w:r>
    </w:p>
    <w:p w:rsidR="00FF0F7C" w:rsidRDefault="00FF0F7C" w:rsidP="00115E71">
      <w:pPr>
        <w:pStyle w:val="FootnoteText"/>
      </w:pPr>
    </w:p>
  </w:footnote>
  <w:footnote w:id="81">
    <w:p w:rsidR="00FF0F7C" w:rsidRDefault="00FF0F7C" w:rsidP="00062D30">
      <w:pPr>
        <w:pStyle w:val="FootnoteText"/>
        <w:rPr>
          <w:color w:val="231F20"/>
        </w:rPr>
      </w:pPr>
      <w:r>
        <w:rPr>
          <w:rStyle w:val="FootnoteReference"/>
        </w:rPr>
        <w:footnoteRef/>
      </w:r>
      <w:r>
        <w:t xml:space="preserve"> </w:t>
      </w:r>
      <w:r w:rsidRPr="00855463">
        <w:rPr>
          <w:color w:val="231F20"/>
        </w:rPr>
        <w:t xml:space="preserve">UNEP/CBD/WG-ABS/7/2 </w:t>
      </w:r>
      <w:r>
        <w:rPr>
          <w:color w:val="231F20"/>
        </w:rPr>
        <w:t>(n 47)</w:t>
      </w:r>
    </w:p>
    <w:p w:rsidR="00FF0F7C" w:rsidRDefault="00FF0F7C" w:rsidP="00062D30">
      <w:pPr>
        <w:pStyle w:val="FootnoteText"/>
      </w:pPr>
    </w:p>
  </w:footnote>
  <w:footnote w:id="82">
    <w:p w:rsidR="00FF0F7C" w:rsidRDefault="00FF0F7C">
      <w:pPr>
        <w:pStyle w:val="FootnoteText"/>
      </w:pPr>
      <w:r>
        <w:rPr>
          <w:rStyle w:val="FootnoteReference"/>
        </w:rPr>
        <w:footnoteRef/>
      </w:r>
      <w:r>
        <w:t xml:space="preserve"> Commission Notice (n 48) para 2.3.3 </w:t>
      </w:r>
    </w:p>
    <w:p w:rsidR="00FF0F7C" w:rsidRDefault="00FF0F7C">
      <w:pPr>
        <w:pStyle w:val="FootnoteText"/>
      </w:pPr>
    </w:p>
  </w:footnote>
  <w:footnote w:id="83">
    <w:p w:rsidR="00FF0F7C" w:rsidRDefault="00FF0F7C">
      <w:pPr>
        <w:pStyle w:val="FootnoteText"/>
      </w:pPr>
      <w:r>
        <w:rPr>
          <w:rStyle w:val="FootnoteReference"/>
        </w:rPr>
        <w:footnoteRef/>
      </w:r>
      <w:r>
        <w:t xml:space="preserve"> Ibid.</w:t>
      </w:r>
    </w:p>
  </w:footnote>
  <w:footnote w:id="84">
    <w:p w:rsidR="00FF0F7C" w:rsidRDefault="00FF0F7C" w:rsidP="00BC0B2A">
      <w:pPr>
        <w:pStyle w:val="FootnoteText"/>
      </w:pPr>
      <w:r>
        <w:rPr>
          <w:rStyle w:val="FootnoteReference"/>
        </w:rPr>
        <w:footnoteRef/>
      </w:r>
      <w:r>
        <w:t xml:space="preserve">  </w:t>
      </w:r>
      <w:r w:rsidRPr="00470D82">
        <w:t>CBD/COP/DEC/XIII/16 (16 December 2016); CBD/DSI/AHTEG/2018/1/4</w:t>
      </w:r>
    </w:p>
    <w:p w:rsidR="00FF0F7C" w:rsidRDefault="00FF0F7C" w:rsidP="00BC0B2A">
      <w:pPr>
        <w:pStyle w:val="FootnoteText"/>
      </w:pPr>
    </w:p>
  </w:footnote>
  <w:footnote w:id="85">
    <w:p w:rsidR="00FF0F7C" w:rsidRDefault="00FF0F7C">
      <w:pPr>
        <w:pStyle w:val="FootnoteText"/>
      </w:pPr>
      <w:r>
        <w:rPr>
          <w:rStyle w:val="FootnoteReference"/>
        </w:rPr>
        <w:footnoteRef/>
      </w:r>
      <w:r>
        <w:t xml:space="preserve"> Commission Notice (n 48) para 2.3.3</w:t>
      </w:r>
    </w:p>
    <w:p w:rsidR="00FF0F7C" w:rsidRDefault="00FF0F7C">
      <w:pPr>
        <w:pStyle w:val="FootnoteText"/>
      </w:pPr>
    </w:p>
  </w:footnote>
  <w:footnote w:id="86">
    <w:p w:rsidR="00FF0F7C" w:rsidRDefault="00FF0F7C" w:rsidP="00C2492C">
      <w:pPr>
        <w:pStyle w:val="FootnoteText"/>
      </w:pPr>
      <w:r>
        <w:rPr>
          <w:rStyle w:val="FootnoteReference"/>
        </w:rPr>
        <w:footnoteRef/>
      </w:r>
      <w:r>
        <w:t xml:space="preserve"> Ibid.</w:t>
      </w:r>
    </w:p>
    <w:p w:rsidR="00FF0F7C" w:rsidRDefault="00FF0F7C" w:rsidP="00C2492C">
      <w:pPr>
        <w:pStyle w:val="FootnoteText"/>
      </w:pPr>
    </w:p>
  </w:footnote>
  <w:footnote w:id="87">
    <w:p w:rsidR="00FF0F7C" w:rsidRDefault="00FF0F7C" w:rsidP="000B259F">
      <w:pPr>
        <w:pStyle w:val="FootnoteText"/>
      </w:pPr>
      <w:r>
        <w:rPr>
          <w:rStyle w:val="FootnoteReference"/>
        </w:rPr>
        <w:footnoteRef/>
      </w:r>
      <w:r>
        <w:t xml:space="preserve"> For example, even though the common ancestor of yeast and humans was alive at least one billion years ago, many human and yeast genes are functionally interchangeable. AH Kachroo et al “</w:t>
      </w:r>
      <w:r w:rsidRPr="000B259F">
        <w:rPr>
          <w:bCs/>
        </w:rPr>
        <w:t>Systematic humanization of yeast genes reveals conserved functions and genetic modularity</w:t>
      </w:r>
      <w:r>
        <w:t xml:space="preserve">” (2015) </w:t>
      </w:r>
      <w:r w:rsidRPr="000B259F">
        <w:t xml:space="preserve">348 </w:t>
      </w:r>
      <w:r w:rsidRPr="000B259F">
        <w:rPr>
          <w:iCs/>
        </w:rPr>
        <w:t>Science</w:t>
      </w:r>
      <w:r>
        <w:t xml:space="preserve"> 921 </w:t>
      </w:r>
    </w:p>
    <w:p w:rsidR="00FF0F7C" w:rsidRDefault="00FF0F7C" w:rsidP="000B259F">
      <w:pPr>
        <w:pStyle w:val="FootnoteText"/>
      </w:pPr>
    </w:p>
  </w:footnote>
  <w:footnote w:id="88">
    <w:p w:rsidR="00FF0F7C" w:rsidRDefault="00FF0F7C" w:rsidP="00B45C0C">
      <w:pPr>
        <w:pStyle w:val="FootnoteText"/>
        <w:jc w:val="both"/>
      </w:pPr>
      <w:r>
        <w:rPr>
          <w:rStyle w:val="FootnoteReference"/>
        </w:rPr>
        <w:footnoteRef/>
      </w:r>
      <w:r>
        <w:t xml:space="preserve"> Gillian K Ferguson, </w:t>
      </w:r>
      <w:r w:rsidRPr="00130022">
        <w:rPr>
          <w:i/>
        </w:rPr>
        <w:t>The Human Genome: Poems On The Book Of Life</w:t>
      </w:r>
    </w:p>
    <w:p w:rsidR="00FF0F7C" w:rsidRDefault="00FF0F7C" w:rsidP="00B45C0C">
      <w:pPr>
        <w:pStyle w:val="FootnoteText"/>
        <w:jc w:val="both"/>
      </w:pPr>
      <w:hyperlink r:id="rId12" w:history="1">
        <w:r w:rsidRPr="00D503E1">
          <w:rPr>
            <w:rStyle w:val="Hyperlink"/>
            <w:color w:val="auto"/>
            <w:u w:val="none"/>
          </w:rPr>
          <w:t>http://www.thehumangenome.co.uk/THE_HUMAN_GENOME/Primer.html</w:t>
        </w:r>
      </w:hyperlink>
      <w:r w:rsidRPr="008F1B92">
        <w:t xml:space="preserve"> </w:t>
      </w:r>
      <w:r>
        <w:t>(Accessed November 2018 )</w:t>
      </w:r>
    </w:p>
    <w:p w:rsidR="00FF0F7C" w:rsidRDefault="00FF0F7C" w:rsidP="00B45C0C">
      <w:pPr>
        <w:pStyle w:val="FootnoteText"/>
      </w:pPr>
    </w:p>
  </w:footnote>
  <w:footnote w:id="89">
    <w:p w:rsidR="00FF0F7C" w:rsidRDefault="00FF0F7C" w:rsidP="00B45C0C">
      <w:pPr>
        <w:pStyle w:val="FootnoteText"/>
      </w:pPr>
      <w:r>
        <w:rPr>
          <w:rStyle w:val="FootnoteReference"/>
        </w:rPr>
        <w:footnoteRef/>
      </w:r>
      <w:r>
        <w:t xml:space="preserve"> An English town renowned for its brewing.</w:t>
      </w:r>
    </w:p>
    <w:p w:rsidR="00FF0F7C" w:rsidRDefault="00FF0F7C" w:rsidP="00B45C0C">
      <w:pPr>
        <w:pStyle w:val="FootnoteText"/>
      </w:pPr>
    </w:p>
  </w:footnote>
  <w:footnote w:id="90">
    <w:p w:rsidR="00FF0F7C" w:rsidRDefault="00FF0F7C" w:rsidP="00FF5458">
      <w:pPr>
        <w:pStyle w:val="FootnoteText"/>
        <w:jc w:val="both"/>
      </w:pPr>
      <w:r>
        <w:rPr>
          <w:rStyle w:val="FootnoteReference"/>
        </w:rPr>
        <w:footnoteRef/>
      </w:r>
      <w:r>
        <w:t xml:space="preserve"> </w:t>
      </w:r>
      <w:hyperlink r:id="rId13" w:history="1">
        <w:r w:rsidRPr="00035E2B">
          <w:t>Peter Johan Schei</w:t>
        </w:r>
      </w:hyperlink>
      <w:r>
        <w:t xml:space="preserve"> and </w:t>
      </w:r>
      <w:r w:rsidRPr="00035E2B">
        <w:t xml:space="preserve">Morten Walløe </w:t>
      </w:r>
      <w:hyperlink r:id="rId14" w:history="1">
        <w:r>
          <w:t>Tvedt</w:t>
        </w:r>
        <w:r w:rsidRPr="00035E2B">
          <w:t xml:space="preserve"> </w:t>
        </w:r>
      </w:hyperlink>
      <w:r>
        <w:t xml:space="preserve">“ </w:t>
      </w:r>
      <w:r w:rsidRPr="00035E2B">
        <w:t>‘Genetic Resources’</w:t>
      </w:r>
      <w:r>
        <w:t xml:space="preserve"> in the CBD: </w:t>
      </w:r>
      <w:r w:rsidRPr="00035E2B">
        <w:t>The Wording, the Past, the Present and the Future</w:t>
      </w:r>
      <w:r>
        <w:t xml:space="preserve">” </w:t>
      </w:r>
      <w:r w:rsidRPr="00757A47">
        <w:t>Fridtjof Nansen Institute Report 4/2010</w:t>
      </w:r>
      <w:r>
        <w:t xml:space="preserve"> (</w:t>
      </w:r>
      <w:hyperlink r:id="rId15" w:history="1">
        <w:r w:rsidRPr="00D503E1">
          <w:rPr>
            <w:rStyle w:val="Hyperlink"/>
            <w:color w:val="auto"/>
            <w:u w:val="none"/>
          </w:rPr>
          <w:t>http://www.fni.no/doc&amp;pdf/FNI-R0410.pdf</w:t>
        </w:r>
      </w:hyperlink>
      <w:r w:rsidRPr="00D503E1">
        <w:t xml:space="preserve"> </w:t>
      </w:r>
      <w:r>
        <w:t xml:space="preserve">) </w:t>
      </w:r>
      <w:r w:rsidRPr="00035E2B">
        <w:t>(</w:t>
      </w:r>
      <w:r>
        <w:t>Accessed November 2018</w:t>
      </w:r>
      <w:r w:rsidRPr="00035E2B">
        <w:t>)</w:t>
      </w:r>
      <w:r>
        <w:t xml:space="preserve">; </w:t>
      </w:r>
      <w:r w:rsidRPr="00A85508">
        <w:t xml:space="preserve">Morten Walløe </w:t>
      </w:r>
      <w:hyperlink r:id="rId16" w:history="1">
        <w:r w:rsidRPr="00A85508">
          <w:t xml:space="preserve">Tvedt </w:t>
        </w:r>
      </w:hyperlink>
      <w:r w:rsidRPr="00A85508">
        <w:t xml:space="preserve"> and </w:t>
      </w:r>
      <w:hyperlink r:id="rId17" w:history="1">
        <w:r w:rsidRPr="00A85508">
          <w:t>Peter Johan Schei</w:t>
        </w:r>
      </w:hyperlink>
      <w:r w:rsidRPr="00A85508">
        <w:t xml:space="preserve"> “The Term 'Genetic Resources': Flexible and Dynamic while P</w:t>
      </w:r>
      <w:r>
        <w:t>roviding Legal Certainty?” in S Oberthür and GK</w:t>
      </w:r>
      <w:r w:rsidRPr="00A85508">
        <w:t xml:space="preserve"> Rosendal (eds), </w:t>
      </w:r>
      <w:r w:rsidRPr="00A85508">
        <w:rPr>
          <w:i/>
        </w:rPr>
        <w:t>Global Governance of Genetic Resources: Access</w:t>
      </w:r>
      <w:r>
        <w:rPr>
          <w:i/>
        </w:rPr>
        <w:t xml:space="preserve"> and Benefit Sharing after the </w:t>
      </w:r>
      <w:r w:rsidRPr="00A85508">
        <w:rPr>
          <w:i/>
        </w:rPr>
        <w:t>Protocol</w:t>
      </w:r>
      <w:r w:rsidRPr="00A85508">
        <w:t xml:space="preserve"> (Routledge , London/New York, 2014)</w:t>
      </w:r>
      <w:r>
        <w:t>, 18</w:t>
      </w:r>
    </w:p>
    <w:p w:rsidR="00FF0F7C" w:rsidRDefault="00FF0F7C">
      <w:pPr>
        <w:pStyle w:val="FootnoteText"/>
      </w:pPr>
    </w:p>
  </w:footnote>
  <w:footnote w:id="91">
    <w:p w:rsidR="00FF0F7C" w:rsidRDefault="00FF0F7C" w:rsidP="005A512F">
      <w:pPr>
        <w:pStyle w:val="FootnoteText"/>
      </w:pPr>
      <w:r>
        <w:rPr>
          <w:rStyle w:val="FootnoteReference"/>
        </w:rPr>
        <w:footnoteRef/>
      </w:r>
      <w:r>
        <w:t xml:space="preserve"> Particularly where the phenotype is the result of the interaction of a number of separate genes.</w:t>
      </w:r>
    </w:p>
    <w:p w:rsidR="00FF0F7C" w:rsidRDefault="00FF0F7C" w:rsidP="005A512F">
      <w:pPr>
        <w:pStyle w:val="FootnoteText"/>
      </w:pPr>
    </w:p>
  </w:footnote>
  <w:footnote w:id="92">
    <w:p w:rsidR="00FF0F7C" w:rsidRDefault="00FF0F7C" w:rsidP="005E06CE">
      <w:pPr>
        <w:pStyle w:val="FootnoteText"/>
        <w:rPr>
          <w:rStyle w:val="citation"/>
        </w:rPr>
      </w:pPr>
      <w:r>
        <w:rPr>
          <w:rStyle w:val="FootnoteReference"/>
        </w:rPr>
        <w:footnoteRef/>
      </w:r>
      <w:r>
        <w:t xml:space="preserve"> </w:t>
      </w:r>
      <w:r>
        <w:rPr>
          <w:rStyle w:val="citation"/>
        </w:rPr>
        <w:t xml:space="preserve">Nessa Carey </w:t>
      </w:r>
      <w:r w:rsidRPr="00B47846">
        <w:rPr>
          <w:rStyle w:val="citation"/>
          <w:i/>
        </w:rPr>
        <w:t>The epigenetics revolution. How modern biology is rewriting our understanding of genetics, disease and inheritance</w:t>
      </w:r>
      <w:r>
        <w:rPr>
          <w:rStyle w:val="citation"/>
        </w:rPr>
        <w:t xml:space="preserve"> (Icon Books, London 2012), 53</w:t>
      </w:r>
    </w:p>
    <w:p w:rsidR="00FF0F7C" w:rsidRDefault="00FF0F7C" w:rsidP="005E06CE">
      <w:pPr>
        <w:pStyle w:val="FootnoteText"/>
      </w:pPr>
    </w:p>
  </w:footnote>
  <w:footnote w:id="93">
    <w:p w:rsidR="00FF0F7C" w:rsidRDefault="00FF0F7C" w:rsidP="002B086F">
      <w:pPr>
        <w:pStyle w:val="FootnoteText"/>
        <w:jc w:val="both"/>
      </w:pPr>
      <w:r>
        <w:rPr>
          <w:rStyle w:val="FootnoteReference"/>
        </w:rPr>
        <w:footnoteRef/>
      </w:r>
      <w:r>
        <w:t xml:space="preserve"> Lesk, </w:t>
      </w:r>
      <w:r w:rsidRPr="002B086F">
        <w:rPr>
          <w:i/>
        </w:rPr>
        <w:t>Introduction to Genomics</w:t>
      </w:r>
      <w:r>
        <w:t xml:space="preserve"> (n 41), 8</w:t>
      </w:r>
    </w:p>
    <w:p w:rsidR="00FF0F7C" w:rsidRDefault="00FF0F7C">
      <w:pPr>
        <w:pStyle w:val="FootnoteText"/>
      </w:pPr>
    </w:p>
  </w:footnote>
  <w:footnote w:id="94">
    <w:p w:rsidR="00FF0F7C" w:rsidRDefault="00FF0F7C">
      <w:pPr>
        <w:pStyle w:val="FootnoteText"/>
      </w:pPr>
      <w:r>
        <w:rPr>
          <w:rStyle w:val="FootnoteReference"/>
        </w:rPr>
        <w:footnoteRef/>
      </w:r>
      <w:r>
        <w:t xml:space="preserve"> S Schoenfelder et al. “</w:t>
      </w:r>
      <w:r w:rsidRPr="00106B56">
        <w:t>Preferential associations between co-regulated genes reveal a transcriptional interactome in erythroid cells</w:t>
      </w:r>
      <w:r>
        <w:t>” (2010) 42 Nature Genetics 53</w:t>
      </w:r>
    </w:p>
    <w:p w:rsidR="00FF0F7C" w:rsidRDefault="00FF0F7C">
      <w:pPr>
        <w:pStyle w:val="FootnoteText"/>
      </w:pPr>
    </w:p>
  </w:footnote>
  <w:footnote w:id="95">
    <w:p w:rsidR="00FF0F7C" w:rsidRDefault="00FF0F7C" w:rsidP="004C0E41">
      <w:pPr>
        <w:pStyle w:val="FootnoteText"/>
      </w:pPr>
      <w:r>
        <w:rPr>
          <w:rStyle w:val="FootnoteReference"/>
        </w:rPr>
        <w:footnoteRef/>
      </w:r>
      <w:r>
        <w:t xml:space="preserve"> Lesk, </w:t>
      </w:r>
      <w:r w:rsidRPr="0017384B">
        <w:rPr>
          <w:i/>
        </w:rPr>
        <w:t>Introduction to Genomics</w:t>
      </w:r>
      <w:r>
        <w:t xml:space="preserve"> (n 41), 9</w:t>
      </w:r>
    </w:p>
    <w:p w:rsidR="00FF0F7C" w:rsidRDefault="00FF0F7C" w:rsidP="004C0E41">
      <w:pPr>
        <w:pStyle w:val="FootnoteText"/>
      </w:pPr>
    </w:p>
  </w:footnote>
  <w:footnote w:id="96">
    <w:p w:rsidR="00FF0F7C" w:rsidRDefault="00FF0F7C" w:rsidP="00391B71">
      <w:pPr>
        <w:pStyle w:val="FootnoteText"/>
      </w:pPr>
      <w:r>
        <w:rPr>
          <w:rStyle w:val="FootnoteReference"/>
        </w:rPr>
        <w:footnoteRef/>
      </w:r>
      <w:r>
        <w:t xml:space="preserve"> See for example such treatment by the European Medicines Agency: </w:t>
      </w:r>
      <w:hyperlink r:id="rId18" w:history="1">
        <w:r w:rsidRPr="00062D30">
          <w:rPr>
            <w:rStyle w:val="Hyperlink"/>
            <w:color w:val="auto"/>
            <w:u w:val="none"/>
          </w:rPr>
          <w:t>http://www.ema.europa.eu/ema/index.jsp?curl=pages/medicines/general/general_content_001832.jsp&amp;mid=WC0b01ac0580bb8fda</w:t>
        </w:r>
      </w:hyperlink>
      <w:r>
        <w:t xml:space="preserve"> (Accessed November 2018).</w:t>
      </w:r>
    </w:p>
  </w:footnote>
  <w:footnote w:id="97">
    <w:p w:rsidR="00FF0F7C" w:rsidRDefault="00FF0F7C" w:rsidP="00CA1F37">
      <w:pPr>
        <w:pStyle w:val="FootnoteText"/>
      </w:pPr>
      <w:r>
        <w:rPr>
          <w:rStyle w:val="FootnoteReference"/>
        </w:rPr>
        <w:footnoteRef/>
      </w:r>
      <w:r>
        <w:t xml:space="preserve"> Commission Notice (n 48) para 2.3.2</w:t>
      </w:r>
    </w:p>
  </w:footnote>
  <w:footnote w:id="98">
    <w:p w:rsidR="00FF0F7C" w:rsidRDefault="00FF0F7C" w:rsidP="00CA1F37">
      <w:pPr>
        <w:pStyle w:val="FootnoteText"/>
      </w:pPr>
      <w:r w:rsidRPr="00A94D92">
        <w:rPr>
          <w:rStyle w:val="FootnoteReference"/>
        </w:rPr>
        <w:footnoteRef/>
      </w:r>
      <w:r w:rsidRPr="00A94D92">
        <w:t xml:space="preserve"> </w:t>
      </w:r>
      <w:r>
        <w:t xml:space="preserve">Morgera, </w:t>
      </w:r>
      <w:r w:rsidRPr="00420E4D">
        <w:rPr>
          <w:i/>
        </w:rPr>
        <w:t>Unravelling the  Protocol</w:t>
      </w:r>
      <w:r>
        <w:rPr>
          <w:i/>
        </w:rPr>
        <w:t xml:space="preserve"> </w:t>
      </w:r>
      <w:r>
        <w:t>(n 36), 74</w:t>
      </w:r>
    </w:p>
    <w:p w:rsidR="00FF0F7C" w:rsidRPr="00A94D92" w:rsidRDefault="00FF0F7C" w:rsidP="00CA1F37">
      <w:pPr>
        <w:pStyle w:val="Default"/>
        <w:rPr>
          <w:rFonts w:ascii="Times New Roman" w:hAnsi="Times New Roman" w:cs="Times New Roman"/>
          <w:sz w:val="20"/>
          <w:szCs w:val="20"/>
        </w:rPr>
      </w:pPr>
    </w:p>
  </w:footnote>
  <w:footnote w:id="99">
    <w:p w:rsidR="00FF0F7C" w:rsidRDefault="00FF0F7C" w:rsidP="00CA1F37">
      <w:pPr>
        <w:pStyle w:val="FootnoteText"/>
      </w:pPr>
      <w:r>
        <w:rPr>
          <w:rStyle w:val="FootnoteReference"/>
        </w:rPr>
        <w:footnoteRef/>
      </w:r>
      <w:r>
        <w:t xml:space="preserve"> Ibid.</w:t>
      </w:r>
    </w:p>
    <w:p w:rsidR="00FF0F7C" w:rsidRDefault="00FF0F7C" w:rsidP="00CA1F37">
      <w:pPr>
        <w:pStyle w:val="FootnoteText"/>
      </w:pPr>
    </w:p>
  </w:footnote>
  <w:footnote w:id="100">
    <w:p w:rsidR="00FF0F7C" w:rsidRDefault="00FF0F7C" w:rsidP="00CA1F37">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4441A6">
        <w:rPr>
          <w:rFonts w:ascii="Times New Roman" w:hAnsi="Times New Roman" w:cs="Times New Roman"/>
          <w:bCs/>
          <w:sz w:val="20"/>
          <w:szCs w:val="20"/>
        </w:rPr>
        <w:t xml:space="preserve">Report of the Sixth Meeting of the Ad Hoc Open-Ended Inter-Sessional Working Group on Article 8(J) and Related Provisions of the Convention on Biological Diversity, </w:t>
      </w:r>
      <w:r w:rsidRPr="004441A6">
        <w:rPr>
          <w:rFonts w:ascii="Times New Roman" w:hAnsi="Times New Roman" w:cs="Times New Roman"/>
          <w:sz w:val="20"/>
          <w:szCs w:val="20"/>
        </w:rPr>
        <w:t>Conference of the Parties to the Convention on Biological Diversity Tenth Meeting Nagoya, Japan, 18-29 October 2010</w:t>
      </w:r>
      <w:r>
        <w:rPr>
          <w:rFonts w:ascii="Times New Roman" w:hAnsi="Times New Roman" w:cs="Times New Roman"/>
          <w:sz w:val="20"/>
          <w:szCs w:val="20"/>
        </w:rPr>
        <w:t>, 36</w:t>
      </w:r>
    </w:p>
    <w:p w:rsidR="00FF0F7C" w:rsidRPr="00D503E1" w:rsidRDefault="00FF0F7C" w:rsidP="00CA1F37">
      <w:pPr>
        <w:autoSpaceDE w:val="0"/>
        <w:autoSpaceDN w:val="0"/>
        <w:adjustRightInd w:val="0"/>
        <w:spacing w:after="0" w:line="240" w:lineRule="auto"/>
        <w:jc w:val="both"/>
        <w:rPr>
          <w:rFonts w:ascii="Times New Roman" w:hAnsi="Times New Roman" w:cs="Times New Roman"/>
        </w:rPr>
      </w:pPr>
      <w:hyperlink r:id="rId19" w:history="1">
        <w:r w:rsidRPr="00D503E1">
          <w:rPr>
            <w:rStyle w:val="Hyperlink"/>
            <w:rFonts w:ascii="Times New Roman" w:hAnsi="Times New Roman" w:cs="Times New Roman"/>
            <w:color w:val="auto"/>
            <w:sz w:val="20"/>
            <w:szCs w:val="20"/>
            <w:u w:val="none"/>
          </w:rPr>
          <w:t>https://www.cbd.int/doc/meetings/cop/cop-10/official/cop-10-02-en.pdf</w:t>
        </w:r>
      </w:hyperlink>
      <w:r w:rsidRPr="00D503E1">
        <w:rPr>
          <w:rFonts w:ascii="Times New Roman" w:hAnsi="Times New Roman" w:cs="Times New Roman"/>
          <w:sz w:val="20"/>
          <w:szCs w:val="20"/>
        </w:rPr>
        <w:t xml:space="preserve"> </w:t>
      </w:r>
      <w:r w:rsidRPr="00D503E1">
        <w:rPr>
          <w:rFonts w:ascii="Times New Roman" w:hAnsi="Times New Roman" w:cs="Times New Roman"/>
          <w:sz w:val="20"/>
          <w:szCs w:val="20"/>
          <w:lang w:val="en-US"/>
        </w:rPr>
        <w:t>(</w:t>
      </w:r>
      <w:r>
        <w:rPr>
          <w:rFonts w:ascii="Times New Roman" w:hAnsi="Times New Roman" w:cs="Times New Roman"/>
          <w:sz w:val="20"/>
          <w:szCs w:val="20"/>
          <w:lang w:val="en-US"/>
        </w:rPr>
        <w:t>Accessed November 2018</w:t>
      </w:r>
      <w:r w:rsidRPr="00D503E1">
        <w:rPr>
          <w:rFonts w:ascii="Times New Roman" w:hAnsi="Times New Roman" w:cs="Times New Roman"/>
          <w:sz w:val="20"/>
          <w:szCs w:val="20"/>
          <w:lang w:val="en-US"/>
        </w:rPr>
        <w:t>)</w:t>
      </w:r>
    </w:p>
  </w:footnote>
  <w:footnote w:id="101">
    <w:p w:rsidR="00FF0F7C" w:rsidRPr="00D503E1" w:rsidRDefault="00FF0F7C" w:rsidP="00CA1F37">
      <w:pPr>
        <w:pStyle w:val="FootnoteText"/>
        <w:jc w:val="both"/>
      </w:pPr>
    </w:p>
    <w:p w:rsidR="00FF0F7C" w:rsidRPr="00D503E1" w:rsidRDefault="00FF0F7C" w:rsidP="00CA1F37">
      <w:pPr>
        <w:pStyle w:val="FootnoteText"/>
        <w:jc w:val="both"/>
        <w:rPr>
          <w:lang w:val="en-US"/>
        </w:rPr>
      </w:pPr>
      <w:r w:rsidRPr="00D503E1">
        <w:rPr>
          <w:rStyle w:val="FootnoteReference"/>
        </w:rPr>
        <w:footnoteRef/>
      </w:r>
      <w:r w:rsidRPr="00D503E1">
        <w:t xml:space="preserve"> </w:t>
      </w:r>
      <w:r w:rsidRPr="00D503E1">
        <w:rPr>
          <w:lang w:val="en-US"/>
        </w:rPr>
        <w:t>Report of the Meeting of the Group of Technical and Legal Experts on Traditional Knowledge Associated with Genetic Resources in the Context of the International Regime on Access and Benefit-Sharing Montreal 9-15 November 2009 (UNEP/CBD/WG-ABS/8/2),</w:t>
      </w:r>
      <w:r>
        <w:rPr>
          <w:lang w:val="en-US"/>
        </w:rPr>
        <w:t xml:space="preserve"> </w:t>
      </w:r>
      <w:r w:rsidRPr="00D503E1">
        <w:rPr>
          <w:lang w:val="en-US"/>
        </w:rPr>
        <w:t>8</w:t>
      </w:r>
    </w:p>
    <w:p w:rsidR="00FF0F7C" w:rsidRPr="00D503E1" w:rsidRDefault="00FF0F7C" w:rsidP="00CA1F37">
      <w:pPr>
        <w:pStyle w:val="FootnoteText"/>
        <w:jc w:val="both"/>
        <w:rPr>
          <w:lang w:val="en-US"/>
        </w:rPr>
      </w:pPr>
      <w:r w:rsidRPr="00D503E1">
        <w:rPr>
          <w:lang w:val="en-US"/>
        </w:rPr>
        <w:t xml:space="preserve"> </w:t>
      </w:r>
      <w:hyperlink r:id="rId20" w:history="1">
        <w:r w:rsidRPr="00D503E1">
          <w:rPr>
            <w:rStyle w:val="Hyperlink"/>
            <w:color w:val="auto"/>
            <w:u w:val="none"/>
            <w:lang w:val="en-US"/>
          </w:rPr>
          <w:t>http://www.cbd.int/doc/meetings/abs/abswg-08/official/abswg-08-02-en.pdf</w:t>
        </w:r>
      </w:hyperlink>
      <w:r>
        <w:rPr>
          <w:lang w:val="en-US"/>
        </w:rPr>
        <w:t xml:space="preserve"> (Accessed November 2018</w:t>
      </w:r>
      <w:r w:rsidRPr="00D503E1">
        <w:rPr>
          <w:lang w:val="en-US"/>
        </w:rPr>
        <w:t>)</w:t>
      </w:r>
    </w:p>
    <w:p w:rsidR="00FF0F7C" w:rsidRPr="00D503E1" w:rsidRDefault="00FF0F7C" w:rsidP="00CA1F37">
      <w:pPr>
        <w:pStyle w:val="FootnoteText"/>
        <w:jc w:val="both"/>
      </w:pPr>
    </w:p>
  </w:footnote>
  <w:footnote w:id="102">
    <w:p w:rsidR="00FF0F7C" w:rsidRDefault="00FF0F7C" w:rsidP="00CA1F37">
      <w:pPr>
        <w:pStyle w:val="FootnoteText"/>
        <w:jc w:val="both"/>
      </w:pPr>
      <w:r>
        <w:rPr>
          <w:rStyle w:val="FootnoteReference"/>
        </w:rPr>
        <w:footnoteRef/>
      </w:r>
      <w:r>
        <w:t xml:space="preserve"> United Nations Environmental Program</w:t>
      </w:r>
    </w:p>
  </w:footnote>
  <w:footnote w:id="103">
    <w:p w:rsidR="00FF0F7C" w:rsidRPr="0087004D" w:rsidRDefault="00FF0F7C">
      <w:pPr>
        <w:pStyle w:val="FootnoteText"/>
      </w:pPr>
      <w:r>
        <w:rPr>
          <w:rStyle w:val="FootnoteReference"/>
        </w:rPr>
        <w:footnoteRef/>
      </w:r>
      <w:r>
        <w:t xml:space="preserve"> </w:t>
      </w:r>
      <w:r w:rsidRPr="008847CC">
        <w:t>For a review of potential di</w:t>
      </w:r>
      <w:r>
        <w:t>rections for development see: J</w:t>
      </w:r>
      <w:r w:rsidRPr="008847CC">
        <w:t>C Venter (n 1), 250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C72F8A"/>
    <w:multiLevelType w:val="hybridMultilevel"/>
    <w:tmpl w:val="AE429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9E5ACE"/>
    <w:multiLevelType w:val="hybridMultilevel"/>
    <w:tmpl w:val="C234C8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C102D4"/>
    <w:multiLevelType w:val="hybridMultilevel"/>
    <w:tmpl w:val="FDB0F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565154"/>
    <w:multiLevelType w:val="hybridMultilevel"/>
    <w:tmpl w:val="5F9085E4"/>
    <w:lvl w:ilvl="0" w:tplc="735894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030A33"/>
    <w:multiLevelType w:val="hybridMultilevel"/>
    <w:tmpl w:val="CAD0021C"/>
    <w:lvl w:ilvl="0" w:tplc="3CB422D4">
      <w:start w:val="1"/>
      <w:numFmt w:val="lowerLetter"/>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6031FB"/>
    <w:multiLevelType w:val="hybridMultilevel"/>
    <w:tmpl w:val="6CA211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BB1924"/>
    <w:multiLevelType w:val="hybridMultilevel"/>
    <w:tmpl w:val="5BAE9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3"/>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5E71"/>
    <w:rsid w:val="00006A6C"/>
    <w:rsid w:val="00012DDE"/>
    <w:rsid w:val="00014C84"/>
    <w:rsid w:val="00016B18"/>
    <w:rsid w:val="000208E2"/>
    <w:rsid w:val="00024102"/>
    <w:rsid w:val="00026784"/>
    <w:rsid w:val="000379FF"/>
    <w:rsid w:val="00056812"/>
    <w:rsid w:val="0006060B"/>
    <w:rsid w:val="000617BC"/>
    <w:rsid w:val="00062D30"/>
    <w:rsid w:val="00066A9F"/>
    <w:rsid w:val="0007683E"/>
    <w:rsid w:val="000A463D"/>
    <w:rsid w:val="000A72B5"/>
    <w:rsid w:val="000B259F"/>
    <w:rsid w:val="000B42BB"/>
    <w:rsid w:val="000C6EAB"/>
    <w:rsid w:val="000C7E3B"/>
    <w:rsid w:val="000D7732"/>
    <w:rsid w:val="000D7B8E"/>
    <w:rsid w:val="000E54DD"/>
    <w:rsid w:val="000F2008"/>
    <w:rsid w:val="000F2620"/>
    <w:rsid w:val="00103DB5"/>
    <w:rsid w:val="00106B56"/>
    <w:rsid w:val="00111254"/>
    <w:rsid w:val="00113B4F"/>
    <w:rsid w:val="00115E71"/>
    <w:rsid w:val="001206C0"/>
    <w:rsid w:val="00126D0F"/>
    <w:rsid w:val="001324D0"/>
    <w:rsid w:val="00134B46"/>
    <w:rsid w:val="0014157E"/>
    <w:rsid w:val="00166580"/>
    <w:rsid w:val="001711B2"/>
    <w:rsid w:val="0017384B"/>
    <w:rsid w:val="00194117"/>
    <w:rsid w:val="001B032D"/>
    <w:rsid w:val="001C1A66"/>
    <w:rsid w:val="001D3B59"/>
    <w:rsid w:val="001D5E49"/>
    <w:rsid w:val="001E5221"/>
    <w:rsid w:val="001E7810"/>
    <w:rsid w:val="0020444E"/>
    <w:rsid w:val="002071F6"/>
    <w:rsid w:val="002110B8"/>
    <w:rsid w:val="002457DF"/>
    <w:rsid w:val="002530EB"/>
    <w:rsid w:val="00271DB1"/>
    <w:rsid w:val="0027610B"/>
    <w:rsid w:val="00282E41"/>
    <w:rsid w:val="00292621"/>
    <w:rsid w:val="002B0817"/>
    <w:rsid w:val="002B086F"/>
    <w:rsid w:val="002B1C9E"/>
    <w:rsid w:val="002B3D2F"/>
    <w:rsid w:val="002C7428"/>
    <w:rsid w:val="002D411C"/>
    <w:rsid w:val="002E41F4"/>
    <w:rsid w:val="002F17F7"/>
    <w:rsid w:val="0030749B"/>
    <w:rsid w:val="00316E16"/>
    <w:rsid w:val="00317CB0"/>
    <w:rsid w:val="00317E59"/>
    <w:rsid w:val="00334D51"/>
    <w:rsid w:val="00335DB4"/>
    <w:rsid w:val="003611C4"/>
    <w:rsid w:val="00363557"/>
    <w:rsid w:val="0036558E"/>
    <w:rsid w:val="003708C0"/>
    <w:rsid w:val="00372362"/>
    <w:rsid w:val="00372F95"/>
    <w:rsid w:val="00380C25"/>
    <w:rsid w:val="003832AC"/>
    <w:rsid w:val="0038370C"/>
    <w:rsid w:val="00391B71"/>
    <w:rsid w:val="003B7575"/>
    <w:rsid w:val="003B76B7"/>
    <w:rsid w:val="003D6141"/>
    <w:rsid w:val="003E4C70"/>
    <w:rsid w:val="003E6824"/>
    <w:rsid w:val="00401DA7"/>
    <w:rsid w:val="00421D02"/>
    <w:rsid w:val="00434997"/>
    <w:rsid w:val="00436679"/>
    <w:rsid w:val="00436EE9"/>
    <w:rsid w:val="00437399"/>
    <w:rsid w:val="00446867"/>
    <w:rsid w:val="00457477"/>
    <w:rsid w:val="00462A49"/>
    <w:rsid w:val="004706E3"/>
    <w:rsid w:val="00470804"/>
    <w:rsid w:val="00470D82"/>
    <w:rsid w:val="00472DA9"/>
    <w:rsid w:val="00474CA4"/>
    <w:rsid w:val="00475B08"/>
    <w:rsid w:val="004823F2"/>
    <w:rsid w:val="00487125"/>
    <w:rsid w:val="004B3AA6"/>
    <w:rsid w:val="004B625D"/>
    <w:rsid w:val="004C0E41"/>
    <w:rsid w:val="004C7C23"/>
    <w:rsid w:val="004D2611"/>
    <w:rsid w:val="004E2813"/>
    <w:rsid w:val="004E7645"/>
    <w:rsid w:val="004F0151"/>
    <w:rsid w:val="004F120B"/>
    <w:rsid w:val="004F2AE9"/>
    <w:rsid w:val="004F2F4D"/>
    <w:rsid w:val="004F58BB"/>
    <w:rsid w:val="004F674C"/>
    <w:rsid w:val="00511445"/>
    <w:rsid w:val="0052603B"/>
    <w:rsid w:val="005263DF"/>
    <w:rsid w:val="00532956"/>
    <w:rsid w:val="00545481"/>
    <w:rsid w:val="005524D2"/>
    <w:rsid w:val="00560D68"/>
    <w:rsid w:val="0056258D"/>
    <w:rsid w:val="00566EC8"/>
    <w:rsid w:val="00574434"/>
    <w:rsid w:val="00576DE3"/>
    <w:rsid w:val="00582026"/>
    <w:rsid w:val="00594775"/>
    <w:rsid w:val="00594816"/>
    <w:rsid w:val="00595EF9"/>
    <w:rsid w:val="005964E7"/>
    <w:rsid w:val="005A1DD5"/>
    <w:rsid w:val="005A512F"/>
    <w:rsid w:val="005A56DC"/>
    <w:rsid w:val="005C34A3"/>
    <w:rsid w:val="005C5484"/>
    <w:rsid w:val="005D11CB"/>
    <w:rsid w:val="005E02C6"/>
    <w:rsid w:val="005E06CE"/>
    <w:rsid w:val="005F2D83"/>
    <w:rsid w:val="005F469C"/>
    <w:rsid w:val="006041EA"/>
    <w:rsid w:val="00621098"/>
    <w:rsid w:val="00641052"/>
    <w:rsid w:val="00641B53"/>
    <w:rsid w:val="00671585"/>
    <w:rsid w:val="006715E1"/>
    <w:rsid w:val="00682231"/>
    <w:rsid w:val="006875D0"/>
    <w:rsid w:val="006959F0"/>
    <w:rsid w:val="006A5DD5"/>
    <w:rsid w:val="006C7759"/>
    <w:rsid w:val="006D0856"/>
    <w:rsid w:val="006E2CC0"/>
    <w:rsid w:val="006E6E8C"/>
    <w:rsid w:val="006F0AF0"/>
    <w:rsid w:val="006F210F"/>
    <w:rsid w:val="00711672"/>
    <w:rsid w:val="0071796E"/>
    <w:rsid w:val="00717C2F"/>
    <w:rsid w:val="00725DAB"/>
    <w:rsid w:val="007268B7"/>
    <w:rsid w:val="0073261C"/>
    <w:rsid w:val="007348DD"/>
    <w:rsid w:val="0073495D"/>
    <w:rsid w:val="00736FEC"/>
    <w:rsid w:val="0075229B"/>
    <w:rsid w:val="007626DE"/>
    <w:rsid w:val="0076698C"/>
    <w:rsid w:val="00773051"/>
    <w:rsid w:val="0077705C"/>
    <w:rsid w:val="007838D8"/>
    <w:rsid w:val="00784B81"/>
    <w:rsid w:val="00793EA8"/>
    <w:rsid w:val="0079623F"/>
    <w:rsid w:val="007A1406"/>
    <w:rsid w:val="007A1DCE"/>
    <w:rsid w:val="007A522A"/>
    <w:rsid w:val="007B133F"/>
    <w:rsid w:val="007C10E1"/>
    <w:rsid w:val="007C653C"/>
    <w:rsid w:val="007C7529"/>
    <w:rsid w:val="007D6A5B"/>
    <w:rsid w:val="007D7FCA"/>
    <w:rsid w:val="007F1C1B"/>
    <w:rsid w:val="008036CA"/>
    <w:rsid w:val="00810EFA"/>
    <w:rsid w:val="00817F16"/>
    <w:rsid w:val="0082230B"/>
    <w:rsid w:val="00836493"/>
    <w:rsid w:val="00843218"/>
    <w:rsid w:val="00844460"/>
    <w:rsid w:val="00847017"/>
    <w:rsid w:val="008478C2"/>
    <w:rsid w:val="008502E4"/>
    <w:rsid w:val="008564DA"/>
    <w:rsid w:val="00856A3D"/>
    <w:rsid w:val="008664FF"/>
    <w:rsid w:val="0086701A"/>
    <w:rsid w:val="0087004D"/>
    <w:rsid w:val="00880969"/>
    <w:rsid w:val="008847CC"/>
    <w:rsid w:val="00886962"/>
    <w:rsid w:val="00891831"/>
    <w:rsid w:val="00895518"/>
    <w:rsid w:val="008B29F2"/>
    <w:rsid w:val="008B2C3C"/>
    <w:rsid w:val="008B3B62"/>
    <w:rsid w:val="008B527C"/>
    <w:rsid w:val="008C0AE1"/>
    <w:rsid w:val="008C0C9F"/>
    <w:rsid w:val="008C78C8"/>
    <w:rsid w:val="008D0FFE"/>
    <w:rsid w:val="008D1A6E"/>
    <w:rsid w:val="008D4DC9"/>
    <w:rsid w:val="008D5749"/>
    <w:rsid w:val="008D68DC"/>
    <w:rsid w:val="008E4D15"/>
    <w:rsid w:val="008F468E"/>
    <w:rsid w:val="008F5FC2"/>
    <w:rsid w:val="00902516"/>
    <w:rsid w:val="00917185"/>
    <w:rsid w:val="0092177B"/>
    <w:rsid w:val="009303A4"/>
    <w:rsid w:val="00932BBB"/>
    <w:rsid w:val="009333A6"/>
    <w:rsid w:val="00942576"/>
    <w:rsid w:val="009464A8"/>
    <w:rsid w:val="00951D7D"/>
    <w:rsid w:val="00966FAF"/>
    <w:rsid w:val="00967A03"/>
    <w:rsid w:val="00971614"/>
    <w:rsid w:val="0097350C"/>
    <w:rsid w:val="0097366D"/>
    <w:rsid w:val="00977ABD"/>
    <w:rsid w:val="00981A71"/>
    <w:rsid w:val="00984F11"/>
    <w:rsid w:val="009966BC"/>
    <w:rsid w:val="009A0719"/>
    <w:rsid w:val="009A4A83"/>
    <w:rsid w:val="009A5B9F"/>
    <w:rsid w:val="009B2570"/>
    <w:rsid w:val="009B3BAF"/>
    <w:rsid w:val="009C35C7"/>
    <w:rsid w:val="009C4260"/>
    <w:rsid w:val="009C762D"/>
    <w:rsid w:val="009D733D"/>
    <w:rsid w:val="009E5237"/>
    <w:rsid w:val="009F6E55"/>
    <w:rsid w:val="00A40648"/>
    <w:rsid w:val="00A511BE"/>
    <w:rsid w:val="00A54846"/>
    <w:rsid w:val="00A55D0E"/>
    <w:rsid w:val="00A700CB"/>
    <w:rsid w:val="00A8042B"/>
    <w:rsid w:val="00A80D4F"/>
    <w:rsid w:val="00A90DDC"/>
    <w:rsid w:val="00A922FF"/>
    <w:rsid w:val="00AA203D"/>
    <w:rsid w:val="00AA30C2"/>
    <w:rsid w:val="00AA388D"/>
    <w:rsid w:val="00AA4DF6"/>
    <w:rsid w:val="00AB0367"/>
    <w:rsid w:val="00AD112C"/>
    <w:rsid w:val="00AF5106"/>
    <w:rsid w:val="00AF566A"/>
    <w:rsid w:val="00B01185"/>
    <w:rsid w:val="00B071DB"/>
    <w:rsid w:val="00B228E3"/>
    <w:rsid w:val="00B30C21"/>
    <w:rsid w:val="00B315CF"/>
    <w:rsid w:val="00B33C33"/>
    <w:rsid w:val="00B36D00"/>
    <w:rsid w:val="00B376CF"/>
    <w:rsid w:val="00B40584"/>
    <w:rsid w:val="00B40EC7"/>
    <w:rsid w:val="00B43D78"/>
    <w:rsid w:val="00B45C0C"/>
    <w:rsid w:val="00B47846"/>
    <w:rsid w:val="00B64D06"/>
    <w:rsid w:val="00B70BB0"/>
    <w:rsid w:val="00B81830"/>
    <w:rsid w:val="00B85EB4"/>
    <w:rsid w:val="00B969F4"/>
    <w:rsid w:val="00BA54BD"/>
    <w:rsid w:val="00BA55D9"/>
    <w:rsid w:val="00BC0B2A"/>
    <w:rsid w:val="00BC142C"/>
    <w:rsid w:val="00BC1630"/>
    <w:rsid w:val="00BC47D4"/>
    <w:rsid w:val="00BD1E59"/>
    <w:rsid w:val="00BD24A0"/>
    <w:rsid w:val="00BD7DBA"/>
    <w:rsid w:val="00BE0643"/>
    <w:rsid w:val="00BF5C28"/>
    <w:rsid w:val="00BF73FE"/>
    <w:rsid w:val="00C05071"/>
    <w:rsid w:val="00C2492C"/>
    <w:rsid w:val="00C32545"/>
    <w:rsid w:val="00C34D8D"/>
    <w:rsid w:val="00C35FDD"/>
    <w:rsid w:val="00C41B51"/>
    <w:rsid w:val="00C56073"/>
    <w:rsid w:val="00C608B2"/>
    <w:rsid w:val="00C75589"/>
    <w:rsid w:val="00C759DA"/>
    <w:rsid w:val="00C76049"/>
    <w:rsid w:val="00C8325A"/>
    <w:rsid w:val="00C86836"/>
    <w:rsid w:val="00CA01D5"/>
    <w:rsid w:val="00CA1F37"/>
    <w:rsid w:val="00CA2319"/>
    <w:rsid w:val="00CB12AD"/>
    <w:rsid w:val="00CB2743"/>
    <w:rsid w:val="00CC08B5"/>
    <w:rsid w:val="00CC6844"/>
    <w:rsid w:val="00CD3355"/>
    <w:rsid w:val="00CD7F17"/>
    <w:rsid w:val="00CE1D43"/>
    <w:rsid w:val="00CE2C8B"/>
    <w:rsid w:val="00D00EDF"/>
    <w:rsid w:val="00D02895"/>
    <w:rsid w:val="00D04410"/>
    <w:rsid w:val="00D05FDA"/>
    <w:rsid w:val="00D33C57"/>
    <w:rsid w:val="00D4118F"/>
    <w:rsid w:val="00D477C1"/>
    <w:rsid w:val="00D510EE"/>
    <w:rsid w:val="00D95BE2"/>
    <w:rsid w:val="00DB2E93"/>
    <w:rsid w:val="00DB5AFC"/>
    <w:rsid w:val="00DD4E4A"/>
    <w:rsid w:val="00DE0EB7"/>
    <w:rsid w:val="00DE323D"/>
    <w:rsid w:val="00DE71B0"/>
    <w:rsid w:val="00DF50C7"/>
    <w:rsid w:val="00E11EF1"/>
    <w:rsid w:val="00E302BF"/>
    <w:rsid w:val="00E3233C"/>
    <w:rsid w:val="00E37CAC"/>
    <w:rsid w:val="00E46C08"/>
    <w:rsid w:val="00E54877"/>
    <w:rsid w:val="00E5668E"/>
    <w:rsid w:val="00E609AE"/>
    <w:rsid w:val="00E62FC1"/>
    <w:rsid w:val="00E7324E"/>
    <w:rsid w:val="00E747EB"/>
    <w:rsid w:val="00E75031"/>
    <w:rsid w:val="00E82C46"/>
    <w:rsid w:val="00E8736B"/>
    <w:rsid w:val="00E92E4C"/>
    <w:rsid w:val="00EA38C5"/>
    <w:rsid w:val="00EA398F"/>
    <w:rsid w:val="00EA41F7"/>
    <w:rsid w:val="00EB2D21"/>
    <w:rsid w:val="00EB520C"/>
    <w:rsid w:val="00EB764D"/>
    <w:rsid w:val="00EC72DF"/>
    <w:rsid w:val="00ED0DF2"/>
    <w:rsid w:val="00EE0C17"/>
    <w:rsid w:val="00EE611E"/>
    <w:rsid w:val="00EF3BFD"/>
    <w:rsid w:val="00EF4635"/>
    <w:rsid w:val="00F069EB"/>
    <w:rsid w:val="00F17207"/>
    <w:rsid w:val="00F2579D"/>
    <w:rsid w:val="00F3288A"/>
    <w:rsid w:val="00F34533"/>
    <w:rsid w:val="00F35DAA"/>
    <w:rsid w:val="00F37409"/>
    <w:rsid w:val="00F50B03"/>
    <w:rsid w:val="00F52118"/>
    <w:rsid w:val="00F61998"/>
    <w:rsid w:val="00F640F6"/>
    <w:rsid w:val="00F70D39"/>
    <w:rsid w:val="00F7280E"/>
    <w:rsid w:val="00F73A9A"/>
    <w:rsid w:val="00F770C4"/>
    <w:rsid w:val="00F8058D"/>
    <w:rsid w:val="00F86BFE"/>
    <w:rsid w:val="00F90D08"/>
    <w:rsid w:val="00F910CB"/>
    <w:rsid w:val="00F939F3"/>
    <w:rsid w:val="00F94D09"/>
    <w:rsid w:val="00FA20F0"/>
    <w:rsid w:val="00FB5585"/>
    <w:rsid w:val="00FB6837"/>
    <w:rsid w:val="00FC4511"/>
    <w:rsid w:val="00FC5D30"/>
    <w:rsid w:val="00FD14EB"/>
    <w:rsid w:val="00FD3DE0"/>
    <w:rsid w:val="00FE4B2D"/>
    <w:rsid w:val="00FF0F7C"/>
    <w:rsid w:val="00FF54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11"/>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115E71"/>
    <w:pPr>
      <w:keepNext/>
      <w:keepLines/>
      <w:spacing w:before="480" w:after="0"/>
      <w:outlineLvl w:val="0"/>
    </w:pPr>
    <w:rPr>
      <w:rFonts w:ascii="Times New Roman" w:eastAsiaTheme="majorEastAsia" w:hAnsi="Times New Roman" w:cs="Times New Roman"/>
      <w:bCs/>
      <w:sz w:val="32"/>
      <w:szCs w:val="32"/>
      <w:lang w:eastAsia="en-US"/>
    </w:rPr>
  </w:style>
  <w:style w:type="paragraph" w:styleId="Heading2">
    <w:name w:val="heading 2"/>
    <w:basedOn w:val="Normal"/>
    <w:link w:val="Heading2Char"/>
    <w:uiPriority w:val="9"/>
    <w:qFormat/>
    <w:rsid w:val="00115E71"/>
    <w:pPr>
      <w:spacing w:before="51" w:after="100" w:afterAutospacing="1"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115E71"/>
    <w:pPr>
      <w:keepNext/>
      <w:spacing w:before="240" w:after="60" w:line="36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115E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71"/>
    <w:rPr>
      <w:rFonts w:ascii="Times New Roman" w:eastAsiaTheme="majorEastAsia" w:hAnsi="Times New Roman" w:cs="Times New Roman"/>
      <w:bCs/>
      <w:sz w:val="32"/>
      <w:szCs w:val="32"/>
    </w:rPr>
  </w:style>
  <w:style w:type="character" w:customStyle="1" w:styleId="Heading2Char">
    <w:name w:val="Heading 2 Char"/>
    <w:basedOn w:val="DefaultParagraphFont"/>
    <w:link w:val="Heading2"/>
    <w:uiPriority w:val="9"/>
    <w:rsid w:val="00115E71"/>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rsid w:val="00115E71"/>
    <w:rPr>
      <w:rFonts w:ascii="Times New Roman" w:eastAsia="Times New Roman" w:hAnsi="Times New Roman" w:cs="Times New Roman"/>
      <w:b/>
      <w:bCs/>
      <w:sz w:val="24"/>
      <w:szCs w:val="24"/>
      <w:lang w:eastAsia="en-GB"/>
    </w:rPr>
  </w:style>
  <w:style w:type="character" w:customStyle="1" w:styleId="Heading4Char">
    <w:name w:val="Heading 4 Char"/>
    <w:basedOn w:val="DefaultParagraphFont"/>
    <w:link w:val="Heading4"/>
    <w:uiPriority w:val="9"/>
    <w:rsid w:val="00115E71"/>
    <w:rPr>
      <w:rFonts w:ascii="Times New Roman" w:eastAsia="Times New Roman" w:hAnsi="Times New Roman" w:cs="Times New Roman"/>
      <w:b/>
      <w:bCs/>
      <w:sz w:val="24"/>
      <w:szCs w:val="24"/>
      <w:lang w:eastAsia="en-GB"/>
    </w:rPr>
  </w:style>
  <w:style w:type="paragraph" w:styleId="NormalWeb">
    <w:name w:val="Normal (Web)"/>
    <w:basedOn w:val="Normal"/>
    <w:uiPriority w:val="99"/>
    <w:rsid w:val="0011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115E71"/>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115E71"/>
    <w:pPr>
      <w:spacing w:after="0" w:line="240" w:lineRule="auto"/>
    </w:pPr>
    <w:rPr>
      <w:rFonts w:ascii="Tahoma" w:hAnsi="Tahoma" w:cs="Tahoma"/>
      <w:sz w:val="16"/>
      <w:szCs w:val="16"/>
    </w:rPr>
  </w:style>
  <w:style w:type="paragraph" w:styleId="ListParagraph">
    <w:name w:val="List Paragraph"/>
    <w:basedOn w:val="Normal"/>
    <w:uiPriority w:val="34"/>
    <w:qFormat/>
    <w:rsid w:val="00115E71"/>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Footnote ak"/>
    <w:basedOn w:val="Normal"/>
    <w:link w:val="FootnoteTextChar"/>
    <w:rsid w:val="00115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ak Char1"/>
    <w:basedOn w:val="DefaultParagraphFont"/>
    <w:link w:val="FootnoteText"/>
    <w:rsid w:val="00115E7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15E71"/>
    <w:rPr>
      <w:vertAlign w:val="superscript"/>
    </w:rPr>
  </w:style>
  <w:style w:type="paragraph" w:styleId="BodyText2">
    <w:name w:val="Body Text 2"/>
    <w:basedOn w:val="Normal"/>
    <w:link w:val="BodyText2Char"/>
    <w:rsid w:val="00115E71"/>
    <w:pPr>
      <w:spacing w:after="120" w:line="240" w:lineRule="auto"/>
    </w:pPr>
    <w:rPr>
      <w:rFonts w:ascii="Times New Roman" w:eastAsia="Times New Roman" w:hAnsi="Times New Roman" w:cs="Times New Roman"/>
      <w:i/>
      <w:sz w:val="24"/>
      <w:szCs w:val="20"/>
      <w:lang w:val="en-US"/>
    </w:rPr>
  </w:style>
  <w:style w:type="character" w:customStyle="1" w:styleId="BodyText2Char">
    <w:name w:val="Body Text 2 Char"/>
    <w:basedOn w:val="DefaultParagraphFont"/>
    <w:link w:val="BodyText2"/>
    <w:rsid w:val="00115E71"/>
    <w:rPr>
      <w:rFonts w:ascii="Times New Roman" w:eastAsia="Times New Roman" w:hAnsi="Times New Roman" w:cs="Times New Roman"/>
      <w:i/>
      <w:sz w:val="24"/>
      <w:szCs w:val="20"/>
      <w:lang w:val="en-US" w:eastAsia="en-GB"/>
    </w:rPr>
  </w:style>
  <w:style w:type="character" w:styleId="Strong">
    <w:name w:val="Strong"/>
    <w:basedOn w:val="DefaultParagraphFont"/>
    <w:uiPriority w:val="22"/>
    <w:qFormat/>
    <w:rsid w:val="00115E71"/>
    <w:rPr>
      <w:b/>
      <w:bCs/>
    </w:rPr>
  </w:style>
  <w:style w:type="paragraph" w:customStyle="1" w:styleId="Char">
    <w:name w:val="Char 字元 字元"/>
    <w:basedOn w:val="Normal"/>
    <w:rsid w:val="00115E71"/>
    <w:pPr>
      <w:spacing w:after="160" w:line="240" w:lineRule="exact"/>
    </w:pPr>
    <w:rPr>
      <w:rFonts w:ascii="Verdana" w:eastAsia="PMingLiU" w:hAnsi="Verdana" w:cs="Times New Roman"/>
      <w:sz w:val="20"/>
      <w:szCs w:val="20"/>
      <w:lang w:val="en-US"/>
    </w:rPr>
  </w:style>
  <w:style w:type="paragraph" w:customStyle="1" w:styleId="Documenttitle">
    <w:name w:val="Document title"/>
    <w:basedOn w:val="Normal"/>
    <w:rsid w:val="00115E71"/>
    <w:pPr>
      <w:spacing w:before="1200" w:after="120" w:line="260" w:lineRule="exact"/>
      <w:ind w:left="1021"/>
    </w:pPr>
    <w:rPr>
      <w:rFonts w:ascii="Arial" w:eastAsia="Times New Roman" w:hAnsi="Arial" w:cs="Times New Roman"/>
      <w:b/>
      <w:caps/>
      <w:sz w:val="20"/>
      <w:szCs w:val="20"/>
      <w:lang w:val="en-US"/>
    </w:rPr>
  </w:style>
  <w:style w:type="paragraph" w:customStyle="1" w:styleId="Meetingtitle">
    <w:name w:val="Meeting title"/>
    <w:basedOn w:val="Normal"/>
    <w:next w:val="Sessiontitle"/>
    <w:rsid w:val="00115E71"/>
    <w:pPr>
      <w:spacing w:after="360" w:line="260" w:lineRule="exact"/>
      <w:ind w:left="1021"/>
    </w:pPr>
    <w:rPr>
      <w:rFonts w:ascii="Arial" w:eastAsia="Times New Roman" w:hAnsi="Arial" w:cs="Times New Roman"/>
      <w:b/>
      <w:sz w:val="28"/>
      <w:szCs w:val="20"/>
      <w:lang w:val="fr-FR"/>
    </w:rPr>
  </w:style>
  <w:style w:type="paragraph" w:customStyle="1" w:styleId="Sessiontitle">
    <w:name w:val="Session title"/>
    <w:basedOn w:val="Meetingtitle"/>
    <w:next w:val="Meetingdateplace"/>
    <w:rsid w:val="00115E71"/>
    <w:pPr>
      <w:spacing w:after="0"/>
    </w:pPr>
    <w:rPr>
      <w:sz w:val="24"/>
    </w:rPr>
  </w:style>
  <w:style w:type="paragraph" w:customStyle="1" w:styleId="Meetingdateplace">
    <w:name w:val="Meeting date &amp; place"/>
    <w:basedOn w:val="Sessiontitle"/>
    <w:next w:val="Documenttitle"/>
    <w:rsid w:val="00115E71"/>
    <w:rPr>
      <w:lang w:val="en-US"/>
    </w:rPr>
  </w:style>
  <w:style w:type="character" w:styleId="Hyperlink">
    <w:name w:val="Hyperlink"/>
    <w:basedOn w:val="DefaultParagraphFont"/>
    <w:uiPriority w:val="99"/>
    <w:unhideWhenUsed/>
    <w:rsid w:val="00115E71"/>
    <w:rPr>
      <w:color w:val="003399"/>
      <w:u w:val="single"/>
    </w:rPr>
  </w:style>
  <w:style w:type="paragraph" w:customStyle="1" w:styleId="ONUME">
    <w:name w:val="ONUM E"/>
    <w:basedOn w:val="BodyText"/>
    <w:link w:val="ONUMEChar"/>
    <w:rsid w:val="00115E71"/>
    <w:pPr>
      <w:numPr>
        <w:numId w:val="1"/>
      </w:numPr>
      <w:tabs>
        <w:tab w:val="clear" w:pos="567"/>
      </w:tabs>
    </w:pPr>
  </w:style>
  <w:style w:type="paragraph" w:styleId="BodyText">
    <w:name w:val="Body Text"/>
    <w:basedOn w:val="Normal"/>
    <w:link w:val="BodyTextChar"/>
    <w:uiPriority w:val="99"/>
    <w:semiHidden/>
    <w:unhideWhenUsed/>
    <w:rsid w:val="00115E71"/>
    <w:pPr>
      <w:spacing w:after="120"/>
    </w:pPr>
  </w:style>
  <w:style w:type="character" w:customStyle="1" w:styleId="BodyTextChar">
    <w:name w:val="Body Text Char"/>
    <w:basedOn w:val="DefaultParagraphFont"/>
    <w:link w:val="BodyText"/>
    <w:uiPriority w:val="99"/>
    <w:semiHidden/>
    <w:rsid w:val="00115E71"/>
    <w:rPr>
      <w:rFonts w:eastAsiaTheme="minorEastAsia"/>
      <w:lang w:eastAsia="en-GB"/>
    </w:rPr>
  </w:style>
  <w:style w:type="character" w:customStyle="1" w:styleId="ONUMEChar">
    <w:name w:val="ONUM E Char"/>
    <w:basedOn w:val="BodyTextChar"/>
    <w:link w:val="ONUME"/>
    <w:rsid w:val="00115E71"/>
    <w:rPr>
      <w:rFonts w:eastAsiaTheme="minorEastAsia"/>
      <w:lang w:eastAsia="en-GB"/>
    </w:rPr>
  </w:style>
  <w:style w:type="paragraph" w:customStyle="1" w:styleId="Default">
    <w:name w:val="Default"/>
    <w:rsid w:val="00115E7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FootnoteTextChar1">
    <w:name w:val="Footnote Text Char1"/>
    <w:aliases w:val="Footnote ak Char"/>
    <w:basedOn w:val="DefaultParagraphFont"/>
    <w:rsid w:val="00115E71"/>
    <w:rPr>
      <w:sz w:val="22"/>
      <w:lang w:val="en-US" w:eastAsia="de-DE" w:bidi="ar-SA"/>
    </w:rPr>
  </w:style>
  <w:style w:type="paragraph" w:styleId="Header">
    <w:name w:val="header"/>
    <w:basedOn w:val="Normal"/>
    <w:link w:val="HeaderChar"/>
    <w:uiPriority w:val="99"/>
    <w:unhideWhenUsed/>
    <w:rsid w:val="0011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E71"/>
    <w:rPr>
      <w:rFonts w:eastAsiaTheme="minorEastAsia"/>
      <w:lang w:eastAsia="en-GB"/>
    </w:rPr>
  </w:style>
  <w:style w:type="paragraph" w:styleId="Footer">
    <w:name w:val="footer"/>
    <w:basedOn w:val="Normal"/>
    <w:link w:val="FooterChar"/>
    <w:uiPriority w:val="99"/>
    <w:unhideWhenUsed/>
    <w:rsid w:val="0011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E71"/>
    <w:rPr>
      <w:rFonts w:eastAsiaTheme="minorEastAsia"/>
      <w:lang w:eastAsia="en-GB"/>
    </w:rPr>
  </w:style>
  <w:style w:type="table" w:styleId="TableGrid">
    <w:name w:val="Table Grid"/>
    <w:basedOn w:val="TableNormal"/>
    <w:uiPriority w:val="59"/>
    <w:rsid w:val="00115E7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vol">
    <w:name w:val="slug-vol"/>
    <w:basedOn w:val="DefaultParagraphFont"/>
    <w:rsid w:val="00115E71"/>
  </w:style>
  <w:style w:type="character" w:customStyle="1" w:styleId="slug-issue">
    <w:name w:val="slug-issue"/>
    <w:basedOn w:val="DefaultParagraphFont"/>
    <w:rsid w:val="00115E71"/>
  </w:style>
  <w:style w:type="character" w:customStyle="1" w:styleId="slug-doi">
    <w:name w:val="slug-doi"/>
    <w:basedOn w:val="DefaultParagraphFont"/>
    <w:rsid w:val="00115E71"/>
  </w:style>
  <w:style w:type="character" w:customStyle="1" w:styleId="name">
    <w:name w:val="name"/>
    <w:basedOn w:val="DefaultParagraphFont"/>
    <w:rsid w:val="00115E71"/>
  </w:style>
  <w:style w:type="character" w:customStyle="1" w:styleId="googqs-tidbit">
    <w:name w:val="goog_qs-tidbit"/>
    <w:basedOn w:val="DefaultParagraphFont"/>
    <w:rsid w:val="00115E71"/>
  </w:style>
  <w:style w:type="character" w:customStyle="1" w:styleId="reference-text">
    <w:name w:val="reference-text"/>
    <w:basedOn w:val="DefaultParagraphFont"/>
    <w:rsid w:val="00115E71"/>
  </w:style>
  <w:style w:type="character" w:customStyle="1" w:styleId="citation">
    <w:name w:val="citation"/>
    <w:basedOn w:val="DefaultParagraphFont"/>
    <w:rsid w:val="00115E71"/>
  </w:style>
  <w:style w:type="character" w:customStyle="1" w:styleId="z3988">
    <w:name w:val="z3988"/>
    <w:basedOn w:val="DefaultParagraphFont"/>
    <w:rsid w:val="00115E71"/>
  </w:style>
  <w:style w:type="paragraph" w:customStyle="1" w:styleId="Standaard">
    <w:name w:val="Standaard"/>
    <w:basedOn w:val="Default"/>
    <w:next w:val="Default"/>
    <w:uiPriority w:val="99"/>
    <w:rsid w:val="00115E71"/>
    <w:rPr>
      <w:rFonts w:ascii="Times New Roman" w:eastAsiaTheme="minorHAnsi" w:hAnsi="Times New Roman" w:cs="Times New Roman"/>
      <w:color w:val="auto"/>
      <w:lang w:eastAsia="en-US"/>
    </w:rPr>
  </w:style>
  <w:style w:type="character" w:customStyle="1" w:styleId="ft">
    <w:name w:val="ft"/>
    <w:basedOn w:val="DefaultParagraphFont"/>
    <w:rsid w:val="00115E71"/>
  </w:style>
  <w:style w:type="character" w:customStyle="1" w:styleId="mw-headline">
    <w:name w:val="mw-headline"/>
    <w:basedOn w:val="DefaultParagraphFont"/>
    <w:rsid w:val="00115E71"/>
  </w:style>
  <w:style w:type="character" w:customStyle="1" w:styleId="EndnoteTextChar">
    <w:name w:val="Endnote Text Char"/>
    <w:basedOn w:val="DefaultParagraphFont"/>
    <w:link w:val="EndnoteText"/>
    <w:semiHidden/>
    <w:rsid w:val="00115E71"/>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115E71"/>
    <w:pPr>
      <w:spacing w:after="240" w:line="240" w:lineRule="auto"/>
    </w:pPr>
    <w:rPr>
      <w:rFonts w:ascii="Times New Roman" w:eastAsia="Times New Roman" w:hAnsi="Times New Roman" w:cs="Times New Roman"/>
      <w:sz w:val="24"/>
      <w:szCs w:val="20"/>
      <w:lang w:eastAsia="en-US"/>
    </w:rPr>
  </w:style>
  <w:style w:type="character" w:customStyle="1" w:styleId="EndnoteTextChar1">
    <w:name w:val="Endnote Text Char1"/>
    <w:basedOn w:val="DefaultParagraphFont"/>
    <w:uiPriority w:val="99"/>
    <w:semiHidden/>
    <w:rsid w:val="00115E71"/>
    <w:rPr>
      <w:rFonts w:eastAsiaTheme="minorEastAsia"/>
      <w:sz w:val="20"/>
      <w:szCs w:val="20"/>
      <w:lang w:eastAsia="en-GB"/>
    </w:rPr>
  </w:style>
  <w:style w:type="character" w:customStyle="1" w:styleId="addmd1">
    <w:name w:val="addmd1"/>
    <w:basedOn w:val="DefaultParagraphFont"/>
    <w:rsid w:val="00115E71"/>
    <w:rPr>
      <w:sz w:val="20"/>
      <w:szCs w:val="20"/>
    </w:rPr>
  </w:style>
  <w:style w:type="character" w:styleId="Emphasis">
    <w:name w:val="Emphasis"/>
    <w:basedOn w:val="DefaultParagraphFont"/>
    <w:uiPriority w:val="20"/>
    <w:qFormat/>
    <w:rsid w:val="00115E71"/>
    <w:rPr>
      <w:b/>
      <w:bCs/>
      <w:i w:val="0"/>
      <w:iCs w:val="0"/>
    </w:rPr>
  </w:style>
  <w:style w:type="character" w:customStyle="1" w:styleId="st1">
    <w:name w:val="st1"/>
    <w:basedOn w:val="DefaultParagraphFont"/>
    <w:rsid w:val="00115E71"/>
  </w:style>
  <w:style w:type="character" w:customStyle="1" w:styleId="ssens">
    <w:name w:val="ssens"/>
    <w:basedOn w:val="DefaultParagraphFont"/>
    <w:rsid w:val="00115E71"/>
  </w:style>
  <w:style w:type="character" w:customStyle="1" w:styleId="mw-cite-backlink">
    <w:name w:val="mw-cite-backlink"/>
    <w:basedOn w:val="DefaultParagraphFont"/>
    <w:rsid w:val="00115E71"/>
  </w:style>
  <w:style w:type="character" w:customStyle="1" w:styleId="cite-accessibility-label1">
    <w:name w:val="cite-accessibility-label1"/>
    <w:basedOn w:val="DefaultParagraphFont"/>
    <w:rsid w:val="00115E71"/>
    <w:rPr>
      <w:bdr w:val="none" w:sz="0" w:space="0" w:color="auto" w:frame="1"/>
    </w:rPr>
  </w:style>
  <w:style w:type="character" w:customStyle="1" w:styleId="doi11">
    <w:name w:val="doi11"/>
    <w:basedOn w:val="DefaultParagraphFont"/>
    <w:rsid w:val="00115E71"/>
  </w:style>
  <w:style w:type="character" w:customStyle="1" w:styleId="style21">
    <w:name w:val="style_21"/>
    <w:basedOn w:val="DefaultParagraphFont"/>
    <w:rsid w:val="00115E71"/>
    <w:rPr>
      <w:rFonts w:ascii="Georgia" w:hAnsi="Georgia" w:hint="default"/>
      <w:sz w:val="11"/>
      <w:szCs w:val="11"/>
    </w:rPr>
  </w:style>
  <w:style w:type="paragraph" w:customStyle="1" w:styleId="paragraphstyle3">
    <w:name w:val="paragraph_style_3"/>
    <w:basedOn w:val="Normal"/>
    <w:rsid w:val="00115E71"/>
    <w:pPr>
      <w:spacing w:after="0" w:line="225" w:lineRule="atLeast"/>
    </w:pPr>
    <w:rPr>
      <w:rFonts w:ascii="Georgia" w:eastAsia="Times New Roman" w:hAnsi="Georgia" w:cs="Times New Roman"/>
      <w:color w:val="463C3C"/>
      <w:spacing w:val="-2"/>
      <w:sz w:val="39"/>
      <w:szCs w:val="39"/>
    </w:rPr>
  </w:style>
  <w:style w:type="paragraph" w:customStyle="1" w:styleId="paragraphstyle4">
    <w:name w:val="paragraph_style_4"/>
    <w:basedOn w:val="Normal"/>
    <w:rsid w:val="00115E71"/>
    <w:pPr>
      <w:spacing w:after="0" w:line="263" w:lineRule="atLeast"/>
    </w:pPr>
    <w:rPr>
      <w:rFonts w:ascii="Georgia" w:eastAsia="Times New Roman" w:hAnsi="Georgia" w:cs="Times New Roman"/>
      <w:color w:val="463C3C"/>
      <w:spacing w:val="-2"/>
      <w:sz w:val="39"/>
      <w:szCs w:val="39"/>
    </w:rPr>
  </w:style>
  <w:style w:type="paragraph" w:customStyle="1" w:styleId="paragraphstyle5">
    <w:name w:val="paragraph_style_5"/>
    <w:basedOn w:val="Normal"/>
    <w:rsid w:val="00115E71"/>
    <w:pPr>
      <w:spacing w:after="0" w:line="105" w:lineRule="atLeast"/>
    </w:pPr>
    <w:rPr>
      <w:rFonts w:ascii="Georgia" w:eastAsia="Times New Roman" w:hAnsi="Georgia" w:cs="Times New Roman"/>
      <w:color w:val="463C3C"/>
      <w:spacing w:val="-2"/>
      <w:sz w:val="23"/>
      <w:szCs w:val="23"/>
    </w:rPr>
  </w:style>
  <w:style w:type="character" w:customStyle="1" w:styleId="style141">
    <w:name w:val="style_141"/>
    <w:basedOn w:val="DefaultParagraphFont"/>
    <w:rsid w:val="00115E71"/>
    <w:rPr>
      <w:sz w:val="38"/>
      <w:szCs w:val="38"/>
    </w:rPr>
  </w:style>
  <w:style w:type="character" w:customStyle="1" w:styleId="cit">
    <w:name w:val="cit"/>
    <w:basedOn w:val="DefaultParagraphFont"/>
    <w:rsid w:val="00115E71"/>
  </w:style>
  <w:style w:type="paragraph" w:customStyle="1" w:styleId="authors">
    <w:name w:val="authors"/>
    <w:basedOn w:val="Normal"/>
    <w:rsid w:val="00115E71"/>
    <w:pPr>
      <w:spacing w:after="432" w:line="240" w:lineRule="auto"/>
    </w:pPr>
    <w:rPr>
      <w:rFonts w:ascii="Times New Roman" w:eastAsia="Times New Roman" w:hAnsi="Times New Roman" w:cs="Times New Roman"/>
      <w:sz w:val="24"/>
      <w:szCs w:val="24"/>
    </w:rPr>
  </w:style>
  <w:style w:type="character" w:customStyle="1" w:styleId="pseudotab3">
    <w:name w:val="pseudotab3"/>
    <w:basedOn w:val="DefaultParagraphFont"/>
    <w:rsid w:val="00115E71"/>
  </w:style>
  <w:style w:type="paragraph" w:customStyle="1" w:styleId="Cornernotation">
    <w:name w:val="Corner notation"/>
    <w:basedOn w:val="Normal"/>
    <w:rsid w:val="00115E71"/>
    <w:pPr>
      <w:spacing w:after="0" w:line="240" w:lineRule="auto"/>
      <w:ind w:left="170" w:right="3119" w:hanging="170"/>
    </w:pPr>
    <w:rPr>
      <w:rFonts w:ascii="Times New Roman" w:eastAsia="Times New Roman" w:hAnsi="Times New Roman" w:cs="Times New Roman"/>
      <w:szCs w:val="24"/>
      <w:lang w:eastAsia="en-US"/>
    </w:rPr>
  </w:style>
  <w:style w:type="character" w:customStyle="1" w:styleId="a-size-large1">
    <w:name w:val="a-size-large1"/>
    <w:basedOn w:val="DefaultParagraphFont"/>
    <w:rsid w:val="00115E71"/>
    <w:rPr>
      <w:rFonts w:ascii="Arial" w:hAnsi="Arial" w:cs="Arial" w:hint="default"/>
    </w:rPr>
  </w:style>
  <w:style w:type="character" w:customStyle="1" w:styleId="a-size-medium2">
    <w:name w:val="a-size-medium2"/>
    <w:basedOn w:val="DefaultParagraphFont"/>
    <w:rsid w:val="00115E71"/>
    <w:rPr>
      <w:rFonts w:ascii="Arial" w:hAnsi="Arial" w:cs="Arial" w:hint="default"/>
    </w:rPr>
  </w:style>
  <w:style w:type="character" w:customStyle="1" w:styleId="author">
    <w:name w:val="author"/>
    <w:basedOn w:val="DefaultParagraphFont"/>
    <w:rsid w:val="00115E71"/>
  </w:style>
  <w:style w:type="character" w:customStyle="1" w:styleId="contribution">
    <w:name w:val="contribution"/>
    <w:basedOn w:val="DefaultParagraphFont"/>
    <w:rsid w:val="00115E71"/>
  </w:style>
  <w:style w:type="character" w:customStyle="1" w:styleId="a-color-secondary">
    <w:name w:val="a-color-secondary"/>
    <w:basedOn w:val="DefaultParagraphFont"/>
    <w:rsid w:val="00115E71"/>
  </w:style>
  <w:style w:type="character" w:customStyle="1" w:styleId="a-text-bold">
    <w:name w:val="a-text-bold"/>
    <w:basedOn w:val="DefaultParagraphFont"/>
    <w:rsid w:val="00115E71"/>
  </w:style>
  <w:style w:type="character" w:customStyle="1" w:styleId="a-size-small6">
    <w:name w:val="a-size-small6"/>
    <w:basedOn w:val="DefaultParagraphFont"/>
    <w:rsid w:val="00115E71"/>
  </w:style>
  <w:style w:type="character" w:customStyle="1" w:styleId="a-declarative">
    <w:name w:val="a-declarative"/>
    <w:basedOn w:val="DefaultParagraphFont"/>
    <w:rsid w:val="00115E71"/>
  </w:style>
  <w:style w:type="character" w:customStyle="1" w:styleId="email4">
    <w:name w:val="email4"/>
    <w:basedOn w:val="DefaultParagraphFont"/>
    <w:rsid w:val="00115E71"/>
  </w:style>
  <w:style w:type="character" w:customStyle="1" w:styleId="citation-abbreviation">
    <w:name w:val="citation-abbreviation"/>
    <w:basedOn w:val="DefaultParagraphFont"/>
    <w:rsid w:val="00115E71"/>
  </w:style>
  <w:style w:type="paragraph" w:customStyle="1" w:styleId="center">
    <w:name w:val="center"/>
    <w:basedOn w:val="Normal"/>
    <w:rsid w:val="0011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rm">
    <w:name w:val="searchterm"/>
    <w:basedOn w:val="DefaultParagraphFont"/>
    <w:rsid w:val="00115E71"/>
  </w:style>
  <w:style w:type="character" w:customStyle="1" w:styleId="searchterm1">
    <w:name w:val="searchterm1"/>
    <w:basedOn w:val="DefaultParagraphFont"/>
    <w:rsid w:val="00115E71"/>
    <w:rPr>
      <w:b/>
      <w:bCs/>
      <w:shd w:val="clear" w:color="auto" w:fill="FFFF00"/>
    </w:rPr>
  </w:style>
  <w:style w:type="character" w:customStyle="1" w:styleId="starpage1">
    <w:name w:val="starpage1"/>
    <w:basedOn w:val="DefaultParagraphFont"/>
    <w:rsid w:val="00115E71"/>
    <w:rPr>
      <w:b/>
      <w:bCs/>
      <w:i/>
      <w:iCs/>
      <w:color w:val="663366"/>
    </w:rPr>
  </w:style>
  <w:style w:type="character" w:customStyle="1" w:styleId="mb">
    <w:name w:val="mb"/>
    <w:basedOn w:val="DefaultParagraphFont"/>
    <w:rsid w:val="00115E71"/>
  </w:style>
  <w:style w:type="paragraph" w:customStyle="1" w:styleId="doi2">
    <w:name w:val="doi2"/>
    <w:basedOn w:val="Normal"/>
    <w:rsid w:val="00115E71"/>
    <w:pPr>
      <w:spacing w:before="75" w:after="0" w:line="240" w:lineRule="auto"/>
      <w:ind w:right="113"/>
    </w:pPr>
    <w:rPr>
      <w:rFonts w:ascii="Times New Roman" w:eastAsia="Times New Roman" w:hAnsi="Times New Roman" w:cs="Times New Roman"/>
      <w:sz w:val="24"/>
      <w:szCs w:val="24"/>
    </w:rPr>
  </w:style>
  <w:style w:type="character" w:customStyle="1" w:styleId="footnotereference0">
    <w:name w:val="footnotereference"/>
    <w:basedOn w:val="DefaultParagraphFont"/>
    <w:rsid w:val="00115E71"/>
  </w:style>
  <w:style w:type="character" w:customStyle="1" w:styleId="mathjaximage">
    <w:name w:val="mathjaximage"/>
    <w:basedOn w:val="DefaultParagraphFont"/>
    <w:rsid w:val="00115E71"/>
  </w:style>
  <w:style w:type="character" w:customStyle="1" w:styleId="a1">
    <w:name w:val="a1"/>
    <w:basedOn w:val="DefaultParagraphFont"/>
    <w:rsid w:val="00115E71"/>
    <w:rPr>
      <w:rFonts w:ascii="Georgia" w:hAnsi="Georgia" w:hint="default"/>
      <w:b w:val="0"/>
      <w:bCs w:val="0"/>
      <w:i w:val="0"/>
      <w:iCs w:val="0"/>
      <w:bdr w:val="none" w:sz="0" w:space="0" w:color="auto" w:frame="1"/>
    </w:rPr>
  </w:style>
  <w:style w:type="character" w:customStyle="1" w:styleId="a2">
    <w:name w:val="a2"/>
    <w:basedOn w:val="DefaultParagraphFont"/>
    <w:rsid w:val="00115E71"/>
    <w:rPr>
      <w:rFonts w:ascii="Georgia" w:hAnsi="Georgia" w:hint="default"/>
      <w:b w:val="0"/>
      <w:bCs w:val="0"/>
      <w:i w:val="0"/>
      <w:iCs w:val="0"/>
      <w:bdr w:val="none" w:sz="0" w:space="0" w:color="auto" w:frame="1"/>
    </w:rPr>
  </w:style>
  <w:style w:type="character" w:customStyle="1" w:styleId="fm-citation-ids-label">
    <w:name w:val="fm-citation-ids-label"/>
    <w:basedOn w:val="DefaultParagraphFont"/>
    <w:rsid w:val="00115E71"/>
  </w:style>
  <w:style w:type="character" w:customStyle="1" w:styleId="lucenesearchresulturlb">
    <w:name w:val="lucene_search_result_url_b"/>
    <w:basedOn w:val="DefaultParagraphFont"/>
    <w:rsid w:val="00115E71"/>
  </w:style>
  <w:style w:type="character" w:customStyle="1" w:styleId="journalname1">
    <w:name w:val="journalname1"/>
    <w:basedOn w:val="DefaultParagraphFont"/>
    <w:rsid w:val="00115E71"/>
    <w:rPr>
      <w:i/>
      <w:iCs/>
    </w:rPr>
  </w:style>
  <w:style w:type="character" w:customStyle="1" w:styleId="journalnumber">
    <w:name w:val="journalnumber"/>
    <w:basedOn w:val="DefaultParagraphFont"/>
    <w:rsid w:val="00115E71"/>
    <w:rPr>
      <w:b/>
      <w:bCs/>
    </w:rPr>
  </w:style>
  <w:style w:type="character" w:customStyle="1" w:styleId="divider">
    <w:name w:val="divider"/>
    <w:basedOn w:val="DefaultParagraphFont"/>
    <w:rsid w:val="00115E71"/>
  </w:style>
  <w:style w:type="character" w:customStyle="1" w:styleId="cite-pages">
    <w:name w:val="cite-pages"/>
    <w:basedOn w:val="DefaultParagraphFont"/>
    <w:rsid w:val="00115E71"/>
  </w:style>
  <w:style w:type="character" w:customStyle="1" w:styleId="cite-month-year">
    <w:name w:val="cite-month-year"/>
    <w:basedOn w:val="DefaultParagraphFont"/>
    <w:rsid w:val="00115E71"/>
  </w:style>
  <w:style w:type="character" w:customStyle="1" w:styleId="doi4">
    <w:name w:val="doi4"/>
    <w:basedOn w:val="DefaultParagraphFont"/>
    <w:rsid w:val="00115E71"/>
  </w:style>
  <w:style w:type="character" w:customStyle="1" w:styleId="contrib-email">
    <w:name w:val="contrib-email"/>
    <w:basedOn w:val="DefaultParagraphFont"/>
    <w:rsid w:val="00115E71"/>
  </w:style>
  <w:style w:type="character" w:customStyle="1" w:styleId="element-citation">
    <w:name w:val="element-citation"/>
    <w:basedOn w:val="DefaultParagraphFont"/>
    <w:rsid w:val="00115E71"/>
  </w:style>
  <w:style w:type="character" w:customStyle="1" w:styleId="ref-journal">
    <w:name w:val="ref-journal"/>
    <w:basedOn w:val="DefaultParagraphFont"/>
    <w:rsid w:val="00115E71"/>
  </w:style>
  <w:style w:type="paragraph" w:customStyle="1" w:styleId="wholerythm">
    <w:name w:val="whole_rythm"/>
    <w:basedOn w:val="Normal"/>
    <w:rsid w:val="0011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ation-authors">
    <w:name w:val="highwire-citation-authors"/>
    <w:basedOn w:val="DefaultParagraphFont"/>
    <w:rsid w:val="00115E71"/>
    <w:rPr>
      <w:sz w:val="24"/>
      <w:szCs w:val="24"/>
      <w:bdr w:val="none" w:sz="0" w:space="0" w:color="auto" w:frame="1"/>
      <w:vertAlign w:val="baseline"/>
    </w:rPr>
  </w:style>
  <w:style w:type="character" w:customStyle="1" w:styleId="highwire-citation-author">
    <w:name w:val="highwire-citation-author"/>
    <w:basedOn w:val="DefaultParagraphFont"/>
    <w:rsid w:val="00115E71"/>
    <w:rPr>
      <w:sz w:val="24"/>
      <w:szCs w:val="24"/>
      <w:bdr w:val="none" w:sz="0" w:space="0" w:color="auto" w:frame="1"/>
      <w:vertAlign w:val="baseline"/>
    </w:rPr>
  </w:style>
  <w:style w:type="character" w:customStyle="1" w:styleId="nlm-given-names">
    <w:name w:val="nlm-given-names"/>
    <w:basedOn w:val="DefaultParagraphFont"/>
    <w:rsid w:val="00115E71"/>
    <w:rPr>
      <w:sz w:val="24"/>
      <w:szCs w:val="24"/>
      <w:bdr w:val="none" w:sz="0" w:space="0" w:color="auto" w:frame="1"/>
      <w:vertAlign w:val="baseline"/>
    </w:rPr>
  </w:style>
  <w:style w:type="character" w:customStyle="1" w:styleId="nlm-surname">
    <w:name w:val="nlm-surname"/>
    <w:basedOn w:val="DefaultParagraphFont"/>
    <w:rsid w:val="00115E71"/>
    <w:rPr>
      <w:sz w:val="24"/>
      <w:szCs w:val="24"/>
      <w:bdr w:val="none" w:sz="0" w:space="0" w:color="auto" w:frame="1"/>
      <w:vertAlign w:val="baseline"/>
    </w:rPr>
  </w:style>
  <w:style w:type="character" w:customStyle="1" w:styleId="highwire-cite-metadata-journal-title">
    <w:name w:val="highwire-cite-metadata-journal-title"/>
    <w:basedOn w:val="DefaultParagraphFont"/>
    <w:rsid w:val="00115E71"/>
    <w:rPr>
      <w:sz w:val="24"/>
      <w:szCs w:val="24"/>
      <w:bdr w:val="none" w:sz="0" w:space="0" w:color="auto" w:frame="1"/>
      <w:vertAlign w:val="baseline"/>
    </w:rPr>
  </w:style>
  <w:style w:type="character" w:customStyle="1" w:styleId="highwire-cite-metadata-date">
    <w:name w:val="highwire-cite-metadata-date"/>
    <w:basedOn w:val="DefaultParagraphFont"/>
    <w:rsid w:val="00115E71"/>
    <w:rPr>
      <w:sz w:val="24"/>
      <w:szCs w:val="24"/>
      <w:bdr w:val="none" w:sz="0" w:space="0" w:color="auto" w:frame="1"/>
      <w:vertAlign w:val="baseline"/>
    </w:rPr>
  </w:style>
  <w:style w:type="character" w:customStyle="1" w:styleId="highwire-cite-metadata-volume">
    <w:name w:val="highwire-cite-metadata-volume"/>
    <w:basedOn w:val="DefaultParagraphFont"/>
    <w:rsid w:val="00115E71"/>
    <w:rPr>
      <w:sz w:val="24"/>
      <w:szCs w:val="24"/>
      <w:bdr w:val="none" w:sz="0" w:space="0" w:color="auto" w:frame="1"/>
      <w:vertAlign w:val="baseline"/>
    </w:rPr>
  </w:style>
  <w:style w:type="character" w:customStyle="1" w:styleId="label">
    <w:name w:val="label"/>
    <w:basedOn w:val="DefaultParagraphFont"/>
    <w:rsid w:val="00115E71"/>
    <w:rPr>
      <w:sz w:val="24"/>
      <w:szCs w:val="24"/>
      <w:bdr w:val="none" w:sz="0" w:space="0" w:color="auto" w:frame="1"/>
      <w:vertAlign w:val="baseline"/>
    </w:rPr>
  </w:style>
  <w:style w:type="character" w:customStyle="1" w:styleId="highwire-cite-metadata-issue">
    <w:name w:val="highwire-cite-metadata-issue"/>
    <w:basedOn w:val="DefaultParagraphFont"/>
    <w:rsid w:val="00115E71"/>
    <w:rPr>
      <w:sz w:val="24"/>
      <w:szCs w:val="24"/>
      <w:bdr w:val="none" w:sz="0" w:space="0" w:color="auto" w:frame="1"/>
      <w:vertAlign w:val="baseline"/>
    </w:rPr>
  </w:style>
  <w:style w:type="character" w:customStyle="1" w:styleId="highwire-cite-metadata-pages">
    <w:name w:val="highwire-cite-metadata-pages"/>
    <w:basedOn w:val="DefaultParagraphFont"/>
    <w:rsid w:val="00115E71"/>
    <w:rPr>
      <w:sz w:val="24"/>
      <w:szCs w:val="24"/>
      <w:bdr w:val="none" w:sz="0" w:space="0" w:color="auto" w:frame="1"/>
      <w:vertAlign w:val="baseline"/>
    </w:rPr>
  </w:style>
  <w:style w:type="character" w:customStyle="1" w:styleId="highwire-cite-metadata-doi">
    <w:name w:val="highwire-cite-metadata-doi"/>
    <w:basedOn w:val="DefaultParagraphFont"/>
    <w:rsid w:val="00115E71"/>
    <w:rPr>
      <w:sz w:val="24"/>
      <w:szCs w:val="24"/>
      <w:bdr w:val="none" w:sz="0" w:space="0" w:color="auto" w:frame="1"/>
      <w:vertAlign w:val="baseline"/>
    </w:rPr>
  </w:style>
  <w:style w:type="character" w:customStyle="1" w:styleId="author4">
    <w:name w:val="author4"/>
    <w:basedOn w:val="DefaultParagraphFont"/>
    <w:rsid w:val="00115E71"/>
    <w:rPr>
      <w:b/>
      <w:bCs/>
    </w:rPr>
  </w:style>
  <w:style w:type="paragraph" w:styleId="TOCHeading">
    <w:name w:val="TOC Heading"/>
    <w:basedOn w:val="Heading1"/>
    <w:next w:val="Normal"/>
    <w:uiPriority w:val="39"/>
    <w:unhideWhenUsed/>
    <w:qFormat/>
    <w:rsid w:val="00115E71"/>
    <w:pPr>
      <w:outlineLvl w:val="9"/>
    </w:pPr>
    <w:rPr>
      <w:rFonts w:asciiTheme="majorHAnsi" w:hAnsiTheme="majorHAnsi" w:cstheme="majorBidi"/>
      <w:b/>
      <w:color w:val="2E74B5" w:themeColor="accent1" w:themeShade="BF"/>
      <w:sz w:val="28"/>
      <w:szCs w:val="28"/>
      <w:lang w:val="en-US"/>
    </w:rPr>
  </w:style>
  <w:style w:type="paragraph" w:styleId="TOC1">
    <w:name w:val="toc 1"/>
    <w:basedOn w:val="Normal"/>
    <w:next w:val="Normal"/>
    <w:autoRedefine/>
    <w:uiPriority w:val="39"/>
    <w:unhideWhenUsed/>
    <w:rsid w:val="00115E71"/>
    <w:pPr>
      <w:tabs>
        <w:tab w:val="right" w:leader="dot" w:pos="8494"/>
      </w:tabs>
      <w:spacing w:after="100"/>
    </w:pPr>
    <w:rPr>
      <w:rFonts w:ascii="Times New Roman" w:hAnsi="Times New Roman"/>
      <w:noProof/>
      <w:sz w:val="24"/>
    </w:rPr>
  </w:style>
  <w:style w:type="paragraph" w:styleId="TOC2">
    <w:name w:val="toc 2"/>
    <w:basedOn w:val="Normal"/>
    <w:next w:val="Normal"/>
    <w:autoRedefine/>
    <w:uiPriority w:val="39"/>
    <w:unhideWhenUsed/>
    <w:rsid w:val="00115E71"/>
    <w:pPr>
      <w:spacing w:after="100"/>
      <w:ind w:left="220"/>
    </w:pPr>
    <w:rPr>
      <w:rFonts w:ascii="Times New Roman" w:hAnsi="Times New Roman"/>
      <w:sz w:val="24"/>
    </w:rPr>
  </w:style>
  <w:style w:type="paragraph" w:styleId="TOC3">
    <w:name w:val="toc 3"/>
    <w:basedOn w:val="Normal"/>
    <w:next w:val="Normal"/>
    <w:autoRedefine/>
    <w:uiPriority w:val="39"/>
    <w:unhideWhenUsed/>
    <w:rsid w:val="00115E71"/>
    <w:pPr>
      <w:spacing w:after="100"/>
      <w:ind w:left="440"/>
    </w:pPr>
    <w:rPr>
      <w:rFonts w:ascii="Times New Roman" w:hAnsi="Times New Roman"/>
      <w:sz w:val="24"/>
    </w:rPr>
  </w:style>
  <w:style w:type="paragraph" w:styleId="TOC4">
    <w:name w:val="toc 4"/>
    <w:basedOn w:val="Normal"/>
    <w:next w:val="Normal"/>
    <w:autoRedefine/>
    <w:uiPriority w:val="39"/>
    <w:unhideWhenUsed/>
    <w:rsid w:val="00115E71"/>
    <w:pPr>
      <w:spacing w:after="100"/>
      <w:ind w:left="660"/>
    </w:pPr>
    <w:rPr>
      <w:rFonts w:ascii="Times New Roman" w:hAnsi="Times New Roman"/>
      <w:sz w:val="24"/>
    </w:rPr>
  </w:style>
  <w:style w:type="paragraph" w:styleId="TOC5">
    <w:name w:val="toc 5"/>
    <w:basedOn w:val="Normal"/>
    <w:next w:val="Normal"/>
    <w:autoRedefine/>
    <w:uiPriority w:val="39"/>
    <w:unhideWhenUsed/>
    <w:rsid w:val="00115E71"/>
    <w:pPr>
      <w:spacing w:after="100"/>
      <w:ind w:left="880"/>
    </w:pPr>
  </w:style>
  <w:style w:type="paragraph" w:styleId="TOC6">
    <w:name w:val="toc 6"/>
    <w:basedOn w:val="Normal"/>
    <w:next w:val="Normal"/>
    <w:autoRedefine/>
    <w:uiPriority w:val="39"/>
    <w:unhideWhenUsed/>
    <w:rsid w:val="00115E71"/>
    <w:pPr>
      <w:spacing w:after="100"/>
      <w:ind w:left="1100"/>
    </w:pPr>
  </w:style>
  <w:style w:type="paragraph" w:styleId="TOC7">
    <w:name w:val="toc 7"/>
    <w:basedOn w:val="Normal"/>
    <w:next w:val="Normal"/>
    <w:autoRedefine/>
    <w:uiPriority w:val="39"/>
    <w:unhideWhenUsed/>
    <w:rsid w:val="00115E71"/>
    <w:pPr>
      <w:spacing w:after="100"/>
      <w:ind w:left="1320"/>
    </w:pPr>
  </w:style>
  <w:style w:type="paragraph" w:styleId="TOC8">
    <w:name w:val="toc 8"/>
    <w:basedOn w:val="Normal"/>
    <w:next w:val="Normal"/>
    <w:autoRedefine/>
    <w:uiPriority w:val="39"/>
    <w:unhideWhenUsed/>
    <w:rsid w:val="00115E71"/>
    <w:pPr>
      <w:spacing w:after="100"/>
      <w:ind w:left="1540"/>
    </w:pPr>
  </w:style>
  <w:style w:type="paragraph" w:styleId="TOC9">
    <w:name w:val="toc 9"/>
    <w:basedOn w:val="Normal"/>
    <w:next w:val="Normal"/>
    <w:autoRedefine/>
    <w:uiPriority w:val="39"/>
    <w:unhideWhenUsed/>
    <w:rsid w:val="00115E71"/>
    <w:pPr>
      <w:spacing w:after="100"/>
      <w:ind w:left="1760"/>
    </w:pPr>
  </w:style>
  <w:style w:type="character" w:customStyle="1" w:styleId="xbe">
    <w:name w:val="_xbe"/>
    <w:basedOn w:val="DefaultParagraphFont"/>
    <w:rsid w:val="00115E71"/>
  </w:style>
  <w:style w:type="character" w:customStyle="1" w:styleId="small1">
    <w:name w:val="small1"/>
    <w:basedOn w:val="DefaultParagraphFont"/>
    <w:rsid w:val="00115E71"/>
    <w:rPr>
      <w:sz w:val="10"/>
      <w:szCs w:val="10"/>
    </w:rPr>
  </w:style>
  <w:style w:type="paragraph" w:customStyle="1" w:styleId="epblock">
    <w:name w:val="ep_block"/>
    <w:basedOn w:val="Normal"/>
    <w:rsid w:val="00115E71"/>
    <w:pPr>
      <w:spacing w:before="60" w:after="60" w:line="240" w:lineRule="auto"/>
    </w:pPr>
    <w:rPr>
      <w:rFonts w:ascii="Times New Roman" w:eastAsia="Times New Roman" w:hAnsi="Times New Roman" w:cs="Times New Roman"/>
      <w:color w:val="000000"/>
      <w:sz w:val="24"/>
      <w:szCs w:val="24"/>
    </w:rPr>
  </w:style>
  <w:style w:type="character" w:customStyle="1" w:styleId="idnumber">
    <w:name w:val="id_number"/>
    <w:basedOn w:val="DefaultParagraphFont"/>
    <w:rsid w:val="00115E71"/>
  </w:style>
  <w:style w:type="paragraph" w:customStyle="1" w:styleId="Normal1">
    <w:name w:val="Normal1"/>
    <w:basedOn w:val="Normal"/>
    <w:rsid w:val="006041EA"/>
    <w:pPr>
      <w:spacing w:before="120" w:after="0" w:line="240" w:lineRule="auto"/>
      <w:jc w:val="both"/>
    </w:pPr>
    <w:rPr>
      <w:rFonts w:ascii="Times New Roman" w:eastAsia="Times New Roman" w:hAnsi="Times New Roman" w:cs="Times New Roman"/>
      <w:sz w:val="24"/>
      <w:szCs w:val="24"/>
    </w:rPr>
  </w:style>
  <w:style w:type="paragraph" w:customStyle="1" w:styleId="ti-grseq-1">
    <w:name w:val="ti-grseq-1"/>
    <w:basedOn w:val="Normal"/>
    <w:rsid w:val="006041EA"/>
    <w:pPr>
      <w:spacing w:before="240" w:after="120" w:line="240" w:lineRule="auto"/>
      <w:jc w:val="both"/>
    </w:pPr>
    <w:rPr>
      <w:rFonts w:ascii="Times New Roman" w:eastAsia="Times New Roman" w:hAnsi="Times New Roman" w:cs="Times New Roman"/>
      <w:b/>
      <w:bCs/>
      <w:sz w:val="24"/>
      <w:szCs w:val="24"/>
    </w:rPr>
  </w:style>
  <w:style w:type="character" w:customStyle="1" w:styleId="italic">
    <w:name w:val="italic"/>
    <w:basedOn w:val="DefaultParagraphFont"/>
    <w:rsid w:val="006041EA"/>
    <w:rPr>
      <w:i/>
      <w:iCs/>
    </w:rPr>
  </w:style>
  <w:style w:type="character" w:customStyle="1" w:styleId="super">
    <w:name w:val="super"/>
    <w:basedOn w:val="DefaultParagraphFont"/>
    <w:rsid w:val="006041EA"/>
    <w:rPr>
      <w:sz w:val="17"/>
      <w:szCs w:val="17"/>
      <w:vertAlign w:val="superscript"/>
    </w:rPr>
  </w:style>
  <w:style w:type="character" w:customStyle="1" w:styleId="expanded">
    <w:name w:val="expanded"/>
    <w:basedOn w:val="DefaultParagraphFont"/>
    <w:rsid w:val="006041EA"/>
  </w:style>
  <w:style w:type="paragraph" w:customStyle="1" w:styleId="doc-ti">
    <w:name w:val="doc-ti"/>
    <w:basedOn w:val="Normal"/>
    <w:rsid w:val="007D7FCA"/>
    <w:pPr>
      <w:spacing w:before="240" w:after="120" w:line="240" w:lineRule="auto"/>
      <w:jc w:val="center"/>
    </w:pPr>
    <w:rPr>
      <w:rFonts w:ascii="Times New Roman" w:eastAsia="Times New Roman" w:hAnsi="Times New Roman" w:cs="Times New Roman"/>
      <w:b/>
      <w:bCs/>
      <w:sz w:val="24"/>
      <w:szCs w:val="24"/>
    </w:rPr>
  </w:style>
  <w:style w:type="character" w:customStyle="1" w:styleId="title-text">
    <w:name w:val="title-text"/>
    <w:basedOn w:val="DefaultParagraphFont"/>
    <w:rsid w:val="00292621"/>
  </w:style>
</w:styles>
</file>

<file path=word/webSettings.xml><?xml version="1.0" encoding="utf-8"?>
<w:webSettings xmlns:r="http://schemas.openxmlformats.org/officeDocument/2006/relationships" xmlns:w="http://schemas.openxmlformats.org/wordprocessingml/2006/main">
  <w:divs>
    <w:div w:id="349838613">
      <w:bodyDiv w:val="1"/>
      <w:marLeft w:val="390"/>
      <w:marRight w:val="390"/>
      <w:marTop w:val="0"/>
      <w:marBottom w:val="0"/>
      <w:divBdr>
        <w:top w:val="none" w:sz="0" w:space="0" w:color="auto"/>
        <w:left w:val="none" w:sz="0" w:space="0" w:color="auto"/>
        <w:bottom w:val="none" w:sz="0" w:space="0" w:color="auto"/>
        <w:right w:val="none" w:sz="0" w:space="0" w:color="auto"/>
      </w:divBdr>
      <w:divsChild>
        <w:div w:id="1231841568">
          <w:marLeft w:val="0"/>
          <w:marRight w:val="0"/>
          <w:marTop w:val="0"/>
          <w:marBottom w:val="0"/>
          <w:divBdr>
            <w:top w:val="none" w:sz="0" w:space="0" w:color="auto"/>
            <w:left w:val="none" w:sz="0" w:space="0" w:color="auto"/>
            <w:bottom w:val="none" w:sz="0" w:space="0" w:color="auto"/>
            <w:right w:val="none" w:sz="0" w:space="0" w:color="auto"/>
          </w:divBdr>
        </w:div>
      </w:divsChild>
    </w:div>
    <w:div w:id="669258094">
      <w:bodyDiv w:val="1"/>
      <w:marLeft w:val="390"/>
      <w:marRight w:val="390"/>
      <w:marTop w:val="0"/>
      <w:marBottom w:val="0"/>
      <w:divBdr>
        <w:top w:val="none" w:sz="0" w:space="0" w:color="auto"/>
        <w:left w:val="none" w:sz="0" w:space="0" w:color="auto"/>
        <w:bottom w:val="none" w:sz="0" w:space="0" w:color="auto"/>
        <w:right w:val="none" w:sz="0" w:space="0" w:color="auto"/>
      </w:divBdr>
    </w:div>
    <w:div w:id="1100683931">
      <w:bodyDiv w:val="1"/>
      <w:marLeft w:val="390"/>
      <w:marRight w:val="390"/>
      <w:marTop w:val="0"/>
      <w:marBottom w:val="0"/>
      <w:divBdr>
        <w:top w:val="none" w:sz="0" w:space="0" w:color="auto"/>
        <w:left w:val="none" w:sz="0" w:space="0" w:color="auto"/>
        <w:bottom w:val="none" w:sz="0" w:space="0" w:color="auto"/>
        <w:right w:val="none" w:sz="0" w:space="0" w:color="auto"/>
      </w:divBdr>
      <w:divsChild>
        <w:div w:id="54861688">
          <w:marLeft w:val="0"/>
          <w:marRight w:val="0"/>
          <w:marTop w:val="0"/>
          <w:marBottom w:val="0"/>
          <w:divBdr>
            <w:top w:val="none" w:sz="0" w:space="0" w:color="auto"/>
            <w:left w:val="none" w:sz="0" w:space="0" w:color="auto"/>
            <w:bottom w:val="none" w:sz="0" w:space="0" w:color="auto"/>
            <w:right w:val="none" w:sz="0" w:space="0" w:color="auto"/>
          </w:divBdr>
        </w:div>
      </w:divsChild>
    </w:div>
    <w:div w:id="1261641960">
      <w:bodyDiv w:val="1"/>
      <w:marLeft w:val="390"/>
      <w:marRight w:val="390"/>
      <w:marTop w:val="0"/>
      <w:marBottom w:val="0"/>
      <w:divBdr>
        <w:top w:val="none" w:sz="0" w:space="0" w:color="auto"/>
        <w:left w:val="none" w:sz="0" w:space="0" w:color="auto"/>
        <w:bottom w:val="none" w:sz="0" w:space="0" w:color="auto"/>
        <w:right w:val="none" w:sz="0" w:space="0" w:color="auto"/>
      </w:divBdr>
    </w:div>
    <w:div w:id="2067677748">
      <w:bodyDiv w:val="1"/>
      <w:marLeft w:val="390"/>
      <w:marRight w:val="390"/>
      <w:marTop w:val="0"/>
      <w:marBottom w:val="0"/>
      <w:divBdr>
        <w:top w:val="none" w:sz="0" w:space="0" w:color="auto"/>
        <w:left w:val="none" w:sz="0" w:space="0" w:color="auto"/>
        <w:bottom w:val="none" w:sz="0" w:space="0" w:color="auto"/>
        <w:right w:val="none" w:sz="0" w:space="0" w:color="auto"/>
      </w:divBdr>
      <w:divsChild>
        <w:div w:id="103573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ligonucleotide_synthesis"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riam-webster.com/dictionary/genet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cbd.int/abs/dsi-gr/ahteg.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Nucleic_acid_sequence" TargetMode="Externa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nature/biodiversity/international/abs/pdf/ABS%20Final%20Report%20upstream%20users.pdf" TargetMode="External"/><Relationship Id="rId13" Type="http://schemas.openxmlformats.org/officeDocument/2006/relationships/hyperlink" Target="http://www.fni.no/cv/cv-pjs.html" TargetMode="External"/><Relationship Id="rId18" Type="http://schemas.openxmlformats.org/officeDocument/2006/relationships/hyperlink" Target="http://www.ema.europa.eu/ema/index.jsp?curl=pages/medicines/general/general_content_001832.jsp&amp;mid=WC0b01ac0580bb8fda" TargetMode="External"/><Relationship Id="rId3" Type="http://schemas.openxmlformats.org/officeDocument/2006/relationships/hyperlink" Target="http://www.cbd.int/convention/articles/default.shtml?a=cbd-08" TargetMode="External"/><Relationship Id="rId7" Type="http://schemas.openxmlformats.org/officeDocument/2006/relationships/hyperlink" Target="https://www.cbd.int/doc/meetings/abs/abswg-07/official/abswg-07-02-en.pdf" TargetMode="External"/><Relationship Id="rId12" Type="http://schemas.openxmlformats.org/officeDocument/2006/relationships/hyperlink" Target="http://www.thehumangenome.co.uk/THE_HUMAN_GENOME/Primer.html" TargetMode="External"/><Relationship Id="rId17" Type="http://schemas.openxmlformats.org/officeDocument/2006/relationships/hyperlink" Target="http://www.fni.no/cv/cv-pjs.html" TargetMode="External"/><Relationship Id="rId2" Type="http://schemas.openxmlformats.org/officeDocument/2006/relationships/hyperlink" Target="http://www.cbd.int/information/parties.shtml" TargetMode="External"/><Relationship Id="rId16" Type="http://schemas.openxmlformats.org/officeDocument/2006/relationships/hyperlink" Target="http://www.fni.no/cv/cv-mwt.html" TargetMode="External"/><Relationship Id="rId20" Type="http://schemas.openxmlformats.org/officeDocument/2006/relationships/hyperlink" Target="http://www.cbd.int/doc/meetings/abs/abswg-08/official/abswg-08-02-en.pdf" TargetMode="External"/><Relationship Id="rId1" Type="http://schemas.openxmlformats.org/officeDocument/2006/relationships/hyperlink" Target="http://www.sciencemag.org/search?author1=Daniel+G.+Gibson&amp;sortspec=date&amp;submit=Submit" TargetMode="External"/><Relationship Id="rId6" Type="http://schemas.openxmlformats.org/officeDocument/2006/relationships/hyperlink" Target="http://www.merriam-webster.com/dictionary/gene" TargetMode="External"/><Relationship Id="rId11" Type="http://schemas.openxmlformats.org/officeDocument/2006/relationships/hyperlink" Target="http://www.merriam-webster.com/dictionary/derivative" TargetMode="External"/><Relationship Id="rId5" Type="http://schemas.openxmlformats.org/officeDocument/2006/relationships/hyperlink" Target="https://cmsdata.iucn.org/downloads/an_explanatory_guide_to_the_nagoya_protocol.pdf" TargetMode="External"/><Relationship Id="rId15" Type="http://schemas.openxmlformats.org/officeDocument/2006/relationships/hyperlink" Target="http://www.fni.no/doc&amp;pdf/FNI-R0410.pdf" TargetMode="External"/><Relationship Id="rId10" Type="http://schemas.openxmlformats.org/officeDocument/2006/relationships/hyperlink" Target="http://www.merriam-webster.com/dictionary/derivable" TargetMode="External"/><Relationship Id="rId19" Type="http://schemas.openxmlformats.org/officeDocument/2006/relationships/hyperlink" Target="https://www.cbd.int/doc/meetings/cop/cop-10/official/cop-10-02-en.pdf" TargetMode="External"/><Relationship Id="rId4" Type="http://schemas.openxmlformats.org/officeDocument/2006/relationships/hyperlink" Target="http://www.cbd.int/doc/press/2014/pr-2014-10-12-nagoya-protocol-en.pdf" TargetMode="External"/><Relationship Id="rId9" Type="http://schemas.openxmlformats.org/officeDocument/2006/relationships/hyperlink" Target="http://www.ipaj.org/english_journal/pdf/9-1_Kohsaka.pdf" TargetMode="External"/><Relationship Id="rId14" Type="http://schemas.openxmlformats.org/officeDocument/2006/relationships/hyperlink" Target="http://www.fni.no/cv/cv-mwt.html"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4D942-287E-4A62-8944-10ACBE2D662C}" type="doc">
      <dgm:prSet loTypeId="urn:microsoft.com/office/officeart/2005/8/layout/process5" loCatId="process" qsTypeId="urn:microsoft.com/office/officeart/2005/8/quickstyle/simple5" qsCatId="simple" csTypeId="urn:microsoft.com/office/officeart/2005/8/colors/accent0_3" csCatId="mainScheme" phldr="1"/>
      <dgm:spPr/>
      <dgm:t>
        <a:bodyPr/>
        <a:lstStyle/>
        <a:p>
          <a:endParaRPr lang="en-GB"/>
        </a:p>
      </dgm:t>
    </dgm:pt>
    <dgm:pt modelId="{1595B6B9-E894-46C0-8C6B-94371C2353B3}">
      <dgm:prSet phldrT="[Text]"/>
      <dgm:spPr/>
      <dgm:t>
        <a:bodyPr/>
        <a:lstStyle/>
        <a:p>
          <a:r>
            <a:rPr lang="en-GB" dirty="0"/>
            <a:t>Genetic Resource/Associated Traditional Knowledge</a:t>
          </a:r>
        </a:p>
      </dgm:t>
    </dgm:pt>
    <dgm:pt modelId="{8DAD4A11-0119-43EE-B936-78B59EB724E3}" type="parTrans" cxnId="{9788371E-0CC1-45E8-866E-43BAF94F1D61}">
      <dgm:prSet/>
      <dgm:spPr/>
      <dgm:t>
        <a:bodyPr/>
        <a:lstStyle/>
        <a:p>
          <a:endParaRPr lang="en-GB"/>
        </a:p>
      </dgm:t>
    </dgm:pt>
    <dgm:pt modelId="{173D1373-BC8D-474A-8683-F4A5352A2C68}" type="sibTrans" cxnId="{9788371E-0CC1-45E8-866E-43BAF94F1D61}">
      <dgm:prSet/>
      <dgm:spPr/>
      <dgm:t>
        <a:bodyPr/>
        <a:lstStyle/>
        <a:p>
          <a:endParaRPr lang="en-GB" dirty="0"/>
        </a:p>
      </dgm:t>
    </dgm:pt>
    <dgm:pt modelId="{D3BCEB14-8EE7-4C0A-8776-0D32D1904E89}">
      <dgm:prSet phldrT="[Text]"/>
      <dgm:spPr/>
      <dgm:t>
        <a:bodyPr/>
        <a:lstStyle/>
        <a:p>
          <a:r>
            <a:rPr lang="en-GB" dirty="0"/>
            <a:t>Isolated Ligand/Structure Identified</a:t>
          </a:r>
        </a:p>
      </dgm:t>
    </dgm:pt>
    <dgm:pt modelId="{5C41736F-57A5-4E24-BCF2-A8B556636695}" type="parTrans" cxnId="{5190F60A-ECA1-4EA0-8C14-1B15275651ED}">
      <dgm:prSet/>
      <dgm:spPr/>
      <dgm:t>
        <a:bodyPr/>
        <a:lstStyle/>
        <a:p>
          <a:endParaRPr lang="en-GB"/>
        </a:p>
      </dgm:t>
    </dgm:pt>
    <dgm:pt modelId="{21588B6F-DD36-4329-9197-1D923AA5F8C8}" type="sibTrans" cxnId="{5190F60A-ECA1-4EA0-8C14-1B15275651ED}">
      <dgm:prSet/>
      <dgm:spPr/>
      <dgm:t>
        <a:bodyPr/>
        <a:lstStyle/>
        <a:p>
          <a:endParaRPr lang="en-GB" dirty="0"/>
        </a:p>
      </dgm:t>
    </dgm:pt>
    <dgm:pt modelId="{E2F43E9B-0294-43F3-B045-EA06904E3A9E}">
      <dgm:prSet phldrT="[Text]"/>
      <dgm:spPr/>
      <dgm:t>
        <a:bodyPr/>
        <a:lstStyle/>
        <a:p>
          <a:r>
            <a:rPr lang="en-GB" dirty="0"/>
            <a:t>Chemical Derivative of Isolated Ligand</a:t>
          </a:r>
        </a:p>
      </dgm:t>
    </dgm:pt>
    <dgm:pt modelId="{50B749B4-0ED7-4AB7-B56E-BBE2D86A6E9B}" type="parTrans" cxnId="{AA546311-5479-42A3-A08B-874487FEEEA9}">
      <dgm:prSet/>
      <dgm:spPr/>
      <dgm:t>
        <a:bodyPr/>
        <a:lstStyle/>
        <a:p>
          <a:endParaRPr lang="en-GB"/>
        </a:p>
      </dgm:t>
    </dgm:pt>
    <dgm:pt modelId="{7D92AAB9-1508-4D12-93CB-978885F3AFB6}" type="sibTrans" cxnId="{AA546311-5479-42A3-A08B-874487FEEEA9}">
      <dgm:prSet/>
      <dgm:spPr/>
      <dgm:t>
        <a:bodyPr/>
        <a:lstStyle/>
        <a:p>
          <a:endParaRPr lang="en-GB" dirty="0"/>
        </a:p>
      </dgm:t>
    </dgm:pt>
    <dgm:pt modelId="{CDEB3594-D6F6-491C-A380-5059C17B77BB}">
      <dgm:prSet phldrT="[Text]"/>
      <dgm:spPr/>
      <dgm:t>
        <a:bodyPr/>
        <a:lstStyle/>
        <a:p>
          <a:r>
            <a:rPr lang="en-GB" dirty="0"/>
            <a:t>Second Medical Use of  Chemical Derivative</a:t>
          </a:r>
        </a:p>
      </dgm:t>
    </dgm:pt>
    <dgm:pt modelId="{AE99FF50-66CA-44A6-BD7D-5D38B6E26D2D}" type="parTrans" cxnId="{4C452250-020D-4370-B062-69AAC302CF98}">
      <dgm:prSet/>
      <dgm:spPr/>
      <dgm:t>
        <a:bodyPr/>
        <a:lstStyle/>
        <a:p>
          <a:endParaRPr lang="en-GB"/>
        </a:p>
      </dgm:t>
    </dgm:pt>
    <dgm:pt modelId="{5F4EB70A-FEBE-4C9B-8FE6-B5D442638FC0}" type="sibTrans" cxnId="{4C452250-020D-4370-B062-69AAC302CF98}">
      <dgm:prSet/>
      <dgm:spPr/>
      <dgm:t>
        <a:bodyPr/>
        <a:lstStyle/>
        <a:p>
          <a:endParaRPr lang="en-GB" dirty="0"/>
        </a:p>
      </dgm:t>
    </dgm:pt>
    <dgm:pt modelId="{4C9D090B-4737-4C77-9D99-F107C1323C67}">
      <dgm:prSet phldrT="[Text]"/>
      <dgm:spPr/>
      <dgm:t>
        <a:bodyPr/>
        <a:lstStyle/>
        <a:p>
          <a:r>
            <a:rPr lang="en-GB" dirty="0"/>
            <a:t>Underlying Biochemical Mechanism of Therapy</a:t>
          </a:r>
        </a:p>
      </dgm:t>
    </dgm:pt>
    <dgm:pt modelId="{BE52C5AE-1E91-40B3-B720-9D91E0EC9229}" type="parTrans" cxnId="{2EFE9A21-14B0-4360-8E59-745F1BD4DCA3}">
      <dgm:prSet/>
      <dgm:spPr/>
      <dgm:t>
        <a:bodyPr/>
        <a:lstStyle/>
        <a:p>
          <a:endParaRPr lang="en-GB"/>
        </a:p>
      </dgm:t>
    </dgm:pt>
    <dgm:pt modelId="{D31E5F3E-C020-4DC5-9295-E9D77342345C}" type="sibTrans" cxnId="{2EFE9A21-14B0-4360-8E59-745F1BD4DCA3}">
      <dgm:prSet/>
      <dgm:spPr/>
      <dgm:t>
        <a:bodyPr/>
        <a:lstStyle/>
        <a:p>
          <a:endParaRPr lang="en-GB" dirty="0"/>
        </a:p>
      </dgm:t>
    </dgm:pt>
    <dgm:pt modelId="{B4A747E7-A1DA-40AC-8137-ECFE4FE4817C}">
      <dgm:prSet/>
      <dgm:spPr/>
      <dgm:t>
        <a:bodyPr/>
        <a:lstStyle/>
        <a:p>
          <a:r>
            <a:rPr lang="en-GB" dirty="0"/>
            <a:t>Synthetic Ligands</a:t>
          </a:r>
        </a:p>
      </dgm:t>
    </dgm:pt>
    <dgm:pt modelId="{9749C43B-AA8F-4C74-9F84-91886474465E}" type="parTrans" cxnId="{8EDBF686-E3F2-4589-8867-E8B169981617}">
      <dgm:prSet/>
      <dgm:spPr/>
      <dgm:t>
        <a:bodyPr/>
        <a:lstStyle/>
        <a:p>
          <a:endParaRPr lang="en-GB"/>
        </a:p>
      </dgm:t>
    </dgm:pt>
    <dgm:pt modelId="{FCF60971-BD5A-4BC3-A520-0F877B1F745B}" type="sibTrans" cxnId="{8EDBF686-E3F2-4589-8867-E8B169981617}">
      <dgm:prSet/>
      <dgm:spPr/>
      <dgm:t>
        <a:bodyPr/>
        <a:lstStyle/>
        <a:p>
          <a:endParaRPr lang="en-GB" dirty="0"/>
        </a:p>
      </dgm:t>
    </dgm:pt>
    <dgm:pt modelId="{6C057325-EE67-45D7-82A1-B9E0EC78526C}">
      <dgm:prSet phldrT="[Text]"/>
      <dgm:spPr/>
      <dgm:t>
        <a:bodyPr/>
        <a:lstStyle/>
        <a:p>
          <a:r>
            <a:rPr lang="en-GB" dirty="0"/>
            <a:t>Second Medical Use of Isolated Ligand</a:t>
          </a:r>
        </a:p>
      </dgm:t>
    </dgm:pt>
    <dgm:pt modelId="{A28E569D-390F-490A-8A44-C55544804E3A}" type="parTrans" cxnId="{CD27BC3F-EE4F-4FBB-A7C2-408A537E1CD0}">
      <dgm:prSet/>
      <dgm:spPr/>
      <dgm:t>
        <a:bodyPr/>
        <a:lstStyle/>
        <a:p>
          <a:endParaRPr lang="en-GB"/>
        </a:p>
      </dgm:t>
    </dgm:pt>
    <dgm:pt modelId="{B802178A-18AD-46D1-9C81-79C4ABBDFA1C}" type="sibTrans" cxnId="{CD27BC3F-EE4F-4FBB-A7C2-408A537E1CD0}">
      <dgm:prSet/>
      <dgm:spPr/>
      <dgm:t>
        <a:bodyPr/>
        <a:lstStyle/>
        <a:p>
          <a:endParaRPr lang="en-GB" dirty="0"/>
        </a:p>
      </dgm:t>
    </dgm:pt>
    <dgm:pt modelId="{3A264552-5FB0-4DE5-94B3-598DB8966750}">
      <dgm:prSet/>
      <dgm:spPr/>
      <dgm:t>
        <a:bodyPr/>
        <a:lstStyle/>
        <a:p>
          <a:r>
            <a:rPr lang="en-GB" dirty="0"/>
            <a:t>Medical Uses</a:t>
          </a:r>
        </a:p>
        <a:p>
          <a:r>
            <a:rPr lang="en-GB" dirty="0"/>
            <a:t>of Synthetic Ligand</a:t>
          </a:r>
        </a:p>
      </dgm:t>
    </dgm:pt>
    <dgm:pt modelId="{ED11BBCB-212C-4854-833C-0571100A26B0}" type="parTrans" cxnId="{94BDD880-A72C-4F29-A4D2-894050AEA82F}">
      <dgm:prSet/>
      <dgm:spPr/>
      <dgm:t>
        <a:bodyPr/>
        <a:lstStyle/>
        <a:p>
          <a:endParaRPr lang="en-GB"/>
        </a:p>
      </dgm:t>
    </dgm:pt>
    <dgm:pt modelId="{3B1CB4CF-9793-4591-B48B-8F7CBB651B5C}" type="sibTrans" cxnId="{94BDD880-A72C-4F29-A4D2-894050AEA82F}">
      <dgm:prSet/>
      <dgm:spPr/>
      <dgm:t>
        <a:bodyPr/>
        <a:lstStyle/>
        <a:p>
          <a:endParaRPr lang="en-GB" dirty="0"/>
        </a:p>
      </dgm:t>
    </dgm:pt>
    <dgm:pt modelId="{D60FE4E2-B7D5-4CE9-9FC6-835EB526ED74}">
      <dgm:prSet/>
      <dgm:spPr/>
      <dgm:t>
        <a:bodyPr/>
        <a:lstStyle/>
        <a:p>
          <a:r>
            <a:rPr lang="en-GB" dirty="0"/>
            <a:t>Further research into disease mechanism</a:t>
          </a:r>
        </a:p>
      </dgm:t>
    </dgm:pt>
    <dgm:pt modelId="{A1270D18-20FD-4E27-BF01-912F4CDCC288}" type="parTrans" cxnId="{6945DF58-92C1-4D1E-B235-5B234F0133A8}">
      <dgm:prSet/>
      <dgm:spPr/>
      <dgm:t>
        <a:bodyPr/>
        <a:lstStyle/>
        <a:p>
          <a:endParaRPr lang="en-GB"/>
        </a:p>
      </dgm:t>
    </dgm:pt>
    <dgm:pt modelId="{5779DCAC-0AF7-4060-804C-BF7357FDF344}" type="sibTrans" cxnId="{6945DF58-92C1-4D1E-B235-5B234F0133A8}">
      <dgm:prSet custLinFactNeighborX="711" custLinFactNeighborY="8769"/>
      <dgm:spPr/>
      <dgm:t>
        <a:bodyPr/>
        <a:lstStyle/>
        <a:p>
          <a:endParaRPr lang="en-GB"/>
        </a:p>
      </dgm:t>
    </dgm:pt>
    <dgm:pt modelId="{1E18FD50-9660-436A-9E33-F275A3797F8C}" type="pres">
      <dgm:prSet presAssocID="{9144D942-287E-4A62-8944-10ACBE2D662C}" presName="diagram" presStyleCnt="0">
        <dgm:presLayoutVars>
          <dgm:dir/>
          <dgm:resizeHandles val="exact"/>
        </dgm:presLayoutVars>
      </dgm:prSet>
      <dgm:spPr/>
      <dgm:t>
        <a:bodyPr/>
        <a:lstStyle/>
        <a:p>
          <a:endParaRPr lang="en-GB"/>
        </a:p>
      </dgm:t>
    </dgm:pt>
    <dgm:pt modelId="{0BE5A77B-A788-4D5E-82BC-D0C7120F5A9F}" type="pres">
      <dgm:prSet presAssocID="{1595B6B9-E894-46C0-8C6B-94371C2353B3}" presName="node" presStyleLbl="node1" presStyleIdx="0" presStyleCnt="9">
        <dgm:presLayoutVars>
          <dgm:bulletEnabled val="1"/>
        </dgm:presLayoutVars>
      </dgm:prSet>
      <dgm:spPr/>
      <dgm:t>
        <a:bodyPr/>
        <a:lstStyle/>
        <a:p>
          <a:endParaRPr lang="en-GB"/>
        </a:p>
      </dgm:t>
    </dgm:pt>
    <dgm:pt modelId="{D3EBEF07-4569-4A4C-98BC-2C5CE1FB8CDC}" type="pres">
      <dgm:prSet presAssocID="{173D1373-BC8D-474A-8683-F4A5352A2C68}" presName="sibTrans" presStyleLbl="sibTrans2D1" presStyleIdx="0" presStyleCnt="8"/>
      <dgm:spPr/>
      <dgm:t>
        <a:bodyPr/>
        <a:lstStyle/>
        <a:p>
          <a:endParaRPr lang="en-GB"/>
        </a:p>
      </dgm:t>
    </dgm:pt>
    <dgm:pt modelId="{FC074DEA-810B-4895-AEE1-4712F7138C30}" type="pres">
      <dgm:prSet presAssocID="{173D1373-BC8D-474A-8683-F4A5352A2C68}" presName="connectorText" presStyleLbl="sibTrans2D1" presStyleIdx="0" presStyleCnt="8"/>
      <dgm:spPr/>
      <dgm:t>
        <a:bodyPr/>
        <a:lstStyle/>
        <a:p>
          <a:endParaRPr lang="en-GB"/>
        </a:p>
      </dgm:t>
    </dgm:pt>
    <dgm:pt modelId="{C62C2F6B-5E05-4A18-8579-59465CDCDD71}" type="pres">
      <dgm:prSet presAssocID="{D3BCEB14-8EE7-4C0A-8776-0D32D1904E89}" presName="node" presStyleLbl="node1" presStyleIdx="1" presStyleCnt="9">
        <dgm:presLayoutVars>
          <dgm:bulletEnabled val="1"/>
        </dgm:presLayoutVars>
      </dgm:prSet>
      <dgm:spPr/>
      <dgm:t>
        <a:bodyPr/>
        <a:lstStyle/>
        <a:p>
          <a:endParaRPr lang="en-GB"/>
        </a:p>
      </dgm:t>
    </dgm:pt>
    <dgm:pt modelId="{FEECF271-8CC2-4BC7-9D18-06CABFB1B89C}" type="pres">
      <dgm:prSet presAssocID="{21588B6F-DD36-4329-9197-1D923AA5F8C8}" presName="sibTrans" presStyleLbl="sibTrans2D1" presStyleIdx="1" presStyleCnt="8"/>
      <dgm:spPr/>
      <dgm:t>
        <a:bodyPr/>
        <a:lstStyle/>
        <a:p>
          <a:endParaRPr lang="en-GB"/>
        </a:p>
      </dgm:t>
    </dgm:pt>
    <dgm:pt modelId="{97C66D4D-1025-4829-B7A7-5DA43F120459}" type="pres">
      <dgm:prSet presAssocID="{21588B6F-DD36-4329-9197-1D923AA5F8C8}" presName="connectorText" presStyleLbl="sibTrans2D1" presStyleIdx="1" presStyleCnt="8"/>
      <dgm:spPr/>
      <dgm:t>
        <a:bodyPr/>
        <a:lstStyle/>
        <a:p>
          <a:endParaRPr lang="en-GB"/>
        </a:p>
      </dgm:t>
    </dgm:pt>
    <dgm:pt modelId="{DE10EB10-AF56-4229-8027-9B06F25A5023}" type="pres">
      <dgm:prSet presAssocID="{E2F43E9B-0294-43F3-B045-EA06904E3A9E}" presName="node" presStyleLbl="node1" presStyleIdx="2" presStyleCnt="9">
        <dgm:presLayoutVars>
          <dgm:bulletEnabled val="1"/>
        </dgm:presLayoutVars>
      </dgm:prSet>
      <dgm:spPr/>
      <dgm:t>
        <a:bodyPr/>
        <a:lstStyle/>
        <a:p>
          <a:endParaRPr lang="en-GB"/>
        </a:p>
      </dgm:t>
    </dgm:pt>
    <dgm:pt modelId="{335C1CE2-04A3-4D06-A101-ADBB2DB1FACA}" type="pres">
      <dgm:prSet presAssocID="{7D92AAB9-1508-4D12-93CB-978885F3AFB6}" presName="sibTrans" presStyleLbl="sibTrans2D1" presStyleIdx="2" presStyleCnt="8" custAng="16200000" custLinFactX="-133123" custLinFactY="100000" custLinFactNeighborX="-200000" custLinFactNeighborY="104372"/>
      <dgm:spPr/>
      <dgm:t>
        <a:bodyPr/>
        <a:lstStyle/>
        <a:p>
          <a:endParaRPr lang="en-GB"/>
        </a:p>
      </dgm:t>
    </dgm:pt>
    <dgm:pt modelId="{E9F14998-33C8-4612-98D1-6FA74B0C14E8}" type="pres">
      <dgm:prSet presAssocID="{7D92AAB9-1508-4D12-93CB-978885F3AFB6}" presName="connectorText" presStyleLbl="sibTrans2D1" presStyleIdx="2" presStyleCnt="8"/>
      <dgm:spPr/>
      <dgm:t>
        <a:bodyPr/>
        <a:lstStyle/>
        <a:p>
          <a:endParaRPr lang="en-GB"/>
        </a:p>
      </dgm:t>
    </dgm:pt>
    <dgm:pt modelId="{44A6BA78-E603-4128-9483-4D0D5AD76BC3}" type="pres">
      <dgm:prSet presAssocID="{CDEB3594-D6F6-491C-A380-5059C17B77BB}" presName="node" presStyleLbl="node1" presStyleIdx="3" presStyleCnt="9">
        <dgm:presLayoutVars>
          <dgm:bulletEnabled val="1"/>
        </dgm:presLayoutVars>
      </dgm:prSet>
      <dgm:spPr/>
      <dgm:t>
        <a:bodyPr/>
        <a:lstStyle/>
        <a:p>
          <a:endParaRPr lang="en-GB"/>
        </a:p>
      </dgm:t>
    </dgm:pt>
    <dgm:pt modelId="{B9175EB9-4F5F-40D9-81A2-CB7B96C1B6C6}" type="pres">
      <dgm:prSet presAssocID="{5F4EB70A-FEBE-4C9B-8FE6-B5D442638FC0}" presName="sibTrans" presStyleLbl="sibTrans2D1" presStyleIdx="3" presStyleCnt="8" custAng="16200000" custLinFactX="-125142" custLinFactY="-100000" custLinFactNeighborX="-200000" custLinFactNeighborY="-102874"/>
      <dgm:spPr/>
      <dgm:t>
        <a:bodyPr/>
        <a:lstStyle/>
        <a:p>
          <a:endParaRPr lang="en-GB"/>
        </a:p>
      </dgm:t>
    </dgm:pt>
    <dgm:pt modelId="{E43F83F9-AD53-47AC-898C-4E88EA465BA4}" type="pres">
      <dgm:prSet presAssocID="{5F4EB70A-FEBE-4C9B-8FE6-B5D442638FC0}" presName="connectorText" presStyleLbl="sibTrans2D1" presStyleIdx="3" presStyleCnt="8"/>
      <dgm:spPr/>
      <dgm:t>
        <a:bodyPr/>
        <a:lstStyle/>
        <a:p>
          <a:endParaRPr lang="en-GB"/>
        </a:p>
      </dgm:t>
    </dgm:pt>
    <dgm:pt modelId="{506A1D47-EC17-4132-9C51-56B09369C4ED}" type="pres">
      <dgm:prSet presAssocID="{4C9D090B-4737-4C77-9D99-F107C1323C67}" presName="node" presStyleLbl="node1" presStyleIdx="4" presStyleCnt="9">
        <dgm:presLayoutVars>
          <dgm:bulletEnabled val="1"/>
        </dgm:presLayoutVars>
      </dgm:prSet>
      <dgm:spPr/>
      <dgm:t>
        <a:bodyPr/>
        <a:lstStyle/>
        <a:p>
          <a:endParaRPr lang="en-GB"/>
        </a:p>
      </dgm:t>
    </dgm:pt>
    <dgm:pt modelId="{21A800C4-C388-4F51-A65B-922EA1E9C20C}" type="pres">
      <dgm:prSet presAssocID="{D31E5F3E-C020-4DC5-9295-E9D77342345C}" presName="sibTrans" presStyleLbl="sibTrans2D1" presStyleIdx="4" presStyleCnt="8" custLinFactNeighborX="711" custLinFactNeighborY="8769"/>
      <dgm:spPr/>
      <dgm:t>
        <a:bodyPr/>
        <a:lstStyle/>
        <a:p>
          <a:endParaRPr lang="en-GB"/>
        </a:p>
      </dgm:t>
    </dgm:pt>
    <dgm:pt modelId="{E4CDC738-A65A-41F1-A30E-9659B6713054}" type="pres">
      <dgm:prSet presAssocID="{D31E5F3E-C020-4DC5-9295-E9D77342345C}" presName="connectorText" presStyleLbl="sibTrans2D1" presStyleIdx="4" presStyleCnt="8"/>
      <dgm:spPr/>
      <dgm:t>
        <a:bodyPr/>
        <a:lstStyle/>
        <a:p>
          <a:endParaRPr lang="en-GB"/>
        </a:p>
      </dgm:t>
    </dgm:pt>
    <dgm:pt modelId="{98BA5C66-2F71-4FBB-B363-807F6B0E528E}" type="pres">
      <dgm:prSet presAssocID="{6C057325-EE67-45D7-82A1-B9E0EC78526C}" presName="node" presStyleLbl="node1" presStyleIdx="5" presStyleCnt="9">
        <dgm:presLayoutVars>
          <dgm:bulletEnabled val="1"/>
        </dgm:presLayoutVars>
      </dgm:prSet>
      <dgm:spPr/>
      <dgm:t>
        <a:bodyPr/>
        <a:lstStyle/>
        <a:p>
          <a:endParaRPr lang="en-GB"/>
        </a:p>
      </dgm:t>
    </dgm:pt>
    <dgm:pt modelId="{EA608BBA-AECE-4CAF-9842-DE049FE432B2}" type="pres">
      <dgm:prSet presAssocID="{B802178A-18AD-46D1-9C81-79C4ABBDFA1C}" presName="sibTrans" presStyleLbl="sibTrans2D1" presStyleIdx="5" presStyleCnt="8" custLinFactX="300000" custLinFactNeighborX="368254" custLinFactNeighborY="6701"/>
      <dgm:spPr/>
      <dgm:t>
        <a:bodyPr/>
        <a:lstStyle/>
        <a:p>
          <a:endParaRPr lang="en-GB"/>
        </a:p>
      </dgm:t>
    </dgm:pt>
    <dgm:pt modelId="{B507A543-02F7-4C68-A38F-E95F0FFD36A1}" type="pres">
      <dgm:prSet presAssocID="{B802178A-18AD-46D1-9C81-79C4ABBDFA1C}" presName="connectorText" presStyleLbl="sibTrans2D1" presStyleIdx="5" presStyleCnt="8"/>
      <dgm:spPr/>
      <dgm:t>
        <a:bodyPr/>
        <a:lstStyle/>
        <a:p>
          <a:endParaRPr lang="en-GB"/>
        </a:p>
      </dgm:t>
    </dgm:pt>
    <dgm:pt modelId="{B924EAC5-4809-4201-95A7-1AFA822B8B2B}" type="pres">
      <dgm:prSet presAssocID="{3A264552-5FB0-4DE5-94B3-598DB8966750}" presName="node" presStyleLbl="node1" presStyleIdx="6" presStyleCnt="9">
        <dgm:presLayoutVars>
          <dgm:bulletEnabled val="1"/>
        </dgm:presLayoutVars>
      </dgm:prSet>
      <dgm:spPr/>
      <dgm:t>
        <a:bodyPr/>
        <a:lstStyle/>
        <a:p>
          <a:endParaRPr lang="en-GB"/>
        </a:p>
      </dgm:t>
    </dgm:pt>
    <dgm:pt modelId="{3990238D-CDA2-47F6-8A3E-9071BA806792}" type="pres">
      <dgm:prSet presAssocID="{3B1CB4CF-9793-4591-B48B-8F7CBB651B5C}" presName="sibTrans" presStyleLbl="sibTrans2D1" presStyleIdx="6" presStyleCnt="8" custLinFactX="300000" custLinFactNeighborX="380174" custLinFactNeighborY="-4269"/>
      <dgm:spPr/>
      <dgm:t>
        <a:bodyPr/>
        <a:lstStyle/>
        <a:p>
          <a:endParaRPr lang="en-GB"/>
        </a:p>
      </dgm:t>
    </dgm:pt>
    <dgm:pt modelId="{EB3E4159-AF16-4F8E-9EA3-5CE218B8C7AD}" type="pres">
      <dgm:prSet presAssocID="{3B1CB4CF-9793-4591-B48B-8F7CBB651B5C}" presName="connectorText" presStyleLbl="sibTrans2D1" presStyleIdx="6" presStyleCnt="8"/>
      <dgm:spPr/>
      <dgm:t>
        <a:bodyPr/>
        <a:lstStyle/>
        <a:p>
          <a:endParaRPr lang="en-GB"/>
        </a:p>
      </dgm:t>
    </dgm:pt>
    <dgm:pt modelId="{E01DA8B9-597F-459F-AE2D-8C75F86869F8}" type="pres">
      <dgm:prSet presAssocID="{B4A747E7-A1DA-40AC-8137-ECFE4FE4817C}" presName="node" presStyleLbl="node1" presStyleIdx="7" presStyleCnt="9">
        <dgm:presLayoutVars>
          <dgm:bulletEnabled val="1"/>
        </dgm:presLayoutVars>
      </dgm:prSet>
      <dgm:spPr/>
      <dgm:t>
        <a:bodyPr/>
        <a:lstStyle/>
        <a:p>
          <a:endParaRPr lang="en-GB"/>
        </a:p>
      </dgm:t>
    </dgm:pt>
    <dgm:pt modelId="{89F208BB-BAB1-4ADB-B738-5D97C7AE3C3B}" type="pres">
      <dgm:prSet presAssocID="{FCF60971-BD5A-4BC3-A520-0F877B1F745B}" presName="sibTrans" presStyleLbl="sibTrans2D1" presStyleIdx="7" presStyleCnt="8" custAng="10631871" custScaleX="100741" custScaleY="105278" custLinFactX="-300000" custLinFactNeighborX="-370554" custLinFactNeighborY="-536"/>
      <dgm:spPr/>
      <dgm:t>
        <a:bodyPr/>
        <a:lstStyle/>
        <a:p>
          <a:endParaRPr lang="en-GB"/>
        </a:p>
      </dgm:t>
    </dgm:pt>
    <dgm:pt modelId="{0A254BE1-22ED-41B8-929C-572AA0A63EE6}" type="pres">
      <dgm:prSet presAssocID="{FCF60971-BD5A-4BC3-A520-0F877B1F745B}" presName="connectorText" presStyleLbl="sibTrans2D1" presStyleIdx="7" presStyleCnt="8"/>
      <dgm:spPr/>
      <dgm:t>
        <a:bodyPr/>
        <a:lstStyle/>
        <a:p>
          <a:endParaRPr lang="en-GB"/>
        </a:p>
      </dgm:t>
    </dgm:pt>
    <dgm:pt modelId="{864F18DB-1FA4-4747-BF3D-4A5E54358591}" type="pres">
      <dgm:prSet presAssocID="{D60FE4E2-B7D5-4CE9-9FC6-835EB526ED74}" presName="node" presStyleLbl="node1" presStyleIdx="8" presStyleCnt="9">
        <dgm:presLayoutVars>
          <dgm:bulletEnabled val="1"/>
        </dgm:presLayoutVars>
      </dgm:prSet>
      <dgm:spPr/>
      <dgm:t>
        <a:bodyPr/>
        <a:lstStyle/>
        <a:p>
          <a:endParaRPr lang="en-GB"/>
        </a:p>
      </dgm:t>
    </dgm:pt>
  </dgm:ptLst>
  <dgm:cxnLst>
    <dgm:cxn modelId="{25C8E4E5-F79E-4962-99D5-62CF9B3E3736}" type="presOf" srcId="{4C9D090B-4737-4C77-9D99-F107C1323C67}" destId="{506A1D47-EC17-4132-9C51-56B09369C4ED}" srcOrd="0" destOrd="0" presId="urn:microsoft.com/office/officeart/2005/8/layout/process5"/>
    <dgm:cxn modelId="{2EFE9A21-14B0-4360-8E59-745F1BD4DCA3}" srcId="{9144D942-287E-4A62-8944-10ACBE2D662C}" destId="{4C9D090B-4737-4C77-9D99-F107C1323C67}" srcOrd="4" destOrd="0" parTransId="{BE52C5AE-1E91-40B3-B720-9D91E0EC9229}" sibTransId="{D31E5F3E-C020-4DC5-9295-E9D77342345C}"/>
    <dgm:cxn modelId="{6945DF58-92C1-4D1E-B235-5B234F0133A8}" srcId="{9144D942-287E-4A62-8944-10ACBE2D662C}" destId="{D60FE4E2-B7D5-4CE9-9FC6-835EB526ED74}" srcOrd="8" destOrd="0" parTransId="{A1270D18-20FD-4E27-BF01-912F4CDCC288}" sibTransId="{5779DCAC-0AF7-4060-804C-BF7357FDF344}"/>
    <dgm:cxn modelId="{AA388C47-4FF7-4DAC-83CA-904DF4FBDCD0}" type="presOf" srcId="{FCF60971-BD5A-4BC3-A520-0F877B1F745B}" destId="{89F208BB-BAB1-4ADB-B738-5D97C7AE3C3B}" srcOrd="0" destOrd="0" presId="urn:microsoft.com/office/officeart/2005/8/layout/process5"/>
    <dgm:cxn modelId="{9F9E45C1-3E2C-4E96-8ACB-E4C35076C76B}" type="presOf" srcId="{21588B6F-DD36-4329-9197-1D923AA5F8C8}" destId="{97C66D4D-1025-4829-B7A7-5DA43F120459}" srcOrd="1" destOrd="0" presId="urn:microsoft.com/office/officeart/2005/8/layout/process5"/>
    <dgm:cxn modelId="{AA546311-5479-42A3-A08B-874487FEEEA9}" srcId="{9144D942-287E-4A62-8944-10ACBE2D662C}" destId="{E2F43E9B-0294-43F3-B045-EA06904E3A9E}" srcOrd="2" destOrd="0" parTransId="{50B749B4-0ED7-4AB7-B56E-BBE2D86A6E9B}" sibTransId="{7D92AAB9-1508-4D12-93CB-978885F3AFB6}"/>
    <dgm:cxn modelId="{DC73712D-B041-4915-B310-25C17DDE74B0}" type="presOf" srcId="{E2F43E9B-0294-43F3-B045-EA06904E3A9E}" destId="{DE10EB10-AF56-4229-8027-9B06F25A5023}" srcOrd="0" destOrd="0" presId="urn:microsoft.com/office/officeart/2005/8/layout/process5"/>
    <dgm:cxn modelId="{193C96E0-F378-4734-8784-9C6D13FFF18D}" type="presOf" srcId="{FCF60971-BD5A-4BC3-A520-0F877B1F745B}" destId="{0A254BE1-22ED-41B8-929C-572AA0A63EE6}" srcOrd="1" destOrd="0" presId="urn:microsoft.com/office/officeart/2005/8/layout/process5"/>
    <dgm:cxn modelId="{C780B454-4510-4AC1-8C18-CDEFEED1EE99}" type="presOf" srcId="{5F4EB70A-FEBE-4C9B-8FE6-B5D442638FC0}" destId="{E43F83F9-AD53-47AC-898C-4E88EA465BA4}" srcOrd="1" destOrd="0" presId="urn:microsoft.com/office/officeart/2005/8/layout/process5"/>
    <dgm:cxn modelId="{DF1D2EAC-5316-4EE2-B0FD-839D2E6F67EB}" type="presOf" srcId="{CDEB3594-D6F6-491C-A380-5059C17B77BB}" destId="{44A6BA78-E603-4128-9483-4D0D5AD76BC3}" srcOrd="0" destOrd="0" presId="urn:microsoft.com/office/officeart/2005/8/layout/process5"/>
    <dgm:cxn modelId="{3B1B64CF-C8E7-4544-B37F-77D9162BD7CB}" type="presOf" srcId="{B802178A-18AD-46D1-9C81-79C4ABBDFA1C}" destId="{EA608BBA-AECE-4CAF-9842-DE049FE432B2}" srcOrd="0" destOrd="0" presId="urn:microsoft.com/office/officeart/2005/8/layout/process5"/>
    <dgm:cxn modelId="{356F675C-7422-4518-8AC2-54A0F7A994E8}" type="presOf" srcId="{3B1CB4CF-9793-4591-B48B-8F7CBB651B5C}" destId="{3990238D-CDA2-47F6-8A3E-9071BA806792}" srcOrd="0" destOrd="0" presId="urn:microsoft.com/office/officeart/2005/8/layout/process5"/>
    <dgm:cxn modelId="{DEAC8C83-5528-4A4C-87E8-9C8648C31E0F}" type="presOf" srcId="{D31E5F3E-C020-4DC5-9295-E9D77342345C}" destId="{E4CDC738-A65A-41F1-A30E-9659B6713054}" srcOrd="1" destOrd="0" presId="urn:microsoft.com/office/officeart/2005/8/layout/process5"/>
    <dgm:cxn modelId="{58594046-3430-4AA5-AE71-122BFB50AC2D}" type="presOf" srcId="{173D1373-BC8D-474A-8683-F4A5352A2C68}" destId="{D3EBEF07-4569-4A4C-98BC-2C5CE1FB8CDC}" srcOrd="0" destOrd="0" presId="urn:microsoft.com/office/officeart/2005/8/layout/process5"/>
    <dgm:cxn modelId="{7B709A3E-425C-4D20-815B-10363B16D4DA}" type="presOf" srcId="{D31E5F3E-C020-4DC5-9295-E9D77342345C}" destId="{21A800C4-C388-4F51-A65B-922EA1E9C20C}" srcOrd="0" destOrd="0" presId="urn:microsoft.com/office/officeart/2005/8/layout/process5"/>
    <dgm:cxn modelId="{66DA1A4A-926D-4F71-AEC1-707326D4F0B7}" type="presOf" srcId="{3A264552-5FB0-4DE5-94B3-598DB8966750}" destId="{B924EAC5-4809-4201-95A7-1AFA822B8B2B}" srcOrd="0" destOrd="0" presId="urn:microsoft.com/office/officeart/2005/8/layout/process5"/>
    <dgm:cxn modelId="{94BDD880-A72C-4F29-A4D2-894050AEA82F}" srcId="{9144D942-287E-4A62-8944-10ACBE2D662C}" destId="{3A264552-5FB0-4DE5-94B3-598DB8966750}" srcOrd="6" destOrd="0" parTransId="{ED11BBCB-212C-4854-833C-0571100A26B0}" sibTransId="{3B1CB4CF-9793-4591-B48B-8F7CBB651B5C}"/>
    <dgm:cxn modelId="{C7DFC2E5-12B8-4DBE-BF9A-11CF7CA8E1EC}" type="presOf" srcId="{D3BCEB14-8EE7-4C0A-8776-0D32D1904E89}" destId="{C62C2F6B-5E05-4A18-8579-59465CDCDD71}" srcOrd="0" destOrd="0" presId="urn:microsoft.com/office/officeart/2005/8/layout/process5"/>
    <dgm:cxn modelId="{8A6CAD33-494D-4D62-9229-BCF80C245F0C}" type="presOf" srcId="{5F4EB70A-FEBE-4C9B-8FE6-B5D442638FC0}" destId="{B9175EB9-4F5F-40D9-81A2-CB7B96C1B6C6}" srcOrd="0" destOrd="0" presId="urn:microsoft.com/office/officeart/2005/8/layout/process5"/>
    <dgm:cxn modelId="{8EDBF686-E3F2-4589-8867-E8B169981617}" srcId="{9144D942-287E-4A62-8944-10ACBE2D662C}" destId="{B4A747E7-A1DA-40AC-8137-ECFE4FE4817C}" srcOrd="7" destOrd="0" parTransId="{9749C43B-AA8F-4C74-9F84-91886474465E}" sibTransId="{FCF60971-BD5A-4BC3-A520-0F877B1F745B}"/>
    <dgm:cxn modelId="{E4A841C9-AA26-4220-84C8-D215104B5A92}" type="presOf" srcId="{173D1373-BC8D-474A-8683-F4A5352A2C68}" destId="{FC074DEA-810B-4895-AEE1-4712F7138C30}" srcOrd="1" destOrd="0" presId="urn:microsoft.com/office/officeart/2005/8/layout/process5"/>
    <dgm:cxn modelId="{5DEA5D5C-3EDC-4600-A260-18876BC158C3}" type="presOf" srcId="{6C057325-EE67-45D7-82A1-B9E0EC78526C}" destId="{98BA5C66-2F71-4FBB-B363-807F6B0E528E}" srcOrd="0" destOrd="0" presId="urn:microsoft.com/office/officeart/2005/8/layout/process5"/>
    <dgm:cxn modelId="{2B723976-8345-4921-8E3B-B198313E1123}" type="presOf" srcId="{3B1CB4CF-9793-4591-B48B-8F7CBB651B5C}" destId="{EB3E4159-AF16-4F8E-9EA3-5CE218B8C7AD}" srcOrd="1" destOrd="0" presId="urn:microsoft.com/office/officeart/2005/8/layout/process5"/>
    <dgm:cxn modelId="{80B5B512-5E69-4ACC-9AC0-7B7D6D36B5FC}" type="presOf" srcId="{9144D942-287E-4A62-8944-10ACBE2D662C}" destId="{1E18FD50-9660-436A-9E33-F275A3797F8C}" srcOrd="0" destOrd="0" presId="urn:microsoft.com/office/officeart/2005/8/layout/process5"/>
    <dgm:cxn modelId="{C17DB97A-A712-4B0A-9A44-98C3F471B220}" type="presOf" srcId="{B4A747E7-A1DA-40AC-8137-ECFE4FE4817C}" destId="{E01DA8B9-597F-459F-AE2D-8C75F86869F8}" srcOrd="0" destOrd="0" presId="urn:microsoft.com/office/officeart/2005/8/layout/process5"/>
    <dgm:cxn modelId="{93A256B5-DB35-424C-B94C-4327E9F67D02}" type="presOf" srcId="{7D92AAB9-1508-4D12-93CB-978885F3AFB6}" destId="{E9F14998-33C8-4612-98D1-6FA74B0C14E8}" srcOrd="1" destOrd="0" presId="urn:microsoft.com/office/officeart/2005/8/layout/process5"/>
    <dgm:cxn modelId="{4C452250-020D-4370-B062-69AAC302CF98}" srcId="{9144D942-287E-4A62-8944-10ACBE2D662C}" destId="{CDEB3594-D6F6-491C-A380-5059C17B77BB}" srcOrd="3" destOrd="0" parTransId="{AE99FF50-66CA-44A6-BD7D-5D38B6E26D2D}" sibTransId="{5F4EB70A-FEBE-4C9B-8FE6-B5D442638FC0}"/>
    <dgm:cxn modelId="{9788371E-0CC1-45E8-866E-43BAF94F1D61}" srcId="{9144D942-287E-4A62-8944-10ACBE2D662C}" destId="{1595B6B9-E894-46C0-8C6B-94371C2353B3}" srcOrd="0" destOrd="0" parTransId="{8DAD4A11-0119-43EE-B936-78B59EB724E3}" sibTransId="{173D1373-BC8D-474A-8683-F4A5352A2C68}"/>
    <dgm:cxn modelId="{68F3DE18-908E-403E-8DC6-1EE8AD2F20A7}" type="presOf" srcId="{B802178A-18AD-46D1-9C81-79C4ABBDFA1C}" destId="{B507A543-02F7-4C68-A38F-E95F0FFD36A1}" srcOrd="1" destOrd="0" presId="urn:microsoft.com/office/officeart/2005/8/layout/process5"/>
    <dgm:cxn modelId="{CD27BC3F-EE4F-4FBB-A7C2-408A537E1CD0}" srcId="{9144D942-287E-4A62-8944-10ACBE2D662C}" destId="{6C057325-EE67-45D7-82A1-B9E0EC78526C}" srcOrd="5" destOrd="0" parTransId="{A28E569D-390F-490A-8A44-C55544804E3A}" sibTransId="{B802178A-18AD-46D1-9C81-79C4ABBDFA1C}"/>
    <dgm:cxn modelId="{25FFEA67-84F0-4DA1-93AD-235517618E84}" type="presOf" srcId="{1595B6B9-E894-46C0-8C6B-94371C2353B3}" destId="{0BE5A77B-A788-4D5E-82BC-D0C7120F5A9F}" srcOrd="0" destOrd="0" presId="urn:microsoft.com/office/officeart/2005/8/layout/process5"/>
    <dgm:cxn modelId="{5190F60A-ECA1-4EA0-8C14-1B15275651ED}" srcId="{9144D942-287E-4A62-8944-10ACBE2D662C}" destId="{D3BCEB14-8EE7-4C0A-8776-0D32D1904E89}" srcOrd="1" destOrd="0" parTransId="{5C41736F-57A5-4E24-BCF2-A8B556636695}" sibTransId="{21588B6F-DD36-4329-9197-1D923AA5F8C8}"/>
    <dgm:cxn modelId="{DF2A0C2F-EDFB-42A6-B11C-3DEC15F9BF18}" type="presOf" srcId="{21588B6F-DD36-4329-9197-1D923AA5F8C8}" destId="{FEECF271-8CC2-4BC7-9D18-06CABFB1B89C}" srcOrd="0" destOrd="0" presId="urn:microsoft.com/office/officeart/2005/8/layout/process5"/>
    <dgm:cxn modelId="{4E99D9DF-2F01-4F60-B713-D28DA1279C16}" type="presOf" srcId="{7D92AAB9-1508-4D12-93CB-978885F3AFB6}" destId="{335C1CE2-04A3-4D06-A101-ADBB2DB1FACA}" srcOrd="0" destOrd="0" presId="urn:microsoft.com/office/officeart/2005/8/layout/process5"/>
    <dgm:cxn modelId="{3325AC21-FD9E-4B30-83F7-8E98605C1593}" type="presOf" srcId="{D60FE4E2-B7D5-4CE9-9FC6-835EB526ED74}" destId="{864F18DB-1FA4-4747-BF3D-4A5E54358591}" srcOrd="0" destOrd="0" presId="urn:microsoft.com/office/officeart/2005/8/layout/process5"/>
    <dgm:cxn modelId="{CFE487A5-317A-420C-A851-0D8F80E6CEEE}" type="presParOf" srcId="{1E18FD50-9660-436A-9E33-F275A3797F8C}" destId="{0BE5A77B-A788-4D5E-82BC-D0C7120F5A9F}" srcOrd="0" destOrd="0" presId="urn:microsoft.com/office/officeart/2005/8/layout/process5"/>
    <dgm:cxn modelId="{F8B24769-1A7A-4CBE-B60B-5FBDAE775673}" type="presParOf" srcId="{1E18FD50-9660-436A-9E33-F275A3797F8C}" destId="{D3EBEF07-4569-4A4C-98BC-2C5CE1FB8CDC}" srcOrd="1" destOrd="0" presId="urn:microsoft.com/office/officeart/2005/8/layout/process5"/>
    <dgm:cxn modelId="{31D9041C-844C-4D1F-8F85-5EDC2334841E}" type="presParOf" srcId="{D3EBEF07-4569-4A4C-98BC-2C5CE1FB8CDC}" destId="{FC074DEA-810B-4895-AEE1-4712F7138C30}" srcOrd="0" destOrd="0" presId="urn:microsoft.com/office/officeart/2005/8/layout/process5"/>
    <dgm:cxn modelId="{F4509E0F-523A-44CC-9FE7-953F6C5C72AF}" type="presParOf" srcId="{1E18FD50-9660-436A-9E33-F275A3797F8C}" destId="{C62C2F6B-5E05-4A18-8579-59465CDCDD71}" srcOrd="2" destOrd="0" presId="urn:microsoft.com/office/officeart/2005/8/layout/process5"/>
    <dgm:cxn modelId="{1610B568-9BB9-45B0-AEDC-307477A279D2}" type="presParOf" srcId="{1E18FD50-9660-436A-9E33-F275A3797F8C}" destId="{FEECF271-8CC2-4BC7-9D18-06CABFB1B89C}" srcOrd="3" destOrd="0" presId="urn:microsoft.com/office/officeart/2005/8/layout/process5"/>
    <dgm:cxn modelId="{512736EB-E38F-4FAD-8A74-B210B1E43D23}" type="presParOf" srcId="{FEECF271-8CC2-4BC7-9D18-06CABFB1B89C}" destId="{97C66D4D-1025-4829-B7A7-5DA43F120459}" srcOrd="0" destOrd="0" presId="urn:microsoft.com/office/officeart/2005/8/layout/process5"/>
    <dgm:cxn modelId="{C5257DC2-4C89-42EE-A6A8-560BD0FE054E}" type="presParOf" srcId="{1E18FD50-9660-436A-9E33-F275A3797F8C}" destId="{DE10EB10-AF56-4229-8027-9B06F25A5023}" srcOrd="4" destOrd="0" presId="urn:microsoft.com/office/officeart/2005/8/layout/process5"/>
    <dgm:cxn modelId="{CD0A7528-833F-4360-B61D-1071ABBD158F}" type="presParOf" srcId="{1E18FD50-9660-436A-9E33-F275A3797F8C}" destId="{335C1CE2-04A3-4D06-A101-ADBB2DB1FACA}" srcOrd="5" destOrd="0" presId="urn:microsoft.com/office/officeart/2005/8/layout/process5"/>
    <dgm:cxn modelId="{71E96EF6-8DA0-4963-AA1F-71ECA085901C}" type="presParOf" srcId="{335C1CE2-04A3-4D06-A101-ADBB2DB1FACA}" destId="{E9F14998-33C8-4612-98D1-6FA74B0C14E8}" srcOrd="0" destOrd="0" presId="urn:microsoft.com/office/officeart/2005/8/layout/process5"/>
    <dgm:cxn modelId="{B6549DB4-EF7D-4AF4-9126-3042F5A0A900}" type="presParOf" srcId="{1E18FD50-9660-436A-9E33-F275A3797F8C}" destId="{44A6BA78-E603-4128-9483-4D0D5AD76BC3}" srcOrd="6" destOrd="0" presId="urn:microsoft.com/office/officeart/2005/8/layout/process5"/>
    <dgm:cxn modelId="{3425B6B8-11D6-4489-B577-74C9635EE46F}" type="presParOf" srcId="{1E18FD50-9660-436A-9E33-F275A3797F8C}" destId="{B9175EB9-4F5F-40D9-81A2-CB7B96C1B6C6}" srcOrd="7" destOrd="0" presId="urn:microsoft.com/office/officeart/2005/8/layout/process5"/>
    <dgm:cxn modelId="{0A15B9E1-20CD-4383-ABBD-31E30DDD9BB1}" type="presParOf" srcId="{B9175EB9-4F5F-40D9-81A2-CB7B96C1B6C6}" destId="{E43F83F9-AD53-47AC-898C-4E88EA465BA4}" srcOrd="0" destOrd="0" presId="urn:microsoft.com/office/officeart/2005/8/layout/process5"/>
    <dgm:cxn modelId="{47364F3C-72E9-404C-B74C-2BDD77FA63D3}" type="presParOf" srcId="{1E18FD50-9660-436A-9E33-F275A3797F8C}" destId="{506A1D47-EC17-4132-9C51-56B09369C4ED}" srcOrd="8" destOrd="0" presId="urn:microsoft.com/office/officeart/2005/8/layout/process5"/>
    <dgm:cxn modelId="{43A35DFB-39FF-4999-9F8A-954BD06BDC9F}" type="presParOf" srcId="{1E18FD50-9660-436A-9E33-F275A3797F8C}" destId="{21A800C4-C388-4F51-A65B-922EA1E9C20C}" srcOrd="9" destOrd="0" presId="urn:microsoft.com/office/officeart/2005/8/layout/process5"/>
    <dgm:cxn modelId="{C55F4974-BABA-452A-A3C2-1F42D1392F5A}" type="presParOf" srcId="{21A800C4-C388-4F51-A65B-922EA1E9C20C}" destId="{E4CDC738-A65A-41F1-A30E-9659B6713054}" srcOrd="0" destOrd="0" presId="urn:microsoft.com/office/officeart/2005/8/layout/process5"/>
    <dgm:cxn modelId="{86890804-2C16-46E7-9C44-B0C84F73687D}" type="presParOf" srcId="{1E18FD50-9660-436A-9E33-F275A3797F8C}" destId="{98BA5C66-2F71-4FBB-B363-807F6B0E528E}" srcOrd="10" destOrd="0" presId="urn:microsoft.com/office/officeart/2005/8/layout/process5"/>
    <dgm:cxn modelId="{0D44FD08-C7FC-4EF1-A2CD-6B6006E91E99}" type="presParOf" srcId="{1E18FD50-9660-436A-9E33-F275A3797F8C}" destId="{EA608BBA-AECE-4CAF-9842-DE049FE432B2}" srcOrd="11" destOrd="0" presId="urn:microsoft.com/office/officeart/2005/8/layout/process5"/>
    <dgm:cxn modelId="{C5D7F38F-483B-4911-B3AB-7FC61AC75804}" type="presParOf" srcId="{EA608BBA-AECE-4CAF-9842-DE049FE432B2}" destId="{B507A543-02F7-4C68-A38F-E95F0FFD36A1}" srcOrd="0" destOrd="0" presId="urn:microsoft.com/office/officeart/2005/8/layout/process5"/>
    <dgm:cxn modelId="{7C972DC1-A3CF-44CF-B738-AB3B0966937E}" type="presParOf" srcId="{1E18FD50-9660-436A-9E33-F275A3797F8C}" destId="{B924EAC5-4809-4201-95A7-1AFA822B8B2B}" srcOrd="12" destOrd="0" presId="urn:microsoft.com/office/officeart/2005/8/layout/process5"/>
    <dgm:cxn modelId="{F0FA7770-B686-4046-92C6-C757E2DD3D8E}" type="presParOf" srcId="{1E18FD50-9660-436A-9E33-F275A3797F8C}" destId="{3990238D-CDA2-47F6-8A3E-9071BA806792}" srcOrd="13" destOrd="0" presId="urn:microsoft.com/office/officeart/2005/8/layout/process5"/>
    <dgm:cxn modelId="{D952FDD3-22BC-49AD-9CFE-D11DEE2D0681}" type="presParOf" srcId="{3990238D-CDA2-47F6-8A3E-9071BA806792}" destId="{EB3E4159-AF16-4F8E-9EA3-5CE218B8C7AD}" srcOrd="0" destOrd="0" presId="urn:microsoft.com/office/officeart/2005/8/layout/process5"/>
    <dgm:cxn modelId="{35279BB7-5063-44B0-91E3-42145952FA7C}" type="presParOf" srcId="{1E18FD50-9660-436A-9E33-F275A3797F8C}" destId="{E01DA8B9-597F-459F-AE2D-8C75F86869F8}" srcOrd="14" destOrd="0" presId="urn:microsoft.com/office/officeart/2005/8/layout/process5"/>
    <dgm:cxn modelId="{F19C6941-BAC5-4EDD-957D-50589D56FECF}" type="presParOf" srcId="{1E18FD50-9660-436A-9E33-F275A3797F8C}" destId="{89F208BB-BAB1-4ADB-B738-5D97C7AE3C3B}" srcOrd="15" destOrd="0" presId="urn:microsoft.com/office/officeart/2005/8/layout/process5"/>
    <dgm:cxn modelId="{279B9352-4B19-41E4-ACDF-67B6C764B225}" type="presParOf" srcId="{89F208BB-BAB1-4ADB-B738-5D97C7AE3C3B}" destId="{0A254BE1-22ED-41B8-929C-572AA0A63EE6}" srcOrd="0" destOrd="0" presId="urn:microsoft.com/office/officeart/2005/8/layout/process5"/>
    <dgm:cxn modelId="{DB7A9E45-BA56-4527-8F65-27571B9736B1}" type="presParOf" srcId="{1E18FD50-9660-436A-9E33-F275A3797F8C}" destId="{864F18DB-1FA4-4747-BF3D-4A5E54358591}" srcOrd="16" destOrd="0" presId="urn:microsoft.com/office/officeart/2005/8/layout/process5"/>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E5A77B-A788-4D5E-82BC-D0C7120F5A9F}">
      <dsp:nvSpPr>
        <dsp:cNvPr id="0" name=""/>
        <dsp:cNvSpPr/>
      </dsp:nvSpPr>
      <dsp:spPr>
        <a:xfrm>
          <a:off x="580830" y="348"/>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Genetic Resource/Associated Traditional Knowledge</a:t>
          </a:r>
        </a:p>
      </dsp:txBody>
      <dsp:txXfrm>
        <a:off x="580830" y="348"/>
        <a:ext cx="1227667" cy="736600"/>
      </dsp:txXfrm>
    </dsp:sp>
    <dsp:sp modelId="{D3EBEF07-4569-4A4C-98BC-2C5CE1FB8CDC}">
      <dsp:nvSpPr>
        <dsp:cNvPr id="0" name=""/>
        <dsp:cNvSpPr/>
      </dsp:nvSpPr>
      <dsp:spPr>
        <a:xfrm>
          <a:off x="1916532" y="216417"/>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a:off x="1916532" y="216417"/>
        <a:ext cx="260265" cy="304461"/>
      </dsp:txXfrm>
    </dsp:sp>
    <dsp:sp modelId="{C62C2F6B-5E05-4A18-8579-59465CDCDD71}">
      <dsp:nvSpPr>
        <dsp:cNvPr id="0" name=""/>
        <dsp:cNvSpPr/>
      </dsp:nvSpPr>
      <dsp:spPr>
        <a:xfrm>
          <a:off x="2299564" y="348"/>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Isolated Ligand/Structure Identified</a:t>
          </a:r>
        </a:p>
      </dsp:txBody>
      <dsp:txXfrm>
        <a:off x="2299564" y="348"/>
        <a:ext cx="1227667" cy="736600"/>
      </dsp:txXfrm>
    </dsp:sp>
    <dsp:sp modelId="{FEECF271-8CC2-4BC7-9D18-06CABFB1B89C}">
      <dsp:nvSpPr>
        <dsp:cNvPr id="0" name=""/>
        <dsp:cNvSpPr/>
      </dsp:nvSpPr>
      <dsp:spPr>
        <a:xfrm>
          <a:off x="3635266" y="216417"/>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a:off x="3635266" y="216417"/>
        <a:ext cx="260265" cy="304461"/>
      </dsp:txXfrm>
    </dsp:sp>
    <dsp:sp modelId="{DE10EB10-AF56-4229-8027-9B06F25A5023}">
      <dsp:nvSpPr>
        <dsp:cNvPr id="0" name=""/>
        <dsp:cNvSpPr/>
      </dsp:nvSpPr>
      <dsp:spPr>
        <a:xfrm>
          <a:off x="4018299" y="348"/>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Chemical Derivative of Isolated Ligand</a:t>
          </a:r>
        </a:p>
      </dsp:txBody>
      <dsp:txXfrm>
        <a:off x="4018299" y="348"/>
        <a:ext cx="1227667" cy="736600"/>
      </dsp:txXfrm>
    </dsp:sp>
    <dsp:sp modelId="{335C1CE2-04A3-4D06-A101-ADBB2DB1FACA}">
      <dsp:nvSpPr>
        <dsp:cNvPr id="0" name=""/>
        <dsp:cNvSpPr/>
      </dsp:nvSpPr>
      <dsp:spPr>
        <a:xfrm>
          <a:off x="3634995" y="1445119"/>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a:off x="3634995" y="1445119"/>
        <a:ext cx="260265" cy="304461"/>
      </dsp:txXfrm>
    </dsp:sp>
    <dsp:sp modelId="{44A6BA78-E603-4128-9483-4D0D5AD76BC3}">
      <dsp:nvSpPr>
        <dsp:cNvPr id="0" name=""/>
        <dsp:cNvSpPr/>
      </dsp:nvSpPr>
      <dsp:spPr>
        <a:xfrm>
          <a:off x="4018299" y="1228015"/>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Second Medical Use of  Chemical Derivative</a:t>
          </a:r>
        </a:p>
      </dsp:txBody>
      <dsp:txXfrm>
        <a:off x="4018299" y="1228015"/>
        <a:ext cx="1227667" cy="736600"/>
      </dsp:txXfrm>
    </dsp:sp>
    <dsp:sp modelId="{B9175EB9-4F5F-40D9-81A2-CB7B96C1B6C6}">
      <dsp:nvSpPr>
        <dsp:cNvPr id="0" name=""/>
        <dsp:cNvSpPr/>
      </dsp:nvSpPr>
      <dsp:spPr>
        <a:xfrm rot="5400000">
          <a:off x="2803766" y="826411"/>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rot="5400000">
        <a:off x="2803766" y="826411"/>
        <a:ext cx="260265" cy="304461"/>
      </dsp:txXfrm>
    </dsp:sp>
    <dsp:sp modelId="{506A1D47-EC17-4132-9C51-56B09369C4ED}">
      <dsp:nvSpPr>
        <dsp:cNvPr id="0" name=""/>
        <dsp:cNvSpPr/>
      </dsp:nvSpPr>
      <dsp:spPr>
        <a:xfrm>
          <a:off x="2299564" y="1228015"/>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Underlying Biochemical Mechanism of Therapy</a:t>
          </a:r>
        </a:p>
      </dsp:txBody>
      <dsp:txXfrm>
        <a:off x="2299564" y="1228015"/>
        <a:ext cx="1227667" cy="736600"/>
      </dsp:txXfrm>
    </dsp:sp>
    <dsp:sp modelId="{21A800C4-C388-4F51-A65B-922EA1E9C20C}">
      <dsp:nvSpPr>
        <dsp:cNvPr id="0" name=""/>
        <dsp:cNvSpPr/>
      </dsp:nvSpPr>
      <dsp:spPr>
        <a:xfrm rot="10800000">
          <a:off x="1933115" y="1470783"/>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rot="10800000">
        <a:off x="1933115" y="1470783"/>
        <a:ext cx="260265" cy="304461"/>
      </dsp:txXfrm>
    </dsp:sp>
    <dsp:sp modelId="{98BA5C66-2F71-4FBB-B363-807F6B0E528E}">
      <dsp:nvSpPr>
        <dsp:cNvPr id="0" name=""/>
        <dsp:cNvSpPr/>
      </dsp:nvSpPr>
      <dsp:spPr>
        <a:xfrm>
          <a:off x="580830" y="1228015"/>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Second Medical Use of Isolated Ligand</a:t>
          </a:r>
        </a:p>
      </dsp:txBody>
      <dsp:txXfrm>
        <a:off x="580830" y="1228015"/>
        <a:ext cx="1227667" cy="736600"/>
      </dsp:txXfrm>
    </dsp:sp>
    <dsp:sp modelId="{EA608BBA-AECE-4CAF-9842-DE049FE432B2}">
      <dsp:nvSpPr>
        <dsp:cNvPr id="0" name=""/>
        <dsp:cNvSpPr/>
      </dsp:nvSpPr>
      <dsp:spPr>
        <a:xfrm rot="5400000">
          <a:off x="2803765" y="2070954"/>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rot="5400000">
        <a:off x="2803765" y="2070954"/>
        <a:ext cx="260265" cy="304461"/>
      </dsp:txXfrm>
    </dsp:sp>
    <dsp:sp modelId="{B924EAC5-4809-4201-95A7-1AFA822B8B2B}">
      <dsp:nvSpPr>
        <dsp:cNvPr id="0" name=""/>
        <dsp:cNvSpPr/>
      </dsp:nvSpPr>
      <dsp:spPr>
        <a:xfrm>
          <a:off x="580830" y="2455683"/>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Medical Uses</a:t>
          </a:r>
        </a:p>
        <a:p>
          <a:pPr lvl="0" algn="ctr" defTabSz="444500">
            <a:lnSpc>
              <a:spcPct val="90000"/>
            </a:lnSpc>
            <a:spcBef>
              <a:spcPct val="0"/>
            </a:spcBef>
            <a:spcAft>
              <a:spcPct val="35000"/>
            </a:spcAft>
          </a:pPr>
          <a:r>
            <a:rPr lang="en-GB" sz="1000" kern="1200" dirty="0"/>
            <a:t>of Synthetic Ligand</a:t>
          </a:r>
        </a:p>
      </dsp:txBody>
      <dsp:txXfrm>
        <a:off x="580830" y="2455683"/>
        <a:ext cx="1227667" cy="736600"/>
      </dsp:txXfrm>
    </dsp:sp>
    <dsp:sp modelId="{3990238D-CDA2-47F6-8A3E-9071BA806792}">
      <dsp:nvSpPr>
        <dsp:cNvPr id="0" name=""/>
        <dsp:cNvSpPr/>
      </dsp:nvSpPr>
      <dsp:spPr>
        <a:xfrm>
          <a:off x="3686790" y="2658755"/>
          <a:ext cx="260265" cy="30446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a:off x="3686790" y="2658755"/>
        <a:ext cx="260265" cy="304461"/>
      </dsp:txXfrm>
    </dsp:sp>
    <dsp:sp modelId="{E01DA8B9-597F-459F-AE2D-8C75F86869F8}">
      <dsp:nvSpPr>
        <dsp:cNvPr id="0" name=""/>
        <dsp:cNvSpPr/>
      </dsp:nvSpPr>
      <dsp:spPr>
        <a:xfrm>
          <a:off x="2299564" y="2455683"/>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Synthetic Ligands</a:t>
          </a:r>
        </a:p>
      </dsp:txBody>
      <dsp:txXfrm>
        <a:off x="2299564" y="2455683"/>
        <a:ext cx="1227667" cy="736600"/>
      </dsp:txXfrm>
    </dsp:sp>
    <dsp:sp modelId="{89F208BB-BAB1-4ADB-B738-5D97C7AE3C3B}">
      <dsp:nvSpPr>
        <dsp:cNvPr id="0" name=""/>
        <dsp:cNvSpPr/>
      </dsp:nvSpPr>
      <dsp:spPr>
        <a:xfrm rot="10631871">
          <a:off x="1889081" y="2662086"/>
          <a:ext cx="262194" cy="320531"/>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dirty="0"/>
        </a:p>
      </dsp:txBody>
      <dsp:txXfrm rot="10631871">
        <a:off x="1889081" y="2662086"/>
        <a:ext cx="262194" cy="320531"/>
      </dsp:txXfrm>
    </dsp:sp>
    <dsp:sp modelId="{864F18DB-1FA4-4747-BF3D-4A5E54358591}">
      <dsp:nvSpPr>
        <dsp:cNvPr id="0" name=""/>
        <dsp:cNvSpPr/>
      </dsp:nvSpPr>
      <dsp:spPr>
        <a:xfrm>
          <a:off x="4018299" y="2455683"/>
          <a:ext cx="1227667" cy="73660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Further research into disease mechanism</a:t>
          </a:r>
        </a:p>
      </dsp:txBody>
      <dsp:txXfrm>
        <a:off x="4018299" y="2455683"/>
        <a:ext cx="1227667" cy="7366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52A42-9023-4E38-B8DA-A20788E1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13005</Words>
  <Characters>74131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Harrison</dc:creator>
  <cp:lastModifiedBy>Harrison</cp:lastModifiedBy>
  <cp:revision>3</cp:revision>
  <cp:lastPrinted>2018-11-07T13:00:00Z</cp:lastPrinted>
  <dcterms:created xsi:type="dcterms:W3CDTF">2018-11-15T16:09:00Z</dcterms:created>
  <dcterms:modified xsi:type="dcterms:W3CDTF">2018-11-16T12:20:00Z</dcterms:modified>
</cp:coreProperties>
</file>