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126" w:rsidRPr="00656E5A" w:rsidRDefault="00533E37" w:rsidP="00D12126">
      <w:pPr>
        <w:rPr>
          <w:rFonts w:ascii="Times New Roman" w:hAnsi="Times New Roman" w:cs="Times New Roman"/>
          <w:b/>
          <w:sz w:val="24"/>
          <w:szCs w:val="24"/>
        </w:rPr>
      </w:pPr>
      <w:r w:rsidRPr="00656E5A">
        <w:rPr>
          <w:rFonts w:ascii="Times New Roman" w:hAnsi="Times New Roman" w:cs="Times New Roman"/>
          <w:b/>
          <w:sz w:val="24"/>
          <w:szCs w:val="24"/>
        </w:rPr>
        <w:t xml:space="preserve">Disposal of the dead in </w:t>
      </w:r>
      <w:r w:rsidR="00897F86">
        <w:rPr>
          <w:rFonts w:ascii="Times New Roman" w:hAnsi="Times New Roman" w:cs="Times New Roman"/>
          <w:b/>
          <w:sz w:val="24"/>
          <w:szCs w:val="24"/>
        </w:rPr>
        <w:t>England:</w:t>
      </w:r>
      <w:r w:rsidRPr="00656E5A">
        <w:rPr>
          <w:rFonts w:ascii="Times New Roman" w:hAnsi="Times New Roman" w:cs="Times New Roman"/>
          <w:b/>
          <w:sz w:val="24"/>
          <w:szCs w:val="24"/>
        </w:rPr>
        <w:t xml:space="preserve"> pluralism and pragmatics</w:t>
      </w:r>
    </w:p>
    <w:p w:rsidR="00D12126" w:rsidRDefault="00D12126" w:rsidP="00D12126">
      <w:pPr>
        <w:rPr>
          <w:rFonts w:ascii="Times New Roman" w:hAnsi="Times New Roman" w:cs="Times New Roman"/>
          <w:sz w:val="24"/>
          <w:szCs w:val="24"/>
        </w:rPr>
      </w:pPr>
      <w:bookmarkStart w:id="0" w:name="_GoBack"/>
      <w:bookmarkEnd w:id="0"/>
    </w:p>
    <w:p w:rsidR="00D12126" w:rsidRPr="00656E5A" w:rsidRDefault="00D12126" w:rsidP="00D12126">
      <w:pPr>
        <w:rPr>
          <w:rFonts w:ascii="Times New Roman" w:hAnsi="Times New Roman" w:cs="Times New Roman"/>
          <w:b/>
          <w:sz w:val="24"/>
          <w:szCs w:val="24"/>
        </w:rPr>
      </w:pPr>
      <w:r w:rsidRPr="00656E5A">
        <w:rPr>
          <w:rFonts w:ascii="Times New Roman" w:hAnsi="Times New Roman" w:cs="Times New Roman"/>
          <w:b/>
          <w:sz w:val="24"/>
          <w:szCs w:val="24"/>
        </w:rPr>
        <w:t>Introduction</w:t>
      </w:r>
    </w:p>
    <w:p w:rsidR="001B1495" w:rsidRDefault="00527857" w:rsidP="00D12126">
      <w:pPr>
        <w:rPr>
          <w:rFonts w:ascii="Times New Roman" w:hAnsi="Times New Roman" w:cs="Times New Roman"/>
          <w:sz w:val="24"/>
          <w:szCs w:val="24"/>
        </w:rPr>
      </w:pPr>
      <w:r>
        <w:rPr>
          <w:rFonts w:ascii="Times New Roman" w:hAnsi="Times New Roman" w:cs="Times New Roman"/>
          <w:sz w:val="24"/>
          <w:szCs w:val="24"/>
        </w:rPr>
        <w:t>I</w:t>
      </w:r>
      <w:r w:rsidR="00D12126">
        <w:rPr>
          <w:rFonts w:ascii="Times New Roman" w:hAnsi="Times New Roman" w:cs="Times New Roman"/>
          <w:sz w:val="24"/>
          <w:szCs w:val="24"/>
        </w:rPr>
        <w:t>ssues relating to religious equality and burial space play out within a distinctive historical and legal framework</w:t>
      </w:r>
      <w:r>
        <w:rPr>
          <w:rFonts w:ascii="Times New Roman" w:hAnsi="Times New Roman" w:cs="Times New Roman"/>
          <w:sz w:val="24"/>
          <w:szCs w:val="24"/>
        </w:rPr>
        <w:t xml:space="preserve"> in the UK</w:t>
      </w:r>
      <w:r w:rsidR="00303617">
        <w:rPr>
          <w:rFonts w:ascii="Times New Roman" w:hAnsi="Times New Roman" w:cs="Times New Roman"/>
          <w:sz w:val="24"/>
          <w:szCs w:val="24"/>
        </w:rPr>
        <w:t xml:space="preserve">, which is not a secular state. The Church of England remains the Established Church of England and Wales, but the British burial system is built on nineteenth-century religious pluralism. As consequence, cemeteries generally contain both consecrated and unconsecrated sections. </w:t>
      </w:r>
      <w:r w:rsidR="004A2FE9">
        <w:rPr>
          <w:rFonts w:ascii="Times New Roman" w:hAnsi="Times New Roman" w:cs="Times New Roman"/>
          <w:sz w:val="24"/>
          <w:szCs w:val="24"/>
        </w:rPr>
        <w:t xml:space="preserve">British burial </w:t>
      </w:r>
      <w:r w:rsidR="00303617">
        <w:rPr>
          <w:rFonts w:ascii="Times New Roman" w:hAnsi="Times New Roman" w:cs="Times New Roman"/>
          <w:sz w:val="24"/>
          <w:szCs w:val="24"/>
        </w:rPr>
        <w:t>law is markedly liberal in other respects</w:t>
      </w:r>
      <w:r w:rsidR="004A2FE9">
        <w:rPr>
          <w:rFonts w:ascii="Times New Roman" w:hAnsi="Times New Roman" w:cs="Times New Roman"/>
          <w:sz w:val="24"/>
          <w:szCs w:val="24"/>
        </w:rPr>
        <w:t>: for example, there is no requirement that a body has to be buried in a particular place although any interment is subject to planning permission.</w:t>
      </w:r>
      <w:r w:rsidR="00656E5A">
        <w:rPr>
          <w:rFonts w:ascii="Times New Roman" w:hAnsi="Times New Roman" w:cs="Times New Roman"/>
          <w:sz w:val="24"/>
          <w:szCs w:val="24"/>
        </w:rPr>
        <w:t xml:space="preserve"> On application for planning permission, any individual or institution can open a burial ground.</w:t>
      </w:r>
      <w:r w:rsidR="004A2FE9">
        <w:rPr>
          <w:rFonts w:ascii="Times New Roman" w:hAnsi="Times New Roman" w:cs="Times New Roman"/>
          <w:sz w:val="24"/>
          <w:szCs w:val="24"/>
        </w:rPr>
        <w:t xml:space="preserve"> </w:t>
      </w:r>
      <w:r w:rsidR="00656E5A">
        <w:rPr>
          <w:rFonts w:ascii="Times New Roman" w:hAnsi="Times New Roman" w:cs="Times New Roman"/>
          <w:sz w:val="24"/>
          <w:szCs w:val="24"/>
        </w:rPr>
        <w:t>However, this l</w:t>
      </w:r>
      <w:r w:rsidR="004A2FE9">
        <w:rPr>
          <w:rFonts w:ascii="Times New Roman" w:hAnsi="Times New Roman" w:cs="Times New Roman"/>
          <w:sz w:val="24"/>
          <w:szCs w:val="24"/>
        </w:rPr>
        <w:t xml:space="preserve">iberality carries the disadvantage of a lack of clarity on rights. </w:t>
      </w:r>
      <w:r w:rsidR="00D12126">
        <w:rPr>
          <w:rFonts w:ascii="Times New Roman" w:hAnsi="Times New Roman" w:cs="Times New Roman"/>
          <w:sz w:val="24"/>
          <w:szCs w:val="24"/>
        </w:rPr>
        <w:t>It could be argued that</w:t>
      </w:r>
      <w:r w:rsidR="00335031">
        <w:rPr>
          <w:rFonts w:ascii="Times New Roman" w:hAnsi="Times New Roman" w:cs="Times New Roman"/>
          <w:sz w:val="24"/>
          <w:szCs w:val="24"/>
        </w:rPr>
        <w:t xml:space="preserve"> in the UK</w:t>
      </w:r>
      <w:r w:rsidR="00D12126">
        <w:rPr>
          <w:rFonts w:ascii="Times New Roman" w:hAnsi="Times New Roman" w:cs="Times New Roman"/>
          <w:sz w:val="24"/>
          <w:szCs w:val="24"/>
        </w:rPr>
        <w:t xml:space="preserve"> no minority group has the right to independent burial space managed in accordance with its cultural preferences and religious precepts. This is because</w:t>
      </w:r>
      <w:r w:rsidR="004A2FE9">
        <w:rPr>
          <w:rFonts w:ascii="Times New Roman" w:hAnsi="Times New Roman" w:cs="Times New Roman"/>
          <w:sz w:val="24"/>
          <w:szCs w:val="24"/>
        </w:rPr>
        <w:t>, arguably,</w:t>
      </w:r>
      <w:r w:rsidR="00D12126">
        <w:rPr>
          <w:rFonts w:ascii="Times New Roman" w:hAnsi="Times New Roman" w:cs="Times New Roman"/>
          <w:sz w:val="24"/>
          <w:szCs w:val="24"/>
        </w:rPr>
        <w:t xml:space="preserve"> no-one in the UK has any rights with regard to burial. </w:t>
      </w:r>
      <w:r w:rsidR="00656E5A">
        <w:rPr>
          <w:rFonts w:ascii="Times New Roman" w:hAnsi="Times New Roman" w:cs="Times New Roman"/>
          <w:sz w:val="24"/>
          <w:szCs w:val="24"/>
        </w:rPr>
        <w:t>All</w:t>
      </w:r>
      <w:r w:rsidR="00567AB0">
        <w:rPr>
          <w:rFonts w:ascii="Times New Roman" w:hAnsi="Times New Roman" w:cs="Times New Roman"/>
          <w:sz w:val="24"/>
          <w:szCs w:val="24"/>
        </w:rPr>
        <w:t xml:space="preserve"> parishioners </w:t>
      </w:r>
      <w:r w:rsidR="006A1C8F">
        <w:rPr>
          <w:rFonts w:ascii="Times New Roman" w:hAnsi="Times New Roman" w:cs="Times New Roman"/>
          <w:sz w:val="24"/>
          <w:szCs w:val="24"/>
        </w:rPr>
        <w:t xml:space="preserve">– with some exceptions </w:t>
      </w:r>
      <w:r w:rsidR="00656E5A">
        <w:rPr>
          <w:rFonts w:ascii="Times New Roman" w:hAnsi="Times New Roman" w:cs="Times New Roman"/>
          <w:sz w:val="24"/>
          <w:szCs w:val="24"/>
        </w:rPr>
        <w:t>–</w:t>
      </w:r>
      <w:r w:rsidR="006A1C8F">
        <w:rPr>
          <w:rFonts w:ascii="Times New Roman" w:hAnsi="Times New Roman" w:cs="Times New Roman"/>
          <w:sz w:val="24"/>
          <w:szCs w:val="24"/>
        </w:rPr>
        <w:t xml:space="preserve"> </w:t>
      </w:r>
      <w:r w:rsidR="00656E5A">
        <w:rPr>
          <w:rFonts w:ascii="Times New Roman" w:hAnsi="Times New Roman" w:cs="Times New Roman"/>
          <w:sz w:val="24"/>
          <w:szCs w:val="24"/>
        </w:rPr>
        <w:t xml:space="preserve">have a common law right to Christian burial. In practice, however, anomalies in the law mean that no statutory authority has a legal responsibility to provide burial space. Further anomalies within British burial law mean that, arguable, no religious group carries any intrinsic advantage in terms of burial provision since in practice, no individual has the right to </w:t>
      </w:r>
      <w:r w:rsidR="0011514E">
        <w:rPr>
          <w:rFonts w:ascii="Times New Roman" w:hAnsi="Times New Roman" w:cs="Times New Roman"/>
          <w:sz w:val="24"/>
          <w:szCs w:val="24"/>
        </w:rPr>
        <w:t xml:space="preserve">local and affordable burial space. </w:t>
      </w:r>
    </w:p>
    <w:p w:rsidR="001B1495" w:rsidRDefault="001B1495" w:rsidP="00D12126">
      <w:pPr>
        <w:rPr>
          <w:rFonts w:ascii="Times New Roman" w:hAnsi="Times New Roman" w:cs="Times New Roman"/>
          <w:sz w:val="24"/>
          <w:szCs w:val="24"/>
        </w:rPr>
      </w:pPr>
    </w:p>
    <w:p w:rsidR="001B1495" w:rsidRDefault="001B1495" w:rsidP="00D12126">
      <w:pPr>
        <w:rPr>
          <w:rFonts w:ascii="Times New Roman" w:hAnsi="Times New Roman" w:cs="Times New Roman"/>
          <w:b/>
          <w:sz w:val="24"/>
          <w:szCs w:val="24"/>
        </w:rPr>
      </w:pPr>
      <w:r>
        <w:rPr>
          <w:rFonts w:ascii="Times New Roman" w:hAnsi="Times New Roman" w:cs="Times New Roman"/>
          <w:b/>
          <w:sz w:val="24"/>
          <w:szCs w:val="24"/>
        </w:rPr>
        <w:t>Church and State in the UK</w:t>
      </w:r>
    </w:p>
    <w:p w:rsidR="000C0BF2" w:rsidRDefault="001B1495" w:rsidP="00D12126">
      <w:pPr>
        <w:rPr>
          <w:rFonts w:ascii="Times New Roman" w:hAnsi="Times New Roman" w:cs="Times New Roman"/>
          <w:sz w:val="24"/>
          <w:szCs w:val="24"/>
        </w:rPr>
      </w:pPr>
      <w:r>
        <w:rPr>
          <w:rFonts w:ascii="Times New Roman" w:hAnsi="Times New Roman" w:cs="Times New Roman"/>
          <w:sz w:val="24"/>
          <w:szCs w:val="24"/>
        </w:rPr>
        <w:t>Before entering into more detailed discussion of the issue of burial provision</w:t>
      </w:r>
      <w:r w:rsidR="00897F86">
        <w:rPr>
          <w:rFonts w:ascii="Times New Roman" w:hAnsi="Times New Roman" w:cs="Times New Roman"/>
          <w:sz w:val="24"/>
          <w:szCs w:val="24"/>
        </w:rPr>
        <w:t xml:space="preserve"> in England</w:t>
      </w:r>
      <w:r>
        <w:rPr>
          <w:rFonts w:ascii="Times New Roman" w:hAnsi="Times New Roman" w:cs="Times New Roman"/>
          <w:sz w:val="24"/>
          <w:szCs w:val="24"/>
        </w:rPr>
        <w:t xml:space="preserve">, it is appropriate to outline, briefly, the status of the Church of England. The United Kingdom comprises three countries – England, Wales and Scotland – </w:t>
      </w:r>
      <w:r w:rsidRPr="00533E37">
        <w:rPr>
          <w:rFonts w:ascii="Times New Roman" w:hAnsi="Times New Roman" w:cs="Times New Roman"/>
          <w:sz w:val="24"/>
          <w:szCs w:val="24"/>
        </w:rPr>
        <w:t xml:space="preserve">and the principality of Northern Ireland. </w:t>
      </w:r>
      <w:r w:rsidR="00533E37">
        <w:rPr>
          <w:rFonts w:ascii="Times New Roman" w:hAnsi="Times New Roman" w:cs="Times New Roman"/>
          <w:sz w:val="24"/>
          <w:szCs w:val="24"/>
        </w:rPr>
        <w:t xml:space="preserve">Devolution </w:t>
      </w:r>
      <w:r w:rsidRPr="00533E37">
        <w:rPr>
          <w:rFonts w:ascii="Times New Roman" w:hAnsi="Times New Roman" w:cs="Times New Roman"/>
          <w:sz w:val="24"/>
          <w:szCs w:val="24"/>
        </w:rPr>
        <w:t>has transferred some powers fr</w:t>
      </w:r>
      <w:r w:rsidR="00533E37">
        <w:rPr>
          <w:rFonts w:ascii="Times New Roman" w:hAnsi="Times New Roman" w:cs="Times New Roman"/>
          <w:sz w:val="24"/>
          <w:szCs w:val="24"/>
        </w:rPr>
        <w:t xml:space="preserve">om the national Parliament to the Scottish Parliament, National Assembly for Wales, Northern Ireland Assembly and the London Assembly. </w:t>
      </w:r>
      <w:r>
        <w:rPr>
          <w:rFonts w:ascii="Times New Roman" w:hAnsi="Times New Roman" w:cs="Times New Roman"/>
          <w:sz w:val="24"/>
          <w:szCs w:val="24"/>
        </w:rPr>
        <w:t xml:space="preserve">The Church of England remains the Established Church in England: twenty-six Church of England bishops sit in the House of Lords – the higher legislative house – </w:t>
      </w:r>
      <w:r w:rsidR="00533E37">
        <w:rPr>
          <w:rFonts w:ascii="Times New Roman" w:hAnsi="Times New Roman" w:cs="Times New Roman"/>
          <w:sz w:val="24"/>
          <w:szCs w:val="24"/>
        </w:rPr>
        <w:t xml:space="preserve">and </w:t>
      </w:r>
      <w:r>
        <w:rPr>
          <w:rFonts w:ascii="Times New Roman" w:hAnsi="Times New Roman" w:cs="Times New Roman"/>
          <w:sz w:val="24"/>
          <w:szCs w:val="24"/>
        </w:rPr>
        <w:t xml:space="preserve">the Archbishops of Canterbury and York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the highest ranking non-royal individuals in the State. Within the Lords, bishops are at liberty to influence all legislation coming before the House, not just matters pertaining to the Church</w:t>
      </w:r>
      <w:r w:rsidR="00745A26">
        <w:rPr>
          <w:rFonts w:ascii="Times New Roman" w:hAnsi="Times New Roman" w:cs="Times New Roman"/>
          <w:sz w:val="24"/>
          <w:szCs w:val="24"/>
        </w:rPr>
        <w:t xml:space="preserve"> (</w:t>
      </w:r>
      <w:proofErr w:type="spellStart"/>
      <w:r w:rsidR="00745A26">
        <w:rPr>
          <w:rFonts w:ascii="Times New Roman" w:hAnsi="Times New Roman" w:cs="Times New Roman"/>
          <w:sz w:val="24"/>
          <w:szCs w:val="24"/>
        </w:rPr>
        <w:t>Wolffe</w:t>
      </w:r>
      <w:proofErr w:type="spellEnd"/>
      <w:r w:rsidR="00745A26">
        <w:rPr>
          <w:rFonts w:ascii="Times New Roman" w:hAnsi="Times New Roman" w:cs="Times New Roman"/>
          <w:sz w:val="24"/>
          <w:szCs w:val="24"/>
        </w:rPr>
        <w:t>, 1994)</w:t>
      </w:r>
      <w:r>
        <w:rPr>
          <w:rFonts w:ascii="Times New Roman" w:hAnsi="Times New Roman" w:cs="Times New Roman"/>
          <w:sz w:val="24"/>
          <w:szCs w:val="24"/>
        </w:rPr>
        <w:t xml:space="preserve">. </w:t>
      </w:r>
    </w:p>
    <w:p w:rsidR="00E50581" w:rsidRDefault="00897F86" w:rsidP="00D12126">
      <w:pPr>
        <w:rPr>
          <w:rFonts w:ascii="Times New Roman" w:hAnsi="Times New Roman" w:cs="Times New Roman"/>
          <w:sz w:val="24"/>
          <w:szCs w:val="24"/>
        </w:rPr>
      </w:pPr>
      <w:r>
        <w:rPr>
          <w:rFonts w:ascii="Times New Roman" w:hAnsi="Times New Roman" w:cs="Times New Roman"/>
          <w:sz w:val="24"/>
          <w:szCs w:val="24"/>
        </w:rPr>
        <w:t>R</w:t>
      </w:r>
      <w:r w:rsidR="000C0BF2">
        <w:rPr>
          <w:rFonts w:ascii="Times New Roman" w:hAnsi="Times New Roman" w:cs="Times New Roman"/>
          <w:sz w:val="24"/>
          <w:szCs w:val="24"/>
        </w:rPr>
        <w:t xml:space="preserve">eligious adherence in England, Wales and Scotland has historically been split between Protestant denominations. Roman Catholicism is a minority religion, although in some distinctive localities – for example, Glasgow and Liverpool – the proportions may constitute a sizeable minority. </w:t>
      </w:r>
      <w:r w:rsidR="00745A26">
        <w:rPr>
          <w:rFonts w:ascii="Times New Roman" w:hAnsi="Times New Roman" w:cs="Times New Roman"/>
          <w:sz w:val="24"/>
          <w:szCs w:val="24"/>
        </w:rPr>
        <w:t>Northern Ireland is exceptional in the UK in having Roman Catholics constitute a third of the population, often living in communities that are highly segregated in religious terms (</w:t>
      </w:r>
      <w:proofErr w:type="spellStart"/>
      <w:r w:rsidR="00745A26">
        <w:rPr>
          <w:rFonts w:ascii="Times New Roman" w:hAnsi="Times New Roman" w:cs="Times New Roman"/>
          <w:sz w:val="24"/>
          <w:szCs w:val="24"/>
        </w:rPr>
        <w:t>Wolffe</w:t>
      </w:r>
      <w:proofErr w:type="spellEnd"/>
      <w:r w:rsidR="00745A26">
        <w:rPr>
          <w:rFonts w:ascii="Times New Roman" w:hAnsi="Times New Roman" w:cs="Times New Roman"/>
          <w:sz w:val="24"/>
          <w:szCs w:val="24"/>
        </w:rPr>
        <w:t xml:space="preserve">, 1994). Each country and province within the United Kingdom has a distinct religious political history. </w:t>
      </w:r>
      <w:r w:rsidR="00E50581">
        <w:rPr>
          <w:rFonts w:ascii="Times New Roman" w:hAnsi="Times New Roman" w:cs="Times New Roman"/>
          <w:sz w:val="24"/>
          <w:szCs w:val="24"/>
        </w:rPr>
        <w:t>Roman Catholics were subject to particu</w:t>
      </w:r>
      <w:r w:rsidR="00533E37">
        <w:rPr>
          <w:rFonts w:ascii="Times New Roman" w:hAnsi="Times New Roman" w:cs="Times New Roman"/>
          <w:sz w:val="24"/>
          <w:szCs w:val="24"/>
        </w:rPr>
        <w:t xml:space="preserve">lar civil </w:t>
      </w:r>
      <w:r w:rsidR="00533E37">
        <w:rPr>
          <w:rFonts w:ascii="Times New Roman" w:hAnsi="Times New Roman" w:cs="Times New Roman"/>
          <w:sz w:val="24"/>
          <w:szCs w:val="24"/>
        </w:rPr>
        <w:lastRenderedPageBreak/>
        <w:t xml:space="preserve">disabilities until the passage of emancipatory legislation in the 1820s. </w:t>
      </w:r>
      <w:r w:rsidR="000C7F72">
        <w:rPr>
          <w:rFonts w:ascii="Times New Roman" w:hAnsi="Times New Roman" w:cs="Times New Roman"/>
          <w:sz w:val="24"/>
          <w:szCs w:val="24"/>
        </w:rPr>
        <w:t>In England, dissenters from the tenets of the Book of Common Prayer left the Church of England in the 17</w:t>
      </w:r>
      <w:r w:rsidR="000C7F72" w:rsidRPr="000C7F72">
        <w:rPr>
          <w:rFonts w:ascii="Times New Roman" w:hAnsi="Times New Roman" w:cs="Times New Roman"/>
          <w:sz w:val="24"/>
          <w:szCs w:val="24"/>
          <w:vertAlign w:val="superscript"/>
        </w:rPr>
        <w:t>th</w:t>
      </w:r>
      <w:r w:rsidR="000C7F72">
        <w:rPr>
          <w:rFonts w:ascii="Times New Roman" w:hAnsi="Times New Roman" w:cs="Times New Roman"/>
          <w:sz w:val="24"/>
          <w:szCs w:val="24"/>
        </w:rPr>
        <w:t xml:space="preserve"> century, creating the ‘</w:t>
      </w:r>
      <w:r w:rsidR="00E50581">
        <w:rPr>
          <w:rFonts w:ascii="Times New Roman" w:hAnsi="Times New Roman" w:cs="Times New Roman"/>
          <w:sz w:val="24"/>
          <w:szCs w:val="24"/>
        </w:rPr>
        <w:t>O</w:t>
      </w:r>
      <w:r w:rsidR="000C7F72">
        <w:rPr>
          <w:rFonts w:ascii="Times New Roman" w:hAnsi="Times New Roman" w:cs="Times New Roman"/>
          <w:sz w:val="24"/>
          <w:szCs w:val="24"/>
        </w:rPr>
        <w:t xml:space="preserve">ld Dissent’ denominations of Presbyterianism, Independents and Baptists. This Dissenting community was later augmented through the rapid growth of Methodism in the eighteenth century. </w:t>
      </w:r>
      <w:r w:rsidR="00E50581">
        <w:rPr>
          <w:rFonts w:ascii="Times New Roman" w:hAnsi="Times New Roman" w:cs="Times New Roman"/>
          <w:sz w:val="24"/>
          <w:szCs w:val="24"/>
        </w:rPr>
        <w:t xml:space="preserve">This denomination was rooted in the eighteenth-century spread of Evangelicalism, which stressed the importance of each individual seeking </w:t>
      </w:r>
      <w:proofErr w:type="spellStart"/>
      <w:r w:rsidR="00E50581">
        <w:rPr>
          <w:rFonts w:ascii="Times New Roman" w:hAnsi="Times New Roman" w:cs="Times New Roman"/>
          <w:sz w:val="24"/>
          <w:szCs w:val="24"/>
        </w:rPr>
        <w:t>a‘re</w:t>
      </w:r>
      <w:proofErr w:type="spellEnd"/>
      <w:r w:rsidR="00E50581">
        <w:rPr>
          <w:rFonts w:ascii="Times New Roman" w:hAnsi="Times New Roman" w:cs="Times New Roman"/>
          <w:sz w:val="24"/>
          <w:szCs w:val="24"/>
        </w:rPr>
        <w:t>-birth’ in Christ, and a personal relationship with Christ as redeemer</w:t>
      </w:r>
      <w:r w:rsidR="00554CEE">
        <w:rPr>
          <w:rFonts w:ascii="Times New Roman" w:hAnsi="Times New Roman" w:cs="Times New Roman"/>
          <w:sz w:val="24"/>
          <w:szCs w:val="24"/>
        </w:rPr>
        <w:t xml:space="preserve"> (</w:t>
      </w:r>
      <w:proofErr w:type="spellStart"/>
      <w:r w:rsidR="00554CEE">
        <w:rPr>
          <w:rFonts w:ascii="Times New Roman" w:hAnsi="Times New Roman" w:cs="Times New Roman"/>
          <w:sz w:val="24"/>
          <w:szCs w:val="24"/>
        </w:rPr>
        <w:t>Bebbington</w:t>
      </w:r>
      <w:proofErr w:type="spellEnd"/>
      <w:r w:rsidR="00554CEE">
        <w:rPr>
          <w:rFonts w:ascii="Times New Roman" w:hAnsi="Times New Roman" w:cs="Times New Roman"/>
          <w:sz w:val="24"/>
          <w:szCs w:val="24"/>
        </w:rPr>
        <w:t>, 1989)</w:t>
      </w:r>
      <w:r w:rsidR="00E50581">
        <w:rPr>
          <w:rFonts w:ascii="Times New Roman" w:hAnsi="Times New Roman" w:cs="Times New Roman"/>
          <w:sz w:val="24"/>
          <w:szCs w:val="24"/>
        </w:rPr>
        <w:t xml:space="preserve">. </w:t>
      </w:r>
    </w:p>
    <w:p w:rsidR="00E50581" w:rsidRDefault="00E50581" w:rsidP="00D12126">
      <w:pPr>
        <w:rPr>
          <w:rFonts w:ascii="Times New Roman" w:hAnsi="Times New Roman" w:cs="Times New Roman"/>
          <w:sz w:val="24"/>
          <w:szCs w:val="24"/>
        </w:rPr>
      </w:pPr>
      <w:r>
        <w:rPr>
          <w:rFonts w:ascii="Times New Roman" w:hAnsi="Times New Roman" w:cs="Times New Roman"/>
          <w:sz w:val="24"/>
          <w:szCs w:val="24"/>
        </w:rPr>
        <w:t xml:space="preserve">The strength of Dissent from the Church of England led to the disestablishment of the Church in Northern Ireland in 1861, and in Wales in 1920. </w:t>
      </w:r>
      <w:r w:rsidR="000C7F72">
        <w:rPr>
          <w:rFonts w:ascii="Times New Roman" w:hAnsi="Times New Roman" w:cs="Times New Roman"/>
          <w:sz w:val="24"/>
          <w:szCs w:val="24"/>
        </w:rPr>
        <w:t xml:space="preserve">Within Scotland, the Church of Scotland is the </w:t>
      </w:r>
      <w:r w:rsidR="00554CEE">
        <w:rPr>
          <w:rFonts w:ascii="Times New Roman" w:hAnsi="Times New Roman" w:cs="Times New Roman"/>
          <w:sz w:val="24"/>
          <w:szCs w:val="24"/>
        </w:rPr>
        <w:t>e</w:t>
      </w:r>
      <w:r w:rsidR="000C7F72">
        <w:rPr>
          <w:rFonts w:ascii="Times New Roman" w:hAnsi="Times New Roman" w:cs="Times New Roman"/>
          <w:sz w:val="24"/>
          <w:szCs w:val="24"/>
        </w:rPr>
        <w:t xml:space="preserve">stablished church, and is largely Presbyterian although </w:t>
      </w:r>
      <w:r w:rsidR="00F0323E">
        <w:rPr>
          <w:rFonts w:ascii="Times New Roman" w:hAnsi="Times New Roman" w:cs="Times New Roman"/>
          <w:sz w:val="24"/>
          <w:szCs w:val="24"/>
        </w:rPr>
        <w:t>the sece</w:t>
      </w:r>
      <w:r w:rsidR="000C7F72">
        <w:rPr>
          <w:rFonts w:ascii="Times New Roman" w:hAnsi="Times New Roman" w:cs="Times New Roman"/>
          <w:sz w:val="24"/>
          <w:szCs w:val="24"/>
        </w:rPr>
        <w:t>ssion from the church of 2,000 clerics in 1733 led to the creation of Presbyterian Dissent</w:t>
      </w:r>
      <w:r>
        <w:rPr>
          <w:rFonts w:ascii="Times New Roman" w:hAnsi="Times New Roman" w:cs="Times New Roman"/>
          <w:sz w:val="24"/>
          <w:szCs w:val="24"/>
        </w:rPr>
        <w:t>.</w:t>
      </w:r>
      <w:r w:rsidR="000C7F72">
        <w:rPr>
          <w:rFonts w:ascii="Times New Roman" w:hAnsi="Times New Roman" w:cs="Times New Roman"/>
          <w:sz w:val="24"/>
          <w:szCs w:val="24"/>
        </w:rPr>
        <w:t xml:space="preserve"> </w:t>
      </w:r>
      <w:r>
        <w:rPr>
          <w:rFonts w:ascii="Times New Roman" w:hAnsi="Times New Roman" w:cs="Times New Roman"/>
          <w:sz w:val="24"/>
          <w:szCs w:val="24"/>
        </w:rPr>
        <w:t>The profound differences between the fou</w:t>
      </w:r>
      <w:r w:rsidR="007F3EA8">
        <w:rPr>
          <w:rFonts w:ascii="Times New Roman" w:hAnsi="Times New Roman" w:cs="Times New Roman"/>
          <w:sz w:val="24"/>
          <w:szCs w:val="24"/>
        </w:rPr>
        <w:t>r separate parts of the UK mean</w:t>
      </w:r>
      <w:r>
        <w:rPr>
          <w:rFonts w:ascii="Times New Roman" w:hAnsi="Times New Roman" w:cs="Times New Roman"/>
          <w:sz w:val="24"/>
          <w:szCs w:val="24"/>
        </w:rPr>
        <w:t xml:space="preserve"> that it is not possible to generalise across the whole nation in matters relating to burial. </w:t>
      </w:r>
      <w:r w:rsidR="007F3EA8">
        <w:rPr>
          <w:rFonts w:ascii="Times New Roman" w:hAnsi="Times New Roman" w:cs="Times New Roman"/>
          <w:sz w:val="24"/>
          <w:szCs w:val="24"/>
        </w:rPr>
        <w:t>Burial law is different in England and Scotland, and differences remain between England and Wales, since the latter has no Established Church. Northern Ireland again remains anomalous</w:t>
      </w:r>
      <w:r w:rsidR="00533E37">
        <w:rPr>
          <w:rFonts w:ascii="Times New Roman" w:hAnsi="Times New Roman" w:cs="Times New Roman"/>
          <w:color w:val="FF0000"/>
          <w:sz w:val="24"/>
          <w:szCs w:val="24"/>
        </w:rPr>
        <w:t xml:space="preserve">. </w:t>
      </w:r>
      <w:r w:rsidR="007F3EA8">
        <w:rPr>
          <w:rFonts w:ascii="Times New Roman" w:hAnsi="Times New Roman" w:cs="Times New Roman"/>
          <w:sz w:val="24"/>
          <w:szCs w:val="24"/>
        </w:rPr>
        <w:t>This chapter will focus its discussion on England, with some discussion of the current</w:t>
      </w:r>
      <w:r w:rsidR="00533E37">
        <w:rPr>
          <w:rFonts w:ascii="Times New Roman" w:hAnsi="Times New Roman" w:cs="Times New Roman"/>
          <w:sz w:val="24"/>
          <w:szCs w:val="24"/>
        </w:rPr>
        <w:t xml:space="preserve"> proposals </w:t>
      </w:r>
      <w:r w:rsidR="00F0323E">
        <w:rPr>
          <w:rFonts w:ascii="Times New Roman" w:hAnsi="Times New Roman" w:cs="Times New Roman"/>
          <w:sz w:val="24"/>
          <w:szCs w:val="24"/>
        </w:rPr>
        <w:t>to amend Scottish burial legislation</w:t>
      </w:r>
      <w:r w:rsidR="007F3EA8">
        <w:rPr>
          <w:rFonts w:ascii="Times New Roman" w:hAnsi="Times New Roman" w:cs="Times New Roman"/>
          <w:sz w:val="24"/>
          <w:szCs w:val="24"/>
        </w:rPr>
        <w:t>.</w:t>
      </w:r>
    </w:p>
    <w:p w:rsidR="00E50581" w:rsidRDefault="00E50581" w:rsidP="00D12126">
      <w:pPr>
        <w:rPr>
          <w:rFonts w:ascii="Times New Roman" w:hAnsi="Times New Roman" w:cs="Times New Roman"/>
          <w:sz w:val="24"/>
          <w:szCs w:val="24"/>
        </w:rPr>
      </w:pPr>
    </w:p>
    <w:p w:rsidR="00A77FEB" w:rsidRDefault="00A77FEB" w:rsidP="00D12126">
      <w:pPr>
        <w:rPr>
          <w:rFonts w:ascii="Times New Roman" w:hAnsi="Times New Roman" w:cs="Times New Roman"/>
          <w:sz w:val="24"/>
          <w:szCs w:val="24"/>
        </w:rPr>
      </w:pPr>
      <w:r>
        <w:rPr>
          <w:rFonts w:ascii="Times New Roman" w:hAnsi="Times New Roman" w:cs="Times New Roman"/>
          <w:b/>
          <w:sz w:val="24"/>
          <w:szCs w:val="24"/>
        </w:rPr>
        <w:t>Burial provision at the mid-nineteenth century</w:t>
      </w:r>
    </w:p>
    <w:p w:rsidR="006208E4" w:rsidRPr="00F0323E" w:rsidRDefault="00F0323E" w:rsidP="00D12126">
      <w:pPr>
        <w:rPr>
          <w:rFonts w:ascii="Times New Roman" w:hAnsi="Times New Roman" w:cs="Times New Roman"/>
          <w:sz w:val="24"/>
          <w:szCs w:val="24"/>
        </w:rPr>
      </w:pPr>
      <w:r>
        <w:rPr>
          <w:rFonts w:ascii="Times New Roman" w:hAnsi="Times New Roman" w:cs="Times New Roman"/>
          <w:sz w:val="24"/>
          <w:szCs w:val="24"/>
        </w:rPr>
        <w:t>Unlike some other countries in Europe, the UK was not subject to the imposition of the Edict of St Cloud through the aegis of the Napoleonic Code. Indeed, burial issues were not subject to national legislation until the middle of the nineteenth century and the passage of the Burial Acts. I</w:t>
      </w:r>
      <w:r w:rsidR="006208E4">
        <w:rPr>
          <w:rFonts w:ascii="Times New Roman" w:hAnsi="Times New Roman" w:cs="Times New Roman"/>
          <w:sz w:val="24"/>
          <w:szCs w:val="24"/>
        </w:rPr>
        <w:t xml:space="preserve">t is appropriate to review burial provision at that time. </w:t>
      </w:r>
      <w:r w:rsidR="00554CEE">
        <w:rPr>
          <w:rFonts w:ascii="Times New Roman" w:hAnsi="Times New Roman" w:cs="Times New Roman"/>
          <w:sz w:val="24"/>
          <w:szCs w:val="24"/>
        </w:rPr>
        <w:t xml:space="preserve">Under </w:t>
      </w:r>
      <w:r w:rsidR="006208E4">
        <w:rPr>
          <w:rFonts w:ascii="Times New Roman" w:hAnsi="Times New Roman" w:cs="Times New Roman"/>
          <w:sz w:val="24"/>
          <w:szCs w:val="24"/>
        </w:rPr>
        <w:t>common law</w:t>
      </w:r>
      <w:r w:rsidR="00554CEE">
        <w:rPr>
          <w:rFonts w:ascii="Times New Roman" w:hAnsi="Times New Roman" w:cs="Times New Roman"/>
          <w:sz w:val="24"/>
          <w:szCs w:val="24"/>
        </w:rPr>
        <w:t xml:space="preserve">, all parishioners </w:t>
      </w:r>
      <w:r w:rsidR="00656E5A">
        <w:rPr>
          <w:rFonts w:ascii="Times New Roman" w:hAnsi="Times New Roman" w:cs="Times New Roman"/>
          <w:sz w:val="24"/>
          <w:szCs w:val="24"/>
        </w:rPr>
        <w:t>had a right to Christian burial and</w:t>
      </w:r>
      <w:r w:rsidR="00554CEE">
        <w:rPr>
          <w:rFonts w:ascii="Times New Roman" w:hAnsi="Times New Roman" w:cs="Times New Roman"/>
          <w:sz w:val="24"/>
          <w:szCs w:val="24"/>
        </w:rPr>
        <w:t xml:space="preserve"> each parish might contain one or more churches and churc</w:t>
      </w:r>
      <w:r w:rsidR="00656E5A">
        <w:rPr>
          <w:rFonts w:ascii="Times New Roman" w:hAnsi="Times New Roman" w:cs="Times New Roman"/>
          <w:sz w:val="24"/>
          <w:szCs w:val="24"/>
        </w:rPr>
        <w:t>hyards</w:t>
      </w:r>
      <w:r w:rsidR="00554CEE">
        <w:rPr>
          <w:rFonts w:ascii="Times New Roman" w:hAnsi="Times New Roman" w:cs="Times New Roman"/>
          <w:sz w:val="24"/>
          <w:szCs w:val="24"/>
        </w:rPr>
        <w:t xml:space="preserve">. </w:t>
      </w:r>
      <w:r w:rsidR="006208E4">
        <w:rPr>
          <w:rFonts w:ascii="Times New Roman" w:hAnsi="Times New Roman" w:cs="Times New Roman"/>
          <w:sz w:val="24"/>
          <w:szCs w:val="24"/>
        </w:rPr>
        <w:t xml:space="preserve">The Religious Census of 1852 estimated that there were some 14,000 churches in England and </w:t>
      </w:r>
      <w:r w:rsidR="00554CEE">
        <w:rPr>
          <w:rFonts w:ascii="Times New Roman" w:hAnsi="Times New Roman" w:cs="Times New Roman"/>
          <w:sz w:val="24"/>
          <w:szCs w:val="24"/>
        </w:rPr>
        <w:t xml:space="preserve">Wales. This number had </w:t>
      </w:r>
      <w:r w:rsidR="006208E4">
        <w:rPr>
          <w:rFonts w:ascii="Times New Roman" w:hAnsi="Times New Roman" w:cs="Times New Roman"/>
          <w:sz w:val="24"/>
          <w:szCs w:val="24"/>
        </w:rPr>
        <w:t>been augmented by legislation in 1818 and in 1832 which between them granted the Church of England a sum o</w:t>
      </w:r>
      <w:r w:rsidR="00656E5A">
        <w:rPr>
          <w:rFonts w:ascii="Times New Roman" w:hAnsi="Times New Roman" w:cs="Times New Roman"/>
          <w:sz w:val="24"/>
          <w:szCs w:val="24"/>
        </w:rPr>
        <w:t>f £1.5m for new church building</w:t>
      </w:r>
      <w:r w:rsidR="006208E4">
        <w:rPr>
          <w:rFonts w:ascii="Times New Roman" w:hAnsi="Times New Roman" w:cs="Times New Roman"/>
          <w:sz w:val="24"/>
          <w:szCs w:val="24"/>
        </w:rPr>
        <w:t>. The new churches generally included churchyards, bringing much needed new burial space to the towns and cities that were rapidly expanding in the first half of the century</w:t>
      </w:r>
      <w:r w:rsidR="00554CEE">
        <w:rPr>
          <w:rFonts w:ascii="Times New Roman" w:hAnsi="Times New Roman" w:cs="Times New Roman"/>
          <w:sz w:val="24"/>
          <w:szCs w:val="24"/>
        </w:rPr>
        <w:t xml:space="preserve"> (</w:t>
      </w:r>
      <w:proofErr w:type="spellStart"/>
      <w:r w:rsidR="00554CEE">
        <w:rPr>
          <w:rFonts w:ascii="Times New Roman" w:hAnsi="Times New Roman" w:cs="Times New Roman"/>
          <w:sz w:val="24"/>
          <w:szCs w:val="24"/>
        </w:rPr>
        <w:t>Rugg</w:t>
      </w:r>
      <w:proofErr w:type="spellEnd"/>
      <w:r w:rsidR="00554CEE">
        <w:rPr>
          <w:rFonts w:ascii="Times New Roman" w:hAnsi="Times New Roman" w:cs="Times New Roman"/>
          <w:sz w:val="24"/>
          <w:szCs w:val="24"/>
        </w:rPr>
        <w:t xml:space="preserve">, Stirling and </w:t>
      </w:r>
      <w:proofErr w:type="spellStart"/>
      <w:r w:rsidR="00554CEE">
        <w:rPr>
          <w:rFonts w:ascii="Times New Roman" w:hAnsi="Times New Roman" w:cs="Times New Roman"/>
          <w:sz w:val="24"/>
          <w:szCs w:val="24"/>
        </w:rPr>
        <w:t>Clayden</w:t>
      </w:r>
      <w:proofErr w:type="spellEnd"/>
      <w:r w:rsidR="00554CEE">
        <w:rPr>
          <w:rFonts w:ascii="Times New Roman" w:hAnsi="Times New Roman" w:cs="Times New Roman"/>
          <w:sz w:val="24"/>
          <w:szCs w:val="24"/>
        </w:rPr>
        <w:t xml:space="preserve">, 2014). </w:t>
      </w:r>
    </w:p>
    <w:p w:rsidR="00A133F0" w:rsidRDefault="009469C2" w:rsidP="00A133F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Although national figures are not available, it is probable that the vast majority of burials were taking place in churchyards, even by the middle of the nineteenth century. This circumstance proved problematic for some non-Anglican groups. This was not necessarily an issue of division between Roman Catholic and Protestant denominations. The UK was overwhelmingly Protestant at the mid-point of the nineteenth century: the Religious Census of 1851 indicated that less than four per cent of all attendances at religious services on Census Sunday were to Roman Catholic churches (Snell and Ell, </w:t>
      </w:r>
      <w:r w:rsidR="00BB42E7">
        <w:rPr>
          <w:rFonts w:ascii="Times New Roman" w:hAnsi="Times New Roman" w:cs="Times New Roman"/>
          <w:color w:val="000000" w:themeColor="text1"/>
          <w:sz w:val="24"/>
          <w:szCs w:val="24"/>
        </w:rPr>
        <w:t>2000,</w:t>
      </w:r>
      <w:r>
        <w:rPr>
          <w:rFonts w:ascii="Times New Roman" w:hAnsi="Times New Roman" w:cs="Times New Roman"/>
          <w:color w:val="000000" w:themeColor="text1"/>
          <w:sz w:val="24"/>
          <w:szCs w:val="24"/>
        </w:rPr>
        <w:t xml:space="preserve"> App</w:t>
      </w:r>
      <w:r w:rsidR="00BB42E7">
        <w:rPr>
          <w:rFonts w:ascii="Times New Roman" w:hAnsi="Times New Roman" w:cs="Times New Roman"/>
          <w:color w:val="000000" w:themeColor="text1"/>
          <w:sz w:val="24"/>
          <w:szCs w:val="24"/>
        </w:rPr>
        <w:t>endi</w:t>
      </w:r>
      <w:r>
        <w:rPr>
          <w:rFonts w:ascii="Times New Roman" w:hAnsi="Times New Roman" w:cs="Times New Roman"/>
          <w:color w:val="000000" w:themeColor="text1"/>
          <w:sz w:val="24"/>
          <w:szCs w:val="24"/>
        </w:rPr>
        <w:t>x A).</w:t>
      </w:r>
      <w:r w:rsidR="00F10EF1">
        <w:rPr>
          <w:rStyle w:val="FootnoteReference"/>
          <w:rFonts w:ascii="Times New Roman" w:hAnsi="Times New Roman" w:cs="Times New Roman"/>
          <w:color w:val="000000" w:themeColor="text1"/>
          <w:sz w:val="24"/>
          <w:szCs w:val="24"/>
        </w:rPr>
        <w:footnoteReference w:id="1"/>
      </w:r>
      <w:r>
        <w:rPr>
          <w:rFonts w:ascii="Times New Roman" w:hAnsi="Times New Roman" w:cs="Times New Roman"/>
          <w:color w:val="000000" w:themeColor="text1"/>
          <w:sz w:val="24"/>
          <w:szCs w:val="24"/>
        </w:rPr>
        <w:t xml:space="preserve"> Rather, difficulties lay in theological and religious political differences between Protestant denominations. </w:t>
      </w:r>
      <w:r w:rsidR="00A133F0">
        <w:rPr>
          <w:rFonts w:ascii="Times New Roman" w:hAnsi="Times New Roman" w:cs="Times New Roman"/>
          <w:color w:val="000000" w:themeColor="text1"/>
          <w:sz w:val="24"/>
          <w:szCs w:val="24"/>
        </w:rPr>
        <w:t xml:space="preserve">In the nineteenth century, individuals and families defined themselves as </w:t>
      </w:r>
      <w:r w:rsidR="00A133F0">
        <w:rPr>
          <w:rFonts w:ascii="Times New Roman" w:hAnsi="Times New Roman" w:cs="Times New Roman"/>
          <w:color w:val="000000" w:themeColor="text1"/>
          <w:sz w:val="24"/>
          <w:szCs w:val="24"/>
        </w:rPr>
        <w:lastRenderedPageBreak/>
        <w:t xml:space="preserve">being either ‘Church’ (Anglican) or ‘Chapel’ (Nonconformist), and through the nineteenth century, religious tensions between these groups dominated local and national politics. </w:t>
      </w:r>
    </w:p>
    <w:p w:rsidR="008151DE" w:rsidRDefault="00F444BC" w:rsidP="00D1212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Church of England attendances accounted for just under half of all attendances on Census Sunday. The second largest group comprised Methodists</w:t>
      </w:r>
      <w:r w:rsidR="00656E5A">
        <w:rPr>
          <w:rFonts w:ascii="Times New Roman" w:hAnsi="Times New Roman" w:cs="Times New Roman"/>
          <w:color w:val="000000" w:themeColor="text1"/>
          <w:sz w:val="24"/>
          <w:szCs w:val="24"/>
        </w:rPr>
        <w:t>, who had</w:t>
      </w:r>
      <w:r>
        <w:rPr>
          <w:rFonts w:ascii="Times New Roman" w:hAnsi="Times New Roman" w:cs="Times New Roman"/>
          <w:color w:val="000000" w:themeColor="text1"/>
          <w:sz w:val="24"/>
          <w:szCs w:val="24"/>
        </w:rPr>
        <w:t xml:space="preserve"> no strong theological issue with burial in Church of England churchyards. However, their preference was interment in unconsecrated land since consecration was regarded as ‘Popish’. Furthermore, it was not permitted for Methodist ministers to conduct funerals in churchyards or in any other consecrated space. Many chapels had attached chapel burial grounds, although – again – numbers are not known</w:t>
      </w:r>
      <w:r w:rsidR="00656E5A">
        <w:rPr>
          <w:rFonts w:ascii="Times New Roman" w:hAnsi="Times New Roman" w:cs="Times New Roman"/>
          <w:color w:val="000000" w:themeColor="text1"/>
          <w:sz w:val="24"/>
          <w:szCs w:val="24"/>
        </w:rPr>
        <w:t xml:space="preserve">, and the number of burials could be small </w:t>
      </w:r>
      <w:r w:rsidR="00F10EF1">
        <w:rPr>
          <w:rFonts w:ascii="Times New Roman" w:hAnsi="Times New Roman" w:cs="Times New Roman"/>
          <w:color w:val="000000" w:themeColor="text1"/>
          <w:sz w:val="24"/>
          <w:szCs w:val="24"/>
        </w:rPr>
        <w:t>(</w:t>
      </w:r>
      <w:proofErr w:type="spellStart"/>
      <w:r w:rsidR="00F10EF1">
        <w:rPr>
          <w:rFonts w:ascii="Times New Roman" w:hAnsi="Times New Roman" w:cs="Times New Roman"/>
          <w:color w:val="000000" w:themeColor="text1"/>
          <w:sz w:val="24"/>
          <w:szCs w:val="24"/>
        </w:rPr>
        <w:t>Rugg</w:t>
      </w:r>
      <w:proofErr w:type="spellEnd"/>
      <w:r w:rsidR="00F10EF1">
        <w:rPr>
          <w:rFonts w:ascii="Times New Roman" w:hAnsi="Times New Roman" w:cs="Times New Roman"/>
          <w:color w:val="000000" w:themeColor="text1"/>
          <w:sz w:val="24"/>
          <w:szCs w:val="24"/>
        </w:rPr>
        <w:t xml:space="preserve">, Stirling and </w:t>
      </w:r>
      <w:proofErr w:type="spellStart"/>
      <w:r w:rsidR="00F10EF1">
        <w:rPr>
          <w:rFonts w:ascii="Times New Roman" w:hAnsi="Times New Roman" w:cs="Times New Roman"/>
          <w:color w:val="000000" w:themeColor="text1"/>
          <w:sz w:val="24"/>
          <w:szCs w:val="24"/>
        </w:rPr>
        <w:t>Clayden</w:t>
      </w:r>
      <w:proofErr w:type="spellEnd"/>
      <w:r w:rsidR="00F10EF1">
        <w:rPr>
          <w:rFonts w:ascii="Times New Roman" w:hAnsi="Times New Roman" w:cs="Times New Roman"/>
          <w:color w:val="000000" w:themeColor="text1"/>
          <w:sz w:val="24"/>
          <w:szCs w:val="24"/>
        </w:rPr>
        <w:t>, 2014) although there</w:t>
      </w:r>
      <w:r w:rsidR="008151DE">
        <w:rPr>
          <w:rFonts w:ascii="Times New Roman" w:hAnsi="Times New Roman" w:cs="Times New Roman"/>
          <w:color w:val="000000" w:themeColor="text1"/>
          <w:sz w:val="24"/>
          <w:szCs w:val="24"/>
        </w:rPr>
        <w:t xml:space="preserve"> was a great deal of regional variation. </w:t>
      </w:r>
    </w:p>
    <w:p w:rsidR="008151DE" w:rsidRDefault="008151DE" w:rsidP="00D1212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Major issues attached to the burial of the remaining quarter of the population, which was neither Anglican nor Methodist. Amongst this group were a small number of Protestant Nonconformists including Independents, Baptists, Unitarians, and Quakers. Independents, later more generally termed ‘Congregationalists’, </w:t>
      </w:r>
      <w:r w:rsidR="0092122F">
        <w:rPr>
          <w:rFonts w:ascii="Times New Roman" w:hAnsi="Times New Roman" w:cs="Times New Roman"/>
          <w:color w:val="000000" w:themeColor="text1"/>
          <w:sz w:val="24"/>
          <w:szCs w:val="24"/>
        </w:rPr>
        <w:t>comprised just over ten per cent of attendances on Census Sunday. This denomination did not hold with any style of church administration, believing that Christ was the head of the Church. As a consequence, each congregation was self-governing</w:t>
      </w:r>
      <w:r w:rsidR="00357A55">
        <w:rPr>
          <w:rFonts w:ascii="Times New Roman" w:hAnsi="Times New Roman" w:cs="Times New Roman"/>
          <w:color w:val="000000" w:themeColor="text1"/>
          <w:sz w:val="24"/>
          <w:szCs w:val="24"/>
        </w:rPr>
        <w:t xml:space="preserve">, </w:t>
      </w:r>
      <w:r w:rsidR="0092122F">
        <w:rPr>
          <w:rFonts w:ascii="Times New Roman" w:hAnsi="Times New Roman" w:cs="Times New Roman"/>
          <w:color w:val="000000" w:themeColor="text1"/>
          <w:sz w:val="24"/>
          <w:szCs w:val="24"/>
        </w:rPr>
        <w:t>d</w:t>
      </w:r>
      <w:r w:rsidR="00357A55">
        <w:rPr>
          <w:rFonts w:ascii="Times New Roman" w:hAnsi="Times New Roman" w:cs="Times New Roman"/>
          <w:color w:val="000000" w:themeColor="text1"/>
          <w:sz w:val="24"/>
          <w:szCs w:val="24"/>
        </w:rPr>
        <w:t xml:space="preserve">efined its own style of worship and had its own burial space. </w:t>
      </w:r>
      <w:r w:rsidR="00F10EF1">
        <w:rPr>
          <w:rFonts w:ascii="Times New Roman" w:hAnsi="Times New Roman" w:cs="Times New Roman"/>
          <w:color w:val="000000" w:themeColor="text1"/>
          <w:sz w:val="24"/>
          <w:szCs w:val="24"/>
        </w:rPr>
        <w:t>T</w:t>
      </w:r>
      <w:r w:rsidR="0092122F">
        <w:rPr>
          <w:rFonts w:ascii="Times New Roman" w:hAnsi="Times New Roman" w:cs="Times New Roman"/>
          <w:color w:val="000000" w:themeColor="text1"/>
          <w:sz w:val="24"/>
          <w:szCs w:val="24"/>
        </w:rPr>
        <w:t xml:space="preserve">he Religious Census found over 3,000 Independent chapels in operation. Quakers were also what is generally termed ‘Old Dissent’, </w:t>
      </w:r>
      <w:r w:rsidR="00F3611E">
        <w:rPr>
          <w:rFonts w:ascii="Times New Roman" w:hAnsi="Times New Roman" w:cs="Times New Roman"/>
          <w:color w:val="000000" w:themeColor="text1"/>
          <w:sz w:val="24"/>
          <w:szCs w:val="24"/>
        </w:rPr>
        <w:t>having origins on the seventeenth century. Again, this group favoured a degree of simplicity in administration and also a rejection of ritualised activity. For Quakers, the act of burial was attended with no ritual ceremony</w:t>
      </w:r>
      <w:r w:rsidR="00357A55">
        <w:rPr>
          <w:rFonts w:ascii="Times New Roman" w:hAnsi="Times New Roman" w:cs="Times New Roman"/>
          <w:color w:val="000000" w:themeColor="text1"/>
          <w:sz w:val="24"/>
          <w:szCs w:val="24"/>
        </w:rPr>
        <w:t>:</w:t>
      </w:r>
      <w:r w:rsidR="00F3611E">
        <w:rPr>
          <w:rFonts w:ascii="Times New Roman" w:hAnsi="Times New Roman" w:cs="Times New Roman"/>
          <w:color w:val="000000" w:themeColor="text1"/>
          <w:sz w:val="24"/>
          <w:szCs w:val="24"/>
        </w:rPr>
        <w:t xml:space="preserve"> h</w:t>
      </w:r>
      <w:r w:rsidR="00357A55">
        <w:rPr>
          <w:rFonts w:ascii="Times New Roman" w:hAnsi="Times New Roman" w:cs="Times New Roman"/>
          <w:color w:val="000000" w:themeColor="text1"/>
          <w:sz w:val="24"/>
          <w:szCs w:val="24"/>
        </w:rPr>
        <w:t xml:space="preserve">eadstones were modestly uniform, and burial grounds tended to be small and used for just short periods of time </w:t>
      </w:r>
      <w:r w:rsidR="00F10EF1">
        <w:rPr>
          <w:rFonts w:ascii="Times New Roman" w:hAnsi="Times New Roman" w:cs="Times New Roman"/>
          <w:color w:val="000000" w:themeColor="text1"/>
          <w:sz w:val="24"/>
          <w:szCs w:val="24"/>
        </w:rPr>
        <w:t>(Stock, 1998)</w:t>
      </w:r>
      <w:r w:rsidR="001505DB">
        <w:rPr>
          <w:rFonts w:ascii="Times New Roman" w:hAnsi="Times New Roman" w:cs="Times New Roman"/>
          <w:color w:val="000000" w:themeColor="text1"/>
          <w:sz w:val="24"/>
          <w:szCs w:val="24"/>
        </w:rPr>
        <w:t xml:space="preserve">.   </w:t>
      </w:r>
      <w:r w:rsidR="00F3611E">
        <w:rPr>
          <w:rFonts w:ascii="Times New Roman" w:hAnsi="Times New Roman" w:cs="Times New Roman"/>
          <w:color w:val="000000" w:themeColor="text1"/>
          <w:sz w:val="24"/>
          <w:szCs w:val="24"/>
        </w:rPr>
        <w:t xml:space="preserve"> </w:t>
      </w:r>
    </w:p>
    <w:p w:rsidR="001505DB" w:rsidRDefault="001505DB" w:rsidP="00D1212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two remaining groups had more substantive issues with regard to burial in consecrated, Church of England churchyards. Both Baptists and Unitarians had beliefs which could preclude them from use of the churchyard. Baptists believed that, rather than baptising at birth, adults should actively choose or profess their belief; baptism would then follow through total immersion. Unitarians did not believe in the Trinity, and did not regard Christ as God. Anglican clergy to refuse churchyard burial </w:t>
      </w:r>
      <w:r w:rsidR="00357A55">
        <w:rPr>
          <w:rFonts w:ascii="Times New Roman" w:hAnsi="Times New Roman" w:cs="Times New Roman"/>
          <w:color w:val="000000" w:themeColor="text1"/>
          <w:sz w:val="24"/>
          <w:szCs w:val="24"/>
        </w:rPr>
        <w:t xml:space="preserve">to both groups </w:t>
      </w:r>
      <w:r>
        <w:rPr>
          <w:rFonts w:ascii="Times New Roman" w:hAnsi="Times New Roman" w:cs="Times New Roman"/>
          <w:color w:val="000000" w:themeColor="text1"/>
          <w:sz w:val="24"/>
          <w:szCs w:val="24"/>
        </w:rPr>
        <w:t>on the basis that death may have taken place before adul</w:t>
      </w:r>
      <w:r w:rsidR="000D00CC">
        <w:rPr>
          <w:rFonts w:ascii="Times New Roman" w:hAnsi="Times New Roman" w:cs="Times New Roman"/>
          <w:color w:val="000000" w:themeColor="text1"/>
          <w:sz w:val="24"/>
          <w:szCs w:val="24"/>
        </w:rPr>
        <w:t>t baptism and through a failure to invoke the Trinity at baptism</w:t>
      </w:r>
      <w:r>
        <w:rPr>
          <w:rFonts w:ascii="Times New Roman" w:hAnsi="Times New Roman" w:cs="Times New Roman"/>
          <w:color w:val="000000" w:themeColor="text1"/>
          <w:sz w:val="24"/>
          <w:szCs w:val="24"/>
        </w:rPr>
        <w:t>. Through the course of the nineteenth century, scandal often became attached to instances where clergy refused churchyard burial to t</w:t>
      </w:r>
      <w:r w:rsidR="009A1C5D">
        <w:rPr>
          <w:rFonts w:ascii="Times New Roman" w:hAnsi="Times New Roman" w:cs="Times New Roman"/>
          <w:color w:val="000000" w:themeColor="text1"/>
          <w:sz w:val="24"/>
          <w:szCs w:val="24"/>
        </w:rPr>
        <w:t>he children of Baptists (</w:t>
      </w:r>
      <w:proofErr w:type="spellStart"/>
      <w:r w:rsidR="009A1C5D">
        <w:rPr>
          <w:rFonts w:ascii="Times New Roman" w:hAnsi="Times New Roman" w:cs="Times New Roman"/>
          <w:color w:val="000000" w:themeColor="text1"/>
          <w:sz w:val="24"/>
          <w:szCs w:val="24"/>
        </w:rPr>
        <w:t>Rugg</w:t>
      </w:r>
      <w:proofErr w:type="spellEnd"/>
      <w:r w:rsidR="009A1C5D">
        <w:rPr>
          <w:rFonts w:ascii="Times New Roman" w:hAnsi="Times New Roman" w:cs="Times New Roman"/>
          <w:color w:val="000000" w:themeColor="text1"/>
          <w:sz w:val="24"/>
          <w:szCs w:val="24"/>
        </w:rPr>
        <w:t>, 2014</w:t>
      </w:r>
      <w:r>
        <w:rPr>
          <w:rFonts w:ascii="Times New Roman" w:hAnsi="Times New Roman" w:cs="Times New Roman"/>
          <w:color w:val="000000" w:themeColor="text1"/>
          <w:sz w:val="24"/>
          <w:szCs w:val="24"/>
        </w:rPr>
        <w:t xml:space="preserve">).  </w:t>
      </w:r>
    </w:p>
    <w:p w:rsidR="007E6309" w:rsidRDefault="00A133F0" w:rsidP="00D1212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These denominational differences meant that, although burial provision was strongly dominated by Church of England churchyards, </w:t>
      </w:r>
      <w:r w:rsidR="009A1C5D">
        <w:rPr>
          <w:rFonts w:ascii="Times New Roman" w:hAnsi="Times New Roman" w:cs="Times New Roman"/>
          <w:color w:val="000000" w:themeColor="text1"/>
          <w:sz w:val="24"/>
          <w:szCs w:val="24"/>
        </w:rPr>
        <w:t>interment</w:t>
      </w:r>
      <w:r>
        <w:rPr>
          <w:rFonts w:ascii="Times New Roman" w:hAnsi="Times New Roman" w:cs="Times New Roman"/>
          <w:color w:val="000000" w:themeColor="text1"/>
          <w:sz w:val="24"/>
          <w:szCs w:val="24"/>
        </w:rPr>
        <w:t xml:space="preserve"> in alternative locations</w:t>
      </w:r>
      <w:r w:rsidR="00357A55">
        <w:rPr>
          <w:rFonts w:ascii="Times New Roman" w:hAnsi="Times New Roman" w:cs="Times New Roman"/>
          <w:color w:val="000000" w:themeColor="text1"/>
          <w:sz w:val="24"/>
          <w:szCs w:val="24"/>
        </w:rPr>
        <w:t xml:space="preserve"> was common</w:t>
      </w:r>
      <w:r>
        <w:rPr>
          <w:rFonts w:ascii="Times New Roman" w:hAnsi="Times New Roman" w:cs="Times New Roman"/>
          <w:color w:val="000000" w:themeColor="text1"/>
          <w:sz w:val="24"/>
          <w:szCs w:val="24"/>
        </w:rPr>
        <w:t xml:space="preserve">. At the mid-century point, towns and cities generally contained a principal churchyard, a number of minor and often newer churchyards, and two or more small Nonconformist burial grounds attached to chapels. </w:t>
      </w:r>
      <w:r w:rsidR="009E000D">
        <w:rPr>
          <w:rFonts w:ascii="Times New Roman" w:hAnsi="Times New Roman" w:cs="Times New Roman"/>
          <w:color w:val="000000" w:themeColor="text1"/>
          <w:sz w:val="24"/>
          <w:szCs w:val="24"/>
        </w:rPr>
        <w:t xml:space="preserve">Chadwick’s 1843 Supplementary Report on Interment found thirteen Protestant Dissenting grounds operating in the Metropolis, although it was likely that demand was also being met by small-scale commercial funerary chapels which instituted </w:t>
      </w:r>
      <w:r w:rsidR="007E6309">
        <w:rPr>
          <w:rFonts w:ascii="Times New Roman" w:hAnsi="Times New Roman" w:cs="Times New Roman"/>
          <w:color w:val="000000" w:themeColor="text1"/>
          <w:sz w:val="24"/>
          <w:szCs w:val="24"/>
        </w:rPr>
        <w:t>‘vault’ burial in their cellars</w:t>
      </w:r>
      <w:r w:rsidR="00D54D58">
        <w:rPr>
          <w:rFonts w:ascii="Times New Roman" w:hAnsi="Times New Roman" w:cs="Times New Roman"/>
          <w:color w:val="000000" w:themeColor="text1"/>
          <w:sz w:val="24"/>
          <w:szCs w:val="24"/>
        </w:rPr>
        <w:t xml:space="preserve">. </w:t>
      </w:r>
      <w:proofErr w:type="gramStart"/>
      <w:r w:rsidR="00D54D58">
        <w:rPr>
          <w:rFonts w:ascii="Times New Roman" w:hAnsi="Times New Roman" w:cs="Times New Roman"/>
          <w:color w:val="000000" w:themeColor="text1"/>
          <w:sz w:val="24"/>
          <w:szCs w:val="24"/>
        </w:rPr>
        <w:t>(Chadwick, 1843).</w:t>
      </w:r>
      <w:proofErr w:type="gramEnd"/>
      <w:r w:rsidR="007E6309">
        <w:rPr>
          <w:rFonts w:ascii="Times New Roman" w:hAnsi="Times New Roman" w:cs="Times New Roman"/>
          <w:color w:val="000000" w:themeColor="text1"/>
          <w:sz w:val="24"/>
          <w:szCs w:val="24"/>
        </w:rPr>
        <w:t xml:space="preserve"> </w:t>
      </w:r>
    </w:p>
    <w:p w:rsidR="00357A55" w:rsidRDefault="005D2553" w:rsidP="00D1212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By 1820, a new innovation had been introduced: the application of joint stock financing to the creation of new burial space. This innovation had arisen from within the Dissenting community, </w:t>
      </w:r>
      <w:r w:rsidR="00357A55">
        <w:rPr>
          <w:rFonts w:ascii="Times New Roman" w:hAnsi="Times New Roman" w:cs="Times New Roman"/>
          <w:color w:val="000000" w:themeColor="text1"/>
          <w:sz w:val="24"/>
          <w:szCs w:val="24"/>
        </w:rPr>
        <w:t xml:space="preserve">which wanted </w:t>
      </w:r>
      <w:r>
        <w:rPr>
          <w:rFonts w:ascii="Times New Roman" w:hAnsi="Times New Roman" w:cs="Times New Roman"/>
          <w:color w:val="000000" w:themeColor="text1"/>
          <w:sz w:val="24"/>
          <w:szCs w:val="24"/>
        </w:rPr>
        <w:t>funeral services</w:t>
      </w:r>
      <w:r w:rsidR="00357A55">
        <w:rPr>
          <w:rFonts w:ascii="Times New Roman" w:hAnsi="Times New Roman" w:cs="Times New Roman"/>
          <w:color w:val="000000" w:themeColor="text1"/>
          <w:sz w:val="24"/>
          <w:szCs w:val="24"/>
        </w:rPr>
        <w:t xml:space="preserve"> to be</w:t>
      </w:r>
      <w:r>
        <w:rPr>
          <w:rFonts w:ascii="Times New Roman" w:hAnsi="Times New Roman" w:cs="Times New Roman"/>
          <w:color w:val="000000" w:themeColor="text1"/>
          <w:sz w:val="24"/>
          <w:szCs w:val="24"/>
        </w:rPr>
        <w:t xml:space="preserve"> taken by their own minister</w:t>
      </w:r>
      <w:r w:rsidR="00357A55">
        <w:rPr>
          <w:rFonts w:ascii="Times New Roman" w:hAnsi="Times New Roman" w:cs="Times New Roman"/>
          <w:color w:val="000000" w:themeColor="text1"/>
          <w:sz w:val="24"/>
          <w:szCs w:val="24"/>
        </w:rPr>
        <w:t xml:space="preserve">, on land that would not be </w:t>
      </w:r>
      <w:r>
        <w:rPr>
          <w:rFonts w:ascii="Times New Roman" w:hAnsi="Times New Roman" w:cs="Times New Roman"/>
          <w:color w:val="000000" w:themeColor="text1"/>
          <w:sz w:val="24"/>
          <w:szCs w:val="24"/>
        </w:rPr>
        <w:t xml:space="preserve">consecrated. Joint stock financing raised the amount of capital available for land purchase, and so the creation of larger-scale sites became possible. </w:t>
      </w:r>
      <w:r w:rsidR="00222E31">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first of the purely commercial enterprises – the cemetery of All Souls at Kensal Green, London – was opened in 1836.</w:t>
      </w:r>
      <w:r w:rsidR="00357A55">
        <w:rPr>
          <w:rFonts w:ascii="Times New Roman" w:hAnsi="Times New Roman" w:cs="Times New Roman"/>
          <w:color w:val="000000" w:themeColor="text1"/>
          <w:sz w:val="24"/>
          <w:szCs w:val="24"/>
        </w:rPr>
        <w:t xml:space="preserve"> P</w:t>
      </w:r>
      <w:r>
        <w:rPr>
          <w:rFonts w:ascii="Times New Roman" w:hAnsi="Times New Roman" w:cs="Times New Roman"/>
          <w:color w:val="000000" w:themeColor="text1"/>
          <w:sz w:val="24"/>
          <w:szCs w:val="24"/>
        </w:rPr>
        <w:t>roprietors arranged for their cemetery to be consecrated by the Bishop of London</w:t>
      </w:r>
      <w:r w:rsidR="00357A55">
        <w:rPr>
          <w:rFonts w:ascii="Times New Roman" w:hAnsi="Times New Roman" w:cs="Times New Roman"/>
          <w:color w:val="000000" w:themeColor="text1"/>
          <w:sz w:val="24"/>
          <w:szCs w:val="24"/>
        </w:rPr>
        <w:t xml:space="preserve">, who required that compensation be paid </w:t>
      </w:r>
      <w:r>
        <w:rPr>
          <w:rFonts w:ascii="Times New Roman" w:hAnsi="Times New Roman" w:cs="Times New Roman"/>
          <w:color w:val="000000" w:themeColor="text1"/>
          <w:sz w:val="24"/>
          <w:szCs w:val="24"/>
        </w:rPr>
        <w:t>to clergy who would otherwise lose burial fees as a consequence of their parishioners’ use of the site.</w:t>
      </w:r>
      <w:r w:rsidR="00357A55">
        <w:rPr>
          <w:rFonts w:ascii="Times New Roman" w:hAnsi="Times New Roman" w:cs="Times New Roman"/>
          <w:color w:val="000000" w:themeColor="text1"/>
          <w:sz w:val="24"/>
          <w:szCs w:val="24"/>
        </w:rPr>
        <w:t xml:space="preserve"> The action set a precedent, and compensation clauses were common in joint-stock cemeteries </w:t>
      </w:r>
      <w:r w:rsidR="007E6309">
        <w:rPr>
          <w:rFonts w:ascii="Times New Roman" w:hAnsi="Times New Roman" w:cs="Times New Roman"/>
          <w:color w:val="000000" w:themeColor="text1"/>
          <w:sz w:val="24"/>
          <w:szCs w:val="24"/>
        </w:rPr>
        <w:t>(</w:t>
      </w:r>
      <w:proofErr w:type="spellStart"/>
      <w:r w:rsidR="007E6309">
        <w:rPr>
          <w:rFonts w:ascii="Times New Roman" w:hAnsi="Times New Roman" w:cs="Times New Roman"/>
          <w:color w:val="000000" w:themeColor="text1"/>
          <w:sz w:val="24"/>
          <w:szCs w:val="24"/>
        </w:rPr>
        <w:t>Rugg</w:t>
      </w:r>
      <w:proofErr w:type="spellEnd"/>
      <w:r w:rsidR="007E6309">
        <w:rPr>
          <w:rFonts w:ascii="Times New Roman" w:hAnsi="Times New Roman" w:cs="Times New Roman"/>
          <w:color w:val="000000" w:themeColor="text1"/>
          <w:sz w:val="24"/>
          <w:szCs w:val="24"/>
        </w:rPr>
        <w:t>, 2013)</w:t>
      </w:r>
      <w:r>
        <w:rPr>
          <w:rFonts w:ascii="Times New Roman" w:hAnsi="Times New Roman" w:cs="Times New Roman"/>
          <w:color w:val="000000" w:themeColor="text1"/>
          <w:sz w:val="24"/>
          <w:szCs w:val="24"/>
        </w:rPr>
        <w:t>.</w:t>
      </w:r>
      <w:r w:rsidR="007E6309">
        <w:rPr>
          <w:rFonts w:ascii="Times New Roman" w:hAnsi="Times New Roman" w:cs="Times New Roman"/>
          <w:color w:val="000000" w:themeColor="text1"/>
          <w:sz w:val="24"/>
          <w:szCs w:val="24"/>
        </w:rPr>
        <w:t xml:space="preserve"> York</w:t>
      </w:r>
      <w:r>
        <w:rPr>
          <w:rFonts w:ascii="Times New Roman" w:hAnsi="Times New Roman" w:cs="Times New Roman"/>
          <w:color w:val="000000" w:themeColor="text1"/>
          <w:sz w:val="24"/>
          <w:szCs w:val="24"/>
        </w:rPr>
        <w:t xml:space="preserve"> General Cemetery</w:t>
      </w:r>
      <w:r w:rsidR="00357A55">
        <w:rPr>
          <w:rFonts w:ascii="Times New Roman" w:hAnsi="Times New Roman" w:cs="Times New Roman"/>
          <w:color w:val="000000" w:themeColor="text1"/>
          <w:sz w:val="24"/>
          <w:szCs w:val="24"/>
        </w:rPr>
        <w:t>, opened</w:t>
      </w:r>
      <w:r>
        <w:rPr>
          <w:rFonts w:ascii="Times New Roman" w:hAnsi="Times New Roman" w:cs="Times New Roman"/>
          <w:color w:val="000000" w:themeColor="text1"/>
          <w:sz w:val="24"/>
          <w:szCs w:val="24"/>
        </w:rPr>
        <w:t xml:space="preserve"> in 1836</w:t>
      </w:r>
      <w:r w:rsidR="00357A55">
        <w:rPr>
          <w:rFonts w:ascii="Times New Roman" w:hAnsi="Times New Roman" w:cs="Times New Roman"/>
          <w:color w:val="000000" w:themeColor="text1"/>
          <w:sz w:val="24"/>
          <w:szCs w:val="24"/>
        </w:rPr>
        <w:t xml:space="preserve">, introduced the innovation of part-consecration so that the site could be used by both </w:t>
      </w:r>
      <w:r>
        <w:rPr>
          <w:rFonts w:ascii="Times New Roman" w:hAnsi="Times New Roman" w:cs="Times New Roman"/>
          <w:color w:val="000000" w:themeColor="text1"/>
          <w:sz w:val="24"/>
          <w:szCs w:val="24"/>
        </w:rPr>
        <w:t xml:space="preserve">Anglicans and Nonconformists. </w:t>
      </w:r>
      <w:r w:rsidR="00357A55">
        <w:rPr>
          <w:rFonts w:ascii="Times New Roman" w:hAnsi="Times New Roman" w:cs="Times New Roman"/>
          <w:color w:val="000000" w:themeColor="text1"/>
          <w:sz w:val="24"/>
          <w:szCs w:val="24"/>
        </w:rPr>
        <w:t xml:space="preserve">By the 1840s, town councils were themselves forming cemetery companies as a preferred alternative to paying for a new cemetery through the rates, and within a decade almost all major towns had </w:t>
      </w:r>
      <w:r w:rsidR="00FE01DD">
        <w:rPr>
          <w:rFonts w:ascii="Times New Roman" w:hAnsi="Times New Roman" w:cs="Times New Roman"/>
          <w:color w:val="000000" w:themeColor="text1"/>
          <w:sz w:val="24"/>
          <w:szCs w:val="24"/>
        </w:rPr>
        <w:t>a</w:t>
      </w:r>
      <w:r w:rsidR="00357A55">
        <w:rPr>
          <w:rFonts w:ascii="Times New Roman" w:hAnsi="Times New Roman" w:cs="Times New Roman"/>
          <w:color w:val="000000" w:themeColor="text1"/>
          <w:sz w:val="24"/>
          <w:szCs w:val="24"/>
        </w:rPr>
        <w:t>t least one cemetery company in operation</w:t>
      </w:r>
      <w:r w:rsidR="00FE01DD">
        <w:rPr>
          <w:rFonts w:ascii="Times New Roman" w:hAnsi="Times New Roman" w:cs="Times New Roman"/>
          <w:color w:val="000000" w:themeColor="text1"/>
          <w:sz w:val="24"/>
          <w:szCs w:val="24"/>
        </w:rPr>
        <w:t xml:space="preserve">. </w:t>
      </w:r>
    </w:p>
    <w:p w:rsidR="008C74C2" w:rsidRDefault="00FE01DD" w:rsidP="00D1212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new cemeteries </w:t>
      </w:r>
      <w:r w:rsidR="00897F86">
        <w:rPr>
          <w:rFonts w:ascii="Times New Roman" w:hAnsi="Times New Roman" w:cs="Times New Roman"/>
          <w:color w:val="000000" w:themeColor="text1"/>
          <w:sz w:val="24"/>
          <w:szCs w:val="24"/>
        </w:rPr>
        <w:t xml:space="preserve">tended </w:t>
      </w:r>
      <w:r>
        <w:rPr>
          <w:rFonts w:ascii="Times New Roman" w:hAnsi="Times New Roman" w:cs="Times New Roman"/>
          <w:color w:val="000000" w:themeColor="text1"/>
          <w:sz w:val="24"/>
          <w:szCs w:val="24"/>
        </w:rPr>
        <w:t>to cater for the principal Protestant denominations. Provision for non-Protestant groups remained marginal. The Religious Census found 53 Jewish places of worship, with around 6,000 attendances in total on the Jewish equivalent of Census Sunday, which was Friday evening to Saturday afternoon, 28-29</w:t>
      </w:r>
      <w:r w:rsidRPr="00FE01DD">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March. </w:t>
      </w:r>
      <w:r w:rsidR="00933E98">
        <w:rPr>
          <w:rFonts w:ascii="Times New Roman" w:hAnsi="Times New Roman" w:cs="Times New Roman"/>
          <w:color w:val="000000" w:themeColor="text1"/>
          <w:sz w:val="24"/>
          <w:szCs w:val="24"/>
        </w:rPr>
        <w:t xml:space="preserve">However, other sources indicate a larger </w:t>
      </w:r>
      <w:r w:rsidR="00897F86">
        <w:rPr>
          <w:rFonts w:ascii="Times New Roman" w:hAnsi="Times New Roman" w:cs="Times New Roman"/>
          <w:color w:val="000000" w:themeColor="text1"/>
          <w:sz w:val="24"/>
          <w:szCs w:val="24"/>
        </w:rPr>
        <w:t xml:space="preserve">Jewish </w:t>
      </w:r>
      <w:r w:rsidR="00933E98">
        <w:rPr>
          <w:rFonts w:ascii="Times New Roman" w:hAnsi="Times New Roman" w:cs="Times New Roman"/>
          <w:color w:val="000000" w:themeColor="text1"/>
          <w:sz w:val="24"/>
          <w:szCs w:val="24"/>
        </w:rPr>
        <w:t>population, of some 30-35,000 in the mid-19</w:t>
      </w:r>
      <w:r w:rsidR="00933E98" w:rsidRPr="00933E98">
        <w:rPr>
          <w:rFonts w:ascii="Times New Roman" w:hAnsi="Times New Roman" w:cs="Times New Roman"/>
          <w:color w:val="000000" w:themeColor="text1"/>
          <w:sz w:val="24"/>
          <w:szCs w:val="24"/>
          <w:vertAlign w:val="superscript"/>
        </w:rPr>
        <w:t>th</w:t>
      </w:r>
      <w:r w:rsidR="00933E98">
        <w:rPr>
          <w:rFonts w:ascii="Times New Roman" w:hAnsi="Times New Roman" w:cs="Times New Roman"/>
          <w:color w:val="000000" w:themeColor="text1"/>
          <w:sz w:val="24"/>
          <w:szCs w:val="24"/>
        </w:rPr>
        <w:t xml:space="preserve"> century (Alderman, 1992).</w:t>
      </w:r>
      <w:r w:rsidR="009E000D">
        <w:rPr>
          <w:rFonts w:ascii="Times New Roman" w:hAnsi="Times New Roman" w:cs="Times New Roman"/>
          <w:color w:val="000000" w:themeColor="text1"/>
          <w:sz w:val="24"/>
          <w:szCs w:val="24"/>
        </w:rPr>
        <w:t xml:space="preserve"> </w:t>
      </w:r>
      <w:r w:rsidR="00897F86">
        <w:rPr>
          <w:rFonts w:ascii="Times New Roman" w:hAnsi="Times New Roman" w:cs="Times New Roman"/>
          <w:color w:val="000000" w:themeColor="text1"/>
          <w:sz w:val="24"/>
          <w:szCs w:val="24"/>
        </w:rPr>
        <w:t xml:space="preserve">Jews </w:t>
      </w:r>
      <w:r w:rsidR="009E000D">
        <w:rPr>
          <w:rFonts w:ascii="Times New Roman" w:hAnsi="Times New Roman" w:cs="Times New Roman"/>
          <w:color w:val="000000" w:themeColor="text1"/>
          <w:sz w:val="24"/>
          <w:szCs w:val="24"/>
        </w:rPr>
        <w:t xml:space="preserve">had, since the seventeenth century, taken responsibility for providing </w:t>
      </w:r>
      <w:r w:rsidR="00897F86">
        <w:rPr>
          <w:rFonts w:ascii="Times New Roman" w:hAnsi="Times New Roman" w:cs="Times New Roman"/>
          <w:color w:val="000000" w:themeColor="text1"/>
          <w:sz w:val="24"/>
          <w:szCs w:val="24"/>
        </w:rPr>
        <w:t>their</w:t>
      </w:r>
      <w:r w:rsidR="009E000D">
        <w:rPr>
          <w:rFonts w:ascii="Times New Roman" w:hAnsi="Times New Roman" w:cs="Times New Roman"/>
          <w:color w:val="000000" w:themeColor="text1"/>
          <w:sz w:val="24"/>
          <w:szCs w:val="24"/>
        </w:rPr>
        <w:t xml:space="preserve"> own burial spaces and so ensuring that </w:t>
      </w:r>
      <w:r w:rsidR="00897F86">
        <w:rPr>
          <w:rFonts w:ascii="Times New Roman" w:hAnsi="Times New Roman" w:cs="Times New Roman"/>
          <w:color w:val="000000" w:themeColor="text1"/>
          <w:sz w:val="24"/>
          <w:szCs w:val="24"/>
        </w:rPr>
        <w:t>their</w:t>
      </w:r>
      <w:r w:rsidR="009E000D">
        <w:rPr>
          <w:rFonts w:ascii="Times New Roman" w:hAnsi="Times New Roman" w:cs="Times New Roman"/>
          <w:color w:val="000000" w:themeColor="text1"/>
          <w:sz w:val="24"/>
          <w:szCs w:val="24"/>
        </w:rPr>
        <w:t xml:space="preserve"> special funerary requirements could be fulfilled. Synagogue membership included payment to cover the cost of interment. Edwin Chadwick’s </w:t>
      </w:r>
      <w:r w:rsidR="00897F86">
        <w:rPr>
          <w:rFonts w:ascii="Times New Roman" w:hAnsi="Times New Roman" w:cs="Times New Roman"/>
          <w:color w:val="000000" w:themeColor="text1"/>
          <w:sz w:val="24"/>
          <w:szCs w:val="24"/>
        </w:rPr>
        <w:t>184</w:t>
      </w:r>
      <w:r w:rsidR="009E000D">
        <w:rPr>
          <w:rFonts w:ascii="Times New Roman" w:hAnsi="Times New Roman" w:cs="Times New Roman"/>
          <w:color w:val="000000" w:themeColor="text1"/>
          <w:sz w:val="24"/>
          <w:szCs w:val="24"/>
        </w:rPr>
        <w:t>3</w:t>
      </w:r>
      <w:r w:rsidR="00897F86">
        <w:rPr>
          <w:rFonts w:ascii="Times New Roman" w:hAnsi="Times New Roman" w:cs="Times New Roman"/>
          <w:color w:val="000000" w:themeColor="text1"/>
          <w:sz w:val="24"/>
          <w:szCs w:val="24"/>
        </w:rPr>
        <w:t xml:space="preserve"> survey</w:t>
      </w:r>
      <w:r w:rsidR="009E000D">
        <w:rPr>
          <w:rFonts w:ascii="Times New Roman" w:hAnsi="Times New Roman" w:cs="Times New Roman"/>
          <w:color w:val="000000" w:themeColor="text1"/>
          <w:sz w:val="24"/>
          <w:szCs w:val="24"/>
        </w:rPr>
        <w:t>, found four Jewish burial grounds located in the Metropolis, which between them accommodated around 300 burials a year (Chadwick, 1843). The scale of operation in London expanded substantially through the second half of the nineteenth century, following the mass migration of Jews from Russia and Eastern Europe, but</w:t>
      </w:r>
      <w:r w:rsidR="00897F86">
        <w:rPr>
          <w:rFonts w:ascii="Times New Roman" w:hAnsi="Times New Roman" w:cs="Times New Roman"/>
          <w:color w:val="000000" w:themeColor="text1"/>
          <w:sz w:val="24"/>
          <w:szCs w:val="24"/>
        </w:rPr>
        <w:t xml:space="preserve"> this provision</w:t>
      </w:r>
      <w:r w:rsidR="009E000D">
        <w:rPr>
          <w:rFonts w:ascii="Times New Roman" w:hAnsi="Times New Roman" w:cs="Times New Roman"/>
          <w:color w:val="000000" w:themeColor="text1"/>
          <w:sz w:val="24"/>
          <w:szCs w:val="24"/>
        </w:rPr>
        <w:t xml:space="preserve"> remained outside the statutory system (Alderman, 1992). </w:t>
      </w:r>
    </w:p>
    <w:p w:rsidR="00222E31" w:rsidRDefault="00222E31" w:rsidP="00D12126">
      <w:pPr>
        <w:rPr>
          <w:rFonts w:ascii="Times New Roman" w:hAnsi="Times New Roman" w:cs="Times New Roman"/>
          <w:b/>
          <w:sz w:val="24"/>
          <w:szCs w:val="24"/>
        </w:rPr>
      </w:pPr>
    </w:p>
    <w:p w:rsidR="007B0664" w:rsidRPr="008C74C2" w:rsidRDefault="007B0664" w:rsidP="00D12126">
      <w:pPr>
        <w:rPr>
          <w:rFonts w:ascii="Times New Roman" w:hAnsi="Times New Roman" w:cs="Times New Roman"/>
          <w:color w:val="000000" w:themeColor="text1"/>
          <w:sz w:val="24"/>
          <w:szCs w:val="24"/>
        </w:rPr>
      </w:pPr>
      <w:r>
        <w:rPr>
          <w:rFonts w:ascii="Times New Roman" w:hAnsi="Times New Roman" w:cs="Times New Roman"/>
          <w:b/>
          <w:sz w:val="24"/>
          <w:szCs w:val="24"/>
        </w:rPr>
        <w:t>The Burial Acts</w:t>
      </w:r>
      <w:r w:rsidR="00A77FEB">
        <w:rPr>
          <w:rFonts w:ascii="Times New Roman" w:hAnsi="Times New Roman" w:cs="Times New Roman"/>
          <w:b/>
          <w:sz w:val="24"/>
          <w:szCs w:val="24"/>
        </w:rPr>
        <w:t>, 1852-1906</w:t>
      </w:r>
    </w:p>
    <w:p w:rsidR="00F82F03" w:rsidRDefault="00897F86" w:rsidP="00D12126">
      <w:pPr>
        <w:rPr>
          <w:rFonts w:ascii="Times New Roman" w:hAnsi="Times New Roman" w:cs="Times New Roman"/>
          <w:sz w:val="24"/>
          <w:szCs w:val="24"/>
        </w:rPr>
      </w:pPr>
      <w:r>
        <w:rPr>
          <w:rFonts w:ascii="Times New Roman" w:hAnsi="Times New Roman" w:cs="Times New Roman"/>
          <w:sz w:val="24"/>
          <w:szCs w:val="24"/>
        </w:rPr>
        <w:t xml:space="preserve">New </w:t>
      </w:r>
      <w:r w:rsidR="008C74C2">
        <w:rPr>
          <w:rFonts w:ascii="Times New Roman" w:hAnsi="Times New Roman" w:cs="Times New Roman"/>
          <w:sz w:val="24"/>
          <w:szCs w:val="24"/>
        </w:rPr>
        <w:t>cemeteries proliferated through t</w:t>
      </w:r>
      <w:r>
        <w:rPr>
          <w:rFonts w:ascii="Times New Roman" w:hAnsi="Times New Roman" w:cs="Times New Roman"/>
          <w:sz w:val="24"/>
          <w:szCs w:val="24"/>
        </w:rPr>
        <w:t xml:space="preserve">he first half of the nineteenth, but could not </w:t>
      </w:r>
      <w:r w:rsidR="008C74C2">
        <w:rPr>
          <w:rFonts w:ascii="Times New Roman" w:hAnsi="Times New Roman" w:cs="Times New Roman"/>
          <w:sz w:val="24"/>
          <w:szCs w:val="24"/>
        </w:rPr>
        <w:t xml:space="preserve">prevent continued use of </w:t>
      </w:r>
      <w:r>
        <w:rPr>
          <w:rFonts w:ascii="Times New Roman" w:hAnsi="Times New Roman" w:cs="Times New Roman"/>
          <w:sz w:val="24"/>
          <w:szCs w:val="24"/>
        </w:rPr>
        <w:t xml:space="preserve">overcrowded city churchyards which were believed to be </w:t>
      </w:r>
      <w:r w:rsidR="008C74C2">
        <w:rPr>
          <w:rFonts w:ascii="Times New Roman" w:hAnsi="Times New Roman" w:cs="Times New Roman"/>
          <w:sz w:val="24"/>
          <w:szCs w:val="24"/>
        </w:rPr>
        <w:t xml:space="preserve">a major source of disease. In the UK, burial legislation came largely through the passage of the Burial Acts. </w:t>
      </w:r>
      <w:r w:rsidR="007B0664">
        <w:rPr>
          <w:rFonts w:ascii="Times New Roman" w:hAnsi="Times New Roman" w:cs="Times New Roman"/>
          <w:sz w:val="24"/>
          <w:szCs w:val="24"/>
        </w:rPr>
        <w:t xml:space="preserve">The Burial Acts were a series of fifteen Acts passed between 1852 and 1906. An additional piece of legislation – the Public Health (Interments) Act, 1879 – is also pertinent to the provision of burial space but sat outside and did not correspond with the Burial Acts, creating legal complexities that will be discussed below. A first Burial Act, passed in 1850, was wholly repealed by the Burial Act, 1852. The </w:t>
      </w:r>
      <w:r w:rsidR="00F82F03">
        <w:rPr>
          <w:rFonts w:ascii="Times New Roman" w:hAnsi="Times New Roman" w:cs="Times New Roman"/>
          <w:sz w:val="24"/>
          <w:szCs w:val="24"/>
        </w:rPr>
        <w:t xml:space="preserve">Metropolitan Interments Act, 1850 would have </w:t>
      </w:r>
      <w:r w:rsidR="008C74C2">
        <w:rPr>
          <w:rFonts w:ascii="Times New Roman" w:hAnsi="Times New Roman" w:cs="Times New Roman"/>
          <w:sz w:val="24"/>
          <w:szCs w:val="24"/>
        </w:rPr>
        <w:t>set the UK more soundly within a continental European tradition of</w:t>
      </w:r>
      <w:r w:rsidR="00F82F03">
        <w:rPr>
          <w:rFonts w:ascii="Times New Roman" w:hAnsi="Times New Roman" w:cs="Times New Roman"/>
          <w:sz w:val="24"/>
          <w:szCs w:val="24"/>
        </w:rPr>
        <w:t xml:space="preserve"> state control of both burial and undertaking functions</w:t>
      </w:r>
      <w:r w:rsidR="008C74C2">
        <w:rPr>
          <w:rFonts w:ascii="Times New Roman" w:hAnsi="Times New Roman" w:cs="Times New Roman"/>
          <w:sz w:val="24"/>
          <w:szCs w:val="24"/>
        </w:rPr>
        <w:t>, reframing interment as a purely secular function</w:t>
      </w:r>
      <w:r w:rsidR="00F82F03">
        <w:rPr>
          <w:rFonts w:ascii="Times New Roman" w:hAnsi="Times New Roman" w:cs="Times New Roman"/>
          <w:sz w:val="24"/>
          <w:szCs w:val="24"/>
        </w:rPr>
        <w:t xml:space="preserve">. </w:t>
      </w:r>
      <w:r w:rsidR="008C74C2">
        <w:rPr>
          <w:rFonts w:ascii="Times New Roman" w:hAnsi="Times New Roman" w:cs="Times New Roman"/>
          <w:sz w:val="24"/>
          <w:szCs w:val="24"/>
        </w:rPr>
        <w:t>Indeed, the Jewish community aimed to block passage of the Act, in anticipation that Jewish burial grounds would be closed, and no allowance made for Jewish funerary ritual (</w:t>
      </w:r>
      <w:r w:rsidR="00222E31">
        <w:rPr>
          <w:rFonts w:ascii="Times New Roman" w:hAnsi="Times New Roman" w:cs="Times New Roman"/>
          <w:sz w:val="24"/>
          <w:szCs w:val="24"/>
        </w:rPr>
        <w:t>Alderman, 1992</w:t>
      </w:r>
      <w:r w:rsidR="008C74C2">
        <w:rPr>
          <w:rFonts w:ascii="Times New Roman" w:hAnsi="Times New Roman" w:cs="Times New Roman"/>
          <w:sz w:val="24"/>
          <w:szCs w:val="24"/>
        </w:rPr>
        <w:t xml:space="preserve">). </w:t>
      </w:r>
      <w:r w:rsidR="00222E31">
        <w:rPr>
          <w:rFonts w:ascii="Times New Roman" w:hAnsi="Times New Roman" w:cs="Times New Roman"/>
          <w:sz w:val="24"/>
          <w:szCs w:val="24"/>
        </w:rPr>
        <w:t xml:space="preserve">The 1850 </w:t>
      </w:r>
      <w:r w:rsidR="00F82F03">
        <w:rPr>
          <w:rFonts w:ascii="Times New Roman" w:hAnsi="Times New Roman" w:cs="Times New Roman"/>
          <w:sz w:val="24"/>
          <w:szCs w:val="24"/>
        </w:rPr>
        <w:t>Act had been passed at a time of considerable panic following a major cholera epidemic</w:t>
      </w:r>
      <w:r w:rsidR="00222E31">
        <w:rPr>
          <w:rFonts w:ascii="Times New Roman" w:hAnsi="Times New Roman" w:cs="Times New Roman"/>
          <w:sz w:val="24"/>
          <w:szCs w:val="24"/>
        </w:rPr>
        <w:t>, and was repealed in its entirety</w:t>
      </w:r>
      <w:r w:rsidR="00F82F03">
        <w:rPr>
          <w:rFonts w:ascii="Times New Roman" w:hAnsi="Times New Roman" w:cs="Times New Roman"/>
          <w:sz w:val="24"/>
          <w:szCs w:val="24"/>
        </w:rPr>
        <w:t xml:space="preserve">. A return to the principle of </w:t>
      </w:r>
      <w:r w:rsidR="00F82F03">
        <w:rPr>
          <w:rFonts w:ascii="Times New Roman" w:hAnsi="Times New Roman" w:cs="Times New Roman"/>
          <w:i/>
          <w:sz w:val="24"/>
          <w:szCs w:val="24"/>
        </w:rPr>
        <w:t xml:space="preserve">laissez-faire </w:t>
      </w:r>
      <w:r w:rsidR="00F82F03">
        <w:rPr>
          <w:rFonts w:ascii="Times New Roman" w:hAnsi="Times New Roman" w:cs="Times New Roman"/>
          <w:sz w:val="24"/>
          <w:szCs w:val="24"/>
        </w:rPr>
        <w:t>followed as Treasury baulked at the cost of compulsorily purchasi</w:t>
      </w:r>
      <w:r w:rsidR="00222E31">
        <w:rPr>
          <w:rFonts w:ascii="Times New Roman" w:hAnsi="Times New Roman" w:cs="Times New Roman"/>
          <w:sz w:val="24"/>
          <w:szCs w:val="24"/>
        </w:rPr>
        <w:t>ng private cemeteries (Finer, 19</w:t>
      </w:r>
      <w:r w:rsidR="00F82F03">
        <w:rPr>
          <w:rFonts w:ascii="Times New Roman" w:hAnsi="Times New Roman" w:cs="Times New Roman"/>
          <w:sz w:val="24"/>
          <w:szCs w:val="24"/>
        </w:rPr>
        <w:t xml:space="preserve">52). </w:t>
      </w:r>
    </w:p>
    <w:p w:rsidR="00A77FEB" w:rsidRDefault="00F82F03" w:rsidP="00D12126">
      <w:pPr>
        <w:rPr>
          <w:rFonts w:ascii="Times New Roman" w:hAnsi="Times New Roman" w:cs="Times New Roman"/>
          <w:sz w:val="24"/>
          <w:szCs w:val="24"/>
        </w:rPr>
      </w:pPr>
      <w:r>
        <w:rPr>
          <w:rFonts w:ascii="Times New Roman" w:hAnsi="Times New Roman" w:cs="Times New Roman"/>
          <w:sz w:val="24"/>
          <w:szCs w:val="24"/>
        </w:rPr>
        <w:t>The Burial Act, 1852 took an entirely different approach to the provision of burial space, building on strengths – and in the longer term, weaknesses – of the English local government system</w:t>
      </w:r>
      <w:r w:rsidR="00A54FBD">
        <w:rPr>
          <w:rFonts w:ascii="Times New Roman" w:hAnsi="Times New Roman" w:cs="Times New Roman"/>
          <w:sz w:val="24"/>
          <w:szCs w:val="24"/>
        </w:rPr>
        <w:t>.</w:t>
      </w:r>
      <w:r w:rsidR="008C74C2">
        <w:rPr>
          <w:rFonts w:ascii="Times New Roman" w:hAnsi="Times New Roman" w:cs="Times New Roman"/>
          <w:sz w:val="24"/>
          <w:szCs w:val="24"/>
        </w:rPr>
        <w:t xml:space="preserve"> </w:t>
      </w:r>
      <w:r w:rsidR="00A77FEB">
        <w:rPr>
          <w:rFonts w:ascii="Times New Roman" w:hAnsi="Times New Roman" w:cs="Times New Roman"/>
          <w:sz w:val="24"/>
          <w:szCs w:val="24"/>
        </w:rPr>
        <w:t>The parish was the principal unit of local government in the nineteenth century, inextricably linked to the Church of England since parish governance took place through the vestry system. Vestries</w:t>
      </w:r>
      <w:r w:rsidR="008C74C2">
        <w:rPr>
          <w:rFonts w:ascii="Times New Roman" w:hAnsi="Times New Roman" w:cs="Times New Roman"/>
          <w:sz w:val="24"/>
          <w:szCs w:val="24"/>
        </w:rPr>
        <w:t xml:space="preserve"> – local administrative Church committees – had </w:t>
      </w:r>
      <w:r w:rsidR="00A77FEB">
        <w:rPr>
          <w:rFonts w:ascii="Times New Roman" w:hAnsi="Times New Roman" w:cs="Times New Roman"/>
          <w:sz w:val="24"/>
          <w:szCs w:val="24"/>
        </w:rPr>
        <w:t xml:space="preserve">the power to raise rates to pay for elements of local poor relief and elements of infrastructure such as highways maintenance. The vestry was democratic, in the sense that all local ratepayers could vote on vestry expenditure, irrespective of their denominational allegiance. </w:t>
      </w:r>
    </w:p>
    <w:p w:rsidR="00A77FEB" w:rsidRDefault="00A77FEB" w:rsidP="00D12126">
      <w:pPr>
        <w:rPr>
          <w:rFonts w:ascii="Times New Roman" w:hAnsi="Times New Roman" w:cs="Times New Roman"/>
          <w:sz w:val="24"/>
          <w:szCs w:val="24"/>
        </w:rPr>
      </w:pPr>
      <w:r>
        <w:rPr>
          <w:rFonts w:ascii="Times New Roman" w:hAnsi="Times New Roman" w:cs="Times New Roman"/>
          <w:sz w:val="24"/>
          <w:szCs w:val="24"/>
        </w:rPr>
        <w:t xml:space="preserve">The Burial Acts of 1852 and 1853 set out new principles on which </w:t>
      </w:r>
      <w:r w:rsidR="008C74C2">
        <w:rPr>
          <w:rFonts w:ascii="Times New Roman" w:hAnsi="Times New Roman" w:cs="Times New Roman"/>
          <w:sz w:val="24"/>
          <w:szCs w:val="24"/>
        </w:rPr>
        <w:t xml:space="preserve">burial space would be provided. </w:t>
      </w:r>
      <w:r w:rsidR="00A54FBD">
        <w:rPr>
          <w:rFonts w:ascii="Times New Roman" w:hAnsi="Times New Roman" w:cs="Times New Roman"/>
          <w:sz w:val="24"/>
          <w:szCs w:val="24"/>
        </w:rPr>
        <w:t xml:space="preserve">The </w:t>
      </w:r>
      <w:r w:rsidR="008C74C2">
        <w:rPr>
          <w:rFonts w:ascii="Times New Roman" w:hAnsi="Times New Roman" w:cs="Times New Roman"/>
          <w:sz w:val="24"/>
          <w:szCs w:val="24"/>
        </w:rPr>
        <w:t xml:space="preserve">Acts set out procedures by which closure of overcrowded churchyards and burial grounds would be </w:t>
      </w:r>
      <w:proofErr w:type="gramStart"/>
      <w:r w:rsidR="008C74C2">
        <w:rPr>
          <w:rFonts w:ascii="Times New Roman" w:hAnsi="Times New Roman" w:cs="Times New Roman"/>
          <w:sz w:val="24"/>
          <w:szCs w:val="24"/>
        </w:rPr>
        <w:t>effected</w:t>
      </w:r>
      <w:proofErr w:type="gramEnd"/>
      <w:r w:rsidR="00A54FBD">
        <w:rPr>
          <w:rFonts w:ascii="Times New Roman" w:hAnsi="Times New Roman" w:cs="Times New Roman"/>
          <w:sz w:val="24"/>
          <w:szCs w:val="24"/>
        </w:rPr>
        <w:t>. The</w:t>
      </w:r>
      <w:r w:rsidR="00B52EAC">
        <w:rPr>
          <w:rFonts w:ascii="Times New Roman" w:hAnsi="Times New Roman" w:cs="Times New Roman"/>
          <w:sz w:val="24"/>
          <w:szCs w:val="24"/>
        </w:rPr>
        <w:t xml:space="preserve"> Act</w:t>
      </w:r>
      <w:r w:rsidR="00A54FBD">
        <w:rPr>
          <w:rFonts w:ascii="Times New Roman" w:hAnsi="Times New Roman" w:cs="Times New Roman"/>
          <w:sz w:val="24"/>
          <w:szCs w:val="24"/>
        </w:rPr>
        <w:t xml:space="preserve"> also</w:t>
      </w:r>
      <w:r w:rsidR="00B52EAC">
        <w:rPr>
          <w:rFonts w:ascii="Times New Roman" w:hAnsi="Times New Roman" w:cs="Times New Roman"/>
          <w:sz w:val="24"/>
          <w:szCs w:val="24"/>
        </w:rPr>
        <w:t xml:space="preserve"> established that, where a majority of ratepayers voted accordingly, the vestry could set up a burial board and use the rate system to raise finance and lay out a cemetery. The cemetery would be laid out according to the scientific principles detailed in guidance notes to the regulations. In addition, the cemetery would – following the example York</w:t>
      </w:r>
      <w:r w:rsidR="00A54FBD">
        <w:rPr>
          <w:rFonts w:ascii="Times New Roman" w:hAnsi="Times New Roman" w:cs="Times New Roman"/>
          <w:sz w:val="24"/>
          <w:szCs w:val="24"/>
        </w:rPr>
        <w:t xml:space="preserve"> General Cemetery</w:t>
      </w:r>
      <w:r w:rsidR="00B52EAC">
        <w:rPr>
          <w:rFonts w:ascii="Times New Roman" w:hAnsi="Times New Roman" w:cs="Times New Roman"/>
          <w:sz w:val="24"/>
          <w:szCs w:val="24"/>
        </w:rPr>
        <w:t xml:space="preserve"> – be part consecrated. The consecrated section would be managed as if it were an extension to the parish churchyard, with fees payable to the local minister. An unconsecrated section would remain open to usage by any other denomination, with no restrictions as to service or minister</w:t>
      </w:r>
      <w:r w:rsidR="00D47A6D">
        <w:rPr>
          <w:rFonts w:ascii="Times New Roman" w:hAnsi="Times New Roman" w:cs="Times New Roman"/>
          <w:sz w:val="24"/>
          <w:szCs w:val="24"/>
        </w:rPr>
        <w:t xml:space="preserve"> (Brook Little, </w:t>
      </w:r>
      <w:r w:rsidR="00A54FBD">
        <w:rPr>
          <w:rFonts w:ascii="Times New Roman" w:hAnsi="Times New Roman" w:cs="Times New Roman"/>
          <w:sz w:val="24"/>
          <w:szCs w:val="24"/>
        </w:rPr>
        <w:t>1902</w:t>
      </w:r>
      <w:r w:rsidR="00D47A6D">
        <w:rPr>
          <w:rFonts w:ascii="Times New Roman" w:hAnsi="Times New Roman" w:cs="Times New Roman"/>
          <w:sz w:val="24"/>
          <w:szCs w:val="24"/>
        </w:rPr>
        <w:t>)</w:t>
      </w:r>
      <w:r w:rsidR="00B52EAC">
        <w:rPr>
          <w:rFonts w:ascii="Times New Roman" w:hAnsi="Times New Roman" w:cs="Times New Roman"/>
          <w:sz w:val="24"/>
          <w:szCs w:val="24"/>
        </w:rPr>
        <w:t>.</w:t>
      </w:r>
    </w:p>
    <w:p w:rsidR="00B52EAC" w:rsidRDefault="00D47A6D" w:rsidP="00D12126">
      <w:pPr>
        <w:rPr>
          <w:rFonts w:ascii="Times New Roman" w:hAnsi="Times New Roman" w:cs="Times New Roman"/>
          <w:sz w:val="24"/>
          <w:szCs w:val="24"/>
        </w:rPr>
      </w:pPr>
      <w:r>
        <w:rPr>
          <w:rFonts w:ascii="Times New Roman" w:hAnsi="Times New Roman" w:cs="Times New Roman"/>
          <w:sz w:val="24"/>
          <w:szCs w:val="24"/>
        </w:rPr>
        <w:t>These provisions appeared ostensibly equitable, but the fact that further Burial Acts followed indicated the failure of the regulations to work equitably in practice. For example, it was argued that the provisions required the creation of mortuary chapels for both Nonconformist and Anglican use. The measure introduced considerable expense which in itself discouraged communities from taking up the option of burial board establishment and instead seek the simpler alternative of expanding the churchyard. In</w:t>
      </w:r>
      <w:r w:rsidR="00AB664D">
        <w:rPr>
          <w:rFonts w:ascii="Times New Roman" w:hAnsi="Times New Roman" w:cs="Times New Roman"/>
          <w:sz w:val="24"/>
          <w:szCs w:val="24"/>
        </w:rPr>
        <w:t>deed, in</w:t>
      </w:r>
      <w:r>
        <w:rPr>
          <w:rFonts w:ascii="Times New Roman" w:hAnsi="Times New Roman" w:cs="Times New Roman"/>
          <w:sz w:val="24"/>
          <w:szCs w:val="24"/>
        </w:rPr>
        <w:t xml:space="preserve"> some locations, the incidence of churchyard extension far outnumbered the establishment of new cemeteries. Nonconformist communities in rural locations, where churchyard extension was more likely, argued that their burial needs were not being met by the Burial Acts since it was still not possible for Nonconformist clergy to take funeral services in Anglican churchyards. </w:t>
      </w:r>
    </w:p>
    <w:p w:rsidR="00D47A6D" w:rsidRDefault="00D47A6D" w:rsidP="00D12126">
      <w:pPr>
        <w:rPr>
          <w:rFonts w:ascii="Times New Roman" w:hAnsi="Times New Roman" w:cs="Times New Roman"/>
          <w:sz w:val="24"/>
          <w:szCs w:val="24"/>
        </w:rPr>
      </w:pPr>
      <w:r>
        <w:rPr>
          <w:rFonts w:ascii="Times New Roman" w:hAnsi="Times New Roman" w:cs="Times New Roman"/>
          <w:sz w:val="24"/>
          <w:szCs w:val="24"/>
        </w:rPr>
        <w:t>The argument relating to burial rights drove to the very centre of issues relating to the concept of an established church. Nonconformists argued that, if the Church of England was a national church, supported through governmen</w:t>
      </w:r>
      <w:r w:rsidR="00AB664D">
        <w:rPr>
          <w:rFonts w:ascii="Times New Roman" w:hAnsi="Times New Roman" w:cs="Times New Roman"/>
          <w:sz w:val="24"/>
          <w:szCs w:val="24"/>
        </w:rPr>
        <w:t>t grant – as funding for Church building</w:t>
      </w:r>
      <w:r>
        <w:rPr>
          <w:rFonts w:ascii="Times New Roman" w:hAnsi="Times New Roman" w:cs="Times New Roman"/>
          <w:sz w:val="24"/>
          <w:szCs w:val="24"/>
        </w:rPr>
        <w:t xml:space="preserve"> </w:t>
      </w:r>
      <w:r w:rsidR="00AB664D">
        <w:rPr>
          <w:rFonts w:ascii="Times New Roman" w:hAnsi="Times New Roman" w:cs="Times New Roman"/>
          <w:sz w:val="24"/>
          <w:szCs w:val="24"/>
        </w:rPr>
        <w:t>indicated</w:t>
      </w:r>
      <w:r>
        <w:rPr>
          <w:rFonts w:ascii="Times New Roman" w:hAnsi="Times New Roman" w:cs="Times New Roman"/>
          <w:sz w:val="24"/>
          <w:szCs w:val="24"/>
        </w:rPr>
        <w:t xml:space="preserve"> – then its facilities should be available to all taxpayers, irrespective of their denomination. If the Church of England held its facilities for use only by a particular denomination, then it could make no claims to be the National Church. The burial debate rumbled through local and national politics during the 1860s and 1870s, and was finally resolved through the passage of the Burial Grounds Amendment Act, 1880. This Act constituted a major concession with the intention of </w:t>
      </w:r>
      <w:r w:rsidR="00075EC9">
        <w:rPr>
          <w:rFonts w:ascii="Times New Roman" w:hAnsi="Times New Roman" w:cs="Times New Roman"/>
          <w:sz w:val="24"/>
          <w:szCs w:val="24"/>
        </w:rPr>
        <w:t>diffusing growing calls for disestablishment of the Church of England. The Act laid out the procedures whereby Nonconformist ministers could take services in Anglican churchyards and so – by extension – in the consecrated sections of cemeteries. However, a burial fee was still payable to the parish vicar</w:t>
      </w:r>
      <w:r w:rsidR="00AB664D">
        <w:rPr>
          <w:rFonts w:ascii="Times New Roman" w:hAnsi="Times New Roman" w:cs="Times New Roman"/>
          <w:sz w:val="24"/>
          <w:szCs w:val="24"/>
        </w:rPr>
        <w:t xml:space="preserve"> (</w:t>
      </w:r>
      <w:proofErr w:type="spellStart"/>
      <w:r w:rsidR="00AB664D">
        <w:rPr>
          <w:rFonts w:ascii="Times New Roman" w:hAnsi="Times New Roman" w:cs="Times New Roman"/>
          <w:sz w:val="24"/>
          <w:szCs w:val="24"/>
        </w:rPr>
        <w:t>Rugg</w:t>
      </w:r>
      <w:proofErr w:type="spellEnd"/>
      <w:r w:rsidR="00AB664D">
        <w:rPr>
          <w:rFonts w:ascii="Times New Roman" w:hAnsi="Times New Roman" w:cs="Times New Roman"/>
          <w:sz w:val="24"/>
          <w:szCs w:val="24"/>
        </w:rPr>
        <w:t>, 2014)</w:t>
      </w:r>
      <w:r w:rsidR="00075EC9">
        <w:rPr>
          <w:rFonts w:ascii="Times New Roman" w:hAnsi="Times New Roman" w:cs="Times New Roman"/>
          <w:sz w:val="24"/>
          <w:szCs w:val="24"/>
        </w:rPr>
        <w:t xml:space="preserve">. </w:t>
      </w:r>
    </w:p>
    <w:p w:rsidR="00DC1EDE" w:rsidRDefault="00075EC9" w:rsidP="00D12126">
      <w:pPr>
        <w:rPr>
          <w:rFonts w:ascii="Times New Roman" w:hAnsi="Times New Roman" w:cs="Times New Roman"/>
          <w:sz w:val="24"/>
          <w:szCs w:val="24"/>
        </w:rPr>
      </w:pPr>
      <w:r>
        <w:rPr>
          <w:rFonts w:ascii="Times New Roman" w:hAnsi="Times New Roman" w:cs="Times New Roman"/>
          <w:sz w:val="24"/>
          <w:szCs w:val="24"/>
        </w:rPr>
        <w:t>The legislation diffused some of the religious tensions with regard to burial space, but by no means all. In 1879, and sitting outside the Burial Acts, the Public Health (Interment) Act allowed for the creation of new cemeteries using an older pie</w:t>
      </w:r>
      <w:r w:rsidR="000D00CC">
        <w:rPr>
          <w:rFonts w:ascii="Times New Roman" w:hAnsi="Times New Roman" w:cs="Times New Roman"/>
          <w:sz w:val="24"/>
          <w:szCs w:val="24"/>
        </w:rPr>
        <w:t>ce of legislation – the Cemeteries</w:t>
      </w:r>
      <w:r>
        <w:rPr>
          <w:rFonts w:ascii="Times New Roman" w:hAnsi="Times New Roman" w:cs="Times New Roman"/>
          <w:sz w:val="24"/>
          <w:szCs w:val="24"/>
        </w:rPr>
        <w:t xml:space="preserve"> Clauses Act, 1847. </w:t>
      </w:r>
      <w:r w:rsidR="00DC1EDE">
        <w:rPr>
          <w:rFonts w:ascii="Times New Roman" w:hAnsi="Times New Roman" w:cs="Times New Roman"/>
          <w:sz w:val="24"/>
          <w:szCs w:val="24"/>
        </w:rPr>
        <w:t xml:space="preserve">The proponents of the 1879 </w:t>
      </w:r>
      <w:r w:rsidR="00AB664D">
        <w:rPr>
          <w:rFonts w:ascii="Times New Roman" w:hAnsi="Times New Roman" w:cs="Times New Roman"/>
          <w:sz w:val="24"/>
          <w:szCs w:val="24"/>
        </w:rPr>
        <w:t>A</w:t>
      </w:r>
      <w:r w:rsidR="00DC1EDE">
        <w:rPr>
          <w:rFonts w:ascii="Times New Roman" w:hAnsi="Times New Roman" w:cs="Times New Roman"/>
          <w:sz w:val="24"/>
          <w:szCs w:val="24"/>
        </w:rPr>
        <w:t xml:space="preserve">ct had intended to simplify the creation of cemeteries and so expedite a necessary public health measure. However, the Act made it possible to create cemeteries without any consecrated space, a step which some communities – strongly dominated by Nonconformist interests – aimed to take. </w:t>
      </w:r>
      <w:r w:rsidR="00AB664D">
        <w:rPr>
          <w:rFonts w:ascii="Times New Roman" w:hAnsi="Times New Roman" w:cs="Times New Roman"/>
          <w:sz w:val="24"/>
          <w:szCs w:val="24"/>
        </w:rPr>
        <w:t>Increasing scandal was attached about the financial benefits derived by A</w:t>
      </w:r>
      <w:r w:rsidR="00DC1EDE">
        <w:rPr>
          <w:rFonts w:ascii="Times New Roman" w:hAnsi="Times New Roman" w:cs="Times New Roman"/>
          <w:sz w:val="24"/>
          <w:szCs w:val="24"/>
        </w:rPr>
        <w:t>nglican clergy</w:t>
      </w:r>
      <w:r w:rsidR="00AB664D">
        <w:rPr>
          <w:rFonts w:ascii="Times New Roman" w:hAnsi="Times New Roman" w:cs="Times New Roman"/>
          <w:sz w:val="24"/>
          <w:szCs w:val="24"/>
        </w:rPr>
        <w:t xml:space="preserve"> from cemeteries </w:t>
      </w:r>
      <w:r w:rsidR="00DC1EDE">
        <w:rPr>
          <w:rFonts w:ascii="Times New Roman" w:hAnsi="Times New Roman" w:cs="Times New Roman"/>
          <w:sz w:val="24"/>
          <w:szCs w:val="24"/>
        </w:rPr>
        <w:t xml:space="preserve">laid out on the rates, not only through burial fees but also through the imposition of monument erection fees. </w:t>
      </w:r>
    </w:p>
    <w:p w:rsidR="007B0664" w:rsidRDefault="00DC1EDE" w:rsidP="00D12126">
      <w:pPr>
        <w:rPr>
          <w:rFonts w:ascii="Times New Roman" w:hAnsi="Times New Roman" w:cs="Times New Roman"/>
          <w:sz w:val="24"/>
          <w:szCs w:val="24"/>
        </w:rPr>
      </w:pPr>
      <w:r>
        <w:rPr>
          <w:rFonts w:ascii="Times New Roman" w:hAnsi="Times New Roman" w:cs="Times New Roman"/>
          <w:sz w:val="24"/>
          <w:szCs w:val="24"/>
        </w:rPr>
        <w:t xml:space="preserve">The response, following a major Parliamentary inquiry, was the penultimate Burial Act, 1900. This Act drew burial matters more strongly into a secular framework. </w:t>
      </w:r>
      <w:r w:rsidR="00557140">
        <w:rPr>
          <w:rFonts w:ascii="Times New Roman" w:hAnsi="Times New Roman" w:cs="Times New Roman"/>
          <w:sz w:val="24"/>
          <w:szCs w:val="24"/>
        </w:rPr>
        <w:t>The new Act removed the presumption that the interests of the Church of Eng</w:t>
      </w:r>
      <w:r w:rsidR="00897F86">
        <w:rPr>
          <w:rFonts w:ascii="Times New Roman" w:hAnsi="Times New Roman" w:cs="Times New Roman"/>
          <w:sz w:val="24"/>
          <w:szCs w:val="24"/>
        </w:rPr>
        <w:t>land should be protected</w:t>
      </w:r>
      <w:r w:rsidR="00557140">
        <w:rPr>
          <w:rFonts w:ascii="Times New Roman" w:hAnsi="Times New Roman" w:cs="Times New Roman"/>
          <w:sz w:val="24"/>
          <w:szCs w:val="24"/>
        </w:rPr>
        <w:t xml:space="preserve">. </w:t>
      </w:r>
      <w:r w:rsidR="00AB664D">
        <w:rPr>
          <w:rFonts w:ascii="Times New Roman" w:hAnsi="Times New Roman" w:cs="Times New Roman"/>
          <w:sz w:val="24"/>
          <w:szCs w:val="24"/>
        </w:rPr>
        <w:t>If ne</w:t>
      </w:r>
      <w:r w:rsidR="00557140">
        <w:rPr>
          <w:rFonts w:ascii="Times New Roman" w:hAnsi="Times New Roman" w:cs="Times New Roman"/>
          <w:sz w:val="24"/>
          <w:szCs w:val="24"/>
        </w:rPr>
        <w:t xml:space="preserve">w cemeteries or extensions to cemeteries were planned, </w:t>
      </w:r>
      <w:r w:rsidR="00897F86">
        <w:rPr>
          <w:rFonts w:ascii="Times New Roman" w:hAnsi="Times New Roman" w:cs="Times New Roman"/>
          <w:sz w:val="24"/>
          <w:szCs w:val="24"/>
        </w:rPr>
        <w:t xml:space="preserve">then </w:t>
      </w:r>
      <w:r w:rsidR="00AB664D">
        <w:rPr>
          <w:rFonts w:ascii="Times New Roman" w:hAnsi="Times New Roman" w:cs="Times New Roman"/>
          <w:sz w:val="24"/>
          <w:szCs w:val="24"/>
        </w:rPr>
        <w:t xml:space="preserve">application to the Home Office had to include </w:t>
      </w:r>
      <w:r w:rsidR="00557140">
        <w:rPr>
          <w:rFonts w:ascii="Times New Roman" w:hAnsi="Times New Roman" w:cs="Times New Roman"/>
          <w:sz w:val="24"/>
          <w:szCs w:val="24"/>
        </w:rPr>
        <w:t>a</w:t>
      </w:r>
      <w:r w:rsidR="00AB664D">
        <w:rPr>
          <w:rFonts w:ascii="Times New Roman" w:hAnsi="Times New Roman" w:cs="Times New Roman"/>
          <w:sz w:val="24"/>
          <w:szCs w:val="24"/>
        </w:rPr>
        <w:t xml:space="preserve"> justification for </w:t>
      </w:r>
      <w:r w:rsidR="00557140">
        <w:rPr>
          <w:rFonts w:ascii="Times New Roman" w:hAnsi="Times New Roman" w:cs="Times New Roman"/>
          <w:sz w:val="24"/>
          <w:szCs w:val="24"/>
        </w:rPr>
        <w:t>consecration, based on existing usage. Burial fees were payable to the minister taking the service irrespective of denomination and with no compensation paid to the Anglican minister; and any monument erection fees charged in the consecrated cemetery section would be retained by the burial authorities (</w:t>
      </w:r>
      <w:proofErr w:type="spellStart"/>
      <w:r w:rsidR="00557140">
        <w:rPr>
          <w:rFonts w:ascii="Times New Roman" w:hAnsi="Times New Roman" w:cs="Times New Roman"/>
          <w:sz w:val="24"/>
          <w:szCs w:val="24"/>
        </w:rPr>
        <w:t>Rugg</w:t>
      </w:r>
      <w:proofErr w:type="spellEnd"/>
      <w:r w:rsidR="00557140">
        <w:rPr>
          <w:rFonts w:ascii="Times New Roman" w:hAnsi="Times New Roman" w:cs="Times New Roman"/>
          <w:sz w:val="24"/>
          <w:szCs w:val="24"/>
        </w:rPr>
        <w:t xml:space="preserve">, </w:t>
      </w:r>
      <w:r w:rsidR="00AB664D">
        <w:rPr>
          <w:rFonts w:ascii="Times New Roman" w:hAnsi="Times New Roman" w:cs="Times New Roman"/>
          <w:sz w:val="24"/>
          <w:szCs w:val="24"/>
        </w:rPr>
        <w:t>2013</w:t>
      </w:r>
      <w:r w:rsidR="00557140">
        <w:rPr>
          <w:rFonts w:ascii="Times New Roman" w:hAnsi="Times New Roman" w:cs="Times New Roman"/>
          <w:sz w:val="24"/>
          <w:szCs w:val="24"/>
        </w:rPr>
        <w:t>).</w:t>
      </w:r>
    </w:p>
    <w:p w:rsidR="00075EC9" w:rsidRDefault="00557140" w:rsidP="00D12126">
      <w:pPr>
        <w:rPr>
          <w:rFonts w:ascii="Times New Roman" w:hAnsi="Times New Roman" w:cs="Times New Roman"/>
          <w:sz w:val="24"/>
          <w:szCs w:val="24"/>
        </w:rPr>
      </w:pPr>
      <w:r>
        <w:rPr>
          <w:rFonts w:ascii="Times New Roman" w:hAnsi="Times New Roman" w:cs="Times New Roman"/>
          <w:sz w:val="24"/>
          <w:szCs w:val="24"/>
        </w:rPr>
        <w:t xml:space="preserve">The Burial Acts </w:t>
      </w:r>
      <w:r w:rsidR="00897F86">
        <w:rPr>
          <w:rFonts w:ascii="Times New Roman" w:hAnsi="Times New Roman" w:cs="Times New Roman"/>
          <w:sz w:val="24"/>
          <w:szCs w:val="24"/>
        </w:rPr>
        <w:t xml:space="preserve">had </w:t>
      </w:r>
      <w:r>
        <w:rPr>
          <w:rFonts w:ascii="Times New Roman" w:hAnsi="Times New Roman" w:cs="Times New Roman"/>
          <w:sz w:val="24"/>
          <w:szCs w:val="24"/>
        </w:rPr>
        <w:t xml:space="preserve">ensured that, until 1900, the Church of England retained a strong control of burial provision, largely through the requirements that part of the cemetery should be consecrated. However, </w:t>
      </w:r>
      <w:r w:rsidR="00897F86">
        <w:rPr>
          <w:rFonts w:ascii="Times New Roman" w:hAnsi="Times New Roman" w:cs="Times New Roman"/>
          <w:sz w:val="24"/>
          <w:szCs w:val="24"/>
        </w:rPr>
        <w:t xml:space="preserve">management practice of sites set up under </w:t>
      </w:r>
      <w:r>
        <w:rPr>
          <w:rFonts w:ascii="Times New Roman" w:hAnsi="Times New Roman" w:cs="Times New Roman"/>
          <w:sz w:val="24"/>
          <w:szCs w:val="24"/>
        </w:rPr>
        <w:t xml:space="preserve">Burial Acts remained </w:t>
      </w:r>
      <w:r w:rsidR="00897F86">
        <w:rPr>
          <w:rFonts w:ascii="Times New Roman" w:hAnsi="Times New Roman" w:cs="Times New Roman"/>
          <w:sz w:val="24"/>
          <w:szCs w:val="24"/>
        </w:rPr>
        <w:t>largely discretionary. L</w:t>
      </w:r>
      <w:r>
        <w:rPr>
          <w:rFonts w:ascii="Times New Roman" w:hAnsi="Times New Roman" w:cs="Times New Roman"/>
          <w:sz w:val="24"/>
          <w:szCs w:val="24"/>
        </w:rPr>
        <w:t xml:space="preserve">ocal burial boards set the tone for the degree </w:t>
      </w:r>
      <w:r w:rsidR="00897F86">
        <w:rPr>
          <w:rFonts w:ascii="Times New Roman" w:hAnsi="Times New Roman" w:cs="Times New Roman"/>
          <w:sz w:val="24"/>
          <w:szCs w:val="24"/>
        </w:rPr>
        <w:t xml:space="preserve">of </w:t>
      </w:r>
      <w:r>
        <w:rPr>
          <w:rFonts w:ascii="Times New Roman" w:hAnsi="Times New Roman" w:cs="Times New Roman"/>
          <w:sz w:val="24"/>
          <w:szCs w:val="24"/>
        </w:rPr>
        <w:t xml:space="preserve">tolerance exercised in apportionment </w:t>
      </w:r>
      <w:r w:rsidR="00897F86">
        <w:rPr>
          <w:rFonts w:ascii="Times New Roman" w:hAnsi="Times New Roman" w:cs="Times New Roman"/>
          <w:sz w:val="24"/>
          <w:szCs w:val="24"/>
        </w:rPr>
        <w:t>within unconsecrated sections</w:t>
      </w:r>
      <w:r>
        <w:rPr>
          <w:rFonts w:ascii="Times New Roman" w:hAnsi="Times New Roman" w:cs="Times New Roman"/>
          <w:sz w:val="24"/>
          <w:szCs w:val="24"/>
        </w:rPr>
        <w:t xml:space="preserve">. For example, at the Yorkshire market town of Malton, the Burial Board decided </w:t>
      </w:r>
      <w:r w:rsidR="00897F86">
        <w:rPr>
          <w:rFonts w:ascii="Times New Roman" w:hAnsi="Times New Roman" w:cs="Times New Roman"/>
          <w:sz w:val="24"/>
          <w:szCs w:val="24"/>
        </w:rPr>
        <w:t xml:space="preserve">not to grant a section </w:t>
      </w:r>
      <w:r>
        <w:rPr>
          <w:rFonts w:ascii="Times New Roman" w:hAnsi="Times New Roman" w:cs="Times New Roman"/>
          <w:sz w:val="24"/>
          <w:szCs w:val="24"/>
        </w:rPr>
        <w:t xml:space="preserve">to the local Roman Catholic community because there were only nineteen ratepayers </w:t>
      </w:r>
      <w:r w:rsidR="00897F86">
        <w:rPr>
          <w:rFonts w:ascii="Times New Roman" w:hAnsi="Times New Roman" w:cs="Times New Roman"/>
          <w:sz w:val="24"/>
          <w:szCs w:val="24"/>
        </w:rPr>
        <w:t>of that denomination</w:t>
      </w:r>
      <w:r>
        <w:rPr>
          <w:rFonts w:ascii="Times New Roman" w:hAnsi="Times New Roman" w:cs="Times New Roman"/>
          <w:sz w:val="24"/>
          <w:szCs w:val="24"/>
        </w:rPr>
        <w:t xml:space="preserve">. By contrast, the nearby town of Thirsk </w:t>
      </w:r>
      <w:r w:rsidR="00897F86">
        <w:rPr>
          <w:rFonts w:ascii="Times New Roman" w:hAnsi="Times New Roman" w:cs="Times New Roman"/>
          <w:sz w:val="24"/>
          <w:szCs w:val="24"/>
        </w:rPr>
        <w:t xml:space="preserve">afforded a section to the </w:t>
      </w:r>
      <w:r>
        <w:rPr>
          <w:rFonts w:ascii="Times New Roman" w:hAnsi="Times New Roman" w:cs="Times New Roman"/>
          <w:sz w:val="24"/>
          <w:szCs w:val="24"/>
        </w:rPr>
        <w:t>Roman Catholic community without di</w:t>
      </w:r>
      <w:r w:rsidR="00AB664D">
        <w:rPr>
          <w:rFonts w:ascii="Times New Roman" w:hAnsi="Times New Roman" w:cs="Times New Roman"/>
          <w:sz w:val="24"/>
          <w:szCs w:val="24"/>
        </w:rPr>
        <w:t>scussion or comment</w:t>
      </w:r>
      <w:r>
        <w:rPr>
          <w:rFonts w:ascii="Times New Roman" w:hAnsi="Times New Roman" w:cs="Times New Roman"/>
          <w:sz w:val="24"/>
          <w:szCs w:val="24"/>
        </w:rPr>
        <w:t xml:space="preserve">. </w:t>
      </w:r>
      <w:r w:rsidR="00733E01">
        <w:rPr>
          <w:rFonts w:ascii="Times New Roman" w:hAnsi="Times New Roman" w:cs="Times New Roman"/>
          <w:sz w:val="24"/>
          <w:szCs w:val="24"/>
        </w:rPr>
        <w:t xml:space="preserve">Malton was more amenable to an approach from a local Jewish landowner, who was able to purchase a substantial plot within the cemetery for exclusive Jewish use. Thus apportionment could be a </w:t>
      </w:r>
      <w:proofErr w:type="gramStart"/>
      <w:r w:rsidR="00733E01">
        <w:rPr>
          <w:rFonts w:ascii="Times New Roman" w:hAnsi="Times New Roman" w:cs="Times New Roman"/>
          <w:sz w:val="24"/>
          <w:szCs w:val="24"/>
        </w:rPr>
        <w:t>very</w:t>
      </w:r>
      <w:proofErr w:type="gramEnd"/>
      <w:r w:rsidR="00733E01">
        <w:rPr>
          <w:rFonts w:ascii="Times New Roman" w:hAnsi="Times New Roman" w:cs="Times New Roman"/>
          <w:sz w:val="24"/>
          <w:szCs w:val="24"/>
        </w:rPr>
        <w:t xml:space="preserve"> localised matter depending on the play of demand and of </w:t>
      </w:r>
      <w:r w:rsidR="00897F86">
        <w:rPr>
          <w:rFonts w:ascii="Times New Roman" w:hAnsi="Times New Roman" w:cs="Times New Roman"/>
          <w:sz w:val="24"/>
          <w:szCs w:val="24"/>
        </w:rPr>
        <w:t xml:space="preserve">local </w:t>
      </w:r>
      <w:r w:rsidR="00733E01">
        <w:rPr>
          <w:rFonts w:ascii="Times New Roman" w:hAnsi="Times New Roman" w:cs="Times New Roman"/>
          <w:sz w:val="24"/>
          <w:szCs w:val="24"/>
        </w:rPr>
        <w:t>religious politics</w:t>
      </w:r>
      <w:r w:rsidR="00AB664D">
        <w:rPr>
          <w:rFonts w:ascii="Times New Roman" w:hAnsi="Times New Roman" w:cs="Times New Roman"/>
          <w:sz w:val="24"/>
          <w:szCs w:val="24"/>
        </w:rPr>
        <w:t xml:space="preserve"> (</w:t>
      </w:r>
      <w:proofErr w:type="spellStart"/>
      <w:r w:rsidR="00AB664D">
        <w:rPr>
          <w:rFonts w:ascii="Times New Roman" w:hAnsi="Times New Roman" w:cs="Times New Roman"/>
          <w:sz w:val="24"/>
          <w:szCs w:val="24"/>
        </w:rPr>
        <w:t>Rugg</w:t>
      </w:r>
      <w:proofErr w:type="spellEnd"/>
      <w:r w:rsidR="00AB664D">
        <w:rPr>
          <w:rFonts w:ascii="Times New Roman" w:hAnsi="Times New Roman" w:cs="Times New Roman"/>
          <w:sz w:val="24"/>
          <w:szCs w:val="24"/>
        </w:rPr>
        <w:t>, 2013)</w:t>
      </w:r>
      <w:r w:rsidR="00733E01">
        <w:rPr>
          <w:rFonts w:ascii="Times New Roman" w:hAnsi="Times New Roman" w:cs="Times New Roman"/>
          <w:sz w:val="24"/>
          <w:szCs w:val="24"/>
        </w:rPr>
        <w:t>.</w:t>
      </w:r>
      <w:r>
        <w:rPr>
          <w:rFonts w:ascii="Times New Roman" w:hAnsi="Times New Roman" w:cs="Times New Roman"/>
          <w:sz w:val="24"/>
          <w:szCs w:val="24"/>
        </w:rPr>
        <w:t xml:space="preserve"> </w:t>
      </w:r>
    </w:p>
    <w:p w:rsidR="00557140" w:rsidRDefault="00557140" w:rsidP="00D12126">
      <w:pPr>
        <w:rPr>
          <w:rFonts w:ascii="Times New Roman" w:hAnsi="Times New Roman" w:cs="Times New Roman"/>
          <w:sz w:val="24"/>
          <w:szCs w:val="24"/>
        </w:rPr>
      </w:pPr>
    </w:p>
    <w:p w:rsidR="00A77FEB" w:rsidRDefault="00933E98" w:rsidP="00D12126">
      <w:pPr>
        <w:rPr>
          <w:rFonts w:ascii="Times New Roman" w:hAnsi="Times New Roman" w:cs="Times New Roman"/>
          <w:b/>
          <w:sz w:val="24"/>
          <w:szCs w:val="24"/>
        </w:rPr>
      </w:pPr>
      <w:r>
        <w:rPr>
          <w:rFonts w:ascii="Times New Roman" w:hAnsi="Times New Roman" w:cs="Times New Roman"/>
          <w:b/>
          <w:sz w:val="24"/>
          <w:szCs w:val="24"/>
        </w:rPr>
        <w:t>Twentieth-century burial legislation</w:t>
      </w:r>
    </w:p>
    <w:p w:rsidR="00733E01" w:rsidRDefault="00733E01" w:rsidP="00D12126">
      <w:pPr>
        <w:rPr>
          <w:rFonts w:ascii="Times New Roman" w:hAnsi="Times New Roman" w:cs="Times New Roman"/>
          <w:sz w:val="24"/>
          <w:szCs w:val="24"/>
        </w:rPr>
      </w:pPr>
      <w:r>
        <w:rPr>
          <w:rFonts w:ascii="Times New Roman" w:hAnsi="Times New Roman" w:cs="Times New Roman"/>
          <w:sz w:val="24"/>
          <w:szCs w:val="24"/>
        </w:rPr>
        <w:t xml:space="preserve">Localised religious tensions between denominations on the apportionment of burial space continued to be evident even up until the 1940s. The Burial Acts were successful in enabling even small communities to fund burial space, and remained in rather anomalous operation despite successive changes to local government legislation </w:t>
      </w:r>
      <w:r w:rsidR="00897F86">
        <w:rPr>
          <w:rFonts w:ascii="Times New Roman" w:hAnsi="Times New Roman" w:cs="Times New Roman"/>
          <w:sz w:val="24"/>
          <w:szCs w:val="24"/>
        </w:rPr>
        <w:t xml:space="preserve">increasing </w:t>
      </w:r>
      <w:r>
        <w:rPr>
          <w:rFonts w:ascii="Times New Roman" w:hAnsi="Times New Roman" w:cs="Times New Roman"/>
          <w:sz w:val="24"/>
          <w:szCs w:val="24"/>
        </w:rPr>
        <w:t>the scope of local authority activity. The Burial Act, 1900 did not constitute a decisive resolution of non-religious burial</w:t>
      </w:r>
      <w:r w:rsidR="00AB664D">
        <w:rPr>
          <w:rFonts w:ascii="Times New Roman" w:hAnsi="Times New Roman" w:cs="Times New Roman"/>
          <w:sz w:val="24"/>
          <w:szCs w:val="24"/>
        </w:rPr>
        <w:t xml:space="preserve">. Many </w:t>
      </w:r>
      <w:r>
        <w:rPr>
          <w:rFonts w:ascii="Times New Roman" w:hAnsi="Times New Roman" w:cs="Times New Roman"/>
          <w:sz w:val="24"/>
          <w:szCs w:val="24"/>
        </w:rPr>
        <w:t>cemeteries and burial grounds lay outside any formal statutory regulation</w:t>
      </w:r>
      <w:r w:rsidR="00AB664D">
        <w:rPr>
          <w:rFonts w:ascii="Times New Roman" w:hAnsi="Times New Roman" w:cs="Times New Roman"/>
          <w:sz w:val="24"/>
          <w:szCs w:val="24"/>
        </w:rPr>
        <w:t xml:space="preserve">, and </w:t>
      </w:r>
      <w:r>
        <w:rPr>
          <w:rFonts w:ascii="Times New Roman" w:hAnsi="Times New Roman" w:cs="Times New Roman"/>
          <w:sz w:val="24"/>
          <w:szCs w:val="24"/>
        </w:rPr>
        <w:t>the provision of burial space was a permitted act rather than a statutory obligation.</w:t>
      </w:r>
      <w:r w:rsidR="00AB664D">
        <w:rPr>
          <w:rFonts w:ascii="Times New Roman" w:hAnsi="Times New Roman" w:cs="Times New Roman"/>
          <w:sz w:val="24"/>
          <w:szCs w:val="24"/>
        </w:rPr>
        <w:t xml:space="preserve"> </w:t>
      </w:r>
      <w:r>
        <w:rPr>
          <w:rFonts w:ascii="Times New Roman" w:hAnsi="Times New Roman" w:cs="Times New Roman"/>
          <w:sz w:val="24"/>
          <w:szCs w:val="24"/>
        </w:rPr>
        <w:t xml:space="preserve">The Cremation Act, 1902 encouraged burial boards to consider the establishment of crematoria. For much of the twentieth century, propaganda co-ordinated by the Cremation Society of Great Britain </w:t>
      </w:r>
      <w:r w:rsidR="00897F86">
        <w:rPr>
          <w:rFonts w:ascii="Times New Roman" w:hAnsi="Times New Roman" w:cs="Times New Roman"/>
          <w:sz w:val="24"/>
          <w:szCs w:val="24"/>
        </w:rPr>
        <w:t>successfully associated</w:t>
      </w:r>
      <w:r>
        <w:rPr>
          <w:rFonts w:ascii="Times New Roman" w:hAnsi="Times New Roman" w:cs="Times New Roman"/>
          <w:sz w:val="24"/>
          <w:szCs w:val="24"/>
        </w:rPr>
        <w:t xml:space="preserve"> burial with insanitary and ‘old fashioned’ practice that was wasteful in terms of land consumption. </w:t>
      </w:r>
      <w:r w:rsidR="00AB664D">
        <w:rPr>
          <w:rFonts w:ascii="Times New Roman" w:hAnsi="Times New Roman" w:cs="Times New Roman"/>
          <w:sz w:val="24"/>
          <w:szCs w:val="24"/>
        </w:rPr>
        <w:t xml:space="preserve">By </w:t>
      </w:r>
      <w:r w:rsidR="00E178D3">
        <w:rPr>
          <w:rFonts w:ascii="Times New Roman" w:hAnsi="Times New Roman" w:cs="Times New Roman"/>
          <w:sz w:val="24"/>
          <w:szCs w:val="24"/>
        </w:rPr>
        <w:t>the end of the 1960s, cremation had become the majority option following a death. The</w:t>
      </w:r>
      <w:r w:rsidR="0023190E">
        <w:rPr>
          <w:rFonts w:ascii="Times New Roman" w:hAnsi="Times New Roman" w:cs="Times New Roman"/>
          <w:sz w:val="24"/>
          <w:szCs w:val="24"/>
        </w:rPr>
        <w:t xml:space="preserve"> principles defining burial</w:t>
      </w:r>
      <w:r w:rsidR="00E178D3">
        <w:rPr>
          <w:rFonts w:ascii="Times New Roman" w:hAnsi="Times New Roman" w:cs="Times New Roman"/>
          <w:sz w:val="24"/>
          <w:szCs w:val="24"/>
        </w:rPr>
        <w:t xml:space="preserve"> management shifted. The Burial Act regulations had </w:t>
      </w:r>
      <w:r w:rsidR="0023190E">
        <w:rPr>
          <w:rFonts w:ascii="Times New Roman" w:hAnsi="Times New Roman" w:cs="Times New Roman"/>
          <w:sz w:val="24"/>
          <w:szCs w:val="24"/>
        </w:rPr>
        <w:t xml:space="preserve">originally </w:t>
      </w:r>
      <w:r w:rsidR="00E178D3">
        <w:rPr>
          <w:rFonts w:ascii="Times New Roman" w:hAnsi="Times New Roman" w:cs="Times New Roman"/>
          <w:sz w:val="24"/>
          <w:szCs w:val="24"/>
        </w:rPr>
        <w:t xml:space="preserve">encouraged a system of grave re-use. However, by the 1930s, this practice had fallen out of favour, </w:t>
      </w:r>
      <w:r w:rsidR="008F70DE">
        <w:rPr>
          <w:rFonts w:ascii="Times New Roman" w:hAnsi="Times New Roman" w:cs="Times New Roman"/>
          <w:sz w:val="24"/>
          <w:szCs w:val="24"/>
        </w:rPr>
        <w:t>and the Home Office had begun to interpret a clause within the Burial Act, 1857 as a measure to prohibit disturbance of graves</w:t>
      </w:r>
      <w:r w:rsidR="0023190E">
        <w:rPr>
          <w:rFonts w:ascii="Times New Roman" w:hAnsi="Times New Roman" w:cs="Times New Roman"/>
          <w:sz w:val="24"/>
          <w:szCs w:val="24"/>
        </w:rPr>
        <w:t xml:space="preserve"> without specific Home Office licence.</w:t>
      </w:r>
      <w:r w:rsidR="008F70DE">
        <w:rPr>
          <w:rFonts w:ascii="Times New Roman" w:hAnsi="Times New Roman" w:cs="Times New Roman"/>
          <w:sz w:val="24"/>
          <w:szCs w:val="24"/>
        </w:rPr>
        <w:t xml:space="preserve"> </w:t>
      </w:r>
    </w:p>
    <w:p w:rsidR="00733E01" w:rsidRDefault="008F70DE" w:rsidP="00D12126">
      <w:pPr>
        <w:rPr>
          <w:rFonts w:ascii="Times New Roman" w:hAnsi="Times New Roman" w:cs="Times New Roman"/>
          <w:sz w:val="24"/>
          <w:szCs w:val="24"/>
        </w:rPr>
      </w:pPr>
      <w:r>
        <w:rPr>
          <w:rFonts w:ascii="Times New Roman" w:hAnsi="Times New Roman" w:cs="Times New Roman"/>
          <w:sz w:val="24"/>
          <w:szCs w:val="24"/>
        </w:rPr>
        <w:t>Agitation to r</w:t>
      </w:r>
      <w:r w:rsidR="00E178D3">
        <w:rPr>
          <w:rFonts w:ascii="Times New Roman" w:hAnsi="Times New Roman" w:cs="Times New Roman"/>
          <w:sz w:val="24"/>
          <w:szCs w:val="24"/>
        </w:rPr>
        <w:t>eview the burial laws continued</w:t>
      </w:r>
      <w:r>
        <w:rPr>
          <w:rFonts w:ascii="Times New Roman" w:hAnsi="Times New Roman" w:cs="Times New Roman"/>
          <w:sz w:val="24"/>
          <w:szCs w:val="24"/>
        </w:rPr>
        <w:t>, and substantive change took place through the passage of the Local Government Act, 197</w:t>
      </w:r>
      <w:r w:rsidR="000D00CC">
        <w:rPr>
          <w:rFonts w:ascii="Times New Roman" w:hAnsi="Times New Roman" w:cs="Times New Roman"/>
          <w:sz w:val="24"/>
          <w:szCs w:val="24"/>
        </w:rPr>
        <w:t>2</w:t>
      </w:r>
      <w:r>
        <w:rPr>
          <w:rFonts w:ascii="Times New Roman" w:hAnsi="Times New Roman" w:cs="Times New Roman"/>
          <w:sz w:val="24"/>
          <w:szCs w:val="24"/>
        </w:rPr>
        <w:t>. This Act brought the operation of burial boards to an end. Many had, by this time, become amalgamated within existing local authority governance but some remained. The law defined ‘burial authorities’</w:t>
      </w:r>
      <w:r w:rsidR="00E178D3">
        <w:rPr>
          <w:rFonts w:ascii="Times New Roman" w:hAnsi="Times New Roman" w:cs="Times New Roman"/>
          <w:sz w:val="24"/>
          <w:szCs w:val="24"/>
        </w:rPr>
        <w:t xml:space="preserve"> to include </w:t>
      </w:r>
      <w:r>
        <w:rPr>
          <w:rFonts w:ascii="Times New Roman" w:hAnsi="Times New Roman" w:cs="Times New Roman"/>
          <w:sz w:val="24"/>
          <w:szCs w:val="24"/>
        </w:rPr>
        <w:t>parish and community councils, town, district and unitary authorities and London boroughs. The law did not include any reference to</w:t>
      </w:r>
      <w:r w:rsidR="009C5316">
        <w:rPr>
          <w:rFonts w:ascii="Times New Roman" w:hAnsi="Times New Roman" w:cs="Times New Roman"/>
          <w:sz w:val="24"/>
          <w:szCs w:val="24"/>
        </w:rPr>
        <w:t xml:space="preserve"> the small number of</w:t>
      </w:r>
      <w:r>
        <w:rPr>
          <w:rFonts w:ascii="Times New Roman" w:hAnsi="Times New Roman" w:cs="Times New Roman"/>
          <w:sz w:val="24"/>
          <w:szCs w:val="24"/>
        </w:rPr>
        <w:t xml:space="preserve"> commercial cemeteries that were still in operation, small denominational burial grounds that were – again, in small number – still functioning</w:t>
      </w:r>
      <w:r w:rsidR="009C5316">
        <w:rPr>
          <w:rFonts w:ascii="Times New Roman" w:hAnsi="Times New Roman" w:cs="Times New Roman"/>
          <w:sz w:val="24"/>
          <w:szCs w:val="24"/>
        </w:rPr>
        <w:t>,</w:t>
      </w:r>
      <w:r>
        <w:rPr>
          <w:rFonts w:ascii="Times New Roman" w:hAnsi="Times New Roman" w:cs="Times New Roman"/>
          <w:sz w:val="24"/>
          <w:szCs w:val="24"/>
        </w:rPr>
        <w:t xml:space="preserve"> or Church of England churchy</w:t>
      </w:r>
      <w:r w:rsidR="00E178D3">
        <w:rPr>
          <w:rFonts w:ascii="Times New Roman" w:hAnsi="Times New Roman" w:cs="Times New Roman"/>
          <w:sz w:val="24"/>
          <w:szCs w:val="24"/>
        </w:rPr>
        <w:t>ards. Church law still pertained</w:t>
      </w:r>
      <w:r>
        <w:rPr>
          <w:rFonts w:ascii="Times New Roman" w:hAnsi="Times New Roman" w:cs="Times New Roman"/>
          <w:sz w:val="24"/>
          <w:szCs w:val="24"/>
        </w:rPr>
        <w:t xml:space="preserve"> where lan</w:t>
      </w:r>
      <w:r w:rsidR="009C5316">
        <w:rPr>
          <w:rFonts w:ascii="Times New Roman" w:hAnsi="Times New Roman" w:cs="Times New Roman"/>
          <w:sz w:val="24"/>
          <w:szCs w:val="24"/>
        </w:rPr>
        <w:t>d had been formally consecrated</w:t>
      </w:r>
      <w:r w:rsidR="0023190E">
        <w:rPr>
          <w:rFonts w:ascii="Times New Roman" w:hAnsi="Times New Roman" w:cs="Times New Roman"/>
          <w:sz w:val="24"/>
          <w:szCs w:val="24"/>
        </w:rPr>
        <w:t>, including within cemeteries.</w:t>
      </w:r>
    </w:p>
    <w:p w:rsidR="00000DDB" w:rsidRDefault="0023190E" w:rsidP="00D12126">
      <w:pPr>
        <w:rPr>
          <w:rFonts w:ascii="Times New Roman" w:hAnsi="Times New Roman" w:cs="Times New Roman"/>
          <w:sz w:val="24"/>
          <w:szCs w:val="24"/>
        </w:rPr>
      </w:pPr>
      <w:r>
        <w:rPr>
          <w:rFonts w:ascii="Times New Roman" w:hAnsi="Times New Roman" w:cs="Times New Roman"/>
          <w:sz w:val="24"/>
          <w:szCs w:val="24"/>
        </w:rPr>
        <w:t xml:space="preserve">The </w:t>
      </w:r>
      <w:r w:rsidR="008F70DE">
        <w:rPr>
          <w:rFonts w:ascii="Times New Roman" w:hAnsi="Times New Roman" w:cs="Times New Roman"/>
          <w:sz w:val="24"/>
          <w:szCs w:val="24"/>
        </w:rPr>
        <w:t>Local Authorities Cemeteries Order</w:t>
      </w:r>
      <w:r>
        <w:rPr>
          <w:rFonts w:ascii="Times New Roman" w:hAnsi="Times New Roman" w:cs="Times New Roman"/>
          <w:sz w:val="24"/>
          <w:szCs w:val="24"/>
        </w:rPr>
        <w:t xml:space="preserve"> (LACO)</w:t>
      </w:r>
      <w:r w:rsidR="008F70DE">
        <w:rPr>
          <w:rFonts w:ascii="Times New Roman" w:hAnsi="Times New Roman" w:cs="Times New Roman"/>
          <w:sz w:val="24"/>
          <w:szCs w:val="24"/>
        </w:rPr>
        <w:t>, 1977</w:t>
      </w:r>
      <w:r>
        <w:rPr>
          <w:rFonts w:ascii="Times New Roman" w:hAnsi="Times New Roman" w:cs="Times New Roman"/>
          <w:sz w:val="24"/>
          <w:szCs w:val="24"/>
        </w:rPr>
        <w:t xml:space="preserve"> provided new cemetery regulations, and still applies </w:t>
      </w:r>
      <w:r w:rsidR="009C5316">
        <w:rPr>
          <w:rFonts w:ascii="Times New Roman" w:hAnsi="Times New Roman" w:cs="Times New Roman"/>
          <w:sz w:val="24"/>
          <w:szCs w:val="24"/>
        </w:rPr>
        <w:t>Under the Act,</w:t>
      </w:r>
      <w:r w:rsidR="00125F87">
        <w:rPr>
          <w:rFonts w:ascii="Times New Roman" w:hAnsi="Times New Roman" w:cs="Times New Roman"/>
          <w:sz w:val="24"/>
          <w:szCs w:val="24"/>
        </w:rPr>
        <w:t xml:space="preserve"> burial authorities are permitted to arrange for consecration of a cemetery if the act is regarded as appropriate, and provided that part of the cemetery remains unconsecrated or set aside for use by a particular denomination or religious group.</w:t>
      </w:r>
      <w:r w:rsidR="00441626">
        <w:rPr>
          <w:rFonts w:ascii="Times New Roman" w:hAnsi="Times New Roman" w:cs="Times New Roman"/>
          <w:sz w:val="24"/>
          <w:szCs w:val="24"/>
        </w:rPr>
        <w:t xml:space="preserve"> S 5 (5) of LACO allows that in the unconsecrated sections, burial may take place without religious service or with such ‘Christian and orderly religious service…as the person having charge of or being responsib</w:t>
      </w:r>
      <w:r w:rsidR="009C5316">
        <w:rPr>
          <w:rFonts w:ascii="Times New Roman" w:hAnsi="Times New Roman" w:cs="Times New Roman"/>
          <w:sz w:val="24"/>
          <w:szCs w:val="24"/>
        </w:rPr>
        <w:t>le for the burial may think fit,</w:t>
      </w:r>
      <w:r w:rsidR="00441626">
        <w:rPr>
          <w:rFonts w:ascii="Times New Roman" w:hAnsi="Times New Roman" w:cs="Times New Roman"/>
          <w:sz w:val="24"/>
          <w:szCs w:val="24"/>
        </w:rPr>
        <w:t>’</w:t>
      </w:r>
      <w:r w:rsidR="009C5316">
        <w:rPr>
          <w:rFonts w:ascii="Times New Roman" w:hAnsi="Times New Roman" w:cs="Times New Roman"/>
          <w:sz w:val="24"/>
          <w:szCs w:val="24"/>
        </w:rPr>
        <w:t xml:space="preserve"> which appear</w:t>
      </w:r>
      <w:r>
        <w:rPr>
          <w:rFonts w:ascii="Times New Roman" w:hAnsi="Times New Roman" w:cs="Times New Roman"/>
          <w:sz w:val="24"/>
          <w:szCs w:val="24"/>
        </w:rPr>
        <w:t xml:space="preserve">s discriminatory (Rivers, 2001) although in practice the clause has not precluded local authorities setting aside non-Christian sections. </w:t>
      </w:r>
      <w:r w:rsidR="00125F87" w:rsidRPr="00441626">
        <w:rPr>
          <w:rFonts w:ascii="Times New Roman" w:hAnsi="Times New Roman" w:cs="Times New Roman"/>
          <w:sz w:val="24"/>
          <w:szCs w:val="24"/>
        </w:rPr>
        <w:t>Burial in the consecrated area may us</w:t>
      </w:r>
      <w:r w:rsidR="00441626" w:rsidRPr="00441626">
        <w:rPr>
          <w:rFonts w:ascii="Times New Roman" w:hAnsi="Times New Roman" w:cs="Times New Roman"/>
          <w:sz w:val="24"/>
          <w:szCs w:val="24"/>
        </w:rPr>
        <w:t>e</w:t>
      </w:r>
      <w:r w:rsidR="00125F87" w:rsidRPr="00441626">
        <w:rPr>
          <w:rFonts w:ascii="Times New Roman" w:hAnsi="Times New Roman" w:cs="Times New Roman"/>
          <w:sz w:val="24"/>
          <w:szCs w:val="24"/>
        </w:rPr>
        <w:t xml:space="preserve"> funeral services other than those defined by the Church of England </w:t>
      </w:r>
      <w:r w:rsidR="00125F87">
        <w:rPr>
          <w:rFonts w:ascii="Times New Roman" w:hAnsi="Times New Roman" w:cs="Times New Roman"/>
          <w:sz w:val="24"/>
          <w:szCs w:val="24"/>
        </w:rPr>
        <w:t xml:space="preserve">but the consecrated section still remains under the authority of the Bishop and subject to ecclesiastical law. Local authorities may set aside unconsecrated sections within cemeteries for use by particular religious groups, provided that sufficient unconsecrated land remains for other groups. </w:t>
      </w:r>
      <w:r w:rsidR="00000DDB">
        <w:rPr>
          <w:rFonts w:ascii="Times New Roman" w:hAnsi="Times New Roman" w:cs="Times New Roman"/>
          <w:sz w:val="24"/>
          <w:szCs w:val="24"/>
        </w:rPr>
        <w:t>However, the unconsecrated portions</w:t>
      </w:r>
      <w:r w:rsidR="00125F87">
        <w:rPr>
          <w:rFonts w:ascii="Times New Roman" w:hAnsi="Times New Roman" w:cs="Times New Roman"/>
          <w:sz w:val="24"/>
          <w:szCs w:val="24"/>
        </w:rPr>
        <w:t xml:space="preserve"> of cemeteries have no legal status</w:t>
      </w:r>
      <w:r w:rsidR="00000DDB">
        <w:rPr>
          <w:rFonts w:ascii="Times New Roman" w:hAnsi="Times New Roman" w:cs="Times New Roman"/>
          <w:sz w:val="24"/>
          <w:szCs w:val="24"/>
        </w:rPr>
        <w:t xml:space="preserve">: the regulations do not oblige the use of any particular rite or ceremony in those sections, and </w:t>
      </w:r>
      <w:r w:rsidR="00125F87">
        <w:rPr>
          <w:rFonts w:ascii="Times New Roman" w:hAnsi="Times New Roman" w:cs="Times New Roman"/>
          <w:sz w:val="24"/>
          <w:szCs w:val="24"/>
        </w:rPr>
        <w:t>members of any religious group</w:t>
      </w:r>
      <w:r w:rsidR="00000DDB">
        <w:rPr>
          <w:rFonts w:ascii="Times New Roman" w:hAnsi="Times New Roman" w:cs="Times New Roman"/>
          <w:sz w:val="24"/>
          <w:szCs w:val="24"/>
        </w:rPr>
        <w:t xml:space="preserve"> may not</w:t>
      </w:r>
      <w:r w:rsidR="00125F87">
        <w:rPr>
          <w:rFonts w:ascii="Times New Roman" w:hAnsi="Times New Roman" w:cs="Times New Roman"/>
          <w:sz w:val="24"/>
          <w:szCs w:val="24"/>
        </w:rPr>
        <w:t xml:space="preserve"> object to the interment of another individual not of their faith within their</w:t>
      </w:r>
      <w:r w:rsidR="00000DDB">
        <w:rPr>
          <w:rFonts w:ascii="Times New Roman" w:hAnsi="Times New Roman" w:cs="Times New Roman"/>
          <w:sz w:val="24"/>
          <w:szCs w:val="24"/>
        </w:rPr>
        <w:t xml:space="preserve"> designated section.</w:t>
      </w:r>
    </w:p>
    <w:p w:rsidR="00A77FEB" w:rsidRDefault="00A77FEB" w:rsidP="00D12126">
      <w:pPr>
        <w:rPr>
          <w:rFonts w:ascii="Times New Roman" w:hAnsi="Times New Roman" w:cs="Times New Roman"/>
          <w:sz w:val="24"/>
          <w:szCs w:val="24"/>
        </w:rPr>
      </w:pPr>
    </w:p>
    <w:p w:rsidR="0023190E" w:rsidRDefault="0023190E" w:rsidP="00D12126">
      <w:pPr>
        <w:rPr>
          <w:rFonts w:ascii="Times New Roman" w:hAnsi="Times New Roman" w:cs="Times New Roman"/>
          <w:sz w:val="24"/>
          <w:szCs w:val="24"/>
        </w:rPr>
      </w:pPr>
    </w:p>
    <w:p w:rsidR="007F3EA8" w:rsidRDefault="007F3EA8" w:rsidP="00D12126">
      <w:pPr>
        <w:rPr>
          <w:rFonts w:ascii="Times New Roman" w:hAnsi="Times New Roman" w:cs="Times New Roman"/>
          <w:b/>
          <w:sz w:val="24"/>
          <w:szCs w:val="24"/>
        </w:rPr>
      </w:pPr>
      <w:r>
        <w:rPr>
          <w:rFonts w:ascii="Times New Roman" w:hAnsi="Times New Roman" w:cs="Times New Roman"/>
          <w:b/>
          <w:sz w:val="24"/>
          <w:szCs w:val="24"/>
        </w:rPr>
        <w:t>Religious diversity</w:t>
      </w:r>
      <w:r w:rsidR="0047081C">
        <w:rPr>
          <w:rFonts w:ascii="Times New Roman" w:hAnsi="Times New Roman" w:cs="Times New Roman"/>
          <w:b/>
          <w:sz w:val="24"/>
          <w:szCs w:val="24"/>
        </w:rPr>
        <w:t xml:space="preserve"> and burial provision</w:t>
      </w:r>
      <w:r w:rsidR="00933E98">
        <w:rPr>
          <w:rFonts w:ascii="Times New Roman" w:hAnsi="Times New Roman" w:cs="Times New Roman"/>
          <w:b/>
          <w:sz w:val="24"/>
          <w:szCs w:val="24"/>
        </w:rPr>
        <w:t xml:space="preserve"> in 2011</w:t>
      </w:r>
    </w:p>
    <w:p w:rsidR="006C7634" w:rsidRDefault="00441626" w:rsidP="00D12126">
      <w:pPr>
        <w:rPr>
          <w:rFonts w:ascii="Times New Roman" w:hAnsi="Times New Roman" w:cs="Times New Roman"/>
          <w:sz w:val="24"/>
          <w:szCs w:val="24"/>
        </w:rPr>
      </w:pPr>
      <w:r>
        <w:rPr>
          <w:rFonts w:ascii="Times New Roman" w:hAnsi="Times New Roman" w:cs="Times New Roman"/>
          <w:sz w:val="24"/>
          <w:szCs w:val="24"/>
        </w:rPr>
        <w:t>A census of UK residents takes place every ten years, and has done so since 1801 with the exception of 1941. A question on religion was introd</w:t>
      </w:r>
      <w:r w:rsidR="0023190E">
        <w:rPr>
          <w:rFonts w:ascii="Times New Roman" w:hAnsi="Times New Roman" w:cs="Times New Roman"/>
          <w:sz w:val="24"/>
          <w:szCs w:val="24"/>
        </w:rPr>
        <w:t xml:space="preserve">uced for the first time in 2011, and </w:t>
      </w:r>
      <w:r>
        <w:rPr>
          <w:rFonts w:ascii="Times New Roman" w:hAnsi="Times New Roman" w:cs="Times New Roman"/>
          <w:sz w:val="24"/>
          <w:szCs w:val="24"/>
        </w:rPr>
        <w:t>asked ‘What is your religion’</w:t>
      </w:r>
      <w:r w:rsidR="0023190E">
        <w:rPr>
          <w:rFonts w:ascii="Times New Roman" w:hAnsi="Times New Roman" w:cs="Times New Roman"/>
          <w:sz w:val="24"/>
          <w:szCs w:val="24"/>
        </w:rPr>
        <w:t>. E</w:t>
      </w:r>
      <w:r>
        <w:rPr>
          <w:rFonts w:ascii="Times New Roman" w:hAnsi="Times New Roman" w:cs="Times New Roman"/>
          <w:sz w:val="24"/>
          <w:szCs w:val="24"/>
        </w:rPr>
        <w:t>ight options were possible: Christian, Muslim, Hindu, Sikh, Jew</w:t>
      </w:r>
      <w:r w:rsidR="0023190E">
        <w:rPr>
          <w:rFonts w:ascii="Times New Roman" w:hAnsi="Times New Roman" w:cs="Times New Roman"/>
          <w:sz w:val="24"/>
          <w:szCs w:val="24"/>
        </w:rPr>
        <w:t>ish</w:t>
      </w:r>
      <w:r>
        <w:rPr>
          <w:rFonts w:ascii="Times New Roman" w:hAnsi="Times New Roman" w:cs="Times New Roman"/>
          <w:sz w:val="24"/>
          <w:szCs w:val="24"/>
        </w:rPr>
        <w:t>, Buddhist, ‘Other reli</w:t>
      </w:r>
      <w:r w:rsidR="0023190E">
        <w:rPr>
          <w:rFonts w:ascii="Times New Roman" w:hAnsi="Times New Roman" w:cs="Times New Roman"/>
          <w:sz w:val="24"/>
          <w:szCs w:val="24"/>
        </w:rPr>
        <w:t>gion’ and ‘N</w:t>
      </w:r>
      <w:r>
        <w:rPr>
          <w:rFonts w:ascii="Times New Roman" w:hAnsi="Times New Roman" w:cs="Times New Roman"/>
          <w:sz w:val="24"/>
          <w:szCs w:val="24"/>
        </w:rPr>
        <w:t xml:space="preserve">o religion’. </w:t>
      </w:r>
      <w:r w:rsidR="006C7634">
        <w:rPr>
          <w:rFonts w:ascii="Times New Roman" w:hAnsi="Times New Roman" w:cs="Times New Roman"/>
          <w:sz w:val="24"/>
          <w:szCs w:val="24"/>
        </w:rPr>
        <w:t>Table 1 summarises the responses, and indicates that close to 60 per cent of the population regard</w:t>
      </w:r>
      <w:r w:rsidR="0023190E">
        <w:rPr>
          <w:rFonts w:ascii="Times New Roman" w:hAnsi="Times New Roman" w:cs="Times New Roman"/>
          <w:sz w:val="24"/>
          <w:szCs w:val="24"/>
        </w:rPr>
        <w:t>ed</w:t>
      </w:r>
      <w:r w:rsidR="006C7634">
        <w:rPr>
          <w:rFonts w:ascii="Times New Roman" w:hAnsi="Times New Roman" w:cs="Times New Roman"/>
          <w:sz w:val="24"/>
          <w:szCs w:val="24"/>
        </w:rPr>
        <w:t xml:space="preserve"> their religion as ‘Christian’ although no denominational detail is available. Of the remainder, ‘no religion’ is the largest group, at 25 per cent. </w:t>
      </w:r>
      <w:r w:rsidR="00C81B70">
        <w:rPr>
          <w:rFonts w:ascii="Times New Roman" w:hAnsi="Times New Roman" w:cs="Times New Roman"/>
          <w:sz w:val="24"/>
          <w:szCs w:val="24"/>
        </w:rPr>
        <w:t>Muslims constitute the largest non-Christian religious group (4.8 per cent), with Hindus the second-largest, at 1.5 per cent. Jews, Sikhs and Buddhists each constitute less than one per cent</w:t>
      </w:r>
      <w:r w:rsidR="00E178D3">
        <w:rPr>
          <w:rFonts w:ascii="Times New Roman" w:hAnsi="Times New Roman" w:cs="Times New Roman"/>
          <w:sz w:val="24"/>
          <w:szCs w:val="24"/>
        </w:rPr>
        <w:t xml:space="preserve"> (see Table 1)</w:t>
      </w:r>
      <w:r w:rsidR="00C81B70">
        <w:rPr>
          <w:rFonts w:ascii="Times New Roman" w:hAnsi="Times New Roman" w:cs="Times New Roman"/>
          <w:sz w:val="24"/>
          <w:szCs w:val="24"/>
        </w:rPr>
        <w:t xml:space="preserve">. </w:t>
      </w:r>
    </w:p>
    <w:p w:rsidR="00C81B70" w:rsidRDefault="00C81B70">
      <w:pPr>
        <w:rPr>
          <w:rFonts w:ascii="Times New Roman" w:hAnsi="Times New Roman" w:cs="Times New Roman"/>
          <w:sz w:val="24"/>
          <w:szCs w:val="24"/>
        </w:rPr>
      </w:pPr>
      <w:r>
        <w:rPr>
          <w:rFonts w:ascii="Times New Roman" w:hAnsi="Times New Roman" w:cs="Times New Roman"/>
          <w:sz w:val="24"/>
          <w:szCs w:val="24"/>
        </w:rPr>
        <w:t>Arguably, current burial and cremation provision is well placed to cater for the 75 per cent of the UK population who regard their religion as either ‘Christian’ or ‘None’, since burial p</w:t>
      </w:r>
      <w:r w:rsidR="00E178D3">
        <w:rPr>
          <w:rFonts w:ascii="Times New Roman" w:hAnsi="Times New Roman" w:cs="Times New Roman"/>
          <w:sz w:val="24"/>
          <w:szCs w:val="24"/>
        </w:rPr>
        <w:t>rovision is generally</w:t>
      </w:r>
      <w:r>
        <w:rPr>
          <w:rFonts w:ascii="Times New Roman" w:hAnsi="Times New Roman" w:cs="Times New Roman"/>
          <w:sz w:val="24"/>
          <w:szCs w:val="24"/>
        </w:rPr>
        <w:t xml:space="preserve"> split between consecrated and unconsecrated space. Issues relating to Protestant denominational difference have largely receded as formal church membership has declined. The Church of England and the Methodist church have increasingly co-operated in the provision of services and sharing of churches and chapels; indeed, in 2010 the leader of the Methodist Church signalled the possibility that Methodism may be re-subsumed into the</w:t>
      </w:r>
      <w:r w:rsidR="00041AC6">
        <w:rPr>
          <w:rFonts w:ascii="Times New Roman" w:hAnsi="Times New Roman" w:cs="Times New Roman"/>
          <w:sz w:val="24"/>
          <w:szCs w:val="24"/>
        </w:rPr>
        <w:t xml:space="preserve"> Anglican Church (Taylor, 2010). However, it remains the case that a small – and undefined – number of burial grounds remain in operation. For example, small Quaker burial grounds are may still be in use in rural locations, although interment may only be sporadic (</w:t>
      </w:r>
      <w:proofErr w:type="spellStart"/>
      <w:r w:rsidR="00041AC6">
        <w:rPr>
          <w:rFonts w:ascii="Times New Roman" w:hAnsi="Times New Roman" w:cs="Times New Roman"/>
          <w:sz w:val="24"/>
          <w:szCs w:val="24"/>
        </w:rPr>
        <w:t>Rugg</w:t>
      </w:r>
      <w:proofErr w:type="spellEnd"/>
      <w:r w:rsidR="00041AC6">
        <w:rPr>
          <w:rFonts w:ascii="Times New Roman" w:hAnsi="Times New Roman" w:cs="Times New Roman"/>
          <w:sz w:val="24"/>
          <w:szCs w:val="24"/>
        </w:rPr>
        <w:t xml:space="preserve">, 2013). </w:t>
      </w:r>
    </w:p>
    <w:p w:rsidR="00A1145D" w:rsidRDefault="00A1145D" w:rsidP="00A1145D">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396"/>
        <w:gridCol w:w="1555"/>
        <w:gridCol w:w="1535"/>
      </w:tblGrid>
      <w:tr w:rsidR="00A1145D" w:rsidTr="00157E5D">
        <w:tc>
          <w:tcPr>
            <w:tcW w:w="8486" w:type="dxa"/>
            <w:gridSpan w:val="3"/>
          </w:tcPr>
          <w:p w:rsidR="00A1145D" w:rsidRDefault="00A1145D" w:rsidP="00157E5D">
            <w:pPr>
              <w:rPr>
                <w:rFonts w:ascii="Times New Roman" w:hAnsi="Times New Roman" w:cs="Times New Roman"/>
                <w:sz w:val="24"/>
                <w:szCs w:val="24"/>
              </w:rPr>
            </w:pPr>
            <w:r>
              <w:rPr>
                <w:rFonts w:ascii="Times New Roman" w:hAnsi="Times New Roman" w:cs="Times New Roman"/>
                <w:sz w:val="24"/>
                <w:szCs w:val="24"/>
              </w:rPr>
              <w:t>Table 1: Answers to question ‘What is your religion’ on the UK Census, 2011</w:t>
            </w:r>
          </w:p>
        </w:tc>
      </w:tr>
      <w:tr w:rsidR="00A1145D" w:rsidTr="00157E5D">
        <w:tc>
          <w:tcPr>
            <w:tcW w:w="5396" w:type="dxa"/>
          </w:tcPr>
          <w:p w:rsidR="00A1145D" w:rsidRDefault="00A1145D" w:rsidP="00157E5D">
            <w:pPr>
              <w:rPr>
                <w:rFonts w:ascii="Times New Roman" w:hAnsi="Times New Roman" w:cs="Times New Roman"/>
                <w:sz w:val="24"/>
                <w:szCs w:val="24"/>
              </w:rPr>
            </w:pPr>
          </w:p>
        </w:tc>
        <w:tc>
          <w:tcPr>
            <w:tcW w:w="1555" w:type="dxa"/>
          </w:tcPr>
          <w:p w:rsidR="00A1145D" w:rsidRDefault="00A1145D" w:rsidP="00157E5D">
            <w:pPr>
              <w:rPr>
                <w:rFonts w:ascii="Times New Roman" w:hAnsi="Times New Roman" w:cs="Times New Roman"/>
                <w:sz w:val="24"/>
                <w:szCs w:val="24"/>
              </w:rPr>
            </w:pPr>
            <w:r>
              <w:rPr>
                <w:rFonts w:ascii="Times New Roman" w:hAnsi="Times New Roman" w:cs="Times New Roman"/>
                <w:sz w:val="24"/>
                <w:szCs w:val="24"/>
              </w:rPr>
              <w:t>Number</w:t>
            </w:r>
          </w:p>
        </w:tc>
        <w:tc>
          <w:tcPr>
            <w:tcW w:w="1535" w:type="dxa"/>
          </w:tcPr>
          <w:p w:rsidR="00A1145D" w:rsidRDefault="00A1145D" w:rsidP="00157E5D">
            <w:pPr>
              <w:rPr>
                <w:rFonts w:ascii="Times New Roman" w:hAnsi="Times New Roman" w:cs="Times New Roman"/>
                <w:sz w:val="24"/>
                <w:szCs w:val="24"/>
              </w:rPr>
            </w:pPr>
            <w:r>
              <w:rPr>
                <w:rFonts w:ascii="Times New Roman" w:hAnsi="Times New Roman" w:cs="Times New Roman"/>
                <w:sz w:val="24"/>
                <w:szCs w:val="24"/>
              </w:rPr>
              <w:t>Percentage</w:t>
            </w:r>
          </w:p>
        </w:tc>
      </w:tr>
      <w:tr w:rsidR="00A1145D" w:rsidTr="00157E5D">
        <w:tc>
          <w:tcPr>
            <w:tcW w:w="5396" w:type="dxa"/>
          </w:tcPr>
          <w:p w:rsidR="00A1145D" w:rsidRDefault="00A1145D" w:rsidP="00157E5D">
            <w:pPr>
              <w:rPr>
                <w:rFonts w:ascii="Times New Roman" w:hAnsi="Times New Roman" w:cs="Times New Roman"/>
                <w:sz w:val="24"/>
                <w:szCs w:val="24"/>
              </w:rPr>
            </w:pPr>
            <w:r>
              <w:rPr>
                <w:rFonts w:ascii="Times New Roman" w:hAnsi="Times New Roman" w:cs="Times New Roman"/>
                <w:sz w:val="24"/>
                <w:szCs w:val="24"/>
              </w:rPr>
              <w:t>Christian</w:t>
            </w:r>
          </w:p>
        </w:tc>
        <w:tc>
          <w:tcPr>
            <w:tcW w:w="1555" w:type="dxa"/>
            <w:vAlign w:val="center"/>
          </w:tcPr>
          <w:p w:rsidR="00A1145D" w:rsidRDefault="00A1145D" w:rsidP="00157E5D">
            <w:pPr>
              <w:jc w:val="right"/>
              <w:rPr>
                <w:rFonts w:ascii="Times New Roman" w:hAnsi="Times New Roman" w:cs="Times New Roman"/>
                <w:sz w:val="24"/>
                <w:szCs w:val="24"/>
              </w:rPr>
            </w:pPr>
            <w:r>
              <w:rPr>
                <w:rFonts w:ascii="Times New Roman" w:hAnsi="Times New Roman" w:cs="Times New Roman"/>
                <w:sz w:val="24"/>
                <w:szCs w:val="24"/>
              </w:rPr>
              <w:t>33,243,175</w:t>
            </w:r>
          </w:p>
        </w:tc>
        <w:tc>
          <w:tcPr>
            <w:tcW w:w="1535" w:type="dxa"/>
            <w:vAlign w:val="center"/>
          </w:tcPr>
          <w:p w:rsidR="00A1145D" w:rsidRDefault="00A1145D" w:rsidP="00157E5D">
            <w:pPr>
              <w:jc w:val="right"/>
              <w:rPr>
                <w:rFonts w:ascii="Times New Roman" w:hAnsi="Times New Roman" w:cs="Times New Roman"/>
                <w:sz w:val="24"/>
                <w:szCs w:val="24"/>
              </w:rPr>
            </w:pPr>
            <w:r>
              <w:rPr>
                <w:rFonts w:ascii="Times New Roman" w:hAnsi="Times New Roman" w:cs="Times New Roman"/>
                <w:sz w:val="24"/>
                <w:szCs w:val="24"/>
              </w:rPr>
              <w:t>59.28</w:t>
            </w:r>
          </w:p>
        </w:tc>
      </w:tr>
      <w:tr w:rsidR="00A1145D" w:rsidTr="00157E5D">
        <w:tc>
          <w:tcPr>
            <w:tcW w:w="5396" w:type="dxa"/>
          </w:tcPr>
          <w:p w:rsidR="00A1145D" w:rsidRDefault="00A1145D" w:rsidP="00157E5D">
            <w:pPr>
              <w:rPr>
                <w:rFonts w:ascii="Times New Roman" w:hAnsi="Times New Roman" w:cs="Times New Roman"/>
                <w:sz w:val="24"/>
                <w:szCs w:val="24"/>
              </w:rPr>
            </w:pPr>
            <w:r>
              <w:rPr>
                <w:rFonts w:ascii="Times New Roman" w:hAnsi="Times New Roman" w:cs="Times New Roman"/>
                <w:sz w:val="24"/>
                <w:szCs w:val="24"/>
              </w:rPr>
              <w:t>Muslim</w:t>
            </w:r>
          </w:p>
        </w:tc>
        <w:tc>
          <w:tcPr>
            <w:tcW w:w="1555" w:type="dxa"/>
            <w:vAlign w:val="center"/>
          </w:tcPr>
          <w:p w:rsidR="00A1145D" w:rsidRDefault="00A1145D" w:rsidP="00157E5D">
            <w:pPr>
              <w:jc w:val="right"/>
              <w:rPr>
                <w:rFonts w:ascii="Times New Roman" w:hAnsi="Times New Roman" w:cs="Times New Roman"/>
                <w:sz w:val="24"/>
                <w:szCs w:val="24"/>
              </w:rPr>
            </w:pPr>
            <w:r>
              <w:rPr>
                <w:rFonts w:ascii="Times New Roman" w:hAnsi="Times New Roman" w:cs="Times New Roman"/>
                <w:sz w:val="24"/>
                <w:szCs w:val="24"/>
              </w:rPr>
              <w:t>2,706,066</w:t>
            </w:r>
          </w:p>
        </w:tc>
        <w:tc>
          <w:tcPr>
            <w:tcW w:w="1535" w:type="dxa"/>
            <w:vAlign w:val="center"/>
          </w:tcPr>
          <w:p w:rsidR="00A1145D" w:rsidRDefault="00A1145D" w:rsidP="00157E5D">
            <w:pPr>
              <w:jc w:val="right"/>
              <w:rPr>
                <w:rFonts w:ascii="Times New Roman" w:hAnsi="Times New Roman" w:cs="Times New Roman"/>
                <w:sz w:val="24"/>
                <w:szCs w:val="24"/>
              </w:rPr>
            </w:pPr>
            <w:r>
              <w:rPr>
                <w:rFonts w:ascii="Times New Roman" w:hAnsi="Times New Roman" w:cs="Times New Roman"/>
                <w:sz w:val="24"/>
                <w:szCs w:val="24"/>
              </w:rPr>
              <w:t>4.83</w:t>
            </w:r>
          </w:p>
        </w:tc>
      </w:tr>
      <w:tr w:rsidR="00A1145D" w:rsidTr="00157E5D">
        <w:tc>
          <w:tcPr>
            <w:tcW w:w="5396" w:type="dxa"/>
          </w:tcPr>
          <w:p w:rsidR="00A1145D" w:rsidRDefault="00A1145D" w:rsidP="00157E5D">
            <w:pPr>
              <w:rPr>
                <w:rFonts w:ascii="Times New Roman" w:hAnsi="Times New Roman" w:cs="Times New Roman"/>
                <w:sz w:val="24"/>
                <w:szCs w:val="24"/>
              </w:rPr>
            </w:pPr>
            <w:r>
              <w:rPr>
                <w:rFonts w:ascii="Times New Roman" w:hAnsi="Times New Roman" w:cs="Times New Roman"/>
                <w:sz w:val="24"/>
                <w:szCs w:val="24"/>
              </w:rPr>
              <w:t>Hindu</w:t>
            </w:r>
          </w:p>
        </w:tc>
        <w:tc>
          <w:tcPr>
            <w:tcW w:w="1555" w:type="dxa"/>
            <w:vAlign w:val="center"/>
          </w:tcPr>
          <w:p w:rsidR="00A1145D" w:rsidRDefault="00A1145D" w:rsidP="00157E5D">
            <w:pPr>
              <w:jc w:val="right"/>
              <w:rPr>
                <w:rFonts w:ascii="Times New Roman" w:hAnsi="Times New Roman" w:cs="Times New Roman"/>
                <w:sz w:val="24"/>
                <w:szCs w:val="24"/>
              </w:rPr>
            </w:pPr>
            <w:r>
              <w:rPr>
                <w:rFonts w:ascii="Times New Roman" w:hAnsi="Times New Roman" w:cs="Times New Roman"/>
                <w:sz w:val="24"/>
                <w:szCs w:val="24"/>
              </w:rPr>
              <w:t>816,633</w:t>
            </w:r>
          </w:p>
        </w:tc>
        <w:tc>
          <w:tcPr>
            <w:tcW w:w="1535" w:type="dxa"/>
            <w:vAlign w:val="center"/>
          </w:tcPr>
          <w:p w:rsidR="00A1145D" w:rsidRDefault="00A1145D" w:rsidP="00157E5D">
            <w:pPr>
              <w:jc w:val="right"/>
              <w:rPr>
                <w:rFonts w:ascii="Times New Roman" w:hAnsi="Times New Roman" w:cs="Times New Roman"/>
                <w:sz w:val="24"/>
                <w:szCs w:val="24"/>
              </w:rPr>
            </w:pPr>
            <w:r>
              <w:rPr>
                <w:rFonts w:ascii="Times New Roman" w:hAnsi="Times New Roman" w:cs="Times New Roman"/>
                <w:sz w:val="24"/>
                <w:szCs w:val="24"/>
              </w:rPr>
              <w:t>1.46</w:t>
            </w:r>
          </w:p>
        </w:tc>
      </w:tr>
      <w:tr w:rsidR="00A1145D" w:rsidTr="00157E5D">
        <w:tc>
          <w:tcPr>
            <w:tcW w:w="5396" w:type="dxa"/>
          </w:tcPr>
          <w:p w:rsidR="00A1145D" w:rsidRDefault="00A1145D" w:rsidP="00157E5D">
            <w:pPr>
              <w:rPr>
                <w:rFonts w:ascii="Times New Roman" w:hAnsi="Times New Roman" w:cs="Times New Roman"/>
                <w:sz w:val="24"/>
                <w:szCs w:val="24"/>
              </w:rPr>
            </w:pPr>
            <w:r>
              <w:rPr>
                <w:rFonts w:ascii="Times New Roman" w:hAnsi="Times New Roman" w:cs="Times New Roman"/>
                <w:sz w:val="24"/>
                <w:szCs w:val="24"/>
              </w:rPr>
              <w:t>Sikh</w:t>
            </w:r>
          </w:p>
        </w:tc>
        <w:tc>
          <w:tcPr>
            <w:tcW w:w="1555" w:type="dxa"/>
            <w:vAlign w:val="center"/>
          </w:tcPr>
          <w:p w:rsidR="00A1145D" w:rsidRDefault="00A1145D" w:rsidP="00157E5D">
            <w:pPr>
              <w:jc w:val="right"/>
              <w:rPr>
                <w:rFonts w:ascii="Times New Roman" w:hAnsi="Times New Roman" w:cs="Times New Roman"/>
                <w:sz w:val="24"/>
                <w:szCs w:val="24"/>
              </w:rPr>
            </w:pPr>
            <w:r>
              <w:rPr>
                <w:rFonts w:ascii="Times New Roman" w:hAnsi="Times New Roman" w:cs="Times New Roman"/>
                <w:sz w:val="24"/>
                <w:szCs w:val="24"/>
              </w:rPr>
              <w:t>423,158</w:t>
            </w:r>
          </w:p>
        </w:tc>
        <w:tc>
          <w:tcPr>
            <w:tcW w:w="1535" w:type="dxa"/>
            <w:vAlign w:val="center"/>
          </w:tcPr>
          <w:p w:rsidR="00A1145D" w:rsidRDefault="00A1145D" w:rsidP="00157E5D">
            <w:pPr>
              <w:jc w:val="right"/>
              <w:rPr>
                <w:rFonts w:ascii="Times New Roman" w:hAnsi="Times New Roman" w:cs="Times New Roman"/>
                <w:sz w:val="24"/>
                <w:szCs w:val="24"/>
              </w:rPr>
            </w:pPr>
            <w:r>
              <w:rPr>
                <w:rFonts w:ascii="Times New Roman" w:hAnsi="Times New Roman" w:cs="Times New Roman"/>
                <w:sz w:val="24"/>
                <w:szCs w:val="24"/>
              </w:rPr>
              <w:t>0.75</w:t>
            </w:r>
          </w:p>
        </w:tc>
      </w:tr>
      <w:tr w:rsidR="00A1145D" w:rsidTr="00157E5D">
        <w:tc>
          <w:tcPr>
            <w:tcW w:w="5396" w:type="dxa"/>
          </w:tcPr>
          <w:p w:rsidR="00A1145D" w:rsidRDefault="00A1145D" w:rsidP="00157E5D">
            <w:pPr>
              <w:rPr>
                <w:rFonts w:ascii="Times New Roman" w:hAnsi="Times New Roman" w:cs="Times New Roman"/>
                <w:sz w:val="24"/>
                <w:szCs w:val="24"/>
              </w:rPr>
            </w:pPr>
            <w:r>
              <w:rPr>
                <w:rFonts w:ascii="Times New Roman" w:hAnsi="Times New Roman" w:cs="Times New Roman"/>
                <w:sz w:val="24"/>
                <w:szCs w:val="24"/>
              </w:rPr>
              <w:t>Jewish</w:t>
            </w:r>
          </w:p>
        </w:tc>
        <w:tc>
          <w:tcPr>
            <w:tcW w:w="1555" w:type="dxa"/>
            <w:vAlign w:val="center"/>
          </w:tcPr>
          <w:p w:rsidR="00A1145D" w:rsidRDefault="00A1145D" w:rsidP="00157E5D">
            <w:pPr>
              <w:jc w:val="right"/>
              <w:rPr>
                <w:rFonts w:ascii="Times New Roman" w:hAnsi="Times New Roman" w:cs="Times New Roman"/>
                <w:sz w:val="24"/>
                <w:szCs w:val="24"/>
              </w:rPr>
            </w:pPr>
            <w:r>
              <w:rPr>
                <w:rFonts w:ascii="Times New Roman" w:hAnsi="Times New Roman" w:cs="Times New Roman"/>
                <w:sz w:val="24"/>
                <w:szCs w:val="24"/>
              </w:rPr>
              <w:t>263,346</w:t>
            </w:r>
          </w:p>
        </w:tc>
        <w:tc>
          <w:tcPr>
            <w:tcW w:w="1535" w:type="dxa"/>
            <w:vAlign w:val="center"/>
          </w:tcPr>
          <w:p w:rsidR="00A1145D" w:rsidRDefault="00A1145D" w:rsidP="00157E5D">
            <w:pPr>
              <w:jc w:val="right"/>
              <w:rPr>
                <w:rFonts w:ascii="Times New Roman" w:hAnsi="Times New Roman" w:cs="Times New Roman"/>
                <w:sz w:val="24"/>
                <w:szCs w:val="24"/>
              </w:rPr>
            </w:pPr>
            <w:r>
              <w:rPr>
                <w:rFonts w:ascii="Times New Roman" w:hAnsi="Times New Roman" w:cs="Times New Roman"/>
                <w:sz w:val="24"/>
                <w:szCs w:val="24"/>
              </w:rPr>
              <w:t>0.47</w:t>
            </w:r>
          </w:p>
        </w:tc>
      </w:tr>
      <w:tr w:rsidR="00A1145D" w:rsidTr="00157E5D">
        <w:tc>
          <w:tcPr>
            <w:tcW w:w="5396" w:type="dxa"/>
          </w:tcPr>
          <w:p w:rsidR="00A1145D" w:rsidRDefault="00A1145D" w:rsidP="00157E5D">
            <w:pPr>
              <w:rPr>
                <w:rFonts w:ascii="Times New Roman" w:hAnsi="Times New Roman" w:cs="Times New Roman"/>
                <w:sz w:val="24"/>
                <w:szCs w:val="24"/>
              </w:rPr>
            </w:pPr>
            <w:r>
              <w:rPr>
                <w:rFonts w:ascii="Times New Roman" w:hAnsi="Times New Roman" w:cs="Times New Roman"/>
                <w:sz w:val="24"/>
                <w:szCs w:val="24"/>
              </w:rPr>
              <w:t>Buddhist</w:t>
            </w:r>
          </w:p>
        </w:tc>
        <w:tc>
          <w:tcPr>
            <w:tcW w:w="1555" w:type="dxa"/>
            <w:vAlign w:val="center"/>
          </w:tcPr>
          <w:p w:rsidR="00A1145D" w:rsidRDefault="00A1145D" w:rsidP="00157E5D">
            <w:pPr>
              <w:jc w:val="right"/>
              <w:rPr>
                <w:rFonts w:ascii="Times New Roman" w:hAnsi="Times New Roman" w:cs="Times New Roman"/>
                <w:sz w:val="24"/>
                <w:szCs w:val="24"/>
              </w:rPr>
            </w:pPr>
            <w:r>
              <w:rPr>
                <w:rFonts w:ascii="Times New Roman" w:hAnsi="Times New Roman" w:cs="Times New Roman"/>
                <w:sz w:val="24"/>
                <w:szCs w:val="24"/>
              </w:rPr>
              <w:t>247,743</w:t>
            </w:r>
          </w:p>
        </w:tc>
        <w:tc>
          <w:tcPr>
            <w:tcW w:w="1535" w:type="dxa"/>
            <w:vAlign w:val="center"/>
          </w:tcPr>
          <w:p w:rsidR="00A1145D" w:rsidRDefault="00A1145D" w:rsidP="00157E5D">
            <w:pPr>
              <w:jc w:val="right"/>
              <w:rPr>
                <w:rFonts w:ascii="Times New Roman" w:hAnsi="Times New Roman" w:cs="Times New Roman"/>
                <w:sz w:val="24"/>
                <w:szCs w:val="24"/>
              </w:rPr>
            </w:pPr>
            <w:r>
              <w:rPr>
                <w:rFonts w:ascii="Times New Roman" w:hAnsi="Times New Roman" w:cs="Times New Roman"/>
                <w:sz w:val="24"/>
                <w:szCs w:val="24"/>
              </w:rPr>
              <w:t>0.44</w:t>
            </w:r>
          </w:p>
        </w:tc>
      </w:tr>
      <w:tr w:rsidR="00A1145D" w:rsidTr="00157E5D">
        <w:tc>
          <w:tcPr>
            <w:tcW w:w="5396" w:type="dxa"/>
          </w:tcPr>
          <w:p w:rsidR="00A1145D" w:rsidRDefault="00A1145D" w:rsidP="00157E5D">
            <w:pPr>
              <w:rPr>
                <w:rFonts w:ascii="Times New Roman" w:hAnsi="Times New Roman" w:cs="Times New Roman"/>
                <w:sz w:val="24"/>
                <w:szCs w:val="24"/>
              </w:rPr>
            </w:pPr>
            <w:r>
              <w:rPr>
                <w:rFonts w:ascii="Times New Roman" w:hAnsi="Times New Roman" w:cs="Times New Roman"/>
                <w:sz w:val="24"/>
                <w:szCs w:val="24"/>
              </w:rPr>
              <w:t>Other religion</w:t>
            </w:r>
          </w:p>
        </w:tc>
        <w:tc>
          <w:tcPr>
            <w:tcW w:w="1555" w:type="dxa"/>
            <w:vAlign w:val="center"/>
          </w:tcPr>
          <w:p w:rsidR="00A1145D" w:rsidRDefault="00A1145D" w:rsidP="00157E5D">
            <w:pPr>
              <w:jc w:val="right"/>
              <w:rPr>
                <w:rFonts w:ascii="Times New Roman" w:hAnsi="Times New Roman" w:cs="Times New Roman"/>
                <w:sz w:val="24"/>
                <w:szCs w:val="24"/>
              </w:rPr>
            </w:pPr>
            <w:r>
              <w:rPr>
                <w:rFonts w:ascii="Times New Roman" w:hAnsi="Times New Roman" w:cs="Times New Roman"/>
                <w:sz w:val="24"/>
                <w:szCs w:val="24"/>
              </w:rPr>
              <w:t>240,530</w:t>
            </w:r>
          </w:p>
        </w:tc>
        <w:tc>
          <w:tcPr>
            <w:tcW w:w="1535" w:type="dxa"/>
            <w:vAlign w:val="center"/>
          </w:tcPr>
          <w:p w:rsidR="00A1145D" w:rsidRDefault="00A1145D" w:rsidP="00157E5D">
            <w:pPr>
              <w:jc w:val="right"/>
              <w:rPr>
                <w:rFonts w:ascii="Times New Roman" w:hAnsi="Times New Roman" w:cs="Times New Roman"/>
                <w:sz w:val="24"/>
                <w:szCs w:val="24"/>
              </w:rPr>
            </w:pPr>
            <w:r>
              <w:rPr>
                <w:rFonts w:ascii="Times New Roman" w:hAnsi="Times New Roman" w:cs="Times New Roman"/>
                <w:sz w:val="24"/>
                <w:szCs w:val="24"/>
              </w:rPr>
              <w:t>0.43</w:t>
            </w:r>
          </w:p>
        </w:tc>
      </w:tr>
      <w:tr w:rsidR="00A1145D" w:rsidTr="00157E5D">
        <w:tc>
          <w:tcPr>
            <w:tcW w:w="5396" w:type="dxa"/>
          </w:tcPr>
          <w:p w:rsidR="00A1145D" w:rsidRDefault="00A1145D" w:rsidP="00157E5D">
            <w:pPr>
              <w:rPr>
                <w:rFonts w:ascii="Times New Roman" w:hAnsi="Times New Roman" w:cs="Times New Roman"/>
                <w:sz w:val="24"/>
                <w:szCs w:val="24"/>
              </w:rPr>
            </w:pPr>
          </w:p>
        </w:tc>
        <w:tc>
          <w:tcPr>
            <w:tcW w:w="1555" w:type="dxa"/>
            <w:vAlign w:val="center"/>
          </w:tcPr>
          <w:p w:rsidR="00A1145D" w:rsidRDefault="00A1145D" w:rsidP="00157E5D">
            <w:pPr>
              <w:jc w:val="right"/>
              <w:rPr>
                <w:rFonts w:ascii="Times New Roman" w:hAnsi="Times New Roman" w:cs="Times New Roman"/>
                <w:sz w:val="24"/>
                <w:szCs w:val="24"/>
              </w:rPr>
            </w:pPr>
          </w:p>
        </w:tc>
        <w:tc>
          <w:tcPr>
            <w:tcW w:w="1535" w:type="dxa"/>
            <w:vAlign w:val="center"/>
          </w:tcPr>
          <w:p w:rsidR="00A1145D" w:rsidRDefault="00A1145D" w:rsidP="00157E5D">
            <w:pPr>
              <w:jc w:val="right"/>
              <w:rPr>
                <w:rFonts w:ascii="Times New Roman" w:hAnsi="Times New Roman" w:cs="Times New Roman"/>
                <w:sz w:val="24"/>
                <w:szCs w:val="24"/>
              </w:rPr>
            </w:pPr>
          </w:p>
        </w:tc>
      </w:tr>
      <w:tr w:rsidR="00A1145D" w:rsidTr="00157E5D">
        <w:tc>
          <w:tcPr>
            <w:tcW w:w="5396" w:type="dxa"/>
          </w:tcPr>
          <w:p w:rsidR="00A1145D" w:rsidRDefault="00A1145D" w:rsidP="00157E5D">
            <w:pPr>
              <w:rPr>
                <w:rFonts w:ascii="Times New Roman" w:hAnsi="Times New Roman" w:cs="Times New Roman"/>
                <w:sz w:val="24"/>
                <w:szCs w:val="24"/>
              </w:rPr>
            </w:pPr>
            <w:r>
              <w:rPr>
                <w:rFonts w:ascii="Times New Roman" w:hAnsi="Times New Roman" w:cs="Times New Roman"/>
                <w:sz w:val="24"/>
                <w:szCs w:val="24"/>
              </w:rPr>
              <w:t>Religion not stated</w:t>
            </w:r>
          </w:p>
        </w:tc>
        <w:tc>
          <w:tcPr>
            <w:tcW w:w="1555" w:type="dxa"/>
            <w:vAlign w:val="center"/>
          </w:tcPr>
          <w:p w:rsidR="00A1145D" w:rsidRDefault="00A1145D" w:rsidP="00B74739">
            <w:pPr>
              <w:jc w:val="right"/>
              <w:rPr>
                <w:rFonts w:ascii="Times New Roman" w:hAnsi="Times New Roman" w:cs="Times New Roman"/>
                <w:sz w:val="24"/>
                <w:szCs w:val="24"/>
              </w:rPr>
            </w:pPr>
            <w:r>
              <w:rPr>
                <w:rFonts w:ascii="Times New Roman" w:hAnsi="Times New Roman" w:cs="Times New Roman"/>
                <w:sz w:val="24"/>
                <w:szCs w:val="24"/>
              </w:rPr>
              <w:t>4,038,032</w:t>
            </w:r>
          </w:p>
        </w:tc>
        <w:tc>
          <w:tcPr>
            <w:tcW w:w="1535" w:type="dxa"/>
            <w:vAlign w:val="center"/>
          </w:tcPr>
          <w:p w:rsidR="00A1145D" w:rsidRDefault="00A1145D" w:rsidP="00B74739">
            <w:pPr>
              <w:jc w:val="right"/>
              <w:rPr>
                <w:rFonts w:ascii="Times New Roman" w:hAnsi="Times New Roman" w:cs="Times New Roman"/>
                <w:sz w:val="24"/>
                <w:szCs w:val="24"/>
              </w:rPr>
            </w:pPr>
            <w:r>
              <w:rPr>
                <w:rFonts w:ascii="Times New Roman" w:hAnsi="Times New Roman" w:cs="Times New Roman"/>
                <w:sz w:val="24"/>
                <w:szCs w:val="24"/>
              </w:rPr>
              <w:t>7.20</w:t>
            </w:r>
          </w:p>
        </w:tc>
      </w:tr>
      <w:tr w:rsidR="00A1145D" w:rsidTr="00157E5D">
        <w:tc>
          <w:tcPr>
            <w:tcW w:w="5396" w:type="dxa"/>
          </w:tcPr>
          <w:p w:rsidR="00A1145D" w:rsidRDefault="00A1145D" w:rsidP="00157E5D">
            <w:pPr>
              <w:rPr>
                <w:rFonts w:ascii="Times New Roman" w:hAnsi="Times New Roman" w:cs="Times New Roman"/>
                <w:sz w:val="24"/>
                <w:szCs w:val="24"/>
              </w:rPr>
            </w:pPr>
          </w:p>
        </w:tc>
        <w:tc>
          <w:tcPr>
            <w:tcW w:w="1555" w:type="dxa"/>
            <w:vAlign w:val="center"/>
          </w:tcPr>
          <w:p w:rsidR="00A1145D" w:rsidRDefault="00A1145D" w:rsidP="00B74739">
            <w:pPr>
              <w:jc w:val="right"/>
              <w:rPr>
                <w:rFonts w:ascii="Times New Roman" w:hAnsi="Times New Roman" w:cs="Times New Roman"/>
                <w:sz w:val="24"/>
                <w:szCs w:val="24"/>
              </w:rPr>
            </w:pPr>
          </w:p>
        </w:tc>
        <w:tc>
          <w:tcPr>
            <w:tcW w:w="1535" w:type="dxa"/>
            <w:vAlign w:val="center"/>
          </w:tcPr>
          <w:p w:rsidR="00A1145D" w:rsidRDefault="00A1145D" w:rsidP="00B74739">
            <w:pPr>
              <w:jc w:val="right"/>
              <w:rPr>
                <w:rFonts w:ascii="Times New Roman" w:hAnsi="Times New Roman" w:cs="Times New Roman"/>
                <w:sz w:val="24"/>
                <w:szCs w:val="24"/>
              </w:rPr>
            </w:pPr>
          </w:p>
        </w:tc>
      </w:tr>
      <w:tr w:rsidR="00A1145D" w:rsidTr="00157E5D">
        <w:tc>
          <w:tcPr>
            <w:tcW w:w="5396" w:type="dxa"/>
          </w:tcPr>
          <w:p w:rsidR="00A1145D" w:rsidRDefault="00A1145D" w:rsidP="00157E5D">
            <w:pPr>
              <w:rPr>
                <w:rFonts w:ascii="Times New Roman" w:hAnsi="Times New Roman" w:cs="Times New Roman"/>
                <w:sz w:val="24"/>
                <w:szCs w:val="24"/>
              </w:rPr>
            </w:pPr>
            <w:r>
              <w:rPr>
                <w:rFonts w:ascii="Times New Roman" w:hAnsi="Times New Roman" w:cs="Times New Roman"/>
                <w:sz w:val="24"/>
                <w:szCs w:val="24"/>
              </w:rPr>
              <w:t>No religion</w:t>
            </w:r>
          </w:p>
        </w:tc>
        <w:tc>
          <w:tcPr>
            <w:tcW w:w="1555" w:type="dxa"/>
            <w:vAlign w:val="center"/>
          </w:tcPr>
          <w:p w:rsidR="00A1145D" w:rsidRDefault="00A1145D" w:rsidP="00B74739">
            <w:pPr>
              <w:jc w:val="right"/>
              <w:rPr>
                <w:rFonts w:ascii="Times New Roman" w:hAnsi="Times New Roman" w:cs="Times New Roman"/>
                <w:sz w:val="24"/>
                <w:szCs w:val="24"/>
              </w:rPr>
            </w:pPr>
            <w:r>
              <w:rPr>
                <w:rFonts w:ascii="Times New Roman" w:hAnsi="Times New Roman" w:cs="Times New Roman"/>
                <w:sz w:val="24"/>
                <w:szCs w:val="24"/>
              </w:rPr>
              <w:t>14,097,229</w:t>
            </w:r>
          </w:p>
        </w:tc>
        <w:tc>
          <w:tcPr>
            <w:tcW w:w="1535" w:type="dxa"/>
            <w:vAlign w:val="center"/>
          </w:tcPr>
          <w:p w:rsidR="00A1145D" w:rsidRDefault="00A1145D" w:rsidP="00B74739">
            <w:pPr>
              <w:jc w:val="right"/>
              <w:rPr>
                <w:rFonts w:ascii="Times New Roman" w:hAnsi="Times New Roman" w:cs="Times New Roman"/>
                <w:sz w:val="24"/>
                <w:szCs w:val="24"/>
              </w:rPr>
            </w:pPr>
            <w:r>
              <w:rPr>
                <w:rFonts w:ascii="Times New Roman" w:hAnsi="Times New Roman" w:cs="Times New Roman"/>
                <w:sz w:val="24"/>
                <w:szCs w:val="24"/>
              </w:rPr>
              <w:t>25.14</w:t>
            </w:r>
          </w:p>
        </w:tc>
      </w:tr>
      <w:tr w:rsidR="00A1145D" w:rsidTr="00157E5D">
        <w:tc>
          <w:tcPr>
            <w:tcW w:w="5396" w:type="dxa"/>
          </w:tcPr>
          <w:p w:rsidR="00A1145D" w:rsidRDefault="00A1145D" w:rsidP="00157E5D">
            <w:pPr>
              <w:rPr>
                <w:rFonts w:ascii="Times New Roman" w:hAnsi="Times New Roman" w:cs="Times New Roman"/>
                <w:sz w:val="24"/>
                <w:szCs w:val="24"/>
              </w:rPr>
            </w:pPr>
          </w:p>
        </w:tc>
        <w:tc>
          <w:tcPr>
            <w:tcW w:w="1555" w:type="dxa"/>
          </w:tcPr>
          <w:p w:rsidR="00A1145D" w:rsidRDefault="00A1145D" w:rsidP="00B74739">
            <w:pPr>
              <w:jc w:val="right"/>
              <w:rPr>
                <w:rFonts w:ascii="Times New Roman" w:hAnsi="Times New Roman" w:cs="Times New Roman"/>
                <w:sz w:val="24"/>
                <w:szCs w:val="24"/>
              </w:rPr>
            </w:pPr>
          </w:p>
        </w:tc>
        <w:tc>
          <w:tcPr>
            <w:tcW w:w="1535" w:type="dxa"/>
          </w:tcPr>
          <w:p w:rsidR="00A1145D" w:rsidRDefault="00A1145D" w:rsidP="00B74739">
            <w:pPr>
              <w:jc w:val="right"/>
              <w:rPr>
                <w:rFonts w:ascii="Times New Roman" w:hAnsi="Times New Roman" w:cs="Times New Roman"/>
                <w:sz w:val="24"/>
                <w:szCs w:val="24"/>
              </w:rPr>
            </w:pPr>
          </w:p>
        </w:tc>
      </w:tr>
      <w:tr w:rsidR="00A1145D" w:rsidTr="00157E5D">
        <w:tc>
          <w:tcPr>
            <w:tcW w:w="5396" w:type="dxa"/>
          </w:tcPr>
          <w:p w:rsidR="00A1145D" w:rsidRDefault="00A1145D" w:rsidP="00157E5D">
            <w:pPr>
              <w:rPr>
                <w:rFonts w:ascii="Times New Roman" w:hAnsi="Times New Roman" w:cs="Times New Roman"/>
                <w:sz w:val="24"/>
                <w:szCs w:val="24"/>
              </w:rPr>
            </w:pPr>
          </w:p>
        </w:tc>
        <w:tc>
          <w:tcPr>
            <w:tcW w:w="1555" w:type="dxa"/>
          </w:tcPr>
          <w:p w:rsidR="00A1145D" w:rsidRDefault="00A1145D" w:rsidP="00B74739">
            <w:pPr>
              <w:jc w:val="right"/>
              <w:rPr>
                <w:rFonts w:ascii="Times New Roman" w:hAnsi="Times New Roman" w:cs="Times New Roman"/>
                <w:sz w:val="24"/>
                <w:szCs w:val="24"/>
              </w:rPr>
            </w:pPr>
            <w:r>
              <w:rPr>
                <w:rFonts w:ascii="Times New Roman" w:hAnsi="Times New Roman" w:cs="Times New Roman"/>
                <w:sz w:val="24"/>
                <w:szCs w:val="24"/>
              </w:rPr>
              <w:t>56,075,912</w:t>
            </w:r>
          </w:p>
        </w:tc>
        <w:tc>
          <w:tcPr>
            <w:tcW w:w="1535" w:type="dxa"/>
          </w:tcPr>
          <w:p w:rsidR="00A1145D" w:rsidRDefault="00A1145D" w:rsidP="00B74739">
            <w:pPr>
              <w:jc w:val="right"/>
              <w:rPr>
                <w:rFonts w:ascii="Times New Roman" w:hAnsi="Times New Roman" w:cs="Times New Roman"/>
                <w:sz w:val="24"/>
                <w:szCs w:val="24"/>
              </w:rPr>
            </w:pPr>
            <w:r>
              <w:rPr>
                <w:rFonts w:ascii="Times New Roman" w:hAnsi="Times New Roman" w:cs="Times New Roman"/>
                <w:sz w:val="24"/>
                <w:szCs w:val="24"/>
              </w:rPr>
              <w:t>100</w:t>
            </w:r>
          </w:p>
        </w:tc>
      </w:tr>
      <w:tr w:rsidR="00A1145D" w:rsidTr="00157E5D">
        <w:tc>
          <w:tcPr>
            <w:tcW w:w="5396" w:type="dxa"/>
          </w:tcPr>
          <w:p w:rsidR="00A1145D" w:rsidRDefault="00A1145D" w:rsidP="00157E5D">
            <w:pPr>
              <w:rPr>
                <w:rFonts w:ascii="Times New Roman" w:hAnsi="Times New Roman" w:cs="Times New Roman"/>
                <w:sz w:val="24"/>
                <w:szCs w:val="24"/>
              </w:rPr>
            </w:pPr>
          </w:p>
        </w:tc>
        <w:tc>
          <w:tcPr>
            <w:tcW w:w="1555" w:type="dxa"/>
          </w:tcPr>
          <w:p w:rsidR="00A1145D" w:rsidRDefault="00A1145D" w:rsidP="00B74739">
            <w:pPr>
              <w:jc w:val="right"/>
              <w:rPr>
                <w:rFonts w:ascii="Times New Roman" w:hAnsi="Times New Roman" w:cs="Times New Roman"/>
                <w:sz w:val="24"/>
                <w:szCs w:val="24"/>
              </w:rPr>
            </w:pPr>
          </w:p>
        </w:tc>
        <w:tc>
          <w:tcPr>
            <w:tcW w:w="1535" w:type="dxa"/>
          </w:tcPr>
          <w:p w:rsidR="00A1145D" w:rsidRDefault="00A1145D" w:rsidP="00B74739">
            <w:pPr>
              <w:jc w:val="right"/>
              <w:rPr>
                <w:rFonts w:ascii="Times New Roman" w:hAnsi="Times New Roman" w:cs="Times New Roman"/>
                <w:sz w:val="24"/>
                <w:szCs w:val="24"/>
              </w:rPr>
            </w:pPr>
          </w:p>
        </w:tc>
      </w:tr>
      <w:tr w:rsidR="00A1145D" w:rsidTr="00157E5D">
        <w:tc>
          <w:tcPr>
            <w:tcW w:w="8486" w:type="dxa"/>
            <w:gridSpan w:val="3"/>
          </w:tcPr>
          <w:p w:rsidR="00A1145D" w:rsidRDefault="00A1145D" w:rsidP="00157E5D">
            <w:pPr>
              <w:rPr>
                <w:rFonts w:ascii="Times New Roman" w:hAnsi="Times New Roman" w:cs="Times New Roman"/>
                <w:sz w:val="24"/>
                <w:szCs w:val="24"/>
              </w:rPr>
            </w:pPr>
            <w:r>
              <w:rPr>
                <w:rFonts w:ascii="Times New Roman" w:hAnsi="Times New Roman" w:cs="Times New Roman"/>
                <w:sz w:val="24"/>
                <w:szCs w:val="24"/>
              </w:rPr>
              <w:t xml:space="preserve">Source: </w:t>
            </w:r>
            <w:hyperlink r:id="rId8" w:history="1">
              <w:r w:rsidRPr="00267AEE">
                <w:rPr>
                  <w:rStyle w:val="Hyperlink"/>
                  <w:rFonts w:ascii="Times New Roman" w:hAnsi="Times New Roman" w:cs="Times New Roman"/>
                  <w:sz w:val="24"/>
                  <w:szCs w:val="24"/>
                </w:rPr>
                <w:t>http://www.ons.gov.uk/ons/</w:t>
              </w:r>
            </w:hyperlink>
            <w:r>
              <w:rPr>
                <w:rFonts w:ascii="Times New Roman" w:hAnsi="Times New Roman" w:cs="Times New Roman"/>
                <w:sz w:val="24"/>
                <w:szCs w:val="24"/>
              </w:rPr>
              <w:t xml:space="preserve"> (accessed 4 January 2016)</w:t>
            </w:r>
          </w:p>
        </w:tc>
      </w:tr>
    </w:tbl>
    <w:p w:rsidR="00E178D3" w:rsidRDefault="00E178D3">
      <w:pPr>
        <w:rPr>
          <w:rFonts w:ascii="Times New Roman" w:hAnsi="Times New Roman" w:cs="Times New Roman"/>
          <w:sz w:val="24"/>
          <w:szCs w:val="24"/>
        </w:rPr>
      </w:pPr>
    </w:p>
    <w:p w:rsidR="00A1145D" w:rsidRDefault="00E178D3">
      <w:pPr>
        <w:rPr>
          <w:rFonts w:ascii="Times New Roman" w:hAnsi="Times New Roman" w:cs="Times New Roman"/>
          <w:sz w:val="24"/>
          <w:szCs w:val="24"/>
        </w:rPr>
      </w:pPr>
      <w:r>
        <w:rPr>
          <w:rFonts w:ascii="Times New Roman" w:hAnsi="Times New Roman" w:cs="Times New Roman"/>
          <w:sz w:val="24"/>
          <w:szCs w:val="24"/>
        </w:rPr>
        <w:t>A</w:t>
      </w:r>
      <w:r w:rsidR="00A1145D">
        <w:rPr>
          <w:rFonts w:ascii="Times New Roman" w:hAnsi="Times New Roman" w:cs="Times New Roman"/>
          <w:sz w:val="24"/>
          <w:szCs w:val="24"/>
        </w:rPr>
        <w:t>ny attempt to assess the capacity and suitability of existing provision relative to demand is hampered by a lack of statistics on the ownership and use of burial space. The fact that local authorities are still not required to provide burial space means that no formal framework is in place for the collation of data on performance. Neither of the two government departments that might be thought to have oversight of the issue – the Department of Communities and Local Government, which oversees planning and urban development, and the Ministry of Justice, which has responsibility for burial law – take any strategic responsibility (ETRA, 2002).</w:t>
      </w:r>
    </w:p>
    <w:p w:rsidR="00944450" w:rsidRDefault="00A1145D">
      <w:pPr>
        <w:rPr>
          <w:rFonts w:ascii="Times New Roman" w:hAnsi="Times New Roman" w:cs="Times New Roman"/>
          <w:sz w:val="24"/>
          <w:szCs w:val="24"/>
        </w:rPr>
      </w:pPr>
      <w:r>
        <w:rPr>
          <w:rFonts w:ascii="Times New Roman" w:hAnsi="Times New Roman" w:cs="Times New Roman"/>
          <w:sz w:val="24"/>
          <w:szCs w:val="24"/>
        </w:rPr>
        <w:t xml:space="preserve">There is no national information, but the planning arm </w:t>
      </w:r>
      <w:r w:rsidR="00B74739">
        <w:rPr>
          <w:rFonts w:ascii="Times New Roman" w:hAnsi="Times New Roman" w:cs="Times New Roman"/>
          <w:sz w:val="24"/>
          <w:szCs w:val="24"/>
        </w:rPr>
        <w:t>of the Greater London A</w:t>
      </w:r>
      <w:r>
        <w:rPr>
          <w:rFonts w:ascii="Times New Roman" w:hAnsi="Times New Roman" w:cs="Times New Roman"/>
          <w:sz w:val="24"/>
          <w:szCs w:val="24"/>
        </w:rPr>
        <w:t>uthority has overseen the completion of two separate audits of burial space within the 33 London boroughs within the capital</w:t>
      </w:r>
      <w:r w:rsidR="00B74739">
        <w:rPr>
          <w:rFonts w:ascii="Times New Roman" w:hAnsi="Times New Roman" w:cs="Times New Roman"/>
          <w:sz w:val="24"/>
          <w:szCs w:val="24"/>
        </w:rPr>
        <w:t xml:space="preserve"> (</w:t>
      </w:r>
      <w:proofErr w:type="spellStart"/>
      <w:r w:rsidR="00B74739">
        <w:rPr>
          <w:rFonts w:ascii="Times New Roman" w:hAnsi="Times New Roman" w:cs="Times New Roman"/>
          <w:sz w:val="24"/>
          <w:szCs w:val="24"/>
        </w:rPr>
        <w:t>Halcrow</w:t>
      </w:r>
      <w:proofErr w:type="spellEnd"/>
      <w:r w:rsidR="00B74739">
        <w:rPr>
          <w:rFonts w:ascii="Times New Roman" w:hAnsi="Times New Roman" w:cs="Times New Roman"/>
          <w:sz w:val="24"/>
          <w:szCs w:val="24"/>
        </w:rPr>
        <w:t xml:space="preserve"> Fox, 1997, </w:t>
      </w:r>
      <w:proofErr w:type="spellStart"/>
      <w:r w:rsidR="00944450">
        <w:rPr>
          <w:rFonts w:ascii="Times New Roman" w:hAnsi="Times New Roman" w:cs="Times New Roman"/>
          <w:sz w:val="24"/>
          <w:szCs w:val="24"/>
        </w:rPr>
        <w:t>Rugg</w:t>
      </w:r>
      <w:proofErr w:type="spellEnd"/>
      <w:r w:rsidR="00944450">
        <w:rPr>
          <w:rFonts w:ascii="Times New Roman" w:hAnsi="Times New Roman" w:cs="Times New Roman"/>
          <w:sz w:val="24"/>
          <w:szCs w:val="24"/>
        </w:rPr>
        <w:t xml:space="preserve"> and </w:t>
      </w:r>
      <w:proofErr w:type="spellStart"/>
      <w:r w:rsidR="00944450">
        <w:rPr>
          <w:rFonts w:ascii="Times New Roman" w:hAnsi="Times New Roman" w:cs="Times New Roman"/>
          <w:sz w:val="24"/>
          <w:szCs w:val="24"/>
        </w:rPr>
        <w:t>Pleace</w:t>
      </w:r>
      <w:proofErr w:type="spellEnd"/>
      <w:r w:rsidR="00944450">
        <w:rPr>
          <w:rFonts w:ascii="Times New Roman" w:hAnsi="Times New Roman" w:cs="Times New Roman"/>
          <w:sz w:val="24"/>
          <w:szCs w:val="24"/>
        </w:rPr>
        <w:t>, 2009</w:t>
      </w:r>
      <w:r w:rsidR="00B74739">
        <w:rPr>
          <w:rFonts w:ascii="Times New Roman" w:hAnsi="Times New Roman" w:cs="Times New Roman"/>
          <w:sz w:val="24"/>
          <w:szCs w:val="24"/>
        </w:rPr>
        <w:t>)</w:t>
      </w:r>
      <w:r>
        <w:rPr>
          <w:rFonts w:ascii="Times New Roman" w:hAnsi="Times New Roman" w:cs="Times New Roman"/>
          <w:sz w:val="24"/>
          <w:szCs w:val="24"/>
        </w:rPr>
        <w:t>. London boroughs are designated burial authorities, and so are permitted to provide burial space although one – th</w:t>
      </w:r>
      <w:r w:rsidR="00B74739">
        <w:rPr>
          <w:rFonts w:ascii="Times New Roman" w:hAnsi="Times New Roman" w:cs="Times New Roman"/>
          <w:sz w:val="24"/>
          <w:szCs w:val="24"/>
        </w:rPr>
        <w:t>e London Borough (LB) of Tower H</w:t>
      </w:r>
      <w:r>
        <w:rPr>
          <w:rFonts w:ascii="Times New Roman" w:hAnsi="Times New Roman" w:cs="Times New Roman"/>
          <w:sz w:val="24"/>
          <w:szCs w:val="24"/>
        </w:rPr>
        <w:t>amlets does not.</w:t>
      </w:r>
      <w:r w:rsidR="00B74739">
        <w:rPr>
          <w:rFonts w:ascii="Times New Roman" w:hAnsi="Times New Roman" w:cs="Times New Roman"/>
          <w:sz w:val="24"/>
          <w:szCs w:val="24"/>
        </w:rPr>
        <w:t xml:space="preserve"> The most recent audit indicated that there were 128 op</w:t>
      </w:r>
      <w:r w:rsidR="00F22DF8">
        <w:rPr>
          <w:rFonts w:ascii="Times New Roman" w:hAnsi="Times New Roman" w:cs="Times New Roman"/>
          <w:sz w:val="24"/>
          <w:szCs w:val="24"/>
        </w:rPr>
        <w:t>erational cemeteries and burial</w:t>
      </w:r>
      <w:r w:rsidR="00B74739">
        <w:rPr>
          <w:rFonts w:ascii="Times New Roman" w:hAnsi="Times New Roman" w:cs="Times New Roman"/>
          <w:sz w:val="24"/>
          <w:szCs w:val="24"/>
        </w:rPr>
        <w:t xml:space="preserve"> grounds in the capital. No data were collected on churchyard interment: </w:t>
      </w:r>
      <w:r w:rsidR="00944450">
        <w:rPr>
          <w:rFonts w:ascii="Times New Roman" w:hAnsi="Times New Roman" w:cs="Times New Roman"/>
          <w:sz w:val="24"/>
          <w:szCs w:val="24"/>
        </w:rPr>
        <w:t xml:space="preserve">it was likely that between 30 and 40 were still in operation, but the </w:t>
      </w:r>
      <w:r w:rsidR="00B74739">
        <w:rPr>
          <w:rFonts w:ascii="Times New Roman" w:hAnsi="Times New Roman" w:cs="Times New Roman"/>
          <w:sz w:val="24"/>
          <w:szCs w:val="24"/>
        </w:rPr>
        <w:t>overall the number of interments was thought to be small (</w:t>
      </w:r>
      <w:proofErr w:type="spellStart"/>
      <w:r w:rsidR="00B74739">
        <w:rPr>
          <w:rFonts w:ascii="Times New Roman" w:hAnsi="Times New Roman" w:cs="Times New Roman"/>
          <w:sz w:val="24"/>
          <w:szCs w:val="24"/>
        </w:rPr>
        <w:t>Rugg</w:t>
      </w:r>
      <w:proofErr w:type="spellEnd"/>
      <w:r w:rsidR="00B74739">
        <w:rPr>
          <w:rFonts w:ascii="Times New Roman" w:hAnsi="Times New Roman" w:cs="Times New Roman"/>
          <w:sz w:val="24"/>
          <w:szCs w:val="24"/>
        </w:rPr>
        <w:t xml:space="preserve"> and </w:t>
      </w:r>
      <w:proofErr w:type="spellStart"/>
      <w:r w:rsidR="00B74739">
        <w:rPr>
          <w:rFonts w:ascii="Times New Roman" w:hAnsi="Times New Roman" w:cs="Times New Roman"/>
          <w:sz w:val="24"/>
          <w:szCs w:val="24"/>
        </w:rPr>
        <w:t>Pleace</w:t>
      </w:r>
      <w:proofErr w:type="spellEnd"/>
      <w:r w:rsidR="00B74739">
        <w:rPr>
          <w:rFonts w:ascii="Times New Roman" w:hAnsi="Times New Roman" w:cs="Times New Roman"/>
          <w:sz w:val="24"/>
          <w:szCs w:val="24"/>
        </w:rPr>
        <w:t xml:space="preserve">, </w:t>
      </w:r>
      <w:r w:rsidR="007837EF">
        <w:rPr>
          <w:rFonts w:ascii="Times New Roman" w:hAnsi="Times New Roman" w:cs="Times New Roman"/>
          <w:sz w:val="24"/>
          <w:szCs w:val="24"/>
        </w:rPr>
        <w:t>2010</w:t>
      </w:r>
      <w:r w:rsidR="00B7473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44450" w:rsidRDefault="00944450">
      <w:pPr>
        <w:rPr>
          <w:rFonts w:ascii="Times New Roman" w:hAnsi="Times New Roman" w:cs="Times New Roman"/>
          <w:sz w:val="24"/>
          <w:szCs w:val="24"/>
        </w:rPr>
      </w:pPr>
      <w:r>
        <w:rPr>
          <w:rFonts w:ascii="Times New Roman" w:hAnsi="Times New Roman" w:cs="Times New Roman"/>
          <w:sz w:val="24"/>
          <w:szCs w:val="24"/>
        </w:rPr>
        <w:t>The two London audits collated data on faith sections within cemeteries. Of the 128 sites</w:t>
      </w:r>
      <w:r w:rsidR="0023190E">
        <w:rPr>
          <w:rFonts w:ascii="Times New Roman" w:hAnsi="Times New Roman" w:cs="Times New Roman"/>
          <w:sz w:val="24"/>
          <w:szCs w:val="24"/>
        </w:rPr>
        <w:t xml:space="preserve"> open for use</w:t>
      </w:r>
      <w:r>
        <w:rPr>
          <w:rFonts w:ascii="Times New Roman" w:hAnsi="Times New Roman" w:cs="Times New Roman"/>
          <w:sz w:val="24"/>
          <w:szCs w:val="24"/>
        </w:rPr>
        <w:t>, 23 contained sections dedicated for use by the Roman Catholic community</w:t>
      </w:r>
      <w:r w:rsidR="0023190E">
        <w:rPr>
          <w:rFonts w:ascii="Times New Roman" w:hAnsi="Times New Roman" w:cs="Times New Roman"/>
          <w:sz w:val="24"/>
          <w:szCs w:val="24"/>
        </w:rPr>
        <w:t xml:space="preserve">; two large </w:t>
      </w:r>
      <w:r>
        <w:rPr>
          <w:rFonts w:ascii="Times New Roman" w:hAnsi="Times New Roman" w:cs="Times New Roman"/>
          <w:sz w:val="24"/>
          <w:szCs w:val="24"/>
        </w:rPr>
        <w:t>Roman Catholic burial grounds</w:t>
      </w:r>
      <w:r w:rsidR="0023190E">
        <w:rPr>
          <w:rFonts w:ascii="Times New Roman" w:hAnsi="Times New Roman" w:cs="Times New Roman"/>
          <w:sz w:val="24"/>
          <w:szCs w:val="24"/>
        </w:rPr>
        <w:t xml:space="preserve"> were</w:t>
      </w:r>
      <w:r>
        <w:rPr>
          <w:rFonts w:ascii="Times New Roman" w:hAnsi="Times New Roman" w:cs="Times New Roman"/>
          <w:sz w:val="24"/>
          <w:szCs w:val="24"/>
        </w:rPr>
        <w:t xml:space="preserve"> also in operati</w:t>
      </w:r>
      <w:r w:rsidR="007837EF">
        <w:rPr>
          <w:rFonts w:ascii="Times New Roman" w:hAnsi="Times New Roman" w:cs="Times New Roman"/>
          <w:sz w:val="24"/>
          <w:szCs w:val="24"/>
        </w:rPr>
        <w:t xml:space="preserve">on in the capital. </w:t>
      </w:r>
      <w:r w:rsidR="0023190E">
        <w:rPr>
          <w:rFonts w:ascii="Times New Roman" w:hAnsi="Times New Roman" w:cs="Times New Roman"/>
          <w:sz w:val="24"/>
          <w:szCs w:val="24"/>
        </w:rPr>
        <w:t>Just t</w:t>
      </w:r>
      <w:r>
        <w:rPr>
          <w:rFonts w:ascii="Times New Roman" w:hAnsi="Times New Roman" w:cs="Times New Roman"/>
          <w:sz w:val="24"/>
          <w:szCs w:val="24"/>
        </w:rPr>
        <w:t>hree sites contain</w:t>
      </w:r>
      <w:r w:rsidR="0023190E">
        <w:rPr>
          <w:rFonts w:ascii="Times New Roman" w:hAnsi="Times New Roman" w:cs="Times New Roman"/>
          <w:sz w:val="24"/>
          <w:szCs w:val="24"/>
        </w:rPr>
        <w:t xml:space="preserve">ed </w:t>
      </w:r>
      <w:r>
        <w:rPr>
          <w:rFonts w:ascii="Times New Roman" w:hAnsi="Times New Roman" w:cs="Times New Roman"/>
          <w:sz w:val="24"/>
          <w:szCs w:val="24"/>
        </w:rPr>
        <w:t xml:space="preserve">specifically Jewish sections. Jewish demand </w:t>
      </w:r>
      <w:r w:rsidR="007837EF">
        <w:rPr>
          <w:rFonts w:ascii="Times New Roman" w:hAnsi="Times New Roman" w:cs="Times New Roman"/>
          <w:sz w:val="24"/>
          <w:szCs w:val="24"/>
        </w:rPr>
        <w:t xml:space="preserve">continues to be </w:t>
      </w:r>
      <w:r>
        <w:rPr>
          <w:rFonts w:ascii="Times New Roman" w:hAnsi="Times New Roman" w:cs="Times New Roman"/>
          <w:sz w:val="24"/>
          <w:szCs w:val="24"/>
        </w:rPr>
        <w:t>met from within the Jewish community: there are eleven sizeable</w:t>
      </w:r>
      <w:r w:rsidR="007837EF">
        <w:rPr>
          <w:rFonts w:ascii="Times New Roman" w:hAnsi="Times New Roman" w:cs="Times New Roman"/>
          <w:sz w:val="24"/>
          <w:szCs w:val="24"/>
        </w:rPr>
        <w:t xml:space="preserve"> Jewish</w:t>
      </w:r>
      <w:r>
        <w:rPr>
          <w:rFonts w:ascii="Times New Roman" w:hAnsi="Times New Roman" w:cs="Times New Roman"/>
          <w:sz w:val="24"/>
          <w:szCs w:val="24"/>
        </w:rPr>
        <w:t xml:space="preserve"> burial grounds in the capital, catering for different groups within the Jewish community. The most substantive development has been the creation of specific areas to meet Muslim need in the capital. The 20</w:t>
      </w:r>
      <w:r w:rsidR="007837EF">
        <w:rPr>
          <w:rFonts w:ascii="Times New Roman" w:hAnsi="Times New Roman" w:cs="Times New Roman"/>
          <w:sz w:val="24"/>
          <w:szCs w:val="24"/>
        </w:rPr>
        <w:t>10</w:t>
      </w:r>
      <w:r>
        <w:rPr>
          <w:rFonts w:ascii="Times New Roman" w:hAnsi="Times New Roman" w:cs="Times New Roman"/>
          <w:sz w:val="24"/>
          <w:szCs w:val="24"/>
        </w:rPr>
        <w:t xml:space="preserve"> Audit found that 23 cemeteries contained sections dedicated for use by the Muslim community.</w:t>
      </w:r>
      <w:r w:rsidR="0023190E">
        <w:rPr>
          <w:rFonts w:ascii="Times New Roman" w:hAnsi="Times New Roman" w:cs="Times New Roman"/>
          <w:sz w:val="24"/>
          <w:szCs w:val="24"/>
        </w:rPr>
        <w:t xml:space="preserve"> T</w:t>
      </w:r>
      <w:r>
        <w:rPr>
          <w:rFonts w:ascii="Times New Roman" w:hAnsi="Times New Roman" w:cs="Times New Roman"/>
          <w:sz w:val="24"/>
          <w:szCs w:val="24"/>
        </w:rPr>
        <w:t>wo</w:t>
      </w:r>
      <w:r w:rsidR="0023190E">
        <w:rPr>
          <w:rFonts w:ascii="Times New Roman" w:hAnsi="Times New Roman" w:cs="Times New Roman"/>
          <w:sz w:val="24"/>
          <w:szCs w:val="24"/>
        </w:rPr>
        <w:t xml:space="preserve"> large</w:t>
      </w:r>
      <w:r>
        <w:rPr>
          <w:rFonts w:ascii="Times New Roman" w:hAnsi="Times New Roman" w:cs="Times New Roman"/>
          <w:sz w:val="24"/>
          <w:szCs w:val="24"/>
        </w:rPr>
        <w:t xml:space="preserve"> Muslim burial grounds were</w:t>
      </w:r>
      <w:r w:rsidR="0023190E">
        <w:rPr>
          <w:rFonts w:ascii="Times New Roman" w:hAnsi="Times New Roman" w:cs="Times New Roman"/>
          <w:sz w:val="24"/>
          <w:szCs w:val="24"/>
        </w:rPr>
        <w:t xml:space="preserve"> also in use</w:t>
      </w:r>
      <w:r>
        <w:rPr>
          <w:rFonts w:ascii="Times New Roman" w:hAnsi="Times New Roman" w:cs="Times New Roman"/>
          <w:sz w:val="24"/>
          <w:szCs w:val="24"/>
        </w:rPr>
        <w:t>. The Muslim Gardens of Peace is a charitable trust which opened one site at Redb</w:t>
      </w:r>
      <w:r w:rsidR="0023190E">
        <w:rPr>
          <w:rFonts w:ascii="Times New Roman" w:hAnsi="Times New Roman" w:cs="Times New Roman"/>
          <w:sz w:val="24"/>
          <w:szCs w:val="24"/>
        </w:rPr>
        <w:t>ridge in 1998 and another in 2015</w:t>
      </w:r>
      <w:r>
        <w:rPr>
          <w:rFonts w:ascii="Times New Roman" w:hAnsi="Times New Roman" w:cs="Times New Roman"/>
          <w:sz w:val="24"/>
          <w:szCs w:val="24"/>
        </w:rPr>
        <w:t xml:space="preserve">. </w:t>
      </w:r>
      <w:r w:rsidR="0047081C">
        <w:rPr>
          <w:rFonts w:ascii="Times New Roman" w:hAnsi="Times New Roman" w:cs="Times New Roman"/>
          <w:sz w:val="24"/>
          <w:szCs w:val="24"/>
        </w:rPr>
        <w:t>There were</w:t>
      </w:r>
      <w:r w:rsidR="0023190E">
        <w:rPr>
          <w:rFonts w:ascii="Times New Roman" w:hAnsi="Times New Roman" w:cs="Times New Roman"/>
          <w:sz w:val="24"/>
          <w:szCs w:val="24"/>
        </w:rPr>
        <w:t xml:space="preserve"> also</w:t>
      </w:r>
      <w:r w:rsidR="0047081C">
        <w:rPr>
          <w:rFonts w:ascii="Times New Roman" w:hAnsi="Times New Roman" w:cs="Times New Roman"/>
          <w:sz w:val="24"/>
          <w:szCs w:val="24"/>
        </w:rPr>
        <w:t xml:space="preserve"> two sections within London cemeteries catering for Buddhist need.</w:t>
      </w:r>
    </w:p>
    <w:p w:rsidR="0047081C" w:rsidRDefault="0047081C">
      <w:pPr>
        <w:rPr>
          <w:rFonts w:ascii="Times New Roman" w:hAnsi="Times New Roman" w:cs="Times New Roman"/>
          <w:sz w:val="24"/>
          <w:szCs w:val="24"/>
        </w:rPr>
      </w:pPr>
      <w:r>
        <w:rPr>
          <w:rFonts w:ascii="Times New Roman" w:hAnsi="Times New Roman" w:cs="Times New Roman"/>
          <w:sz w:val="24"/>
          <w:szCs w:val="24"/>
        </w:rPr>
        <w:t xml:space="preserve">It is evident that London boroughs vary in their capacity and willingness to meet the burial needs of particular groups whose faith requires that burial space is managed in a particular way. Demand is spread unevenly across the capital and particular provision – for example, the Muslim Gardens of Peace – draws </w:t>
      </w:r>
      <w:r w:rsidR="007837EF">
        <w:rPr>
          <w:rFonts w:ascii="Times New Roman" w:hAnsi="Times New Roman" w:cs="Times New Roman"/>
          <w:sz w:val="24"/>
          <w:szCs w:val="24"/>
        </w:rPr>
        <w:t>burials</w:t>
      </w:r>
      <w:r>
        <w:rPr>
          <w:rFonts w:ascii="Times New Roman" w:hAnsi="Times New Roman" w:cs="Times New Roman"/>
          <w:sz w:val="24"/>
          <w:szCs w:val="24"/>
        </w:rPr>
        <w:t xml:space="preserve"> from a number of boroughs. However, even where boroughs have high levels of demand, it is not necessarily the case that demand will be met. Some Inner-London boroughs – including Tower Hamlets – have higher proportions of Muslim residents, but no specific capacity to meet that or indeed any need. </w:t>
      </w:r>
      <w:r w:rsidR="0023190E">
        <w:rPr>
          <w:rFonts w:ascii="Times New Roman" w:hAnsi="Times New Roman" w:cs="Times New Roman"/>
          <w:sz w:val="24"/>
          <w:szCs w:val="24"/>
        </w:rPr>
        <w:t xml:space="preserve">Inner London residents often travel to neighbouring boroughs for burial space, </w:t>
      </w:r>
      <w:r w:rsidR="007F3DD1">
        <w:rPr>
          <w:rFonts w:ascii="Times New Roman" w:hAnsi="Times New Roman" w:cs="Times New Roman"/>
          <w:sz w:val="24"/>
          <w:szCs w:val="24"/>
        </w:rPr>
        <w:t>and some London demand is met in cemeteries outside the Greater London boundary.</w:t>
      </w:r>
    </w:p>
    <w:p w:rsidR="00944450" w:rsidRDefault="0047081C">
      <w:pPr>
        <w:rPr>
          <w:rFonts w:ascii="Times New Roman" w:hAnsi="Times New Roman" w:cs="Times New Roman"/>
          <w:sz w:val="24"/>
          <w:szCs w:val="24"/>
        </w:rPr>
      </w:pPr>
      <w:r>
        <w:rPr>
          <w:rFonts w:ascii="Times New Roman" w:hAnsi="Times New Roman" w:cs="Times New Roman"/>
          <w:sz w:val="24"/>
          <w:szCs w:val="24"/>
        </w:rPr>
        <w:t xml:space="preserve"> </w:t>
      </w:r>
      <w:r w:rsidR="00944450">
        <w:rPr>
          <w:rFonts w:ascii="Times New Roman" w:hAnsi="Times New Roman" w:cs="Times New Roman"/>
          <w:sz w:val="24"/>
          <w:szCs w:val="24"/>
        </w:rPr>
        <w:t xml:space="preserve"> </w:t>
      </w:r>
    </w:p>
    <w:p w:rsidR="00944450" w:rsidRPr="0047081C" w:rsidRDefault="0047081C">
      <w:pPr>
        <w:rPr>
          <w:rFonts w:ascii="Times New Roman" w:hAnsi="Times New Roman" w:cs="Times New Roman"/>
          <w:b/>
          <w:sz w:val="24"/>
          <w:szCs w:val="24"/>
        </w:rPr>
      </w:pPr>
      <w:r>
        <w:rPr>
          <w:rFonts w:ascii="Times New Roman" w:hAnsi="Times New Roman" w:cs="Times New Roman"/>
          <w:b/>
          <w:sz w:val="24"/>
          <w:szCs w:val="24"/>
        </w:rPr>
        <w:t xml:space="preserve">Human rights, </w:t>
      </w:r>
      <w:r w:rsidR="00D507DB">
        <w:rPr>
          <w:rFonts w:ascii="Times New Roman" w:hAnsi="Times New Roman" w:cs="Times New Roman"/>
          <w:b/>
          <w:sz w:val="24"/>
          <w:szCs w:val="24"/>
        </w:rPr>
        <w:t xml:space="preserve">ethics and </w:t>
      </w:r>
      <w:r w:rsidR="00C930A5">
        <w:rPr>
          <w:rFonts w:ascii="Times New Roman" w:hAnsi="Times New Roman" w:cs="Times New Roman"/>
          <w:b/>
          <w:sz w:val="24"/>
          <w:szCs w:val="24"/>
        </w:rPr>
        <w:t>disposal of the dead</w:t>
      </w:r>
      <w:r>
        <w:rPr>
          <w:rFonts w:ascii="Times New Roman" w:hAnsi="Times New Roman" w:cs="Times New Roman"/>
          <w:b/>
          <w:sz w:val="24"/>
          <w:szCs w:val="24"/>
        </w:rPr>
        <w:t xml:space="preserve"> and the law in the UK</w:t>
      </w:r>
    </w:p>
    <w:p w:rsidR="007F3DD1" w:rsidRDefault="007F3DD1">
      <w:pPr>
        <w:rPr>
          <w:rFonts w:ascii="Times New Roman" w:hAnsi="Times New Roman" w:cs="Times New Roman"/>
          <w:sz w:val="24"/>
          <w:szCs w:val="24"/>
        </w:rPr>
      </w:pPr>
      <w:r>
        <w:rPr>
          <w:rFonts w:ascii="Times New Roman" w:hAnsi="Times New Roman" w:cs="Times New Roman"/>
          <w:sz w:val="24"/>
          <w:szCs w:val="24"/>
        </w:rPr>
        <w:t xml:space="preserve">English burial history constitutes a distinctive context in which to consider human rights and burial provision. </w:t>
      </w:r>
      <w:r w:rsidR="009178A9">
        <w:rPr>
          <w:rFonts w:ascii="Times New Roman" w:hAnsi="Times New Roman" w:cs="Times New Roman"/>
          <w:sz w:val="24"/>
          <w:szCs w:val="24"/>
        </w:rPr>
        <w:t xml:space="preserve">Other chapters in this text will discuss the issue of burials in the context of nations where the state is overtly secular, and where religious equality in terms of burial creates particular tensions. </w:t>
      </w:r>
      <w:r w:rsidR="007837EF">
        <w:rPr>
          <w:rFonts w:ascii="Times New Roman" w:hAnsi="Times New Roman" w:cs="Times New Roman"/>
          <w:sz w:val="24"/>
          <w:szCs w:val="24"/>
        </w:rPr>
        <w:t>The UK is a Christian country in principle, but th</w:t>
      </w:r>
      <w:r w:rsidR="00E91D39">
        <w:rPr>
          <w:rFonts w:ascii="Times New Roman" w:hAnsi="Times New Roman" w:cs="Times New Roman"/>
          <w:sz w:val="24"/>
          <w:szCs w:val="24"/>
        </w:rPr>
        <w:t>e Church of England has, in recent years, tended</w:t>
      </w:r>
      <w:r w:rsidR="007837EF">
        <w:rPr>
          <w:rFonts w:ascii="Times New Roman" w:hAnsi="Times New Roman" w:cs="Times New Roman"/>
          <w:sz w:val="24"/>
          <w:szCs w:val="24"/>
        </w:rPr>
        <w:t xml:space="preserve"> to embrace religious diversity</w:t>
      </w:r>
      <w:r w:rsidR="00E91D39">
        <w:rPr>
          <w:rFonts w:ascii="Times New Roman" w:hAnsi="Times New Roman" w:cs="Times New Roman"/>
          <w:sz w:val="24"/>
          <w:szCs w:val="24"/>
        </w:rPr>
        <w:t xml:space="preserve"> and to promote religious tolerance</w:t>
      </w:r>
      <w:r w:rsidR="007837EF">
        <w:rPr>
          <w:rFonts w:ascii="Times New Roman" w:hAnsi="Times New Roman" w:cs="Times New Roman"/>
          <w:sz w:val="24"/>
          <w:szCs w:val="24"/>
        </w:rPr>
        <w:t>. The</w:t>
      </w:r>
      <w:r w:rsidR="00335031">
        <w:rPr>
          <w:rFonts w:ascii="Times New Roman" w:hAnsi="Times New Roman" w:cs="Times New Roman"/>
          <w:sz w:val="24"/>
          <w:szCs w:val="24"/>
        </w:rPr>
        <w:t xml:space="preserve"> UK is a pluralist society. </w:t>
      </w:r>
      <w:r w:rsidR="00E91D39">
        <w:rPr>
          <w:rFonts w:ascii="Times New Roman" w:hAnsi="Times New Roman" w:cs="Times New Roman"/>
          <w:sz w:val="24"/>
          <w:szCs w:val="24"/>
        </w:rPr>
        <w:t xml:space="preserve">A tolerance of faith creates a general </w:t>
      </w:r>
      <w:r>
        <w:rPr>
          <w:rFonts w:ascii="Times New Roman" w:hAnsi="Times New Roman" w:cs="Times New Roman"/>
          <w:sz w:val="24"/>
          <w:szCs w:val="24"/>
        </w:rPr>
        <w:t xml:space="preserve">presumption of </w:t>
      </w:r>
      <w:r w:rsidR="00E91D39">
        <w:rPr>
          <w:rFonts w:ascii="Times New Roman" w:hAnsi="Times New Roman" w:cs="Times New Roman"/>
          <w:sz w:val="24"/>
          <w:szCs w:val="24"/>
        </w:rPr>
        <w:t>respect</w:t>
      </w:r>
      <w:r>
        <w:rPr>
          <w:rFonts w:ascii="Times New Roman" w:hAnsi="Times New Roman" w:cs="Times New Roman"/>
          <w:sz w:val="24"/>
          <w:szCs w:val="24"/>
        </w:rPr>
        <w:t xml:space="preserve"> for</w:t>
      </w:r>
      <w:r w:rsidR="00E91D39">
        <w:rPr>
          <w:rFonts w:ascii="Times New Roman" w:hAnsi="Times New Roman" w:cs="Times New Roman"/>
          <w:sz w:val="24"/>
          <w:szCs w:val="24"/>
        </w:rPr>
        <w:t xml:space="preserve"> religious difference in funerary practice</w:t>
      </w:r>
      <w:r>
        <w:rPr>
          <w:rFonts w:ascii="Times New Roman" w:hAnsi="Times New Roman" w:cs="Times New Roman"/>
          <w:sz w:val="24"/>
          <w:szCs w:val="24"/>
        </w:rPr>
        <w:t>. L</w:t>
      </w:r>
      <w:r w:rsidR="00E91D39">
        <w:rPr>
          <w:rFonts w:ascii="Times New Roman" w:hAnsi="Times New Roman" w:cs="Times New Roman"/>
          <w:sz w:val="24"/>
          <w:szCs w:val="24"/>
        </w:rPr>
        <w:t>ocal authorities</w:t>
      </w:r>
      <w:r>
        <w:rPr>
          <w:rFonts w:ascii="Times New Roman" w:hAnsi="Times New Roman" w:cs="Times New Roman"/>
          <w:sz w:val="24"/>
          <w:szCs w:val="24"/>
        </w:rPr>
        <w:t xml:space="preserve"> </w:t>
      </w:r>
      <w:r w:rsidR="00E91D39">
        <w:rPr>
          <w:rFonts w:ascii="Times New Roman" w:hAnsi="Times New Roman" w:cs="Times New Roman"/>
          <w:sz w:val="24"/>
          <w:szCs w:val="24"/>
        </w:rPr>
        <w:t>in principle aim</w:t>
      </w:r>
      <w:r>
        <w:rPr>
          <w:rFonts w:ascii="Times New Roman" w:hAnsi="Times New Roman" w:cs="Times New Roman"/>
          <w:sz w:val="24"/>
          <w:szCs w:val="24"/>
        </w:rPr>
        <w:t xml:space="preserve"> to meet diverse and non-Christian need. Indeed, the first specifically Muslim section was created in Birmingham in the 1930s </w:t>
      </w:r>
    </w:p>
    <w:p w:rsidR="00E23842" w:rsidRDefault="00335031">
      <w:pPr>
        <w:rPr>
          <w:rFonts w:ascii="Times New Roman" w:hAnsi="Times New Roman" w:cs="Times New Roman"/>
          <w:sz w:val="24"/>
          <w:szCs w:val="24"/>
        </w:rPr>
      </w:pPr>
      <w:r>
        <w:rPr>
          <w:rFonts w:ascii="Times New Roman" w:hAnsi="Times New Roman" w:cs="Times New Roman"/>
          <w:sz w:val="24"/>
          <w:szCs w:val="24"/>
        </w:rPr>
        <w:t>However, there are instances and ci</w:t>
      </w:r>
      <w:r w:rsidR="007F3DD1">
        <w:rPr>
          <w:rFonts w:ascii="Times New Roman" w:hAnsi="Times New Roman" w:cs="Times New Roman"/>
          <w:sz w:val="24"/>
          <w:szCs w:val="24"/>
        </w:rPr>
        <w:t>rcumstances which challenge the ‘toleration’</w:t>
      </w:r>
      <w:r>
        <w:rPr>
          <w:rFonts w:ascii="Times New Roman" w:hAnsi="Times New Roman" w:cs="Times New Roman"/>
          <w:sz w:val="24"/>
          <w:szCs w:val="24"/>
        </w:rPr>
        <w:t xml:space="preserve"> </w:t>
      </w:r>
      <w:proofErr w:type="gramStart"/>
      <w:r w:rsidR="00BB5299">
        <w:rPr>
          <w:rFonts w:ascii="Times New Roman" w:hAnsi="Times New Roman" w:cs="Times New Roman"/>
          <w:sz w:val="24"/>
          <w:szCs w:val="24"/>
        </w:rPr>
        <w:t>principle</w:t>
      </w:r>
      <w:r w:rsidR="007F3DD1">
        <w:rPr>
          <w:rFonts w:ascii="Times New Roman" w:hAnsi="Times New Roman" w:cs="Times New Roman"/>
          <w:sz w:val="24"/>
          <w:szCs w:val="24"/>
        </w:rPr>
        <w:t>,</w:t>
      </w:r>
      <w:proofErr w:type="gramEnd"/>
      <w:r w:rsidR="00BB5299">
        <w:rPr>
          <w:rFonts w:ascii="Times New Roman" w:hAnsi="Times New Roman" w:cs="Times New Roman"/>
          <w:sz w:val="24"/>
          <w:szCs w:val="24"/>
        </w:rPr>
        <w:t xml:space="preserve"> and two examples will be discussed. T</w:t>
      </w:r>
      <w:r w:rsidR="00E23091">
        <w:rPr>
          <w:rFonts w:ascii="Times New Roman" w:hAnsi="Times New Roman" w:cs="Times New Roman"/>
          <w:sz w:val="24"/>
          <w:szCs w:val="24"/>
        </w:rPr>
        <w:t xml:space="preserve">he first concerns the case of Davinder </w:t>
      </w:r>
      <w:proofErr w:type="spellStart"/>
      <w:r w:rsidR="00E23091">
        <w:rPr>
          <w:rFonts w:ascii="Times New Roman" w:hAnsi="Times New Roman" w:cs="Times New Roman"/>
          <w:sz w:val="24"/>
          <w:szCs w:val="24"/>
        </w:rPr>
        <w:t>Ghai</w:t>
      </w:r>
      <w:proofErr w:type="spellEnd"/>
      <w:r w:rsidR="00E23091">
        <w:rPr>
          <w:rFonts w:ascii="Times New Roman" w:hAnsi="Times New Roman" w:cs="Times New Roman"/>
          <w:sz w:val="24"/>
          <w:szCs w:val="24"/>
        </w:rPr>
        <w:t>, a Hindu, who in 2006 applied to Newcastle City Council for permission to arrange for his body to be burned on a pyre after his death. Permission was refused and duly challenged, but in February 2010 that challenge was overturned by the Court of Appeal. The legality of the debate tended to rest on definition of the purport of the Cremation Act, 1902 which prohibits the cremation of human remains outside a crematorium, defined as ‘any building fitted with appliances for the purse of burning human remains’ (s2).</w:t>
      </w:r>
      <w:r w:rsidR="00E23842">
        <w:rPr>
          <w:rFonts w:ascii="Times New Roman" w:hAnsi="Times New Roman" w:cs="Times New Roman"/>
          <w:sz w:val="24"/>
          <w:szCs w:val="24"/>
        </w:rPr>
        <w:t xml:space="preserve"> The judgement found that an unnecessarily restrictive interpretation had been given to the term ‘building’. A funeral pyre of the type proposed by </w:t>
      </w:r>
      <w:proofErr w:type="spellStart"/>
      <w:r w:rsidR="00E23842">
        <w:rPr>
          <w:rFonts w:ascii="Times New Roman" w:hAnsi="Times New Roman" w:cs="Times New Roman"/>
          <w:sz w:val="24"/>
          <w:szCs w:val="24"/>
        </w:rPr>
        <w:t>Ghai</w:t>
      </w:r>
      <w:proofErr w:type="spellEnd"/>
      <w:r w:rsidR="00E23842">
        <w:rPr>
          <w:rFonts w:ascii="Times New Roman" w:hAnsi="Times New Roman" w:cs="Times New Roman"/>
          <w:sz w:val="24"/>
          <w:szCs w:val="24"/>
        </w:rPr>
        <w:t xml:space="preserve">, which comprised a walled enclosure, could be interpreted as being a building. No explicit reference was made to </w:t>
      </w:r>
      <w:proofErr w:type="spellStart"/>
      <w:r w:rsidR="00E23842">
        <w:rPr>
          <w:rFonts w:ascii="Times New Roman" w:hAnsi="Times New Roman" w:cs="Times New Roman"/>
          <w:sz w:val="24"/>
          <w:szCs w:val="24"/>
        </w:rPr>
        <w:t>Ghai’s</w:t>
      </w:r>
      <w:proofErr w:type="spellEnd"/>
      <w:r w:rsidR="00E23842">
        <w:rPr>
          <w:rFonts w:ascii="Times New Roman" w:hAnsi="Times New Roman" w:cs="Times New Roman"/>
          <w:sz w:val="24"/>
          <w:szCs w:val="24"/>
        </w:rPr>
        <w:t xml:space="preserve"> human rights with regard to pyre cremation, but the issue did provoke a wider and largely academic disc</w:t>
      </w:r>
      <w:r w:rsidR="007837EF">
        <w:rPr>
          <w:rFonts w:ascii="Times New Roman" w:hAnsi="Times New Roman" w:cs="Times New Roman"/>
          <w:sz w:val="24"/>
          <w:szCs w:val="24"/>
        </w:rPr>
        <w:t>ussion of the matter (</w:t>
      </w:r>
      <w:proofErr w:type="spellStart"/>
      <w:r w:rsidR="007837EF">
        <w:rPr>
          <w:rFonts w:ascii="Times New Roman" w:hAnsi="Times New Roman" w:cs="Times New Roman"/>
          <w:sz w:val="24"/>
          <w:szCs w:val="24"/>
        </w:rPr>
        <w:t>Cumper</w:t>
      </w:r>
      <w:proofErr w:type="spellEnd"/>
      <w:r w:rsidR="007837EF">
        <w:rPr>
          <w:rFonts w:ascii="Times New Roman" w:hAnsi="Times New Roman" w:cs="Times New Roman"/>
          <w:sz w:val="24"/>
          <w:szCs w:val="24"/>
        </w:rPr>
        <w:t xml:space="preserve">, 2010, </w:t>
      </w:r>
      <w:proofErr w:type="spellStart"/>
      <w:r w:rsidR="007837EF">
        <w:rPr>
          <w:rFonts w:ascii="Times New Roman" w:hAnsi="Times New Roman" w:cs="Times New Roman"/>
          <w:sz w:val="24"/>
          <w:szCs w:val="24"/>
        </w:rPr>
        <w:t>Juss</w:t>
      </w:r>
      <w:proofErr w:type="spellEnd"/>
      <w:r w:rsidR="007837EF">
        <w:rPr>
          <w:rFonts w:ascii="Times New Roman" w:hAnsi="Times New Roman" w:cs="Times New Roman"/>
          <w:sz w:val="24"/>
          <w:szCs w:val="24"/>
        </w:rPr>
        <w:t>, 2013)</w:t>
      </w:r>
      <w:r w:rsidR="00E23842">
        <w:rPr>
          <w:rFonts w:ascii="Times New Roman" w:hAnsi="Times New Roman" w:cs="Times New Roman"/>
          <w:sz w:val="24"/>
          <w:szCs w:val="24"/>
        </w:rPr>
        <w:t xml:space="preserve">. </w:t>
      </w:r>
    </w:p>
    <w:p w:rsidR="00BB5299" w:rsidRDefault="00E23842">
      <w:pPr>
        <w:rPr>
          <w:rFonts w:ascii="Times New Roman" w:hAnsi="Times New Roman" w:cs="Times New Roman"/>
          <w:sz w:val="24"/>
          <w:szCs w:val="24"/>
        </w:rPr>
      </w:pPr>
      <w:r>
        <w:rPr>
          <w:rFonts w:ascii="Times New Roman" w:hAnsi="Times New Roman" w:cs="Times New Roman"/>
          <w:sz w:val="24"/>
          <w:szCs w:val="24"/>
        </w:rPr>
        <w:t xml:space="preserve">Despite the fact that </w:t>
      </w:r>
      <w:proofErr w:type="spellStart"/>
      <w:r>
        <w:rPr>
          <w:rFonts w:ascii="Times New Roman" w:hAnsi="Times New Roman" w:cs="Times New Roman"/>
          <w:sz w:val="24"/>
          <w:szCs w:val="24"/>
        </w:rPr>
        <w:t>Ghai’s</w:t>
      </w:r>
      <w:proofErr w:type="spellEnd"/>
      <w:r>
        <w:rPr>
          <w:rFonts w:ascii="Times New Roman" w:hAnsi="Times New Roman" w:cs="Times New Roman"/>
          <w:sz w:val="24"/>
          <w:szCs w:val="24"/>
        </w:rPr>
        <w:t xml:space="preserve"> plans have been judged to be not illegal with reference to the Cremation Act, 1902, there are as yet unresolved regulatory difficulties with regard to planning and public health legislation. European legislation strictly controls cremation </w:t>
      </w:r>
      <w:r w:rsidR="007F3DD1">
        <w:rPr>
          <w:rFonts w:ascii="Times New Roman" w:hAnsi="Times New Roman" w:cs="Times New Roman"/>
          <w:sz w:val="24"/>
          <w:szCs w:val="24"/>
        </w:rPr>
        <w:t xml:space="preserve">emissions: indeed, compliance with the regulations has meant considerable investment in </w:t>
      </w:r>
      <w:r>
        <w:rPr>
          <w:rFonts w:ascii="Times New Roman" w:hAnsi="Times New Roman" w:cs="Times New Roman"/>
          <w:sz w:val="24"/>
          <w:szCs w:val="24"/>
        </w:rPr>
        <w:t>upgrading and replacing cremators</w:t>
      </w:r>
      <w:r w:rsidR="007F3DD1">
        <w:rPr>
          <w:rFonts w:ascii="Times New Roman" w:hAnsi="Times New Roman" w:cs="Times New Roman"/>
          <w:sz w:val="24"/>
          <w:szCs w:val="24"/>
        </w:rPr>
        <w:t xml:space="preserve"> in the UK</w:t>
      </w:r>
      <w:r>
        <w:rPr>
          <w:rFonts w:ascii="Times New Roman" w:hAnsi="Times New Roman" w:cs="Times New Roman"/>
          <w:sz w:val="24"/>
          <w:szCs w:val="24"/>
        </w:rPr>
        <w:t xml:space="preserve">. Much of the academic debate on pyre cremation has rested on the human right to decisions on the matter of disposal, but none have addressed the ethical concerns relating to possible </w:t>
      </w:r>
      <w:r w:rsidR="007F3DD1">
        <w:rPr>
          <w:rFonts w:ascii="Times New Roman" w:hAnsi="Times New Roman" w:cs="Times New Roman"/>
          <w:sz w:val="24"/>
          <w:szCs w:val="24"/>
        </w:rPr>
        <w:t xml:space="preserve">environmental </w:t>
      </w:r>
      <w:r>
        <w:rPr>
          <w:rFonts w:ascii="Times New Roman" w:hAnsi="Times New Roman" w:cs="Times New Roman"/>
          <w:sz w:val="24"/>
          <w:szCs w:val="24"/>
        </w:rPr>
        <w:t>harm caused by the practic</w:t>
      </w:r>
      <w:r w:rsidR="00D507DB">
        <w:rPr>
          <w:rFonts w:ascii="Times New Roman" w:hAnsi="Times New Roman" w:cs="Times New Roman"/>
          <w:sz w:val="24"/>
          <w:szCs w:val="24"/>
        </w:rPr>
        <w:t>e</w:t>
      </w:r>
      <w:r w:rsidR="004D4FF2">
        <w:rPr>
          <w:rFonts w:ascii="Times New Roman" w:hAnsi="Times New Roman" w:cs="Times New Roman"/>
          <w:sz w:val="24"/>
          <w:szCs w:val="24"/>
        </w:rPr>
        <w:t xml:space="preserve"> (Parekh, 1999)</w:t>
      </w:r>
      <w:r w:rsidR="00D507DB">
        <w:rPr>
          <w:rFonts w:ascii="Times New Roman" w:hAnsi="Times New Roman" w:cs="Times New Roman"/>
          <w:sz w:val="24"/>
          <w:szCs w:val="24"/>
        </w:rPr>
        <w:t xml:space="preserve">. It might be argued that the </w:t>
      </w:r>
      <w:r>
        <w:rPr>
          <w:rFonts w:ascii="Times New Roman" w:hAnsi="Times New Roman" w:cs="Times New Roman"/>
          <w:sz w:val="24"/>
          <w:szCs w:val="24"/>
        </w:rPr>
        <w:t>scale of pyre cremation is unlikely to be considerable</w:t>
      </w:r>
      <w:r w:rsidR="00D507DB">
        <w:rPr>
          <w:rFonts w:ascii="Times New Roman" w:hAnsi="Times New Roman" w:cs="Times New Roman"/>
          <w:sz w:val="24"/>
          <w:szCs w:val="24"/>
        </w:rPr>
        <w:t xml:space="preserve"> and so the risk of harm is minor. However, in recent comment to the media, </w:t>
      </w:r>
      <w:proofErr w:type="spellStart"/>
      <w:r w:rsidR="00D507DB">
        <w:rPr>
          <w:rFonts w:ascii="Times New Roman" w:hAnsi="Times New Roman" w:cs="Times New Roman"/>
          <w:sz w:val="24"/>
          <w:szCs w:val="24"/>
        </w:rPr>
        <w:t>Ghai</w:t>
      </w:r>
      <w:proofErr w:type="spellEnd"/>
      <w:r w:rsidR="00D507DB">
        <w:rPr>
          <w:rFonts w:ascii="Times New Roman" w:hAnsi="Times New Roman" w:cs="Times New Roman"/>
          <w:sz w:val="24"/>
          <w:szCs w:val="24"/>
        </w:rPr>
        <w:t xml:space="preserve"> has argued that pyre cremation might be a possible response to funeral poverty, in constituting a cheaper alternative to conventional cremation (Marsh, 2015). Pyre cremation may be allowed in principle, on the basis that </w:t>
      </w:r>
      <w:proofErr w:type="spellStart"/>
      <w:r w:rsidR="00D507DB">
        <w:rPr>
          <w:rFonts w:ascii="Times New Roman" w:hAnsi="Times New Roman" w:cs="Times New Roman"/>
          <w:sz w:val="24"/>
          <w:szCs w:val="24"/>
        </w:rPr>
        <w:t>Ghai</w:t>
      </w:r>
      <w:proofErr w:type="spellEnd"/>
      <w:r w:rsidR="00D507DB">
        <w:rPr>
          <w:rFonts w:ascii="Times New Roman" w:hAnsi="Times New Roman" w:cs="Times New Roman"/>
          <w:sz w:val="24"/>
          <w:szCs w:val="24"/>
        </w:rPr>
        <w:t xml:space="preserve"> </w:t>
      </w:r>
      <w:r w:rsidR="00E32971">
        <w:rPr>
          <w:rFonts w:ascii="Times New Roman" w:hAnsi="Times New Roman" w:cs="Times New Roman"/>
          <w:sz w:val="24"/>
          <w:szCs w:val="24"/>
        </w:rPr>
        <w:t xml:space="preserve">should not be denied </w:t>
      </w:r>
      <w:r w:rsidR="00D507DB">
        <w:rPr>
          <w:rFonts w:ascii="Times New Roman" w:hAnsi="Times New Roman" w:cs="Times New Roman"/>
          <w:sz w:val="24"/>
          <w:szCs w:val="24"/>
        </w:rPr>
        <w:t>the right to material exp</w:t>
      </w:r>
      <w:r w:rsidR="00492279">
        <w:rPr>
          <w:rFonts w:ascii="Times New Roman" w:hAnsi="Times New Roman" w:cs="Times New Roman"/>
          <w:sz w:val="24"/>
          <w:szCs w:val="24"/>
        </w:rPr>
        <w:t>ression of his faith. T</w:t>
      </w:r>
      <w:r w:rsidR="00D507DB">
        <w:rPr>
          <w:rFonts w:ascii="Times New Roman" w:hAnsi="Times New Roman" w:cs="Times New Roman"/>
          <w:sz w:val="24"/>
          <w:szCs w:val="24"/>
        </w:rPr>
        <w:t xml:space="preserve">he question of whether pyre cremation should be permitted as a </w:t>
      </w:r>
      <w:r w:rsidR="00492279">
        <w:rPr>
          <w:rFonts w:ascii="Times New Roman" w:hAnsi="Times New Roman" w:cs="Times New Roman"/>
          <w:sz w:val="24"/>
          <w:szCs w:val="24"/>
        </w:rPr>
        <w:t>generalised preference</w:t>
      </w:r>
      <w:r w:rsidR="00E32971">
        <w:rPr>
          <w:rFonts w:ascii="Times New Roman" w:hAnsi="Times New Roman" w:cs="Times New Roman"/>
          <w:sz w:val="24"/>
          <w:szCs w:val="24"/>
        </w:rPr>
        <w:t xml:space="preserve"> remains moot, since higher incidence</w:t>
      </w:r>
      <w:r w:rsidR="00D507DB">
        <w:rPr>
          <w:rFonts w:ascii="Times New Roman" w:hAnsi="Times New Roman" w:cs="Times New Roman"/>
          <w:sz w:val="24"/>
          <w:szCs w:val="24"/>
        </w:rPr>
        <w:t xml:space="preserve"> escalate</w:t>
      </w:r>
      <w:r w:rsidR="00E32971">
        <w:rPr>
          <w:rFonts w:ascii="Times New Roman" w:hAnsi="Times New Roman" w:cs="Times New Roman"/>
          <w:sz w:val="24"/>
          <w:szCs w:val="24"/>
        </w:rPr>
        <w:t>s</w:t>
      </w:r>
      <w:r w:rsidR="00D507DB">
        <w:rPr>
          <w:rFonts w:ascii="Times New Roman" w:hAnsi="Times New Roman" w:cs="Times New Roman"/>
          <w:sz w:val="24"/>
          <w:szCs w:val="24"/>
        </w:rPr>
        <w:t xml:space="preserve"> the scale of</w:t>
      </w:r>
      <w:r w:rsidR="00492279">
        <w:rPr>
          <w:rFonts w:ascii="Times New Roman" w:hAnsi="Times New Roman" w:cs="Times New Roman"/>
          <w:sz w:val="24"/>
          <w:szCs w:val="24"/>
        </w:rPr>
        <w:t xml:space="preserve"> environmental</w:t>
      </w:r>
      <w:r w:rsidR="00D507DB">
        <w:rPr>
          <w:rFonts w:ascii="Times New Roman" w:hAnsi="Times New Roman" w:cs="Times New Roman"/>
          <w:sz w:val="24"/>
          <w:szCs w:val="24"/>
        </w:rPr>
        <w:t xml:space="preserve"> harm. </w:t>
      </w:r>
      <w:r>
        <w:rPr>
          <w:rFonts w:ascii="Times New Roman" w:hAnsi="Times New Roman" w:cs="Times New Roman"/>
          <w:sz w:val="24"/>
          <w:szCs w:val="24"/>
        </w:rPr>
        <w:t xml:space="preserve"> </w:t>
      </w:r>
      <w:r w:rsidR="00E23091">
        <w:rPr>
          <w:rFonts w:ascii="Times New Roman" w:hAnsi="Times New Roman" w:cs="Times New Roman"/>
          <w:sz w:val="24"/>
          <w:szCs w:val="24"/>
        </w:rPr>
        <w:t xml:space="preserve"> </w:t>
      </w:r>
    </w:p>
    <w:p w:rsidR="00E32971" w:rsidRDefault="00D507DB">
      <w:pPr>
        <w:rPr>
          <w:rFonts w:ascii="Times New Roman" w:hAnsi="Times New Roman" w:cs="Times New Roman"/>
          <w:sz w:val="24"/>
          <w:szCs w:val="24"/>
        </w:rPr>
      </w:pPr>
      <w:r>
        <w:rPr>
          <w:rFonts w:ascii="Times New Roman" w:hAnsi="Times New Roman" w:cs="Times New Roman"/>
          <w:sz w:val="24"/>
          <w:szCs w:val="24"/>
        </w:rPr>
        <w:t>Second, i</w:t>
      </w:r>
      <w:r w:rsidR="004371FB">
        <w:rPr>
          <w:rFonts w:ascii="Times New Roman" w:hAnsi="Times New Roman" w:cs="Times New Roman"/>
          <w:sz w:val="24"/>
          <w:szCs w:val="24"/>
        </w:rPr>
        <w:t>ssues remain on the provision of land for interment. I</w:t>
      </w:r>
      <w:r w:rsidR="00E91D39">
        <w:rPr>
          <w:rFonts w:ascii="Times New Roman" w:hAnsi="Times New Roman" w:cs="Times New Roman"/>
          <w:sz w:val="24"/>
          <w:szCs w:val="24"/>
        </w:rPr>
        <w:t>t is</w:t>
      </w:r>
      <w:r w:rsidR="004371FB">
        <w:rPr>
          <w:rFonts w:ascii="Times New Roman" w:hAnsi="Times New Roman" w:cs="Times New Roman"/>
          <w:sz w:val="24"/>
          <w:szCs w:val="24"/>
        </w:rPr>
        <w:t xml:space="preserve"> evidently</w:t>
      </w:r>
      <w:r w:rsidR="00E91D39">
        <w:rPr>
          <w:rFonts w:ascii="Times New Roman" w:hAnsi="Times New Roman" w:cs="Times New Roman"/>
          <w:sz w:val="24"/>
          <w:szCs w:val="24"/>
        </w:rPr>
        <w:t xml:space="preserve"> inequitable that certain groups should themselves fund the creation of burial space for their own usage, whilst at the same time paying local rates that may be used to finance and manage burial space for the rest of the community. This has traditionally been the case for the Jewish community, which even from the nineteenth century took financial responsibility for elements of welfare, education and burial provision to meet the specific faith needs of Jewish people. It was felt, at that time, that if the Jewish community proved to be burdensome to the British taxpayer, then steps would be taken to restrict levels of in-migration (Alderman, 1992). In the UK, the Muslim community has – in some locations – stepped outside the local taxation system and itself funded the provision of burial space using a charitable trust framework, as in the case of the Muslim Gardens of Peace, or through private finance arrange</w:t>
      </w:r>
      <w:r w:rsidR="004371FB">
        <w:rPr>
          <w:rFonts w:ascii="Times New Roman" w:hAnsi="Times New Roman" w:cs="Times New Roman"/>
          <w:sz w:val="24"/>
          <w:szCs w:val="24"/>
        </w:rPr>
        <w:t>ments</w:t>
      </w:r>
      <w:r w:rsidR="00E32971">
        <w:rPr>
          <w:rFonts w:ascii="Times New Roman" w:hAnsi="Times New Roman" w:cs="Times New Roman"/>
          <w:sz w:val="24"/>
          <w:szCs w:val="24"/>
        </w:rPr>
        <w:t>.</w:t>
      </w:r>
      <w:r w:rsidR="004371FB">
        <w:rPr>
          <w:rFonts w:ascii="Times New Roman" w:hAnsi="Times New Roman" w:cs="Times New Roman"/>
          <w:sz w:val="24"/>
          <w:szCs w:val="24"/>
        </w:rPr>
        <w:t xml:space="preserve"> </w:t>
      </w:r>
      <w:r w:rsidR="00E32971">
        <w:rPr>
          <w:rFonts w:ascii="Times New Roman" w:hAnsi="Times New Roman" w:cs="Times New Roman"/>
          <w:sz w:val="24"/>
          <w:szCs w:val="24"/>
        </w:rPr>
        <w:t>For some Muslim groups, control of a section can ensure that all ritual needs are met, including the provision of washing facilities.</w:t>
      </w:r>
    </w:p>
    <w:p w:rsidR="00492279" w:rsidRDefault="004371FB">
      <w:pPr>
        <w:rPr>
          <w:rFonts w:ascii="Times New Roman" w:hAnsi="Times New Roman" w:cs="Times New Roman"/>
          <w:sz w:val="24"/>
          <w:szCs w:val="24"/>
        </w:rPr>
      </w:pPr>
      <w:r>
        <w:rPr>
          <w:rFonts w:ascii="Times New Roman" w:hAnsi="Times New Roman" w:cs="Times New Roman"/>
          <w:sz w:val="24"/>
          <w:szCs w:val="24"/>
        </w:rPr>
        <w:t>However, sitting underneath this issue are tension which arise less as a consequence of absolute difference</w:t>
      </w:r>
      <w:r w:rsidR="00D507DB">
        <w:rPr>
          <w:rFonts w:ascii="Times New Roman" w:hAnsi="Times New Roman" w:cs="Times New Roman"/>
          <w:sz w:val="24"/>
          <w:szCs w:val="24"/>
        </w:rPr>
        <w:t xml:space="preserve"> in funerary practice</w:t>
      </w:r>
      <w:r>
        <w:rPr>
          <w:rFonts w:ascii="Times New Roman" w:hAnsi="Times New Roman" w:cs="Times New Roman"/>
          <w:sz w:val="24"/>
          <w:szCs w:val="24"/>
        </w:rPr>
        <w:t xml:space="preserve">, and </w:t>
      </w:r>
      <w:r w:rsidR="00D507DB">
        <w:rPr>
          <w:rFonts w:ascii="Times New Roman" w:hAnsi="Times New Roman" w:cs="Times New Roman"/>
          <w:sz w:val="24"/>
          <w:szCs w:val="24"/>
        </w:rPr>
        <w:t>more as a reflection of the</w:t>
      </w:r>
      <w:r>
        <w:rPr>
          <w:rFonts w:ascii="Times New Roman" w:hAnsi="Times New Roman" w:cs="Times New Roman"/>
          <w:sz w:val="24"/>
          <w:szCs w:val="24"/>
        </w:rPr>
        <w:t xml:space="preserve"> apportionment of burial space</w:t>
      </w:r>
      <w:r w:rsidR="00492279">
        <w:rPr>
          <w:rFonts w:ascii="Times New Roman" w:hAnsi="Times New Roman" w:cs="Times New Roman"/>
          <w:sz w:val="24"/>
          <w:szCs w:val="24"/>
        </w:rPr>
        <w:t xml:space="preserve"> as an increasingly scarce commodity</w:t>
      </w:r>
      <w:r w:rsidR="00D507DB">
        <w:rPr>
          <w:rFonts w:ascii="Times New Roman" w:hAnsi="Times New Roman" w:cs="Times New Roman"/>
          <w:sz w:val="24"/>
          <w:szCs w:val="24"/>
        </w:rPr>
        <w:t xml:space="preserve">. New </w:t>
      </w:r>
      <w:r>
        <w:rPr>
          <w:rFonts w:ascii="Times New Roman" w:hAnsi="Times New Roman" w:cs="Times New Roman"/>
          <w:sz w:val="24"/>
          <w:szCs w:val="24"/>
        </w:rPr>
        <w:t xml:space="preserve">sections have been </w:t>
      </w:r>
      <w:r w:rsidR="00D507DB">
        <w:rPr>
          <w:rFonts w:ascii="Times New Roman" w:hAnsi="Times New Roman" w:cs="Times New Roman"/>
          <w:sz w:val="24"/>
          <w:szCs w:val="24"/>
        </w:rPr>
        <w:t xml:space="preserve">created to accommodate Muslim need, but Muslim religious belief requires the burial of just one body in each grave. In the UK, graves </w:t>
      </w:r>
      <w:r w:rsidR="00E32971">
        <w:rPr>
          <w:rFonts w:ascii="Times New Roman" w:hAnsi="Times New Roman" w:cs="Times New Roman"/>
          <w:sz w:val="24"/>
          <w:szCs w:val="24"/>
        </w:rPr>
        <w:t>generally</w:t>
      </w:r>
      <w:r w:rsidR="00D507DB">
        <w:rPr>
          <w:rFonts w:ascii="Times New Roman" w:hAnsi="Times New Roman" w:cs="Times New Roman"/>
          <w:sz w:val="24"/>
          <w:szCs w:val="24"/>
        </w:rPr>
        <w:t xml:space="preserve"> contain multiple family members where the burial right has been purchased, or multiple unrelated members in the case of ‘unpurchased’ or public graves. </w:t>
      </w:r>
      <w:r w:rsidR="00E32971">
        <w:rPr>
          <w:rFonts w:ascii="Times New Roman" w:hAnsi="Times New Roman" w:cs="Times New Roman"/>
          <w:sz w:val="24"/>
          <w:szCs w:val="24"/>
        </w:rPr>
        <w:t xml:space="preserve">Muslim practice absorbs burial space at a much more rapid rate than common Christian practice, at a time when local authority finances are insufficient to meet need, and where the possible introduction of grave re-use to meet </w:t>
      </w:r>
      <w:r w:rsidR="00492279">
        <w:rPr>
          <w:rFonts w:ascii="Times New Roman" w:hAnsi="Times New Roman" w:cs="Times New Roman"/>
          <w:sz w:val="24"/>
          <w:szCs w:val="24"/>
        </w:rPr>
        <w:t>demand</w:t>
      </w:r>
      <w:r w:rsidR="00E32971">
        <w:rPr>
          <w:rFonts w:ascii="Times New Roman" w:hAnsi="Times New Roman" w:cs="Times New Roman"/>
          <w:sz w:val="24"/>
          <w:szCs w:val="24"/>
        </w:rPr>
        <w:t xml:space="preserve"> is being mooted. This is a measure that would not necessarily be palatable to the Muslim community, but the as yet unaddr</w:t>
      </w:r>
      <w:r w:rsidR="00492279">
        <w:rPr>
          <w:rFonts w:ascii="Times New Roman" w:hAnsi="Times New Roman" w:cs="Times New Roman"/>
          <w:sz w:val="24"/>
          <w:szCs w:val="24"/>
        </w:rPr>
        <w:t xml:space="preserve">essed question remains: should </w:t>
      </w:r>
      <w:r w:rsidR="00E32971">
        <w:rPr>
          <w:rFonts w:ascii="Times New Roman" w:hAnsi="Times New Roman" w:cs="Times New Roman"/>
          <w:sz w:val="24"/>
          <w:szCs w:val="24"/>
        </w:rPr>
        <w:t xml:space="preserve">virgin burial space be reserved for Muslims, whilst </w:t>
      </w:r>
      <w:r w:rsidR="00492279">
        <w:rPr>
          <w:rFonts w:ascii="Times New Roman" w:hAnsi="Times New Roman" w:cs="Times New Roman"/>
          <w:sz w:val="24"/>
          <w:szCs w:val="24"/>
        </w:rPr>
        <w:t>‘</w:t>
      </w:r>
      <w:r w:rsidR="00E32971">
        <w:rPr>
          <w:rFonts w:ascii="Times New Roman" w:hAnsi="Times New Roman" w:cs="Times New Roman"/>
          <w:sz w:val="24"/>
          <w:szCs w:val="24"/>
        </w:rPr>
        <w:t>Christian</w:t>
      </w:r>
      <w:r w:rsidR="00492279">
        <w:rPr>
          <w:rFonts w:ascii="Times New Roman" w:hAnsi="Times New Roman" w:cs="Times New Roman"/>
          <w:sz w:val="24"/>
          <w:szCs w:val="24"/>
        </w:rPr>
        <w:t>’</w:t>
      </w:r>
      <w:r w:rsidR="00E32971">
        <w:rPr>
          <w:rFonts w:ascii="Times New Roman" w:hAnsi="Times New Roman" w:cs="Times New Roman"/>
          <w:sz w:val="24"/>
          <w:szCs w:val="24"/>
        </w:rPr>
        <w:t xml:space="preserve"> burials</w:t>
      </w:r>
      <w:r w:rsidR="00492279">
        <w:rPr>
          <w:rFonts w:ascii="Times New Roman" w:hAnsi="Times New Roman" w:cs="Times New Roman"/>
          <w:sz w:val="24"/>
          <w:szCs w:val="24"/>
        </w:rPr>
        <w:t xml:space="preserve"> are obliged</w:t>
      </w:r>
      <w:r w:rsidR="00E32971">
        <w:rPr>
          <w:rFonts w:ascii="Times New Roman" w:hAnsi="Times New Roman" w:cs="Times New Roman"/>
          <w:sz w:val="24"/>
          <w:szCs w:val="24"/>
        </w:rPr>
        <w:t xml:space="preserve"> take place in re-used graves?</w:t>
      </w:r>
      <w:r w:rsidR="00492279">
        <w:rPr>
          <w:rFonts w:ascii="Times New Roman" w:hAnsi="Times New Roman" w:cs="Times New Roman"/>
          <w:sz w:val="24"/>
          <w:szCs w:val="24"/>
        </w:rPr>
        <w:t xml:space="preserve"> The issue is of ethical importance. In the UK, many people find the idea of grave re-use unpalatable, as a consequence of strong feelings that such practice runs counter to desire to protect the corpse from undue disturbance (</w:t>
      </w:r>
      <w:proofErr w:type="spellStart"/>
      <w:r w:rsidR="00492279">
        <w:rPr>
          <w:rFonts w:ascii="Times New Roman" w:hAnsi="Times New Roman" w:cs="Times New Roman"/>
          <w:sz w:val="24"/>
          <w:szCs w:val="24"/>
        </w:rPr>
        <w:t>Rugg</w:t>
      </w:r>
      <w:proofErr w:type="spellEnd"/>
      <w:r w:rsidR="00492279">
        <w:rPr>
          <w:rFonts w:ascii="Times New Roman" w:hAnsi="Times New Roman" w:cs="Times New Roman"/>
          <w:sz w:val="24"/>
          <w:szCs w:val="24"/>
        </w:rPr>
        <w:t xml:space="preserve"> and Holland, forthcoming).  </w:t>
      </w:r>
    </w:p>
    <w:p w:rsidR="009C5316" w:rsidRDefault="009C5316">
      <w:pPr>
        <w:rPr>
          <w:rFonts w:ascii="Times New Roman" w:hAnsi="Times New Roman" w:cs="Times New Roman"/>
          <w:sz w:val="24"/>
          <w:szCs w:val="24"/>
        </w:rPr>
      </w:pPr>
    </w:p>
    <w:p w:rsidR="004E0D50" w:rsidRPr="005042CC" w:rsidRDefault="005042CC" w:rsidP="00D12126">
      <w:pPr>
        <w:rPr>
          <w:rFonts w:ascii="Times New Roman" w:hAnsi="Times New Roman" w:cs="Times New Roman"/>
          <w:sz w:val="24"/>
          <w:szCs w:val="24"/>
        </w:rPr>
      </w:pPr>
      <w:r>
        <w:rPr>
          <w:rFonts w:ascii="Times New Roman" w:hAnsi="Times New Roman" w:cs="Times New Roman"/>
          <w:b/>
          <w:sz w:val="24"/>
          <w:szCs w:val="24"/>
        </w:rPr>
        <w:t>Conclusion</w:t>
      </w:r>
    </w:p>
    <w:p w:rsidR="00CD1926" w:rsidRDefault="009C5316" w:rsidP="00D12126">
      <w:pPr>
        <w:rPr>
          <w:rFonts w:ascii="Times New Roman" w:hAnsi="Times New Roman" w:cs="Times New Roman"/>
          <w:sz w:val="24"/>
          <w:szCs w:val="24"/>
        </w:rPr>
      </w:pPr>
      <w:r>
        <w:rPr>
          <w:rFonts w:ascii="Times New Roman" w:hAnsi="Times New Roman" w:cs="Times New Roman"/>
          <w:sz w:val="24"/>
          <w:szCs w:val="24"/>
        </w:rPr>
        <w:t xml:space="preserve">As David </w:t>
      </w:r>
      <w:proofErr w:type="spellStart"/>
      <w:r>
        <w:rPr>
          <w:rFonts w:ascii="Times New Roman" w:hAnsi="Times New Roman" w:cs="Times New Roman"/>
          <w:sz w:val="24"/>
          <w:szCs w:val="24"/>
        </w:rPr>
        <w:t>Felman</w:t>
      </w:r>
      <w:proofErr w:type="spellEnd"/>
      <w:r>
        <w:rPr>
          <w:rFonts w:ascii="Times New Roman" w:hAnsi="Times New Roman" w:cs="Times New Roman"/>
          <w:sz w:val="24"/>
          <w:szCs w:val="24"/>
        </w:rPr>
        <w:t xml:space="preserve"> observes, ‘the problem of how to make law and govern a society which contains more than one cultural community is now a new one in the history of the British state’. Since the middle of the nineteenth century, pluralism has been the ‘predominant political response to religious diversity’ in the UK (</w:t>
      </w:r>
      <w:r w:rsidRPr="004D4FF2">
        <w:rPr>
          <w:rFonts w:ascii="Times New Roman" w:hAnsi="Times New Roman" w:cs="Times New Roman"/>
          <w:sz w:val="24"/>
          <w:szCs w:val="24"/>
        </w:rPr>
        <w:t xml:space="preserve">Feldman, </w:t>
      </w:r>
      <w:r w:rsidR="004D4FF2">
        <w:rPr>
          <w:rFonts w:ascii="Times New Roman" w:hAnsi="Times New Roman" w:cs="Times New Roman"/>
          <w:sz w:val="24"/>
          <w:szCs w:val="24"/>
        </w:rPr>
        <w:t>2012</w:t>
      </w:r>
      <w:r w:rsidRPr="004D4FF2">
        <w:rPr>
          <w:rFonts w:ascii="Times New Roman" w:hAnsi="Times New Roman" w:cs="Times New Roman"/>
          <w:sz w:val="24"/>
          <w:szCs w:val="24"/>
        </w:rPr>
        <w:t>, 10, 11</w:t>
      </w:r>
      <w:r w:rsidR="00685D1B">
        <w:rPr>
          <w:rFonts w:ascii="Times New Roman" w:hAnsi="Times New Roman" w:cs="Times New Roman"/>
          <w:sz w:val="24"/>
          <w:szCs w:val="24"/>
        </w:rPr>
        <w:t xml:space="preserve">), and </w:t>
      </w:r>
      <w:r w:rsidR="00CD1926">
        <w:rPr>
          <w:rFonts w:ascii="Times New Roman" w:hAnsi="Times New Roman" w:cs="Times New Roman"/>
          <w:sz w:val="24"/>
          <w:szCs w:val="24"/>
        </w:rPr>
        <w:t>cemeteries</w:t>
      </w:r>
      <w:r w:rsidR="001C1CDC">
        <w:rPr>
          <w:rFonts w:ascii="Times New Roman" w:hAnsi="Times New Roman" w:cs="Times New Roman"/>
          <w:sz w:val="24"/>
          <w:szCs w:val="24"/>
        </w:rPr>
        <w:t xml:space="preserve"> have </w:t>
      </w:r>
      <w:r w:rsidR="00685D1B">
        <w:rPr>
          <w:rFonts w:ascii="Times New Roman" w:hAnsi="Times New Roman" w:cs="Times New Roman"/>
          <w:sz w:val="24"/>
          <w:szCs w:val="24"/>
        </w:rPr>
        <w:t xml:space="preserve">reflected that principle </w:t>
      </w:r>
      <w:r w:rsidR="00CD1926">
        <w:rPr>
          <w:rFonts w:ascii="Times New Roman" w:hAnsi="Times New Roman" w:cs="Times New Roman"/>
          <w:sz w:val="24"/>
          <w:szCs w:val="24"/>
        </w:rPr>
        <w:t>in containing both consecrated a</w:t>
      </w:r>
      <w:r w:rsidR="001C1CDC">
        <w:rPr>
          <w:rFonts w:ascii="Times New Roman" w:hAnsi="Times New Roman" w:cs="Times New Roman"/>
          <w:sz w:val="24"/>
          <w:szCs w:val="24"/>
        </w:rPr>
        <w:t>nd unconsecrated portions, and</w:t>
      </w:r>
      <w:r w:rsidR="00CD1926">
        <w:rPr>
          <w:rFonts w:ascii="Times New Roman" w:hAnsi="Times New Roman" w:cs="Times New Roman"/>
          <w:sz w:val="24"/>
          <w:szCs w:val="24"/>
        </w:rPr>
        <w:t xml:space="preserve"> in some instances sections dedicated to the use of particular denominations</w:t>
      </w:r>
      <w:r w:rsidR="001C1CDC">
        <w:rPr>
          <w:rFonts w:ascii="Times New Roman" w:hAnsi="Times New Roman" w:cs="Times New Roman"/>
          <w:sz w:val="24"/>
          <w:szCs w:val="24"/>
        </w:rPr>
        <w:t xml:space="preserve">. </w:t>
      </w:r>
      <w:r w:rsidR="00CD1926">
        <w:rPr>
          <w:rFonts w:ascii="Times New Roman" w:hAnsi="Times New Roman" w:cs="Times New Roman"/>
          <w:sz w:val="24"/>
          <w:szCs w:val="24"/>
        </w:rPr>
        <w:t xml:space="preserve">Muslim burial needs are </w:t>
      </w:r>
      <w:r w:rsidR="00685D1B">
        <w:rPr>
          <w:rFonts w:ascii="Times New Roman" w:hAnsi="Times New Roman" w:cs="Times New Roman"/>
          <w:sz w:val="24"/>
          <w:szCs w:val="24"/>
        </w:rPr>
        <w:t>generally</w:t>
      </w:r>
      <w:r w:rsidR="00CD1926">
        <w:rPr>
          <w:rFonts w:ascii="Times New Roman" w:hAnsi="Times New Roman" w:cs="Times New Roman"/>
          <w:sz w:val="24"/>
          <w:szCs w:val="24"/>
        </w:rPr>
        <w:t xml:space="preserve"> accommodated within existing cemeteries where space is available. Provision for pyre cremation is a slightly different matter</w:t>
      </w:r>
      <w:r w:rsidR="004D4FF2">
        <w:rPr>
          <w:rFonts w:ascii="Times New Roman" w:hAnsi="Times New Roman" w:cs="Times New Roman"/>
          <w:sz w:val="24"/>
          <w:szCs w:val="24"/>
        </w:rPr>
        <w:t xml:space="preserve">. The </w:t>
      </w:r>
      <w:r w:rsidR="00F10234">
        <w:rPr>
          <w:rFonts w:ascii="Times New Roman" w:hAnsi="Times New Roman" w:cs="Times New Roman"/>
          <w:sz w:val="24"/>
          <w:szCs w:val="24"/>
        </w:rPr>
        <w:t xml:space="preserve">practice accords with the </w:t>
      </w:r>
      <w:r w:rsidR="00CD1926">
        <w:rPr>
          <w:rFonts w:ascii="Times New Roman" w:hAnsi="Times New Roman" w:cs="Times New Roman"/>
          <w:sz w:val="24"/>
          <w:szCs w:val="24"/>
        </w:rPr>
        <w:t>Cremation Act, 1902,</w:t>
      </w:r>
      <w:r w:rsidR="004D4FF2">
        <w:rPr>
          <w:rFonts w:ascii="Times New Roman" w:hAnsi="Times New Roman" w:cs="Times New Roman"/>
          <w:sz w:val="24"/>
          <w:szCs w:val="24"/>
        </w:rPr>
        <w:t xml:space="preserve"> but</w:t>
      </w:r>
      <w:r w:rsidR="00CD1926">
        <w:rPr>
          <w:rFonts w:ascii="Times New Roman" w:hAnsi="Times New Roman" w:cs="Times New Roman"/>
          <w:sz w:val="24"/>
          <w:szCs w:val="24"/>
        </w:rPr>
        <w:t xml:space="preserve"> may contravene environmental law</w:t>
      </w:r>
      <w:r w:rsidR="004D4FF2">
        <w:rPr>
          <w:rFonts w:ascii="Times New Roman" w:hAnsi="Times New Roman" w:cs="Times New Roman"/>
          <w:sz w:val="24"/>
          <w:szCs w:val="24"/>
        </w:rPr>
        <w:t xml:space="preserve">. </w:t>
      </w:r>
    </w:p>
    <w:p w:rsidR="00E85C0C" w:rsidRDefault="00685D1B" w:rsidP="00D12126">
      <w:pPr>
        <w:rPr>
          <w:rFonts w:ascii="Times New Roman" w:hAnsi="Times New Roman" w:cs="Times New Roman"/>
          <w:sz w:val="24"/>
          <w:szCs w:val="24"/>
        </w:rPr>
      </w:pPr>
      <w:r>
        <w:rPr>
          <w:rFonts w:ascii="Times New Roman" w:hAnsi="Times New Roman" w:cs="Times New Roman"/>
          <w:sz w:val="24"/>
          <w:szCs w:val="24"/>
        </w:rPr>
        <w:t xml:space="preserve">The </w:t>
      </w:r>
      <w:r w:rsidR="00CD1926">
        <w:rPr>
          <w:rFonts w:ascii="Times New Roman" w:hAnsi="Times New Roman" w:cs="Times New Roman"/>
          <w:sz w:val="24"/>
          <w:szCs w:val="24"/>
        </w:rPr>
        <w:t xml:space="preserve">apparent liberalism of the British law </w:t>
      </w:r>
      <w:r w:rsidR="00303617">
        <w:rPr>
          <w:rFonts w:ascii="Times New Roman" w:hAnsi="Times New Roman" w:cs="Times New Roman"/>
          <w:sz w:val="24"/>
          <w:szCs w:val="24"/>
        </w:rPr>
        <w:t xml:space="preserve">undermines the notion of rights for any group with regard to burial. A common law right gives all parishioners access to Christian burial, which appears discriminatory, but burial authorities have no responsibility to provide burial space. In effect, the law in practice discriminates against everyone. Furthermore, access </w:t>
      </w:r>
      <w:r w:rsidR="00CD1926">
        <w:rPr>
          <w:rFonts w:ascii="Times New Roman" w:hAnsi="Times New Roman" w:cs="Times New Roman"/>
          <w:sz w:val="24"/>
          <w:szCs w:val="24"/>
        </w:rPr>
        <w:t>to burial</w:t>
      </w:r>
      <w:r w:rsidR="00303617">
        <w:rPr>
          <w:rFonts w:ascii="Times New Roman" w:hAnsi="Times New Roman" w:cs="Times New Roman"/>
          <w:sz w:val="24"/>
          <w:szCs w:val="24"/>
        </w:rPr>
        <w:t xml:space="preserve"> space</w:t>
      </w:r>
      <w:r w:rsidR="00CD1926">
        <w:rPr>
          <w:rFonts w:ascii="Times New Roman" w:hAnsi="Times New Roman" w:cs="Times New Roman"/>
          <w:sz w:val="24"/>
          <w:szCs w:val="24"/>
        </w:rPr>
        <w:t xml:space="preserve"> is</w:t>
      </w:r>
      <w:r w:rsidR="00303617">
        <w:rPr>
          <w:rFonts w:ascii="Times New Roman" w:hAnsi="Times New Roman" w:cs="Times New Roman"/>
          <w:sz w:val="24"/>
          <w:szCs w:val="24"/>
        </w:rPr>
        <w:t xml:space="preserve"> often</w:t>
      </w:r>
      <w:r w:rsidR="00CD1926">
        <w:rPr>
          <w:rFonts w:ascii="Times New Roman" w:hAnsi="Times New Roman" w:cs="Times New Roman"/>
          <w:sz w:val="24"/>
          <w:szCs w:val="24"/>
        </w:rPr>
        <w:t xml:space="preserve"> l</w:t>
      </w:r>
      <w:r w:rsidR="00E85C0C">
        <w:rPr>
          <w:rFonts w:ascii="Times New Roman" w:hAnsi="Times New Roman" w:cs="Times New Roman"/>
          <w:sz w:val="24"/>
          <w:szCs w:val="24"/>
        </w:rPr>
        <w:t>imited b</w:t>
      </w:r>
      <w:r>
        <w:rPr>
          <w:rFonts w:ascii="Times New Roman" w:hAnsi="Times New Roman" w:cs="Times New Roman"/>
          <w:sz w:val="24"/>
          <w:szCs w:val="24"/>
        </w:rPr>
        <w:t>y civic</w:t>
      </w:r>
      <w:r w:rsidR="00E85C0C">
        <w:rPr>
          <w:rFonts w:ascii="Times New Roman" w:hAnsi="Times New Roman" w:cs="Times New Roman"/>
          <w:sz w:val="24"/>
          <w:szCs w:val="24"/>
        </w:rPr>
        <w:t xml:space="preserve"> </w:t>
      </w:r>
      <w:r>
        <w:rPr>
          <w:rFonts w:ascii="Times New Roman" w:hAnsi="Times New Roman" w:cs="Times New Roman"/>
          <w:sz w:val="24"/>
          <w:szCs w:val="24"/>
        </w:rPr>
        <w:t xml:space="preserve">legislation prohibiting </w:t>
      </w:r>
      <w:r w:rsidR="00E85C0C">
        <w:rPr>
          <w:rFonts w:ascii="Times New Roman" w:hAnsi="Times New Roman" w:cs="Times New Roman"/>
          <w:sz w:val="24"/>
          <w:szCs w:val="24"/>
        </w:rPr>
        <w:t>grave re-use. Graves are more readily available in</w:t>
      </w:r>
      <w:r w:rsidR="00303617">
        <w:rPr>
          <w:rFonts w:ascii="Times New Roman" w:hAnsi="Times New Roman" w:cs="Times New Roman"/>
          <w:sz w:val="24"/>
          <w:szCs w:val="24"/>
        </w:rPr>
        <w:t xml:space="preserve"> some</w:t>
      </w:r>
      <w:r w:rsidR="00E85C0C">
        <w:rPr>
          <w:rFonts w:ascii="Times New Roman" w:hAnsi="Times New Roman" w:cs="Times New Roman"/>
          <w:sz w:val="24"/>
          <w:szCs w:val="24"/>
        </w:rPr>
        <w:t xml:space="preserve"> rural churchyards, where ecclesiastical regulation does not preclude re-use, and where some sites have been in use for centuries. However, these sites are not located close to major </w:t>
      </w:r>
      <w:r>
        <w:rPr>
          <w:rFonts w:ascii="Times New Roman" w:hAnsi="Times New Roman" w:cs="Times New Roman"/>
          <w:sz w:val="24"/>
          <w:szCs w:val="24"/>
        </w:rPr>
        <w:t xml:space="preserve">urban </w:t>
      </w:r>
      <w:r w:rsidR="00E85C0C">
        <w:rPr>
          <w:rFonts w:ascii="Times New Roman" w:hAnsi="Times New Roman" w:cs="Times New Roman"/>
          <w:sz w:val="24"/>
          <w:szCs w:val="24"/>
        </w:rPr>
        <w:t xml:space="preserve">centres or Muslim demand, and in any case </w:t>
      </w:r>
      <w:r>
        <w:rPr>
          <w:rFonts w:ascii="Times New Roman" w:hAnsi="Times New Roman" w:cs="Times New Roman"/>
          <w:sz w:val="24"/>
          <w:szCs w:val="24"/>
        </w:rPr>
        <w:t xml:space="preserve">previously used </w:t>
      </w:r>
      <w:r w:rsidR="00E85C0C">
        <w:rPr>
          <w:rFonts w:ascii="Times New Roman" w:hAnsi="Times New Roman" w:cs="Times New Roman"/>
          <w:sz w:val="24"/>
          <w:szCs w:val="24"/>
        </w:rPr>
        <w:t>grave</w:t>
      </w:r>
      <w:r>
        <w:rPr>
          <w:rFonts w:ascii="Times New Roman" w:hAnsi="Times New Roman" w:cs="Times New Roman"/>
          <w:sz w:val="24"/>
          <w:szCs w:val="24"/>
        </w:rPr>
        <w:t>s</w:t>
      </w:r>
      <w:r w:rsidR="00E85C0C">
        <w:rPr>
          <w:rFonts w:ascii="Times New Roman" w:hAnsi="Times New Roman" w:cs="Times New Roman"/>
          <w:sz w:val="24"/>
          <w:szCs w:val="24"/>
        </w:rPr>
        <w:t xml:space="preserve"> may not be </w:t>
      </w:r>
      <w:r>
        <w:rPr>
          <w:rFonts w:ascii="Times New Roman" w:hAnsi="Times New Roman" w:cs="Times New Roman"/>
          <w:sz w:val="24"/>
          <w:szCs w:val="24"/>
        </w:rPr>
        <w:t xml:space="preserve">palatable to the </w:t>
      </w:r>
      <w:r w:rsidR="00E85C0C">
        <w:rPr>
          <w:rFonts w:ascii="Times New Roman" w:hAnsi="Times New Roman" w:cs="Times New Roman"/>
          <w:sz w:val="24"/>
          <w:szCs w:val="24"/>
        </w:rPr>
        <w:t xml:space="preserve">Muslim community. Burial issues in the UK therefore become more an issue of </w:t>
      </w:r>
      <w:r>
        <w:rPr>
          <w:rFonts w:ascii="Times New Roman" w:hAnsi="Times New Roman" w:cs="Times New Roman"/>
          <w:sz w:val="24"/>
          <w:szCs w:val="24"/>
        </w:rPr>
        <w:t xml:space="preserve">pragmatics and </w:t>
      </w:r>
      <w:r w:rsidR="00E85C0C">
        <w:rPr>
          <w:rFonts w:ascii="Times New Roman" w:hAnsi="Times New Roman" w:cs="Times New Roman"/>
          <w:sz w:val="24"/>
          <w:szCs w:val="24"/>
        </w:rPr>
        <w:t>ethics than of human rights and religious toleration.</w:t>
      </w:r>
      <w:r w:rsidR="00303617">
        <w:rPr>
          <w:rFonts w:ascii="Times New Roman" w:hAnsi="Times New Roman" w:cs="Times New Roman"/>
          <w:sz w:val="24"/>
          <w:szCs w:val="24"/>
        </w:rPr>
        <w:t xml:space="preserve"> </w:t>
      </w:r>
    </w:p>
    <w:p w:rsidR="007B0664" w:rsidRPr="00E85C0C" w:rsidRDefault="007B0664" w:rsidP="00D12126">
      <w:pPr>
        <w:rPr>
          <w:rFonts w:ascii="Times New Roman" w:hAnsi="Times New Roman" w:cs="Times New Roman"/>
          <w:b/>
          <w:sz w:val="24"/>
          <w:szCs w:val="24"/>
        </w:rPr>
      </w:pPr>
      <w:r w:rsidRPr="00E85C0C">
        <w:rPr>
          <w:rFonts w:ascii="Times New Roman" w:hAnsi="Times New Roman" w:cs="Times New Roman"/>
          <w:b/>
          <w:sz w:val="24"/>
          <w:szCs w:val="24"/>
        </w:rPr>
        <w:t>Bibliography</w:t>
      </w:r>
    </w:p>
    <w:p w:rsidR="00933E98" w:rsidRPr="00CD1926" w:rsidRDefault="00B06C70" w:rsidP="00D12126">
      <w:pPr>
        <w:rPr>
          <w:rFonts w:ascii="Times New Roman" w:hAnsi="Times New Roman" w:cs="Times New Roman"/>
          <w:sz w:val="24"/>
          <w:szCs w:val="24"/>
        </w:rPr>
      </w:pPr>
      <w:r w:rsidRPr="00CD1926">
        <w:rPr>
          <w:rFonts w:ascii="Times New Roman" w:hAnsi="Times New Roman" w:cs="Times New Roman"/>
          <w:sz w:val="24"/>
          <w:szCs w:val="24"/>
        </w:rPr>
        <w:t xml:space="preserve">ALDERMAN, Geoffrey, </w:t>
      </w:r>
      <w:r w:rsidR="00933E98" w:rsidRPr="00CD1926">
        <w:rPr>
          <w:rFonts w:ascii="Times New Roman" w:hAnsi="Times New Roman" w:cs="Times New Roman"/>
          <w:i/>
          <w:sz w:val="24"/>
          <w:szCs w:val="24"/>
        </w:rPr>
        <w:t>Modern British Jewry</w:t>
      </w:r>
      <w:r w:rsidRPr="00CD1926">
        <w:rPr>
          <w:rFonts w:ascii="Times New Roman" w:hAnsi="Times New Roman" w:cs="Times New Roman"/>
          <w:sz w:val="24"/>
          <w:szCs w:val="24"/>
        </w:rPr>
        <w:t>, Oxford,</w:t>
      </w:r>
      <w:r w:rsidR="00933E98" w:rsidRPr="00CD1926">
        <w:rPr>
          <w:rFonts w:ascii="Times New Roman" w:hAnsi="Times New Roman" w:cs="Times New Roman"/>
          <w:sz w:val="24"/>
          <w:szCs w:val="24"/>
        </w:rPr>
        <w:t xml:space="preserve"> Clarendon Press</w:t>
      </w:r>
      <w:r w:rsidRPr="00CD1926">
        <w:rPr>
          <w:rFonts w:ascii="Times New Roman" w:hAnsi="Times New Roman" w:cs="Times New Roman"/>
          <w:sz w:val="24"/>
          <w:szCs w:val="24"/>
        </w:rPr>
        <w:t>, 1992</w:t>
      </w:r>
      <w:r w:rsidR="00CD1926" w:rsidRPr="00CD1926">
        <w:rPr>
          <w:rFonts w:ascii="Times New Roman" w:hAnsi="Times New Roman" w:cs="Times New Roman"/>
          <w:sz w:val="24"/>
          <w:szCs w:val="24"/>
        </w:rPr>
        <w:t>, p. 397.</w:t>
      </w:r>
    </w:p>
    <w:p w:rsidR="00554CEE" w:rsidRPr="00CD1926" w:rsidRDefault="00554CEE" w:rsidP="00D12126">
      <w:pPr>
        <w:rPr>
          <w:rFonts w:ascii="Times New Roman" w:hAnsi="Times New Roman" w:cs="Times New Roman"/>
          <w:sz w:val="24"/>
          <w:szCs w:val="24"/>
        </w:rPr>
      </w:pPr>
      <w:r w:rsidRPr="00CD1926">
        <w:rPr>
          <w:rFonts w:ascii="Times New Roman" w:hAnsi="Times New Roman" w:cs="Times New Roman"/>
          <w:sz w:val="24"/>
          <w:szCs w:val="24"/>
        </w:rPr>
        <w:t xml:space="preserve">BEBBINGTON, David, </w:t>
      </w:r>
      <w:r w:rsidRPr="00CD1926">
        <w:rPr>
          <w:rFonts w:ascii="Times New Roman" w:hAnsi="Times New Roman" w:cs="Times New Roman"/>
          <w:i/>
          <w:sz w:val="24"/>
          <w:szCs w:val="24"/>
        </w:rPr>
        <w:t>Evangelicalism in Modern Britain: A History from the 1730s to the 1980s</w:t>
      </w:r>
      <w:r w:rsidRPr="00CD1926">
        <w:rPr>
          <w:rFonts w:ascii="Times New Roman" w:hAnsi="Times New Roman" w:cs="Times New Roman"/>
          <w:sz w:val="24"/>
          <w:szCs w:val="24"/>
        </w:rPr>
        <w:t>, London: Routledge, 2002, p. 364.</w:t>
      </w:r>
    </w:p>
    <w:p w:rsidR="00A54FBD" w:rsidRPr="00A54FBD" w:rsidRDefault="00A54FBD" w:rsidP="00D12126">
      <w:pPr>
        <w:rPr>
          <w:rFonts w:ascii="Times New Roman" w:hAnsi="Times New Roman" w:cs="Times New Roman"/>
          <w:sz w:val="24"/>
          <w:szCs w:val="24"/>
        </w:rPr>
      </w:pPr>
      <w:r>
        <w:rPr>
          <w:rFonts w:ascii="Times New Roman" w:hAnsi="Times New Roman" w:cs="Times New Roman"/>
          <w:sz w:val="24"/>
          <w:szCs w:val="24"/>
        </w:rPr>
        <w:t xml:space="preserve">BROOK LITTLE, James, </w:t>
      </w:r>
      <w:r>
        <w:rPr>
          <w:rFonts w:ascii="Times New Roman" w:hAnsi="Times New Roman" w:cs="Times New Roman"/>
          <w:i/>
          <w:sz w:val="24"/>
          <w:szCs w:val="24"/>
        </w:rPr>
        <w:t>The Law of Burial</w:t>
      </w:r>
      <w:r>
        <w:rPr>
          <w:rFonts w:ascii="Times New Roman" w:hAnsi="Times New Roman" w:cs="Times New Roman"/>
          <w:sz w:val="24"/>
          <w:szCs w:val="24"/>
        </w:rPr>
        <w:t>, London: Shaw and Sons, 1902, p. 758.</w:t>
      </w:r>
    </w:p>
    <w:p w:rsidR="00D54D58" w:rsidRPr="00D54D58" w:rsidRDefault="00E76131" w:rsidP="00D12126">
      <w:pPr>
        <w:rPr>
          <w:rFonts w:ascii="Times New Roman" w:hAnsi="Times New Roman" w:cs="Times New Roman"/>
          <w:sz w:val="24"/>
          <w:szCs w:val="24"/>
        </w:rPr>
      </w:pPr>
      <w:r>
        <w:rPr>
          <w:rFonts w:ascii="Times New Roman" w:hAnsi="Times New Roman" w:cs="Times New Roman"/>
          <w:sz w:val="24"/>
          <w:szCs w:val="24"/>
        </w:rPr>
        <w:t xml:space="preserve">CHADWICK, Edwin, </w:t>
      </w:r>
      <w:proofErr w:type="gramStart"/>
      <w:r w:rsidR="00D54D58">
        <w:rPr>
          <w:rFonts w:ascii="Times New Roman" w:hAnsi="Times New Roman" w:cs="Times New Roman"/>
          <w:i/>
          <w:sz w:val="24"/>
          <w:szCs w:val="24"/>
        </w:rPr>
        <w:t>A</w:t>
      </w:r>
      <w:proofErr w:type="gramEnd"/>
      <w:r w:rsidR="00D54D58">
        <w:rPr>
          <w:rFonts w:ascii="Times New Roman" w:hAnsi="Times New Roman" w:cs="Times New Roman"/>
          <w:i/>
          <w:sz w:val="24"/>
          <w:szCs w:val="24"/>
        </w:rPr>
        <w:t xml:space="preserve"> Supplementary Report on the Results of a Special Inquiry into the Practice of Interment in Towns</w:t>
      </w:r>
      <w:r w:rsidR="00D54D58">
        <w:rPr>
          <w:rFonts w:ascii="Times New Roman" w:hAnsi="Times New Roman" w:cs="Times New Roman"/>
          <w:sz w:val="24"/>
          <w:szCs w:val="24"/>
        </w:rPr>
        <w:t>, London, HMSO,</w:t>
      </w:r>
      <w:r>
        <w:rPr>
          <w:rFonts w:ascii="Times New Roman" w:hAnsi="Times New Roman" w:cs="Times New Roman"/>
          <w:sz w:val="24"/>
          <w:szCs w:val="24"/>
        </w:rPr>
        <w:t xml:space="preserve"> 1843</w:t>
      </w:r>
      <w:r w:rsidR="00D54D58">
        <w:rPr>
          <w:rFonts w:ascii="Times New Roman" w:hAnsi="Times New Roman" w:cs="Times New Roman"/>
          <w:sz w:val="24"/>
          <w:szCs w:val="24"/>
        </w:rPr>
        <w:t xml:space="preserve"> p. 279.</w:t>
      </w:r>
    </w:p>
    <w:p w:rsidR="007837EF" w:rsidRPr="007837EF" w:rsidRDefault="007837EF" w:rsidP="00D12126">
      <w:pPr>
        <w:rPr>
          <w:rFonts w:ascii="Times New Roman" w:hAnsi="Times New Roman" w:cs="Times New Roman"/>
          <w:sz w:val="24"/>
          <w:szCs w:val="24"/>
        </w:rPr>
      </w:pPr>
      <w:r w:rsidRPr="007837EF">
        <w:rPr>
          <w:rFonts w:ascii="Times New Roman" w:hAnsi="Times New Roman" w:cs="Times New Roman"/>
          <w:sz w:val="24"/>
          <w:szCs w:val="24"/>
        </w:rPr>
        <w:t>CUMPER, Peter,</w:t>
      </w:r>
      <w:r>
        <w:rPr>
          <w:rFonts w:ascii="Times New Roman" w:hAnsi="Times New Roman" w:cs="Times New Roman"/>
          <w:sz w:val="24"/>
          <w:szCs w:val="24"/>
        </w:rPr>
        <w:t xml:space="preserve"> ‘Last human rights and human rights: funeral pyres and religious freedom in the United Kingdom’, </w:t>
      </w:r>
      <w:r w:rsidRPr="00E32971">
        <w:rPr>
          <w:rFonts w:ascii="Times New Roman" w:hAnsi="Times New Roman" w:cs="Times New Roman"/>
          <w:sz w:val="24"/>
          <w:szCs w:val="24"/>
        </w:rPr>
        <w:t>Ecclesiastical Law</w:t>
      </w:r>
      <w:r w:rsidR="00E32971">
        <w:rPr>
          <w:rFonts w:ascii="Times New Roman" w:hAnsi="Times New Roman" w:cs="Times New Roman"/>
          <w:sz w:val="24"/>
          <w:szCs w:val="24"/>
        </w:rPr>
        <w:t xml:space="preserve"> Journal, 12, 2010, </w:t>
      </w:r>
      <w:r w:rsidR="007E55C9">
        <w:rPr>
          <w:rFonts w:ascii="Times New Roman" w:hAnsi="Times New Roman" w:cs="Times New Roman"/>
          <w:sz w:val="24"/>
          <w:szCs w:val="24"/>
        </w:rPr>
        <w:t>p.</w:t>
      </w:r>
      <w:r w:rsidR="00E32971">
        <w:rPr>
          <w:rFonts w:ascii="Times New Roman" w:hAnsi="Times New Roman" w:cs="Times New Roman"/>
          <w:sz w:val="24"/>
          <w:szCs w:val="24"/>
        </w:rPr>
        <w:t>131-151.</w:t>
      </w:r>
      <w:r w:rsidRPr="00E32971">
        <w:rPr>
          <w:rFonts w:ascii="Times New Roman" w:hAnsi="Times New Roman" w:cs="Times New Roman"/>
          <w:sz w:val="24"/>
          <w:szCs w:val="24"/>
        </w:rPr>
        <w:t xml:space="preserve"> </w:t>
      </w:r>
      <w:r w:rsidRPr="007837EF">
        <w:rPr>
          <w:rFonts w:ascii="Times New Roman" w:hAnsi="Times New Roman" w:cs="Times New Roman"/>
          <w:sz w:val="24"/>
          <w:szCs w:val="24"/>
        </w:rPr>
        <w:t xml:space="preserve"> </w:t>
      </w:r>
    </w:p>
    <w:p w:rsidR="009C5316" w:rsidRPr="00E76131" w:rsidRDefault="00CD1926" w:rsidP="00D12126">
      <w:pPr>
        <w:rPr>
          <w:rFonts w:ascii="Times New Roman" w:hAnsi="Times New Roman" w:cs="Times New Roman"/>
          <w:sz w:val="24"/>
          <w:szCs w:val="24"/>
        </w:rPr>
      </w:pPr>
      <w:r w:rsidRPr="00E76131">
        <w:rPr>
          <w:rFonts w:ascii="Times New Roman" w:hAnsi="Times New Roman" w:cs="Times New Roman"/>
          <w:sz w:val="24"/>
          <w:szCs w:val="24"/>
        </w:rPr>
        <w:t xml:space="preserve">FELDMAN, David, ‘Conservative pluralism and the politics of multiculturalism’ in YUVAL-DAVIS, </w:t>
      </w:r>
      <w:proofErr w:type="spellStart"/>
      <w:r w:rsidRPr="00E76131">
        <w:rPr>
          <w:rFonts w:ascii="Times New Roman" w:hAnsi="Times New Roman" w:cs="Times New Roman"/>
          <w:sz w:val="24"/>
          <w:szCs w:val="24"/>
        </w:rPr>
        <w:t>N</w:t>
      </w:r>
      <w:r w:rsidR="00E76131" w:rsidRPr="00E76131">
        <w:rPr>
          <w:rFonts w:ascii="Times New Roman" w:hAnsi="Times New Roman" w:cs="Times New Roman"/>
          <w:sz w:val="24"/>
          <w:szCs w:val="24"/>
        </w:rPr>
        <w:t>ira</w:t>
      </w:r>
      <w:proofErr w:type="spellEnd"/>
      <w:r w:rsidRPr="00E76131">
        <w:rPr>
          <w:rFonts w:ascii="Times New Roman" w:hAnsi="Times New Roman" w:cs="Times New Roman"/>
          <w:sz w:val="24"/>
          <w:szCs w:val="24"/>
        </w:rPr>
        <w:t xml:space="preserve"> and MARFLEET, P</w:t>
      </w:r>
      <w:r w:rsidR="00E76131" w:rsidRPr="00E76131">
        <w:rPr>
          <w:rFonts w:ascii="Times New Roman" w:hAnsi="Times New Roman" w:cs="Times New Roman"/>
          <w:sz w:val="24"/>
          <w:szCs w:val="24"/>
        </w:rPr>
        <w:t>hil</w:t>
      </w:r>
      <w:r w:rsidRPr="00E76131">
        <w:rPr>
          <w:rFonts w:ascii="Times New Roman" w:hAnsi="Times New Roman" w:cs="Times New Roman"/>
          <w:sz w:val="24"/>
          <w:szCs w:val="24"/>
        </w:rPr>
        <w:t xml:space="preserve"> (</w:t>
      </w:r>
      <w:proofErr w:type="spellStart"/>
      <w:proofErr w:type="gramStart"/>
      <w:r w:rsidRPr="00E76131">
        <w:rPr>
          <w:rFonts w:ascii="Times New Roman" w:hAnsi="Times New Roman" w:cs="Times New Roman"/>
          <w:sz w:val="24"/>
          <w:szCs w:val="24"/>
        </w:rPr>
        <w:t>eds</w:t>
      </w:r>
      <w:proofErr w:type="spellEnd"/>
      <w:proofErr w:type="gramEnd"/>
      <w:r w:rsidRPr="00E76131">
        <w:rPr>
          <w:rFonts w:ascii="Times New Roman" w:hAnsi="Times New Roman" w:cs="Times New Roman"/>
          <w:sz w:val="24"/>
          <w:szCs w:val="24"/>
        </w:rPr>
        <w:t xml:space="preserve">) </w:t>
      </w:r>
      <w:r w:rsidRPr="00E76131">
        <w:rPr>
          <w:rFonts w:ascii="Times New Roman" w:hAnsi="Times New Roman" w:cs="Times New Roman"/>
          <w:i/>
          <w:sz w:val="24"/>
          <w:szCs w:val="24"/>
        </w:rPr>
        <w:t>Secularism, Racism and the Politics of Belonging</w:t>
      </w:r>
      <w:r w:rsidRPr="00E76131">
        <w:rPr>
          <w:rFonts w:ascii="Times New Roman" w:hAnsi="Times New Roman" w:cs="Times New Roman"/>
          <w:sz w:val="24"/>
          <w:szCs w:val="24"/>
        </w:rPr>
        <w:t xml:space="preserve">, </w:t>
      </w:r>
      <w:r w:rsidR="00E76131" w:rsidRPr="00E76131">
        <w:rPr>
          <w:rFonts w:ascii="Times New Roman" w:hAnsi="Times New Roman" w:cs="Times New Roman"/>
          <w:sz w:val="24"/>
          <w:szCs w:val="24"/>
        </w:rPr>
        <w:t>London</w:t>
      </w:r>
      <w:r w:rsidRPr="00E76131">
        <w:rPr>
          <w:rFonts w:ascii="Times New Roman" w:hAnsi="Times New Roman" w:cs="Times New Roman"/>
          <w:sz w:val="24"/>
          <w:szCs w:val="24"/>
        </w:rPr>
        <w:t>, Runnymede</w:t>
      </w:r>
      <w:r w:rsidR="007E55C9" w:rsidRPr="00E76131">
        <w:rPr>
          <w:rFonts w:ascii="Times New Roman" w:hAnsi="Times New Roman" w:cs="Times New Roman"/>
          <w:sz w:val="24"/>
          <w:szCs w:val="24"/>
        </w:rPr>
        <w:t>,</w:t>
      </w:r>
      <w:r w:rsidR="00E76131" w:rsidRPr="00E76131">
        <w:rPr>
          <w:rFonts w:ascii="Times New Roman" w:hAnsi="Times New Roman" w:cs="Times New Roman"/>
          <w:sz w:val="24"/>
          <w:szCs w:val="24"/>
        </w:rPr>
        <w:t xml:space="preserve"> 2012</w:t>
      </w:r>
      <w:r w:rsidR="007E55C9" w:rsidRPr="00E76131">
        <w:rPr>
          <w:rFonts w:ascii="Times New Roman" w:hAnsi="Times New Roman" w:cs="Times New Roman"/>
          <w:sz w:val="24"/>
          <w:szCs w:val="24"/>
        </w:rPr>
        <w:t xml:space="preserve"> p.</w:t>
      </w:r>
      <w:r w:rsidR="00E76131" w:rsidRPr="00E76131">
        <w:rPr>
          <w:rFonts w:ascii="Times New Roman" w:hAnsi="Times New Roman" w:cs="Times New Roman"/>
          <w:sz w:val="24"/>
          <w:szCs w:val="24"/>
        </w:rPr>
        <w:t>10-12</w:t>
      </w:r>
      <w:r w:rsidRPr="00E76131">
        <w:rPr>
          <w:rFonts w:ascii="Times New Roman" w:hAnsi="Times New Roman" w:cs="Times New Roman"/>
          <w:sz w:val="24"/>
          <w:szCs w:val="24"/>
        </w:rPr>
        <w:t>.</w:t>
      </w:r>
    </w:p>
    <w:p w:rsidR="00222E31" w:rsidRPr="001C1CDC" w:rsidRDefault="00222E31" w:rsidP="00D12126">
      <w:pPr>
        <w:rPr>
          <w:rFonts w:ascii="Times New Roman" w:hAnsi="Times New Roman" w:cs="Times New Roman"/>
          <w:sz w:val="24"/>
          <w:szCs w:val="24"/>
        </w:rPr>
      </w:pPr>
      <w:r w:rsidRPr="001C1CDC">
        <w:rPr>
          <w:rFonts w:ascii="Times New Roman" w:hAnsi="Times New Roman" w:cs="Times New Roman"/>
          <w:sz w:val="24"/>
          <w:szCs w:val="24"/>
        </w:rPr>
        <w:t xml:space="preserve">FINER, Samuel, </w:t>
      </w:r>
      <w:proofErr w:type="gramStart"/>
      <w:r w:rsidRPr="001C1CDC">
        <w:rPr>
          <w:rFonts w:ascii="Times New Roman" w:hAnsi="Times New Roman" w:cs="Times New Roman"/>
          <w:i/>
          <w:sz w:val="24"/>
          <w:szCs w:val="24"/>
        </w:rPr>
        <w:t>The</w:t>
      </w:r>
      <w:proofErr w:type="gramEnd"/>
      <w:r w:rsidRPr="001C1CDC">
        <w:rPr>
          <w:rFonts w:ascii="Times New Roman" w:hAnsi="Times New Roman" w:cs="Times New Roman"/>
          <w:i/>
          <w:sz w:val="24"/>
          <w:szCs w:val="24"/>
        </w:rPr>
        <w:t xml:space="preserve"> Life and Times of Edwin Chadwick, </w:t>
      </w:r>
      <w:r w:rsidR="007E55C9" w:rsidRPr="001C1CDC">
        <w:rPr>
          <w:rFonts w:ascii="Times New Roman" w:hAnsi="Times New Roman" w:cs="Times New Roman"/>
          <w:sz w:val="24"/>
          <w:szCs w:val="24"/>
        </w:rPr>
        <w:t>London, Methuen, p.</w:t>
      </w:r>
      <w:r w:rsidR="001C1CDC" w:rsidRPr="001C1CDC">
        <w:rPr>
          <w:rFonts w:ascii="Times New Roman" w:hAnsi="Times New Roman" w:cs="Times New Roman"/>
          <w:sz w:val="24"/>
          <w:szCs w:val="24"/>
        </w:rPr>
        <w:t xml:space="preserve"> 555</w:t>
      </w:r>
      <w:r w:rsidRPr="001C1CDC">
        <w:rPr>
          <w:rFonts w:ascii="Times New Roman" w:hAnsi="Times New Roman" w:cs="Times New Roman"/>
          <w:sz w:val="24"/>
          <w:szCs w:val="24"/>
        </w:rPr>
        <w:t>.</w:t>
      </w:r>
    </w:p>
    <w:p w:rsidR="00E178D3" w:rsidRPr="001C1CDC" w:rsidRDefault="00E178D3" w:rsidP="00D12126">
      <w:pPr>
        <w:rPr>
          <w:rFonts w:ascii="Times New Roman" w:hAnsi="Times New Roman" w:cs="Times New Roman"/>
          <w:sz w:val="24"/>
          <w:szCs w:val="24"/>
        </w:rPr>
      </w:pPr>
      <w:r w:rsidRPr="001C1CDC">
        <w:rPr>
          <w:rFonts w:ascii="Times New Roman" w:hAnsi="Times New Roman" w:cs="Times New Roman"/>
          <w:sz w:val="24"/>
          <w:szCs w:val="24"/>
        </w:rPr>
        <w:t>E</w:t>
      </w:r>
      <w:r w:rsidR="001C1CDC" w:rsidRPr="001C1CDC">
        <w:rPr>
          <w:rFonts w:ascii="Times New Roman" w:hAnsi="Times New Roman" w:cs="Times New Roman"/>
          <w:sz w:val="24"/>
          <w:szCs w:val="24"/>
        </w:rPr>
        <w:t xml:space="preserve">nvironment, Transport and Regional Affairs Committee, </w:t>
      </w:r>
      <w:r w:rsidR="001C1CDC" w:rsidRPr="001C1CDC">
        <w:rPr>
          <w:rFonts w:ascii="Times New Roman" w:hAnsi="Times New Roman" w:cs="Times New Roman"/>
          <w:i/>
          <w:sz w:val="24"/>
          <w:szCs w:val="24"/>
        </w:rPr>
        <w:t>Eighth Report: Cemeteries</w:t>
      </w:r>
      <w:r w:rsidR="001C1CDC" w:rsidRPr="001C1CDC">
        <w:rPr>
          <w:rFonts w:ascii="Times New Roman" w:hAnsi="Times New Roman" w:cs="Times New Roman"/>
          <w:sz w:val="24"/>
          <w:szCs w:val="24"/>
        </w:rPr>
        <w:t>, London, HMSO,</w:t>
      </w:r>
      <w:r w:rsidRPr="001C1CDC">
        <w:rPr>
          <w:rFonts w:ascii="Times New Roman" w:hAnsi="Times New Roman" w:cs="Times New Roman"/>
          <w:sz w:val="24"/>
          <w:szCs w:val="24"/>
        </w:rPr>
        <w:t xml:space="preserve"> 2002</w:t>
      </w:r>
      <w:r w:rsidR="001C1CDC" w:rsidRPr="001C1CDC">
        <w:rPr>
          <w:rFonts w:ascii="Times New Roman" w:hAnsi="Times New Roman" w:cs="Times New Roman"/>
          <w:sz w:val="24"/>
          <w:szCs w:val="24"/>
        </w:rPr>
        <w:t>, p. 63.</w:t>
      </w:r>
    </w:p>
    <w:p w:rsidR="00B74739" w:rsidRPr="001C1CDC" w:rsidRDefault="00B06C70" w:rsidP="00D12126">
      <w:pPr>
        <w:rPr>
          <w:rFonts w:ascii="Times New Roman" w:hAnsi="Times New Roman" w:cs="Times New Roman"/>
          <w:sz w:val="24"/>
          <w:szCs w:val="24"/>
        </w:rPr>
      </w:pPr>
      <w:r w:rsidRPr="001C1CDC">
        <w:rPr>
          <w:rFonts w:ascii="Times New Roman" w:hAnsi="Times New Roman" w:cs="Times New Roman"/>
          <w:sz w:val="24"/>
          <w:szCs w:val="24"/>
        </w:rPr>
        <w:t xml:space="preserve">HALCROW FOX, </w:t>
      </w:r>
      <w:r w:rsidR="00B74739" w:rsidRPr="001C1CDC">
        <w:rPr>
          <w:rFonts w:ascii="Times New Roman" w:hAnsi="Times New Roman" w:cs="Times New Roman"/>
          <w:i/>
          <w:sz w:val="24"/>
          <w:szCs w:val="24"/>
        </w:rPr>
        <w:t>Burial Space Needs in London</w:t>
      </w:r>
      <w:r w:rsidRPr="001C1CDC">
        <w:rPr>
          <w:rFonts w:ascii="Times New Roman" w:hAnsi="Times New Roman" w:cs="Times New Roman"/>
          <w:sz w:val="24"/>
          <w:szCs w:val="24"/>
        </w:rPr>
        <w:t>, London,</w:t>
      </w:r>
      <w:r w:rsidR="00B74739" w:rsidRPr="001C1CDC">
        <w:rPr>
          <w:rFonts w:ascii="Times New Roman" w:hAnsi="Times New Roman" w:cs="Times New Roman"/>
          <w:sz w:val="24"/>
          <w:szCs w:val="24"/>
        </w:rPr>
        <w:t xml:space="preserve"> Lon</w:t>
      </w:r>
      <w:r w:rsidRPr="001C1CDC">
        <w:rPr>
          <w:rFonts w:ascii="Times New Roman" w:hAnsi="Times New Roman" w:cs="Times New Roman"/>
          <w:sz w:val="24"/>
          <w:szCs w:val="24"/>
        </w:rPr>
        <w:t>don Planning Advisory Committee, 1997</w:t>
      </w:r>
      <w:r w:rsidR="007E55C9" w:rsidRPr="001C1CDC">
        <w:rPr>
          <w:rFonts w:ascii="Times New Roman" w:hAnsi="Times New Roman" w:cs="Times New Roman"/>
          <w:sz w:val="24"/>
          <w:szCs w:val="24"/>
        </w:rPr>
        <w:t xml:space="preserve">, p. </w:t>
      </w:r>
      <w:r w:rsidR="001C1CDC" w:rsidRPr="001C1CDC">
        <w:rPr>
          <w:rFonts w:ascii="Times New Roman" w:hAnsi="Times New Roman" w:cs="Times New Roman"/>
          <w:sz w:val="24"/>
          <w:szCs w:val="24"/>
        </w:rPr>
        <w:t>201.</w:t>
      </w:r>
    </w:p>
    <w:p w:rsidR="001C1CDC" w:rsidRPr="001C1CDC" w:rsidRDefault="001C1CDC" w:rsidP="00D12126">
      <w:pPr>
        <w:rPr>
          <w:rFonts w:ascii="Times New Roman" w:hAnsi="Times New Roman" w:cs="Times New Roman"/>
          <w:sz w:val="24"/>
          <w:szCs w:val="24"/>
        </w:rPr>
      </w:pPr>
      <w:r>
        <w:rPr>
          <w:rFonts w:ascii="Times New Roman" w:hAnsi="Times New Roman" w:cs="Times New Roman"/>
          <w:sz w:val="24"/>
          <w:szCs w:val="24"/>
        </w:rPr>
        <w:t xml:space="preserve">MARSH, Michael, ‘Newcastle Hindu healer </w:t>
      </w:r>
      <w:proofErr w:type="spellStart"/>
      <w:r>
        <w:rPr>
          <w:rFonts w:ascii="Times New Roman" w:hAnsi="Times New Roman" w:cs="Times New Roman"/>
          <w:sz w:val="24"/>
          <w:szCs w:val="24"/>
        </w:rPr>
        <w:t>Babaji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Davender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Ghai</w:t>
      </w:r>
      <w:proofErr w:type="spellEnd"/>
      <w:r>
        <w:rPr>
          <w:rFonts w:ascii="Times New Roman" w:hAnsi="Times New Roman" w:cs="Times New Roman"/>
          <w:sz w:val="24"/>
          <w:szCs w:val="24"/>
        </w:rPr>
        <w:t xml:space="preserve"> reignites funeral pyre plans’, </w:t>
      </w:r>
      <w:r>
        <w:rPr>
          <w:rFonts w:ascii="Times New Roman" w:hAnsi="Times New Roman" w:cs="Times New Roman"/>
          <w:i/>
          <w:sz w:val="24"/>
          <w:szCs w:val="24"/>
        </w:rPr>
        <w:t>Chronicle Live,</w:t>
      </w:r>
      <w:r>
        <w:rPr>
          <w:rFonts w:ascii="Times New Roman" w:hAnsi="Times New Roman" w:cs="Times New Roman"/>
          <w:sz w:val="24"/>
          <w:szCs w:val="24"/>
        </w:rPr>
        <w:t xml:space="preserve"> 15 February 2015.  </w:t>
      </w:r>
      <w:hyperlink r:id="rId9" w:history="1">
        <w:r w:rsidRPr="00D03834">
          <w:rPr>
            <w:rStyle w:val="Hyperlink"/>
            <w:rFonts w:ascii="Times New Roman" w:hAnsi="Times New Roman" w:cs="Times New Roman"/>
            <w:sz w:val="24"/>
            <w:szCs w:val="24"/>
          </w:rPr>
          <w:t>http://www.chroniclelive.co.uk/news/north-east-news/newcastle-hindu-healer-babaji-davender-8557432</w:t>
        </w:r>
      </w:hyperlink>
      <w:r>
        <w:rPr>
          <w:rFonts w:ascii="Times New Roman" w:hAnsi="Times New Roman" w:cs="Times New Roman"/>
          <w:color w:val="FF0000"/>
          <w:sz w:val="24"/>
          <w:szCs w:val="24"/>
        </w:rPr>
        <w:t xml:space="preserve"> </w:t>
      </w:r>
      <w:r>
        <w:rPr>
          <w:rFonts w:ascii="Times New Roman" w:hAnsi="Times New Roman" w:cs="Times New Roman"/>
          <w:sz w:val="24"/>
          <w:szCs w:val="24"/>
        </w:rPr>
        <w:t>Accessed 10 January 2015.</w:t>
      </w:r>
    </w:p>
    <w:p w:rsidR="00E32971" w:rsidRDefault="00E32971" w:rsidP="00D12126">
      <w:pPr>
        <w:rPr>
          <w:rFonts w:ascii="Times New Roman" w:hAnsi="Times New Roman" w:cs="Times New Roman"/>
          <w:sz w:val="24"/>
          <w:szCs w:val="24"/>
        </w:rPr>
      </w:pPr>
      <w:r>
        <w:rPr>
          <w:rFonts w:ascii="Times New Roman" w:hAnsi="Times New Roman" w:cs="Times New Roman"/>
          <w:sz w:val="24"/>
          <w:szCs w:val="24"/>
        </w:rPr>
        <w:t xml:space="preserve">JUSS, </w:t>
      </w:r>
      <w:proofErr w:type="spellStart"/>
      <w:r>
        <w:rPr>
          <w:rFonts w:ascii="Times New Roman" w:hAnsi="Times New Roman" w:cs="Times New Roman"/>
          <w:sz w:val="24"/>
          <w:szCs w:val="24"/>
        </w:rPr>
        <w:t>Satvinder</w:t>
      </w:r>
      <w:proofErr w:type="spellEnd"/>
      <w:r>
        <w:rPr>
          <w:rFonts w:ascii="Times New Roman" w:hAnsi="Times New Roman" w:cs="Times New Roman"/>
          <w:sz w:val="24"/>
          <w:szCs w:val="24"/>
        </w:rPr>
        <w:t xml:space="preserve"> Singh, ‘Sikh cremations and the re-imagining of the clash of cultures’, Human Rights Quarterly, 35, 2013, </w:t>
      </w:r>
      <w:r w:rsidR="007E55C9">
        <w:rPr>
          <w:rFonts w:ascii="Times New Roman" w:hAnsi="Times New Roman" w:cs="Times New Roman"/>
          <w:sz w:val="24"/>
          <w:szCs w:val="24"/>
        </w:rPr>
        <w:t xml:space="preserve">p. </w:t>
      </w:r>
      <w:r>
        <w:rPr>
          <w:rFonts w:ascii="Times New Roman" w:hAnsi="Times New Roman" w:cs="Times New Roman"/>
          <w:sz w:val="24"/>
          <w:szCs w:val="24"/>
        </w:rPr>
        <w:t>598-630.</w:t>
      </w:r>
    </w:p>
    <w:p w:rsidR="004D4FF2" w:rsidRPr="004D4FF2" w:rsidRDefault="004D4FF2" w:rsidP="00D12126">
      <w:pPr>
        <w:rPr>
          <w:rFonts w:ascii="Times New Roman" w:hAnsi="Times New Roman" w:cs="Times New Roman"/>
          <w:sz w:val="24"/>
          <w:szCs w:val="24"/>
        </w:rPr>
      </w:pPr>
      <w:r w:rsidRPr="004D4FF2">
        <w:rPr>
          <w:rFonts w:ascii="Times New Roman" w:hAnsi="Times New Roman" w:cs="Times New Roman"/>
          <w:sz w:val="24"/>
          <w:szCs w:val="24"/>
        </w:rPr>
        <w:t xml:space="preserve">PAREKH, </w:t>
      </w:r>
      <w:proofErr w:type="spellStart"/>
      <w:r w:rsidRPr="004D4FF2">
        <w:rPr>
          <w:rFonts w:ascii="Times New Roman" w:hAnsi="Times New Roman" w:cs="Times New Roman"/>
          <w:sz w:val="24"/>
          <w:szCs w:val="24"/>
        </w:rPr>
        <w:t>Bhikhu</w:t>
      </w:r>
      <w:proofErr w:type="spellEnd"/>
      <w:r>
        <w:rPr>
          <w:rFonts w:ascii="Times New Roman" w:hAnsi="Times New Roman" w:cs="Times New Roman"/>
          <w:sz w:val="24"/>
          <w:szCs w:val="24"/>
        </w:rPr>
        <w:t>, ‘The logic of intercultural evaluation’, in HORTON, John and MENDUS, Susan (</w:t>
      </w:r>
      <w:proofErr w:type="spellStart"/>
      <w:proofErr w:type="gramStart"/>
      <w:r>
        <w:rPr>
          <w:rFonts w:ascii="Times New Roman" w:hAnsi="Times New Roman" w:cs="Times New Roman"/>
          <w:sz w:val="24"/>
          <w:szCs w:val="24"/>
        </w:rPr>
        <w:t>eds</w:t>
      </w:r>
      <w:proofErr w:type="spellEnd"/>
      <w:proofErr w:type="gramEnd"/>
      <w:r>
        <w:rPr>
          <w:rFonts w:ascii="Times New Roman" w:hAnsi="Times New Roman" w:cs="Times New Roman"/>
          <w:sz w:val="24"/>
          <w:szCs w:val="24"/>
        </w:rPr>
        <w:t xml:space="preserve">), </w:t>
      </w:r>
      <w:r>
        <w:rPr>
          <w:rFonts w:ascii="Times New Roman" w:hAnsi="Times New Roman" w:cs="Times New Roman"/>
          <w:i/>
          <w:sz w:val="24"/>
          <w:szCs w:val="24"/>
        </w:rPr>
        <w:t>Toleration, Identity and Difference</w:t>
      </w:r>
      <w:r>
        <w:rPr>
          <w:rFonts w:ascii="Times New Roman" w:hAnsi="Times New Roman" w:cs="Times New Roman"/>
          <w:sz w:val="24"/>
          <w:szCs w:val="24"/>
        </w:rPr>
        <w:t>, Basingstoke, Macmillan, p. 163-197.</w:t>
      </w:r>
    </w:p>
    <w:p w:rsidR="009C5316" w:rsidRPr="00F10234" w:rsidRDefault="009C5316" w:rsidP="00D12126">
      <w:pPr>
        <w:rPr>
          <w:rFonts w:ascii="Times New Roman" w:hAnsi="Times New Roman" w:cs="Times New Roman"/>
          <w:sz w:val="24"/>
          <w:szCs w:val="24"/>
        </w:rPr>
      </w:pPr>
      <w:r w:rsidRPr="00F10234">
        <w:rPr>
          <w:rFonts w:ascii="Times New Roman" w:hAnsi="Times New Roman" w:cs="Times New Roman"/>
          <w:sz w:val="24"/>
          <w:szCs w:val="24"/>
        </w:rPr>
        <w:t xml:space="preserve">RIVERS, Julian, ‘Religious liberty as collective right’, </w:t>
      </w:r>
      <w:r w:rsidRPr="00F10234">
        <w:rPr>
          <w:rFonts w:ascii="Times New Roman" w:hAnsi="Times New Roman" w:cs="Times New Roman"/>
          <w:i/>
          <w:sz w:val="24"/>
          <w:szCs w:val="24"/>
        </w:rPr>
        <w:t>Law and Religion: Current Legal Issues Volume 4</w:t>
      </w:r>
      <w:proofErr w:type="gramStart"/>
      <w:r w:rsidRPr="00F10234">
        <w:rPr>
          <w:rFonts w:ascii="Times New Roman" w:hAnsi="Times New Roman" w:cs="Times New Roman"/>
          <w:sz w:val="24"/>
          <w:szCs w:val="24"/>
        </w:rPr>
        <w:t xml:space="preserve">, </w:t>
      </w:r>
      <w:r w:rsidR="00F10234">
        <w:rPr>
          <w:rFonts w:ascii="Times New Roman" w:hAnsi="Times New Roman" w:cs="Times New Roman"/>
          <w:sz w:val="24"/>
          <w:szCs w:val="24"/>
        </w:rPr>
        <w:t xml:space="preserve"> published</w:t>
      </w:r>
      <w:proofErr w:type="gramEnd"/>
      <w:r w:rsidR="00F10234">
        <w:rPr>
          <w:rFonts w:ascii="Times New Roman" w:hAnsi="Times New Roman" w:cs="Times New Roman"/>
          <w:sz w:val="24"/>
          <w:szCs w:val="24"/>
        </w:rPr>
        <w:t xml:space="preserve"> online at, </w:t>
      </w:r>
      <w:r w:rsidR="00F10234" w:rsidRPr="00F10234">
        <w:rPr>
          <w:rFonts w:ascii="Times New Roman" w:hAnsi="Times New Roman" w:cs="Times New Roman"/>
          <w:sz w:val="24"/>
          <w:szCs w:val="24"/>
        </w:rPr>
        <w:t>DOI:10.1093/</w:t>
      </w:r>
      <w:proofErr w:type="spellStart"/>
      <w:r w:rsidR="00F10234" w:rsidRPr="00F10234">
        <w:rPr>
          <w:rFonts w:ascii="Times New Roman" w:hAnsi="Times New Roman" w:cs="Times New Roman"/>
          <w:sz w:val="24"/>
          <w:szCs w:val="24"/>
        </w:rPr>
        <w:t>acprof:oso</w:t>
      </w:r>
      <w:proofErr w:type="spellEnd"/>
      <w:r w:rsidR="00F10234" w:rsidRPr="00F10234">
        <w:rPr>
          <w:rFonts w:ascii="Times New Roman" w:hAnsi="Times New Roman" w:cs="Times New Roman"/>
          <w:sz w:val="24"/>
          <w:szCs w:val="24"/>
        </w:rPr>
        <w:t>/9780199246601.001.0001</w:t>
      </w:r>
      <w:r w:rsidRPr="00F10234">
        <w:rPr>
          <w:rFonts w:ascii="Times New Roman" w:hAnsi="Times New Roman" w:cs="Times New Roman"/>
          <w:sz w:val="24"/>
          <w:szCs w:val="24"/>
        </w:rPr>
        <w:t xml:space="preserve">  </w:t>
      </w:r>
    </w:p>
    <w:p w:rsidR="009A1C5D" w:rsidRPr="009A1C5D" w:rsidRDefault="009A1C5D" w:rsidP="00D12126">
      <w:pPr>
        <w:rPr>
          <w:rFonts w:ascii="Times New Roman" w:hAnsi="Times New Roman" w:cs="Times New Roman"/>
          <w:sz w:val="24"/>
          <w:szCs w:val="24"/>
        </w:rPr>
      </w:pPr>
      <w:proofErr w:type="gramStart"/>
      <w:r>
        <w:rPr>
          <w:rFonts w:ascii="Times New Roman" w:hAnsi="Times New Roman" w:cs="Times New Roman"/>
          <w:sz w:val="24"/>
          <w:szCs w:val="24"/>
        </w:rPr>
        <w:t xml:space="preserve">RUGG, Julie, ‘The Burial Laws Amendment Act of 1880 and strategies of evasion in rural North Yorkshire’, </w:t>
      </w:r>
      <w:r w:rsidRPr="00E32971">
        <w:rPr>
          <w:rFonts w:ascii="Times New Roman" w:hAnsi="Times New Roman" w:cs="Times New Roman"/>
          <w:sz w:val="24"/>
          <w:szCs w:val="24"/>
        </w:rPr>
        <w:t>Northern History</w:t>
      </w:r>
      <w:r>
        <w:rPr>
          <w:rFonts w:ascii="Times New Roman" w:hAnsi="Times New Roman" w:cs="Times New Roman"/>
          <w:sz w:val="24"/>
          <w:szCs w:val="24"/>
        </w:rPr>
        <w:t xml:space="preserve">, 51, 2014, </w:t>
      </w:r>
      <w:r w:rsidR="007E55C9">
        <w:rPr>
          <w:rFonts w:ascii="Times New Roman" w:hAnsi="Times New Roman" w:cs="Times New Roman"/>
          <w:sz w:val="24"/>
          <w:szCs w:val="24"/>
        </w:rPr>
        <w:t xml:space="preserve">p. </w:t>
      </w:r>
      <w:r>
        <w:rPr>
          <w:rFonts w:ascii="Times New Roman" w:hAnsi="Times New Roman" w:cs="Times New Roman"/>
          <w:sz w:val="24"/>
          <w:szCs w:val="24"/>
        </w:rPr>
        <w:t>113-130.</w:t>
      </w:r>
      <w:proofErr w:type="gramEnd"/>
    </w:p>
    <w:p w:rsidR="007E6309" w:rsidRPr="007837EF" w:rsidRDefault="00733305" w:rsidP="00D12126">
      <w:pPr>
        <w:rPr>
          <w:rFonts w:ascii="Times New Roman" w:hAnsi="Times New Roman" w:cs="Times New Roman"/>
          <w:sz w:val="24"/>
          <w:szCs w:val="24"/>
        </w:rPr>
      </w:pPr>
      <w:r>
        <w:rPr>
          <w:rFonts w:ascii="Times New Roman" w:hAnsi="Times New Roman" w:cs="Times New Roman"/>
          <w:sz w:val="24"/>
          <w:szCs w:val="24"/>
        </w:rPr>
        <w:t>RUGG</w:t>
      </w:r>
      <w:r w:rsidR="007E6309">
        <w:rPr>
          <w:rFonts w:ascii="Times New Roman" w:hAnsi="Times New Roman" w:cs="Times New Roman"/>
          <w:sz w:val="24"/>
          <w:szCs w:val="24"/>
        </w:rPr>
        <w:t xml:space="preserve">, Julie, </w:t>
      </w:r>
      <w:r w:rsidR="007E6309">
        <w:rPr>
          <w:rFonts w:ascii="Times New Roman" w:hAnsi="Times New Roman" w:cs="Times New Roman"/>
          <w:i/>
          <w:sz w:val="24"/>
          <w:szCs w:val="24"/>
        </w:rPr>
        <w:t>Churchyard and Cemetery: Tradition and Modernity in Rural North Yorkshire</w:t>
      </w:r>
      <w:r w:rsidR="007E6309">
        <w:rPr>
          <w:rFonts w:ascii="Times New Roman" w:hAnsi="Times New Roman" w:cs="Times New Roman"/>
          <w:sz w:val="24"/>
          <w:szCs w:val="24"/>
        </w:rPr>
        <w:t xml:space="preserve">, </w:t>
      </w:r>
      <w:r w:rsidR="007E6309" w:rsidRPr="007837EF">
        <w:rPr>
          <w:rFonts w:ascii="Times New Roman" w:hAnsi="Times New Roman" w:cs="Times New Roman"/>
          <w:sz w:val="24"/>
          <w:szCs w:val="24"/>
        </w:rPr>
        <w:t>Manchester, Manchester University Press, 2013, p. 427.</w:t>
      </w:r>
    </w:p>
    <w:p w:rsidR="00303617" w:rsidRPr="00303617" w:rsidRDefault="00303617" w:rsidP="00D12126">
      <w:pPr>
        <w:rPr>
          <w:rFonts w:ascii="Times New Roman" w:hAnsi="Times New Roman" w:cs="Times New Roman"/>
          <w:sz w:val="24"/>
          <w:szCs w:val="24"/>
        </w:rPr>
      </w:pPr>
      <w:r>
        <w:rPr>
          <w:rFonts w:ascii="Times New Roman" w:hAnsi="Times New Roman" w:cs="Times New Roman"/>
          <w:sz w:val="24"/>
          <w:szCs w:val="24"/>
        </w:rPr>
        <w:t>RUGG, Julie and HOLLAND, Steven, ‘</w:t>
      </w:r>
      <w:proofErr w:type="gramStart"/>
      <w:r>
        <w:rPr>
          <w:rFonts w:ascii="Times New Roman" w:hAnsi="Times New Roman" w:cs="Times New Roman"/>
          <w:sz w:val="24"/>
          <w:szCs w:val="24"/>
        </w:rPr>
        <w:t>Respecting</w:t>
      </w:r>
      <w:proofErr w:type="gramEnd"/>
      <w:r>
        <w:rPr>
          <w:rFonts w:ascii="Times New Roman" w:hAnsi="Times New Roman" w:cs="Times New Roman"/>
          <w:sz w:val="24"/>
          <w:szCs w:val="24"/>
        </w:rPr>
        <w:t xml:space="preserve"> corpses: the ethics of grave re-use’ </w:t>
      </w:r>
      <w:r>
        <w:rPr>
          <w:rFonts w:ascii="Times New Roman" w:hAnsi="Times New Roman" w:cs="Times New Roman"/>
          <w:i/>
          <w:sz w:val="24"/>
          <w:szCs w:val="24"/>
        </w:rPr>
        <w:t>Mortality</w:t>
      </w:r>
      <w:r>
        <w:rPr>
          <w:rFonts w:ascii="Times New Roman" w:hAnsi="Times New Roman" w:cs="Times New Roman"/>
          <w:sz w:val="24"/>
          <w:szCs w:val="24"/>
        </w:rPr>
        <w:t>, forthcoming.</w:t>
      </w:r>
    </w:p>
    <w:p w:rsidR="007837EF" w:rsidRDefault="00E178D3" w:rsidP="00D12126">
      <w:pPr>
        <w:rPr>
          <w:rFonts w:ascii="Times New Roman" w:hAnsi="Times New Roman" w:cs="Times New Roman"/>
          <w:sz w:val="24"/>
          <w:szCs w:val="24"/>
        </w:rPr>
      </w:pPr>
      <w:r w:rsidRPr="007837EF">
        <w:rPr>
          <w:rFonts w:ascii="Times New Roman" w:hAnsi="Times New Roman" w:cs="Times New Roman"/>
          <w:sz w:val="24"/>
          <w:szCs w:val="24"/>
        </w:rPr>
        <w:t>RUGG, J</w:t>
      </w:r>
      <w:r w:rsidR="007837EF" w:rsidRPr="007837EF">
        <w:rPr>
          <w:rFonts w:ascii="Times New Roman" w:hAnsi="Times New Roman" w:cs="Times New Roman"/>
          <w:sz w:val="24"/>
          <w:szCs w:val="24"/>
        </w:rPr>
        <w:t xml:space="preserve">ulie and PLEACE, Nicholas, </w:t>
      </w:r>
      <w:proofErr w:type="gramStart"/>
      <w:r w:rsidR="007837EF" w:rsidRPr="007837EF">
        <w:rPr>
          <w:rFonts w:ascii="Times New Roman" w:hAnsi="Times New Roman" w:cs="Times New Roman"/>
          <w:i/>
          <w:sz w:val="24"/>
          <w:szCs w:val="24"/>
        </w:rPr>
        <w:t>An</w:t>
      </w:r>
      <w:proofErr w:type="gramEnd"/>
      <w:r w:rsidR="007837EF" w:rsidRPr="007837EF">
        <w:rPr>
          <w:rFonts w:ascii="Times New Roman" w:hAnsi="Times New Roman" w:cs="Times New Roman"/>
          <w:i/>
          <w:sz w:val="24"/>
          <w:szCs w:val="24"/>
        </w:rPr>
        <w:t xml:space="preserve"> Audit of London Burial Provision</w:t>
      </w:r>
      <w:r w:rsidR="007837EF" w:rsidRPr="007837EF">
        <w:rPr>
          <w:rFonts w:ascii="Times New Roman" w:hAnsi="Times New Roman" w:cs="Times New Roman"/>
          <w:sz w:val="24"/>
          <w:szCs w:val="24"/>
        </w:rPr>
        <w:t xml:space="preserve">, </w:t>
      </w:r>
      <w:r w:rsidR="007837EF">
        <w:rPr>
          <w:rFonts w:ascii="Times New Roman" w:hAnsi="Times New Roman" w:cs="Times New Roman"/>
          <w:sz w:val="24"/>
          <w:szCs w:val="24"/>
        </w:rPr>
        <w:t xml:space="preserve">2010, London, Greater London Authority. Available at: </w:t>
      </w:r>
      <w:hyperlink r:id="rId10" w:history="1">
        <w:r w:rsidR="007837EF" w:rsidRPr="005E6B10">
          <w:rPr>
            <w:rStyle w:val="Hyperlink"/>
            <w:rFonts w:ascii="Times New Roman" w:hAnsi="Times New Roman" w:cs="Times New Roman"/>
            <w:sz w:val="24"/>
            <w:szCs w:val="24"/>
          </w:rPr>
          <w:t>http://www.london.gov.uk/sites/default/files/Audit%20of%20London%20Burial%20Provision.pdf</w:t>
        </w:r>
      </w:hyperlink>
      <w:r w:rsidR="007837EF">
        <w:rPr>
          <w:rFonts w:ascii="Times New Roman" w:hAnsi="Times New Roman" w:cs="Times New Roman"/>
          <w:sz w:val="24"/>
          <w:szCs w:val="24"/>
        </w:rPr>
        <w:t xml:space="preserve"> (accessed on 9 January 2015).</w:t>
      </w:r>
    </w:p>
    <w:p w:rsidR="00554CEE" w:rsidRPr="006A3CC7" w:rsidRDefault="00554CEE" w:rsidP="00D12126">
      <w:pPr>
        <w:rPr>
          <w:rFonts w:ascii="Times New Roman" w:hAnsi="Times New Roman" w:cs="Times New Roman"/>
          <w:sz w:val="24"/>
          <w:szCs w:val="24"/>
        </w:rPr>
      </w:pPr>
      <w:r>
        <w:rPr>
          <w:rFonts w:ascii="Times New Roman" w:hAnsi="Times New Roman" w:cs="Times New Roman"/>
          <w:sz w:val="24"/>
          <w:szCs w:val="24"/>
        </w:rPr>
        <w:t xml:space="preserve">RUGG, Julie, STIRLING, Fiona and CLAYDEN, Andy, ‘Churchyard and cemetery in an English industrial city: Sheffield, 1740-1900’, </w:t>
      </w:r>
      <w:r w:rsidR="006A3CC7" w:rsidRPr="00E32971">
        <w:rPr>
          <w:rFonts w:ascii="Times New Roman" w:hAnsi="Times New Roman" w:cs="Times New Roman"/>
          <w:sz w:val="24"/>
          <w:szCs w:val="24"/>
        </w:rPr>
        <w:t>Urban History</w:t>
      </w:r>
      <w:r w:rsidR="006A3CC7">
        <w:rPr>
          <w:rFonts w:ascii="Times New Roman" w:hAnsi="Times New Roman" w:cs="Times New Roman"/>
          <w:sz w:val="24"/>
          <w:szCs w:val="24"/>
        </w:rPr>
        <w:t xml:space="preserve">, 41, 2014, </w:t>
      </w:r>
      <w:r w:rsidR="007E55C9">
        <w:rPr>
          <w:rFonts w:ascii="Times New Roman" w:hAnsi="Times New Roman" w:cs="Times New Roman"/>
          <w:sz w:val="24"/>
          <w:szCs w:val="24"/>
        </w:rPr>
        <w:t xml:space="preserve">p. </w:t>
      </w:r>
      <w:r w:rsidR="006A3CC7">
        <w:rPr>
          <w:rFonts w:ascii="Times New Roman" w:hAnsi="Times New Roman" w:cs="Times New Roman"/>
          <w:sz w:val="24"/>
          <w:szCs w:val="24"/>
        </w:rPr>
        <w:t>627-646.</w:t>
      </w:r>
    </w:p>
    <w:p w:rsidR="007B0664" w:rsidRDefault="007B0664" w:rsidP="00D12126">
      <w:pPr>
        <w:rPr>
          <w:rFonts w:ascii="Times New Roman" w:hAnsi="Times New Roman" w:cs="Times New Roman"/>
          <w:sz w:val="24"/>
          <w:szCs w:val="24"/>
        </w:rPr>
      </w:pPr>
      <w:proofErr w:type="gramStart"/>
      <w:r>
        <w:rPr>
          <w:rFonts w:ascii="Times New Roman" w:hAnsi="Times New Roman" w:cs="Times New Roman"/>
          <w:sz w:val="24"/>
          <w:szCs w:val="24"/>
        </w:rPr>
        <w:t>S</w:t>
      </w:r>
      <w:r w:rsidR="00BB42E7">
        <w:rPr>
          <w:rFonts w:ascii="Times New Roman" w:hAnsi="Times New Roman" w:cs="Times New Roman"/>
          <w:sz w:val="24"/>
          <w:szCs w:val="24"/>
        </w:rPr>
        <w:t xml:space="preserve">NELL, Keith and </w:t>
      </w:r>
      <w:r>
        <w:rPr>
          <w:rFonts w:ascii="Times New Roman" w:hAnsi="Times New Roman" w:cs="Times New Roman"/>
          <w:sz w:val="24"/>
          <w:szCs w:val="24"/>
        </w:rPr>
        <w:t>E</w:t>
      </w:r>
      <w:r w:rsidR="00BB42E7">
        <w:rPr>
          <w:rFonts w:ascii="Times New Roman" w:hAnsi="Times New Roman" w:cs="Times New Roman"/>
          <w:sz w:val="24"/>
          <w:szCs w:val="24"/>
        </w:rPr>
        <w:t xml:space="preserve">LL, Paul, </w:t>
      </w:r>
      <w:r>
        <w:rPr>
          <w:rFonts w:ascii="Times New Roman" w:hAnsi="Times New Roman" w:cs="Times New Roman"/>
          <w:i/>
          <w:sz w:val="24"/>
          <w:szCs w:val="24"/>
        </w:rPr>
        <w:t xml:space="preserve">Rival </w:t>
      </w:r>
      <w:proofErr w:type="spellStart"/>
      <w:r>
        <w:rPr>
          <w:rFonts w:ascii="Times New Roman" w:hAnsi="Times New Roman" w:cs="Times New Roman"/>
          <w:i/>
          <w:sz w:val="24"/>
          <w:szCs w:val="24"/>
        </w:rPr>
        <w:t>Jerusalems</w:t>
      </w:r>
      <w:proofErr w:type="spellEnd"/>
      <w:r w:rsidR="00303617">
        <w:rPr>
          <w:rFonts w:ascii="Times New Roman" w:hAnsi="Times New Roman" w:cs="Times New Roman"/>
          <w:i/>
          <w:sz w:val="24"/>
          <w:szCs w:val="24"/>
        </w:rPr>
        <w:t>.</w:t>
      </w:r>
      <w:proofErr w:type="gramEnd"/>
      <w:r>
        <w:rPr>
          <w:rFonts w:ascii="Times New Roman" w:hAnsi="Times New Roman" w:cs="Times New Roman"/>
          <w:i/>
          <w:sz w:val="24"/>
          <w:szCs w:val="24"/>
        </w:rPr>
        <w:t xml:space="preserve"> The Geography of Victorian Religion</w:t>
      </w:r>
      <w:r>
        <w:rPr>
          <w:rFonts w:ascii="Times New Roman" w:hAnsi="Times New Roman" w:cs="Times New Roman"/>
          <w:sz w:val="24"/>
          <w:szCs w:val="24"/>
        </w:rPr>
        <w:t>, Cambridge: Cambridge University Press</w:t>
      </w:r>
      <w:r w:rsidR="00BB42E7">
        <w:rPr>
          <w:rFonts w:ascii="Times New Roman" w:hAnsi="Times New Roman" w:cs="Times New Roman"/>
          <w:sz w:val="24"/>
          <w:szCs w:val="24"/>
        </w:rPr>
        <w:t>, 2000, p.</w:t>
      </w:r>
      <w:r w:rsidR="007E55C9">
        <w:rPr>
          <w:rFonts w:ascii="Times New Roman" w:hAnsi="Times New Roman" w:cs="Times New Roman"/>
          <w:sz w:val="24"/>
          <w:szCs w:val="24"/>
        </w:rPr>
        <w:t xml:space="preserve"> </w:t>
      </w:r>
      <w:r w:rsidR="00BB42E7">
        <w:rPr>
          <w:rFonts w:ascii="Times New Roman" w:hAnsi="Times New Roman" w:cs="Times New Roman"/>
          <w:sz w:val="24"/>
          <w:szCs w:val="24"/>
        </w:rPr>
        <w:t>499</w:t>
      </w:r>
    </w:p>
    <w:p w:rsidR="00F10EF1" w:rsidRPr="00F10EF1" w:rsidRDefault="00F10EF1" w:rsidP="00D12126">
      <w:pPr>
        <w:rPr>
          <w:rFonts w:ascii="Times New Roman" w:hAnsi="Times New Roman" w:cs="Times New Roman"/>
          <w:sz w:val="24"/>
          <w:szCs w:val="24"/>
        </w:rPr>
      </w:pPr>
      <w:r>
        <w:rPr>
          <w:rFonts w:ascii="Times New Roman" w:hAnsi="Times New Roman" w:cs="Times New Roman"/>
          <w:sz w:val="24"/>
          <w:szCs w:val="24"/>
        </w:rPr>
        <w:t xml:space="preserve">STOCK, Gwynne, ‘Quaker burial: doctrine and practice’, in COX, Margaret (ed.) </w:t>
      </w:r>
      <w:r>
        <w:rPr>
          <w:rFonts w:ascii="Times New Roman" w:hAnsi="Times New Roman" w:cs="Times New Roman"/>
          <w:i/>
          <w:sz w:val="24"/>
          <w:szCs w:val="24"/>
        </w:rPr>
        <w:t>Grave Concerns: Death and Burial in England 1700-1850</w:t>
      </w:r>
      <w:r>
        <w:rPr>
          <w:rFonts w:ascii="Times New Roman" w:hAnsi="Times New Roman" w:cs="Times New Roman"/>
          <w:sz w:val="24"/>
          <w:szCs w:val="24"/>
        </w:rPr>
        <w:t>, York, Council for British Archaeology, p. 129-143.</w:t>
      </w:r>
    </w:p>
    <w:p w:rsidR="007B0664" w:rsidRDefault="00E178D3" w:rsidP="00D12126">
      <w:pPr>
        <w:rPr>
          <w:rFonts w:ascii="Times New Roman" w:hAnsi="Times New Roman" w:cs="Times New Roman"/>
          <w:sz w:val="24"/>
          <w:szCs w:val="24"/>
        </w:rPr>
      </w:pPr>
      <w:r>
        <w:rPr>
          <w:rFonts w:ascii="Times New Roman" w:hAnsi="Times New Roman" w:cs="Times New Roman"/>
          <w:sz w:val="24"/>
          <w:szCs w:val="24"/>
        </w:rPr>
        <w:t>TAYLOR</w:t>
      </w:r>
      <w:r w:rsidR="00041AC6">
        <w:rPr>
          <w:rFonts w:ascii="Times New Roman" w:hAnsi="Times New Roman" w:cs="Times New Roman"/>
          <w:sz w:val="24"/>
          <w:szCs w:val="24"/>
        </w:rPr>
        <w:t xml:space="preserve">, J. (2010) ‘Leaders signals end of Methodism’, 12 February, </w:t>
      </w:r>
      <w:hyperlink r:id="rId11" w:history="1">
        <w:r w:rsidR="00041AC6" w:rsidRPr="00267AEE">
          <w:rPr>
            <w:rStyle w:val="Hyperlink"/>
            <w:rFonts w:ascii="Times New Roman" w:hAnsi="Times New Roman" w:cs="Times New Roman"/>
            <w:sz w:val="24"/>
            <w:szCs w:val="24"/>
          </w:rPr>
          <w:t>http://www.independent.co.uk/news/uk/home-news/leader-signals-end-of-methodism-1897141.html</w:t>
        </w:r>
      </w:hyperlink>
      <w:r w:rsidR="00041AC6">
        <w:rPr>
          <w:rFonts w:ascii="Times New Roman" w:hAnsi="Times New Roman" w:cs="Times New Roman"/>
          <w:sz w:val="24"/>
          <w:szCs w:val="24"/>
        </w:rPr>
        <w:t xml:space="preserve"> (accessed on 4 January 2016)</w:t>
      </w:r>
      <w:r w:rsidR="00745A26">
        <w:rPr>
          <w:rFonts w:ascii="Times New Roman" w:hAnsi="Times New Roman" w:cs="Times New Roman"/>
          <w:sz w:val="24"/>
          <w:szCs w:val="24"/>
        </w:rPr>
        <w:t>.</w:t>
      </w:r>
    </w:p>
    <w:p w:rsidR="00745A26" w:rsidRPr="00745A26" w:rsidRDefault="00745A26" w:rsidP="00D12126">
      <w:pPr>
        <w:rPr>
          <w:rFonts w:ascii="Times New Roman" w:hAnsi="Times New Roman" w:cs="Times New Roman"/>
          <w:sz w:val="24"/>
          <w:szCs w:val="24"/>
        </w:rPr>
      </w:pPr>
      <w:r>
        <w:rPr>
          <w:rFonts w:ascii="Times New Roman" w:hAnsi="Times New Roman" w:cs="Times New Roman"/>
          <w:sz w:val="24"/>
          <w:szCs w:val="24"/>
        </w:rPr>
        <w:t>WOLFFE, John, ‘“And there’s another country…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religion, the state and British identities’ in PARSONS, Gerald (ed.), </w:t>
      </w:r>
      <w:r>
        <w:rPr>
          <w:rFonts w:ascii="Times New Roman" w:hAnsi="Times New Roman" w:cs="Times New Roman"/>
          <w:i/>
          <w:sz w:val="24"/>
          <w:szCs w:val="24"/>
        </w:rPr>
        <w:t xml:space="preserve">The Growth of Religious Diversity. </w:t>
      </w:r>
      <w:proofErr w:type="gramStart"/>
      <w:r>
        <w:rPr>
          <w:rFonts w:ascii="Times New Roman" w:hAnsi="Times New Roman" w:cs="Times New Roman"/>
          <w:i/>
          <w:sz w:val="24"/>
          <w:szCs w:val="24"/>
        </w:rPr>
        <w:t xml:space="preserve">Britain from 1945, </w:t>
      </w:r>
      <w:proofErr w:type="spellStart"/>
      <w:r>
        <w:rPr>
          <w:rFonts w:ascii="Times New Roman" w:hAnsi="Times New Roman" w:cs="Times New Roman"/>
          <w:i/>
          <w:sz w:val="24"/>
          <w:szCs w:val="24"/>
        </w:rPr>
        <w:t>vol</w:t>
      </w:r>
      <w:proofErr w:type="spellEnd"/>
      <w:r>
        <w:rPr>
          <w:rFonts w:ascii="Times New Roman" w:hAnsi="Times New Roman" w:cs="Times New Roman"/>
          <w:i/>
          <w:sz w:val="24"/>
          <w:szCs w:val="24"/>
        </w:rPr>
        <w:t xml:space="preserve"> II Issues</w:t>
      </w:r>
      <w:r>
        <w:rPr>
          <w:rFonts w:ascii="Times New Roman" w:hAnsi="Times New Roman" w:cs="Times New Roman"/>
          <w:sz w:val="24"/>
          <w:szCs w:val="24"/>
        </w:rPr>
        <w:t xml:space="preserve">, London, Open University Press, 1994, </w:t>
      </w:r>
      <w:r w:rsidR="007E55C9">
        <w:rPr>
          <w:rFonts w:ascii="Times New Roman" w:hAnsi="Times New Roman" w:cs="Times New Roman"/>
          <w:sz w:val="24"/>
          <w:szCs w:val="24"/>
        </w:rPr>
        <w:t xml:space="preserve">p. </w:t>
      </w:r>
      <w:r>
        <w:rPr>
          <w:rFonts w:ascii="Times New Roman" w:hAnsi="Times New Roman" w:cs="Times New Roman"/>
          <w:sz w:val="24"/>
          <w:szCs w:val="24"/>
        </w:rPr>
        <w:t>85-122.</w:t>
      </w:r>
      <w:proofErr w:type="gramEnd"/>
      <w:r>
        <w:rPr>
          <w:rFonts w:ascii="Times New Roman" w:hAnsi="Times New Roman" w:cs="Times New Roman"/>
          <w:sz w:val="24"/>
          <w:szCs w:val="24"/>
        </w:rPr>
        <w:t xml:space="preserve"> </w:t>
      </w:r>
    </w:p>
    <w:sectPr w:rsidR="00745A26" w:rsidRPr="00745A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EF6" w:rsidRDefault="00AA2EF6" w:rsidP="00527857">
      <w:pPr>
        <w:spacing w:after="0" w:line="240" w:lineRule="auto"/>
      </w:pPr>
      <w:r>
        <w:separator/>
      </w:r>
    </w:p>
  </w:endnote>
  <w:endnote w:type="continuationSeparator" w:id="0">
    <w:p w:rsidR="00AA2EF6" w:rsidRDefault="00AA2EF6" w:rsidP="00527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EF6" w:rsidRDefault="00AA2EF6" w:rsidP="00527857">
      <w:pPr>
        <w:spacing w:after="0" w:line="240" w:lineRule="auto"/>
      </w:pPr>
      <w:r>
        <w:separator/>
      </w:r>
    </w:p>
  </w:footnote>
  <w:footnote w:type="continuationSeparator" w:id="0">
    <w:p w:rsidR="00AA2EF6" w:rsidRDefault="00AA2EF6" w:rsidP="00527857">
      <w:pPr>
        <w:spacing w:after="0" w:line="240" w:lineRule="auto"/>
      </w:pPr>
      <w:r>
        <w:continuationSeparator/>
      </w:r>
    </w:p>
  </w:footnote>
  <w:footnote w:id="1">
    <w:p w:rsidR="00F10EF1" w:rsidRDefault="00F10EF1">
      <w:pPr>
        <w:pStyle w:val="FootnoteText"/>
      </w:pPr>
      <w:r>
        <w:rPr>
          <w:rStyle w:val="FootnoteReference"/>
        </w:rPr>
        <w:footnoteRef/>
      </w:r>
      <w:r>
        <w:t xml:space="preserve"> The </w:t>
      </w:r>
      <w:proofErr w:type="spellStart"/>
      <w:r>
        <w:t>Cenus</w:t>
      </w:r>
      <w:proofErr w:type="spellEnd"/>
      <w:r>
        <w:t xml:space="preserve"> counted attendances at morning, afternoon and evening services.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126"/>
    <w:rsid w:val="00000DDB"/>
    <w:rsid w:val="00041AC6"/>
    <w:rsid w:val="0006176E"/>
    <w:rsid w:val="00075EC9"/>
    <w:rsid w:val="00090519"/>
    <w:rsid w:val="000C0BF2"/>
    <w:rsid w:val="000C7F72"/>
    <w:rsid w:val="000D00CC"/>
    <w:rsid w:val="0011514E"/>
    <w:rsid w:val="00125F87"/>
    <w:rsid w:val="001505DB"/>
    <w:rsid w:val="00151B0A"/>
    <w:rsid w:val="001B1495"/>
    <w:rsid w:val="001C1CDC"/>
    <w:rsid w:val="00222E31"/>
    <w:rsid w:val="0023190E"/>
    <w:rsid w:val="00235D90"/>
    <w:rsid w:val="002C6E25"/>
    <w:rsid w:val="00303617"/>
    <w:rsid w:val="00335031"/>
    <w:rsid w:val="0033785D"/>
    <w:rsid w:val="00357A55"/>
    <w:rsid w:val="0041682F"/>
    <w:rsid w:val="00423D60"/>
    <w:rsid w:val="004371FB"/>
    <w:rsid w:val="00441626"/>
    <w:rsid w:val="004463BB"/>
    <w:rsid w:val="0047081C"/>
    <w:rsid w:val="00491522"/>
    <w:rsid w:val="00492279"/>
    <w:rsid w:val="004A2FE9"/>
    <w:rsid w:val="004D4FF2"/>
    <w:rsid w:val="004E0D50"/>
    <w:rsid w:val="00501FEE"/>
    <w:rsid w:val="005042CC"/>
    <w:rsid w:val="00527857"/>
    <w:rsid w:val="00533E37"/>
    <w:rsid w:val="005539B4"/>
    <w:rsid w:val="00554CEE"/>
    <w:rsid w:val="00557140"/>
    <w:rsid w:val="00567AB0"/>
    <w:rsid w:val="005D2553"/>
    <w:rsid w:val="006208E4"/>
    <w:rsid w:val="006354EA"/>
    <w:rsid w:val="00656E5A"/>
    <w:rsid w:val="00674682"/>
    <w:rsid w:val="00685D1B"/>
    <w:rsid w:val="006A1C8F"/>
    <w:rsid w:val="006A3CC7"/>
    <w:rsid w:val="006C7634"/>
    <w:rsid w:val="006E1580"/>
    <w:rsid w:val="00733305"/>
    <w:rsid w:val="00733E01"/>
    <w:rsid w:val="007359BC"/>
    <w:rsid w:val="00745A26"/>
    <w:rsid w:val="00780238"/>
    <w:rsid w:val="007837EF"/>
    <w:rsid w:val="00784B64"/>
    <w:rsid w:val="007A4000"/>
    <w:rsid w:val="007B0664"/>
    <w:rsid w:val="007E55C9"/>
    <w:rsid w:val="007E6309"/>
    <w:rsid w:val="007F3DD1"/>
    <w:rsid w:val="007F3EA8"/>
    <w:rsid w:val="008151DE"/>
    <w:rsid w:val="00897F86"/>
    <w:rsid w:val="008C74C2"/>
    <w:rsid w:val="008E0B1A"/>
    <w:rsid w:val="008E6E77"/>
    <w:rsid w:val="008F70DE"/>
    <w:rsid w:val="009178A9"/>
    <w:rsid w:val="0092122F"/>
    <w:rsid w:val="00933E98"/>
    <w:rsid w:val="00943E5B"/>
    <w:rsid w:val="00944450"/>
    <w:rsid w:val="009469C2"/>
    <w:rsid w:val="009A1C5D"/>
    <w:rsid w:val="009C5316"/>
    <w:rsid w:val="009E000D"/>
    <w:rsid w:val="009F1B8A"/>
    <w:rsid w:val="00A1145D"/>
    <w:rsid w:val="00A133F0"/>
    <w:rsid w:val="00A34E3D"/>
    <w:rsid w:val="00A54FBD"/>
    <w:rsid w:val="00A77FEB"/>
    <w:rsid w:val="00AA2EF6"/>
    <w:rsid w:val="00AB664D"/>
    <w:rsid w:val="00AC4CAF"/>
    <w:rsid w:val="00B06C70"/>
    <w:rsid w:val="00B52EAC"/>
    <w:rsid w:val="00B74739"/>
    <w:rsid w:val="00BA186A"/>
    <w:rsid w:val="00BA537E"/>
    <w:rsid w:val="00BB42E7"/>
    <w:rsid w:val="00BB5299"/>
    <w:rsid w:val="00BE074A"/>
    <w:rsid w:val="00C81B70"/>
    <w:rsid w:val="00C930A5"/>
    <w:rsid w:val="00C968EA"/>
    <w:rsid w:val="00CD1926"/>
    <w:rsid w:val="00D12126"/>
    <w:rsid w:val="00D47A6D"/>
    <w:rsid w:val="00D507DB"/>
    <w:rsid w:val="00D54D58"/>
    <w:rsid w:val="00D74B6E"/>
    <w:rsid w:val="00DC1EDE"/>
    <w:rsid w:val="00E178D3"/>
    <w:rsid w:val="00E23091"/>
    <w:rsid w:val="00E23842"/>
    <w:rsid w:val="00E32971"/>
    <w:rsid w:val="00E50581"/>
    <w:rsid w:val="00E76131"/>
    <w:rsid w:val="00E85C0C"/>
    <w:rsid w:val="00E91D39"/>
    <w:rsid w:val="00F0323E"/>
    <w:rsid w:val="00F10234"/>
    <w:rsid w:val="00F10EF1"/>
    <w:rsid w:val="00F209E6"/>
    <w:rsid w:val="00F22DF8"/>
    <w:rsid w:val="00F3611E"/>
    <w:rsid w:val="00F444BC"/>
    <w:rsid w:val="00F82F03"/>
    <w:rsid w:val="00F84F20"/>
    <w:rsid w:val="00FC4F91"/>
    <w:rsid w:val="00FE0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7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634"/>
    <w:rPr>
      <w:color w:val="0000FF" w:themeColor="hyperlink"/>
      <w:u w:val="single"/>
    </w:rPr>
  </w:style>
  <w:style w:type="paragraph" w:styleId="FootnoteText">
    <w:name w:val="footnote text"/>
    <w:basedOn w:val="Normal"/>
    <w:link w:val="FootnoteTextChar"/>
    <w:uiPriority w:val="99"/>
    <w:semiHidden/>
    <w:unhideWhenUsed/>
    <w:rsid w:val="005278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7857"/>
    <w:rPr>
      <w:sz w:val="20"/>
      <w:szCs w:val="20"/>
    </w:rPr>
  </w:style>
  <w:style w:type="character" w:styleId="FootnoteReference">
    <w:name w:val="footnote reference"/>
    <w:basedOn w:val="DefaultParagraphFont"/>
    <w:uiPriority w:val="99"/>
    <w:semiHidden/>
    <w:unhideWhenUsed/>
    <w:rsid w:val="005278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7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634"/>
    <w:rPr>
      <w:color w:val="0000FF" w:themeColor="hyperlink"/>
      <w:u w:val="single"/>
    </w:rPr>
  </w:style>
  <w:style w:type="paragraph" w:styleId="FootnoteText">
    <w:name w:val="footnote text"/>
    <w:basedOn w:val="Normal"/>
    <w:link w:val="FootnoteTextChar"/>
    <w:uiPriority w:val="99"/>
    <w:semiHidden/>
    <w:unhideWhenUsed/>
    <w:rsid w:val="005278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7857"/>
    <w:rPr>
      <w:sz w:val="20"/>
      <w:szCs w:val="20"/>
    </w:rPr>
  </w:style>
  <w:style w:type="character" w:styleId="FootnoteReference">
    <w:name w:val="footnote reference"/>
    <w:basedOn w:val="DefaultParagraphFont"/>
    <w:uiPriority w:val="99"/>
    <w:semiHidden/>
    <w:unhideWhenUsed/>
    <w:rsid w:val="005278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424399">
      <w:bodyDiv w:val="1"/>
      <w:marLeft w:val="0"/>
      <w:marRight w:val="0"/>
      <w:marTop w:val="0"/>
      <w:marBottom w:val="0"/>
      <w:divBdr>
        <w:top w:val="none" w:sz="0" w:space="0" w:color="auto"/>
        <w:left w:val="none" w:sz="0" w:space="0" w:color="auto"/>
        <w:bottom w:val="none" w:sz="0" w:space="0" w:color="auto"/>
        <w:right w:val="none" w:sz="0" w:space="0" w:color="auto"/>
      </w:divBdr>
    </w:div>
    <w:div w:id="739642579">
      <w:bodyDiv w:val="1"/>
      <w:marLeft w:val="0"/>
      <w:marRight w:val="0"/>
      <w:marTop w:val="0"/>
      <w:marBottom w:val="0"/>
      <w:divBdr>
        <w:top w:val="none" w:sz="0" w:space="0" w:color="auto"/>
        <w:left w:val="none" w:sz="0" w:space="0" w:color="auto"/>
        <w:bottom w:val="none" w:sz="0" w:space="0" w:color="auto"/>
        <w:right w:val="none" w:sz="0" w:space="0" w:color="auto"/>
      </w:divBdr>
    </w:div>
    <w:div w:id="142444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s.gov.uk/on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dependent.co.uk/news/uk/home-news/leader-signals-end-of-methodism-1897141.html" TargetMode="External"/><Relationship Id="rId5" Type="http://schemas.openxmlformats.org/officeDocument/2006/relationships/webSettings" Target="webSettings.xml"/><Relationship Id="rId10" Type="http://schemas.openxmlformats.org/officeDocument/2006/relationships/hyperlink" Target="http://www.london.gov.uk/sites/default/files/Audit%20of%20London%20Burial%20Provision.pdf" TargetMode="External"/><Relationship Id="rId4" Type="http://schemas.openxmlformats.org/officeDocument/2006/relationships/settings" Target="settings.xml"/><Relationship Id="rId9" Type="http://schemas.openxmlformats.org/officeDocument/2006/relationships/hyperlink" Target="http://www.chroniclelive.co.uk/news/north-east-news/newcastle-hindu-healer-babaji-davender-85574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rklaptop\AppData\Roaming\Microsoft\Templates\JRDot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63C71-1B58-41ED-95C4-565CD1311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JRDot1.dotx</Template>
  <TotalTime>1</TotalTime>
  <Pages>13</Pages>
  <Words>6080</Words>
  <Characters>33744</Characters>
  <Application>Microsoft Office Word</Application>
  <DocSecurity>0</DocSecurity>
  <Lines>535</Lines>
  <Paragraphs>120</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39704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worklaptop</dc:creator>
  <cp:lastModifiedBy>Julie Rugg</cp:lastModifiedBy>
  <cp:revision>2</cp:revision>
  <dcterms:created xsi:type="dcterms:W3CDTF">2016-01-10T17:25:00Z</dcterms:created>
  <dcterms:modified xsi:type="dcterms:W3CDTF">2016-01-10T17:25:00Z</dcterms:modified>
</cp:coreProperties>
</file>