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E67" w:rsidRPr="00BB6E67" w:rsidRDefault="00BB6E67" w:rsidP="00203361">
      <w:pPr>
        <w:spacing w:line="276" w:lineRule="auto"/>
        <w:jc w:val="center"/>
        <w:rPr>
          <w:rFonts w:ascii="Times New Roman" w:hAnsi="Times New Roman" w:cs="Times New Roman"/>
          <w:b/>
          <w:sz w:val="24"/>
          <w:szCs w:val="24"/>
        </w:rPr>
      </w:pPr>
      <w:r w:rsidRPr="00BB6E67">
        <w:rPr>
          <w:rFonts w:ascii="Times New Roman" w:hAnsi="Times New Roman" w:cs="Times New Roman"/>
          <w:b/>
          <w:sz w:val="24"/>
          <w:szCs w:val="24"/>
        </w:rPr>
        <w:t>Journal of Housing Law</w:t>
      </w:r>
    </w:p>
    <w:p w:rsidR="00BB6E67" w:rsidRPr="00BB6E67" w:rsidRDefault="00BB6E67" w:rsidP="00203361">
      <w:pPr>
        <w:spacing w:line="276" w:lineRule="auto"/>
        <w:jc w:val="center"/>
        <w:rPr>
          <w:rFonts w:ascii="Times New Roman" w:hAnsi="Times New Roman" w:cs="Times New Roman"/>
          <w:sz w:val="24"/>
          <w:szCs w:val="24"/>
        </w:rPr>
      </w:pPr>
      <w:r w:rsidRPr="00BB6E67">
        <w:rPr>
          <w:rFonts w:ascii="Times New Roman" w:hAnsi="Times New Roman" w:cs="Times New Roman"/>
          <w:sz w:val="24"/>
          <w:szCs w:val="24"/>
        </w:rPr>
        <w:t>2019</w:t>
      </w:r>
    </w:p>
    <w:p w:rsidR="00CB1471" w:rsidRPr="00CB1471" w:rsidRDefault="00CB1471" w:rsidP="00203361">
      <w:pPr>
        <w:spacing w:line="276" w:lineRule="auto"/>
        <w:jc w:val="center"/>
        <w:rPr>
          <w:rFonts w:ascii="Times New Roman" w:hAnsi="Times New Roman" w:cs="Times New Roman"/>
          <w:b/>
          <w:sz w:val="32"/>
          <w:szCs w:val="32"/>
        </w:rPr>
      </w:pPr>
      <w:r w:rsidRPr="00CB1471">
        <w:rPr>
          <w:rFonts w:ascii="Times New Roman" w:hAnsi="Times New Roman" w:cs="Times New Roman"/>
          <w:b/>
          <w:sz w:val="32"/>
          <w:szCs w:val="32"/>
        </w:rPr>
        <w:t>The housing benefit deficit and intentional homelessness</w:t>
      </w:r>
    </w:p>
    <w:p w:rsidR="00CB1471" w:rsidRPr="00BB6E67" w:rsidRDefault="00CB1471" w:rsidP="00203361">
      <w:pPr>
        <w:pStyle w:val="NormalWeb"/>
        <w:shd w:val="clear" w:color="auto" w:fill="FFFFFF"/>
        <w:spacing w:before="0" w:beforeAutospacing="0" w:after="0" w:afterAutospacing="0"/>
        <w:jc w:val="center"/>
        <w:rPr>
          <w:rStyle w:val="Strong"/>
          <w:b w:val="0"/>
          <w:color w:val="000000"/>
        </w:rPr>
      </w:pPr>
      <w:r w:rsidRPr="00BB6E67">
        <w:rPr>
          <w:rStyle w:val="Strong"/>
          <w:b w:val="0"/>
          <w:color w:val="000000"/>
        </w:rPr>
        <w:t>Dr Jed Meers*</w:t>
      </w:r>
    </w:p>
    <w:p w:rsidR="00CB1471" w:rsidRDefault="00CB1471" w:rsidP="005D67DF">
      <w:pPr>
        <w:pStyle w:val="NormalWeb"/>
        <w:shd w:val="clear" w:color="auto" w:fill="FFFFFF"/>
        <w:spacing w:before="0" w:beforeAutospacing="0" w:after="0" w:afterAutospacing="0"/>
        <w:jc w:val="both"/>
        <w:rPr>
          <w:rStyle w:val="Strong"/>
          <w:color w:val="000000"/>
        </w:rPr>
      </w:pPr>
      <w:bookmarkStart w:id="0" w:name="_GoBack"/>
      <w:bookmarkEnd w:id="0"/>
    </w:p>
    <w:p w:rsidR="00CB1471" w:rsidRPr="00BB6E67" w:rsidRDefault="00CB1471" w:rsidP="005D67DF">
      <w:pPr>
        <w:pStyle w:val="NormalWeb"/>
        <w:shd w:val="clear" w:color="auto" w:fill="FFFFFF"/>
        <w:spacing w:before="0" w:beforeAutospacing="0" w:after="0" w:afterAutospacing="0"/>
        <w:jc w:val="both"/>
        <w:rPr>
          <w:color w:val="000000"/>
          <w:sz w:val="22"/>
          <w:szCs w:val="22"/>
        </w:rPr>
      </w:pPr>
      <w:r w:rsidRPr="00BB6E67">
        <w:rPr>
          <w:rStyle w:val="Strong"/>
          <w:color w:val="000000"/>
          <w:sz w:val="22"/>
          <w:szCs w:val="22"/>
        </w:rPr>
        <w:t>Subject: </w:t>
      </w:r>
      <w:r w:rsidRPr="00BB6E67">
        <w:rPr>
          <w:color w:val="000000"/>
          <w:sz w:val="22"/>
          <w:szCs w:val="22"/>
        </w:rPr>
        <w:t>Housing</w:t>
      </w:r>
    </w:p>
    <w:p w:rsidR="00CB1471" w:rsidRPr="00BB6E67" w:rsidRDefault="00CB1471" w:rsidP="005D67DF">
      <w:pPr>
        <w:pStyle w:val="NormalWeb"/>
        <w:shd w:val="clear" w:color="auto" w:fill="FFFFFF"/>
        <w:spacing w:before="0" w:beforeAutospacing="0" w:after="0" w:afterAutospacing="0"/>
        <w:jc w:val="both"/>
        <w:rPr>
          <w:color w:val="000000"/>
          <w:sz w:val="22"/>
          <w:szCs w:val="22"/>
        </w:rPr>
      </w:pPr>
    </w:p>
    <w:p w:rsidR="00CB1471" w:rsidRPr="00BB6E67" w:rsidRDefault="00CB1471" w:rsidP="005D67DF">
      <w:pPr>
        <w:pStyle w:val="NormalWeb"/>
        <w:shd w:val="clear" w:color="auto" w:fill="FFFFFF"/>
        <w:spacing w:before="0" w:beforeAutospacing="0" w:after="0" w:afterAutospacing="0"/>
        <w:jc w:val="both"/>
        <w:rPr>
          <w:color w:val="000000"/>
          <w:sz w:val="22"/>
          <w:szCs w:val="22"/>
        </w:rPr>
      </w:pPr>
      <w:r w:rsidRPr="00BB6E67">
        <w:rPr>
          <w:rStyle w:val="Strong"/>
          <w:color w:val="000000"/>
          <w:sz w:val="22"/>
          <w:szCs w:val="22"/>
        </w:rPr>
        <w:t>Keywords: </w:t>
      </w:r>
      <w:r w:rsidRPr="00BB6E67">
        <w:rPr>
          <w:color w:val="000000"/>
          <w:sz w:val="22"/>
          <w:szCs w:val="22"/>
        </w:rPr>
        <w:t xml:space="preserve">Homelessness; Local housing authorities' powers and duties; </w:t>
      </w:r>
      <w:r w:rsidRPr="00BB6E67">
        <w:rPr>
          <w:color w:val="000000"/>
          <w:sz w:val="22"/>
          <w:szCs w:val="22"/>
        </w:rPr>
        <w:t>Intentionality</w:t>
      </w:r>
      <w:r w:rsidRPr="00BB6E67">
        <w:rPr>
          <w:color w:val="000000"/>
          <w:sz w:val="22"/>
          <w:szCs w:val="22"/>
        </w:rPr>
        <w:t xml:space="preserve">; </w:t>
      </w:r>
      <w:r w:rsidRPr="00BB6E67">
        <w:rPr>
          <w:color w:val="000000"/>
          <w:sz w:val="22"/>
          <w:szCs w:val="22"/>
        </w:rPr>
        <w:t>Reasonable living expenses.</w:t>
      </w:r>
    </w:p>
    <w:p w:rsidR="00CB1471" w:rsidRPr="00BB6E67" w:rsidRDefault="00CB1471" w:rsidP="005D67DF">
      <w:pPr>
        <w:spacing w:after="0" w:line="276" w:lineRule="auto"/>
        <w:jc w:val="both"/>
        <w:rPr>
          <w:rFonts w:ascii="Times New Roman" w:hAnsi="Times New Roman" w:cs="Times New Roman"/>
        </w:rPr>
      </w:pPr>
    </w:p>
    <w:p w:rsidR="00BB6E67" w:rsidRPr="00BB6E67" w:rsidRDefault="00BB6E67" w:rsidP="005D67DF">
      <w:pPr>
        <w:spacing w:after="0" w:line="276" w:lineRule="auto"/>
        <w:jc w:val="both"/>
        <w:rPr>
          <w:rFonts w:ascii="Times New Roman" w:hAnsi="Times New Roman" w:cs="Times New Roman"/>
        </w:rPr>
      </w:pPr>
      <w:r w:rsidRPr="00BB6E67">
        <w:rPr>
          <w:rStyle w:val="Strong"/>
          <w:rFonts w:ascii="Times New Roman" w:hAnsi="Times New Roman" w:cs="Times New Roman"/>
          <w:color w:val="000000"/>
        </w:rPr>
        <w:t>Legislation</w:t>
      </w:r>
      <w:r w:rsidRPr="00BB6E67">
        <w:rPr>
          <w:rStyle w:val="Strong"/>
          <w:rFonts w:ascii="Times New Roman" w:hAnsi="Times New Roman" w:cs="Times New Roman"/>
          <w:color w:val="000000"/>
        </w:rPr>
        <w:t>: </w:t>
      </w:r>
    </w:p>
    <w:p w:rsidR="00BB6E67" w:rsidRPr="00BB6E67" w:rsidRDefault="00BB6E67" w:rsidP="005D67DF">
      <w:pPr>
        <w:spacing w:after="0" w:line="276" w:lineRule="auto"/>
        <w:jc w:val="both"/>
        <w:rPr>
          <w:rFonts w:ascii="Times New Roman" w:hAnsi="Times New Roman" w:cs="Times New Roman"/>
        </w:rPr>
      </w:pPr>
      <w:r w:rsidRPr="00BB6E67">
        <w:rPr>
          <w:rFonts w:ascii="Times New Roman" w:hAnsi="Times New Roman" w:cs="Times New Roman"/>
        </w:rPr>
        <w:t>Housing Act 1996</w:t>
      </w:r>
      <w:r w:rsidRPr="00BB6E67">
        <w:rPr>
          <w:rFonts w:ascii="Times New Roman" w:hAnsi="Times New Roman" w:cs="Times New Roman"/>
        </w:rPr>
        <w:t xml:space="preserve"> s.191</w:t>
      </w:r>
    </w:p>
    <w:p w:rsidR="00BB6E67" w:rsidRPr="00BB6E67" w:rsidRDefault="00BB6E67" w:rsidP="005D67DF">
      <w:pPr>
        <w:spacing w:after="0" w:line="276" w:lineRule="auto"/>
        <w:jc w:val="both"/>
        <w:rPr>
          <w:rFonts w:ascii="Times New Roman" w:hAnsi="Times New Roman" w:cs="Times New Roman"/>
        </w:rPr>
      </w:pPr>
      <w:r w:rsidRPr="00BB6E67">
        <w:rPr>
          <w:rFonts w:ascii="Times New Roman" w:hAnsi="Times New Roman" w:cs="Times New Roman"/>
        </w:rPr>
        <w:t>Homelessness (Suitability of Accommodation) Order 1996 (SI 1996/3204)</w:t>
      </w:r>
    </w:p>
    <w:p w:rsidR="00BB6E67" w:rsidRPr="00BB6E67" w:rsidRDefault="00BB6E67" w:rsidP="005D67DF">
      <w:pPr>
        <w:spacing w:after="0" w:line="276" w:lineRule="auto"/>
        <w:jc w:val="both"/>
        <w:rPr>
          <w:rFonts w:ascii="Times New Roman" w:hAnsi="Times New Roman" w:cs="Times New Roman"/>
        </w:rPr>
      </w:pPr>
    </w:p>
    <w:p w:rsidR="00BB6E67" w:rsidRPr="00BB6E67" w:rsidRDefault="00BB6E67" w:rsidP="005D67DF">
      <w:pPr>
        <w:spacing w:after="0" w:line="276" w:lineRule="auto"/>
        <w:jc w:val="both"/>
        <w:rPr>
          <w:rStyle w:val="Strong"/>
          <w:rFonts w:ascii="Times New Roman" w:hAnsi="Times New Roman" w:cs="Times New Roman"/>
          <w:color w:val="000000"/>
          <w:shd w:val="clear" w:color="auto" w:fill="FFFFFF"/>
        </w:rPr>
      </w:pPr>
      <w:r w:rsidRPr="00BB6E67">
        <w:rPr>
          <w:rStyle w:val="Strong"/>
          <w:rFonts w:ascii="Times New Roman" w:hAnsi="Times New Roman" w:cs="Times New Roman"/>
          <w:color w:val="000000"/>
          <w:shd w:val="clear" w:color="auto" w:fill="FFFFFF"/>
        </w:rPr>
        <w:t>Cases: </w:t>
      </w:r>
    </w:p>
    <w:p w:rsidR="00BB6E67" w:rsidRPr="00BB6E67" w:rsidRDefault="00BB6E67" w:rsidP="005D67DF">
      <w:pPr>
        <w:spacing w:after="0" w:line="276" w:lineRule="auto"/>
        <w:jc w:val="both"/>
        <w:rPr>
          <w:rFonts w:ascii="Times New Roman" w:hAnsi="Times New Roman" w:cs="Times New Roman"/>
        </w:rPr>
      </w:pPr>
      <w:proofErr w:type="gramStart"/>
      <w:r w:rsidRPr="00BB6E67">
        <w:rPr>
          <w:rFonts w:ascii="Times New Roman" w:hAnsi="Times New Roman" w:cs="Times New Roman"/>
          <w:i/>
        </w:rPr>
        <w:t>Samuels</w:t>
      </w:r>
      <w:proofErr w:type="gramEnd"/>
      <w:r w:rsidRPr="00BB6E67">
        <w:rPr>
          <w:rFonts w:ascii="Times New Roman" w:hAnsi="Times New Roman" w:cs="Times New Roman"/>
          <w:i/>
        </w:rPr>
        <w:t xml:space="preserve"> v Birmingham City Council</w:t>
      </w:r>
      <w:r w:rsidRPr="00BB6E67">
        <w:rPr>
          <w:rFonts w:ascii="Times New Roman" w:hAnsi="Times New Roman" w:cs="Times New Roman"/>
          <w:i/>
        </w:rPr>
        <w:t xml:space="preserve"> </w:t>
      </w:r>
      <w:r w:rsidRPr="00BB6E67">
        <w:rPr>
          <w:rFonts w:ascii="Times New Roman" w:hAnsi="Times New Roman" w:cs="Times New Roman"/>
        </w:rPr>
        <w:t>[2019] UKSC 28</w:t>
      </w:r>
    </w:p>
    <w:p w:rsidR="00BB6E67" w:rsidRPr="00BB6E67" w:rsidRDefault="00BB6E67" w:rsidP="005D67DF">
      <w:pPr>
        <w:spacing w:after="0" w:line="276" w:lineRule="auto"/>
        <w:jc w:val="both"/>
        <w:rPr>
          <w:rFonts w:ascii="Times New Roman" w:hAnsi="Times New Roman" w:cs="Times New Roman"/>
        </w:rPr>
      </w:pPr>
      <w:proofErr w:type="spellStart"/>
      <w:r w:rsidRPr="00BB6E67">
        <w:rPr>
          <w:rFonts w:ascii="Times New Roman" w:hAnsi="Times New Roman" w:cs="Times New Roman"/>
          <w:i/>
        </w:rPr>
        <w:t>Burnip</w:t>
      </w:r>
      <w:proofErr w:type="spellEnd"/>
      <w:r w:rsidRPr="00BB6E67">
        <w:rPr>
          <w:rFonts w:ascii="Times New Roman" w:hAnsi="Times New Roman" w:cs="Times New Roman"/>
          <w:i/>
        </w:rPr>
        <w:t xml:space="preserve"> v Birmingham City Council</w:t>
      </w:r>
      <w:r w:rsidRPr="00BB6E67">
        <w:rPr>
          <w:rFonts w:ascii="Times New Roman" w:hAnsi="Times New Roman" w:cs="Times New Roman"/>
        </w:rPr>
        <w:t xml:space="preserve"> [2012] EWCA </w:t>
      </w:r>
      <w:proofErr w:type="spellStart"/>
      <w:r w:rsidRPr="00BB6E67">
        <w:rPr>
          <w:rFonts w:ascii="Times New Roman" w:hAnsi="Times New Roman" w:cs="Times New Roman"/>
        </w:rPr>
        <w:t>Civ</w:t>
      </w:r>
      <w:proofErr w:type="spellEnd"/>
      <w:r w:rsidRPr="00BB6E67">
        <w:rPr>
          <w:rFonts w:ascii="Times New Roman" w:hAnsi="Times New Roman" w:cs="Times New Roman"/>
        </w:rPr>
        <w:t xml:space="preserve"> 629</w:t>
      </w:r>
    </w:p>
    <w:p w:rsidR="00BB6E67" w:rsidRPr="00BB6E67" w:rsidRDefault="00BB6E67" w:rsidP="005D67DF">
      <w:pPr>
        <w:spacing w:after="0" w:line="276" w:lineRule="auto"/>
        <w:jc w:val="both"/>
        <w:rPr>
          <w:rFonts w:ascii="Times New Roman" w:hAnsi="Times New Roman" w:cs="Times New Roman"/>
        </w:rPr>
      </w:pPr>
      <w:r w:rsidRPr="00BB6E67">
        <w:rPr>
          <w:rFonts w:ascii="Times New Roman" w:hAnsi="Times New Roman" w:cs="Times New Roman"/>
          <w:i/>
        </w:rPr>
        <w:t xml:space="preserve">R (on the application of Michael Hardy) v Sandwell Metropolitan Borough Council </w:t>
      </w:r>
      <w:r w:rsidRPr="00BB6E67">
        <w:rPr>
          <w:rFonts w:ascii="Times New Roman" w:hAnsi="Times New Roman" w:cs="Times New Roman"/>
        </w:rPr>
        <w:t>[2015] EWHC 890 (Admin).</w:t>
      </w:r>
    </w:p>
    <w:p w:rsidR="00BB6E67" w:rsidRDefault="00BB6E67" w:rsidP="005D67DF">
      <w:pPr>
        <w:spacing w:after="0" w:line="276" w:lineRule="auto"/>
        <w:jc w:val="both"/>
        <w:rPr>
          <w:rFonts w:ascii="Times New Roman" w:hAnsi="Times New Roman" w:cs="Times New Roman"/>
          <w:sz w:val="24"/>
          <w:szCs w:val="24"/>
        </w:rPr>
      </w:pPr>
    </w:p>
    <w:p w:rsidR="00BB6E67" w:rsidRPr="00BB6E67" w:rsidRDefault="00BB6E67" w:rsidP="005D67D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Introduction</w:t>
      </w:r>
    </w:p>
    <w:p w:rsidR="00BB6E67" w:rsidRDefault="00BB6E67" w:rsidP="005D67DF">
      <w:pPr>
        <w:spacing w:after="0" w:line="276" w:lineRule="auto"/>
        <w:jc w:val="both"/>
        <w:rPr>
          <w:rFonts w:ascii="Times New Roman" w:hAnsi="Times New Roman" w:cs="Times New Roman"/>
          <w:sz w:val="24"/>
          <w:szCs w:val="24"/>
        </w:rPr>
      </w:pPr>
    </w:p>
    <w:p w:rsidR="00CB1471" w:rsidRDefault="00CB1471" w:rsidP="005D67D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decision of the Supreme Court in </w:t>
      </w:r>
      <w:proofErr w:type="gramStart"/>
      <w:r w:rsidRPr="009E0008">
        <w:rPr>
          <w:rFonts w:ascii="Times New Roman" w:hAnsi="Times New Roman" w:cs="Times New Roman"/>
          <w:i/>
          <w:sz w:val="24"/>
          <w:szCs w:val="24"/>
        </w:rPr>
        <w:t>Samuels</w:t>
      </w:r>
      <w:proofErr w:type="gramEnd"/>
      <w:r>
        <w:rPr>
          <w:rFonts w:ascii="Times New Roman" w:hAnsi="Times New Roman" w:cs="Times New Roman"/>
          <w:i/>
          <w:sz w:val="24"/>
          <w:szCs w:val="24"/>
        </w:rPr>
        <w:t xml:space="preserve"> v Birmingham City Council</w:t>
      </w:r>
      <w:r>
        <w:rPr>
          <w:rStyle w:val="FootnoteReference"/>
          <w:rFonts w:ascii="Times New Roman" w:hAnsi="Times New Roman" w:cs="Times New Roman"/>
          <w:i/>
          <w:sz w:val="24"/>
          <w:szCs w:val="24"/>
        </w:rPr>
        <w:footnoteReference w:id="1"/>
      </w:r>
      <w:r w:rsidRPr="009E0008">
        <w:rPr>
          <w:rFonts w:ascii="Times New Roman" w:hAnsi="Times New Roman" w:cs="Times New Roman"/>
          <w:i/>
          <w:sz w:val="24"/>
          <w:szCs w:val="24"/>
        </w:rPr>
        <w:t xml:space="preserve"> </w:t>
      </w:r>
      <w:r>
        <w:rPr>
          <w:rFonts w:ascii="Times New Roman" w:hAnsi="Times New Roman" w:cs="Times New Roman"/>
          <w:sz w:val="24"/>
          <w:szCs w:val="24"/>
        </w:rPr>
        <w:t xml:space="preserve">reflects the reality for hundreds of thousands of tenants in the private rented sector in receipt of Local Housing Allowance (LHA). Faced with a woefully deficient </w:t>
      </w:r>
      <w:r>
        <w:rPr>
          <w:rFonts w:ascii="Times New Roman" w:hAnsi="Times New Roman" w:cs="Times New Roman"/>
          <w:i/>
          <w:sz w:val="24"/>
          <w:szCs w:val="24"/>
        </w:rPr>
        <w:t xml:space="preserve">ex ante </w:t>
      </w:r>
      <w:r>
        <w:rPr>
          <w:rFonts w:ascii="Times New Roman" w:hAnsi="Times New Roman" w:cs="Times New Roman"/>
          <w:sz w:val="24"/>
          <w:szCs w:val="24"/>
        </w:rPr>
        <w:t>housing benefit, subject to a series of cuts and freezes since 2010, they face acute shortfalls between their rental liability and the available housing benefit. For small families, LHA rates in 25% of the country leaves them with a deficit of over £100 per month to service.</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They face an impossible choice. Try to draw on subsistence benefits to make up the shortfall (foregoing essential needs), seek support from their Local Authority through the cash-limited and highly leveraged Discretionary Housing Payment (DHP) scheme, or face the consequences of falling into arrears.</w:t>
      </w:r>
    </w:p>
    <w:p w:rsidR="00CB1471" w:rsidRDefault="00CB1471" w:rsidP="005D67D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Ms Samuels, renting as an assured </w:t>
      </w:r>
      <w:proofErr w:type="spellStart"/>
      <w:r>
        <w:rPr>
          <w:rFonts w:ascii="Times New Roman" w:hAnsi="Times New Roman" w:cs="Times New Roman"/>
          <w:sz w:val="24"/>
          <w:szCs w:val="24"/>
        </w:rPr>
        <w:t>shorthold</w:t>
      </w:r>
      <w:proofErr w:type="spellEnd"/>
      <w:r>
        <w:rPr>
          <w:rFonts w:ascii="Times New Roman" w:hAnsi="Times New Roman" w:cs="Times New Roman"/>
          <w:sz w:val="24"/>
          <w:szCs w:val="24"/>
        </w:rPr>
        <w:t xml:space="preserve"> tenant in Birmingham with her four children, was one of these households. She received housing benefit (LHA) of £548.51 per month to meet her rent of £700, leaving her with a shortfall of £151.49. Her only other income was through social security support: income support, child tax credit, and child benefit. She fell into rent arrears and in July 2011 was served notice by her </w:t>
      </w:r>
      <w:proofErr w:type="gramStart"/>
      <w:r>
        <w:rPr>
          <w:rFonts w:ascii="Times New Roman" w:hAnsi="Times New Roman" w:cs="Times New Roman"/>
          <w:sz w:val="24"/>
          <w:szCs w:val="24"/>
        </w:rPr>
        <w:t>landlord</w:t>
      </w:r>
      <w:proofErr w:type="gramEnd"/>
      <w:r>
        <w:rPr>
          <w:rFonts w:ascii="Times New Roman" w:hAnsi="Times New Roman" w:cs="Times New Roman"/>
          <w:sz w:val="24"/>
          <w:szCs w:val="24"/>
        </w:rPr>
        <w:t>.</w:t>
      </w:r>
    </w:p>
    <w:p w:rsidR="00CB1471" w:rsidRDefault="00CB1471" w:rsidP="005D67D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She applied to Birmingham City Council as homeless under Part VII Housing Act 1996. They determined that her accommodation was “affordable” and therefore was reasonable for her to </w:t>
      </w:r>
      <w:r>
        <w:rPr>
          <w:rFonts w:ascii="Times New Roman" w:hAnsi="Times New Roman" w:cs="Times New Roman"/>
          <w:sz w:val="24"/>
          <w:szCs w:val="24"/>
        </w:rPr>
        <w:lastRenderedPageBreak/>
        <w:t>continue to occupy. She had, so the reviewing officer determined, “flexibility in [her] overall household income” to meet the weekly deficit between her rent and housing benefit.</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Put another way, she should divert income from other non-housing benefits to the servicing of her rental liability. As a result, she was intentionally homeless under s.191 Housing Act 1996 and not owed the full housing duty under s.193. This decision </w:t>
      </w:r>
      <w:proofErr w:type="gramStart"/>
      <w:r>
        <w:rPr>
          <w:rFonts w:ascii="Times New Roman" w:hAnsi="Times New Roman" w:cs="Times New Roman"/>
          <w:sz w:val="24"/>
          <w:szCs w:val="24"/>
        </w:rPr>
        <w:t>was upheld</w:t>
      </w:r>
      <w:proofErr w:type="gramEnd"/>
      <w:r>
        <w:rPr>
          <w:rFonts w:ascii="Times New Roman" w:hAnsi="Times New Roman" w:cs="Times New Roman"/>
          <w:sz w:val="24"/>
          <w:szCs w:val="24"/>
        </w:rPr>
        <w:t xml:space="preserve"> on internal review.</w:t>
      </w:r>
    </w:p>
    <w:p w:rsidR="00CB1471" w:rsidRDefault="00CB1471" w:rsidP="005D67DF">
      <w:pPr>
        <w:spacing w:line="276" w:lineRule="auto"/>
        <w:jc w:val="both"/>
        <w:rPr>
          <w:rFonts w:ascii="Times New Roman" w:hAnsi="Times New Roman" w:cs="Times New Roman"/>
          <w:sz w:val="24"/>
          <w:szCs w:val="24"/>
        </w:rPr>
      </w:pPr>
      <w:r>
        <w:rPr>
          <w:rFonts w:ascii="Times New Roman" w:hAnsi="Times New Roman" w:cs="Times New Roman"/>
          <w:sz w:val="24"/>
          <w:szCs w:val="24"/>
        </w:rPr>
        <w:t>After a drawn-out path through the High Court and Court of Appeal – resulting in many a dispute with the Legal Aid Agency</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r>
        <w:rPr>
          <w:rFonts w:ascii="Times New Roman" w:hAnsi="Times New Roman" w:cs="Times New Roman"/>
          <w:sz w:val="24"/>
          <w:szCs w:val="24"/>
        </w:rPr>
        <w:softHyphen/>
      </w:r>
      <w:r>
        <w:rPr>
          <w:rFonts w:ascii="Times New Roman" w:hAnsi="Times New Roman" w:cs="Times New Roman"/>
          <w:sz w:val="24"/>
          <w:szCs w:val="24"/>
        </w:rPr>
        <w:softHyphen/>
        <w:t>– in a mercifully concise and unanimous judgment, the UKSC upheld Ms Samuel’s challenge to this decision. The analysis that follows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deals briefly with an outline of the decision, before turning to (ii) broader issues on assessing the reasonableness (or lack thereof) </w:t>
      </w:r>
      <w:proofErr w:type="gramStart"/>
      <w:r>
        <w:rPr>
          <w:rFonts w:ascii="Times New Roman" w:hAnsi="Times New Roman" w:cs="Times New Roman"/>
          <w:sz w:val="24"/>
          <w:szCs w:val="24"/>
        </w:rPr>
        <w:t>of living expenses, and (iii) implications for the DHP</w:t>
      </w:r>
      <w:proofErr w:type="gramEnd"/>
      <w:r>
        <w:rPr>
          <w:rFonts w:ascii="Times New Roman" w:hAnsi="Times New Roman" w:cs="Times New Roman"/>
          <w:sz w:val="24"/>
          <w:szCs w:val="24"/>
        </w:rPr>
        <w:t xml:space="preserve"> scheme and Universal Credit.</w:t>
      </w:r>
    </w:p>
    <w:p w:rsidR="00CB1471" w:rsidRDefault="00CB1471" w:rsidP="005D67DF">
      <w:pPr>
        <w:spacing w:line="276" w:lineRule="auto"/>
        <w:jc w:val="both"/>
        <w:rPr>
          <w:rFonts w:ascii="Times New Roman" w:hAnsi="Times New Roman" w:cs="Times New Roman"/>
          <w:b/>
          <w:sz w:val="24"/>
          <w:szCs w:val="24"/>
        </w:rPr>
      </w:pPr>
      <w:r>
        <w:rPr>
          <w:rFonts w:ascii="Times New Roman" w:hAnsi="Times New Roman" w:cs="Times New Roman"/>
          <w:b/>
          <w:sz w:val="24"/>
          <w:szCs w:val="24"/>
        </w:rPr>
        <w:t>The decision</w:t>
      </w:r>
    </w:p>
    <w:p w:rsidR="00CB1471" w:rsidRDefault="00CB1471" w:rsidP="005D67DF">
      <w:pPr>
        <w:spacing w:line="276" w:lineRule="auto"/>
        <w:jc w:val="both"/>
        <w:rPr>
          <w:rFonts w:ascii="Times New Roman" w:hAnsi="Times New Roman" w:cs="Times New Roman"/>
          <w:sz w:val="24"/>
          <w:szCs w:val="24"/>
        </w:rPr>
      </w:pPr>
      <w:r>
        <w:rPr>
          <w:rFonts w:ascii="Times New Roman" w:hAnsi="Times New Roman" w:cs="Times New Roman"/>
          <w:sz w:val="24"/>
          <w:szCs w:val="24"/>
        </w:rPr>
        <w:t>The assessment of intentional homelessness – set out in s.191 Housing Act 1996 – is no stranger to the UK’s highest courts.</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The section is, however, as much as a creature of guidance as it is of statute. Local authorities are required under </w:t>
      </w:r>
      <w:proofErr w:type="gramStart"/>
      <w:r>
        <w:rPr>
          <w:rFonts w:ascii="Times New Roman" w:hAnsi="Times New Roman" w:cs="Times New Roman"/>
          <w:sz w:val="24"/>
          <w:szCs w:val="24"/>
        </w:rPr>
        <w:t>s.182(</w:t>
      </w:r>
      <w:proofErr w:type="gramEnd"/>
      <w:r>
        <w:rPr>
          <w:rFonts w:ascii="Times New Roman" w:hAnsi="Times New Roman" w:cs="Times New Roman"/>
          <w:sz w:val="24"/>
          <w:szCs w:val="24"/>
        </w:rPr>
        <w:t>1) to have regard to guidance issued by the Secretary of State and s.177(3) allows the Secretary of State to specify by order circumstances to be accounted for when assessing the reasonableness of occupying accommodation.</w:t>
      </w:r>
    </w:p>
    <w:p w:rsidR="00CB1471" w:rsidRPr="003E5DD7" w:rsidRDefault="00CB1471" w:rsidP="005D67D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6744CD">
        <w:rPr>
          <w:rFonts w:ascii="Times New Roman" w:hAnsi="Times New Roman" w:cs="Times New Roman"/>
          <w:sz w:val="24"/>
          <w:szCs w:val="24"/>
        </w:rPr>
        <w:t>Homelessness (Suitability of Accommodation) Order 1996 (SI 1996/3204)</w:t>
      </w:r>
      <w:r>
        <w:rPr>
          <w:rFonts w:ascii="Times New Roman" w:hAnsi="Times New Roman" w:cs="Times New Roman"/>
          <w:sz w:val="24"/>
          <w:szCs w:val="24"/>
        </w:rPr>
        <w:t xml:space="preserve"> requires local authorities take into account the financial resources available to any applicant, including any social security benefits, alongside their “reasonable living expenses” and payments of rent. The accompanying guidance – issued in 2006 (at the time of</w:t>
      </w:r>
      <w:r w:rsidR="005D67DF">
        <w:rPr>
          <w:rFonts w:ascii="Times New Roman" w:hAnsi="Times New Roman" w:cs="Times New Roman"/>
          <w:sz w:val="24"/>
          <w:szCs w:val="24"/>
        </w:rPr>
        <w:t xml:space="preserve"> the</w:t>
      </w:r>
      <w:r>
        <w:rPr>
          <w:rFonts w:ascii="Times New Roman" w:hAnsi="Times New Roman" w:cs="Times New Roman"/>
          <w:sz w:val="24"/>
          <w:szCs w:val="24"/>
        </w:rPr>
        <w:t xml:space="preserve"> decision under appeal) – states, </w:t>
      </w:r>
      <w:r>
        <w:rPr>
          <w:rFonts w:ascii="Times New Roman" w:hAnsi="Times New Roman" w:cs="Times New Roman"/>
          <w:i/>
          <w:sz w:val="24"/>
          <w:szCs w:val="24"/>
        </w:rPr>
        <w:t>inter alia,</w:t>
      </w:r>
      <w:r>
        <w:rPr>
          <w:rFonts w:ascii="Times New Roman" w:hAnsi="Times New Roman" w:cs="Times New Roman"/>
          <w:sz w:val="24"/>
          <w:szCs w:val="24"/>
        </w:rPr>
        <w:t xml:space="preserve"> under paragraph 17.40:</w:t>
      </w:r>
    </w:p>
    <w:p w:rsidR="00CB1471" w:rsidRDefault="00CB1471" w:rsidP="005D67DF">
      <w:pPr>
        <w:shd w:val="clear" w:color="auto" w:fill="FFFFFF"/>
        <w:spacing w:before="100" w:after="100" w:line="276" w:lineRule="auto"/>
        <w:ind w:left="709" w:right="946"/>
        <w:jc w:val="both"/>
        <w:rPr>
          <w:rFonts w:ascii="Times New Roman" w:hAnsi="Times New Roman" w:cs="Times New Roman"/>
          <w:color w:val="000000"/>
          <w:sz w:val="24"/>
          <w:szCs w:val="24"/>
          <w:shd w:val="clear" w:color="auto" w:fill="FFFFFF"/>
        </w:rPr>
      </w:pPr>
      <w:proofErr w:type="gramStart"/>
      <w:r w:rsidRPr="003E5DD7">
        <w:rPr>
          <w:rFonts w:ascii="Times New Roman" w:hAnsi="Times New Roman" w:cs="Times New Roman"/>
          <w:color w:val="000000"/>
          <w:sz w:val="24"/>
          <w:szCs w:val="24"/>
          <w:shd w:val="clear" w:color="auto" w:fill="FFFFFF"/>
        </w:rPr>
        <w:t>In considering an applicant's residual income after meeting the costs of the accommodation, the Secretary of State </w:t>
      </w:r>
      <w:r w:rsidRPr="003E5DD7">
        <w:rPr>
          <w:rStyle w:val="Emphasis"/>
          <w:rFonts w:ascii="Times New Roman" w:hAnsi="Times New Roman" w:cs="Times New Roman"/>
          <w:color w:val="000000"/>
          <w:sz w:val="24"/>
          <w:szCs w:val="24"/>
          <w:shd w:val="clear" w:color="auto" w:fill="FFFFFF"/>
        </w:rPr>
        <w:t>recommends </w:t>
      </w:r>
      <w:r w:rsidRPr="003E5DD7">
        <w:rPr>
          <w:rFonts w:ascii="Times New Roman" w:hAnsi="Times New Roman" w:cs="Times New Roman"/>
          <w:color w:val="000000"/>
          <w:sz w:val="24"/>
          <w:szCs w:val="24"/>
          <w:shd w:val="clear" w:color="auto" w:fill="FFFFFF"/>
        </w:rPr>
        <w:t>that housing authorities regard accommodation as not being affordable </w:t>
      </w:r>
      <w:r w:rsidRPr="003E5DD7">
        <w:rPr>
          <w:rStyle w:val="Emphasis"/>
          <w:rFonts w:ascii="Times New Roman" w:hAnsi="Times New Roman" w:cs="Times New Roman"/>
          <w:color w:val="000000"/>
          <w:sz w:val="24"/>
          <w:szCs w:val="24"/>
          <w:shd w:val="clear" w:color="auto" w:fill="FFFFFF"/>
        </w:rPr>
        <w:t>if the applicant would be left with a residual income which would be less than the level of income support or income-based jobseekers allowance that is applicable in respect of the applicant </w:t>
      </w:r>
      <w:r w:rsidRPr="003E5DD7">
        <w:rPr>
          <w:rFonts w:ascii="Times New Roman" w:hAnsi="Times New Roman" w:cs="Times New Roman"/>
          <w:color w:val="000000"/>
          <w:sz w:val="24"/>
          <w:szCs w:val="24"/>
          <w:shd w:val="clear" w:color="auto" w:fill="FFFFFF"/>
        </w:rPr>
        <w:t>, or would be applicable if he or she was entitled to claim such benefit.</w:t>
      </w:r>
      <w:r>
        <w:rPr>
          <w:rStyle w:val="FootnoteReference"/>
          <w:rFonts w:ascii="Times New Roman" w:hAnsi="Times New Roman" w:cs="Times New Roman"/>
          <w:color w:val="000000"/>
          <w:sz w:val="24"/>
          <w:szCs w:val="24"/>
          <w:shd w:val="clear" w:color="auto" w:fill="FFFFFF"/>
        </w:rPr>
        <w:footnoteReference w:id="6"/>
      </w:r>
      <w:proofErr w:type="gramEnd"/>
    </w:p>
    <w:p w:rsidR="00CB1471" w:rsidRDefault="00CB1471" w:rsidP="005D67DF">
      <w:pPr>
        <w:spacing w:line="276"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There were, therefore, two interrelated questions: (</w:t>
      </w:r>
      <w:proofErr w:type="spellStart"/>
      <w:r>
        <w:rPr>
          <w:rFonts w:ascii="Times New Roman" w:hAnsi="Times New Roman" w:cs="Times New Roman"/>
          <w:color w:val="000000"/>
          <w:sz w:val="24"/>
          <w:szCs w:val="24"/>
          <w:lang w:val="en-US"/>
        </w:rPr>
        <w:t>i</w:t>
      </w:r>
      <w:proofErr w:type="spellEnd"/>
      <w:r>
        <w:rPr>
          <w:rFonts w:ascii="Times New Roman" w:hAnsi="Times New Roman" w:cs="Times New Roman"/>
          <w:color w:val="000000"/>
          <w:sz w:val="24"/>
          <w:szCs w:val="24"/>
          <w:lang w:val="en-US"/>
        </w:rPr>
        <w:t>) whether the recommended “income support” floor in the guidance passports inclusion of other social security payments (particularly those intended to meet the needs of children), and (ii) if money from these non-</w:t>
      </w:r>
      <w:r>
        <w:rPr>
          <w:rFonts w:ascii="Times New Roman" w:hAnsi="Times New Roman" w:cs="Times New Roman"/>
          <w:color w:val="000000"/>
          <w:sz w:val="24"/>
          <w:szCs w:val="24"/>
          <w:lang w:val="en-US"/>
        </w:rPr>
        <w:lastRenderedPageBreak/>
        <w:t xml:space="preserve">housing benefits </w:t>
      </w:r>
      <w:proofErr w:type="gramStart"/>
      <w:r>
        <w:rPr>
          <w:rFonts w:ascii="Times New Roman" w:hAnsi="Times New Roman" w:cs="Times New Roman"/>
          <w:color w:val="000000"/>
          <w:sz w:val="24"/>
          <w:szCs w:val="24"/>
          <w:lang w:val="en-US"/>
        </w:rPr>
        <w:t>could be expected</w:t>
      </w:r>
      <w:proofErr w:type="gramEnd"/>
      <w:r>
        <w:rPr>
          <w:rFonts w:ascii="Times New Roman" w:hAnsi="Times New Roman" w:cs="Times New Roman"/>
          <w:color w:val="000000"/>
          <w:sz w:val="24"/>
          <w:szCs w:val="24"/>
          <w:lang w:val="en-US"/>
        </w:rPr>
        <w:t xml:space="preserve"> to service a rental shortfall and thus render accommodation “affordable”?</w:t>
      </w:r>
    </w:p>
    <w:p w:rsidR="00CB1471" w:rsidRDefault="00CB1471" w:rsidP="005D67DF">
      <w:pPr>
        <w:spacing w:line="276" w:lineRule="auto"/>
        <w:jc w:val="both"/>
        <w:rPr>
          <w:rFonts w:ascii="Times New Roman" w:eastAsia="Times New Roman" w:hAnsi="Times New Roman" w:cs="Times New Roman"/>
          <w:sz w:val="24"/>
          <w:szCs w:val="24"/>
          <w:lang w:val="en-US"/>
        </w:rPr>
      </w:pPr>
      <w:r>
        <w:rPr>
          <w:rFonts w:ascii="Times New Roman" w:hAnsi="Times New Roman" w:cs="Times New Roman"/>
          <w:color w:val="000000"/>
          <w:sz w:val="24"/>
          <w:szCs w:val="24"/>
          <w:lang w:val="en-US"/>
        </w:rPr>
        <w:t>On the former, the court determined that it would be “</w:t>
      </w:r>
      <w:r w:rsidRPr="005B6262">
        <w:rPr>
          <w:rFonts w:ascii="Times New Roman" w:eastAsia="Times New Roman" w:hAnsi="Times New Roman" w:cs="Times New Roman"/>
          <w:sz w:val="24"/>
          <w:szCs w:val="24"/>
          <w:lang w:val="en-US"/>
        </w:rPr>
        <w:t>surprising, even nonsensical</w:t>
      </w:r>
      <w:r>
        <w:rPr>
          <w:rFonts w:ascii="Times New Roman" w:eastAsia="Times New Roman" w:hAnsi="Times New Roman" w:cs="Times New Roman"/>
          <w:sz w:val="24"/>
          <w:szCs w:val="24"/>
          <w:lang w:val="en-US"/>
        </w:rPr>
        <w:t>”</w:t>
      </w:r>
      <w:r>
        <w:rPr>
          <w:rStyle w:val="FootnoteReference"/>
          <w:rFonts w:ascii="Times New Roman" w:eastAsia="Times New Roman" w:hAnsi="Times New Roman" w:cs="Times New Roman"/>
          <w:sz w:val="24"/>
          <w:szCs w:val="24"/>
          <w:lang w:val="en-US"/>
        </w:rPr>
        <w:footnoteReference w:id="7"/>
      </w:r>
      <w:r>
        <w:rPr>
          <w:rFonts w:ascii="Times New Roman" w:eastAsia="Times New Roman" w:hAnsi="Times New Roman" w:cs="Times New Roman"/>
          <w:sz w:val="24"/>
          <w:szCs w:val="24"/>
          <w:lang w:val="en-US"/>
        </w:rPr>
        <w:t xml:space="preserve"> for the reference to “income support” in the guidance to exclude provision made for children through child tax credit and child benefit. Not least because provision for child tax credit had historically been subsumed into the delivery of “income support” (effectively existing as an applied for top-up).</w:t>
      </w:r>
      <w:r>
        <w:rPr>
          <w:rStyle w:val="FootnoteReference"/>
          <w:rFonts w:ascii="Times New Roman" w:eastAsia="Times New Roman" w:hAnsi="Times New Roman" w:cs="Times New Roman"/>
          <w:sz w:val="24"/>
          <w:szCs w:val="24"/>
          <w:lang w:val="en-US"/>
        </w:rPr>
        <w:footnoteReference w:id="8"/>
      </w:r>
    </w:p>
    <w:p w:rsidR="00CB1471" w:rsidRDefault="00CB1471" w:rsidP="005D67DF">
      <w:pPr>
        <w:spacing w:line="276"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lang w:val="en-US"/>
        </w:rPr>
        <w:t xml:space="preserve">However, more fundamentally, </w:t>
      </w:r>
      <w:r w:rsidRPr="00DF0639">
        <w:rPr>
          <w:rFonts w:ascii="Times New Roman" w:eastAsia="Times New Roman" w:hAnsi="Times New Roman" w:cs="Times New Roman"/>
          <w:sz w:val="24"/>
          <w:szCs w:val="24"/>
          <w:lang w:val="en-US"/>
        </w:rPr>
        <w:t>notwithstanding the true meaning of “income support” within the guidance, benefits received by the household are “</w:t>
      </w:r>
      <w:r w:rsidRPr="00DF0639">
        <w:rPr>
          <w:rFonts w:ascii="Times New Roman" w:hAnsi="Times New Roman" w:cs="Times New Roman"/>
          <w:color w:val="000000"/>
          <w:sz w:val="24"/>
          <w:szCs w:val="24"/>
          <w:shd w:val="clear" w:color="auto" w:fill="FFFFFF"/>
        </w:rPr>
        <w:t>not generally designed to provide a surplus above subsistence”</w:t>
      </w:r>
      <w:r>
        <w:rPr>
          <w:rFonts w:ascii="Times New Roman" w:hAnsi="Times New Roman" w:cs="Times New Roman"/>
          <w:color w:val="000000"/>
          <w:sz w:val="24"/>
          <w:szCs w:val="24"/>
          <w:shd w:val="clear" w:color="auto" w:fill="FFFFFF"/>
        </w:rPr>
        <w:t xml:space="preserve"> and the guidance itself underscores that amounts will vary in line with the composition of the household.</w:t>
      </w:r>
      <w:r>
        <w:rPr>
          <w:rStyle w:val="FootnoteReference"/>
          <w:rFonts w:ascii="Times New Roman" w:hAnsi="Times New Roman" w:cs="Times New Roman"/>
          <w:color w:val="000000"/>
          <w:sz w:val="24"/>
          <w:szCs w:val="24"/>
          <w:shd w:val="clear" w:color="auto" w:fill="FFFFFF"/>
        </w:rPr>
        <w:footnoteReference w:id="9"/>
      </w:r>
      <w:r>
        <w:rPr>
          <w:rFonts w:ascii="Times New Roman" w:hAnsi="Times New Roman" w:cs="Times New Roman"/>
          <w:color w:val="000000"/>
          <w:sz w:val="24"/>
          <w:szCs w:val="24"/>
          <w:shd w:val="clear" w:color="auto" w:fill="FFFFFF"/>
        </w:rPr>
        <w:t xml:space="preserve"> On the second question, therefore, </w:t>
      </w:r>
      <w:proofErr w:type="gramStart"/>
      <w:r>
        <w:rPr>
          <w:rFonts w:ascii="Times New Roman" w:hAnsi="Times New Roman" w:cs="Times New Roman"/>
          <w:color w:val="000000"/>
          <w:sz w:val="24"/>
          <w:szCs w:val="24"/>
          <w:shd w:val="clear" w:color="auto" w:fill="FFFFFF"/>
        </w:rPr>
        <w:t>these payments should not be treated by local authorities</w:t>
      </w:r>
      <w:proofErr w:type="gramEnd"/>
      <w:r>
        <w:rPr>
          <w:rFonts w:ascii="Times New Roman" w:hAnsi="Times New Roman" w:cs="Times New Roman"/>
          <w:color w:val="000000"/>
          <w:sz w:val="24"/>
          <w:szCs w:val="24"/>
          <w:shd w:val="clear" w:color="auto" w:fill="FFFFFF"/>
        </w:rPr>
        <w:t xml:space="preserve"> as a means to offset deficiencies in housing benefit to meet rental liabilities.  Put another way, as Mr Stark argued in his submissions on behalf of Ms Samuels, it is wrong to treat “</w:t>
      </w:r>
      <w:r w:rsidRPr="00A87F88">
        <w:rPr>
          <w:rFonts w:ascii="Times New Roman" w:eastAsia="Times New Roman" w:hAnsi="Times New Roman" w:cs="Times New Roman"/>
          <w:sz w:val="24"/>
          <w:szCs w:val="24"/>
          <w:lang w:val="en-US"/>
        </w:rPr>
        <w:t>non-housing benefit as containing a surplus”</w:t>
      </w:r>
      <w:r>
        <w:rPr>
          <w:rFonts w:ascii="Times New Roman" w:eastAsia="Times New Roman" w:hAnsi="Times New Roman" w:cs="Times New Roman"/>
          <w:sz w:val="24"/>
          <w:szCs w:val="24"/>
          <w:lang w:val="en-US"/>
        </w:rPr>
        <w:t>.</w:t>
      </w:r>
      <w:r>
        <w:rPr>
          <w:rStyle w:val="FootnoteReference"/>
          <w:rFonts w:ascii="Times New Roman" w:eastAsia="Times New Roman" w:hAnsi="Times New Roman" w:cs="Times New Roman"/>
          <w:sz w:val="24"/>
          <w:szCs w:val="24"/>
          <w:lang w:val="en-US"/>
        </w:rPr>
        <w:footnoteReference w:id="10"/>
      </w:r>
    </w:p>
    <w:p w:rsidR="00CB1471" w:rsidRDefault="00CB1471" w:rsidP="005D67DF">
      <w:pPr>
        <w:spacing w:line="276" w:lineRule="auto"/>
        <w:jc w:val="both"/>
        <w:rPr>
          <w:rFonts w:ascii="Times New Roman" w:eastAsia="Times New Roman" w:hAnsi="Times New Roman" w:cs="Times New Roman"/>
          <w:sz w:val="24"/>
          <w:szCs w:val="24"/>
          <w:lang w:val="en-US"/>
        </w:rPr>
      </w:pPr>
      <w:r>
        <w:rPr>
          <w:rFonts w:ascii="Times New Roman" w:hAnsi="Times New Roman" w:cs="Times New Roman"/>
          <w:color w:val="000000"/>
          <w:sz w:val="24"/>
          <w:szCs w:val="24"/>
          <w:shd w:val="clear" w:color="auto" w:fill="FFFFFF"/>
        </w:rPr>
        <w:t>Instead of assessing whether her (non-housing) living expenses were reasonable, the local authority officer had instead considered whether there was “flexibility”</w:t>
      </w:r>
      <w:r>
        <w:rPr>
          <w:rStyle w:val="FootnoteReference"/>
          <w:rFonts w:ascii="Times New Roman" w:hAnsi="Times New Roman" w:cs="Times New Roman"/>
          <w:color w:val="000000"/>
          <w:sz w:val="24"/>
          <w:szCs w:val="24"/>
          <w:shd w:val="clear" w:color="auto" w:fill="FFFFFF"/>
        </w:rPr>
        <w:footnoteReference w:id="11"/>
      </w:r>
      <w:r>
        <w:rPr>
          <w:rFonts w:ascii="Times New Roman" w:hAnsi="Times New Roman" w:cs="Times New Roman"/>
          <w:color w:val="000000"/>
          <w:sz w:val="24"/>
          <w:szCs w:val="24"/>
          <w:shd w:val="clear" w:color="auto" w:fill="FFFFFF"/>
        </w:rPr>
        <w:t xml:space="preserve"> to meet the £151.49 shortfall between housing benefit and rent by directing income from other benefits to service the rental liability. Ms Samuels’ monthly expenses were already lower than the gross total of the benefits she received (</w:t>
      </w:r>
      <w:r w:rsidRPr="00835432">
        <w:rPr>
          <w:rFonts w:ascii="Times New Roman" w:hAnsi="Times New Roman" w:cs="Times New Roman"/>
          <w:color w:val="000000"/>
          <w:sz w:val="24"/>
          <w:szCs w:val="24"/>
          <w:shd w:val="clear" w:color="auto" w:fill="FFFFFF"/>
        </w:rPr>
        <w:t>£1,234.99</w:t>
      </w:r>
      <w:r>
        <w:rPr>
          <w:rFonts w:ascii="Times New Roman" w:hAnsi="Times New Roman" w:cs="Times New Roman"/>
          <w:color w:val="000000"/>
          <w:sz w:val="24"/>
          <w:szCs w:val="24"/>
          <w:shd w:val="clear" w:color="auto" w:fill="FFFFFF"/>
        </w:rPr>
        <w:t xml:space="preserve"> to </w:t>
      </w:r>
      <w:r w:rsidRPr="00835432">
        <w:rPr>
          <w:rFonts w:ascii="Times New Roman" w:hAnsi="Times New Roman" w:cs="Times New Roman"/>
          <w:color w:val="000000"/>
          <w:sz w:val="24"/>
          <w:szCs w:val="24"/>
          <w:shd w:val="clear" w:color="auto" w:fill="FFFFFF"/>
        </w:rPr>
        <w:t>£1,349.33</w:t>
      </w:r>
      <w:r>
        <w:rPr>
          <w:rFonts w:ascii="Times New Roman" w:hAnsi="Times New Roman" w:cs="Times New Roman"/>
          <w:color w:val="000000"/>
          <w:sz w:val="24"/>
          <w:szCs w:val="24"/>
          <w:shd w:val="clear" w:color="auto" w:fill="FFFFFF"/>
        </w:rPr>
        <w:t xml:space="preserve"> respectively), indicating – given the benefit payments’ benchmarking against subsistence – that they were reasonable.</w:t>
      </w:r>
      <w:r>
        <w:rPr>
          <w:rStyle w:val="FootnoteReference"/>
          <w:rFonts w:ascii="Times New Roman" w:hAnsi="Times New Roman" w:cs="Times New Roman"/>
          <w:color w:val="000000"/>
          <w:sz w:val="24"/>
          <w:szCs w:val="24"/>
          <w:shd w:val="clear" w:color="auto" w:fill="FFFFFF"/>
        </w:rPr>
        <w:footnoteReference w:id="12"/>
      </w:r>
      <w:r>
        <w:rPr>
          <w:rFonts w:ascii="Times New Roman" w:hAnsi="Times New Roman" w:cs="Times New Roman"/>
          <w:color w:val="000000"/>
          <w:sz w:val="24"/>
          <w:szCs w:val="24"/>
          <w:shd w:val="clear" w:color="auto" w:fill="FFFFFF"/>
        </w:rPr>
        <w:t xml:space="preserve"> </w:t>
      </w:r>
      <w:r>
        <w:rPr>
          <w:rFonts w:ascii="Times New Roman" w:eastAsia="Times New Roman" w:hAnsi="Times New Roman" w:cs="Times New Roman"/>
          <w:sz w:val="24"/>
          <w:szCs w:val="24"/>
          <w:lang w:val="en-US"/>
        </w:rPr>
        <w:t>As a result, the decision by the local authority was unlawful and quashed.</w:t>
      </w:r>
    </w:p>
    <w:p w:rsidR="00CB1471" w:rsidRDefault="00CB1471" w:rsidP="005D67DF">
      <w:pPr>
        <w:spacing w:line="276"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Assessment of income and expenditure: Topping up one benefit with another</w:t>
      </w:r>
    </w:p>
    <w:p w:rsidR="00CB1471" w:rsidRDefault="00CB1471" w:rsidP="005D67DF">
      <w:pPr>
        <w:spacing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treatment of social security payments as income to </w:t>
      </w:r>
      <w:proofErr w:type="gramStart"/>
      <w:r>
        <w:rPr>
          <w:rFonts w:ascii="Times New Roman" w:eastAsia="Times New Roman" w:hAnsi="Times New Roman" w:cs="Times New Roman"/>
          <w:sz w:val="24"/>
          <w:szCs w:val="24"/>
          <w:lang w:val="en-US"/>
        </w:rPr>
        <w:t>be mined</w:t>
      </w:r>
      <w:proofErr w:type="gramEnd"/>
      <w:r>
        <w:rPr>
          <w:rFonts w:ascii="Times New Roman" w:eastAsia="Times New Roman" w:hAnsi="Times New Roman" w:cs="Times New Roman"/>
          <w:sz w:val="24"/>
          <w:szCs w:val="24"/>
          <w:lang w:val="en-US"/>
        </w:rPr>
        <w:t xml:space="preserve"> in the face of deficiencies or penalties elsewhere is not particular to the ambit of Part VII Housing Act 1996. The courts have already </w:t>
      </w:r>
      <w:proofErr w:type="spellStart"/>
      <w:r>
        <w:rPr>
          <w:rFonts w:ascii="Times New Roman" w:eastAsia="Times New Roman" w:hAnsi="Times New Roman" w:cs="Times New Roman"/>
          <w:sz w:val="24"/>
          <w:szCs w:val="24"/>
          <w:lang w:val="en-US"/>
        </w:rPr>
        <w:t>criticised</w:t>
      </w:r>
      <w:proofErr w:type="spellEnd"/>
      <w:r>
        <w:rPr>
          <w:rFonts w:ascii="Times New Roman" w:eastAsia="Times New Roman" w:hAnsi="Times New Roman" w:cs="Times New Roman"/>
          <w:sz w:val="24"/>
          <w:szCs w:val="24"/>
          <w:lang w:val="en-US"/>
        </w:rPr>
        <w:t xml:space="preserve"> the assessment of payments designed to meet the costs of disability – particularly Disability Living Allowance – as a form of income that </w:t>
      </w:r>
      <w:proofErr w:type="gramStart"/>
      <w:r>
        <w:rPr>
          <w:rFonts w:ascii="Times New Roman" w:eastAsia="Times New Roman" w:hAnsi="Times New Roman" w:cs="Times New Roman"/>
          <w:sz w:val="24"/>
          <w:szCs w:val="24"/>
          <w:lang w:val="en-US"/>
        </w:rPr>
        <w:t>could be expected</w:t>
      </w:r>
      <w:proofErr w:type="gramEnd"/>
      <w:r>
        <w:rPr>
          <w:rFonts w:ascii="Times New Roman" w:eastAsia="Times New Roman" w:hAnsi="Times New Roman" w:cs="Times New Roman"/>
          <w:sz w:val="24"/>
          <w:szCs w:val="24"/>
          <w:lang w:val="en-US"/>
        </w:rPr>
        <w:t xml:space="preserve"> to service deficiencies in housing benefit under both the calculation of applicable LHA rates</w:t>
      </w:r>
      <w:r>
        <w:rPr>
          <w:rStyle w:val="FootnoteReference"/>
          <w:rFonts w:ascii="Times New Roman" w:eastAsia="Times New Roman" w:hAnsi="Times New Roman" w:cs="Times New Roman"/>
          <w:sz w:val="24"/>
          <w:szCs w:val="24"/>
          <w:lang w:val="en-US"/>
        </w:rPr>
        <w:footnoteReference w:id="13"/>
      </w:r>
      <w:r>
        <w:rPr>
          <w:rFonts w:ascii="Times New Roman" w:eastAsia="Times New Roman" w:hAnsi="Times New Roman" w:cs="Times New Roman"/>
          <w:sz w:val="24"/>
          <w:szCs w:val="24"/>
          <w:lang w:val="en-US"/>
        </w:rPr>
        <w:t xml:space="preserve"> and in the assessment of DHP awards.</w:t>
      </w:r>
      <w:r>
        <w:rPr>
          <w:rStyle w:val="FootnoteReference"/>
          <w:rFonts w:ascii="Times New Roman" w:eastAsia="Times New Roman" w:hAnsi="Times New Roman" w:cs="Times New Roman"/>
          <w:sz w:val="24"/>
          <w:szCs w:val="24"/>
          <w:lang w:val="en-US"/>
        </w:rPr>
        <w:footnoteReference w:id="14"/>
      </w:r>
    </w:p>
    <w:p w:rsidR="00CB1471" w:rsidRPr="004D1AFF" w:rsidRDefault="00CB1471" w:rsidP="005D67DF">
      <w:pPr>
        <w:spacing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practice </w:t>
      </w:r>
      <w:proofErr w:type="gramStart"/>
      <w:r>
        <w:rPr>
          <w:rFonts w:ascii="Times New Roman" w:eastAsia="Times New Roman" w:hAnsi="Times New Roman" w:cs="Times New Roman"/>
          <w:sz w:val="24"/>
          <w:szCs w:val="24"/>
          <w:lang w:val="en-US"/>
        </w:rPr>
        <w:t xml:space="preserve">has </w:t>
      </w:r>
      <w:r w:rsidR="005D67DF">
        <w:rPr>
          <w:rFonts w:ascii="Times New Roman" w:eastAsia="Times New Roman" w:hAnsi="Times New Roman" w:cs="Times New Roman"/>
          <w:sz w:val="24"/>
          <w:szCs w:val="24"/>
          <w:lang w:val="en-US"/>
        </w:rPr>
        <w:t>been given</w:t>
      </w:r>
      <w:proofErr w:type="gramEnd"/>
      <w:r w:rsidR="005D67D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short shrift by the courts. In </w:t>
      </w:r>
      <w:proofErr w:type="spellStart"/>
      <w:r>
        <w:rPr>
          <w:rFonts w:ascii="Times New Roman" w:eastAsia="Times New Roman" w:hAnsi="Times New Roman" w:cs="Times New Roman"/>
          <w:i/>
          <w:sz w:val="24"/>
          <w:szCs w:val="24"/>
          <w:lang w:val="en-US"/>
        </w:rPr>
        <w:t>Burnip</w:t>
      </w:r>
      <w:proofErr w:type="spellEnd"/>
      <w:r>
        <w:rPr>
          <w:rFonts w:ascii="Times New Roman" w:eastAsia="Times New Roman" w:hAnsi="Times New Roman" w:cs="Times New Roman"/>
          <w:sz w:val="24"/>
          <w:szCs w:val="24"/>
          <w:lang w:val="en-US"/>
        </w:rPr>
        <w:t xml:space="preserve">, the court mirrored efforts in </w:t>
      </w:r>
      <w:r>
        <w:rPr>
          <w:rFonts w:ascii="Times New Roman" w:eastAsia="Times New Roman" w:hAnsi="Times New Roman" w:cs="Times New Roman"/>
          <w:i/>
          <w:sz w:val="24"/>
          <w:szCs w:val="24"/>
          <w:lang w:val="en-US"/>
        </w:rPr>
        <w:t xml:space="preserve">Samuel </w:t>
      </w:r>
      <w:r>
        <w:rPr>
          <w:rFonts w:ascii="Times New Roman" w:eastAsia="Times New Roman" w:hAnsi="Times New Roman" w:cs="Times New Roman"/>
          <w:sz w:val="24"/>
          <w:szCs w:val="24"/>
          <w:lang w:val="en-US"/>
        </w:rPr>
        <w:t>to draw a “clear distinction” between benefits claimed for “subsistence” and those for meeting “housing needs”</w:t>
      </w:r>
      <w:r>
        <w:rPr>
          <w:rStyle w:val="FootnoteReference"/>
          <w:rFonts w:ascii="Times New Roman" w:eastAsia="Times New Roman" w:hAnsi="Times New Roman" w:cs="Times New Roman"/>
          <w:sz w:val="24"/>
          <w:szCs w:val="24"/>
          <w:lang w:val="en-US"/>
        </w:rPr>
        <w:footnoteReference w:id="15"/>
      </w:r>
      <w:r>
        <w:rPr>
          <w:rFonts w:ascii="Times New Roman" w:eastAsia="Times New Roman" w:hAnsi="Times New Roman" w:cs="Times New Roman"/>
          <w:sz w:val="24"/>
          <w:szCs w:val="24"/>
          <w:lang w:val="en-US"/>
        </w:rPr>
        <w:t xml:space="preserve"> – the former should not be expected meet deficiencies in the latter</w:t>
      </w:r>
      <w:r w:rsidR="005D67DF">
        <w:rPr>
          <w:rFonts w:ascii="Times New Roman" w:eastAsia="Times New Roman" w:hAnsi="Times New Roman" w:cs="Times New Roman"/>
          <w:sz w:val="24"/>
          <w:szCs w:val="24"/>
          <w:lang w:val="en-US"/>
        </w:rPr>
        <w:t xml:space="preserve">. To do so risks </w:t>
      </w:r>
      <w:proofErr w:type="spellStart"/>
      <w:r w:rsidR="005D67DF">
        <w:rPr>
          <w:rFonts w:ascii="Times New Roman" w:eastAsia="Times New Roman" w:hAnsi="Times New Roman" w:cs="Times New Roman"/>
          <w:sz w:val="24"/>
          <w:szCs w:val="24"/>
          <w:lang w:val="en-US"/>
        </w:rPr>
        <w:t>jeopardising</w:t>
      </w:r>
      <w:proofErr w:type="spellEnd"/>
      <w:r w:rsidR="005D67DF">
        <w:rPr>
          <w:rFonts w:ascii="Times New Roman" w:eastAsia="Times New Roman" w:hAnsi="Times New Roman" w:cs="Times New Roman"/>
          <w:sz w:val="24"/>
          <w:szCs w:val="24"/>
          <w:lang w:val="en-US"/>
        </w:rPr>
        <w:t xml:space="preserve"> the very need that social security payment </w:t>
      </w:r>
      <w:proofErr w:type="gramStart"/>
      <w:r w:rsidR="005D67DF">
        <w:rPr>
          <w:rFonts w:ascii="Times New Roman" w:eastAsia="Times New Roman" w:hAnsi="Times New Roman" w:cs="Times New Roman"/>
          <w:sz w:val="24"/>
          <w:szCs w:val="24"/>
          <w:lang w:val="en-US"/>
        </w:rPr>
        <w:t>is intended</w:t>
      </w:r>
      <w:proofErr w:type="gramEnd"/>
      <w:r w:rsidR="005D67DF">
        <w:rPr>
          <w:rFonts w:ascii="Times New Roman" w:eastAsia="Times New Roman" w:hAnsi="Times New Roman" w:cs="Times New Roman"/>
          <w:sz w:val="24"/>
          <w:szCs w:val="24"/>
          <w:lang w:val="en-US"/>
        </w:rPr>
        <w:t xml:space="preserve"> to address</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lastRenderedPageBreak/>
        <w:t xml:space="preserve">Likewise, in </w:t>
      </w:r>
      <w:r w:rsidR="00203361">
        <w:rPr>
          <w:rFonts w:ascii="Times New Roman" w:eastAsia="Times New Roman" w:hAnsi="Times New Roman" w:cs="Times New Roman"/>
          <w:i/>
          <w:sz w:val="24"/>
          <w:szCs w:val="24"/>
          <w:lang w:val="en-US"/>
        </w:rPr>
        <w:t>Hardy</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sz w:val="24"/>
          <w:szCs w:val="24"/>
          <w:lang w:val="en-US"/>
        </w:rPr>
        <w:t xml:space="preserve">in the context of a DHP income and expenditure assessment, the court determined that disability benefits are “not </w:t>
      </w:r>
      <w:r w:rsidRPr="004D1AFF">
        <w:rPr>
          <w:rFonts w:ascii="Times New Roman" w:eastAsia="Times New Roman" w:hAnsi="Times New Roman" w:cs="Times New Roman"/>
          <w:sz w:val="24"/>
          <w:szCs w:val="24"/>
          <w:lang w:val="en-US"/>
        </w:rPr>
        <w:t xml:space="preserve">the </w:t>
      </w:r>
      <w:r>
        <w:rPr>
          <w:rFonts w:ascii="Times New Roman" w:eastAsia="Times New Roman" w:hAnsi="Times New Roman" w:cs="Times New Roman"/>
          <w:sz w:val="24"/>
          <w:szCs w:val="24"/>
          <w:lang w:val="en-US"/>
        </w:rPr>
        <w:t>same as any other income, but [are]</w:t>
      </w:r>
      <w:r w:rsidRPr="004D1AFF">
        <w:rPr>
          <w:rFonts w:ascii="Times New Roman" w:eastAsia="Times New Roman" w:hAnsi="Times New Roman" w:cs="Times New Roman"/>
          <w:sz w:val="24"/>
          <w:szCs w:val="24"/>
          <w:lang w:val="en-US"/>
        </w:rPr>
        <w:t xml:space="preserve"> awarded specially to enable disabled persons in need of personal care to cope better with their disabilities in the way they see fit</w:t>
      </w:r>
      <w:r>
        <w:rPr>
          <w:rFonts w:ascii="Times New Roman" w:eastAsia="Times New Roman" w:hAnsi="Times New Roman" w:cs="Times New Roman"/>
          <w:sz w:val="24"/>
          <w:szCs w:val="24"/>
          <w:lang w:val="en-US"/>
        </w:rPr>
        <w:t>”.</w:t>
      </w:r>
      <w:r>
        <w:rPr>
          <w:rStyle w:val="FootnoteReference"/>
          <w:rFonts w:ascii="Times New Roman" w:eastAsia="Times New Roman" w:hAnsi="Times New Roman" w:cs="Times New Roman"/>
          <w:sz w:val="24"/>
          <w:szCs w:val="24"/>
          <w:lang w:val="en-US"/>
        </w:rPr>
        <w:footnoteReference w:id="16"/>
      </w:r>
      <w:r>
        <w:rPr>
          <w:rFonts w:ascii="Times New Roman" w:eastAsia="Times New Roman" w:hAnsi="Times New Roman" w:cs="Times New Roman"/>
          <w:sz w:val="24"/>
          <w:szCs w:val="24"/>
          <w:lang w:val="en-US"/>
        </w:rPr>
        <w:t xml:space="preserve"> To consider them as income to </w:t>
      </w:r>
      <w:proofErr w:type="gramStart"/>
      <w:r>
        <w:rPr>
          <w:rFonts w:ascii="Times New Roman" w:eastAsia="Times New Roman" w:hAnsi="Times New Roman" w:cs="Times New Roman"/>
          <w:sz w:val="24"/>
          <w:szCs w:val="24"/>
          <w:lang w:val="en-US"/>
        </w:rPr>
        <w:t>be offset</w:t>
      </w:r>
      <w:proofErr w:type="gramEnd"/>
      <w:r>
        <w:rPr>
          <w:rFonts w:ascii="Times New Roman" w:eastAsia="Times New Roman" w:hAnsi="Times New Roman" w:cs="Times New Roman"/>
          <w:sz w:val="24"/>
          <w:szCs w:val="24"/>
          <w:lang w:val="en-US"/>
        </w:rPr>
        <w:t xml:space="preserve"> against a shortfall in housing benefit is to place disabled applicants at a disadvantage and to unlawfully discriminate against them.</w:t>
      </w:r>
      <w:r>
        <w:rPr>
          <w:rStyle w:val="FootnoteReference"/>
          <w:rFonts w:ascii="Times New Roman" w:eastAsia="Times New Roman" w:hAnsi="Times New Roman" w:cs="Times New Roman"/>
          <w:sz w:val="24"/>
          <w:szCs w:val="24"/>
          <w:lang w:val="en-US"/>
        </w:rPr>
        <w:footnoteReference w:id="17"/>
      </w:r>
    </w:p>
    <w:p w:rsidR="00CB1471" w:rsidRDefault="00CB1471" w:rsidP="005D67DF">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courts’ continued derision of these practices points to broader problems with income and expenditure based models of assessing affordability. As detailed in </w:t>
      </w:r>
      <w:r w:rsidRPr="00CE57C2">
        <w:rPr>
          <w:rFonts w:ascii="Times New Roman" w:hAnsi="Times New Roman" w:cs="Times New Roman"/>
          <w:i/>
          <w:color w:val="000000" w:themeColor="text1"/>
          <w:sz w:val="24"/>
          <w:szCs w:val="24"/>
        </w:rPr>
        <w:t>Samuels</w:t>
      </w:r>
      <w:r>
        <w:rPr>
          <w:rFonts w:ascii="Times New Roman" w:hAnsi="Times New Roman" w:cs="Times New Roman"/>
          <w:color w:val="000000" w:themeColor="text1"/>
          <w:sz w:val="24"/>
          <w:szCs w:val="24"/>
        </w:rPr>
        <w:t xml:space="preserve">, the income and expenditure evidence </w:t>
      </w:r>
      <w:r w:rsidRPr="000538F5">
        <w:rPr>
          <w:rFonts w:ascii="Times New Roman" w:hAnsi="Times New Roman" w:cs="Times New Roman"/>
          <w:color w:val="000000"/>
          <w:sz w:val="24"/>
          <w:szCs w:val="24"/>
          <w:lang w:val="en-US"/>
        </w:rPr>
        <w:t>“</w:t>
      </w:r>
      <w:r w:rsidRPr="000538F5">
        <w:rPr>
          <w:rFonts w:ascii="Times New Roman" w:eastAsia="Times New Roman" w:hAnsi="Times New Roman" w:cs="Times New Roman"/>
          <w:color w:val="000000"/>
          <w:sz w:val="24"/>
          <w:szCs w:val="24"/>
          <w:shd w:val="clear" w:color="auto" w:fill="FFFFFF"/>
          <w:lang w:val="en-US"/>
        </w:rPr>
        <w:t>presented a somewhat confusing picture”</w:t>
      </w:r>
      <w:r>
        <w:rPr>
          <w:rStyle w:val="FootnoteReference"/>
          <w:rFonts w:ascii="Times New Roman" w:eastAsia="Times New Roman" w:hAnsi="Times New Roman" w:cs="Times New Roman"/>
          <w:color w:val="000000"/>
          <w:sz w:val="24"/>
          <w:szCs w:val="24"/>
          <w:shd w:val="clear" w:color="auto" w:fill="FFFFFF"/>
          <w:lang w:val="en-US"/>
        </w:rPr>
        <w:footnoteReference w:id="18"/>
      </w:r>
      <w:r>
        <w:rPr>
          <w:rFonts w:ascii="Times New Roman" w:eastAsia="Times New Roman" w:hAnsi="Times New Roman" w:cs="Times New Roman"/>
          <w:color w:val="000000"/>
          <w:sz w:val="24"/>
          <w:szCs w:val="24"/>
          <w:shd w:val="clear" w:color="auto" w:fill="FFFFFF"/>
          <w:lang w:val="en-US"/>
        </w:rPr>
        <w:t xml:space="preserve"> and the amounts detailed to the local authority varied. This is hardly surprising for a household with four children. Affordability assessments capture a </w:t>
      </w:r>
      <w:proofErr w:type="gramStart"/>
      <w:r>
        <w:rPr>
          <w:rFonts w:ascii="Times New Roman" w:eastAsia="Times New Roman" w:hAnsi="Times New Roman" w:cs="Times New Roman"/>
          <w:color w:val="000000"/>
          <w:sz w:val="24"/>
          <w:szCs w:val="24"/>
          <w:shd w:val="clear" w:color="auto" w:fill="FFFFFF"/>
          <w:lang w:val="en-US"/>
        </w:rPr>
        <w:t>snap-shot</w:t>
      </w:r>
      <w:proofErr w:type="gramEnd"/>
      <w:r>
        <w:rPr>
          <w:rFonts w:ascii="Times New Roman" w:eastAsia="Times New Roman" w:hAnsi="Times New Roman" w:cs="Times New Roman"/>
          <w:color w:val="000000"/>
          <w:sz w:val="24"/>
          <w:szCs w:val="24"/>
          <w:shd w:val="clear" w:color="auto" w:fill="FFFFFF"/>
          <w:lang w:val="en-US"/>
        </w:rPr>
        <w:t xml:space="preserve"> of household finances at a given fixed point in time (generally a one month period); the assumption that income and expenditure is managed in a liner and consistent way does not accord with what is known about living on low incomes.  </w:t>
      </w:r>
      <w:proofErr w:type="gramStart"/>
      <w:r w:rsidRPr="00D1783C">
        <w:rPr>
          <w:rFonts w:ascii="Times New Roman" w:hAnsi="Times New Roman" w:cs="Times New Roman"/>
          <w:color w:val="000000" w:themeColor="text1"/>
          <w:sz w:val="24"/>
          <w:szCs w:val="24"/>
        </w:rPr>
        <w:t>The Joseph Rowntree Foundation’s report examining destitution in the UK</w:t>
      </w:r>
      <w:r w:rsidRPr="00D1783C">
        <w:rPr>
          <w:rStyle w:val="FootnoteReference"/>
          <w:rFonts w:ascii="Times New Roman" w:hAnsi="Times New Roman" w:cs="Times New Roman"/>
          <w:color w:val="000000" w:themeColor="text1"/>
          <w:sz w:val="24"/>
          <w:szCs w:val="24"/>
        </w:rPr>
        <w:footnoteReference w:id="19"/>
      </w:r>
      <w:r w:rsidRPr="00D178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underscores that </w:t>
      </w:r>
      <w:r w:rsidRPr="00D1783C">
        <w:rPr>
          <w:rFonts w:ascii="Times New Roman" w:hAnsi="Times New Roman" w:cs="Times New Roman"/>
          <w:color w:val="000000" w:themeColor="text1"/>
          <w:sz w:val="24"/>
          <w:szCs w:val="24"/>
        </w:rPr>
        <w:t xml:space="preserve">households </w:t>
      </w:r>
      <w:r>
        <w:rPr>
          <w:rFonts w:ascii="Times New Roman" w:hAnsi="Times New Roman" w:cs="Times New Roman"/>
          <w:color w:val="000000" w:themeColor="text1"/>
          <w:sz w:val="24"/>
          <w:szCs w:val="24"/>
        </w:rPr>
        <w:t>with</w:t>
      </w:r>
      <w:r w:rsidRPr="00D1783C">
        <w:rPr>
          <w:rFonts w:ascii="Times New Roman" w:hAnsi="Times New Roman" w:cs="Times New Roman"/>
          <w:color w:val="000000" w:themeColor="text1"/>
          <w:sz w:val="24"/>
          <w:szCs w:val="24"/>
        </w:rPr>
        <w:t xml:space="preserve"> low levels of income </w:t>
      </w:r>
      <w:r>
        <w:rPr>
          <w:rFonts w:ascii="Times New Roman" w:hAnsi="Times New Roman" w:cs="Times New Roman"/>
          <w:color w:val="000000" w:themeColor="text1"/>
          <w:sz w:val="24"/>
          <w:szCs w:val="24"/>
        </w:rPr>
        <w:t>exercise a</w:t>
      </w:r>
      <w:r w:rsidRPr="00D178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limited degree of choice’ over </w:t>
      </w:r>
      <w:r w:rsidRPr="00D1783C">
        <w:rPr>
          <w:rFonts w:ascii="Times New Roman" w:hAnsi="Times New Roman" w:cs="Times New Roman"/>
          <w:color w:val="000000" w:themeColor="text1"/>
          <w:sz w:val="24"/>
          <w:szCs w:val="24"/>
        </w:rPr>
        <w:t xml:space="preserve">expenditure patterns, particularly </w:t>
      </w:r>
      <w:r>
        <w:rPr>
          <w:rFonts w:ascii="Times New Roman" w:hAnsi="Times New Roman" w:cs="Times New Roman"/>
          <w:color w:val="000000" w:themeColor="text1"/>
          <w:sz w:val="24"/>
          <w:szCs w:val="24"/>
        </w:rPr>
        <w:t>where irregular costs – such as travel</w:t>
      </w:r>
      <w:r w:rsidRPr="00D1783C">
        <w:rPr>
          <w:rFonts w:ascii="Times New Roman" w:hAnsi="Times New Roman" w:cs="Times New Roman"/>
          <w:color w:val="000000" w:themeColor="text1"/>
          <w:sz w:val="24"/>
          <w:szCs w:val="24"/>
        </w:rPr>
        <w:t xml:space="preserve"> to attend GP or hospital appointments</w:t>
      </w:r>
      <w:r>
        <w:rPr>
          <w:rFonts w:ascii="Times New Roman" w:hAnsi="Times New Roman" w:cs="Times New Roman"/>
          <w:color w:val="000000" w:themeColor="text1"/>
          <w:sz w:val="24"/>
          <w:szCs w:val="24"/>
        </w:rPr>
        <w:t xml:space="preserve"> – have to be prioritised over day-to-day expenditure,</w:t>
      </w:r>
      <w:r w:rsidRPr="00D1783C">
        <w:rPr>
          <w:rStyle w:val="FootnoteReference"/>
          <w:rFonts w:ascii="Times New Roman" w:hAnsi="Times New Roman" w:cs="Times New Roman"/>
          <w:color w:val="000000" w:themeColor="text1"/>
          <w:sz w:val="24"/>
          <w:szCs w:val="24"/>
        </w:rPr>
        <w:footnoteReference w:id="20"/>
      </w:r>
      <w:r>
        <w:rPr>
          <w:rFonts w:ascii="Times New Roman" w:hAnsi="Times New Roman" w:cs="Times New Roman"/>
          <w:color w:val="000000" w:themeColor="text1"/>
          <w:sz w:val="24"/>
          <w:szCs w:val="24"/>
        </w:rPr>
        <w:t xml:space="preserve"> or where</w:t>
      </w:r>
      <w:r w:rsidRPr="00D1783C">
        <w:rPr>
          <w:rFonts w:ascii="Times New Roman" w:hAnsi="Times New Roman" w:cs="Times New Roman"/>
          <w:color w:val="000000" w:themeColor="text1"/>
          <w:sz w:val="24"/>
          <w:szCs w:val="24"/>
        </w:rPr>
        <w:t xml:space="preserve"> stocking up on goods in some weeks to take ad</w:t>
      </w:r>
      <w:r>
        <w:rPr>
          <w:rFonts w:ascii="Times New Roman" w:hAnsi="Times New Roman" w:cs="Times New Roman"/>
          <w:color w:val="000000" w:themeColor="text1"/>
          <w:sz w:val="24"/>
          <w:szCs w:val="24"/>
        </w:rPr>
        <w:t>vantage of cost-efficiencies leads to lower spend</w:t>
      </w:r>
      <w:r w:rsidRPr="00D1783C">
        <w:rPr>
          <w:rFonts w:ascii="Times New Roman" w:hAnsi="Times New Roman" w:cs="Times New Roman"/>
          <w:color w:val="000000" w:themeColor="text1"/>
          <w:sz w:val="24"/>
          <w:szCs w:val="24"/>
        </w:rPr>
        <w:t xml:space="preserve"> in subsequent weeks</w:t>
      </w:r>
      <w:r>
        <w:rPr>
          <w:rFonts w:ascii="Times New Roman" w:hAnsi="Times New Roman" w:cs="Times New Roman"/>
          <w:color w:val="000000" w:themeColor="text1"/>
          <w:sz w:val="24"/>
          <w:szCs w:val="24"/>
        </w:rPr>
        <w:t>.</w:t>
      </w:r>
      <w:r w:rsidRPr="00D1783C">
        <w:rPr>
          <w:rStyle w:val="FootnoteReference"/>
          <w:rFonts w:ascii="Times New Roman" w:hAnsi="Times New Roman" w:cs="Times New Roman"/>
          <w:color w:val="000000" w:themeColor="text1"/>
          <w:sz w:val="24"/>
          <w:szCs w:val="24"/>
        </w:rPr>
        <w:footnoteReference w:id="21"/>
      </w:r>
      <w:proofErr w:type="gramEnd"/>
      <w:r>
        <w:rPr>
          <w:rFonts w:ascii="Times New Roman" w:hAnsi="Times New Roman" w:cs="Times New Roman"/>
          <w:color w:val="000000" w:themeColor="text1"/>
          <w:sz w:val="24"/>
          <w:szCs w:val="24"/>
        </w:rPr>
        <w:t xml:space="preserve"> Expenditure is lumpy and difficult to track and evidence.</w:t>
      </w:r>
    </w:p>
    <w:p w:rsidR="00CB1471" w:rsidRDefault="00CB1471" w:rsidP="005D67DF">
      <w:pPr>
        <w:spacing w:after="0" w:line="276" w:lineRule="auto"/>
        <w:jc w:val="both"/>
        <w:rPr>
          <w:rFonts w:ascii="Times New Roman" w:hAnsi="Times New Roman" w:cs="Times New Roman"/>
          <w:color w:val="000000" w:themeColor="text1"/>
          <w:sz w:val="24"/>
          <w:szCs w:val="24"/>
        </w:rPr>
      </w:pPr>
    </w:p>
    <w:p w:rsidR="00CB1471" w:rsidRPr="000F6EFD" w:rsidRDefault="00CB1471" w:rsidP="005D67DF">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w:t>
      </w:r>
      <w:r>
        <w:rPr>
          <w:rFonts w:ascii="Times New Roman" w:hAnsi="Times New Roman" w:cs="Times New Roman"/>
          <w:i/>
          <w:color w:val="000000" w:themeColor="text1"/>
          <w:sz w:val="24"/>
          <w:szCs w:val="24"/>
        </w:rPr>
        <w:t xml:space="preserve">Samuels, </w:t>
      </w:r>
      <w:r>
        <w:rPr>
          <w:rFonts w:ascii="Times New Roman" w:hAnsi="Times New Roman" w:cs="Times New Roman"/>
          <w:color w:val="000000" w:themeColor="text1"/>
          <w:sz w:val="24"/>
          <w:szCs w:val="24"/>
        </w:rPr>
        <w:t>the court disposes of these problems by underscoring that the assessment of “reasonable living expenses” within the guidance “</w:t>
      </w:r>
      <w:r w:rsidRPr="00BD202B">
        <w:rPr>
          <w:rFonts w:ascii="Times New Roman" w:hAnsi="Times New Roman" w:cs="Times New Roman"/>
          <w:color w:val="000000" w:themeColor="text1"/>
          <w:sz w:val="24"/>
          <w:szCs w:val="24"/>
        </w:rPr>
        <w:t>requires an objective assessment; it cannot depend simply on the subjective view of the case officer.</w:t>
      </w:r>
      <w:r>
        <w:rPr>
          <w:rFonts w:ascii="Times New Roman" w:hAnsi="Times New Roman" w:cs="Times New Roman"/>
          <w:color w:val="000000" w:themeColor="text1"/>
          <w:sz w:val="24"/>
          <w:szCs w:val="24"/>
        </w:rPr>
        <w:t>”</w:t>
      </w:r>
      <w:r>
        <w:rPr>
          <w:rStyle w:val="FootnoteReference"/>
          <w:rFonts w:ascii="Times New Roman" w:hAnsi="Times New Roman" w:cs="Times New Roman"/>
          <w:color w:val="000000" w:themeColor="text1"/>
          <w:sz w:val="24"/>
          <w:szCs w:val="24"/>
        </w:rPr>
        <w:footnoteReference w:id="22"/>
      </w:r>
      <w:r>
        <w:rPr>
          <w:rFonts w:ascii="Times New Roman" w:hAnsi="Times New Roman" w:cs="Times New Roman"/>
          <w:color w:val="000000" w:themeColor="text1"/>
          <w:sz w:val="24"/>
          <w:szCs w:val="24"/>
        </w:rPr>
        <w:t xml:space="preserve"> In this case, the objective benchmark </w:t>
      </w:r>
      <w:proofErr w:type="gramStart"/>
      <w:r>
        <w:rPr>
          <w:rFonts w:ascii="Times New Roman" w:hAnsi="Times New Roman" w:cs="Times New Roman"/>
          <w:color w:val="000000" w:themeColor="text1"/>
          <w:sz w:val="24"/>
          <w:szCs w:val="24"/>
        </w:rPr>
        <w:t>is pegged</w:t>
      </w:r>
      <w:proofErr w:type="gramEnd"/>
      <w:r>
        <w:rPr>
          <w:rFonts w:ascii="Times New Roman" w:hAnsi="Times New Roman" w:cs="Times New Roman"/>
          <w:color w:val="000000" w:themeColor="text1"/>
          <w:sz w:val="24"/>
          <w:szCs w:val="24"/>
        </w:rPr>
        <w:t xml:space="preserve"> to at least benefit levels, with the specific circumstances of the household capable of justifying a higher standard. The decision highlights the deficiencies in the eco-system of inherently </w:t>
      </w:r>
      <w:r>
        <w:rPr>
          <w:rFonts w:ascii="Times New Roman" w:hAnsi="Times New Roman" w:cs="Times New Roman"/>
          <w:i/>
          <w:color w:val="000000" w:themeColor="text1"/>
          <w:sz w:val="24"/>
          <w:szCs w:val="24"/>
        </w:rPr>
        <w:t xml:space="preserve">subjective </w:t>
      </w:r>
      <w:r>
        <w:rPr>
          <w:rFonts w:ascii="Times New Roman" w:hAnsi="Times New Roman" w:cs="Times New Roman"/>
          <w:color w:val="000000" w:themeColor="text1"/>
          <w:sz w:val="24"/>
          <w:szCs w:val="24"/>
        </w:rPr>
        <w:t>affordability assessments that exist elsewhere – particularly in the administration of the DHP scheme, where the detailed assessment of income and expenditure is commonplace.</w:t>
      </w:r>
      <w:r>
        <w:rPr>
          <w:rStyle w:val="FootnoteReference"/>
          <w:rFonts w:ascii="Times New Roman" w:hAnsi="Times New Roman" w:cs="Times New Roman"/>
          <w:color w:val="000000" w:themeColor="text1"/>
          <w:sz w:val="24"/>
          <w:szCs w:val="24"/>
        </w:rPr>
        <w:footnoteReference w:id="23"/>
      </w:r>
    </w:p>
    <w:p w:rsidR="00CB1471" w:rsidRDefault="00CB1471" w:rsidP="005D67DF">
      <w:pPr>
        <w:spacing w:after="0" w:line="276" w:lineRule="auto"/>
        <w:jc w:val="both"/>
        <w:rPr>
          <w:rFonts w:ascii="Times New Roman" w:hAnsi="Times New Roman" w:cs="Times New Roman"/>
          <w:color w:val="000000" w:themeColor="text1"/>
          <w:sz w:val="24"/>
          <w:szCs w:val="24"/>
        </w:rPr>
      </w:pPr>
    </w:p>
    <w:p w:rsidR="00CB1471" w:rsidRPr="00681A5A" w:rsidRDefault="00CB1471" w:rsidP="005D67DF">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Implications of the judgment</w:t>
      </w:r>
    </w:p>
    <w:p w:rsidR="00CB1471" w:rsidRDefault="00CB1471" w:rsidP="005D67DF">
      <w:pPr>
        <w:spacing w:after="0" w:line="276" w:lineRule="auto"/>
        <w:jc w:val="both"/>
        <w:rPr>
          <w:rFonts w:ascii="Times New Roman" w:hAnsi="Times New Roman" w:cs="Times New Roman"/>
          <w:color w:val="000000" w:themeColor="text1"/>
          <w:sz w:val="24"/>
          <w:szCs w:val="24"/>
        </w:rPr>
      </w:pPr>
    </w:p>
    <w:p w:rsidR="00CB1471" w:rsidRDefault="00CB1471" w:rsidP="005D67DF">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immediate implications of the judgment stretch outside of the confines of Part VII Housing Act 1996. Other assessments of affordability should take note of the UKSC’s criticisms of assessing a claimant’s ability to offset shortfalls in housing benefit with other social security payments, especially for households with children. Within the administration of the DHP scheme in particular, closely textured analyses of income and expenditure resulting in </w:t>
      </w:r>
      <w:r>
        <w:rPr>
          <w:rFonts w:ascii="Times New Roman" w:hAnsi="Times New Roman" w:cs="Times New Roman"/>
          <w:color w:val="000000" w:themeColor="text1"/>
          <w:sz w:val="24"/>
          <w:szCs w:val="24"/>
        </w:rPr>
        <w:lastRenderedPageBreak/>
        <w:t>recommendations to meet deficiencies in housing benefit by drawing on other social security payments are widespread. Indeed, Ms Samuels herself, facing a £151.49 shortfall between her rent and LHA, and with reasonable levels of household expenditure, would have been a prime candidate for a DHP award. The demand on these payments presents Local Authorities with a serious problem: the insufficiency of LHA rates by themselves, let alone other pressures such as the benefit cap, bedroom tax, and so on, dwarf the centrally allocated DHP budgets.</w:t>
      </w:r>
    </w:p>
    <w:p w:rsidR="00CB1471" w:rsidRDefault="00CB1471" w:rsidP="005D67DF">
      <w:pPr>
        <w:spacing w:after="0" w:line="276" w:lineRule="auto"/>
        <w:jc w:val="both"/>
        <w:rPr>
          <w:rFonts w:ascii="Times New Roman" w:hAnsi="Times New Roman" w:cs="Times New Roman"/>
          <w:color w:val="000000" w:themeColor="text1"/>
          <w:sz w:val="24"/>
          <w:szCs w:val="24"/>
        </w:rPr>
      </w:pPr>
    </w:p>
    <w:p w:rsidR="00CB1471" w:rsidRDefault="00CB1471" w:rsidP="005D67DF">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judgment finishes by outlining two key regulatory changes since Ms Samuels’ homelessness application in 2011. The first is the (ongoing) introduction of Universal Credit in the wake of the Welfare Reform Act 2012. Notionally, this dispenses with the concerns over the meaning of “income support” outlined above by virtue of introducing a combined rate to replace the benefits at issue in this appeal (child tax credits, income support, and housing benefit), among others. The problem of a deficient “housing element” under the new Universal Credit regime relative to rental liability, does however</w:t>
      </w:r>
      <w:proofErr w:type="gramStart"/>
      <w:r>
        <w:rPr>
          <w:rFonts w:ascii="Times New Roman" w:hAnsi="Times New Roman" w:cs="Times New Roman"/>
          <w:color w:val="000000" w:themeColor="text1"/>
          <w:sz w:val="24"/>
          <w:szCs w:val="24"/>
        </w:rPr>
        <w:t>, still</w:t>
      </w:r>
      <w:proofErr w:type="gramEnd"/>
      <w:r>
        <w:rPr>
          <w:rFonts w:ascii="Times New Roman" w:hAnsi="Times New Roman" w:cs="Times New Roman"/>
          <w:color w:val="000000" w:themeColor="text1"/>
          <w:sz w:val="24"/>
          <w:szCs w:val="24"/>
        </w:rPr>
        <w:t xml:space="preserve"> remain as before.</w:t>
      </w:r>
    </w:p>
    <w:p w:rsidR="00CB1471" w:rsidRDefault="00CB1471" w:rsidP="005D67DF">
      <w:pPr>
        <w:spacing w:after="0" w:line="276" w:lineRule="auto"/>
        <w:jc w:val="both"/>
        <w:rPr>
          <w:rFonts w:ascii="Times New Roman" w:hAnsi="Times New Roman" w:cs="Times New Roman"/>
          <w:color w:val="000000" w:themeColor="text1"/>
          <w:sz w:val="24"/>
          <w:szCs w:val="24"/>
        </w:rPr>
      </w:pPr>
    </w:p>
    <w:p w:rsidR="00CB1471" w:rsidRDefault="00CB1471" w:rsidP="005D67DF">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second is the Homelessness Reduction Act 2017, which has brought into train new preventative duties for Local Authorities. Its introduction </w:t>
      </w:r>
      <w:proofErr w:type="gramStart"/>
      <w:r>
        <w:rPr>
          <w:rFonts w:ascii="Times New Roman" w:hAnsi="Times New Roman" w:cs="Times New Roman"/>
          <w:color w:val="000000" w:themeColor="text1"/>
          <w:sz w:val="24"/>
          <w:szCs w:val="24"/>
        </w:rPr>
        <w:t>has, in turn, led</w:t>
      </w:r>
      <w:proofErr w:type="gramEnd"/>
      <w:r>
        <w:rPr>
          <w:rFonts w:ascii="Times New Roman" w:hAnsi="Times New Roman" w:cs="Times New Roman"/>
          <w:color w:val="000000" w:themeColor="text1"/>
          <w:sz w:val="24"/>
          <w:szCs w:val="24"/>
        </w:rPr>
        <w:t xml:space="preserve"> to revised guidance to local authorities. There is no longer a direct “recommendation” to consider benefit levels as determinative of affordability, but instead that authorities “may be guided” by </w:t>
      </w:r>
      <w:r w:rsidRPr="00DA73FD">
        <w:rPr>
          <w:rFonts w:ascii="Times New Roman" w:hAnsi="Times New Roman" w:cs="Times New Roman"/>
          <w:color w:val="000000" w:themeColor="text1"/>
          <w:sz w:val="24"/>
          <w:szCs w:val="24"/>
        </w:rPr>
        <w:t>Universal Credit standard allowances</w:t>
      </w:r>
      <w:r>
        <w:rPr>
          <w:rFonts w:ascii="Times New Roman" w:hAnsi="Times New Roman" w:cs="Times New Roman"/>
          <w:color w:val="000000" w:themeColor="text1"/>
          <w:sz w:val="24"/>
          <w:szCs w:val="24"/>
        </w:rPr>
        <w:t xml:space="preserve"> when assessing whether the applicant can “</w:t>
      </w:r>
      <w:r w:rsidRPr="001964E1">
        <w:rPr>
          <w:rFonts w:ascii="Times New Roman" w:hAnsi="Times New Roman" w:cs="Times New Roman"/>
          <w:color w:val="000000" w:themeColor="text1"/>
          <w:sz w:val="24"/>
          <w:szCs w:val="24"/>
        </w:rPr>
        <w:t>afford the housing costs without being deprived of basic essentials</w:t>
      </w:r>
      <w:r>
        <w:rPr>
          <w:rFonts w:ascii="Times New Roman" w:hAnsi="Times New Roman" w:cs="Times New Roman"/>
          <w:color w:val="000000" w:themeColor="text1"/>
          <w:sz w:val="24"/>
          <w:szCs w:val="24"/>
        </w:rPr>
        <w:t>”.</w:t>
      </w:r>
      <w:r>
        <w:rPr>
          <w:rStyle w:val="FootnoteReference"/>
          <w:rFonts w:ascii="Times New Roman" w:hAnsi="Times New Roman" w:cs="Times New Roman"/>
          <w:color w:val="000000" w:themeColor="text1"/>
          <w:sz w:val="24"/>
          <w:szCs w:val="24"/>
        </w:rPr>
        <w:footnoteReference w:id="24"/>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The UKSC’s conclusion that further guidance is warranted by Government is surely correct, but, in my view, given the clear arguments accepted by the court on social security being pegged to subsistence levels,</w:t>
      </w:r>
      <w:r>
        <w:rPr>
          <w:rStyle w:val="FootnoteReference"/>
          <w:rFonts w:ascii="Times New Roman" w:hAnsi="Times New Roman" w:cs="Times New Roman"/>
          <w:color w:val="000000" w:themeColor="text1"/>
          <w:sz w:val="24"/>
          <w:szCs w:val="24"/>
        </w:rPr>
        <w:footnoteReference w:id="25"/>
      </w:r>
      <w:r>
        <w:rPr>
          <w:rFonts w:ascii="Times New Roman" w:hAnsi="Times New Roman" w:cs="Times New Roman"/>
          <w:color w:val="000000" w:themeColor="text1"/>
          <w:sz w:val="24"/>
          <w:szCs w:val="24"/>
        </w:rPr>
        <w:t xml:space="preserve"> it is difficult to see how supplementing a shortfall in the Universal Credit housing element with another award component would do anything other than deprive a household of basic essentials.</w:t>
      </w:r>
      <w:proofErr w:type="gramEnd"/>
    </w:p>
    <w:p w:rsidR="00CB1471" w:rsidRDefault="00CB1471" w:rsidP="005D67DF">
      <w:pPr>
        <w:spacing w:after="0" w:line="276" w:lineRule="auto"/>
        <w:jc w:val="both"/>
        <w:rPr>
          <w:rFonts w:ascii="Times New Roman" w:hAnsi="Times New Roman" w:cs="Times New Roman"/>
          <w:color w:val="000000" w:themeColor="text1"/>
          <w:sz w:val="24"/>
          <w:szCs w:val="24"/>
        </w:rPr>
      </w:pPr>
    </w:p>
    <w:p w:rsidR="00CB1471" w:rsidRPr="0024103A" w:rsidRDefault="00CB1471" w:rsidP="005D67DF">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headline of </w:t>
      </w:r>
      <w:r>
        <w:rPr>
          <w:rFonts w:ascii="Times New Roman" w:hAnsi="Times New Roman" w:cs="Times New Roman"/>
          <w:i/>
          <w:color w:val="000000" w:themeColor="text1"/>
          <w:sz w:val="24"/>
          <w:szCs w:val="24"/>
        </w:rPr>
        <w:t xml:space="preserve">Samuels </w:t>
      </w:r>
      <w:r>
        <w:rPr>
          <w:rFonts w:ascii="Times New Roman" w:hAnsi="Times New Roman" w:cs="Times New Roman"/>
          <w:color w:val="000000" w:themeColor="text1"/>
          <w:sz w:val="24"/>
          <w:szCs w:val="24"/>
        </w:rPr>
        <w:t xml:space="preserve">is its criticism of assessing the ability to service a deficiency in one social security payment – designed (and failing) to meet one set of subsistence needs – with income from another – designed to meet another set of subsistence needs. This key principle will outlast variations in the guidance and specific context of the social security regime in which the judgment sits. It joins a body of case law – with </w:t>
      </w:r>
      <w:proofErr w:type="spellStart"/>
      <w:r>
        <w:rPr>
          <w:rFonts w:ascii="Times New Roman" w:hAnsi="Times New Roman" w:cs="Times New Roman"/>
          <w:i/>
          <w:color w:val="000000" w:themeColor="text1"/>
          <w:sz w:val="24"/>
          <w:szCs w:val="24"/>
        </w:rPr>
        <w:t>Burnip</w:t>
      </w:r>
      <w:proofErr w:type="spellEnd"/>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and </w:t>
      </w:r>
      <w:r w:rsidR="00203361">
        <w:rPr>
          <w:rFonts w:ascii="Times New Roman" w:hAnsi="Times New Roman" w:cs="Times New Roman"/>
          <w:i/>
          <w:color w:val="000000" w:themeColor="text1"/>
          <w:sz w:val="24"/>
          <w:szCs w:val="24"/>
        </w:rPr>
        <w:t>Hardy</w:t>
      </w:r>
      <w:r>
        <w:rPr>
          <w:rFonts w:ascii="Times New Roman" w:hAnsi="Times New Roman" w:cs="Times New Roman"/>
          <w:color w:val="000000" w:themeColor="text1"/>
          <w:sz w:val="24"/>
          <w:szCs w:val="24"/>
        </w:rPr>
        <w:t xml:space="preserve"> – that all highlight the perverse consequences of an approach to assessing affordability or need that treats all social security income as a fund that to be mined for costs well outside of their payment’s initial purpose. A clear statement of this principle by the Supreme Court sends a clear and welcome message to both central Government and local authorities tasked with the assessment of income and expenditure.</w:t>
      </w:r>
    </w:p>
    <w:p w:rsidR="00111FF9" w:rsidRDefault="005F18F9" w:rsidP="005D67DF">
      <w:pPr>
        <w:jc w:val="both"/>
      </w:pPr>
    </w:p>
    <w:sectPr w:rsidR="00111F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8F9" w:rsidRDefault="005F18F9" w:rsidP="00CB1471">
      <w:pPr>
        <w:spacing w:after="0" w:line="240" w:lineRule="auto"/>
      </w:pPr>
      <w:r>
        <w:separator/>
      </w:r>
    </w:p>
  </w:endnote>
  <w:endnote w:type="continuationSeparator" w:id="0">
    <w:p w:rsidR="005F18F9" w:rsidRDefault="005F18F9" w:rsidP="00CB1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8F9" w:rsidRDefault="005F18F9" w:rsidP="00CB1471">
      <w:pPr>
        <w:spacing w:after="0" w:line="240" w:lineRule="auto"/>
      </w:pPr>
      <w:r>
        <w:separator/>
      </w:r>
    </w:p>
  </w:footnote>
  <w:footnote w:type="continuationSeparator" w:id="0">
    <w:p w:rsidR="005F18F9" w:rsidRDefault="005F18F9" w:rsidP="00CB1471">
      <w:pPr>
        <w:spacing w:after="0" w:line="240" w:lineRule="auto"/>
      </w:pPr>
      <w:r>
        <w:continuationSeparator/>
      </w:r>
    </w:p>
  </w:footnote>
  <w:footnote w:id="1">
    <w:p w:rsidR="00CB1471" w:rsidRDefault="00CB1471" w:rsidP="00203361">
      <w:pPr>
        <w:pStyle w:val="FootnoteText"/>
        <w:rPr>
          <w:rFonts w:ascii="Times New Roman" w:hAnsi="Times New Roman" w:cs="Times New Roman"/>
        </w:rPr>
      </w:pPr>
      <w:r>
        <w:rPr>
          <w:rFonts w:ascii="Times New Roman" w:hAnsi="Times New Roman" w:cs="Times New Roman"/>
        </w:rPr>
        <w:t>*Lecturer in Law, York Law School, University of York.</w:t>
      </w:r>
    </w:p>
    <w:p w:rsidR="00CB1471" w:rsidRPr="001D3C81" w:rsidRDefault="00CB1471" w:rsidP="00203361">
      <w:pPr>
        <w:pStyle w:val="FootnoteText"/>
        <w:rPr>
          <w:rFonts w:ascii="Times New Roman" w:hAnsi="Times New Roman" w:cs="Times New Roman"/>
        </w:rPr>
      </w:pPr>
      <w:r w:rsidRPr="001D3C81">
        <w:rPr>
          <w:rStyle w:val="FootnoteReference"/>
          <w:rFonts w:ascii="Times New Roman" w:hAnsi="Times New Roman" w:cs="Times New Roman"/>
        </w:rPr>
        <w:footnoteRef/>
      </w:r>
      <w:r w:rsidRPr="001D3C81">
        <w:rPr>
          <w:rFonts w:ascii="Times New Roman" w:hAnsi="Times New Roman" w:cs="Times New Roman"/>
        </w:rPr>
        <w:t xml:space="preserve"> [2019] UKSC 28</w:t>
      </w:r>
    </w:p>
  </w:footnote>
  <w:footnote w:id="2">
    <w:p w:rsidR="00CB1471" w:rsidRPr="001D3C81" w:rsidRDefault="00CB1471" w:rsidP="00203361">
      <w:pPr>
        <w:pStyle w:val="FootnoteText"/>
        <w:rPr>
          <w:rFonts w:ascii="Times New Roman" w:hAnsi="Times New Roman" w:cs="Times New Roman"/>
        </w:rPr>
      </w:pPr>
      <w:r w:rsidRPr="001D3C81">
        <w:rPr>
          <w:rStyle w:val="FootnoteReference"/>
          <w:rFonts w:ascii="Times New Roman" w:hAnsi="Times New Roman" w:cs="Times New Roman"/>
        </w:rPr>
        <w:footnoteRef/>
      </w:r>
      <w:r w:rsidRPr="001D3C81">
        <w:rPr>
          <w:rFonts w:ascii="Times New Roman" w:hAnsi="Times New Roman" w:cs="Times New Roman"/>
        </w:rPr>
        <w:t xml:space="preserve"> Shelter, ‘Analysis: Local Housing Allowance Freeze’ (2017) &lt;</w:t>
      </w:r>
      <w:hyperlink r:id="rId1" w:history="1">
        <w:r w:rsidRPr="001D3C81">
          <w:rPr>
            <w:rStyle w:val="Hyperlink"/>
            <w:rFonts w:ascii="Times New Roman" w:hAnsi="Times New Roman" w:cs="Times New Roman"/>
          </w:rPr>
          <w:t>https://england.shelter.org.uk/__data/assets/pdf_file/0020/1349012/Final_LHA_analysis.pdf</w:t>
        </w:r>
      </w:hyperlink>
      <w:r w:rsidRPr="001D3C81">
        <w:rPr>
          <w:rFonts w:ascii="Times New Roman" w:hAnsi="Times New Roman" w:cs="Times New Roman"/>
        </w:rPr>
        <w:t>&gt; accessed 27.06.2019.</w:t>
      </w:r>
    </w:p>
  </w:footnote>
  <w:footnote w:id="3">
    <w:p w:rsidR="00CB1471" w:rsidRPr="001D3C81" w:rsidRDefault="00CB1471" w:rsidP="00203361">
      <w:pPr>
        <w:pStyle w:val="FootnoteText"/>
        <w:rPr>
          <w:rFonts w:ascii="Times New Roman" w:hAnsi="Times New Roman" w:cs="Times New Roman"/>
        </w:rPr>
      </w:pPr>
      <w:r w:rsidRPr="001D3C81">
        <w:rPr>
          <w:rStyle w:val="FootnoteReference"/>
          <w:rFonts w:ascii="Times New Roman" w:hAnsi="Times New Roman" w:cs="Times New Roman"/>
        </w:rPr>
        <w:footnoteRef/>
      </w:r>
      <w:r w:rsidRPr="001D3C81">
        <w:rPr>
          <w:rFonts w:ascii="Times New Roman" w:hAnsi="Times New Roman" w:cs="Times New Roman"/>
        </w:rPr>
        <w:t xml:space="preserve"> </w:t>
      </w:r>
      <w:r w:rsidRPr="001D3C81">
        <w:rPr>
          <w:rFonts w:ascii="Times New Roman" w:hAnsi="Times New Roman" w:cs="Times New Roman"/>
          <w:i/>
        </w:rPr>
        <w:t>Samuels</w:t>
      </w:r>
      <w:r w:rsidRPr="001D3C81">
        <w:rPr>
          <w:rFonts w:ascii="Times New Roman" w:hAnsi="Times New Roman" w:cs="Times New Roman"/>
        </w:rPr>
        <w:t xml:space="preserve"> (n 1) [14].</w:t>
      </w:r>
    </w:p>
  </w:footnote>
  <w:footnote w:id="4">
    <w:p w:rsidR="00CB1471" w:rsidRPr="001D3C81" w:rsidRDefault="00CB1471" w:rsidP="00203361">
      <w:pPr>
        <w:pStyle w:val="FootnoteText"/>
        <w:rPr>
          <w:rFonts w:ascii="Times New Roman" w:hAnsi="Times New Roman" w:cs="Times New Roman"/>
        </w:rPr>
      </w:pPr>
      <w:r w:rsidRPr="001D3C81">
        <w:rPr>
          <w:rStyle w:val="FootnoteReference"/>
          <w:rFonts w:ascii="Times New Roman" w:hAnsi="Times New Roman" w:cs="Times New Roman"/>
        </w:rPr>
        <w:footnoteRef/>
      </w:r>
      <w:r w:rsidRPr="001D3C81">
        <w:rPr>
          <w:rFonts w:ascii="Times New Roman" w:hAnsi="Times New Roman" w:cs="Times New Roman"/>
        </w:rPr>
        <w:t xml:space="preserve"> See the write-up of the case </w:t>
      </w:r>
      <w:proofErr w:type="gramStart"/>
      <w:r w:rsidRPr="001D3C81">
        <w:rPr>
          <w:rFonts w:ascii="Times New Roman" w:hAnsi="Times New Roman" w:cs="Times New Roman"/>
        </w:rPr>
        <w:t xml:space="preserve">on Nearly </w:t>
      </w:r>
      <w:proofErr w:type="spellStart"/>
      <w:r w:rsidRPr="001D3C81">
        <w:rPr>
          <w:rFonts w:ascii="Times New Roman" w:hAnsi="Times New Roman" w:cs="Times New Roman"/>
        </w:rPr>
        <w:t>Legal’s</w:t>
      </w:r>
      <w:proofErr w:type="spellEnd"/>
      <w:r w:rsidRPr="001D3C81">
        <w:rPr>
          <w:rFonts w:ascii="Times New Roman" w:hAnsi="Times New Roman" w:cs="Times New Roman"/>
        </w:rPr>
        <w:t xml:space="preserve"> inimitable blog for links to more information on the saga that preceded the UKSC appeal</w:t>
      </w:r>
      <w:proofErr w:type="gramEnd"/>
      <w:r w:rsidRPr="001D3C81">
        <w:rPr>
          <w:rFonts w:ascii="Times New Roman" w:hAnsi="Times New Roman" w:cs="Times New Roman"/>
        </w:rPr>
        <w:t xml:space="preserve">: </w:t>
      </w:r>
      <w:hyperlink r:id="rId2" w:history="1">
        <w:r w:rsidRPr="001D3C81">
          <w:rPr>
            <w:rStyle w:val="Hyperlink"/>
            <w:rFonts w:ascii="Times New Roman" w:hAnsi="Times New Roman" w:cs="Times New Roman"/>
          </w:rPr>
          <w:t>https://nearlylegal.co.uk/2019/06/reasonable-expenses-and-intentional-homelessness/</w:t>
        </w:r>
      </w:hyperlink>
      <w:r w:rsidRPr="001D3C81">
        <w:rPr>
          <w:rFonts w:ascii="Times New Roman" w:hAnsi="Times New Roman" w:cs="Times New Roman"/>
        </w:rPr>
        <w:t xml:space="preserve">. </w:t>
      </w:r>
    </w:p>
  </w:footnote>
  <w:footnote w:id="5">
    <w:p w:rsidR="00CB1471" w:rsidRPr="001D3C81" w:rsidRDefault="00CB1471" w:rsidP="00203361">
      <w:pPr>
        <w:pStyle w:val="FootnoteText"/>
        <w:rPr>
          <w:rFonts w:ascii="Times New Roman" w:hAnsi="Times New Roman" w:cs="Times New Roman"/>
        </w:rPr>
      </w:pPr>
      <w:r w:rsidRPr="001D3C81">
        <w:rPr>
          <w:rStyle w:val="FootnoteReference"/>
          <w:rFonts w:ascii="Times New Roman" w:hAnsi="Times New Roman" w:cs="Times New Roman"/>
        </w:rPr>
        <w:footnoteRef/>
      </w:r>
      <w:r w:rsidRPr="001D3C81">
        <w:rPr>
          <w:rFonts w:ascii="Times New Roman" w:hAnsi="Times New Roman" w:cs="Times New Roman"/>
        </w:rPr>
        <w:t xml:space="preserve"> See </w:t>
      </w:r>
      <w:r w:rsidRPr="001D3C81">
        <w:rPr>
          <w:rFonts w:ascii="Times New Roman" w:hAnsi="Times New Roman" w:cs="Times New Roman"/>
          <w:i/>
        </w:rPr>
        <w:t>Haile v Waltham Forest LBC</w:t>
      </w:r>
      <w:r w:rsidRPr="001D3C81">
        <w:rPr>
          <w:rFonts w:ascii="Times New Roman" w:hAnsi="Times New Roman" w:cs="Times New Roman"/>
        </w:rPr>
        <w:t xml:space="preserve"> [2015] UKSC 34; </w:t>
      </w:r>
      <w:r w:rsidRPr="001D3C81">
        <w:rPr>
          <w:rFonts w:ascii="Times New Roman" w:hAnsi="Times New Roman" w:cs="Times New Roman"/>
          <w:i/>
        </w:rPr>
        <w:t xml:space="preserve">R. (on the application of </w:t>
      </w:r>
      <w:proofErr w:type="spellStart"/>
      <w:r w:rsidRPr="001D3C81">
        <w:rPr>
          <w:rFonts w:ascii="Times New Roman" w:hAnsi="Times New Roman" w:cs="Times New Roman"/>
          <w:i/>
        </w:rPr>
        <w:t>Aweys</w:t>
      </w:r>
      <w:proofErr w:type="spellEnd"/>
      <w:r w:rsidRPr="001D3C81">
        <w:rPr>
          <w:rFonts w:ascii="Times New Roman" w:hAnsi="Times New Roman" w:cs="Times New Roman"/>
          <w:i/>
        </w:rPr>
        <w:t xml:space="preserve">) v Birmingham City Council </w:t>
      </w:r>
      <w:r w:rsidRPr="001D3C81">
        <w:rPr>
          <w:rFonts w:ascii="Times New Roman" w:hAnsi="Times New Roman" w:cs="Times New Roman"/>
        </w:rPr>
        <w:t xml:space="preserve">[2009] UKHL 36; </w:t>
      </w:r>
      <w:r w:rsidRPr="001D3C81">
        <w:rPr>
          <w:rFonts w:ascii="Times New Roman" w:hAnsi="Times New Roman" w:cs="Times New Roman"/>
          <w:i/>
        </w:rPr>
        <w:t xml:space="preserve">Birmingham City Council v </w:t>
      </w:r>
      <w:proofErr w:type="spellStart"/>
      <w:r w:rsidRPr="001D3C81">
        <w:rPr>
          <w:rFonts w:ascii="Times New Roman" w:hAnsi="Times New Roman" w:cs="Times New Roman"/>
          <w:i/>
        </w:rPr>
        <w:t>Balog</w:t>
      </w:r>
      <w:proofErr w:type="spellEnd"/>
      <w:r w:rsidRPr="001D3C81">
        <w:rPr>
          <w:rFonts w:ascii="Times New Roman" w:hAnsi="Times New Roman" w:cs="Times New Roman"/>
          <w:i/>
        </w:rPr>
        <w:t xml:space="preserve"> </w:t>
      </w:r>
      <w:r w:rsidRPr="001D3C81">
        <w:rPr>
          <w:rFonts w:ascii="Times New Roman" w:hAnsi="Times New Roman" w:cs="Times New Roman"/>
        </w:rPr>
        <w:t xml:space="preserve">[2013] EWCA </w:t>
      </w:r>
      <w:proofErr w:type="spellStart"/>
      <w:r w:rsidRPr="001D3C81">
        <w:rPr>
          <w:rFonts w:ascii="Times New Roman" w:hAnsi="Times New Roman" w:cs="Times New Roman"/>
        </w:rPr>
        <w:t>Civ</w:t>
      </w:r>
      <w:proofErr w:type="spellEnd"/>
      <w:r w:rsidRPr="001D3C81">
        <w:rPr>
          <w:rFonts w:ascii="Times New Roman" w:hAnsi="Times New Roman" w:cs="Times New Roman"/>
        </w:rPr>
        <w:t xml:space="preserve"> 1582.</w:t>
      </w:r>
    </w:p>
  </w:footnote>
  <w:footnote w:id="6">
    <w:p w:rsidR="00CB1471" w:rsidRPr="001D3C81" w:rsidRDefault="00CB1471" w:rsidP="00203361">
      <w:pPr>
        <w:pStyle w:val="FootnoteText"/>
        <w:rPr>
          <w:rFonts w:ascii="Times New Roman" w:hAnsi="Times New Roman" w:cs="Times New Roman"/>
        </w:rPr>
      </w:pPr>
      <w:r w:rsidRPr="001D3C81">
        <w:rPr>
          <w:rStyle w:val="FootnoteReference"/>
          <w:rFonts w:ascii="Times New Roman" w:hAnsi="Times New Roman" w:cs="Times New Roman"/>
        </w:rPr>
        <w:footnoteRef/>
      </w:r>
      <w:r w:rsidRPr="001D3C81">
        <w:rPr>
          <w:rFonts w:ascii="Times New Roman" w:hAnsi="Times New Roman" w:cs="Times New Roman"/>
        </w:rPr>
        <w:t xml:space="preserve"> </w:t>
      </w:r>
      <w:r w:rsidRPr="001D3C81">
        <w:rPr>
          <w:rFonts w:ascii="Times New Roman" w:hAnsi="Times New Roman" w:cs="Times New Roman"/>
          <w:i/>
        </w:rPr>
        <w:t>Samuels</w:t>
      </w:r>
      <w:r w:rsidRPr="001D3C81">
        <w:rPr>
          <w:rFonts w:ascii="Times New Roman" w:hAnsi="Times New Roman" w:cs="Times New Roman"/>
        </w:rPr>
        <w:t xml:space="preserve"> (n 1) [6] (emphasis added in judgment).</w:t>
      </w:r>
    </w:p>
  </w:footnote>
  <w:footnote w:id="7">
    <w:p w:rsidR="00CB1471" w:rsidRPr="001D3C81" w:rsidRDefault="00CB1471" w:rsidP="00203361">
      <w:pPr>
        <w:pStyle w:val="FootnoteText"/>
        <w:rPr>
          <w:rFonts w:ascii="Times New Roman" w:hAnsi="Times New Roman" w:cs="Times New Roman"/>
        </w:rPr>
      </w:pPr>
      <w:r w:rsidRPr="001D3C81">
        <w:rPr>
          <w:rStyle w:val="FootnoteReference"/>
          <w:rFonts w:ascii="Times New Roman" w:hAnsi="Times New Roman" w:cs="Times New Roman"/>
        </w:rPr>
        <w:footnoteRef/>
      </w:r>
      <w:r w:rsidRPr="001D3C81">
        <w:rPr>
          <w:rFonts w:ascii="Times New Roman" w:hAnsi="Times New Roman" w:cs="Times New Roman"/>
        </w:rPr>
        <w:t xml:space="preserve"> Ibid [33].</w:t>
      </w:r>
    </w:p>
  </w:footnote>
  <w:footnote w:id="8">
    <w:p w:rsidR="00CB1471" w:rsidRPr="001D3C81" w:rsidRDefault="00CB1471" w:rsidP="00203361">
      <w:pPr>
        <w:pStyle w:val="FootnoteText"/>
        <w:rPr>
          <w:rFonts w:ascii="Times New Roman" w:hAnsi="Times New Roman" w:cs="Times New Roman"/>
        </w:rPr>
      </w:pPr>
      <w:r w:rsidRPr="001D3C81">
        <w:rPr>
          <w:rStyle w:val="FootnoteReference"/>
          <w:rFonts w:ascii="Times New Roman" w:hAnsi="Times New Roman" w:cs="Times New Roman"/>
        </w:rPr>
        <w:footnoteRef/>
      </w:r>
      <w:r w:rsidRPr="001D3C81">
        <w:rPr>
          <w:rFonts w:ascii="Times New Roman" w:hAnsi="Times New Roman" w:cs="Times New Roman"/>
        </w:rPr>
        <w:t xml:space="preserve"> See Ibid [7] with reference to Lady Hale’s explanation in </w:t>
      </w:r>
      <w:proofErr w:type="gramStart"/>
      <w:r w:rsidRPr="001D3C81">
        <w:rPr>
          <w:rFonts w:ascii="Times New Roman" w:hAnsi="Times New Roman" w:cs="Times New Roman"/>
          <w:i/>
        </w:rPr>
        <w:t>Humphreys</w:t>
      </w:r>
      <w:proofErr w:type="gramEnd"/>
      <w:r w:rsidRPr="001D3C81">
        <w:rPr>
          <w:rFonts w:ascii="Times New Roman" w:hAnsi="Times New Roman" w:cs="Times New Roman"/>
          <w:i/>
        </w:rPr>
        <w:t xml:space="preserve"> v Revenue and Customs </w:t>
      </w:r>
      <w:proofErr w:type="spellStart"/>
      <w:r w:rsidRPr="001D3C81">
        <w:rPr>
          <w:rFonts w:ascii="Times New Roman" w:hAnsi="Times New Roman" w:cs="Times New Roman"/>
          <w:i/>
        </w:rPr>
        <w:t>Comrs</w:t>
      </w:r>
      <w:proofErr w:type="spellEnd"/>
      <w:r w:rsidRPr="001D3C81">
        <w:rPr>
          <w:rFonts w:ascii="Times New Roman" w:hAnsi="Times New Roman" w:cs="Times New Roman"/>
        </w:rPr>
        <w:t xml:space="preserve"> [2012] UKSC 18; [2012] 1 WLR 1545.</w:t>
      </w:r>
    </w:p>
  </w:footnote>
  <w:footnote w:id="9">
    <w:p w:rsidR="00CB1471" w:rsidRPr="001D3C81" w:rsidRDefault="00CB1471" w:rsidP="00203361">
      <w:pPr>
        <w:pStyle w:val="FootnoteText"/>
        <w:rPr>
          <w:rFonts w:ascii="Times New Roman" w:hAnsi="Times New Roman" w:cs="Times New Roman"/>
        </w:rPr>
      </w:pPr>
      <w:r w:rsidRPr="001D3C81">
        <w:rPr>
          <w:rStyle w:val="FootnoteReference"/>
          <w:rFonts w:ascii="Times New Roman" w:hAnsi="Times New Roman" w:cs="Times New Roman"/>
        </w:rPr>
        <w:footnoteRef/>
      </w:r>
      <w:r w:rsidRPr="001D3C81">
        <w:rPr>
          <w:rFonts w:ascii="Times New Roman" w:hAnsi="Times New Roman" w:cs="Times New Roman"/>
        </w:rPr>
        <w:t xml:space="preserve"> </w:t>
      </w:r>
      <w:r w:rsidRPr="001D3C81">
        <w:rPr>
          <w:rFonts w:ascii="Times New Roman" w:hAnsi="Times New Roman" w:cs="Times New Roman"/>
          <w:i/>
        </w:rPr>
        <w:t>Samuels</w:t>
      </w:r>
      <w:r w:rsidRPr="001D3C81">
        <w:rPr>
          <w:rFonts w:ascii="Times New Roman" w:hAnsi="Times New Roman" w:cs="Times New Roman"/>
        </w:rPr>
        <w:t xml:space="preserve"> (n 1) [35].</w:t>
      </w:r>
    </w:p>
  </w:footnote>
  <w:footnote w:id="10">
    <w:p w:rsidR="00CB1471" w:rsidRPr="001D3C81" w:rsidRDefault="00CB1471" w:rsidP="00203361">
      <w:pPr>
        <w:pStyle w:val="FootnoteText"/>
        <w:rPr>
          <w:rFonts w:ascii="Times New Roman" w:hAnsi="Times New Roman" w:cs="Times New Roman"/>
        </w:rPr>
      </w:pPr>
      <w:r w:rsidRPr="001D3C81">
        <w:rPr>
          <w:rStyle w:val="FootnoteReference"/>
          <w:rFonts w:ascii="Times New Roman" w:hAnsi="Times New Roman" w:cs="Times New Roman"/>
        </w:rPr>
        <w:footnoteRef/>
      </w:r>
      <w:r w:rsidRPr="001D3C81">
        <w:rPr>
          <w:rFonts w:ascii="Times New Roman" w:hAnsi="Times New Roman" w:cs="Times New Roman"/>
        </w:rPr>
        <w:t xml:space="preserve"> Ibid </w:t>
      </w:r>
      <w:r w:rsidRPr="001D3C81">
        <w:rPr>
          <w:rFonts w:ascii="Times New Roman" w:eastAsia="Times New Roman" w:hAnsi="Times New Roman" w:cs="Times New Roman"/>
          <w:lang w:val="en-US"/>
        </w:rPr>
        <w:t>[21].</w:t>
      </w:r>
    </w:p>
  </w:footnote>
  <w:footnote w:id="11">
    <w:p w:rsidR="00CB1471" w:rsidRPr="001D3C81" w:rsidRDefault="00CB1471" w:rsidP="00203361">
      <w:pPr>
        <w:pStyle w:val="FootnoteText"/>
        <w:rPr>
          <w:rFonts w:ascii="Times New Roman" w:hAnsi="Times New Roman" w:cs="Times New Roman"/>
        </w:rPr>
      </w:pPr>
      <w:r w:rsidRPr="001D3C81">
        <w:rPr>
          <w:rStyle w:val="FootnoteReference"/>
          <w:rFonts w:ascii="Times New Roman" w:hAnsi="Times New Roman" w:cs="Times New Roman"/>
        </w:rPr>
        <w:footnoteRef/>
      </w:r>
      <w:r w:rsidRPr="001D3C81">
        <w:rPr>
          <w:rFonts w:ascii="Times New Roman" w:hAnsi="Times New Roman" w:cs="Times New Roman"/>
        </w:rPr>
        <w:t xml:space="preserve"> Ibid [36].</w:t>
      </w:r>
    </w:p>
  </w:footnote>
  <w:footnote w:id="12">
    <w:p w:rsidR="00CB1471" w:rsidRPr="001D3C81" w:rsidRDefault="00CB1471" w:rsidP="00203361">
      <w:pPr>
        <w:pStyle w:val="FootnoteText"/>
        <w:rPr>
          <w:rFonts w:ascii="Times New Roman" w:hAnsi="Times New Roman" w:cs="Times New Roman"/>
        </w:rPr>
      </w:pPr>
      <w:r w:rsidRPr="001D3C81">
        <w:rPr>
          <w:rStyle w:val="FootnoteReference"/>
          <w:rFonts w:ascii="Times New Roman" w:hAnsi="Times New Roman" w:cs="Times New Roman"/>
        </w:rPr>
        <w:footnoteRef/>
      </w:r>
      <w:r w:rsidRPr="001D3C81">
        <w:rPr>
          <w:rFonts w:ascii="Times New Roman" w:hAnsi="Times New Roman" w:cs="Times New Roman"/>
        </w:rPr>
        <w:t xml:space="preserve">  Ibid [36].</w:t>
      </w:r>
    </w:p>
  </w:footnote>
  <w:footnote w:id="13">
    <w:p w:rsidR="00CB1471" w:rsidRPr="001D3C81" w:rsidRDefault="00CB1471" w:rsidP="00203361">
      <w:pPr>
        <w:pStyle w:val="FootnoteText"/>
        <w:rPr>
          <w:rFonts w:ascii="Times New Roman" w:hAnsi="Times New Roman" w:cs="Times New Roman"/>
        </w:rPr>
      </w:pPr>
      <w:r w:rsidRPr="001D3C81">
        <w:rPr>
          <w:rStyle w:val="FootnoteReference"/>
          <w:rFonts w:ascii="Times New Roman" w:hAnsi="Times New Roman" w:cs="Times New Roman"/>
        </w:rPr>
        <w:footnoteRef/>
      </w:r>
      <w:r w:rsidRPr="001D3C81">
        <w:rPr>
          <w:rFonts w:ascii="Times New Roman" w:hAnsi="Times New Roman" w:cs="Times New Roman"/>
        </w:rPr>
        <w:t xml:space="preserve"> </w:t>
      </w:r>
      <w:proofErr w:type="spellStart"/>
      <w:r w:rsidRPr="001D3C81">
        <w:rPr>
          <w:rFonts w:ascii="Times New Roman" w:hAnsi="Times New Roman" w:cs="Times New Roman"/>
          <w:i/>
        </w:rPr>
        <w:t>Burnip</w:t>
      </w:r>
      <w:proofErr w:type="spellEnd"/>
      <w:r w:rsidRPr="001D3C81">
        <w:rPr>
          <w:rFonts w:ascii="Times New Roman" w:hAnsi="Times New Roman" w:cs="Times New Roman"/>
          <w:i/>
        </w:rPr>
        <w:t xml:space="preserve"> v Birmingham City Council</w:t>
      </w:r>
      <w:r w:rsidRPr="001D3C81">
        <w:rPr>
          <w:rFonts w:ascii="Times New Roman" w:hAnsi="Times New Roman" w:cs="Times New Roman"/>
        </w:rPr>
        <w:t xml:space="preserve"> [2012] EWCA </w:t>
      </w:r>
      <w:proofErr w:type="spellStart"/>
      <w:r w:rsidRPr="001D3C81">
        <w:rPr>
          <w:rFonts w:ascii="Times New Roman" w:hAnsi="Times New Roman" w:cs="Times New Roman"/>
        </w:rPr>
        <w:t>Civ</w:t>
      </w:r>
      <w:proofErr w:type="spellEnd"/>
      <w:r w:rsidRPr="001D3C81">
        <w:rPr>
          <w:rFonts w:ascii="Times New Roman" w:hAnsi="Times New Roman" w:cs="Times New Roman"/>
        </w:rPr>
        <w:t xml:space="preserve"> 629.</w:t>
      </w:r>
    </w:p>
  </w:footnote>
  <w:footnote w:id="14">
    <w:p w:rsidR="00CB1471" w:rsidRPr="001D3C81" w:rsidRDefault="00CB1471" w:rsidP="00203361">
      <w:pPr>
        <w:pStyle w:val="FootnoteText"/>
        <w:rPr>
          <w:rFonts w:ascii="Times New Roman" w:hAnsi="Times New Roman" w:cs="Times New Roman"/>
        </w:rPr>
      </w:pPr>
      <w:r w:rsidRPr="001D3C81">
        <w:rPr>
          <w:rStyle w:val="FootnoteReference"/>
          <w:rFonts w:ascii="Times New Roman" w:hAnsi="Times New Roman" w:cs="Times New Roman"/>
        </w:rPr>
        <w:footnoteRef/>
      </w:r>
      <w:r w:rsidRPr="001D3C81">
        <w:rPr>
          <w:rFonts w:ascii="Times New Roman" w:hAnsi="Times New Roman" w:cs="Times New Roman"/>
        </w:rPr>
        <w:t xml:space="preserve"> </w:t>
      </w:r>
      <w:r w:rsidRPr="001D3C81">
        <w:rPr>
          <w:rFonts w:ascii="Times New Roman" w:hAnsi="Times New Roman" w:cs="Times New Roman"/>
          <w:i/>
        </w:rPr>
        <w:t xml:space="preserve">R (on the application of Michael Hardy) v Sandwell Metropolitan Borough Council </w:t>
      </w:r>
      <w:r w:rsidRPr="001D3C81">
        <w:rPr>
          <w:rFonts w:ascii="Times New Roman" w:hAnsi="Times New Roman" w:cs="Times New Roman"/>
        </w:rPr>
        <w:t>[2015] EWHC 890 (Admin).</w:t>
      </w:r>
    </w:p>
  </w:footnote>
  <w:footnote w:id="15">
    <w:p w:rsidR="00CB1471" w:rsidRPr="001D3C81" w:rsidRDefault="00CB1471" w:rsidP="00203361">
      <w:pPr>
        <w:pStyle w:val="FootnoteText"/>
        <w:rPr>
          <w:rFonts w:ascii="Times New Roman" w:hAnsi="Times New Roman" w:cs="Times New Roman"/>
        </w:rPr>
      </w:pPr>
      <w:r w:rsidRPr="001D3C81">
        <w:rPr>
          <w:rStyle w:val="FootnoteReference"/>
          <w:rFonts w:ascii="Times New Roman" w:hAnsi="Times New Roman" w:cs="Times New Roman"/>
        </w:rPr>
        <w:footnoteRef/>
      </w:r>
      <w:r w:rsidRPr="001D3C81">
        <w:rPr>
          <w:rFonts w:ascii="Times New Roman" w:hAnsi="Times New Roman" w:cs="Times New Roman"/>
        </w:rPr>
        <w:t xml:space="preserve"> </w:t>
      </w:r>
      <w:proofErr w:type="spellStart"/>
      <w:r w:rsidRPr="001D3C81">
        <w:rPr>
          <w:rFonts w:ascii="Times New Roman" w:hAnsi="Times New Roman" w:cs="Times New Roman"/>
          <w:i/>
        </w:rPr>
        <w:t>Burnip</w:t>
      </w:r>
      <w:proofErr w:type="spellEnd"/>
      <w:r w:rsidRPr="001D3C81">
        <w:rPr>
          <w:rFonts w:ascii="Times New Roman" w:hAnsi="Times New Roman" w:cs="Times New Roman"/>
          <w:i/>
        </w:rPr>
        <w:t xml:space="preserve"> </w:t>
      </w:r>
      <w:r w:rsidRPr="001D3C81">
        <w:rPr>
          <w:rFonts w:ascii="Times New Roman" w:hAnsi="Times New Roman" w:cs="Times New Roman"/>
        </w:rPr>
        <w:t>(n 12)</w:t>
      </w:r>
      <w:r w:rsidRPr="001D3C81">
        <w:rPr>
          <w:rFonts w:ascii="Times New Roman" w:hAnsi="Times New Roman" w:cs="Times New Roman"/>
          <w:i/>
        </w:rPr>
        <w:t xml:space="preserve"> </w:t>
      </w:r>
      <w:r w:rsidRPr="001D3C81">
        <w:rPr>
          <w:rFonts w:ascii="Times New Roman" w:hAnsi="Times New Roman" w:cs="Times New Roman"/>
        </w:rPr>
        <w:t>[45].</w:t>
      </w:r>
    </w:p>
  </w:footnote>
  <w:footnote w:id="16">
    <w:p w:rsidR="00CB1471" w:rsidRPr="001D3C81" w:rsidRDefault="00CB1471" w:rsidP="00203361">
      <w:pPr>
        <w:pStyle w:val="FootnoteText"/>
        <w:rPr>
          <w:rFonts w:ascii="Times New Roman" w:hAnsi="Times New Roman" w:cs="Times New Roman"/>
        </w:rPr>
      </w:pPr>
      <w:r w:rsidRPr="001D3C81">
        <w:rPr>
          <w:rStyle w:val="FootnoteReference"/>
          <w:rFonts w:ascii="Times New Roman" w:hAnsi="Times New Roman" w:cs="Times New Roman"/>
        </w:rPr>
        <w:footnoteRef/>
      </w:r>
      <w:r w:rsidRPr="001D3C81">
        <w:rPr>
          <w:rFonts w:ascii="Times New Roman" w:hAnsi="Times New Roman" w:cs="Times New Roman"/>
        </w:rPr>
        <w:t xml:space="preserve"> </w:t>
      </w:r>
      <w:r w:rsidRPr="001D3C81">
        <w:rPr>
          <w:rFonts w:ascii="Times New Roman" w:hAnsi="Times New Roman" w:cs="Times New Roman"/>
          <w:i/>
        </w:rPr>
        <w:t>Hardy</w:t>
      </w:r>
      <w:r w:rsidRPr="001D3C81">
        <w:rPr>
          <w:rFonts w:ascii="Times New Roman" w:hAnsi="Times New Roman" w:cs="Times New Roman"/>
        </w:rPr>
        <w:t xml:space="preserve"> (n 13) [58].</w:t>
      </w:r>
    </w:p>
  </w:footnote>
  <w:footnote w:id="17">
    <w:p w:rsidR="00CB1471" w:rsidRPr="001D3C81" w:rsidRDefault="00CB1471" w:rsidP="00203361">
      <w:pPr>
        <w:pStyle w:val="FootnoteText"/>
        <w:rPr>
          <w:rFonts w:ascii="Times New Roman" w:hAnsi="Times New Roman" w:cs="Times New Roman"/>
        </w:rPr>
      </w:pPr>
      <w:r w:rsidRPr="001D3C81">
        <w:rPr>
          <w:rStyle w:val="FootnoteReference"/>
          <w:rFonts w:ascii="Times New Roman" w:hAnsi="Times New Roman" w:cs="Times New Roman"/>
        </w:rPr>
        <w:footnoteRef/>
      </w:r>
      <w:r w:rsidRPr="001D3C81">
        <w:rPr>
          <w:rFonts w:ascii="Times New Roman" w:hAnsi="Times New Roman" w:cs="Times New Roman"/>
        </w:rPr>
        <w:t xml:space="preserve"> Ibid [60].</w:t>
      </w:r>
    </w:p>
  </w:footnote>
  <w:footnote w:id="18">
    <w:p w:rsidR="00CB1471" w:rsidRPr="001D3C81" w:rsidRDefault="00CB1471" w:rsidP="00203361">
      <w:pPr>
        <w:pStyle w:val="FootnoteText"/>
        <w:rPr>
          <w:rFonts w:ascii="Times New Roman" w:hAnsi="Times New Roman" w:cs="Times New Roman"/>
        </w:rPr>
      </w:pPr>
      <w:r w:rsidRPr="001D3C81">
        <w:rPr>
          <w:rStyle w:val="FootnoteReference"/>
          <w:rFonts w:ascii="Times New Roman" w:hAnsi="Times New Roman" w:cs="Times New Roman"/>
        </w:rPr>
        <w:footnoteRef/>
      </w:r>
      <w:r w:rsidRPr="001D3C81">
        <w:rPr>
          <w:rFonts w:ascii="Times New Roman" w:hAnsi="Times New Roman" w:cs="Times New Roman"/>
        </w:rPr>
        <w:t xml:space="preserve"> Ibid [8].</w:t>
      </w:r>
    </w:p>
  </w:footnote>
  <w:footnote w:id="19">
    <w:p w:rsidR="00CB1471" w:rsidRPr="001D3C81" w:rsidRDefault="00CB1471" w:rsidP="00203361">
      <w:pPr>
        <w:pStyle w:val="FootnoteText"/>
        <w:ind w:left="720" w:hanging="720"/>
        <w:rPr>
          <w:rFonts w:ascii="Times New Roman" w:hAnsi="Times New Roman" w:cs="Times New Roman"/>
        </w:rPr>
      </w:pPr>
      <w:r w:rsidRPr="001D3C81">
        <w:rPr>
          <w:rStyle w:val="FootnoteReference"/>
          <w:rFonts w:ascii="Times New Roman" w:hAnsi="Times New Roman" w:cs="Times New Roman"/>
        </w:rPr>
        <w:footnoteRef/>
      </w:r>
      <w:r w:rsidRPr="001D3C81">
        <w:rPr>
          <w:rFonts w:ascii="Times New Roman" w:hAnsi="Times New Roman" w:cs="Times New Roman"/>
        </w:rPr>
        <w:fldChar w:fldCharType="begin"/>
      </w:r>
      <w:r w:rsidRPr="001D3C81">
        <w:rPr>
          <w:rFonts w:ascii="Times New Roman" w:hAnsi="Times New Roman" w:cs="Times New Roman"/>
        </w:rPr>
        <w:instrText xml:space="preserve"> ADDIN ZOTERO_ITEM CSL_CITATION {"citationID":"YSeeZSUQ","properties":{"formattedCitation":"{\\rtf Suzanne Fitzpatrick and others, \\uc0\\u8216{}Destitution in the UK\\uc0\\u8217{} (The Joseph Rowntree Foundation 2016).}","plainCitation":"Suzanne Fitzpatrick and others, ‘Destitution in the UK’ (The Joseph Rowntree Foundation 2016)."},"citationItems":[{"id":805,"uris":["http://zotero.org/users/1848022/items/A8GSHSB5"],"uri":["http://zotero.org/users/1848022/items/A8GSHSB5"],"itemData":{"id":805,"type":"report","title":"Destitution in the UK","publisher":"The Joseph Rowntree Foundation","URL":"https://www.jrf.org.uk/report/destitution-uk","author":[{"family":"Fitzpatrick","given":"Suzanne"},{"family":"Bramley","given":"Glen"},{"family":"Sosenko","given":"Filip"},{"family":"Blenkinsopp","given":"Janice"},{"family":"Johnsen","given":"Sarah"},{"family":"Littlewood","given":"Mandy"},{"family":"Netto","given":"Gina"},{"family":"Watts","given":"Beth"}],"issued":{"date-parts":[["2016"]]}}}],"schema":"https://github.com/citation-style-language/schema/raw/master/csl-citation.json"} </w:instrText>
      </w:r>
      <w:r w:rsidRPr="001D3C81">
        <w:rPr>
          <w:rFonts w:ascii="Times New Roman" w:hAnsi="Times New Roman" w:cs="Times New Roman"/>
        </w:rPr>
        <w:fldChar w:fldCharType="separate"/>
      </w:r>
      <w:r w:rsidRPr="001D3C81">
        <w:rPr>
          <w:rFonts w:ascii="Times New Roman" w:eastAsia="Times New Roman" w:hAnsi="Times New Roman" w:cs="Times New Roman"/>
        </w:rPr>
        <w:t>Suzanne Fitzpatrick et al, ‘Destitution in the UK’ (Joseph Rowntree Foundation 2016).</w:t>
      </w:r>
      <w:r w:rsidRPr="001D3C81">
        <w:rPr>
          <w:rFonts w:ascii="Times New Roman" w:hAnsi="Times New Roman" w:cs="Times New Roman"/>
        </w:rPr>
        <w:fldChar w:fldCharType="end"/>
      </w:r>
    </w:p>
  </w:footnote>
  <w:footnote w:id="20">
    <w:p w:rsidR="00CB1471" w:rsidRPr="001D3C81" w:rsidRDefault="00CB1471" w:rsidP="00203361">
      <w:pPr>
        <w:pStyle w:val="FootnoteText"/>
        <w:ind w:left="720" w:hanging="720"/>
        <w:rPr>
          <w:rFonts w:ascii="Times New Roman" w:hAnsi="Times New Roman" w:cs="Times New Roman"/>
        </w:rPr>
      </w:pPr>
      <w:r w:rsidRPr="001D3C81">
        <w:rPr>
          <w:rStyle w:val="FootnoteReference"/>
          <w:rFonts w:ascii="Times New Roman" w:hAnsi="Times New Roman" w:cs="Times New Roman"/>
        </w:rPr>
        <w:footnoteRef/>
      </w:r>
      <w:r w:rsidRPr="001D3C81">
        <w:rPr>
          <w:rFonts w:ascii="Times New Roman" w:hAnsi="Times New Roman" w:cs="Times New Roman"/>
        </w:rPr>
        <w:t xml:space="preserve"> </w:t>
      </w:r>
      <w:r w:rsidRPr="001D3C81">
        <w:rPr>
          <w:rFonts w:ascii="Times New Roman" w:hAnsi="Times New Roman" w:cs="Times New Roman"/>
        </w:rPr>
        <w:fldChar w:fldCharType="begin"/>
      </w:r>
      <w:r w:rsidRPr="001D3C81">
        <w:rPr>
          <w:rFonts w:ascii="Times New Roman" w:hAnsi="Times New Roman" w:cs="Times New Roman"/>
        </w:rPr>
        <w:instrText xml:space="preserve"> ADDIN ZOTERO_ITEM CSL_CITATION {"citationID":"QGiup7Du","properties":{"formattedCitation":"ibid.","plainCitation":"ibid."},"citationItems":[{"id":805,"uris":["http://zotero.org/users/1848022/items/A8GSHSB5"],"uri":["http://zotero.org/users/1848022/items/A8GSHSB5"],"itemData":{"id":805,"type":"report","title":"Destitution in the UK","publisher":"The Joseph Rowntree Foundation","URL":"https://www.jrf.org.uk/report/destitution-uk","author":[{"family":"Fitzpatrick","given":"Suzanne"},{"family":"Bramley","given":"Glen"},{"family":"Sosenko","given":"Filip"},{"family":"Blenkinsopp","given":"Janice"},{"family":"Johnsen","given":"Sarah"},{"family":"Littlewood","given":"Mandy"},{"family":"Netto","given":"Gina"},{"family":"Watts","given":"Beth"}],"issued":{"date-parts":[["2016"]]}}}],"schema":"https://github.com/citation-style-language/schema/raw/master/csl-citation.json"} </w:instrText>
      </w:r>
      <w:r w:rsidRPr="001D3C81">
        <w:rPr>
          <w:rFonts w:ascii="Times New Roman" w:hAnsi="Times New Roman" w:cs="Times New Roman"/>
        </w:rPr>
        <w:fldChar w:fldCharType="separate"/>
      </w:r>
      <w:r w:rsidRPr="001D3C81">
        <w:rPr>
          <w:rFonts w:ascii="Times New Roman" w:hAnsi="Times New Roman" w:cs="Times New Roman"/>
        </w:rPr>
        <w:t>Ibid</w:t>
      </w:r>
      <w:r w:rsidRPr="001D3C81">
        <w:rPr>
          <w:rFonts w:ascii="Times New Roman" w:hAnsi="Times New Roman" w:cs="Times New Roman"/>
        </w:rPr>
        <w:fldChar w:fldCharType="end"/>
      </w:r>
      <w:r w:rsidRPr="001D3C81">
        <w:rPr>
          <w:rFonts w:ascii="Times New Roman" w:hAnsi="Times New Roman" w:cs="Times New Roman"/>
        </w:rPr>
        <w:t xml:space="preserve"> 36.</w:t>
      </w:r>
    </w:p>
  </w:footnote>
  <w:footnote w:id="21">
    <w:p w:rsidR="00CB1471" w:rsidRPr="001D3C81" w:rsidRDefault="00CB1471" w:rsidP="00203361">
      <w:pPr>
        <w:pStyle w:val="FootnoteText"/>
        <w:ind w:left="720" w:hanging="720"/>
        <w:rPr>
          <w:rFonts w:ascii="Times New Roman" w:hAnsi="Times New Roman" w:cs="Times New Roman"/>
        </w:rPr>
      </w:pPr>
      <w:r w:rsidRPr="001D3C81">
        <w:rPr>
          <w:rStyle w:val="FootnoteReference"/>
          <w:rFonts w:ascii="Times New Roman" w:hAnsi="Times New Roman" w:cs="Times New Roman"/>
        </w:rPr>
        <w:footnoteRef/>
      </w:r>
      <w:r w:rsidRPr="001D3C81">
        <w:rPr>
          <w:rFonts w:ascii="Times New Roman" w:hAnsi="Times New Roman" w:cs="Times New Roman"/>
        </w:rPr>
        <w:t xml:space="preserve"> </w:t>
      </w:r>
      <w:r w:rsidRPr="001D3C81">
        <w:rPr>
          <w:rFonts w:ascii="Times New Roman" w:hAnsi="Times New Roman" w:cs="Times New Roman"/>
        </w:rPr>
        <w:fldChar w:fldCharType="begin"/>
      </w:r>
      <w:r w:rsidRPr="001D3C81">
        <w:rPr>
          <w:rFonts w:ascii="Times New Roman" w:hAnsi="Times New Roman" w:cs="Times New Roman"/>
        </w:rPr>
        <w:instrText xml:space="preserve"> ADDIN ZOTERO_ITEM CSL_CITATION {"citationID":"R6mgcvLF","properties":{"formattedCitation":"ibid.","plainCitation":"ibid."},"citationItems":[{"id":805,"uris":["http://zotero.org/users/1848022/items/A8GSHSB5"],"uri":["http://zotero.org/users/1848022/items/A8GSHSB5"],"itemData":{"id":805,"type":"report","title":"Destitution in the UK","publisher":"The Joseph Rowntree Foundation","URL":"https://www.jrf.org.uk/report/destitution-uk","author":[{"family":"Fitzpatrick","given":"Suzanne"},{"family":"Bramley","given":"Glen"},{"family":"Sosenko","given":"Filip"},{"family":"Blenkinsopp","given":"Janice"},{"family":"Johnsen","given":"Sarah"},{"family":"Littlewood","given":"Mandy"},{"family":"Netto","given":"Gina"},{"family":"Watts","given":"Beth"}],"issued":{"date-parts":[["2016"]]}}}],"schema":"https://github.com/citation-style-language/schema/raw/master/csl-citation.json"} </w:instrText>
      </w:r>
      <w:r w:rsidRPr="001D3C81">
        <w:rPr>
          <w:rFonts w:ascii="Times New Roman" w:hAnsi="Times New Roman" w:cs="Times New Roman"/>
        </w:rPr>
        <w:fldChar w:fldCharType="separate"/>
      </w:r>
      <w:r w:rsidRPr="001D3C81">
        <w:rPr>
          <w:rFonts w:ascii="Times New Roman" w:hAnsi="Times New Roman" w:cs="Times New Roman"/>
        </w:rPr>
        <w:t>ibid</w:t>
      </w:r>
      <w:r w:rsidRPr="001D3C81">
        <w:rPr>
          <w:rFonts w:ascii="Times New Roman" w:hAnsi="Times New Roman" w:cs="Times New Roman"/>
        </w:rPr>
        <w:fldChar w:fldCharType="end"/>
      </w:r>
      <w:r w:rsidRPr="001D3C81">
        <w:rPr>
          <w:rFonts w:ascii="Times New Roman" w:hAnsi="Times New Roman" w:cs="Times New Roman"/>
        </w:rPr>
        <w:t xml:space="preserve"> 51.</w:t>
      </w:r>
    </w:p>
  </w:footnote>
  <w:footnote w:id="22">
    <w:p w:rsidR="00CB1471" w:rsidRPr="001D3C81" w:rsidRDefault="00CB1471" w:rsidP="00203361">
      <w:pPr>
        <w:pStyle w:val="FootnoteText"/>
        <w:rPr>
          <w:rFonts w:ascii="Times New Roman" w:hAnsi="Times New Roman" w:cs="Times New Roman"/>
        </w:rPr>
      </w:pPr>
      <w:r w:rsidRPr="001D3C81">
        <w:rPr>
          <w:rStyle w:val="FootnoteReference"/>
          <w:rFonts w:ascii="Times New Roman" w:hAnsi="Times New Roman" w:cs="Times New Roman"/>
        </w:rPr>
        <w:footnoteRef/>
      </w:r>
      <w:r w:rsidRPr="001D3C81">
        <w:rPr>
          <w:rFonts w:ascii="Times New Roman" w:hAnsi="Times New Roman" w:cs="Times New Roman"/>
        </w:rPr>
        <w:t xml:space="preserve"> </w:t>
      </w:r>
      <w:r w:rsidRPr="001D3C81">
        <w:rPr>
          <w:rFonts w:ascii="Times New Roman" w:hAnsi="Times New Roman" w:cs="Times New Roman"/>
          <w:i/>
        </w:rPr>
        <w:t>Samuels</w:t>
      </w:r>
      <w:r w:rsidRPr="001D3C81">
        <w:rPr>
          <w:rFonts w:ascii="Times New Roman" w:hAnsi="Times New Roman" w:cs="Times New Roman"/>
        </w:rPr>
        <w:t xml:space="preserve"> (n 1) [34].</w:t>
      </w:r>
    </w:p>
  </w:footnote>
  <w:footnote w:id="23">
    <w:p w:rsidR="00CB1471" w:rsidRPr="001D3C81" w:rsidRDefault="00CB1471" w:rsidP="00203361">
      <w:pPr>
        <w:pStyle w:val="FootnoteText"/>
        <w:rPr>
          <w:rFonts w:ascii="Times New Roman" w:hAnsi="Times New Roman" w:cs="Times New Roman"/>
        </w:rPr>
      </w:pPr>
      <w:r w:rsidRPr="001D3C81">
        <w:rPr>
          <w:rStyle w:val="FootnoteReference"/>
          <w:rFonts w:ascii="Times New Roman" w:hAnsi="Times New Roman" w:cs="Times New Roman"/>
        </w:rPr>
        <w:footnoteRef/>
      </w:r>
      <w:r w:rsidRPr="001D3C81">
        <w:rPr>
          <w:rFonts w:ascii="Times New Roman" w:hAnsi="Times New Roman" w:cs="Times New Roman"/>
        </w:rPr>
        <w:t xml:space="preserve"> Jed Meers, ‘Awarding Discretionary Housing Payments: Constraints of time, conditionality and the assessment of income/expenditure’ (2018) 25(2) Journal of Social Security Law, 102, 109.</w:t>
      </w:r>
    </w:p>
  </w:footnote>
  <w:footnote w:id="24">
    <w:p w:rsidR="00CB1471" w:rsidRPr="001D3C81" w:rsidRDefault="00CB1471" w:rsidP="00203361">
      <w:pPr>
        <w:pStyle w:val="FootnoteText"/>
        <w:rPr>
          <w:rFonts w:ascii="Times New Roman" w:hAnsi="Times New Roman" w:cs="Times New Roman"/>
        </w:rPr>
      </w:pPr>
      <w:r w:rsidRPr="001D3C81">
        <w:rPr>
          <w:rStyle w:val="FootnoteReference"/>
          <w:rFonts w:ascii="Times New Roman" w:hAnsi="Times New Roman" w:cs="Times New Roman"/>
        </w:rPr>
        <w:footnoteRef/>
      </w:r>
      <w:r w:rsidRPr="001D3C81">
        <w:rPr>
          <w:rFonts w:ascii="Times New Roman" w:hAnsi="Times New Roman" w:cs="Times New Roman"/>
        </w:rPr>
        <w:t xml:space="preserve"> </w:t>
      </w:r>
      <w:r w:rsidRPr="001D3C81">
        <w:rPr>
          <w:rFonts w:ascii="Times New Roman" w:hAnsi="Times New Roman" w:cs="Times New Roman"/>
          <w:i/>
        </w:rPr>
        <w:t>Samuels</w:t>
      </w:r>
      <w:r w:rsidRPr="001D3C81">
        <w:rPr>
          <w:rFonts w:ascii="Times New Roman" w:hAnsi="Times New Roman" w:cs="Times New Roman"/>
        </w:rPr>
        <w:t xml:space="preserve"> (n 1) [40].</w:t>
      </w:r>
    </w:p>
  </w:footnote>
  <w:footnote w:id="25">
    <w:p w:rsidR="00CB1471" w:rsidRPr="001D3C81" w:rsidRDefault="00CB1471" w:rsidP="00203361">
      <w:pPr>
        <w:pStyle w:val="FootnoteText"/>
        <w:rPr>
          <w:rFonts w:ascii="Times New Roman" w:hAnsi="Times New Roman" w:cs="Times New Roman"/>
        </w:rPr>
      </w:pPr>
      <w:r w:rsidRPr="001D3C81">
        <w:rPr>
          <w:rStyle w:val="FootnoteReference"/>
          <w:rFonts w:ascii="Times New Roman" w:hAnsi="Times New Roman" w:cs="Times New Roman"/>
        </w:rPr>
        <w:footnoteRef/>
      </w:r>
      <w:r w:rsidRPr="001D3C81">
        <w:rPr>
          <w:rFonts w:ascii="Times New Roman" w:hAnsi="Times New Roman" w:cs="Times New Roman"/>
        </w:rPr>
        <w:t xml:space="preserve"> Ibid [26].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471"/>
    <w:rsid w:val="00203361"/>
    <w:rsid w:val="004C68DB"/>
    <w:rsid w:val="005D67DF"/>
    <w:rsid w:val="005F18F9"/>
    <w:rsid w:val="00B82CAA"/>
    <w:rsid w:val="00BB6E67"/>
    <w:rsid w:val="00CB1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F3F2"/>
  <w15:chartTrackingRefBased/>
  <w15:docId w15:val="{C2A7F7FF-4D04-4306-AFF5-E49F6CA9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4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B1471"/>
    <w:rPr>
      <w:i/>
      <w:iCs/>
    </w:rPr>
  </w:style>
  <w:style w:type="paragraph" w:styleId="FootnoteText">
    <w:name w:val="footnote text"/>
    <w:basedOn w:val="Normal"/>
    <w:link w:val="FootnoteTextChar"/>
    <w:uiPriority w:val="99"/>
    <w:semiHidden/>
    <w:unhideWhenUsed/>
    <w:rsid w:val="00CB14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1471"/>
    <w:rPr>
      <w:sz w:val="20"/>
      <w:szCs w:val="20"/>
    </w:rPr>
  </w:style>
  <w:style w:type="character" w:styleId="FootnoteReference">
    <w:name w:val="footnote reference"/>
    <w:basedOn w:val="DefaultParagraphFont"/>
    <w:uiPriority w:val="99"/>
    <w:semiHidden/>
    <w:unhideWhenUsed/>
    <w:rsid w:val="00CB1471"/>
    <w:rPr>
      <w:vertAlign w:val="superscript"/>
    </w:rPr>
  </w:style>
  <w:style w:type="character" w:styleId="Hyperlink">
    <w:name w:val="Hyperlink"/>
    <w:basedOn w:val="DefaultParagraphFont"/>
    <w:uiPriority w:val="99"/>
    <w:unhideWhenUsed/>
    <w:rsid w:val="00CB1471"/>
    <w:rPr>
      <w:color w:val="0000FF"/>
      <w:u w:val="single"/>
    </w:rPr>
  </w:style>
  <w:style w:type="paragraph" w:styleId="NormalWeb">
    <w:name w:val="Normal (Web)"/>
    <w:basedOn w:val="Normal"/>
    <w:uiPriority w:val="99"/>
    <w:semiHidden/>
    <w:unhideWhenUsed/>
    <w:rsid w:val="00CB14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B14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7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nearlylegal.co.uk/2019/06/reasonable-expenses-and-intentional-homelessness/" TargetMode="External"/><Relationship Id="rId1" Type="http://schemas.openxmlformats.org/officeDocument/2006/relationships/hyperlink" Target="https://england.shelter.org.uk/__data/assets/pdf_file/0020/1349012/Final_LHA_analys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1946</Words>
  <Characters>11096</Characters>
  <Application>Microsoft Office Word</Application>
  <DocSecurity>0</DocSecurity>
  <Lines>92</Lines>
  <Paragraphs>26</Paragraphs>
  <ScaleCrop>false</ScaleCrop>
  <Company>University of York</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 Meers</dc:creator>
  <cp:keywords/>
  <dc:description/>
  <cp:lastModifiedBy>Jed Meers</cp:lastModifiedBy>
  <cp:revision>4</cp:revision>
  <dcterms:created xsi:type="dcterms:W3CDTF">2019-06-27T12:51:00Z</dcterms:created>
  <dcterms:modified xsi:type="dcterms:W3CDTF">2019-06-27T13:11:00Z</dcterms:modified>
</cp:coreProperties>
</file>