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9EAE8" w14:textId="77777777" w:rsidR="001A2101" w:rsidRDefault="001A2101" w:rsidP="001A2101">
      <w:pPr>
        <w:spacing w:line="480" w:lineRule="auto"/>
        <w:rPr>
          <w:rFonts w:ascii="Arial" w:hAnsi="Arial" w:cs="Arial"/>
          <w:b/>
          <w:sz w:val="20"/>
          <w:szCs w:val="20"/>
          <w:u w:val="single"/>
        </w:rPr>
      </w:pPr>
      <w:r w:rsidRPr="001710FD">
        <w:rPr>
          <w:rFonts w:ascii="Arial" w:hAnsi="Arial" w:cs="Arial"/>
          <w:b/>
          <w:sz w:val="20"/>
          <w:szCs w:val="20"/>
          <w:u w:val="single"/>
        </w:rPr>
        <w:t>Title (full):</w:t>
      </w:r>
      <w:r w:rsidRPr="001E0345">
        <w:rPr>
          <w:rFonts w:ascii="Arial" w:hAnsi="Arial" w:cs="Arial"/>
          <w:b/>
          <w:sz w:val="20"/>
          <w:szCs w:val="20"/>
        </w:rPr>
        <w:t xml:space="preserve"> </w:t>
      </w:r>
      <w:r>
        <w:rPr>
          <w:rFonts w:ascii="Arial" w:hAnsi="Arial" w:cs="Arial"/>
          <w:sz w:val="20"/>
          <w:szCs w:val="20"/>
        </w:rPr>
        <w:t>V</w:t>
      </w:r>
      <w:r w:rsidRPr="00F62047">
        <w:rPr>
          <w:rFonts w:ascii="Arial" w:hAnsi="Arial" w:cs="Arial"/>
          <w:sz w:val="20"/>
          <w:szCs w:val="20"/>
        </w:rPr>
        <w:t>enous thromboembolism prophylaxis strategies for people undergoing elective</w:t>
      </w:r>
      <w:r>
        <w:rPr>
          <w:rFonts w:ascii="Arial" w:hAnsi="Arial" w:cs="Arial"/>
          <w:sz w:val="20"/>
          <w:szCs w:val="20"/>
        </w:rPr>
        <w:t xml:space="preserve"> total</w:t>
      </w:r>
      <w:r w:rsidRPr="00F62047">
        <w:rPr>
          <w:rFonts w:ascii="Arial" w:hAnsi="Arial" w:cs="Arial"/>
          <w:sz w:val="20"/>
          <w:szCs w:val="20"/>
        </w:rPr>
        <w:t xml:space="preserve"> knee replacement: a systematic review and network meta-analysis</w:t>
      </w:r>
      <w:r w:rsidRPr="001E0345">
        <w:rPr>
          <w:rFonts w:ascii="Arial" w:hAnsi="Arial" w:cs="Arial"/>
          <w:b/>
          <w:sz w:val="20"/>
          <w:szCs w:val="20"/>
          <w:u w:val="single"/>
        </w:rPr>
        <w:t xml:space="preserve"> </w:t>
      </w:r>
    </w:p>
    <w:p w14:paraId="4A0EBB8D" w14:textId="77777777" w:rsidR="00AD1979" w:rsidRPr="00237755" w:rsidRDefault="001A2101" w:rsidP="00AD1979">
      <w:pPr>
        <w:spacing w:line="480" w:lineRule="auto"/>
        <w:rPr>
          <w:rFonts w:ascii="Arial" w:hAnsi="Arial" w:cs="Arial"/>
          <w:sz w:val="20"/>
          <w:szCs w:val="20"/>
        </w:rPr>
      </w:pPr>
      <w:r w:rsidRPr="001710FD">
        <w:rPr>
          <w:rFonts w:ascii="Arial" w:hAnsi="Arial" w:cs="Arial"/>
          <w:b/>
          <w:sz w:val="20"/>
          <w:szCs w:val="20"/>
          <w:u w:val="single"/>
        </w:rPr>
        <w:t>Title (</w:t>
      </w:r>
      <w:r w:rsidR="001F3A14">
        <w:rPr>
          <w:rFonts w:ascii="Arial" w:hAnsi="Arial" w:cs="Arial"/>
          <w:b/>
          <w:sz w:val="20"/>
          <w:szCs w:val="20"/>
          <w:u w:val="single"/>
        </w:rPr>
        <w:t>descriptor)</w:t>
      </w:r>
      <w:r w:rsidRPr="001710FD">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Thromboembolism prophylaxis in total knee replacement</w:t>
      </w:r>
      <w:r w:rsidR="00AD1979">
        <w:rPr>
          <w:rFonts w:ascii="Arial" w:hAnsi="Arial" w:cs="Arial"/>
          <w:sz w:val="20"/>
          <w:szCs w:val="20"/>
        </w:rPr>
        <w:t>: systematic review and network meta-analysis</w:t>
      </w:r>
    </w:p>
    <w:p w14:paraId="35BDF11D" w14:textId="77777777" w:rsidR="001A2101" w:rsidRPr="001710FD" w:rsidRDefault="001A2101" w:rsidP="001A2101">
      <w:pPr>
        <w:spacing w:line="480" w:lineRule="auto"/>
        <w:rPr>
          <w:rFonts w:ascii="Arial" w:hAnsi="Arial" w:cs="Arial"/>
          <w:b/>
          <w:sz w:val="20"/>
          <w:szCs w:val="20"/>
          <w:u w:val="single"/>
        </w:rPr>
      </w:pPr>
      <w:r w:rsidRPr="001710FD">
        <w:rPr>
          <w:rFonts w:ascii="Arial" w:hAnsi="Arial" w:cs="Arial"/>
          <w:b/>
          <w:sz w:val="20"/>
          <w:szCs w:val="20"/>
          <w:u w:val="single"/>
        </w:rPr>
        <w:t xml:space="preserve">Authorship: </w:t>
      </w:r>
    </w:p>
    <w:p w14:paraId="7E6B8EDC" w14:textId="7AAB3A37" w:rsidR="00B30772" w:rsidRPr="00415C66" w:rsidRDefault="00B30772" w:rsidP="00B50CB3">
      <w:pPr>
        <w:spacing w:line="480" w:lineRule="auto"/>
        <w:rPr>
          <w:rFonts w:ascii="Arial" w:hAnsi="Arial" w:cs="Arial"/>
          <w:b/>
          <w:sz w:val="20"/>
          <w:szCs w:val="20"/>
          <w:vertAlign w:val="superscript"/>
        </w:rPr>
      </w:pPr>
      <w:proofErr w:type="spellStart"/>
      <w:r>
        <w:rPr>
          <w:rFonts w:ascii="Arial" w:hAnsi="Arial" w:cs="Arial"/>
          <w:b/>
          <w:sz w:val="20"/>
          <w:szCs w:val="20"/>
        </w:rPr>
        <w:t>Sedina</w:t>
      </w:r>
      <w:proofErr w:type="spellEnd"/>
      <w:r>
        <w:rPr>
          <w:rFonts w:ascii="Arial" w:hAnsi="Arial" w:cs="Arial"/>
          <w:b/>
          <w:sz w:val="20"/>
          <w:szCs w:val="20"/>
        </w:rPr>
        <w:t xml:space="preserve"> Lewis</w:t>
      </w:r>
      <w:r w:rsidR="00B50CB3">
        <w:rPr>
          <w:rFonts w:ascii="Arial" w:hAnsi="Arial" w:cs="Arial"/>
          <w:b/>
          <w:sz w:val="20"/>
          <w:szCs w:val="20"/>
          <w:vertAlign w:val="superscript"/>
        </w:rPr>
        <w:t>1</w:t>
      </w:r>
      <w:r>
        <w:rPr>
          <w:rFonts w:ascii="Arial" w:hAnsi="Arial" w:cs="Arial"/>
          <w:b/>
          <w:sz w:val="20"/>
          <w:szCs w:val="20"/>
        </w:rPr>
        <w:t xml:space="preserve">, </w:t>
      </w:r>
      <w:r w:rsidR="00B50CB3">
        <w:rPr>
          <w:rFonts w:ascii="Arial" w:hAnsi="Arial" w:cs="Arial"/>
          <w:b/>
          <w:sz w:val="20"/>
          <w:szCs w:val="20"/>
        </w:rPr>
        <w:t>Jessica Glen</w:t>
      </w:r>
      <w:r w:rsidR="00B50CB3">
        <w:rPr>
          <w:rFonts w:ascii="Arial" w:hAnsi="Arial" w:cs="Arial"/>
          <w:b/>
          <w:sz w:val="20"/>
          <w:szCs w:val="20"/>
          <w:vertAlign w:val="superscript"/>
        </w:rPr>
        <w:t>1</w:t>
      </w:r>
      <w:r w:rsidR="00B50CB3">
        <w:rPr>
          <w:rFonts w:ascii="Arial" w:hAnsi="Arial" w:cs="Arial"/>
          <w:b/>
          <w:sz w:val="20"/>
          <w:szCs w:val="20"/>
        </w:rPr>
        <w:t>, Dalia Dawoud</w:t>
      </w:r>
      <w:r w:rsidR="00B50CB3">
        <w:rPr>
          <w:rFonts w:ascii="Arial" w:hAnsi="Arial" w:cs="Arial"/>
          <w:b/>
          <w:sz w:val="20"/>
          <w:szCs w:val="20"/>
          <w:vertAlign w:val="superscript"/>
        </w:rPr>
        <w:t>2,3</w:t>
      </w:r>
      <w:r w:rsidR="00B50CB3">
        <w:rPr>
          <w:rFonts w:ascii="Arial" w:hAnsi="Arial" w:cs="Arial"/>
          <w:b/>
          <w:sz w:val="20"/>
          <w:szCs w:val="20"/>
        </w:rPr>
        <w:t>, Sofia Dias</w:t>
      </w:r>
      <w:r w:rsidR="00B50CB3">
        <w:rPr>
          <w:rFonts w:ascii="Arial" w:hAnsi="Arial" w:cs="Arial"/>
          <w:b/>
          <w:sz w:val="20"/>
          <w:szCs w:val="20"/>
          <w:vertAlign w:val="superscript"/>
        </w:rPr>
        <w:t>4</w:t>
      </w:r>
      <w:r w:rsidR="00B50CB3">
        <w:rPr>
          <w:rFonts w:ascii="Arial" w:hAnsi="Arial" w:cs="Arial"/>
          <w:b/>
          <w:sz w:val="20"/>
          <w:szCs w:val="20"/>
        </w:rPr>
        <w:t>, Jill Cobb</w:t>
      </w:r>
      <w:r w:rsidR="00B50CB3">
        <w:rPr>
          <w:rFonts w:ascii="Arial" w:hAnsi="Arial" w:cs="Arial"/>
          <w:b/>
          <w:sz w:val="20"/>
          <w:szCs w:val="20"/>
          <w:vertAlign w:val="superscript"/>
        </w:rPr>
        <w:t>1</w:t>
      </w:r>
      <w:r w:rsidR="00B50CB3">
        <w:rPr>
          <w:rFonts w:ascii="Arial" w:hAnsi="Arial" w:cs="Arial"/>
          <w:b/>
          <w:sz w:val="20"/>
          <w:szCs w:val="20"/>
        </w:rPr>
        <w:t>, Xavier L Griffin</w:t>
      </w:r>
      <w:r w:rsidR="00B50CB3">
        <w:rPr>
          <w:rFonts w:ascii="Arial" w:hAnsi="Arial" w:cs="Arial"/>
          <w:b/>
          <w:sz w:val="20"/>
          <w:szCs w:val="20"/>
          <w:vertAlign w:val="superscript"/>
        </w:rPr>
        <w:t>5</w:t>
      </w:r>
      <w:r w:rsidR="00B50CB3">
        <w:rPr>
          <w:rFonts w:ascii="Arial" w:hAnsi="Arial" w:cs="Arial"/>
          <w:b/>
          <w:sz w:val="20"/>
          <w:szCs w:val="20"/>
        </w:rPr>
        <w:t>, Nigel Rossiter</w:t>
      </w:r>
      <w:r w:rsidR="00B50CB3">
        <w:rPr>
          <w:rFonts w:ascii="Arial" w:hAnsi="Arial" w:cs="Arial"/>
          <w:b/>
          <w:sz w:val="20"/>
          <w:szCs w:val="20"/>
          <w:vertAlign w:val="superscript"/>
        </w:rPr>
        <w:t>6</w:t>
      </w:r>
      <w:r w:rsidR="00B50CB3">
        <w:rPr>
          <w:rFonts w:ascii="Arial" w:hAnsi="Arial" w:cs="Arial"/>
          <w:b/>
          <w:sz w:val="20"/>
          <w:szCs w:val="20"/>
        </w:rPr>
        <w:t>, Michael Reed</w:t>
      </w:r>
      <w:r w:rsidR="00B50CB3">
        <w:rPr>
          <w:rFonts w:ascii="Arial" w:hAnsi="Arial" w:cs="Arial"/>
          <w:b/>
          <w:sz w:val="20"/>
          <w:szCs w:val="20"/>
          <w:vertAlign w:val="superscript"/>
        </w:rPr>
        <w:t>7</w:t>
      </w:r>
      <w:r w:rsidR="00B50CB3">
        <w:rPr>
          <w:rFonts w:ascii="Arial" w:hAnsi="Arial" w:cs="Arial"/>
          <w:b/>
          <w:sz w:val="20"/>
          <w:szCs w:val="20"/>
        </w:rPr>
        <w:t>, Carlos Sharpin</w:t>
      </w:r>
      <w:r w:rsidR="00B50CB3">
        <w:rPr>
          <w:rFonts w:ascii="Arial" w:hAnsi="Arial" w:cs="Arial"/>
          <w:b/>
          <w:sz w:val="20"/>
          <w:szCs w:val="20"/>
          <w:vertAlign w:val="superscript"/>
        </w:rPr>
        <w:t>1</w:t>
      </w:r>
      <w:r w:rsidR="00B50CB3">
        <w:rPr>
          <w:rFonts w:ascii="Arial" w:hAnsi="Arial" w:cs="Arial"/>
          <w:b/>
          <w:sz w:val="20"/>
          <w:szCs w:val="20"/>
        </w:rPr>
        <w:t>, Gerard Stansby</w:t>
      </w:r>
      <w:r w:rsidR="00B50CB3">
        <w:rPr>
          <w:rFonts w:ascii="Arial" w:hAnsi="Arial" w:cs="Arial"/>
          <w:b/>
          <w:sz w:val="20"/>
          <w:szCs w:val="20"/>
          <w:vertAlign w:val="superscript"/>
        </w:rPr>
        <w:t>8</w:t>
      </w:r>
      <w:r w:rsidR="00B50CB3">
        <w:rPr>
          <w:rFonts w:ascii="Arial" w:hAnsi="Arial" w:cs="Arial"/>
          <w:b/>
          <w:sz w:val="20"/>
          <w:szCs w:val="20"/>
        </w:rPr>
        <w:t>, Peter Barry</w:t>
      </w:r>
      <w:r w:rsidR="00B50CB3">
        <w:rPr>
          <w:rFonts w:ascii="Arial" w:hAnsi="Arial" w:cs="Arial"/>
          <w:b/>
          <w:sz w:val="20"/>
          <w:szCs w:val="20"/>
          <w:vertAlign w:val="superscript"/>
        </w:rPr>
        <w:t>9</w:t>
      </w:r>
    </w:p>
    <w:p w14:paraId="2071D4D7" w14:textId="35AE82BA" w:rsidR="00B50CB3" w:rsidRDefault="00B50CB3" w:rsidP="00B50CB3">
      <w:pPr>
        <w:rPr>
          <w:rFonts w:ascii="Arial" w:hAnsi="Arial" w:cs="Arial"/>
          <w:sz w:val="20"/>
          <w:szCs w:val="20"/>
          <w:vertAlign w:val="superscript"/>
        </w:rPr>
      </w:pPr>
      <w:r>
        <w:rPr>
          <w:rFonts w:ascii="Arial" w:hAnsi="Arial" w:cs="Arial"/>
          <w:b/>
          <w:sz w:val="20"/>
          <w:szCs w:val="20"/>
        </w:rPr>
        <w:t xml:space="preserve">S </w:t>
      </w:r>
      <w:r w:rsidR="004D3E16">
        <w:rPr>
          <w:rFonts w:ascii="Arial" w:hAnsi="Arial" w:cs="Arial"/>
          <w:b/>
          <w:sz w:val="20"/>
          <w:szCs w:val="20"/>
        </w:rPr>
        <w:t xml:space="preserve">Lewis </w:t>
      </w:r>
      <w:r>
        <w:rPr>
          <w:rFonts w:ascii="Arial" w:hAnsi="Arial" w:cs="Arial"/>
          <w:b/>
          <w:sz w:val="20"/>
          <w:szCs w:val="20"/>
        </w:rPr>
        <w:t>(</w:t>
      </w:r>
      <w:r w:rsidR="004D3E16">
        <w:rPr>
          <w:rFonts w:ascii="Arial" w:hAnsi="Arial" w:cs="Arial"/>
          <w:b/>
          <w:sz w:val="20"/>
          <w:szCs w:val="20"/>
        </w:rPr>
        <w:t>MPH</w:t>
      </w:r>
      <w:r w:rsidRPr="00415C66">
        <w:rPr>
          <w:rFonts w:ascii="Arial" w:hAnsi="Arial" w:cs="Arial"/>
          <w:b/>
          <w:sz w:val="20"/>
          <w:szCs w:val="20"/>
          <w:vertAlign w:val="superscript"/>
        </w:rPr>
        <w:t>)</w:t>
      </w:r>
      <w:r>
        <w:rPr>
          <w:rFonts w:ascii="Arial" w:hAnsi="Arial" w:cs="Arial"/>
          <w:b/>
          <w:sz w:val="20"/>
          <w:szCs w:val="20"/>
          <w:vertAlign w:val="superscript"/>
        </w:rPr>
        <w:t>1</w:t>
      </w:r>
      <w:r>
        <w:rPr>
          <w:rFonts w:ascii="Arial" w:hAnsi="Arial" w:cs="Arial"/>
          <w:sz w:val="20"/>
          <w:szCs w:val="20"/>
          <w:vertAlign w:val="superscript"/>
        </w:rPr>
        <w:t xml:space="preserve"> </w:t>
      </w:r>
    </w:p>
    <w:p w14:paraId="3AB8AD55" w14:textId="12FE9DD3" w:rsidR="001A2101" w:rsidRDefault="00B50CB3" w:rsidP="00B50CB3">
      <w:pPr>
        <w:rPr>
          <w:rFonts w:ascii="Arial" w:hAnsi="Arial" w:cs="Arial"/>
          <w:sz w:val="20"/>
          <w:szCs w:val="20"/>
        </w:rPr>
      </w:pPr>
      <w:r>
        <w:rPr>
          <w:rFonts w:ascii="Arial" w:hAnsi="Arial" w:cs="Arial"/>
          <w:sz w:val="20"/>
          <w:szCs w:val="20"/>
          <w:vertAlign w:val="superscript"/>
        </w:rPr>
        <w:t>1</w:t>
      </w:r>
      <w:r w:rsidR="001350B2">
        <w:rPr>
          <w:rFonts w:ascii="Arial" w:hAnsi="Arial" w:cs="Arial"/>
          <w:sz w:val="20"/>
          <w:szCs w:val="20"/>
        </w:rPr>
        <w:t xml:space="preserve">Senior </w:t>
      </w:r>
      <w:r w:rsidR="001A2101" w:rsidRPr="001350B2">
        <w:rPr>
          <w:rFonts w:ascii="Arial" w:hAnsi="Arial" w:cs="Arial"/>
          <w:sz w:val="20"/>
          <w:szCs w:val="20"/>
        </w:rPr>
        <w:t>Research</w:t>
      </w:r>
      <w:r w:rsidR="001A2101">
        <w:rPr>
          <w:rFonts w:ascii="Arial" w:hAnsi="Arial" w:cs="Arial"/>
          <w:sz w:val="20"/>
          <w:szCs w:val="20"/>
        </w:rPr>
        <w:t xml:space="preserve"> Fellow, </w:t>
      </w:r>
      <w:r w:rsidR="001A2101" w:rsidRPr="00B770F9">
        <w:rPr>
          <w:rFonts w:ascii="Arial" w:hAnsi="Arial" w:cs="Arial"/>
          <w:sz w:val="20"/>
          <w:szCs w:val="20"/>
        </w:rPr>
        <w:t>National Guideline Centre, Royal College of Physicians, London</w:t>
      </w:r>
      <w:r w:rsidR="001A2101">
        <w:rPr>
          <w:rFonts w:ascii="Arial" w:hAnsi="Arial" w:cs="Arial"/>
          <w:sz w:val="20"/>
          <w:szCs w:val="20"/>
        </w:rPr>
        <w:t xml:space="preserve">, United Kingdom. </w:t>
      </w:r>
    </w:p>
    <w:p w14:paraId="19C2D5D1" w14:textId="596B2BDC" w:rsidR="00B50CB3" w:rsidRPr="00415C66" w:rsidRDefault="00B50CB3" w:rsidP="001A2101">
      <w:pPr>
        <w:rPr>
          <w:rFonts w:ascii="Arial" w:hAnsi="Arial" w:cs="Arial"/>
          <w:b/>
          <w:sz w:val="20"/>
          <w:szCs w:val="20"/>
          <w:vertAlign w:val="superscript"/>
        </w:rPr>
      </w:pPr>
      <w:r>
        <w:rPr>
          <w:rFonts w:ascii="Arial" w:hAnsi="Arial" w:cs="Arial"/>
          <w:b/>
          <w:sz w:val="20"/>
          <w:szCs w:val="20"/>
        </w:rPr>
        <w:t xml:space="preserve">J </w:t>
      </w:r>
      <w:r w:rsidR="001A2101">
        <w:rPr>
          <w:rFonts w:ascii="Arial" w:hAnsi="Arial" w:cs="Arial"/>
          <w:b/>
          <w:sz w:val="20"/>
          <w:szCs w:val="20"/>
        </w:rPr>
        <w:t xml:space="preserve">Glen </w:t>
      </w:r>
      <w:r>
        <w:rPr>
          <w:rFonts w:ascii="Arial" w:hAnsi="Arial" w:cs="Arial"/>
          <w:b/>
          <w:sz w:val="20"/>
          <w:szCs w:val="20"/>
        </w:rPr>
        <w:t>(</w:t>
      </w:r>
      <w:r w:rsidR="001A2101" w:rsidRPr="00B50CB3">
        <w:rPr>
          <w:rFonts w:ascii="Arial" w:hAnsi="Arial" w:cs="Arial"/>
          <w:b/>
          <w:sz w:val="20"/>
          <w:szCs w:val="20"/>
        </w:rPr>
        <w:t>MSc</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p>
    <w:p w14:paraId="4293B87E" w14:textId="7F7E70C2" w:rsidR="001A2101" w:rsidRDefault="00B50CB3" w:rsidP="00B50CB3">
      <w:pPr>
        <w:rPr>
          <w:rFonts w:ascii="Arial" w:hAnsi="Arial" w:cs="Arial"/>
          <w:sz w:val="20"/>
          <w:szCs w:val="20"/>
        </w:rPr>
      </w:pPr>
      <w:r>
        <w:rPr>
          <w:rFonts w:ascii="Arial" w:hAnsi="Arial" w:cs="Arial"/>
          <w:sz w:val="20"/>
          <w:szCs w:val="20"/>
          <w:vertAlign w:val="superscript"/>
        </w:rPr>
        <w:t>1</w:t>
      </w:r>
      <w:r w:rsidR="001A2101" w:rsidRPr="00B50CB3">
        <w:rPr>
          <w:rFonts w:ascii="Arial" w:hAnsi="Arial" w:cs="Arial"/>
          <w:sz w:val="20"/>
          <w:szCs w:val="20"/>
        </w:rPr>
        <w:t>Senior</w:t>
      </w:r>
      <w:r w:rsidR="001A2101">
        <w:rPr>
          <w:rFonts w:ascii="Arial" w:hAnsi="Arial" w:cs="Arial"/>
          <w:sz w:val="20"/>
          <w:szCs w:val="20"/>
        </w:rPr>
        <w:t xml:space="preserve"> Research Fellow, </w:t>
      </w:r>
      <w:r w:rsidR="001A2101" w:rsidRPr="00B770F9">
        <w:rPr>
          <w:rFonts w:ascii="Arial" w:hAnsi="Arial" w:cs="Arial"/>
          <w:sz w:val="20"/>
          <w:szCs w:val="20"/>
        </w:rPr>
        <w:t>National Guideline Centre, Royal College of Physicians, London</w:t>
      </w:r>
      <w:r w:rsidR="001A2101">
        <w:rPr>
          <w:rFonts w:ascii="Arial" w:hAnsi="Arial" w:cs="Arial"/>
          <w:sz w:val="20"/>
          <w:szCs w:val="20"/>
        </w:rPr>
        <w:t>, United Kingdom.</w:t>
      </w:r>
      <w:r w:rsidR="001A2101" w:rsidRPr="00B770F9">
        <w:rPr>
          <w:rFonts w:ascii="Arial" w:hAnsi="Arial" w:cs="Arial"/>
          <w:sz w:val="20"/>
          <w:szCs w:val="20"/>
        </w:rPr>
        <w:t xml:space="preserve"> </w:t>
      </w:r>
    </w:p>
    <w:p w14:paraId="3819A239" w14:textId="30B8BA83" w:rsidR="001A2101" w:rsidRDefault="00B50CB3" w:rsidP="001A2101">
      <w:pPr>
        <w:rPr>
          <w:rFonts w:ascii="Arial" w:hAnsi="Arial" w:cs="Arial"/>
          <w:b/>
          <w:sz w:val="20"/>
          <w:szCs w:val="20"/>
          <w:vertAlign w:val="superscript"/>
        </w:rPr>
      </w:pPr>
      <w:r>
        <w:rPr>
          <w:rFonts w:ascii="Arial" w:hAnsi="Arial" w:cs="Arial"/>
          <w:b/>
          <w:sz w:val="20"/>
          <w:szCs w:val="20"/>
        </w:rPr>
        <w:t xml:space="preserve">D </w:t>
      </w:r>
      <w:r w:rsidR="001A2101">
        <w:rPr>
          <w:rFonts w:ascii="Arial" w:hAnsi="Arial" w:cs="Arial"/>
          <w:b/>
          <w:sz w:val="20"/>
          <w:szCs w:val="20"/>
        </w:rPr>
        <w:t xml:space="preserve">Dawoud </w:t>
      </w:r>
      <w:r>
        <w:rPr>
          <w:rFonts w:ascii="Arial" w:hAnsi="Arial" w:cs="Arial"/>
          <w:b/>
          <w:sz w:val="20"/>
          <w:szCs w:val="20"/>
        </w:rPr>
        <w:t>(</w:t>
      </w:r>
      <w:r w:rsidR="001A2101">
        <w:rPr>
          <w:rFonts w:ascii="Arial" w:hAnsi="Arial" w:cs="Arial"/>
          <w:b/>
          <w:sz w:val="20"/>
          <w:szCs w:val="20"/>
        </w:rPr>
        <w:t>PhD</w:t>
      </w:r>
      <w:r>
        <w:rPr>
          <w:rFonts w:ascii="Arial" w:hAnsi="Arial" w:cs="Arial"/>
          <w:b/>
          <w:sz w:val="20"/>
          <w:szCs w:val="20"/>
        </w:rPr>
        <w:t>)</w:t>
      </w:r>
      <w:r w:rsidR="001A2101">
        <w:rPr>
          <w:rFonts w:ascii="Arial" w:hAnsi="Arial" w:cs="Arial"/>
          <w:b/>
          <w:sz w:val="20"/>
          <w:szCs w:val="20"/>
          <w:vertAlign w:val="superscript"/>
        </w:rPr>
        <w:t>2</w:t>
      </w:r>
      <w:r w:rsidR="0041734A">
        <w:rPr>
          <w:rFonts w:ascii="Arial" w:hAnsi="Arial" w:cs="Arial"/>
          <w:b/>
          <w:sz w:val="20"/>
          <w:szCs w:val="20"/>
          <w:vertAlign w:val="superscript"/>
        </w:rPr>
        <w:t>,3</w:t>
      </w:r>
      <w:r w:rsidR="00413E4A">
        <w:rPr>
          <w:rFonts w:ascii="Arial" w:hAnsi="Arial" w:cs="Arial"/>
          <w:b/>
          <w:sz w:val="20"/>
          <w:szCs w:val="20"/>
          <w:vertAlign w:val="superscript"/>
        </w:rPr>
        <w:t>*</w:t>
      </w:r>
    </w:p>
    <w:p w14:paraId="4A71467D" w14:textId="51770C85" w:rsidR="001A2101" w:rsidRDefault="001A2101" w:rsidP="001A2101">
      <w:pPr>
        <w:rPr>
          <w:rFonts w:ascii="Arial" w:hAnsi="Arial" w:cs="Arial"/>
          <w:sz w:val="20"/>
          <w:szCs w:val="20"/>
        </w:rPr>
      </w:pPr>
      <w:r>
        <w:rPr>
          <w:rFonts w:ascii="Arial" w:hAnsi="Arial" w:cs="Arial"/>
          <w:sz w:val="20"/>
          <w:szCs w:val="20"/>
          <w:vertAlign w:val="superscript"/>
        </w:rPr>
        <w:t>2</w:t>
      </w:r>
      <w:r w:rsidR="00B50CB3">
        <w:rPr>
          <w:rFonts w:ascii="Arial" w:hAnsi="Arial" w:cs="Arial"/>
          <w:sz w:val="20"/>
          <w:szCs w:val="20"/>
          <w:vertAlign w:val="superscript"/>
        </w:rPr>
        <w:t xml:space="preserve"> </w:t>
      </w:r>
      <w:r w:rsidRPr="00540708">
        <w:rPr>
          <w:rFonts w:ascii="Arial" w:hAnsi="Arial" w:cs="Arial"/>
          <w:sz w:val="20"/>
          <w:szCs w:val="20"/>
        </w:rPr>
        <w:t>Associate Professor, Clinical Pharmacy Department, Faculty of Pharmacy, Cairo University, Cairo, Egypt.</w:t>
      </w:r>
    </w:p>
    <w:p w14:paraId="533D72C9" w14:textId="0D38CBE3" w:rsidR="0041734A" w:rsidRPr="0041734A" w:rsidRDefault="0041734A" w:rsidP="001A2101">
      <w:pPr>
        <w:rPr>
          <w:rFonts w:ascii="Arial" w:hAnsi="Arial" w:cs="Arial"/>
          <w:sz w:val="20"/>
          <w:szCs w:val="20"/>
        </w:rPr>
      </w:pPr>
      <w:r>
        <w:rPr>
          <w:rFonts w:ascii="Arial" w:hAnsi="Arial" w:cs="Arial"/>
          <w:sz w:val="20"/>
          <w:szCs w:val="20"/>
          <w:vertAlign w:val="superscript"/>
        </w:rPr>
        <w:t>3</w:t>
      </w:r>
      <w:r>
        <w:rPr>
          <w:rFonts w:ascii="Arial" w:hAnsi="Arial" w:cs="Arial"/>
          <w:sz w:val="20"/>
          <w:szCs w:val="20"/>
        </w:rPr>
        <w:t>Health Technology Assessment Analyst, Centre for Health Technology Evaluation, National Institute for Health and Care Excellence, London, United Kingdom.</w:t>
      </w:r>
    </w:p>
    <w:p w14:paraId="76AA04D2" w14:textId="3459A6AE" w:rsidR="001A2101" w:rsidRDefault="001A2101" w:rsidP="001A2101">
      <w:pPr>
        <w:rPr>
          <w:rFonts w:ascii="Arial" w:hAnsi="Arial" w:cs="Arial"/>
          <w:b/>
          <w:sz w:val="20"/>
          <w:szCs w:val="20"/>
          <w:vertAlign w:val="superscript"/>
        </w:rPr>
      </w:pPr>
      <w:r>
        <w:rPr>
          <w:rFonts w:ascii="Arial" w:hAnsi="Arial" w:cs="Arial"/>
          <w:b/>
          <w:sz w:val="20"/>
          <w:szCs w:val="20"/>
        </w:rPr>
        <w:t xml:space="preserve">S Dias </w:t>
      </w:r>
      <w:r w:rsidR="00B50CB3">
        <w:rPr>
          <w:rFonts w:ascii="Arial" w:hAnsi="Arial" w:cs="Arial"/>
          <w:b/>
          <w:sz w:val="20"/>
          <w:szCs w:val="20"/>
        </w:rPr>
        <w:t>(</w:t>
      </w:r>
      <w:r w:rsidR="0041734A">
        <w:rPr>
          <w:rFonts w:ascii="Arial" w:hAnsi="Arial" w:cs="Arial"/>
          <w:b/>
          <w:sz w:val="20"/>
          <w:szCs w:val="20"/>
        </w:rPr>
        <w:t>PhD</w:t>
      </w:r>
      <w:r w:rsidR="00B50CB3">
        <w:rPr>
          <w:rFonts w:ascii="Arial" w:hAnsi="Arial" w:cs="Arial"/>
          <w:b/>
          <w:sz w:val="20"/>
          <w:szCs w:val="20"/>
        </w:rPr>
        <w:t>)</w:t>
      </w:r>
      <w:r w:rsidR="0041734A">
        <w:rPr>
          <w:rFonts w:ascii="Arial" w:hAnsi="Arial" w:cs="Arial"/>
          <w:b/>
          <w:sz w:val="20"/>
          <w:szCs w:val="20"/>
          <w:vertAlign w:val="superscript"/>
        </w:rPr>
        <w:t>4</w:t>
      </w:r>
    </w:p>
    <w:p w14:paraId="7387DD34" w14:textId="615B2A06" w:rsidR="001A2101" w:rsidRDefault="0041734A" w:rsidP="001A2101">
      <w:pPr>
        <w:rPr>
          <w:rFonts w:ascii="Arial" w:hAnsi="Arial" w:cs="Arial"/>
          <w:b/>
          <w:sz w:val="20"/>
          <w:szCs w:val="20"/>
        </w:rPr>
      </w:pPr>
      <w:r>
        <w:rPr>
          <w:rFonts w:ascii="Arial" w:hAnsi="Arial" w:cs="Arial"/>
          <w:sz w:val="20"/>
          <w:szCs w:val="20"/>
          <w:vertAlign w:val="superscript"/>
        </w:rPr>
        <w:t>4</w:t>
      </w:r>
      <w:r>
        <w:rPr>
          <w:rFonts w:ascii="Arial" w:hAnsi="Arial" w:cs="Arial"/>
          <w:sz w:val="20"/>
          <w:szCs w:val="20"/>
        </w:rPr>
        <w:t xml:space="preserve">Professor </w:t>
      </w:r>
      <w:r w:rsidR="00730006">
        <w:rPr>
          <w:rFonts w:ascii="Arial" w:hAnsi="Arial" w:cs="Arial"/>
          <w:sz w:val="20"/>
          <w:szCs w:val="20"/>
        </w:rPr>
        <w:t xml:space="preserve">of Health Technology Assessment, University of York, York, </w:t>
      </w:r>
      <w:r w:rsidR="001A2101">
        <w:rPr>
          <w:rFonts w:ascii="Arial" w:hAnsi="Arial" w:cs="Arial"/>
          <w:sz w:val="20"/>
          <w:szCs w:val="20"/>
        </w:rPr>
        <w:t>United Kingdom.</w:t>
      </w:r>
    </w:p>
    <w:p w14:paraId="3E3E09E7" w14:textId="0168204B" w:rsidR="001A2101" w:rsidRDefault="001A2101" w:rsidP="001A2101">
      <w:pPr>
        <w:rPr>
          <w:rFonts w:ascii="Arial" w:hAnsi="Arial" w:cs="Arial"/>
          <w:b/>
          <w:sz w:val="20"/>
          <w:szCs w:val="20"/>
        </w:rPr>
      </w:pPr>
      <w:r>
        <w:rPr>
          <w:rFonts w:ascii="Arial" w:hAnsi="Arial" w:cs="Arial"/>
          <w:b/>
          <w:sz w:val="20"/>
          <w:szCs w:val="20"/>
        </w:rPr>
        <w:t xml:space="preserve">J Cobb </w:t>
      </w:r>
      <w:r w:rsidR="00B50CB3">
        <w:rPr>
          <w:rFonts w:ascii="Arial" w:hAnsi="Arial" w:cs="Arial"/>
          <w:b/>
          <w:sz w:val="20"/>
          <w:szCs w:val="20"/>
        </w:rPr>
        <w:t>(</w:t>
      </w:r>
      <w:r>
        <w:rPr>
          <w:rFonts w:ascii="Arial" w:hAnsi="Arial" w:cs="Arial"/>
          <w:b/>
          <w:sz w:val="20"/>
          <w:szCs w:val="20"/>
        </w:rPr>
        <w:t>Dip Lib</w:t>
      </w:r>
      <w:r w:rsidR="00B50CB3">
        <w:rPr>
          <w:rFonts w:ascii="Arial" w:hAnsi="Arial" w:cs="Arial"/>
          <w:b/>
          <w:sz w:val="20"/>
          <w:szCs w:val="20"/>
        </w:rPr>
        <w:t>)</w:t>
      </w:r>
      <w:r>
        <w:rPr>
          <w:rFonts w:ascii="Arial" w:hAnsi="Arial" w:cs="Arial"/>
          <w:b/>
          <w:sz w:val="20"/>
          <w:szCs w:val="20"/>
          <w:vertAlign w:val="superscript"/>
        </w:rPr>
        <w:t>1</w:t>
      </w:r>
    </w:p>
    <w:p w14:paraId="6D0EC00D" w14:textId="77777777" w:rsidR="001A2101" w:rsidRDefault="001A2101" w:rsidP="001A2101">
      <w:pPr>
        <w:rPr>
          <w:rFonts w:ascii="Arial" w:hAnsi="Arial" w:cs="Arial"/>
          <w:b/>
          <w:sz w:val="20"/>
          <w:szCs w:val="20"/>
        </w:rPr>
      </w:pPr>
      <w:r>
        <w:rPr>
          <w:rFonts w:ascii="Arial" w:hAnsi="Arial" w:cs="Arial"/>
          <w:sz w:val="20"/>
          <w:szCs w:val="20"/>
          <w:vertAlign w:val="superscript"/>
        </w:rPr>
        <w:t>1</w:t>
      </w:r>
      <w:r>
        <w:rPr>
          <w:rFonts w:ascii="Arial" w:hAnsi="Arial" w:cs="Arial"/>
          <w:sz w:val="20"/>
          <w:szCs w:val="20"/>
        </w:rPr>
        <w:t xml:space="preserve">Information Specialist, </w:t>
      </w:r>
      <w:r w:rsidRPr="00B770F9">
        <w:rPr>
          <w:rFonts w:ascii="Arial" w:hAnsi="Arial" w:cs="Arial"/>
          <w:sz w:val="20"/>
          <w:szCs w:val="20"/>
        </w:rPr>
        <w:t>National Guideline Centre, Royal College of Physicians, London</w:t>
      </w:r>
      <w:r>
        <w:rPr>
          <w:rFonts w:ascii="Arial" w:hAnsi="Arial" w:cs="Arial"/>
          <w:sz w:val="20"/>
          <w:szCs w:val="20"/>
        </w:rPr>
        <w:t>, United Kingdom.</w:t>
      </w:r>
    </w:p>
    <w:p w14:paraId="69EAAA75" w14:textId="3956CB1E" w:rsidR="001A2101" w:rsidRPr="00C72BFC" w:rsidRDefault="001A2101" w:rsidP="001A2101">
      <w:pPr>
        <w:rPr>
          <w:rFonts w:ascii="Arial" w:hAnsi="Arial" w:cs="Arial"/>
          <w:b/>
          <w:sz w:val="20"/>
          <w:szCs w:val="20"/>
          <w:vertAlign w:val="superscript"/>
        </w:rPr>
      </w:pPr>
      <w:r w:rsidRPr="00C72BFC">
        <w:rPr>
          <w:rFonts w:ascii="Arial" w:hAnsi="Arial" w:cs="Arial"/>
          <w:b/>
          <w:sz w:val="20"/>
          <w:szCs w:val="20"/>
        </w:rPr>
        <w:t xml:space="preserve">X </w:t>
      </w:r>
      <w:r w:rsidR="000426A4">
        <w:rPr>
          <w:rFonts w:ascii="Arial" w:hAnsi="Arial" w:cs="Arial"/>
          <w:b/>
          <w:sz w:val="20"/>
          <w:szCs w:val="20"/>
        </w:rPr>
        <w:t xml:space="preserve">L </w:t>
      </w:r>
      <w:r w:rsidRPr="00C72BFC">
        <w:rPr>
          <w:rFonts w:ascii="Arial" w:hAnsi="Arial" w:cs="Arial"/>
          <w:b/>
          <w:sz w:val="20"/>
          <w:szCs w:val="20"/>
        </w:rPr>
        <w:t>Griffin</w:t>
      </w:r>
      <w:r>
        <w:rPr>
          <w:rFonts w:ascii="Arial" w:hAnsi="Arial" w:cs="Arial"/>
          <w:b/>
          <w:sz w:val="20"/>
          <w:szCs w:val="20"/>
        </w:rPr>
        <w:t xml:space="preserve"> </w:t>
      </w:r>
      <w:r w:rsidR="00B50CB3">
        <w:rPr>
          <w:rFonts w:ascii="Arial" w:hAnsi="Arial" w:cs="Arial"/>
          <w:b/>
          <w:sz w:val="20"/>
          <w:szCs w:val="20"/>
        </w:rPr>
        <w:t>(</w:t>
      </w:r>
      <w:r w:rsidR="0041734A">
        <w:rPr>
          <w:rFonts w:ascii="Arial" w:hAnsi="Arial" w:cs="Arial"/>
          <w:b/>
          <w:sz w:val="20"/>
          <w:szCs w:val="20"/>
        </w:rPr>
        <w:t>PhD</w:t>
      </w:r>
      <w:r w:rsidR="00B50CB3">
        <w:rPr>
          <w:rFonts w:ascii="Arial" w:hAnsi="Arial" w:cs="Arial"/>
          <w:b/>
          <w:sz w:val="20"/>
          <w:szCs w:val="20"/>
        </w:rPr>
        <w:t>)</w:t>
      </w:r>
      <w:r w:rsidR="0041734A">
        <w:rPr>
          <w:rFonts w:ascii="Arial" w:hAnsi="Arial" w:cs="Arial"/>
          <w:b/>
          <w:sz w:val="20"/>
          <w:szCs w:val="20"/>
          <w:vertAlign w:val="superscript"/>
        </w:rPr>
        <w:t>5</w:t>
      </w:r>
    </w:p>
    <w:p w14:paraId="6A9A2E62" w14:textId="1120241F" w:rsidR="001A2101" w:rsidRDefault="0041734A" w:rsidP="001A2101">
      <w:pPr>
        <w:rPr>
          <w:rFonts w:ascii="Arial" w:hAnsi="Arial" w:cs="Arial"/>
          <w:sz w:val="20"/>
          <w:szCs w:val="20"/>
        </w:rPr>
      </w:pPr>
      <w:r>
        <w:rPr>
          <w:rFonts w:ascii="Arial" w:hAnsi="Arial" w:cs="Arial"/>
          <w:b/>
          <w:sz w:val="20"/>
          <w:szCs w:val="20"/>
          <w:vertAlign w:val="superscript"/>
        </w:rPr>
        <w:t>5</w:t>
      </w:r>
      <w:r w:rsidRPr="00C72BFC">
        <w:rPr>
          <w:rFonts w:ascii="Arial" w:hAnsi="Arial" w:cs="Arial"/>
          <w:sz w:val="20"/>
          <w:szCs w:val="20"/>
        </w:rPr>
        <w:t xml:space="preserve">Associate </w:t>
      </w:r>
      <w:r w:rsidR="001A2101" w:rsidRPr="00C72BFC">
        <w:rPr>
          <w:rFonts w:ascii="Arial" w:hAnsi="Arial" w:cs="Arial"/>
          <w:sz w:val="20"/>
          <w:szCs w:val="20"/>
        </w:rPr>
        <w:t xml:space="preserve">Professor, Nuffield Department of Orthopaedics, Rheumatology and Musculoskeletal Sciences, University of Oxford, Oxford, United Kingdom </w:t>
      </w:r>
    </w:p>
    <w:p w14:paraId="37F24450" w14:textId="4F03F3C4" w:rsidR="001A2101" w:rsidRDefault="001A2101" w:rsidP="001A2101">
      <w:pPr>
        <w:rPr>
          <w:rFonts w:ascii="Arial" w:hAnsi="Arial" w:cs="Arial"/>
          <w:b/>
          <w:sz w:val="20"/>
          <w:szCs w:val="20"/>
        </w:rPr>
      </w:pPr>
      <w:r w:rsidRPr="009F37DA">
        <w:rPr>
          <w:rFonts w:ascii="Arial" w:hAnsi="Arial" w:cs="Arial"/>
          <w:b/>
          <w:sz w:val="20"/>
          <w:szCs w:val="20"/>
        </w:rPr>
        <w:t>N Rossiter</w:t>
      </w:r>
      <w:r>
        <w:rPr>
          <w:rFonts w:ascii="Arial" w:hAnsi="Arial" w:cs="Arial"/>
          <w:b/>
          <w:sz w:val="20"/>
          <w:szCs w:val="20"/>
        </w:rPr>
        <w:t xml:space="preserve"> </w:t>
      </w:r>
      <w:proofErr w:type="spellStart"/>
      <w:proofErr w:type="gramStart"/>
      <w:r w:rsidR="002802BD" w:rsidRPr="002802BD">
        <w:rPr>
          <w:rFonts w:ascii="Arial" w:hAnsi="Arial" w:cs="Arial"/>
          <w:b/>
          <w:sz w:val="20"/>
          <w:szCs w:val="20"/>
        </w:rPr>
        <w:t>FRCSEd</w:t>
      </w:r>
      <w:proofErr w:type="spellEnd"/>
      <w:r w:rsidR="002802BD" w:rsidRPr="002802BD">
        <w:rPr>
          <w:rFonts w:ascii="Arial" w:hAnsi="Arial" w:cs="Arial"/>
          <w:b/>
          <w:sz w:val="20"/>
          <w:szCs w:val="20"/>
        </w:rPr>
        <w:t>(</w:t>
      </w:r>
      <w:proofErr w:type="spellStart"/>
      <w:proofErr w:type="gramEnd"/>
      <w:r w:rsidR="002802BD" w:rsidRPr="002802BD">
        <w:rPr>
          <w:rFonts w:ascii="Arial" w:hAnsi="Arial" w:cs="Arial"/>
          <w:b/>
          <w:sz w:val="20"/>
          <w:szCs w:val="20"/>
        </w:rPr>
        <w:t>Tr&amp;Orth</w:t>
      </w:r>
      <w:proofErr w:type="spellEnd"/>
      <w:r w:rsidR="002802BD" w:rsidRPr="002802BD">
        <w:rPr>
          <w:rFonts w:ascii="Arial" w:hAnsi="Arial" w:cs="Arial"/>
          <w:b/>
          <w:sz w:val="20"/>
          <w:szCs w:val="20"/>
        </w:rPr>
        <w:t>)</w:t>
      </w:r>
      <w:r w:rsidR="002802BD" w:rsidRPr="002802BD" w:rsidDel="002802BD">
        <w:rPr>
          <w:rFonts w:ascii="Arial" w:hAnsi="Arial" w:cs="Arial"/>
          <w:b/>
          <w:sz w:val="20"/>
          <w:szCs w:val="20"/>
        </w:rPr>
        <w:t xml:space="preserve"> </w:t>
      </w:r>
      <w:r w:rsidRPr="009F37DA">
        <w:rPr>
          <w:rFonts w:ascii="Arial" w:hAnsi="Arial" w:cs="Arial"/>
          <w:b/>
          <w:sz w:val="20"/>
          <w:szCs w:val="20"/>
        </w:rPr>
        <w:t xml:space="preserve"> </w:t>
      </w:r>
    </w:p>
    <w:p w14:paraId="64337B51" w14:textId="02B49122" w:rsidR="001A2101" w:rsidRPr="0087564F" w:rsidRDefault="0041734A" w:rsidP="001A2101">
      <w:pPr>
        <w:rPr>
          <w:rFonts w:ascii="Arial" w:hAnsi="Arial" w:cs="Arial"/>
          <w:sz w:val="20"/>
          <w:szCs w:val="20"/>
        </w:rPr>
      </w:pPr>
      <w:r>
        <w:rPr>
          <w:rFonts w:ascii="Arial" w:hAnsi="Arial" w:cs="Arial"/>
          <w:sz w:val="20"/>
          <w:szCs w:val="20"/>
          <w:vertAlign w:val="superscript"/>
        </w:rPr>
        <w:t>6</w:t>
      </w:r>
      <w:r>
        <w:rPr>
          <w:rFonts w:ascii="Arial" w:hAnsi="Arial" w:cs="Arial"/>
          <w:sz w:val="20"/>
          <w:szCs w:val="20"/>
        </w:rPr>
        <w:t xml:space="preserve">Consultant </w:t>
      </w:r>
      <w:r w:rsidR="001A2101">
        <w:rPr>
          <w:rFonts w:ascii="Arial" w:hAnsi="Arial" w:cs="Arial"/>
          <w:sz w:val="20"/>
          <w:szCs w:val="20"/>
        </w:rPr>
        <w:t xml:space="preserve">Trauma </w:t>
      </w:r>
      <w:r w:rsidR="00FC4711">
        <w:rPr>
          <w:rFonts w:ascii="Arial" w:hAnsi="Arial" w:cs="Arial"/>
          <w:sz w:val="20"/>
          <w:szCs w:val="20"/>
        </w:rPr>
        <w:t>and</w:t>
      </w:r>
      <w:r w:rsidR="001A2101">
        <w:rPr>
          <w:rFonts w:ascii="Arial" w:hAnsi="Arial" w:cs="Arial"/>
          <w:sz w:val="20"/>
          <w:szCs w:val="20"/>
        </w:rPr>
        <w:t xml:space="preserve"> Orthopaedic Surgeon, </w:t>
      </w:r>
      <w:r w:rsidR="001A2101" w:rsidRPr="009F37DA">
        <w:rPr>
          <w:rFonts w:ascii="Arial" w:hAnsi="Arial" w:cs="Arial"/>
          <w:sz w:val="20"/>
          <w:szCs w:val="20"/>
        </w:rPr>
        <w:t>Basingstoke &amp; North Hampshire Hospital</w:t>
      </w:r>
      <w:r w:rsidR="001A2101">
        <w:rPr>
          <w:rFonts w:ascii="Arial" w:hAnsi="Arial" w:cs="Arial"/>
          <w:sz w:val="20"/>
          <w:szCs w:val="20"/>
        </w:rPr>
        <w:t>, Basingstoke, United Kingdom</w:t>
      </w:r>
    </w:p>
    <w:p w14:paraId="260EAC7E" w14:textId="67F70FA4" w:rsidR="001A2101" w:rsidRPr="007D53E4" w:rsidRDefault="001A2101" w:rsidP="001A2101">
      <w:pPr>
        <w:rPr>
          <w:rFonts w:ascii="Arial" w:hAnsi="Arial" w:cs="Arial"/>
          <w:b/>
          <w:sz w:val="20"/>
          <w:szCs w:val="20"/>
          <w:vertAlign w:val="superscript"/>
        </w:rPr>
      </w:pPr>
      <w:r>
        <w:rPr>
          <w:rFonts w:ascii="Arial" w:hAnsi="Arial" w:cs="Arial"/>
          <w:b/>
          <w:sz w:val="20"/>
          <w:szCs w:val="20"/>
        </w:rPr>
        <w:t xml:space="preserve">M Reed </w:t>
      </w:r>
      <w:r w:rsidR="00B50CB3">
        <w:rPr>
          <w:rFonts w:ascii="Arial" w:hAnsi="Arial" w:cs="Arial"/>
          <w:b/>
          <w:sz w:val="20"/>
          <w:szCs w:val="20"/>
        </w:rPr>
        <w:t>(</w:t>
      </w:r>
      <w:r>
        <w:rPr>
          <w:rFonts w:ascii="Arial" w:hAnsi="Arial" w:cs="Arial"/>
          <w:b/>
          <w:sz w:val="20"/>
          <w:szCs w:val="20"/>
        </w:rPr>
        <w:t>PhD</w:t>
      </w:r>
      <w:r w:rsidR="00B50CB3">
        <w:rPr>
          <w:rFonts w:ascii="Arial" w:hAnsi="Arial" w:cs="Arial"/>
          <w:b/>
          <w:sz w:val="20"/>
          <w:szCs w:val="20"/>
        </w:rPr>
        <w:t>)</w:t>
      </w:r>
      <w:r w:rsidR="0041734A">
        <w:rPr>
          <w:rFonts w:ascii="Arial" w:hAnsi="Arial" w:cs="Arial"/>
          <w:b/>
          <w:sz w:val="20"/>
          <w:szCs w:val="20"/>
          <w:vertAlign w:val="superscript"/>
        </w:rPr>
        <w:t>7</w:t>
      </w:r>
    </w:p>
    <w:p w14:paraId="1BFC1DFD" w14:textId="3AC88CA5" w:rsidR="001A2101" w:rsidRPr="0087564F" w:rsidRDefault="0041734A" w:rsidP="001A2101">
      <w:pPr>
        <w:rPr>
          <w:rFonts w:ascii="Arial" w:hAnsi="Arial" w:cs="Arial"/>
          <w:b/>
          <w:sz w:val="20"/>
          <w:szCs w:val="20"/>
        </w:rPr>
      </w:pPr>
      <w:r>
        <w:rPr>
          <w:rFonts w:ascii="Arial" w:hAnsi="Arial" w:cs="Arial"/>
          <w:b/>
          <w:sz w:val="20"/>
          <w:szCs w:val="20"/>
          <w:vertAlign w:val="superscript"/>
        </w:rPr>
        <w:t>7</w:t>
      </w:r>
      <w:r w:rsidRPr="00E23184">
        <w:rPr>
          <w:rFonts w:ascii="Arial" w:hAnsi="Arial" w:cs="Arial"/>
          <w:sz w:val="20"/>
          <w:szCs w:val="20"/>
        </w:rPr>
        <w:t>Consultant</w:t>
      </w:r>
      <w:r>
        <w:rPr>
          <w:rFonts w:ascii="Arial" w:hAnsi="Arial" w:cs="Arial"/>
          <w:b/>
          <w:sz w:val="20"/>
          <w:szCs w:val="20"/>
        </w:rPr>
        <w:t xml:space="preserve"> </w:t>
      </w:r>
      <w:r w:rsidR="001A2101" w:rsidRPr="00E23184">
        <w:rPr>
          <w:rFonts w:ascii="Arial" w:hAnsi="Arial" w:cs="Arial"/>
          <w:sz w:val="20"/>
          <w:szCs w:val="20"/>
        </w:rPr>
        <w:t>Trauma and Orthopaedic Surgeon, Northumbria Healthcare NHS Foundation Trust</w:t>
      </w:r>
      <w:r w:rsidR="001A2101">
        <w:rPr>
          <w:rFonts w:ascii="Arial" w:hAnsi="Arial" w:cs="Arial"/>
          <w:sz w:val="20"/>
          <w:szCs w:val="20"/>
        </w:rPr>
        <w:t>, Northumbria, United Kingdom</w:t>
      </w:r>
    </w:p>
    <w:p w14:paraId="32173FF0" w14:textId="3AC85961" w:rsidR="001A2101" w:rsidRPr="00C72BFC" w:rsidRDefault="001A2101" w:rsidP="001A2101">
      <w:pPr>
        <w:rPr>
          <w:rFonts w:ascii="Arial" w:hAnsi="Arial" w:cs="Arial"/>
          <w:b/>
          <w:sz w:val="20"/>
          <w:szCs w:val="20"/>
          <w:vertAlign w:val="superscript"/>
        </w:rPr>
      </w:pPr>
      <w:r w:rsidRPr="00C72BFC">
        <w:rPr>
          <w:rFonts w:ascii="Arial" w:hAnsi="Arial" w:cs="Arial"/>
          <w:b/>
          <w:sz w:val="20"/>
          <w:szCs w:val="20"/>
        </w:rPr>
        <w:lastRenderedPageBreak/>
        <w:t xml:space="preserve">C </w:t>
      </w:r>
      <w:proofErr w:type="spellStart"/>
      <w:r w:rsidRPr="00C72BFC">
        <w:rPr>
          <w:rFonts w:ascii="Arial" w:hAnsi="Arial" w:cs="Arial"/>
          <w:b/>
          <w:sz w:val="20"/>
          <w:szCs w:val="20"/>
        </w:rPr>
        <w:t>Sharpin</w:t>
      </w:r>
      <w:proofErr w:type="spellEnd"/>
      <w:r w:rsidRPr="00C72BFC">
        <w:rPr>
          <w:rFonts w:ascii="Arial" w:hAnsi="Arial" w:cs="Arial"/>
          <w:b/>
          <w:sz w:val="20"/>
          <w:szCs w:val="20"/>
        </w:rPr>
        <w:t xml:space="preserve"> </w:t>
      </w:r>
      <w:r w:rsidR="00B50CB3">
        <w:rPr>
          <w:rFonts w:ascii="Arial" w:hAnsi="Arial" w:cs="Arial"/>
          <w:b/>
          <w:sz w:val="20"/>
          <w:szCs w:val="20"/>
        </w:rPr>
        <w:t>(</w:t>
      </w:r>
      <w:r w:rsidRPr="00C72BFC">
        <w:rPr>
          <w:rFonts w:ascii="Arial" w:hAnsi="Arial" w:cs="Arial"/>
          <w:b/>
          <w:sz w:val="20"/>
          <w:szCs w:val="20"/>
        </w:rPr>
        <w:t>MSc</w:t>
      </w:r>
      <w:r w:rsidR="00B50CB3">
        <w:rPr>
          <w:rFonts w:ascii="Arial" w:hAnsi="Arial" w:cs="Arial"/>
          <w:b/>
          <w:sz w:val="20"/>
          <w:szCs w:val="20"/>
        </w:rPr>
        <w:t>)</w:t>
      </w:r>
      <w:r>
        <w:rPr>
          <w:rFonts w:ascii="Arial" w:hAnsi="Arial" w:cs="Arial"/>
          <w:b/>
          <w:sz w:val="20"/>
          <w:szCs w:val="20"/>
          <w:vertAlign w:val="superscript"/>
        </w:rPr>
        <w:t>1</w:t>
      </w:r>
    </w:p>
    <w:p w14:paraId="40FCA989" w14:textId="6A0A4908" w:rsidR="001A2101" w:rsidRPr="00C72BFC" w:rsidRDefault="001A2101" w:rsidP="001A2101">
      <w:pPr>
        <w:rPr>
          <w:rFonts w:ascii="Arial" w:hAnsi="Arial" w:cs="Arial"/>
          <w:sz w:val="20"/>
          <w:szCs w:val="20"/>
        </w:rPr>
      </w:pPr>
      <w:r w:rsidRPr="00C72BFC">
        <w:rPr>
          <w:rFonts w:ascii="Arial" w:hAnsi="Arial" w:cs="Arial"/>
          <w:sz w:val="20"/>
          <w:szCs w:val="20"/>
          <w:vertAlign w:val="superscript"/>
        </w:rPr>
        <w:t>1</w:t>
      </w:r>
      <w:r w:rsidRPr="00C72BFC">
        <w:rPr>
          <w:rFonts w:ascii="Arial" w:hAnsi="Arial" w:cs="Arial"/>
          <w:sz w:val="20"/>
          <w:szCs w:val="20"/>
        </w:rPr>
        <w:t xml:space="preserve">Associate Director, National Guideline Centre, Royal College of Physicians, London, United Kingdom </w:t>
      </w:r>
    </w:p>
    <w:p w14:paraId="3800D452" w14:textId="79B54B98" w:rsidR="001A2101" w:rsidRDefault="001A2101" w:rsidP="001A2101">
      <w:pPr>
        <w:rPr>
          <w:rFonts w:ascii="Arial" w:hAnsi="Arial" w:cs="Arial"/>
          <w:b/>
          <w:sz w:val="20"/>
          <w:szCs w:val="20"/>
        </w:rPr>
      </w:pPr>
      <w:r>
        <w:rPr>
          <w:rFonts w:ascii="Arial" w:hAnsi="Arial" w:cs="Arial"/>
          <w:b/>
          <w:sz w:val="20"/>
          <w:szCs w:val="20"/>
        </w:rPr>
        <w:t xml:space="preserve">G </w:t>
      </w:r>
      <w:proofErr w:type="spellStart"/>
      <w:r>
        <w:rPr>
          <w:rFonts w:ascii="Arial" w:hAnsi="Arial" w:cs="Arial"/>
          <w:b/>
          <w:sz w:val="20"/>
          <w:szCs w:val="20"/>
        </w:rPr>
        <w:t>Stansby</w:t>
      </w:r>
      <w:proofErr w:type="spellEnd"/>
      <w:r>
        <w:rPr>
          <w:rFonts w:ascii="Arial" w:hAnsi="Arial" w:cs="Arial"/>
          <w:b/>
          <w:sz w:val="20"/>
          <w:szCs w:val="20"/>
        </w:rPr>
        <w:t xml:space="preserve"> </w:t>
      </w:r>
      <w:r w:rsidR="00B50CB3">
        <w:rPr>
          <w:rFonts w:ascii="Arial" w:hAnsi="Arial" w:cs="Arial"/>
          <w:b/>
          <w:sz w:val="20"/>
          <w:szCs w:val="20"/>
        </w:rPr>
        <w:t>(</w:t>
      </w:r>
      <w:r>
        <w:rPr>
          <w:rFonts w:ascii="Arial" w:hAnsi="Arial" w:cs="Arial"/>
          <w:b/>
          <w:sz w:val="20"/>
          <w:szCs w:val="20"/>
        </w:rPr>
        <w:t>FRCS</w:t>
      </w:r>
      <w:r w:rsidR="00B50CB3">
        <w:rPr>
          <w:rFonts w:ascii="Arial" w:hAnsi="Arial" w:cs="Arial"/>
          <w:b/>
          <w:sz w:val="20"/>
          <w:szCs w:val="20"/>
        </w:rPr>
        <w:t>)</w:t>
      </w:r>
      <w:r w:rsidR="0041734A">
        <w:rPr>
          <w:rFonts w:ascii="Arial" w:hAnsi="Arial" w:cs="Arial"/>
          <w:b/>
          <w:sz w:val="20"/>
          <w:szCs w:val="20"/>
          <w:vertAlign w:val="superscript"/>
        </w:rPr>
        <w:t>8</w:t>
      </w:r>
      <w:r>
        <w:rPr>
          <w:rFonts w:ascii="Arial" w:hAnsi="Arial" w:cs="Arial"/>
          <w:b/>
          <w:sz w:val="20"/>
          <w:szCs w:val="20"/>
        </w:rPr>
        <w:t xml:space="preserve"> </w:t>
      </w:r>
    </w:p>
    <w:p w14:paraId="12DE28AE" w14:textId="22157DBA" w:rsidR="001A2101" w:rsidRDefault="0041734A" w:rsidP="001A2101">
      <w:pPr>
        <w:rPr>
          <w:rFonts w:ascii="Arial" w:hAnsi="Arial" w:cs="Arial"/>
          <w:b/>
          <w:sz w:val="20"/>
          <w:szCs w:val="20"/>
        </w:rPr>
      </w:pPr>
      <w:r>
        <w:rPr>
          <w:rFonts w:ascii="Arial" w:hAnsi="Arial" w:cs="Arial"/>
          <w:sz w:val="20"/>
          <w:szCs w:val="20"/>
          <w:vertAlign w:val="superscript"/>
        </w:rPr>
        <w:t>8</w:t>
      </w:r>
      <w:r>
        <w:t xml:space="preserve"> </w:t>
      </w:r>
      <w:r w:rsidR="001A2101">
        <w:rPr>
          <w:rFonts w:ascii="Arial" w:hAnsi="Arial" w:cs="Arial"/>
          <w:sz w:val="20"/>
          <w:szCs w:val="20"/>
        </w:rPr>
        <w:t>Professor of Vascular Surgery &amp; Honorary Consultant Surgeon, Newcastle University and Freeman Hospital, Newcastle upon Tyne, United Kingdom</w:t>
      </w:r>
      <w:r w:rsidR="001A2101">
        <w:rPr>
          <w:rFonts w:ascii="Arial" w:hAnsi="Arial" w:cs="Arial"/>
          <w:b/>
          <w:sz w:val="20"/>
          <w:szCs w:val="20"/>
        </w:rPr>
        <w:t xml:space="preserve"> </w:t>
      </w:r>
    </w:p>
    <w:p w14:paraId="6FCB5B59" w14:textId="4ADD6902" w:rsidR="001A2101" w:rsidRPr="00C72BFC" w:rsidRDefault="001A2101" w:rsidP="001A2101">
      <w:pPr>
        <w:rPr>
          <w:rFonts w:ascii="Arial" w:hAnsi="Arial" w:cs="Arial"/>
          <w:b/>
          <w:sz w:val="20"/>
          <w:szCs w:val="20"/>
          <w:vertAlign w:val="superscript"/>
        </w:rPr>
      </w:pPr>
      <w:r w:rsidRPr="00C72BFC">
        <w:rPr>
          <w:rFonts w:ascii="Arial" w:hAnsi="Arial" w:cs="Arial"/>
          <w:b/>
          <w:sz w:val="20"/>
          <w:szCs w:val="20"/>
        </w:rPr>
        <w:t xml:space="preserve"> P Barry</w:t>
      </w:r>
      <w:r>
        <w:rPr>
          <w:rFonts w:ascii="Arial" w:hAnsi="Arial" w:cs="Arial"/>
          <w:b/>
          <w:sz w:val="20"/>
          <w:szCs w:val="20"/>
        </w:rPr>
        <w:t xml:space="preserve"> </w:t>
      </w:r>
      <w:r w:rsidR="00B50CB3">
        <w:rPr>
          <w:rFonts w:ascii="Arial" w:hAnsi="Arial" w:cs="Arial"/>
          <w:b/>
          <w:sz w:val="20"/>
          <w:szCs w:val="20"/>
        </w:rPr>
        <w:t>(</w:t>
      </w:r>
      <w:r w:rsidR="0041734A">
        <w:rPr>
          <w:rFonts w:ascii="Arial" w:hAnsi="Arial" w:cs="Arial"/>
          <w:b/>
          <w:sz w:val="20"/>
          <w:szCs w:val="20"/>
        </w:rPr>
        <w:t>PhD</w:t>
      </w:r>
      <w:r w:rsidR="00B50CB3">
        <w:rPr>
          <w:rFonts w:ascii="Arial" w:hAnsi="Arial" w:cs="Arial"/>
          <w:b/>
          <w:sz w:val="20"/>
          <w:szCs w:val="20"/>
        </w:rPr>
        <w:t>)</w:t>
      </w:r>
      <w:r w:rsidR="0041734A">
        <w:rPr>
          <w:rFonts w:ascii="Arial" w:hAnsi="Arial" w:cs="Arial"/>
          <w:b/>
          <w:sz w:val="20"/>
          <w:szCs w:val="20"/>
          <w:vertAlign w:val="superscript"/>
        </w:rPr>
        <w:t>9</w:t>
      </w:r>
    </w:p>
    <w:p w14:paraId="009F559C" w14:textId="76A21A16" w:rsidR="00CB2F60" w:rsidRDefault="0041734A" w:rsidP="00CB2F60">
      <w:pPr>
        <w:rPr>
          <w:rFonts w:ascii="Arial" w:hAnsi="Arial" w:cs="Arial"/>
          <w:sz w:val="20"/>
          <w:szCs w:val="20"/>
        </w:rPr>
      </w:pPr>
      <w:r>
        <w:rPr>
          <w:rFonts w:ascii="Arial" w:hAnsi="Arial" w:cs="Arial"/>
          <w:b/>
          <w:sz w:val="20"/>
          <w:szCs w:val="20"/>
          <w:vertAlign w:val="superscript"/>
        </w:rPr>
        <w:t>9</w:t>
      </w:r>
      <w:r w:rsidRPr="00C72BFC">
        <w:rPr>
          <w:rFonts w:ascii="Arial" w:hAnsi="Arial" w:cs="Arial"/>
          <w:sz w:val="20"/>
          <w:szCs w:val="20"/>
        </w:rPr>
        <w:t xml:space="preserve">Consultant </w:t>
      </w:r>
      <w:r w:rsidR="001A2101" w:rsidRPr="00C72BFC">
        <w:rPr>
          <w:rFonts w:ascii="Arial" w:hAnsi="Arial" w:cs="Arial"/>
          <w:sz w:val="20"/>
          <w:szCs w:val="20"/>
        </w:rPr>
        <w:t xml:space="preserve">in Paediatric Intensive Care, </w:t>
      </w:r>
      <w:r w:rsidR="00730006" w:rsidRPr="00730006">
        <w:rPr>
          <w:rFonts w:ascii="Arial" w:hAnsi="Arial" w:cs="Arial"/>
          <w:sz w:val="20"/>
          <w:szCs w:val="20"/>
        </w:rPr>
        <w:t>University Hospitals of Leicester NHS Trust, Leicester, United Kingdom</w:t>
      </w:r>
    </w:p>
    <w:p w14:paraId="6EFA1B3C" w14:textId="77777777" w:rsidR="0041734A" w:rsidRDefault="0041734A" w:rsidP="00CB2F60">
      <w:pPr>
        <w:rPr>
          <w:rFonts w:ascii="Arial" w:hAnsi="Arial" w:cs="Arial"/>
          <w:sz w:val="20"/>
          <w:szCs w:val="20"/>
        </w:rPr>
      </w:pPr>
    </w:p>
    <w:p w14:paraId="0B9AADF2" w14:textId="4DB9E103" w:rsidR="00775AA1" w:rsidRDefault="00A46C08" w:rsidP="00CB2F60">
      <w:pPr>
        <w:rPr>
          <w:rFonts w:ascii="Arial" w:hAnsi="Arial" w:cs="Arial"/>
          <w:sz w:val="20"/>
          <w:szCs w:val="20"/>
        </w:rPr>
      </w:pPr>
      <w:r>
        <w:rPr>
          <w:rFonts w:ascii="Arial" w:hAnsi="Arial" w:cs="Arial"/>
          <w:sz w:val="20"/>
          <w:szCs w:val="20"/>
        </w:rPr>
        <w:t>*</w:t>
      </w:r>
      <w:r w:rsidRPr="00415C66">
        <w:rPr>
          <w:rFonts w:ascii="Arial" w:hAnsi="Arial" w:cs="Arial"/>
          <w:b/>
          <w:bCs/>
          <w:sz w:val="20"/>
          <w:szCs w:val="20"/>
        </w:rPr>
        <w:t>Corresponding author</w:t>
      </w:r>
    </w:p>
    <w:p w14:paraId="45C4185F" w14:textId="64817AC4" w:rsidR="00A46C08" w:rsidRDefault="00A46C08" w:rsidP="00CB2F60">
      <w:pPr>
        <w:rPr>
          <w:rFonts w:ascii="Arial" w:hAnsi="Arial" w:cs="Arial"/>
          <w:sz w:val="20"/>
          <w:szCs w:val="20"/>
        </w:rPr>
      </w:pPr>
      <w:r>
        <w:rPr>
          <w:rFonts w:ascii="Arial" w:hAnsi="Arial" w:cs="Arial"/>
          <w:sz w:val="20"/>
          <w:szCs w:val="20"/>
        </w:rPr>
        <w:t>Dalia Dawoud</w:t>
      </w:r>
      <w:r w:rsidR="00BF100C">
        <w:rPr>
          <w:rFonts w:ascii="Arial" w:hAnsi="Arial" w:cs="Arial"/>
          <w:sz w:val="20"/>
          <w:szCs w:val="20"/>
        </w:rPr>
        <w:t xml:space="preserve"> (PhD)</w:t>
      </w:r>
    </w:p>
    <w:p w14:paraId="22A053C7" w14:textId="67A0A656" w:rsidR="00BF100C" w:rsidRDefault="00BF100C" w:rsidP="00CB2F60">
      <w:pPr>
        <w:rPr>
          <w:rFonts w:ascii="Arial" w:hAnsi="Arial" w:cs="Arial"/>
          <w:sz w:val="20"/>
          <w:szCs w:val="20"/>
        </w:rPr>
      </w:pPr>
      <w:r>
        <w:rPr>
          <w:rFonts w:ascii="Arial" w:hAnsi="Arial" w:cs="Arial"/>
          <w:sz w:val="20"/>
          <w:szCs w:val="20"/>
        </w:rPr>
        <w:t>Mobile: +447747610292</w:t>
      </w:r>
    </w:p>
    <w:p w14:paraId="2BBAA756" w14:textId="0EE4E996" w:rsidR="00A46C08" w:rsidRDefault="00A46C08" w:rsidP="00CB2F60">
      <w:pPr>
        <w:rPr>
          <w:rFonts w:ascii="Arial" w:hAnsi="Arial" w:cs="Arial"/>
          <w:sz w:val="20"/>
          <w:szCs w:val="20"/>
        </w:rPr>
      </w:pPr>
      <w:r>
        <w:rPr>
          <w:rFonts w:ascii="Arial" w:hAnsi="Arial" w:cs="Arial"/>
          <w:sz w:val="20"/>
          <w:szCs w:val="20"/>
        </w:rPr>
        <w:t xml:space="preserve">Email: </w:t>
      </w:r>
      <w:r w:rsidRPr="00C22DD5">
        <w:rPr>
          <w:rFonts w:ascii="Arial" w:hAnsi="Arial" w:cs="Arial"/>
          <w:sz w:val="20"/>
          <w:szCs w:val="20"/>
        </w:rPr>
        <w:t>ddawoud@hotmail.com</w:t>
      </w:r>
    </w:p>
    <w:p w14:paraId="7CC0018F" w14:textId="75BC0E8B" w:rsidR="00A46C08" w:rsidRPr="00CB2F60" w:rsidRDefault="00BF100C" w:rsidP="00CB2F60">
      <w:pPr>
        <w:rPr>
          <w:rFonts w:ascii="Arial" w:hAnsi="Arial" w:cs="Arial"/>
          <w:sz w:val="20"/>
          <w:szCs w:val="20"/>
        </w:rPr>
      </w:pPr>
      <w:r>
        <w:rPr>
          <w:rFonts w:ascii="Arial" w:hAnsi="Arial" w:cs="Arial"/>
          <w:sz w:val="20"/>
          <w:szCs w:val="20"/>
        </w:rPr>
        <w:t>Address</w:t>
      </w:r>
      <w:r w:rsidR="00A46C08">
        <w:rPr>
          <w:rFonts w:ascii="Arial" w:hAnsi="Arial" w:cs="Arial"/>
          <w:sz w:val="20"/>
          <w:szCs w:val="20"/>
        </w:rPr>
        <w:t xml:space="preserve">: </w:t>
      </w:r>
      <w:r w:rsidR="000D5535">
        <w:rPr>
          <w:rFonts w:ascii="Arial" w:hAnsi="Arial" w:cs="Arial"/>
          <w:sz w:val="20"/>
          <w:szCs w:val="20"/>
        </w:rPr>
        <w:t xml:space="preserve">National Institute for Health and Care Excellence, </w:t>
      </w:r>
      <w:r w:rsidR="00A46C08">
        <w:rPr>
          <w:rFonts w:ascii="Arial" w:hAnsi="Arial" w:cs="Arial"/>
          <w:sz w:val="20"/>
          <w:szCs w:val="20"/>
        </w:rPr>
        <w:t xml:space="preserve">10 Spring Gardens, London, </w:t>
      </w:r>
      <w:r w:rsidR="00A46C08" w:rsidRPr="00A46C08">
        <w:rPr>
          <w:rFonts w:ascii="Arial" w:hAnsi="Arial" w:cs="Arial"/>
          <w:sz w:val="20"/>
          <w:szCs w:val="20"/>
        </w:rPr>
        <w:t>SW1A 2BU</w:t>
      </w:r>
      <w:r w:rsidR="0041734A">
        <w:rPr>
          <w:rFonts w:ascii="Arial" w:hAnsi="Arial" w:cs="Arial"/>
          <w:sz w:val="20"/>
          <w:szCs w:val="20"/>
        </w:rPr>
        <w:t>, United Kingdom</w:t>
      </w:r>
    </w:p>
    <w:p w14:paraId="4D1B418F" w14:textId="77777777" w:rsidR="00A46C08" w:rsidRDefault="00A46C08" w:rsidP="00775AA1">
      <w:pPr>
        <w:spacing w:line="480" w:lineRule="auto"/>
        <w:rPr>
          <w:rFonts w:ascii="Arial" w:hAnsi="Arial" w:cs="Arial"/>
          <w:b/>
          <w:sz w:val="20"/>
          <w:szCs w:val="20"/>
          <w:u w:val="single"/>
        </w:rPr>
      </w:pPr>
    </w:p>
    <w:p w14:paraId="44EE6F62" w14:textId="40FD365C" w:rsidR="00775AA1" w:rsidRPr="001710FD" w:rsidRDefault="00775AA1" w:rsidP="00775AA1">
      <w:pPr>
        <w:spacing w:line="480" w:lineRule="auto"/>
        <w:rPr>
          <w:rFonts w:ascii="Arial" w:hAnsi="Arial" w:cs="Arial"/>
          <w:b/>
          <w:sz w:val="20"/>
          <w:szCs w:val="20"/>
          <w:u w:val="single"/>
        </w:rPr>
      </w:pPr>
      <w:r w:rsidRPr="001710FD">
        <w:rPr>
          <w:rFonts w:ascii="Arial" w:hAnsi="Arial" w:cs="Arial"/>
          <w:b/>
          <w:sz w:val="20"/>
          <w:szCs w:val="20"/>
          <w:u w:val="single"/>
        </w:rPr>
        <w:t>Summary</w:t>
      </w:r>
    </w:p>
    <w:p w14:paraId="0A33E9DB" w14:textId="77777777" w:rsidR="00775AA1" w:rsidRPr="003C05B0" w:rsidRDefault="00775AA1" w:rsidP="00775AA1">
      <w:pPr>
        <w:spacing w:line="480" w:lineRule="auto"/>
        <w:rPr>
          <w:rFonts w:ascii="Arial" w:hAnsi="Arial" w:cs="Arial"/>
          <w:b/>
          <w:i/>
          <w:sz w:val="20"/>
          <w:szCs w:val="20"/>
        </w:rPr>
      </w:pPr>
      <w:r w:rsidRPr="003C05B0">
        <w:rPr>
          <w:rFonts w:ascii="Arial" w:hAnsi="Arial" w:cs="Arial"/>
          <w:b/>
          <w:i/>
          <w:sz w:val="20"/>
          <w:szCs w:val="20"/>
        </w:rPr>
        <w:t>Background</w:t>
      </w:r>
    </w:p>
    <w:p w14:paraId="58E7E61A" w14:textId="43CFC730" w:rsidR="00775AA1" w:rsidRPr="003C05B0" w:rsidRDefault="003B662C" w:rsidP="00775AA1">
      <w:pPr>
        <w:spacing w:line="480" w:lineRule="auto"/>
        <w:rPr>
          <w:rFonts w:ascii="Arial" w:hAnsi="Arial" w:cs="Arial"/>
          <w:sz w:val="20"/>
          <w:szCs w:val="20"/>
        </w:rPr>
      </w:pPr>
      <w:r>
        <w:rPr>
          <w:rFonts w:ascii="Arial" w:hAnsi="Arial" w:cs="Arial"/>
          <w:sz w:val="20"/>
          <w:szCs w:val="20"/>
        </w:rPr>
        <w:t>Hospital-associated v</w:t>
      </w:r>
      <w:r w:rsidRPr="003C05B0">
        <w:rPr>
          <w:rFonts w:ascii="Arial" w:hAnsi="Arial" w:cs="Arial"/>
          <w:sz w:val="20"/>
          <w:szCs w:val="20"/>
        </w:rPr>
        <w:t xml:space="preserve">enous thromboembolism (VTE) </w:t>
      </w:r>
      <w:r>
        <w:rPr>
          <w:rFonts w:ascii="Arial" w:hAnsi="Arial" w:cs="Arial"/>
          <w:sz w:val="20"/>
          <w:szCs w:val="20"/>
        </w:rPr>
        <w:t xml:space="preserve">is a major </w:t>
      </w:r>
      <w:r w:rsidRPr="003C05B0">
        <w:rPr>
          <w:rFonts w:ascii="Arial" w:hAnsi="Arial" w:cs="Arial"/>
          <w:sz w:val="20"/>
          <w:szCs w:val="20"/>
        </w:rPr>
        <w:t xml:space="preserve">patient safety </w:t>
      </w:r>
      <w:r>
        <w:rPr>
          <w:rFonts w:ascii="Arial" w:hAnsi="Arial" w:cs="Arial"/>
          <w:sz w:val="20"/>
          <w:szCs w:val="20"/>
        </w:rPr>
        <w:t>concern</w:t>
      </w:r>
      <w:r w:rsidRPr="003C05B0">
        <w:rPr>
          <w:rFonts w:ascii="Arial" w:hAnsi="Arial" w:cs="Arial"/>
          <w:sz w:val="20"/>
          <w:szCs w:val="20"/>
        </w:rPr>
        <w:t xml:space="preserve">. </w:t>
      </w:r>
      <w:r>
        <w:rPr>
          <w:rFonts w:ascii="Arial" w:hAnsi="Arial" w:cs="Arial"/>
          <w:sz w:val="20"/>
          <w:szCs w:val="20"/>
        </w:rPr>
        <w:t xml:space="preserve">Provision of </w:t>
      </w:r>
      <w:r w:rsidRPr="003C05B0">
        <w:rPr>
          <w:rFonts w:ascii="Arial" w:hAnsi="Arial" w:cs="Arial"/>
          <w:sz w:val="20"/>
          <w:szCs w:val="20"/>
        </w:rPr>
        <w:t xml:space="preserve">prophylaxis </w:t>
      </w:r>
      <w:r>
        <w:rPr>
          <w:rFonts w:ascii="Arial" w:hAnsi="Arial" w:cs="Arial"/>
          <w:sz w:val="20"/>
          <w:szCs w:val="20"/>
        </w:rPr>
        <w:t>to</w:t>
      </w:r>
      <w:r w:rsidRPr="003C05B0">
        <w:rPr>
          <w:rFonts w:ascii="Arial" w:hAnsi="Arial" w:cs="Arial"/>
          <w:sz w:val="20"/>
          <w:szCs w:val="20"/>
        </w:rPr>
        <w:t xml:space="preserve"> </w:t>
      </w:r>
      <w:r>
        <w:rPr>
          <w:rFonts w:ascii="Arial" w:hAnsi="Arial" w:cs="Arial"/>
          <w:sz w:val="20"/>
          <w:szCs w:val="20"/>
        </w:rPr>
        <w:t>people admitted for elective total knee replacement (</w:t>
      </w:r>
      <w:proofErr w:type="spellStart"/>
      <w:r>
        <w:rPr>
          <w:rFonts w:ascii="Arial" w:hAnsi="Arial" w:cs="Arial"/>
          <w:sz w:val="20"/>
          <w:szCs w:val="20"/>
        </w:rPr>
        <w:t>eTKR</w:t>
      </w:r>
      <w:proofErr w:type="spellEnd"/>
      <w:r>
        <w:rPr>
          <w:rFonts w:ascii="Arial" w:hAnsi="Arial" w:cs="Arial"/>
          <w:sz w:val="20"/>
          <w:szCs w:val="20"/>
        </w:rPr>
        <w:t>) has been proposed as an effective strategy to reduce VTE events.</w:t>
      </w:r>
      <w:r w:rsidR="00967998">
        <w:rPr>
          <w:rFonts w:ascii="Arial" w:hAnsi="Arial" w:cs="Arial"/>
          <w:sz w:val="20"/>
          <w:szCs w:val="20"/>
        </w:rPr>
        <w:t xml:space="preserve"> The aim of this study was to assess the relative efficacy and safety of available VTE prophylaxis strategies.  </w:t>
      </w:r>
    </w:p>
    <w:p w14:paraId="53735513" w14:textId="77777777" w:rsidR="00775AA1" w:rsidRPr="003C05B0" w:rsidRDefault="00775AA1" w:rsidP="00775AA1">
      <w:pPr>
        <w:spacing w:line="480" w:lineRule="auto"/>
        <w:rPr>
          <w:rFonts w:ascii="Arial" w:hAnsi="Arial" w:cs="Arial"/>
          <w:b/>
          <w:i/>
          <w:sz w:val="20"/>
          <w:szCs w:val="20"/>
        </w:rPr>
      </w:pPr>
      <w:r w:rsidRPr="003C05B0">
        <w:rPr>
          <w:rFonts w:ascii="Arial" w:hAnsi="Arial" w:cs="Arial"/>
          <w:b/>
          <w:i/>
          <w:sz w:val="20"/>
          <w:szCs w:val="20"/>
        </w:rPr>
        <w:t>Methods</w:t>
      </w:r>
    </w:p>
    <w:p w14:paraId="0A93ADBF" w14:textId="67727FD6" w:rsidR="00775AA1" w:rsidRPr="003C05B0" w:rsidRDefault="00E35550" w:rsidP="00775AA1">
      <w:pPr>
        <w:spacing w:line="480" w:lineRule="auto"/>
        <w:rPr>
          <w:rFonts w:ascii="Arial" w:hAnsi="Arial" w:cs="Arial"/>
          <w:sz w:val="20"/>
          <w:szCs w:val="20"/>
        </w:rPr>
      </w:pPr>
      <w:r>
        <w:rPr>
          <w:rFonts w:ascii="Arial" w:hAnsi="Arial" w:cs="Arial"/>
          <w:sz w:val="20"/>
          <w:szCs w:val="20"/>
        </w:rPr>
        <w:t>S</w:t>
      </w:r>
      <w:r w:rsidR="003B662C">
        <w:rPr>
          <w:rFonts w:ascii="Arial" w:hAnsi="Arial" w:cs="Arial"/>
          <w:sz w:val="20"/>
          <w:szCs w:val="20"/>
        </w:rPr>
        <w:t xml:space="preserve">ystematic review </w:t>
      </w:r>
      <w:r w:rsidR="003B662C" w:rsidRPr="003C05B0">
        <w:rPr>
          <w:rFonts w:ascii="Arial" w:hAnsi="Arial" w:cs="Arial"/>
          <w:sz w:val="20"/>
          <w:szCs w:val="20"/>
        </w:rPr>
        <w:t xml:space="preserve">and </w:t>
      </w:r>
      <w:r w:rsidR="003B662C">
        <w:rPr>
          <w:rFonts w:ascii="Arial" w:hAnsi="Arial" w:cs="Arial"/>
          <w:sz w:val="20"/>
          <w:szCs w:val="20"/>
        </w:rPr>
        <w:t>network meta-analys</w:t>
      </w:r>
      <w:r>
        <w:rPr>
          <w:rFonts w:ascii="Arial" w:hAnsi="Arial" w:cs="Arial"/>
          <w:sz w:val="20"/>
          <w:szCs w:val="20"/>
        </w:rPr>
        <w:t>e</w:t>
      </w:r>
      <w:r w:rsidR="003B662C">
        <w:rPr>
          <w:rFonts w:ascii="Arial" w:hAnsi="Arial" w:cs="Arial"/>
          <w:sz w:val="20"/>
          <w:szCs w:val="20"/>
        </w:rPr>
        <w:t xml:space="preserve">s </w:t>
      </w:r>
      <w:r>
        <w:rPr>
          <w:rFonts w:ascii="Arial" w:hAnsi="Arial" w:cs="Arial"/>
          <w:sz w:val="20"/>
          <w:szCs w:val="20"/>
        </w:rPr>
        <w:t xml:space="preserve">of randomised controlled trials </w:t>
      </w:r>
      <w:r w:rsidR="003B662C" w:rsidRPr="003C05B0">
        <w:rPr>
          <w:rFonts w:ascii="Arial" w:hAnsi="Arial" w:cs="Arial"/>
          <w:sz w:val="20"/>
          <w:szCs w:val="20"/>
        </w:rPr>
        <w:t xml:space="preserve">were </w:t>
      </w:r>
      <w:r w:rsidR="00530894">
        <w:rPr>
          <w:rFonts w:ascii="Arial" w:hAnsi="Arial" w:cs="Arial"/>
          <w:sz w:val="20"/>
          <w:szCs w:val="20"/>
        </w:rPr>
        <w:t>conducted</w:t>
      </w:r>
      <w:r>
        <w:rPr>
          <w:rFonts w:ascii="Arial" w:hAnsi="Arial" w:cs="Arial"/>
          <w:sz w:val="20"/>
          <w:szCs w:val="20"/>
        </w:rPr>
        <w:t xml:space="preserve"> </w:t>
      </w:r>
      <w:r w:rsidR="003B662C">
        <w:rPr>
          <w:rFonts w:ascii="Arial" w:hAnsi="Arial" w:cs="Arial"/>
          <w:sz w:val="20"/>
          <w:szCs w:val="20"/>
        </w:rPr>
        <w:t xml:space="preserve">to assess the relative efficacy and safety </w:t>
      </w:r>
      <w:r>
        <w:rPr>
          <w:rFonts w:ascii="Arial" w:hAnsi="Arial" w:cs="Arial"/>
          <w:sz w:val="20"/>
          <w:szCs w:val="20"/>
        </w:rPr>
        <w:t>o</w:t>
      </w:r>
      <w:r w:rsidR="003B662C">
        <w:rPr>
          <w:rFonts w:ascii="Arial" w:hAnsi="Arial" w:cs="Arial"/>
          <w:sz w:val="20"/>
          <w:szCs w:val="20"/>
        </w:rPr>
        <w:t xml:space="preserve">f VTE prophylaxis strategies </w:t>
      </w:r>
      <w:r>
        <w:rPr>
          <w:rFonts w:ascii="Arial" w:hAnsi="Arial" w:cs="Arial"/>
          <w:sz w:val="20"/>
          <w:szCs w:val="20"/>
        </w:rPr>
        <w:t>to populate an economic model that assessed the cost effectiveness of these strategies and informed NICE</w:t>
      </w:r>
      <w:r w:rsidRPr="00E35550">
        <w:rPr>
          <w:rFonts w:ascii="Arial" w:hAnsi="Arial" w:cs="Arial"/>
          <w:sz w:val="20"/>
          <w:szCs w:val="20"/>
        </w:rPr>
        <w:t xml:space="preserve"> guideline recommendation for the </w:t>
      </w:r>
      <w:proofErr w:type="spellStart"/>
      <w:r w:rsidRPr="00E35550">
        <w:rPr>
          <w:rFonts w:ascii="Arial" w:hAnsi="Arial" w:cs="Arial"/>
          <w:sz w:val="20"/>
          <w:szCs w:val="20"/>
        </w:rPr>
        <w:t>eTKR</w:t>
      </w:r>
      <w:proofErr w:type="spellEnd"/>
      <w:r w:rsidRPr="00E35550">
        <w:rPr>
          <w:rFonts w:ascii="Arial" w:hAnsi="Arial" w:cs="Arial"/>
          <w:sz w:val="20"/>
          <w:szCs w:val="20"/>
        </w:rPr>
        <w:t xml:space="preserve"> surgery population in the updated guideline, NG89</w:t>
      </w:r>
      <w:r w:rsidR="003B662C">
        <w:rPr>
          <w:rFonts w:ascii="Arial" w:hAnsi="Arial" w:cs="Arial"/>
          <w:sz w:val="20"/>
          <w:szCs w:val="20"/>
        </w:rPr>
        <w:t>.</w:t>
      </w:r>
      <w:r w:rsidR="003B662C" w:rsidRPr="003C05B0">
        <w:rPr>
          <w:rFonts w:ascii="Arial" w:hAnsi="Arial" w:cs="Arial"/>
          <w:sz w:val="20"/>
          <w:szCs w:val="20"/>
        </w:rPr>
        <w:t xml:space="preserve"> Cochrane Library (CENTRAL), </w:t>
      </w:r>
      <w:r w:rsidR="0046609A" w:rsidRPr="003C05B0">
        <w:rPr>
          <w:rFonts w:ascii="Arial" w:hAnsi="Arial" w:cs="Arial"/>
          <w:sz w:val="20"/>
          <w:szCs w:val="20"/>
        </w:rPr>
        <w:t xml:space="preserve">EMBASE and Medline were </w:t>
      </w:r>
      <w:r w:rsidR="00530894">
        <w:rPr>
          <w:rFonts w:ascii="Arial" w:hAnsi="Arial" w:cs="Arial"/>
          <w:sz w:val="20"/>
          <w:szCs w:val="20"/>
        </w:rPr>
        <w:t xml:space="preserve">last </w:t>
      </w:r>
      <w:r w:rsidR="0046609A" w:rsidRPr="003C05B0">
        <w:rPr>
          <w:rFonts w:ascii="Arial" w:hAnsi="Arial" w:cs="Arial"/>
          <w:sz w:val="20"/>
          <w:szCs w:val="20"/>
        </w:rPr>
        <w:t>searched</w:t>
      </w:r>
      <w:r w:rsidR="00967998">
        <w:rPr>
          <w:rFonts w:ascii="Arial" w:hAnsi="Arial" w:cs="Arial"/>
          <w:sz w:val="20"/>
          <w:szCs w:val="20"/>
        </w:rPr>
        <w:t xml:space="preserve"> </w:t>
      </w:r>
      <w:r w:rsidR="00530894">
        <w:rPr>
          <w:rFonts w:ascii="Arial" w:hAnsi="Arial" w:cs="Arial"/>
          <w:sz w:val="20"/>
          <w:szCs w:val="20"/>
        </w:rPr>
        <w:t xml:space="preserve">on 19 June 2017 </w:t>
      </w:r>
      <w:r w:rsidR="00967998">
        <w:rPr>
          <w:rFonts w:ascii="Arial" w:hAnsi="Arial" w:cs="Arial"/>
          <w:sz w:val="20"/>
          <w:szCs w:val="20"/>
        </w:rPr>
        <w:t>using the key terms relating to the population (VTE and TKR) and the interventions compared</w:t>
      </w:r>
      <w:r w:rsidR="0046609A" w:rsidRPr="003C05B0">
        <w:rPr>
          <w:rFonts w:ascii="Arial" w:hAnsi="Arial" w:cs="Arial"/>
          <w:sz w:val="20"/>
          <w:szCs w:val="20"/>
        </w:rPr>
        <w:t xml:space="preserve">. </w:t>
      </w:r>
      <w:r w:rsidR="0046609A">
        <w:rPr>
          <w:rFonts w:ascii="Arial" w:hAnsi="Arial" w:cs="Arial"/>
          <w:sz w:val="20"/>
          <w:szCs w:val="20"/>
        </w:rPr>
        <w:t xml:space="preserve">The </w:t>
      </w:r>
      <w:r w:rsidR="00775AA1" w:rsidRPr="003C05B0">
        <w:rPr>
          <w:rFonts w:ascii="Arial" w:hAnsi="Arial" w:cs="Arial"/>
          <w:sz w:val="20"/>
          <w:szCs w:val="20"/>
        </w:rPr>
        <w:t>outcomes</w:t>
      </w:r>
      <w:r w:rsidR="0046609A">
        <w:rPr>
          <w:rFonts w:ascii="Arial" w:hAnsi="Arial" w:cs="Arial"/>
          <w:sz w:val="20"/>
          <w:szCs w:val="20"/>
        </w:rPr>
        <w:t xml:space="preserve"> were</w:t>
      </w:r>
      <w:r w:rsidR="00775AA1" w:rsidRPr="003C05B0">
        <w:rPr>
          <w:rFonts w:ascii="Arial" w:hAnsi="Arial" w:cs="Arial"/>
          <w:sz w:val="20"/>
          <w:szCs w:val="20"/>
        </w:rPr>
        <w:t xml:space="preserve">: deep vein </w:t>
      </w:r>
      <w:r w:rsidR="00775AA1" w:rsidRPr="003C05B0">
        <w:rPr>
          <w:rFonts w:ascii="Arial" w:hAnsi="Arial" w:cs="Arial"/>
          <w:sz w:val="20"/>
          <w:szCs w:val="20"/>
        </w:rPr>
        <w:lastRenderedPageBreak/>
        <w:t>thrombosis (DVT)</w:t>
      </w:r>
      <w:r w:rsidR="00967998">
        <w:rPr>
          <w:rFonts w:ascii="Arial" w:hAnsi="Arial" w:cs="Arial"/>
          <w:sz w:val="20"/>
          <w:szCs w:val="20"/>
        </w:rPr>
        <w:t xml:space="preserve"> (symptomatic and asymptomatic)</w:t>
      </w:r>
      <w:r w:rsidR="00775AA1" w:rsidRPr="003C05B0">
        <w:rPr>
          <w:rFonts w:ascii="Arial" w:hAnsi="Arial" w:cs="Arial"/>
          <w:sz w:val="20"/>
          <w:szCs w:val="20"/>
        </w:rPr>
        <w:t xml:space="preserve">, pulmonary embolism (PE) and major bleeding (MB). </w:t>
      </w:r>
      <w:r w:rsidR="00612CEF">
        <w:rPr>
          <w:rFonts w:ascii="Arial" w:hAnsi="Arial" w:cs="Arial"/>
          <w:sz w:val="20"/>
          <w:szCs w:val="20"/>
        </w:rPr>
        <w:t xml:space="preserve">Risk of bias was </w:t>
      </w:r>
      <w:r w:rsidR="003768DF">
        <w:rPr>
          <w:rFonts w:ascii="Arial" w:hAnsi="Arial" w:cs="Arial"/>
          <w:sz w:val="20"/>
          <w:szCs w:val="20"/>
        </w:rPr>
        <w:t>assessed,</w:t>
      </w:r>
      <w:r w:rsidR="00612CEF">
        <w:rPr>
          <w:rFonts w:ascii="Arial" w:hAnsi="Arial" w:cs="Arial"/>
          <w:sz w:val="20"/>
          <w:szCs w:val="20"/>
        </w:rPr>
        <w:t xml:space="preserve"> and data extracted for </w:t>
      </w:r>
      <w:r>
        <w:rPr>
          <w:rFonts w:ascii="Arial" w:hAnsi="Arial" w:cs="Arial"/>
          <w:sz w:val="20"/>
          <w:szCs w:val="20"/>
        </w:rPr>
        <w:t>the network meta-analyses</w:t>
      </w:r>
      <w:r w:rsidR="00612CEF">
        <w:rPr>
          <w:rFonts w:ascii="Arial" w:hAnsi="Arial" w:cs="Arial"/>
          <w:sz w:val="20"/>
          <w:szCs w:val="20"/>
        </w:rPr>
        <w:t>.</w:t>
      </w:r>
      <w:r w:rsidR="00775AA1" w:rsidRPr="003C05B0">
        <w:rPr>
          <w:rFonts w:ascii="Arial" w:hAnsi="Arial" w:cs="Arial"/>
          <w:sz w:val="20"/>
          <w:szCs w:val="20"/>
        </w:rPr>
        <w:t xml:space="preserve"> </w:t>
      </w:r>
      <w:r w:rsidR="00BE1C03">
        <w:rPr>
          <w:rFonts w:ascii="Arial" w:hAnsi="Arial" w:cs="Arial"/>
          <w:sz w:val="20"/>
          <w:szCs w:val="20"/>
        </w:rPr>
        <w:t xml:space="preserve">Relative risks </w:t>
      </w:r>
      <w:r w:rsidR="00775AA1" w:rsidRPr="003C05B0">
        <w:rPr>
          <w:rFonts w:ascii="Arial" w:hAnsi="Arial" w:cs="Arial"/>
          <w:sz w:val="20"/>
          <w:szCs w:val="20"/>
        </w:rPr>
        <w:t>compared to no prophylaxis</w:t>
      </w:r>
      <w:r w:rsidR="00BE1C03">
        <w:rPr>
          <w:rFonts w:ascii="Arial" w:hAnsi="Arial" w:cs="Arial"/>
          <w:sz w:val="20"/>
          <w:szCs w:val="20"/>
        </w:rPr>
        <w:t xml:space="preserve">, </w:t>
      </w:r>
      <w:r w:rsidR="0046609A">
        <w:rPr>
          <w:rFonts w:ascii="Arial" w:hAnsi="Arial" w:cs="Arial"/>
          <w:sz w:val="20"/>
          <w:szCs w:val="20"/>
        </w:rPr>
        <w:t>r</w:t>
      </w:r>
      <w:r w:rsidR="0046609A" w:rsidRPr="003C05B0">
        <w:rPr>
          <w:rFonts w:ascii="Arial" w:hAnsi="Arial" w:cs="Arial"/>
          <w:sz w:val="20"/>
          <w:szCs w:val="20"/>
        </w:rPr>
        <w:t>anks and probability of being the best</w:t>
      </w:r>
      <w:r w:rsidR="0046609A">
        <w:rPr>
          <w:rFonts w:ascii="Arial" w:hAnsi="Arial" w:cs="Arial"/>
          <w:sz w:val="20"/>
          <w:szCs w:val="20"/>
        </w:rPr>
        <w:t xml:space="preserve"> were calculated. </w:t>
      </w:r>
      <w:r w:rsidR="00967998">
        <w:rPr>
          <w:rFonts w:ascii="Arial" w:hAnsi="Arial" w:cs="Arial"/>
          <w:sz w:val="20"/>
          <w:szCs w:val="20"/>
        </w:rPr>
        <w:t>The study was undertaken in accordance with PRISMA guidelines.</w:t>
      </w:r>
    </w:p>
    <w:p w14:paraId="5E7D24D1" w14:textId="4FB10714" w:rsidR="00775AA1" w:rsidRPr="003C05B0" w:rsidRDefault="00015FD7" w:rsidP="00775AA1">
      <w:pPr>
        <w:spacing w:line="480" w:lineRule="auto"/>
        <w:rPr>
          <w:rFonts w:ascii="Arial" w:hAnsi="Arial" w:cs="Arial"/>
          <w:b/>
          <w:i/>
          <w:sz w:val="20"/>
          <w:szCs w:val="20"/>
        </w:rPr>
      </w:pPr>
      <w:r>
        <w:rPr>
          <w:rFonts w:ascii="Arial" w:hAnsi="Arial" w:cs="Arial"/>
          <w:b/>
          <w:i/>
          <w:sz w:val="20"/>
          <w:szCs w:val="20"/>
        </w:rPr>
        <w:t>Findings</w:t>
      </w:r>
    </w:p>
    <w:p w14:paraId="01FA5B1E" w14:textId="7246DD24" w:rsidR="00775AA1" w:rsidRPr="003C05B0" w:rsidRDefault="00775AA1" w:rsidP="00775AA1">
      <w:pPr>
        <w:spacing w:line="480" w:lineRule="auto"/>
        <w:rPr>
          <w:rFonts w:ascii="Arial" w:hAnsi="Arial" w:cs="Arial"/>
          <w:sz w:val="20"/>
          <w:szCs w:val="20"/>
        </w:rPr>
      </w:pPr>
      <w:r w:rsidRPr="003C05B0">
        <w:rPr>
          <w:rFonts w:ascii="Arial" w:hAnsi="Arial" w:cs="Arial"/>
          <w:sz w:val="20"/>
          <w:szCs w:val="20"/>
        </w:rPr>
        <w:t xml:space="preserve">Twenty-three </w:t>
      </w:r>
      <w:r w:rsidR="00E35550">
        <w:rPr>
          <w:rFonts w:ascii="Arial" w:hAnsi="Arial" w:cs="Arial"/>
          <w:sz w:val="20"/>
          <w:szCs w:val="20"/>
        </w:rPr>
        <w:t>trials</w:t>
      </w:r>
      <w:r w:rsidR="00E35550" w:rsidRPr="003C05B0">
        <w:rPr>
          <w:rFonts w:ascii="Arial" w:hAnsi="Arial" w:cs="Arial"/>
          <w:sz w:val="20"/>
          <w:szCs w:val="20"/>
        </w:rPr>
        <w:t xml:space="preserve"> </w:t>
      </w:r>
      <w:r w:rsidRPr="003C05B0">
        <w:rPr>
          <w:rFonts w:ascii="Arial" w:hAnsi="Arial" w:cs="Arial"/>
          <w:sz w:val="20"/>
          <w:szCs w:val="20"/>
        </w:rPr>
        <w:t xml:space="preserve">(19 interventions; n=15,028) were included in the DVT, 12 in the PE (13 interventions; n=15,555) and 19 in the MB (11 interventions; n=19,797) networks. </w:t>
      </w:r>
      <w:r w:rsidR="000426A4">
        <w:rPr>
          <w:rFonts w:ascii="Arial" w:hAnsi="Arial" w:cs="Arial"/>
          <w:sz w:val="20"/>
          <w:szCs w:val="20"/>
        </w:rPr>
        <w:t xml:space="preserve">Risk of bias ranged from very low to high. </w:t>
      </w:r>
      <w:r w:rsidRPr="003C05B0">
        <w:rPr>
          <w:rFonts w:ascii="Arial" w:hAnsi="Arial" w:cs="Arial"/>
          <w:sz w:val="20"/>
          <w:szCs w:val="20"/>
        </w:rPr>
        <w:t xml:space="preserve">Rivaroxaban </w:t>
      </w:r>
      <w:r w:rsidR="00211E2E">
        <w:rPr>
          <w:rFonts w:ascii="Arial" w:hAnsi="Arial" w:cs="Arial"/>
          <w:sz w:val="20"/>
          <w:szCs w:val="20"/>
        </w:rPr>
        <w:t>ranked first</w:t>
      </w:r>
      <w:r w:rsidRPr="003C05B0">
        <w:rPr>
          <w:rFonts w:ascii="Arial" w:hAnsi="Arial" w:cs="Arial"/>
          <w:sz w:val="20"/>
          <w:szCs w:val="20"/>
        </w:rPr>
        <w:t xml:space="preserve"> for DVT prevention (RR=0.12</w:t>
      </w:r>
      <w:r w:rsidR="00112A1C">
        <w:rPr>
          <w:rFonts w:ascii="Arial" w:hAnsi="Arial" w:cs="Arial"/>
          <w:sz w:val="20"/>
          <w:szCs w:val="20"/>
        </w:rPr>
        <w:t xml:space="preserve"> [</w:t>
      </w:r>
      <w:r w:rsidR="0092597E" w:rsidRPr="00CF1AA8">
        <w:rPr>
          <w:rFonts w:ascii="Arial" w:eastAsia="Times New Roman" w:hAnsi="Arial" w:cs="Arial"/>
          <w:sz w:val="20"/>
          <w:szCs w:val="20"/>
          <w:lang w:eastAsia="en-GB"/>
        </w:rPr>
        <w:t>0.06 to 0.22</w:t>
      </w:r>
      <w:r w:rsidR="00112A1C">
        <w:rPr>
          <w:rFonts w:ascii="Arial" w:hAnsi="Arial" w:cs="Arial"/>
          <w:sz w:val="20"/>
          <w:szCs w:val="20"/>
        </w:rPr>
        <w:t>]</w:t>
      </w:r>
      <w:r w:rsidRPr="003C05B0">
        <w:rPr>
          <w:rFonts w:ascii="Arial" w:hAnsi="Arial" w:cs="Arial"/>
          <w:sz w:val="20"/>
          <w:szCs w:val="20"/>
        </w:rPr>
        <w:t>). Low-molecular-weight-heparin (LMWH) (standard prophylactic dose, for 28-35 days</w:t>
      </w:r>
      <w:r w:rsidR="00211E2E">
        <w:rPr>
          <w:rFonts w:ascii="Arial" w:hAnsi="Arial" w:cs="Arial"/>
          <w:sz w:val="20"/>
          <w:szCs w:val="20"/>
        </w:rPr>
        <w:t>)</w:t>
      </w:r>
      <w:r w:rsidRPr="003C05B0">
        <w:rPr>
          <w:rFonts w:ascii="Arial" w:hAnsi="Arial" w:cs="Arial"/>
          <w:sz w:val="20"/>
          <w:szCs w:val="20"/>
        </w:rPr>
        <w:t xml:space="preserve"> ranked first in the PE network (RR = 0.02 </w:t>
      </w:r>
      <w:r w:rsidR="00112A1C">
        <w:rPr>
          <w:rFonts w:ascii="Arial" w:hAnsi="Arial" w:cs="Arial"/>
          <w:sz w:val="20"/>
          <w:szCs w:val="20"/>
        </w:rPr>
        <w:t>[</w:t>
      </w:r>
      <w:r w:rsidRPr="003C05B0">
        <w:rPr>
          <w:rFonts w:ascii="Arial" w:hAnsi="Arial" w:cs="Arial"/>
          <w:sz w:val="20"/>
          <w:szCs w:val="20"/>
        </w:rPr>
        <w:t>0.00 to 3.86</w:t>
      </w:r>
      <w:r w:rsidR="00112A1C">
        <w:rPr>
          <w:rFonts w:ascii="Arial" w:hAnsi="Arial" w:cs="Arial"/>
          <w:sz w:val="20"/>
          <w:szCs w:val="20"/>
        </w:rPr>
        <w:t>]</w:t>
      </w:r>
      <w:r w:rsidRPr="003C05B0">
        <w:rPr>
          <w:rFonts w:ascii="Arial" w:hAnsi="Arial" w:cs="Arial"/>
          <w:sz w:val="20"/>
          <w:szCs w:val="20"/>
        </w:rPr>
        <w:t>)</w:t>
      </w:r>
      <w:r w:rsidR="00D12681">
        <w:rPr>
          <w:rFonts w:ascii="Arial" w:hAnsi="Arial" w:cs="Arial"/>
          <w:sz w:val="20"/>
          <w:szCs w:val="20"/>
        </w:rPr>
        <w:t xml:space="preserve"> and</w:t>
      </w:r>
      <w:r w:rsidRPr="003C05B0">
        <w:rPr>
          <w:rFonts w:ascii="Arial" w:hAnsi="Arial" w:cs="Arial"/>
          <w:sz w:val="20"/>
          <w:szCs w:val="20"/>
        </w:rPr>
        <w:t xml:space="preserve"> LMWH (low prophylactic dose for 14 days) ranked first in the MB network (</w:t>
      </w:r>
      <w:r w:rsidRPr="00CF1AA8">
        <w:rPr>
          <w:rFonts w:ascii="Arial" w:hAnsi="Arial" w:cs="Arial"/>
          <w:sz w:val="20"/>
          <w:szCs w:val="20"/>
        </w:rPr>
        <w:t xml:space="preserve">OR = </w:t>
      </w:r>
      <w:r w:rsidR="00FE653C" w:rsidRPr="00CF1AA8">
        <w:rPr>
          <w:rFonts w:ascii="Arial" w:hAnsi="Arial" w:cs="Arial"/>
          <w:sz w:val="20"/>
          <w:szCs w:val="20"/>
        </w:rPr>
        <w:t>0.08</w:t>
      </w:r>
      <w:r w:rsidRPr="00CF1AA8">
        <w:rPr>
          <w:rFonts w:ascii="Arial" w:hAnsi="Arial" w:cs="Arial"/>
          <w:sz w:val="20"/>
          <w:szCs w:val="20"/>
        </w:rPr>
        <w:t xml:space="preserve"> </w:t>
      </w:r>
      <w:r w:rsidR="00112A1C" w:rsidRPr="00CF1AA8">
        <w:rPr>
          <w:rFonts w:ascii="Arial" w:hAnsi="Arial" w:cs="Arial"/>
          <w:sz w:val="20"/>
          <w:szCs w:val="20"/>
        </w:rPr>
        <w:t>[</w:t>
      </w:r>
      <w:r w:rsidRPr="00CF1AA8">
        <w:rPr>
          <w:rFonts w:ascii="Arial" w:hAnsi="Arial" w:cs="Arial"/>
          <w:sz w:val="20"/>
          <w:szCs w:val="20"/>
        </w:rPr>
        <w:t>0.0</w:t>
      </w:r>
      <w:r w:rsidR="00FE653C" w:rsidRPr="00CF1AA8">
        <w:rPr>
          <w:rFonts w:ascii="Arial" w:hAnsi="Arial" w:cs="Arial"/>
          <w:sz w:val="20"/>
          <w:szCs w:val="20"/>
        </w:rPr>
        <w:t>0</w:t>
      </w:r>
      <w:r w:rsidRPr="00CF1AA8">
        <w:rPr>
          <w:rFonts w:ascii="Arial" w:hAnsi="Arial" w:cs="Arial"/>
          <w:sz w:val="20"/>
          <w:szCs w:val="20"/>
        </w:rPr>
        <w:t xml:space="preserve"> to </w:t>
      </w:r>
      <w:r w:rsidR="00FE653C" w:rsidRPr="00CF1AA8">
        <w:rPr>
          <w:rFonts w:ascii="Arial" w:hAnsi="Arial" w:cs="Arial"/>
          <w:sz w:val="20"/>
          <w:szCs w:val="20"/>
        </w:rPr>
        <w:t>1.76</w:t>
      </w:r>
      <w:r w:rsidR="00112A1C" w:rsidRPr="00CF1AA8">
        <w:rPr>
          <w:rFonts w:ascii="Arial" w:hAnsi="Arial" w:cs="Arial"/>
          <w:sz w:val="20"/>
          <w:szCs w:val="20"/>
        </w:rPr>
        <w:t>]</w:t>
      </w:r>
      <w:r w:rsidRPr="00CF1AA8">
        <w:rPr>
          <w:rFonts w:ascii="Arial" w:hAnsi="Arial" w:cs="Arial"/>
          <w:sz w:val="20"/>
          <w:szCs w:val="20"/>
        </w:rPr>
        <w:t>)</w:t>
      </w:r>
      <w:r w:rsidR="003D04D4">
        <w:rPr>
          <w:rFonts w:ascii="Arial" w:hAnsi="Arial" w:cs="Arial"/>
          <w:sz w:val="20"/>
          <w:szCs w:val="20"/>
        </w:rPr>
        <w:t xml:space="preserve"> but</w:t>
      </w:r>
      <w:r w:rsidR="00045498">
        <w:rPr>
          <w:rFonts w:ascii="Arial" w:hAnsi="Arial" w:cs="Arial"/>
          <w:sz w:val="20"/>
          <w:szCs w:val="20"/>
        </w:rPr>
        <w:t xml:space="preserve"> </w:t>
      </w:r>
      <w:r w:rsidR="003D04D4">
        <w:rPr>
          <w:rFonts w:ascii="Arial" w:hAnsi="Arial" w:cs="Arial"/>
          <w:sz w:val="20"/>
          <w:szCs w:val="20"/>
        </w:rPr>
        <w:t>t</w:t>
      </w:r>
      <w:r w:rsidR="000426A4">
        <w:rPr>
          <w:rFonts w:ascii="Arial" w:hAnsi="Arial" w:cs="Arial"/>
          <w:sz w:val="20"/>
          <w:szCs w:val="20"/>
        </w:rPr>
        <w:t>he</w:t>
      </w:r>
      <w:r w:rsidRPr="003C05B0">
        <w:rPr>
          <w:rFonts w:ascii="Arial" w:hAnsi="Arial" w:cs="Arial"/>
          <w:sz w:val="20"/>
          <w:szCs w:val="20"/>
        </w:rPr>
        <w:t xml:space="preserve"> results </w:t>
      </w:r>
      <w:r w:rsidR="000426A4">
        <w:rPr>
          <w:rFonts w:ascii="Arial" w:hAnsi="Arial" w:cs="Arial"/>
          <w:sz w:val="20"/>
          <w:szCs w:val="20"/>
        </w:rPr>
        <w:t>for</w:t>
      </w:r>
      <w:r w:rsidR="00AE5934">
        <w:rPr>
          <w:rFonts w:ascii="Arial" w:hAnsi="Arial" w:cs="Arial"/>
          <w:sz w:val="20"/>
          <w:szCs w:val="20"/>
        </w:rPr>
        <w:t xml:space="preserve"> </w:t>
      </w:r>
      <w:r w:rsidR="00AE5934" w:rsidRPr="003C05B0">
        <w:rPr>
          <w:rFonts w:ascii="Arial" w:hAnsi="Arial" w:cs="Arial"/>
          <w:sz w:val="20"/>
          <w:szCs w:val="20"/>
        </w:rPr>
        <w:t xml:space="preserve">PE and MB </w:t>
      </w:r>
      <w:r w:rsidR="003D04D4">
        <w:rPr>
          <w:rFonts w:ascii="Arial" w:hAnsi="Arial" w:cs="Arial"/>
          <w:sz w:val="20"/>
          <w:szCs w:val="20"/>
        </w:rPr>
        <w:t>are</w:t>
      </w:r>
      <w:r w:rsidR="003D04D4" w:rsidRPr="003C05B0">
        <w:rPr>
          <w:rFonts w:ascii="Arial" w:hAnsi="Arial" w:cs="Arial"/>
          <w:sz w:val="20"/>
          <w:szCs w:val="20"/>
        </w:rPr>
        <w:t xml:space="preserve"> </w:t>
      </w:r>
      <w:r w:rsidR="00211E2E" w:rsidRPr="003C05B0">
        <w:rPr>
          <w:rFonts w:ascii="Arial" w:hAnsi="Arial" w:cs="Arial"/>
          <w:sz w:val="20"/>
          <w:szCs w:val="20"/>
        </w:rPr>
        <w:t>highly uncertain</w:t>
      </w:r>
      <w:r w:rsidRPr="003C05B0">
        <w:rPr>
          <w:rFonts w:ascii="Arial" w:hAnsi="Arial" w:cs="Arial"/>
          <w:sz w:val="20"/>
          <w:szCs w:val="20"/>
        </w:rPr>
        <w:t xml:space="preserve">. </w:t>
      </w:r>
    </w:p>
    <w:p w14:paraId="7C8644AB" w14:textId="6C0E6C62" w:rsidR="00775AA1" w:rsidRPr="003C05B0" w:rsidRDefault="00015FD7" w:rsidP="00775AA1">
      <w:pPr>
        <w:rPr>
          <w:rFonts w:ascii="Arial" w:hAnsi="Arial" w:cs="Arial"/>
          <w:b/>
          <w:i/>
          <w:sz w:val="20"/>
          <w:szCs w:val="20"/>
        </w:rPr>
      </w:pPr>
      <w:r>
        <w:rPr>
          <w:rFonts w:ascii="Arial" w:hAnsi="Arial" w:cs="Arial"/>
          <w:b/>
          <w:i/>
          <w:sz w:val="20"/>
          <w:szCs w:val="20"/>
        </w:rPr>
        <w:t>Interpretation</w:t>
      </w:r>
    </w:p>
    <w:p w14:paraId="46054BDC" w14:textId="7F38F312" w:rsidR="00775AA1" w:rsidRPr="003C05B0" w:rsidRDefault="00211E2E" w:rsidP="00775AA1">
      <w:pPr>
        <w:spacing w:line="480" w:lineRule="auto"/>
        <w:rPr>
          <w:rFonts w:ascii="Arial" w:hAnsi="Arial" w:cs="Arial"/>
          <w:sz w:val="20"/>
          <w:szCs w:val="20"/>
        </w:rPr>
      </w:pPr>
      <w:r>
        <w:rPr>
          <w:rFonts w:ascii="Arial" w:hAnsi="Arial" w:cs="Arial"/>
          <w:sz w:val="20"/>
          <w:szCs w:val="20"/>
        </w:rPr>
        <w:t xml:space="preserve">Single VTE prophylaxis strategies </w:t>
      </w:r>
      <w:r w:rsidR="003D04D4">
        <w:rPr>
          <w:rFonts w:ascii="Arial" w:hAnsi="Arial" w:cs="Arial"/>
          <w:sz w:val="20"/>
          <w:szCs w:val="20"/>
        </w:rPr>
        <w:t>are more effective in prevention of DVT</w:t>
      </w:r>
      <w:r>
        <w:rPr>
          <w:rFonts w:ascii="Arial" w:hAnsi="Arial" w:cs="Arial"/>
          <w:sz w:val="20"/>
          <w:szCs w:val="20"/>
        </w:rPr>
        <w:t xml:space="preserve">, in the </w:t>
      </w:r>
      <w:proofErr w:type="spellStart"/>
      <w:r>
        <w:rPr>
          <w:rFonts w:ascii="Arial" w:hAnsi="Arial" w:cs="Arial"/>
          <w:sz w:val="20"/>
          <w:szCs w:val="20"/>
        </w:rPr>
        <w:t>eTKR</w:t>
      </w:r>
      <w:proofErr w:type="spellEnd"/>
      <w:r>
        <w:rPr>
          <w:rFonts w:ascii="Arial" w:hAnsi="Arial" w:cs="Arial"/>
          <w:sz w:val="20"/>
          <w:szCs w:val="20"/>
        </w:rPr>
        <w:t xml:space="preserve"> population, </w:t>
      </w:r>
      <w:r w:rsidR="00112A1C">
        <w:rPr>
          <w:rFonts w:ascii="Arial" w:hAnsi="Arial" w:cs="Arial"/>
          <w:sz w:val="20"/>
          <w:szCs w:val="20"/>
        </w:rPr>
        <w:t>than</w:t>
      </w:r>
      <w:r>
        <w:rPr>
          <w:rFonts w:ascii="Arial" w:hAnsi="Arial" w:cs="Arial"/>
          <w:sz w:val="20"/>
          <w:szCs w:val="20"/>
        </w:rPr>
        <w:t xml:space="preserve"> combination strategies</w:t>
      </w:r>
      <w:r w:rsidR="00E91F20">
        <w:rPr>
          <w:rFonts w:ascii="Arial" w:hAnsi="Arial" w:cs="Arial"/>
          <w:sz w:val="20"/>
          <w:szCs w:val="20"/>
        </w:rPr>
        <w:t xml:space="preserve"> with rivaroxaban </w:t>
      </w:r>
      <w:r w:rsidR="001602E8">
        <w:rPr>
          <w:rFonts w:ascii="Arial" w:hAnsi="Arial" w:cs="Arial"/>
          <w:sz w:val="20"/>
          <w:szCs w:val="20"/>
        </w:rPr>
        <w:t>being the most effective</w:t>
      </w:r>
      <w:r>
        <w:rPr>
          <w:rFonts w:ascii="Arial" w:hAnsi="Arial" w:cs="Arial"/>
          <w:sz w:val="20"/>
          <w:szCs w:val="20"/>
        </w:rPr>
        <w:t xml:space="preserve">. </w:t>
      </w:r>
      <w:r w:rsidR="00530894">
        <w:rPr>
          <w:rFonts w:ascii="Arial" w:hAnsi="Arial" w:cs="Arial"/>
          <w:sz w:val="20"/>
          <w:szCs w:val="20"/>
        </w:rPr>
        <w:t>The</w:t>
      </w:r>
      <w:r w:rsidR="00E91F20">
        <w:rPr>
          <w:rFonts w:ascii="Arial" w:hAnsi="Arial" w:cs="Arial"/>
          <w:sz w:val="20"/>
          <w:szCs w:val="20"/>
        </w:rPr>
        <w:t xml:space="preserve"> </w:t>
      </w:r>
      <w:r w:rsidR="001602E8">
        <w:rPr>
          <w:rFonts w:ascii="Arial" w:hAnsi="Arial" w:cs="Arial"/>
          <w:sz w:val="20"/>
          <w:szCs w:val="20"/>
        </w:rPr>
        <w:t>results of the PE and MB meta-analyses</w:t>
      </w:r>
      <w:r w:rsidR="00E91F20">
        <w:rPr>
          <w:rFonts w:ascii="Arial" w:hAnsi="Arial" w:cs="Arial"/>
          <w:sz w:val="20"/>
          <w:szCs w:val="20"/>
        </w:rPr>
        <w:t xml:space="preserve"> are uncertain and no clear conclusion can be made other than what is biologically plausible</w:t>
      </w:r>
      <w:r w:rsidR="001602E8">
        <w:rPr>
          <w:rFonts w:ascii="Arial" w:hAnsi="Arial" w:cs="Arial"/>
          <w:sz w:val="20"/>
          <w:szCs w:val="20"/>
        </w:rPr>
        <w:t xml:space="preserve">. </w:t>
      </w:r>
    </w:p>
    <w:p w14:paraId="74BFE054" w14:textId="56DF43E1" w:rsidR="00775AA1" w:rsidRPr="00413E4A" w:rsidRDefault="00413E4A" w:rsidP="00775AA1">
      <w:pPr>
        <w:pStyle w:val="NoSpacing"/>
        <w:spacing w:line="480" w:lineRule="auto"/>
        <w:rPr>
          <w:rFonts w:ascii="Arial" w:hAnsi="Arial" w:cs="Arial"/>
          <w:b/>
          <w:bCs/>
          <w:i/>
          <w:color w:val="1C1D1E"/>
          <w:sz w:val="21"/>
          <w:szCs w:val="21"/>
          <w:shd w:val="clear" w:color="auto" w:fill="FFFFFF"/>
        </w:rPr>
      </w:pPr>
      <w:r w:rsidRPr="00413E4A">
        <w:rPr>
          <w:rFonts w:ascii="Arial" w:hAnsi="Arial" w:cs="Arial"/>
          <w:b/>
          <w:i/>
          <w:sz w:val="20"/>
          <w:szCs w:val="20"/>
        </w:rPr>
        <w:t>Funding</w:t>
      </w:r>
    </w:p>
    <w:p w14:paraId="7DE696C8" w14:textId="62915C3B" w:rsidR="00413E4A" w:rsidRDefault="00211E2E" w:rsidP="00413E4A">
      <w:pPr>
        <w:spacing w:line="480" w:lineRule="auto"/>
        <w:rPr>
          <w:rFonts w:ascii="Arial" w:hAnsi="Arial" w:cs="Arial"/>
          <w:sz w:val="20"/>
          <w:szCs w:val="20"/>
        </w:rPr>
      </w:pPr>
      <w:r>
        <w:rPr>
          <w:rFonts w:ascii="Arial" w:hAnsi="Arial" w:cs="Arial"/>
          <w:sz w:val="20"/>
          <w:szCs w:val="20"/>
        </w:rPr>
        <w:t>T</w:t>
      </w:r>
      <w:r w:rsidR="00413E4A" w:rsidRPr="00E32D87">
        <w:rPr>
          <w:rFonts w:ascii="Arial" w:hAnsi="Arial" w:cs="Arial"/>
          <w:sz w:val="20"/>
          <w:szCs w:val="20"/>
        </w:rPr>
        <w:t xml:space="preserve">he National Institute for Health and Care Excellence (NICE). </w:t>
      </w:r>
    </w:p>
    <w:p w14:paraId="24DB992E" w14:textId="6FD2D4BC" w:rsidR="00E26515" w:rsidRPr="0006655F" w:rsidRDefault="0052143E" w:rsidP="00415C66">
      <w:pPr>
        <w:rPr>
          <w:rFonts w:ascii="Arial" w:hAnsi="Arial" w:cs="Arial"/>
          <w:b/>
          <w:sz w:val="20"/>
          <w:szCs w:val="20"/>
        </w:rPr>
      </w:pPr>
      <w:r>
        <w:rPr>
          <w:rFonts w:ascii="Arial" w:hAnsi="Arial" w:cs="Arial"/>
          <w:b/>
          <w:sz w:val="20"/>
          <w:szCs w:val="20"/>
        </w:rPr>
        <w:t>I</w:t>
      </w:r>
      <w:r w:rsidR="00E26515" w:rsidRPr="0006655F">
        <w:rPr>
          <w:rFonts w:ascii="Arial" w:hAnsi="Arial" w:cs="Arial"/>
          <w:b/>
          <w:sz w:val="20"/>
          <w:szCs w:val="20"/>
        </w:rPr>
        <w:t>ntroduction</w:t>
      </w:r>
    </w:p>
    <w:p w14:paraId="7E9B4CF7" w14:textId="2DE92357" w:rsidR="002D5774" w:rsidRDefault="00EE481A" w:rsidP="0052085B">
      <w:pPr>
        <w:spacing w:line="480" w:lineRule="auto"/>
        <w:rPr>
          <w:rFonts w:ascii="Arial" w:hAnsi="Arial" w:cs="Arial"/>
          <w:sz w:val="20"/>
          <w:szCs w:val="20"/>
        </w:rPr>
      </w:pPr>
      <w:r>
        <w:rPr>
          <w:rFonts w:ascii="Arial" w:hAnsi="Arial" w:cs="Arial"/>
          <w:sz w:val="20"/>
          <w:szCs w:val="20"/>
        </w:rPr>
        <w:t>H</w:t>
      </w:r>
      <w:r w:rsidR="007C2919" w:rsidRPr="00213EDA">
        <w:rPr>
          <w:rFonts w:ascii="Arial" w:hAnsi="Arial" w:cs="Arial"/>
          <w:sz w:val="20"/>
          <w:szCs w:val="20"/>
        </w:rPr>
        <w:t>ospital</w:t>
      </w:r>
      <w:r w:rsidR="00780481">
        <w:rPr>
          <w:rFonts w:ascii="Arial" w:hAnsi="Arial" w:cs="Arial"/>
          <w:sz w:val="20"/>
          <w:szCs w:val="20"/>
        </w:rPr>
        <w:t>-acquired venous thromboemboli</w:t>
      </w:r>
      <w:r>
        <w:rPr>
          <w:rFonts w:ascii="Arial" w:hAnsi="Arial" w:cs="Arial"/>
          <w:sz w:val="20"/>
          <w:szCs w:val="20"/>
        </w:rPr>
        <w:t>sm</w:t>
      </w:r>
      <w:r w:rsidR="00DA52E7">
        <w:rPr>
          <w:rFonts w:ascii="Arial" w:hAnsi="Arial" w:cs="Arial"/>
          <w:sz w:val="20"/>
          <w:szCs w:val="20"/>
        </w:rPr>
        <w:t xml:space="preserve"> </w:t>
      </w:r>
      <w:r w:rsidR="009F61D6" w:rsidRPr="00213EDA">
        <w:rPr>
          <w:rFonts w:ascii="Arial" w:hAnsi="Arial" w:cs="Arial"/>
          <w:sz w:val="20"/>
          <w:szCs w:val="20"/>
        </w:rPr>
        <w:t>(</w:t>
      </w:r>
      <w:r w:rsidR="00673E69">
        <w:rPr>
          <w:rFonts w:ascii="Arial" w:hAnsi="Arial" w:cs="Arial"/>
          <w:sz w:val="20"/>
          <w:szCs w:val="20"/>
        </w:rPr>
        <w:t>VTE</w:t>
      </w:r>
      <w:r w:rsidR="009F61D6" w:rsidRPr="00213EDA">
        <w:rPr>
          <w:rFonts w:ascii="Arial" w:hAnsi="Arial" w:cs="Arial"/>
          <w:sz w:val="20"/>
          <w:szCs w:val="20"/>
        </w:rPr>
        <w:t>) is a</w:t>
      </w:r>
      <w:r w:rsidR="004B3867" w:rsidRPr="00213EDA">
        <w:rPr>
          <w:rFonts w:ascii="Arial" w:hAnsi="Arial" w:cs="Arial"/>
          <w:sz w:val="20"/>
          <w:szCs w:val="20"/>
        </w:rPr>
        <w:t xml:space="preserve"> </w:t>
      </w:r>
      <w:r w:rsidR="00757A1F" w:rsidRPr="00213EDA">
        <w:rPr>
          <w:rFonts w:ascii="Arial" w:hAnsi="Arial" w:cs="Arial"/>
          <w:sz w:val="20"/>
          <w:szCs w:val="20"/>
        </w:rPr>
        <w:t>major</w:t>
      </w:r>
      <w:r>
        <w:rPr>
          <w:rFonts w:ascii="Arial" w:hAnsi="Arial" w:cs="Arial"/>
          <w:sz w:val="20"/>
          <w:szCs w:val="20"/>
        </w:rPr>
        <w:t xml:space="preserve"> patient safety</w:t>
      </w:r>
      <w:r w:rsidR="004B3867" w:rsidRPr="00213EDA">
        <w:rPr>
          <w:rFonts w:ascii="Arial" w:hAnsi="Arial" w:cs="Arial"/>
          <w:sz w:val="20"/>
          <w:szCs w:val="20"/>
        </w:rPr>
        <w:t xml:space="preserve"> </w:t>
      </w:r>
      <w:r w:rsidR="00D12681">
        <w:rPr>
          <w:rFonts w:ascii="Arial" w:hAnsi="Arial" w:cs="Arial"/>
          <w:sz w:val="20"/>
          <w:szCs w:val="20"/>
        </w:rPr>
        <w:t>concern</w:t>
      </w:r>
      <w:r w:rsidR="000B7FC0" w:rsidRPr="00C620FA">
        <w:rPr>
          <w:rFonts w:ascii="Arial" w:hAnsi="Arial" w:cs="Arial"/>
          <w:sz w:val="20"/>
          <w:szCs w:val="20"/>
        </w:rPr>
        <w:t>.</w:t>
      </w:r>
      <w:r w:rsidR="0095655B">
        <w:rPr>
          <w:rFonts w:ascii="Arial" w:hAnsi="Arial" w:cs="Arial"/>
          <w:noProof/>
          <w:sz w:val="20"/>
          <w:szCs w:val="20"/>
        </w:rPr>
        <w:t>(1, 2)</w:t>
      </w:r>
      <w:r w:rsidR="000B7FC0">
        <w:rPr>
          <w:rFonts w:ascii="Arial" w:hAnsi="Arial" w:cs="Arial"/>
          <w:sz w:val="20"/>
          <w:szCs w:val="20"/>
        </w:rPr>
        <w:t xml:space="preserve"> </w:t>
      </w:r>
      <w:r w:rsidR="00D12681">
        <w:rPr>
          <w:rFonts w:ascii="Arial" w:hAnsi="Arial" w:cs="Arial"/>
          <w:sz w:val="20"/>
          <w:szCs w:val="20"/>
        </w:rPr>
        <w:t xml:space="preserve">It </w:t>
      </w:r>
      <w:r w:rsidR="004C56ED">
        <w:rPr>
          <w:rFonts w:ascii="Arial" w:hAnsi="Arial" w:cs="Arial"/>
          <w:sz w:val="20"/>
          <w:szCs w:val="20"/>
        </w:rPr>
        <w:t>is defined as any</w:t>
      </w:r>
      <w:r w:rsidR="009F61D6" w:rsidRPr="00213EDA">
        <w:rPr>
          <w:rFonts w:ascii="Arial" w:hAnsi="Arial" w:cs="Arial"/>
          <w:sz w:val="20"/>
          <w:szCs w:val="20"/>
        </w:rPr>
        <w:t xml:space="preserve"> deep-vein thrombosis (DVT) </w:t>
      </w:r>
      <w:r w:rsidR="004C56ED">
        <w:rPr>
          <w:rFonts w:ascii="Arial" w:hAnsi="Arial" w:cs="Arial"/>
          <w:sz w:val="20"/>
          <w:szCs w:val="20"/>
        </w:rPr>
        <w:t>or</w:t>
      </w:r>
      <w:r w:rsidR="009F61D6" w:rsidRPr="00213EDA">
        <w:rPr>
          <w:rFonts w:ascii="Arial" w:hAnsi="Arial" w:cs="Arial"/>
          <w:sz w:val="20"/>
          <w:szCs w:val="20"/>
        </w:rPr>
        <w:t xml:space="preserve"> pulmonary </w:t>
      </w:r>
      <w:r w:rsidR="004C56ED">
        <w:rPr>
          <w:rFonts w:ascii="Arial" w:hAnsi="Arial" w:cs="Arial"/>
          <w:sz w:val="20"/>
          <w:szCs w:val="20"/>
        </w:rPr>
        <w:t>thrombo</w:t>
      </w:r>
      <w:r w:rsidR="009F61D6" w:rsidRPr="00213EDA">
        <w:rPr>
          <w:rFonts w:ascii="Arial" w:hAnsi="Arial" w:cs="Arial"/>
          <w:sz w:val="20"/>
          <w:szCs w:val="20"/>
        </w:rPr>
        <w:t>embolism (PE</w:t>
      </w:r>
      <w:r w:rsidR="00D21015" w:rsidRPr="00213EDA">
        <w:rPr>
          <w:rFonts w:ascii="Arial" w:hAnsi="Arial" w:cs="Arial"/>
          <w:sz w:val="20"/>
          <w:szCs w:val="20"/>
        </w:rPr>
        <w:t xml:space="preserve">) </w:t>
      </w:r>
      <w:r w:rsidR="00D12681">
        <w:rPr>
          <w:rFonts w:ascii="Arial" w:hAnsi="Arial" w:cs="Arial"/>
          <w:sz w:val="20"/>
          <w:szCs w:val="20"/>
        </w:rPr>
        <w:t xml:space="preserve">events </w:t>
      </w:r>
      <w:r w:rsidR="00D21015" w:rsidRPr="00213EDA">
        <w:rPr>
          <w:rFonts w:ascii="Arial" w:hAnsi="Arial" w:cs="Arial"/>
          <w:sz w:val="20"/>
          <w:szCs w:val="20"/>
        </w:rPr>
        <w:t>that occur</w:t>
      </w:r>
      <w:r w:rsidR="00D12681">
        <w:rPr>
          <w:rFonts w:ascii="Arial" w:hAnsi="Arial" w:cs="Arial"/>
          <w:sz w:val="20"/>
          <w:szCs w:val="20"/>
        </w:rPr>
        <w:t xml:space="preserve"> during or</w:t>
      </w:r>
      <w:r w:rsidR="00D21015" w:rsidRPr="00213EDA">
        <w:rPr>
          <w:rFonts w:ascii="Arial" w:hAnsi="Arial" w:cs="Arial"/>
          <w:sz w:val="20"/>
          <w:szCs w:val="20"/>
        </w:rPr>
        <w:t xml:space="preserve"> within 90 days after a h</w:t>
      </w:r>
      <w:r w:rsidR="00D21015">
        <w:rPr>
          <w:rFonts w:ascii="Arial" w:hAnsi="Arial" w:cs="Arial"/>
          <w:sz w:val="20"/>
          <w:szCs w:val="20"/>
        </w:rPr>
        <w:t>ospital admission</w:t>
      </w:r>
      <w:r w:rsidR="00B84C30">
        <w:rPr>
          <w:rFonts w:ascii="Arial" w:hAnsi="Arial" w:cs="Arial"/>
          <w:sz w:val="20"/>
          <w:szCs w:val="20"/>
        </w:rPr>
        <w:t>.</w:t>
      </w:r>
      <w:r w:rsidR="0095655B">
        <w:rPr>
          <w:rFonts w:ascii="Arial" w:hAnsi="Arial" w:cs="Arial"/>
          <w:noProof/>
          <w:sz w:val="20"/>
          <w:szCs w:val="20"/>
        </w:rPr>
        <w:t>(3)</w:t>
      </w:r>
      <w:r w:rsidR="009F61D6" w:rsidRPr="00213EDA">
        <w:rPr>
          <w:rFonts w:ascii="Arial" w:hAnsi="Arial" w:cs="Arial"/>
          <w:sz w:val="20"/>
          <w:szCs w:val="20"/>
        </w:rPr>
        <w:t xml:space="preserve"> </w:t>
      </w:r>
      <w:r w:rsidR="00D12681">
        <w:rPr>
          <w:rFonts w:ascii="Arial" w:hAnsi="Arial" w:cs="Arial"/>
          <w:sz w:val="20"/>
          <w:szCs w:val="20"/>
        </w:rPr>
        <w:t xml:space="preserve">It is estimated that the costs associated with hospital-acquired </w:t>
      </w:r>
      <w:r w:rsidR="006E6B11">
        <w:rPr>
          <w:rFonts w:ascii="Arial" w:hAnsi="Arial" w:cs="Arial"/>
          <w:sz w:val="20"/>
          <w:szCs w:val="20"/>
        </w:rPr>
        <w:t>thromboembolism (HAT)</w:t>
      </w:r>
      <w:r w:rsidR="00D12681">
        <w:rPr>
          <w:rFonts w:ascii="Arial" w:hAnsi="Arial" w:cs="Arial"/>
          <w:sz w:val="20"/>
          <w:szCs w:val="20"/>
        </w:rPr>
        <w:t xml:space="preserve"> in the UK in 2016-2017 was on average around £940,000 per clinical commissioning group (CCG), taking into account the cost of treatment,</w:t>
      </w:r>
      <w:r w:rsidR="00D12681" w:rsidRPr="00D12681">
        <w:t xml:space="preserve"> </w:t>
      </w:r>
      <w:r w:rsidR="00D12681" w:rsidRPr="00D12681">
        <w:rPr>
          <w:rFonts w:ascii="Arial" w:hAnsi="Arial" w:cs="Arial"/>
          <w:sz w:val="20"/>
          <w:szCs w:val="20"/>
        </w:rPr>
        <w:t>hospital bed days, sanctions and litigation</w:t>
      </w:r>
      <w:r w:rsidR="008E18B2">
        <w:rPr>
          <w:rFonts w:ascii="Arial" w:hAnsi="Arial" w:cs="Arial"/>
          <w:sz w:val="20"/>
          <w:szCs w:val="20"/>
        </w:rPr>
        <w:t>.</w:t>
      </w:r>
      <w:r w:rsidR="0095655B">
        <w:rPr>
          <w:rFonts w:ascii="Arial" w:hAnsi="Arial" w:cs="Arial"/>
          <w:noProof/>
          <w:sz w:val="20"/>
          <w:szCs w:val="20"/>
        </w:rPr>
        <w:t>(1)</w:t>
      </w:r>
      <w:r w:rsidR="008E18B2">
        <w:rPr>
          <w:rFonts w:ascii="Arial" w:hAnsi="Arial" w:cs="Arial"/>
          <w:sz w:val="20"/>
          <w:szCs w:val="20"/>
        </w:rPr>
        <w:t xml:space="preserve"> P</w:t>
      </w:r>
      <w:r w:rsidR="002722CF" w:rsidRPr="00213EDA">
        <w:rPr>
          <w:rFonts w:ascii="Arial" w:hAnsi="Arial" w:cs="Arial"/>
          <w:sz w:val="20"/>
          <w:szCs w:val="20"/>
        </w:rPr>
        <w:t xml:space="preserve">eople undergoing major orthopaedic surgery, particularly elective </w:t>
      </w:r>
      <w:r w:rsidR="00DB4010" w:rsidRPr="00344CE6">
        <w:rPr>
          <w:rFonts w:ascii="Arial" w:hAnsi="Arial" w:cs="Arial"/>
          <w:sz w:val="20"/>
          <w:szCs w:val="20"/>
        </w:rPr>
        <w:t xml:space="preserve">total </w:t>
      </w:r>
      <w:r w:rsidR="002722CF" w:rsidRPr="00213EDA">
        <w:rPr>
          <w:rFonts w:ascii="Arial" w:hAnsi="Arial" w:cs="Arial"/>
          <w:sz w:val="20"/>
          <w:szCs w:val="20"/>
        </w:rPr>
        <w:t>hip replacement (</w:t>
      </w:r>
      <w:proofErr w:type="spellStart"/>
      <w:r w:rsidR="002722CF" w:rsidRPr="00213EDA">
        <w:rPr>
          <w:rFonts w:ascii="Arial" w:hAnsi="Arial" w:cs="Arial"/>
          <w:sz w:val="20"/>
          <w:szCs w:val="20"/>
        </w:rPr>
        <w:t>eTHR</w:t>
      </w:r>
      <w:proofErr w:type="spellEnd"/>
      <w:r w:rsidR="002722CF" w:rsidRPr="00213EDA">
        <w:rPr>
          <w:rFonts w:ascii="Arial" w:hAnsi="Arial" w:cs="Arial"/>
          <w:sz w:val="20"/>
          <w:szCs w:val="20"/>
        </w:rPr>
        <w:t>) and elective</w:t>
      </w:r>
      <w:r w:rsidR="002722CF" w:rsidRPr="00344CE6">
        <w:rPr>
          <w:rFonts w:ascii="Arial" w:hAnsi="Arial" w:cs="Arial"/>
          <w:sz w:val="20"/>
          <w:szCs w:val="20"/>
        </w:rPr>
        <w:t xml:space="preserve"> </w:t>
      </w:r>
      <w:r w:rsidR="00DB4010" w:rsidRPr="00344CE6">
        <w:rPr>
          <w:rFonts w:ascii="Arial" w:hAnsi="Arial" w:cs="Arial"/>
          <w:sz w:val="20"/>
          <w:szCs w:val="20"/>
        </w:rPr>
        <w:t xml:space="preserve">total </w:t>
      </w:r>
      <w:r w:rsidR="002722CF" w:rsidRPr="00213EDA">
        <w:rPr>
          <w:rFonts w:ascii="Arial" w:hAnsi="Arial" w:cs="Arial"/>
          <w:sz w:val="20"/>
          <w:szCs w:val="20"/>
        </w:rPr>
        <w:t>knee replacement (</w:t>
      </w:r>
      <w:proofErr w:type="spellStart"/>
      <w:r w:rsidR="002722CF" w:rsidRPr="00213EDA">
        <w:rPr>
          <w:rFonts w:ascii="Arial" w:hAnsi="Arial" w:cs="Arial"/>
          <w:sz w:val="20"/>
          <w:szCs w:val="20"/>
        </w:rPr>
        <w:t>eTKR</w:t>
      </w:r>
      <w:proofErr w:type="spellEnd"/>
      <w:r w:rsidR="002722CF" w:rsidRPr="00213EDA">
        <w:rPr>
          <w:rFonts w:ascii="Arial" w:hAnsi="Arial" w:cs="Arial"/>
          <w:sz w:val="20"/>
          <w:szCs w:val="20"/>
        </w:rPr>
        <w:t>)</w:t>
      </w:r>
      <w:r w:rsidR="00D12681">
        <w:rPr>
          <w:rFonts w:ascii="Arial" w:hAnsi="Arial" w:cs="Arial"/>
          <w:sz w:val="20"/>
          <w:szCs w:val="20"/>
        </w:rPr>
        <w:t xml:space="preserve">, </w:t>
      </w:r>
      <w:r w:rsidR="002722CF" w:rsidRPr="00213EDA">
        <w:rPr>
          <w:rFonts w:ascii="Arial" w:hAnsi="Arial" w:cs="Arial"/>
          <w:sz w:val="20"/>
          <w:szCs w:val="20"/>
        </w:rPr>
        <w:t xml:space="preserve">are at increased risk of developing </w:t>
      </w:r>
      <w:r w:rsidR="00673E69">
        <w:rPr>
          <w:rFonts w:ascii="Arial" w:hAnsi="Arial" w:cs="Arial"/>
          <w:sz w:val="20"/>
          <w:szCs w:val="20"/>
        </w:rPr>
        <w:t>VTE</w:t>
      </w:r>
      <w:r w:rsidR="002D5774">
        <w:rPr>
          <w:rFonts w:ascii="Arial" w:hAnsi="Arial" w:cs="Arial"/>
          <w:sz w:val="20"/>
          <w:szCs w:val="20"/>
        </w:rPr>
        <w:t>, with an incidence of &gt;50% taking into account both symptomatic and asymptomatic events</w:t>
      </w:r>
      <w:r w:rsidR="008E18B2">
        <w:rPr>
          <w:rFonts w:ascii="Arial" w:hAnsi="Arial" w:cs="Arial"/>
          <w:sz w:val="20"/>
          <w:szCs w:val="20"/>
        </w:rPr>
        <w:t>.</w:t>
      </w:r>
      <w:r w:rsidR="008E18B2" w:rsidRPr="008E18B2">
        <w:rPr>
          <w:rFonts w:ascii="Arial" w:hAnsi="Arial" w:cs="Arial"/>
          <w:sz w:val="20"/>
          <w:szCs w:val="20"/>
        </w:rPr>
        <w:t xml:space="preserve"> </w:t>
      </w:r>
      <w:r w:rsidR="0095655B">
        <w:rPr>
          <w:rFonts w:ascii="Arial" w:hAnsi="Arial" w:cs="Arial"/>
          <w:noProof/>
          <w:sz w:val="20"/>
          <w:szCs w:val="20"/>
        </w:rPr>
        <w:t>(3)</w:t>
      </w:r>
    </w:p>
    <w:p w14:paraId="309CF917" w14:textId="01B8A7B6" w:rsidR="00C66187" w:rsidRPr="00213EDA" w:rsidRDefault="002D5774" w:rsidP="0052085B">
      <w:pPr>
        <w:spacing w:line="480" w:lineRule="auto"/>
        <w:rPr>
          <w:rFonts w:ascii="Arial" w:hAnsi="Arial" w:cs="Arial"/>
          <w:sz w:val="20"/>
          <w:szCs w:val="20"/>
        </w:rPr>
      </w:pPr>
      <w:r>
        <w:rPr>
          <w:rFonts w:ascii="Arial" w:hAnsi="Arial" w:cs="Arial"/>
          <w:sz w:val="20"/>
          <w:szCs w:val="20"/>
        </w:rPr>
        <w:lastRenderedPageBreak/>
        <w:t>Given</w:t>
      </w:r>
      <w:r w:rsidR="00C66187" w:rsidRPr="00213EDA">
        <w:rPr>
          <w:rFonts w:ascii="Arial" w:hAnsi="Arial" w:cs="Arial"/>
          <w:sz w:val="20"/>
          <w:szCs w:val="20"/>
        </w:rPr>
        <w:t xml:space="preserve"> this</w:t>
      </w:r>
      <w:r w:rsidR="002C3A4C">
        <w:rPr>
          <w:rFonts w:ascii="Arial" w:hAnsi="Arial" w:cs="Arial"/>
          <w:sz w:val="20"/>
          <w:szCs w:val="20"/>
        </w:rPr>
        <w:t xml:space="preserve"> </w:t>
      </w:r>
      <w:r>
        <w:rPr>
          <w:rFonts w:ascii="Arial" w:hAnsi="Arial" w:cs="Arial"/>
          <w:sz w:val="20"/>
          <w:szCs w:val="20"/>
        </w:rPr>
        <w:t>high disease burden</w:t>
      </w:r>
      <w:r w:rsidR="002C3A4C">
        <w:rPr>
          <w:rFonts w:ascii="Arial" w:hAnsi="Arial" w:cs="Arial"/>
          <w:sz w:val="20"/>
          <w:szCs w:val="20"/>
        </w:rPr>
        <w:t>,</w:t>
      </w:r>
      <w:r w:rsidR="00C66187" w:rsidRPr="00213EDA">
        <w:rPr>
          <w:rFonts w:ascii="Arial" w:hAnsi="Arial" w:cs="Arial"/>
          <w:sz w:val="20"/>
          <w:szCs w:val="20"/>
        </w:rPr>
        <w:t xml:space="preserve"> effective prophylaxis strategies in the </w:t>
      </w:r>
      <w:proofErr w:type="spellStart"/>
      <w:r w:rsidR="00757A1F">
        <w:rPr>
          <w:rFonts w:ascii="Arial" w:hAnsi="Arial" w:cs="Arial"/>
          <w:sz w:val="20"/>
          <w:szCs w:val="20"/>
        </w:rPr>
        <w:t>e</w:t>
      </w:r>
      <w:r w:rsidR="00C66187" w:rsidRPr="00213EDA">
        <w:rPr>
          <w:rFonts w:ascii="Arial" w:hAnsi="Arial" w:cs="Arial"/>
          <w:sz w:val="20"/>
          <w:szCs w:val="20"/>
        </w:rPr>
        <w:t>TKR</w:t>
      </w:r>
      <w:proofErr w:type="spellEnd"/>
      <w:r w:rsidR="00C66187" w:rsidRPr="00213EDA">
        <w:rPr>
          <w:rFonts w:ascii="Arial" w:hAnsi="Arial" w:cs="Arial"/>
          <w:sz w:val="20"/>
          <w:szCs w:val="20"/>
        </w:rPr>
        <w:t xml:space="preserve"> surgery population</w:t>
      </w:r>
      <w:r w:rsidR="00DB2F2C">
        <w:rPr>
          <w:rFonts w:ascii="Arial" w:hAnsi="Arial" w:cs="Arial"/>
          <w:sz w:val="20"/>
          <w:szCs w:val="20"/>
        </w:rPr>
        <w:t xml:space="preserve"> have been extensively investigated</w:t>
      </w:r>
      <w:r w:rsidR="00C66187" w:rsidRPr="00213EDA">
        <w:rPr>
          <w:rFonts w:ascii="Arial" w:hAnsi="Arial" w:cs="Arial"/>
          <w:sz w:val="20"/>
          <w:szCs w:val="20"/>
        </w:rPr>
        <w:t xml:space="preserve">. </w:t>
      </w:r>
      <w:r>
        <w:rPr>
          <w:rFonts w:ascii="Arial" w:hAnsi="Arial" w:cs="Arial"/>
          <w:sz w:val="20"/>
          <w:szCs w:val="20"/>
        </w:rPr>
        <w:t>In 2010,</w:t>
      </w:r>
      <w:r w:rsidR="00703208" w:rsidRPr="00213EDA">
        <w:rPr>
          <w:rFonts w:ascii="Arial" w:hAnsi="Arial" w:cs="Arial"/>
          <w:sz w:val="20"/>
          <w:szCs w:val="20"/>
        </w:rPr>
        <w:t xml:space="preserve"> the National Institute for Health and Clinical Excellence (NICE)</w:t>
      </w:r>
      <w:r w:rsidR="002C3A4C">
        <w:rPr>
          <w:rFonts w:ascii="Arial" w:hAnsi="Arial" w:cs="Arial"/>
          <w:sz w:val="20"/>
          <w:szCs w:val="20"/>
        </w:rPr>
        <w:t xml:space="preserve"> </w:t>
      </w:r>
      <w:r w:rsidR="00385FFD">
        <w:rPr>
          <w:rFonts w:ascii="Arial" w:hAnsi="Arial" w:cs="Arial"/>
          <w:sz w:val="20"/>
          <w:szCs w:val="20"/>
        </w:rPr>
        <w:t>recommend</w:t>
      </w:r>
      <w:r>
        <w:rPr>
          <w:rFonts w:ascii="Arial" w:hAnsi="Arial" w:cs="Arial"/>
          <w:sz w:val="20"/>
          <w:szCs w:val="20"/>
        </w:rPr>
        <w:t>ed</w:t>
      </w:r>
      <w:r w:rsidR="00703208" w:rsidRPr="00213EDA">
        <w:rPr>
          <w:rFonts w:ascii="Arial" w:hAnsi="Arial" w:cs="Arial"/>
          <w:sz w:val="20"/>
          <w:szCs w:val="20"/>
        </w:rPr>
        <w:t xml:space="preserve"> the use of </w:t>
      </w:r>
      <w:r w:rsidR="00673F15" w:rsidRPr="00213EDA">
        <w:rPr>
          <w:rFonts w:ascii="Arial" w:hAnsi="Arial" w:cs="Arial"/>
          <w:sz w:val="20"/>
          <w:szCs w:val="20"/>
        </w:rPr>
        <w:t xml:space="preserve">combination prophylaxis strategies with pharmacological and mechanical interventions </w:t>
      </w:r>
      <w:r>
        <w:rPr>
          <w:rFonts w:ascii="Arial" w:hAnsi="Arial" w:cs="Arial"/>
          <w:sz w:val="20"/>
          <w:szCs w:val="20"/>
        </w:rPr>
        <w:t>for a duration of 10 to 14 days</w:t>
      </w:r>
      <w:r w:rsidR="00B84C30">
        <w:rPr>
          <w:rFonts w:ascii="Arial" w:hAnsi="Arial" w:cs="Arial"/>
          <w:sz w:val="20"/>
          <w:szCs w:val="20"/>
        </w:rPr>
        <w:t>.</w:t>
      </w:r>
      <w:r w:rsidR="0095655B">
        <w:rPr>
          <w:rFonts w:ascii="Arial" w:hAnsi="Arial" w:cs="Arial"/>
          <w:noProof/>
          <w:sz w:val="20"/>
          <w:szCs w:val="20"/>
        </w:rPr>
        <w:t>(4)</w:t>
      </w:r>
      <w:r w:rsidR="00BF2374">
        <w:rPr>
          <w:rFonts w:ascii="Arial" w:hAnsi="Arial" w:cs="Arial"/>
          <w:sz w:val="20"/>
          <w:szCs w:val="20"/>
        </w:rPr>
        <w:t xml:space="preserve"> Mechanical interventions </w:t>
      </w:r>
      <w:r w:rsidR="00EE481A">
        <w:rPr>
          <w:rFonts w:ascii="Arial" w:hAnsi="Arial" w:cs="Arial"/>
          <w:sz w:val="20"/>
          <w:szCs w:val="20"/>
        </w:rPr>
        <w:t>were recommended to start</w:t>
      </w:r>
      <w:r w:rsidR="00BF2374">
        <w:rPr>
          <w:rFonts w:ascii="Arial" w:hAnsi="Arial" w:cs="Arial"/>
          <w:sz w:val="20"/>
          <w:szCs w:val="20"/>
        </w:rPr>
        <w:t xml:space="preserve"> o</w:t>
      </w:r>
      <w:r w:rsidR="00385FFD">
        <w:rPr>
          <w:rFonts w:ascii="Arial" w:hAnsi="Arial" w:cs="Arial"/>
          <w:sz w:val="20"/>
          <w:szCs w:val="20"/>
        </w:rPr>
        <w:t>n</w:t>
      </w:r>
      <w:r w:rsidR="00BF2374">
        <w:rPr>
          <w:rFonts w:ascii="Arial" w:hAnsi="Arial" w:cs="Arial"/>
          <w:sz w:val="20"/>
          <w:szCs w:val="20"/>
        </w:rPr>
        <w:t xml:space="preserve"> admission with a choice from </w:t>
      </w:r>
      <w:r w:rsidR="00673F15" w:rsidRPr="00213EDA">
        <w:rPr>
          <w:rFonts w:ascii="Arial" w:hAnsi="Arial" w:cs="Arial"/>
          <w:sz w:val="20"/>
          <w:szCs w:val="20"/>
        </w:rPr>
        <w:t>anti-embolism stockings</w:t>
      </w:r>
      <w:r w:rsidR="005050FF">
        <w:rPr>
          <w:rFonts w:ascii="Arial" w:hAnsi="Arial" w:cs="Arial"/>
          <w:sz w:val="20"/>
          <w:szCs w:val="20"/>
        </w:rPr>
        <w:t xml:space="preserve"> (AES)</w:t>
      </w:r>
      <w:r w:rsidR="00673F15" w:rsidRPr="00213EDA">
        <w:rPr>
          <w:rFonts w:ascii="Arial" w:hAnsi="Arial" w:cs="Arial"/>
          <w:sz w:val="20"/>
          <w:szCs w:val="20"/>
        </w:rPr>
        <w:t xml:space="preserve">, foot impulse devices, and intermittent pneumatic compression devices (IPCD). One of the following pharmacological interventions was recommended </w:t>
      </w:r>
      <w:r w:rsidR="00010FDB">
        <w:rPr>
          <w:rFonts w:ascii="Arial" w:hAnsi="Arial" w:cs="Arial"/>
          <w:sz w:val="20"/>
          <w:szCs w:val="20"/>
        </w:rPr>
        <w:t>to be added</w:t>
      </w:r>
      <w:r w:rsidR="00BF2374">
        <w:rPr>
          <w:rFonts w:ascii="Arial" w:hAnsi="Arial" w:cs="Arial"/>
          <w:sz w:val="20"/>
          <w:szCs w:val="20"/>
        </w:rPr>
        <w:t xml:space="preserve"> </w:t>
      </w:r>
      <w:r w:rsidR="00673F15" w:rsidRPr="00213EDA">
        <w:rPr>
          <w:rFonts w:ascii="Arial" w:hAnsi="Arial" w:cs="Arial"/>
          <w:sz w:val="20"/>
          <w:szCs w:val="20"/>
        </w:rPr>
        <w:t xml:space="preserve">after surgery: dabigatran, fondaparinux sodium, low-molecular-weight-heparin (LMWH) </w:t>
      </w:r>
      <w:r w:rsidR="00FF5386">
        <w:rPr>
          <w:rFonts w:ascii="Arial" w:hAnsi="Arial" w:cs="Arial"/>
          <w:sz w:val="20"/>
          <w:szCs w:val="20"/>
        </w:rPr>
        <w:t>or</w:t>
      </w:r>
      <w:r w:rsidR="00673F15" w:rsidRPr="00213EDA">
        <w:rPr>
          <w:rFonts w:ascii="Arial" w:hAnsi="Arial" w:cs="Arial"/>
          <w:sz w:val="20"/>
          <w:szCs w:val="20"/>
        </w:rPr>
        <w:t xml:space="preserve"> unfractionated heparin (UFH)</w:t>
      </w:r>
      <w:r w:rsidR="00B84C30">
        <w:rPr>
          <w:rFonts w:ascii="Arial" w:hAnsi="Arial" w:cs="Arial"/>
          <w:sz w:val="20"/>
          <w:szCs w:val="20"/>
        </w:rPr>
        <w:t>.</w:t>
      </w:r>
      <w:r w:rsidR="0095655B">
        <w:rPr>
          <w:rFonts w:ascii="Arial" w:hAnsi="Arial" w:cs="Arial"/>
          <w:noProof/>
          <w:sz w:val="20"/>
          <w:szCs w:val="20"/>
        </w:rPr>
        <w:t>(4)</w:t>
      </w:r>
      <w:r w:rsidR="00B84C30">
        <w:rPr>
          <w:rFonts w:ascii="Arial" w:hAnsi="Arial" w:cs="Arial"/>
          <w:sz w:val="20"/>
          <w:szCs w:val="20"/>
        </w:rPr>
        <w:t xml:space="preserve"> </w:t>
      </w:r>
      <w:r w:rsidR="00673F15" w:rsidRPr="00213EDA">
        <w:rPr>
          <w:rFonts w:ascii="Arial" w:hAnsi="Arial" w:cs="Arial"/>
          <w:sz w:val="20"/>
          <w:szCs w:val="20"/>
        </w:rPr>
        <w:t xml:space="preserve">The American College of Chest Physicians (ACCP) recommends similar pharmacological interventions </w:t>
      </w:r>
      <w:r w:rsidR="004D13BF" w:rsidRPr="00213EDA">
        <w:rPr>
          <w:rFonts w:ascii="Arial" w:hAnsi="Arial" w:cs="Arial"/>
          <w:sz w:val="20"/>
          <w:szCs w:val="20"/>
        </w:rPr>
        <w:t xml:space="preserve">(as well as aspirin) </w:t>
      </w:r>
      <w:r w:rsidR="0066258F" w:rsidRPr="00213EDA">
        <w:rPr>
          <w:rFonts w:ascii="Arial" w:hAnsi="Arial" w:cs="Arial"/>
          <w:sz w:val="20"/>
          <w:szCs w:val="20"/>
        </w:rPr>
        <w:t xml:space="preserve">or IPCD </w:t>
      </w:r>
      <w:r w:rsidR="00673F15" w:rsidRPr="00213EDA">
        <w:rPr>
          <w:rFonts w:ascii="Arial" w:hAnsi="Arial" w:cs="Arial"/>
          <w:sz w:val="20"/>
          <w:szCs w:val="20"/>
        </w:rPr>
        <w:t xml:space="preserve">as an individual prophylactic agent for </w:t>
      </w:r>
      <w:proofErr w:type="spellStart"/>
      <w:r w:rsidR="00673F15" w:rsidRPr="00213EDA">
        <w:rPr>
          <w:rFonts w:ascii="Arial" w:hAnsi="Arial" w:cs="Arial"/>
          <w:sz w:val="20"/>
          <w:szCs w:val="20"/>
        </w:rPr>
        <w:t>eTKR</w:t>
      </w:r>
      <w:proofErr w:type="spellEnd"/>
      <w:r w:rsidR="00E62F4D">
        <w:rPr>
          <w:rFonts w:ascii="Arial" w:hAnsi="Arial" w:cs="Arial"/>
          <w:sz w:val="20"/>
          <w:szCs w:val="20"/>
        </w:rPr>
        <w:t xml:space="preserve"> surgery</w:t>
      </w:r>
      <w:r w:rsidR="00B84C30">
        <w:rPr>
          <w:rFonts w:ascii="Arial" w:hAnsi="Arial" w:cs="Arial"/>
          <w:sz w:val="20"/>
          <w:szCs w:val="20"/>
        </w:rPr>
        <w:t>.</w:t>
      </w:r>
      <w:r w:rsidR="0095655B">
        <w:rPr>
          <w:rFonts w:ascii="Arial" w:hAnsi="Arial" w:cs="Arial"/>
          <w:noProof/>
          <w:sz w:val="20"/>
          <w:szCs w:val="20"/>
        </w:rPr>
        <w:t>(5)</w:t>
      </w:r>
      <w:r w:rsidR="00B84C30">
        <w:rPr>
          <w:rFonts w:ascii="Arial" w:hAnsi="Arial" w:cs="Arial"/>
          <w:sz w:val="20"/>
          <w:szCs w:val="20"/>
        </w:rPr>
        <w:t xml:space="preserve"> </w:t>
      </w:r>
      <w:r w:rsidR="00782B3D" w:rsidRPr="00213EDA">
        <w:rPr>
          <w:rFonts w:ascii="Arial" w:hAnsi="Arial" w:cs="Arial"/>
          <w:sz w:val="20"/>
          <w:szCs w:val="20"/>
        </w:rPr>
        <w:t xml:space="preserve">Previous </w:t>
      </w:r>
      <w:r w:rsidR="00715D57">
        <w:rPr>
          <w:rFonts w:ascii="Arial" w:hAnsi="Arial" w:cs="Arial"/>
          <w:sz w:val="20"/>
          <w:szCs w:val="20"/>
        </w:rPr>
        <w:t>systematic reviews</w:t>
      </w:r>
      <w:r w:rsidR="004651F3">
        <w:rPr>
          <w:rFonts w:ascii="Arial" w:hAnsi="Arial" w:cs="Arial"/>
          <w:sz w:val="20"/>
          <w:szCs w:val="20"/>
        </w:rPr>
        <w:t xml:space="preserve"> and meta-analyses</w:t>
      </w:r>
      <w:r w:rsidR="00782B3D" w:rsidRPr="00213EDA">
        <w:rPr>
          <w:rFonts w:ascii="Arial" w:hAnsi="Arial" w:cs="Arial"/>
          <w:sz w:val="20"/>
          <w:szCs w:val="20"/>
        </w:rPr>
        <w:t xml:space="preserve"> have </w:t>
      </w:r>
      <w:r w:rsidR="004651F3">
        <w:rPr>
          <w:rFonts w:ascii="Arial" w:hAnsi="Arial" w:cs="Arial"/>
          <w:sz w:val="20"/>
          <w:szCs w:val="20"/>
        </w:rPr>
        <w:t xml:space="preserve">either </w:t>
      </w:r>
      <w:r w:rsidR="00782B3D" w:rsidRPr="00213EDA">
        <w:rPr>
          <w:rFonts w:ascii="Arial" w:hAnsi="Arial" w:cs="Arial"/>
          <w:sz w:val="20"/>
          <w:szCs w:val="20"/>
        </w:rPr>
        <w:t>mainly focused on evaluating the use of pharmacological interventions</w:t>
      </w:r>
      <w:r w:rsidR="00782B3D">
        <w:rPr>
          <w:rFonts w:ascii="Arial" w:hAnsi="Arial" w:cs="Arial"/>
          <w:sz w:val="20"/>
          <w:szCs w:val="20"/>
        </w:rPr>
        <w:t>, with particular focus on the new direct-acting oral anticoagulants (DOACs)</w:t>
      </w:r>
      <w:r w:rsidR="004651F3">
        <w:rPr>
          <w:rFonts w:ascii="Arial" w:hAnsi="Arial" w:cs="Arial"/>
          <w:sz w:val="20"/>
          <w:szCs w:val="20"/>
        </w:rPr>
        <w:t xml:space="preserve">, </w:t>
      </w:r>
      <w:r w:rsidR="003D3868">
        <w:rPr>
          <w:rFonts w:ascii="Arial" w:hAnsi="Arial" w:cs="Arial"/>
          <w:sz w:val="20"/>
          <w:szCs w:val="20"/>
        </w:rPr>
        <w:t>included a smaller number of interventions</w:t>
      </w:r>
      <w:r w:rsidR="004651F3">
        <w:rPr>
          <w:rFonts w:ascii="Arial" w:hAnsi="Arial" w:cs="Arial"/>
          <w:sz w:val="20"/>
          <w:szCs w:val="20"/>
        </w:rPr>
        <w:t xml:space="preserve"> or combined </w:t>
      </w:r>
      <w:proofErr w:type="spellStart"/>
      <w:r w:rsidR="004651F3">
        <w:rPr>
          <w:rFonts w:ascii="Arial" w:hAnsi="Arial" w:cs="Arial"/>
          <w:sz w:val="20"/>
          <w:szCs w:val="20"/>
        </w:rPr>
        <w:t>eTKR</w:t>
      </w:r>
      <w:proofErr w:type="spellEnd"/>
      <w:r w:rsidR="004651F3">
        <w:rPr>
          <w:rFonts w:ascii="Arial" w:hAnsi="Arial" w:cs="Arial"/>
          <w:sz w:val="20"/>
          <w:szCs w:val="20"/>
        </w:rPr>
        <w:t xml:space="preserve"> with elective total hip replacement population</w:t>
      </w:r>
      <w:r w:rsidR="00B84C30">
        <w:rPr>
          <w:rFonts w:ascii="Arial" w:hAnsi="Arial" w:cs="Arial"/>
          <w:sz w:val="20"/>
          <w:szCs w:val="20"/>
        </w:rPr>
        <w:t>.</w:t>
      </w:r>
      <w:r w:rsidR="0095655B">
        <w:rPr>
          <w:rFonts w:ascii="Arial" w:hAnsi="Arial" w:cs="Arial"/>
          <w:noProof/>
          <w:sz w:val="20"/>
          <w:szCs w:val="20"/>
        </w:rPr>
        <w:t>(6-12)</w:t>
      </w:r>
    </w:p>
    <w:p w14:paraId="1B39EEEC" w14:textId="5B6DC768" w:rsidR="004633C0" w:rsidRPr="004633C0" w:rsidRDefault="00782B3D" w:rsidP="003D3868">
      <w:pPr>
        <w:spacing w:line="480" w:lineRule="auto"/>
        <w:rPr>
          <w:rFonts w:ascii="Arial" w:hAnsi="Arial" w:cs="Arial"/>
          <w:sz w:val="20"/>
          <w:szCs w:val="20"/>
        </w:rPr>
      </w:pPr>
      <w:r>
        <w:rPr>
          <w:rFonts w:ascii="Arial" w:hAnsi="Arial" w:cs="Arial"/>
          <w:sz w:val="20"/>
          <w:szCs w:val="20"/>
        </w:rPr>
        <w:t>As part of updating NICE guideline CG92</w:t>
      </w:r>
      <w:r w:rsidR="00010FDB">
        <w:rPr>
          <w:rFonts w:ascii="Arial" w:hAnsi="Arial" w:cs="Arial"/>
          <w:sz w:val="20"/>
          <w:szCs w:val="20"/>
        </w:rPr>
        <w:t xml:space="preserve">, </w:t>
      </w:r>
      <w:r>
        <w:rPr>
          <w:rFonts w:ascii="Arial" w:hAnsi="Arial" w:cs="Arial"/>
          <w:sz w:val="20"/>
          <w:szCs w:val="20"/>
        </w:rPr>
        <w:t xml:space="preserve">this </w:t>
      </w:r>
      <w:r w:rsidR="00342654" w:rsidRPr="00213EDA">
        <w:rPr>
          <w:rFonts w:ascii="Arial" w:hAnsi="Arial" w:cs="Arial"/>
          <w:sz w:val="20"/>
          <w:szCs w:val="20"/>
        </w:rPr>
        <w:t xml:space="preserve">systematic review and </w:t>
      </w:r>
      <w:r w:rsidR="00FC18A1">
        <w:rPr>
          <w:rFonts w:ascii="Arial" w:hAnsi="Arial" w:cs="Arial"/>
          <w:sz w:val="20"/>
          <w:szCs w:val="20"/>
        </w:rPr>
        <w:t xml:space="preserve">Bayesian </w:t>
      </w:r>
      <w:r w:rsidR="00342654" w:rsidRPr="00213EDA">
        <w:rPr>
          <w:rFonts w:ascii="Arial" w:hAnsi="Arial" w:cs="Arial"/>
          <w:sz w:val="20"/>
          <w:szCs w:val="20"/>
        </w:rPr>
        <w:t>network meta-analys</w:t>
      </w:r>
      <w:r>
        <w:rPr>
          <w:rFonts w:ascii="Arial" w:hAnsi="Arial" w:cs="Arial"/>
          <w:sz w:val="20"/>
          <w:szCs w:val="20"/>
        </w:rPr>
        <w:t>e</w:t>
      </w:r>
      <w:r w:rsidR="00342654" w:rsidRPr="00213EDA">
        <w:rPr>
          <w:rFonts w:ascii="Arial" w:hAnsi="Arial" w:cs="Arial"/>
          <w:sz w:val="20"/>
          <w:szCs w:val="20"/>
        </w:rPr>
        <w:t>s of randomised controlled trials (RCTs) were un</w:t>
      </w:r>
      <w:r w:rsidR="00010FDB">
        <w:rPr>
          <w:rFonts w:ascii="Arial" w:hAnsi="Arial" w:cs="Arial"/>
          <w:sz w:val="20"/>
          <w:szCs w:val="20"/>
        </w:rPr>
        <w:t>der</w:t>
      </w:r>
      <w:r w:rsidR="00342654" w:rsidRPr="00213EDA">
        <w:rPr>
          <w:rFonts w:ascii="Arial" w:hAnsi="Arial" w:cs="Arial"/>
          <w:sz w:val="20"/>
          <w:szCs w:val="20"/>
        </w:rPr>
        <w:t xml:space="preserve">taken to assess the </w:t>
      </w:r>
      <w:r w:rsidR="002D5774">
        <w:rPr>
          <w:rFonts w:ascii="Arial" w:hAnsi="Arial" w:cs="Arial"/>
          <w:sz w:val="20"/>
          <w:szCs w:val="20"/>
        </w:rPr>
        <w:t xml:space="preserve">relative </w:t>
      </w:r>
      <w:r w:rsidR="0095349A" w:rsidRPr="00213EDA">
        <w:rPr>
          <w:rFonts w:ascii="Arial" w:hAnsi="Arial" w:cs="Arial"/>
          <w:sz w:val="20"/>
          <w:szCs w:val="20"/>
        </w:rPr>
        <w:t>efficacy and safety</w:t>
      </w:r>
      <w:r w:rsidR="00342654" w:rsidRPr="00213EDA">
        <w:rPr>
          <w:rFonts w:ascii="Arial" w:hAnsi="Arial" w:cs="Arial"/>
          <w:sz w:val="20"/>
          <w:szCs w:val="20"/>
        </w:rPr>
        <w:t xml:space="preserve"> of </w:t>
      </w:r>
      <w:r w:rsidR="00010FDB">
        <w:rPr>
          <w:rFonts w:ascii="Arial" w:hAnsi="Arial" w:cs="Arial"/>
          <w:sz w:val="20"/>
          <w:szCs w:val="20"/>
        </w:rPr>
        <w:t xml:space="preserve">the </w:t>
      </w:r>
      <w:r w:rsidR="00342654" w:rsidRPr="00213EDA">
        <w:rPr>
          <w:rFonts w:ascii="Arial" w:hAnsi="Arial" w:cs="Arial"/>
          <w:sz w:val="20"/>
          <w:szCs w:val="20"/>
        </w:rPr>
        <w:t>VTE prophylaxis strategies</w:t>
      </w:r>
      <w:r w:rsidR="00DB2E69" w:rsidRPr="00213EDA">
        <w:rPr>
          <w:rFonts w:ascii="Arial" w:hAnsi="Arial" w:cs="Arial"/>
          <w:sz w:val="20"/>
          <w:szCs w:val="20"/>
        </w:rPr>
        <w:t xml:space="preserve"> </w:t>
      </w:r>
      <w:r w:rsidR="00FF5386">
        <w:rPr>
          <w:rFonts w:ascii="Arial" w:hAnsi="Arial" w:cs="Arial"/>
          <w:sz w:val="20"/>
          <w:szCs w:val="20"/>
        </w:rPr>
        <w:t>(pharmacological, mechanical and combination</w:t>
      </w:r>
      <w:r w:rsidR="002D5774">
        <w:rPr>
          <w:rFonts w:ascii="Arial" w:hAnsi="Arial" w:cs="Arial"/>
          <w:sz w:val="20"/>
          <w:szCs w:val="20"/>
        </w:rPr>
        <w:t>s of both</w:t>
      </w:r>
      <w:r w:rsidR="00FF5386">
        <w:rPr>
          <w:rFonts w:ascii="Arial" w:hAnsi="Arial" w:cs="Arial"/>
          <w:sz w:val="20"/>
          <w:szCs w:val="20"/>
        </w:rPr>
        <w:t xml:space="preserve">) </w:t>
      </w:r>
      <w:r w:rsidR="002D5774">
        <w:rPr>
          <w:rFonts w:ascii="Arial" w:hAnsi="Arial" w:cs="Arial"/>
          <w:sz w:val="20"/>
          <w:szCs w:val="20"/>
        </w:rPr>
        <w:t xml:space="preserve">in </w:t>
      </w:r>
      <w:r w:rsidR="00DB2E69" w:rsidRPr="00213EDA">
        <w:rPr>
          <w:rFonts w:ascii="Arial" w:hAnsi="Arial" w:cs="Arial"/>
          <w:sz w:val="20"/>
          <w:szCs w:val="20"/>
        </w:rPr>
        <w:t xml:space="preserve">the </w:t>
      </w:r>
      <w:proofErr w:type="spellStart"/>
      <w:r w:rsidR="00DB2E69" w:rsidRPr="00213EDA">
        <w:rPr>
          <w:rFonts w:ascii="Arial" w:hAnsi="Arial" w:cs="Arial"/>
          <w:sz w:val="20"/>
          <w:szCs w:val="20"/>
        </w:rPr>
        <w:t>eTKR</w:t>
      </w:r>
      <w:proofErr w:type="spellEnd"/>
      <w:r w:rsidR="00DB2E69" w:rsidRPr="00213EDA">
        <w:rPr>
          <w:rFonts w:ascii="Arial" w:hAnsi="Arial" w:cs="Arial"/>
          <w:sz w:val="20"/>
          <w:szCs w:val="20"/>
        </w:rPr>
        <w:t xml:space="preserve"> surgery population</w:t>
      </w:r>
      <w:r>
        <w:rPr>
          <w:rFonts w:ascii="Arial" w:hAnsi="Arial" w:cs="Arial"/>
          <w:sz w:val="20"/>
          <w:szCs w:val="20"/>
        </w:rPr>
        <w:t xml:space="preserve">. </w:t>
      </w:r>
      <w:bookmarkStart w:id="0" w:name="_GoBack"/>
      <w:r w:rsidR="006406FA" w:rsidRPr="006406FA">
        <w:rPr>
          <w:rFonts w:ascii="Arial" w:hAnsi="Arial" w:cs="Arial"/>
          <w:sz w:val="20"/>
          <w:szCs w:val="20"/>
        </w:rPr>
        <w:t>The literature was searched to identify all published relevant trials indexed in databases up to 19 June 2017</w:t>
      </w:r>
      <w:r w:rsidR="006406FA">
        <w:rPr>
          <w:rFonts w:ascii="Arial" w:hAnsi="Arial" w:cs="Arial"/>
          <w:sz w:val="20"/>
          <w:szCs w:val="20"/>
        </w:rPr>
        <w:t>. This</w:t>
      </w:r>
      <w:r w:rsidR="00715D57">
        <w:rPr>
          <w:rFonts w:ascii="Arial" w:hAnsi="Arial" w:cs="Arial"/>
          <w:sz w:val="20"/>
          <w:szCs w:val="20"/>
        </w:rPr>
        <w:t xml:space="preserve"> </w:t>
      </w:r>
      <w:bookmarkEnd w:id="0"/>
      <w:r w:rsidR="00715D57">
        <w:rPr>
          <w:rFonts w:ascii="Arial" w:hAnsi="Arial" w:cs="Arial"/>
          <w:sz w:val="20"/>
          <w:szCs w:val="20"/>
        </w:rPr>
        <w:t xml:space="preserve">search cut-off date was decided to allow </w:t>
      </w:r>
      <w:r w:rsidR="003D3868">
        <w:rPr>
          <w:rFonts w:ascii="Arial" w:hAnsi="Arial" w:cs="Arial"/>
          <w:sz w:val="20"/>
          <w:szCs w:val="20"/>
        </w:rPr>
        <w:t xml:space="preserve">enough time for </w:t>
      </w:r>
      <w:r w:rsidR="00715D57">
        <w:rPr>
          <w:rFonts w:ascii="Arial" w:hAnsi="Arial" w:cs="Arial"/>
          <w:sz w:val="20"/>
          <w:szCs w:val="20"/>
        </w:rPr>
        <w:t>all relevant trials published up to this date to be included</w:t>
      </w:r>
      <w:r w:rsidR="003D3868">
        <w:rPr>
          <w:rFonts w:ascii="Arial" w:hAnsi="Arial" w:cs="Arial"/>
          <w:sz w:val="20"/>
          <w:szCs w:val="20"/>
        </w:rPr>
        <w:t xml:space="preserve"> in the updated guideline published in March 201</w:t>
      </w:r>
      <w:r w:rsidR="00F8562C">
        <w:rPr>
          <w:rFonts w:ascii="Arial" w:hAnsi="Arial" w:cs="Arial"/>
          <w:sz w:val="20"/>
          <w:szCs w:val="20"/>
        </w:rPr>
        <w:t>8</w:t>
      </w:r>
      <w:r w:rsidR="00715D57">
        <w:rPr>
          <w:rFonts w:ascii="Arial" w:hAnsi="Arial" w:cs="Arial"/>
          <w:sz w:val="20"/>
          <w:szCs w:val="20"/>
        </w:rPr>
        <w:t xml:space="preserve">. </w:t>
      </w:r>
      <w:r>
        <w:rPr>
          <w:rFonts w:ascii="Arial" w:hAnsi="Arial" w:cs="Arial"/>
          <w:sz w:val="20"/>
          <w:szCs w:val="20"/>
        </w:rPr>
        <w:t xml:space="preserve">The results </w:t>
      </w:r>
      <w:r w:rsidR="003D3868">
        <w:rPr>
          <w:rFonts w:ascii="Arial" w:hAnsi="Arial" w:cs="Arial"/>
          <w:sz w:val="20"/>
          <w:szCs w:val="20"/>
        </w:rPr>
        <w:t xml:space="preserve">of this review and network meta-analyses </w:t>
      </w:r>
      <w:r>
        <w:rPr>
          <w:rFonts w:ascii="Arial" w:hAnsi="Arial" w:cs="Arial"/>
          <w:sz w:val="20"/>
          <w:szCs w:val="20"/>
        </w:rPr>
        <w:t xml:space="preserve">were </w:t>
      </w:r>
      <w:r w:rsidR="00715D57">
        <w:rPr>
          <w:rFonts w:ascii="Arial" w:hAnsi="Arial" w:cs="Arial"/>
          <w:sz w:val="20"/>
          <w:szCs w:val="20"/>
        </w:rPr>
        <w:t xml:space="preserve">also </w:t>
      </w:r>
      <w:r>
        <w:rPr>
          <w:rFonts w:ascii="Arial" w:hAnsi="Arial" w:cs="Arial"/>
          <w:sz w:val="20"/>
          <w:szCs w:val="20"/>
        </w:rPr>
        <w:t xml:space="preserve">required to populate an economic model that assessed  the cost effectiveness of these strategies and </w:t>
      </w:r>
      <w:r w:rsidR="00AB622C" w:rsidRPr="00213EDA">
        <w:rPr>
          <w:rFonts w:ascii="Arial" w:hAnsi="Arial" w:cs="Arial"/>
          <w:sz w:val="20"/>
          <w:szCs w:val="20"/>
        </w:rPr>
        <w:t>inform</w:t>
      </w:r>
      <w:r>
        <w:rPr>
          <w:rFonts w:ascii="Arial" w:hAnsi="Arial" w:cs="Arial"/>
          <w:sz w:val="20"/>
          <w:szCs w:val="20"/>
        </w:rPr>
        <w:t>ed</w:t>
      </w:r>
      <w:r w:rsidR="00010FDB">
        <w:rPr>
          <w:rFonts w:ascii="Arial" w:hAnsi="Arial" w:cs="Arial"/>
          <w:sz w:val="20"/>
          <w:szCs w:val="20"/>
        </w:rPr>
        <w:t xml:space="preserve"> the</w:t>
      </w:r>
      <w:r w:rsidR="00AB622C" w:rsidRPr="00213EDA">
        <w:rPr>
          <w:rFonts w:ascii="Arial" w:hAnsi="Arial" w:cs="Arial"/>
          <w:sz w:val="20"/>
          <w:szCs w:val="20"/>
        </w:rPr>
        <w:t xml:space="preserve"> </w:t>
      </w:r>
      <w:r>
        <w:rPr>
          <w:rFonts w:ascii="Arial" w:hAnsi="Arial" w:cs="Arial"/>
          <w:sz w:val="20"/>
          <w:szCs w:val="20"/>
        </w:rPr>
        <w:t xml:space="preserve">guideline </w:t>
      </w:r>
      <w:r w:rsidR="00AB622C" w:rsidRPr="00213EDA">
        <w:rPr>
          <w:rFonts w:ascii="Arial" w:hAnsi="Arial" w:cs="Arial"/>
          <w:sz w:val="20"/>
          <w:szCs w:val="20"/>
        </w:rPr>
        <w:t xml:space="preserve">recommendation for the </w:t>
      </w:r>
      <w:proofErr w:type="spellStart"/>
      <w:r w:rsidR="00AB622C" w:rsidRPr="00213EDA">
        <w:rPr>
          <w:rFonts w:ascii="Arial" w:hAnsi="Arial" w:cs="Arial"/>
          <w:sz w:val="20"/>
          <w:szCs w:val="20"/>
        </w:rPr>
        <w:t>eTKR</w:t>
      </w:r>
      <w:proofErr w:type="spellEnd"/>
      <w:r w:rsidR="00AB622C" w:rsidRPr="00213EDA">
        <w:rPr>
          <w:rFonts w:ascii="Arial" w:hAnsi="Arial" w:cs="Arial"/>
          <w:sz w:val="20"/>
          <w:szCs w:val="20"/>
        </w:rPr>
        <w:t xml:space="preserve"> surgery population in the </w:t>
      </w:r>
      <w:r w:rsidR="00010FDB">
        <w:rPr>
          <w:rFonts w:ascii="Arial" w:hAnsi="Arial" w:cs="Arial"/>
          <w:sz w:val="20"/>
          <w:szCs w:val="20"/>
        </w:rPr>
        <w:t xml:space="preserve">updated guideline, </w:t>
      </w:r>
      <w:r w:rsidR="00AB622C" w:rsidRPr="00213EDA">
        <w:rPr>
          <w:rFonts w:ascii="Arial" w:hAnsi="Arial" w:cs="Arial"/>
          <w:sz w:val="20"/>
          <w:szCs w:val="20"/>
        </w:rPr>
        <w:t>NG89</w:t>
      </w:r>
      <w:r w:rsidR="00DB0B45">
        <w:rPr>
          <w:rFonts w:ascii="Arial" w:hAnsi="Arial" w:cs="Arial"/>
          <w:sz w:val="20"/>
          <w:szCs w:val="20"/>
        </w:rPr>
        <w:t>.</w:t>
      </w:r>
      <w:r w:rsidR="0095655B">
        <w:rPr>
          <w:rFonts w:ascii="Arial" w:hAnsi="Arial" w:cs="Arial"/>
          <w:noProof/>
          <w:sz w:val="20"/>
          <w:szCs w:val="20"/>
        </w:rPr>
        <w:t>(13)</w:t>
      </w:r>
      <w:r w:rsidR="005E3817">
        <w:rPr>
          <w:rFonts w:ascii="Arial" w:hAnsi="Arial" w:cs="Arial"/>
          <w:sz w:val="20"/>
          <w:szCs w:val="20"/>
          <w:vertAlign w:val="superscript"/>
        </w:rPr>
        <w:t>,</w:t>
      </w:r>
      <w:r>
        <w:rPr>
          <w:rFonts w:ascii="Arial" w:hAnsi="Arial" w:cs="Arial"/>
          <w:sz w:val="20"/>
          <w:szCs w:val="20"/>
        </w:rPr>
        <w:t xml:space="preserve"> </w:t>
      </w:r>
      <w:r w:rsidR="004407E7">
        <w:rPr>
          <w:rFonts w:ascii="Arial" w:hAnsi="Arial" w:cs="Arial"/>
          <w:sz w:val="20"/>
          <w:szCs w:val="20"/>
        </w:rPr>
        <w:t xml:space="preserve">Here, we report on this </w:t>
      </w:r>
      <w:r w:rsidR="00715D57">
        <w:rPr>
          <w:rFonts w:ascii="Arial" w:hAnsi="Arial" w:cs="Arial"/>
          <w:sz w:val="20"/>
          <w:szCs w:val="20"/>
        </w:rPr>
        <w:t>systematic review</w:t>
      </w:r>
      <w:r w:rsidR="004407E7">
        <w:rPr>
          <w:rFonts w:ascii="Arial" w:hAnsi="Arial" w:cs="Arial"/>
          <w:sz w:val="20"/>
          <w:szCs w:val="20"/>
        </w:rPr>
        <w:t xml:space="preserve"> and </w:t>
      </w:r>
      <w:r w:rsidR="00A8036E">
        <w:rPr>
          <w:rFonts w:ascii="Arial" w:hAnsi="Arial" w:cs="Arial"/>
          <w:sz w:val="20"/>
          <w:szCs w:val="20"/>
        </w:rPr>
        <w:t>network meta-analyses</w:t>
      </w:r>
      <w:r w:rsidR="004407E7">
        <w:rPr>
          <w:rFonts w:ascii="Arial" w:hAnsi="Arial" w:cs="Arial"/>
          <w:sz w:val="20"/>
          <w:szCs w:val="20"/>
        </w:rPr>
        <w:t>.</w:t>
      </w:r>
    </w:p>
    <w:p w14:paraId="504F9855" w14:textId="77777777" w:rsidR="00E26515" w:rsidRPr="0006655F" w:rsidRDefault="00E26515" w:rsidP="0052085B">
      <w:pPr>
        <w:spacing w:line="480" w:lineRule="auto"/>
        <w:rPr>
          <w:rFonts w:ascii="Arial" w:hAnsi="Arial" w:cs="Arial"/>
          <w:b/>
          <w:sz w:val="20"/>
          <w:szCs w:val="20"/>
        </w:rPr>
      </w:pPr>
      <w:r w:rsidRPr="0006655F">
        <w:rPr>
          <w:rFonts w:ascii="Arial" w:hAnsi="Arial" w:cs="Arial"/>
          <w:b/>
          <w:sz w:val="20"/>
          <w:szCs w:val="20"/>
        </w:rPr>
        <w:t>Methods</w:t>
      </w:r>
    </w:p>
    <w:p w14:paraId="7B6776E3" w14:textId="45314C77" w:rsidR="000139EE" w:rsidRDefault="004407E7" w:rsidP="000139EE">
      <w:pPr>
        <w:spacing w:line="480" w:lineRule="auto"/>
        <w:rPr>
          <w:rFonts w:ascii="Arial" w:hAnsi="Arial" w:cs="Arial"/>
          <w:sz w:val="20"/>
          <w:szCs w:val="20"/>
        </w:rPr>
      </w:pPr>
      <w:r>
        <w:rPr>
          <w:rFonts w:ascii="Arial" w:hAnsi="Arial" w:cs="Arial"/>
          <w:sz w:val="20"/>
          <w:szCs w:val="20"/>
        </w:rPr>
        <w:t xml:space="preserve">The review protocol detailing the </w:t>
      </w:r>
      <w:r w:rsidRPr="004407E7">
        <w:rPr>
          <w:rFonts w:ascii="Arial" w:hAnsi="Arial" w:cs="Arial"/>
          <w:b/>
          <w:sz w:val="20"/>
          <w:szCs w:val="20"/>
        </w:rPr>
        <w:t>P</w:t>
      </w:r>
      <w:r>
        <w:rPr>
          <w:rFonts w:ascii="Arial" w:hAnsi="Arial" w:cs="Arial"/>
          <w:sz w:val="20"/>
          <w:szCs w:val="20"/>
        </w:rPr>
        <w:t xml:space="preserve">opulation, </w:t>
      </w:r>
      <w:r w:rsidRPr="004407E7">
        <w:rPr>
          <w:rFonts w:ascii="Arial" w:hAnsi="Arial" w:cs="Arial"/>
          <w:b/>
          <w:sz w:val="20"/>
          <w:szCs w:val="20"/>
        </w:rPr>
        <w:t>I</w:t>
      </w:r>
      <w:r>
        <w:rPr>
          <w:rFonts w:ascii="Arial" w:hAnsi="Arial" w:cs="Arial"/>
          <w:sz w:val="20"/>
          <w:szCs w:val="20"/>
        </w:rPr>
        <w:t xml:space="preserve">ntervention, </w:t>
      </w:r>
      <w:r w:rsidRPr="004407E7">
        <w:rPr>
          <w:rFonts w:ascii="Arial" w:hAnsi="Arial" w:cs="Arial"/>
          <w:b/>
          <w:sz w:val="20"/>
          <w:szCs w:val="20"/>
        </w:rPr>
        <w:t>C</w:t>
      </w:r>
      <w:r>
        <w:rPr>
          <w:rFonts w:ascii="Arial" w:hAnsi="Arial" w:cs="Arial"/>
          <w:sz w:val="20"/>
          <w:szCs w:val="20"/>
        </w:rPr>
        <w:t xml:space="preserve">omparator and </w:t>
      </w:r>
      <w:r w:rsidRPr="004407E7">
        <w:rPr>
          <w:rFonts w:ascii="Arial" w:hAnsi="Arial" w:cs="Arial"/>
          <w:b/>
          <w:sz w:val="20"/>
          <w:szCs w:val="20"/>
        </w:rPr>
        <w:t>O</w:t>
      </w:r>
      <w:r>
        <w:rPr>
          <w:rFonts w:ascii="Arial" w:hAnsi="Arial" w:cs="Arial"/>
          <w:sz w:val="20"/>
          <w:szCs w:val="20"/>
        </w:rPr>
        <w:t xml:space="preserve">utcomes (PICO) was developed </w:t>
      </w:r>
      <w:r w:rsidR="000139EE">
        <w:rPr>
          <w:rFonts w:ascii="Arial" w:hAnsi="Arial" w:cs="Arial"/>
          <w:sz w:val="20"/>
          <w:szCs w:val="20"/>
        </w:rPr>
        <w:t xml:space="preserve">by the guideline technical team (SL, JG, DD, JC) in line with the NICE Guideline Manual with input from the guideline committee (GC) and its orthopaedic subgroup (members included </w:t>
      </w:r>
      <w:r w:rsidR="000139EE">
        <w:rPr>
          <w:rFonts w:ascii="Arial" w:hAnsi="Arial" w:cs="Arial"/>
          <w:sz w:val="20"/>
          <w:szCs w:val="20"/>
        </w:rPr>
        <w:lastRenderedPageBreak/>
        <w:t>trauma &amp; orthopaedic surgeons and patient representative)</w:t>
      </w:r>
      <w:r w:rsidR="00B84C30">
        <w:rPr>
          <w:rFonts w:ascii="Arial" w:hAnsi="Arial" w:cs="Arial"/>
          <w:sz w:val="20"/>
          <w:szCs w:val="20"/>
        </w:rPr>
        <w:t>.</w:t>
      </w:r>
      <w:r w:rsidR="0095655B">
        <w:rPr>
          <w:rFonts w:ascii="Arial" w:hAnsi="Arial" w:cs="Arial"/>
          <w:noProof/>
          <w:sz w:val="20"/>
          <w:szCs w:val="20"/>
        </w:rPr>
        <w:t>(14)</w:t>
      </w:r>
      <w:r w:rsidR="000139EE">
        <w:rPr>
          <w:rFonts w:ascii="Arial" w:hAnsi="Arial" w:cs="Arial"/>
          <w:sz w:val="20"/>
          <w:szCs w:val="20"/>
        </w:rPr>
        <w:t xml:space="preserve"> The GC included general surgeons, a pharmacist, haematologists, nurses, a consultant physician and two patient representatives. </w:t>
      </w:r>
    </w:p>
    <w:p w14:paraId="434EE005" w14:textId="2590E7CD" w:rsidR="00BC57CA" w:rsidRPr="002D574E" w:rsidRDefault="00BC57CA" w:rsidP="000139EE">
      <w:pPr>
        <w:spacing w:line="480" w:lineRule="auto"/>
        <w:rPr>
          <w:rFonts w:ascii="Arial" w:hAnsi="Arial" w:cs="Arial"/>
          <w:b/>
          <w:sz w:val="20"/>
          <w:szCs w:val="20"/>
        </w:rPr>
      </w:pPr>
      <w:r>
        <w:rPr>
          <w:rFonts w:ascii="Arial" w:hAnsi="Arial" w:cs="Arial"/>
          <w:b/>
          <w:sz w:val="20"/>
          <w:szCs w:val="20"/>
        </w:rPr>
        <w:t>Study design and population</w:t>
      </w:r>
    </w:p>
    <w:p w14:paraId="7B68C49E" w14:textId="086A8F8B" w:rsidR="00CB326A" w:rsidRDefault="00CB326A" w:rsidP="00CB326A">
      <w:pPr>
        <w:spacing w:line="480" w:lineRule="auto"/>
        <w:rPr>
          <w:rFonts w:ascii="Arial" w:hAnsi="Arial" w:cs="Arial"/>
          <w:sz w:val="20"/>
          <w:szCs w:val="20"/>
        </w:rPr>
      </w:pPr>
      <w:r>
        <w:rPr>
          <w:rFonts w:ascii="Arial" w:hAnsi="Arial" w:cs="Arial"/>
          <w:sz w:val="20"/>
          <w:szCs w:val="20"/>
        </w:rPr>
        <w:t>The review protocol including the PICO characteristics is</w:t>
      </w:r>
      <w:r w:rsidRPr="00A34E57">
        <w:rPr>
          <w:rFonts w:ascii="Arial" w:hAnsi="Arial" w:cs="Arial"/>
          <w:sz w:val="20"/>
          <w:szCs w:val="20"/>
        </w:rPr>
        <w:t xml:space="preserve"> reported i</w:t>
      </w:r>
      <w:r>
        <w:rPr>
          <w:rFonts w:ascii="Arial" w:hAnsi="Arial" w:cs="Arial"/>
          <w:sz w:val="20"/>
          <w:szCs w:val="20"/>
        </w:rPr>
        <w:t xml:space="preserve">n the </w:t>
      </w:r>
      <w:r w:rsidR="00C50E8A">
        <w:rPr>
          <w:rFonts w:ascii="Arial" w:hAnsi="Arial" w:cs="Arial"/>
          <w:sz w:val="20"/>
          <w:szCs w:val="20"/>
        </w:rPr>
        <w:t>appendix</w:t>
      </w:r>
      <w:r>
        <w:rPr>
          <w:rFonts w:ascii="Arial" w:hAnsi="Arial" w:cs="Arial"/>
          <w:sz w:val="20"/>
          <w:szCs w:val="20"/>
        </w:rPr>
        <w:t xml:space="preserve"> (</w:t>
      </w:r>
      <w:r w:rsidR="00185E11">
        <w:rPr>
          <w:rFonts w:ascii="Arial" w:hAnsi="Arial" w:cs="Arial"/>
          <w:sz w:val="20"/>
          <w:szCs w:val="20"/>
        </w:rPr>
        <w:t>page 11-12</w:t>
      </w:r>
      <w:r>
        <w:rPr>
          <w:rFonts w:ascii="Arial" w:hAnsi="Arial" w:cs="Arial"/>
          <w:sz w:val="20"/>
          <w:szCs w:val="20"/>
        </w:rPr>
        <w:t>).</w:t>
      </w:r>
      <w:r w:rsidRPr="00A34E57">
        <w:rPr>
          <w:rFonts w:ascii="Arial" w:hAnsi="Arial" w:cs="Arial"/>
          <w:sz w:val="20"/>
          <w:szCs w:val="20"/>
        </w:rPr>
        <w:t xml:space="preserve"> </w:t>
      </w:r>
      <w:r w:rsidR="00931059">
        <w:rPr>
          <w:rFonts w:ascii="Arial" w:hAnsi="Arial" w:cs="Arial"/>
          <w:sz w:val="20"/>
          <w:szCs w:val="20"/>
        </w:rPr>
        <w:t>The population was defined as “a</w:t>
      </w:r>
      <w:r w:rsidR="00931059" w:rsidRPr="00931059">
        <w:rPr>
          <w:rFonts w:ascii="Arial" w:hAnsi="Arial" w:cs="Arial"/>
          <w:sz w:val="20"/>
          <w:szCs w:val="20"/>
        </w:rPr>
        <w:t>dults and young people (16 years and older) undergoing elective knee replacement admitted to and discharged from hospital</w:t>
      </w:r>
      <w:r w:rsidR="00931059">
        <w:rPr>
          <w:rFonts w:ascii="Arial" w:hAnsi="Arial" w:cs="Arial"/>
          <w:sz w:val="20"/>
          <w:szCs w:val="20"/>
        </w:rPr>
        <w:t xml:space="preserve">”. To be included, a study had to be a randomised controlled trial comparing two or more of the VTE prophylaxis intervention of interest (see </w:t>
      </w:r>
      <w:r w:rsidR="00C50E8A">
        <w:rPr>
          <w:rFonts w:ascii="Arial" w:hAnsi="Arial" w:cs="Arial"/>
          <w:sz w:val="20"/>
          <w:szCs w:val="20"/>
        </w:rPr>
        <w:t>appendix</w:t>
      </w:r>
      <w:r w:rsidR="00931059">
        <w:rPr>
          <w:rFonts w:ascii="Arial" w:hAnsi="Arial" w:cs="Arial"/>
          <w:sz w:val="20"/>
          <w:szCs w:val="20"/>
        </w:rPr>
        <w:t xml:space="preserve">, </w:t>
      </w:r>
      <w:r w:rsidR="00185E11">
        <w:rPr>
          <w:rFonts w:ascii="Arial" w:hAnsi="Arial" w:cs="Arial"/>
          <w:sz w:val="20"/>
          <w:szCs w:val="20"/>
        </w:rPr>
        <w:t>page 11-12</w:t>
      </w:r>
      <w:r w:rsidR="00931059">
        <w:rPr>
          <w:rFonts w:ascii="Arial" w:hAnsi="Arial" w:cs="Arial"/>
          <w:sz w:val="20"/>
          <w:szCs w:val="20"/>
        </w:rPr>
        <w:t xml:space="preserve"> for a full list of interventions). Non-RCT study designs were excluded, in accordance with NICE guideline development methods, given the availability of RCTs that are relevant for this review. Conference abstracts were also excluded.</w:t>
      </w:r>
    </w:p>
    <w:p w14:paraId="62292D8E" w14:textId="0A86B371" w:rsidR="00CB326A" w:rsidRDefault="00CB326A" w:rsidP="00CB326A">
      <w:pPr>
        <w:spacing w:line="480" w:lineRule="auto"/>
        <w:rPr>
          <w:rFonts w:ascii="Arial" w:hAnsi="Arial" w:cs="Arial"/>
          <w:sz w:val="20"/>
          <w:szCs w:val="20"/>
        </w:rPr>
      </w:pPr>
      <w:r w:rsidRPr="00CB326A">
        <w:rPr>
          <w:rFonts w:ascii="Arial" w:hAnsi="Arial" w:cs="Arial"/>
          <w:b/>
          <w:sz w:val="20"/>
          <w:szCs w:val="20"/>
        </w:rPr>
        <w:t>Procedures</w:t>
      </w:r>
    </w:p>
    <w:p w14:paraId="3D2334A3" w14:textId="1566543D" w:rsidR="00612CEF" w:rsidRDefault="000139EE" w:rsidP="00CB326A">
      <w:pPr>
        <w:spacing w:line="480" w:lineRule="auto"/>
        <w:rPr>
          <w:rFonts w:ascii="Arial" w:hAnsi="Arial" w:cs="Arial"/>
          <w:sz w:val="20"/>
          <w:szCs w:val="20"/>
        </w:rPr>
      </w:pPr>
      <w:r w:rsidRPr="001560ED">
        <w:rPr>
          <w:rFonts w:ascii="Arial" w:hAnsi="Arial" w:cs="Arial"/>
          <w:sz w:val="20"/>
          <w:szCs w:val="20"/>
        </w:rPr>
        <w:t xml:space="preserve">Searches were run in </w:t>
      </w:r>
      <w:r>
        <w:rPr>
          <w:rFonts w:ascii="Arial" w:hAnsi="Arial" w:cs="Arial"/>
          <w:sz w:val="20"/>
          <w:szCs w:val="20"/>
        </w:rPr>
        <w:t>EMBASE</w:t>
      </w:r>
      <w:r w:rsidRPr="001560ED">
        <w:rPr>
          <w:rFonts w:ascii="Arial" w:hAnsi="Arial" w:cs="Arial"/>
          <w:sz w:val="20"/>
          <w:szCs w:val="20"/>
        </w:rPr>
        <w:t xml:space="preserve"> (OVID)</w:t>
      </w:r>
      <w:r>
        <w:rPr>
          <w:rFonts w:ascii="Arial" w:hAnsi="Arial" w:cs="Arial"/>
          <w:sz w:val="20"/>
          <w:szCs w:val="20"/>
        </w:rPr>
        <w:t>,</w:t>
      </w:r>
      <w:r w:rsidRPr="001560ED">
        <w:rPr>
          <w:rFonts w:ascii="Arial" w:hAnsi="Arial" w:cs="Arial"/>
          <w:sz w:val="20"/>
          <w:szCs w:val="20"/>
        </w:rPr>
        <w:t xml:space="preserve"> Medline (OVID)</w:t>
      </w:r>
      <w:r>
        <w:rPr>
          <w:rFonts w:ascii="Arial" w:hAnsi="Arial" w:cs="Arial"/>
          <w:sz w:val="20"/>
          <w:szCs w:val="20"/>
        </w:rPr>
        <w:t xml:space="preserve"> </w:t>
      </w:r>
      <w:r w:rsidRPr="001560ED">
        <w:rPr>
          <w:rFonts w:ascii="Arial" w:hAnsi="Arial" w:cs="Arial"/>
          <w:sz w:val="20"/>
          <w:szCs w:val="20"/>
        </w:rPr>
        <w:t>and the Cochrane Library (Wiley) (</w:t>
      </w:r>
      <w:r>
        <w:rPr>
          <w:rFonts w:ascii="Arial" w:hAnsi="Arial" w:cs="Arial"/>
          <w:sz w:val="20"/>
          <w:szCs w:val="20"/>
        </w:rPr>
        <w:t>s</w:t>
      </w:r>
      <w:r w:rsidRPr="001560ED">
        <w:rPr>
          <w:rFonts w:ascii="Arial" w:hAnsi="Arial" w:cs="Arial"/>
          <w:sz w:val="20"/>
          <w:szCs w:val="20"/>
        </w:rPr>
        <w:t xml:space="preserve">ee </w:t>
      </w:r>
      <w:r w:rsidR="00C50E8A">
        <w:rPr>
          <w:rFonts w:ascii="Arial" w:hAnsi="Arial" w:cs="Arial"/>
          <w:sz w:val="20"/>
          <w:szCs w:val="20"/>
        </w:rPr>
        <w:t>appendix</w:t>
      </w:r>
      <w:r>
        <w:rPr>
          <w:rFonts w:ascii="Arial" w:hAnsi="Arial" w:cs="Arial"/>
          <w:sz w:val="20"/>
          <w:szCs w:val="20"/>
        </w:rPr>
        <w:t>,</w:t>
      </w:r>
      <w:r w:rsidRPr="001560ED">
        <w:rPr>
          <w:rFonts w:ascii="Arial" w:hAnsi="Arial" w:cs="Arial"/>
          <w:sz w:val="20"/>
          <w:szCs w:val="20"/>
        </w:rPr>
        <w:t xml:space="preserve"> </w:t>
      </w:r>
      <w:r w:rsidR="00185E11">
        <w:rPr>
          <w:rFonts w:ascii="Arial" w:hAnsi="Arial" w:cs="Arial"/>
          <w:sz w:val="20"/>
          <w:szCs w:val="20"/>
        </w:rPr>
        <w:t xml:space="preserve">pages 3-10 </w:t>
      </w:r>
      <w:r>
        <w:rPr>
          <w:rFonts w:ascii="Arial" w:hAnsi="Arial" w:cs="Arial"/>
          <w:sz w:val="20"/>
          <w:szCs w:val="20"/>
        </w:rPr>
        <w:t>for search strategies</w:t>
      </w:r>
      <w:r w:rsidRPr="006232AD">
        <w:rPr>
          <w:rFonts w:ascii="Arial" w:hAnsi="Arial" w:cs="Arial"/>
          <w:sz w:val="20"/>
          <w:szCs w:val="20"/>
        </w:rPr>
        <w:t xml:space="preserve">). </w:t>
      </w:r>
      <w:r>
        <w:rPr>
          <w:rFonts w:ascii="Arial" w:hAnsi="Arial" w:cs="Arial"/>
          <w:sz w:val="20"/>
          <w:szCs w:val="20"/>
        </w:rPr>
        <w:t xml:space="preserve">Searches were limited to retrieve RCTs published in English. This </w:t>
      </w:r>
      <w:r w:rsidR="00715D57">
        <w:rPr>
          <w:rFonts w:ascii="Arial" w:hAnsi="Arial" w:cs="Arial"/>
          <w:sz w:val="20"/>
          <w:szCs w:val="20"/>
        </w:rPr>
        <w:t>systematic review</w:t>
      </w:r>
      <w:r>
        <w:rPr>
          <w:rFonts w:ascii="Arial" w:hAnsi="Arial" w:cs="Arial"/>
          <w:sz w:val="20"/>
          <w:szCs w:val="20"/>
        </w:rPr>
        <w:t xml:space="preserve"> was an update of the review conducted for the CG92 guideline, in which studies published between 1950 and the 10</w:t>
      </w:r>
      <w:r w:rsidRPr="00DA2CF3">
        <w:rPr>
          <w:rFonts w:ascii="Arial" w:hAnsi="Arial" w:cs="Arial"/>
          <w:sz w:val="20"/>
          <w:szCs w:val="20"/>
          <w:vertAlign w:val="superscript"/>
        </w:rPr>
        <w:t>th</w:t>
      </w:r>
      <w:r>
        <w:rPr>
          <w:rFonts w:ascii="Arial" w:hAnsi="Arial" w:cs="Arial"/>
          <w:sz w:val="20"/>
          <w:szCs w:val="20"/>
        </w:rPr>
        <w:t xml:space="preserve"> December 2008 were reviewed. Thus, the updated searches were run from 2008 to 19</w:t>
      </w:r>
      <w:r w:rsidRPr="00DA2CF3">
        <w:rPr>
          <w:rFonts w:ascii="Arial" w:hAnsi="Arial" w:cs="Arial"/>
          <w:sz w:val="20"/>
          <w:szCs w:val="20"/>
          <w:vertAlign w:val="superscript"/>
        </w:rPr>
        <w:t>th</w:t>
      </w:r>
      <w:r>
        <w:rPr>
          <w:rFonts w:ascii="Arial" w:hAnsi="Arial" w:cs="Arial"/>
          <w:sz w:val="20"/>
          <w:szCs w:val="20"/>
        </w:rPr>
        <w:t xml:space="preserve"> June 2017. Studies that were originally included in the CG92 guideline were re-assessed for eligibility in this updated </w:t>
      </w:r>
      <w:r w:rsidR="00715D57">
        <w:rPr>
          <w:rFonts w:ascii="Arial" w:hAnsi="Arial" w:cs="Arial"/>
          <w:sz w:val="20"/>
          <w:szCs w:val="20"/>
        </w:rPr>
        <w:t>systematic review</w:t>
      </w:r>
      <w:r>
        <w:rPr>
          <w:rFonts w:ascii="Arial" w:hAnsi="Arial" w:cs="Arial"/>
          <w:sz w:val="20"/>
          <w:szCs w:val="20"/>
        </w:rPr>
        <w:t>. Relevant articles identified within the searches from 2008 were also assessed for eligibility according to the protocol (</w:t>
      </w:r>
      <w:r w:rsidR="00C50E8A">
        <w:rPr>
          <w:rFonts w:ascii="Arial" w:hAnsi="Arial" w:cs="Arial"/>
          <w:sz w:val="20"/>
          <w:szCs w:val="20"/>
        </w:rPr>
        <w:t>appendix</w:t>
      </w:r>
      <w:r>
        <w:rPr>
          <w:rFonts w:ascii="Arial" w:hAnsi="Arial" w:cs="Arial"/>
          <w:sz w:val="20"/>
          <w:szCs w:val="20"/>
        </w:rPr>
        <w:t>,</w:t>
      </w:r>
      <w:r w:rsidR="00185E11">
        <w:rPr>
          <w:rFonts w:ascii="Arial" w:hAnsi="Arial" w:cs="Arial"/>
          <w:sz w:val="20"/>
          <w:szCs w:val="20"/>
        </w:rPr>
        <w:t xml:space="preserve"> page 11-12</w:t>
      </w:r>
      <w:r>
        <w:rPr>
          <w:rFonts w:ascii="Arial" w:hAnsi="Arial" w:cs="Arial"/>
          <w:sz w:val="20"/>
          <w:szCs w:val="20"/>
        </w:rPr>
        <w:t xml:space="preserve">). Forward citation searching was also performed. </w:t>
      </w:r>
      <w:r w:rsidR="00D52B2F">
        <w:rPr>
          <w:rFonts w:ascii="Arial" w:hAnsi="Arial" w:cs="Arial"/>
          <w:sz w:val="20"/>
          <w:szCs w:val="20"/>
        </w:rPr>
        <w:t>Trial registries and grey literature were not searched.</w:t>
      </w:r>
      <w:r>
        <w:rPr>
          <w:rFonts w:ascii="Arial" w:hAnsi="Arial" w:cs="Arial"/>
          <w:sz w:val="20"/>
          <w:szCs w:val="20"/>
        </w:rPr>
        <w:t xml:space="preserve"> </w:t>
      </w:r>
      <w:r w:rsidR="00D52B2F">
        <w:rPr>
          <w:rFonts w:ascii="Arial" w:hAnsi="Arial" w:cs="Arial"/>
          <w:sz w:val="20"/>
          <w:szCs w:val="20"/>
        </w:rPr>
        <w:t xml:space="preserve">Inclusion decisions were made by one reviewer (SL) and quality checked by a senior reviewer (JG). Any disagreement was resolved by discussion between the two reviewers and/or input from the guideline committee. </w:t>
      </w:r>
    </w:p>
    <w:p w14:paraId="34F4DA50" w14:textId="4E7E1793" w:rsidR="00C87D55" w:rsidRDefault="00C87D55" w:rsidP="00713B79">
      <w:pPr>
        <w:spacing w:line="480" w:lineRule="auto"/>
        <w:rPr>
          <w:rFonts w:ascii="Arial" w:hAnsi="Arial" w:cs="Arial"/>
          <w:sz w:val="20"/>
          <w:szCs w:val="20"/>
        </w:rPr>
      </w:pPr>
      <w:r w:rsidRPr="00C87D55">
        <w:rPr>
          <w:rFonts w:ascii="Arial" w:hAnsi="Arial" w:cs="Arial"/>
          <w:b/>
          <w:sz w:val="20"/>
          <w:szCs w:val="20"/>
        </w:rPr>
        <w:t>Outcomes</w:t>
      </w:r>
    </w:p>
    <w:p w14:paraId="4E0754B2" w14:textId="36BA87AD" w:rsidR="00713B79" w:rsidRPr="00713B79" w:rsidRDefault="004407E7" w:rsidP="00713B79">
      <w:pPr>
        <w:spacing w:line="480" w:lineRule="auto"/>
        <w:rPr>
          <w:rFonts w:ascii="Arial" w:hAnsi="Arial" w:cs="Arial"/>
          <w:sz w:val="20"/>
          <w:szCs w:val="20"/>
        </w:rPr>
      </w:pPr>
      <w:r>
        <w:rPr>
          <w:rFonts w:ascii="Arial" w:hAnsi="Arial" w:cs="Arial"/>
          <w:sz w:val="20"/>
          <w:szCs w:val="20"/>
        </w:rPr>
        <w:t xml:space="preserve">The </w:t>
      </w:r>
      <w:r w:rsidR="00A8036E">
        <w:rPr>
          <w:rFonts w:ascii="Arial" w:hAnsi="Arial" w:cs="Arial"/>
          <w:sz w:val="20"/>
          <w:szCs w:val="20"/>
        </w:rPr>
        <w:t>network meta-analyses</w:t>
      </w:r>
      <w:r>
        <w:rPr>
          <w:rFonts w:ascii="Arial" w:hAnsi="Arial" w:cs="Arial"/>
          <w:sz w:val="20"/>
          <w:szCs w:val="20"/>
        </w:rPr>
        <w:t xml:space="preserve"> were undertaken for three</w:t>
      </w:r>
      <w:r w:rsidR="00713B79">
        <w:rPr>
          <w:rFonts w:ascii="Arial" w:hAnsi="Arial" w:cs="Arial"/>
          <w:sz w:val="20"/>
          <w:szCs w:val="20"/>
        </w:rPr>
        <w:t xml:space="preserve"> outcomes, </w:t>
      </w:r>
      <w:r>
        <w:rPr>
          <w:rFonts w:ascii="Arial" w:hAnsi="Arial" w:cs="Arial"/>
          <w:sz w:val="20"/>
          <w:szCs w:val="20"/>
        </w:rPr>
        <w:t>deemed critical</w:t>
      </w:r>
      <w:r w:rsidR="00713B79">
        <w:rPr>
          <w:rFonts w:ascii="Arial" w:hAnsi="Arial" w:cs="Arial"/>
          <w:sz w:val="20"/>
          <w:szCs w:val="20"/>
        </w:rPr>
        <w:t xml:space="preserve"> for decision-making</w:t>
      </w:r>
      <w:r>
        <w:rPr>
          <w:rFonts w:ascii="Arial" w:hAnsi="Arial" w:cs="Arial"/>
          <w:sz w:val="20"/>
          <w:szCs w:val="20"/>
        </w:rPr>
        <w:t xml:space="preserve"> and were required for economic modelling: DVT</w:t>
      </w:r>
      <w:r w:rsidR="006E6B11">
        <w:rPr>
          <w:rFonts w:ascii="Arial" w:hAnsi="Arial" w:cs="Arial"/>
          <w:sz w:val="20"/>
          <w:szCs w:val="20"/>
        </w:rPr>
        <w:t xml:space="preserve"> </w:t>
      </w:r>
      <w:r>
        <w:rPr>
          <w:rFonts w:ascii="Arial" w:hAnsi="Arial" w:cs="Arial"/>
          <w:sz w:val="20"/>
          <w:szCs w:val="20"/>
        </w:rPr>
        <w:t>(both symptomatic and asymptomatic), PE</w:t>
      </w:r>
      <w:r w:rsidR="006E6B11">
        <w:rPr>
          <w:rFonts w:ascii="Arial" w:hAnsi="Arial" w:cs="Arial"/>
          <w:sz w:val="20"/>
          <w:szCs w:val="20"/>
        </w:rPr>
        <w:t xml:space="preserve"> and </w:t>
      </w:r>
      <w:r>
        <w:rPr>
          <w:rFonts w:ascii="Arial" w:hAnsi="Arial" w:cs="Arial"/>
          <w:sz w:val="20"/>
          <w:szCs w:val="20"/>
        </w:rPr>
        <w:t>major bleeding (MB</w:t>
      </w:r>
      <w:proofErr w:type="gramStart"/>
      <w:r>
        <w:rPr>
          <w:rFonts w:ascii="Arial" w:hAnsi="Arial" w:cs="Arial"/>
          <w:sz w:val="20"/>
          <w:szCs w:val="20"/>
        </w:rPr>
        <w:t>)</w:t>
      </w:r>
      <w:r w:rsidR="008406E9">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15)</w:t>
      </w:r>
      <w:r>
        <w:rPr>
          <w:rFonts w:ascii="Arial" w:hAnsi="Arial" w:cs="Arial"/>
          <w:sz w:val="20"/>
          <w:szCs w:val="20"/>
        </w:rPr>
        <w:t xml:space="preserve"> </w:t>
      </w:r>
      <w:r w:rsidR="00612CEF">
        <w:rPr>
          <w:rFonts w:ascii="Arial" w:hAnsi="Arial" w:cs="Arial"/>
          <w:sz w:val="20"/>
          <w:szCs w:val="20"/>
        </w:rPr>
        <w:t>Data were extracted from the included RCTs</w:t>
      </w:r>
      <w:r w:rsidR="00713B79">
        <w:rPr>
          <w:rFonts w:ascii="Arial" w:hAnsi="Arial" w:cs="Arial"/>
          <w:sz w:val="20"/>
          <w:szCs w:val="20"/>
        </w:rPr>
        <w:t xml:space="preserve"> that matched time-point measurements</w:t>
      </w:r>
      <w:r w:rsidR="00612CEF">
        <w:rPr>
          <w:rFonts w:ascii="Arial" w:hAnsi="Arial" w:cs="Arial"/>
          <w:sz w:val="20"/>
          <w:szCs w:val="20"/>
        </w:rPr>
        <w:t xml:space="preserve">. </w:t>
      </w:r>
      <w:r w:rsidR="00713B79" w:rsidRPr="002F0515">
        <w:rPr>
          <w:rFonts w:ascii="Arial" w:hAnsi="Arial" w:cs="Arial"/>
          <w:sz w:val="20"/>
          <w:szCs w:val="20"/>
        </w:rPr>
        <w:t xml:space="preserve">Studies </w:t>
      </w:r>
      <w:r w:rsidR="00713B79">
        <w:rPr>
          <w:rFonts w:ascii="Arial" w:hAnsi="Arial" w:cs="Arial"/>
          <w:sz w:val="20"/>
          <w:szCs w:val="20"/>
        </w:rPr>
        <w:t xml:space="preserve">that </w:t>
      </w:r>
      <w:r w:rsidR="00713B79" w:rsidRPr="002F0515">
        <w:rPr>
          <w:rFonts w:ascii="Arial" w:hAnsi="Arial" w:cs="Arial"/>
          <w:sz w:val="20"/>
          <w:szCs w:val="20"/>
        </w:rPr>
        <w:t>report</w:t>
      </w:r>
      <w:r w:rsidR="00713B79">
        <w:rPr>
          <w:rFonts w:ascii="Arial" w:hAnsi="Arial" w:cs="Arial"/>
          <w:sz w:val="20"/>
          <w:szCs w:val="20"/>
        </w:rPr>
        <w:t>ed no</w:t>
      </w:r>
      <w:r w:rsidR="00713B79" w:rsidRPr="002F0515">
        <w:rPr>
          <w:rFonts w:ascii="Arial" w:hAnsi="Arial" w:cs="Arial"/>
          <w:sz w:val="20"/>
          <w:szCs w:val="20"/>
        </w:rPr>
        <w:t xml:space="preserve"> events in </w:t>
      </w:r>
      <w:r w:rsidR="00713B79">
        <w:rPr>
          <w:rFonts w:ascii="Arial" w:hAnsi="Arial" w:cs="Arial"/>
          <w:sz w:val="20"/>
          <w:szCs w:val="20"/>
        </w:rPr>
        <w:t>all</w:t>
      </w:r>
      <w:r w:rsidR="00713B79" w:rsidRPr="002F0515">
        <w:rPr>
          <w:rFonts w:ascii="Arial" w:hAnsi="Arial" w:cs="Arial"/>
          <w:sz w:val="20"/>
          <w:szCs w:val="20"/>
        </w:rPr>
        <w:t xml:space="preserve"> </w:t>
      </w:r>
      <w:r w:rsidR="00713B79">
        <w:rPr>
          <w:rFonts w:ascii="Arial" w:hAnsi="Arial" w:cs="Arial"/>
          <w:sz w:val="20"/>
          <w:szCs w:val="20"/>
        </w:rPr>
        <w:t xml:space="preserve">study arms </w:t>
      </w:r>
      <w:r w:rsidR="00713B79" w:rsidRPr="002F0515">
        <w:rPr>
          <w:rFonts w:ascii="Arial" w:hAnsi="Arial" w:cs="Arial"/>
          <w:sz w:val="20"/>
          <w:szCs w:val="20"/>
        </w:rPr>
        <w:t xml:space="preserve">were excluded from the </w:t>
      </w:r>
      <w:r w:rsidR="009A05A6">
        <w:rPr>
          <w:rFonts w:ascii="Arial" w:hAnsi="Arial" w:cs="Arial"/>
          <w:sz w:val="20"/>
          <w:szCs w:val="20"/>
        </w:rPr>
        <w:t>network meta-analyses</w:t>
      </w:r>
      <w:r w:rsidR="00713B79" w:rsidRPr="002F0515">
        <w:rPr>
          <w:rFonts w:ascii="Arial" w:hAnsi="Arial" w:cs="Arial"/>
          <w:sz w:val="20"/>
          <w:szCs w:val="20"/>
        </w:rPr>
        <w:t xml:space="preserve">, as they </w:t>
      </w:r>
      <w:r w:rsidR="00713B79">
        <w:rPr>
          <w:rFonts w:ascii="Arial" w:hAnsi="Arial" w:cs="Arial"/>
          <w:sz w:val="20"/>
          <w:szCs w:val="20"/>
        </w:rPr>
        <w:t xml:space="preserve">do </w:t>
      </w:r>
      <w:r w:rsidR="00713B79" w:rsidRPr="002F0515">
        <w:rPr>
          <w:rFonts w:ascii="Arial" w:hAnsi="Arial" w:cs="Arial"/>
          <w:sz w:val="20"/>
          <w:szCs w:val="20"/>
        </w:rPr>
        <w:t xml:space="preserve">not contribute information </w:t>
      </w:r>
      <w:r w:rsidR="00713B79">
        <w:rPr>
          <w:rFonts w:ascii="Arial" w:hAnsi="Arial" w:cs="Arial"/>
          <w:sz w:val="20"/>
          <w:szCs w:val="20"/>
        </w:rPr>
        <w:t>on relative treatment effects</w:t>
      </w:r>
      <w:r w:rsidR="00713B79" w:rsidRPr="002F0515">
        <w:rPr>
          <w:rFonts w:ascii="Arial" w:hAnsi="Arial" w:cs="Arial"/>
          <w:sz w:val="20"/>
          <w:szCs w:val="20"/>
        </w:rPr>
        <w:t>.</w:t>
      </w:r>
      <w:r w:rsidR="00713B79">
        <w:rPr>
          <w:rFonts w:ascii="Arial" w:hAnsi="Arial" w:cs="Arial"/>
          <w:sz w:val="20"/>
          <w:szCs w:val="20"/>
        </w:rPr>
        <w:t xml:space="preserve"> In the MB network, </w:t>
      </w:r>
      <w:r w:rsidR="00713B79">
        <w:rPr>
          <w:rFonts w:ascii="Arial" w:hAnsi="Arial" w:cs="Arial"/>
          <w:sz w:val="20"/>
          <w:szCs w:val="20"/>
        </w:rPr>
        <w:lastRenderedPageBreak/>
        <w:t>trial arms that evaluated mechanical interventions were deemed as equivalent to no prophylaxis, as it was assumed that these interventions</w:t>
      </w:r>
      <w:r w:rsidR="008406E9">
        <w:rPr>
          <w:rFonts w:ascii="Arial" w:hAnsi="Arial" w:cs="Arial"/>
          <w:sz w:val="20"/>
          <w:szCs w:val="20"/>
        </w:rPr>
        <w:t xml:space="preserve"> do not influence bleeding </w:t>
      </w:r>
      <w:proofErr w:type="gramStart"/>
      <w:r w:rsidR="008406E9">
        <w:rPr>
          <w:rFonts w:ascii="Arial" w:hAnsi="Arial" w:cs="Arial"/>
          <w:sz w:val="20"/>
          <w:szCs w:val="20"/>
        </w:rPr>
        <w:t>risk.</w:t>
      </w:r>
      <w:r w:rsidR="0095655B">
        <w:rPr>
          <w:rFonts w:ascii="Arial" w:hAnsi="Arial" w:cs="Arial"/>
          <w:noProof/>
          <w:sz w:val="20"/>
          <w:szCs w:val="20"/>
        </w:rPr>
        <w:t>(</w:t>
      </w:r>
      <w:proofErr w:type="gramEnd"/>
      <w:r w:rsidR="0095655B">
        <w:rPr>
          <w:rFonts w:ascii="Arial" w:hAnsi="Arial" w:cs="Arial"/>
          <w:noProof/>
          <w:sz w:val="20"/>
          <w:szCs w:val="20"/>
        </w:rPr>
        <w:t>16)</w:t>
      </w:r>
    </w:p>
    <w:p w14:paraId="7483317E" w14:textId="5207DE2C" w:rsidR="0018114F" w:rsidRDefault="00713B79" w:rsidP="008B07FA">
      <w:pPr>
        <w:spacing w:line="480" w:lineRule="auto"/>
        <w:rPr>
          <w:rFonts w:ascii="Arial" w:hAnsi="Arial" w:cs="Arial"/>
          <w:sz w:val="20"/>
          <w:szCs w:val="20"/>
        </w:rPr>
      </w:pPr>
      <w:r>
        <w:rPr>
          <w:rFonts w:ascii="Arial" w:hAnsi="Arial" w:cs="Arial"/>
          <w:sz w:val="20"/>
          <w:szCs w:val="20"/>
        </w:rPr>
        <w:t>S</w:t>
      </w:r>
      <w:r w:rsidRPr="00C147E5">
        <w:rPr>
          <w:rFonts w:ascii="Arial" w:hAnsi="Arial" w:cs="Arial"/>
          <w:sz w:val="20"/>
          <w:szCs w:val="20"/>
        </w:rPr>
        <w:t>tudy characteristics, sample size, follow-up, interventions and outcome</w:t>
      </w:r>
      <w:r>
        <w:rPr>
          <w:rFonts w:ascii="Arial" w:hAnsi="Arial" w:cs="Arial"/>
          <w:sz w:val="20"/>
          <w:szCs w:val="20"/>
        </w:rPr>
        <w:t xml:space="preserve"> data </w:t>
      </w:r>
      <w:r w:rsidR="00612CEF">
        <w:rPr>
          <w:rFonts w:ascii="Arial" w:hAnsi="Arial" w:cs="Arial"/>
          <w:sz w:val="20"/>
          <w:szCs w:val="20"/>
        </w:rPr>
        <w:t>were</w:t>
      </w:r>
      <w:r>
        <w:rPr>
          <w:rFonts w:ascii="Arial" w:hAnsi="Arial" w:cs="Arial"/>
          <w:sz w:val="20"/>
          <w:szCs w:val="20"/>
        </w:rPr>
        <w:t xml:space="preserve"> extracted from the </w:t>
      </w:r>
      <w:r w:rsidR="00612CEF">
        <w:rPr>
          <w:rFonts w:ascii="Arial" w:hAnsi="Arial" w:cs="Arial"/>
          <w:sz w:val="20"/>
          <w:szCs w:val="20"/>
        </w:rPr>
        <w:t>included RCTs and tabulated</w:t>
      </w:r>
      <w:r w:rsidRPr="00C147E5">
        <w:rPr>
          <w:rFonts w:ascii="Arial" w:hAnsi="Arial" w:cs="Arial"/>
          <w:sz w:val="20"/>
          <w:szCs w:val="20"/>
        </w:rPr>
        <w:t xml:space="preserve">. Risk of bias was </w:t>
      </w:r>
      <w:r>
        <w:rPr>
          <w:rFonts w:ascii="Arial" w:hAnsi="Arial" w:cs="Arial"/>
          <w:sz w:val="20"/>
          <w:szCs w:val="20"/>
        </w:rPr>
        <w:t>assessed</w:t>
      </w:r>
      <w:r w:rsidRPr="00C147E5">
        <w:rPr>
          <w:rFonts w:ascii="Arial" w:hAnsi="Arial" w:cs="Arial"/>
          <w:sz w:val="20"/>
          <w:szCs w:val="20"/>
        </w:rPr>
        <w:t xml:space="preserve"> using the NICE risk of bias checklist for RCTs </w:t>
      </w:r>
      <w:r>
        <w:rPr>
          <w:rFonts w:ascii="Arial" w:hAnsi="Arial" w:cs="Arial"/>
          <w:sz w:val="20"/>
          <w:szCs w:val="20"/>
        </w:rPr>
        <w:t xml:space="preserve">which </w:t>
      </w:r>
      <w:r w:rsidRPr="00C147E5">
        <w:rPr>
          <w:rFonts w:ascii="Arial" w:hAnsi="Arial" w:cs="Arial"/>
          <w:sz w:val="20"/>
          <w:szCs w:val="20"/>
        </w:rPr>
        <w:t xml:space="preserve">aligns with the Cochrane </w:t>
      </w:r>
      <w:r>
        <w:rPr>
          <w:rFonts w:ascii="Arial" w:hAnsi="Arial" w:cs="Arial"/>
          <w:sz w:val="20"/>
          <w:szCs w:val="20"/>
        </w:rPr>
        <w:t xml:space="preserve">risk of bias </w:t>
      </w:r>
      <w:r w:rsidRPr="00C147E5">
        <w:rPr>
          <w:rFonts w:ascii="Arial" w:hAnsi="Arial" w:cs="Arial"/>
          <w:sz w:val="20"/>
          <w:szCs w:val="20"/>
        </w:rPr>
        <w:t>tool</w:t>
      </w:r>
      <w:r>
        <w:rPr>
          <w:rFonts w:ascii="Arial" w:hAnsi="Arial" w:cs="Arial"/>
          <w:sz w:val="20"/>
          <w:szCs w:val="20"/>
        </w:rPr>
        <w:t xml:space="preserve"> by </w:t>
      </w:r>
      <w:proofErr w:type="gramStart"/>
      <w:r>
        <w:rPr>
          <w:rFonts w:ascii="Arial" w:hAnsi="Arial" w:cs="Arial"/>
          <w:sz w:val="20"/>
          <w:szCs w:val="20"/>
        </w:rPr>
        <w:t>SL</w:t>
      </w:r>
      <w:r w:rsidR="008406E9">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17)</w:t>
      </w:r>
    </w:p>
    <w:p w14:paraId="475E3278" w14:textId="1F6A0E00" w:rsidR="00433848" w:rsidRPr="00332815" w:rsidRDefault="00C87D55" w:rsidP="0052085B">
      <w:pPr>
        <w:spacing w:line="480" w:lineRule="auto"/>
        <w:rPr>
          <w:rFonts w:ascii="Arial" w:hAnsi="Arial" w:cs="Arial"/>
          <w:b/>
          <w:sz w:val="20"/>
          <w:szCs w:val="20"/>
        </w:rPr>
      </w:pPr>
      <w:r>
        <w:rPr>
          <w:rFonts w:ascii="Arial" w:hAnsi="Arial" w:cs="Arial"/>
          <w:b/>
          <w:sz w:val="20"/>
          <w:szCs w:val="20"/>
        </w:rPr>
        <w:t>Statistical analysis</w:t>
      </w:r>
    </w:p>
    <w:p w14:paraId="445944F9" w14:textId="05923D67" w:rsidR="00E71FA6" w:rsidRDefault="00C11A35" w:rsidP="00941D7B">
      <w:pPr>
        <w:spacing w:line="480" w:lineRule="auto"/>
        <w:rPr>
          <w:rFonts w:ascii="Arial" w:hAnsi="Arial" w:cs="Arial"/>
          <w:sz w:val="20"/>
          <w:szCs w:val="20"/>
        </w:rPr>
      </w:pPr>
      <w:r w:rsidRPr="000629FF">
        <w:rPr>
          <w:rFonts w:ascii="Arial" w:hAnsi="Arial" w:cs="Arial"/>
          <w:sz w:val="20"/>
          <w:szCs w:val="20"/>
        </w:rPr>
        <w:t>Direct</w:t>
      </w:r>
      <w:r w:rsidR="000629FF" w:rsidRPr="000629FF">
        <w:rPr>
          <w:rFonts w:ascii="Arial" w:hAnsi="Arial" w:cs="Arial"/>
          <w:sz w:val="20"/>
          <w:szCs w:val="20"/>
        </w:rPr>
        <w:t xml:space="preserve"> pairwise</w:t>
      </w:r>
      <w:r w:rsidRPr="000629FF">
        <w:rPr>
          <w:rFonts w:ascii="Arial" w:hAnsi="Arial" w:cs="Arial"/>
          <w:sz w:val="20"/>
          <w:szCs w:val="20"/>
        </w:rPr>
        <w:t xml:space="preserve"> meta-analyses were conducted in Review Manager </w:t>
      </w:r>
      <w:r w:rsidR="00045A29" w:rsidRPr="000629FF">
        <w:rPr>
          <w:rFonts w:ascii="Arial" w:hAnsi="Arial" w:cs="Arial"/>
          <w:sz w:val="20"/>
          <w:szCs w:val="20"/>
        </w:rPr>
        <w:t>Software</w:t>
      </w:r>
      <w:r w:rsidRPr="000629FF">
        <w:rPr>
          <w:rFonts w:ascii="Arial" w:hAnsi="Arial" w:cs="Arial"/>
          <w:sz w:val="20"/>
          <w:szCs w:val="20"/>
        </w:rPr>
        <w:t xml:space="preserve"> version 5.3</w:t>
      </w:r>
      <w:r w:rsidR="000629FF">
        <w:rPr>
          <w:rFonts w:ascii="Arial" w:hAnsi="Arial" w:cs="Arial"/>
          <w:i/>
          <w:sz w:val="20"/>
          <w:szCs w:val="20"/>
        </w:rPr>
        <w:t>.</w:t>
      </w:r>
      <w:r w:rsidR="00E71FA6" w:rsidRPr="00E71FA6">
        <w:rPr>
          <w:rFonts w:ascii="Calibri" w:eastAsia="Calibri" w:hAnsi="Calibri" w:cs="Times New Roman"/>
        </w:rPr>
        <w:t xml:space="preserve"> </w:t>
      </w:r>
      <w:r w:rsidR="00E71FA6" w:rsidRPr="00E71FA6">
        <w:rPr>
          <w:rFonts w:ascii="Arial" w:hAnsi="Arial" w:cs="Arial"/>
          <w:sz w:val="20"/>
          <w:szCs w:val="20"/>
        </w:rPr>
        <w:t xml:space="preserve">Bayesian </w:t>
      </w:r>
      <w:r w:rsidR="00A8036E">
        <w:rPr>
          <w:rFonts w:ascii="Arial" w:hAnsi="Arial" w:cs="Arial"/>
          <w:sz w:val="20"/>
          <w:szCs w:val="20"/>
        </w:rPr>
        <w:t>network meta-analyses</w:t>
      </w:r>
      <w:r w:rsidR="00E71FA6" w:rsidRPr="00E71FA6">
        <w:rPr>
          <w:rFonts w:ascii="Arial" w:hAnsi="Arial" w:cs="Arial"/>
          <w:sz w:val="20"/>
          <w:szCs w:val="20"/>
        </w:rPr>
        <w:t xml:space="preserve"> </w:t>
      </w:r>
      <w:r w:rsidR="004C041E">
        <w:rPr>
          <w:rFonts w:ascii="Arial" w:hAnsi="Arial" w:cs="Arial"/>
          <w:sz w:val="20"/>
          <w:szCs w:val="20"/>
        </w:rPr>
        <w:t>were</w:t>
      </w:r>
      <w:r w:rsidR="004C041E" w:rsidRPr="00E71FA6">
        <w:rPr>
          <w:rFonts w:ascii="Arial" w:hAnsi="Arial" w:cs="Arial"/>
          <w:sz w:val="20"/>
          <w:szCs w:val="20"/>
        </w:rPr>
        <w:t xml:space="preserve"> </w:t>
      </w:r>
      <w:r w:rsidR="00E71FA6" w:rsidRPr="00E71FA6">
        <w:rPr>
          <w:rFonts w:ascii="Arial" w:hAnsi="Arial" w:cs="Arial"/>
          <w:sz w:val="20"/>
          <w:szCs w:val="20"/>
        </w:rPr>
        <w:t xml:space="preserve">performed using </w:t>
      </w:r>
      <w:proofErr w:type="spellStart"/>
      <w:r w:rsidR="00E71FA6" w:rsidRPr="00E71FA6">
        <w:rPr>
          <w:rFonts w:ascii="Arial" w:hAnsi="Arial" w:cs="Arial"/>
          <w:sz w:val="20"/>
          <w:szCs w:val="20"/>
        </w:rPr>
        <w:t>WinBUGS</w:t>
      </w:r>
      <w:proofErr w:type="spellEnd"/>
      <w:r w:rsidR="004C0CFB">
        <w:rPr>
          <w:rFonts w:ascii="Arial" w:hAnsi="Arial" w:cs="Arial"/>
          <w:sz w:val="20"/>
          <w:szCs w:val="20"/>
        </w:rPr>
        <w:t xml:space="preserve"> 1.4.3</w:t>
      </w:r>
      <w:r w:rsidR="00E71FA6" w:rsidRPr="00E71FA6">
        <w:rPr>
          <w:rFonts w:ascii="Arial" w:hAnsi="Arial" w:cs="Arial"/>
          <w:sz w:val="20"/>
          <w:szCs w:val="20"/>
        </w:rPr>
        <w:t xml:space="preserve">. </w:t>
      </w:r>
      <w:r w:rsidR="004C0CFB">
        <w:rPr>
          <w:rFonts w:ascii="Arial" w:hAnsi="Arial" w:cs="Arial"/>
          <w:sz w:val="20"/>
          <w:szCs w:val="20"/>
        </w:rPr>
        <w:t>The</w:t>
      </w:r>
      <w:r w:rsidR="00E71FA6" w:rsidRPr="00E71FA6">
        <w:rPr>
          <w:rFonts w:ascii="Arial" w:hAnsi="Arial" w:cs="Arial"/>
          <w:sz w:val="20"/>
          <w:szCs w:val="20"/>
        </w:rPr>
        <w:t xml:space="preserve"> model template </w:t>
      </w:r>
      <w:r w:rsidR="00612CEF">
        <w:rPr>
          <w:rFonts w:ascii="Arial" w:hAnsi="Arial" w:cs="Arial"/>
          <w:sz w:val="20"/>
          <w:szCs w:val="20"/>
        </w:rPr>
        <w:t>developed by</w:t>
      </w:r>
      <w:r w:rsidR="00E71FA6">
        <w:rPr>
          <w:rFonts w:ascii="Arial" w:hAnsi="Arial" w:cs="Arial"/>
          <w:sz w:val="20"/>
          <w:szCs w:val="20"/>
        </w:rPr>
        <w:t xml:space="preserve"> </w:t>
      </w:r>
      <w:r w:rsidR="00AE0D32">
        <w:rPr>
          <w:rFonts w:ascii="Arial" w:hAnsi="Arial" w:cs="Arial"/>
          <w:sz w:val="20"/>
          <w:szCs w:val="20"/>
        </w:rPr>
        <w:t xml:space="preserve">NICE Decision Support </w:t>
      </w:r>
      <w:r w:rsidR="00AE0D32" w:rsidRPr="00BD3B8E">
        <w:rPr>
          <w:rFonts w:ascii="Arial" w:hAnsi="Arial" w:cs="Arial"/>
          <w:sz w:val="20"/>
          <w:szCs w:val="20"/>
        </w:rPr>
        <w:t>Unit</w:t>
      </w:r>
      <w:r w:rsidR="004E5400">
        <w:rPr>
          <w:rFonts w:ascii="Arial" w:hAnsi="Arial" w:cs="Arial"/>
          <w:sz w:val="20"/>
          <w:szCs w:val="20"/>
        </w:rPr>
        <w:t xml:space="preserve"> (DSU)</w:t>
      </w:r>
      <w:r w:rsidR="004C0CFB">
        <w:rPr>
          <w:rFonts w:ascii="Arial" w:hAnsi="Arial" w:cs="Arial"/>
          <w:sz w:val="20"/>
          <w:szCs w:val="20"/>
        </w:rPr>
        <w:t>, which correctly accounts for the correlations in trials with more than 2 arms,</w:t>
      </w:r>
      <w:r w:rsidR="00A72AFA">
        <w:rPr>
          <w:rFonts w:ascii="Arial" w:hAnsi="Arial" w:cs="Arial"/>
          <w:sz w:val="20"/>
          <w:szCs w:val="20"/>
        </w:rPr>
        <w:t xml:space="preserve"> was adapted</w:t>
      </w:r>
      <w:r w:rsidR="007D4CCF">
        <w:rPr>
          <w:rFonts w:ascii="Arial" w:hAnsi="Arial" w:cs="Arial"/>
          <w:sz w:val="20"/>
          <w:szCs w:val="20"/>
        </w:rPr>
        <w:t>,</w:t>
      </w:r>
      <w:r w:rsidR="009E4B99">
        <w:rPr>
          <w:rFonts w:ascii="Arial" w:hAnsi="Arial" w:cs="Arial"/>
          <w:sz w:val="20"/>
          <w:szCs w:val="20"/>
        </w:rPr>
        <w:t xml:space="preserve"> </w:t>
      </w:r>
      <w:r w:rsidR="007D4CCF">
        <w:rPr>
          <w:rFonts w:ascii="Arial" w:hAnsi="Arial" w:cs="Arial"/>
          <w:sz w:val="20"/>
          <w:szCs w:val="20"/>
        </w:rPr>
        <w:t>by including the analysis specific inputs</w:t>
      </w:r>
      <w:r w:rsidR="00F0317E">
        <w:rPr>
          <w:rFonts w:ascii="Arial" w:hAnsi="Arial" w:cs="Arial"/>
          <w:sz w:val="20"/>
          <w:szCs w:val="20"/>
        </w:rPr>
        <w:t xml:space="preserve"> such as number of studies and number of </w:t>
      </w:r>
      <w:proofErr w:type="gramStart"/>
      <w:r w:rsidR="00F0317E">
        <w:rPr>
          <w:rFonts w:ascii="Arial" w:hAnsi="Arial" w:cs="Arial"/>
          <w:sz w:val="20"/>
          <w:szCs w:val="20"/>
        </w:rPr>
        <w:t>interventions</w:t>
      </w:r>
      <w:r w:rsidR="007D4CCF">
        <w:rPr>
          <w:rFonts w:ascii="Arial" w:hAnsi="Arial" w:cs="Arial"/>
          <w:sz w:val="20"/>
          <w:szCs w:val="20"/>
        </w:rPr>
        <w:t>,</w:t>
      </w:r>
      <w:r w:rsidR="000D5535">
        <w:rPr>
          <w:rFonts w:ascii="Arial" w:hAnsi="Arial" w:cs="Arial"/>
          <w:sz w:val="20"/>
          <w:szCs w:val="20"/>
        </w:rPr>
        <w:t xml:space="preserve"> </w:t>
      </w:r>
      <w:r w:rsidR="00DF070B">
        <w:rPr>
          <w:rFonts w:ascii="Arial" w:hAnsi="Arial" w:cs="Arial"/>
          <w:sz w:val="20"/>
          <w:szCs w:val="20"/>
        </w:rPr>
        <w:t>and</w:t>
      </w:r>
      <w:proofErr w:type="gramEnd"/>
      <w:r w:rsidR="00DF070B">
        <w:rPr>
          <w:rFonts w:ascii="Arial" w:hAnsi="Arial" w:cs="Arial"/>
          <w:sz w:val="20"/>
          <w:szCs w:val="20"/>
        </w:rPr>
        <w:t xml:space="preserve"> used</w:t>
      </w:r>
      <w:r w:rsidR="00136397">
        <w:rPr>
          <w:rFonts w:ascii="Arial" w:hAnsi="Arial" w:cs="Arial"/>
          <w:sz w:val="20"/>
          <w:szCs w:val="20"/>
        </w:rPr>
        <w:t>.</w:t>
      </w:r>
      <w:r w:rsidR="00516B52" w:rsidRPr="00516B52">
        <w:t xml:space="preserve"> </w:t>
      </w:r>
      <w:r w:rsidR="0095655B">
        <w:rPr>
          <w:rFonts w:ascii="Arial" w:hAnsi="Arial" w:cs="Arial"/>
          <w:noProof/>
          <w:sz w:val="20"/>
          <w:szCs w:val="20"/>
        </w:rPr>
        <w:t>(18)</w:t>
      </w:r>
      <w:r w:rsidR="00941D7B">
        <w:rPr>
          <w:rFonts w:ascii="Arial" w:hAnsi="Arial" w:cs="Arial"/>
          <w:sz w:val="20"/>
          <w:szCs w:val="20"/>
        </w:rPr>
        <w:t xml:space="preserve"> The method used for the </w:t>
      </w:r>
      <w:r w:rsidR="00A8036E">
        <w:rPr>
          <w:rFonts w:ascii="Arial" w:hAnsi="Arial" w:cs="Arial"/>
          <w:sz w:val="20"/>
          <w:szCs w:val="20"/>
        </w:rPr>
        <w:t>network meta-analyses</w:t>
      </w:r>
      <w:r w:rsidR="00941D7B">
        <w:rPr>
          <w:rFonts w:ascii="Arial" w:hAnsi="Arial" w:cs="Arial"/>
          <w:sz w:val="20"/>
          <w:szCs w:val="20"/>
        </w:rPr>
        <w:t xml:space="preserve"> has been described in </w:t>
      </w:r>
      <w:r w:rsidR="00DF070B">
        <w:rPr>
          <w:rFonts w:ascii="Arial" w:hAnsi="Arial" w:cs="Arial"/>
          <w:sz w:val="20"/>
          <w:szCs w:val="20"/>
        </w:rPr>
        <w:t xml:space="preserve">more </w:t>
      </w:r>
      <w:r w:rsidR="0029464B">
        <w:rPr>
          <w:rFonts w:ascii="Arial" w:hAnsi="Arial" w:cs="Arial"/>
          <w:sz w:val="20"/>
          <w:szCs w:val="20"/>
        </w:rPr>
        <w:t>detail elsewhere</w:t>
      </w:r>
      <w:r w:rsidR="005C677B">
        <w:rPr>
          <w:rFonts w:ascii="Arial" w:hAnsi="Arial" w:cs="Arial"/>
          <w:sz w:val="20"/>
          <w:szCs w:val="20"/>
        </w:rPr>
        <w:t xml:space="preserve"> </w:t>
      </w:r>
      <w:r w:rsidR="00612CEF">
        <w:rPr>
          <w:rFonts w:ascii="Arial" w:hAnsi="Arial" w:cs="Arial"/>
          <w:sz w:val="20"/>
          <w:szCs w:val="20"/>
        </w:rPr>
        <w:t>(</w:t>
      </w:r>
      <w:r w:rsidR="005C677B">
        <w:rPr>
          <w:rFonts w:ascii="Arial" w:hAnsi="Arial" w:cs="Arial"/>
          <w:sz w:val="20"/>
          <w:szCs w:val="20"/>
        </w:rPr>
        <w:t>Appendix M of NG89</w:t>
      </w:r>
      <w:proofErr w:type="gramStart"/>
      <w:r w:rsidR="00612CEF">
        <w:rPr>
          <w:rFonts w:ascii="Arial" w:hAnsi="Arial" w:cs="Arial"/>
          <w:sz w:val="20"/>
          <w:szCs w:val="20"/>
        </w:rPr>
        <w:t>)</w:t>
      </w:r>
      <w:r w:rsidR="00136397">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19)</w:t>
      </w:r>
    </w:p>
    <w:p w14:paraId="6CFA3476" w14:textId="1726D839" w:rsidR="00323E67" w:rsidRPr="002E1C67" w:rsidRDefault="00612CEF" w:rsidP="00323E67">
      <w:pPr>
        <w:spacing w:line="480" w:lineRule="auto"/>
        <w:rPr>
          <w:rFonts w:ascii="Arial" w:hAnsi="Arial" w:cs="Arial"/>
          <w:sz w:val="20"/>
          <w:szCs w:val="20"/>
        </w:rPr>
      </w:pPr>
      <w:r>
        <w:rPr>
          <w:rFonts w:ascii="Arial" w:hAnsi="Arial" w:cs="Arial"/>
          <w:sz w:val="20"/>
          <w:szCs w:val="20"/>
        </w:rPr>
        <w:t>In summary, t</w:t>
      </w:r>
      <w:r w:rsidR="00323E67" w:rsidRPr="002E1C67">
        <w:rPr>
          <w:rFonts w:ascii="Arial" w:hAnsi="Arial" w:cs="Arial"/>
          <w:sz w:val="20"/>
          <w:szCs w:val="20"/>
        </w:rPr>
        <w:t xml:space="preserve">he model used was a logistic regression model, with parameters estimated by Markov chain Monte Carlo simulation. As it was a Bayesian analysis, for each parameter the evidence distribution is weighted by a distribution of prior beliefs. Due to the sparse nature of the networks (few studies per direct treatment comparison), the between-study heterogeneity parameter is imprecisely estimated in a random effects model. Therefore, </w:t>
      </w:r>
      <w:r w:rsidR="007D4CCF">
        <w:rPr>
          <w:rFonts w:ascii="Arial" w:hAnsi="Arial" w:cs="Arial"/>
          <w:sz w:val="20"/>
          <w:szCs w:val="20"/>
        </w:rPr>
        <w:t>we followed recommended practice</w:t>
      </w:r>
      <w:r w:rsidR="00323E67" w:rsidRPr="002E1C67">
        <w:rPr>
          <w:rFonts w:ascii="Arial" w:hAnsi="Arial" w:cs="Arial"/>
          <w:sz w:val="20"/>
          <w:szCs w:val="20"/>
        </w:rPr>
        <w:t xml:space="preserve"> to use informative prior distributions for the heterogeneity parameters to avoid unreasonably wide credible </w:t>
      </w:r>
      <w:proofErr w:type="gramStart"/>
      <w:r w:rsidR="00323E67" w:rsidRPr="002E1C67">
        <w:rPr>
          <w:rFonts w:ascii="Arial" w:hAnsi="Arial" w:cs="Arial"/>
          <w:sz w:val="20"/>
          <w:szCs w:val="20"/>
        </w:rPr>
        <w:t>intervals.</w:t>
      </w:r>
      <w:r w:rsidR="0095655B">
        <w:rPr>
          <w:rFonts w:ascii="Arial" w:hAnsi="Arial" w:cs="Arial"/>
          <w:noProof/>
          <w:sz w:val="20"/>
          <w:szCs w:val="20"/>
        </w:rPr>
        <w:t>(</w:t>
      </w:r>
      <w:proofErr w:type="gramEnd"/>
      <w:r w:rsidR="0095655B">
        <w:rPr>
          <w:rFonts w:ascii="Arial" w:hAnsi="Arial" w:cs="Arial"/>
          <w:noProof/>
          <w:sz w:val="20"/>
          <w:szCs w:val="20"/>
        </w:rPr>
        <w:t>18)</w:t>
      </w:r>
      <w:r w:rsidR="00323E67" w:rsidRPr="002E1C67">
        <w:rPr>
          <w:rFonts w:ascii="Arial" w:hAnsi="Arial" w:cs="Arial"/>
          <w:sz w:val="20"/>
          <w:szCs w:val="20"/>
        </w:rPr>
        <w:t xml:space="preserve"> Turner et al (2015) derived a novel set of predictive distributions for the degree of heterogeneity across 80 different settings</w:t>
      </w:r>
      <w:r w:rsidR="00136397">
        <w:rPr>
          <w:rFonts w:ascii="Arial" w:hAnsi="Arial" w:cs="Arial"/>
          <w:sz w:val="20"/>
          <w:szCs w:val="20"/>
        </w:rPr>
        <w:t>.</w:t>
      </w:r>
      <w:r w:rsidR="00AD4364" w:rsidRPr="00AD4364">
        <w:t xml:space="preserve"> </w:t>
      </w:r>
      <w:r w:rsidR="0095655B">
        <w:rPr>
          <w:rFonts w:ascii="Arial" w:hAnsi="Arial" w:cs="Arial"/>
          <w:noProof/>
          <w:sz w:val="20"/>
          <w:szCs w:val="20"/>
        </w:rPr>
        <w:t>(20)</w:t>
      </w:r>
      <w:r w:rsidR="00323E67" w:rsidRPr="002E1C67">
        <w:rPr>
          <w:rFonts w:ascii="Arial" w:hAnsi="Arial" w:cs="Arial"/>
          <w:sz w:val="20"/>
          <w:szCs w:val="20"/>
        </w:rPr>
        <w:t xml:space="preserve"> Appropriate predictive distributions for heterogeneity were chosen from Turner et al (2015) and used as informative priors.</w:t>
      </w:r>
      <w:r w:rsidR="00AD4364" w:rsidRPr="00AD4364">
        <w:t xml:space="preserve"> </w:t>
      </w:r>
      <w:r w:rsidR="0095655B">
        <w:rPr>
          <w:rFonts w:ascii="Arial" w:hAnsi="Arial" w:cs="Arial"/>
          <w:noProof/>
          <w:sz w:val="20"/>
          <w:szCs w:val="20"/>
        </w:rPr>
        <w:t>(20)</w:t>
      </w:r>
    </w:p>
    <w:p w14:paraId="55BB783F" w14:textId="65FC3279" w:rsidR="00323E67" w:rsidRPr="004176D9" w:rsidRDefault="00323E67" w:rsidP="00323E67">
      <w:pPr>
        <w:spacing w:line="480" w:lineRule="auto"/>
        <w:rPr>
          <w:rFonts w:ascii="Arial" w:hAnsi="Arial" w:cs="Arial"/>
          <w:sz w:val="20"/>
          <w:szCs w:val="20"/>
          <w:vertAlign w:val="superscript"/>
        </w:rPr>
      </w:pPr>
      <w:r w:rsidRPr="002E1C67">
        <w:rPr>
          <w:rFonts w:ascii="Arial" w:hAnsi="Arial" w:cs="Arial"/>
          <w:sz w:val="20"/>
          <w:szCs w:val="20"/>
        </w:rPr>
        <w:t xml:space="preserve">For both analyses, a series of 60,000 burn-in simulations were run to allow convergence and then a further 60,000 simulations were run on three chains to produce the outputs. Convergence was assessed by examining the history, kernel density plots, </w:t>
      </w:r>
      <w:r w:rsidR="00612CEF">
        <w:rPr>
          <w:rFonts w:ascii="Arial" w:hAnsi="Arial" w:cs="Arial"/>
          <w:sz w:val="20"/>
          <w:szCs w:val="20"/>
        </w:rPr>
        <w:t xml:space="preserve">auto-correlation </w:t>
      </w:r>
      <w:r w:rsidRPr="002E1C67">
        <w:rPr>
          <w:rFonts w:ascii="Arial" w:hAnsi="Arial" w:cs="Arial"/>
          <w:sz w:val="20"/>
          <w:szCs w:val="20"/>
        </w:rPr>
        <w:t xml:space="preserve">and Brooks-Gelman Rubin plots. Goodness of fit of the model was tested by calculating the posterior mean of the residual </w:t>
      </w:r>
      <w:proofErr w:type="gramStart"/>
      <w:r w:rsidRPr="002E1C67">
        <w:rPr>
          <w:rFonts w:ascii="Arial" w:hAnsi="Arial" w:cs="Arial"/>
          <w:sz w:val="20"/>
          <w:szCs w:val="20"/>
        </w:rPr>
        <w:t>deviance</w:t>
      </w:r>
      <w:r w:rsidR="00136397">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18)</w:t>
      </w:r>
      <w:r w:rsidRPr="002E1C67">
        <w:rPr>
          <w:rFonts w:ascii="Arial" w:hAnsi="Arial" w:cs="Arial"/>
          <w:sz w:val="20"/>
          <w:szCs w:val="20"/>
        </w:rPr>
        <w:t xml:space="preserve"> </w:t>
      </w:r>
      <w:r w:rsidR="00673E69" w:rsidRPr="002E1C67">
        <w:rPr>
          <w:rFonts w:ascii="Arial" w:hAnsi="Arial" w:cs="Arial"/>
          <w:sz w:val="20"/>
          <w:szCs w:val="20"/>
        </w:rPr>
        <w:t>Random effects (RE) model was used due to the heterogeneity of the included studies and interventions.</w:t>
      </w:r>
      <w:r w:rsidRPr="002E1C67">
        <w:rPr>
          <w:rFonts w:ascii="Arial" w:hAnsi="Arial" w:cs="Arial"/>
          <w:sz w:val="20"/>
          <w:szCs w:val="20"/>
        </w:rPr>
        <w:t xml:space="preserve"> </w:t>
      </w:r>
      <w:bookmarkStart w:id="1" w:name="_Hlk4664433"/>
      <w:r w:rsidR="001643A1">
        <w:rPr>
          <w:rFonts w:ascii="Arial" w:hAnsi="Arial" w:cs="Arial"/>
          <w:sz w:val="20"/>
          <w:szCs w:val="20"/>
        </w:rPr>
        <w:t xml:space="preserve">The assumption underlying any </w:t>
      </w:r>
      <w:r w:rsidR="009A05A6">
        <w:rPr>
          <w:rFonts w:ascii="Arial" w:hAnsi="Arial" w:cs="Arial"/>
          <w:sz w:val="20"/>
          <w:szCs w:val="20"/>
        </w:rPr>
        <w:t xml:space="preserve">network meta-analysis </w:t>
      </w:r>
      <w:r w:rsidR="001643A1">
        <w:rPr>
          <w:rFonts w:ascii="Arial" w:hAnsi="Arial" w:cs="Arial"/>
          <w:sz w:val="20"/>
          <w:szCs w:val="20"/>
        </w:rPr>
        <w:t xml:space="preserve">is that both direct and indirect evidence are estimating the same relative effect, that is they are consistent. Ensuring </w:t>
      </w:r>
      <w:r w:rsidR="001643A1">
        <w:rPr>
          <w:rFonts w:ascii="Arial" w:hAnsi="Arial" w:cs="Arial"/>
          <w:sz w:val="20"/>
          <w:szCs w:val="20"/>
        </w:rPr>
        <w:lastRenderedPageBreak/>
        <w:t xml:space="preserve">consistency is important to ensure that the model results are credible. </w:t>
      </w:r>
      <w:bookmarkEnd w:id="1"/>
      <w:r w:rsidRPr="002E1C67">
        <w:rPr>
          <w:rFonts w:ascii="Arial" w:hAnsi="Arial" w:cs="Arial"/>
          <w:sz w:val="20"/>
          <w:szCs w:val="20"/>
        </w:rPr>
        <w:t xml:space="preserve">We tested for inconsistency by </w:t>
      </w:r>
      <w:r w:rsidR="00673E69" w:rsidRPr="002E1C67">
        <w:rPr>
          <w:rFonts w:ascii="Arial" w:hAnsi="Arial" w:cs="Arial"/>
          <w:sz w:val="20"/>
          <w:szCs w:val="20"/>
        </w:rPr>
        <w:t xml:space="preserve">fitting </w:t>
      </w:r>
      <w:r w:rsidRPr="002E1C67">
        <w:rPr>
          <w:rFonts w:ascii="Arial" w:hAnsi="Arial" w:cs="Arial"/>
          <w:sz w:val="20"/>
          <w:szCs w:val="20"/>
        </w:rPr>
        <w:t>inconsistency models for networks of binary outcomes</w:t>
      </w:r>
      <w:r w:rsidR="00673E69" w:rsidRPr="002E1C67">
        <w:rPr>
          <w:rFonts w:ascii="Arial" w:hAnsi="Arial" w:cs="Arial"/>
          <w:sz w:val="20"/>
          <w:szCs w:val="20"/>
        </w:rPr>
        <w:t>,</w:t>
      </w:r>
      <w:r w:rsidRPr="002E1C67">
        <w:rPr>
          <w:rFonts w:ascii="Arial" w:hAnsi="Arial" w:cs="Arial"/>
          <w:sz w:val="20"/>
          <w:szCs w:val="20"/>
        </w:rPr>
        <w:t xml:space="preserve"> </w:t>
      </w:r>
      <w:r w:rsidR="00F71F52">
        <w:rPr>
          <w:rFonts w:ascii="Arial" w:hAnsi="Arial" w:cs="Arial"/>
          <w:sz w:val="20"/>
          <w:szCs w:val="20"/>
        </w:rPr>
        <w:t xml:space="preserve">as recommended practice, </w:t>
      </w:r>
      <w:r w:rsidRPr="002E1C67">
        <w:rPr>
          <w:rFonts w:ascii="Arial" w:hAnsi="Arial" w:cs="Arial"/>
          <w:sz w:val="20"/>
          <w:szCs w:val="20"/>
        </w:rPr>
        <w:t xml:space="preserve">using </w:t>
      </w:r>
      <w:r w:rsidR="00673E69" w:rsidRPr="002E1C67">
        <w:rPr>
          <w:rFonts w:ascii="Arial" w:hAnsi="Arial" w:cs="Arial"/>
          <w:sz w:val="20"/>
          <w:szCs w:val="20"/>
        </w:rPr>
        <w:t xml:space="preserve">the NICE DSU </w:t>
      </w:r>
      <w:r w:rsidR="00136397">
        <w:rPr>
          <w:rFonts w:ascii="Arial" w:hAnsi="Arial" w:cs="Arial"/>
          <w:sz w:val="20"/>
          <w:szCs w:val="20"/>
        </w:rPr>
        <w:t>code from Dias et al.</w:t>
      </w:r>
      <w:r w:rsidR="0095655B">
        <w:rPr>
          <w:rFonts w:ascii="Arial" w:hAnsi="Arial" w:cs="Arial"/>
          <w:noProof/>
          <w:sz w:val="20"/>
          <w:szCs w:val="20"/>
        </w:rPr>
        <w:t>(18)</w:t>
      </w:r>
      <w:r w:rsidR="00136397">
        <w:rPr>
          <w:rFonts w:ascii="Arial" w:hAnsi="Arial" w:cs="Arial"/>
          <w:sz w:val="20"/>
          <w:szCs w:val="20"/>
        </w:rPr>
        <w:t xml:space="preserve"> </w:t>
      </w:r>
      <w:r w:rsidRPr="002E1C67">
        <w:rPr>
          <w:rFonts w:ascii="Arial" w:hAnsi="Arial" w:cs="Arial"/>
          <w:sz w:val="20"/>
          <w:szCs w:val="20"/>
        </w:rPr>
        <w:t>We compared the posterior mean of the residual deviance between the consistency and inconsistency models to see which model was a better fit to the data (closest to the number of trial arms in each network). We also checked if the difference in deviance information criterion (DIC) values between the two models was small (less than a difference of 3-5) or if it was large (more than a difference of 5)</w:t>
      </w:r>
      <w:r w:rsidR="004E5400">
        <w:rPr>
          <w:rFonts w:ascii="Arial" w:hAnsi="Arial" w:cs="Arial"/>
          <w:sz w:val="20"/>
          <w:szCs w:val="20"/>
        </w:rPr>
        <w:t>, chose the model with the lower value</w:t>
      </w:r>
      <w:r w:rsidR="00136397">
        <w:rPr>
          <w:rFonts w:ascii="Arial" w:hAnsi="Arial" w:cs="Arial"/>
          <w:sz w:val="20"/>
          <w:szCs w:val="20"/>
        </w:rPr>
        <w:t>.</w:t>
      </w:r>
      <w:r w:rsidR="001643A1">
        <w:rPr>
          <w:rFonts w:ascii="Arial" w:hAnsi="Arial" w:cs="Arial"/>
          <w:sz w:val="20"/>
          <w:szCs w:val="20"/>
        </w:rPr>
        <w:t xml:space="preserve"> An improvement in model fit or DIC for the inconsistency model would suggest this model better reflects the data, which can be interpreted as evidence of </w:t>
      </w:r>
      <w:proofErr w:type="gramStart"/>
      <w:r w:rsidR="001643A1">
        <w:rPr>
          <w:rFonts w:ascii="Arial" w:hAnsi="Arial" w:cs="Arial"/>
          <w:sz w:val="20"/>
          <w:szCs w:val="20"/>
        </w:rPr>
        <w:t>inconsistency.</w:t>
      </w:r>
      <w:r w:rsidR="0095655B">
        <w:rPr>
          <w:rFonts w:ascii="Arial" w:hAnsi="Arial" w:cs="Arial"/>
          <w:noProof/>
          <w:sz w:val="20"/>
          <w:szCs w:val="20"/>
        </w:rPr>
        <w:t>(</w:t>
      </w:r>
      <w:proofErr w:type="gramEnd"/>
      <w:r w:rsidR="0095655B">
        <w:rPr>
          <w:rFonts w:ascii="Arial" w:hAnsi="Arial" w:cs="Arial"/>
          <w:noProof/>
          <w:sz w:val="20"/>
          <w:szCs w:val="20"/>
        </w:rPr>
        <w:t>18)</w:t>
      </w:r>
    </w:p>
    <w:p w14:paraId="70E4F06B" w14:textId="544FFC4B" w:rsidR="00F6105E" w:rsidRPr="00385FFD" w:rsidRDefault="009011D7" w:rsidP="0052085B">
      <w:pPr>
        <w:spacing w:line="480" w:lineRule="auto"/>
        <w:rPr>
          <w:rFonts w:ascii="Arial" w:hAnsi="Arial" w:cs="Arial"/>
          <w:sz w:val="20"/>
          <w:szCs w:val="20"/>
        </w:rPr>
      </w:pPr>
      <w:r>
        <w:rPr>
          <w:rFonts w:ascii="Arial" w:hAnsi="Arial" w:cs="Arial"/>
          <w:sz w:val="20"/>
          <w:szCs w:val="20"/>
        </w:rPr>
        <w:t>R</w:t>
      </w:r>
      <w:r w:rsidRPr="00E71FA6">
        <w:rPr>
          <w:rFonts w:ascii="Arial" w:hAnsi="Arial" w:cs="Arial"/>
          <w:sz w:val="20"/>
          <w:szCs w:val="20"/>
        </w:rPr>
        <w:t xml:space="preserve">elative </w:t>
      </w:r>
      <w:r w:rsidR="00130BF3">
        <w:rPr>
          <w:rFonts w:ascii="Arial" w:hAnsi="Arial" w:cs="Arial"/>
          <w:sz w:val="20"/>
          <w:szCs w:val="20"/>
        </w:rPr>
        <w:t>effects</w:t>
      </w:r>
      <w:r w:rsidR="00E71FA6" w:rsidRPr="00E71FA6">
        <w:rPr>
          <w:rFonts w:ascii="Arial" w:hAnsi="Arial" w:cs="Arial"/>
          <w:sz w:val="20"/>
          <w:szCs w:val="20"/>
        </w:rPr>
        <w:t xml:space="preserve"> </w:t>
      </w:r>
      <w:r>
        <w:rPr>
          <w:rFonts w:ascii="Arial" w:hAnsi="Arial" w:cs="Arial"/>
          <w:sz w:val="20"/>
          <w:szCs w:val="20"/>
        </w:rPr>
        <w:t xml:space="preserve">obtained </w:t>
      </w:r>
      <w:r w:rsidR="00E71FA6" w:rsidRPr="00E71FA6">
        <w:rPr>
          <w:rFonts w:ascii="Arial" w:hAnsi="Arial" w:cs="Arial"/>
          <w:sz w:val="20"/>
          <w:szCs w:val="20"/>
        </w:rPr>
        <w:t xml:space="preserve">are reported as medians </w:t>
      </w:r>
      <w:r w:rsidR="008E710E">
        <w:rPr>
          <w:rFonts w:ascii="Arial" w:hAnsi="Arial" w:cs="Arial"/>
          <w:sz w:val="20"/>
          <w:szCs w:val="20"/>
        </w:rPr>
        <w:t>(</w:t>
      </w:r>
      <w:r w:rsidR="0016349A">
        <w:rPr>
          <w:rFonts w:ascii="Arial" w:hAnsi="Arial" w:cs="Arial"/>
          <w:sz w:val="20"/>
          <w:szCs w:val="20"/>
        </w:rPr>
        <w:t>with 95% credible intervals (</w:t>
      </w:r>
      <w:proofErr w:type="spellStart"/>
      <w:r>
        <w:rPr>
          <w:rFonts w:ascii="Arial" w:hAnsi="Arial" w:cs="Arial"/>
          <w:sz w:val="20"/>
          <w:szCs w:val="20"/>
        </w:rPr>
        <w:t>CrI</w:t>
      </w:r>
      <w:r w:rsidR="0016349A">
        <w:rPr>
          <w:rFonts w:ascii="Arial" w:hAnsi="Arial" w:cs="Arial"/>
          <w:sz w:val="20"/>
          <w:szCs w:val="20"/>
        </w:rPr>
        <w:t>s</w:t>
      </w:r>
      <w:proofErr w:type="spellEnd"/>
      <w:r w:rsidR="0016349A">
        <w:rPr>
          <w:rFonts w:ascii="Arial" w:hAnsi="Arial" w:cs="Arial"/>
          <w:sz w:val="20"/>
          <w:szCs w:val="20"/>
        </w:rPr>
        <w:t>)</w:t>
      </w:r>
      <w:r w:rsidR="008E710E">
        <w:rPr>
          <w:rFonts w:ascii="Arial" w:hAnsi="Arial" w:cs="Arial"/>
          <w:sz w:val="20"/>
          <w:szCs w:val="20"/>
        </w:rPr>
        <w:t>)</w:t>
      </w:r>
      <w:r w:rsidR="00E71FA6" w:rsidRPr="00E71FA6">
        <w:rPr>
          <w:rFonts w:ascii="Arial" w:hAnsi="Arial" w:cs="Arial"/>
          <w:sz w:val="20"/>
          <w:szCs w:val="20"/>
        </w:rPr>
        <w:t xml:space="preserve">. </w:t>
      </w:r>
      <w:r w:rsidR="008E710E">
        <w:rPr>
          <w:rFonts w:ascii="Arial" w:hAnsi="Arial" w:cs="Arial"/>
          <w:sz w:val="20"/>
          <w:szCs w:val="20"/>
        </w:rPr>
        <w:t xml:space="preserve">For </w:t>
      </w:r>
      <w:r w:rsidR="00FD1073">
        <w:rPr>
          <w:rFonts w:ascii="Arial" w:hAnsi="Arial" w:cs="Arial"/>
          <w:sz w:val="20"/>
          <w:szCs w:val="20"/>
        </w:rPr>
        <w:t xml:space="preserve">the </w:t>
      </w:r>
      <w:r w:rsidR="008E710E">
        <w:rPr>
          <w:rFonts w:ascii="Arial" w:hAnsi="Arial" w:cs="Arial"/>
          <w:sz w:val="20"/>
          <w:szCs w:val="20"/>
        </w:rPr>
        <w:t>DVT and PE</w:t>
      </w:r>
      <w:r w:rsidR="00FD1073">
        <w:rPr>
          <w:rFonts w:ascii="Arial" w:hAnsi="Arial" w:cs="Arial"/>
          <w:sz w:val="20"/>
          <w:szCs w:val="20"/>
        </w:rPr>
        <w:t xml:space="preserve"> networks</w:t>
      </w:r>
      <w:r w:rsidR="008E710E">
        <w:rPr>
          <w:rFonts w:ascii="Arial" w:hAnsi="Arial" w:cs="Arial"/>
          <w:sz w:val="20"/>
          <w:szCs w:val="20"/>
        </w:rPr>
        <w:t>, baseline risk</w:t>
      </w:r>
      <w:r w:rsidR="00FD1073">
        <w:rPr>
          <w:rFonts w:ascii="Arial" w:hAnsi="Arial" w:cs="Arial"/>
          <w:sz w:val="20"/>
          <w:szCs w:val="20"/>
        </w:rPr>
        <w:t xml:space="preserve"> data </w:t>
      </w:r>
      <w:r w:rsidR="008E710E">
        <w:rPr>
          <w:rFonts w:ascii="Arial" w:hAnsi="Arial" w:cs="Arial"/>
          <w:sz w:val="20"/>
          <w:szCs w:val="20"/>
        </w:rPr>
        <w:t>from a published UK observational cohort study</w:t>
      </w:r>
      <w:r w:rsidR="00FD1073">
        <w:rPr>
          <w:rFonts w:ascii="Arial" w:hAnsi="Arial" w:cs="Arial"/>
          <w:sz w:val="20"/>
          <w:szCs w:val="20"/>
        </w:rPr>
        <w:t xml:space="preserve"> </w:t>
      </w:r>
      <w:r w:rsidR="004E5400">
        <w:rPr>
          <w:rFonts w:ascii="Arial" w:hAnsi="Arial" w:cs="Arial"/>
          <w:sz w:val="20"/>
          <w:szCs w:val="20"/>
        </w:rPr>
        <w:t>were used to calculate the relative risks (RRs) from the odds ratios (ORs)</w:t>
      </w:r>
      <w:r w:rsidR="007F0198">
        <w:rPr>
          <w:rFonts w:ascii="Arial" w:hAnsi="Arial" w:cs="Arial"/>
          <w:sz w:val="20"/>
          <w:szCs w:val="20"/>
        </w:rPr>
        <w:t>.</w:t>
      </w:r>
      <w:r w:rsidR="0095655B">
        <w:rPr>
          <w:rFonts w:ascii="Arial" w:hAnsi="Arial" w:cs="Arial"/>
          <w:noProof/>
          <w:sz w:val="20"/>
          <w:szCs w:val="20"/>
        </w:rPr>
        <w:t>(18, 21)</w:t>
      </w:r>
      <w:r w:rsidR="00D63E88">
        <w:rPr>
          <w:rFonts w:ascii="Arial" w:hAnsi="Arial" w:cs="Arial"/>
          <w:sz w:val="20"/>
          <w:szCs w:val="20"/>
        </w:rPr>
        <w:t xml:space="preserve"> </w:t>
      </w:r>
      <w:r w:rsidR="00087EF8" w:rsidRPr="00087EF8">
        <w:rPr>
          <w:rFonts w:ascii="Arial" w:hAnsi="Arial" w:cs="Arial"/>
          <w:sz w:val="20"/>
          <w:szCs w:val="20"/>
        </w:rPr>
        <w:t>We used this cohort study as it utilises the best available observational data for the UK cohort of TKR patients from the National Joint Registry (NJR)</w:t>
      </w:r>
      <w:r w:rsidR="009D77DD">
        <w:rPr>
          <w:rFonts w:ascii="Arial" w:hAnsi="Arial" w:cs="Arial"/>
          <w:sz w:val="20"/>
          <w:szCs w:val="20"/>
        </w:rPr>
        <w:t>, thus enabling the calculation of absolute event rates for use in the economic model</w:t>
      </w:r>
      <w:r w:rsidR="00087EF8" w:rsidRPr="00087EF8">
        <w:rPr>
          <w:rFonts w:ascii="Arial" w:hAnsi="Arial" w:cs="Arial"/>
          <w:sz w:val="20"/>
          <w:szCs w:val="20"/>
        </w:rPr>
        <w:t xml:space="preserve">. </w:t>
      </w:r>
      <w:r w:rsidR="00FC6D43">
        <w:rPr>
          <w:rFonts w:ascii="Arial" w:hAnsi="Arial" w:cs="Arial"/>
          <w:sz w:val="20"/>
          <w:szCs w:val="20"/>
        </w:rPr>
        <w:t>There was not any appropriate data</w:t>
      </w:r>
      <w:r w:rsidR="008E710E">
        <w:rPr>
          <w:rFonts w:ascii="Arial" w:hAnsi="Arial" w:cs="Arial"/>
          <w:sz w:val="20"/>
          <w:szCs w:val="20"/>
        </w:rPr>
        <w:t xml:space="preserve"> for the baseline risk of MB from this </w:t>
      </w:r>
      <w:r w:rsidR="000D47B0">
        <w:rPr>
          <w:rFonts w:ascii="Arial" w:hAnsi="Arial" w:cs="Arial"/>
          <w:sz w:val="20"/>
          <w:szCs w:val="20"/>
        </w:rPr>
        <w:t>study;</w:t>
      </w:r>
      <w:r w:rsidR="008E710E">
        <w:rPr>
          <w:rFonts w:ascii="Arial" w:hAnsi="Arial" w:cs="Arial"/>
          <w:sz w:val="20"/>
          <w:szCs w:val="20"/>
        </w:rPr>
        <w:t xml:space="preserve"> </w:t>
      </w:r>
      <w:r w:rsidR="006F335B">
        <w:rPr>
          <w:rFonts w:ascii="Arial" w:hAnsi="Arial" w:cs="Arial"/>
          <w:sz w:val="20"/>
          <w:szCs w:val="20"/>
        </w:rPr>
        <w:t xml:space="preserve">thus, </w:t>
      </w:r>
      <w:r w:rsidR="00FC6D43">
        <w:rPr>
          <w:rFonts w:ascii="Arial" w:hAnsi="Arial" w:cs="Arial"/>
          <w:sz w:val="20"/>
          <w:szCs w:val="20"/>
        </w:rPr>
        <w:t xml:space="preserve">results </w:t>
      </w:r>
      <w:r w:rsidR="006F335B">
        <w:rPr>
          <w:rFonts w:ascii="Arial" w:hAnsi="Arial" w:cs="Arial"/>
          <w:sz w:val="20"/>
          <w:szCs w:val="20"/>
        </w:rPr>
        <w:t xml:space="preserve">for the MB analysis </w:t>
      </w:r>
      <w:r w:rsidR="00FC6D43">
        <w:rPr>
          <w:rFonts w:ascii="Arial" w:hAnsi="Arial" w:cs="Arial"/>
          <w:sz w:val="20"/>
          <w:szCs w:val="20"/>
        </w:rPr>
        <w:t xml:space="preserve">are reported as ORs. </w:t>
      </w:r>
      <w:r w:rsidR="00E71FA6" w:rsidRPr="00E71FA6">
        <w:rPr>
          <w:rFonts w:ascii="Arial" w:hAnsi="Arial" w:cs="Arial"/>
          <w:sz w:val="20"/>
          <w:szCs w:val="20"/>
        </w:rPr>
        <w:t>The median rank</w:t>
      </w:r>
      <w:r w:rsidR="009A759F">
        <w:rPr>
          <w:rFonts w:ascii="Arial" w:hAnsi="Arial" w:cs="Arial"/>
          <w:sz w:val="20"/>
          <w:szCs w:val="20"/>
        </w:rPr>
        <w:t>s</w:t>
      </w:r>
      <w:r w:rsidR="00E71FA6" w:rsidRPr="00E71FA6">
        <w:rPr>
          <w:rFonts w:ascii="Arial" w:hAnsi="Arial" w:cs="Arial"/>
          <w:sz w:val="20"/>
          <w:szCs w:val="20"/>
        </w:rPr>
        <w:t xml:space="preserve"> for </w:t>
      </w:r>
      <w:r w:rsidR="009A759F">
        <w:rPr>
          <w:rFonts w:ascii="Arial" w:hAnsi="Arial" w:cs="Arial"/>
          <w:sz w:val="20"/>
          <w:szCs w:val="20"/>
        </w:rPr>
        <w:t>the</w:t>
      </w:r>
      <w:r w:rsidR="00E71FA6" w:rsidRPr="00E71FA6">
        <w:rPr>
          <w:rFonts w:ascii="Arial" w:hAnsi="Arial" w:cs="Arial"/>
          <w:sz w:val="20"/>
          <w:szCs w:val="20"/>
        </w:rPr>
        <w:t xml:space="preserve"> intervention</w:t>
      </w:r>
      <w:r w:rsidR="009A759F">
        <w:rPr>
          <w:rFonts w:ascii="Arial" w:hAnsi="Arial" w:cs="Arial"/>
          <w:sz w:val="20"/>
          <w:szCs w:val="20"/>
        </w:rPr>
        <w:t>s</w:t>
      </w:r>
      <w:r w:rsidR="00E71FA6" w:rsidRPr="00E71FA6">
        <w:rPr>
          <w:rFonts w:ascii="Arial" w:hAnsi="Arial" w:cs="Arial"/>
          <w:sz w:val="20"/>
          <w:szCs w:val="20"/>
        </w:rPr>
        <w:t xml:space="preserve"> </w:t>
      </w:r>
      <w:r w:rsidR="00FC6D43">
        <w:rPr>
          <w:rFonts w:ascii="Arial" w:hAnsi="Arial" w:cs="Arial"/>
          <w:sz w:val="20"/>
          <w:szCs w:val="20"/>
        </w:rPr>
        <w:t xml:space="preserve">in the 3 </w:t>
      </w:r>
      <w:r w:rsidR="00A8036E">
        <w:rPr>
          <w:rFonts w:ascii="Arial" w:hAnsi="Arial" w:cs="Arial"/>
          <w:sz w:val="20"/>
          <w:szCs w:val="20"/>
        </w:rPr>
        <w:t>network meta-analyses</w:t>
      </w:r>
      <w:r w:rsidR="00FC6D43">
        <w:rPr>
          <w:rFonts w:ascii="Arial" w:hAnsi="Arial" w:cs="Arial"/>
          <w:sz w:val="20"/>
          <w:szCs w:val="20"/>
        </w:rPr>
        <w:t xml:space="preserve"> </w:t>
      </w:r>
      <w:r w:rsidR="00E71FA6" w:rsidRPr="00E71FA6">
        <w:rPr>
          <w:rFonts w:ascii="Arial" w:hAnsi="Arial" w:cs="Arial"/>
          <w:sz w:val="20"/>
          <w:szCs w:val="20"/>
        </w:rPr>
        <w:t xml:space="preserve">are presented </w:t>
      </w:r>
      <w:r w:rsidR="0016349A">
        <w:rPr>
          <w:rFonts w:ascii="Arial" w:hAnsi="Arial" w:cs="Arial"/>
          <w:sz w:val="20"/>
          <w:szCs w:val="20"/>
        </w:rPr>
        <w:t>in</w:t>
      </w:r>
      <w:r w:rsidR="00E71FA6" w:rsidRPr="00E71FA6">
        <w:rPr>
          <w:rFonts w:ascii="Arial" w:hAnsi="Arial" w:cs="Arial"/>
          <w:sz w:val="20"/>
          <w:szCs w:val="20"/>
        </w:rPr>
        <w:t xml:space="preserve"> a rank plot with the associated 95% </w:t>
      </w:r>
      <w:proofErr w:type="spellStart"/>
      <w:r w:rsidR="005D2CBD">
        <w:rPr>
          <w:rFonts w:ascii="Arial" w:hAnsi="Arial" w:cs="Arial"/>
          <w:sz w:val="20"/>
          <w:szCs w:val="20"/>
        </w:rPr>
        <w:t>CrI</w:t>
      </w:r>
      <w:r w:rsidR="00ED7A7A">
        <w:rPr>
          <w:rFonts w:ascii="Arial" w:hAnsi="Arial" w:cs="Arial"/>
          <w:sz w:val="20"/>
          <w:szCs w:val="20"/>
        </w:rPr>
        <w:t>s</w:t>
      </w:r>
      <w:proofErr w:type="spellEnd"/>
      <w:r w:rsidR="00E71FA6" w:rsidRPr="00E71FA6">
        <w:rPr>
          <w:rFonts w:ascii="Arial" w:hAnsi="Arial" w:cs="Arial"/>
          <w:sz w:val="20"/>
          <w:szCs w:val="20"/>
        </w:rPr>
        <w:t>.</w:t>
      </w:r>
      <w:r w:rsidR="00C87D55">
        <w:rPr>
          <w:rFonts w:ascii="Arial" w:hAnsi="Arial" w:cs="Arial"/>
          <w:sz w:val="20"/>
          <w:szCs w:val="20"/>
        </w:rPr>
        <w:t xml:space="preserve"> No sensitivity analyses were undertaken.</w:t>
      </w:r>
    </w:p>
    <w:p w14:paraId="3FC936D0" w14:textId="77777777" w:rsidR="005B34FD" w:rsidRPr="00FA3548" w:rsidRDefault="005B34FD" w:rsidP="005B34FD">
      <w:pPr>
        <w:spacing w:line="480" w:lineRule="auto"/>
        <w:rPr>
          <w:rFonts w:ascii="Arial" w:hAnsi="Arial" w:cs="Arial"/>
          <w:b/>
          <w:sz w:val="20"/>
          <w:szCs w:val="20"/>
        </w:rPr>
      </w:pPr>
      <w:r w:rsidRPr="00FA3548">
        <w:rPr>
          <w:rFonts w:ascii="Arial" w:hAnsi="Arial" w:cs="Arial"/>
          <w:b/>
          <w:sz w:val="20"/>
          <w:szCs w:val="20"/>
        </w:rPr>
        <w:t>Role of funding source</w:t>
      </w:r>
    </w:p>
    <w:p w14:paraId="59A16A0C" w14:textId="22F5E7EB" w:rsidR="00F7389B" w:rsidRPr="00C35E40" w:rsidRDefault="005B34FD" w:rsidP="00C35E40">
      <w:pPr>
        <w:spacing w:line="480" w:lineRule="auto"/>
        <w:rPr>
          <w:rFonts w:ascii="Arial" w:hAnsi="Arial" w:cs="Arial"/>
          <w:sz w:val="20"/>
          <w:szCs w:val="20"/>
        </w:rPr>
      </w:pPr>
      <w:r w:rsidRPr="00E32D87">
        <w:rPr>
          <w:rFonts w:ascii="Arial" w:hAnsi="Arial" w:cs="Arial"/>
          <w:sz w:val="20"/>
          <w:szCs w:val="20"/>
        </w:rPr>
        <w:t xml:space="preserve">The funding body (NICE) did not play any direct role in the study design; the collection, analysis, and interpretation of data; in the writing of the report; or in the decision to submit the article for publication. The views expressed in this publication are those of the authors </w:t>
      </w:r>
      <w:r w:rsidR="0013679A">
        <w:rPr>
          <w:rFonts w:ascii="Arial" w:hAnsi="Arial" w:cs="Arial"/>
          <w:sz w:val="20"/>
          <w:szCs w:val="20"/>
        </w:rPr>
        <w:t xml:space="preserve">and </w:t>
      </w:r>
      <w:r>
        <w:rPr>
          <w:rFonts w:ascii="Arial" w:hAnsi="Arial" w:cs="Arial"/>
          <w:sz w:val="20"/>
          <w:szCs w:val="20"/>
        </w:rPr>
        <w:t>are</w:t>
      </w:r>
      <w:r w:rsidRPr="00E32D87">
        <w:rPr>
          <w:rFonts w:ascii="Arial" w:hAnsi="Arial" w:cs="Arial"/>
          <w:sz w:val="20"/>
          <w:szCs w:val="20"/>
        </w:rPr>
        <w:t xml:space="preserve"> not necessarily those of the Institute. All researchers involved in this work were independent from the funding body at the time of completing this work. All authors</w:t>
      </w:r>
      <w:r w:rsidR="0013679A">
        <w:rPr>
          <w:rFonts w:ascii="Arial" w:hAnsi="Arial" w:cs="Arial"/>
          <w:sz w:val="20"/>
          <w:szCs w:val="20"/>
        </w:rPr>
        <w:t xml:space="preserve"> </w:t>
      </w:r>
      <w:r w:rsidRPr="00E32D87">
        <w:rPr>
          <w:rFonts w:ascii="Arial" w:hAnsi="Arial" w:cs="Arial"/>
          <w:sz w:val="20"/>
          <w:szCs w:val="20"/>
        </w:rPr>
        <w:t>had full access to all of the data (including statistical reports and tables) in the study and take responsibility for the integrity of the data and the accuracy of the data analysis.</w:t>
      </w:r>
      <w:r w:rsidRPr="0052085B">
        <w:rPr>
          <w:rFonts w:ascii="Arial" w:hAnsi="Arial" w:cs="Arial"/>
          <w:sz w:val="20"/>
          <w:szCs w:val="20"/>
        </w:rPr>
        <w:t xml:space="preserve"> </w:t>
      </w:r>
      <w:r w:rsidR="00C35E40" w:rsidRPr="00C35E40">
        <w:rPr>
          <w:rFonts w:ascii="Arial" w:hAnsi="Arial" w:cs="Arial"/>
          <w:sz w:val="20"/>
          <w:szCs w:val="20"/>
        </w:rPr>
        <w:t>The corresponding author</w:t>
      </w:r>
      <w:r w:rsidR="00C35E40">
        <w:rPr>
          <w:rFonts w:ascii="Arial" w:hAnsi="Arial" w:cs="Arial"/>
          <w:sz w:val="20"/>
          <w:szCs w:val="20"/>
        </w:rPr>
        <w:t xml:space="preserve"> </w:t>
      </w:r>
      <w:r w:rsidR="00C35E40" w:rsidRPr="00C35E40">
        <w:rPr>
          <w:rFonts w:ascii="Arial" w:hAnsi="Arial" w:cs="Arial"/>
          <w:sz w:val="20"/>
          <w:szCs w:val="20"/>
        </w:rPr>
        <w:t>had full access to all the data in the study and had</w:t>
      </w:r>
      <w:r w:rsidR="00C35E40">
        <w:rPr>
          <w:rFonts w:ascii="Arial" w:hAnsi="Arial" w:cs="Arial"/>
          <w:sz w:val="20"/>
          <w:szCs w:val="20"/>
        </w:rPr>
        <w:t xml:space="preserve"> </w:t>
      </w:r>
      <w:r w:rsidR="00C35E40" w:rsidRPr="00C35E40">
        <w:rPr>
          <w:rFonts w:ascii="Arial" w:hAnsi="Arial" w:cs="Arial"/>
          <w:sz w:val="20"/>
          <w:szCs w:val="20"/>
        </w:rPr>
        <w:t>final</w:t>
      </w:r>
      <w:r w:rsidR="00C35E40">
        <w:rPr>
          <w:rFonts w:ascii="Arial" w:hAnsi="Arial" w:cs="Arial"/>
          <w:sz w:val="20"/>
          <w:szCs w:val="20"/>
        </w:rPr>
        <w:t xml:space="preserve"> </w:t>
      </w:r>
      <w:r w:rsidR="00C35E40" w:rsidRPr="00C35E40">
        <w:rPr>
          <w:rFonts w:ascii="Arial" w:hAnsi="Arial" w:cs="Arial"/>
          <w:sz w:val="20"/>
          <w:szCs w:val="20"/>
        </w:rPr>
        <w:t>responsibility for the decision to submit for</w:t>
      </w:r>
      <w:r w:rsidR="00C35E40">
        <w:rPr>
          <w:rFonts w:ascii="Arial" w:hAnsi="Arial" w:cs="Arial"/>
          <w:sz w:val="20"/>
          <w:szCs w:val="20"/>
        </w:rPr>
        <w:t xml:space="preserve"> </w:t>
      </w:r>
      <w:r w:rsidR="00C35E40" w:rsidRPr="00C35E40">
        <w:rPr>
          <w:rFonts w:ascii="Arial" w:hAnsi="Arial" w:cs="Arial"/>
          <w:sz w:val="20"/>
          <w:szCs w:val="20"/>
        </w:rPr>
        <w:t>publication</w:t>
      </w:r>
      <w:r w:rsidR="00C35E40">
        <w:rPr>
          <w:rFonts w:ascii="Arial" w:hAnsi="Arial" w:cs="Arial"/>
          <w:sz w:val="20"/>
          <w:szCs w:val="20"/>
        </w:rPr>
        <w:t>.</w:t>
      </w:r>
      <w:r w:rsidR="00F7389B">
        <w:rPr>
          <w:rFonts w:ascii="Arial" w:hAnsi="Arial" w:cs="Arial"/>
          <w:sz w:val="20"/>
          <w:szCs w:val="20"/>
        </w:rPr>
        <w:t xml:space="preserve"> </w:t>
      </w:r>
    </w:p>
    <w:p w14:paraId="4E892D9E" w14:textId="77777777" w:rsidR="00E26515" w:rsidRPr="0006655F" w:rsidRDefault="00E26515" w:rsidP="0052085B">
      <w:pPr>
        <w:spacing w:line="480" w:lineRule="auto"/>
        <w:rPr>
          <w:rFonts w:ascii="Arial" w:hAnsi="Arial" w:cs="Arial"/>
          <w:b/>
          <w:sz w:val="20"/>
          <w:szCs w:val="20"/>
        </w:rPr>
      </w:pPr>
      <w:r w:rsidRPr="0006655F">
        <w:rPr>
          <w:rFonts w:ascii="Arial" w:hAnsi="Arial" w:cs="Arial"/>
          <w:b/>
          <w:sz w:val="20"/>
          <w:szCs w:val="20"/>
        </w:rPr>
        <w:t>Results</w:t>
      </w:r>
    </w:p>
    <w:p w14:paraId="7622DD77" w14:textId="5510A33E" w:rsidR="007B176E" w:rsidRPr="007B176E" w:rsidRDefault="004E5400" w:rsidP="007B176E">
      <w:pPr>
        <w:spacing w:after="100" w:line="480" w:lineRule="auto"/>
        <w:rPr>
          <w:rFonts w:ascii="Arial" w:hAnsi="Arial" w:cs="Arial"/>
          <w:b/>
          <w:sz w:val="20"/>
          <w:szCs w:val="20"/>
        </w:rPr>
      </w:pPr>
      <w:r>
        <w:rPr>
          <w:rFonts w:ascii="Arial" w:hAnsi="Arial" w:cs="Arial"/>
          <w:sz w:val="20"/>
          <w:szCs w:val="20"/>
        </w:rPr>
        <w:lastRenderedPageBreak/>
        <w:t>Of</w:t>
      </w:r>
      <w:r w:rsidR="00E4212D" w:rsidRPr="00E4212D">
        <w:rPr>
          <w:rFonts w:ascii="Arial" w:hAnsi="Arial" w:cs="Arial"/>
          <w:sz w:val="20"/>
          <w:szCs w:val="20"/>
        </w:rPr>
        <w:t xml:space="preserve"> 8994 articles</w:t>
      </w:r>
      <w:r>
        <w:rPr>
          <w:rFonts w:ascii="Arial" w:hAnsi="Arial" w:cs="Arial"/>
          <w:sz w:val="20"/>
          <w:szCs w:val="20"/>
        </w:rPr>
        <w:t xml:space="preserve"> retrieved</w:t>
      </w:r>
      <w:r w:rsidR="00E4212D" w:rsidRPr="00E4212D">
        <w:rPr>
          <w:rFonts w:ascii="Arial" w:hAnsi="Arial" w:cs="Arial"/>
          <w:sz w:val="20"/>
          <w:szCs w:val="20"/>
        </w:rPr>
        <w:t xml:space="preserve">, </w:t>
      </w:r>
      <w:r w:rsidR="00946C6A" w:rsidRPr="00045498">
        <w:rPr>
          <w:rFonts w:ascii="Arial" w:hAnsi="Arial" w:cs="Arial"/>
          <w:sz w:val="20"/>
          <w:szCs w:val="20"/>
        </w:rPr>
        <w:t>2</w:t>
      </w:r>
      <w:r w:rsidR="00045498" w:rsidRPr="00045498">
        <w:rPr>
          <w:rFonts w:ascii="Arial" w:hAnsi="Arial" w:cs="Arial"/>
          <w:sz w:val="20"/>
          <w:szCs w:val="20"/>
        </w:rPr>
        <w:t>5</w:t>
      </w:r>
      <w:r w:rsidR="00946C6A" w:rsidRPr="00E4212D">
        <w:rPr>
          <w:rFonts w:ascii="Arial" w:hAnsi="Arial" w:cs="Arial"/>
          <w:sz w:val="20"/>
          <w:szCs w:val="20"/>
        </w:rPr>
        <w:t xml:space="preserve"> </w:t>
      </w:r>
      <w:r w:rsidR="00045498">
        <w:rPr>
          <w:rFonts w:ascii="Arial" w:hAnsi="Arial" w:cs="Arial"/>
          <w:sz w:val="20"/>
          <w:szCs w:val="20"/>
        </w:rPr>
        <w:t>RCTs</w:t>
      </w:r>
      <w:r w:rsidR="00E4212D" w:rsidRPr="00E4212D">
        <w:rPr>
          <w:rFonts w:ascii="Arial" w:hAnsi="Arial" w:cs="Arial"/>
          <w:sz w:val="20"/>
          <w:szCs w:val="20"/>
        </w:rPr>
        <w:t xml:space="preserve"> </w:t>
      </w:r>
      <w:r w:rsidR="00F73CD7">
        <w:rPr>
          <w:rFonts w:ascii="Arial" w:hAnsi="Arial" w:cs="Arial"/>
          <w:sz w:val="20"/>
          <w:szCs w:val="20"/>
        </w:rPr>
        <w:t xml:space="preserve">published up to 19 June 2017 </w:t>
      </w:r>
      <w:r w:rsidR="00FB7244">
        <w:rPr>
          <w:rFonts w:ascii="Arial" w:hAnsi="Arial" w:cs="Arial"/>
          <w:sz w:val="20"/>
          <w:szCs w:val="20"/>
        </w:rPr>
        <w:t xml:space="preserve">were included in the </w:t>
      </w:r>
      <w:r w:rsidR="00A8036E">
        <w:rPr>
          <w:rFonts w:ascii="Arial" w:hAnsi="Arial" w:cs="Arial"/>
          <w:sz w:val="20"/>
          <w:szCs w:val="20"/>
        </w:rPr>
        <w:t>network meta-analyses</w:t>
      </w:r>
      <w:r>
        <w:rPr>
          <w:rFonts w:ascii="Arial" w:hAnsi="Arial" w:cs="Arial"/>
          <w:sz w:val="20"/>
          <w:szCs w:val="20"/>
        </w:rPr>
        <w:t xml:space="preserve"> </w:t>
      </w:r>
      <w:r w:rsidR="00A669EB" w:rsidRPr="00E4212D">
        <w:rPr>
          <w:rFonts w:ascii="Arial" w:hAnsi="Arial" w:cs="Arial"/>
          <w:sz w:val="20"/>
          <w:szCs w:val="20"/>
        </w:rPr>
        <w:t>(</w:t>
      </w:r>
      <w:r w:rsidR="00765639">
        <w:rPr>
          <w:rFonts w:ascii="Arial" w:hAnsi="Arial" w:cs="Arial"/>
          <w:sz w:val="20"/>
          <w:szCs w:val="20"/>
        </w:rPr>
        <w:t>s</w:t>
      </w:r>
      <w:r w:rsidR="002177E2">
        <w:rPr>
          <w:rFonts w:ascii="Arial" w:hAnsi="Arial" w:cs="Arial"/>
          <w:sz w:val="20"/>
          <w:szCs w:val="20"/>
        </w:rPr>
        <w:t>ee</w:t>
      </w:r>
      <w:r w:rsidR="00476BD6">
        <w:rPr>
          <w:rFonts w:ascii="Arial" w:hAnsi="Arial" w:cs="Arial"/>
          <w:sz w:val="20"/>
          <w:szCs w:val="20"/>
        </w:rPr>
        <w:t xml:space="preserve"> </w:t>
      </w:r>
      <w:r w:rsidR="009564C2">
        <w:rPr>
          <w:rFonts w:ascii="Arial" w:hAnsi="Arial" w:cs="Arial"/>
          <w:sz w:val="20"/>
          <w:szCs w:val="20"/>
        </w:rPr>
        <w:t>Figure 1 for the</w:t>
      </w:r>
      <w:r>
        <w:rPr>
          <w:rFonts w:ascii="Arial" w:hAnsi="Arial" w:cs="Arial"/>
          <w:sz w:val="20"/>
          <w:szCs w:val="20"/>
        </w:rPr>
        <w:t xml:space="preserve"> search flow chart</w:t>
      </w:r>
      <w:r w:rsidR="00A669EB" w:rsidRPr="00E4212D">
        <w:rPr>
          <w:rFonts w:ascii="Arial" w:hAnsi="Arial" w:cs="Arial"/>
          <w:sz w:val="20"/>
          <w:szCs w:val="20"/>
        </w:rPr>
        <w:t>)</w:t>
      </w:r>
      <w:r w:rsidR="001E6DFB" w:rsidRPr="00E4212D">
        <w:rPr>
          <w:rFonts w:ascii="Arial" w:hAnsi="Arial" w:cs="Arial"/>
          <w:sz w:val="20"/>
          <w:szCs w:val="20"/>
        </w:rPr>
        <w:t>.</w:t>
      </w:r>
      <w:r w:rsidR="00ED2C60" w:rsidRPr="00ED2C60">
        <w:t xml:space="preserve"> </w:t>
      </w:r>
      <w:r w:rsidR="0095655B">
        <w:rPr>
          <w:rFonts w:ascii="Arial" w:hAnsi="Arial" w:cs="Arial"/>
          <w:noProof/>
          <w:sz w:val="20"/>
          <w:szCs w:val="20"/>
        </w:rPr>
        <w:t>(22-46)</w:t>
      </w:r>
      <w:r w:rsidR="00045498" w:rsidRPr="000E7922">
        <w:rPr>
          <w:rFonts w:ascii="Arial" w:hAnsi="Arial" w:cs="Arial"/>
          <w:sz w:val="20"/>
          <w:szCs w:val="20"/>
        </w:rPr>
        <w:t xml:space="preserve"> </w:t>
      </w:r>
      <w:r w:rsidR="00D62E85">
        <w:rPr>
          <w:rFonts w:ascii="Arial" w:hAnsi="Arial" w:cs="Arial"/>
          <w:sz w:val="20"/>
          <w:szCs w:val="20"/>
        </w:rPr>
        <w:t xml:space="preserve">The characteristics of </w:t>
      </w:r>
      <w:r w:rsidR="009564C2">
        <w:rPr>
          <w:rFonts w:ascii="Arial" w:hAnsi="Arial" w:cs="Arial"/>
          <w:sz w:val="20"/>
          <w:szCs w:val="20"/>
        </w:rPr>
        <w:t xml:space="preserve">the included </w:t>
      </w:r>
      <w:r>
        <w:rPr>
          <w:rFonts w:ascii="Arial" w:hAnsi="Arial" w:cs="Arial"/>
          <w:sz w:val="20"/>
          <w:szCs w:val="20"/>
        </w:rPr>
        <w:t>RCTs</w:t>
      </w:r>
      <w:r w:rsidR="00D62E85">
        <w:rPr>
          <w:rFonts w:ascii="Arial" w:hAnsi="Arial" w:cs="Arial"/>
          <w:sz w:val="20"/>
          <w:szCs w:val="20"/>
        </w:rPr>
        <w:t xml:space="preserve"> </w:t>
      </w:r>
      <w:r w:rsidR="0018612C">
        <w:rPr>
          <w:rFonts w:ascii="Arial" w:hAnsi="Arial" w:cs="Arial"/>
          <w:sz w:val="20"/>
          <w:szCs w:val="20"/>
        </w:rPr>
        <w:t xml:space="preserve">are </w:t>
      </w:r>
      <w:r w:rsidR="00D62E85">
        <w:rPr>
          <w:rFonts w:ascii="Arial" w:hAnsi="Arial" w:cs="Arial"/>
          <w:sz w:val="20"/>
          <w:szCs w:val="20"/>
        </w:rPr>
        <w:t xml:space="preserve">summarised in </w:t>
      </w:r>
      <w:r w:rsidR="008B6357">
        <w:rPr>
          <w:rFonts w:ascii="Arial" w:hAnsi="Arial" w:cs="Arial"/>
          <w:sz w:val="20"/>
          <w:szCs w:val="20"/>
        </w:rPr>
        <w:t xml:space="preserve">the </w:t>
      </w:r>
      <w:r w:rsidR="00C50E8A">
        <w:rPr>
          <w:rFonts w:ascii="Arial" w:hAnsi="Arial" w:cs="Arial"/>
          <w:sz w:val="20"/>
          <w:szCs w:val="20"/>
        </w:rPr>
        <w:t>appendix</w:t>
      </w:r>
      <w:r w:rsidR="008B6357">
        <w:rPr>
          <w:rFonts w:ascii="Arial" w:hAnsi="Arial" w:cs="Arial"/>
          <w:sz w:val="20"/>
          <w:szCs w:val="20"/>
        </w:rPr>
        <w:t xml:space="preserve"> (</w:t>
      </w:r>
      <w:r w:rsidR="00185E11">
        <w:rPr>
          <w:rFonts w:ascii="Arial" w:hAnsi="Arial" w:cs="Arial"/>
          <w:sz w:val="20"/>
          <w:szCs w:val="20"/>
        </w:rPr>
        <w:t xml:space="preserve">pages 13-17, </w:t>
      </w:r>
      <w:r w:rsidR="00D62E85" w:rsidRPr="00AC3B54">
        <w:rPr>
          <w:rFonts w:ascii="Arial" w:hAnsi="Arial" w:cs="Arial"/>
          <w:sz w:val="20"/>
          <w:szCs w:val="20"/>
        </w:rPr>
        <w:t xml:space="preserve">Table </w:t>
      </w:r>
      <w:r w:rsidR="008B6357">
        <w:rPr>
          <w:rFonts w:ascii="Arial" w:hAnsi="Arial" w:cs="Arial"/>
          <w:sz w:val="20"/>
          <w:szCs w:val="20"/>
        </w:rPr>
        <w:t>1)</w:t>
      </w:r>
      <w:r>
        <w:rPr>
          <w:rFonts w:ascii="Arial" w:hAnsi="Arial" w:cs="Arial"/>
          <w:sz w:val="20"/>
          <w:szCs w:val="20"/>
        </w:rPr>
        <w:t xml:space="preserve"> and the network diagrams are presented in </w:t>
      </w:r>
      <w:r w:rsidR="009564C2">
        <w:rPr>
          <w:rFonts w:ascii="Arial" w:hAnsi="Arial" w:cs="Arial"/>
          <w:sz w:val="20"/>
          <w:szCs w:val="20"/>
        </w:rPr>
        <w:t xml:space="preserve">the </w:t>
      </w:r>
      <w:r w:rsidR="00C50E8A">
        <w:rPr>
          <w:rFonts w:ascii="Arial" w:hAnsi="Arial" w:cs="Arial"/>
          <w:sz w:val="20"/>
          <w:szCs w:val="20"/>
        </w:rPr>
        <w:t>appendix</w:t>
      </w:r>
      <w:r w:rsidR="009564C2">
        <w:rPr>
          <w:rFonts w:ascii="Arial" w:hAnsi="Arial" w:cs="Arial"/>
          <w:sz w:val="20"/>
          <w:szCs w:val="20"/>
        </w:rPr>
        <w:t xml:space="preserve"> (</w:t>
      </w:r>
      <w:r w:rsidR="00185E11">
        <w:rPr>
          <w:rFonts w:ascii="Arial" w:hAnsi="Arial" w:cs="Arial"/>
          <w:sz w:val="20"/>
          <w:szCs w:val="20"/>
        </w:rPr>
        <w:t>pages 18-19</w:t>
      </w:r>
      <w:r w:rsidR="008B6357">
        <w:rPr>
          <w:rFonts w:ascii="Arial" w:hAnsi="Arial" w:cs="Arial"/>
          <w:sz w:val="20"/>
          <w:szCs w:val="20"/>
        </w:rPr>
        <w:t>, Figure 1</w:t>
      </w:r>
      <w:r w:rsidR="009564C2">
        <w:rPr>
          <w:rFonts w:ascii="Arial" w:hAnsi="Arial" w:cs="Arial"/>
          <w:sz w:val="20"/>
          <w:szCs w:val="20"/>
        </w:rPr>
        <w:t>)</w:t>
      </w:r>
      <w:r>
        <w:rPr>
          <w:rFonts w:ascii="Arial" w:hAnsi="Arial" w:cs="Arial"/>
          <w:sz w:val="20"/>
          <w:szCs w:val="20"/>
        </w:rPr>
        <w:t>. The</w:t>
      </w:r>
      <w:r w:rsidRPr="00131494">
        <w:rPr>
          <w:rFonts w:ascii="Arial" w:hAnsi="Arial" w:cs="Arial"/>
          <w:sz w:val="20"/>
          <w:szCs w:val="20"/>
        </w:rPr>
        <w:t xml:space="preserve"> extr</w:t>
      </w:r>
      <w:r>
        <w:rPr>
          <w:rFonts w:ascii="Arial" w:hAnsi="Arial" w:cs="Arial"/>
          <w:sz w:val="20"/>
          <w:szCs w:val="20"/>
        </w:rPr>
        <w:t>acted outcome data are reported in</w:t>
      </w:r>
      <w:r w:rsidR="00EE38BE" w:rsidRPr="00131494">
        <w:rPr>
          <w:rFonts w:ascii="Arial" w:hAnsi="Arial" w:cs="Arial"/>
          <w:sz w:val="20"/>
          <w:szCs w:val="20"/>
        </w:rPr>
        <w:t xml:space="preserve"> </w:t>
      </w:r>
      <w:r w:rsidR="006F335B">
        <w:rPr>
          <w:rFonts w:ascii="Arial" w:hAnsi="Arial" w:cs="Arial"/>
          <w:sz w:val="20"/>
          <w:szCs w:val="20"/>
        </w:rPr>
        <w:t xml:space="preserve">the </w:t>
      </w:r>
      <w:r w:rsidR="00C50E8A">
        <w:rPr>
          <w:rFonts w:ascii="Arial" w:hAnsi="Arial" w:cs="Arial"/>
          <w:sz w:val="20"/>
          <w:szCs w:val="20"/>
        </w:rPr>
        <w:t>appendix</w:t>
      </w:r>
      <w:r w:rsidR="00432C8A">
        <w:rPr>
          <w:rFonts w:ascii="Arial" w:hAnsi="Arial" w:cs="Arial"/>
          <w:sz w:val="20"/>
          <w:szCs w:val="20"/>
        </w:rPr>
        <w:t xml:space="preserve"> (</w:t>
      </w:r>
      <w:r w:rsidR="00185E11">
        <w:rPr>
          <w:rFonts w:ascii="Arial" w:hAnsi="Arial" w:cs="Arial"/>
          <w:sz w:val="20"/>
          <w:szCs w:val="20"/>
        </w:rPr>
        <w:t>pages 21- 26</w:t>
      </w:r>
      <w:r>
        <w:rPr>
          <w:rFonts w:ascii="Arial" w:hAnsi="Arial" w:cs="Arial"/>
          <w:sz w:val="20"/>
          <w:szCs w:val="20"/>
        </w:rPr>
        <w:t>, Table</w:t>
      </w:r>
      <w:r w:rsidR="00185E11">
        <w:rPr>
          <w:rFonts w:ascii="Arial" w:hAnsi="Arial" w:cs="Arial"/>
          <w:sz w:val="20"/>
          <w:szCs w:val="20"/>
        </w:rPr>
        <w:t>s</w:t>
      </w:r>
      <w:r>
        <w:rPr>
          <w:rFonts w:ascii="Arial" w:hAnsi="Arial" w:cs="Arial"/>
          <w:sz w:val="20"/>
          <w:szCs w:val="20"/>
        </w:rPr>
        <w:t xml:space="preserve"> 2</w:t>
      </w:r>
      <w:r w:rsidR="00185E11">
        <w:rPr>
          <w:rFonts w:ascii="Arial" w:hAnsi="Arial" w:cs="Arial"/>
          <w:sz w:val="20"/>
          <w:szCs w:val="20"/>
        </w:rPr>
        <w:t>-4</w:t>
      </w:r>
      <w:r w:rsidR="00432C8A">
        <w:rPr>
          <w:rFonts w:ascii="Arial" w:hAnsi="Arial" w:cs="Arial"/>
          <w:sz w:val="20"/>
          <w:szCs w:val="20"/>
        </w:rPr>
        <w:t>)</w:t>
      </w:r>
      <w:r>
        <w:rPr>
          <w:rFonts w:ascii="Arial" w:hAnsi="Arial" w:cs="Arial"/>
          <w:sz w:val="20"/>
          <w:szCs w:val="20"/>
        </w:rPr>
        <w:t>.</w:t>
      </w:r>
      <w:r w:rsidR="00F73CD7">
        <w:rPr>
          <w:rFonts w:ascii="Arial" w:hAnsi="Arial" w:cs="Arial"/>
          <w:sz w:val="20"/>
          <w:szCs w:val="20"/>
        </w:rPr>
        <w:t xml:space="preserve"> </w:t>
      </w:r>
      <w:r w:rsidR="009564C2">
        <w:rPr>
          <w:rFonts w:ascii="Arial" w:hAnsi="Arial" w:cs="Arial"/>
          <w:sz w:val="20"/>
          <w:szCs w:val="20"/>
        </w:rPr>
        <w:t xml:space="preserve">A list of excluded studies with reasons for exclusion is included in the </w:t>
      </w:r>
      <w:r w:rsidR="00C50E8A">
        <w:rPr>
          <w:rFonts w:ascii="Arial" w:hAnsi="Arial" w:cs="Arial"/>
          <w:sz w:val="20"/>
          <w:szCs w:val="20"/>
        </w:rPr>
        <w:t>appendix</w:t>
      </w:r>
      <w:r w:rsidR="009564C2">
        <w:rPr>
          <w:rFonts w:ascii="Arial" w:hAnsi="Arial" w:cs="Arial"/>
          <w:sz w:val="20"/>
          <w:szCs w:val="20"/>
        </w:rPr>
        <w:t xml:space="preserve"> (</w:t>
      </w:r>
      <w:r w:rsidR="00185E11">
        <w:rPr>
          <w:rFonts w:ascii="Arial" w:hAnsi="Arial" w:cs="Arial"/>
          <w:sz w:val="20"/>
          <w:szCs w:val="20"/>
        </w:rPr>
        <w:t xml:space="preserve">pages </w:t>
      </w:r>
      <w:r w:rsidR="00D2483B">
        <w:rPr>
          <w:rFonts w:ascii="Arial" w:hAnsi="Arial" w:cs="Arial"/>
          <w:sz w:val="20"/>
          <w:szCs w:val="20"/>
        </w:rPr>
        <w:t>37 to 52</w:t>
      </w:r>
      <w:r w:rsidR="009564C2">
        <w:rPr>
          <w:rFonts w:ascii="Arial" w:hAnsi="Arial" w:cs="Arial"/>
          <w:sz w:val="20"/>
          <w:szCs w:val="20"/>
        </w:rPr>
        <w:t>).</w:t>
      </w:r>
    </w:p>
    <w:p w14:paraId="16EAAF00" w14:textId="58387084" w:rsidR="008B6357" w:rsidRPr="00963A82" w:rsidRDefault="008B6357" w:rsidP="000E7922">
      <w:pPr>
        <w:pStyle w:val="NoSpacing"/>
        <w:spacing w:line="480" w:lineRule="auto"/>
        <w:rPr>
          <w:rFonts w:ascii="Arial" w:hAnsi="Arial" w:cs="Arial"/>
          <w:b/>
          <w:bCs/>
          <w:sz w:val="20"/>
          <w:szCs w:val="20"/>
        </w:rPr>
      </w:pPr>
      <w:r w:rsidRPr="00963A82">
        <w:rPr>
          <w:rFonts w:ascii="Arial" w:hAnsi="Arial" w:cs="Arial"/>
          <w:b/>
          <w:bCs/>
          <w:sz w:val="20"/>
          <w:szCs w:val="20"/>
          <w:highlight w:val="lightGray"/>
        </w:rPr>
        <w:t>Insert Figure 1</w:t>
      </w:r>
      <w:r w:rsidR="00963A82" w:rsidRPr="00963A82">
        <w:rPr>
          <w:rFonts w:ascii="Arial" w:hAnsi="Arial" w:cs="Arial"/>
          <w:b/>
          <w:bCs/>
          <w:sz w:val="20"/>
          <w:szCs w:val="20"/>
          <w:highlight w:val="lightGray"/>
        </w:rPr>
        <w:t xml:space="preserve"> here</w:t>
      </w:r>
    </w:p>
    <w:p w14:paraId="5A51F62C" w14:textId="2FDA3066" w:rsidR="000E7922" w:rsidRPr="007F612C" w:rsidRDefault="00053285" w:rsidP="000E7922">
      <w:pPr>
        <w:pStyle w:val="NoSpacing"/>
        <w:spacing w:line="480" w:lineRule="auto"/>
        <w:rPr>
          <w:rFonts w:ascii="Arial" w:hAnsi="Arial" w:cs="Arial"/>
          <w:sz w:val="20"/>
          <w:szCs w:val="20"/>
        </w:rPr>
      </w:pPr>
      <w:r w:rsidRPr="000E7922">
        <w:rPr>
          <w:rFonts w:ascii="Arial" w:hAnsi="Arial" w:cs="Arial"/>
          <w:sz w:val="20"/>
          <w:szCs w:val="20"/>
        </w:rPr>
        <w:t>T</w:t>
      </w:r>
      <w:r w:rsidR="007E6416" w:rsidRPr="000E7922">
        <w:rPr>
          <w:rFonts w:ascii="Arial" w:hAnsi="Arial" w:cs="Arial"/>
          <w:sz w:val="20"/>
          <w:szCs w:val="20"/>
        </w:rPr>
        <w:t>he evidence for each outcome (DVT, PE and MB) ranged from very low to high risk of bias</w:t>
      </w:r>
      <w:r w:rsidR="00A4417C" w:rsidRPr="000E7922">
        <w:rPr>
          <w:rFonts w:ascii="Arial" w:hAnsi="Arial" w:cs="Arial"/>
          <w:sz w:val="20"/>
          <w:szCs w:val="20"/>
        </w:rPr>
        <w:t xml:space="preserve"> (</w:t>
      </w:r>
      <w:r w:rsidR="004E5400">
        <w:rPr>
          <w:rFonts w:ascii="Arial" w:hAnsi="Arial" w:cs="Arial"/>
          <w:sz w:val="20"/>
          <w:szCs w:val="20"/>
        </w:rPr>
        <w:t>See</w:t>
      </w:r>
      <w:r w:rsidR="007B46F1" w:rsidRPr="000E7922">
        <w:rPr>
          <w:rFonts w:ascii="Arial" w:hAnsi="Arial" w:cs="Arial"/>
          <w:sz w:val="20"/>
          <w:szCs w:val="20"/>
        </w:rPr>
        <w:t xml:space="preserve"> </w:t>
      </w:r>
      <w:r w:rsidR="00C50E8A">
        <w:rPr>
          <w:rFonts w:ascii="Arial" w:hAnsi="Arial" w:cs="Arial"/>
          <w:sz w:val="20"/>
          <w:szCs w:val="20"/>
        </w:rPr>
        <w:t>appendix</w:t>
      </w:r>
      <w:r w:rsidR="00765639" w:rsidRPr="000E7922">
        <w:rPr>
          <w:rFonts w:ascii="Arial" w:hAnsi="Arial" w:cs="Arial"/>
          <w:sz w:val="20"/>
          <w:szCs w:val="20"/>
        </w:rPr>
        <w:t>;</w:t>
      </w:r>
      <w:r w:rsidR="007B46F1" w:rsidRPr="000E7922">
        <w:rPr>
          <w:rFonts w:ascii="Arial" w:hAnsi="Arial" w:cs="Arial"/>
          <w:sz w:val="20"/>
          <w:szCs w:val="20"/>
        </w:rPr>
        <w:t xml:space="preserve"> </w:t>
      </w:r>
      <w:r w:rsidR="00D2483B">
        <w:rPr>
          <w:rFonts w:ascii="Arial" w:hAnsi="Arial" w:cs="Arial"/>
          <w:sz w:val="20"/>
          <w:szCs w:val="20"/>
        </w:rPr>
        <w:t>page 20</w:t>
      </w:r>
      <w:r w:rsidR="007B46F1" w:rsidRPr="000E7922">
        <w:rPr>
          <w:rFonts w:ascii="Arial" w:hAnsi="Arial" w:cs="Arial"/>
          <w:sz w:val="20"/>
          <w:szCs w:val="20"/>
        </w:rPr>
        <w:t xml:space="preserve"> for summary plot</w:t>
      </w:r>
      <w:r w:rsidR="00A4417C" w:rsidRPr="000E7922">
        <w:rPr>
          <w:rFonts w:ascii="Arial" w:hAnsi="Arial" w:cs="Arial"/>
          <w:sz w:val="20"/>
          <w:szCs w:val="20"/>
        </w:rPr>
        <w:t>)</w:t>
      </w:r>
      <w:r w:rsidR="007E6416" w:rsidRPr="000E7922">
        <w:rPr>
          <w:rFonts w:ascii="Arial" w:hAnsi="Arial" w:cs="Arial"/>
          <w:sz w:val="20"/>
          <w:szCs w:val="20"/>
        </w:rPr>
        <w:t>.</w:t>
      </w:r>
      <w:bookmarkStart w:id="2" w:name="_Ref349059491"/>
      <w:r w:rsidRPr="000E7922">
        <w:rPr>
          <w:rFonts w:ascii="Arial" w:hAnsi="Arial" w:cs="Arial"/>
          <w:sz w:val="20"/>
          <w:szCs w:val="20"/>
        </w:rPr>
        <w:t xml:space="preserve"> The main contributing factors </w:t>
      </w:r>
      <w:r w:rsidR="007F612C">
        <w:rPr>
          <w:rFonts w:ascii="Arial" w:hAnsi="Arial" w:cs="Arial"/>
          <w:sz w:val="20"/>
          <w:szCs w:val="20"/>
        </w:rPr>
        <w:t xml:space="preserve">to the risk of bias </w:t>
      </w:r>
      <w:r w:rsidRPr="000E7922">
        <w:rPr>
          <w:rFonts w:ascii="Arial" w:hAnsi="Arial" w:cs="Arial"/>
          <w:sz w:val="20"/>
          <w:szCs w:val="20"/>
        </w:rPr>
        <w:t>were selection bias, performance bias and attrition bias.</w:t>
      </w:r>
    </w:p>
    <w:p w14:paraId="0620F533" w14:textId="6D260D91" w:rsidR="007F612C" w:rsidRDefault="006F335B" w:rsidP="007F612C">
      <w:pPr>
        <w:pStyle w:val="NoSpacing"/>
        <w:spacing w:line="480" w:lineRule="auto"/>
        <w:rPr>
          <w:rFonts w:ascii="Arial" w:hAnsi="Arial" w:cs="Arial"/>
          <w:sz w:val="20"/>
          <w:szCs w:val="20"/>
        </w:rPr>
      </w:pPr>
      <w:r w:rsidRPr="000E7922">
        <w:rPr>
          <w:rFonts w:ascii="Arial" w:hAnsi="Arial" w:cs="Arial"/>
          <w:sz w:val="20"/>
          <w:szCs w:val="20"/>
        </w:rPr>
        <w:t xml:space="preserve">Twenty-three </w:t>
      </w:r>
      <w:r w:rsidR="00A65159" w:rsidRPr="000E7922">
        <w:rPr>
          <w:rFonts w:ascii="Arial" w:hAnsi="Arial" w:cs="Arial"/>
          <w:sz w:val="20"/>
          <w:szCs w:val="20"/>
        </w:rPr>
        <w:t>studies</w:t>
      </w:r>
      <w:r w:rsidR="00BD3C81" w:rsidRPr="000E7922">
        <w:rPr>
          <w:rFonts w:ascii="Arial" w:hAnsi="Arial" w:cs="Arial"/>
          <w:sz w:val="20"/>
          <w:szCs w:val="20"/>
        </w:rPr>
        <w:t xml:space="preserve"> (n</w:t>
      </w:r>
      <w:r w:rsidR="00360AC2" w:rsidRPr="000E7922">
        <w:rPr>
          <w:rFonts w:ascii="Arial" w:hAnsi="Arial" w:cs="Arial"/>
          <w:sz w:val="20"/>
          <w:szCs w:val="20"/>
        </w:rPr>
        <w:t>=</w:t>
      </w:r>
      <w:r w:rsidR="000C3551" w:rsidRPr="000E7922">
        <w:rPr>
          <w:rFonts w:ascii="Arial" w:hAnsi="Arial" w:cs="Arial"/>
          <w:sz w:val="20"/>
          <w:szCs w:val="20"/>
        </w:rPr>
        <w:t>15,028</w:t>
      </w:r>
      <w:r w:rsidR="00360AC2" w:rsidRPr="000E7922">
        <w:rPr>
          <w:rFonts w:ascii="Arial" w:hAnsi="Arial" w:cs="Arial"/>
          <w:sz w:val="20"/>
          <w:szCs w:val="20"/>
        </w:rPr>
        <w:t>)</w:t>
      </w:r>
      <w:r w:rsidR="00A65159" w:rsidRPr="000E7922">
        <w:rPr>
          <w:rFonts w:ascii="Arial" w:hAnsi="Arial" w:cs="Arial"/>
          <w:sz w:val="20"/>
          <w:szCs w:val="20"/>
        </w:rPr>
        <w:t xml:space="preserve"> involving </w:t>
      </w:r>
      <w:r w:rsidR="000C3551" w:rsidRPr="000E7922">
        <w:rPr>
          <w:rFonts w:ascii="Arial" w:hAnsi="Arial" w:cs="Arial"/>
          <w:sz w:val="20"/>
          <w:szCs w:val="20"/>
        </w:rPr>
        <w:t xml:space="preserve">19 </w:t>
      </w:r>
      <w:r w:rsidR="00A65159" w:rsidRPr="000E7922">
        <w:rPr>
          <w:rFonts w:ascii="Arial" w:hAnsi="Arial" w:cs="Arial"/>
          <w:sz w:val="20"/>
          <w:szCs w:val="20"/>
        </w:rPr>
        <w:t>interventions were included in the DVT network</w:t>
      </w:r>
      <w:r w:rsidR="00127D56" w:rsidRPr="000E7922">
        <w:rPr>
          <w:rFonts w:ascii="Arial" w:hAnsi="Arial" w:cs="Arial"/>
          <w:sz w:val="20"/>
          <w:szCs w:val="20"/>
        </w:rPr>
        <w:t xml:space="preserve"> (see </w:t>
      </w:r>
      <w:r w:rsidR="00963A82">
        <w:rPr>
          <w:rFonts w:ascii="Arial" w:hAnsi="Arial" w:cs="Arial"/>
          <w:sz w:val="20"/>
          <w:szCs w:val="20"/>
        </w:rPr>
        <w:t>appendix, page 11</w:t>
      </w:r>
      <w:r w:rsidR="00127D56" w:rsidRPr="000E7922">
        <w:rPr>
          <w:rFonts w:ascii="Arial" w:hAnsi="Arial" w:cs="Arial"/>
          <w:sz w:val="20"/>
          <w:szCs w:val="20"/>
        </w:rPr>
        <w:t>)</w:t>
      </w:r>
      <w:r w:rsidR="00143F59" w:rsidRPr="000E7922">
        <w:rPr>
          <w:rFonts w:ascii="Arial" w:hAnsi="Arial" w:cs="Arial"/>
          <w:sz w:val="20"/>
          <w:szCs w:val="20"/>
        </w:rPr>
        <w:t>.</w:t>
      </w:r>
      <w:r w:rsidR="00A03648" w:rsidRPr="000E7922">
        <w:rPr>
          <w:rFonts w:ascii="Arial" w:hAnsi="Arial" w:cs="Arial"/>
          <w:sz w:val="20"/>
          <w:szCs w:val="20"/>
        </w:rPr>
        <w:t xml:space="preserve"> </w:t>
      </w:r>
      <w:r w:rsidR="009A759F" w:rsidRPr="000E7922">
        <w:rPr>
          <w:rFonts w:ascii="Arial" w:hAnsi="Arial" w:cs="Arial"/>
          <w:sz w:val="20"/>
          <w:szCs w:val="20"/>
        </w:rPr>
        <w:t xml:space="preserve">The RE model </w:t>
      </w:r>
      <w:r w:rsidR="00A905C9" w:rsidRPr="000E7922">
        <w:rPr>
          <w:rFonts w:ascii="Arial" w:hAnsi="Arial" w:cs="Arial"/>
          <w:sz w:val="20"/>
          <w:szCs w:val="20"/>
        </w:rPr>
        <w:t>had</w:t>
      </w:r>
      <w:r w:rsidR="009A759F" w:rsidRPr="000E7922">
        <w:rPr>
          <w:rFonts w:ascii="Arial" w:hAnsi="Arial" w:cs="Arial"/>
          <w:sz w:val="20"/>
          <w:szCs w:val="20"/>
        </w:rPr>
        <w:t xml:space="preserve"> a good fit, with a residual deviance of </w:t>
      </w:r>
      <w:r w:rsidR="00DF5009" w:rsidRPr="000E7922">
        <w:rPr>
          <w:rFonts w:ascii="Arial" w:hAnsi="Arial" w:cs="Arial"/>
          <w:sz w:val="20"/>
          <w:szCs w:val="20"/>
        </w:rPr>
        <w:t>51</w:t>
      </w:r>
      <w:r w:rsidR="00A905C9" w:rsidRPr="000E7922">
        <w:rPr>
          <w:rFonts w:ascii="Arial" w:hAnsi="Arial" w:cs="Arial"/>
          <w:sz w:val="20"/>
          <w:szCs w:val="20"/>
        </w:rPr>
        <w:t>, corresponding</w:t>
      </w:r>
      <w:r w:rsidR="009A759F" w:rsidRPr="000E7922">
        <w:rPr>
          <w:rFonts w:ascii="Arial" w:hAnsi="Arial" w:cs="Arial"/>
          <w:sz w:val="20"/>
          <w:szCs w:val="20"/>
        </w:rPr>
        <w:t xml:space="preserve"> well to the total number of trial arms</w:t>
      </w:r>
      <w:r w:rsidR="00A905C9" w:rsidRPr="000E7922">
        <w:rPr>
          <w:rFonts w:ascii="Arial" w:hAnsi="Arial" w:cs="Arial"/>
          <w:sz w:val="20"/>
          <w:szCs w:val="20"/>
        </w:rPr>
        <w:t xml:space="preserve"> in the network</w:t>
      </w:r>
      <w:r w:rsidR="009A759F" w:rsidRPr="000E7922">
        <w:rPr>
          <w:rFonts w:ascii="Arial" w:hAnsi="Arial" w:cs="Arial"/>
          <w:sz w:val="20"/>
          <w:szCs w:val="20"/>
        </w:rPr>
        <w:t>,</w:t>
      </w:r>
      <w:r w:rsidR="00A905C9" w:rsidRPr="000E7922">
        <w:rPr>
          <w:rFonts w:ascii="Arial" w:hAnsi="Arial" w:cs="Arial"/>
          <w:sz w:val="20"/>
          <w:szCs w:val="20"/>
        </w:rPr>
        <w:t xml:space="preserve"> </w:t>
      </w:r>
      <w:r w:rsidR="00DF5009" w:rsidRPr="000E7922">
        <w:rPr>
          <w:rFonts w:ascii="Arial" w:hAnsi="Arial" w:cs="Arial"/>
          <w:sz w:val="20"/>
          <w:szCs w:val="20"/>
        </w:rPr>
        <w:t>51</w:t>
      </w:r>
      <w:r w:rsidR="00D67DAE" w:rsidRPr="000E7922">
        <w:rPr>
          <w:rFonts w:ascii="Arial" w:hAnsi="Arial" w:cs="Arial"/>
          <w:sz w:val="20"/>
          <w:szCs w:val="20"/>
        </w:rPr>
        <w:t>.</w:t>
      </w:r>
      <w:r w:rsidR="00DF5009" w:rsidRPr="000E7922">
        <w:rPr>
          <w:rFonts w:ascii="Arial" w:hAnsi="Arial" w:cs="Arial"/>
          <w:sz w:val="20"/>
          <w:szCs w:val="20"/>
        </w:rPr>
        <w:t xml:space="preserve"> </w:t>
      </w:r>
      <w:r w:rsidR="00673E69" w:rsidRPr="000E7922">
        <w:rPr>
          <w:rFonts w:ascii="Arial" w:hAnsi="Arial" w:cs="Arial"/>
          <w:sz w:val="20"/>
          <w:szCs w:val="20"/>
        </w:rPr>
        <w:t>T</w:t>
      </w:r>
      <w:r w:rsidR="00A905C9" w:rsidRPr="000E7922">
        <w:rPr>
          <w:rFonts w:ascii="Arial" w:hAnsi="Arial" w:cs="Arial"/>
          <w:sz w:val="20"/>
          <w:szCs w:val="20"/>
        </w:rPr>
        <w:t>he between-</w:t>
      </w:r>
      <w:r w:rsidR="009A759F" w:rsidRPr="000E7922">
        <w:rPr>
          <w:rFonts w:ascii="Arial" w:hAnsi="Arial" w:cs="Arial"/>
          <w:sz w:val="20"/>
          <w:szCs w:val="20"/>
        </w:rPr>
        <w:t>trial standard deviation was 0.</w:t>
      </w:r>
      <w:r w:rsidR="00B41F91" w:rsidRPr="000E7922">
        <w:rPr>
          <w:rFonts w:ascii="Arial" w:hAnsi="Arial" w:cs="Arial"/>
          <w:sz w:val="20"/>
          <w:szCs w:val="20"/>
        </w:rPr>
        <w:t xml:space="preserve">24 </w:t>
      </w:r>
      <w:r w:rsidR="009A759F" w:rsidRPr="000E7922">
        <w:rPr>
          <w:rFonts w:ascii="Arial" w:hAnsi="Arial" w:cs="Arial"/>
          <w:sz w:val="20"/>
          <w:szCs w:val="20"/>
        </w:rPr>
        <w:t>(0.</w:t>
      </w:r>
      <w:r w:rsidR="00B41F91" w:rsidRPr="000E7922">
        <w:rPr>
          <w:rFonts w:ascii="Arial" w:hAnsi="Arial" w:cs="Arial"/>
          <w:sz w:val="20"/>
          <w:szCs w:val="20"/>
        </w:rPr>
        <w:t xml:space="preserve">09 </w:t>
      </w:r>
      <w:r w:rsidR="009A759F" w:rsidRPr="000E7922">
        <w:rPr>
          <w:rFonts w:ascii="Arial" w:hAnsi="Arial" w:cs="Arial"/>
          <w:sz w:val="20"/>
          <w:szCs w:val="20"/>
        </w:rPr>
        <w:t xml:space="preserve">to </w:t>
      </w:r>
      <w:r w:rsidR="00B41F91" w:rsidRPr="000E7922">
        <w:rPr>
          <w:rFonts w:ascii="Arial" w:hAnsi="Arial" w:cs="Arial"/>
          <w:sz w:val="20"/>
          <w:szCs w:val="20"/>
        </w:rPr>
        <w:t>0.56</w:t>
      </w:r>
      <w:r w:rsidR="009A759F" w:rsidRPr="000E7922">
        <w:rPr>
          <w:rFonts w:ascii="Arial" w:hAnsi="Arial" w:cs="Arial"/>
          <w:sz w:val="20"/>
          <w:szCs w:val="20"/>
        </w:rPr>
        <w:t xml:space="preserve">). </w:t>
      </w:r>
      <w:r w:rsidR="00D90A06" w:rsidRPr="000E7922">
        <w:rPr>
          <w:rFonts w:ascii="Arial" w:hAnsi="Arial" w:cs="Arial"/>
          <w:sz w:val="20"/>
          <w:szCs w:val="20"/>
        </w:rPr>
        <w:t>The DIC</w:t>
      </w:r>
      <w:r w:rsidR="00D90A06" w:rsidRPr="00D90A06">
        <w:rPr>
          <w:rFonts w:ascii="Arial" w:hAnsi="Arial" w:cs="Arial"/>
          <w:sz w:val="20"/>
          <w:szCs w:val="20"/>
        </w:rPr>
        <w:t xml:space="preserve"> for the consistency model </w:t>
      </w:r>
      <w:r w:rsidR="00D90A06">
        <w:rPr>
          <w:rFonts w:ascii="Arial" w:hAnsi="Arial" w:cs="Arial"/>
          <w:sz w:val="20"/>
          <w:szCs w:val="20"/>
        </w:rPr>
        <w:t xml:space="preserve">was lower than that for </w:t>
      </w:r>
      <w:r w:rsidR="00221A69">
        <w:rPr>
          <w:rFonts w:ascii="Arial" w:hAnsi="Arial" w:cs="Arial"/>
          <w:sz w:val="20"/>
          <w:szCs w:val="20"/>
        </w:rPr>
        <w:t>the</w:t>
      </w:r>
      <w:r w:rsidR="00D90A06">
        <w:rPr>
          <w:rFonts w:ascii="Arial" w:hAnsi="Arial" w:cs="Arial"/>
          <w:sz w:val="20"/>
          <w:szCs w:val="20"/>
        </w:rPr>
        <w:t xml:space="preserve"> inconsistency model, </w:t>
      </w:r>
      <w:r w:rsidR="00D90A06" w:rsidRPr="00D90A06">
        <w:rPr>
          <w:rFonts w:ascii="Arial" w:hAnsi="Arial" w:cs="Arial"/>
          <w:sz w:val="20"/>
          <w:szCs w:val="20"/>
        </w:rPr>
        <w:t xml:space="preserve">and hence it was the better </w:t>
      </w:r>
      <w:r w:rsidR="00D90A06">
        <w:rPr>
          <w:rFonts w:ascii="Arial" w:hAnsi="Arial" w:cs="Arial"/>
          <w:sz w:val="20"/>
          <w:szCs w:val="20"/>
        </w:rPr>
        <w:t>fitting</w:t>
      </w:r>
      <w:r w:rsidR="00D90A06" w:rsidRPr="00D90A06">
        <w:rPr>
          <w:rFonts w:ascii="Arial" w:hAnsi="Arial" w:cs="Arial"/>
          <w:sz w:val="20"/>
          <w:szCs w:val="20"/>
        </w:rPr>
        <w:t xml:space="preserve"> model. </w:t>
      </w:r>
    </w:p>
    <w:p w14:paraId="43C9EBD8" w14:textId="6DA2E379" w:rsidR="00DC2C1A" w:rsidRPr="0076400E" w:rsidRDefault="007F612C" w:rsidP="007F612C">
      <w:pPr>
        <w:pStyle w:val="NoSpacing"/>
        <w:spacing w:line="480" w:lineRule="auto"/>
        <w:rPr>
          <w:rFonts w:ascii="Arial" w:hAnsi="Arial" w:cs="Arial"/>
          <w:sz w:val="20"/>
          <w:szCs w:val="20"/>
        </w:rPr>
      </w:pPr>
      <w:r>
        <w:rPr>
          <w:rFonts w:ascii="Arial" w:hAnsi="Arial" w:cs="Arial"/>
          <w:sz w:val="20"/>
          <w:szCs w:val="20"/>
        </w:rPr>
        <w:t>The top three interventions in the DVT network were: r</w:t>
      </w:r>
      <w:r w:rsidR="00115DE2">
        <w:rPr>
          <w:rFonts w:ascii="Arial" w:hAnsi="Arial" w:cs="Arial"/>
          <w:sz w:val="20"/>
          <w:szCs w:val="20"/>
        </w:rPr>
        <w:t>ivaroxaban</w:t>
      </w:r>
      <w:r w:rsidR="00130BF3">
        <w:rPr>
          <w:rFonts w:ascii="Arial" w:hAnsi="Arial" w:cs="Arial"/>
          <w:sz w:val="20"/>
          <w:szCs w:val="20"/>
        </w:rPr>
        <w:t xml:space="preserve"> (</w:t>
      </w:r>
      <w:r w:rsidR="003731D1">
        <w:rPr>
          <w:rFonts w:ascii="Arial" w:hAnsi="Arial" w:cs="Arial"/>
          <w:sz w:val="20"/>
          <w:szCs w:val="20"/>
        </w:rPr>
        <w:t>RR=</w:t>
      </w:r>
      <w:r w:rsidR="00130BF3">
        <w:rPr>
          <w:rFonts w:ascii="Arial" w:hAnsi="Arial" w:cs="Arial"/>
          <w:sz w:val="20"/>
          <w:szCs w:val="20"/>
        </w:rPr>
        <w:t>0.</w:t>
      </w:r>
      <w:r w:rsidR="001E08A8">
        <w:rPr>
          <w:rFonts w:ascii="Arial" w:hAnsi="Arial" w:cs="Arial"/>
          <w:sz w:val="20"/>
          <w:szCs w:val="20"/>
        </w:rPr>
        <w:t xml:space="preserve">12 </w:t>
      </w:r>
      <w:r>
        <w:rPr>
          <w:rFonts w:ascii="Arial" w:hAnsi="Arial" w:cs="Arial"/>
          <w:sz w:val="20"/>
          <w:szCs w:val="20"/>
        </w:rPr>
        <w:t>[</w:t>
      </w:r>
      <w:r w:rsidR="00130BF3">
        <w:rPr>
          <w:rFonts w:ascii="Arial" w:hAnsi="Arial" w:cs="Arial"/>
          <w:sz w:val="20"/>
          <w:szCs w:val="20"/>
        </w:rPr>
        <w:t>0.</w:t>
      </w:r>
      <w:r w:rsidR="001E08A8">
        <w:rPr>
          <w:rFonts w:ascii="Arial" w:hAnsi="Arial" w:cs="Arial"/>
          <w:sz w:val="20"/>
          <w:szCs w:val="20"/>
        </w:rPr>
        <w:t xml:space="preserve">06 </w:t>
      </w:r>
      <w:r w:rsidR="00130BF3">
        <w:rPr>
          <w:rFonts w:ascii="Arial" w:hAnsi="Arial" w:cs="Arial"/>
          <w:sz w:val="20"/>
          <w:szCs w:val="20"/>
        </w:rPr>
        <w:t>to</w:t>
      </w:r>
      <w:r w:rsidR="00130BF3" w:rsidRPr="00130BF3">
        <w:rPr>
          <w:rFonts w:ascii="Arial" w:hAnsi="Arial" w:cs="Arial"/>
          <w:sz w:val="20"/>
          <w:szCs w:val="20"/>
        </w:rPr>
        <w:t xml:space="preserve"> 0.</w:t>
      </w:r>
      <w:r w:rsidR="001E08A8">
        <w:rPr>
          <w:rFonts w:ascii="Arial" w:hAnsi="Arial" w:cs="Arial"/>
          <w:sz w:val="20"/>
          <w:szCs w:val="20"/>
        </w:rPr>
        <w:t>22</w:t>
      </w:r>
      <w:r>
        <w:rPr>
          <w:rFonts w:ascii="Arial" w:hAnsi="Arial" w:cs="Arial"/>
          <w:sz w:val="20"/>
          <w:szCs w:val="20"/>
        </w:rPr>
        <w:t>]</w:t>
      </w:r>
      <w:r w:rsidR="008E710E">
        <w:rPr>
          <w:rFonts w:ascii="Arial" w:hAnsi="Arial" w:cs="Arial"/>
          <w:sz w:val="20"/>
          <w:szCs w:val="20"/>
        </w:rPr>
        <w:t>)</w:t>
      </w:r>
      <w:r w:rsidR="00115DE2">
        <w:rPr>
          <w:rFonts w:ascii="Arial" w:hAnsi="Arial" w:cs="Arial"/>
          <w:sz w:val="20"/>
          <w:szCs w:val="20"/>
        </w:rPr>
        <w:t xml:space="preserve">, followed by </w:t>
      </w:r>
      <w:r w:rsidR="009752F0">
        <w:rPr>
          <w:rFonts w:ascii="Arial" w:hAnsi="Arial" w:cs="Arial"/>
          <w:sz w:val="20"/>
          <w:szCs w:val="20"/>
        </w:rPr>
        <w:t>apixaban</w:t>
      </w:r>
      <w:r w:rsidR="00130BF3">
        <w:rPr>
          <w:rFonts w:ascii="Arial" w:hAnsi="Arial" w:cs="Arial"/>
          <w:sz w:val="20"/>
          <w:szCs w:val="20"/>
        </w:rPr>
        <w:t xml:space="preserve"> (</w:t>
      </w:r>
      <w:r w:rsidR="003731D1">
        <w:rPr>
          <w:rFonts w:ascii="Arial" w:hAnsi="Arial" w:cs="Arial"/>
          <w:sz w:val="20"/>
          <w:szCs w:val="20"/>
        </w:rPr>
        <w:t>RR=</w:t>
      </w:r>
      <w:r w:rsidR="00130BF3">
        <w:rPr>
          <w:rFonts w:ascii="Arial" w:hAnsi="Arial" w:cs="Arial"/>
          <w:sz w:val="20"/>
          <w:szCs w:val="20"/>
        </w:rPr>
        <w:t>0.</w:t>
      </w:r>
      <w:r w:rsidR="009752F0">
        <w:rPr>
          <w:rFonts w:ascii="Arial" w:hAnsi="Arial" w:cs="Arial"/>
          <w:sz w:val="20"/>
          <w:szCs w:val="20"/>
        </w:rPr>
        <w:t>15</w:t>
      </w:r>
      <w:r w:rsidR="00130BF3">
        <w:rPr>
          <w:rFonts w:ascii="Arial" w:hAnsi="Arial" w:cs="Arial"/>
          <w:sz w:val="20"/>
          <w:szCs w:val="20"/>
        </w:rPr>
        <w:t xml:space="preserve"> </w:t>
      </w:r>
      <w:r>
        <w:rPr>
          <w:rFonts w:ascii="Arial" w:hAnsi="Arial" w:cs="Arial"/>
          <w:sz w:val="20"/>
          <w:szCs w:val="20"/>
        </w:rPr>
        <w:t>[</w:t>
      </w:r>
      <w:r w:rsidR="00130BF3">
        <w:rPr>
          <w:rFonts w:ascii="Arial" w:hAnsi="Arial" w:cs="Arial"/>
          <w:sz w:val="20"/>
          <w:szCs w:val="20"/>
        </w:rPr>
        <w:t>0.0</w:t>
      </w:r>
      <w:r w:rsidR="009752F0">
        <w:rPr>
          <w:rFonts w:ascii="Arial" w:hAnsi="Arial" w:cs="Arial"/>
          <w:sz w:val="20"/>
          <w:szCs w:val="20"/>
        </w:rPr>
        <w:t>7</w:t>
      </w:r>
      <w:r w:rsidR="00130BF3">
        <w:rPr>
          <w:rFonts w:ascii="Arial" w:hAnsi="Arial" w:cs="Arial"/>
          <w:sz w:val="20"/>
          <w:szCs w:val="20"/>
        </w:rPr>
        <w:t xml:space="preserve"> to </w:t>
      </w:r>
      <w:r w:rsidR="00130BF3" w:rsidRPr="00130BF3">
        <w:rPr>
          <w:rFonts w:ascii="Arial" w:hAnsi="Arial" w:cs="Arial"/>
          <w:sz w:val="20"/>
          <w:szCs w:val="20"/>
        </w:rPr>
        <w:t>0.</w:t>
      </w:r>
      <w:r w:rsidR="009752F0">
        <w:rPr>
          <w:rFonts w:ascii="Arial" w:hAnsi="Arial" w:cs="Arial"/>
          <w:sz w:val="20"/>
          <w:szCs w:val="20"/>
        </w:rPr>
        <w:t>26</w:t>
      </w:r>
      <w:r>
        <w:rPr>
          <w:rFonts w:ascii="Arial" w:hAnsi="Arial" w:cs="Arial"/>
          <w:sz w:val="20"/>
          <w:szCs w:val="20"/>
        </w:rPr>
        <w:t>]</w:t>
      </w:r>
      <w:r w:rsidR="00130BF3">
        <w:rPr>
          <w:rFonts w:ascii="Arial" w:hAnsi="Arial" w:cs="Arial"/>
          <w:sz w:val="20"/>
          <w:szCs w:val="20"/>
        </w:rPr>
        <w:t>)</w:t>
      </w:r>
      <w:r w:rsidR="00115DE2">
        <w:rPr>
          <w:rFonts w:ascii="Arial" w:hAnsi="Arial" w:cs="Arial"/>
          <w:sz w:val="20"/>
          <w:szCs w:val="20"/>
        </w:rPr>
        <w:t xml:space="preserve">, then LMWH at a </w:t>
      </w:r>
      <w:r w:rsidR="00B00F03">
        <w:rPr>
          <w:rFonts w:ascii="Arial" w:hAnsi="Arial" w:cs="Arial"/>
          <w:sz w:val="20"/>
          <w:szCs w:val="20"/>
        </w:rPr>
        <w:t xml:space="preserve">high </w:t>
      </w:r>
      <w:r w:rsidR="00F27FC4">
        <w:rPr>
          <w:rFonts w:ascii="Arial" w:hAnsi="Arial" w:cs="Arial"/>
          <w:sz w:val="20"/>
          <w:szCs w:val="20"/>
        </w:rPr>
        <w:t xml:space="preserve">prophylactic </w:t>
      </w:r>
      <w:r w:rsidR="00115DE2">
        <w:rPr>
          <w:rFonts w:ascii="Arial" w:hAnsi="Arial" w:cs="Arial"/>
          <w:sz w:val="20"/>
          <w:szCs w:val="20"/>
        </w:rPr>
        <w:t>dose for a</w:t>
      </w:r>
      <w:r w:rsidR="00B00F03">
        <w:rPr>
          <w:rFonts w:ascii="Arial" w:hAnsi="Arial" w:cs="Arial"/>
          <w:sz w:val="20"/>
          <w:szCs w:val="20"/>
        </w:rPr>
        <w:t xml:space="preserve"> standard </w:t>
      </w:r>
      <w:r w:rsidR="00115DE2">
        <w:rPr>
          <w:rFonts w:ascii="Arial" w:hAnsi="Arial" w:cs="Arial"/>
          <w:sz w:val="20"/>
          <w:szCs w:val="20"/>
        </w:rPr>
        <w:t>duration</w:t>
      </w:r>
      <w:r>
        <w:rPr>
          <w:rFonts w:ascii="Arial" w:hAnsi="Arial" w:cs="Arial"/>
          <w:sz w:val="20"/>
          <w:szCs w:val="20"/>
        </w:rPr>
        <w:t xml:space="preserve"> (10 to 14 days)</w:t>
      </w:r>
      <w:r w:rsidR="00115DE2">
        <w:rPr>
          <w:rFonts w:ascii="Arial" w:hAnsi="Arial" w:cs="Arial"/>
          <w:sz w:val="20"/>
          <w:szCs w:val="20"/>
        </w:rPr>
        <w:t xml:space="preserve"> </w:t>
      </w:r>
      <w:r w:rsidR="003731D1">
        <w:rPr>
          <w:rFonts w:ascii="Arial" w:hAnsi="Arial" w:cs="Arial"/>
          <w:sz w:val="20"/>
          <w:szCs w:val="20"/>
        </w:rPr>
        <w:t>(RR=</w:t>
      </w:r>
      <w:r w:rsidR="003731D1" w:rsidRPr="003731D1">
        <w:rPr>
          <w:rFonts w:ascii="Arial" w:hAnsi="Arial" w:cs="Arial"/>
          <w:sz w:val="20"/>
          <w:szCs w:val="20"/>
        </w:rPr>
        <w:t>0.</w:t>
      </w:r>
      <w:r w:rsidR="00B00F03">
        <w:rPr>
          <w:rFonts w:ascii="Arial" w:hAnsi="Arial" w:cs="Arial"/>
          <w:sz w:val="20"/>
          <w:szCs w:val="20"/>
        </w:rPr>
        <w:t>18</w:t>
      </w:r>
      <w:r w:rsidR="00B00F03" w:rsidRPr="003731D1">
        <w:rPr>
          <w:rFonts w:ascii="Arial" w:hAnsi="Arial" w:cs="Arial"/>
          <w:sz w:val="20"/>
          <w:szCs w:val="20"/>
        </w:rPr>
        <w:t xml:space="preserve"> </w:t>
      </w:r>
      <w:r>
        <w:rPr>
          <w:rFonts w:ascii="Arial" w:hAnsi="Arial" w:cs="Arial"/>
          <w:sz w:val="20"/>
          <w:szCs w:val="20"/>
        </w:rPr>
        <w:t>[</w:t>
      </w:r>
      <w:r w:rsidR="003731D1" w:rsidRPr="003731D1">
        <w:rPr>
          <w:rFonts w:ascii="Arial" w:hAnsi="Arial" w:cs="Arial"/>
          <w:sz w:val="20"/>
          <w:szCs w:val="20"/>
        </w:rPr>
        <w:t>0.</w:t>
      </w:r>
      <w:r w:rsidR="00B00F03">
        <w:rPr>
          <w:rFonts w:ascii="Arial" w:hAnsi="Arial" w:cs="Arial"/>
          <w:sz w:val="20"/>
          <w:szCs w:val="20"/>
        </w:rPr>
        <w:t>10</w:t>
      </w:r>
      <w:r w:rsidR="00955F21">
        <w:rPr>
          <w:rFonts w:ascii="Arial" w:hAnsi="Arial" w:cs="Arial"/>
          <w:sz w:val="20"/>
          <w:szCs w:val="20"/>
        </w:rPr>
        <w:t xml:space="preserve"> to</w:t>
      </w:r>
      <w:r w:rsidR="003731D1" w:rsidRPr="003731D1">
        <w:rPr>
          <w:rFonts w:ascii="Arial" w:hAnsi="Arial" w:cs="Arial"/>
          <w:sz w:val="20"/>
          <w:szCs w:val="20"/>
        </w:rPr>
        <w:t xml:space="preserve"> 0.</w:t>
      </w:r>
      <w:r w:rsidR="00B00F03">
        <w:rPr>
          <w:rFonts w:ascii="Arial" w:hAnsi="Arial" w:cs="Arial"/>
          <w:sz w:val="20"/>
          <w:szCs w:val="20"/>
        </w:rPr>
        <w:t>30</w:t>
      </w:r>
      <w:r>
        <w:rPr>
          <w:rFonts w:ascii="Arial" w:hAnsi="Arial" w:cs="Arial"/>
          <w:sz w:val="20"/>
          <w:szCs w:val="20"/>
        </w:rPr>
        <w:t>]</w:t>
      </w:r>
      <w:r w:rsidR="003731D1">
        <w:rPr>
          <w:rFonts w:ascii="Arial" w:hAnsi="Arial" w:cs="Arial"/>
          <w:sz w:val="20"/>
          <w:szCs w:val="20"/>
        </w:rPr>
        <w:t>)</w:t>
      </w:r>
      <w:r w:rsidR="00115DE2">
        <w:rPr>
          <w:rFonts w:ascii="Arial" w:hAnsi="Arial" w:cs="Arial"/>
          <w:sz w:val="20"/>
          <w:szCs w:val="20"/>
        </w:rPr>
        <w:t>.</w:t>
      </w:r>
      <w:r w:rsidR="0088710D">
        <w:rPr>
          <w:rFonts w:ascii="Arial" w:hAnsi="Arial" w:cs="Arial"/>
          <w:sz w:val="20"/>
          <w:szCs w:val="20"/>
        </w:rPr>
        <w:t xml:space="preserve"> </w:t>
      </w:r>
      <w:r w:rsidR="005050FF">
        <w:rPr>
          <w:rFonts w:ascii="Arial" w:hAnsi="Arial" w:cs="Arial"/>
          <w:sz w:val="20"/>
          <w:szCs w:val="20"/>
        </w:rPr>
        <w:t>N</w:t>
      </w:r>
      <w:r w:rsidR="0088710D">
        <w:rPr>
          <w:rFonts w:ascii="Arial" w:hAnsi="Arial" w:cs="Arial"/>
          <w:sz w:val="20"/>
          <w:szCs w:val="20"/>
        </w:rPr>
        <w:t>o prophylaxis</w:t>
      </w:r>
      <w:r w:rsidR="005050FF">
        <w:rPr>
          <w:rFonts w:ascii="Arial" w:hAnsi="Arial" w:cs="Arial"/>
          <w:sz w:val="20"/>
          <w:szCs w:val="20"/>
        </w:rPr>
        <w:t xml:space="preserve"> </w:t>
      </w:r>
      <w:r>
        <w:rPr>
          <w:rFonts w:ascii="Arial" w:hAnsi="Arial" w:cs="Arial"/>
          <w:sz w:val="20"/>
          <w:szCs w:val="20"/>
        </w:rPr>
        <w:t>ranked last</w:t>
      </w:r>
      <w:r w:rsidR="005653C8">
        <w:rPr>
          <w:rFonts w:ascii="Arial" w:hAnsi="Arial" w:cs="Arial"/>
          <w:sz w:val="20"/>
          <w:szCs w:val="20"/>
        </w:rPr>
        <w:t xml:space="preserve"> (</w:t>
      </w:r>
      <w:r w:rsidR="00C85FF9">
        <w:rPr>
          <w:rFonts w:ascii="Arial" w:hAnsi="Arial" w:cs="Arial"/>
          <w:sz w:val="20"/>
          <w:szCs w:val="20"/>
        </w:rPr>
        <w:t xml:space="preserve">median rank: 19; </w:t>
      </w:r>
      <w:r>
        <w:rPr>
          <w:rFonts w:ascii="Arial" w:hAnsi="Arial" w:cs="Arial"/>
          <w:sz w:val="20"/>
          <w:szCs w:val="20"/>
        </w:rPr>
        <w:t>[</w:t>
      </w:r>
      <w:r w:rsidR="00C85FF9">
        <w:rPr>
          <w:rFonts w:ascii="Arial" w:hAnsi="Arial" w:cs="Arial"/>
          <w:sz w:val="20"/>
          <w:szCs w:val="20"/>
        </w:rPr>
        <w:t>15</w:t>
      </w:r>
      <w:r>
        <w:rPr>
          <w:rFonts w:ascii="Arial" w:hAnsi="Arial" w:cs="Arial"/>
          <w:sz w:val="20"/>
          <w:szCs w:val="20"/>
        </w:rPr>
        <w:t xml:space="preserve"> to </w:t>
      </w:r>
      <w:r w:rsidR="00C85FF9">
        <w:rPr>
          <w:rFonts w:ascii="Arial" w:hAnsi="Arial" w:cs="Arial"/>
          <w:sz w:val="20"/>
          <w:szCs w:val="20"/>
        </w:rPr>
        <w:t>19</w:t>
      </w:r>
      <w:r>
        <w:rPr>
          <w:rFonts w:ascii="Arial" w:hAnsi="Arial" w:cs="Arial"/>
          <w:sz w:val="20"/>
          <w:szCs w:val="20"/>
        </w:rPr>
        <w:t>])</w:t>
      </w:r>
      <w:r w:rsidR="0066471B">
        <w:rPr>
          <w:rFonts w:ascii="Arial" w:hAnsi="Arial" w:cs="Arial"/>
          <w:sz w:val="20"/>
          <w:szCs w:val="20"/>
        </w:rPr>
        <w:t xml:space="preserve">. </w:t>
      </w:r>
      <w:r w:rsidR="001B24FD">
        <w:rPr>
          <w:rFonts w:ascii="Arial" w:hAnsi="Arial" w:cs="Arial"/>
          <w:sz w:val="20"/>
          <w:szCs w:val="20"/>
        </w:rPr>
        <w:t xml:space="preserve"> </w:t>
      </w:r>
      <w:r>
        <w:rPr>
          <w:rFonts w:ascii="Arial" w:hAnsi="Arial" w:cs="Arial"/>
          <w:sz w:val="20"/>
          <w:szCs w:val="20"/>
        </w:rPr>
        <w:t xml:space="preserve">The </w:t>
      </w:r>
      <w:r w:rsidR="00462E26">
        <w:rPr>
          <w:rFonts w:ascii="Arial" w:hAnsi="Arial" w:cs="Arial"/>
          <w:sz w:val="20"/>
          <w:szCs w:val="20"/>
        </w:rPr>
        <w:t xml:space="preserve">median </w:t>
      </w:r>
      <w:r>
        <w:rPr>
          <w:rFonts w:ascii="Arial" w:hAnsi="Arial" w:cs="Arial"/>
          <w:sz w:val="20"/>
          <w:szCs w:val="20"/>
        </w:rPr>
        <w:t>ranks of all interventions</w:t>
      </w:r>
      <w:r w:rsidR="0037552E">
        <w:rPr>
          <w:rFonts w:ascii="Arial" w:hAnsi="Arial" w:cs="Arial"/>
          <w:sz w:val="20"/>
          <w:szCs w:val="20"/>
        </w:rPr>
        <w:t xml:space="preserve"> </w:t>
      </w:r>
      <w:r w:rsidR="0066190F">
        <w:rPr>
          <w:rFonts w:ascii="Arial" w:hAnsi="Arial" w:cs="Arial"/>
          <w:sz w:val="20"/>
          <w:szCs w:val="20"/>
        </w:rPr>
        <w:t>are</w:t>
      </w:r>
      <w:r w:rsidR="0037552E">
        <w:rPr>
          <w:rFonts w:ascii="Arial" w:hAnsi="Arial" w:cs="Arial"/>
          <w:sz w:val="20"/>
          <w:szCs w:val="20"/>
        </w:rPr>
        <w:t xml:space="preserve"> presented </w:t>
      </w:r>
      <w:r w:rsidR="0037552E" w:rsidRPr="00EF1794">
        <w:rPr>
          <w:rFonts w:ascii="Arial" w:hAnsi="Arial" w:cs="Arial"/>
          <w:sz w:val="20"/>
          <w:szCs w:val="20"/>
        </w:rPr>
        <w:t>in Figure 2</w:t>
      </w:r>
      <w:r w:rsidR="00187394">
        <w:rPr>
          <w:rFonts w:ascii="Arial" w:hAnsi="Arial" w:cs="Arial"/>
          <w:sz w:val="20"/>
          <w:szCs w:val="20"/>
        </w:rPr>
        <w:t>a</w:t>
      </w:r>
      <w:r w:rsidR="006C0DD3" w:rsidRPr="00EF1794">
        <w:rPr>
          <w:rFonts w:ascii="Arial" w:hAnsi="Arial" w:cs="Arial"/>
          <w:sz w:val="20"/>
          <w:szCs w:val="20"/>
        </w:rPr>
        <w:t>.</w:t>
      </w:r>
    </w:p>
    <w:p w14:paraId="020BF7CD" w14:textId="24A9FF83" w:rsidR="00D52474" w:rsidRPr="00276783" w:rsidRDefault="00762CEC" w:rsidP="00276783">
      <w:pPr>
        <w:spacing w:line="480" w:lineRule="auto"/>
        <w:rPr>
          <w:rFonts w:ascii="Arial" w:hAnsi="Arial" w:cs="Arial"/>
          <w:sz w:val="20"/>
          <w:szCs w:val="20"/>
        </w:rPr>
      </w:pPr>
      <w:r>
        <w:rPr>
          <w:rFonts w:ascii="Arial" w:hAnsi="Arial" w:cs="Arial"/>
          <w:sz w:val="20"/>
          <w:szCs w:val="20"/>
        </w:rPr>
        <w:t xml:space="preserve">The </w:t>
      </w:r>
      <w:r w:rsidR="007F612C">
        <w:rPr>
          <w:rFonts w:ascii="Arial" w:hAnsi="Arial" w:cs="Arial"/>
          <w:sz w:val="20"/>
          <w:szCs w:val="20"/>
        </w:rPr>
        <w:t>results</w:t>
      </w:r>
      <w:r>
        <w:rPr>
          <w:rFonts w:ascii="Arial" w:hAnsi="Arial" w:cs="Arial"/>
          <w:sz w:val="20"/>
          <w:szCs w:val="20"/>
        </w:rPr>
        <w:t xml:space="preserve"> </w:t>
      </w:r>
      <w:r w:rsidR="007F612C">
        <w:rPr>
          <w:rFonts w:ascii="Arial" w:hAnsi="Arial" w:cs="Arial"/>
          <w:sz w:val="20"/>
          <w:szCs w:val="20"/>
        </w:rPr>
        <w:t>of</w:t>
      </w:r>
      <w:r>
        <w:rPr>
          <w:rFonts w:ascii="Arial" w:hAnsi="Arial" w:cs="Arial"/>
          <w:sz w:val="20"/>
          <w:szCs w:val="20"/>
        </w:rPr>
        <w:t xml:space="preserve"> the pairw</w:t>
      </w:r>
      <w:r w:rsidR="000A089E">
        <w:rPr>
          <w:rFonts w:ascii="Arial" w:hAnsi="Arial" w:cs="Arial"/>
          <w:sz w:val="20"/>
          <w:szCs w:val="20"/>
        </w:rPr>
        <w:t>ise meta-analysis</w:t>
      </w:r>
      <w:r w:rsidR="007F612C">
        <w:rPr>
          <w:rFonts w:ascii="Arial" w:hAnsi="Arial" w:cs="Arial"/>
          <w:sz w:val="20"/>
          <w:szCs w:val="20"/>
        </w:rPr>
        <w:t>,</w:t>
      </w:r>
      <w:r w:rsidR="000A089E">
        <w:rPr>
          <w:rFonts w:ascii="Arial" w:hAnsi="Arial" w:cs="Arial"/>
          <w:sz w:val="20"/>
          <w:szCs w:val="20"/>
        </w:rPr>
        <w:t xml:space="preserve"> </w:t>
      </w:r>
      <w:r w:rsidR="007F612C">
        <w:rPr>
          <w:rFonts w:ascii="Arial" w:hAnsi="Arial" w:cs="Arial"/>
          <w:sz w:val="20"/>
          <w:szCs w:val="20"/>
        </w:rPr>
        <w:t>for all interventions compared to no prophylaxis, and the corresponding</w:t>
      </w:r>
      <w:r>
        <w:rPr>
          <w:rFonts w:ascii="Arial" w:hAnsi="Arial" w:cs="Arial"/>
          <w:sz w:val="20"/>
          <w:szCs w:val="20"/>
        </w:rPr>
        <w:t xml:space="preserve"> </w:t>
      </w:r>
      <w:r w:rsidR="00102BD9">
        <w:rPr>
          <w:rFonts w:ascii="Arial" w:hAnsi="Arial" w:cs="Arial"/>
          <w:sz w:val="20"/>
          <w:szCs w:val="20"/>
        </w:rPr>
        <w:t>network meta-ana</w:t>
      </w:r>
      <w:r w:rsidR="008B6357">
        <w:rPr>
          <w:rFonts w:ascii="Arial" w:hAnsi="Arial" w:cs="Arial"/>
          <w:sz w:val="20"/>
          <w:szCs w:val="20"/>
        </w:rPr>
        <w:t>lysi</w:t>
      </w:r>
      <w:r w:rsidR="00102BD9">
        <w:rPr>
          <w:rFonts w:ascii="Arial" w:hAnsi="Arial" w:cs="Arial"/>
          <w:sz w:val="20"/>
          <w:szCs w:val="20"/>
        </w:rPr>
        <w:t xml:space="preserve">s </w:t>
      </w:r>
      <w:r w:rsidR="007F612C">
        <w:rPr>
          <w:rFonts w:ascii="Arial" w:hAnsi="Arial" w:cs="Arial"/>
          <w:sz w:val="20"/>
          <w:szCs w:val="20"/>
        </w:rPr>
        <w:t>estimates</w:t>
      </w:r>
      <w:r>
        <w:rPr>
          <w:rFonts w:ascii="Arial" w:hAnsi="Arial" w:cs="Arial"/>
          <w:sz w:val="20"/>
          <w:szCs w:val="20"/>
        </w:rPr>
        <w:t xml:space="preserve"> </w:t>
      </w:r>
      <w:r w:rsidR="0082369B">
        <w:rPr>
          <w:rFonts w:ascii="Arial" w:hAnsi="Arial" w:cs="Arial"/>
          <w:sz w:val="20"/>
          <w:szCs w:val="20"/>
        </w:rPr>
        <w:t>are presented</w:t>
      </w:r>
      <w:r w:rsidR="004A7F67">
        <w:rPr>
          <w:rFonts w:ascii="Arial" w:hAnsi="Arial" w:cs="Arial"/>
          <w:sz w:val="20"/>
          <w:szCs w:val="20"/>
        </w:rPr>
        <w:t xml:space="preserve"> in Table </w:t>
      </w:r>
      <w:r w:rsidR="008B6357">
        <w:rPr>
          <w:rFonts w:ascii="Arial" w:hAnsi="Arial" w:cs="Arial"/>
          <w:sz w:val="20"/>
          <w:szCs w:val="20"/>
        </w:rPr>
        <w:t>1</w:t>
      </w:r>
      <w:r w:rsidR="004A7F67">
        <w:rPr>
          <w:rFonts w:ascii="Arial" w:hAnsi="Arial" w:cs="Arial"/>
          <w:sz w:val="20"/>
          <w:szCs w:val="20"/>
        </w:rPr>
        <w:t>.</w:t>
      </w:r>
      <w:r w:rsidR="00D90A06">
        <w:rPr>
          <w:rFonts w:ascii="Arial" w:hAnsi="Arial" w:cs="Arial"/>
          <w:sz w:val="20"/>
          <w:szCs w:val="20"/>
        </w:rPr>
        <w:t xml:space="preserve"> The </w:t>
      </w:r>
      <w:r w:rsidR="007F612C">
        <w:rPr>
          <w:rFonts w:ascii="Arial" w:hAnsi="Arial" w:cs="Arial"/>
          <w:sz w:val="20"/>
          <w:szCs w:val="20"/>
        </w:rPr>
        <w:t>relative efficacy estimates for</w:t>
      </w:r>
      <w:r w:rsidR="00D90A06">
        <w:rPr>
          <w:rFonts w:ascii="Arial" w:hAnsi="Arial" w:cs="Arial"/>
          <w:sz w:val="20"/>
          <w:szCs w:val="20"/>
        </w:rPr>
        <w:t xml:space="preserve"> all other pairwise comparisons </w:t>
      </w:r>
      <w:r w:rsidR="007F612C">
        <w:rPr>
          <w:rFonts w:ascii="Arial" w:hAnsi="Arial" w:cs="Arial"/>
          <w:sz w:val="20"/>
          <w:szCs w:val="20"/>
        </w:rPr>
        <w:t xml:space="preserve">in the network </w:t>
      </w:r>
      <w:r w:rsidR="00D90A06">
        <w:rPr>
          <w:rFonts w:ascii="Arial" w:hAnsi="Arial" w:cs="Arial"/>
          <w:sz w:val="20"/>
          <w:szCs w:val="20"/>
        </w:rPr>
        <w:t xml:space="preserve">are included in the </w:t>
      </w:r>
      <w:r w:rsidR="00C50E8A">
        <w:rPr>
          <w:rFonts w:ascii="Arial" w:hAnsi="Arial" w:cs="Arial"/>
          <w:sz w:val="20"/>
          <w:szCs w:val="20"/>
        </w:rPr>
        <w:t>appendix</w:t>
      </w:r>
      <w:r w:rsidR="007F612C">
        <w:rPr>
          <w:rFonts w:ascii="Arial" w:hAnsi="Arial" w:cs="Arial"/>
          <w:sz w:val="20"/>
          <w:szCs w:val="20"/>
        </w:rPr>
        <w:t xml:space="preserve"> (</w:t>
      </w:r>
      <w:r w:rsidR="00D2483B">
        <w:rPr>
          <w:rFonts w:ascii="Arial" w:hAnsi="Arial" w:cs="Arial"/>
          <w:sz w:val="20"/>
          <w:szCs w:val="20"/>
        </w:rPr>
        <w:t>pages 27-36</w:t>
      </w:r>
      <w:r w:rsidR="007F612C">
        <w:rPr>
          <w:rFonts w:ascii="Arial" w:hAnsi="Arial" w:cs="Arial"/>
          <w:sz w:val="20"/>
          <w:szCs w:val="20"/>
        </w:rPr>
        <w:t>)</w:t>
      </w:r>
      <w:r w:rsidR="00D90A06">
        <w:rPr>
          <w:rFonts w:ascii="Arial" w:hAnsi="Arial" w:cs="Arial"/>
          <w:sz w:val="20"/>
          <w:szCs w:val="20"/>
        </w:rPr>
        <w:t>.</w:t>
      </w:r>
    </w:p>
    <w:p w14:paraId="3431CD10" w14:textId="26048AA8" w:rsidR="00707DDA" w:rsidRDefault="00707DDA" w:rsidP="006C0DD3">
      <w:pPr>
        <w:spacing w:line="480" w:lineRule="auto"/>
        <w:rPr>
          <w:rFonts w:ascii="Arial" w:hAnsi="Arial" w:cs="Arial"/>
          <w:b/>
          <w:sz w:val="20"/>
          <w:szCs w:val="20"/>
          <w:highlight w:val="lightGray"/>
        </w:rPr>
      </w:pPr>
      <w:r>
        <w:rPr>
          <w:rFonts w:ascii="Arial" w:hAnsi="Arial" w:cs="Arial"/>
          <w:b/>
          <w:sz w:val="20"/>
          <w:szCs w:val="20"/>
          <w:highlight w:val="lightGray"/>
        </w:rPr>
        <w:t>Insert Figure 2</w:t>
      </w:r>
      <w:r w:rsidR="00D66E31">
        <w:rPr>
          <w:rFonts w:ascii="Arial" w:hAnsi="Arial" w:cs="Arial"/>
          <w:b/>
          <w:sz w:val="20"/>
          <w:szCs w:val="20"/>
          <w:highlight w:val="lightGray"/>
        </w:rPr>
        <w:t xml:space="preserve"> (a-c)</w:t>
      </w:r>
      <w:r>
        <w:rPr>
          <w:rFonts w:ascii="Arial" w:hAnsi="Arial" w:cs="Arial"/>
          <w:b/>
          <w:sz w:val="20"/>
          <w:szCs w:val="20"/>
          <w:highlight w:val="lightGray"/>
        </w:rPr>
        <w:t xml:space="preserve"> here</w:t>
      </w:r>
    </w:p>
    <w:p w14:paraId="43E7AC0A" w14:textId="28BBFA3E" w:rsidR="000C7084" w:rsidRDefault="00D52474" w:rsidP="0052085B">
      <w:pPr>
        <w:spacing w:line="480" w:lineRule="auto"/>
        <w:rPr>
          <w:rFonts w:ascii="Arial" w:hAnsi="Arial" w:cs="Arial"/>
          <w:b/>
          <w:i/>
          <w:sz w:val="20"/>
          <w:szCs w:val="20"/>
        </w:rPr>
      </w:pPr>
      <w:r w:rsidRPr="00D52474">
        <w:rPr>
          <w:rFonts w:ascii="Arial" w:hAnsi="Arial" w:cs="Arial"/>
          <w:b/>
          <w:sz w:val="20"/>
          <w:szCs w:val="20"/>
          <w:highlight w:val="lightGray"/>
        </w:rPr>
        <w:t xml:space="preserve"> </w:t>
      </w:r>
      <w:r>
        <w:rPr>
          <w:rFonts w:ascii="Arial" w:hAnsi="Arial" w:cs="Arial"/>
          <w:b/>
          <w:sz w:val="20"/>
          <w:szCs w:val="20"/>
          <w:highlight w:val="lightGray"/>
        </w:rPr>
        <w:t xml:space="preserve">Insert Table </w:t>
      </w:r>
      <w:r w:rsidR="008B6357">
        <w:rPr>
          <w:rFonts w:ascii="Arial" w:hAnsi="Arial" w:cs="Arial"/>
          <w:b/>
          <w:sz w:val="20"/>
          <w:szCs w:val="20"/>
          <w:highlight w:val="lightGray"/>
        </w:rPr>
        <w:t xml:space="preserve">1 </w:t>
      </w:r>
      <w:r w:rsidRPr="00F268B5">
        <w:rPr>
          <w:rFonts w:ascii="Arial" w:hAnsi="Arial" w:cs="Arial"/>
          <w:b/>
          <w:sz w:val="20"/>
          <w:szCs w:val="20"/>
          <w:highlight w:val="lightGray"/>
        </w:rPr>
        <w:t>here</w:t>
      </w:r>
      <w:bookmarkEnd w:id="2"/>
    </w:p>
    <w:p w14:paraId="5C4F422C" w14:textId="043EFE35" w:rsidR="009A759F" w:rsidRDefault="0082369B" w:rsidP="00F268B5">
      <w:pPr>
        <w:spacing w:line="480" w:lineRule="auto"/>
        <w:rPr>
          <w:rFonts w:ascii="Arial" w:hAnsi="Arial" w:cs="Arial"/>
          <w:sz w:val="20"/>
          <w:szCs w:val="20"/>
        </w:rPr>
      </w:pPr>
      <w:r>
        <w:rPr>
          <w:rFonts w:ascii="Arial" w:hAnsi="Arial" w:cs="Arial"/>
          <w:sz w:val="20"/>
          <w:szCs w:val="20"/>
        </w:rPr>
        <w:t>Twelve</w:t>
      </w:r>
      <w:r w:rsidRPr="00A65159">
        <w:rPr>
          <w:rFonts w:ascii="Arial" w:hAnsi="Arial" w:cs="Arial"/>
          <w:sz w:val="20"/>
          <w:szCs w:val="20"/>
        </w:rPr>
        <w:t xml:space="preserve"> </w:t>
      </w:r>
      <w:r w:rsidR="00A65159" w:rsidRPr="00A65159">
        <w:rPr>
          <w:rFonts w:ascii="Arial" w:hAnsi="Arial" w:cs="Arial"/>
          <w:sz w:val="20"/>
          <w:szCs w:val="20"/>
        </w:rPr>
        <w:t>studies</w:t>
      </w:r>
      <w:r w:rsidR="00BD3C81">
        <w:rPr>
          <w:rFonts w:ascii="Arial" w:hAnsi="Arial" w:cs="Arial"/>
          <w:sz w:val="20"/>
          <w:szCs w:val="20"/>
        </w:rPr>
        <w:t xml:space="preserve"> (n=</w:t>
      </w:r>
      <w:r w:rsidR="00194B10">
        <w:rPr>
          <w:rFonts w:ascii="Arial" w:hAnsi="Arial" w:cs="Arial"/>
          <w:sz w:val="20"/>
          <w:szCs w:val="20"/>
        </w:rPr>
        <w:t>15,555</w:t>
      </w:r>
      <w:r w:rsidR="006E0398">
        <w:rPr>
          <w:rFonts w:ascii="Arial" w:hAnsi="Arial" w:cs="Arial"/>
          <w:sz w:val="20"/>
          <w:szCs w:val="20"/>
        </w:rPr>
        <w:t>)</w:t>
      </w:r>
      <w:r w:rsidR="007F612C">
        <w:rPr>
          <w:rFonts w:ascii="Arial" w:hAnsi="Arial" w:cs="Arial"/>
          <w:sz w:val="20"/>
          <w:szCs w:val="20"/>
        </w:rPr>
        <w:t>,</w:t>
      </w:r>
      <w:r w:rsidR="006E0398">
        <w:rPr>
          <w:rFonts w:ascii="Arial" w:hAnsi="Arial" w:cs="Arial"/>
          <w:sz w:val="20"/>
          <w:szCs w:val="20"/>
        </w:rPr>
        <w:t xml:space="preserve"> </w:t>
      </w:r>
      <w:r w:rsidR="007F612C">
        <w:rPr>
          <w:rFonts w:ascii="Arial" w:hAnsi="Arial" w:cs="Arial"/>
          <w:sz w:val="20"/>
          <w:szCs w:val="20"/>
        </w:rPr>
        <w:t>of</w:t>
      </w:r>
      <w:r w:rsidR="006E0398">
        <w:rPr>
          <w:rFonts w:ascii="Arial" w:hAnsi="Arial" w:cs="Arial"/>
          <w:sz w:val="20"/>
          <w:szCs w:val="20"/>
        </w:rPr>
        <w:t xml:space="preserve"> </w:t>
      </w:r>
      <w:r w:rsidR="00194B10">
        <w:rPr>
          <w:rFonts w:ascii="Arial" w:hAnsi="Arial" w:cs="Arial"/>
          <w:sz w:val="20"/>
          <w:szCs w:val="20"/>
        </w:rPr>
        <w:t>13</w:t>
      </w:r>
      <w:r w:rsidR="00194B10" w:rsidRPr="00A65159">
        <w:rPr>
          <w:rFonts w:ascii="Arial" w:hAnsi="Arial" w:cs="Arial"/>
          <w:sz w:val="20"/>
          <w:szCs w:val="20"/>
        </w:rPr>
        <w:t xml:space="preserve"> </w:t>
      </w:r>
      <w:r w:rsidR="00A65159" w:rsidRPr="00A65159">
        <w:rPr>
          <w:rFonts w:ascii="Arial" w:hAnsi="Arial" w:cs="Arial"/>
          <w:sz w:val="20"/>
          <w:szCs w:val="20"/>
        </w:rPr>
        <w:t>interventions</w:t>
      </w:r>
      <w:r w:rsidR="007F612C">
        <w:rPr>
          <w:rFonts w:ascii="Arial" w:hAnsi="Arial" w:cs="Arial"/>
          <w:sz w:val="20"/>
          <w:szCs w:val="20"/>
        </w:rPr>
        <w:t>,</w:t>
      </w:r>
      <w:r w:rsidR="00A65159" w:rsidRPr="00A65159">
        <w:rPr>
          <w:rFonts w:ascii="Arial" w:hAnsi="Arial" w:cs="Arial"/>
          <w:sz w:val="20"/>
          <w:szCs w:val="20"/>
        </w:rPr>
        <w:t xml:space="preserve"> were included in </w:t>
      </w:r>
      <w:r w:rsidR="005804AE">
        <w:rPr>
          <w:rFonts w:ascii="Arial" w:hAnsi="Arial" w:cs="Arial"/>
          <w:sz w:val="20"/>
          <w:szCs w:val="20"/>
        </w:rPr>
        <w:t>the PE network</w:t>
      </w:r>
      <w:r w:rsidR="00963A82">
        <w:rPr>
          <w:rFonts w:ascii="Arial" w:hAnsi="Arial" w:cs="Arial"/>
          <w:sz w:val="20"/>
          <w:szCs w:val="20"/>
        </w:rPr>
        <w:t xml:space="preserve"> (see appendix, page 19)</w:t>
      </w:r>
      <w:r w:rsidR="0046531B">
        <w:rPr>
          <w:rFonts w:ascii="Arial" w:hAnsi="Arial" w:cs="Arial"/>
          <w:sz w:val="20"/>
          <w:szCs w:val="20"/>
        </w:rPr>
        <w:t>.</w:t>
      </w:r>
      <w:r w:rsidR="006C75CC">
        <w:rPr>
          <w:rFonts w:ascii="Arial" w:hAnsi="Arial" w:cs="Arial"/>
          <w:sz w:val="20"/>
          <w:szCs w:val="20"/>
        </w:rPr>
        <w:t xml:space="preserve"> </w:t>
      </w:r>
      <w:r w:rsidR="009A759F" w:rsidRPr="00A53B40">
        <w:rPr>
          <w:rFonts w:ascii="Arial" w:hAnsi="Arial" w:cs="Arial"/>
          <w:sz w:val="20"/>
          <w:szCs w:val="20"/>
        </w:rPr>
        <w:t xml:space="preserve">The </w:t>
      </w:r>
      <w:r w:rsidR="009A759F">
        <w:rPr>
          <w:rFonts w:ascii="Arial" w:hAnsi="Arial" w:cs="Arial"/>
          <w:sz w:val="20"/>
          <w:szCs w:val="20"/>
        </w:rPr>
        <w:t>RE</w:t>
      </w:r>
      <w:r w:rsidR="009A759F" w:rsidRPr="00A53B40">
        <w:rPr>
          <w:rFonts w:ascii="Arial" w:hAnsi="Arial" w:cs="Arial"/>
          <w:sz w:val="20"/>
          <w:szCs w:val="20"/>
        </w:rPr>
        <w:t xml:space="preserve"> model had a DIC of </w:t>
      </w:r>
      <w:r w:rsidR="007835FE">
        <w:rPr>
          <w:rFonts w:ascii="Arial" w:hAnsi="Arial" w:cs="Arial"/>
          <w:sz w:val="20"/>
          <w:szCs w:val="20"/>
        </w:rPr>
        <w:t>125</w:t>
      </w:r>
      <w:r w:rsidR="002E1C67">
        <w:rPr>
          <w:rFonts w:ascii="Arial" w:hAnsi="Arial" w:cs="Arial"/>
          <w:sz w:val="20"/>
          <w:szCs w:val="20"/>
        </w:rPr>
        <w:t xml:space="preserve"> </w:t>
      </w:r>
      <w:r w:rsidR="002A0B06">
        <w:rPr>
          <w:rFonts w:ascii="Arial" w:hAnsi="Arial" w:cs="Arial"/>
          <w:sz w:val="20"/>
          <w:szCs w:val="20"/>
        </w:rPr>
        <w:t xml:space="preserve">and a </w:t>
      </w:r>
      <w:r w:rsidR="009A759F" w:rsidRPr="00A53B40">
        <w:rPr>
          <w:rFonts w:ascii="Arial" w:hAnsi="Arial" w:cs="Arial"/>
          <w:sz w:val="20"/>
          <w:szCs w:val="20"/>
        </w:rPr>
        <w:t xml:space="preserve">residual deviance of </w:t>
      </w:r>
      <w:r w:rsidR="007835FE">
        <w:rPr>
          <w:rFonts w:ascii="Arial" w:hAnsi="Arial" w:cs="Arial"/>
          <w:sz w:val="20"/>
          <w:szCs w:val="20"/>
        </w:rPr>
        <w:t>32</w:t>
      </w:r>
      <w:r>
        <w:rPr>
          <w:rFonts w:ascii="Arial" w:hAnsi="Arial" w:cs="Arial"/>
          <w:sz w:val="20"/>
          <w:szCs w:val="20"/>
        </w:rPr>
        <w:t xml:space="preserve">, </w:t>
      </w:r>
      <w:r w:rsidR="00B372F9">
        <w:rPr>
          <w:rFonts w:ascii="Arial" w:hAnsi="Arial" w:cs="Arial"/>
          <w:sz w:val="20"/>
          <w:szCs w:val="20"/>
        </w:rPr>
        <w:t>corresponding</w:t>
      </w:r>
      <w:r w:rsidR="009A759F" w:rsidRPr="00A53B40">
        <w:rPr>
          <w:rFonts w:ascii="Arial" w:hAnsi="Arial" w:cs="Arial"/>
          <w:sz w:val="20"/>
          <w:szCs w:val="20"/>
        </w:rPr>
        <w:t xml:space="preserve"> well to the total number of trial arms</w:t>
      </w:r>
      <w:r>
        <w:rPr>
          <w:rFonts w:ascii="Arial" w:hAnsi="Arial" w:cs="Arial"/>
          <w:sz w:val="20"/>
          <w:szCs w:val="20"/>
        </w:rPr>
        <w:t xml:space="preserve"> </w:t>
      </w:r>
      <w:r w:rsidR="002A0B06">
        <w:rPr>
          <w:rFonts w:ascii="Arial" w:hAnsi="Arial" w:cs="Arial"/>
          <w:sz w:val="20"/>
          <w:szCs w:val="20"/>
        </w:rPr>
        <w:t>(</w:t>
      </w:r>
      <w:r w:rsidR="007835FE">
        <w:rPr>
          <w:rFonts w:ascii="Arial" w:hAnsi="Arial" w:cs="Arial"/>
          <w:sz w:val="20"/>
          <w:szCs w:val="20"/>
        </w:rPr>
        <w:t>28</w:t>
      </w:r>
      <w:r w:rsidR="002A0B06">
        <w:rPr>
          <w:rFonts w:ascii="Arial" w:hAnsi="Arial" w:cs="Arial"/>
          <w:sz w:val="20"/>
          <w:szCs w:val="20"/>
        </w:rPr>
        <w:t>)</w:t>
      </w:r>
      <w:r w:rsidR="009A759F" w:rsidRPr="00A53B40">
        <w:rPr>
          <w:rFonts w:ascii="Arial" w:hAnsi="Arial" w:cs="Arial"/>
          <w:sz w:val="20"/>
          <w:szCs w:val="20"/>
        </w:rPr>
        <w:t>. The between</w:t>
      </w:r>
      <w:r w:rsidR="009A759F">
        <w:rPr>
          <w:rFonts w:ascii="Arial" w:hAnsi="Arial" w:cs="Arial"/>
          <w:sz w:val="20"/>
          <w:szCs w:val="20"/>
        </w:rPr>
        <w:t>-</w:t>
      </w:r>
      <w:r w:rsidR="009A759F" w:rsidRPr="00A53B40">
        <w:rPr>
          <w:rFonts w:ascii="Arial" w:hAnsi="Arial" w:cs="Arial"/>
          <w:sz w:val="20"/>
          <w:szCs w:val="20"/>
        </w:rPr>
        <w:t>trial standard deviation was 0.</w:t>
      </w:r>
      <w:r w:rsidR="007333F8">
        <w:rPr>
          <w:rFonts w:ascii="Arial" w:hAnsi="Arial" w:cs="Arial"/>
          <w:sz w:val="20"/>
          <w:szCs w:val="20"/>
        </w:rPr>
        <w:t>67</w:t>
      </w:r>
      <w:r w:rsidR="007333F8" w:rsidRPr="00A53B40">
        <w:rPr>
          <w:rFonts w:ascii="Arial" w:hAnsi="Arial" w:cs="Arial"/>
          <w:sz w:val="20"/>
          <w:szCs w:val="20"/>
        </w:rPr>
        <w:t xml:space="preserve"> </w:t>
      </w:r>
      <w:r w:rsidR="009A759F" w:rsidRPr="00A53B40">
        <w:rPr>
          <w:rFonts w:ascii="Arial" w:hAnsi="Arial" w:cs="Arial"/>
          <w:sz w:val="20"/>
          <w:szCs w:val="20"/>
        </w:rPr>
        <w:t>(0.</w:t>
      </w:r>
      <w:r w:rsidR="007333F8">
        <w:rPr>
          <w:rFonts w:ascii="Arial" w:hAnsi="Arial" w:cs="Arial"/>
          <w:sz w:val="20"/>
          <w:szCs w:val="20"/>
        </w:rPr>
        <w:t>18</w:t>
      </w:r>
      <w:r w:rsidR="007333F8" w:rsidRPr="00A53B40">
        <w:rPr>
          <w:rFonts w:ascii="Arial" w:hAnsi="Arial" w:cs="Arial"/>
          <w:sz w:val="20"/>
          <w:szCs w:val="20"/>
        </w:rPr>
        <w:t xml:space="preserve"> </w:t>
      </w:r>
      <w:r w:rsidR="009A759F" w:rsidRPr="00A53B40">
        <w:rPr>
          <w:rFonts w:ascii="Arial" w:hAnsi="Arial" w:cs="Arial"/>
          <w:sz w:val="20"/>
          <w:szCs w:val="20"/>
        </w:rPr>
        <w:t>to 1.</w:t>
      </w:r>
      <w:r w:rsidR="007333F8">
        <w:rPr>
          <w:rFonts w:ascii="Arial" w:hAnsi="Arial" w:cs="Arial"/>
          <w:sz w:val="20"/>
          <w:szCs w:val="20"/>
        </w:rPr>
        <w:t>98</w:t>
      </w:r>
      <w:r w:rsidR="009A759F" w:rsidRPr="00A53B40">
        <w:rPr>
          <w:rFonts w:ascii="Arial" w:hAnsi="Arial" w:cs="Arial"/>
          <w:sz w:val="20"/>
          <w:szCs w:val="20"/>
        </w:rPr>
        <w:t xml:space="preserve">). </w:t>
      </w:r>
    </w:p>
    <w:p w14:paraId="59C22404" w14:textId="25D5D344" w:rsidR="00F268B5" w:rsidRPr="001E7C25" w:rsidRDefault="00F268B5" w:rsidP="00F268B5">
      <w:pPr>
        <w:spacing w:line="480" w:lineRule="auto"/>
        <w:rPr>
          <w:rFonts w:ascii="Arial" w:hAnsi="Arial" w:cs="Arial"/>
          <w:sz w:val="20"/>
          <w:szCs w:val="20"/>
        </w:rPr>
      </w:pPr>
      <w:r w:rsidRPr="00F268B5">
        <w:rPr>
          <w:rFonts w:ascii="Arial" w:hAnsi="Arial" w:cs="Arial"/>
          <w:sz w:val="20"/>
          <w:szCs w:val="20"/>
        </w:rPr>
        <w:lastRenderedPageBreak/>
        <w:t>The to</w:t>
      </w:r>
      <w:r w:rsidR="00115DE2">
        <w:rPr>
          <w:rFonts w:ascii="Arial" w:hAnsi="Arial" w:cs="Arial"/>
          <w:sz w:val="20"/>
          <w:szCs w:val="20"/>
        </w:rPr>
        <w:t>p rank</w:t>
      </w:r>
      <w:r w:rsidR="004F343A">
        <w:rPr>
          <w:rFonts w:ascii="Arial" w:hAnsi="Arial" w:cs="Arial"/>
          <w:sz w:val="20"/>
          <w:szCs w:val="20"/>
        </w:rPr>
        <w:t xml:space="preserve">ed interventions </w:t>
      </w:r>
      <w:r w:rsidR="00790F13">
        <w:rPr>
          <w:rFonts w:ascii="Arial" w:hAnsi="Arial" w:cs="Arial"/>
          <w:sz w:val="20"/>
          <w:szCs w:val="20"/>
        </w:rPr>
        <w:t xml:space="preserve">in terms of median RR </w:t>
      </w:r>
      <w:r w:rsidR="004F343A">
        <w:rPr>
          <w:rFonts w:ascii="Arial" w:hAnsi="Arial" w:cs="Arial"/>
          <w:sz w:val="20"/>
          <w:szCs w:val="20"/>
        </w:rPr>
        <w:t>were LMWH a</w:t>
      </w:r>
      <w:r w:rsidR="00C91E23">
        <w:rPr>
          <w:rFonts w:ascii="Arial" w:hAnsi="Arial" w:cs="Arial"/>
          <w:sz w:val="20"/>
          <w:szCs w:val="20"/>
        </w:rPr>
        <w:t>t</w:t>
      </w:r>
      <w:r w:rsidR="004F343A">
        <w:rPr>
          <w:rFonts w:ascii="Arial" w:hAnsi="Arial" w:cs="Arial"/>
          <w:sz w:val="20"/>
          <w:szCs w:val="20"/>
        </w:rPr>
        <w:t xml:space="preserve"> standard </w:t>
      </w:r>
      <w:r w:rsidR="00F27FC4">
        <w:rPr>
          <w:rFonts w:ascii="Arial" w:hAnsi="Arial" w:cs="Arial"/>
          <w:sz w:val="20"/>
          <w:szCs w:val="20"/>
        </w:rPr>
        <w:t xml:space="preserve">prophylactic </w:t>
      </w:r>
      <w:r w:rsidR="004F343A">
        <w:rPr>
          <w:rFonts w:ascii="Arial" w:hAnsi="Arial" w:cs="Arial"/>
          <w:sz w:val="20"/>
          <w:szCs w:val="20"/>
        </w:rPr>
        <w:t>dose f</w:t>
      </w:r>
      <w:r w:rsidR="00722CA6">
        <w:rPr>
          <w:rFonts w:ascii="Arial" w:hAnsi="Arial" w:cs="Arial"/>
          <w:sz w:val="20"/>
          <w:szCs w:val="20"/>
        </w:rPr>
        <w:t xml:space="preserve">or an extended </w:t>
      </w:r>
      <w:r w:rsidR="007F612C">
        <w:rPr>
          <w:rFonts w:ascii="Arial" w:hAnsi="Arial" w:cs="Arial"/>
          <w:sz w:val="20"/>
          <w:szCs w:val="20"/>
        </w:rPr>
        <w:t>duration (28 to 35 days)</w:t>
      </w:r>
      <w:r w:rsidR="00722CA6">
        <w:rPr>
          <w:rFonts w:ascii="Arial" w:hAnsi="Arial" w:cs="Arial"/>
          <w:sz w:val="20"/>
          <w:szCs w:val="20"/>
        </w:rPr>
        <w:t xml:space="preserve"> </w:t>
      </w:r>
      <w:r w:rsidR="003731D1">
        <w:rPr>
          <w:rFonts w:ascii="Arial" w:hAnsi="Arial" w:cs="Arial"/>
          <w:sz w:val="20"/>
          <w:szCs w:val="20"/>
        </w:rPr>
        <w:t>(RR=</w:t>
      </w:r>
      <w:r w:rsidR="003731D1" w:rsidRPr="003731D1">
        <w:rPr>
          <w:rFonts w:ascii="Arial" w:hAnsi="Arial" w:cs="Arial"/>
          <w:sz w:val="20"/>
          <w:szCs w:val="20"/>
        </w:rPr>
        <w:t>0.</w:t>
      </w:r>
      <w:r w:rsidR="00722CA6" w:rsidRPr="003731D1">
        <w:rPr>
          <w:rFonts w:ascii="Arial" w:hAnsi="Arial" w:cs="Arial"/>
          <w:sz w:val="20"/>
          <w:szCs w:val="20"/>
        </w:rPr>
        <w:t>0</w:t>
      </w:r>
      <w:r w:rsidR="00722CA6">
        <w:rPr>
          <w:rFonts w:ascii="Arial" w:hAnsi="Arial" w:cs="Arial"/>
          <w:sz w:val="20"/>
          <w:szCs w:val="20"/>
        </w:rPr>
        <w:t>2</w:t>
      </w:r>
      <w:r w:rsidR="00722CA6" w:rsidRPr="003731D1">
        <w:rPr>
          <w:rFonts w:ascii="Arial" w:hAnsi="Arial" w:cs="Arial"/>
          <w:sz w:val="20"/>
          <w:szCs w:val="20"/>
        </w:rPr>
        <w:t xml:space="preserve"> </w:t>
      </w:r>
      <w:r w:rsidR="007F612C">
        <w:rPr>
          <w:rFonts w:ascii="Arial" w:hAnsi="Arial" w:cs="Arial"/>
          <w:sz w:val="20"/>
          <w:szCs w:val="20"/>
        </w:rPr>
        <w:t>[</w:t>
      </w:r>
      <w:r w:rsidR="008E710E">
        <w:rPr>
          <w:rFonts w:ascii="Arial" w:hAnsi="Arial" w:cs="Arial"/>
          <w:sz w:val="20"/>
          <w:szCs w:val="20"/>
        </w:rPr>
        <w:t>0.00 to</w:t>
      </w:r>
      <w:r w:rsidR="00BF4782">
        <w:rPr>
          <w:rFonts w:ascii="Arial" w:hAnsi="Arial" w:cs="Arial"/>
          <w:sz w:val="20"/>
          <w:szCs w:val="20"/>
        </w:rPr>
        <w:t xml:space="preserve"> </w:t>
      </w:r>
      <w:r w:rsidR="00722CA6">
        <w:rPr>
          <w:rFonts w:ascii="Arial" w:hAnsi="Arial" w:cs="Arial"/>
          <w:sz w:val="20"/>
          <w:szCs w:val="20"/>
        </w:rPr>
        <w:t>3.86</w:t>
      </w:r>
      <w:r w:rsidR="007F612C">
        <w:rPr>
          <w:rFonts w:ascii="Arial" w:hAnsi="Arial" w:cs="Arial"/>
          <w:sz w:val="20"/>
          <w:szCs w:val="20"/>
        </w:rPr>
        <w:t>]</w:t>
      </w:r>
      <w:r w:rsidR="003731D1">
        <w:rPr>
          <w:rFonts w:ascii="Arial" w:hAnsi="Arial" w:cs="Arial"/>
          <w:sz w:val="20"/>
          <w:szCs w:val="20"/>
        </w:rPr>
        <w:t>)</w:t>
      </w:r>
      <w:r w:rsidR="001A4713">
        <w:rPr>
          <w:rFonts w:ascii="Arial" w:hAnsi="Arial" w:cs="Arial"/>
          <w:sz w:val="20"/>
          <w:szCs w:val="20"/>
        </w:rPr>
        <w:t xml:space="preserve"> </w:t>
      </w:r>
      <w:r w:rsidR="004F343A">
        <w:rPr>
          <w:rFonts w:ascii="Arial" w:hAnsi="Arial" w:cs="Arial"/>
          <w:sz w:val="20"/>
          <w:szCs w:val="20"/>
        </w:rPr>
        <w:t xml:space="preserve">followed by </w:t>
      </w:r>
      <w:r w:rsidR="0031649C">
        <w:rPr>
          <w:rFonts w:ascii="Arial" w:hAnsi="Arial" w:cs="Arial"/>
          <w:sz w:val="20"/>
          <w:szCs w:val="20"/>
        </w:rPr>
        <w:t>rivaroxaban</w:t>
      </w:r>
      <w:r w:rsidR="004F343A">
        <w:rPr>
          <w:rFonts w:ascii="Arial" w:hAnsi="Arial" w:cs="Arial"/>
          <w:sz w:val="20"/>
          <w:szCs w:val="20"/>
        </w:rPr>
        <w:t xml:space="preserve"> </w:t>
      </w:r>
      <w:r w:rsidR="003731D1">
        <w:rPr>
          <w:rFonts w:ascii="Arial" w:hAnsi="Arial" w:cs="Arial"/>
          <w:sz w:val="20"/>
          <w:szCs w:val="20"/>
        </w:rPr>
        <w:t>(</w:t>
      </w:r>
      <w:r w:rsidR="004E60E6">
        <w:rPr>
          <w:rFonts w:ascii="Arial" w:hAnsi="Arial" w:cs="Arial"/>
          <w:sz w:val="20"/>
          <w:szCs w:val="20"/>
        </w:rPr>
        <w:t>RR=</w:t>
      </w:r>
      <w:r w:rsidR="008E710E">
        <w:rPr>
          <w:rFonts w:ascii="Arial" w:hAnsi="Arial" w:cs="Arial"/>
          <w:sz w:val="20"/>
          <w:szCs w:val="20"/>
        </w:rPr>
        <w:t>0.</w:t>
      </w:r>
      <w:r w:rsidR="0072151C">
        <w:rPr>
          <w:rFonts w:ascii="Arial" w:hAnsi="Arial" w:cs="Arial"/>
          <w:sz w:val="20"/>
          <w:szCs w:val="20"/>
        </w:rPr>
        <w:t xml:space="preserve">08 </w:t>
      </w:r>
      <w:r w:rsidR="007F612C">
        <w:rPr>
          <w:rFonts w:ascii="Arial" w:hAnsi="Arial" w:cs="Arial"/>
          <w:sz w:val="20"/>
          <w:szCs w:val="20"/>
        </w:rPr>
        <w:t>[</w:t>
      </w:r>
      <w:r w:rsidR="008E710E">
        <w:rPr>
          <w:rFonts w:ascii="Arial" w:hAnsi="Arial" w:cs="Arial"/>
          <w:sz w:val="20"/>
          <w:szCs w:val="20"/>
        </w:rPr>
        <w:t>0.00 to</w:t>
      </w:r>
      <w:r w:rsidR="003731D1" w:rsidRPr="003731D1">
        <w:rPr>
          <w:rFonts w:ascii="Arial" w:hAnsi="Arial" w:cs="Arial"/>
          <w:sz w:val="20"/>
          <w:szCs w:val="20"/>
        </w:rPr>
        <w:t xml:space="preserve"> </w:t>
      </w:r>
      <w:r w:rsidR="0072151C">
        <w:rPr>
          <w:rFonts w:ascii="Arial" w:hAnsi="Arial" w:cs="Arial"/>
          <w:sz w:val="20"/>
          <w:szCs w:val="20"/>
        </w:rPr>
        <w:t>6.65</w:t>
      </w:r>
      <w:r w:rsidR="007F612C">
        <w:rPr>
          <w:rFonts w:ascii="Arial" w:hAnsi="Arial" w:cs="Arial"/>
          <w:sz w:val="20"/>
          <w:szCs w:val="20"/>
        </w:rPr>
        <w:t>]</w:t>
      </w:r>
      <w:r w:rsidR="003731D1">
        <w:rPr>
          <w:rFonts w:ascii="Arial" w:hAnsi="Arial" w:cs="Arial"/>
          <w:sz w:val="20"/>
          <w:szCs w:val="20"/>
        </w:rPr>
        <w:t xml:space="preserve">) </w:t>
      </w:r>
      <w:r w:rsidR="004F343A">
        <w:rPr>
          <w:rFonts w:ascii="Arial" w:hAnsi="Arial" w:cs="Arial"/>
          <w:sz w:val="20"/>
          <w:szCs w:val="20"/>
        </w:rPr>
        <w:t xml:space="preserve">and </w:t>
      </w:r>
      <w:r w:rsidR="00221A69">
        <w:rPr>
          <w:rFonts w:ascii="Arial" w:hAnsi="Arial" w:cs="Arial"/>
          <w:sz w:val="20"/>
          <w:szCs w:val="20"/>
        </w:rPr>
        <w:t>IPCD</w:t>
      </w:r>
      <w:r w:rsidR="0031649C">
        <w:rPr>
          <w:rFonts w:ascii="Arial" w:hAnsi="Arial" w:cs="Arial"/>
          <w:sz w:val="20"/>
          <w:szCs w:val="20"/>
        </w:rPr>
        <w:t xml:space="preserve"> (length unspecified) </w:t>
      </w:r>
      <w:r w:rsidR="004E60E6">
        <w:rPr>
          <w:rFonts w:ascii="Arial" w:hAnsi="Arial" w:cs="Arial"/>
          <w:sz w:val="20"/>
          <w:szCs w:val="20"/>
        </w:rPr>
        <w:t>(RR=</w:t>
      </w:r>
      <w:r w:rsidR="008E710E">
        <w:rPr>
          <w:rFonts w:ascii="Arial" w:hAnsi="Arial" w:cs="Arial"/>
          <w:sz w:val="20"/>
          <w:szCs w:val="20"/>
        </w:rPr>
        <w:t>0.</w:t>
      </w:r>
      <w:r w:rsidR="0072151C">
        <w:rPr>
          <w:rFonts w:ascii="Arial" w:hAnsi="Arial" w:cs="Arial"/>
          <w:sz w:val="20"/>
          <w:szCs w:val="20"/>
        </w:rPr>
        <w:t xml:space="preserve">20 </w:t>
      </w:r>
      <w:r w:rsidR="007F612C">
        <w:rPr>
          <w:rFonts w:ascii="Arial" w:hAnsi="Arial" w:cs="Arial"/>
          <w:sz w:val="20"/>
          <w:szCs w:val="20"/>
        </w:rPr>
        <w:t>[</w:t>
      </w:r>
      <w:r w:rsidR="008E710E">
        <w:rPr>
          <w:rFonts w:ascii="Arial" w:hAnsi="Arial" w:cs="Arial"/>
          <w:sz w:val="20"/>
          <w:szCs w:val="20"/>
        </w:rPr>
        <w:t>0.00 to</w:t>
      </w:r>
      <w:r w:rsidR="004E60E6" w:rsidRPr="004E60E6">
        <w:rPr>
          <w:rFonts w:ascii="Arial" w:hAnsi="Arial" w:cs="Arial"/>
          <w:sz w:val="20"/>
          <w:szCs w:val="20"/>
        </w:rPr>
        <w:t xml:space="preserve"> </w:t>
      </w:r>
      <w:r w:rsidR="0072151C">
        <w:rPr>
          <w:rFonts w:ascii="Arial" w:hAnsi="Arial" w:cs="Arial"/>
          <w:sz w:val="20"/>
          <w:szCs w:val="20"/>
        </w:rPr>
        <w:t>8.53</w:t>
      </w:r>
      <w:r w:rsidR="007F612C">
        <w:rPr>
          <w:rFonts w:ascii="Arial" w:hAnsi="Arial" w:cs="Arial"/>
          <w:sz w:val="20"/>
          <w:szCs w:val="20"/>
        </w:rPr>
        <w:t>]</w:t>
      </w:r>
      <w:r w:rsidR="004E60E6">
        <w:rPr>
          <w:rFonts w:ascii="Arial" w:hAnsi="Arial" w:cs="Arial"/>
          <w:sz w:val="20"/>
          <w:szCs w:val="20"/>
        </w:rPr>
        <w:t>)</w:t>
      </w:r>
      <w:r w:rsidR="0046531B">
        <w:rPr>
          <w:rFonts w:ascii="Arial" w:hAnsi="Arial" w:cs="Arial"/>
          <w:sz w:val="20"/>
          <w:szCs w:val="20"/>
        </w:rPr>
        <w:t xml:space="preserve"> </w:t>
      </w:r>
      <w:r w:rsidR="00B83FFC">
        <w:rPr>
          <w:rFonts w:ascii="Arial" w:hAnsi="Arial" w:cs="Arial"/>
          <w:sz w:val="20"/>
          <w:szCs w:val="20"/>
        </w:rPr>
        <w:t xml:space="preserve">(see </w:t>
      </w:r>
      <w:r w:rsidR="00D10B84">
        <w:rPr>
          <w:rFonts w:ascii="Arial" w:hAnsi="Arial" w:cs="Arial"/>
          <w:sz w:val="20"/>
          <w:szCs w:val="20"/>
        </w:rPr>
        <w:t>Figure 2</w:t>
      </w:r>
      <w:r w:rsidR="00187394">
        <w:rPr>
          <w:rFonts w:ascii="Arial" w:hAnsi="Arial" w:cs="Arial"/>
          <w:sz w:val="20"/>
          <w:szCs w:val="20"/>
        </w:rPr>
        <w:t>b</w:t>
      </w:r>
      <w:r w:rsidR="0046531B">
        <w:rPr>
          <w:rFonts w:ascii="Arial" w:hAnsi="Arial" w:cs="Arial"/>
          <w:sz w:val="20"/>
          <w:szCs w:val="20"/>
        </w:rPr>
        <w:t>)</w:t>
      </w:r>
      <w:r w:rsidR="004F343A">
        <w:rPr>
          <w:rFonts w:ascii="Arial" w:hAnsi="Arial" w:cs="Arial"/>
          <w:sz w:val="20"/>
          <w:szCs w:val="20"/>
        </w:rPr>
        <w:t xml:space="preserve">. </w:t>
      </w:r>
      <w:r w:rsidR="00AA6687">
        <w:rPr>
          <w:rFonts w:ascii="Arial" w:hAnsi="Arial" w:cs="Arial"/>
          <w:sz w:val="20"/>
          <w:szCs w:val="20"/>
        </w:rPr>
        <w:t>UFH</w:t>
      </w:r>
      <w:r w:rsidR="00A02984">
        <w:rPr>
          <w:rFonts w:ascii="Arial" w:hAnsi="Arial" w:cs="Arial"/>
          <w:sz w:val="20"/>
          <w:szCs w:val="20"/>
        </w:rPr>
        <w:t xml:space="preserve"> had the lowest median rank </w:t>
      </w:r>
      <w:r w:rsidR="007F612C">
        <w:rPr>
          <w:rFonts w:ascii="Arial" w:hAnsi="Arial" w:cs="Arial"/>
          <w:sz w:val="20"/>
          <w:szCs w:val="20"/>
        </w:rPr>
        <w:t>(</w:t>
      </w:r>
      <w:r w:rsidR="003B6CCD">
        <w:rPr>
          <w:rFonts w:ascii="Arial" w:hAnsi="Arial" w:cs="Arial"/>
          <w:sz w:val="20"/>
          <w:szCs w:val="20"/>
        </w:rPr>
        <w:t>11</w:t>
      </w:r>
      <w:r w:rsidR="00A02984">
        <w:rPr>
          <w:rFonts w:ascii="Arial" w:hAnsi="Arial" w:cs="Arial"/>
          <w:sz w:val="20"/>
          <w:szCs w:val="20"/>
        </w:rPr>
        <w:t xml:space="preserve">.0 </w:t>
      </w:r>
      <w:r w:rsidR="007F612C">
        <w:rPr>
          <w:rFonts w:ascii="Arial" w:hAnsi="Arial" w:cs="Arial"/>
          <w:sz w:val="20"/>
          <w:szCs w:val="20"/>
        </w:rPr>
        <w:t>[</w:t>
      </w:r>
      <w:r w:rsidR="003B6CCD">
        <w:rPr>
          <w:rFonts w:ascii="Arial" w:hAnsi="Arial" w:cs="Arial"/>
          <w:sz w:val="20"/>
          <w:szCs w:val="20"/>
        </w:rPr>
        <w:t>2-13</w:t>
      </w:r>
      <w:r w:rsidR="007F612C">
        <w:rPr>
          <w:rFonts w:ascii="Arial" w:hAnsi="Arial" w:cs="Arial"/>
          <w:sz w:val="20"/>
          <w:szCs w:val="20"/>
        </w:rPr>
        <w:t>])</w:t>
      </w:r>
      <w:r w:rsidR="00A02984">
        <w:rPr>
          <w:rFonts w:ascii="Arial" w:hAnsi="Arial" w:cs="Arial"/>
          <w:sz w:val="20"/>
          <w:szCs w:val="20"/>
        </w:rPr>
        <w:t xml:space="preserve">, </w:t>
      </w:r>
      <w:r w:rsidR="00C91E33">
        <w:rPr>
          <w:rFonts w:ascii="Arial" w:hAnsi="Arial" w:cs="Arial"/>
          <w:sz w:val="20"/>
          <w:szCs w:val="20"/>
        </w:rPr>
        <w:t xml:space="preserve">while </w:t>
      </w:r>
      <w:r w:rsidR="00A02984">
        <w:rPr>
          <w:rFonts w:ascii="Arial" w:hAnsi="Arial" w:cs="Arial"/>
          <w:sz w:val="20"/>
          <w:szCs w:val="20"/>
        </w:rPr>
        <w:t>no prophylaxis</w:t>
      </w:r>
      <w:r w:rsidR="00C91E33">
        <w:rPr>
          <w:rFonts w:ascii="Arial" w:hAnsi="Arial" w:cs="Arial"/>
          <w:sz w:val="20"/>
          <w:szCs w:val="20"/>
        </w:rPr>
        <w:t xml:space="preserve"> had a median rank of </w:t>
      </w:r>
      <w:r w:rsidR="003B6CCD">
        <w:rPr>
          <w:rFonts w:ascii="Arial" w:hAnsi="Arial" w:cs="Arial"/>
          <w:sz w:val="20"/>
          <w:szCs w:val="20"/>
        </w:rPr>
        <w:t>10</w:t>
      </w:r>
      <w:r w:rsidR="00A02984">
        <w:rPr>
          <w:rFonts w:ascii="Arial" w:hAnsi="Arial" w:cs="Arial"/>
          <w:sz w:val="20"/>
          <w:szCs w:val="20"/>
        </w:rPr>
        <w:t>.0</w:t>
      </w:r>
      <w:r w:rsidR="00C91E33">
        <w:rPr>
          <w:rFonts w:ascii="Arial" w:hAnsi="Arial" w:cs="Arial"/>
          <w:sz w:val="20"/>
          <w:szCs w:val="20"/>
        </w:rPr>
        <w:t xml:space="preserve"> </w:t>
      </w:r>
      <w:r w:rsidR="007F612C">
        <w:rPr>
          <w:rFonts w:ascii="Arial" w:hAnsi="Arial" w:cs="Arial"/>
          <w:sz w:val="20"/>
          <w:szCs w:val="20"/>
        </w:rPr>
        <w:t xml:space="preserve">[2 to </w:t>
      </w:r>
      <w:r w:rsidR="003B6CCD">
        <w:rPr>
          <w:rFonts w:ascii="Arial" w:hAnsi="Arial" w:cs="Arial"/>
          <w:sz w:val="20"/>
          <w:szCs w:val="20"/>
        </w:rPr>
        <w:t>13</w:t>
      </w:r>
      <w:r w:rsidR="007F612C">
        <w:rPr>
          <w:rFonts w:ascii="Arial" w:hAnsi="Arial" w:cs="Arial"/>
          <w:sz w:val="20"/>
          <w:szCs w:val="20"/>
        </w:rPr>
        <w:t>]</w:t>
      </w:r>
      <w:r w:rsidR="00A02984">
        <w:rPr>
          <w:rFonts w:ascii="Arial" w:hAnsi="Arial" w:cs="Arial"/>
          <w:sz w:val="20"/>
          <w:szCs w:val="20"/>
        </w:rPr>
        <w:t xml:space="preserve">. </w:t>
      </w:r>
    </w:p>
    <w:p w14:paraId="3A8584D6" w14:textId="5B34E203" w:rsidR="002163EF" w:rsidRPr="0007660E" w:rsidRDefault="007F612C" w:rsidP="0052085B">
      <w:pPr>
        <w:spacing w:line="480" w:lineRule="auto"/>
        <w:rPr>
          <w:rFonts w:ascii="Arial" w:hAnsi="Arial" w:cs="Arial"/>
          <w:sz w:val="20"/>
          <w:szCs w:val="20"/>
        </w:rPr>
      </w:pPr>
      <w:r>
        <w:rPr>
          <w:rFonts w:ascii="Arial" w:hAnsi="Arial" w:cs="Arial"/>
          <w:sz w:val="20"/>
          <w:szCs w:val="20"/>
        </w:rPr>
        <w:t xml:space="preserve">The results of the pairwise meta-analysis, for all interventions compared to no prophylaxis, and the corresponding </w:t>
      </w:r>
      <w:r w:rsidR="00102BD9">
        <w:rPr>
          <w:rFonts w:ascii="Arial" w:hAnsi="Arial" w:cs="Arial"/>
          <w:sz w:val="20"/>
          <w:szCs w:val="20"/>
        </w:rPr>
        <w:t>network meta-</w:t>
      </w:r>
      <w:r w:rsidR="008B6357">
        <w:rPr>
          <w:rFonts w:ascii="Arial" w:hAnsi="Arial" w:cs="Arial"/>
          <w:sz w:val="20"/>
          <w:szCs w:val="20"/>
        </w:rPr>
        <w:t>analysis</w:t>
      </w:r>
      <w:r w:rsidR="00102BD9">
        <w:rPr>
          <w:rFonts w:ascii="Arial" w:hAnsi="Arial" w:cs="Arial"/>
          <w:sz w:val="20"/>
          <w:szCs w:val="20"/>
        </w:rPr>
        <w:t xml:space="preserve"> </w:t>
      </w:r>
      <w:r>
        <w:rPr>
          <w:rFonts w:ascii="Arial" w:hAnsi="Arial" w:cs="Arial"/>
          <w:sz w:val="20"/>
          <w:szCs w:val="20"/>
        </w:rPr>
        <w:t xml:space="preserve">estimates are presented </w:t>
      </w:r>
      <w:r w:rsidR="00341A4C">
        <w:rPr>
          <w:rFonts w:ascii="Arial" w:hAnsi="Arial" w:cs="Arial"/>
          <w:sz w:val="20"/>
          <w:szCs w:val="20"/>
        </w:rPr>
        <w:t xml:space="preserve">in Table </w:t>
      </w:r>
      <w:r w:rsidR="008B6357">
        <w:rPr>
          <w:rFonts w:ascii="Arial" w:hAnsi="Arial" w:cs="Arial"/>
          <w:sz w:val="20"/>
          <w:szCs w:val="20"/>
        </w:rPr>
        <w:t>2</w:t>
      </w:r>
      <w:r w:rsidR="00B83FFC" w:rsidRPr="00B83FFC">
        <w:rPr>
          <w:rFonts w:ascii="Arial" w:hAnsi="Arial" w:cs="Arial"/>
          <w:sz w:val="20"/>
          <w:szCs w:val="20"/>
        </w:rPr>
        <w:t xml:space="preserve">. </w:t>
      </w:r>
      <w:r w:rsidR="00462E26">
        <w:rPr>
          <w:rFonts w:ascii="Arial" w:hAnsi="Arial" w:cs="Arial"/>
          <w:sz w:val="20"/>
          <w:szCs w:val="20"/>
        </w:rPr>
        <w:t xml:space="preserve">The median ranks of all interventions </w:t>
      </w:r>
      <w:r w:rsidR="0066190F" w:rsidRPr="0066190F">
        <w:rPr>
          <w:rFonts w:ascii="Arial" w:hAnsi="Arial" w:cs="Arial"/>
          <w:sz w:val="20"/>
          <w:szCs w:val="20"/>
        </w:rPr>
        <w:t xml:space="preserve">are presented in Figure </w:t>
      </w:r>
      <w:r w:rsidR="001A4713" w:rsidRPr="00EF1794">
        <w:rPr>
          <w:rFonts w:ascii="Arial" w:hAnsi="Arial" w:cs="Arial"/>
          <w:sz w:val="20"/>
          <w:szCs w:val="20"/>
        </w:rPr>
        <w:t>2</w:t>
      </w:r>
      <w:r w:rsidR="0066190F">
        <w:rPr>
          <w:rFonts w:ascii="Arial" w:hAnsi="Arial" w:cs="Arial"/>
          <w:sz w:val="20"/>
          <w:szCs w:val="20"/>
        </w:rPr>
        <w:t>b</w:t>
      </w:r>
      <w:r w:rsidR="001A4713" w:rsidRPr="00EF1794">
        <w:rPr>
          <w:rFonts w:ascii="Arial" w:hAnsi="Arial" w:cs="Arial"/>
          <w:sz w:val="20"/>
          <w:szCs w:val="20"/>
        </w:rPr>
        <w:t>.</w:t>
      </w:r>
      <w:r w:rsidR="001A4713">
        <w:rPr>
          <w:rFonts w:ascii="Arial" w:hAnsi="Arial" w:cs="Arial"/>
          <w:sz w:val="20"/>
          <w:szCs w:val="20"/>
        </w:rPr>
        <w:t xml:space="preserve"> </w:t>
      </w:r>
    </w:p>
    <w:p w14:paraId="2337356F" w14:textId="16CF6DD3" w:rsidR="00B83FFC" w:rsidRPr="00F268B5" w:rsidRDefault="00B83FFC" w:rsidP="00B83FFC">
      <w:pPr>
        <w:spacing w:line="480" w:lineRule="auto"/>
        <w:rPr>
          <w:rFonts w:ascii="Arial" w:hAnsi="Arial" w:cs="Arial"/>
          <w:b/>
          <w:sz w:val="20"/>
          <w:szCs w:val="20"/>
        </w:rPr>
      </w:pPr>
      <w:r>
        <w:rPr>
          <w:rFonts w:ascii="Arial" w:hAnsi="Arial" w:cs="Arial"/>
          <w:b/>
          <w:sz w:val="20"/>
          <w:szCs w:val="20"/>
          <w:highlight w:val="lightGray"/>
        </w:rPr>
        <w:t xml:space="preserve">Insert Table </w:t>
      </w:r>
      <w:r w:rsidR="008B6357">
        <w:rPr>
          <w:rFonts w:ascii="Arial" w:hAnsi="Arial" w:cs="Arial"/>
          <w:b/>
          <w:sz w:val="20"/>
          <w:szCs w:val="20"/>
          <w:highlight w:val="lightGray"/>
        </w:rPr>
        <w:t xml:space="preserve">2 </w:t>
      </w:r>
      <w:r w:rsidRPr="00F268B5">
        <w:rPr>
          <w:rFonts w:ascii="Arial" w:hAnsi="Arial" w:cs="Arial"/>
          <w:b/>
          <w:sz w:val="20"/>
          <w:szCs w:val="20"/>
          <w:highlight w:val="lightGray"/>
        </w:rPr>
        <w:t>here</w:t>
      </w:r>
    </w:p>
    <w:p w14:paraId="11F678E0" w14:textId="311CF255" w:rsidR="009A759F" w:rsidRDefault="0082369B" w:rsidP="00341A4C">
      <w:pPr>
        <w:spacing w:line="480" w:lineRule="auto"/>
        <w:rPr>
          <w:rFonts w:ascii="Arial" w:hAnsi="Arial" w:cs="Arial"/>
          <w:sz w:val="20"/>
          <w:szCs w:val="20"/>
        </w:rPr>
      </w:pPr>
      <w:r>
        <w:rPr>
          <w:rFonts w:ascii="Arial" w:hAnsi="Arial" w:cs="Arial"/>
          <w:sz w:val="20"/>
          <w:szCs w:val="20"/>
        </w:rPr>
        <w:t>Nineteen</w:t>
      </w:r>
      <w:r w:rsidRPr="00AC1BD1">
        <w:rPr>
          <w:rFonts w:ascii="Arial" w:hAnsi="Arial" w:cs="Arial"/>
          <w:sz w:val="20"/>
          <w:szCs w:val="20"/>
        </w:rPr>
        <w:t xml:space="preserve"> </w:t>
      </w:r>
      <w:r w:rsidR="00AC1BD1" w:rsidRPr="00AC1BD1">
        <w:rPr>
          <w:rFonts w:ascii="Arial" w:hAnsi="Arial" w:cs="Arial"/>
          <w:sz w:val="20"/>
          <w:szCs w:val="20"/>
        </w:rPr>
        <w:t>studies</w:t>
      </w:r>
      <w:r w:rsidR="00C91E33">
        <w:rPr>
          <w:rFonts w:ascii="Arial" w:hAnsi="Arial" w:cs="Arial"/>
          <w:sz w:val="20"/>
          <w:szCs w:val="20"/>
        </w:rPr>
        <w:t xml:space="preserve"> (n=</w:t>
      </w:r>
      <w:r w:rsidR="00AC2B85">
        <w:rPr>
          <w:rFonts w:ascii="Arial" w:hAnsi="Arial" w:cs="Arial"/>
          <w:sz w:val="20"/>
          <w:szCs w:val="20"/>
        </w:rPr>
        <w:t>19,797</w:t>
      </w:r>
      <w:r w:rsidR="00C91E33">
        <w:rPr>
          <w:rFonts w:ascii="Arial" w:hAnsi="Arial" w:cs="Arial"/>
          <w:sz w:val="20"/>
          <w:szCs w:val="20"/>
        </w:rPr>
        <w:t>)</w:t>
      </w:r>
      <w:r w:rsidR="007F612C">
        <w:rPr>
          <w:rFonts w:ascii="Arial" w:hAnsi="Arial" w:cs="Arial"/>
          <w:sz w:val="20"/>
          <w:szCs w:val="20"/>
        </w:rPr>
        <w:t xml:space="preserve">, of </w:t>
      </w:r>
      <w:r w:rsidR="00AC2B85">
        <w:rPr>
          <w:rFonts w:ascii="Arial" w:hAnsi="Arial" w:cs="Arial"/>
          <w:sz w:val="20"/>
          <w:szCs w:val="20"/>
        </w:rPr>
        <w:t>11</w:t>
      </w:r>
      <w:r w:rsidR="00AC2B85" w:rsidRPr="00AC1BD1">
        <w:rPr>
          <w:rFonts w:ascii="Arial" w:hAnsi="Arial" w:cs="Arial"/>
          <w:sz w:val="20"/>
          <w:szCs w:val="20"/>
        </w:rPr>
        <w:t xml:space="preserve"> </w:t>
      </w:r>
      <w:r w:rsidR="00AC1BD1" w:rsidRPr="00AC1BD1">
        <w:rPr>
          <w:rFonts w:ascii="Arial" w:hAnsi="Arial" w:cs="Arial"/>
          <w:sz w:val="20"/>
          <w:szCs w:val="20"/>
        </w:rPr>
        <w:t>interventions</w:t>
      </w:r>
      <w:r w:rsidR="007F612C">
        <w:rPr>
          <w:rFonts w:ascii="Arial" w:hAnsi="Arial" w:cs="Arial"/>
          <w:sz w:val="20"/>
          <w:szCs w:val="20"/>
        </w:rPr>
        <w:t>,</w:t>
      </w:r>
      <w:r w:rsidR="00AC1BD1" w:rsidRPr="00AC1BD1">
        <w:rPr>
          <w:rFonts w:ascii="Arial" w:hAnsi="Arial" w:cs="Arial"/>
          <w:sz w:val="20"/>
          <w:szCs w:val="20"/>
        </w:rPr>
        <w:t xml:space="preserve"> were include</w:t>
      </w:r>
      <w:r w:rsidR="00AF5603">
        <w:rPr>
          <w:rFonts w:ascii="Arial" w:hAnsi="Arial" w:cs="Arial"/>
          <w:sz w:val="20"/>
          <w:szCs w:val="20"/>
        </w:rPr>
        <w:t xml:space="preserve">d in the </w:t>
      </w:r>
      <w:r w:rsidR="00C91E33">
        <w:rPr>
          <w:rFonts w:ascii="Arial" w:hAnsi="Arial" w:cs="Arial"/>
          <w:sz w:val="20"/>
          <w:szCs w:val="20"/>
        </w:rPr>
        <w:t>MB</w:t>
      </w:r>
      <w:r w:rsidR="00AF5603">
        <w:rPr>
          <w:rFonts w:ascii="Arial" w:hAnsi="Arial" w:cs="Arial"/>
          <w:sz w:val="20"/>
          <w:szCs w:val="20"/>
        </w:rPr>
        <w:t xml:space="preserve"> network</w:t>
      </w:r>
      <w:r w:rsidR="00963A82">
        <w:rPr>
          <w:rFonts w:ascii="Arial" w:hAnsi="Arial" w:cs="Arial"/>
          <w:sz w:val="20"/>
          <w:szCs w:val="20"/>
        </w:rPr>
        <w:t xml:space="preserve"> (see appendix, page 19)</w:t>
      </w:r>
      <w:r w:rsidR="00127D56">
        <w:rPr>
          <w:rFonts w:ascii="Arial" w:hAnsi="Arial" w:cs="Arial"/>
          <w:sz w:val="20"/>
          <w:szCs w:val="20"/>
        </w:rPr>
        <w:t>.</w:t>
      </w:r>
      <w:r w:rsidR="006C75CC">
        <w:rPr>
          <w:rFonts w:ascii="Arial" w:hAnsi="Arial" w:cs="Arial"/>
          <w:sz w:val="20"/>
          <w:szCs w:val="20"/>
        </w:rPr>
        <w:t xml:space="preserve"> </w:t>
      </w:r>
      <w:r w:rsidR="009A759F" w:rsidRPr="0076400E">
        <w:rPr>
          <w:rFonts w:ascii="Arial" w:hAnsi="Arial" w:cs="Arial"/>
          <w:sz w:val="20"/>
          <w:szCs w:val="20"/>
        </w:rPr>
        <w:t xml:space="preserve">The </w:t>
      </w:r>
      <w:r w:rsidR="009A759F">
        <w:rPr>
          <w:rFonts w:ascii="Arial" w:hAnsi="Arial" w:cs="Arial"/>
          <w:sz w:val="20"/>
          <w:szCs w:val="20"/>
        </w:rPr>
        <w:t>RE</w:t>
      </w:r>
      <w:r w:rsidR="009A759F" w:rsidRPr="0076400E">
        <w:rPr>
          <w:rFonts w:ascii="Arial" w:hAnsi="Arial" w:cs="Arial"/>
          <w:sz w:val="20"/>
          <w:szCs w:val="20"/>
        </w:rPr>
        <w:t xml:space="preserve"> model had a DIC of </w:t>
      </w:r>
      <w:r w:rsidR="001D0F1E">
        <w:rPr>
          <w:rFonts w:ascii="Arial" w:hAnsi="Arial" w:cs="Arial"/>
          <w:sz w:val="20"/>
          <w:szCs w:val="20"/>
        </w:rPr>
        <w:t>196</w:t>
      </w:r>
      <w:r w:rsidR="001D0F1E" w:rsidRPr="0076400E">
        <w:rPr>
          <w:rFonts w:ascii="Arial" w:hAnsi="Arial" w:cs="Arial"/>
          <w:sz w:val="20"/>
          <w:szCs w:val="20"/>
        </w:rPr>
        <w:t xml:space="preserve"> </w:t>
      </w:r>
      <w:r w:rsidR="002A0B06">
        <w:rPr>
          <w:rFonts w:ascii="Arial" w:hAnsi="Arial" w:cs="Arial"/>
          <w:sz w:val="20"/>
          <w:szCs w:val="20"/>
        </w:rPr>
        <w:t>and</w:t>
      </w:r>
      <w:r w:rsidR="00EB1FC7">
        <w:rPr>
          <w:rFonts w:ascii="Arial" w:hAnsi="Arial" w:cs="Arial"/>
          <w:sz w:val="20"/>
          <w:szCs w:val="20"/>
        </w:rPr>
        <w:t xml:space="preserve"> a </w:t>
      </w:r>
      <w:r w:rsidR="009A759F" w:rsidRPr="0076400E">
        <w:rPr>
          <w:rFonts w:ascii="Arial" w:hAnsi="Arial" w:cs="Arial"/>
          <w:sz w:val="20"/>
          <w:szCs w:val="20"/>
        </w:rPr>
        <w:t xml:space="preserve">residual deviance of </w:t>
      </w:r>
      <w:r w:rsidR="001D0F1E">
        <w:rPr>
          <w:rFonts w:ascii="Arial" w:hAnsi="Arial" w:cs="Arial"/>
          <w:sz w:val="20"/>
          <w:szCs w:val="20"/>
        </w:rPr>
        <w:t>41</w:t>
      </w:r>
      <w:r w:rsidR="002A0B06">
        <w:rPr>
          <w:rFonts w:ascii="Arial" w:hAnsi="Arial" w:cs="Arial"/>
          <w:sz w:val="20"/>
          <w:szCs w:val="20"/>
        </w:rPr>
        <w:t>,</w:t>
      </w:r>
      <w:r w:rsidR="00EB1FC7">
        <w:rPr>
          <w:rFonts w:ascii="Arial" w:hAnsi="Arial" w:cs="Arial"/>
          <w:sz w:val="20"/>
          <w:szCs w:val="20"/>
        </w:rPr>
        <w:t xml:space="preserve"> corresponding</w:t>
      </w:r>
      <w:r w:rsidR="009A759F" w:rsidRPr="0076400E">
        <w:rPr>
          <w:rFonts w:ascii="Arial" w:hAnsi="Arial" w:cs="Arial"/>
          <w:sz w:val="20"/>
          <w:szCs w:val="20"/>
        </w:rPr>
        <w:t xml:space="preserve"> well to the total number of trial arms, </w:t>
      </w:r>
      <w:r w:rsidR="001D0F1E">
        <w:rPr>
          <w:rFonts w:ascii="Arial" w:hAnsi="Arial" w:cs="Arial"/>
          <w:sz w:val="20"/>
          <w:szCs w:val="20"/>
        </w:rPr>
        <w:t>40</w:t>
      </w:r>
      <w:r w:rsidR="009A759F" w:rsidRPr="0076400E">
        <w:rPr>
          <w:rFonts w:ascii="Arial" w:hAnsi="Arial" w:cs="Arial"/>
          <w:sz w:val="20"/>
          <w:szCs w:val="20"/>
        </w:rPr>
        <w:t>. The between trial standard deviation was 0.</w:t>
      </w:r>
      <w:r w:rsidR="001D0F1E">
        <w:rPr>
          <w:rFonts w:ascii="Arial" w:hAnsi="Arial" w:cs="Arial"/>
          <w:sz w:val="20"/>
          <w:szCs w:val="20"/>
        </w:rPr>
        <w:t>54</w:t>
      </w:r>
      <w:r w:rsidR="001D0F1E" w:rsidRPr="0076400E">
        <w:rPr>
          <w:rFonts w:ascii="Arial" w:hAnsi="Arial" w:cs="Arial"/>
          <w:sz w:val="20"/>
          <w:szCs w:val="20"/>
        </w:rPr>
        <w:t xml:space="preserve"> </w:t>
      </w:r>
      <w:r w:rsidR="009A759F" w:rsidRPr="0076400E">
        <w:rPr>
          <w:rFonts w:ascii="Arial" w:hAnsi="Arial" w:cs="Arial"/>
          <w:sz w:val="20"/>
          <w:szCs w:val="20"/>
        </w:rPr>
        <w:t>(0.19 to 1.</w:t>
      </w:r>
      <w:r w:rsidR="001D0F1E">
        <w:rPr>
          <w:rFonts w:ascii="Arial" w:hAnsi="Arial" w:cs="Arial"/>
          <w:sz w:val="20"/>
          <w:szCs w:val="20"/>
        </w:rPr>
        <w:t>28</w:t>
      </w:r>
      <w:r w:rsidR="009A759F" w:rsidRPr="0076400E">
        <w:rPr>
          <w:rFonts w:ascii="Arial" w:hAnsi="Arial" w:cs="Arial"/>
          <w:sz w:val="20"/>
          <w:szCs w:val="20"/>
        </w:rPr>
        <w:t xml:space="preserve">).   </w:t>
      </w:r>
    </w:p>
    <w:p w14:paraId="0A51D0D9" w14:textId="5AAD7137" w:rsidR="00A367BE" w:rsidRPr="0076400E" w:rsidRDefault="0036204E" w:rsidP="00341A4C">
      <w:pPr>
        <w:spacing w:line="480" w:lineRule="auto"/>
        <w:rPr>
          <w:rFonts w:ascii="Arial" w:hAnsi="Arial" w:cs="Arial"/>
          <w:sz w:val="20"/>
          <w:szCs w:val="20"/>
        </w:rPr>
      </w:pPr>
      <w:r>
        <w:rPr>
          <w:rFonts w:ascii="Arial" w:hAnsi="Arial" w:cs="Arial"/>
          <w:sz w:val="20"/>
          <w:szCs w:val="20"/>
        </w:rPr>
        <w:t>The</w:t>
      </w:r>
      <w:r w:rsidR="0076400E" w:rsidRPr="0076400E">
        <w:rPr>
          <w:rFonts w:ascii="Arial" w:hAnsi="Arial" w:cs="Arial"/>
          <w:sz w:val="20"/>
          <w:szCs w:val="20"/>
        </w:rPr>
        <w:t xml:space="preserve"> to</w:t>
      </w:r>
      <w:r w:rsidR="00EE0113">
        <w:rPr>
          <w:rFonts w:ascii="Arial" w:hAnsi="Arial" w:cs="Arial"/>
          <w:sz w:val="20"/>
          <w:szCs w:val="20"/>
        </w:rPr>
        <w:t xml:space="preserve">p ranking interventions </w:t>
      </w:r>
      <w:r w:rsidR="00462E26">
        <w:rPr>
          <w:rFonts w:ascii="Arial" w:hAnsi="Arial" w:cs="Arial"/>
          <w:sz w:val="20"/>
          <w:szCs w:val="20"/>
        </w:rPr>
        <w:t>were:</w:t>
      </w:r>
      <w:r w:rsidR="00EE0113">
        <w:rPr>
          <w:rFonts w:ascii="Arial" w:hAnsi="Arial" w:cs="Arial"/>
          <w:sz w:val="20"/>
          <w:szCs w:val="20"/>
        </w:rPr>
        <w:t xml:space="preserve"> </w:t>
      </w:r>
      <w:r w:rsidR="004E60E6">
        <w:rPr>
          <w:rFonts w:ascii="Arial" w:hAnsi="Arial" w:cs="Arial"/>
          <w:sz w:val="20"/>
          <w:szCs w:val="20"/>
        </w:rPr>
        <w:t>LMWH a</w:t>
      </w:r>
      <w:r w:rsidR="00C91E23">
        <w:rPr>
          <w:rFonts w:ascii="Arial" w:hAnsi="Arial" w:cs="Arial"/>
          <w:sz w:val="20"/>
          <w:szCs w:val="20"/>
        </w:rPr>
        <w:t>t</w:t>
      </w:r>
      <w:r w:rsidR="004E60E6">
        <w:rPr>
          <w:rFonts w:ascii="Arial" w:hAnsi="Arial" w:cs="Arial"/>
          <w:sz w:val="20"/>
          <w:szCs w:val="20"/>
        </w:rPr>
        <w:t xml:space="preserve"> </w:t>
      </w:r>
      <w:r w:rsidR="00B27ABD">
        <w:rPr>
          <w:rFonts w:ascii="Arial" w:hAnsi="Arial" w:cs="Arial"/>
          <w:sz w:val="20"/>
          <w:szCs w:val="20"/>
        </w:rPr>
        <w:t xml:space="preserve">a low </w:t>
      </w:r>
      <w:r w:rsidR="00F27FC4">
        <w:rPr>
          <w:rFonts w:ascii="Arial" w:hAnsi="Arial" w:cs="Arial"/>
          <w:sz w:val="20"/>
          <w:szCs w:val="20"/>
        </w:rPr>
        <w:t xml:space="preserve">prophylactic </w:t>
      </w:r>
      <w:r w:rsidR="004E60E6">
        <w:rPr>
          <w:rFonts w:ascii="Arial" w:hAnsi="Arial" w:cs="Arial"/>
          <w:sz w:val="20"/>
          <w:szCs w:val="20"/>
        </w:rPr>
        <w:t xml:space="preserve">dose </w:t>
      </w:r>
      <w:r w:rsidR="00B27ABD">
        <w:rPr>
          <w:rFonts w:ascii="Arial" w:hAnsi="Arial" w:cs="Arial"/>
          <w:sz w:val="20"/>
          <w:szCs w:val="20"/>
        </w:rPr>
        <w:t>for a standard duration</w:t>
      </w:r>
      <w:r w:rsidR="007F612C">
        <w:rPr>
          <w:rFonts w:ascii="Arial" w:hAnsi="Arial" w:cs="Arial"/>
          <w:sz w:val="20"/>
          <w:szCs w:val="20"/>
        </w:rPr>
        <w:t xml:space="preserve"> (10 to 14 days)</w:t>
      </w:r>
      <w:r w:rsidR="004E60E6">
        <w:rPr>
          <w:rFonts w:ascii="Arial" w:hAnsi="Arial" w:cs="Arial"/>
          <w:sz w:val="20"/>
          <w:szCs w:val="20"/>
        </w:rPr>
        <w:t xml:space="preserve"> (OR= 0.</w:t>
      </w:r>
      <w:r w:rsidR="00B27ABD">
        <w:rPr>
          <w:rFonts w:ascii="Arial" w:hAnsi="Arial" w:cs="Arial"/>
          <w:sz w:val="20"/>
          <w:szCs w:val="20"/>
        </w:rPr>
        <w:t xml:space="preserve">08 </w:t>
      </w:r>
      <w:r w:rsidR="007F612C">
        <w:rPr>
          <w:rFonts w:ascii="Arial" w:hAnsi="Arial" w:cs="Arial"/>
          <w:sz w:val="20"/>
          <w:szCs w:val="20"/>
        </w:rPr>
        <w:t>[</w:t>
      </w:r>
      <w:r w:rsidR="004E60E6">
        <w:rPr>
          <w:rFonts w:ascii="Arial" w:hAnsi="Arial" w:cs="Arial"/>
          <w:sz w:val="20"/>
          <w:szCs w:val="20"/>
        </w:rPr>
        <w:t>0.00 to</w:t>
      </w:r>
      <w:r w:rsidR="004E60E6" w:rsidRPr="004E60E6">
        <w:rPr>
          <w:rFonts w:ascii="Arial" w:hAnsi="Arial" w:cs="Arial"/>
          <w:sz w:val="20"/>
          <w:szCs w:val="20"/>
        </w:rPr>
        <w:t xml:space="preserve"> </w:t>
      </w:r>
      <w:r w:rsidR="00B27ABD">
        <w:rPr>
          <w:rFonts w:ascii="Arial" w:hAnsi="Arial" w:cs="Arial"/>
          <w:sz w:val="20"/>
          <w:szCs w:val="20"/>
        </w:rPr>
        <w:t>1.76</w:t>
      </w:r>
      <w:r w:rsidR="007F612C">
        <w:rPr>
          <w:rFonts w:ascii="Arial" w:hAnsi="Arial" w:cs="Arial"/>
          <w:sz w:val="20"/>
          <w:szCs w:val="20"/>
        </w:rPr>
        <w:t>]</w:t>
      </w:r>
      <w:r w:rsidR="00B27ABD">
        <w:rPr>
          <w:rFonts w:ascii="Arial" w:hAnsi="Arial" w:cs="Arial"/>
          <w:sz w:val="20"/>
          <w:szCs w:val="20"/>
        </w:rPr>
        <w:t>,</w:t>
      </w:r>
      <w:r w:rsidR="004E60E6">
        <w:rPr>
          <w:rFonts w:ascii="Arial" w:hAnsi="Arial" w:cs="Arial"/>
          <w:sz w:val="20"/>
          <w:szCs w:val="20"/>
        </w:rPr>
        <w:t xml:space="preserve"> </w:t>
      </w:r>
      <w:r w:rsidR="00B27ABD">
        <w:rPr>
          <w:rFonts w:ascii="Arial" w:hAnsi="Arial" w:cs="Arial"/>
          <w:sz w:val="20"/>
          <w:szCs w:val="20"/>
        </w:rPr>
        <w:t xml:space="preserve">LMWH at a standard </w:t>
      </w:r>
      <w:r w:rsidR="00F27FC4">
        <w:rPr>
          <w:rFonts w:ascii="Arial" w:hAnsi="Arial" w:cs="Arial"/>
          <w:sz w:val="20"/>
          <w:szCs w:val="20"/>
        </w:rPr>
        <w:t xml:space="preserve">prophylactic </w:t>
      </w:r>
      <w:r w:rsidR="00B27ABD">
        <w:rPr>
          <w:rFonts w:ascii="Arial" w:hAnsi="Arial" w:cs="Arial"/>
          <w:sz w:val="20"/>
          <w:szCs w:val="20"/>
        </w:rPr>
        <w:t xml:space="preserve">dose for an extended duration </w:t>
      </w:r>
      <w:r w:rsidR="007F612C">
        <w:rPr>
          <w:rFonts w:ascii="Arial" w:hAnsi="Arial" w:cs="Arial"/>
          <w:sz w:val="20"/>
          <w:szCs w:val="20"/>
        </w:rPr>
        <w:t xml:space="preserve">(28 to 35 days) </w:t>
      </w:r>
      <w:r w:rsidR="00B27ABD">
        <w:rPr>
          <w:rFonts w:ascii="Arial" w:hAnsi="Arial" w:cs="Arial"/>
          <w:sz w:val="20"/>
          <w:szCs w:val="20"/>
        </w:rPr>
        <w:t>(OR =</w:t>
      </w:r>
      <w:r w:rsidR="004E60E6">
        <w:rPr>
          <w:rFonts w:ascii="Arial" w:hAnsi="Arial" w:cs="Arial"/>
          <w:sz w:val="20"/>
          <w:szCs w:val="20"/>
        </w:rPr>
        <w:t xml:space="preserve"> </w:t>
      </w:r>
      <w:r w:rsidR="00B27ABD">
        <w:rPr>
          <w:rFonts w:ascii="Arial" w:hAnsi="Arial" w:cs="Arial"/>
          <w:sz w:val="20"/>
          <w:szCs w:val="20"/>
        </w:rPr>
        <w:t xml:space="preserve">0.21 </w:t>
      </w:r>
      <w:r w:rsidR="007F612C">
        <w:rPr>
          <w:rFonts w:ascii="Arial" w:hAnsi="Arial" w:cs="Arial"/>
          <w:sz w:val="20"/>
          <w:szCs w:val="20"/>
        </w:rPr>
        <w:t>[</w:t>
      </w:r>
      <w:r w:rsidR="00B27ABD">
        <w:rPr>
          <w:rFonts w:ascii="Arial" w:hAnsi="Arial" w:cs="Arial"/>
          <w:sz w:val="20"/>
          <w:szCs w:val="20"/>
        </w:rPr>
        <w:t>0.00 to 10.41</w:t>
      </w:r>
      <w:r w:rsidR="007F612C">
        <w:rPr>
          <w:rFonts w:ascii="Arial" w:hAnsi="Arial" w:cs="Arial"/>
          <w:sz w:val="20"/>
          <w:szCs w:val="20"/>
        </w:rPr>
        <w:t>])</w:t>
      </w:r>
      <w:r w:rsidR="00B27ABD">
        <w:rPr>
          <w:rFonts w:ascii="Arial" w:hAnsi="Arial" w:cs="Arial"/>
          <w:sz w:val="20"/>
          <w:szCs w:val="20"/>
        </w:rPr>
        <w:t xml:space="preserve"> </w:t>
      </w:r>
      <w:r w:rsidR="007F55CC">
        <w:rPr>
          <w:rFonts w:ascii="Arial" w:hAnsi="Arial" w:cs="Arial"/>
          <w:sz w:val="20"/>
          <w:szCs w:val="20"/>
        </w:rPr>
        <w:t>and V</w:t>
      </w:r>
      <w:r w:rsidR="00462E26">
        <w:rPr>
          <w:rFonts w:ascii="Arial" w:hAnsi="Arial" w:cs="Arial"/>
          <w:sz w:val="20"/>
          <w:szCs w:val="20"/>
        </w:rPr>
        <w:t xml:space="preserve">itamin </w:t>
      </w:r>
      <w:r w:rsidR="007F55CC">
        <w:rPr>
          <w:rFonts w:ascii="Arial" w:hAnsi="Arial" w:cs="Arial"/>
          <w:sz w:val="20"/>
          <w:szCs w:val="20"/>
        </w:rPr>
        <w:t>K</w:t>
      </w:r>
      <w:r w:rsidR="00462E26">
        <w:rPr>
          <w:rFonts w:ascii="Arial" w:hAnsi="Arial" w:cs="Arial"/>
          <w:sz w:val="20"/>
          <w:szCs w:val="20"/>
        </w:rPr>
        <w:t xml:space="preserve"> antagonists (VKA)</w:t>
      </w:r>
      <w:r w:rsidR="007F55CC">
        <w:rPr>
          <w:rFonts w:ascii="Arial" w:hAnsi="Arial" w:cs="Arial"/>
          <w:sz w:val="20"/>
          <w:szCs w:val="20"/>
        </w:rPr>
        <w:t xml:space="preserve"> </w:t>
      </w:r>
      <w:r w:rsidR="004E60E6">
        <w:rPr>
          <w:rFonts w:ascii="Arial" w:hAnsi="Arial" w:cs="Arial"/>
          <w:sz w:val="20"/>
          <w:szCs w:val="20"/>
        </w:rPr>
        <w:t xml:space="preserve">(OR= </w:t>
      </w:r>
      <w:r w:rsidR="00B27ABD">
        <w:rPr>
          <w:rFonts w:ascii="Arial" w:hAnsi="Arial" w:cs="Arial"/>
          <w:sz w:val="20"/>
          <w:szCs w:val="20"/>
        </w:rPr>
        <w:t>0.52</w:t>
      </w:r>
      <w:r w:rsidR="004E60E6">
        <w:rPr>
          <w:rFonts w:ascii="Arial" w:hAnsi="Arial" w:cs="Arial"/>
          <w:sz w:val="20"/>
          <w:szCs w:val="20"/>
        </w:rPr>
        <w:t xml:space="preserve"> </w:t>
      </w:r>
      <w:r w:rsidR="00462E26">
        <w:rPr>
          <w:rFonts w:ascii="Arial" w:hAnsi="Arial" w:cs="Arial"/>
          <w:sz w:val="20"/>
          <w:szCs w:val="20"/>
        </w:rPr>
        <w:t>[</w:t>
      </w:r>
      <w:r w:rsidR="004E60E6">
        <w:rPr>
          <w:rFonts w:ascii="Arial" w:hAnsi="Arial" w:cs="Arial"/>
          <w:sz w:val="20"/>
          <w:szCs w:val="20"/>
        </w:rPr>
        <w:t>0.</w:t>
      </w:r>
      <w:r w:rsidR="00B27ABD">
        <w:rPr>
          <w:rFonts w:ascii="Arial" w:hAnsi="Arial" w:cs="Arial"/>
          <w:sz w:val="20"/>
          <w:szCs w:val="20"/>
        </w:rPr>
        <w:t xml:space="preserve">08 </w:t>
      </w:r>
      <w:r w:rsidR="004E60E6">
        <w:rPr>
          <w:rFonts w:ascii="Arial" w:hAnsi="Arial" w:cs="Arial"/>
          <w:sz w:val="20"/>
          <w:szCs w:val="20"/>
        </w:rPr>
        <w:t>to</w:t>
      </w:r>
      <w:r w:rsidR="004E60E6" w:rsidRPr="004E60E6">
        <w:rPr>
          <w:rFonts w:ascii="Arial" w:hAnsi="Arial" w:cs="Arial"/>
          <w:sz w:val="20"/>
          <w:szCs w:val="20"/>
        </w:rPr>
        <w:t xml:space="preserve"> </w:t>
      </w:r>
      <w:r w:rsidR="00B27ABD">
        <w:rPr>
          <w:rFonts w:ascii="Arial" w:hAnsi="Arial" w:cs="Arial"/>
          <w:sz w:val="20"/>
          <w:szCs w:val="20"/>
        </w:rPr>
        <w:t>2.89</w:t>
      </w:r>
      <w:r w:rsidR="00462E26">
        <w:rPr>
          <w:rFonts w:ascii="Arial" w:hAnsi="Arial" w:cs="Arial"/>
          <w:sz w:val="20"/>
          <w:szCs w:val="20"/>
        </w:rPr>
        <w:t>]</w:t>
      </w:r>
      <w:r w:rsidR="004E60E6">
        <w:rPr>
          <w:rFonts w:ascii="Arial" w:hAnsi="Arial" w:cs="Arial"/>
          <w:sz w:val="20"/>
          <w:szCs w:val="20"/>
        </w:rPr>
        <w:t>) (</w:t>
      </w:r>
      <w:r w:rsidR="00B83FFC">
        <w:rPr>
          <w:rFonts w:ascii="Arial" w:hAnsi="Arial" w:cs="Arial"/>
          <w:sz w:val="20"/>
          <w:szCs w:val="20"/>
        </w:rPr>
        <w:t xml:space="preserve">see </w:t>
      </w:r>
      <w:r w:rsidR="00D10B84">
        <w:rPr>
          <w:rFonts w:ascii="Arial" w:hAnsi="Arial" w:cs="Arial"/>
          <w:sz w:val="20"/>
          <w:szCs w:val="20"/>
        </w:rPr>
        <w:t>Figure 2</w:t>
      </w:r>
      <w:r w:rsidR="00C45B7C">
        <w:rPr>
          <w:rFonts w:ascii="Arial" w:hAnsi="Arial" w:cs="Arial"/>
          <w:sz w:val="20"/>
          <w:szCs w:val="20"/>
        </w:rPr>
        <w:t>c</w:t>
      </w:r>
      <w:r w:rsidR="00B83FFC">
        <w:rPr>
          <w:rFonts w:ascii="Arial" w:hAnsi="Arial" w:cs="Arial"/>
          <w:sz w:val="20"/>
          <w:szCs w:val="20"/>
        </w:rPr>
        <w:t>)</w:t>
      </w:r>
      <w:r w:rsidR="00EE0113">
        <w:rPr>
          <w:rFonts w:ascii="Arial" w:hAnsi="Arial" w:cs="Arial"/>
          <w:sz w:val="20"/>
          <w:szCs w:val="20"/>
        </w:rPr>
        <w:t xml:space="preserve">. The </w:t>
      </w:r>
      <w:r w:rsidR="00491EE9">
        <w:rPr>
          <w:rFonts w:ascii="Arial" w:hAnsi="Arial" w:cs="Arial"/>
          <w:sz w:val="20"/>
          <w:szCs w:val="20"/>
        </w:rPr>
        <w:t xml:space="preserve">lowest </w:t>
      </w:r>
      <w:r w:rsidR="00EE0113">
        <w:rPr>
          <w:rFonts w:ascii="Arial" w:hAnsi="Arial" w:cs="Arial"/>
          <w:sz w:val="20"/>
          <w:szCs w:val="20"/>
        </w:rPr>
        <w:t xml:space="preserve">ranked interventions were </w:t>
      </w:r>
      <w:r w:rsidR="00327361">
        <w:rPr>
          <w:rFonts w:ascii="Arial" w:hAnsi="Arial" w:cs="Arial"/>
          <w:sz w:val="20"/>
          <w:szCs w:val="20"/>
        </w:rPr>
        <w:t>fondaparinux</w:t>
      </w:r>
      <w:r w:rsidR="004E60E6">
        <w:rPr>
          <w:rFonts w:ascii="Arial" w:hAnsi="Arial" w:cs="Arial"/>
          <w:sz w:val="20"/>
          <w:szCs w:val="20"/>
        </w:rPr>
        <w:t xml:space="preserve"> (</w:t>
      </w:r>
      <w:r w:rsidR="00327361">
        <w:rPr>
          <w:rFonts w:ascii="Arial" w:hAnsi="Arial" w:cs="Arial"/>
          <w:sz w:val="20"/>
          <w:szCs w:val="20"/>
        </w:rPr>
        <w:t xml:space="preserve">median rank: 11 </w:t>
      </w:r>
      <w:r w:rsidR="00462E26">
        <w:rPr>
          <w:rFonts w:ascii="Arial" w:hAnsi="Arial" w:cs="Arial"/>
          <w:sz w:val="20"/>
          <w:szCs w:val="20"/>
        </w:rPr>
        <w:t>[</w:t>
      </w:r>
      <w:r w:rsidR="00327361">
        <w:rPr>
          <w:rFonts w:ascii="Arial" w:hAnsi="Arial" w:cs="Arial"/>
          <w:sz w:val="20"/>
          <w:szCs w:val="20"/>
        </w:rPr>
        <w:t>7</w:t>
      </w:r>
      <w:r w:rsidR="00462E26">
        <w:rPr>
          <w:rFonts w:ascii="Arial" w:hAnsi="Arial" w:cs="Arial"/>
          <w:sz w:val="20"/>
          <w:szCs w:val="20"/>
        </w:rPr>
        <w:t xml:space="preserve"> to </w:t>
      </w:r>
      <w:r w:rsidR="00327361">
        <w:rPr>
          <w:rFonts w:ascii="Arial" w:hAnsi="Arial" w:cs="Arial"/>
          <w:sz w:val="20"/>
          <w:szCs w:val="20"/>
        </w:rPr>
        <w:t>11</w:t>
      </w:r>
      <w:r w:rsidR="00462E26">
        <w:rPr>
          <w:rFonts w:ascii="Arial" w:hAnsi="Arial" w:cs="Arial"/>
          <w:sz w:val="20"/>
          <w:szCs w:val="20"/>
        </w:rPr>
        <w:t>]</w:t>
      </w:r>
      <w:r w:rsidR="00EC3D5D">
        <w:rPr>
          <w:rFonts w:ascii="Arial" w:hAnsi="Arial" w:cs="Arial"/>
          <w:sz w:val="20"/>
          <w:szCs w:val="20"/>
        </w:rPr>
        <w:t>; OR = 6.74</w:t>
      </w:r>
      <w:r w:rsidR="001F5100">
        <w:rPr>
          <w:rFonts w:ascii="Arial" w:hAnsi="Arial" w:cs="Arial"/>
          <w:sz w:val="20"/>
          <w:szCs w:val="20"/>
        </w:rPr>
        <w:t xml:space="preserve"> </w:t>
      </w:r>
      <w:r w:rsidR="00462E26">
        <w:rPr>
          <w:rFonts w:ascii="Arial" w:hAnsi="Arial" w:cs="Arial"/>
          <w:sz w:val="20"/>
          <w:szCs w:val="20"/>
        </w:rPr>
        <w:t>[</w:t>
      </w:r>
      <w:r w:rsidR="002C3593">
        <w:rPr>
          <w:rFonts w:ascii="Arial" w:hAnsi="Arial" w:cs="Arial"/>
          <w:sz w:val="20"/>
          <w:szCs w:val="20"/>
        </w:rPr>
        <w:t xml:space="preserve">0.79 to </w:t>
      </w:r>
      <w:r w:rsidR="001F5100">
        <w:rPr>
          <w:rFonts w:ascii="Arial" w:hAnsi="Arial" w:cs="Arial"/>
          <w:sz w:val="20"/>
          <w:szCs w:val="20"/>
        </w:rPr>
        <w:t>76.28</w:t>
      </w:r>
      <w:r w:rsidR="00462E26">
        <w:rPr>
          <w:rFonts w:ascii="Arial" w:hAnsi="Arial" w:cs="Arial"/>
          <w:sz w:val="20"/>
          <w:szCs w:val="20"/>
        </w:rPr>
        <w:t>]</w:t>
      </w:r>
      <w:r w:rsidR="004E60E6">
        <w:rPr>
          <w:rFonts w:ascii="Arial" w:hAnsi="Arial" w:cs="Arial"/>
          <w:sz w:val="20"/>
          <w:szCs w:val="20"/>
        </w:rPr>
        <w:t>)</w:t>
      </w:r>
      <w:r w:rsidR="00276783">
        <w:rPr>
          <w:rFonts w:ascii="Arial" w:hAnsi="Arial" w:cs="Arial"/>
          <w:sz w:val="20"/>
          <w:szCs w:val="20"/>
        </w:rPr>
        <w:t xml:space="preserve">, </w:t>
      </w:r>
      <w:r w:rsidR="00327361">
        <w:rPr>
          <w:rFonts w:ascii="Arial" w:hAnsi="Arial" w:cs="Arial"/>
          <w:sz w:val="20"/>
          <w:szCs w:val="20"/>
        </w:rPr>
        <w:t xml:space="preserve">rivaroxaban </w:t>
      </w:r>
      <w:r w:rsidR="004E60E6">
        <w:rPr>
          <w:rFonts w:ascii="Arial" w:hAnsi="Arial" w:cs="Arial"/>
          <w:sz w:val="20"/>
          <w:szCs w:val="20"/>
        </w:rPr>
        <w:t>(</w:t>
      </w:r>
      <w:r w:rsidR="00BB7285">
        <w:rPr>
          <w:rFonts w:ascii="Arial" w:hAnsi="Arial" w:cs="Arial"/>
          <w:sz w:val="20"/>
          <w:szCs w:val="20"/>
        </w:rPr>
        <w:t>median rank 11</w:t>
      </w:r>
      <w:r w:rsidR="00462E26">
        <w:rPr>
          <w:rFonts w:ascii="Arial" w:hAnsi="Arial" w:cs="Arial"/>
          <w:sz w:val="20"/>
          <w:szCs w:val="20"/>
        </w:rPr>
        <w:t xml:space="preserve"> [</w:t>
      </w:r>
      <w:r w:rsidR="00B87BBB">
        <w:rPr>
          <w:rFonts w:ascii="Arial" w:hAnsi="Arial" w:cs="Arial"/>
          <w:sz w:val="20"/>
          <w:szCs w:val="20"/>
        </w:rPr>
        <w:t>3</w:t>
      </w:r>
      <w:r w:rsidR="00462E26">
        <w:rPr>
          <w:rFonts w:ascii="Arial" w:hAnsi="Arial" w:cs="Arial"/>
          <w:sz w:val="20"/>
          <w:szCs w:val="20"/>
        </w:rPr>
        <w:t xml:space="preserve"> to </w:t>
      </w:r>
      <w:r w:rsidR="00B87BBB">
        <w:rPr>
          <w:rFonts w:ascii="Arial" w:hAnsi="Arial" w:cs="Arial"/>
          <w:sz w:val="20"/>
          <w:szCs w:val="20"/>
        </w:rPr>
        <w:t>11</w:t>
      </w:r>
      <w:r w:rsidR="00462E26">
        <w:rPr>
          <w:rFonts w:ascii="Arial" w:hAnsi="Arial" w:cs="Arial"/>
          <w:sz w:val="20"/>
          <w:szCs w:val="20"/>
        </w:rPr>
        <w:t>]</w:t>
      </w:r>
      <w:r w:rsidR="00BB7285">
        <w:rPr>
          <w:rFonts w:ascii="Arial" w:hAnsi="Arial" w:cs="Arial"/>
          <w:sz w:val="20"/>
          <w:szCs w:val="20"/>
        </w:rPr>
        <w:t>; OR =</w:t>
      </w:r>
      <w:r w:rsidR="00EC3D5D">
        <w:rPr>
          <w:rFonts w:ascii="Arial" w:hAnsi="Arial" w:cs="Arial"/>
          <w:sz w:val="20"/>
          <w:szCs w:val="20"/>
        </w:rPr>
        <w:t>1.55</w:t>
      </w:r>
      <w:r w:rsidR="002C3593">
        <w:rPr>
          <w:rFonts w:ascii="Arial" w:hAnsi="Arial" w:cs="Arial"/>
          <w:sz w:val="20"/>
          <w:szCs w:val="20"/>
        </w:rPr>
        <w:t xml:space="preserve"> </w:t>
      </w:r>
      <w:r w:rsidR="00462E26">
        <w:rPr>
          <w:rFonts w:ascii="Arial" w:hAnsi="Arial" w:cs="Arial"/>
          <w:sz w:val="20"/>
          <w:szCs w:val="20"/>
        </w:rPr>
        <w:t>[</w:t>
      </w:r>
      <w:r w:rsidR="002C3593">
        <w:rPr>
          <w:rFonts w:ascii="Arial" w:hAnsi="Arial" w:cs="Arial"/>
          <w:sz w:val="20"/>
          <w:szCs w:val="20"/>
        </w:rPr>
        <w:t xml:space="preserve">0.32 to </w:t>
      </w:r>
      <w:r w:rsidR="00EC3D5D">
        <w:rPr>
          <w:rFonts w:ascii="Arial" w:hAnsi="Arial" w:cs="Arial"/>
          <w:sz w:val="20"/>
          <w:szCs w:val="20"/>
        </w:rPr>
        <w:t>7.35</w:t>
      </w:r>
      <w:r w:rsidR="00462E26">
        <w:rPr>
          <w:rFonts w:ascii="Arial" w:hAnsi="Arial" w:cs="Arial"/>
          <w:sz w:val="20"/>
          <w:szCs w:val="20"/>
        </w:rPr>
        <w:t>]</w:t>
      </w:r>
      <w:r w:rsidR="004E60E6">
        <w:rPr>
          <w:rFonts w:ascii="Arial" w:hAnsi="Arial" w:cs="Arial"/>
          <w:sz w:val="20"/>
          <w:szCs w:val="20"/>
        </w:rPr>
        <w:t>)</w:t>
      </w:r>
      <w:r w:rsidR="008E710E">
        <w:rPr>
          <w:rFonts w:ascii="Arial" w:hAnsi="Arial" w:cs="Arial"/>
          <w:sz w:val="20"/>
          <w:szCs w:val="20"/>
        </w:rPr>
        <w:t xml:space="preserve"> </w:t>
      </w:r>
      <w:r w:rsidR="00EE0113">
        <w:rPr>
          <w:rFonts w:ascii="Arial" w:hAnsi="Arial" w:cs="Arial"/>
          <w:sz w:val="20"/>
          <w:szCs w:val="20"/>
        </w:rPr>
        <w:t xml:space="preserve">and </w:t>
      </w:r>
      <w:r w:rsidR="00327361">
        <w:rPr>
          <w:rFonts w:ascii="Arial" w:hAnsi="Arial" w:cs="Arial"/>
          <w:sz w:val="20"/>
          <w:szCs w:val="20"/>
        </w:rPr>
        <w:t xml:space="preserve">LMWH at a standard </w:t>
      </w:r>
      <w:r w:rsidR="00F27FC4">
        <w:rPr>
          <w:rFonts w:ascii="Arial" w:hAnsi="Arial" w:cs="Arial"/>
          <w:sz w:val="20"/>
          <w:szCs w:val="20"/>
        </w:rPr>
        <w:t xml:space="preserve">prophylactic </w:t>
      </w:r>
      <w:r w:rsidR="00327361">
        <w:rPr>
          <w:rFonts w:ascii="Arial" w:hAnsi="Arial" w:cs="Arial"/>
          <w:sz w:val="20"/>
          <w:szCs w:val="20"/>
        </w:rPr>
        <w:t>dose for a standard duration</w:t>
      </w:r>
      <w:r w:rsidR="00462E26">
        <w:rPr>
          <w:rFonts w:ascii="Arial" w:hAnsi="Arial" w:cs="Arial"/>
          <w:sz w:val="20"/>
          <w:szCs w:val="20"/>
        </w:rPr>
        <w:t xml:space="preserve"> (10 to 14 days)</w:t>
      </w:r>
      <w:r w:rsidR="00327361">
        <w:rPr>
          <w:rFonts w:ascii="Arial" w:hAnsi="Arial" w:cs="Arial"/>
          <w:sz w:val="20"/>
          <w:szCs w:val="20"/>
        </w:rPr>
        <w:t xml:space="preserve"> </w:t>
      </w:r>
      <w:r w:rsidR="008E710E">
        <w:rPr>
          <w:rFonts w:ascii="Arial" w:hAnsi="Arial" w:cs="Arial"/>
          <w:sz w:val="20"/>
          <w:szCs w:val="20"/>
        </w:rPr>
        <w:t>(</w:t>
      </w:r>
      <w:r w:rsidR="00327361">
        <w:rPr>
          <w:rFonts w:ascii="Arial" w:hAnsi="Arial" w:cs="Arial"/>
          <w:sz w:val="20"/>
          <w:szCs w:val="20"/>
        </w:rPr>
        <w:t>median rank: 7</w:t>
      </w:r>
      <w:r w:rsidR="00462E26">
        <w:rPr>
          <w:rFonts w:ascii="Arial" w:hAnsi="Arial" w:cs="Arial"/>
          <w:sz w:val="20"/>
          <w:szCs w:val="20"/>
        </w:rPr>
        <w:t xml:space="preserve"> [</w:t>
      </w:r>
      <w:r w:rsidR="00327361">
        <w:rPr>
          <w:rFonts w:ascii="Arial" w:hAnsi="Arial" w:cs="Arial"/>
          <w:sz w:val="20"/>
          <w:szCs w:val="20"/>
        </w:rPr>
        <w:t>3</w:t>
      </w:r>
      <w:r w:rsidR="00462E26">
        <w:rPr>
          <w:rFonts w:ascii="Arial" w:hAnsi="Arial" w:cs="Arial"/>
          <w:sz w:val="20"/>
          <w:szCs w:val="20"/>
        </w:rPr>
        <w:t xml:space="preserve"> to </w:t>
      </w:r>
      <w:r w:rsidR="00327361">
        <w:rPr>
          <w:rFonts w:ascii="Arial" w:hAnsi="Arial" w:cs="Arial"/>
          <w:sz w:val="20"/>
          <w:szCs w:val="20"/>
        </w:rPr>
        <w:t>10</w:t>
      </w:r>
      <w:r w:rsidR="00462E26">
        <w:rPr>
          <w:rFonts w:ascii="Arial" w:hAnsi="Arial" w:cs="Arial"/>
          <w:sz w:val="20"/>
          <w:szCs w:val="20"/>
        </w:rPr>
        <w:t>]</w:t>
      </w:r>
      <w:r w:rsidR="00BB7285">
        <w:rPr>
          <w:rFonts w:ascii="Arial" w:hAnsi="Arial" w:cs="Arial"/>
          <w:sz w:val="20"/>
          <w:szCs w:val="20"/>
        </w:rPr>
        <w:t xml:space="preserve"> OR =</w:t>
      </w:r>
      <w:r w:rsidR="002C3593">
        <w:rPr>
          <w:rFonts w:ascii="Arial" w:hAnsi="Arial" w:cs="Arial"/>
          <w:sz w:val="20"/>
          <w:szCs w:val="20"/>
        </w:rPr>
        <w:t xml:space="preserve"> 1.09 </w:t>
      </w:r>
      <w:r w:rsidR="00462E26">
        <w:rPr>
          <w:rFonts w:ascii="Arial" w:hAnsi="Arial" w:cs="Arial"/>
          <w:sz w:val="20"/>
          <w:szCs w:val="20"/>
        </w:rPr>
        <w:t>[</w:t>
      </w:r>
      <w:r w:rsidR="002C3593">
        <w:rPr>
          <w:rFonts w:ascii="Arial" w:hAnsi="Arial" w:cs="Arial"/>
          <w:sz w:val="20"/>
          <w:szCs w:val="20"/>
        </w:rPr>
        <w:t xml:space="preserve">0.34 to </w:t>
      </w:r>
      <w:r w:rsidR="00FD2F4C">
        <w:rPr>
          <w:rFonts w:ascii="Arial" w:hAnsi="Arial" w:cs="Arial"/>
          <w:sz w:val="20"/>
          <w:szCs w:val="20"/>
        </w:rPr>
        <w:t>3.75</w:t>
      </w:r>
      <w:r w:rsidR="00462E26">
        <w:rPr>
          <w:rFonts w:ascii="Arial" w:hAnsi="Arial" w:cs="Arial"/>
          <w:sz w:val="20"/>
          <w:szCs w:val="20"/>
        </w:rPr>
        <w:t>]</w:t>
      </w:r>
      <w:r w:rsidR="008E710E">
        <w:rPr>
          <w:rFonts w:ascii="Arial" w:hAnsi="Arial" w:cs="Arial"/>
          <w:sz w:val="20"/>
          <w:szCs w:val="20"/>
        </w:rPr>
        <w:t>)</w:t>
      </w:r>
      <w:r w:rsidR="00EE0113">
        <w:rPr>
          <w:rFonts w:ascii="Arial" w:hAnsi="Arial" w:cs="Arial"/>
          <w:sz w:val="20"/>
          <w:szCs w:val="20"/>
        </w:rPr>
        <w:t xml:space="preserve">. </w:t>
      </w:r>
    </w:p>
    <w:p w14:paraId="05B01D8D" w14:textId="337912CF" w:rsidR="00AC1BD1" w:rsidRDefault="00462E26" w:rsidP="0052085B">
      <w:pPr>
        <w:spacing w:line="480" w:lineRule="auto"/>
        <w:rPr>
          <w:rFonts w:ascii="Arial" w:hAnsi="Arial" w:cs="Arial"/>
          <w:sz w:val="20"/>
          <w:szCs w:val="20"/>
        </w:rPr>
      </w:pPr>
      <w:r>
        <w:rPr>
          <w:rFonts w:ascii="Arial" w:hAnsi="Arial" w:cs="Arial"/>
          <w:sz w:val="20"/>
          <w:szCs w:val="20"/>
        </w:rPr>
        <w:t xml:space="preserve">The results of the pairwise meta-analysis, for all interventions compared to no prophylaxis/mechanical prophylaxis, and the corresponding </w:t>
      </w:r>
      <w:r w:rsidR="00102BD9">
        <w:rPr>
          <w:rFonts w:ascii="Arial" w:hAnsi="Arial" w:cs="Arial"/>
          <w:sz w:val="20"/>
          <w:szCs w:val="20"/>
        </w:rPr>
        <w:t>network meta-analysis</w:t>
      </w:r>
      <w:r>
        <w:rPr>
          <w:rFonts w:ascii="Arial" w:hAnsi="Arial" w:cs="Arial"/>
          <w:sz w:val="20"/>
          <w:szCs w:val="20"/>
        </w:rPr>
        <w:t xml:space="preserve"> estimates are presented in </w:t>
      </w:r>
      <w:r w:rsidR="00AA5800">
        <w:rPr>
          <w:rFonts w:ascii="Arial" w:hAnsi="Arial" w:cs="Arial"/>
          <w:sz w:val="20"/>
          <w:szCs w:val="20"/>
        </w:rPr>
        <w:t xml:space="preserve">Table </w:t>
      </w:r>
      <w:r w:rsidR="008B6357">
        <w:rPr>
          <w:rFonts w:ascii="Arial" w:hAnsi="Arial" w:cs="Arial"/>
          <w:sz w:val="20"/>
          <w:szCs w:val="20"/>
        </w:rPr>
        <w:t>3</w:t>
      </w:r>
      <w:r w:rsidR="0076400E" w:rsidRPr="0076400E">
        <w:rPr>
          <w:rFonts w:ascii="Arial" w:hAnsi="Arial" w:cs="Arial"/>
          <w:sz w:val="20"/>
          <w:szCs w:val="20"/>
        </w:rPr>
        <w:t>.</w:t>
      </w:r>
      <w:r w:rsidR="0036204E">
        <w:rPr>
          <w:rFonts w:ascii="Arial" w:hAnsi="Arial" w:cs="Arial"/>
          <w:sz w:val="20"/>
          <w:szCs w:val="20"/>
        </w:rPr>
        <w:t xml:space="preserve"> </w:t>
      </w:r>
      <w:r>
        <w:rPr>
          <w:rFonts w:ascii="Arial" w:hAnsi="Arial" w:cs="Arial"/>
          <w:sz w:val="20"/>
          <w:szCs w:val="20"/>
        </w:rPr>
        <w:t xml:space="preserve">The median ranks of all </w:t>
      </w:r>
      <w:r w:rsidR="0066190F" w:rsidRPr="0066190F">
        <w:rPr>
          <w:rFonts w:ascii="Arial" w:hAnsi="Arial" w:cs="Arial"/>
          <w:sz w:val="20"/>
          <w:szCs w:val="20"/>
        </w:rPr>
        <w:t>interventions are presented in Figure</w:t>
      </w:r>
      <w:r w:rsidR="004F690D" w:rsidRPr="00EF1794">
        <w:rPr>
          <w:rFonts w:ascii="Arial" w:hAnsi="Arial" w:cs="Arial"/>
          <w:sz w:val="20"/>
          <w:szCs w:val="20"/>
        </w:rPr>
        <w:t xml:space="preserve"> 2</w:t>
      </w:r>
      <w:r w:rsidR="0066190F">
        <w:rPr>
          <w:rFonts w:ascii="Arial" w:hAnsi="Arial" w:cs="Arial"/>
          <w:sz w:val="20"/>
          <w:szCs w:val="20"/>
        </w:rPr>
        <w:t>c</w:t>
      </w:r>
      <w:r w:rsidR="004F690D" w:rsidRPr="00EF1794">
        <w:rPr>
          <w:rFonts w:ascii="Arial" w:hAnsi="Arial" w:cs="Arial"/>
          <w:sz w:val="20"/>
          <w:szCs w:val="20"/>
        </w:rPr>
        <w:t>.</w:t>
      </w:r>
    </w:p>
    <w:p w14:paraId="5D423FA2" w14:textId="46D36392" w:rsidR="001E3444" w:rsidRDefault="00341A4C" w:rsidP="0052085B">
      <w:pPr>
        <w:spacing w:line="480" w:lineRule="auto"/>
        <w:rPr>
          <w:rFonts w:ascii="Arial" w:hAnsi="Arial" w:cs="Arial"/>
          <w:b/>
          <w:sz w:val="20"/>
          <w:szCs w:val="20"/>
        </w:rPr>
      </w:pPr>
      <w:r>
        <w:rPr>
          <w:rFonts w:ascii="Arial" w:hAnsi="Arial" w:cs="Arial"/>
          <w:b/>
          <w:sz w:val="20"/>
          <w:szCs w:val="20"/>
          <w:highlight w:val="lightGray"/>
        </w:rPr>
        <w:t xml:space="preserve">Insert Table </w:t>
      </w:r>
      <w:r w:rsidR="008B6357">
        <w:rPr>
          <w:rFonts w:ascii="Arial" w:hAnsi="Arial" w:cs="Arial"/>
          <w:b/>
          <w:sz w:val="20"/>
          <w:szCs w:val="20"/>
          <w:highlight w:val="lightGray"/>
        </w:rPr>
        <w:t xml:space="preserve">3 </w:t>
      </w:r>
      <w:r w:rsidRPr="00F268B5">
        <w:rPr>
          <w:rFonts w:ascii="Arial" w:hAnsi="Arial" w:cs="Arial"/>
          <w:b/>
          <w:sz w:val="20"/>
          <w:szCs w:val="20"/>
          <w:highlight w:val="lightGray"/>
        </w:rPr>
        <w:t>here</w:t>
      </w:r>
    </w:p>
    <w:p w14:paraId="74E2B878" w14:textId="77777777" w:rsidR="00E26515" w:rsidRPr="0006655F" w:rsidRDefault="00871F24" w:rsidP="0052085B">
      <w:pPr>
        <w:spacing w:line="480" w:lineRule="auto"/>
        <w:rPr>
          <w:rFonts w:ascii="Arial" w:hAnsi="Arial" w:cs="Arial"/>
          <w:b/>
          <w:sz w:val="20"/>
          <w:szCs w:val="20"/>
        </w:rPr>
      </w:pPr>
      <w:r w:rsidRPr="0006655F">
        <w:rPr>
          <w:rFonts w:ascii="Arial" w:hAnsi="Arial" w:cs="Arial"/>
          <w:b/>
          <w:sz w:val="20"/>
          <w:szCs w:val="20"/>
        </w:rPr>
        <w:t>Discussion</w:t>
      </w:r>
    </w:p>
    <w:p w14:paraId="4A57227E" w14:textId="6A3E17F5" w:rsidR="00252D31" w:rsidRDefault="00252D31" w:rsidP="00A03648">
      <w:pPr>
        <w:spacing w:line="480" w:lineRule="auto"/>
        <w:rPr>
          <w:rFonts w:ascii="Arial" w:hAnsi="Arial" w:cs="Arial"/>
          <w:sz w:val="20"/>
          <w:szCs w:val="20"/>
        </w:rPr>
      </w:pPr>
      <w:r>
        <w:rPr>
          <w:rFonts w:ascii="Arial" w:hAnsi="Arial" w:cs="Arial"/>
          <w:sz w:val="20"/>
          <w:szCs w:val="20"/>
        </w:rPr>
        <w:t>This systematic review identified 25 RCTs that provided outcome data appropriate for three network meta-analyses: DVT (symptomatic and asymptomatic), PE and MB. The results showed that the top</w:t>
      </w:r>
      <w:r w:rsidR="00415C66">
        <w:rPr>
          <w:rFonts w:ascii="Arial" w:hAnsi="Arial" w:cs="Arial"/>
          <w:sz w:val="20"/>
          <w:szCs w:val="20"/>
        </w:rPr>
        <w:t>-</w:t>
      </w:r>
      <w:r>
        <w:rPr>
          <w:rFonts w:ascii="Arial" w:hAnsi="Arial" w:cs="Arial"/>
          <w:sz w:val="20"/>
          <w:szCs w:val="20"/>
        </w:rPr>
        <w:t xml:space="preserve">ranking intervention in terms of prevention of DVT was rivaroxaban, while two different LMWH regimens ranked first in terms of PE prevention and incidence of MB. The results of the PE and MB </w:t>
      </w:r>
      <w:r>
        <w:rPr>
          <w:rFonts w:ascii="Arial" w:hAnsi="Arial" w:cs="Arial"/>
          <w:sz w:val="20"/>
          <w:szCs w:val="20"/>
        </w:rPr>
        <w:lastRenderedPageBreak/>
        <w:t>analyses were highly uncertain due to the sparse nature of the networks and the limited number of RCTs per comparison and no firm conclusions can be made based on the results of these two networks.</w:t>
      </w:r>
    </w:p>
    <w:p w14:paraId="2CCB3F53" w14:textId="4C09AB94" w:rsidR="00005BA4" w:rsidRDefault="007B0AD7" w:rsidP="00A03648">
      <w:pPr>
        <w:spacing w:line="480" w:lineRule="auto"/>
        <w:rPr>
          <w:rFonts w:ascii="Arial" w:hAnsi="Arial" w:cs="Arial"/>
          <w:sz w:val="20"/>
          <w:szCs w:val="20"/>
        </w:rPr>
      </w:pPr>
      <w:r>
        <w:rPr>
          <w:rFonts w:ascii="Arial" w:hAnsi="Arial" w:cs="Arial"/>
          <w:sz w:val="20"/>
          <w:szCs w:val="20"/>
        </w:rPr>
        <w:t>To our knowledge, t</w:t>
      </w:r>
      <w:r w:rsidR="00462E26">
        <w:rPr>
          <w:rFonts w:ascii="Arial" w:hAnsi="Arial" w:cs="Arial"/>
          <w:sz w:val="20"/>
          <w:szCs w:val="20"/>
        </w:rPr>
        <w:t xml:space="preserve">his study presents the most </w:t>
      </w:r>
      <w:r>
        <w:rPr>
          <w:rFonts w:ascii="Arial" w:hAnsi="Arial" w:cs="Arial"/>
          <w:sz w:val="20"/>
          <w:szCs w:val="20"/>
        </w:rPr>
        <w:t xml:space="preserve">up to date and </w:t>
      </w:r>
      <w:r w:rsidR="00462E26">
        <w:rPr>
          <w:rFonts w:ascii="Arial" w:hAnsi="Arial" w:cs="Arial"/>
          <w:sz w:val="20"/>
          <w:szCs w:val="20"/>
        </w:rPr>
        <w:t xml:space="preserve">comprehensive </w:t>
      </w:r>
      <w:r w:rsidR="00715D57">
        <w:rPr>
          <w:rFonts w:ascii="Arial" w:hAnsi="Arial" w:cs="Arial"/>
          <w:sz w:val="20"/>
          <w:szCs w:val="20"/>
        </w:rPr>
        <w:t>systematic review</w:t>
      </w:r>
      <w:r w:rsidR="00462E26">
        <w:rPr>
          <w:rFonts w:ascii="Arial" w:hAnsi="Arial" w:cs="Arial"/>
          <w:sz w:val="20"/>
          <w:szCs w:val="20"/>
        </w:rPr>
        <w:t xml:space="preserve"> and </w:t>
      </w:r>
      <w:r w:rsidR="00A8036E">
        <w:rPr>
          <w:rFonts w:ascii="Arial" w:hAnsi="Arial" w:cs="Arial"/>
          <w:sz w:val="20"/>
          <w:szCs w:val="20"/>
        </w:rPr>
        <w:t>network meta-analyses</w:t>
      </w:r>
      <w:r w:rsidR="00462E26">
        <w:rPr>
          <w:rFonts w:ascii="Arial" w:hAnsi="Arial" w:cs="Arial"/>
          <w:sz w:val="20"/>
          <w:szCs w:val="20"/>
        </w:rPr>
        <w:t xml:space="preserve"> undertaken to assess the </w:t>
      </w:r>
      <w:r w:rsidR="0067604B">
        <w:rPr>
          <w:rFonts w:ascii="Arial" w:hAnsi="Arial" w:cs="Arial"/>
          <w:sz w:val="20"/>
          <w:szCs w:val="20"/>
        </w:rPr>
        <w:t>efficacy</w:t>
      </w:r>
      <w:r w:rsidR="00FE4FAA">
        <w:rPr>
          <w:rFonts w:ascii="Arial" w:hAnsi="Arial" w:cs="Arial"/>
          <w:sz w:val="20"/>
          <w:szCs w:val="20"/>
        </w:rPr>
        <w:t xml:space="preserve"> </w:t>
      </w:r>
      <w:r w:rsidR="00F27FC4">
        <w:rPr>
          <w:rFonts w:ascii="Arial" w:hAnsi="Arial" w:cs="Arial"/>
          <w:sz w:val="20"/>
          <w:szCs w:val="20"/>
        </w:rPr>
        <w:t>and</w:t>
      </w:r>
      <w:r w:rsidR="0067604B">
        <w:rPr>
          <w:rFonts w:ascii="Arial" w:hAnsi="Arial" w:cs="Arial"/>
          <w:sz w:val="20"/>
          <w:szCs w:val="20"/>
        </w:rPr>
        <w:t xml:space="preserve"> safety of VTE prophylaxis strategies for the </w:t>
      </w:r>
      <w:proofErr w:type="spellStart"/>
      <w:r w:rsidR="0067604B">
        <w:rPr>
          <w:rFonts w:ascii="Arial" w:hAnsi="Arial" w:cs="Arial"/>
          <w:sz w:val="20"/>
          <w:szCs w:val="20"/>
        </w:rPr>
        <w:t>eTKR</w:t>
      </w:r>
      <w:proofErr w:type="spellEnd"/>
      <w:r w:rsidR="0067604B">
        <w:rPr>
          <w:rFonts w:ascii="Arial" w:hAnsi="Arial" w:cs="Arial"/>
          <w:sz w:val="20"/>
          <w:szCs w:val="20"/>
        </w:rPr>
        <w:t xml:space="preserve"> </w:t>
      </w:r>
      <w:r w:rsidR="007D3472">
        <w:rPr>
          <w:rFonts w:ascii="Arial" w:hAnsi="Arial" w:cs="Arial"/>
          <w:sz w:val="20"/>
          <w:szCs w:val="20"/>
        </w:rPr>
        <w:t>surgery population</w:t>
      </w:r>
      <w:r w:rsidR="00462E26">
        <w:rPr>
          <w:rFonts w:ascii="Arial" w:hAnsi="Arial" w:cs="Arial"/>
          <w:sz w:val="20"/>
          <w:szCs w:val="20"/>
        </w:rPr>
        <w:t>. All</w:t>
      </w:r>
      <w:r w:rsidR="00F27FC4">
        <w:rPr>
          <w:rFonts w:ascii="Arial" w:hAnsi="Arial" w:cs="Arial"/>
          <w:sz w:val="20"/>
          <w:szCs w:val="20"/>
        </w:rPr>
        <w:t xml:space="preserve"> the </w:t>
      </w:r>
      <w:r w:rsidR="00462E26">
        <w:rPr>
          <w:rFonts w:ascii="Arial" w:hAnsi="Arial" w:cs="Arial"/>
          <w:sz w:val="20"/>
          <w:szCs w:val="20"/>
        </w:rPr>
        <w:t>included strategies were categorised in terms of</w:t>
      </w:r>
      <w:r w:rsidR="00F27FC4">
        <w:rPr>
          <w:rFonts w:ascii="Arial" w:hAnsi="Arial" w:cs="Arial"/>
          <w:sz w:val="20"/>
          <w:szCs w:val="20"/>
        </w:rPr>
        <w:t xml:space="preserve"> </w:t>
      </w:r>
      <w:r w:rsidR="00FE4FAA">
        <w:rPr>
          <w:rFonts w:ascii="Arial" w:hAnsi="Arial" w:cs="Arial"/>
          <w:sz w:val="20"/>
          <w:szCs w:val="20"/>
        </w:rPr>
        <w:t>doses (differentiat</w:t>
      </w:r>
      <w:r w:rsidR="00462E26">
        <w:rPr>
          <w:rFonts w:ascii="Arial" w:hAnsi="Arial" w:cs="Arial"/>
          <w:sz w:val="20"/>
          <w:szCs w:val="20"/>
        </w:rPr>
        <w:t>ing</w:t>
      </w:r>
      <w:r w:rsidR="00FE4FAA">
        <w:rPr>
          <w:rFonts w:ascii="Arial" w:hAnsi="Arial" w:cs="Arial"/>
          <w:sz w:val="20"/>
          <w:szCs w:val="20"/>
        </w:rPr>
        <w:t xml:space="preserve"> between low, standard and high </w:t>
      </w:r>
      <w:r w:rsidR="00F27FC4">
        <w:rPr>
          <w:rFonts w:ascii="Arial" w:hAnsi="Arial" w:cs="Arial"/>
          <w:sz w:val="20"/>
          <w:szCs w:val="20"/>
        </w:rPr>
        <w:t xml:space="preserve">prophylactic </w:t>
      </w:r>
      <w:r w:rsidR="00FE4FAA">
        <w:rPr>
          <w:rFonts w:ascii="Arial" w:hAnsi="Arial" w:cs="Arial"/>
          <w:sz w:val="20"/>
          <w:szCs w:val="20"/>
        </w:rPr>
        <w:t xml:space="preserve">doses for LMWH) and durations. </w:t>
      </w:r>
      <w:r w:rsidR="00462E26">
        <w:rPr>
          <w:rFonts w:ascii="Arial" w:hAnsi="Arial" w:cs="Arial"/>
          <w:sz w:val="20"/>
          <w:szCs w:val="20"/>
        </w:rPr>
        <w:t>This allowed us to accurately account for the</w:t>
      </w:r>
      <w:r w:rsidR="00AC0857">
        <w:rPr>
          <w:rFonts w:ascii="Arial" w:hAnsi="Arial" w:cs="Arial"/>
          <w:sz w:val="20"/>
          <w:szCs w:val="20"/>
        </w:rPr>
        <w:t xml:space="preserve"> dose-response relationship</w:t>
      </w:r>
      <w:r w:rsidR="00607586">
        <w:rPr>
          <w:rFonts w:ascii="Arial" w:hAnsi="Arial" w:cs="Arial"/>
          <w:sz w:val="20"/>
          <w:szCs w:val="20"/>
        </w:rPr>
        <w:t>s</w:t>
      </w:r>
      <w:r w:rsidR="00AC0857">
        <w:rPr>
          <w:rFonts w:ascii="Arial" w:hAnsi="Arial" w:cs="Arial"/>
          <w:sz w:val="20"/>
          <w:szCs w:val="20"/>
        </w:rPr>
        <w:t xml:space="preserve"> for the pharmacological interventions </w:t>
      </w:r>
      <w:r w:rsidR="00462E26">
        <w:rPr>
          <w:rFonts w:ascii="Arial" w:hAnsi="Arial" w:cs="Arial"/>
          <w:sz w:val="20"/>
          <w:szCs w:val="20"/>
        </w:rPr>
        <w:t>which</w:t>
      </w:r>
      <w:r w:rsidR="00AC0857">
        <w:rPr>
          <w:rFonts w:ascii="Arial" w:hAnsi="Arial" w:cs="Arial"/>
          <w:sz w:val="20"/>
          <w:szCs w:val="20"/>
        </w:rPr>
        <w:t xml:space="preserve"> has not been </w:t>
      </w:r>
      <w:r w:rsidR="00462E26">
        <w:rPr>
          <w:rFonts w:ascii="Arial" w:hAnsi="Arial" w:cs="Arial"/>
          <w:sz w:val="20"/>
          <w:szCs w:val="20"/>
        </w:rPr>
        <w:t>the case</w:t>
      </w:r>
      <w:r w:rsidR="00AC0857">
        <w:rPr>
          <w:rFonts w:ascii="Arial" w:hAnsi="Arial" w:cs="Arial"/>
          <w:sz w:val="20"/>
          <w:szCs w:val="20"/>
        </w:rPr>
        <w:t xml:space="preserve"> in </w:t>
      </w:r>
      <w:r w:rsidR="00462E26">
        <w:rPr>
          <w:rFonts w:ascii="Arial" w:hAnsi="Arial" w:cs="Arial"/>
          <w:sz w:val="20"/>
          <w:szCs w:val="20"/>
        </w:rPr>
        <w:t>previously</w:t>
      </w:r>
      <w:r w:rsidR="00AC0857">
        <w:rPr>
          <w:rFonts w:ascii="Arial" w:hAnsi="Arial" w:cs="Arial"/>
          <w:sz w:val="20"/>
          <w:szCs w:val="20"/>
        </w:rPr>
        <w:t xml:space="preserve"> </w:t>
      </w:r>
      <w:r w:rsidR="00462E26">
        <w:rPr>
          <w:rFonts w:ascii="Arial" w:hAnsi="Arial" w:cs="Arial"/>
          <w:sz w:val="20"/>
          <w:szCs w:val="20"/>
        </w:rPr>
        <w:t xml:space="preserve">published </w:t>
      </w:r>
      <w:proofErr w:type="gramStart"/>
      <w:r w:rsidR="00AC0857">
        <w:rPr>
          <w:rFonts w:ascii="Arial" w:hAnsi="Arial" w:cs="Arial"/>
          <w:sz w:val="20"/>
          <w:szCs w:val="20"/>
        </w:rPr>
        <w:t>analyses</w:t>
      </w:r>
      <w:r w:rsidR="007F0198">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12, 47-49)</w:t>
      </w:r>
      <w:r w:rsidR="00005BA4">
        <w:rPr>
          <w:rFonts w:ascii="Arial" w:hAnsi="Arial" w:cs="Arial"/>
          <w:sz w:val="20"/>
          <w:szCs w:val="20"/>
        </w:rPr>
        <w:t xml:space="preserve"> </w:t>
      </w:r>
    </w:p>
    <w:p w14:paraId="3B8C2D0D" w14:textId="2A083B23" w:rsidR="00213F90" w:rsidRDefault="00005BA4" w:rsidP="00A03648">
      <w:pPr>
        <w:spacing w:line="480" w:lineRule="auto"/>
        <w:rPr>
          <w:rFonts w:ascii="Arial" w:hAnsi="Arial" w:cs="Arial"/>
          <w:sz w:val="20"/>
          <w:szCs w:val="20"/>
        </w:rPr>
      </w:pPr>
      <w:r>
        <w:rPr>
          <w:rFonts w:ascii="Arial" w:hAnsi="Arial" w:cs="Arial"/>
          <w:sz w:val="20"/>
          <w:szCs w:val="20"/>
        </w:rPr>
        <w:t xml:space="preserve">In this analysis, the </w:t>
      </w:r>
      <w:r w:rsidR="00213F90">
        <w:rPr>
          <w:rFonts w:ascii="Arial" w:hAnsi="Arial" w:cs="Arial"/>
          <w:sz w:val="20"/>
          <w:szCs w:val="20"/>
        </w:rPr>
        <w:t xml:space="preserve">DVT </w:t>
      </w:r>
      <w:r>
        <w:rPr>
          <w:rFonts w:ascii="Arial" w:hAnsi="Arial" w:cs="Arial"/>
          <w:sz w:val="20"/>
          <w:szCs w:val="20"/>
        </w:rPr>
        <w:t>outcome data included b</w:t>
      </w:r>
      <w:r w:rsidR="00320D23">
        <w:rPr>
          <w:rFonts w:ascii="Arial" w:hAnsi="Arial" w:cs="Arial"/>
          <w:sz w:val="20"/>
          <w:szCs w:val="20"/>
        </w:rPr>
        <w:t xml:space="preserve">oth </w:t>
      </w:r>
      <w:r w:rsidR="00213F90">
        <w:rPr>
          <w:rFonts w:ascii="Arial" w:hAnsi="Arial" w:cs="Arial"/>
          <w:sz w:val="20"/>
          <w:szCs w:val="20"/>
        </w:rPr>
        <w:t>symptomatic and asymptomatic events, rather than solely symptomatic events that are often deem</w:t>
      </w:r>
      <w:r w:rsidR="003542F8">
        <w:rPr>
          <w:rFonts w:ascii="Arial" w:hAnsi="Arial" w:cs="Arial"/>
          <w:sz w:val="20"/>
          <w:szCs w:val="20"/>
        </w:rPr>
        <w:t>ed as more clinically relevant</w:t>
      </w:r>
      <w:r w:rsidR="00320D23">
        <w:rPr>
          <w:rFonts w:ascii="Arial" w:hAnsi="Arial" w:cs="Arial"/>
          <w:sz w:val="20"/>
          <w:szCs w:val="20"/>
        </w:rPr>
        <w:t xml:space="preserve">. </w:t>
      </w:r>
      <w:r w:rsidR="003E43A1">
        <w:rPr>
          <w:rFonts w:ascii="Arial" w:hAnsi="Arial" w:cs="Arial"/>
          <w:sz w:val="20"/>
          <w:szCs w:val="20"/>
        </w:rPr>
        <w:t xml:space="preserve">As an outcome, </w:t>
      </w:r>
      <w:r w:rsidR="003E43A1" w:rsidRPr="006204C1">
        <w:rPr>
          <w:rFonts w:ascii="Arial" w:hAnsi="Arial" w:cs="Arial"/>
          <w:sz w:val="20"/>
          <w:szCs w:val="20"/>
        </w:rPr>
        <w:t>symptomatic DVT</w:t>
      </w:r>
      <w:r w:rsidR="003E43A1">
        <w:rPr>
          <w:rFonts w:ascii="Arial" w:hAnsi="Arial" w:cs="Arial"/>
          <w:sz w:val="20"/>
          <w:szCs w:val="20"/>
        </w:rPr>
        <w:t xml:space="preserve"> is usually reported based on subjective examination by the clinicians and,</w:t>
      </w:r>
      <w:r w:rsidR="003E43A1" w:rsidRPr="006204C1">
        <w:rPr>
          <w:rFonts w:ascii="Arial" w:hAnsi="Arial" w:cs="Arial"/>
          <w:sz w:val="20"/>
          <w:szCs w:val="20"/>
        </w:rPr>
        <w:t xml:space="preserve"> in patients who have pain and s</w:t>
      </w:r>
      <w:r w:rsidR="003E43A1">
        <w:rPr>
          <w:rFonts w:ascii="Arial" w:hAnsi="Arial" w:cs="Arial"/>
          <w:sz w:val="20"/>
          <w:szCs w:val="20"/>
        </w:rPr>
        <w:t>w</w:t>
      </w:r>
      <w:r w:rsidR="003E43A1" w:rsidRPr="006204C1">
        <w:rPr>
          <w:rFonts w:ascii="Arial" w:hAnsi="Arial" w:cs="Arial"/>
          <w:sz w:val="20"/>
          <w:szCs w:val="20"/>
        </w:rPr>
        <w:t>elling as a result of their surgery</w:t>
      </w:r>
      <w:r w:rsidR="003E43A1">
        <w:rPr>
          <w:rFonts w:ascii="Arial" w:hAnsi="Arial" w:cs="Arial"/>
          <w:sz w:val="20"/>
          <w:szCs w:val="20"/>
        </w:rPr>
        <w:t xml:space="preserve">, is difficult to detect. </w:t>
      </w:r>
      <w:r w:rsidR="00F6105E" w:rsidRPr="00F6105E">
        <w:rPr>
          <w:rFonts w:ascii="Arial" w:hAnsi="Arial" w:cs="Arial"/>
          <w:sz w:val="20"/>
          <w:szCs w:val="20"/>
        </w:rPr>
        <w:t xml:space="preserve">In </w:t>
      </w:r>
      <w:proofErr w:type="spellStart"/>
      <w:r w:rsidR="00F6105E">
        <w:rPr>
          <w:rFonts w:ascii="Arial" w:hAnsi="Arial" w:cs="Arial"/>
          <w:sz w:val="20"/>
          <w:szCs w:val="20"/>
        </w:rPr>
        <w:t>e</w:t>
      </w:r>
      <w:r w:rsidR="00F6105E" w:rsidRPr="00F6105E">
        <w:rPr>
          <w:rFonts w:ascii="Arial" w:hAnsi="Arial" w:cs="Arial"/>
          <w:sz w:val="20"/>
          <w:szCs w:val="20"/>
        </w:rPr>
        <w:t>TKR</w:t>
      </w:r>
      <w:proofErr w:type="spellEnd"/>
      <w:r w:rsidR="00D21428">
        <w:rPr>
          <w:rFonts w:ascii="Arial" w:hAnsi="Arial" w:cs="Arial"/>
          <w:sz w:val="20"/>
          <w:szCs w:val="20"/>
        </w:rPr>
        <w:t xml:space="preserve"> surgery</w:t>
      </w:r>
      <w:r w:rsidR="00F6105E">
        <w:rPr>
          <w:rFonts w:ascii="Arial" w:hAnsi="Arial" w:cs="Arial"/>
          <w:sz w:val="20"/>
          <w:szCs w:val="20"/>
        </w:rPr>
        <w:t>,</w:t>
      </w:r>
      <w:r w:rsidR="00F6105E" w:rsidRPr="00F6105E">
        <w:rPr>
          <w:rFonts w:ascii="Arial" w:hAnsi="Arial" w:cs="Arial"/>
          <w:sz w:val="20"/>
          <w:szCs w:val="20"/>
        </w:rPr>
        <w:t xml:space="preserve"> where pain and swelling can be a result of the surgical procedure</w:t>
      </w:r>
      <w:r w:rsidR="00F6105E">
        <w:rPr>
          <w:rFonts w:ascii="Arial" w:hAnsi="Arial" w:cs="Arial"/>
          <w:sz w:val="20"/>
          <w:szCs w:val="20"/>
        </w:rPr>
        <w:t>,</w:t>
      </w:r>
      <w:r w:rsidR="00F6105E" w:rsidRPr="00F6105E">
        <w:rPr>
          <w:rFonts w:ascii="Arial" w:hAnsi="Arial" w:cs="Arial"/>
          <w:sz w:val="20"/>
          <w:szCs w:val="20"/>
        </w:rPr>
        <w:t xml:space="preserve"> the differentiation between symptomatic and asymptomatic DVT can be problematical and there is a possibility of under-diagnosis of DVT. In addition</w:t>
      </w:r>
      <w:r w:rsidR="00F6105E">
        <w:rPr>
          <w:rFonts w:ascii="Arial" w:hAnsi="Arial" w:cs="Arial"/>
          <w:sz w:val="20"/>
          <w:szCs w:val="20"/>
        </w:rPr>
        <w:t>,</w:t>
      </w:r>
      <w:r w:rsidR="00F6105E" w:rsidRPr="00F6105E">
        <w:rPr>
          <w:rFonts w:ascii="Arial" w:hAnsi="Arial" w:cs="Arial"/>
          <w:sz w:val="20"/>
          <w:szCs w:val="20"/>
        </w:rPr>
        <w:t xml:space="preserve"> isolated calf vein DVT, whose natural history is uncertain in any event, may be a result of direct surgical trauma and not necessarily </w:t>
      </w:r>
      <w:r w:rsidR="00D21428">
        <w:rPr>
          <w:rFonts w:ascii="Arial" w:hAnsi="Arial" w:cs="Arial"/>
          <w:sz w:val="20"/>
          <w:szCs w:val="20"/>
        </w:rPr>
        <w:t xml:space="preserve">reflect </w:t>
      </w:r>
      <w:r w:rsidR="00F6105E" w:rsidRPr="00F6105E">
        <w:rPr>
          <w:rFonts w:ascii="Arial" w:hAnsi="Arial" w:cs="Arial"/>
          <w:sz w:val="20"/>
          <w:szCs w:val="20"/>
        </w:rPr>
        <w:t>any inherent thrombotic tendency. It was important therefore to identify all DVT (symptomatic and asymptomatic).</w:t>
      </w:r>
      <w:r w:rsidR="00F6105E">
        <w:rPr>
          <w:rFonts w:ascii="Arial" w:hAnsi="Arial" w:cs="Arial"/>
          <w:sz w:val="20"/>
          <w:szCs w:val="20"/>
        </w:rPr>
        <w:t xml:space="preserve"> </w:t>
      </w:r>
      <w:r w:rsidR="00320D23">
        <w:rPr>
          <w:rFonts w:ascii="Arial" w:hAnsi="Arial" w:cs="Arial"/>
          <w:sz w:val="20"/>
          <w:szCs w:val="20"/>
        </w:rPr>
        <w:t>Symptomatic eve</w:t>
      </w:r>
      <w:r w:rsidR="00F6105E">
        <w:rPr>
          <w:rFonts w:ascii="Arial" w:hAnsi="Arial" w:cs="Arial"/>
          <w:sz w:val="20"/>
          <w:szCs w:val="20"/>
        </w:rPr>
        <w:t>n</w:t>
      </w:r>
      <w:r w:rsidR="00320D23">
        <w:rPr>
          <w:rFonts w:ascii="Arial" w:hAnsi="Arial" w:cs="Arial"/>
          <w:sz w:val="20"/>
          <w:szCs w:val="20"/>
        </w:rPr>
        <w:t>ts are</w:t>
      </w:r>
      <w:r w:rsidR="003E43A1">
        <w:rPr>
          <w:rFonts w:ascii="Arial" w:hAnsi="Arial" w:cs="Arial"/>
          <w:sz w:val="20"/>
          <w:szCs w:val="20"/>
        </w:rPr>
        <w:t xml:space="preserve"> also</w:t>
      </w:r>
      <w:r w:rsidR="00320D23">
        <w:rPr>
          <w:rFonts w:ascii="Arial" w:hAnsi="Arial" w:cs="Arial"/>
          <w:sz w:val="20"/>
          <w:szCs w:val="20"/>
        </w:rPr>
        <w:t xml:space="preserve"> </w:t>
      </w:r>
      <w:proofErr w:type="gramStart"/>
      <w:r w:rsidR="00320D23">
        <w:rPr>
          <w:rFonts w:ascii="Arial" w:hAnsi="Arial" w:cs="Arial"/>
          <w:sz w:val="20"/>
          <w:szCs w:val="20"/>
        </w:rPr>
        <w:t>rare</w:t>
      </w:r>
      <w:proofErr w:type="gramEnd"/>
      <w:r w:rsidR="00320D23">
        <w:rPr>
          <w:rFonts w:ascii="Arial" w:hAnsi="Arial" w:cs="Arial"/>
          <w:sz w:val="20"/>
          <w:szCs w:val="20"/>
        </w:rPr>
        <w:t xml:space="preserve"> and this means the number of events included in the </w:t>
      </w:r>
      <w:r w:rsidR="00102BD9">
        <w:rPr>
          <w:rFonts w:ascii="Arial" w:hAnsi="Arial" w:cs="Arial"/>
          <w:sz w:val="20"/>
          <w:szCs w:val="20"/>
        </w:rPr>
        <w:t>network meta-</w:t>
      </w:r>
      <w:r w:rsidR="00252D31">
        <w:rPr>
          <w:rFonts w:ascii="Arial" w:hAnsi="Arial" w:cs="Arial"/>
          <w:sz w:val="20"/>
          <w:szCs w:val="20"/>
        </w:rPr>
        <w:t>analysis</w:t>
      </w:r>
      <w:r w:rsidR="00102BD9">
        <w:rPr>
          <w:rFonts w:ascii="Arial" w:hAnsi="Arial" w:cs="Arial"/>
          <w:sz w:val="20"/>
          <w:szCs w:val="20"/>
        </w:rPr>
        <w:t xml:space="preserve"> </w:t>
      </w:r>
      <w:r w:rsidR="00320D23">
        <w:rPr>
          <w:rFonts w:ascii="Arial" w:hAnsi="Arial" w:cs="Arial"/>
          <w:sz w:val="20"/>
          <w:szCs w:val="20"/>
        </w:rPr>
        <w:t xml:space="preserve">would be very small, resulting in networks with sparse data and unstable results. </w:t>
      </w:r>
      <w:r w:rsidR="003E43A1">
        <w:rPr>
          <w:rFonts w:ascii="Arial" w:hAnsi="Arial" w:cs="Arial"/>
          <w:sz w:val="20"/>
          <w:szCs w:val="20"/>
        </w:rPr>
        <w:t>Although</w:t>
      </w:r>
      <w:r w:rsidR="00320D23">
        <w:rPr>
          <w:rFonts w:ascii="Arial" w:hAnsi="Arial" w:cs="Arial"/>
          <w:sz w:val="20"/>
          <w:szCs w:val="20"/>
        </w:rPr>
        <w:t xml:space="preserve"> asymptomatic events are not immediately relevant, clinically, there is a small chance</w:t>
      </w:r>
      <w:r w:rsidR="002A0B06">
        <w:rPr>
          <w:rFonts w:ascii="Arial" w:hAnsi="Arial" w:cs="Arial"/>
          <w:sz w:val="20"/>
          <w:szCs w:val="20"/>
        </w:rPr>
        <w:t xml:space="preserve"> </w:t>
      </w:r>
      <w:r w:rsidR="00320D23">
        <w:rPr>
          <w:rFonts w:ascii="Arial" w:hAnsi="Arial" w:cs="Arial"/>
          <w:sz w:val="20"/>
          <w:szCs w:val="20"/>
        </w:rPr>
        <w:t>that some of these events</w:t>
      </w:r>
      <w:r w:rsidR="002A0B06">
        <w:rPr>
          <w:rFonts w:ascii="Arial" w:hAnsi="Arial" w:cs="Arial"/>
          <w:sz w:val="20"/>
          <w:szCs w:val="20"/>
        </w:rPr>
        <w:t xml:space="preserve"> </w:t>
      </w:r>
      <w:r w:rsidR="00320D23">
        <w:rPr>
          <w:rFonts w:ascii="Arial" w:hAnsi="Arial" w:cs="Arial"/>
          <w:sz w:val="20"/>
          <w:szCs w:val="20"/>
        </w:rPr>
        <w:t>can</w:t>
      </w:r>
      <w:r w:rsidR="002A0B06">
        <w:rPr>
          <w:rFonts w:ascii="Arial" w:hAnsi="Arial" w:cs="Arial"/>
          <w:sz w:val="20"/>
          <w:szCs w:val="20"/>
        </w:rPr>
        <w:t xml:space="preserve"> </w:t>
      </w:r>
      <w:r w:rsidR="00320D23">
        <w:rPr>
          <w:rFonts w:ascii="Arial" w:hAnsi="Arial" w:cs="Arial"/>
          <w:sz w:val="20"/>
          <w:szCs w:val="20"/>
        </w:rPr>
        <w:t>change in the short term to symptomatic DVT or PE</w:t>
      </w:r>
      <w:r w:rsidR="003E43A1">
        <w:rPr>
          <w:rFonts w:ascii="Arial" w:hAnsi="Arial" w:cs="Arial"/>
          <w:sz w:val="20"/>
          <w:szCs w:val="20"/>
        </w:rPr>
        <w:t xml:space="preserve"> and, i</w:t>
      </w:r>
      <w:r w:rsidR="00320D23">
        <w:rPr>
          <w:rFonts w:ascii="Arial" w:hAnsi="Arial" w:cs="Arial"/>
          <w:sz w:val="20"/>
          <w:szCs w:val="20"/>
        </w:rPr>
        <w:t xml:space="preserve">n the longer term, can lead to </w:t>
      </w:r>
      <w:r w:rsidR="002A0B06">
        <w:rPr>
          <w:rFonts w:ascii="Arial" w:hAnsi="Arial" w:cs="Arial"/>
          <w:sz w:val="20"/>
          <w:szCs w:val="20"/>
        </w:rPr>
        <w:t>post-thrombotic syndrome (PTS)</w:t>
      </w:r>
      <w:r>
        <w:rPr>
          <w:rFonts w:ascii="Arial" w:hAnsi="Arial" w:cs="Arial"/>
          <w:sz w:val="20"/>
          <w:szCs w:val="20"/>
        </w:rPr>
        <w:t xml:space="preserve"> and chronic thromboembolic pulmonary hypertension (CTEPH)</w:t>
      </w:r>
      <w:r w:rsidR="007F0198">
        <w:rPr>
          <w:rFonts w:ascii="Arial" w:hAnsi="Arial" w:cs="Arial"/>
          <w:sz w:val="20"/>
          <w:szCs w:val="20"/>
        </w:rPr>
        <w:t>.</w:t>
      </w:r>
      <w:r w:rsidR="0095655B">
        <w:rPr>
          <w:rFonts w:ascii="Arial" w:hAnsi="Arial" w:cs="Arial"/>
          <w:noProof/>
          <w:sz w:val="20"/>
          <w:szCs w:val="20"/>
        </w:rPr>
        <w:t>(50)</w:t>
      </w:r>
      <w:r>
        <w:rPr>
          <w:rFonts w:ascii="Arial" w:hAnsi="Arial" w:cs="Arial"/>
          <w:sz w:val="20"/>
          <w:szCs w:val="20"/>
        </w:rPr>
        <w:t xml:space="preserve"> These long term effects negatively affect patients’ quality of life and are costly events to manage</w:t>
      </w:r>
      <w:r w:rsidR="007F0198">
        <w:rPr>
          <w:rFonts w:ascii="Arial" w:hAnsi="Arial" w:cs="Arial"/>
          <w:sz w:val="20"/>
          <w:szCs w:val="20"/>
        </w:rPr>
        <w:t>.</w:t>
      </w:r>
      <w:r w:rsidR="0095655B">
        <w:rPr>
          <w:rFonts w:ascii="Arial" w:hAnsi="Arial" w:cs="Arial"/>
          <w:noProof/>
          <w:sz w:val="20"/>
          <w:szCs w:val="20"/>
        </w:rPr>
        <w:t>(50)</w:t>
      </w:r>
    </w:p>
    <w:p w14:paraId="2F917BAC" w14:textId="33F238D7" w:rsidR="00A82E7A" w:rsidRDefault="00A03648" w:rsidP="00A03648">
      <w:pPr>
        <w:spacing w:line="480" w:lineRule="auto"/>
        <w:rPr>
          <w:rFonts w:ascii="Arial" w:hAnsi="Arial" w:cs="Arial"/>
          <w:sz w:val="20"/>
          <w:szCs w:val="20"/>
        </w:rPr>
      </w:pPr>
      <w:r w:rsidRPr="00A03648">
        <w:rPr>
          <w:rFonts w:ascii="Arial" w:hAnsi="Arial" w:cs="Arial"/>
          <w:sz w:val="20"/>
          <w:szCs w:val="20"/>
        </w:rPr>
        <w:t xml:space="preserve"> </w:t>
      </w:r>
      <w:r w:rsidR="00703CA7">
        <w:rPr>
          <w:rFonts w:ascii="Arial" w:hAnsi="Arial" w:cs="Arial"/>
          <w:sz w:val="20"/>
          <w:szCs w:val="20"/>
        </w:rPr>
        <w:t>Mechanica</w:t>
      </w:r>
      <w:r w:rsidR="00607586">
        <w:rPr>
          <w:rFonts w:ascii="Arial" w:hAnsi="Arial" w:cs="Arial"/>
          <w:sz w:val="20"/>
          <w:szCs w:val="20"/>
        </w:rPr>
        <w:t xml:space="preserve">l prophylaxis </w:t>
      </w:r>
      <w:r w:rsidR="00005BA4">
        <w:rPr>
          <w:rFonts w:ascii="Arial" w:hAnsi="Arial" w:cs="Arial"/>
          <w:sz w:val="20"/>
          <w:szCs w:val="20"/>
        </w:rPr>
        <w:t xml:space="preserve">for </w:t>
      </w:r>
      <w:r w:rsidR="00703CA7">
        <w:rPr>
          <w:rFonts w:ascii="Arial" w:hAnsi="Arial" w:cs="Arial"/>
          <w:sz w:val="20"/>
          <w:szCs w:val="20"/>
        </w:rPr>
        <w:t xml:space="preserve">the </w:t>
      </w:r>
      <w:proofErr w:type="spellStart"/>
      <w:r w:rsidR="00703CA7">
        <w:rPr>
          <w:rFonts w:ascii="Arial" w:hAnsi="Arial" w:cs="Arial"/>
          <w:sz w:val="20"/>
          <w:szCs w:val="20"/>
        </w:rPr>
        <w:t>eTKR</w:t>
      </w:r>
      <w:proofErr w:type="spellEnd"/>
      <w:r w:rsidR="00607586">
        <w:rPr>
          <w:rFonts w:ascii="Arial" w:hAnsi="Arial" w:cs="Arial"/>
          <w:sz w:val="20"/>
          <w:szCs w:val="20"/>
        </w:rPr>
        <w:t xml:space="preserve"> surgery population</w:t>
      </w:r>
      <w:r w:rsidR="00703CA7">
        <w:rPr>
          <w:rFonts w:ascii="Arial" w:hAnsi="Arial" w:cs="Arial"/>
          <w:sz w:val="20"/>
          <w:szCs w:val="20"/>
        </w:rPr>
        <w:t xml:space="preserve"> </w:t>
      </w:r>
      <w:r w:rsidR="003E43A1">
        <w:rPr>
          <w:rFonts w:ascii="Arial" w:hAnsi="Arial" w:cs="Arial"/>
          <w:sz w:val="20"/>
          <w:szCs w:val="20"/>
        </w:rPr>
        <w:t xml:space="preserve">is perceived to be less </w:t>
      </w:r>
      <w:r w:rsidR="00D21428">
        <w:rPr>
          <w:rFonts w:ascii="Arial" w:hAnsi="Arial" w:cs="Arial"/>
          <w:sz w:val="20"/>
          <w:szCs w:val="20"/>
        </w:rPr>
        <w:t xml:space="preserve">clinically </w:t>
      </w:r>
      <w:r w:rsidR="003E43A1">
        <w:rPr>
          <w:rFonts w:ascii="Arial" w:hAnsi="Arial" w:cs="Arial"/>
          <w:sz w:val="20"/>
          <w:szCs w:val="20"/>
        </w:rPr>
        <w:t>effective</w:t>
      </w:r>
      <w:r w:rsidR="00703CA7">
        <w:rPr>
          <w:rFonts w:ascii="Arial" w:hAnsi="Arial" w:cs="Arial"/>
          <w:sz w:val="20"/>
          <w:szCs w:val="20"/>
        </w:rPr>
        <w:t xml:space="preserve"> compared to pharmacological interventions. </w:t>
      </w:r>
      <w:r w:rsidR="00703CA7" w:rsidRPr="00790F13">
        <w:rPr>
          <w:rFonts w:ascii="Arial" w:hAnsi="Arial" w:cs="Arial"/>
          <w:sz w:val="20"/>
          <w:szCs w:val="20"/>
        </w:rPr>
        <w:t xml:space="preserve">However, </w:t>
      </w:r>
      <w:r w:rsidR="00A61708" w:rsidRPr="00790F13">
        <w:rPr>
          <w:rFonts w:ascii="Arial" w:hAnsi="Arial" w:cs="Arial"/>
          <w:sz w:val="20"/>
          <w:szCs w:val="20"/>
        </w:rPr>
        <w:t xml:space="preserve">the DVT network rankings </w:t>
      </w:r>
      <w:r w:rsidR="003E43A1">
        <w:rPr>
          <w:rFonts w:ascii="Arial" w:hAnsi="Arial" w:cs="Arial"/>
          <w:sz w:val="20"/>
          <w:szCs w:val="20"/>
        </w:rPr>
        <w:t>showed</w:t>
      </w:r>
      <w:r w:rsidR="003E43A1" w:rsidRPr="00790F13">
        <w:rPr>
          <w:rFonts w:ascii="Arial" w:hAnsi="Arial" w:cs="Arial"/>
          <w:sz w:val="20"/>
          <w:szCs w:val="20"/>
        </w:rPr>
        <w:t xml:space="preserve"> </w:t>
      </w:r>
      <w:r w:rsidR="00A61708" w:rsidRPr="00790F13">
        <w:rPr>
          <w:rFonts w:ascii="Arial" w:hAnsi="Arial" w:cs="Arial"/>
          <w:sz w:val="20"/>
          <w:szCs w:val="20"/>
        </w:rPr>
        <w:t xml:space="preserve">the potential </w:t>
      </w:r>
      <w:r w:rsidR="003E43A1">
        <w:rPr>
          <w:rFonts w:ascii="Arial" w:hAnsi="Arial" w:cs="Arial"/>
          <w:sz w:val="20"/>
          <w:szCs w:val="20"/>
        </w:rPr>
        <w:t>efficacy</w:t>
      </w:r>
      <w:r w:rsidR="003E43A1" w:rsidRPr="00790F13">
        <w:rPr>
          <w:rFonts w:ascii="Arial" w:hAnsi="Arial" w:cs="Arial"/>
          <w:sz w:val="20"/>
          <w:szCs w:val="20"/>
        </w:rPr>
        <w:t xml:space="preserve"> </w:t>
      </w:r>
      <w:r w:rsidR="00A61708" w:rsidRPr="00790F13">
        <w:rPr>
          <w:rFonts w:ascii="Arial" w:hAnsi="Arial" w:cs="Arial"/>
          <w:sz w:val="20"/>
          <w:szCs w:val="20"/>
        </w:rPr>
        <w:t>of foot pumps in reducing DVT events</w:t>
      </w:r>
      <w:r w:rsidR="003E43A1">
        <w:rPr>
          <w:rFonts w:ascii="Arial" w:hAnsi="Arial" w:cs="Arial"/>
          <w:sz w:val="20"/>
          <w:szCs w:val="20"/>
        </w:rPr>
        <w:t xml:space="preserve">, though with </w:t>
      </w:r>
      <w:r w:rsidR="00A61708" w:rsidRPr="00790F13">
        <w:rPr>
          <w:rFonts w:ascii="Arial" w:hAnsi="Arial" w:cs="Arial"/>
          <w:sz w:val="20"/>
          <w:szCs w:val="20"/>
        </w:rPr>
        <w:t xml:space="preserve">a </w:t>
      </w:r>
      <w:r w:rsidR="00607586" w:rsidRPr="00790F13">
        <w:rPr>
          <w:rFonts w:ascii="Arial" w:hAnsi="Arial" w:cs="Arial"/>
          <w:sz w:val="20"/>
          <w:szCs w:val="20"/>
        </w:rPr>
        <w:t>degree</w:t>
      </w:r>
      <w:r w:rsidR="00A61708" w:rsidRPr="00790F13">
        <w:rPr>
          <w:rFonts w:ascii="Arial" w:hAnsi="Arial" w:cs="Arial"/>
          <w:sz w:val="20"/>
          <w:szCs w:val="20"/>
        </w:rPr>
        <w:t xml:space="preserve"> of uncertainty.</w:t>
      </w:r>
      <w:r w:rsidR="00A61708" w:rsidRPr="00761976">
        <w:rPr>
          <w:rFonts w:ascii="Arial" w:hAnsi="Arial" w:cs="Arial"/>
          <w:sz w:val="20"/>
          <w:szCs w:val="20"/>
        </w:rPr>
        <w:t xml:space="preserve"> </w:t>
      </w:r>
      <w:r w:rsidR="00005BA4">
        <w:rPr>
          <w:rFonts w:ascii="Arial" w:hAnsi="Arial" w:cs="Arial"/>
          <w:sz w:val="20"/>
          <w:szCs w:val="20"/>
        </w:rPr>
        <w:t xml:space="preserve">Additionally, </w:t>
      </w:r>
      <w:r w:rsidR="00A82E7A">
        <w:rPr>
          <w:rFonts w:ascii="Arial" w:hAnsi="Arial" w:cs="Arial"/>
          <w:sz w:val="20"/>
          <w:szCs w:val="20"/>
        </w:rPr>
        <w:t xml:space="preserve">ACCP guidance has recommended IPCD as a single prophylactic </w:t>
      </w:r>
      <w:r w:rsidR="008923B2">
        <w:rPr>
          <w:rFonts w:ascii="Arial" w:hAnsi="Arial" w:cs="Arial"/>
          <w:sz w:val="20"/>
          <w:szCs w:val="20"/>
        </w:rPr>
        <w:t>strategy</w:t>
      </w:r>
      <w:r w:rsidR="00A82E7A">
        <w:rPr>
          <w:rFonts w:ascii="Arial" w:hAnsi="Arial" w:cs="Arial"/>
          <w:sz w:val="20"/>
          <w:szCs w:val="20"/>
        </w:rPr>
        <w:t xml:space="preserve"> </w:t>
      </w:r>
      <w:r w:rsidR="008923B2">
        <w:rPr>
          <w:rFonts w:ascii="Arial" w:hAnsi="Arial" w:cs="Arial"/>
          <w:sz w:val="20"/>
          <w:szCs w:val="20"/>
        </w:rPr>
        <w:t xml:space="preserve">and suggested that it is a preferable prophylactic strategy for </w:t>
      </w:r>
      <w:r w:rsidR="00A82E7A">
        <w:rPr>
          <w:rFonts w:ascii="Arial" w:hAnsi="Arial" w:cs="Arial"/>
          <w:sz w:val="20"/>
          <w:szCs w:val="20"/>
        </w:rPr>
        <w:t xml:space="preserve">patients </w:t>
      </w:r>
      <w:r w:rsidR="008923B2">
        <w:rPr>
          <w:rFonts w:ascii="Arial" w:hAnsi="Arial" w:cs="Arial"/>
          <w:sz w:val="20"/>
          <w:szCs w:val="20"/>
        </w:rPr>
        <w:t>who</w:t>
      </w:r>
      <w:r w:rsidR="00A82E7A">
        <w:rPr>
          <w:rFonts w:ascii="Arial" w:hAnsi="Arial" w:cs="Arial"/>
          <w:sz w:val="20"/>
          <w:szCs w:val="20"/>
        </w:rPr>
        <w:t xml:space="preserve"> </w:t>
      </w:r>
      <w:r w:rsidR="008923B2">
        <w:rPr>
          <w:rFonts w:ascii="Arial" w:hAnsi="Arial" w:cs="Arial"/>
          <w:sz w:val="20"/>
          <w:szCs w:val="20"/>
        </w:rPr>
        <w:t xml:space="preserve">may be concerned about the bleeding risk </w:t>
      </w:r>
      <w:r w:rsidR="008923B2">
        <w:rPr>
          <w:rFonts w:ascii="Arial" w:hAnsi="Arial" w:cs="Arial"/>
          <w:sz w:val="20"/>
          <w:szCs w:val="20"/>
        </w:rPr>
        <w:lastRenderedPageBreak/>
        <w:t>associated with pharmacological agents and less concerned about the potential inconvenience of using IPCDs</w:t>
      </w:r>
      <w:r w:rsidR="007F0198">
        <w:rPr>
          <w:rFonts w:ascii="Arial" w:hAnsi="Arial" w:cs="Arial"/>
          <w:sz w:val="20"/>
          <w:szCs w:val="20"/>
        </w:rPr>
        <w:t>.</w:t>
      </w:r>
      <w:r w:rsidR="0095655B">
        <w:rPr>
          <w:rFonts w:ascii="Arial" w:hAnsi="Arial" w:cs="Arial"/>
          <w:noProof/>
          <w:sz w:val="20"/>
          <w:szCs w:val="20"/>
        </w:rPr>
        <w:t>(5)</w:t>
      </w:r>
      <w:r w:rsidR="008923B2">
        <w:rPr>
          <w:rFonts w:ascii="Arial" w:hAnsi="Arial" w:cs="Arial"/>
          <w:sz w:val="20"/>
          <w:szCs w:val="20"/>
        </w:rPr>
        <w:t xml:space="preserve"> </w:t>
      </w:r>
      <w:r w:rsidR="00005BA4">
        <w:rPr>
          <w:rFonts w:ascii="Arial" w:hAnsi="Arial" w:cs="Arial"/>
          <w:sz w:val="20"/>
          <w:szCs w:val="20"/>
        </w:rPr>
        <w:t>Hence, mechanical interventions appear to have potential as effective prophylaxis strategies in this population, particularly those who are at risk of MB</w:t>
      </w:r>
      <w:r w:rsidR="00454E98">
        <w:rPr>
          <w:rFonts w:ascii="Arial" w:hAnsi="Arial" w:cs="Arial"/>
          <w:sz w:val="20"/>
          <w:szCs w:val="20"/>
        </w:rPr>
        <w:t xml:space="preserve"> and hence are unable to use pharmacological prophylaxis.</w:t>
      </w:r>
    </w:p>
    <w:p w14:paraId="777AE61B" w14:textId="6E7B7209" w:rsidR="00F27FC4" w:rsidRDefault="003E43A1" w:rsidP="00A03648">
      <w:pPr>
        <w:spacing w:line="480" w:lineRule="auto"/>
        <w:rPr>
          <w:rFonts w:ascii="Arial" w:hAnsi="Arial" w:cs="Arial"/>
          <w:sz w:val="20"/>
          <w:szCs w:val="20"/>
        </w:rPr>
      </w:pPr>
      <w:r>
        <w:rPr>
          <w:rFonts w:ascii="Arial" w:hAnsi="Arial" w:cs="Arial"/>
          <w:sz w:val="20"/>
          <w:szCs w:val="20"/>
        </w:rPr>
        <w:t>In the UK, c</w:t>
      </w:r>
      <w:r w:rsidR="002C3247">
        <w:rPr>
          <w:rFonts w:ascii="Arial" w:hAnsi="Arial" w:cs="Arial"/>
          <w:sz w:val="20"/>
          <w:szCs w:val="20"/>
        </w:rPr>
        <w:t xml:space="preserve">ombination </w:t>
      </w:r>
      <w:r w:rsidR="00F85E4A">
        <w:rPr>
          <w:rFonts w:ascii="Arial" w:hAnsi="Arial" w:cs="Arial"/>
          <w:sz w:val="20"/>
          <w:szCs w:val="20"/>
        </w:rPr>
        <w:t xml:space="preserve">prophylaxis strategies </w:t>
      </w:r>
      <w:r w:rsidR="002C3247">
        <w:rPr>
          <w:rFonts w:ascii="Arial" w:hAnsi="Arial" w:cs="Arial"/>
          <w:sz w:val="20"/>
          <w:szCs w:val="20"/>
        </w:rPr>
        <w:t xml:space="preserve">consisting of pharmacological and mechanical interventions </w:t>
      </w:r>
      <w:r w:rsidR="00454E98">
        <w:rPr>
          <w:rFonts w:ascii="Arial" w:hAnsi="Arial" w:cs="Arial"/>
          <w:sz w:val="20"/>
          <w:szCs w:val="20"/>
        </w:rPr>
        <w:t>were recommended</w:t>
      </w:r>
      <w:r w:rsidR="00F85E4A">
        <w:rPr>
          <w:rFonts w:ascii="Arial" w:hAnsi="Arial" w:cs="Arial"/>
          <w:sz w:val="20"/>
          <w:szCs w:val="20"/>
        </w:rPr>
        <w:t xml:space="preserve"> </w:t>
      </w:r>
      <w:r w:rsidR="00454E98">
        <w:rPr>
          <w:rFonts w:ascii="Arial" w:hAnsi="Arial" w:cs="Arial"/>
          <w:sz w:val="20"/>
          <w:szCs w:val="20"/>
        </w:rPr>
        <w:t>for</w:t>
      </w:r>
      <w:r w:rsidR="00F85E4A">
        <w:rPr>
          <w:rFonts w:ascii="Arial" w:hAnsi="Arial" w:cs="Arial"/>
          <w:sz w:val="20"/>
          <w:szCs w:val="20"/>
        </w:rPr>
        <w:t xml:space="preserve"> the </w:t>
      </w:r>
      <w:proofErr w:type="spellStart"/>
      <w:r w:rsidR="00F85E4A">
        <w:rPr>
          <w:rFonts w:ascii="Arial" w:hAnsi="Arial" w:cs="Arial"/>
          <w:sz w:val="20"/>
          <w:szCs w:val="20"/>
        </w:rPr>
        <w:t>eTKR</w:t>
      </w:r>
      <w:proofErr w:type="spellEnd"/>
      <w:r w:rsidR="00D21428">
        <w:rPr>
          <w:rFonts w:ascii="Arial" w:hAnsi="Arial" w:cs="Arial"/>
          <w:sz w:val="20"/>
          <w:szCs w:val="20"/>
        </w:rPr>
        <w:t xml:space="preserve"> surgery</w:t>
      </w:r>
      <w:r w:rsidR="00F85E4A">
        <w:rPr>
          <w:rFonts w:ascii="Arial" w:hAnsi="Arial" w:cs="Arial"/>
          <w:sz w:val="20"/>
          <w:szCs w:val="20"/>
        </w:rPr>
        <w:t xml:space="preserve"> population </w:t>
      </w:r>
      <w:r w:rsidR="00E1550E">
        <w:rPr>
          <w:rFonts w:ascii="Arial" w:hAnsi="Arial" w:cs="Arial"/>
          <w:sz w:val="20"/>
          <w:szCs w:val="20"/>
        </w:rPr>
        <w:t>in</w:t>
      </w:r>
      <w:r w:rsidR="007F0198">
        <w:rPr>
          <w:rFonts w:ascii="Arial" w:hAnsi="Arial" w:cs="Arial"/>
          <w:sz w:val="20"/>
          <w:szCs w:val="20"/>
        </w:rPr>
        <w:t xml:space="preserve"> the CG92 </w:t>
      </w:r>
      <w:proofErr w:type="gramStart"/>
      <w:r w:rsidR="007F0198">
        <w:rPr>
          <w:rFonts w:ascii="Arial" w:hAnsi="Arial" w:cs="Arial"/>
          <w:sz w:val="20"/>
          <w:szCs w:val="20"/>
        </w:rPr>
        <w:t>guideline.</w:t>
      </w:r>
      <w:r w:rsidR="0095655B">
        <w:rPr>
          <w:rFonts w:ascii="Arial" w:hAnsi="Arial" w:cs="Arial"/>
          <w:noProof/>
          <w:sz w:val="20"/>
          <w:szCs w:val="20"/>
        </w:rPr>
        <w:t>(</w:t>
      </w:r>
      <w:proofErr w:type="gramEnd"/>
      <w:r w:rsidR="0095655B">
        <w:rPr>
          <w:rFonts w:ascii="Arial" w:hAnsi="Arial" w:cs="Arial"/>
          <w:noProof/>
          <w:sz w:val="20"/>
          <w:szCs w:val="20"/>
        </w:rPr>
        <w:t>51)</w:t>
      </w:r>
      <w:r w:rsidR="007F0198">
        <w:rPr>
          <w:rFonts w:ascii="Arial" w:hAnsi="Arial" w:cs="Arial"/>
          <w:sz w:val="20"/>
          <w:szCs w:val="20"/>
        </w:rPr>
        <w:t xml:space="preserve"> </w:t>
      </w:r>
      <w:r w:rsidR="00454E98">
        <w:rPr>
          <w:rFonts w:ascii="Arial" w:hAnsi="Arial" w:cs="Arial"/>
          <w:sz w:val="20"/>
          <w:szCs w:val="20"/>
        </w:rPr>
        <w:t xml:space="preserve">The results of this updated review and </w:t>
      </w:r>
      <w:r w:rsidR="00A8036E">
        <w:rPr>
          <w:rFonts w:ascii="Arial" w:hAnsi="Arial" w:cs="Arial"/>
          <w:sz w:val="20"/>
          <w:szCs w:val="20"/>
        </w:rPr>
        <w:t>network meta-analyses</w:t>
      </w:r>
      <w:r w:rsidR="00454E98">
        <w:rPr>
          <w:rFonts w:ascii="Arial" w:hAnsi="Arial" w:cs="Arial"/>
          <w:sz w:val="20"/>
          <w:szCs w:val="20"/>
        </w:rPr>
        <w:t xml:space="preserve"> showed that these </w:t>
      </w:r>
      <w:r w:rsidR="002C3247">
        <w:rPr>
          <w:rFonts w:ascii="Arial" w:hAnsi="Arial" w:cs="Arial"/>
          <w:sz w:val="20"/>
          <w:szCs w:val="20"/>
        </w:rPr>
        <w:t xml:space="preserve">combination </w:t>
      </w:r>
      <w:r w:rsidR="00E1550E">
        <w:rPr>
          <w:rFonts w:ascii="Arial" w:hAnsi="Arial" w:cs="Arial"/>
          <w:sz w:val="20"/>
          <w:szCs w:val="20"/>
        </w:rPr>
        <w:t xml:space="preserve">prophylaxis </w:t>
      </w:r>
      <w:r w:rsidR="002C3247">
        <w:rPr>
          <w:rFonts w:ascii="Arial" w:hAnsi="Arial" w:cs="Arial"/>
          <w:sz w:val="20"/>
          <w:szCs w:val="20"/>
        </w:rPr>
        <w:t xml:space="preserve">strategies </w:t>
      </w:r>
      <w:r>
        <w:rPr>
          <w:rFonts w:ascii="Arial" w:hAnsi="Arial" w:cs="Arial"/>
          <w:sz w:val="20"/>
          <w:szCs w:val="20"/>
        </w:rPr>
        <w:t xml:space="preserve">may not be </w:t>
      </w:r>
      <w:r w:rsidR="002C3247">
        <w:rPr>
          <w:rFonts w:ascii="Arial" w:hAnsi="Arial" w:cs="Arial"/>
          <w:sz w:val="20"/>
          <w:szCs w:val="20"/>
        </w:rPr>
        <w:t>as effective</w:t>
      </w:r>
      <w:r>
        <w:rPr>
          <w:rFonts w:ascii="Arial" w:hAnsi="Arial" w:cs="Arial"/>
          <w:sz w:val="20"/>
          <w:szCs w:val="20"/>
        </w:rPr>
        <w:t>, as previously thought,</w:t>
      </w:r>
      <w:r w:rsidR="002C3247">
        <w:rPr>
          <w:rFonts w:ascii="Arial" w:hAnsi="Arial" w:cs="Arial"/>
          <w:sz w:val="20"/>
          <w:szCs w:val="20"/>
        </w:rPr>
        <w:t xml:space="preserve"> in reducing DVT. </w:t>
      </w:r>
      <w:r w:rsidR="005B3C60">
        <w:rPr>
          <w:rFonts w:ascii="Arial" w:hAnsi="Arial" w:cs="Arial"/>
          <w:sz w:val="20"/>
          <w:szCs w:val="20"/>
        </w:rPr>
        <w:t>For example,</w:t>
      </w:r>
      <w:r>
        <w:rPr>
          <w:rFonts w:ascii="Arial" w:hAnsi="Arial" w:cs="Arial"/>
          <w:sz w:val="20"/>
          <w:szCs w:val="20"/>
        </w:rPr>
        <w:t xml:space="preserve"> </w:t>
      </w:r>
      <w:r w:rsidR="002C55E8">
        <w:rPr>
          <w:rFonts w:ascii="Arial" w:hAnsi="Arial" w:cs="Arial"/>
          <w:sz w:val="20"/>
          <w:szCs w:val="20"/>
        </w:rPr>
        <w:t xml:space="preserve">LMWH </w:t>
      </w:r>
      <w:r>
        <w:rPr>
          <w:rFonts w:ascii="Arial" w:hAnsi="Arial" w:cs="Arial"/>
          <w:sz w:val="20"/>
          <w:szCs w:val="20"/>
        </w:rPr>
        <w:t>(</w:t>
      </w:r>
      <w:r w:rsidR="002C55E8">
        <w:rPr>
          <w:rFonts w:ascii="Arial" w:hAnsi="Arial" w:cs="Arial"/>
          <w:sz w:val="20"/>
          <w:szCs w:val="20"/>
        </w:rPr>
        <w:t>at a standard</w:t>
      </w:r>
      <w:r w:rsidR="00F27FC4">
        <w:rPr>
          <w:rFonts w:ascii="Arial" w:hAnsi="Arial" w:cs="Arial"/>
          <w:sz w:val="20"/>
          <w:szCs w:val="20"/>
        </w:rPr>
        <w:t xml:space="preserve"> prophylactic</w:t>
      </w:r>
      <w:r w:rsidR="002C55E8">
        <w:rPr>
          <w:rFonts w:ascii="Arial" w:hAnsi="Arial" w:cs="Arial"/>
          <w:sz w:val="20"/>
          <w:szCs w:val="20"/>
        </w:rPr>
        <w:t xml:space="preserve"> dose for a standard duration</w:t>
      </w:r>
      <w:r>
        <w:rPr>
          <w:rFonts w:ascii="Arial" w:hAnsi="Arial" w:cs="Arial"/>
          <w:sz w:val="20"/>
          <w:szCs w:val="20"/>
        </w:rPr>
        <w:t>)</w:t>
      </w:r>
      <w:r w:rsidR="002C55E8">
        <w:rPr>
          <w:rFonts w:ascii="Arial" w:hAnsi="Arial" w:cs="Arial"/>
          <w:sz w:val="20"/>
          <w:szCs w:val="20"/>
        </w:rPr>
        <w:t xml:space="preserve"> in combination with AES</w:t>
      </w:r>
      <w:r>
        <w:rPr>
          <w:rFonts w:ascii="Arial" w:hAnsi="Arial" w:cs="Arial"/>
          <w:sz w:val="20"/>
          <w:szCs w:val="20"/>
        </w:rPr>
        <w:t xml:space="preserve"> </w:t>
      </w:r>
      <w:r w:rsidR="005B3C60">
        <w:rPr>
          <w:rFonts w:ascii="Arial" w:hAnsi="Arial" w:cs="Arial"/>
          <w:sz w:val="20"/>
          <w:szCs w:val="20"/>
        </w:rPr>
        <w:t>had</w:t>
      </w:r>
      <w:r w:rsidR="00C14A94">
        <w:rPr>
          <w:rFonts w:ascii="Arial" w:hAnsi="Arial" w:cs="Arial"/>
          <w:sz w:val="20"/>
          <w:szCs w:val="20"/>
        </w:rPr>
        <w:t xml:space="preserve"> a RR of </w:t>
      </w:r>
      <w:r w:rsidR="005B3C60" w:rsidRPr="005B3C60">
        <w:rPr>
          <w:rFonts w:ascii="Arial" w:hAnsi="Arial" w:cs="Arial"/>
          <w:sz w:val="20"/>
          <w:szCs w:val="20"/>
        </w:rPr>
        <w:t xml:space="preserve">0.42 </w:t>
      </w:r>
      <w:r w:rsidR="005B3C60">
        <w:rPr>
          <w:rFonts w:ascii="Arial" w:hAnsi="Arial" w:cs="Arial"/>
          <w:sz w:val="20"/>
          <w:szCs w:val="20"/>
        </w:rPr>
        <w:t>(</w:t>
      </w:r>
      <w:r w:rsidR="005B3C60" w:rsidRPr="005B3C60">
        <w:rPr>
          <w:rFonts w:ascii="Arial" w:hAnsi="Arial" w:cs="Arial"/>
          <w:sz w:val="20"/>
          <w:szCs w:val="20"/>
        </w:rPr>
        <w:t>0.24</w:t>
      </w:r>
      <w:r w:rsidR="005B3C60">
        <w:rPr>
          <w:rFonts w:ascii="Arial" w:hAnsi="Arial" w:cs="Arial"/>
          <w:sz w:val="20"/>
          <w:szCs w:val="20"/>
        </w:rPr>
        <w:t xml:space="preserve"> to</w:t>
      </w:r>
      <w:r w:rsidR="005B3C60" w:rsidRPr="005B3C60">
        <w:rPr>
          <w:rFonts w:ascii="Arial" w:hAnsi="Arial" w:cs="Arial"/>
          <w:sz w:val="20"/>
          <w:szCs w:val="20"/>
        </w:rPr>
        <w:t xml:space="preserve"> 1.00)</w:t>
      </w:r>
      <w:r w:rsidR="005B3C60">
        <w:rPr>
          <w:rFonts w:ascii="Arial" w:hAnsi="Arial" w:cs="Arial"/>
          <w:sz w:val="20"/>
          <w:szCs w:val="20"/>
        </w:rPr>
        <w:t xml:space="preserve"> compared to no prophylaxis while LMWH alone at the same dose and duration had better efficacy with RR of </w:t>
      </w:r>
      <w:r w:rsidR="005B3C60" w:rsidRPr="005B3C60">
        <w:rPr>
          <w:rFonts w:ascii="Arial" w:hAnsi="Arial" w:cs="Arial"/>
          <w:sz w:val="20"/>
          <w:szCs w:val="20"/>
        </w:rPr>
        <w:t>0.26 (0.15</w:t>
      </w:r>
      <w:r w:rsidR="005B3C60">
        <w:rPr>
          <w:rFonts w:ascii="Arial" w:hAnsi="Arial" w:cs="Arial"/>
          <w:sz w:val="20"/>
          <w:szCs w:val="20"/>
        </w:rPr>
        <w:t xml:space="preserve"> to</w:t>
      </w:r>
      <w:r w:rsidR="005B3C60" w:rsidRPr="005B3C60">
        <w:rPr>
          <w:rFonts w:ascii="Arial" w:hAnsi="Arial" w:cs="Arial"/>
          <w:sz w:val="20"/>
          <w:szCs w:val="20"/>
        </w:rPr>
        <w:t xml:space="preserve"> 0.43)</w:t>
      </w:r>
      <w:r w:rsidR="00102BD9">
        <w:rPr>
          <w:rFonts w:ascii="Arial" w:hAnsi="Arial" w:cs="Arial"/>
          <w:sz w:val="20"/>
          <w:szCs w:val="20"/>
        </w:rPr>
        <w:t xml:space="preserve"> </w:t>
      </w:r>
      <w:r w:rsidR="00C14A94">
        <w:rPr>
          <w:rFonts w:ascii="Arial" w:hAnsi="Arial" w:cs="Arial"/>
          <w:sz w:val="20"/>
          <w:szCs w:val="20"/>
        </w:rPr>
        <w:t>compared to no prophylaxis</w:t>
      </w:r>
      <w:r w:rsidR="005B3C60">
        <w:rPr>
          <w:rFonts w:ascii="Arial" w:hAnsi="Arial" w:cs="Arial"/>
          <w:sz w:val="20"/>
          <w:szCs w:val="20"/>
        </w:rPr>
        <w:t xml:space="preserve"> (see table 2 for more examples)</w:t>
      </w:r>
      <w:r w:rsidR="002C55E8">
        <w:rPr>
          <w:rFonts w:ascii="Arial" w:hAnsi="Arial" w:cs="Arial"/>
          <w:sz w:val="20"/>
          <w:szCs w:val="20"/>
        </w:rPr>
        <w:t xml:space="preserve"> </w:t>
      </w:r>
      <w:r w:rsidR="005B3C60">
        <w:rPr>
          <w:rFonts w:ascii="Arial" w:hAnsi="Arial" w:cs="Arial"/>
          <w:sz w:val="20"/>
          <w:szCs w:val="20"/>
        </w:rPr>
        <w:t>This calls into question the value of combined prophylaxis in this population, which needs to be further examined in head-to-head RCTs.</w:t>
      </w:r>
    </w:p>
    <w:p w14:paraId="5E061696" w14:textId="1FBEDA68" w:rsidR="002C55E8" w:rsidRDefault="00385FFD" w:rsidP="00A03648">
      <w:pPr>
        <w:spacing w:line="480" w:lineRule="auto"/>
        <w:rPr>
          <w:rFonts w:ascii="Arial" w:hAnsi="Arial" w:cs="Arial"/>
          <w:sz w:val="20"/>
          <w:szCs w:val="20"/>
        </w:rPr>
      </w:pPr>
      <w:r>
        <w:rPr>
          <w:rFonts w:ascii="Arial" w:hAnsi="Arial" w:cs="Arial"/>
          <w:sz w:val="20"/>
          <w:szCs w:val="20"/>
        </w:rPr>
        <w:t>T</w:t>
      </w:r>
      <w:r w:rsidR="002C55E8">
        <w:rPr>
          <w:rFonts w:ascii="Arial" w:hAnsi="Arial" w:cs="Arial"/>
          <w:sz w:val="20"/>
          <w:szCs w:val="20"/>
        </w:rPr>
        <w:t xml:space="preserve">he use of aspirin for VTE prophylaxis has been </w:t>
      </w:r>
      <w:r w:rsidR="00954027">
        <w:rPr>
          <w:rFonts w:ascii="Arial" w:hAnsi="Arial" w:cs="Arial"/>
          <w:sz w:val="20"/>
          <w:szCs w:val="20"/>
        </w:rPr>
        <w:t>associated with contention and much-discussion</w:t>
      </w:r>
      <w:r w:rsidRPr="00385FFD">
        <w:rPr>
          <w:rFonts w:ascii="Arial" w:hAnsi="Arial" w:cs="Arial"/>
          <w:sz w:val="20"/>
          <w:szCs w:val="20"/>
        </w:rPr>
        <w:t xml:space="preserve"> </w:t>
      </w:r>
      <w:r>
        <w:rPr>
          <w:rFonts w:ascii="Arial" w:hAnsi="Arial" w:cs="Arial"/>
          <w:sz w:val="20"/>
          <w:szCs w:val="20"/>
        </w:rPr>
        <w:t xml:space="preserve">due to the uncertainty around </w:t>
      </w:r>
      <w:r w:rsidR="00454E98">
        <w:rPr>
          <w:rFonts w:ascii="Arial" w:hAnsi="Arial" w:cs="Arial"/>
          <w:sz w:val="20"/>
          <w:szCs w:val="20"/>
        </w:rPr>
        <w:t xml:space="preserve">its </w:t>
      </w:r>
      <w:r w:rsidR="007A0AA7">
        <w:rPr>
          <w:rFonts w:ascii="Arial" w:hAnsi="Arial" w:cs="Arial"/>
          <w:sz w:val="20"/>
          <w:szCs w:val="20"/>
        </w:rPr>
        <w:t>efficacy in VTE prevention.</w:t>
      </w:r>
      <w:r w:rsidR="0095655B">
        <w:rPr>
          <w:rFonts w:ascii="Arial" w:hAnsi="Arial" w:cs="Arial"/>
          <w:noProof/>
          <w:sz w:val="20"/>
          <w:szCs w:val="20"/>
        </w:rPr>
        <w:t>(52)</w:t>
      </w:r>
      <w:r>
        <w:rPr>
          <w:rFonts w:ascii="Arial" w:hAnsi="Arial" w:cs="Arial"/>
          <w:sz w:val="20"/>
          <w:szCs w:val="20"/>
        </w:rPr>
        <w:t xml:space="preserve"> However, within the orthopaedic community aspirin has been supported for </w:t>
      </w:r>
      <w:r w:rsidR="00E306CE">
        <w:rPr>
          <w:rFonts w:ascii="Arial" w:hAnsi="Arial" w:cs="Arial"/>
          <w:sz w:val="20"/>
          <w:szCs w:val="20"/>
        </w:rPr>
        <w:t xml:space="preserve">surgical </w:t>
      </w:r>
      <w:r>
        <w:rPr>
          <w:rFonts w:ascii="Arial" w:hAnsi="Arial" w:cs="Arial"/>
          <w:sz w:val="20"/>
          <w:szCs w:val="20"/>
        </w:rPr>
        <w:t xml:space="preserve">populations such as </w:t>
      </w:r>
      <w:r w:rsidR="00E306CE">
        <w:rPr>
          <w:rFonts w:ascii="Arial" w:hAnsi="Arial" w:cs="Arial"/>
          <w:sz w:val="20"/>
          <w:szCs w:val="20"/>
        </w:rPr>
        <w:t xml:space="preserve">the </w:t>
      </w:r>
      <w:proofErr w:type="spellStart"/>
      <w:r>
        <w:rPr>
          <w:rFonts w:ascii="Arial" w:hAnsi="Arial" w:cs="Arial"/>
          <w:sz w:val="20"/>
          <w:szCs w:val="20"/>
        </w:rPr>
        <w:t>eTKR</w:t>
      </w:r>
      <w:proofErr w:type="spellEnd"/>
      <w:r w:rsidR="00E306CE">
        <w:rPr>
          <w:rFonts w:ascii="Arial" w:hAnsi="Arial" w:cs="Arial"/>
          <w:sz w:val="20"/>
          <w:szCs w:val="20"/>
        </w:rPr>
        <w:t xml:space="preserve"> population</w:t>
      </w:r>
      <w:r w:rsidR="007A0AA7">
        <w:rPr>
          <w:rFonts w:ascii="Arial" w:hAnsi="Arial" w:cs="Arial"/>
          <w:sz w:val="20"/>
          <w:szCs w:val="20"/>
        </w:rPr>
        <w:t>.</w:t>
      </w:r>
      <w:r w:rsidR="0095655B">
        <w:rPr>
          <w:rFonts w:ascii="Arial" w:hAnsi="Arial" w:cs="Arial"/>
          <w:noProof/>
          <w:sz w:val="20"/>
          <w:szCs w:val="20"/>
        </w:rPr>
        <w:t>(21)</w:t>
      </w:r>
      <w:r>
        <w:rPr>
          <w:rFonts w:ascii="Arial" w:hAnsi="Arial" w:cs="Arial"/>
          <w:sz w:val="20"/>
          <w:szCs w:val="20"/>
        </w:rPr>
        <w:t xml:space="preserve"> </w:t>
      </w:r>
      <w:r w:rsidR="00954027">
        <w:rPr>
          <w:rFonts w:ascii="Arial" w:hAnsi="Arial" w:cs="Arial"/>
          <w:sz w:val="20"/>
          <w:szCs w:val="20"/>
        </w:rPr>
        <w:t xml:space="preserve">The </w:t>
      </w:r>
      <w:r w:rsidR="00102BD9">
        <w:rPr>
          <w:rFonts w:ascii="Arial" w:hAnsi="Arial" w:cs="Arial"/>
          <w:sz w:val="20"/>
          <w:szCs w:val="20"/>
        </w:rPr>
        <w:t>network meta-</w:t>
      </w:r>
      <w:r w:rsidR="007B0AD7">
        <w:rPr>
          <w:rFonts w:ascii="Arial" w:hAnsi="Arial" w:cs="Arial"/>
          <w:sz w:val="20"/>
          <w:szCs w:val="20"/>
        </w:rPr>
        <w:t>analysis</w:t>
      </w:r>
      <w:r w:rsidR="00102BD9">
        <w:rPr>
          <w:rFonts w:ascii="Arial" w:hAnsi="Arial" w:cs="Arial"/>
          <w:sz w:val="20"/>
          <w:szCs w:val="20"/>
        </w:rPr>
        <w:t xml:space="preserve"> </w:t>
      </w:r>
      <w:r w:rsidR="00954027">
        <w:rPr>
          <w:rFonts w:ascii="Arial" w:hAnsi="Arial" w:cs="Arial"/>
          <w:sz w:val="20"/>
          <w:szCs w:val="20"/>
        </w:rPr>
        <w:t xml:space="preserve">conducted </w:t>
      </w:r>
      <w:r w:rsidR="00CC40F9">
        <w:rPr>
          <w:rFonts w:ascii="Arial" w:hAnsi="Arial" w:cs="Arial"/>
          <w:sz w:val="20"/>
          <w:szCs w:val="20"/>
        </w:rPr>
        <w:t xml:space="preserve">for </w:t>
      </w:r>
      <w:r w:rsidR="00B5690F">
        <w:rPr>
          <w:rFonts w:ascii="Arial" w:hAnsi="Arial" w:cs="Arial"/>
          <w:sz w:val="20"/>
          <w:szCs w:val="20"/>
        </w:rPr>
        <w:t xml:space="preserve">the </w:t>
      </w:r>
      <w:r w:rsidR="00CC40F9">
        <w:rPr>
          <w:rFonts w:ascii="Arial" w:hAnsi="Arial" w:cs="Arial"/>
          <w:sz w:val="20"/>
          <w:szCs w:val="20"/>
        </w:rPr>
        <w:t xml:space="preserve">DVT </w:t>
      </w:r>
      <w:r w:rsidR="00B5690F">
        <w:rPr>
          <w:rFonts w:ascii="Arial" w:hAnsi="Arial" w:cs="Arial"/>
          <w:sz w:val="20"/>
          <w:szCs w:val="20"/>
        </w:rPr>
        <w:t xml:space="preserve">outcome </w:t>
      </w:r>
      <w:r w:rsidR="00954027">
        <w:rPr>
          <w:rFonts w:ascii="Arial" w:hAnsi="Arial" w:cs="Arial"/>
          <w:sz w:val="20"/>
          <w:szCs w:val="20"/>
        </w:rPr>
        <w:t>suggests that</w:t>
      </w:r>
      <w:r w:rsidR="002C55E8">
        <w:rPr>
          <w:rFonts w:ascii="Arial" w:hAnsi="Arial" w:cs="Arial"/>
          <w:sz w:val="20"/>
          <w:szCs w:val="20"/>
        </w:rPr>
        <w:t xml:space="preserve"> </w:t>
      </w:r>
      <w:r w:rsidR="00954027">
        <w:rPr>
          <w:rFonts w:ascii="Arial" w:hAnsi="Arial" w:cs="Arial"/>
          <w:sz w:val="20"/>
          <w:szCs w:val="20"/>
        </w:rPr>
        <w:t>aspirin could in fact be effective in reducing DVT</w:t>
      </w:r>
      <w:r w:rsidR="007B0AD7">
        <w:rPr>
          <w:rFonts w:ascii="Arial" w:hAnsi="Arial" w:cs="Arial"/>
          <w:sz w:val="20"/>
          <w:szCs w:val="20"/>
        </w:rPr>
        <w:t>, where it ranked better than some LMWH-based strategies</w:t>
      </w:r>
      <w:r w:rsidR="00954027">
        <w:rPr>
          <w:rFonts w:ascii="Arial" w:hAnsi="Arial" w:cs="Arial"/>
          <w:sz w:val="20"/>
          <w:szCs w:val="20"/>
        </w:rPr>
        <w:t xml:space="preserve">. Unfortunately, there </w:t>
      </w:r>
      <w:r w:rsidR="00102BD9">
        <w:rPr>
          <w:rFonts w:ascii="Arial" w:hAnsi="Arial" w:cs="Arial"/>
          <w:sz w:val="20"/>
          <w:szCs w:val="20"/>
        </w:rPr>
        <w:t xml:space="preserve">were </w:t>
      </w:r>
      <w:r w:rsidR="00954027">
        <w:rPr>
          <w:rFonts w:ascii="Arial" w:hAnsi="Arial" w:cs="Arial"/>
          <w:sz w:val="20"/>
          <w:szCs w:val="20"/>
        </w:rPr>
        <w:t xml:space="preserve">no </w:t>
      </w:r>
      <w:r w:rsidR="00454E98">
        <w:rPr>
          <w:rFonts w:ascii="Arial" w:hAnsi="Arial" w:cs="Arial"/>
          <w:sz w:val="20"/>
          <w:szCs w:val="20"/>
        </w:rPr>
        <w:t>MB</w:t>
      </w:r>
      <w:r w:rsidR="00954027">
        <w:rPr>
          <w:rFonts w:ascii="Arial" w:hAnsi="Arial" w:cs="Arial"/>
          <w:sz w:val="20"/>
          <w:szCs w:val="20"/>
        </w:rPr>
        <w:t xml:space="preserve"> </w:t>
      </w:r>
      <w:r w:rsidR="00454E98">
        <w:rPr>
          <w:rFonts w:ascii="Arial" w:hAnsi="Arial" w:cs="Arial"/>
          <w:sz w:val="20"/>
          <w:szCs w:val="20"/>
        </w:rPr>
        <w:t xml:space="preserve">data reported in the aspirin trials to allow its inclusion in the MB </w:t>
      </w:r>
      <w:r w:rsidR="00954027">
        <w:rPr>
          <w:rFonts w:ascii="Arial" w:hAnsi="Arial" w:cs="Arial"/>
          <w:sz w:val="20"/>
          <w:szCs w:val="20"/>
        </w:rPr>
        <w:t>network</w:t>
      </w:r>
      <w:r w:rsidR="002E1C67">
        <w:rPr>
          <w:rFonts w:ascii="Arial" w:hAnsi="Arial" w:cs="Arial"/>
          <w:sz w:val="20"/>
          <w:szCs w:val="20"/>
        </w:rPr>
        <w:t>.</w:t>
      </w:r>
      <w:r w:rsidR="00454E98">
        <w:rPr>
          <w:rFonts w:ascii="Arial" w:hAnsi="Arial" w:cs="Arial"/>
          <w:sz w:val="20"/>
          <w:szCs w:val="20"/>
        </w:rPr>
        <w:t xml:space="preserve"> The availability of such data would enable us to assess the benefit-risk balance of using aspirin as VTE prophylaxis strategy in this population.</w:t>
      </w:r>
    </w:p>
    <w:p w14:paraId="3F56F89D" w14:textId="023275F3" w:rsidR="00D26E81" w:rsidRDefault="00B5690F" w:rsidP="00A03648">
      <w:pPr>
        <w:spacing w:line="480" w:lineRule="auto"/>
        <w:rPr>
          <w:rFonts w:ascii="Arial" w:hAnsi="Arial" w:cs="Arial"/>
          <w:sz w:val="20"/>
          <w:szCs w:val="20"/>
        </w:rPr>
      </w:pPr>
      <w:r>
        <w:rPr>
          <w:rFonts w:ascii="Arial" w:hAnsi="Arial" w:cs="Arial"/>
          <w:sz w:val="20"/>
          <w:szCs w:val="20"/>
        </w:rPr>
        <w:t>DOACs,</w:t>
      </w:r>
      <w:r w:rsidR="0066085D">
        <w:rPr>
          <w:rFonts w:ascii="Arial" w:hAnsi="Arial" w:cs="Arial"/>
          <w:sz w:val="20"/>
          <w:szCs w:val="20"/>
        </w:rPr>
        <w:t xml:space="preserve"> </w:t>
      </w:r>
      <w:r>
        <w:rPr>
          <w:rFonts w:ascii="Arial" w:hAnsi="Arial" w:cs="Arial"/>
          <w:sz w:val="20"/>
          <w:szCs w:val="20"/>
        </w:rPr>
        <w:t xml:space="preserve">including </w:t>
      </w:r>
      <w:r w:rsidR="0066085D">
        <w:rPr>
          <w:rFonts w:ascii="Arial" w:hAnsi="Arial" w:cs="Arial"/>
          <w:sz w:val="20"/>
          <w:szCs w:val="20"/>
        </w:rPr>
        <w:t>rivaroxaban, apixaban and dabigatran</w:t>
      </w:r>
      <w:r>
        <w:rPr>
          <w:rFonts w:ascii="Arial" w:hAnsi="Arial" w:cs="Arial"/>
          <w:sz w:val="20"/>
          <w:szCs w:val="20"/>
        </w:rPr>
        <w:t>,</w:t>
      </w:r>
      <w:r w:rsidR="0066085D">
        <w:rPr>
          <w:rFonts w:ascii="Arial" w:hAnsi="Arial" w:cs="Arial"/>
          <w:sz w:val="20"/>
          <w:szCs w:val="20"/>
        </w:rPr>
        <w:t xml:space="preserve"> </w:t>
      </w:r>
      <w:r w:rsidR="00DA305C">
        <w:rPr>
          <w:rFonts w:ascii="Arial" w:hAnsi="Arial" w:cs="Arial"/>
          <w:sz w:val="20"/>
          <w:szCs w:val="20"/>
        </w:rPr>
        <w:t>have been recommended by NICE in technology appraisals (TA287, TA327 and TA341) as prophylaxis strategies</w:t>
      </w:r>
      <w:r w:rsidR="007A0AA7">
        <w:rPr>
          <w:rFonts w:ascii="Arial" w:hAnsi="Arial" w:cs="Arial"/>
          <w:sz w:val="20"/>
          <w:szCs w:val="20"/>
        </w:rPr>
        <w:t xml:space="preserve"> in the </w:t>
      </w:r>
      <w:proofErr w:type="spellStart"/>
      <w:r w:rsidR="007A0AA7">
        <w:rPr>
          <w:rFonts w:ascii="Arial" w:hAnsi="Arial" w:cs="Arial"/>
          <w:sz w:val="20"/>
          <w:szCs w:val="20"/>
        </w:rPr>
        <w:t>eTKR</w:t>
      </w:r>
      <w:proofErr w:type="spellEnd"/>
      <w:r w:rsidR="007A0AA7">
        <w:rPr>
          <w:rFonts w:ascii="Arial" w:hAnsi="Arial" w:cs="Arial"/>
          <w:sz w:val="20"/>
          <w:szCs w:val="20"/>
        </w:rPr>
        <w:t xml:space="preserve"> surgery population.</w:t>
      </w:r>
      <w:r w:rsidR="0095655B">
        <w:rPr>
          <w:rFonts w:ascii="Arial" w:hAnsi="Arial" w:cs="Arial"/>
          <w:noProof/>
          <w:sz w:val="20"/>
          <w:szCs w:val="20"/>
        </w:rPr>
        <w:t>(53-55)</w:t>
      </w:r>
      <w:r w:rsidR="007A0AA7">
        <w:rPr>
          <w:rFonts w:ascii="Arial" w:hAnsi="Arial" w:cs="Arial"/>
          <w:sz w:val="20"/>
          <w:szCs w:val="20"/>
        </w:rPr>
        <w:t xml:space="preserve"> </w:t>
      </w:r>
      <w:r w:rsidR="000E5DEE">
        <w:rPr>
          <w:rFonts w:ascii="Arial" w:hAnsi="Arial" w:cs="Arial"/>
          <w:sz w:val="20"/>
          <w:szCs w:val="20"/>
        </w:rPr>
        <w:t xml:space="preserve">For the DVT network, these DOACs have been ranked in the top 10 </w:t>
      </w:r>
      <w:r w:rsidR="006A0293" w:rsidRPr="006A0293">
        <w:rPr>
          <w:rFonts w:ascii="Arial" w:hAnsi="Arial" w:cs="Arial"/>
          <w:sz w:val="20"/>
          <w:szCs w:val="20"/>
        </w:rPr>
        <w:t xml:space="preserve">(in terms of median RR) </w:t>
      </w:r>
      <w:r w:rsidR="000E5DEE">
        <w:rPr>
          <w:rFonts w:ascii="Arial" w:hAnsi="Arial" w:cs="Arial"/>
          <w:sz w:val="20"/>
          <w:szCs w:val="20"/>
        </w:rPr>
        <w:t>with rivaroxaban and apixaban ranked as the top 2 strategies with relatively narrow c</w:t>
      </w:r>
      <w:r w:rsidR="00A91623">
        <w:rPr>
          <w:rFonts w:ascii="Arial" w:hAnsi="Arial" w:cs="Arial"/>
          <w:sz w:val="20"/>
          <w:szCs w:val="20"/>
        </w:rPr>
        <w:t>redible intervals</w:t>
      </w:r>
      <w:r w:rsidR="00733D59">
        <w:rPr>
          <w:rFonts w:ascii="Arial" w:hAnsi="Arial" w:cs="Arial"/>
          <w:sz w:val="20"/>
          <w:szCs w:val="20"/>
        </w:rPr>
        <w:t>, similar to findings from another systematic review</w:t>
      </w:r>
      <w:r w:rsidR="007A0AA7">
        <w:rPr>
          <w:rFonts w:ascii="Arial" w:hAnsi="Arial" w:cs="Arial"/>
          <w:sz w:val="20"/>
          <w:szCs w:val="20"/>
        </w:rPr>
        <w:t>.</w:t>
      </w:r>
      <w:r w:rsidR="0095655B">
        <w:rPr>
          <w:rFonts w:ascii="Arial" w:hAnsi="Arial" w:cs="Arial"/>
          <w:noProof/>
          <w:sz w:val="20"/>
          <w:szCs w:val="20"/>
        </w:rPr>
        <w:t>(56)</w:t>
      </w:r>
      <w:r w:rsidR="00A91623">
        <w:rPr>
          <w:rFonts w:ascii="Arial" w:hAnsi="Arial" w:cs="Arial"/>
          <w:sz w:val="20"/>
          <w:szCs w:val="20"/>
        </w:rPr>
        <w:t xml:space="preserve"> Whilst </w:t>
      </w:r>
      <w:r w:rsidR="000541CF">
        <w:rPr>
          <w:rFonts w:ascii="Arial" w:hAnsi="Arial" w:cs="Arial"/>
          <w:sz w:val="20"/>
          <w:szCs w:val="20"/>
        </w:rPr>
        <w:t xml:space="preserve">all </w:t>
      </w:r>
      <w:r w:rsidR="00A91623">
        <w:rPr>
          <w:rFonts w:ascii="Arial" w:hAnsi="Arial" w:cs="Arial"/>
          <w:sz w:val="20"/>
          <w:szCs w:val="20"/>
        </w:rPr>
        <w:t xml:space="preserve">the DOACs are deemed </w:t>
      </w:r>
      <w:r w:rsidR="00454E98">
        <w:rPr>
          <w:rFonts w:ascii="Arial" w:hAnsi="Arial" w:cs="Arial"/>
          <w:sz w:val="20"/>
          <w:szCs w:val="20"/>
        </w:rPr>
        <w:t>to be</w:t>
      </w:r>
      <w:r w:rsidR="00A91623">
        <w:rPr>
          <w:rFonts w:ascii="Arial" w:hAnsi="Arial" w:cs="Arial"/>
          <w:sz w:val="20"/>
          <w:szCs w:val="20"/>
        </w:rPr>
        <w:t xml:space="preserve"> effective strategies in terms of reducing DVT, rivaroxaban </w:t>
      </w:r>
      <w:r w:rsidR="00A46C08">
        <w:rPr>
          <w:rFonts w:ascii="Arial" w:hAnsi="Arial" w:cs="Arial"/>
          <w:sz w:val="20"/>
          <w:szCs w:val="20"/>
        </w:rPr>
        <w:t xml:space="preserve">performed slightly better, based on the point estimates, compared to </w:t>
      </w:r>
      <w:r w:rsidR="00A91623">
        <w:rPr>
          <w:rFonts w:ascii="Arial" w:hAnsi="Arial" w:cs="Arial"/>
          <w:sz w:val="20"/>
          <w:szCs w:val="20"/>
        </w:rPr>
        <w:t>apixaban and dabigatran</w:t>
      </w:r>
      <w:r w:rsidR="00257BA5">
        <w:rPr>
          <w:rFonts w:ascii="Arial" w:hAnsi="Arial" w:cs="Arial"/>
          <w:sz w:val="20"/>
          <w:szCs w:val="20"/>
        </w:rPr>
        <w:t xml:space="preserve"> (RR: 0.12, 0.15 and 0.25 respectively</w:t>
      </w:r>
      <w:r w:rsidR="002E1C67">
        <w:rPr>
          <w:rFonts w:ascii="Arial" w:hAnsi="Arial" w:cs="Arial"/>
          <w:sz w:val="20"/>
          <w:szCs w:val="20"/>
        </w:rPr>
        <w:t>)</w:t>
      </w:r>
      <w:r w:rsidR="00A91623">
        <w:rPr>
          <w:rFonts w:ascii="Arial" w:hAnsi="Arial" w:cs="Arial"/>
          <w:sz w:val="20"/>
          <w:szCs w:val="20"/>
        </w:rPr>
        <w:t>.</w:t>
      </w:r>
      <w:r w:rsidR="00D26E81">
        <w:rPr>
          <w:rFonts w:ascii="Arial" w:hAnsi="Arial" w:cs="Arial"/>
          <w:sz w:val="20"/>
          <w:szCs w:val="20"/>
        </w:rPr>
        <w:t xml:space="preserve"> </w:t>
      </w:r>
    </w:p>
    <w:p w14:paraId="7147EBB0" w14:textId="05CE4844" w:rsidR="000541CF" w:rsidRDefault="004B573D" w:rsidP="00F02BE3">
      <w:pPr>
        <w:spacing w:line="480" w:lineRule="auto"/>
        <w:rPr>
          <w:rFonts w:ascii="Arial" w:hAnsi="Arial" w:cs="Arial"/>
          <w:sz w:val="20"/>
          <w:szCs w:val="20"/>
        </w:rPr>
      </w:pPr>
      <w:r>
        <w:rPr>
          <w:rFonts w:ascii="Arial" w:hAnsi="Arial" w:cs="Arial"/>
          <w:sz w:val="20"/>
          <w:szCs w:val="20"/>
        </w:rPr>
        <w:lastRenderedPageBreak/>
        <w:t xml:space="preserve">Similar to the MB network, there is </w:t>
      </w:r>
      <w:r w:rsidR="00C41190">
        <w:rPr>
          <w:rFonts w:ascii="Arial" w:hAnsi="Arial" w:cs="Arial"/>
          <w:sz w:val="20"/>
          <w:szCs w:val="20"/>
        </w:rPr>
        <w:t>significant</w:t>
      </w:r>
      <w:r>
        <w:rPr>
          <w:rFonts w:ascii="Arial" w:hAnsi="Arial" w:cs="Arial"/>
          <w:sz w:val="20"/>
          <w:szCs w:val="20"/>
        </w:rPr>
        <w:t xml:space="preserve"> uncertainty </w:t>
      </w:r>
      <w:r w:rsidR="00252D31">
        <w:rPr>
          <w:rFonts w:ascii="Arial" w:hAnsi="Arial" w:cs="Arial"/>
          <w:sz w:val="20"/>
          <w:szCs w:val="20"/>
        </w:rPr>
        <w:t xml:space="preserve">in the PE network </w:t>
      </w:r>
      <w:r>
        <w:rPr>
          <w:rFonts w:ascii="Arial" w:hAnsi="Arial" w:cs="Arial"/>
          <w:sz w:val="20"/>
          <w:szCs w:val="20"/>
        </w:rPr>
        <w:t xml:space="preserve">with </w:t>
      </w:r>
      <w:r w:rsidR="00252D31">
        <w:rPr>
          <w:rFonts w:ascii="Arial" w:hAnsi="Arial" w:cs="Arial"/>
          <w:sz w:val="20"/>
          <w:szCs w:val="20"/>
        </w:rPr>
        <w:t xml:space="preserve">the </w:t>
      </w:r>
      <w:r>
        <w:rPr>
          <w:rFonts w:ascii="Arial" w:hAnsi="Arial" w:cs="Arial"/>
          <w:sz w:val="20"/>
          <w:szCs w:val="20"/>
        </w:rPr>
        <w:t xml:space="preserve">majority of the credible intervals spanning across all of the rank positions. This is consistent with previous </w:t>
      </w:r>
      <w:r w:rsidR="00A8036E">
        <w:rPr>
          <w:rFonts w:ascii="Arial" w:hAnsi="Arial" w:cs="Arial"/>
          <w:sz w:val="20"/>
          <w:szCs w:val="20"/>
        </w:rPr>
        <w:t>network meta-analyses</w:t>
      </w:r>
      <w:r>
        <w:rPr>
          <w:rFonts w:ascii="Arial" w:hAnsi="Arial" w:cs="Arial"/>
          <w:sz w:val="20"/>
          <w:szCs w:val="20"/>
        </w:rPr>
        <w:t xml:space="preserve"> in this </w:t>
      </w:r>
      <w:r w:rsidR="007F3CF9">
        <w:rPr>
          <w:rFonts w:ascii="Arial" w:hAnsi="Arial" w:cs="Arial"/>
          <w:sz w:val="20"/>
          <w:szCs w:val="20"/>
        </w:rPr>
        <w:t>area</w:t>
      </w:r>
      <w:r>
        <w:rPr>
          <w:rFonts w:ascii="Arial" w:hAnsi="Arial" w:cs="Arial"/>
          <w:sz w:val="20"/>
          <w:szCs w:val="20"/>
        </w:rPr>
        <w:t xml:space="preserve"> </w:t>
      </w:r>
      <w:r w:rsidR="00454E98">
        <w:rPr>
          <w:rFonts w:ascii="Arial" w:hAnsi="Arial" w:cs="Arial"/>
          <w:sz w:val="20"/>
          <w:szCs w:val="20"/>
        </w:rPr>
        <w:t xml:space="preserve">and is a result of the rarity of </w:t>
      </w:r>
      <w:r w:rsidR="000F38B4">
        <w:rPr>
          <w:rFonts w:ascii="Arial" w:hAnsi="Arial" w:cs="Arial"/>
          <w:sz w:val="20"/>
          <w:szCs w:val="20"/>
        </w:rPr>
        <w:t xml:space="preserve">these </w:t>
      </w:r>
      <w:r w:rsidR="007A0AA7">
        <w:rPr>
          <w:rFonts w:ascii="Arial" w:hAnsi="Arial" w:cs="Arial"/>
          <w:sz w:val="20"/>
          <w:szCs w:val="20"/>
        </w:rPr>
        <w:t xml:space="preserve">events in the included </w:t>
      </w:r>
      <w:proofErr w:type="gramStart"/>
      <w:r w:rsidR="000F38B4">
        <w:rPr>
          <w:rFonts w:ascii="Arial" w:hAnsi="Arial" w:cs="Arial"/>
          <w:sz w:val="20"/>
          <w:szCs w:val="20"/>
        </w:rPr>
        <w:t>trials</w:t>
      </w:r>
      <w:r w:rsidR="007A0AA7" w:rsidRPr="00C620FA">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4, 12)</w:t>
      </w:r>
      <w:r w:rsidR="00A96BEB">
        <w:rPr>
          <w:rFonts w:ascii="Arial" w:hAnsi="Arial" w:cs="Arial"/>
          <w:sz w:val="20"/>
          <w:szCs w:val="20"/>
        </w:rPr>
        <w:t xml:space="preserve"> This uncertainty makes it difficult to draw firm conclusions </w:t>
      </w:r>
      <w:r w:rsidR="005B3C60">
        <w:rPr>
          <w:rFonts w:ascii="Arial" w:hAnsi="Arial" w:cs="Arial"/>
          <w:sz w:val="20"/>
          <w:szCs w:val="20"/>
        </w:rPr>
        <w:t xml:space="preserve">based on the results of these two networks. </w:t>
      </w:r>
    </w:p>
    <w:p w14:paraId="26C670F1" w14:textId="7974F283" w:rsidR="00BF1E07" w:rsidRDefault="00932C0A" w:rsidP="00BF1E07">
      <w:pPr>
        <w:spacing w:line="480" w:lineRule="auto"/>
        <w:rPr>
          <w:rFonts w:ascii="Arial" w:hAnsi="Arial" w:cs="Arial"/>
          <w:sz w:val="20"/>
          <w:szCs w:val="20"/>
        </w:rPr>
      </w:pPr>
      <w:r>
        <w:rPr>
          <w:rFonts w:ascii="Arial" w:hAnsi="Arial" w:cs="Arial"/>
          <w:sz w:val="20"/>
          <w:szCs w:val="20"/>
        </w:rPr>
        <w:t xml:space="preserve">Ten </w:t>
      </w:r>
      <w:r w:rsidR="00011356">
        <w:rPr>
          <w:rFonts w:ascii="Arial" w:hAnsi="Arial" w:cs="Arial"/>
          <w:sz w:val="20"/>
          <w:szCs w:val="20"/>
        </w:rPr>
        <w:t xml:space="preserve">pharmacological </w:t>
      </w:r>
      <w:r w:rsidR="009E34D6">
        <w:rPr>
          <w:rFonts w:ascii="Arial" w:hAnsi="Arial" w:cs="Arial"/>
          <w:sz w:val="20"/>
          <w:szCs w:val="20"/>
        </w:rPr>
        <w:t>prophylaxis strategies</w:t>
      </w:r>
      <w:r w:rsidR="00011356">
        <w:rPr>
          <w:rFonts w:ascii="Arial" w:hAnsi="Arial" w:cs="Arial"/>
          <w:sz w:val="20"/>
          <w:szCs w:val="20"/>
        </w:rPr>
        <w:t xml:space="preserve"> were assessed for the MB network - </w:t>
      </w:r>
      <w:r w:rsidR="00033C63">
        <w:rPr>
          <w:rFonts w:ascii="Arial" w:hAnsi="Arial" w:cs="Arial"/>
          <w:sz w:val="20"/>
          <w:szCs w:val="20"/>
        </w:rPr>
        <w:t xml:space="preserve">for this outcome </w:t>
      </w:r>
      <w:r w:rsidR="00A03648" w:rsidRPr="00A03648">
        <w:rPr>
          <w:rFonts w:ascii="Arial" w:hAnsi="Arial" w:cs="Arial"/>
          <w:sz w:val="20"/>
          <w:szCs w:val="20"/>
        </w:rPr>
        <w:t xml:space="preserve">mechanical prophylaxis </w:t>
      </w:r>
      <w:r w:rsidR="004A4DE0">
        <w:rPr>
          <w:rFonts w:ascii="Arial" w:hAnsi="Arial" w:cs="Arial"/>
          <w:sz w:val="20"/>
          <w:szCs w:val="20"/>
        </w:rPr>
        <w:t xml:space="preserve">strategies </w:t>
      </w:r>
      <w:r w:rsidR="00A03648" w:rsidRPr="00A03648">
        <w:rPr>
          <w:rFonts w:ascii="Arial" w:hAnsi="Arial" w:cs="Arial"/>
          <w:sz w:val="20"/>
          <w:szCs w:val="20"/>
        </w:rPr>
        <w:t xml:space="preserve">were combined with the </w:t>
      </w:r>
      <w:r w:rsidR="00257BA5">
        <w:rPr>
          <w:rFonts w:ascii="Arial" w:hAnsi="Arial" w:cs="Arial"/>
          <w:sz w:val="20"/>
          <w:szCs w:val="20"/>
        </w:rPr>
        <w:t>“</w:t>
      </w:r>
      <w:r w:rsidR="00A03648" w:rsidRPr="00A03648">
        <w:rPr>
          <w:rFonts w:ascii="Arial" w:hAnsi="Arial" w:cs="Arial"/>
          <w:sz w:val="20"/>
          <w:szCs w:val="20"/>
        </w:rPr>
        <w:t>no prophylaxis</w:t>
      </w:r>
      <w:r w:rsidR="00257BA5">
        <w:rPr>
          <w:rFonts w:ascii="Arial" w:hAnsi="Arial" w:cs="Arial"/>
          <w:sz w:val="20"/>
          <w:szCs w:val="20"/>
        </w:rPr>
        <w:t xml:space="preserve">” intervention and treated as </w:t>
      </w:r>
      <w:r w:rsidR="00E2561E">
        <w:rPr>
          <w:rFonts w:ascii="Arial" w:hAnsi="Arial" w:cs="Arial"/>
          <w:sz w:val="20"/>
          <w:szCs w:val="20"/>
        </w:rPr>
        <w:t>equivalent</w:t>
      </w:r>
      <w:r w:rsidR="00E35C09">
        <w:rPr>
          <w:rFonts w:ascii="Arial" w:hAnsi="Arial" w:cs="Arial"/>
          <w:sz w:val="20"/>
          <w:szCs w:val="20"/>
        </w:rPr>
        <w:t xml:space="preserve">. This is biologically plausible as these strategies </w:t>
      </w:r>
      <w:r w:rsidR="008921B0">
        <w:rPr>
          <w:rFonts w:ascii="Arial" w:hAnsi="Arial" w:cs="Arial"/>
          <w:sz w:val="20"/>
          <w:szCs w:val="20"/>
        </w:rPr>
        <w:t>are unlikely to affect</w:t>
      </w:r>
      <w:r w:rsidR="00E35C09">
        <w:rPr>
          <w:rFonts w:ascii="Arial" w:hAnsi="Arial" w:cs="Arial"/>
          <w:sz w:val="20"/>
          <w:szCs w:val="20"/>
        </w:rPr>
        <w:t xml:space="preserve"> </w:t>
      </w:r>
      <w:r w:rsidR="008921B0">
        <w:rPr>
          <w:rFonts w:ascii="Arial" w:hAnsi="Arial" w:cs="Arial"/>
          <w:sz w:val="20"/>
          <w:szCs w:val="20"/>
        </w:rPr>
        <w:t>bleeding</w:t>
      </w:r>
      <w:r w:rsidR="00A03648" w:rsidRPr="00A03648">
        <w:rPr>
          <w:rFonts w:ascii="Arial" w:hAnsi="Arial" w:cs="Arial"/>
          <w:sz w:val="20"/>
          <w:szCs w:val="20"/>
        </w:rPr>
        <w:t>.</w:t>
      </w:r>
      <w:r w:rsidR="00F63691">
        <w:rPr>
          <w:rFonts w:ascii="Arial" w:hAnsi="Arial" w:cs="Arial"/>
          <w:sz w:val="20"/>
          <w:szCs w:val="20"/>
        </w:rPr>
        <w:t xml:space="preserve"> </w:t>
      </w:r>
      <w:r w:rsidR="0095655B">
        <w:rPr>
          <w:rFonts w:ascii="Arial" w:hAnsi="Arial" w:cs="Arial"/>
          <w:noProof/>
          <w:sz w:val="20"/>
          <w:szCs w:val="20"/>
        </w:rPr>
        <w:t>(10)</w:t>
      </w:r>
    </w:p>
    <w:p w14:paraId="0DD3BBAD" w14:textId="69723CDB" w:rsidR="001E5349" w:rsidRDefault="009424E7" w:rsidP="00F1288D">
      <w:pPr>
        <w:spacing w:line="480" w:lineRule="auto"/>
        <w:rPr>
          <w:rFonts w:ascii="Arial" w:hAnsi="Arial" w:cs="Arial"/>
          <w:sz w:val="20"/>
          <w:szCs w:val="20"/>
        </w:rPr>
      </w:pPr>
      <w:r>
        <w:rPr>
          <w:rFonts w:ascii="Arial" w:hAnsi="Arial" w:cs="Arial"/>
          <w:sz w:val="20"/>
          <w:szCs w:val="20"/>
        </w:rPr>
        <w:t xml:space="preserve">It was noted that </w:t>
      </w:r>
      <w:r w:rsidR="003459C2">
        <w:rPr>
          <w:rFonts w:ascii="Arial" w:hAnsi="Arial" w:cs="Arial"/>
          <w:sz w:val="20"/>
          <w:szCs w:val="20"/>
        </w:rPr>
        <w:t xml:space="preserve">there was </w:t>
      </w:r>
      <w:r w:rsidR="00B15578">
        <w:rPr>
          <w:rFonts w:ascii="Arial" w:hAnsi="Arial" w:cs="Arial"/>
          <w:sz w:val="20"/>
          <w:szCs w:val="20"/>
        </w:rPr>
        <w:t>variation</w:t>
      </w:r>
      <w:r w:rsidR="003459C2">
        <w:rPr>
          <w:rFonts w:ascii="Arial" w:hAnsi="Arial" w:cs="Arial"/>
          <w:sz w:val="20"/>
          <w:szCs w:val="20"/>
        </w:rPr>
        <w:t xml:space="preserve"> in the MB definitions used in </w:t>
      </w:r>
      <w:r>
        <w:rPr>
          <w:rFonts w:ascii="Arial" w:hAnsi="Arial" w:cs="Arial"/>
          <w:sz w:val="20"/>
          <w:szCs w:val="20"/>
        </w:rPr>
        <w:t xml:space="preserve">studies included </w:t>
      </w:r>
      <w:r w:rsidR="003459C2">
        <w:rPr>
          <w:rFonts w:ascii="Arial" w:hAnsi="Arial" w:cs="Arial"/>
          <w:sz w:val="20"/>
          <w:szCs w:val="20"/>
        </w:rPr>
        <w:t xml:space="preserve">in </w:t>
      </w:r>
      <w:r>
        <w:rPr>
          <w:rFonts w:ascii="Arial" w:hAnsi="Arial" w:cs="Arial"/>
          <w:sz w:val="20"/>
          <w:szCs w:val="20"/>
        </w:rPr>
        <w:t xml:space="preserve">the </w:t>
      </w:r>
      <w:r w:rsidR="00B15578">
        <w:rPr>
          <w:rFonts w:ascii="Arial" w:hAnsi="Arial" w:cs="Arial"/>
          <w:sz w:val="20"/>
          <w:szCs w:val="20"/>
        </w:rPr>
        <w:t xml:space="preserve">MB </w:t>
      </w:r>
      <w:r w:rsidR="0017307E">
        <w:rPr>
          <w:rFonts w:ascii="Arial" w:hAnsi="Arial" w:cs="Arial"/>
          <w:sz w:val="20"/>
          <w:szCs w:val="20"/>
        </w:rPr>
        <w:t>network meta-analysis</w:t>
      </w:r>
      <w:r w:rsidR="00B15578">
        <w:rPr>
          <w:rFonts w:ascii="Arial" w:hAnsi="Arial" w:cs="Arial"/>
          <w:sz w:val="20"/>
          <w:szCs w:val="20"/>
        </w:rPr>
        <w:t>. A majority of the studies reported overlapping definitions including overt bleeding requiring a transfusion of 2 or more units of blood</w:t>
      </w:r>
      <w:r w:rsidR="00512820">
        <w:rPr>
          <w:rFonts w:ascii="Arial" w:hAnsi="Arial" w:cs="Arial"/>
          <w:sz w:val="20"/>
          <w:szCs w:val="20"/>
        </w:rPr>
        <w:t xml:space="preserve"> and bleeding that was fatal</w:t>
      </w:r>
      <w:r w:rsidR="00B15578">
        <w:rPr>
          <w:rFonts w:ascii="Arial" w:hAnsi="Arial" w:cs="Arial"/>
          <w:sz w:val="20"/>
          <w:szCs w:val="20"/>
        </w:rPr>
        <w:t xml:space="preserve">. Three of the included studies did not report an explicit definition for MB. </w:t>
      </w:r>
      <w:r w:rsidR="008E596D">
        <w:rPr>
          <w:rFonts w:ascii="Arial" w:hAnsi="Arial" w:cs="Arial"/>
          <w:sz w:val="20"/>
          <w:szCs w:val="20"/>
        </w:rPr>
        <w:t>C</w:t>
      </w:r>
      <w:r w:rsidR="00CE6ACB">
        <w:rPr>
          <w:rFonts w:ascii="Arial" w:hAnsi="Arial" w:cs="Arial"/>
          <w:sz w:val="20"/>
          <w:szCs w:val="20"/>
        </w:rPr>
        <w:t xml:space="preserve">onsistency in the reporting of outcome definitions is essential for accurate interpretations of </w:t>
      </w:r>
      <w:r w:rsidR="0067781E">
        <w:rPr>
          <w:rFonts w:ascii="Arial" w:hAnsi="Arial" w:cs="Arial"/>
          <w:sz w:val="20"/>
          <w:szCs w:val="20"/>
        </w:rPr>
        <w:t>results;</w:t>
      </w:r>
      <w:r w:rsidR="000A4719">
        <w:rPr>
          <w:rFonts w:ascii="Arial" w:hAnsi="Arial" w:cs="Arial"/>
          <w:sz w:val="20"/>
          <w:szCs w:val="20"/>
        </w:rPr>
        <w:t xml:space="preserve"> this applies to other outcomes also</w:t>
      </w:r>
      <w:r w:rsidR="00CE6ACB">
        <w:rPr>
          <w:rFonts w:ascii="Arial" w:hAnsi="Arial" w:cs="Arial"/>
          <w:sz w:val="20"/>
          <w:szCs w:val="20"/>
        </w:rPr>
        <w:t xml:space="preserve">. </w:t>
      </w:r>
      <w:r w:rsidR="0067781E">
        <w:rPr>
          <w:rFonts w:ascii="Arial" w:hAnsi="Arial" w:cs="Arial"/>
          <w:sz w:val="20"/>
          <w:szCs w:val="20"/>
        </w:rPr>
        <w:t>Whilst, the inconsistent</w:t>
      </w:r>
      <w:r w:rsidR="003673E7">
        <w:rPr>
          <w:rFonts w:ascii="Arial" w:hAnsi="Arial" w:cs="Arial"/>
          <w:sz w:val="20"/>
          <w:szCs w:val="20"/>
        </w:rPr>
        <w:t xml:space="preserve"> reporting of MB definition did not majorly impact the </w:t>
      </w:r>
      <w:r w:rsidR="001E5349">
        <w:rPr>
          <w:rFonts w:ascii="Arial" w:hAnsi="Arial" w:cs="Arial"/>
          <w:sz w:val="20"/>
          <w:szCs w:val="20"/>
        </w:rPr>
        <w:t xml:space="preserve">network meta-analysis </w:t>
      </w:r>
      <w:r w:rsidR="003673E7">
        <w:rPr>
          <w:rFonts w:ascii="Arial" w:hAnsi="Arial" w:cs="Arial"/>
          <w:sz w:val="20"/>
          <w:szCs w:val="20"/>
        </w:rPr>
        <w:t>results and interpretation, researchers should aim to use standard</w:t>
      </w:r>
      <w:r w:rsidR="0067781E">
        <w:rPr>
          <w:rFonts w:ascii="Arial" w:hAnsi="Arial" w:cs="Arial"/>
          <w:sz w:val="20"/>
          <w:szCs w:val="20"/>
        </w:rPr>
        <w:t xml:space="preserve">ised major bleeding definitions. </w:t>
      </w:r>
      <w:r w:rsidR="0075289E">
        <w:rPr>
          <w:rFonts w:ascii="Arial" w:hAnsi="Arial" w:cs="Arial"/>
          <w:sz w:val="20"/>
          <w:szCs w:val="20"/>
        </w:rPr>
        <w:t>To give an example</w:t>
      </w:r>
      <w:r w:rsidR="0067781E">
        <w:rPr>
          <w:rFonts w:ascii="Arial" w:hAnsi="Arial" w:cs="Arial"/>
          <w:sz w:val="20"/>
          <w:szCs w:val="20"/>
        </w:rPr>
        <w:t xml:space="preserve">, </w:t>
      </w:r>
      <w:r w:rsidR="003673E7">
        <w:rPr>
          <w:rFonts w:ascii="Arial" w:hAnsi="Arial" w:cs="Arial"/>
          <w:sz w:val="20"/>
          <w:szCs w:val="20"/>
        </w:rPr>
        <w:t xml:space="preserve">the </w:t>
      </w:r>
      <w:r w:rsidR="003673E7" w:rsidRPr="003673E7">
        <w:rPr>
          <w:rFonts w:ascii="Arial" w:hAnsi="Arial" w:cs="Arial"/>
          <w:sz w:val="20"/>
          <w:szCs w:val="20"/>
        </w:rPr>
        <w:t>Subcommittee on Control of Anticoagulation of the International Society on Thrombosis and Haemostasis (ISTH)</w:t>
      </w:r>
      <w:r w:rsidR="0067781E">
        <w:rPr>
          <w:rFonts w:ascii="Arial" w:hAnsi="Arial" w:cs="Arial"/>
          <w:sz w:val="20"/>
          <w:szCs w:val="20"/>
        </w:rPr>
        <w:t xml:space="preserve"> published</w:t>
      </w:r>
      <w:r w:rsidR="005B7953">
        <w:rPr>
          <w:rFonts w:ascii="Arial" w:hAnsi="Arial" w:cs="Arial"/>
          <w:sz w:val="20"/>
          <w:szCs w:val="20"/>
        </w:rPr>
        <w:t xml:space="preserve"> an agreed MB definition in </w:t>
      </w:r>
      <w:proofErr w:type="gramStart"/>
      <w:r w:rsidR="005B7953">
        <w:rPr>
          <w:rFonts w:ascii="Arial" w:hAnsi="Arial" w:cs="Arial"/>
          <w:sz w:val="20"/>
          <w:szCs w:val="20"/>
        </w:rPr>
        <w:t>2010</w:t>
      </w:r>
      <w:r w:rsidR="003673E7">
        <w:rPr>
          <w:rFonts w:ascii="Arial" w:hAnsi="Arial" w:cs="Arial"/>
          <w:sz w:val="20"/>
          <w:szCs w:val="20"/>
        </w:rPr>
        <w:t>.</w:t>
      </w:r>
      <w:r w:rsidR="0095655B">
        <w:rPr>
          <w:rFonts w:ascii="Arial" w:hAnsi="Arial" w:cs="Arial"/>
          <w:noProof/>
          <w:sz w:val="20"/>
          <w:szCs w:val="20"/>
        </w:rPr>
        <w:t>(</w:t>
      </w:r>
      <w:proofErr w:type="gramEnd"/>
      <w:r w:rsidR="0095655B">
        <w:rPr>
          <w:rFonts w:ascii="Arial" w:hAnsi="Arial" w:cs="Arial"/>
          <w:noProof/>
          <w:sz w:val="20"/>
          <w:szCs w:val="20"/>
        </w:rPr>
        <w:t>57)</w:t>
      </w:r>
      <w:r w:rsidR="008822BB" w:rsidDel="008822BB">
        <w:rPr>
          <w:rFonts w:ascii="Arial" w:hAnsi="Arial" w:cs="Arial"/>
          <w:noProof/>
          <w:sz w:val="20"/>
          <w:szCs w:val="20"/>
        </w:rPr>
        <w:t xml:space="preserve"> </w:t>
      </w:r>
    </w:p>
    <w:p w14:paraId="5E2F808F" w14:textId="58B352E9" w:rsidR="008C09D0" w:rsidRDefault="00716A5B" w:rsidP="00716A5B">
      <w:pPr>
        <w:spacing w:line="480" w:lineRule="auto"/>
        <w:rPr>
          <w:rFonts w:ascii="Arial" w:hAnsi="Arial" w:cs="Arial"/>
          <w:sz w:val="20"/>
          <w:szCs w:val="20"/>
        </w:rPr>
      </w:pPr>
      <w:r>
        <w:rPr>
          <w:rFonts w:ascii="Arial" w:hAnsi="Arial" w:cs="Arial"/>
          <w:sz w:val="20"/>
          <w:szCs w:val="20"/>
        </w:rPr>
        <w:t>Some</w:t>
      </w:r>
      <w:r w:rsidR="001E5349">
        <w:rPr>
          <w:rFonts w:ascii="Arial" w:hAnsi="Arial" w:cs="Arial"/>
          <w:sz w:val="20"/>
          <w:szCs w:val="20"/>
        </w:rPr>
        <w:t xml:space="preserve"> limitations need to be acknowledged</w:t>
      </w:r>
      <w:r>
        <w:rPr>
          <w:rFonts w:ascii="Arial" w:hAnsi="Arial" w:cs="Arial"/>
          <w:sz w:val="20"/>
          <w:szCs w:val="20"/>
        </w:rPr>
        <w:t>, though</w:t>
      </w:r>
      <w:r w:rsidR="00932C0A">
        <w:rPr>
          <w:rFonts w:ascii="Arial" w:hAnsi="Arial" w:cs="Arial"/>
          <w:sz w:val="20"/>
          <w:szCs w:val="20"/>
        </w:rPr>
        <w:t xml:space="preserve">. </w:t>
      </w:r>
      <w:r w:rsidR="001E5349">
        <w:rPr>
          <w:rFonts w:ascii="Arial" w:hAnsi="Arial" w:cs="Arial"/>
          <w:sz w:val="20"/>
          <w:szCs w:val="20"/>
        </w:rPr>
        <w:t>Our search cut-off date is 19 June 2017</w:t>
      </w:r>
      <w:r>
        <w:rPr>
          <w:rFonts w:ascii="Arial" w:hAnsi="Arial" w:cs="Arial"/>
          <w:sz w:val="20"/>
          <w:szCs w:val="20"/>
        </w:rPr>
        <w:t xml:space="preserve"> which means that some relevant trials might have been published after this date. </w:t>
      </w:r>
      <w:r w:rsidR="00747591" w:rsidRPr="006E19DA">
        <w:rPr>
          <w:rFonts w:ascii="Arial" w:hAnsi="Arial" w:cs="Arial"/>
          <w:sz w:val="20"/>
          <w:szCs w:val="20"/>
        </w:rPr>
        <w:t>Further searches were conducted up to 22 May 2019. From these</w:t>
      </w:r>
      <w:r w:rsidR="00747591">
        <w:rPr>
          <w:rFonts w:ascii="Arial" w:hAnsi="Arial" w:cs="Arial"/>
          <w:sz w:val="20"/>
          <w:szCs w:val="20"/>
        </w:rPr>
        <w:t>, two additional RCTs were identified.</w:t>
      </w:r>
      <w:r w:rsidR="00747591">
        <w:rPr>
          <w:rFonts w:ascii="Arial" w:hAnsi="Arial" w:cs="Arial"/>
          <w:noProof/>
          <w:sz w:val="20"/>
          <w:szCs w:val="20"/>
        </w:rPr>
        <w:t xml:space="preserve"> </w:t>
      </w:r>
      <w:r w:rsidR="0095655B">
        <w:rPr>
          <w:rFonts w:ascii="Arial" w:hAnsi="Arial" w:cs="Arial"/>
          <w:noProof/>
          <w:sz w:val="20"/>
          <w:szCs w:val="20"/>
        </w:rPr>
        <w:t>(58, 59)</w:t>
      </w:r>
      <w:r w:rsidR="00E978F4" w:rsidRPr="00E978F4">
        <w:rPr>
          <w:rFonts w:ascii="Arial" w:hAnsi="Arial" w:cs="Arial"/>
          <w:sz w:val="20"/>
          <w:szCs w:val="20"/>
        </w:rPr>
        <w:t xml:space="preserve"> </w:t>
      </w:r>
      <w:r w:rsidR="00747591">
        <w:rPr>
          <w:rFonts w:ascii="Arial" w:hAnsi="Arial" w:cs="Arial"/>
          <w:sz w:val="20"/>
          <w:szCs w:val="20"/>
        </w:rPr>
        <w:t>E</w:t>
      </w:r>
      <w:r w:rsidR="00CB3CCE">
        <w:rPr>
          <w:rFonts w:ascii="Arial" w:hAnsi="Arial" w:cs="Arial"/>
          <w:sz w:val="20"/>
          <w:szCs w:val="20"/>
        </w:rPr>
        <w:t xml:space="preserve">ach </w:t>
      </w:r>
      <w:r w:rsidR="00747591">
        <w:rPr>
          <w:rFonts w:ascii="Arial" w:hAnsi="Arial" w:cs="Arial"/>
          <w:sz w:val="20"/>
          <w:szCs w:val="20"/>
        </w:rPr>
        <w:t>investigated</w:t>
      </w:r>
      <w:r w:rsidR="00CB3CCE">
        <w:rPr>
          <w:rFonts w:ascii="Arial" w:hAnsi="Arial" w:cs="Arial"/>
          <w:sz w:val="20"/>
          <w:szCs w:val="20"/>
        </w:rPr>
        <w:t xml:space="preserve"> a new intervention to add to the network, so their results would not affect the relative efficacy estimates reported in our results</w:t>
      </w:r>
      <w:r>
        <w:rPr>
          <w:rFonts w:ascii="Arial" w:hAnsi="Arial" w:cs="Arial"/>
          <w:sz w:val="20"/>
          <w:szCs w:val="20"/>
        </w:rPr>
        <w:t xml:space="preserve">. </w:t>
      </w:r>
      <w:r w:rsidR="008C09D0">
        <w:rPr>
          <w:rFonts w:ascii="Arial" w:hAnsi="Arial" w:cs="Arial"/>
          <w:sz w:val="20"/>
          <w:szCs w:val="20"/>
        </w:rPr>
        <w:t xml:space="preserve">A summary of these two trials has been included in the </w:t>
      </w:r>
      <w:r w:rsidR="00C50E8A">
        <w:rPr>
          <w:rFonts w:ascii="Arial" w:hAnsi="Arial" w:cs="Arial"/>
          <w:sz w:val="20"/>
          <w:szCs w:val="20"/>
        </w:rPr>
        <w:t>appendix</w:t>
      </w:r>
      <w:r w:rsidR="008C09D0">
        <w:rPr>
          <w:rFonts w:ascii="Arial" w:hAnsi="Arial" w:cs="Arial"/>
          <w:sz w:val="20"/>
          <w:szCs w:val="20"/>
        </w:rPr>
        <w:t xml:space="preserve"> (page </w:t>
      </w:r>
      <w:r w:rsidR="00D2483B">
        <w:rPr>
          <w:rFonts w:ascii="Arial" w:hAnsi="Arial" w:cs="Arial"/>
          <w:sz w:val="20"/>
          <w:szCs w:val="20"/>
        </w:rPr>
        <w:t>53</w:t>
      </w:r>
      <w:r w:rsidR="008C09D0">
        <w:rPr>
          <w:rFonts w:ascii="Arial" w:hAnsi="Arial" w:cs="Arial"/>
          <w:sz w:val="20"/>
          <w:szCs w:val="20"/>
        </w:rPr>
        <w:t>).</w:t>
      </w:r>
    </w:p>
    <w:p w14:paraId="38934BA5" w14:textId="5D60CF71" w:rsidR="00E568B9" w:rsidRDefault="00716A5B" w:rsidP="00716A5B">
      <w:pPr>
        <w:spacing w:line="480" w:lineRule="auto"/>
        <w:rPr>
          <w:rFonts w:ascii="Arial" w:hAnsi="Arial" w:cs="Arial"/>
          <w:sz w:val="20"/>
          <w:szCs w:val="20"/>
        </w:rPr>
      </w:pPr>
      <w:r>
        <w:rPr>
          <w:rFonts w:ascii="Arial" w:hAnsi="Arial" w:cs="Arial"/>
          <w:sz w:val="20"/>
          <w:szCs w:val="20"/>
        </w:rPr>
        <w:t xml:space="preserve">The </w:t>
      </w:r>
      <w:r w:rsidR="00E04256">
        <w:rPr>
          <w:rFonts w:ascii="Arial" w:hAnsi="Arial" w:cs="Arial"/>
          <w:sz w:val="20"/>
          <w:szCs w:val="20"/>
        </w:rPr>
        <w:t xml:space="preserve">uncertainty in the </w:t>
      </w:r>
      <w:r w:rsidR="000D132B">
        <w:rPr>
          <w:rFonts w:ascii="Arial" w:hAnsi="Arial" w:cs="Arial"/>
          <w:sz w:val="20"/>
          <w:szCs w:val="20"/>
        </w:rPr>
        <w:t xml:space="preserve">results of the </w:t>
      </w:r>
      <w:r w:rsidR="00E04256">
        <w:rPr>
          <w:rFonts w:ascii="Arial" w:hAnsi="Arial" w:cs="Arial"/>
          <w:sz w:val="20"/>
          <w:szCs w:val="20"/>
        </w:rPr>
        <w:t>PE and MB networks</w:t>
      </w:r>
      <w:r w:rsidR="000D132B">
        <w:rPr>
          <w:rFonts w:ascii="Arial" w:hAnsi="Arial" w:cs="Arial"/>
          <w:sz w:val="20"/>
          <w:szCs w:val="20"/>
        </w:rPr>
        <w:t xml:space="preserve">, </w:t>
      </w:r>
      <w:r w:rsidR="0017307E">
        <w:rPr>
          <w:rFonts w:ascii="Arial" w:hAnsi="Arial" w:cs="Arial"/>
          <w:sz w:val="20"/>
          <w:szCs w:val="20"/>
        </w:rPr>
        <w:t xml:space="preserve">which is </w:t>
      </w:r>
      <w:r w:rsidR="00E35C09">
        <w:rPr>
          <w:rFonts w:ascii="Arial" w:hAnsi="Arial" w:cs="Arial"/>
          <w:sz w:val="20"/>
          <w:szCs w:val="20"/>
        </w:rPr>
        <w:t>in line with all previously published analyses in this area</w:t>
      </w:r>
      <w:r>
        <w:rPr>
          <w:rFonts w:ascii="Arial" w:hAnsi="Arial" w:cs="Arial"/>
          <w:sz w:val="20"/>
          <w:szCs w:val="20"/>
        </w:rPr>
        <w:t>,</w:t>
      </w:r>
      <w:r w:rsidR="00E35C09">
        <w:rPr>
          <w:rFonts w:ascii="Arial" w:hAnsi="Arial" w:cs="Arial"/>
          <w:sz w:val="20"/>
          <w:szCs w:val="20"/>
        </w:rPr>
        <w:t xml:space="preserve"> </w:t>
      </w:r>
      <w:r w:rsidR="000D132B">
        <w:rPr>
          <w:rFonts w:ascii="Arial" w:hAnsi="Arial" w:cs="Arial"/>
          <w:sz w:val="20"/>
          <w:szCs w:val="20"/>
        </w:rPr>
        <w:t>is</w:t>
      </w:r>
      <w:r w:rsidR="00932C0A">
        <w:rPr>
          <w:rFonts w:ascii="Arial" w:hAnsi="Arial" w:cs="Arial"/>
          <w:sz w:val="20"/>
          <w:szCs w:val="20"/>
        </w:rPr>
        <w:t xml:space="preserve"> primarily due to the</w:t>
      </w:r>
      <w:r w:rsidR="00E04256">
        <w:rPr>
          <w:rFonts w:ascii="Arial" w:hAnsi="Arial" w:cs="Arial"/>
          <w:sz w:val="20"/>
          <w:szCs w:val="20"/>
        </w:rPr>
        <w:t xml:space="preserve"> sparse </w:t>
      </w:r>
      <w:r w:rsidR="00932C0A">
        <w:rPr>
          <w:rFonts w:ascii="Arial" w:hAnsi="Arial" w:cs="Arial"/>
          <w:sz w:val="20"/>
          <w:szCs w:val="20"/>
        </w:rPr>
        <w:t>data and the</w:t>
      </w:r>
      <w:r w:rsidR="00E04256">
        <w:rPr>
          <w:rFonts w:ascii="Arial" w:hAnsi="Arial" w:cs="Arial"/>
          <w:sz w:val="20"/>
          <w:szCs w:val="20"/>
        </w:rPr>
        <w:t xml:space="preserve"> low event rates </w:t>
      </w:r>
      <w:r w:rsidR="000F103A">
        <w:rPr>
          <w:rFonts w:ascii="Arial" w:hAnsi="Arial" w:cs="Arial"/>
          <w:sz w:val="20"/>
          <w:szCs w:val="20"/>
        </w:rPr>
        <w:t xml:space="preserve">reported </w:t>
      </w:r>
      <w:r w:rsidR="00E04256">
        <w:rPr>
          <w:rFonts w:ascii="Arial" w:hAnsi="Arial" w:cs="Arial"/>
          <w:sz w:val="20"/>
          <w:szCs w:val="20"/>
        </w:rPr>
        <w:t xml:space="preserve">in </w:t>
      </w:r>
      <w:r w:rsidR="00932C0A">
        <w:rPr>
          <w:rFonts w:ascii="Arial" w:hAnsi="Arial" w:cs="Arial"/>
          <w:sz w:val="20"/>
          <w:szCs w:val="20"/>
        </w:rPr>
        <w:t xml:space="preserve">the </w:t>
      </w:r>
      <w:r w:rsidR="00E04256">
        <w:rPr>
          <w:rFonts w:ascii="Arial" w:hAnsi="Arial" w:cs="Arial"/>
          <w:sz w:val="20"/>
          <w:szCs w:val="20"/>
        </w:rPr>
        <w:t>RCTs.</w:t>
      </w:r>
      <w:r>
        <w:rPr>
          <w:rFonts w:ascii="Arial" w:hAnsi="Arial" w:cs="Arial"/>
          <w:sz w:val="20"/>
          <w:szCs w:val="20"/>
        </w:rPr>
        <w:t xml:space="preserve"> This means that no clear interpretation can be drawn from the two </w:t>
      </w:r>
      <w:r w:rsidR="0017307E">
        <w:rPr>
          <w:rFonts w:ascii="Arial" w:hAnsi="Arial" w:cs="Arial"/>
          <w:sz w:val="20"/>
          <w:szCs w:val="20"/>
        </w:rPr>
        <w:t>networks</w:t>
      </w:r>
      <w:r>
        <w:rPr>
          <w:rFonts w:ascii="Arial" w:hAnsi="Arial" w:cs="Arial"/>
          <w:sz w:val="20"/>
          <w:szCs w:val="20"/>
        </w:rPr>
        <w:t xml:space="preserve"> other than what is biologically plausible. </w:t>
      </w:r>
      <w:r w:rsidR="00932C0A">
        <w:rPr>
          <w:rFonts w:ascii="Arial" w:hAnsi="Arial" w:cs="Arial"/>
          <w:sz w:val="20"/>
          <w:szCs w:val="20"/>
        </w:rPr>
        <w:t xml:space="preserve"> </w:t>
      </w:r>
      <w:r w:rsidR="0017307E">
        <w:rPr>
          <w:rFonts w:ascii="Arial" w:hAnsi="Arial" w:cs="Arial"/>
          <w:sz w:val="20"/>
          <w:szCs w:val="20"/>
        </w:rPr>
        <w:t xml:space="preserve">However, in absence of any better estimates, the point estimates obtained from these analyses </w:t>
      </w:r>
      <w:r w:rsidR="00E2412E">
        <w:rPr>
          <w:rFonts w:ascii="Arial" w:hAnsi="Arial" w:cs="Arial"/>
          <w:sz w:val="20"/>
          <w:szCs w:val="20"/>
        </w:rPr>
        <w:t>should be taken into account</w:t>
      </w:r>
      <w:r w:rsidR="0017307E">
        <w:rPr>
          <w:rFonts w:ascii="Arial" w:hAnsi="Arial" w:cs="Arial"/>
          <w:sz w:val="20"/>
          <w:szCs w:val="20"/>
        </w:rPr>
        <w:t>.</w:t>
      </w:r>
    </w:p>
    <w:p w14:paraId="2E852FC1" w14:textId="660E9733" w:rsidR="00F1288D" w:rsidRDefault="001E5349" w:rsidP="001E5349">
      <w:pPr>
        <w:spacing w:line="480" w:lineRule="auto"/>
        <w:rPr>
          <w:rFonts w:ascii="Arial" w:hAnsi="Arial" w:cs="Arial"/>
          <w:sz w:val="20"/>
          <w:szCs w:val="20"/>
        </w:rPr>
      </w:pPr>
      <w:r>
        <w:rPr>
          <w:rFonts w:ascii="Arial" w:hAnsi="Arial" w:cs="Arial"/>
          <w:sz w:val="20"/>
          <w:szCs w:val="20"/>
        </w:rPr>
        <w:lastRenderedPageBreak/>
        <w:t xml:space="preserve">Network meta-analysis </w:t>
      </w:r>
      <w:r w:rsidR="00E568B9">
        <w:rPr>
          <w:rFonts w:ascii="Arial" w:hAnsi="Arial" w:cs="Arial"/>
          <w:sz w:val="20"/>
          <w:szCs w:val="20"/>
        </w:rPr>
        <w:t xml:space="preserve">is a particularly powerful and useful meta-analysis technique, however, to be properly undertaken we have to ensure that included trials are sufficiently </w:t>
      </w:r>
      <w:r w:rsidR="00C4594C">
        <w:rPr>
          <w:rFonts w:ascii="Arial" w:hAnsi="Arial" w:cs="Arial"/>
          <w:sz w:val="20"/>
          <w:szCs w:val="20"/>
        </w:rPr>
        <w:t>homogeneous</w:t>
      </w:r>
      <w:r w:rsidR="00E568B9">
        <w:rPr>
          <w:rFonts w:ascii="Arial" w:hAnsi="Arial" w:cs="Arial"/>
          <w:sz w:val="20"/>
          <w:szCs w:val="20"/>
        </w:rPr>
        <w:t xml:space="preserve"> with similar inclusion and exclusion criteria</w:t>
      </w:r>
      <w:r w:rsidR="00F1288D">
        <w:rPr>
          <w:rFonts w:ascii="Arial" w:hAnsi="Arial" w:cs="Arial"/>
          <w:sz w:val="20"/>
          <w:szCs w:val="20"/>
        </w:rPr>
        <w:t xml:space="preserve"> as well as outcome definitions</w:t>
      </w:r>
      <w:r w:rsidR="00E568B9">
        <w:rPr>
          <w:rFonts w:ascii="Arial" w:hAnsi="Arial" w:cs="Arial"/>
          <w:sz w:val="20"/>
          <w:szCs w:val="20"/>
        </w:rPr>
        <w:t xml:space="preserve">. This ensures minimisation of confounders. </w:t>
      </w:r>
      <w:r w:rsidR="00F1288D">
        <w:rPr>
          <w:rFonts w:ascii="Arial" w:hAnsi="Arial" w:cs="Arial"/>
          <w:sz w:val="20"/>
          <w:szCs w:val="20"/>
        </w:rPr>
        <w:t>The inconsistency in outcomes’ definitions in the included studies, particularly for the MB outcome, is an inherent limitation in the body of evidence in this area that has to be acknowledged. Future trials should use standardised definitions as discussed above.</w:t>
      </w:r>
    </w:p>
    <w:p w14:paraId="39C63B2D" w14:textId="6AED4E43" w:rsidR="001E5349" w:rsidRDefault="00F1288D" w:rsidP="001E5349">
      <w:pPr>
        <w:spacing w:line="480" w:lineRule="auto"/>
        <w:rPr>
          <w:rFonts w:ascii="Arial" w:hAnsi="Arial" w:cs="Arial"/>
          <w:sz w:val="20"/>
          <w:szCs w:val="20"/>
        </w:rPr>
      </w:pPr>
      <w:r>
        <w:rPr>
          <w:rFonts w:ascii="Arial" w:hAnsi="Arial" w:cs="Arial"/>
          <w:sz w:val="20"/>
          <w:szCs w:val="20"/>
        </w:rPr>
        <w:t>Finally, f</w:t>
      </w:r>
      <w:r w:rsidR="0017307E" w:rsidRPr="0017307E">
        <w:rPr>
          <w:rFonts w:ascii="Arial" w:hAnsi="Arial" w:cs="Arial"/>
          <w:sz w:val="20"/>
          <w:szCs w:val="20"/>
        </w:rPr>
        <w:t xml:space="preserve">ormal NICE processes followed in these analyses have not been established for assessing the overall risk of bias associated with </w:t>
      </w:r>
      <w:r w:rsidR="0017307E">
        <w:rPr>
          <w:rFonts w:ascii="Arial" w:hAnsi="Arial" w:cs="Arial"/>
          <w:sz w:val="20"/>
          <w:szCs w:val="20"/>
        </w:rPr>
        <w:t>network meta-analyses</w:t>
      </w:r>
      <w:r w:rsidR="0017307E" w:rsidRPr="0017307E">
        <w:rPr>
          <w:rFonts w:ascii="Arial" w:hAnsi="Arial" w:cs="Arial"/>
          <w:sz w:val="20"/>
          <w:szCs w:val="20"/>
        </w:rPr>
        <w:t xml:space="preserve">. Risk of bias assessment conducted as part of the systematic review provided a risk of bias rating for the body of evidence that was included in the </w:t>
      </w:r>
      <w:r w:rsidR="0017307E">
        <w:rPr>
          <w:rFonts w:ascii="Arial" w:hAnsi="Arial" w:cs="Arial"/>
          <w:sz w:val="20"/>
          <w:szCs w:val="20"/>
        </w:rPr>
        <w:t>network meta-analyses</w:t>
      </w:r>
      <w:r w:rsidR="0017307E" w:rsidRPr="0017307E">
        <w:rPr>
          <w:rFonts w:ascii="Arial" w:hAnsi="Arial" w:cs="Arial"/>
          <w:sz w:val="20"/>
          <w:szCs w:val="20"/>
        </w:rPr>
        <w:t>. Whilst the risk of bias assessment did not explicitly inform the findings in this manuscript, it informed the decision-making process during the development of the NG89 guideline</w:t>
      </w:r>
      <w:r w:rsidR="008921B0">
        <w:rPr>
          <w:rFonts w:ascii="Arial" w:hAnsi="Arial" w:cs="Arial"/>
          <w:sz w:val="20"/>
          <w:szCs w:val="20"/>
        </w:rPr>
        <w:t>.</w:t>
      </w:r>
    </w:p>
    <w:p w14:paraId="284AF0C7" w14:textId="7D9DA9FE" w:rsidR="001E5349" w:rsidRDefault="001E5349" w:rsidP="001E5349">
      <w:pPr>
        <w:spacing w:line="480" w:lineRule="auto"/>
        <w:rPr>
          <w:rFonts w:ascii="Arial" w:hAnsi="Arial" w:cs="Arial"/>
          <w:sz w:val="20"/>
          <w:szCs w:val="20"/>
        </w:rPr>
      </w:pPr>
      <w:r>
        <w:rPr>
          <w:rFonts w:ascii="Arial" w:hAnsi="Arial" w:cs="Arial"/>
          <w:sz w:val="20"/>
          <w:szCs w:val="20"/>
        </w:rPr>
        <w:t>The</w:t>
      </w:r>
      <w:r w:rsidR="00C66443">
        <w:rPr>
          <w:rFonts w:ascii="Arial" w:hAnsi="Arial" w:cs="Arial"/>
          <w:sz w:val="20"/>
          <w:szCs w:val="20"/>
        </w:rPr>
        <w:t xml:space="preserve"> </w:t>
      </w:r>
      <w:r>
        <w:rPr>
          <w:rFonts w:ascii="Arial" w:hAnsi="Arial" w:cs="Arial"/>
          <w:sz w:val="20"/>
          <w:szCs w:val="20"/>
        </w:rPr>
        <w:t xml:space="preserve">network meta-analyses </w:t>
      </w:r>
      <w:r w:rsidR="00C66443">
        <w:rPr>
          <w:rFonts w:ascii="Arial" w:hAnsi="Arial" w:cs="Arial"/>
          <w:sz w:val="20"/>
          <w:szCs w:val="20"/>
        </w:rPr>
        <w:t xml:space="preserve">results </w:t>
      </w:r>
      <w:r w:rsidR="000D132B">
        <w:rPr>
          <w:rFonts w:ascii="Arial" w:hAnsi="Arial" w:cs="Arial"/>
          <w:sz w:val="20"/>
          <w:szCs w:val="20"/>
        </w:rPr>
        <w:t>provide</w:t>
      </w:r>
      <w:r w:rsidR="00E568B9">
        <w:rPr>
          <w:rFonts w:ascii="Arial" w:hAnsi="Arial" w:cs="Arial"/>
          <w:sz w:val="20"/>
          <w:szCs w:val="20"/>
        </w:rPr>
        <w:t>d</w:t>
      </w:r>
      <w:r w:rsidR="004E1861">
        <w:rPr>
          <w:rFonts w:ascii="Arial" w:hAnsi="Arial" w:cs="Arial"/>
          <w:sz w:val="20"/>
          <w:szCs w:val="20"/>
        </w:rPr>
        <w:t xml:space="preserve"> </w:t>
      </w:r>
      <w:r w:rsidR="00E568B9">
        <w:rPr>
          <w:rFonts w:ascii="Arial" w:hAnsi="Arial" w:cs="Arial"/>
          <w:sz w:val="20"/>
          <w:szCs w:val="20"/>
        </w:rPr>
        <w:t xml:space="preserve">a </w:t>
      </w:r>
      <w:r w:rsidR="00932C0A">
        <w:rPr>
          <w:rFonts w:ascii="Arial" w:hAnsi="Arial" w:cs="Arial"/>
          <w:sz w:val="20"/>
          <w:szCs w:val="20"/>
        </w:rPr>
        <w:t xml:space="preserve">coherent set of relative efficacy </w:t>
      </w:r>
      <w:r w:rsidR="00C66443">
        <w:rPr>
          <w:rFonts w:ascii="Arial" w:hAnsi="Arial" w:cs="Arial"/>
          <w:sz w:val="20"/>
          <w:szCs w:val="20"/>
        </w:rPr>
        <w:t>estimates</w:t>
      </w:r>
      <w:r w:rsidR="0043274E">
        <w:rPr>
          <w:rFonts w:ascii="Arial" w:hAnsi="Arial" w:cs="Arial"/>
          <w:sz w:val="20"/>
          <w:szCs w:val="20"/>
        </w:rPr>
        <w:t xml:space="preserve"> which informed the </w:t>
      </w:r>
      <w:r w:rsidR="00E35C09">
        <w:rPr>
          <w:rFonts w:ascii="Arial" w:hAnsi="Arial" w:cs="Arial"/>
          <w:sz w:val="20"/>
          <w:szCs w:val="20"/>
        </w:rPr>
        <w:t xml:space="preserve">guideline committee’s </w:t>
      </w:r>
      <w:r w:rsidR="0043274E">
        <w:rPr>
          <w:rFonts w:ascii="Arial" w:hAnsi="Arial" w:cs="Arial"/>
          <w:sz w:val="20"/>
          <w:szCs w:val="20"/>
        </w:rPr>
        <w:t>decision-making and</w:t>
      </w:r>
      <w:r w:rsidR="00C66443">
        <w:rPr>
          <w:rFonts w:ascii="Arial" w:hAnsi="Arial" w:cs="Arial"/>
          <w:sz w:val="20"/>
          <w:szCs w:val="20"/>
        </w:rPr>
        <w:t xml:space="preserve"> </w:t>
      </w:r>
      <w:r w:rsidR="00E35C09">
        <w:rPr>
          <w:rFonts w:ascii="Arial" w:hAnsi="Arial" w:cs="Arial"/>
          <w:sz w:val="20"/>
          <w:szCs w:val="20"/>
        </w:rPr>
        <w:t xml:space="preserve">was </w:t>
      </w:r>
      <w:r w:rsidR="00932C0A">
        <w:rPr>
          <w:rFonts w:ascii="Arial" w:hAnsi="Arial" w:cs="Arial"/>
          <w:sz w:val="20"/>
          <w:szCs w:val="20"/>
        </w:rPr>
        <w:t xml:space="preserve">used to populate </w:t>
      </w:r>
      <w:r w:rsidR="000D132B">
        <w:rPr>
          <w:rFonts w:ascii="Arial" w:hAnsi="Arial" w:cs="Arial"/>
          <w:sz w:val="20"/>
          <w:szCs w:val="20"/>
        </w:rPr>
        <w:t>the</w:t>
      </w:r>
      <w:r w:rsidR="00932C0A">
        <w:rPr>
          <w:rFonts w:ascii="Arial" w:hAnsi="Arial" w:cs="Arial"/>
          <w:sz w:val="20"/>
          <w:szCs w:val="20"/>
        </w:rPr>
        <w:t xml:space="preserve"> economic model</w:t>
      </w:r>
      <w:r w:rsidR="00C602A6">
        <w:rPr>
          <w:rFonts w:ascii="Arial" w:hAnsi="Arial" w:cs="Arial"/>
          <w:sz w:val="20"/>
          <w:szCs w:val="20"/>
        </w:rPr>
        <w:t xml:space="preserve"> </w:t>
      </w:r>
      <w:r w:rsidR="000D132B">
        <w:rPr>
          <w:rFonts w:ascii="Arial" w:hAnsi="Arial" w:cs="Arial"/>
          <w:sz w:val="20"/>
          <w:szCs w:val="20"/>
        </w:rPr>
        <w:t xml:space="preserve">that </w:t>
      </w:r>
      <w:r w:rsidR="00DB7E49">
        <w:rPr>
          <w:rFonts w:ascii="Arial" w:hAnsi="Arial" w:cs="Arial"/>
          <w:sz w:val="20"/>
          <w:szCs w:val="20"/>
        </w:rPr>
        <w:t>assessed</w:t>
      </w:r>
      <w:r w:rsidR="00C602A6">
        <w:rPr>
          <w:rFonts w:ascii="Arial" w:hAnsi="Arial" w:cs="Arial"/>
          <w:sz w:val="20"/>
          <w:szCs w:val="20"/>
        </w:rPr>
        <w:t xml:space="preserve"> the cost-</w:t>
      </w:r>
      <w:r w:rsidR="00E35C09">
        <w:rPr>
          <w:rFonts w:ascii="Arial" w:hAnsi="Arial" w:cs="Arial"/>
          <w:sz w:val="20"/>
          <w:szCs w:val="20"/>
        </w:rPr>
        <w:t xml:space="preserve">effectiveness of these strategies for VTE prevention in the </w:t>
      </w:r>
      <w:proofErr w:type="spellStart"/>
      <w:r w:rsidR="00E35C09">
        <w:rPr>
          <w:rFonts w:ascii="Arial" w:hAnsi="Arial" w:cs="Arial"/>
          <w:sz w:val="20"/>
          <w:szCs w:val="20"/>
        </w:rPr>
        <w:t>eTKR</w:t>
      </w:r>
      <w:proofErr w:type="spellEnd"/>
      <w:r w:rsidR="00E35C09">
        <w:rPr>
          <w:rFonts w:ascii="Arial" w:hAnsi="Arial" w:cs="Arial"/>
          <w:sz w:val="20"/>
          <w:szCs w:val="20"/>
        </w:rPr>
        <w:t xml:space="preserve"> </w:t>
      </w:r>
      <w:r w:rsidR="00C602A6">
        <w:rPr>
          <w:rFonts w:ascii="Arial" w:hAnsi="Arial" w:cs="Arial"/>
          <w:sz w:val="20"/>
          <w:szCs w:val="20"/>
        </w:rPr>
        <w:t xml:space="preserve">surgery </w:t>
      </w:r>
      <w:r w:rsidR="00E35C09">
        <w:rPr>
          <w:rFonts w:ascii="Arial" w:hAnsi="Arial" w:cs="Arial"/>
          <w:sz w:val="20"/>
          <w:szCs w:val="20"/>
        </w:rPr>
        <w:t>population</w:t>
      </w:r>
      <w:r w:rsidR="00A91800">
        <w:rPr>
          <w:rFonts w:ascii="Arial" w:hAnsi="Arial" w:cs="Arial"/>
          <w:sz w:val="20"/>
          <w:szCs w:val="20"/>
        </w:rPr>
        <w:t>.</w:t>
      </w:r>
      <w:r w:rsidR="0095655B">
        <w:rPr>
          <w:rFonts w:ascii="Arial" w:hAnsi="Arial" w:cs="Arial"/>
          <w:noProof/>
          <w:sz w:val="20"/>
          <w:szCs w:val="20"/>
        </w:rPr>
        <w:t>(60)</w:t>
      </w:r>
      <w:r w:rsidR="00EE12CC">
        <w:rPr>
          <w:rFonts w:ascii="Arial" w:hAnsi="Arial" w:cs="Arial"/>
          <w:sz w:val="20"/>
          <w:szCs w:val="20"/>
        </w:rPr>
        <w:t xml:space="preserve"> </w:t>
      </w:r>
      <w:r w:rsidR="00DB7E49">
        <w:rPr>
          <w:rFonts w:ascii="Arial" w:hAnsi="Arial" w:cs="Arial"/>
          <w:sz w:val="20"/>
          <w:szCs w:val="20"/>
        </w:rPr>
        <w:t>A practice recommendation was made by the guideline committee offering clinicians a choice of a number of safe and effective prophylaxis strategies, while emphasising the need for taking into account clinical and patient-related factors when prescribing a VTE prophylaxis strategy.</w:t>
      </w:r>
    </w:p>
    <w:p w14:paraId="145F8BB4" w14:textId="7ACA3202" w:rsidR="00A94075" w:rsidRDefault="00C87D55" w:rsidP="0052085B">
      <w:pPr>
        <w:spacing w:line="480" w:lineRule="auto"/>
        <w:rPr>
          <w:rFonts w:ascii="Arial" w:hAnsi="Arial" w:cs="Arial"/>
          <w:sz w:val="20"/>
          <w:szCs w:val="20"/>
        </w:rPr>
      </w:pPr>
      <w:r w:rsidRPr="00415C66">
        <w:rPr>
          <w:rFonts w:ascii="Arial" w:hAnsi="Arial" w:cs="Arial"/>
          <w:bCs/>
          <w:sz w:val="20"/>
          <w:szCs w:val="20"/>
        </w:rPr>
        <w:t xml:space="preserve">In conclusion, </w:t>
      </w:r>
      <w:r w:rsidRPr="002802BD">
        <w:rPr>
          <w:rFonts w:ascii="Arial" w:hAnsi="Arial" w:cs="Arial"/>
          <w:bCs/>
          <w:sz w:val="20"/>
          <w:szCs w:val="20"/>
        </w:rPr>
        <w:t>t</w:t>
      </w:r>
      <w:r w:rsidR="00932C0A" w:rsidRPr="004927CB">
        <w:rPr>
          <w:rFonts w:ascii="Arial" w:hAnsi="Arial" w:cs="Arial"/>
          <w:bCs/>
          <w:sz w:val="20"/>
          <w:szCs w:val="20"/>
        </w:rPr>
        <w:t>his</w:t>
      </w:r>
      <w:r w:rsidR="00932C0A">
        <w:rPr>
          <w:rFonts w:ascii="Arial" w:hAnsi="Arial" w:cs="Arial"/>
          <w:sz w:val="20"/>
          <w:szCs w:val="20"/>
        </w:rPr>
        <w:t xml:space="preserve"> systematic review and </w:t>
      </w:r>
      <w:r w:rsidR="00A8036E">
        <w:rPr>
          <w:rFonts w:ascii="Arial" w:hAnsi="Arial" w:cs="Arial"/>
          <w:sz w:val="20"/>
          <w:szCs w:val="20"/>
        </w:rPr>
        <w:t>network meta-analyses</w:t>
      </w:r>
      <w:r w:rsidR="00932C0A">
        <w:rPr>
          <w:rFonts w:ascii="Arial" w:hAnsi="Arial" w:cs="Arial"/>
          <w:sz w:val="20"/>
          <w:szCs w:val="20"/>
        </w:rPr>
        <w:t xml:space="preserve"> </w:t>
      </w:r>
      <w:r w:rsidR="00A94075">
        <w:rPr>
          <w:rFonts w:ascii="Arial" w:hAnsi="Arial" w:cs="Arial"/>
          <w:sz w:val="20"/>
          <w:szCs w:val="20"/>
        </w:rPr>
        <w:t>summarise the current evidence</w:t>
      </w:r>
      <w:r w:rsidR="00932C0A">
        <w:rPr>
          <w:rFonts w:ascii="Arial" w:hAnsi="Arial" w:cs="Arial"/>
          <w:sz w:val="20"/>
          <w:szCs w:val="20"/>
        </w:rPr>
        <w:t>-</w:t>
      </w:r>
      <w:r w:rsidR="00A94075">
        <w:rPr>
          <w:rFonts w:ascii="Arial" w:hAnsi="Arial" w:cs="Arial"/>
          <w:sz w:val="20"/>
          <w:szCs w:val="20"/>
        </w:rPr>
        <w:t xml:space="preserve">base for mechanical and pharmacological </w:t>
      </w:r>
      <w:r w:rsidR="00932C0A">
        <w:rPr>
          <w:rFonts w:ascii="Arial" w:hAnsi="Arial" w:cs="Arial"/>
          <w:sz w:val="20"/>
          <w:szCs w:val="20"/>
        </w:rPr>
        <w:t xml:space="preserve">VTE </w:t>
      </w:r>
      <w:r w:rsidR="00A94075">
        <w:rPr>
          <w:rFonts w:ascii="Arial" w:hAnsi="Arial" w:cs="Arial"/>
          <w:sz w:val="20"/>
          <w:szCs w:val="20"/>
        </w:rPr>
        <w:t xml:space="preserve">prophylaxis strategies in the </w:t>
      </w:r>
      <w:proofErr w:type="spellStart"/>
      <w:r w:rsidR="00CB3140">
        <w:rPr>
          <w:rFonts w:ascii="Arial" w:hAnsi="Arial" w:cs="Arial"/>
          <w:sz w:val="20"/>
          <w:szCs w:val="20"/>
        </w:rPr>
        <w:t>eTKR</w:t>
      </w:r>
      <w:proofErr w:type="spellEnd"/>
      <w:r w:rsidR="00A94075">
        <w:rPr>
          <w:rFonts w:ascii="Arial" w:hAnsi="Arial" w:cs="Arial"/>
          <w:sz w:val="20"/>
          <w:szCs w:val="20"/>
        </w:rPr>
        <w:t xml:space="preserve"> surgery population</w:t>
      </w:r>
      <w:r w:rsidR="004E1861">
        <w:rPr>
          <w:rFonts w:ascii="Arial" w:hAnsi="Arial" w:cs="Arial"/>
          <w:sz w:val="20"/>
          <w:szCs w:val="20"/>
        </w:rPr>
        <w:t>.</w:t>
      </w:r>
      <w:r w:rsidR="005E72EE">
        <w:rPr>
          <w:rFonts w:ascii="Arial" w:hAnsi="Arial" w:cs="Arial"/>
          <w:sz w:val="20"/>
          <w:szCs w:val="20"/>
        </w:rPr>
        <w:t xml:space="preserve"> </w:t>
      </w:r>
      <w:r w:rsidR="00610EB1">
        <w:rPr>
          <w:rFonts w:ascii="Arial" w:hAnsi="Arial" w:cs="Arial"/>
          <w:sz w:val="20"/>
          <w:szCs w:val="20"/>
        </w:rPr>
        <w:t>The</w:t>
      </w:r>
      <w:r w:rsidR="00932C0A">
        <w:rPr>
          <w:rFonts w:ascii="Arial" w:hAnsi="Arial" w:cs="Arial"/>
          <w:sz w:val="20"/>
          <w:szCs w:val="20"/>
        </w:rPr>
        <w:t xml:space="preserve"> </w:t>
      </w:r>
      <w:r w:rsidR="00610EB1">
        <w:rPr>
          <w:rFonts w:ascii="Arial" w:hAnsi="Arial" w:cs="Arial"/>
          <w:sz w:val="20"/>
          <w:szCs w:val="20"/>
        </w:rPr>
        <w:t xml:space="preserve">results showed that single prophylaxis strategies </w:t>
      </w:r>
      <w:r w:rsidR="00A96BEB">
        <w:rPr>
          <w:rFonts w:ascii="Arial" w:hAnsi="Arial" w:cs="Arial"/>
          <w:sz w:val="20"/>
          <w:szCs w:val="20"/>
        </w:rPr>
        <w:t>are more effective in prevention of DVT in</w:t>
      </w:r>
      <w:r w:rsidR="00610EB1">
        <w:rPr>
          <w:rFonts w:ascii="Arial" w:hAnsi="Arial" w:cs="Arial"/>
          <w:sz w:val="20"/>
          <w:szCs w:val="20"/>
        </w:rPr>
        <w:t xml:space="preserve"> this population</w:t>
      </w:r>
      <w:r w:rsidR="003D04D4">
        <w:rPr>
          <w:rFonts w:ascii="Arial" w:hAnsi="Arial" w:cs="Arial"/>
          <w:sz w:val="20"/>
          <w:szCs w:val="20"/>
        </w:rPr>
        <w:t xml:space="preserve"> compared to combined prophylaxis, with rivaroxaban being most effective</w:t>
      </w:r>
      <w:r w:rsidR="00610EB1">
        <w:rPr>
          <w:rFonts w:ascii="Arial" w:hAnsi="Arial" w:cs="Arial"/>
          <w:sz w:val="20"/>
          <w:szCs w:val="20"/>
        </w:rPr>
        <w:t>. The results provide a consistent</w:t>
      </w:r>
      <w:r w:rsidR="005E72EE">
        <w:rPr>
          <w:rFonts w:ascii="Arial" w:hAnsi="Arial" w:cs="Arial"/>
          <w:sz w:val="20"/>
          <w:szCs w:val="20"/>
        </w:rPr>
        <w:t xml:space="preserve"> set of relative treatment effects</w:t>
      </w:r>
      <w:r w:rsidR="000F38B4">
        <w:rPr>
          <w:rFonts w:ascii="Arial" w:hAnsi="Arial" w:cs="Arial"/>
          <w:sz w:val="20"/>
          <w:szCs w:val="20"/>
        </w:rPr>
        <w:t>,</w:t>
      </w:r>
      <w:r w:rsidR="005E72EE">
        <w:rPr>
          <w:rFonts w:ascii="Arial" w:hAnsi="Arial" w:cs="Arial"/>
          <w:sz w:val="20"/>
          <w:szCs w:val="20"/>
        </w:rPr>
        <w:t xml:space="preserve"> </w:t>
      </w:r>
      <w:r w:rsidR="000F38B4">
        <w:rPr>
          <w:rFonts w:ascii="Arial" w:hAnsi="Arial" w:cs="Arial"/>
          <w:sz w:val="20"/>
          <w:szCs w:val="20"/>
        </w:rPr>
        <w:t xml:space="preserve">and their associated uncertainty, </w:t>
      </w:r>
      <w:r w:rsidR="005E72EE">
        <w:rPr>
          <w:rFonts w:ascii="Arial" w:hAnsi="Arial" w:cs="Arial"/>
          <w:sz w:val="20"/>
          <w:szCs w:val="20"/>
        </w:rPr>
        <w:t>that could be used in economic model</w:t>
      </w:r>
      <w:r w:rsidR="00610EB1">
        <w:rPr>
          <w:rFonts w:ascii="Arial" w:hAnsi="Arial" w:cs="Arial"/>
          <w:sz w:val="20"/>
          <w:szCs w:val="20"/>
        </w:rPr>
        <w:t>s</w:t>
      </w:r>
      <w:r w:rsidR="005E72EE">
        <w:rPr>
          <w:rFonts w:ascii="Arial" w:hAnsi="Arial" w:cs="Arial"/>
          <w:sz w:val="20"/>
          <w:szCs w:val="20"/>
        </w:rPr>
        <w:t xml:space="preserve"> to assess the cost effectiveness of these strategies</w:t>
      </w:r>
      <w:r w:rsidR="00610EB1">
        <w:rPr>
          <w:rFonts w:ascii="Arial" w:hAnsi="Arial" w:cs="Arial"/>
          <w:sz w:val="20"/>
          <w:szCs w:val="20"/>
        </w:rPr>
        <w:t xml:space="preserve"> in any jurisdiction</w:t>
      </w:r>
      <w:r w:rsidR="005E72EE">
        <w:rPr>
          <w:rFonts w:ascii="Arial" w:hAnsi="Arial" w:cs="Arial"/>
          <w:sz w:val="20"/>
          <w:szCs w:val="20"/>
        </w:rPr>
        <w:t xml:space="preserve">. Further research is needed, however, to </w:t>
      </w:r>
      <w:r w:rsidR="00610EB1">
        <w:rPr>
          <w:rFonts w:ascii="Arial" w:hAnsi="Arial" w:cs="Arial"/>
          <w:sz w:val="20"/>
          <w:szCs w:val="20"/>
        </w:rPr>
        <w:t xml:space="preserve">address the issues identified in the </w:t>
      </w:r>
      <w:r w:rsidR="005E72EE">
        <w:rPr>
          <w:rFonts w:ascii="Arial" w:hAnsi="Arial" w:cs="Arial"/>
          <w:sz w:val="20"/>
          <w:szCs w:val="20"/>
        </w:rPr>
        <w:t xml:space="preserve">PE and MB </w:t>
      </w:r>
      <w:r w:rsidR="00610EB1">
        <w:rPr>
          <w:rFonts w:ascii="Arial" w:hAnsi="Arial" w:cs="Arial"/>
          <w:sz w:val="20"/>
          <w:szCs w:val="20"/>
        </w:rPr>
        <w:t>networks, particularly the low event rates and its impact on uncertainty of the results</w:t>
      </w:r>
      <w:r w:rsidR="00D54FC5">
        <w:rPr>
          <w:rFonts w:ascii="Arial" w:hAnsi="Arial" w:cs="Arial"/>
          <w:sz w:val="20"/>
          <w:szCs w:val="20"/>
        </w:rPr>
        <w:t xml:space="preserve">. </w:t>
      </w:r>
    </w:p>
    <w:p w14:paraId="79B2D807" w14:textId="6BA9625B" w:rsidR="00E26515" w:rsidRPr="0006655F" w:rsidRDefault="00F00AA1" w:rsidP="0052085B">
      <w:pPr>
        <w:spacing w:line="480" w:lineRule="auto"/>
        <w:rPr>
          <w:rFonts w:ascii="Arial" w:hAnsi="Arial" w:cs="Arial"/>
          <w:b/>
          <w:sz w:val="20"/>
          <w:szCs w:val="20"/>
        </w:rPr>
      </w:pPr>
      <w:r>
        <w:rPr>
          <w:rFonts w:ascii="Arial" w:hAnsi="Arial" w:cs="Arial"/>
          <w:b/>
          <w:sz w:val="20"/>
          <w:szCs w:val="20"/>
        </w:rPr>
        <w:t>Authors’ contributions</w:t>
      </w:r>
    </w:p>
    <w:p w14:paraId="18112F48" w14:textId="59B583B7" w:rsidR="006B47C6" w:rsidRPr="006B47C6" w:rsidRDefault="00A8635F" w:rsidP="006B47C6">
      <w:pPr>
        <w:spacing w:line="480" w:lineRule="auto"/>
        <w:rPr>
          <w:rFonts w:ascii="Arial" w:hAnsi="Arial" w:cs="Arial"/>
          <w:sz w:val="20"/>
          <w:szCs w:val="20"/>
        </w:rPr>
      </w:pPr>
      <w:r>
        <w:rPr>
          <w:rFonts w:ascii="Arial" w:hAnsi="Arial" w:cs="Arial"/>
          <w:sz w:val="20"/>
          <w:szCs w:val="20"/>
        </w:rPr>
        <w:lastRenderedPageBreak/>
        <w:t>SL</w:t>
      </w:r>
      <w:r w:rsidR="00BA723F" w:rsidRPr="0010196D">
        <w:rPr>
          <w:rFonts w:ascii="Arial" w:hAnsi="Arial" w:cs="Arial"/>
          <w:sz w:val="20"/>
          <w:szCs w:val="20"/>
        </w:rPr>
        <w:t xml:space="preserve"> </w:t>
      </w:r>
      <w:r w:rsidR="005B6D60">
        <w:rPr>
          <w:rFonts w:ascii="Arial" w:hAnsi="Arial" w:cs="Arial"/>
          <w:sz w:val="20"/>
          <w:szCs w:val="20"/>
        </w:rPr>
        <w:t xml:space="preserve">completed the </w:t>
      </w:r>
      <w:r w:rsidR="00715D57">
        <w:rPr>
          <w:rFonts w:ascii="Arial" w:hAnsi="Arial" w:cs="Arial"/>
          <w:sz w:val="20"/>
          <w:szCs w:val="20"/>
        </w:rPr>
        <w:t>systematic review</w:t>
      </w:r>
      <w:r w:rsidR="005B6D60">
        <w:rPr>
          <w:rFonts w:ascii="Arial" w:hAnsi="Arial" w:cs="Arial"/>
          <w:sz w:val="20"/>
          <w:szCs w:val="20"/>
        </w:rPr>
        <w:t xml:space="preserve">, </w:t>
      </w:r>
      <w:r w:rsidR="0010196D">
        <w:rPr>
          <w:rFonts w:ascii="Arial" w:hAnsi="Arial" w:cs="Arial"/>
          <w:sz w:val="20"/>
          <w:szCs w:val="20"/>
        </w:rPr>
        <w:t xml:space="preserve">conducted </w:t>
      </w:r>
      <w:r w:rsidR="00A8036E">
        <w:rPr>
          <w:rFonts w:ascii="Arial" w:hAnsi="Arial" w:cs="Arial"/>
          <w:sz w:val="20"/>
          <w:szCs w:val="20"/>
        </w:rPr>
        <w:t>network meta-analyses</w:t>
      </w:r>
      <w:r w:rsidR="005B6D60">
        <w:rPr>
          <w:rFonts w:ascii="Arial" w:hAnsi="Arial" w:cs="Arial"/>
          <w:sz w:val="20"/>
          <w:szCs w:val="20"/>
        </w:rPr>
        <w:t xml:space="preserve"> and drafted the manuscript</w:t>
      </w:r>
      <w:r w:rsidR="00BA723F" w:rsidRPr="0010196D">
        <w:rPr>
          <w:rFonts w:ascii="Arial" w:hAnsi="Arial" w:cs="Arial"/>
          <w:sz w:val="20"/>
          <w:szCs w:val="20"/>
        </w:rPr>
        <w:t xml:space="preserve">. </w:t>
      </w:r>
      <w:r>
        <w:rPr>
          <w:rFonts w:ascii="Arial" w:hAnsi="Arial" w:cs="Arial"/>
          <w:sz w:val="20"/>
          <w:szCs w:val="20"/>
        </w:rPr>
        <w:t>JG</w:t>
      </w:r>
      <w:r w:rsidR="0010196D">
        <w:rPr>
          <w:rFonts w:ascii="Arial" w:hAnsi="Arial" w:cs="Arial"/>
          <w:sz w:val="20"/>
          <w:szCs w:val="20"/>
        </w:rPr>
        <w:t xml:space="preserve"> </w:t>
      </w:r>
      <w:r w:rsidR="00565D28" w:rsidRPr="0010196D">
        <w:rPr>
          <w:rFonts w:ascii="Arial" w:hAnsi="Arial" w:cs="Arial"/>
          <w:sz w:val="20"/>
          <w:szCs w:val="20"/>
        </w:rPr>
        <w:t>undertook quality assurance of data extraction</w:t>
      </w:r>
      <w:r w:rsidR="0010196D" w:rsidRPr="0010196D">
        <w:rPr>
          <w:rFonts w:ascii="Arial" w:hAnsi="Arial" w:cs="Arial"/>
          <w:sz w:val="20"/>
          <w:szCs w:val="20"/>
        </w:rPr>
        <w:t xml:space="preserve">s and conducted </w:t>
      </w:r>
      <w:r w:rsidR="00A8036E">
        <w:rPr>
          <w:rFonts w:ascii="Arial" w:hAnsi="Arial" w:cs="Arial"/>
          <w:sz w:val="20"/>
          <w:szCs w:val="20"/>
        </w:rPr>
        <w:t>network meta-analyses</w:t>
      </w:r>
      <w:r w:rsidR="00565D28" w:rsidRPr="009F6AA2">
        <w:rPr>
          <w:rFonts w:ascii="Arial" w:hAnsi="Arial" w:cs="Arial"/>
          <w:sz w:val="20"/>
          <w:szCs w:val="20"/>
        </w:rPr>
        <w:t xml:space="preserve">. </w:t>
      </w:r>
      <w:r w:rsidR="00BA723F" w:rsidRPr="009F6AA2">
        <w:rPr>
          <w:rFonts w:ascii="Arial" w:hAnsi="Arial" w:cs="Arial"/>
          <w:sz w:val="20"/>
          <w:szCs w:val="20"/>
        </w:rPr>
        <w:t>D</w:t>
      </w:r>
      <w:r>
        <w:rPr>
          <w:rFonts w:ascii="Arial" w:hAnsi="Arial" w:cs="Arial"/>
          <w:sz w:val="20"/>
          <w:szCs w:val="20"/>
        </w:rPr>
        <w:t>D</w:t>
      </w:r>
      <w:r w:rsidR="00BA723F" w:rsidRPr="009F6AA2">
        <w:rPr>
          <w:rFonts w:ascii="Arial" w:hAnsi="Arial" w:cs="Arial"/>
          <w:sz w:val="20"/>
          <w:szCs w:val="20"/>
        </w:rPr>
        <w:t xml:space="preserve"> </w:t>
      </w:r>
      <w:r w:rsidR="00CB6911">
        <w:rPr>
          <w:rFonts w:ascii="Arial" w:hAnsi="Arial" w:cs="Arial"/>
          <w:sz w:val="20"/>
          <w:szCs w:val="20"/>
        </w:rPr>
        <w:t xml:space="preserve">contributed to developing the review protocol, conducting the </w:t>
      </w:r>
      <w:r w:rsidR="00A8036E">
        <w:rPr>
          <w:rFonts w:ascii="Arial" w:hAnsi="Arial" w:cs="Arial"/>
          <w:sz w:val="20"/>
          <w:szCs w:val="20"/>
        </w:rPr>
        <w:t>network meta-analyses</w:t>
      </w:r>
      <w:r w:rsidR="00457A3E">
        <w:rPr>
          <w:rFonts w:ascii="Arial" w:hAnsi="Arial" w:cs="Arial"/>
          <w:sz w:val="20"/>
          <w:szCs w:val="20"/>
        </w:rPr>
        <w:t xml:space="preserve"> </w:t>
      </w:r>
      <w:r w:rsidR="005B6D60">
        <w:rPr>
          <w:rFonts w:ascii="Arial" w:hAnsi="Arial" w:cs="Arial"/>
          <w:sz w:val="20"/>
          <w:szCs w:val="20"/>
        </w:rPr>
        <w:t>and drafting the manuscript</w:t>
      </w:r>
      <w:r w:rsidR="0010196D" w:rsidRPr="009F6AA2">
        <w:rPr>
          <w:rFonts w:ascii="Arial" w:hAnsi="Arial" w:cs="Arial"/>
          <w:sz w:val="20"/>
          <w:szCs w:val="20"/>
        </w:rPr>
        <w:t>.</w:t>
      </w:r>
      <w:r w:rsidR="0010196D">
        <w:rPr>
          <w:rFonts w:ascii="Arial" w:hAnsi="Arial" w:cs="Arial"/>
          <w:sz w:val="20"/>
          <w:szCs w:val="20"/>
        </w:rPr>
        <w:t xml:space="preserve"> </w:t>
      </w:r>
      <w:r>
        <w:rPr>
          <w:rFonts w:ascii="Arial" w:hAnsi="Arial" w:cs="Arial"/>
          <w:sz w:val="20"/>
          <w:szCs w:val="20"/>
        </w:rPr>
        <w:t>J</w:t>
      </w:r>
      <w:r w:rsidR="00610EB1">
        <w:rPr>
          <w:rFonts w:ascii="Arial" w:hAnsi="Arial" w:cs="Arial"/>
          <w:sz w:val="20"/>
          <w:szCs w:val="20"/>
        </w:rPr>
        <w:t>C</w:t>
      </w:r>
      <w:r w:rsidR="0010196D" w:rsidRPr="001560ED">
        <w:rPr>
          <w:rFonts w:ascii="Arial" w:hAnsi="Arial" w:cs="Arial"/>
          <w:sz w:val="20"/>
          <w:szCs w:val="20"/>
        </w:rPr>
        <w:t xml:space="preserve"> conducted the database searches. </w:t>
      </w:r>
      <w:r>
        <w:rPr>
          <w:rFonts w:ascii="Arial" w:hAnsi="Arial" w:cs="Arial"/>
          <w:sz w:val="20"/>
          <w:szCs w:val="20"/>
        </w:rPr>
        <w:t>SD</w:t>
      </w:r>
      <w:r w:rsidR="003D43F5">
        <w:rPr>
          <w:rFonts w:ascii="Arial" w:hAnsi="Arial" w:cs="Arial"/>
          <w:sz w:val="20"/>
          <w:szCs w:val="20"/>
        </w:rPr>
        <w:t xml:space="preserve"> provided support and advice on the NMA models. </w:t>
      </w:r>
      <w:r>
        <w:rPr>
          <w:rFonts w:ascii="Arial" w:hAnsi="Arial" w:cs="Arial"/>
          <w:sz w:val="20"/>
          <w:szCs w:val="20"/>
        </w:rPr>
        <w:t>X</w:t>
      </w:r>
      <w:r w:rsidR="00610EB1">
        <w:rPr>
          <w:rFonts w:ascii="Arial" w:hAnsi="Arial" w:cs="Arial"/>
          <w:sz w:val="20"/>
          <w:szCs w:val="20"/>
        </w:rPr>
        <w:t>L</w:t>
      </w:r>
      <w:r>
        <w:rPr>
          <w:rFonts w:ascii="Arial" w:hAnsi="Arial" w:cs="Arial"/>
          <w:sz w:val="20"/>
          <w:szCs w:val="20"/>
        </w:rPr>
        <w:t>G</w:t>
      </w:r>
      <w:r w:rsidR="006B47C6" w:rsidRPr="006B47C6">
        <w:rPr>
          <w:rFonts w:ascii="Arial" w:hAnsi="Arial" w:cs="Arial"/>
          <w:sz w:val="20"/>
          <w:szCs w:val="20"/>
        </w:rPr>
        <w:t xml:space="preserve">, </w:t>
      </w:r>
      <w:r w:rsidR="00610EB1">
        <w:rPr>
          <w:rFonts w:ascii="Arial" w:hAnsi="Arial" w:cs="Arial"/>
          <w:sz w:val="20"/>
          <w:szCs w:val="20"/>
        </w:rPr>
        <w:t xml:space="preserve">NR, </w:t>
      </w:r>
      <w:r>
        <w:rPr>
          <w:rFonts w:ascii="Arial" w:hAnsi="Arial" w:cs="Arial"/>
          <w:sz w:val="20"/>
          <w:szCs w:val="20"/>
        </w:rPr>
        <w:t>MR</w:t>
      </w:r>
      <w:r w:rsidR="00BD76B3">
        <w:rPr>
          <w:rFonts w:ascii="Arial" w:hAnsi="Arial" w:cs="Arial"/>
          <w:sz w:val="20"/>
          <w:szCs w:val="20"/>
        </w:rPr>
        <w:t xml:space="preserve">, </w:t>
      </w:r>
      <w:r w:rsidR="00610EB1">
        <w:rPr>
          <w:rFonts w:ascii="Arial" w:hAnsi="Arial" w:cs="Arial"/>
          <w:sz w:val="20"/>
          <w:szCs w:val="20"/>
        </w:rPr>
        <w:t xml:space="preserve">GS, </w:t>
      </w:r>
      <w:r w:rsidR="006B47C6" w:rsidRPr="006B47C6">
        <w:rPr>
          <w:rFonts w:ascii="Arial" w:hAnsi="Arial" w:cs="Arial"/>
          <w:sz w:val="20"/>
          <w:szCs w:val="20"/>
        </w:rPr>
        <w:t>C</w:t>
      </w:r>
      <w:r>
        <w:rPr>
          <w:rFonts w:ascii="Arial" w:hAnsi="Arial" w:cs="Arial"/>
          <w:sz w:val="20"/>
          <w:szCs w:val="20"/>
        </w:rPr>
        <w:t>S</w:t>
      </w:r>
      <w:r w:rsidR="00A91800">
        <w:rPr>
          <w:rFonts w:ascii="Arial" w:hAnsi="Arial" w:cs="Arial"/>
          <w:sz w:val="20"/>
          <w:szCs w:val="20"/>
        </w:rPr>
        <w:t xml:space="preserve">, </w:t>
      </w:r>
      <w:r w:rsidR="006B47C6" w:rsidRPr="006B47C6">
        <w:rPr>
          <w:rFonts w:ascii="Arial" w:hAnsi="Arial" w:cs="Arial"/>
          <w:sz w:val="20"/>
          <w:szCs w:val="20"/>
        </w:rPr>
        <w:t xml:space="preserve">and </w:t>
      </w:r>
      <w:r>
        <w:rPr>
          <w:rFonts w:ascii="Arial" w:hAnsi="Arial" w:cs="Arial"/>
          <w:sz w:val="20"/>
          <w:szCs w:val="20"/>
        </w:rPr>
        <w:t>PB</w:t>
      </w:r>
      <w:r w:rsidR="006B47C6" w:rsidRPr="006B47C6">
        <w:rPr>
          <w:rFonts w:ascii="Arial" w:hAnsi="Arial" w:cs="Arial"/>
          <w:sz w:val="20"/>
          <w:szCs w:val="20"/>
        </w:rPr>
        <w:t xml:space="preserve"> contributed to the design of the study, acquisition of the data and the interpretation of the results. The manuscript was revised by authors and the submission of the final manuscript was</w:t>
      </w:r>
      <w:r w:rsidR="00C620FA">
        <w:rPr>
          <w:rFonts w:ascii="Arial" w:hAnsi="Arial" w:cs="Arial"/>
          <w:sz w:val="20"/>
          <w:szCs w:val="20"/>
        </w:rPr>
        <w:t xml:space="preserve"> approved by all authors.</w:t>
      </w:r>
    </w:p>
    <w:p w14:paraId="21074EB7" w14:textId="2A4B0B56" w:rsidR="002E6293" w:rsidRPr="0006655F" w:rsidRDefault="005B34FD" w:rsidP="002E6293">
      <w:pPr>
        <w:spacing w:line="480" w:lineRule="auto"/>
        <w:rPr>
          <w:rFonts w:ascii="Arial" w:hAnsi="Arial" w:cs="Arial"/>
          <w:b/>
          <w:sz w:val="20"/>
          <w:szCs w:val="20"/>
        </w:rPr>
      </w:pPr>
      <w:r>
        <w:rPr>
          <w:rFonts w:ascii="Arial" w:hAnsi="Arial" w:cs="Arial"/>
          <w:b/>
          <w:sz w:val="20"/>
          <w:szCs w:val="20"/>
        </w:rPr>
        <w:t>Declaration of interests</w:t>
      </w:r>
    </w:p>
    <w:p w14:paraId="1E486723" w14:textId="345FAA2F" w:rsidR="002E6293" w:rsidRDefault="002E6293" w:rsidP="002E6293">
      <w:pPr>
        <w:spacing w:line="480" w:lineRule="auto"/>
        <w:rPr>
          <w:rFonts w:ascii="Arial" w:hAnsi="Arial" w:cs="Arial"/>
          <w:sz w:val="20"/>
          <w:szCs w:val="20"/>
        </w:rPr>
      </w:pPr>
      <w:r w:rsidRPr="00E32D87">
        <w:rPr>
          <w:rFonts w:ascii="Arial" w:hAnsi="Arial" w:cs="Arial"/>
          <w:sz w:val="20"/>
          <w:szCs w:val="20"/>
        </w:rPr>
        <w:t xml:space="preserve">This work was undertaken by the National Guideline Centre (NGC), Royal College of Physicians London which received funding from the National Institute for Health and Care Excellence (NICE). </w:t>
      </w:r>
      <w:r w:rsidR="00610EB1">
        <w:rPr>
          <w:rFonts w:ascii="Arial" w:hAnsi="Arial" w:cs="Arial"/>
          <w:sz w:val="20"/>
          <w:szCs w:val="20"/>
        </w:rPr>
        <w:t xml:space="preserve"> </w:t>
      </w:r>
      <w:r w:rsidR="007304AA">
        <w:rPr>
          <w:rFonts w:ascii="Arial" w:hAnsi="Arial" w:cs="Arial"/>
          <w:sz w:val="20"/>
          <w:szCs w:val="20"/>
        </w:rPr>
        <w:t>Ms Lewis</w:t>
      </w:r>
      <w:r w:rsidR="00F07D7B">
        <w:rPr>
          <w:rFonts w:ascii="Arial" w:hAnsi="Arial" w:cs="Arial"/>
          <w:sz w:val="20"/>
          <w:szCs w:val="20"/>
        </w:rPr>
        <w:t>, Ms Glen, Dr Dawoud,</w:t>
      </w:r>
      <w:r w:rsidR="007304AA">
        <w:rPr>
          <w:rFonts w:ascii="Arial" w:hAnsi="Arial" w:cs="Arial"/>
          <w:sz w:val="20"/>
          <w:szCs w:val="20"/>
        </w:rPr>
        <w:t xml:space="preserve"> </w:t>
      </w:r>
      <w:r w:rsidR="007304AA" w:rsidRPr="007304AA">
        <w:rPr>
          <w:rFonts w:ascii="Arial" w:hAnsi="Arial" w:cs="Arial"/>
          <w:sz w:val="20"/>
          <w:szCs w:val="20"/>
        </w:rPr>
        <w:t>Ms Cobb</w:t>
      </w:r>
      <w:r w:rsidR="00F07D7B">
        <w:rPr>
          <w:rFonts w:ascii="Arial" w:hAnsi="Arial" w:cs="Arial"/>
          <w:sz w:val="20"/>
          <w:szCs w:val="20"/>
        </w:rPr>
        <w:t xml:space="preserve"> and Mr </w:t>
      </w:r>
      <w:proofErr w:type="spellStart"/>
      <w:r w:rsidR="00F07D7B">
        <w:rPr>
          <w:rFonts w:ascii="Arial" w:hAnsi="Arial" w:cs="Arial"/>
          <w:sz w:val="20"/>
          <w:szCs w:val="20"/>
        </w:rPr>
        <w:t>Sharpin</w:t>
      </w:r>
      <w:proofErr w:type="spellEnd"/>
      <w:r w:rsidR="00F07D7B">
        <w:rPr>
          <w:rFonts w:ascii="Arial" w:hAnsi="Arial" w:cs="Arial"/>
          <w:sz w:val="20"/>
          <w:szCs w:val="20"/>
        </w:rPr>
        <w:t xml:space="preserve"> </w:t>
      </w:r>
      <w:r w:rsidR="007304AA" w:rsidRPr="007304AA">
        <w:rPr>
          <w:rFonts w:ascii="Arial" w:hAnsi="Arial" w:cs="Arial"/>
          <w:sz w:val="20"/>
          <w:szCs w:val="20"/>
        </w:rPr>
        <w:t>report grants from NICE during the conduct of the study</w:t>
      </w:r>
      <w:r w:rsidR="007304AA">
        <w:rPr>
          <w:rFonts w:ascii="Arial" w:hAnsi="Arial" w:cs="Arial"/>
          <w:sz w:val="20"/>
          <w:szCs w:val="20"/>
        </w:rPr>
        <w:t>.</w:t>
      </w:r>
      <w:r w:rsidR="007304AA" w:rsidRPr="007304AA">
        <w:rPr>
          <w:rFonts w:ascii="Arial" w:hAnsi="Arial" w:cs="Arial"/>
          <w:sz w:val="20"/>
          <w:szCs w:val="20"/>
        </w:rPr>
        <w:t xml:space="preserve"> </w:t>
      </w:r>
      <w:r w:rsidR="0011225D">
        <w:rPr>
          <w:rFonts w:ascii="Arial" w:hAnsi="Arial" w:cs="Arial"/>
          <w:sz w:val="20"/>
          <w:szCs w:val="20"/>
        </w:rPr>
        <w:t>Dr</w:t>
      </w:r>
      <w:r w:rsidR="0011225D" w:rsidRPr="0011225D">
        <w:rPr>
          <w:rFonts w:ascii="Arial" w:hAnsi="Arial" w:cs="Arial"/>
          <w:sz w:val="20"/>
          <w:szCs w:val="20"/>
        </w:rPr>
        <w:t xml:space="preserve"> Dias reports grants from Centre for Guidelines (NICE</w:t>
      </w:r>
      <w:proofErr w:type="gramStart"/>
      <w:r w:rsidR="0011225D" w:rsidRPr="0011225D">
        <w:rPr>
          <w:rFonts w:ascii="Arial" w:hAnsi="Arial" w:cs="Arial"/>
          <w:sz w:val="20"/>
          <w:szCs w:val="20"/>
        </w:rPr>
        <w:t>) ,</w:t>
      </w:r>
      <w:proofErr w:type="gramEnd"/>
      <w:r w:rsidR="0011225D" w:rsidRPr="0011225D">
        <w:rPr>
          <w:rFonts w:ascii="Arial" w:hAnsi="Arial" w:cs="Arial"/>
          <w:sz w:val="20"/>
          <w:szCs w:val="20"/>
        </w:rPr>
        <w:t xml:space="preserve"> grants from UK Medical Research Council,  during the conduct of the study; grants from Pfizer,  outside the submitted work</w:t>
      </w:r>
      <w:r w:rsidRPr="003D43F5">
        <w:rPr>
          <w:rFonts w:ascii="Arial" w:hAnsi="Arial" w:cs="Arial"/>
          <w:sz w:val="20"/>
          <w:szCs w:val="20"/>
        </w:rPr>
        <w:t>.</w:t>
      </w:r>
      <w:r w:rsidR="00610EB1">
        <w:rPr>
          <w:rFonts w:ascii="Arial" w:hAnsi="Arial" w:cs="Arial"/>
          <w:sz w:val="20"/>
          <w:szCs w:val="20"/>
        </w:rPr>
        <w:t xml:space="preserve"> </w:t>
      </w:r>
      <w:r w:rsidR="0011225D">
        <w:rPr>
          <w:rFonts w:ascii="Arial" w:hAnsi="Arial" w:cs="Arial"/>
          <w:sz w:val="20"/>
          <w:szCs w:val="20"/>
        </w:rPr>
        <w:t>Mr</w:t>
      </w:r>
      <w:r w:rsidR="0011225D" w:rsidRPr="0011225D">
        <w:rPr>
          <w:rFonts w:ascii="Arial" w:hAnsi="Arial" w:cs="Arial"/>
          <w:sz w:val="20"/>
          <w:szCs w:val="20"/>
        </w:rPr>
        <w:t xml:space="preserve"> Griffin reports grants from NIHR Clinician Scientist (Open Fracture Management, grants from NIHR </w:t>
      </w:r>
      <w:proofErr w:type="spellStart"/>
      <w:r w:rsidR="0011225D" w:rsidRPr="0011225D">
        <w:rPr>
          <w:rFonts w:ascii="Arial" w:hAnsi="Arial" w:cs="Arial"/>
          <w:sz w:val="20"/>
          <w:szCs w:val="20"/>
        </w:rPr>
        <w:t>RfPB</w:t>
      </w:r>
      <w:proofErr w:type="spellEnd"/>
      <w:r w:rsidR="0011225D" w:rsidRPr="0011225D">
        <w:rPr>
          <w:rFonts w:ascii="Arial" w:hAnsi="Arial" w:cs="Arial"/>
          <w:sz w:val="20"/>
          <w:szCs w:val="20"/>
        </w:rPr>
        <w:t xml:space="preserve"> Programme (TULIP trial) , grants from NIHR SRP (Hip fracture review portfolio) , grants from NIHR </w:t>
      </w:r>
      <w:proofErr w:type="spellStart"/>
      <w:r w:rsidR="0011225D" w:rsidRPr="0011225D">
        <w:rPr>
          <w:rFonts w:ascii="Arial" w:hAnsi="Arial" w:cs="Arial"/>
          <w:sz w:val="20"/>
          <w:szCs w:val="20"/>
        </w:rPr>
        <w:t>RfPB</w:t>
      </w:r>
      <w:proofErr w:type="spellEnd"/>
      <w:r w:rsidR="0011225D" w:rsidRPr="0011225D">
        <w:rPr>
          <w:rFonts w:ascii="Arial" w:hAnsi="Arial" w:cs="Arial"/>
          <w:sz w:val="20"/>
          <w:szCs w:val="20"/>
        </w:rPr>
        <w:t xml:space="preserve"> Programme (WHiTE5 definitive trial) , grants from NIHR HTA Programme (</w:t>
      </w:r>
      <w:proofErr w:type="spellStart"/>
      <w:r w:rsidR="0011225D" w:rsidRPr="0011225D">
        <w:rPr>
          <w:rFonts w:ascii="Arial" w:hAnsi="Arial" w:cs="Arial"/>
          <w:sz w:val="20"/>
          <w:szCs w:val="20"/>
        </w:rPr>
        <w:t>TRAFFix</w:t>
      </w:r>
      <w:proofErr w:type="spellEnd"/>
      <w:r w:rsidR="0011225D" w:rsidRPr="0011225D">
        <w:rPr>
          <w:rFonts w:ascii="Arial" w:hAnsi="Arial" w:cs="Arial"/>
          <w:sz w:val="20"/>
          <w:szCs w:val="20"/>
        </w:rPr>
        <w:t xml:space="preserve"> Trial) , grants from NIHR </w:t>
      </w:r>
      <w:proofErr w:type="spellStart"/>
      <w:r w:rsidR="0011225D" w:rsidRPr="0011225D">
        <w:rPr>
          <w:rFonts w:ascii="Arial" w:hAnsi="Arial" w:cs="Arial"/>
          <w:sz w:val="20"/>
          <w:szCs w:val="20"/>
        </w:rPr>
        <w:t>RfPB</w:t>
      </w:r>
      <w:proofErr w:type="spellEnd"/>
      <w:r w:rsidR="0011225D" w:rsidRPr="0011225D">
        <w:rPr>
          <w:rFonts w:ascii="Arial" w:hAnsi="Arial" w:cs="Arial"/>
          <w:sz w:val="20"/>
          <w:szCs w:val="20"/>
        </w:rPr>
        <w:t xml:space="preserve"> Programme (WHiTE5 feasibility) , grants from X-Bolt Commercial Grant (Investigator Initiated),  outside the submitted work</w:t>
      </w:r>
      <w:r w:rsidR="007304AA">
        <w:rPr>
          <w:rFonts w:ascii="Arial" w:hAnsi="Arial" w:cs="Arial"/>
          <w:sz w:val="20"/>
          <w:szCs w:val="20"/>
        </w:rPr>
        <w:t>.</w:t>
      </w:r>
      <w:r w:rsidR="00F07D7B">
        <w:rPr>
          <w:rFonts w:ascii="Arial" w:hAnsi="Arial" w:cs="Arial"/>
          <w:sz w:val="20"/>
          <w:szCs w:val="20"/>
        </w:rPr>
        <w:t xml:space="preserve"> Professor Reed</w:t>
      </w:r>
      <w:r w:rsidR="00F07D7B" w:rsidRPr="00F07D7B">
        <w:rPr>
          <w:rFonts w:ascii="Arial" w:hAnsi="Arial" w:cs="Arial"/>
          <w:sz w:val="20"/>
          <w:szCs w:val="20"/>
        </w:rPr>
        <w:t xml:space="preserve"> reports personal fees from Zimmer, grants from Heraeus cement, grants from </w:t>
      </w:r>
      <w:proofErr w:type="spellStart"/>
      <w:r w:rsidR="00F07D7B" w:rsidRPr="00F07D7B">
        <w:rPr>
          <w:rFonts w:ascii="Arial" w:hAnsi="Arial" w:cs="Arial"/>
          <w:sz w:val="20"/>
          <w:szCs w:val="20"/>
        </w:rPr>
        <w:t>ConvaTec</w:t>
      </w:r>
      <w:proofErr w:type="spellEnd"/>
      <w:r w:rsidR="00F07D7B" w:rsidRPr="00F07D7B">
        <w:rPr>
          <w:rFonts w:ascii="Arial" w:hAnsi="Arial" w:cs="Arial"/>
          <w:sz w:val="20"/>
          <w:szCs w:val="20"/>
        </w:rPr>
        <w:t xml:space="preserve">, grants and personal fees from ASHN/Heraeus, grants from The Health Foundation, grants and personal fees from Stryker, grants from Heraeus, grants from Orthopaedic Research UK, grants from Orthopaedic Research UK, grants from AR-UK, grants and personal fees from 3m Healthcare, grants and personal fees from The Health Foundation, grants from OR-UK, grants from </w:t>
      </w:r>
      <w:proofErr w:type="spellStart"/>
      <w:r w:rsidR="00F07D7B" w:rsidRPr="00F07D7B">
        <w:rPr>
          <w:rFonts w:ascii="Arial" w:hAnsi="Arial" w:cs="Arial"/>
          <w:sz w:val="20"/>
          <w:szCs w:val="20"/>
        </w:rPr>
        <w:t>Curetis</w:t>
      </w:r>
      <w:proofErr w:type="spellEnd"/>
      <w:r w:rsidR="00F07D7B" w:rsidRPr="00F07D7B">
        <w:rPr>
          <w:rFonts w:ascii="Arial" w:hAnsi="Arial" w:cs="Arial"/>
          <w:sz w:val="20"/>
          <w:szCs w:val="20"/>
        </w:rPr>
        <w:t xml:space="preserve">, grants and personal fees from Heraeus, grants and personal fees from NHSI, </w:t>
      </w:r>
      <w:proofErr w:type="spellStart"/>
      <w:r w:rsidR="00F07D7B" w:rsidRPr="00F07D7B">
        <w:rPr>
          <w:rFonts w:ascii="Arial" w:hAnsi="Arial" w:cs="Arial"/>
          <w:sz w:val="20"/>
          <w:szCs w:val="20"/>
        </w:rPr>
        <w:t>Vifor</w:t>
      </w:r>
      <w:proofErr w:type="spellEnd"/>
      <w:r w:rsidR="00F07D7B" w:rsidRPr="00F07D7B">
        <w:rPr>
          <w:rFonts w:ascii="Arial" w:hAnsi="Arial" w:cs="Arial"/>
          <w:sz w:val="20"/>
          <w:szCs w:val="20"/>
        </w:rPr>
        <w:t xml:space="preserve"> Pharma, </w:t>
      </w:r>
      <w:proofErr w:type="spellStart"/>
      <w:r w:rsidR="00F07D7B" w:rsidRPr="00F07D7B">
        <w:rPr>
          <w:rFonts w:ascii="Arial" w:hAnsi="Arial" w:cs="Arial"/>
          <w:sz w:val="20"/>
          <w:szCs w:val="20"/>
        </w:rPr>
        <w:t>Shuelke</w:t>
      </w:r>
      <w:proofErr w:type="spellEnd"/>
      <w:r w:rsidR="00F07D7B" w:rsidRPr="00F07D7B">
        <w:rPr>
          <w:rFonts w:ascii="Arial" w:hAnsi="Arial" w:cs="Arial"/>
          <w:sz w:val="20"/>
          <w:szCs w:val="20"/>
        </w:rPr>
        <w:t xml:space="preserve">, Northumbria NHS </w:t>
      </w:r>
      <w:proofErr w:type="spellStart"/>
      <w:r w:rsidR="00F07D7B" w:rsidRPr="00F07D7B">
        <w:rPr>
          <w:rFonts w:ascii="Arial" w:hAnsi="Arial" w:cs="Arial"/>
          <w:sz w:val="20"/>
          <w:szCs w:val="20"/>
        </w:rPr>
        <w:t>Vangaurd</w:t>
      </w:r>
      <w:proofErr w:type="spellEnd"/>
      <w:r w:rsidR="00F07D7B" w:rsidRPr="00F07D7B">
        <w:rPr>
          <w:rFonts w:ascii="Arial" w:hAnsi="Arial" w:cs="Arial"/>
          <w:sz w:val="20"/>
          <w:szCs w:val="20"/>
        </w:rPr>
        <w:t xml:space="preserve">, grants from </w:t>
      </w:r>
      <w:proofErr w:type="spellStart"/>
      <w:r w:rsidR="00F07D7B" w:rsidRPr="00F07D7B">
        <w:rPr>
          <w:rFonts w:ascii="Arial" w:hAnsi="Arial" w:cs="Arial"/>
          <w:sz w:val="20"/>
          <w:szCs w:val="20"/>
        </w:rPr>
        <w:t>Depuy</w:t>
      </w:r>
      <w:proofErr w:type="spellEnd"/>
      <w:r w:rsidR="00F07D7B" w:rsidRPr="00F07D7B">
        <w:rPr>
          <w:rFonts w:ascii="Arial" w:hAnsi="Arial" w:cs="Arial"/>
          <w:sz w:val="20"/>
          <w:szCs w:val="20"/>
        </w:rPr>
        <w:t xml:space="preserve">, Stryker, Zimmer Biomet, </w:t>
      </w:r>
      <w:proofErr w:type="spellStart"/>
      <w:r w:rsidR="00F07D7B" w:rsidRPr="00F07D7B">
        <w:rPr>
          <w:rFonts w:ascii="Arial" w:hAnsi="Arial" w:cs="Arial"/>
          <w:sz w:val="20"/>
          <w:szCs w:val="20"/>
        </w:rPr>
        <w:t>Biocomposites</w:t>
      </w:r>
      <w:proofErr w:type="spellEnd"/>
      <w:r w:rsidR="00F07D7B" w:rsidRPr="00F07D7B">
        <w:rPr>
          <w:rFonts w:ascii="Arial" w:hAnsi="Arial" w:cs="Arial"/>
          <w:sz w:val="20"/>
          <w:szCs w:val="20"/>
        </w:rPr>
        <w:t xml:space="preserve">, Aquilant, Heraeus, personal fees from Zimmer </w:t>
      </w:r>
      <w:proofErr w:type="spellStart"/>
      <w:r w:rsidR="00F07D7B" w:rsidRPr="00F07D7B">
        <w:rPr>
          <w:rFonts w:ascii="Arial" w:hAnsi="Arial" w:cs="Arial"/>
          <w:sz w:val="20"/>
          <w:szCs w:val="20"/>
        </w:rPr>
        <w:t>Bioment</w:t>
      </w:r>
      <w:proofErr w:type="spellEnd"/>
      <w:r w:rsidR="00F07D7B" w:rsidRPr="00F07D7B">
        <w:rPr>
          <w:rFonts w:ascii="Arial" w:hAnsi="Arial" w:cs="Arial"/>
          <w:sz w:val="20"/>
          <w:szCs w:val="20"/>
        </w:rPr>
        <w:t xml:space="preserve">, personal fees from Heraeus, personal fees from Stryker, other from </w:t>
      </w:r>
      <w:proofErr w:type="spellStart"/>
      <w:r w:rsidR="00F07D7B" w:rsidRPr="00F07D7B">
        <w:rPr>
          <w:rFonts w:ascii="Arial" w:hAnsi="Arial" w:cs="Arial"/>
          <w:sz w:val="20"/>
          <w:szCs w:val="20"/>
        </w:rPr>
        <w:t>ConvaTec</w:t>
      </w:r>
      <w:proofErr w:type="spellEnd"/>
      <w:r w:rsidR="00F07D7B" w:rsidRPr="00F07D7B">
        <w:rPr>
          <w:rFonts w:ascii="Arial" w:hAnsi="Arial" w:cs="Arial"/>
          <w:sz w:val="20"/>
          <w:szCs w:val="20"/>
        </w:rPr>
        <w:t>,  outside the submitted work.</w:t>
      </w:r>
      <w:r w:rsidR="00F07D7B" w:rsidRPr="00F07D7B" w:rsidDel="0011225D">
        <w:rPr>
          <w:rFonts w:ascii="Arial" w:hAnsi="Arial" w:cs="Arial"/>
          <w:sz w:val="20"/>
          <w:szCs w:val="20"/>
        </w:rPr>
        <w:t xml:space="preserve"> </w:t>
      </w:r>
      <w:r w:rsidR="00F07D7B" w:rsidRPr="00F07D7B">
        <w:rPr>
          <w:rFonts w:ascii="Arial" w:hAnsi="Arial" w:cs="Arial"/>
          <w:sz w:val="20"/>
          <w:szCs w:val="20"/>
        </w:rPr>
        <w:t xml:space="preserve">Mr. Rossiter has nothing to disclose. </w:t>
      </w:r>
      <w:r w:rsidR="00F07D7B">
        <w:rPr>
          <w:rFonts w:ascii="Arial" w:hAnsi="Arial" w:cs="Arial"/>
          <w:sz w:val="20"/>
          <w:szCs w:val="20"/>
        </w:rPr>
        <w:t>Professor</w:t>
      </w:r>
      <w:r w:rsidR="00F07D7B" w:rsidRPr="00F07D7B">
        <w:rPr>
          <w:rFonts w:ascii="Arial" w:hAnsi="Arial" w:cs="Arial"/>
          <w:sz w:val="20"/>
          <w:szCs w:val="20"/>
        </w:rPr>
        <w:t xml:space="preserve"> </w:t>
      </w:r>
      <w:proofErr w:type="spellStart"/>
      <w:r w:rsidR="00F07D7B" w:rsidRPr="00F07D7B">
        <w:rPr>
          <w:rFonts w:ascii="Arial" w:hAnsi="Arial" w:cs="Arial"/>
          <w:sz w:val="20"/>
          <w:szCs w:val="20"/>
        </w:rPr>
        <w:t>Stansby</w:t>
      </w:r>
      <w:proofErr w:type="spellEnd"/>
      <w:r w:rsidR="00F07D7B" w:rsidRPr="00F07D7B">
        <w:rPr>
          <w:rFonts w:ascii="Arial" w:hAnsi="Arial" w:cs="Arial"/>
          <w:sz w:val="20"/>
          <w:szCs w:val="20"/>
        </w:rPr>
        <w:t xml:space="preserve"> has nothing to disclose</w:t>
      </w:r>
      <w:r w:rsidR="00F07D7B">
        <w:rPr>
          <w:rFonts w:ascii="Arial" w:hAnsi="Arial" w:cs="Arial"/>
          <w:sz w:val="20"/>
          <w:szCs w:val="20"/>
        </w:rPr>
        <w:t xml:space="preserve">. </w:t>
      </w:r>
      <w:proofErr w:type="spellStart"/>
      <w:r w:rsidR="00F07D7B" w:rsidRPr="00F07D7B">
        <w:rPr>
          <w:rFonts w:ascii="Arial" w:hAnsi="Arial" w:cs="Arial"/>
          <w:sz w:val="20"/>
          <w:szCs w:val="20"/>
        </w:rPr>
        <w:t>Dr.</w:t>
      </w:r>
      <w:proofErr w:type="spellEnd"/>
      <w:r w:rsidR="00F07D7B" w:rsidRPr="00F07D7B">
        <w:rPr>
          <w:rFonts w:ascii="Arial" w:hAnsi="Arial" w:cs="Arial"/>
          <w:sz w:val="20"/>
          <w:szCs w:val="20"/>
        </w:rPr>
        <w:t xml:space="preserve"> Barry reports personal fees from Royal College of Physicians, during the conduct of the study</w:t>
      </w:r>
      <w:r w:rsidR="00F07D7B">
        <w:rPr>
          <w:rFonts w:ascii="Arial" w:hAnsi="Arial" w:cs="Arial"/>
          <w:sz w:val="20"/>
          <w:szCs w:val="20"/>
        </w:rPr>
        <w:t>.</w:t>
      </w:r>
      <w:r w:rsidR="00F07D7B" w:rsidRPr="00F07D7B" w:rsidDel="0011225D">
        <w:rPr>
          <w:rFonts w:ascii="Arial" w:hAnsi="Arial" w:cs="Arial"/>
          <w:sz w:val="20"/>
          <w:szCs w:val="20"/>
        </w:rPr>
        <w:t xml:space="preserve"> </w:t>
      </w:r>
    </w:p>
    <w:p w14:paraId="67634E06" w14:textId="2AD7108A" w:rsidR="00FA3548" w:rsidRDefault="00FA3548" w:rsidP="00173701">
      <w:pPr>
        <w:spacing w:line="480" w:lineRule="auto"/>
        <w:rPr>
          <w:rFonts w:ascii="Arial" w:hAnsi="Arial" w:cs="Arial"/>
          <w:b/>
          <w:sz w:val="20"/>
          <w:szCs w:val="20"/>
        </w:rPr>
      </w:pPr>
      <w:r>
        <w:rPr>
          <w:rFonts w:ascii="Arial" w:hAnsi="Arial" w:cs="Arial"/>
          <w:b/>
          <w:sz w:val="20"/>
          <w:szCs w:val="20"/>
        </w:rPr>
        <w:t>Ethics approval statement</w:t>
      </w:r>
    </w:p>
    <w:p w14:paraId="17A252E1" w14:textId="41555974" w:rsidR="00FA3548" w:rsidRPr="00FA3548" w:rsidRDefault="00FA3548" w:rsidP="00173701">
      <w:pPr>
        <w:spacing w:line="480" w:lineRule="auto"/>
        <w:rPr>
          <w:rFonts w:ascii="Arial" w:hAnsi="Arial" w:cs="Arial"/>
          <w:sz w:val="20"/>
          <w:szCs w:val="20"/>
        </w:rPr>
      </w:pPr>
      <w:r>
        <w:rPr>
          <w:rFonts w:ascii="Arial" w:hAnsi="Arial" w:cs="Arial"/>
          <w:sz w:val="20"/>
          <w:szCs w:val="20"/>
        </w:rPr>
        <w:lastRenderedPageBreak/>
        <w:t xml:space="preserve">No </w:t>
      </w:r>
      <w:r w:rsidRPr="00A34E57">
        <w:rPr>
          <w:rFonts w:ascii="Arial" w:hAnsi="Arial" w:cs="Arial"/>
          <w:sz w:val="20"/>
          <w:szCs w:val="20"/>
        </w:rPr>
        <w:t xml:space="preserve">ethics approval was required for this </w:t>
      </w:r>
      <w:r>
        <w:rPr>
          <w:rFonts w:ascii="Arial" w:hAnsi="Arial" w:cs="Arial"/>
          <w:sz w:val="20"/>
          <w:szCs w:val="20"/>
        </w:rPr>
        <w:t>review</w:t>
      </w:r>
      <w:r w:rsidRPr="00A34E57">
        <w:rPr>
          <w:rFonts w:ascii="Arial" w:hAnsi="Arial" w:cs="Arial"/>
          <w:sz w:val="20"/>
          <w:szCs w:val="20"/>
        </w:rPr>
        <w:t>.</w:t>
      </w:r>
    </w:p>
    <w:p w14:paraId="2ADB3743" w14:textId="5DDFA254" w:rsidR="00173701" w:rsidRPr="00DD4480" w:rsidRDefault="00173701" w:rsidP="00173701">
      <w:pPr>
        <w:spacing w:line="480" w:lineRule="auto"/>
        <w:rPr>
          <w:rFonts w:ascii="Arial" w:hAnsi="Arial" w:cs="Arial"/>
          <w:b/>
          <w:sz w:val="20"/>
          <w:szCs w:val="20"/>
        </w:rPr>
      </w:pPr>
      <w:r w:rsidRPr="00DD4480">
        <w:rPr>
          <w:rFonts w:ascii="Arial" w:hAnsi="Arial" w:cs="Arial"/>
          <w:b/>
          <w:sz w:val="20"/>
          <w:szCs w:val="20"/>
        </w:rPr>
        <w:t>Acknowledgement</w:t>
      </w:r>
      <w:r w:rsidR="00071BDD" w:rsidRPr="0006655F">
        <w:rPr>
          <w:rFonts w:ascii="Arial" w:hAnsi="Arial" w:cs="Arial"/>
          <w:b/>
          <w:sz w:val="20"/>
          <w:szCs w:val="20"/>
        </w:rPr>
        <w:t>s</w:t>
      </w:r>
    </w:p>
    <w:p w14:paraId="4E48AB63" w14:textId="438B80A8" w:rsidR="00A457D9" w:rsidRPr="00360DCA" w:rsidRDefault="007B0AD7" w:rsidP="00360DCA">
      <w:pPr>
        <w:spacing w:line="480" w:lineRule="auto"/>
        <w:rPr>
          <w:rFonts w:ascii="Arial" w:hAnsi="Arial" w:cs="Arial"/>
          <w:sz w:val="20"/>
          <w:szCs w:val="20"/>
        </w:rPr>
      </w:pPr>
      <w:r w:rsidRPr="007C551A">
        <w:rPr>
          <w:rFonts w:ascii="Arial" w:hAnsi="Arial" w:cs="Arial"/>
          <w:sz w:val="20"/>
          <w:szCs w:val="20"/>
        </w:rPr>
        <w:t>National Institute for Health and Care Excellence</w:t>
      </w:r>
      <w:r w:rsidR="003B08BD">
        <w:rPr>
          <w:rFonts w:ascii="Arial" w:hAnsi="Arial" w:cs="Arial"/>
          <w:sz w:val="20"/>
          <w:szCs w:val="20"/>
        </w:rPr>
        <w:t xml:space="preserve"> for funding “</w:t>
      </w:r>
      <w:r w:rsidRPr="007C551A">
        <w:rPr>
          <w:rFonts w:ascii="Arial" w:hAnsi="Arial" w:cs="Arial"/>
          <w:sz w:val="20"/>
          <w:szCs w:val="20"/>
        </w:rPr>
        <w:t xml:space="preserve">Venous thromboembolism in over 16s: reducing the risk of hospital-acquired deep vein thrombosis or pulmonary embolism. Available from </w:t>
      </w:r>
      <w:r w:rsidRPr="00C22DD5">
        <w:rPr>
          <w:rFonts w:ascii="Arial" w:hAnsi="Arial" w:cs="Arial"/>
          <w:sz w:val="20"/>
          <w:szCs w:val="20"/>
        </w:rPr>
        <w:t>https://www.nice.org.uk/guidance/ng89</w:t>
      </w:r>
      <w:r>
        <w:rPr>
          <w:rStyle w:val="Hyperlink"/>
          <w:rFonts w:ascii="Arial" w:hAnsi="Arial" w:cs="Arial"/>
          <w:sz w:val="20"/>
          <w:szCs w:val="20"/>
        </w:rPr>
        <w:t>.</w:t>
      </w:r>
      <w:r w:rsidR="003B08BD" w:rsidRPr="003B08BD">
        <w:rPr>
          <w:rFonts w:ascii="Arial" w:hAnsi="Arial" w:cs="Arial"/>
          <w:sz w:val="20"/>
          <w:szCs w:val="20"/>
        </w:rPr>
        <w:t xml:space="preserve"> </w:t>
      </w:r>
      <w:r w:rsidR="003B08BD" w:rsidRPr="007C551A">
        <w:rPr>
          <w:rFonts w:ascii="Arial" w:hAnsi="Arial" w:cs="Arial"/>
          <w:sz w:val="20"/>
          <w:szCs w:val="20"/>
        </w:rPr>
        <w:t>(2018)</w:t>
      </w:r>
      <w:r w:rsidR="003B08BD">
        <w:rPr>
          <w:rFonts w:ascii="Arial" w:hAnsi="Arial" w:cs="Arial"/>
          <w:sz w:val="20"/>
          <w:szCs w:val="20"/>
        </w:rPr>
        <w:t>”.</w:t>
      </w:r>
      <w:r w:rsidR="00415C66" w:rsidRPr="00415C66">
        <w:rPr>
          <w:rFonts w:ascii="Arial" w:hAnsi="Arial" w:cs="Arial"/>
          <w:bCs/>
          <w:sz w:val="20"/>
          <w:szCs w:val="20"/>
        </w:rPr>
        <w:t xml:space="preserve"> </w:t>
      </w:r>
      <w:r w:rsidR="00173701" w:rsidRPr="00DD4480">
        <w:rPr>
          <w:rFonts w:ascii="Arial" w:hAnsi="Arial" w:cs="Arial"/>
          <w:sz w:val="20"/>
          <w:szCs w:val="20"/>
        </w:rPr>
        <w:t>NICE Decision Support Unit (DSU) Team for their input. NICE guideline committee members and in particular the patient representatives, for their contribution to the discussions around the design of the study and interpretation of the results.</w:t>
      </w:r>
      <w:r w:rsidR="007C551A">
        <w:rPr>
          <w:rFonts w:ascii="Arial" w:hAnsi="Arial" w:cs="Arial"/>
          <w:sz w:val="20"/>
          <w:szCs w:val="20"/>
        </w:rPr>
        <w:t xml:space="preserve"> </w:t>
      </w:r>
    </w:p>
    <w:p w14:paraId="0BAFFE38" w14:textId="0552A320" w:rsidR="00743CFB" w:rsidRPr="00A755BA" w:rsidRDefault="00743CFB" w:rsidP="00A755BA">
      <w:pPr>
        <w:spacing w:line="480" w:lineRule="auto"/>
        <w:rPr>
          <w:rFonts w:ascii="Arial" w:hAnsi="Arial" w:cs="Arial"/>
          <w:b/>
          <w:sz w:val="20"/>
          <w:szCs w:val="24"/>
          <w:u w:val="single"/>
        </w:rPr>
      </w:pPr>
      <w:r w:rsidRPr="00A755BA">
        <w:rPr>
          <w:rFonts w:ascii="Arial" w:hAnsi="Arial" w:cs="Arial"/>
          <w:b/>
          <w:sz w:val="20"/>
          <w:szCs w:val="24"/>
          <w:u w:val="single"/>
        </w:rPr>
        <w:t>References</w:t>
      </w:r>
    </w:p>
    <w:p w14:paraId="193F87EA" w14:textId="1048270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w:t>
      </w:r>
      <w:r w:rsidRPr="00A755BA">
        <w:rPr>
          <w:rFonts w:ascii="Arial" w:hAnsi="Arial" w:cs="Arial"/>
          <w:sz w:val="20"/>
          <w:szCs w:val="24"/>
        </w:rPr>
        <w:tab/>
        <w:t xml:space="preserve">ISTH Steering Committee for World Thrombosis Day. Thrombosis: a major contributor to the global disease burden. </w:t>
      </w:r>
      <w:r w:rsidRPr="00A755BA">
        <w:rPr>
          <w:rFonts w:ascii="Arial" w:hAnsi="Arial" w:cs="Arial"/>
          <w:i/>
          <w:sz w:val="20"/>
          <w:szCs w:val="24"/>
        </w:rPr>
        <w:t>J Thromb Haemost</w:t>
      </w:r>
      <w:r w:rsidRPr="00A755BA">
        <w:rPr>
          <w:rFonts w:ascii="Arial" w:hAnsi="Arial" w:cs="Arial"/>
          <w:sz w:val="20"/>
          <w:szCs w:val="24"/>
        </w:rPr>
        <w:t>. 2014;12(10):1580-90.</w:t>
      </w:r>
    </w:p>
    <w:p w14:paraId="354DCFEF"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w:t>
      </w:r>
      <w:r w:rsidRPr="00A755BA">
        <w:rPr>
          <w:rFonts w:ascii="Arial" w:hAnsi="Arial" w:cs="Arial"/>
          <w:sz w:val="20"/>
          <w:szCs w:val="24"/>
        </w:rPr>
        <w:tab/>
        <w:t xml:space="preserve">Rosendaal FR, Raskob GE. On World Thrombosis Day. </w:t>
      </w:r>
      <w:r w:rsidRPr="00A755BA">
        <w:rPr>
          <w:rFonts w:ascii="Arial" w:hAnsi="Arial" w:cs="Arial"/>
          <w:i/>
          <w:sz w:val="20"/>
          <w:szCs w:val="24"/>
        </w:rPr>
        <w:t>Lancet</w:t>
      </w:r>
      <w:r w:rsidRPr="00A755BA">
        <w:rPr>
          <w:rFonts w:ascii="Arial" w:hAnsi="Arial" w:cs="Arial"/>
          <w:sz w:val="20"/>
          <w:szCs w:val="24"/>
        </w:rPr>
        <w:t>. 2014;384(9955):1653-4.</w:t>
      </w:r>
    </w:p>
    <w:p w14:paraId="052ED8F2"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w:t>
      </w:r>
      <w:r w:rsidRPr="00A755BA">
        <w:rPr>
          <w:rFonts w:ascii="Arial" w:hAnsi="Arial" w:cs="Arial"/>
          <w:sz w:val="20"/>
          <w:szCs w:val="24"/>
        </w:rPr>
        <w:tab/>
        <w:t xml:space="preserve">Arya R, Baglin T, Kakkar A, et al. Implementation of thromboprophylaxis in hospitals. E-learning for healthcare. London: Department of Health, 2010 </w:t>
      </w:r>
    </w:p>
    <w:p w14:paraId="71457C93"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w:t>
      </w:r>
      <w:r w:rsidRPr="00A755BA">
        <w:rPr>
          <w:rFonts w:ascii="Arial" w:hAnsi="Arial" w:cs="Arial"/>
          <w:sz w:val="20"/>
          <w:szCs w:val="24"/>
        </w:rPr>
        <w:tab/>
        <w:t xml:space="preserve">National Institute for Health and Clinical Excellence. Venous thromboembolism in adults: reducing the risk in hospital. London: National Institute for Health and Clinical Excellence, 2010 </w:t>
      </w:r>
    </w:p>
    <w:p w14:paraId="11C90A3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w:t>
      </w:r>
      <w:r w:rsidRPr="00A755BA">
        <w:rPr>
          <w:rFonts w:ascii="Arial" w:hAnsi="Arial" w:cs="Arial"/>
          <w:sz w:val="20"/>
          <w:szCs w:val="24"/>
        </w:rPr>
        <w:tab/>
        <w:t xml:space="preserve">Falck-Ytter Y, Francis CW, Johanson NA, et al. Prevention of VTE in orthopedic surgery patients. </w:t>
      </w:r>
      <w:r w:rsidRPr="00A755BA">
        <w:rPr>
          <w:rFonts w:ascii="Arial" w:hAnsi="Arial" w:cs="Arial"/>
          <w:i/>
          <w:sz w:val="20"/>
          <w:szCs w:val="24"/>
        </w:rPr>
        <w:t>Chest</w:t>
      </w:r>
      <w:r w:rsidRPr="00A755BA">
        <w:rPr>
          <w:rFonts w:ascii="Arial" w:hAnsi="Arial" w:cs="Arial"/>
          <w:sz w:val="20"/>
          <w:szCs w:val="24"/>
        </w:rPr>
        <w:t>. 2012;141(2 suppl):e278S-e325S.</w:t>
      </w:r>
    </w:p>
    <w:p w14:paraId="689AA325"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6.</w:t>
      </w:r>
      <w:r w:rsidRPr="00A755BA">
        <w:rPr>
          <w:rFonts w:ascii="Arial" w:hAnsi="Arial" w:cs="Arial"/>
          <w:sz w:val="20"/>
          <w:szCs w:val="24"/>
        </w:rPr>
        <w:tab/>
        <w:t xml:space="preserve">Lu X, Lin J. Low molecular weight heparin versus other anti-thrombotic agents for prevention of venous thromboembolic events after total hip or total knee replacement surgery: a systematic review and meta-analysis. </w:t>
      </w:r>
      <w:r w:rsidRPr="00A755BA">
        <w:rPr>
          <w:rFonts w:ascii="Arial" w:hAnsi="Arial" w:cs="Arial"/>
          <w:i/>
          <w:sz w:val="20"/>
          <w:szCs w:val="24"/>
        </w:rPr>
        <w:t>BMC Musculoskelet Disord</w:t>
      </w:r>
      <w:r w:rsidRPr="00A755BA">
        <w:rPr>
          <w:rFonts w:ascii="Arial" w:hAnsi="Arial" w:cs="Arial"/>
          <w:sz w:val="20"/>
          <w:szCs w:val="24"/>
        </w:rPr>
        <w:t>. 2018;19(1):322.</w:t>
      </w:r>
    </w:p>
    <w:p w14:paraId="0F71AC3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7.</w:t>
      </w:r>
      <w:r w:rsidRPr="00A755BA">
        <w:rPr>
          <w:rFonts w:ascii="Arial" w:hAnsi="Arial" w:cs="Arial"/>
          <w:sz w:val="20"/>
          <w:szCs w:val="24"/>
        </w:rPr>
        <w:tab/>
        <w:t xml:space="preserve">Xia ZN, Zhou Q, Zhu W, et al. Low molecular weight heparin for the prevention of deep venous thrombosis after total knee arthroplasty: A systematic review and meta-analysis. </w:t>
      </w:r>
      <w:r w:rsidRPr="00A755BA">
        <w:rPr>
          <w:rFonts w:ascii="Arial" w:hAnsi="Arial" w:cs="Arial"/>
          <w:i/>
          <w:sz w:val="20"/>
          <w:szCs w:val="24"/>
        </w:rPr>
        <w:t>Int J Surg</w:t>
      </w:r>
      <w:r w:rsidRPr="00A755BA">
        <w:rPr>
          <w:rFonts w:ascii="Arial" w:hAnsi="Arial" w:cs="Arial"/>
          <w:sz w:val="20"/>
          <w:szCs w:val="24"/>
        </w:rPr>
        <w:t>. 2018;54(Pt A):265-75.</w:t>
      </w:r>
    </w:p>
    <w:p w14:paraId="16E98C49"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8.</w:t>
      </w:r>
      <w:r w:rsidRPr="00A755BA">
        <w:rPr>
          <w:rFonts w:ascii="Arial" w:hAnsi="Arial" w:cs="Arial"/>
          <w:sz w:val="20"/>
          <w:szCs w:val="24"/>
        </w:rPr>
        <w:tab/>
        <w:t>Forster R, Stewart M. Anticoagulants (extended duration) for prevention of venous thromboembolism following total hip or knee replacement or hip fracture repair. The Cochrane database of systematic reviews, 2016. Issue 3. Art. No.: CD004179 DOI: 10.1002/14651858.CD004179.pub2.</w:t>
      </w:r>
    </w:p>
    <w:p w14:paraId="18B7841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lastRenderedPageBreak/>
        <w:t>9.</w:t>
      </w:r>
      <w:r w:rsidRPr="00A755BA">
        <w:rPr>
          <w:rFonts w:ascii="Arial" w:hAnsi="Arial" w:cs="Arial"/>
          <w:sz w:val="20"/>
          <w:szCs w:val="24"/>
        </w:rPr>
        <w:tab/>
        <w:t xml:space="preserve">Balk EM, Ellis AG, Di M, et al. Venous thromboembolism prophylaxis in major orthopedic surgery: Systematic review update. Rockville (MD): Agency for Healthcare Research and Quality (US), 2017 </w:t>
      </w:r>
    </w:p>
    <w:p w14:paraId="53544432"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10.</w:t>
      </w:r>
      <w:r w:rsidRPr="00A755BA">
        <w:rPr>
          <w:rFonts w:ascii="Arial" w:hAnsi="Arial" w:cs="Arial"/>
          <w:sz w:val="20"/>
          <w:szCs w:val="24"/>
        </w:rPr>
        <w:tab/>
        <w:t xml:space="preserve">Hur M, Park SK, Koo CH, et al. Comparative efficacy and safety of anticoagulants for prevention of venous thromboembolism after hip and knee arthroplasty. </w:t>
      </w:r>
      <w:r w:rsidRPr="00A755BA">
        <w:rPr>
          <w:rFonts w:ascii="Arial" w:hAnsi="Arial" w:cs="Arial"/>
          <w:i/>
          <w:sz w:val="20"/>
          <w:szCs w:val="24"/>
        </w:rPr>
        <w:t>Acta Orthop</w:t>
      </w:r>
      <w:r w:rsidRPr="00A755BA">
        <w:rPr>
          <w:rFonts w:ascii="Arial" w:hAnsi="Arial" w:cs="Arial"/>
          <w:sz w:val="20"/>
          <w:szCs w:val="24"/>
        </w:rPr>
        <w:t>. 2017;88(6):634-41.</w:t>
      </w:r>
    </w:p>
    <w:p w14:paraId="62C90F13"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11.</w:t>
      </w:r>
      <w:r w:rsidRPr="00A755BA">
        <w:rPr>
          <w:rFonts w:ascii="Arial" w:hAnsi="Arial" w:cs="Arial"/>
          <w:sz w:val="20"/>
          <w:szCs w:val="24"/>
        </w:rPr>
        <w:tab/>
        <w:t xml:space="preserve">Kapoor A, Ellis A, Shaffer N, et al. Comparative effectiveness of venous thromboembolism prophylaxis options for the patient undergoing total hip and knee replacement: a network meta-analysis. </w:t>
      </w:r>
      <w:r w:rsidRPr="00A755BA">
        <w:rPr>
          <w:rFonts w:ascii="Arial" w:hAnsi="Arial" w:cs="Arial"/>
          <w:i/>
          <w:sz w:val="20"/>
          <w:szCs w:val="24"/>
        </w:rPr>
        <w:t>J Thromb Haemost</w:t>
      </w:r>
      <w:r w:rsidRPr="00A755BA">
        <w:rPr>
          <w:rFonts w:ascii="Arial" w:hAnsi="Arial" w:cs="Arial"/>
          <w:sz w:val="20"/>
          <w:szCs w:val="24"/>
        </w:rPr>
        <w:t>. 2017;15(2):284-94.</w:t>
      </w:r>
    </w:p>
    <w:p w14:paraId="56542EBB"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12.</w:t>
      </w:r>
      <w:r w:rsidRPr="00A755BA">
        <w:rPr>
          <w:rFonts w:ascii="Arial" w:hAnsi="Arial" w:cs="Arial"/>
          <w:sz w:val="20"/>
          <w:szCs w:val="24"/>
        </w:rPr>
        <w:tab/>
        <w:t xml:space="preserve">Sterne J, Bodalia P, Bryden P, et al. Oral anticoagulants for primary prevention, treatment and secondary prevention of venous thromboembolic disease, and for prevention of stroke in atrial fibrillation: systematic review, network meta-analysis and cost-effectiveness  analysis. </w:t>
      </w:r>
      <w:r w:rsidRPr="00A755BA">
        <w:rPr>
          <w:rFonts w:ascii="Arial" w:hAnsi="Arial" w:cs="Arial"/>
          <w:i/>
          <w:sz w:val="20"/>
          <w:szCs w:val="24"/>
        </w:rPr>
        <w:t>Health Technol Assess</w:t>
      </w:r>
      <w:r w:rsidRPr="00A755BA">
        <w:rPr>
          <w:rFonts w:ascii="Arial" w:hAnsi="Arial" w:cs="Arial"/>
          <w:sz w:val="20"/>
          <w:szCs w:val="24"/>
        </w:rPr>
        <w:t>. 2017;21(9).</w:t>
      </w:r>
    </w:p>
    <w:p w14:paraId="7691AC2C"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13.</w:t>
      </w:r>
      <w:r w:rsidRPr="00A755BA">
        <w:rPr>
          <w:rFonts w:ascii="Arial" w:hAnsi="Arial" w:cs="Arial"/>
          <w:sz w:val="20"/>
          <w:szCs w:val="24"/>
        </w:rPr>
        <w:tab/>
        <w:t xml:space="preserve">National Institute for Health and Care Excellence. Venous thromboembolism in over 16s: reducing the risk of hospital-acquired deep vein thrombosis or pulmonary embolism. NICE guideline 89. London: National Institute for Health and Care Excellence, 2018 2018. Report No.: </w:t>
      </w:r>
    </w:p>
    <w:p w14:paraId="4D8717EF"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14.</w:t>
      </w:r>
      <w:r w:rsidRPr="00A755BA">
        <w:rPr>
          <w:rFonts w:ascii="Arial" w:hAnsi="Arial" w:cs="Arial"/>
          <w:sz w:val="20"/>
          <w:szCs w:val="24"/>
        </w:rPr>
        <w:tab/>
        <w:t xml:space="preserve">National Institute for Health and Care Excellence. Developing NICE guidelines: the manual. London: National Institute for Health and Care Excellence, 2014 2014. Report No.: </w:t>
      </w:r>
    </w:p>
    <w:p w14:paraId="52AE00B8" w14:textId="4299ED9A"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15.</w:t>
      </w:r>
      <w:r w:rsidRPr="00A755BA">
        <w:rPr>
          <w:rFonts w:ascii="Arial" w:hAnsi="Arial" w:cs="Arial"/>
          <w:sz w:val="20"/>
          <w:szCs w:val="24"/>
        </w:rPr>
        <w:tab/>
        <w:t xml:space="preserve">Schünemann H, Brożek J, Guyatt  G, et al. Handbook for grading the quality of evidence and the strength of recommendations using the GRADE approach  [updated 10/1/2011]. Available from: http://gdt.guidelinedevelopment.org/app/handbook/handbook.html. Access Date: 23/05/2017. </w:t>
      </w:r>
    </w:p>
    <w:p w14:paraId="785E64F6"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16.</w:t>
      </w:r>
      <w:r w:rsidRPr="00A755BA">
        <w:rPr>
          <w:rFonts w:ascii="Arial" w:hAnsi="Arial" w:cs="Arial"/>
          <w:sz w:val="20"/>
          <w:szCs w:val="24"/>
        </w:rPr>
        <w:tab/>
        <w:t xml:space="preserve">Moheimani F, Jackson DE. Venous thromboembolism: classification, risk factors, diagnosis, and management. </w:t>
      </w:r>
      <w:r w:rsidRPr="00A755BA">
        <w:rPr>
          <w:rFonts w:ascii="Arial" w:hAnsi="Arial" w:cs="Arial"/>
          <w:i/>
          <w:sz w:val="20"/>
          <w:szCs w:val="24"/>
        </w:rPr>
        <w:t>ISRN Hematol</w:t>
      </w:r>
      <w:r w:rsidRPr="00A755BA">
        <w:rPr>
          <w:rFonts w:ascii="Arial" w:hAnsi="Arial" w:cs="Arial"/>
          <w:sz w:val="20"/>
          <w:szCs w:val="24"/>
        </w:rPr>
        <w:t>. 2011;2011:124610.</w:t>
      </w:r>
    </w:p>
    <w:p w14:paraId="5854349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17.</w:t>
      </w:r>
      <w:r w:rsidRPr="00A755BA">
        <w:rPr>
          <w:rFonts w:ascii="Arial" w:hAnsi="Arial" w:cs="Arial"/>
          <w:sz w:val="20"/>
          <w:szCs w:val="24"/>
        </w:rPr>
        <w:tab/>
        <w:t>Cochrane Handbook for Systematic Reviews of Interventions 5.1.0 [updated March 2011]. The Cochrane Collaboration 2011.</w:t>
      </w:r>
    </w:p>
    <w:p w14:paraId="31717A9D"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18.</w:t>
      </w:r>
      <w:r w:rsidRPr="00A755BA">
        <w:rPr>
          <w:rFonts w:ascii="Arial" w:hAnsi="Arial" w:cs="Arial"/>
          <w:sz w:val="20"/>
          <w:szCs w:val="24"/>
        </w:rPr>
        <w:tab/>
        <w:t xml:space="preserve">Dias S, Sutton AJ, Ades AE, et al. Evidence synthesis for decision making 2: a generalized linear modeling framework for pairwise and network meta-analysis of randomized controlled trials. </w:t>
      </w:r>
      <w:r w:rsidRPr="00A755BA">
        <w:rPr>
          <w:rFonts w:ascii="Arial" w:hAnsi="Arial" w:cs="Arial"/>
          <w:i/>
          <w:sz w:val="20"/>
          <w:szCs w:val="24"/>
        </w:rPr>
        <w:t>Med Decis Making</w:t>
      </w:r>
      <w:r w:rsidRPr="00A755BA">
        <w:rPr>
          <w:rFonts w:ascii="Arial" w:hAnsi="Arial" w:cs="Arial"/>
          <w:sz w:val="20"/>
          <w:szCs w:val="24"/>
        </w:rPr>
        <w:t>. 2013;33(5):607-17.</w:t>
      </w:r>
    </w:p>
    <w:p w14:paraId="6979AE00" w14:textId="3AEB038C"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lastRenderedPageBreak/>
        <w:t>19.</w:t>
      </w:r>
      <w:r w:rsidRPr="00A755BA">
        <w:rPr>
          <w:rFonts w:ascii="Arial" w:hAnsi="Arial" w:cs="Arial"/>
          <w:sz w:val="20"/>
          <w:szCs w:val="24"/>
        </w:rPr>
        <w:tab/>
        <w:t xml:space="preserve">National Institute for Health and Care Excellence. Venous thromboembolism in over 16s: reducing the risk of hospital-acquired deep vein thrombosis or pulmonary embolism. Appendix M: Network meta-analyses (NMAs). NICE guideline 89. London: 2018 </w:t>
      </w:r>
    </w:p>
    <w:p w14:paraId="7C153573"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20.</w:t>
      </w:r>
      <w:r w:rsidRPr="00A755BA">
        <w:rPr>
          <w:rFonts w:ascii="Arial" w:hAnsi="Arial" w:cs="Arial"/>
          <w:sz w:val="20"/>
          <w:szCs w:val="24"/>
        </w:rPr>
        <w:tab/>
        <w:t xml:space="preserve">Turner RM, Jackson D, Wei Y, et al. Predictive distributions for between-study heterogeneity and simple methods for their application in Bayesian meta-analysis. </w:t>
      </w:r>
      <w:r w:rsidRPr="00A755BA">
        <w:rPr>
          <w:rFonts w:ascii="Arial" w:hAnsi="Arial" w:cs="Arial"/>
          <w:i/>
          <w:sz w:val="20"/>
          <w:szCs w:val="24"/>
        </w:rPr>
        <w:t>Stat Med</w:t>
      </w:r>
      <w:r w:rsidRPr="00A755BA">
        <w:rPr>
          <w:rFonts w:ascii="Arial" w:hAnsi="Arial" w:cs="Arial"/>
          <w:sz w:val="20"/>
          <w:szCs w:val="24"/>
        </w:rPr>
        <w:t>. 2015;34(6):984-98.</w:t>
      </w:r>
    </w:p>
    <w:p w14:paraId="54B07BDB"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21.</w:t>
      </w:r>
      <w:r w:rsidRPr="00A755BA">
        <w:rPr>
          <w:rFonts w:ascii="Arial" w:hAnsi="Arial" w:cs="Arial"/>
          <w:sz w:val="20"/>
          <w:szCs w:val="24"/>
        </w:rPr>
        <w:tab/>
        <w:t xml:space="preserve">Jameson SS, Baker PN, Charman SC, et al. The effect of aspirin and low-molecular-weight heparin on venous thromboembolism after knee replacement: a non-randomised comparison using national joint registry data. </w:t>
      </w:r>
      <w:r w:rsidRPr="00A755BA">
        <w:rPr>
          <w:rFonts w:ascii="Arial" w:hAnsi="Arial" w:cs="Arial"/>
          <w:i/>
          <w:sz w:val="20"/>
          <w:szCs w:val="24"/>
        </w:rPr>
        <w:t>J Bone Joint Surg Br</w:t>
      </w:r>
      <w:r w:rsidRPr="00A755BA">
        <w:rPr>
          <w:rFonts w:ascii="Arial" w:hAnsi="Arial" w:cs="Arial"/>
          <w:sz w:val="20"/>
          <w:szCs w:val="24"/>
        </w:rPr>
        <w:t>. 2012;94(7):914-8.</w:t>
      </w:r>
    </w:p>
    <w:p w14:paraId="118C5CCC"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22.</w:t>
      </w:r>
      <w:r w:rsidRPr="00A755BA">
        <w:rPr>
          <w:rFonts w:ascii="Arial" w:hAnsi="Arial" w:cs="Arial"/>
          <w:sz w:val="20"/>
          <w:szCs w:val="24"/>
        </w:rPr>
        <w:tab/>
        <w:t xml:space="preserve">Bauer KA, Eriksson B, I, Lassen MR, et al. Fondaparinux compared with enoxaparin for the prevention of venous thromboembolism after elective major knee surgery. </w:t>
      </w:r>
      <w:r w:rsidRPr="00A755BA">
        <w:rPr>
          <w:rFonts w:ascii="Arial" w:hAnsi="Arial" w:cs="Arial"/>
          <w:i/>
          <w:sz w:val="20"/>
          <w:szCs w:val="24"/>
        </w:rPr>
        <w:t>N Engl J Med</w:t>
      </w:r>
      <w:r w:rsidRPr="00A755BA">
        <w:rPr>
          <w:rFonts w:ascii="Arial" w:hAnsi="Arial" w:cs="Arial"/>
          <w:sz w:val="20"/>
          <w:szCs w:val="24"/>
        </w:rPr>
        <w:t>. 2001;345(18):1305-10.</w:t>
      </w:r>
    </w:p>
    <w:p w14:paraId="50D0C896"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23.</w:t>
      </w:r>
      <w:r w:rsidRPr="00A755BA">
        <w:rPr>
          <w:rFonts w:ascii="Arial" w:hAnsi="Arial" w:cs="Arial"/>
          <w:sz w:val="20"/>
          <w:szCs w:val="24"/>
        </w:rPr>
        <w:tab/>
        <w:t xml:space="preserve">Blanchard J, Meuwly JY, Leyvraz PF, et al. Prevention of deep-vein thrombosis after total knee replacement. Randomised comparison between a low-molecular-weight heparin (nadroparin) and mechanical prophylaxis with a foot-pump system. </w:t>
      </w:r>
      <w:r w:rsidRPr="00A755BA">
        <w:rPr>
          <w:rFonts w:ascii="Arial" w:hAnsi="Arial" w:cs="Arial"/>
          <w:i/>
          <w:sz w:val="20"/>
          <w:szCs w:val="24"/>
        </w:rPr>
        <w:t>J Bone Joint Surg Br</w:t>
      </w:r>
      <w:r w:rsidRPr="00A755BA">
        <w:rPr>
          <w:rFonts w:ascii="Arial" w:hAnsi="Arial" w:cs="Arial"/>
          <w:sz w:val="20"/>
          <w:szCs w:val="24"/>
        </w:rPr>
        <w:t>. 1999;81(4):654-9.</w:t>
      </w:r>
    </w:p>
    <w:p w14:paraId="74AC1175"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24.</w:t>
      </w:r>
      <w:r w:rsidRPr="00A755BA">
        <w:rPr>
          <w:rFonts w:ascii="Arial" w:hAnsi="Arial" w:cs="Arial"/>
          <w:sz w:val="20"/>
          <w:szCs w:val="24"/>
        </w:rPr>
        <w:tab/>
        <w:t xml:space="preserve">Chin PL, Amin MS, Yang KY, et al. Thromboembolic prophylaxis for total knee arthroplasty in Asian patients: a randomised controlled trial. </w:t>
      </w:r>
      <w:r w:rsidRPr="00A755BA">
        <w:rPr>
          <w:rFonts w:ascii="Arial" w:hAnsi="Arial" w:cs="Arial"/>
          <w:i/>
          <w:sz w:val="20"/>
          <w:szCs w:val="24"/>
        </w:rPr>
        <w:t>Journal of orthopaedic surgery</w:t>
      </w:r>
      <w:r w:rsidRPr="00A755BA">
        <w:rPr>
          <w:rFonts w:ascii="Arial" w:hAnsi="Arial" w:cs="Arial"/>
          <w:sz w:val="20"/>
          <w:szCs w:val="24"/>
        </w:rPr>
        <w:t>. 2009;17(1):1-5.</w:t>
      </w:r>
    </w:p>
    <w:p w14:paraId="0826B616"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25.</w:t>
      </w:r>
      <w:r w:rsidRPr="00A755BA">
        <w:rPr>
          <w:rFonts w:ascii="Arial" w:hAnsi="Arial" w:cs="Arial"/>
          <w:sz w:val="20"/>
          <w:szCs w:val="24"/>
        </w:rPr>
        <w:tab/>
        <w:t xml:space="preserve">Cho KY, Kim KI, Khurana S, et al. Is routine chemoprophylaxis necessary for prevention of venous thromboembolism following knee arthroplasty in a low incidence population? </w:t>
      </w:r>
      <w:r w:rsidRPr="00A755BA">
        <w:rPr>
          <w:rFonts w:ascii="Arial" w:hAnsi="Arial" w:cs="Arial"/>
          <w:i/>
          <w:sz w:val="20"/>
          <w:szCs w:val="24"/>
        </w:rPr>
        <w:t>Arch Orthop Trauma Surg</w:t>
      </w:r>
      <w:r w:rsidRPr="00A755BA">
        <w:rPr>
          <w:rFonts w:ascii="Arial" w:hAnsi="Arial" w:cs="Arial"/>
          <w:sz w:val="20"/>
          <w:szCs w:val="24"/>
        </w:rPr>
        <w:t>. 2013;133(4):551-9.</w:t>
      </w:r>
    </w:p>
    <w:p w14:paraId="502411C7"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26.</w:t>
      </w:r>
      <w:r w:rsidRPr="00A755BA">
        <w:rPr>
          <w:rFonts w:ascii="Arial" w:hAnsi="Arial" w:cs="Arial"/>
          <w:sz w:val="20"/>
          <w:szCs w:val="24"/>
        </w:rPr>
        <w:tab/>
        <w:t xml:space="preserve">Colwell CW, Spiro TE, Trowbridge AA, et al. Efficacy and safety of enoxaparin versus unfractionated heparin for prevention of deep venous thrombosis after elective knee arthroplasty. Enoxaparin Clinical Trial Group. </w:t>
      </w:r>
      <w:r w:rsidRPr="00A755BA">
        <w:rPr>
          <w:rFonts w:ascii="Arial" w:hAnsi="Arial" w:cs="Arial"/>
          <w:i/>
          <w:sz w:val="20"/>
          <w:szCs w:val="24"/>
        </w:rPr>
        <w:t>Clin Orthop Relat Res</w:t>
      </w:r>
      <w:r w:rsidRPr="00A755BA">
        <w:rPr>
          <w:rFonts w:ascii="Arial" w:hAnsi="Arial" w:cs="Arial"/>
          <w:sz w:val="20"/>
          <w:szCs w:val="24"/>
        </w:rPr>
        <w:t>. 1995;321:19-27.</w:t>
      </w:r>
    </w:p>
    <w:p w14:paraId="12CAEA72"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27.</w:t>
      </w:r>
      <w:r w:rsidRPr="00A755BA">
        <w:rPr>
          <w:rFonts w:ascii="Arial" w:hAnsi="Arial" w:cs="Arial"/>
          <w:sz w:val="20"/>
          <w:szCs w:val="24"/>
        </w:rPr>
        <w:tab/>
        <w:t xml:space="preserve">Comp PC, Spiro TE, Friedman RJ, et al. Prolonged enoxaparin therapy to prevent venous thromboembolism after primary hip or knee replacement. </w:t>
      </w:r>
      <w:r w:rsidRPr="00A755BA">
        <w:rPr>
          <w:rFonts w:ascii="Arial" w:hAnsi="Arial" w:cs="Arial"/>
          <w:i/>
          <w:sz w:val="20"/>
          <w:szCs w:val="24"/>
        </w:rPr>
        <w:t>J Bone Joint Surg Am</w:t>
      </w:r>
      <w:r w:rsidRPr="00A755BA">
        <w:rPr>
          <w:rFonts w:ascii="Arial" w:hAnsi="Arial" w:cs="Arial"/>
          <w:sz w:val="20"/>
          <w:szCs w:val="24"/>
        </w:rPr>
        <w:t>. 2001;83(3):336-45.</w:t>
      </w:r>
    </w:p>
    <w:p w14:paraId="0D90C127"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28.</w:t>
      </w:r>
      <w:r w:rsidRPr="00A755BA">
        <w:rPr>
          <w:rFonts w:ascii="Arial" w:hAnsi="Arial" w:cs="Arial"/>
          <w:sz w:val="20"/>
          <w:szCs w:val="24"/>
        </w:rPr>
        <w:tab/>
        <w:t xml:space="preserve">Eriksson BI, Dahl OE, Rosencher N, et al. Dabigatran etexilate versus enoxaparin for the prevention of venous thromboembolism after total knee replacement: the RE-MODEL randomized trial. </w:t>
      </w:r>
      <w:r w:rsidRPr="00A755BA">
        <w:rPr>
          <w:rFonts w:ascii="Arial" w:hAnsi="Arial" w:cs="Arial"/>
          <w:i/>
          <w:sz w:val="20"/>
          <w:szCs w:val="24"/>
        </w:rPr>
        <w:t>J Thromb Haemost</w:t>
      </w:r>
      <w:r w:rsidRPr="00A755BA">
        <w:rPr>
          <w:rFonts w:ascii="Arial" w:hAnsi="Arial" w:cs="Arial"/>
          <w:sz w:val="20"/>
          <w:szCs w:val="24"/>
        </w:rPr>
        <w:t>. 2007;5(11):2178-85.</w:t>
      </w:r>
    </w:p>
    <w:p w14:paraId="054EAF5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29.</w:t>
      </w:r>
      <w:r w:rsidRPr="00A755BA">
        <w:rPr>
          <w:rFonts w:ascii="Arial" w:hAnsi="Arial" w:cs="Arial"/>
          <w:sz w:val="20"/>
          <w:szCs w:val="24"/>
        </w:rPr>
        <w:tab/>
        <w:t xml:space="preserve">Faunø P, Suomalainen O, Rehnberg V, et al. Prophylaxis for the prevention of venous thromboembolism after total knee arthroplasty. A comparison between unfractionated and low-molecular-weight heparin. </w:t>
      </w:r>
      <w:r w:rsidRPr="00A755BA">
        <w:rPr>
          <w:rFonts w:ascii="Arial" w:hAnsi="Arial" w:cs="Arial"/>
          <w:i/>
          <w:sz w:val="20"/>
          <w:szCs w:val="24"/>
        </w:rPr>
        <w:t>J Bone Joint Surg</w:t>
      </w:r>
      <w:r w:rsidRPr="00A755BA">
        <w:rPr>
          <w:rFonts w:ascii="Arial" w:hAnsi="Arial" w:cs="Arial"/>
          <w:sz w:val="20"/>
          <w:szCs w:val="24"/>
        </w:rPr>
        <w:t>. 1994;76(12):1814-8.</w:t>
      </w:r>
    </w:p>
    <w:p w14:paraId="36A8681B"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lastRenderedPageBreak/>
        <w:t>30.</w:t>
      </w:r>
      <w:r w:rsidRPr="00A755BA">
        <w:rPr>
          <w:rFonts w:ascii="Arial" w:hAnsi="Arial" w:cs="Arial"/>
          <w:sz w:val="20"/>
          <w:szCs w:val="24"/>
        </w:rPr>
        <w:tab/>
        <w:t xml:space="preserve">Fitzgerald RH, Jr., Spiro TE, Trowbridge AA, et al. Prevention of venous thromboembolic disease following primary total knee arthroplasty. A randomized, multicenter, open-label, parallel-group comparison of enoxaparin and warfarin. </w:t>
      </w:r>
      <w:r w:rsidRPr="00A755BA">
        <w:rPr>
          <w:rFonts w:ascii="Arial" w:hAnsi="Arial" w:cs="Arial"/>
          <w:i/>
          <w:sz w:val="20"/>
          <w:szCs w:val="24"/>
        </w:rPr>
        <w:t>J Bone Joint Surg</w:t>
      </w:r>
      <w:r w:rsidRPr="00A755BA">
        <w:rPr>
          <w:rFonts w:ascii="Arial" w:hAnsi="Arial" w:cs="Arial"/>
          <w:sz w:val="20"/>
          <w:szCs w:val="24"/>
        </w:rPr>
        <w:t>. 2001;83-A(6):900-6.</w:t>
      </w:r>
    </w:p>
    <w:p w14:paraId="75AE97B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31.</w:t>
      </w:r>
      <w:r w:rsidRPr="00A755BA">
        <w:rPr>
          <w:rFonts w:ascii="Arial" w:hAnsi="Arial" w:cs="Arial"/>
          <w:sz w:val="20"/>
          <w:szCs w:val="24"/>
        </w:rPr>
        <w:tab/>
        <w:t xml:space="preserve">Fuji T, Fujita S, Ochi T. Fondaparinux prevents venous thromboembolism after joint replacement surgery in Japanese patients. </w:t>
      </w:r>
      <w:r w:rsidRPr="00A755BA">
        <w:rPr>
          <w:rFonts w:ascii="Arial" w:hAnsi="Arial" w:cs="Arial"/>
          <w:i/>
          <w:sz w:val="20"/>
          <w:szCs w:val="24"/>
        </w:rPr>
        <w:t>Int Orthop</w:t>
      </w:r>
      <w:r w:rsidRPr="00A755BA">
        <w:rPr>
          <w:rFonts w:ascii="Arial" w:hAnsi="Arial" w:cs="Arial"/>
          <w:sz w:val="20"/>
          <w:szCs w:val="24"/>
        </w:rPr>
        <w:t>. 2008;32(4):443-51.</w:t>
      </w:r>
    </w:p>
    <w:p w14:paraId="45FE50D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32.</w:t>
      </w:r>
      <w:r w:rsidRPr="00A755BA">
        <w:rPr>
          <w:rFonts w:ascii="Arial" w:hAnsi="Arial" w:cs="Arial"/>
          <w:sz w:val="20"/>
          <w:szCs w:val="24"/>
        </w:rPr>
        <w:tab/>
        <w:t xml:space="preserve">Fuji T, Fujita S, Tachibana S, et al. A dose-ranging study evaluating the oral factor Xa inhibitor edoxaban for the prevention of venous thromboembolism in patients undergoing total knee arthroplasty. </w:t>
      </w:r>
      <w:r w:rsidRPr="00A755BA">
        <w:rPr>
          <w:rFonts w:ascii="Arial" w:hAnsi="Arial" w:cs="Arial"/>
          <w:i/>
          <w:sz w:val="20"/>
          <w:szCs w:val="24"/>
        </w:rPr>
        <w:t>J Thromb Haemost</w:t>
      </w:r>
      <w:r w:rsidRPr="00A755BA">
        <w:rPr>
          <w:rFonts w:ascii="Arial" w:hAnsi="Arial" w:cs="Arial"/>
          <w:sz w:val="20"/>
          <w:szCs w:val="24"/>
        </w:rPr>
        <w:t>. 2010;8(11):2458-68.</w:t>
      </w:r>
    </w:p>
    <w:p w14:paraId="48714052"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33.</w:t>
      </w:r>
      <w:r w:rsidRPr="00A755BA">
        <w:rPr>
          <w:rFonts w:ascii="Arial" w:hAnsi="Arial" w:cs="Arial"/>
          <w:sz w:val="20"/>
          <w:szCs w:val="24"/>
        </w:rPr>
        <w:tab/>
        <w:t xml:space="preserve">Fuji T, Ochi T, Niwa S, et al. Prevention of postoperative venous thromboembolism in Japanese patients undergoing total hip or knee arthroplasty: Two randomized, double-blind, placebo-controlled studies with three dosage regimens of enoxaparin. </w:t>
      </w:r>
      <w:r w:rsidRPr="00A755BA">
        <w:rPr>
          <w:rFonts w:ascii="Arial" w:hAnsi="Arial" w:cs="Arial"/>
          <w:i/>
          <w:sz w:val="20"/>
          <w:szCs w:val="24"/>
        </w:rPr>
        <w:t>J Orthop Sci</w:t>
      </w:r>
      <w:r w:rsidRPr="00A755BA">
        <w:rPr>
          <w:rFonts w:ascii="Arial" w:hAnsi="Arial" w:cs="Arial"/>
          <w:sz w:val="20"/>
          <w:szCs w:val="24"/>
        </w:rPr>
        <w:t>. 2008;13(5):442-51.</w:t>
      </w:r>
    </w:p>
    <w:p w14:paraId="3BBD644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34.</w:t>
      </w:r>
      <w:r w:rsidRPr="00A755BA">
        <w:rPr>
          <w:rFonts w:ascii="Arial" w:hAnsi="Arial" w:cs="Arial"/>
          <w:sz w:val="20"/>
          <w:szCs w:val="24"/>
        </w:rPr>
        <w:tab/>
        <w:t xml:space="preserve">Lassen MR, Ageno W, Borris LC, et al. Rivaroxaban versus enoxaparin for thromboprophylaxis after total knee arthroplasty. </w:t>
      </w:r>
      <w:r w:rsidRPr="00A755BA">
        <w:rPr>
          <w:rFonts w:ascii="Arial" w:hAnsi="Arial" w:cs="Arial"/>
          <w:i/>
          <w:sz w:val="20"/>
          <w:szCs w:val="24"/>
        </w:rPr>
        <w:t>N Engl J Med</w:t>
      </w:r>
      <w:r w:rsidRPr="00A755BA">
        <w:rPr>
          <w:rFonts w:ascii="Arial" w:hAnsi="Arial" w:cs="Arial"/>
          <w:sz w:val="20"/>
          <w:szCs w:val="24"/>
        </w:rPr>
        <w:t>. 2008;358(26):2776-86.</w:t>
      </w:r>
    </w:p>
    <w:p w14:paraId="6BBDC7FE"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35.</w:t>
      </w:r>
      <w:r w:rsidRPr="00A755BA">
        <w:rPr>
          <w:rFonts w:ascii="Arial" w:hAnsi="Arial" w:cs="Arial"/>
          <w:sz w:val="20"/>
          <w:szCs w:val="24"/>
        </w:rPr>
        <w:tab/>
        <w:t xml:space="preserve">Lassen MR, Davidson BL, Gallus A, et al. The efficacy and safety of apixaban, an oral, direct factor Xa inhibitor, as thromboprophylaxis in patients following total knee replacement. </w:t>
      </w:r>
      <w:r w:rsidRPr="00A755BA">
        <w:rPr>
          <w:rFonts w:ascii="Arial" w:hAnsi="Arial" w:cs="Arial"/>
          <w:i/>
          <w:sz w:val="20"/>
          <w:szCs w:val="24"/>
        </w:rPr>
        <w:t>J Thromb Haemost</w:t>
      </w:r>
      <w:r w:rsidRPr="00A755BA">
        <w:rPr>
          <w:rFonts w:ascii="Arial" w:hAnsi="Arial" w:cs="Arial"/>
          <w:sz w:val="20"/>
          <w:szCs w:val="24"/>
        </w:rPr>
        <w:t>. 2007;5(12):2368-75.</w:t>
      </w:r>
    </w:p>
    <w:p w14:paraId="6AAE5C4C"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36.</w:t>
      </w:r>
      <w:r w:rsidRPr="00A755BA">
        <w:rPr>
          <w:rFonts w:ascii="Arial" w:hAnsi="Arial" w:cs="Arial"/>
          <w:sz w:val="20"/>
          <w:szCs w:val="24"/>
        </w:rPr>
        <w:tab/>
        <w:t xml:space="preserve">Lassen MR, Raskob GE, Gallus A, et al. Apixaban versus enoxaparin for thromboprophylaxis after knee replacement (ADVANCE-2): a randomised double-blind trial. </w:t>
      </w:r>
      <w:r w:rsidRPr="00A755BA">
        <w:rPr>
          <w:rFonts w:ascii="Arial" w:hAnsi="Arial" w:cs="Arial"/>
          <w:i/>
          <w:sz w:val="20"/>
          <w:szCs w:val="24"/>
        </w:rPr>
        <w:t>Lancet</w:t>
      </w:r>
      <w:r w:rsidRPr="00A755BA">
        <w:rPr>
          <w:rFonts w:ascii="Arial" w:hAnsi="Arial" w:cs="Arial"/>
          <w:sz w:val="20"/>
          <w:szCs w:val="24"/>
        </w:rPr>
        <w:t>. 2010;375(9717):807-15.</w:t>
      </w:r>
    </w:p>
    <w:p w14:paraId="3E17C792"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37.</w:t>
      </w:r>
      <w:r w:rsidRPr="00A755BA">
        <w:rPr>
          <w:rFonts w:ascii="Arial" w:hAnsi="Arial" w:cs="Arial"/>
          <w:sz w:val="20"/>
          <w:szCs w:val="24"/>
        </w:rPr>
        <w:tab/>
        <w:t xml:space="preserve">Lassen MR, Raskob GE, Gallus A, et al. Apixaban or enoxaparin for thromboprophylaxis after knee replacement. </w:t>
      </w:r>
      <w:r w:rsidRPr="00A755BA">
        <w:rPr>
          <w:rFonts w:ascii="Arial" w:hAnsi="Arial" w:cs="Arial"/>
          <w:i/>
          <w:sz w:val="20"/>
          <w:szCs w:val="24"/>
        </w:rPr>
        <w:t>N Engl J Med</w:t>
      </w:r>
      <w:r w:rsidRPr="00A755BA">
        <w:rPr>
          <w:rFonts w:ascii="Arial" w:hAnsi="Arial" w:cs="Arial"/>
          <w:sz w:val="20"/>
          <w:szCs w:val="24"/>
        </w:rPr>
        <w:t>. 2009;361(6):594-604.</w:t>
      </w:r>
    </w:p>
    <w:p w14:paraId="314FFE76"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38.</w:t>
      </w:r>
      <w:r w:rsidRPr="00A755BA">
        <w:rPr>
          <w:rFonts w:ascii="Arial" w:hAnsi="Arial" w:cs="Arial"/>
          <w:sz w:val="20"/>
          <w:szCs w:val="24"/>
        </w:rPr>
        <w:tab/>
        <w:t xml:space="preserve">Leclerc JR, Geerts WH, Desjardins L, et al. Prevention of deep vein thrombosis after major knee surgery -- a randomized, double-blind trial comparing a low molecular weight heparin fragment (enoxaparin) to placebo. </w:t>
      </w:r>
      <w:r w:rsidRPr="00A755BA">
        <w:rPr>
          <w:rFonts w:ascii="Arial" w:hAnsi="Arial" w:cs="Arial"/>
          <w:i/>
          <w:sz w:val="20"/>
          <w:szCs w:val="24"/>
        </w:rPr>
        <w:t>Thromb Haemost</w:t>
      </w:r>
      <w:r w:rsidRPr="00A755BA">
        <w:rPr>
          <w:rFonts w:ascii="Arial" w:hAnsi="Arial" w:cs="Arial"/>
          <w:sz w:val="20"/>
          <w:szCs w:val="24"/>
        </w:rPr>
        <w:t>. 1992;67(4):417-23.</w:t>
      </w:r>
    </w:p>
    <w:p w14:paraId="64E1C736"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39.</w:t>
      </w:r>
      <w:r w:rsidRPr="00A755BA">
        <w:rPr>
          <w:rFonts w:ascii="Arial" w:hAnsi="Arial" w:cs="Arial"/>
          <w:sz w:val="20"/>
          <w:szCs w:val="24"/>
        </w:rPr>
        <w:tab/>
        <w:t xml:space="preserve">Leclerc JR, Geerts WH, Desjardins L, et al. Prevention of venous thromboembolism after knee arthroplasty. A randomized, double-blind trial comparing enoxaparin with warfarin. </w:t>
      </w:r>
      <w:r w:rsidRPr="00A755BA">
        <w:rPr>
          <w:rFonts w:ascii="Arial" w:hAnsi="Arial" w:cs="Arial"/>
          <w:i/>
          <w:sz w:val="20"/>
          <w:szCs w:val="24"/>
        </w:rPr>
        <w:t>Ann Intern Med</w:t>
      </w:r>
      <w:r w:rsidRPr="00A755BA">
        <w:rPr>
          <w:rFonts w:ascii="Arial" w:hAnsi="Arial" w:cs="Arial"/>
          <w:sz w:val="20"/>
          <w:szCs w:val="24"/>
        </w:rPr>
        <w:t>. 1996;124(7):619-26.</w:t>
      </w:r>
    </w:p>
    <w:p w14:paraId="44A4545C"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40.</w:t>
      </w:r>
      <w:r w:rsidRPr="00A755BA">
        <w:rPr>
          <w:rFonts w:ascii="Arial" w:hAnsi="Arial" w:cs="Arial"/>
          <w:sz w:val="20"/>
          <w:szCs w:val="24"/>
        </w:rPr>
        <w:tab/>
        <w:t xml:space="preserve">Mirdamadi A, Dashtkar S, Kaji M, et al. Dabigatran versus Enoxaparin in the prevention of venous thromboembolism after total knee arthroplasty: A randomized clinical trial. </w:t>
      </w:r>
      <w:r w:rsidRPr="00A755BA">
        <w:rPr>
          <w:rFonts w:ascii="Arial" w:hAnsi="Arial" w:cs="Arial"/>
          <w:i/>
          <w:sz w:val="20"/>
          <w:szCs w:val="24"/>
        </w:rPr>
        <w:t>ARYA atherosclerosis</w:t>
      </w:r>
      <w:r w:rsidRPr="00A755BA">
        <w:rPr>
          <w:rFonts w:ascii="Arial" w:hAnsi="Arial" w:cs="Arial"/>
          <w:sz w:val="20"/>
          <w:szCs w:val="24"/>
        </w:rPr>
        <w:t>. 2014;10(6):292-7.</w:t>
      </w:r>
    </w:p>
    <w:p w14:paraId="6F451CEB"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lastRenderedPageBreak/>
        <w:t>41.</w:t>
      </w:r>
      <w:r w:rsidRPr="00A755BA">
        <w:rPr>
          <w:rFonts w:ascii="Arial" w:hAnsi="Arial" w:cs="Arial"/>
          <w:sz w:val="20"/>
          <w:szCs w:val="24"/>
        </w:rPr>
        <w:tab/>
        <w:t xml:space="preserve">Norgren L, S. T-L, Magyar G, et al. Prevention of deep vein thrombosis in knee arthroplasty. Preliminary results from a randomized controlled study of low molecular weight heparin vs foot pump compression. </w:t>
      </w:r>
      <w:r w:rsidRPr="00A755BA">
        <w:rPr>
          <w:rFonts w:ascii="Arial" w:hAnsi="Arial" w:cs="Arial"/>
          <w:i/>
          <w:sz w:val="20"/>
          <w:szCs w:val="24"/>
        </w:rPr>
        <w:t>Int Angiol</w:t>
      </w:r>
      <w:r w:rsidRPr="00A755BA">
        <w:rPr>
          <w:rFonts w:ascii="Arial" w:hAnsi="Arial" w:cs="Arial"/>
          <w:sz w:val="20"/>
          <w:szCs w:val="24"/>
        </w:rPr>
        <w:t>. 1998;17(2):93-6.</w:t>
      </w:r>
    </w:p>
    <w:p w14:paraId="497358DC"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42.</w:t>
      </w:r>
      <w:r w:rsidRPr="00A755BA">
        <w:rPr>
          <w:rFonts w:ascii="Arial" w:hAnsi="Arial" w:cs="Arial"/>
          <w:sz w:val="20"/>
          <w:szCs w:val="24"/>
        </w:rPr>
        <w:tab/>
        <w:t xml:space="preserve">RE-MOBILIZE Writing Committee, Ginsberg JS, Davidson BL, et al. Oral thrombin inhibitor dabigatran etexilate vs North American enoxaparin regimen for prevention of venous thromboembolism after knee arthroplasty surgery. </w:t>
      </w:r>
      <w:r w:rsidRPr="00A755BA">
        <w:rPr>
          <w:rFonts w:ascii="Arial" w:hAnsi="Arial" w:cs="Arial"/>
          <w:i/>
          <w:sz w:val="20"/>
          <w:szCs w:val="24"/>
        </w:rPr>
        <w:t>J Arthroplasty</w:t>
      </w:r>
      <w:r w:rsidRPr="00A755BA">
        <w:rPr>
          <w:rFonts w:ascii="Arial" w:hAnsi="Arial" w:cs="Arial"/>
          <w:sz w:val="20"/>
          <w:szCs w:val="24"/>
        </w:rPr>
        <w:t>. 2009;24(1):1-9.</w:t>
      </w:r>
    </w:p>
    <w:p w14:paraId="6924C29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43.</w:t>
      </w:r>
      <w:r w:rsidRPr="00A755BA">
        <w:rPr>
          <w:rFonts w:ascii="Arial" w:hAnsi="Arial" w:cs="Arial"/>
          <w:sz w:val="20"/>
          <w:szCs w:val="24"/>
        </w:rPr>
        <w:tab/>
        <w:t xml:space="preserve">Turpie AGG, Lassen MR, Davidson BL, et al. Rivaroxaban versus enoxaparin for thromboprophylaxis after total knee arthroplasty (RECORD4): a randomised trial. </w:t>
      </w:r>
      <w:r w:rsidRPr="00A755BA">
        <w:rPr>
          <w:rFonts w:ascii="Arial" w:hAnsi="Arial" w:cs="Arial"/>
          <w:i/>
          <w:sz w:val="20"/>
          <w:szCs w:val="24"/>
        </w:rPr>
        <w:t>Lancet</w:t>
      </w:r>
      <w:r w:rsidRPr="00A755BA">
        <w:rPr>
          <w:rFonts w:ascii="Arial" w:hAnsi="Arial" w:cs="Arial"/>
          <w:sz w:val="20"/>
          <w:szCs w:val="24"/>
        </w:rPr>
        <w:t>. 2009;373(9676):1673-80.</w:t>
      </w:r>
    </w:p>
    <w:p w14:paraId="42491BED"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44.</w:t>
      </w:r>
      <w:r w:rsidRPr="00A755BA">
        <w:rPr>
          <w:rFonts w:ascii="Arial" w:hAnsi="Arial" w:cs="Arial"/>
          <w:sz w:val="20"/>
          <w:szCs w:val="24"/>
        </w:rPr>
        <w:tab/>
        <w:t xml:space="preserve">Warwick D, Harrison J, Whitehouse S, et al. A randomised comparison of a foot pump and low-molecular-weight heparin in the prevention of deep-vein thrombosis after total knee replacement. </w:t>
      </w:r>
      <w:r w:rsidRPr="00A755BA">
        <w:rPr>
          <w:rFonts w:ascii="Arial" w:hAnsi="Arial" w:cs="Arial"/>
          <w:i/>
          <w:sz w:val="20"/>
          <w:szCs w:val="24"/>
        </w:rPr>
        <w:t>J Bone Joint Surg Br</w:t>
      </w:r>
      <w:r w:rsidRPr="00A755BA">
        <w:rPr>
          <w:rFonts w:ascii="Arial" w:hAnsi="Arial" w:cs="Arial"/>
          <w:sz w:val="20"/>
          <w:szCs w:val="24"/>
        </w:rPr>
        <w:t>. 2002;84(3):344-50.</w:t>
      </w:r>
    </w:p>
    <w:p w14:paraId="09C1387B"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45.</w:t>
      </w:r>
      <w:r w:rsidRPr="00A755BA">
        <w:rPr>
          <w:rFonts w:ascii="Arial" w:hAnsi="Arial" w:cs="Arial"/>
          <w:sz w:val="20"/>
          <w:szCs w:val="24"/>
        </w:rPr>
        <w:tab/>
        <w:t xml:space="preserve">Wilson NV, Das SK, Kakkar VV, et al. Thrombo-embolic prophylaxis in total knee replacement. Evaluation of the A-V impulse system. </w:t>
      </w:r>
      <w:r w:rsidRPr="00A755BA">
        <w:rPr>
          <w:rFonts w:ascii="Arial" w:hAnsi="Arial" w:cs="Arial"/>
          <w:i/>
          <w:sz w:val="20"/>
          <w:szCs w:val="24"/>
        </w:rPr>
        <w:t>J Bone Joint Surg Br</w:t>
      </w:r>
      <w:r w:rsidRPr="00A755BA">
        <w:rPr>
          <w:rFonts w:ascii="Arial" w:hAnsi="Arial" w:cs="Arial"/>
          <w:sz w:val="20"/>
          <w:szCs w:val="24"/>
        </w:rPr>
        <w:t>. 1992;74(1):50-2.</w:t>
      </w:r>
    </w:p>
    <w:p w14:paraId="54A070F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46.</w:t>
      </w:r>
      <w:r w:rsidRPr="00A755BA">
        <w:rPr>
          <w:rFonts w:ascii="Arial" w:hAnsi="Arial" w:cs="Arial"/>
          <w:sz w:val="20"/>
          <w:szCs w:val="24"/>
        </w:rPr>
        <w:tab/>
        <w:t xml:space="preserve">Zou Y, Tian S, Wang Y, et al. Administering aspirin, rivaroxaban and low-molecular-weight heparin to prevent deep venous thrombosis after total knee arthroplasty. </w:t>
      </w:r>
      <w:r w:rsidRPr="00A755BA">
        <w:rPr>
          <w:rFonts w:ascii="Arial" w:hAnsi="Arial" w:cs="Arial"/>
          <w:i/>
          <w:sz w:val="20"/>
          <w:szCs w:val="24"/>
        </w:rPr>
        <w:t>Blood Coagul Fibrinolysis</w:t>
      </w:r>
      <w:r w:rsidRPr="00A755BA">
        <w:rPr>
          <w:rFonts w:ascii="Arial" w:hAnsi="Arial" w:cs="Arial"/>
          <w:sz w:val="20"/>
          <w:szCs w:val="24"/>
        </w:rPr>
        <w:t>. 2014;25(7):660-4.</w:t>
      </w:r>
    </w:p>
    <w:p w14:paraId="2A19B87A"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47.</w:t>
      </w:r>
      <w:r w:rsidRPr="00A755BA">
        <w:rPr>
          <w:rFonts w:ascii="Arial" w:hAnsi="Arial" w:cs="Arial"/>
          <w:sz w:val="20"/>
          <w:szCs w:val="24"/>
        </w:rPr>
        <w:tab/>
        <w:t xml:space="preserve">Kwok CS, Pradhan S, Yeong JK-y, et al. Relative effects of two different enoxaparin regimens as comparators against newer oral anticoagulants: meta-analysis and adjusted indirect comparison. </w:t>
      </w:r>
      <w:r w:rsidRPr="00A755BA">
        <w:rPr>
          <w:rFonts w:ascii="Arial" w:hAnsi="Arial" w:cs="Arial"/>
          <w:i/>
          <w:sz w:val="20"/>
          <w:szCs w:val="24"/>
        </w:rPr>
        <w:t>Chest</w:t>
      </w:r>
      <w:r w:rsidRPr="00A755BA">
        <w:rPr>
          <w:rFonts w:ascii="Arial" w:hAnsi="Arial" w:cs="Arial"/>
          <w:sz w:val="20"/>
          <w:szCs w:val="24"/>
        </w:rPr>
        <w:t>. 2013;144(2):593-600.</w:t>
      </w:r>
    </w:p>
    <w:p w14:paraId="37C6DB84"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48.</w:t>
      </w:r>
      <w:r w:rsidRPr="00A755BA">
        <w:rPr>
          <w:rFonts w:ascii="Arial" w:hAnsi="Arial" w:cs="Arial"/>
          <w:sz w:val="20"/>
          <w:szCs w:val="24"/>
        </w:rPr>
        <w:tab/>
        <w:t xml:space="preserve">Laporte S, Chapelle C, Bertoletti L, et al. Indirect comparison meta-analysis of two enoxaparin regimens in patients undergoing major orthopaedic surgery. Impact on the interpretation of thromboprophylactic effects of new anticoagulant drugs. </w:t>
      </w:r>
      <w:r w:rsidRPr="00A755BA">
        <w:rPr>
          <w:rFonts w:ascii="Arial" w:hAnsi="Arial" w:cs="Arial"/>
          <w:i/>
          <w:sz w:val="20"/>
          <w:szCs w:val="24"/>
        </w:rPr>
        <w:t>Thromb Haemost</w:t>
      </w:r>
      <w:r w:rsidRPr="00A755BA">
        <w:rPr>
          <w:rFonts w:ascii="Arial" w:hAnsi="Arial" w:cs="Arial"/>
          <w:sz w:val="20"/>
          <w:szCs w:val="24"/>
        </w:rPr>
        <w:t>. 2014;112(3):503-10.</w:t>
      </w:r>
    </w:p>
    <w:p w14:paraId="62E01D75"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49.</w:t>
      </w:r>
      <w:r w:rsidRPr="00A755BA">
        <w:rPr>
          <w:rFonts w:ascii="Arial" w:hAnsi="Arial" w:cs="Arial"/>
          <w:sz w:val="20"/>
          <w:szCs w:val="24"/>
        </w:rPr>
        <w:tab/>
        <w:t xml:space="preserve">Boyd RA, DiCarlo L, Mandema JW. Direct oral anticoagulants vs. enoxaparin for prevention of venous thromboembolism following orthopedic surgery: A dose-response meta-analysis. </w:t>
      </w:r>
      <w:r w:rsidRPr="00A755BA">
        <w:rPr>
          <w:rFonts w:ascii="Arial" w:hAnsi="Arial" w:cs="Arial"/>
          <w:i/>
          <w:sz w:val="20"/>
          <w:szCs w:val="24"/>
        </w:rPr>
        <w:t>Clin Transl Sci</w:t>
      </w:r>
      <w:r w:rsidRPr="00A755BA">
        <w:rPr>
          <w:rFonts w:ascii="Arial" w:hAnsi="Arial" w:cs="Arial"/>
          <w:sz w:val="20"/>
          <w:szCs w:val="24"/>
        </w:rPr>
        <w:t>. 2017;10(4):260-70.</w:t>
      </w:r>
    </w:p>
    <w:p w14:paraId="4AD70EC9"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50.</w:t>
      </w:r>
      <w:r w:rsidRPr="00A755BA">
        <w:rPr>
          <w:rFonts w:ascii="Arial" w:hAnsi="Arial" w:cs="Arial"/>
          <w:sz w:val="20"/>
          <w:szCs w:val="24"/>
        </w:rPr>
        <w:tab/>
        <w:t xml:space="preserve">Kahn SR, Galanaud JP, Vedantham S, et al. Guidance for the prevention and treatment of the post-thrombotic syndrome. </w:t>
      </w:r>
      <w:r w:rsidRPr="00A755BA">
        <w:rPr>
          <w:rFonts w:ascii="Arial" w:hAnsi="Arial" w:cs="Arial"/>
          <w:i/>
          <w:sz w:val="20"/>
          <w:szCs w:val="24"/>
        </w:rPr>
        <w:t>J Thromb Thrombolysis</w:t>
      </w:r>
      <w:r w:rsidRPr="00A755BA">
        <w:rPr>
          <w:rFonts w:ascii="Arial" w:hAnsi="Arial" w:cs="Arial"/>
          <w:sz w:val="20"/>
          <w:szCs w:val="24"/>
        </w:rPr>
        <w:t>. 2016;41(1):144-53.</w:t>
      </w:r>
    </w:p>
    <w:p w14:paraId="375F0378"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lastRenderedPageBreak/>
        <w:t>51.</w:t>
      </w:r>
      <w:r w:rsidRPr="00A755BA">
        <w:rPr>
          <w:rFonts w:ascii="Arial" w:hAnsi="Arial" w:cs="Arial"/>
          <w:sz w:val="20"/>
          <w:szCs w:val="24"/>
        </w:rPr>
        <w:tab/>
        <w:t xml:space="preserve">National Clinical Guideline Centre. Venous thromoembolism: reducing the risk of venous thromboembolism (deep vein thrombosis and pulmonary embolism) inpatients admitted to hospital. NICE clinical guideline 92. London: National Clinical Guideline Centre, 2010 </w:t>
      </w:r>
    </w:p>
    <w:p w14:paraId="5314F340"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52.</w:t>
      </w:r>
      <w:r w:rsidRPr="00A755BA">
        <w:rPr>
          <w:rFonts w:ascii="Arial" w:hAnsi="Arial" w:cs="Arial"/>
          <w:sz w:val="20"/>
          <w:szCs w:val="24"/>
        </w:rPr>
        <w:tab/>
        <w:t xml:space="preserve">Bozic KJ, Vail TP, Pekow PS, et al. Does aspirin have a role in venous thromboembolism prophylaxis in total knee arthroplasty patients? </w:t>
      </w:r>
      <w:r w:rsidRPr="00A755BA">
        <w:rPr>
          <w:rFonts w:ascii="Arial" w:hAnsi="Arial" w:cs="Arial"/>
          <w:i/>
          <w:sz w:val="20"/>
          <w:szCs w:val="24"/>
        </w:rPr>
        <w:t>J Arthroplasty</w:t>
      </w:r>
      <w:r w:rsidRPr="00A755BA">
        <w:rPr>
          <w:rFonts w:ascii="Arial" w:hAnsi="Arial" w:cs="Arial"/>
          <w:sz w:val="20"/>
          <w:szCs w:val="24"/>
        </w:rPr>
        <w:t>. 2010;25(7):1053-60.</w:t>
      </w:r>
    </w:p>
    <w:p w14:paraId="65C4C43A"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53.</w:t>
      </w:r>
      <w:r w:rsidRPr="00A755BA">
        <w:rPr>
          <w:rFonts w:ascii="Arial" w:hAnsi="Arial" w:cs="Arial"/>
          <w:sz w:val="20"/>
          <w:szCs w:val="24"/>
        </w:rPr>
        <w:tab/>
        <w:t xml:space="preserve">National Institute for Health and Care Excellence. Rivaroxaban for treating pulmonary embolism and preventing recurrent venous thromboembolism. NICE technology appraisal guidance 287. London: National Institute for Health and Care Excellence, 2013 </w:t>
      </w:r>
    </w:p>
    <w:p w14:paraId="48A8C714"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54.</w:t>
      </w:r>
      <w:r w:rsidRPr="00A755BA">
        <w:rPr>
          <w:rFonts w:ascii="Arial" w:hAnsi="Arial" w:cs="Arial"/>
          <w:sz w:val="20"/>
          <w:szCs w:val="24"/>
        </w:rPr>
        <w:tab/>
        <w:t xml:space="preserve">National Institute for Health and Care Excellence. Dabigatran etexilate for the treatment and secondary prevention of deep vein thrombosis and/or pulmonary embolism. NICE technology appraisal guidance 327. London: National Institute for Health and Care Excellence, 2014 </w:t>
      </w:r>
    </w:p>
    <w:p w14:paraId="0DEA1439"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55.</w:t>
      </w:r>
      <w:r w:rsidRPr="00A755BA">
        <w:rPr>
          <w:rFonts w:ascii="Arial" w:hAnsi="Arial" w:cs="Arial"/>
          <w:sz w:val="20"/>
          <w:szCs w:val="24"/>
        </w:rPr>
        <w:tab/>
        <w:t xml:space="preserve">National Institute for Health and Care Excellence. Apixaban for the treatment and secondary prevention of deep vein thrombosis and/or pulmonary embolism . NICE technology appraisal guidance 341. London: National Institute for Health and Care Excellence, 2015 </w:t>
      </w:r>
    </w:p>
    <w:p w14:paraId="68168CE5"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56.</w:t>
      </w:r>
      <w:r w:rsidRPr="00A755BA">
        <w:rPr>
          <w:rFonts w:ascii="Arial" w:hAnsi="Arial" w:cs="Arial"/>
          <w:sz w:val="20"/>
          <w:szCs w:val="24"/>
        </w:rPr>
        <w:tab/>
        <w:t xml:space="preserve">Cohen A, Drost P, Marchant N, et al. The efficacy and safety of pharmacological prophylaxis of venous thromboembolism following elective knee or hip replacement: systematic review and network meta-analysis. </w:t>
      </w:r>
      <w:r w:rsidRPr="00A755BA">
        <w:rPr>
          <w:rFonts w:ascii="Arial" w:hAnsi="Arial" w:cs="Arial"/>
          <w:i/>
          <w:sz w:val="20"/>
          <w:szCs w:val="24"/>
        </w:rPr>
        <w:t>Clin Appl Thromb Hemost</w:t>
      </w:r>
      <w:r w:rsidRPr="00A755BA">
        <w:rPr>
          <w:rFonts w:ascii="Arial" w:hAnsi="Arial" w:cs="Arial"/>
          <w:sz w:val="20"/>
          <w:szCs w:val="24"/>
        </w:rPr>
        <w:t>. 2012;18(6):611-27.</w:t>
      </w:r>
    </w:p>
    <w:p w14:paraId="44282441"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57.</w:t>
      </w:r>
      <w:r w:rsidRPr="00A755BA">
        <w:rPr>
          <w:rFonts w:ascii="Arial" w:hAnsi="Arial" w:cs="Arial"/>
          <w:sz w:val="20"/>
          <w:szCs w:val="24"/>
        </w:rPr>
        <w:tab/>
        <w:t xml:space="preserve">Schulman S, Angeras U, Bergqvist D, et al. Definition of major bleeding in clinical investigations of antihemostatic medicinal products in surgical patients. </w:t>
      </w:r>
      <w:r w:rsidRPr="00A755BA">
        <w:rPr>
          <w:rFonts w:ascii="Arial" w:hAnsi="Arial" w:cs="Arial"/>
          <w:i/>
          <w:sz w:val="20"/>
          <w:szCs w:val="24"/>
        </w:rPr>
        <w:t>J Thromb Haemost</w:t>
      </w:r>
      <w:r w:rsidRPr="00A755BA">
        <w:rPr>
          <w:rFonts w:ascii="Arial" w:hAnsi="Arial" w:cs="Arial"/>
          <w:sz w:val="20"/>
          <w:szCs w:val="24"/>
        </w:rPr>
        <w:t>. 2010;8(1):202-4.</w:t>
      </w:r>
    </w:p>
    <w:p w14:paraId="53039D24"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58.</w:t>
      </w:r>
      <w:r w:rsidRPr="00A755BA">
        <w:rPr>
          <w:rFonts w:ascii="Arial" w:hAnsi="Arial" w:cs="Arial"/>
          <w:sz w:val="20"/>
          <w:szCs w:val="24"/>
        </w:rPr>
        <w:tab/>
        <w:t xml:space="preserve">Zhou J, Fang R, Yan Q, et al. Low-molecular-weight heparin followed by rivaroxaban or not for the prevention of deep venous thromboembolism after total knee arthroplasty. </w:t>
      </w:r>
      <w:r w:rsidRPr="00A755BA">
        <w:rPr>
          <w:rFonts w:ascii="Arial" w:hAnsi="Arial" w:cs="Arial"/>
          <w:i/>
          <w:sz w:val="20"/>
          <w:szCs w:val="24"/>
        </w:rPr>
        <w:t>Blood Coagul Fibrinolysis</w:t>
      </w:r>
      <w:r w:rsidRPr="00A755BA">
        <w:rPr>
          <w:rFonts w:ascii="Arial" w:hAnsi="Arial" w:cs="Arial"/>
          <w:sz w:val="20"/>
          <w:szCs w:val="24"/>
        </w:rPr>
        <w:t>. 2019;30(1):29-33.</w:t>
      </w:r>
    </w:p>
    <w:p w14:paraId="4CB04B83" w14:textId="77777777" w:rsidR="0095655B" w:rsidRPr="00A755BA" w:rsidRDefault="0095655B" w:rsidP="00A755BA">
      <w:pPr>
        <w:pStyle w:val="EndNoteBibliography"/>
        <w:spacing w:after="0" w:line="480" w:lineRule="auto"/>
        <w:rPr>
          <w:rFonts w:ascii="Arial" w:hAnsi="Arial" w:cs="Arial"/>
          <w:sz w:val="20"/>
          <w:szCs w:val="24"/>
        </w:rPr>
      </w:pPr>
      <w:r w:rsidRPr="00A755BA">
        <w:rPr>
          <w:rFonts w:ascii="Arial" w:hAnsi="Arial" w:cs="Arial"/>
          <w:sz w:val="20"/>
          <w:szCs w:val="24"/>
        </w:rPr>
        <w:t>59.</w:t>
      </w:r>
      <w:r w:rsidRPr="00A755BA">
        <w:rPr>
          <w:rFonts w:ascii="Arial" w:hAnsi="Arial" w:cs="Arial"/>
          <w:sz w:val="20"/>
          <w:szCs w:val="24"/>
        </w:rPr>
        <w:tab/>
        <w:t xml:space="preserve">Anderson DR, Dunbar M, Murnaghan J, et al. Aspirin or Rivaroxaban for VTE Prophylaxis after Hip or Knee Arthroplasty. </w:t>
      </w:r>
      <w:r w:rsidRPr="00A755BA">
        <w:rPr>
          <w:rFonts w:ascii="Arial" w:hAnsi="Arial" w:cs="Arial"/>
          <w:i/>
          <w:sz w:val="20"/>
          <w:szCs w:val="24"/>
        </w:rPr>
        <w:t>N Engl J Med</w:t>
      </w:r>
      <w:r w:rsidRPr="00A755BA">
        <w:rPr>
          <w:rFonts w:ascii="Arial" w:hAnsi="Arial" w:cs="Arial"/>
          <w:sz w:val="20"/>
          <w:szCs w:val="24"/>
        </w:rPr>
        <w:t>. 2018;378(8):699-707.</w:t>
      </w:r>
    </w:p>
    <w:p w14:paraId="224DCDD6" w14:textId="77777777" w:rsidR="0095655B" w:rsidRPr="00A755BA" w:rsidRDefault="0095655B" w:rsidP="00A755BA">
      <w:pPr>
        <w:pStyle w:val="EndNoteBibliography"/>
        <w:spacing w:line="480" w:lineRule="auto"/>
        <w:rPr>
          <w:rFonts w:ascii="Arial" w:hAnsi="Arial" w:cs="Arial"/>
          <w:sz w:val="20"/>
          <w:szCs w:val="24"/>
        </w:rPr>
      </w:pPr>
      <w:r w:rsidRPr="00A755BA">
        <w:rPr>
          <w:rFonts w:ascii="Arial" w:hAnsi="Arial" w:cs="Arial"/>
          <w:sz w:val="20"/>
          <w:szCs w:val="24"/>
        </w:rPr>
        <w:t>60.</w:t>
      </w:r>
      <w:r w:rsidRPr="00A755BA">
        <w:rPr>
          <w:rFonts w:ascii="Arial" w:hAnsi="Arial" w:cs="Arial"/>
          <w:sz w:val="20"/>
          <w:szCs w:val="24"/>
        </w:rPr>
        <w:tab/>
        <w:t xml:space="preserve">Dawoud DM, Wonderling D, Glen J, et al. Cost-utility analysis of venous thromboembolism prophylaxis strategies for people undergoing elective total hip and total knee replacement surgeries in the English National Health Service. </w:t>
      </w:r>
      <w:r w:rsidRPr="00A755BA">
        <w:rPr>
          <w:rFonts w:ascii="Arial" w:hAnsi="Arial" w:cs="Arial"/>
          <w:i/>
          <w:sz w:val="20"/>
          <w:szCs w:val="24"/>
        </w:rPr>
        <w:t>Front Pharmacol</w:t>
      </w:r>
      <w:r w:rsidRPr="00A755BA">
        <w:rPr>
          <w:rFonts w:ascii="Arial" w:hAnsi="Arial" w:cs="Arial"/>
          <w:sz w:val="20"/>
          <w:szCs w:val="24"/>
        </w:rPr>
        <w:t>. 2018;9:1370.</w:t>
      </w:r>
    </w:p>
    <w:p w14:paraId="266F5C95" w14:textId="263D1480" w:rsidR="0095655B" w:rsidRPr="00A755BA" w:rsidRDefault="0095655B" w:rsidP="00A755BA">
      <w:pPr>
        <w:spacing w:line="480" w:lineRule="auto"/>
        <w:rPr>
          <w:rFonts w:ascii="Arial" w:hAnsi="Arial" w:cs="Arial"/>
          <w:b/>
          <w:szCs w:val="24"/>
          <w:u w:val="single"/>
        </w:rPr>
      </w:pPr>
    </w:p>
    <w:p w14:paraId="4BA1598D" w14:textId="1C52C2AB" w:rsidR="001A4DCC" w:rsidRPr="00FA57AF" w:rsidRDefault="001A4DCC" w:rsidP="00E9741B">
      <w:pPr>
        <w:tabs>
          <w:tab w:val="left" w:pos="2785"/>
        </w:tabs>
        <w:rPr>
          <w:rFonts w:ascii="Arial" w:hAnsi="Arial" w:cs="Arial"/>
          <w:b/>
          <w:bCs/>
          <w:sz w:val="20"/>
          <w:szCs w:val="20"/>
          <w:u w:val="single"/>
        </w:rPr>
      </w:pPr>
      <w:r w:rsidRPr="00FA57AF">
        <w:rPr>
          <w:rFonts w:ascii="Arial" w:hAnsi="Arial" w:cs="Arial"/>
          <w:b/>
          <w:bCs/>
          <w:sz w:val="20"/>
          <w:szCs w:val="20"/>
          <w:u w:val="single"/>
        </w:rPr>
        <w:lastRenderedPageBreak/>
        <w:t>Supporting Information</w:t>
      </w:r>
    </w:p>
    <w:p w14:paraId="14AD23CD" w14:textId="51E135C4" w:rsidR="00555F72" w:rsidRDefault="001A4DCC" w:rsidP="00555F72">
      <w:pPr>
        <w:tabs>
          <w:tab w:val="left" w:pos="2785"/>
        </w:tabs>
        <w:rPr>
          <w:rFonts w:ascii="Arial" w:hAnsi="Arial" w:cs="Arial"/>
          <w:bCs/>
          <w:i/>
          <w:sz w:val="20"/>
          <w:szCs w:val="20"/>
        </w:rPr>
      </w:pPr>
      <w:r w:rsidRPr="001A4DCC">
        <w:rPr>
          <w:rFonts w:ascii="Arial" w:hAnsi="Arial" w:cs="Arial"/>
          <w:bCs/>
          <w:i/>
          <w:sz w:val="20"/>
          <w:szCs w:val="20"/>
        </w:rPr>
        <w:t xml:space="preserve">See separate </w:t>
      </w:r>
      <w:r w:rsidR="00C50E8A">
        <w:rPr>
          <w:rFonts w:ascii="Arial" w:hAnsi="Arial" w:cs="Arial"/>
          <w:sz w:val="20"/>
          <w:szCs w:val="20"/>
        </w:rPr>
        <w:t>appendix</w:t>
      </w:r>
      <w:r w:rsidRPr="001A4DCC">
        <w:rPr>
          <w:rFonts w:ascii="Arial" w:hAnsi="Arial" w:cs="Arial"/>
          <w:bCs/>
          <w:i/>
          <w:sz w:val="20"/>
          <w:szCs w:val="20"/>
        </w:rPr>
        <w:t xml:space="preserve"> document</w:t>
      </w:r>
    </w:p>
    <w:p w14:paraId="28029309" w14:textId="76CE44EB" w:rsidR="00886866" w:rsidRPr="00415C66" w:rsidRDefault="00886866" w:rsidP="00E9741B">
      <w:pPr>
        <w:tabs>
          <w:tab w:val="left" w:pos="2785"/>
        </w:tabs>
        <w:rPr>
          <w:rFonts w:ascii="Arial" w:hAnsi="Arial" w:cs="Arial"/>
          <w:i/>
          <w:sz w:val="20"/>
          <w:szCs w:val="20"/>
        </w:rPr>
      </w:pPr>
    </w:p>
    <w:sectPr w:rsidR="00886866" w:rsidRPr="00415C66" w:rsidSect="007A5EF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8223" w14:textId="77777777" w:rsidR="00E568CE" w:rsidRDefault="00E568CE" w:rsidP="002C1B4E">
      <w:pPr>
        <w:spacing w:after="0" w:line="240" w:lineRule="auto"/>
      </w:pPr>
      <w:r>
        <w:separator/>
      </w:r>
    </w:p>
  </w:endnote>
  <w:endnote w:type="continuationSeparator" w:id="0">
    <w:p w14:paraId="3211AF5C" w14:textId="77777777" w:rsidR="00E568CE" w:rsidRDefault="00E568CE" w:rsidP="002C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ne)">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735857"/>
      <w:docPartObj>
        <w:docPartGallery w:val="Page Numbers (Bottom of Page)"/>
        <w:docPartUnique/>
      </w:docPartObj>
    </w:sdtPr>
    <w:sdtEndPr/>
    <w:sdtContent>
      <w:p w14:paraId="574E22C3" w14:textId="77777777" w:rsidR="008822BB" w:rsidRDefault="008822BB">
        <w:pPr>
          <w:pStyle w:val="Footer"/>
          <w:jc w:val="right"/>
        </w:pPr>
        <w:r>
          <w:fldChar w:fldCharType="begin"/>
        </w:r>
        <w:r>
          <w:instrText xml:space="preserve"> PAGE   \* MERGEFORMAT </w:instrText>
        </w:r>
        <w:r>
          <w:fldChar w:fldCharType="separate"/>
        </w:r>
        <w:r>
          <w:rPr>
            <w:noProof/>
          </w:rPr>
          <w:t>1</w:t>
        </w:r>
        <w:r>
          <w:fldChar w:fldCharType="end"/>
        </w:r>
      </w:p>
    </w:sdtContent>
  </w:sdt>
  <w:p w14:paraId="6B988148" w14:textId="77777777" w:rsidR="008822BB" w:rsidRDefault="00882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54C3" w14:textId="77777777" w:rsidR="00E568CE" w:rsidRDefault="00E568CE" w:rsidP="002C1B4E">
      <w:pPr>
        <w:spacing w:after="0" w:line="240" w:lineRule="auto"/>
      </w:pPr>
      <w:r>
        <w:separator/>
      </w:r>
    </w:p>
  </w:footnote>
  <w:footnote w:type="continuationSeparator" w:id="0">
    <w:p w14:paraId="5ECAE8C2" w14:textId="77777777" w:rsidR="00E568CE" w:rsidRDefault="00E568CE" w:rsidP="002C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3134" w14:textId="06139ED5" w:rsidR="008822BB" w:rsidRDefault="008822BB" w:rsidP="00EC4C1D">
    <w:pPr>
      <w:pStyle w:val="Header"/>
      <w:tabs>
        <w:tab w:val="clear" w:pos="4513"/>
        <w:tab w:val="clear" w:pos="9026"/>
        <w:tab w:val="left" w:pos="40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7CA"/>
    <w:multiLevelType w:val="hybridMultilevel"/>
    <w:tmpl w:val="F5706BDC"/>
    <w:lvl w:ilvl="0" w:tplc="2FFE7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46C96"/>
    <w:multiLevelType w:val="multilevel"/>
    <w:tmpl w:val="E4E84370"/>
    <w:lvl w:ilvl="0">
      <w:start w:val="1"/>
      <w:numFmt w:val="decimal"/>
      <w:pStyle w:val="ResearchRecomHead"/>
      <w:lvlText w:val="%1."/>
      <w:lvlJc w:val="left"/>
      <w:pPr>
        <w:ind w:left="284" w:hanging="284"/>
      </w:pPr>
      <w:rPr>
        <w:rFonts w:hint="default"/>
      </w:rPr>
    </w:lvl>
    <w:lvl w:ilvl="1">
      <w:start w:val="1"/>
      <w:numFmt w:val="bullet"/>
      <w:pStyle w:val="ResearchRecomBullet"/>
      <w:lvlText w:val=""/>
      <w:lvlJc w:val="left"/>
      <w:pPr>
        <w:ind w:left="567" w:hanging="283"/>
      </w:pPr>
      <w:rPr>
        <w:rFonts w:ascii="Symbol" w:hAnsi="Symbol"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2" w15:restartNumberingAfterBreak="0">
    <w:nsid w:val="0BDD4040"/>
    <w:multiLevelType w:val="hybridMultilevel"/>
    <w:tmpl w:val="231A0B72"/>
    <w:lvl w:ilvl="0" w:tplc="69963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7679E"/>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36CEA"/>
    <w:multiLevelType w:val="multilevel"/>
    <w:tmpl w:val="1B0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798E"/>
    <w:multiLevelType w:val="hybridMultilevel"/>
    <w:tmpl w:val="40C66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E292E"/>
    <w:multiLevelType w:val="hybridMultilevel"/>
    <w:tmpl w:val="8A7AF4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4489C"/>
    <w:multiLevelType w:val="multilevel"/>
    <w:tmpl w:val="8BACB024"/>
    <w:lvl w:ilvl="0">
      <w:start w:val="1"/>
      <w:numFmt w:val="upperLetter"/>
      <w:lvlRestart w:val="0"/>
      <w:pStyle w:val="AppHead"/>
      <w:lvlText w:val="Appendix %1:"/>
      <w:lvlJc w:val="left"/>
      <w:pPr>
        <w:tabs>
          <w:tab w:val="num" w:pos="283"/>
        </w:tabs>
        <w:ind w:left="0" w:firstLine="0"/>
      </w:pPr>
      <w:rPr>
        <w:rFonts w:ascii="Calibri" w:hAnsi="Calibri" w:cs="Calibri" w:hint="default"/>
        <w:b/>
        <w:color w:val="000000"/>
        <w:sz w:val="44"/>
      </w:rPr>
    </w:lvl>
    <w:lvl w:ilvl="1">
      <w:start w:val="1"/>
      <w:numFmt w:val="decimal"/>
      <w:pStyle w:val="AppSubhead"/>
      <w:lvlText w:val="%1.%2"/>
      <w:lvlJc w:val="right"/>
      <w:pPr>
        <w:tabs>
          <w:tab w:val="num" w:pos="0"/>
        </w:tabs>
        <w:ind w:left="0" w:hanging="284"/>
      </w:pPr>
      <w:rPr>
        <w:rFonts w:ascii="Calibri" w:hAnsi="Calibri" w:cs="Calibri" w:hint="default"/>
        <w:b/>
        <w:color w:val="000000"/>
        <w:sz w:val="32"/>
      </w:rPr>
    </w:lvl>
    <w:lvl w:ilvl="2">
      <w:start w:val="1"/>
      <w:numFmt w:val="decimal"/>
      <w:pStyle w:val="AppMinorSubhead"/>
      <w:lvlText w:val="%1.%2.%3"/>
      <w:lvlJc w:val="right"/>
      <w:pPr>
        <w:tabs>
          <w:tab w:val="num" w:pos="0"/>
        </w:tabs>
        <w:ind w:left="0" w:hanging="284"/>
      </w:pPr>
      <w:rPr>
        <w:rFonts w:ascii="Calibri" w:hAnsi="Calibri" w:cs="Calibri" w:hint="default"/>
        <w:b/>
        <w:color w:val="000000"/>
        <w:sz w:val="24"/>
        <w:vertAlign w:val="baseline"/>
      </w:rPr>
    </w:lvl>
    <w:lvl w:ilvl="3">
      <w:start w:val="1"/>
      <w:numFmt w:val="decimal"/>
      <w:pStyle w:val="AppLevel4Head"/>
      <w:lvlText w:val="%1.%2.%3.%4"/>
      <w:lvlJc w:val="right"/>
      <w:pPr>
        <w:tabs>
          <w:tab w:val="num" w:pos="0"/>
        </w:tabs>
        <w:ind w:left="0" w:hanging="284"/>
      </w:pPr>
      <w:rPr>
        <w:rFonts w:ascii="Calibri" w:hAnsi="Calibri" w:cs="Calibri" w:hint="default"/>
        <w:b/>
        <w:color w:val="000000"/>
        <w:sz w:val="20"/>
      </w:rPr>
    </w:lvl>
    <w:lvl w:ilvl="4">
      <w:start w:val="1"/>
      <w:numFmt w:val="decimal"/>
      <w:pStyle w:val="AppLevel5Head"/>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62E6739"/>
    <w:multiLevelType w:val="hybridMultilevel"/>
    <w:tmpl w:val="811E00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B2B3A7E"/>
    <w:multiLevelType w:val="singleLevel"/>
    <w:tmpl w:val="BFEAFE3E"/>
    <w:lvl w:ilvl="0">
      <w:start w:val="1"/>
      <w:numFmt w:val="lowerLetter"/>
      <w:lvlRestart w:val="0"/>
      <w:lvlText w:val="(%1)"/>
      <w:lvlJc w:val="left"/>
      <w:pPr>
        <w:ind w:left="283" w:hanging="283"/>
      </w:pPr>
    </w:lvl>
  </w:abstractNum>
  <w:abstractNum w:abstractNumId="10" w15:restartNumberingAfterBreak="0">
    <w:nsid w:val="2DE7269C"/>
    <w:multiLevelType w:val="hybridMultilevel"/>
    <w:tmpl w:val="1C9A9A8C"/>
    <w:lvl w:ilvl="0" w:tplc="985EEA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2E3895"/>
    <w:multiLevelType w:val="hybridMultilevel"/>
    <w:tmpl w:val="282EF4FA"/>
    <w:lvl w:ilvl="0" w:tplc="4C00F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902AF"/>
    <w:multiLevelType w:val="hybridMultilevel"/>
    <w:tmpl w:val="33F47920"/>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E1D1D"/>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550653"/>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D4CD2"/>
    <w:multiLevelType w:val="hybridMultilevel"/>
    <w:tmpl w:val="CAC21C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744BE"/>
    <w:multiLevelType w:val="multilevel"/>
    <w:tmpl w:val="22045368"/>
    <w:lvl w:ilvl="0">
      <w:start w:val="1"/>
      <w:numFmt w:val="bullet"/>
      <w:pStyle w:val="Bullet1"/>
      <w:lvlText w:val=""/>
      <w:lvlJc w:val="left"/>
      <w:pPr>
        <w:tabs>
          <w:tab w:val="num" w:pos="0"/>
        </w:tabs>
        <w:ind w:left="284" w:hanging="284"/>
      </w:pPr>
      <w:rPr>
        <w:rFonts w:ascii="Symbol" w:hAnsi="Symbol" w:hint="default"/>
        <w:vertAlign w:val="baseline"/>
      </w:rPr>
    </w:lvl>
    <w:lvl w:ilvl="1">
      <w:start w:val="1"/>
      <w:numFmt w:val="bullet"/>
      <w:pStyle w:val="Bullet2"/>
      <w:lvlText w:val="o"/>
      <w:lvlJc w:val="left"/>
      <w:pPr>
        <w:tabs>
          <w:tab w:val="num" w:pos="567"/>
        </w:tabs>
        <w:ind w:left="567" w:hanging="283"/>
      </w:pPr>
      <w:rPr>
        <w:rFonts w:ascii="Calibri" w:hAnsi="Calibri"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7" w15:restartNumberingAfterBreak="0">
    <w:nsid w:val="4ACB09D0"/>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620CF2"/>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F098F"/>
    <w:multiLevelType w:val="singleLevel"/>
    <w:tmpl w:val="7B3AE1C4"/>
    <w:lvl w:ilvl="0">
      <w:start w:val="1"/>
      <w:numFmt w:val="lowerLetter"/>
      <w:lvlRestart w:val="0"/>
      <w:lvlText w:val="(%1)"/>
      <w:lvlJc w:val="left"/>
      <w:pPr>
        <w:ind w:left="283" w:hanging="283"/>
      </w:pPr>
    </w:lvl>
  </w:abstractNum>
  <w:abstractNum w:abstractNumId="21" w15:restartNumberingAfterBreak="0">
    <w:nsid w:val="5EC613E5"/>
    <w:multiLevelType w:val="hybridMultilevel"/>
    <w:tmpl w:val="F01E5616"/>
    <w:lvl w:ilvl="0" w:tplc="4C00F928">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38224F"/>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E546AA"/>
    <w:multiLevelType w:val="hybridMultilevel"/>
    <w:tmpl w:val="45A8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57B35"/>
    <w:multiLevelType w:val="multilevel"/>
    <w:tmpl w:val="EDD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9492D"/>
    <w:multiLevelType w:val="hybridMultilevel"/>
    <w:tmpl w:val="3CD4EF0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A33B6D"/>
    <w:multiLevelType w:val="hybridMultilevel"/>
    <w:tmpl w:val="E9645E42"/>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E3444F"/>
    <w:multiLevelType w:val="multilevel"/>
    <w:tmpl w:val="C7664970"/>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8"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6171BB9"/>
    <w:multiLevelType w:val="multilevel"/>
    <w:tmpl w:val="721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E38C9"/>
    <w:multiLevelType w:val="hybridMultilevel"/>
    <w:tmpl w:val="4972F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147A29"/>
    <w:multiLevelType w:val="hybridMultilevel"/>
    <w:tmpl w:val="7390B5E2"/>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43BEC"/>
    <w:multiLevelType w:val="hybridMultilevel"/>
    <w:tmpl w:val="B65ECFFC"/>
    <w:lvl w:ilvl="0" w:tplc="24AEA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4"/>
  </w:num>
  <w:num w:numId="3">
    <w:abstractNumId w:val="29"/>
  </w:num>
  <w:num w:numId="4">
    <w:abstractNumId w:val="27"/>
  </w:num>
  <w:num w:numId="5">
    <w:abstractNumId w:val="16"/>
  </w:num>
  <w:num w:numId="6">
    <w:abstractNumId w:val="1"/>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14"/>
  </w:num>
  <w:num w:numId="16">
    <w:abstractNumId w:val="13"/>
  </w:num>
  <w:num w:numId="17">
    <w:abstractNumId w:val="3"/>
  </w:num>
  <w:num w:numId="18">
    <w:abstractNumId w:val="19"/>
  </w:num>
  <w:num w:numId="19">
    <w:abstractNumId w:val="18"/>
  </w:num>
  <w:num w:numId="20">
    <w:abstractNumId w:val="9"/>
  </w:num>
  <w:num w:numId="21">
    <w:abstractNumId w:val="20"/>
  </w:num>
  <w:num w:numId="22">
    <w:abstractNumId w:val="2"/>
  </w:num>
  <w:num w:numId="23">
    <w:abstractNumId w:val="0"/>
  </w:num>
  <w:num w:numId="24">
    <w:abstractNumId w:val="32"/>
  </w:num>
  <w:num w:numId="25">
    <w:abstractNumId w:val="10"/>
  </w:num>
  <w:num w:numId="26">
    <w:abstractNumId w:val="21"/>
  </w:num>
  <w:num w:numId="27">
    <w:abstractNumId w:val="11"/>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3"/>
  </w:num>
  <w:num w:numId="32">
    <w:abstractNumId w:val="3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9xsx0ar55rfxe5drux2evzzrvwefrdrdde&quot;&gt;VTE Prophylaxis MAIN guideline library&lt;record-ids&gt;&lt;item&gt;203&lt;/item&gt;&lt;item&gt;299&lt;/item&gt;&lt;item&gt;540&lt;/item&gt;&lt;item&gt;556&lt;/item&gt;&lt;item&gt;760&lt;/item&gt;&lt;item&gt;798&lt;/item&gt;&lt;item&gt;809&lt;/item&gt;&lt;item&gt;821&lt;/item&gt;&lt;item&gt;861&lt;/item&gt;&lt;item&gt;862&lt;/item&gt;&lt;item&gt;1533&lt;/item&gt;&lt;item&gt;1534&lt;/item&gt;&lt;item&gt;1872&lt;/item&gt;&lt;item&gt;2567&lt;/item&gt;&lt;item&gt;2645&lt;/item&gt;&lt;item&gt;2714&lt;/item&gt;&lt;item&gt;2722&lt;/item&gt;&lt;item&gt;2723&lt;/item&gt;&lt;item&gt;2725&lt;/item&gt;&lt;item&gt;2759&lt;/item&gt;&lt;item&gt;2760&lt;/item&gt;&lt;item&gt;2772&lt;/item&gt;&lt;item&gt;2775&lt;/item&gt;&lt;item&gt;2827&lt;/item&gt;&lt;item&gt;2844&lt;/item&gt;&lt;item&gt;2865&lt;/item&gt;&lt;item&gt;2914&lt;/item&gt;&lt;item&gt;2924&lt;/item&gt;&lt;item&gt;2982&lt;/item&gt;&lt;item&gt;3046&lt;/item&gt;&lt;item&gt;3058&lt;/item&gt;&lt;item&gt;3059&lt;/item&gt;&lt;item&gt;3097&lt;/item&gt;&lt;item&gt;3421&lt;/item&gt;&lt;item&gt;3874&lt;/item&gt;&lt;item&gt;3885&lt;/item&gt;&lt;item&gt;3890&lt;/item&gt;&lt;item&gt;3937&lt;/item&gt;&lt;item&gt;4004&lt;/item&gt;&lt;item&gt;4036&lt;/item&gt;&lt;item&gt;4330&lt;/item&gt;&lt;item&gt;4337&lt;/item&gt;&lt;item&gt;4414&lt;/item&gt;&lt;item&gt;4484&lt;/item&gt;&lt;item&gt;4486&lt;/item&gt;&lt;item&gt;4490&lt;/item&gt;&lt;item&gt;4491&lt;/item&gt;&lt;item&gt;4492&lt;/item&gt;&lt;item&gt;4493&lt;/item&gt;&lt;item&gt;4494&lt;/item&gt;&lt;item&gt;4496&lt;/item&gt;&lt;item&gt;4499&lt;/item&gt;&lt;item&gt;4500&lt;/item&gt;&lt;item&gt;4501&lt;/item&gt;&lt;item&gt;4503&lt;/item&gt;&lt;item&gt;4504&lt;/item&gt;&lt;item&gt;4562&lt;/item&gt;&lt;item&gt;4564&lt;/item&gt;&lt;item&gt;4567&lt;/item&gt;&lt;item&gt;4568&lt;/item&gt;&lt;/record-ids&gt;&lt;/item&gt;&lt;/Libraries&gt;"/>
    <w:docVar w:name="REFMGR.InstantFormat" w:val="&lt;ENInstantFormat&gt;&lt;Enabled&gt;0&lt;/Enabled&gt;&lt;ScanUnformatted&gt;1&lt;/ScanUnformatted&gt;&lt;ScanChanges&gt;1&lt;/ScanChanges&gt;&lt;/ENInstantFormat&gt;"/>
    <w:docVar w:name="REFMGR.Layout" w:val="&lt;ENLayout&gt;&lt;Style&gt;Value in Health&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1D_MAIN_DATABASE&lt;/item&gt;&lt;/Libraries&gt;&lt;/ENLibraries&gt;"/>
  </w:docVars>
  <w:rsids>
    <w:rsidRoot w:val="00E26515"/>
    <w:rsid w:val="0000425A"/>
    <w:rsid w:val="00005BA4"/>
    <w:rsid w:val="0000641B"/>
    <w:rsid w:val="0001057A"/>
    <w:rsid w:val="00010FDB"/>
    <w:rsid w:val="00011356"/>
    <w:rsid w:val="00011B02"/>
    <w:rsid w:val="00012250"/>
    <w:rsid w:val="000139EE"/>
    <w:rsid w:val="00015FD7"/>
    <w:rsid w:val="00016194"/>
    <w:rsid w:val="00016385"/>
    <w:rsid w:val="000176D2"/>
    <w:rsid w:val="000206CA"/>
    <w:rsid w:val="000209DE"/>
    <w:rsid w:val="00020B79"/>
    <w:rsid w:val="00026090"/>
    <w:rsid w:val="0002786C"/>
    <w:rsid w:val="00031B53"/>
    <w:rsid w:val="00033C63"/>
    <w:rsid w:val="00034C00"/>
    <w:rsid w:val="00036413"/>
    <w:rsid w:val="000379DA"/>
    <w:rsid w:val="000426A4"/>
    <w:rsid w:val="00043599"/>
    <w:rsid w:val="00044A8D"/>
    <w:rsid w:val="00045498"/>
    <w:rsid w:val="00045A29"/>
    <w:rsid w:val="000503C7"/>
    <w:rsid w:val="00051FC9"/>
    <w:rsid w:val="0005231D"/>
    <w:rsid w:val="00053285"/>
    <w:rsid w:val="000541CF"/>
    <w:rsid w:val="000547B6"/>
    <w:rsid w:val="00055D37"/>
    <w:rsid w:val="00055E93"/>
    <w:rsid w:val="00056489"/>
    <w:rsid w:val="00062045"/>
    <w:rsid w:val="000629FF"/>
    <w:rsid w:val="00063290"/>
    <w:rsid w:val="0006655F"/>
    <w:rsid w:val="00066891"/>
    <w:rsid w:val="00067705"/>
    <w:rsid w:val="000717A9"/>
    <w:rsid w:val="00071BDD"/>
    <w:rsid w:val="000734E2"/>
    <w:rsid w:val="000739B5"/>
    <w:rsid w:val="00074B87"/>
    <w:rsid w:val="00075807"/>
    <w:rsid w:val="0007660E"/>
    <w:rsid w:val="0008171E"/>
    <w:rsid w:val="000819DA"/>
    <w:rsid w:val="000820FF"/>
    <w:rsid w:val="00082CD8"/>
    <w:rsid w:val="00084BD7"/>
    <w:rsid w:val="000854C1"/>
    <w:rsid w:val="00085BF8"/>
    <w:rsid w:val="000868CC"/>
    <w:rsid w:val="00086B32"/>
    <w:rsid w:val="00087460"/>
    <w:rsid w:val="00087EF8"/>
    <w:rsid w:val="00087F61"/>
    <w:rsid w:val="000901A2"/>
    <w:rsid w:val="00090CCC"/>
    <w:rsid w:val="0009103B"/>
    <w:rsid w:val="000910A3"/>
    <w:rsid w:val="00093635"/>
    <w:rsid w:val="000947AF"/>
    <w:rsid w:val="00095A58"/>
    <w:rsid w:val="00096568"/>
    <w:rsid w:val="000A089E"/>
    <w:rsid w:val="000A0F42"/>
    <w:rsid w:val="000A4719"/>
    <w:rsid w:val="000A4BFB"/>
    <w:rsid w:val="000A4E7D"/>
    <w:rsid w:val="000A68A9"/>
    <w:rsid w:val="000B2303"/>
    <w:rsid w:val="000B4533"/>
    <w:rsid w:val="000B4BF4"/>
    <w:rsid w:val="000B55F0"/>
    <w:rsid w:val="000B6AEC"/>
    <w:rsid w:val="000B7FC0"/>
    <w:rsid w:val="000C0D18"/>
    <w:rsid w:val="000C1D04"/>
    <w:rsid w:val="000C3551"/>
    <w:rsid w:val="000C3AC3"/>
    <w:rsid w:val="000C56ED"/>
    <w:rsid w:val="000C5FDB"/>
    <w:rsid w:val="000C7084"/>
    <w:rsid w:val="000D132B"/>
    <w:rsid w:val="000D3592"/>
    <w:rsid w:val="000D388D"/>
    <w:rsid w:val="000D47B0"/>
    <w:rsid w:val="000D5535"/>
    <w:rsid w:val="000D5CA3"/>
    <w:rsid w:val="000E3549"/>
    <w:rsid w:val="000E40AD"/>
    <w:rsid w:val="000E443D"/>
    <w:rsid w:val="000E5DEE"/>
    <w:rsid w:val="000E786F"/>
    <w:rsid w:val="000E7922"/>
    <w:rsid w:val="000F0615"/>
    <w:rsid w:val="000F103A"/>
    <w:rsid w:val="000F38B4"/>
    <w:rsid w:val="000F6C6F"/>
    <w:rsid w:val="000F7E25"/>
    <w:rsid w:val="0010196D"/>
    <w:rsid w:val="00102BD9"/>
    <w:rsid w:val="00102D28"/>
    <w:rsid w:val="001079B5"/>
    <w:rsid w:val="0011225D"/>
    <w:rsid w:val="0011250E"/>
    <w:rsid w:val="00112A1C"/>
    <w:rsid w:val="00112BAD"/>
    <w:rsid w:val="0011317A"/>
    <w:rsid w:val="001134E7"/>
    <w:rsid w:val="00113C4D"/>
    <w:rsid w:val="00115DE2"/>
    <w:rsid w:val="00115EBD"/>
    <w:rsid w:val="00116F1E"/>
    <w:rsid w:val="0012031C"/>
    <w:rsid w:val="00121129"/>
    <w:rsid w:val="001225DE"/>
    <w:rsid w:val="0012328B"/>
    <w:rsid w:val="00125967"/>
    <w:rsid w:val="00127BD3"/>
    <w:rsid w:val="00127D56"/>
    <w:rsid w:val="00130BF3"/>
    <w:rsid w:val="00130E3B"/>
    <w:rsid w:val="00130F76"/>
    <w:rsid w:val="00131494"/>
    <w:rsid w:val="00132AFF"/>
    <w:rsid w:val="00134D5D"/>
    <w:rsid w:val="001350B2"/>
    <w:rsid w:val="00135D41"/>
    <w:rsid w:val="00136397"/>
    <w:rsid w:val="0013679A"/>
    <w:rsid w:val="0013742C"/>
    <w:rsid w:val="00140556"/>
    <w:rsid w:val="0014112A"/>
    <w:rsid w:val="001415F8"/>
    <w:rsid w:val="00141722"/>
    <w:rsid w:val="001424D8"/>
    <w:rsid w:val="00143B38"/>
    <w:rsid w:val="00143F59"/>
    <w:rsid w:val="001466C8"/>
    <w:rsid w:val="00146FAE"/>
    <w:rsid w:val="00153C19"/>
    <w:rsid w:val="00153DA7"/>
    <w:rsid w:val="001560ED"/>
    <w:rsid w:val="001602E8"/>
    <w:rsid w:val="00161205"/>
    <w:rsid w:val="00161DCC"/>
    <w:rsid w:val="00162286"/>
    <w:rsid w:val="0016349A"/>
    <w:rsid w:val="001643A1"/>
    <w:rsid w:val="001710FD"/>
    <w:rsid w:val="0017307E"/>
    <w:rsid w:val="00173701"/>
    <w:rsid w:val="00175C5D"/>
    <w:rsid w:val="00176447"/>
    <w:rsid w:val="00177D07"/>
    <w:rsid w:val="0018114F"/>
    <w:rsid w:val="001837CE"/>
    <w:rsid w:val="00185066"/>
    <w:rsid w:val="00185E11"/>
    <w:rsid w:val="0018612C"/>
    <w:rsid w:val="00187394"/>
    <w:rsid w:val="0018772E"/>
    <w:rsid w:val="001915A2"/>
    <w:rsid w:val="00192214"/>
    <w:rsid w:val="001934B6"/>
    <w:rsid w:val="0019395D"/>
    <w:rsid w:val="00194B10"/>
    <w:rsid w:val="00194F2C"/>
    <w:rsid w:val="001955CD"/>
    <w:rsid w:val="00196B65"/>
    <w:rsid w:val="001A067F"/>
    <w:rsid w:val="001A1AFF"/>
    <w:rsid w:val="001A2101"/>
    <w:rsid w:val="001A23BB"/>
    <w:rsid w:val="001A3431"/>
    <w:rsid w:val="001A4713"/>
    <w:rsid w:val="001A4B3E"/>
    <w:rsid w:val="001A4DCC"/>
    <w:rsid w:val="001A5706"/>
    <w:rsid w:val="001B0C6D"/>
    <w:rsid w:val="001B17E3"/>
    <w:rsid w:val="001B2119"/>
    <w:rsid w:val="001B24FD"/>
    <w:rsid w:val="001B299F"/>
    <w:rsid w:val="001B43F3"/>
    <w:rsid w:val="001B482B"/>
    <w:rsid w:val="001B52CB"/>
    <w:rsid w:val="001B7077"/>
    <w:rsid w:val="001B727E"/>
    <w:rsid w:val="001B7546"/>
    <w:rsid w:val="001C0F00"/>
    <w:rsid w:val="001C346A"/>
    <w:rsid w:val="001C451A"/>
    <w:rsid w:val="001D0F1E"/>
    <w:rsid w:val="001D0FC6"/>
    <w:rsid w:val="001D3E68"/>
    <w:rsid w:val="001D48DA"/>
    <w:rsid w:val="001E0345"/>
    <w:rsid w:val="001E08A8"/>
    <w:rsid w:val="001E3444"/>
    <w:rsid w:val="001E3997"/>
    <w:rsid w:val="001E5349"/>
    <w:rsid w:val="001E6DFB"/>
    <w:rsid w:val="001E7C25"/>
    <w:rsid w:val="001F233A"/>
    <w:rsid w:val="001F3A14"/>
    <w:rsid w:val="001F4424"/>
    <w:rsid w:val="001F5059"/>
    <w:rsid w:val="001F5100"/>
    <w:rsid w:val="001F592A"/>
    <w:rsid w:val="001F5B1F"/>
    <w:rsid w:val="001F5EE4"/>
    <w:rsid w:val="001F63CA"/>
    <w:rsid w:val="001F79E0"/>
    <w:rsid w:val="00200194"/>
    <w:rsid w:val="002004CC"/>
    <w:rsid w:val="00205957"/>
    <w:rsid w:val="00206C92"/>
    <w:rsid w:val="0020708F"/>
    <w:rsid w:val="00210169"/>
    <w:rsid w:val="00210281"/>
    <w:rsid w:val="00211E2E"/>
    <w:rsid w:val="002124FA"/>
    <w:rsid w:val="002128A3"/>
    <w:rsid w:val="00212BD0"/>
    <w:rsid w:val="00213EDA"/>
    <w:rsid w:val="00213F90"/>
    <w:rsid w:val="00215C11"/>
    <w:rsid w:val="002163EF"/>
    <w:rsid w:val="002177E2"/>
    <w:rsid w:val="0022175D"/>
    <w:rsid w:val="00221A69"/>
    <w:rsid w:val="00223E57"/>
    <w:rsid w:val="002243BE"/>
    <w:rsid w:val="002255A5"/>
    <w:rsid w:val="002262A0"/>
    <w:rsid w:val="00226C35"/>
    <w:rsid w:val="002334F5"/>
    <w:rsid w:val="002343E0"/>
    <w:rsid w:val="002369E8"/>
    <w:rsid w:val="00236F85"/>
    <w:rsid w:val="00237755"/>
    <w:rsid w:val="002422A5"/>
    <w:rsid w:val="00243078"/>
    <w:rsid w:val="002439D0"/>
    <w:rsid w:val="00244273"/>
    <w:rsid w:val="00244BCF"/>
    <w:rsid w:val="00245AFE"/>
    <w:rsid w:val="00247CEF"/>
    <w:rsid w:val="0025111B"/>
    <w:rsid w:val="00252370"/>
    <w:rsid w:val="00252D31"/>
    <w:rsid w:val="00253721"/>
    <w:rsid w:val="00256044"/>
    <w:rsid w:val="00257BA5"/>
    <w:rsid w:val="00260E4A"/>
    <w:rsid w:val="002621E2"/>
    <w:rsid w:val="002635EE"/>
    <w:rsid w:val="0026702E"/>
    <w:rsid w:val="002722CF"/>
    <w:rsid w:val="00272520"/>
    <w:rsid w:val="00275F3B"/>
    <w:rsid w:val="00276783"/>
    <w:rsid w:val="00277365"/>
    <w:rsid w:val="002802BD"/>
    <w:rsid w:val="00281FC3"/>
    <w:rsid w:val="00284E81"/>
    <w:rsid w:val="00285012"/>
    <w:rsid w:val="0028567F"/>
    <w:rsid w:val="0028610C"/>
    <w:rsid w:val="00291468"/>
    <w:rsid w:val="00291DB9"/>
    <w:rsid w:val="00292996"/>
    <w:rsid w:val="0029464B"/>
    <w:rsid w:val="002A0B06"/>
    <w:rsid w:val="002A1EBC"/>
    <w:rsid w:val="002A2D99"/>
    <w:rsid w:val="002A3E15"/>
    <w:rsid w:val="002A405D"/>
    <w:rsid w:val="002A4383"/>
    <w:rsid w:val="002A6662"/>
    <w:rsid w:val="002A7745"/>
    <w:rsid w:val="002A7D47"/>
    <w:rsid w:val="002B4795"/>
    <w:rsid w:val="002B79D2"/>
    <w:rsid w:val="002B7E39"/>
    <w:rsid w:val="002C0F89"/>
    <w:rsid w:val="002C1B4E"/>
    <w:rsid w:val="002C319B"/>
    <w:rsid w:val="002C3247"/>
    <w:rsid w:val="002C3593"/>
    <w:rsid w:val="002C3A4C"/>
    <w:rsid w:val="002C55E8"/>
    <w:rsid w:val="002C7C52"/>
    <w:rsid w:val="002D4E19"/>
    <w:rsid w:val="002D520A"/>
    <w:rsid w:val="002D574E"/>
    <w:rsid w:val="002D5774"/>
    <w:rsid w:val="002D585D"/>
    <w:rsid w:val="002D6B2E"/>
    <w:rsid w:val="002E02E3"/>
    <w:rsid w:val="002E0F65"/>
    <w:rsid w:val="002E1C67"/>
    <w:rsid w:val="002E1C8F"/>
    <w:rsid w:val="002E23A8"/>
    <w:rsid w:val="002E6293"/>
    <w:rsid w:val="002E6915"/>
    <w:rsid w:val="002F0515"/>
    <w:rsid w:val="002F07AD"/>
    <w:rsid w:val="002F111E"/>
    <w:rsid w:val="002F126B"/>
    <w:rsid w:val="002F4D0F"/>
    <w:rsid w:val="002F614E"/>
    <w:rsid w:val="002F629D"/>
    <w:rsid w:val="0030204A"/>
    <w:rsid w:val="003040CC"/>
    <w:rsid w:val="00304281"/>
    <w:rsid w:val="003047C4"/>
    <w:rsid w:val="0030543B"/>
    <w:rsid w:val="00305FD8"/>
    <w:rsid w:val="0030726F"/>
    <w:rsid w:val="0030728A"/>
    <w:rsid w:val="00310C4A"/>
    <w:rsid w:val="00311483"/>
    <w:rsid w:val="0031307D"/>
    <w:rsid w:val="00316196"/>
    <w:rsid w:val="00316432"/>
    <w:rsid w:val="0031649C"/>
    <w:rsid w:val="003179CF"/>
    <w:rsid w:val="00317AE7"/>
    <w:rsid w:val="00320D23"/>
    <w:rsid w:val="0032159D"/>
    <w:rsid w:val="00323E67"/>
    <w:rsid w:val="003243C1"/>
    <w:rsid w:val="00326AB3"/>
    <w:rsid w:val="00327361"/>
    <w:rsid w:val="003316DB"/>
    <w:rsid w:val="003318B2"/>
    <w:rsid w:val="00332815"/>
    <w:rsid w:val="003347D8"/>
    <w:rsid w:val="00340801"/>
    <w:rsid w:val="00341A4C"/>
    <w:rsid w:val="00342654"/>
    <w:rsid w:val="00342679"/>
    <w:rsid w:val="00343179"/>
    <w:rsid w:val="00344CE6"/>
    <w:rsid w:val="003459C2"/>
    <w:rsid w:val="003468CE"/>
    <w:rsid w:val="00347340"/>
    <w:rsid w:val="003542F8"/>
    <w:rsid w:val="0035513F"/>
    <w:rsid w:val="00355B59"/>
    <w:rsid w:val="003572BD"/>
    <w:rsid w:val="00357483"/>
    <w:rsid w:val="00360AC2"/>
    <w:rsid w:val="00360DCA"/>
    <w:rsid w:val="0036204E"/>
    <w:rsid w:val="003673E7"/>
    <w:rsid w:val="0037001B"/>
    <w:rsid w:val="0037026A"/>
    <w:rsid w:val="003711A1"/>
    <w:rsid w:val="00371A4F"/>
    <w:rsid w:val="003731D1"/>
    <w:rsid w:val="0037396C"/>
    <w:rsid w:val="0037552E"/>
    <w:rsid w:val="003768DF"/>
    <w:rsid w:val="0037745E"/>
    <w:rsid w:val="003820DA"/>
    <w:rsid w:val="003821B7"/>
    <w:rsid w:val="003824B0"/>
    <w:rsid w:val="00384EDA"/>
    <w:rsid w:val="00385A4E"/>
    <w:rsid w:val="00385FFD"/>
    <w:rsid w:val="00386CE2"/>
    <w:rsid w:val="00387F71"/>
    <w:rsid w:val="00390976"/>
    <w:rsid w:val="003949B1"/>
    <w:rsid w:val="00395055"/>
    <w:rsid w:val="00396D43"/>
    <w:rsid w:val="003A1092"/>
    <w:rsid w:val="003A229F"/>
    <w:rsid w:val="003A3A4F"/>
    <w:rsid w:val="003A4EA5"/>
    <w:rsid w:val="003A6764"/>
    <w:rsid w:val="003B08BD"/>
    <w:rsid w:val="003B0E49"/>
    <w:rsid w:val="003B24BA"/>
    <w:rsid w:val="003B2B56"/>
    <w:rsid w:val="003B4629"/>
    <w:rsid w:val="003B56D1"/>
    <w:rsid w:val="003B5BC8"/>
    <w:rsid w:val="003B662C"/>
    <w:rsid w:val="003B6A2F"/>
    <w:rsid w:val="003B6CCD"/>
    <w:rsid w:val="003C1F85"/>
    <w:rsid w:val="003C2119"/>
    <w:rsid w:val="003C3A96"/>
    <w:rsid w:val="003C5FEE"/>
    <w:rsid w:val="003C61F2"/>
    <w:rsid w:val="003C63A7"/>
    <w:rsid w:val="003C753B"/>
    <w:rsid w:val="003D03A3"/>
    <w:rsid w:val="003D04D4"/>
    <w:rsid w:val="003D11D1"/>
    <w:rsid w:val="003D2E01"/>
    <w:rsid w:val="003D36A3"/>
    <w:rsid w:val="003D3868"/>
    <w:rsid w:val="003D43F5"/>
    <w:rsid w:val="003D73A3"/>
    <w:rsid w:val="003D7C0E"/>
    <w:rsid w:val="003E1964"/>
    <w:rsid w:val="003E21F0"/>
    <w:rsid w:val="003E3342"/>
    <w:rsid w:val="003E3DB2"/>
    <w:rsid w:val="003E43A1"/>
    <w:rsid w:val="003F0393"/>
    <w:rsid w:val="003F07BA"/>
    <w:rsid w:val="003F15F5"/>
    <w:rsid w:val="003F1FC1"/>
    <w:rsid w:val="003F2D70"/>
    <w:rsid w:val="003F711B"/>
    <w:rsid w:val="004021FE"/>
    <w:rsid w:val="00404305"/>
    <w:rsid w:val="00404B49"/>
    <w:rsid w:val="00405D3A"/>
    <w:rsid w:val="00410741"/>
    <w:rsid w:val="004108FA"/>
    <w:rsid w:val="00410D9F"/>
    <w:rsid w:val="00411D11"/>
    <w:rsid w:val="00412129"/>
    <w:rsid w:val="0041244D"/>
    <w:rsid w:val="004130BD"/>
    <w:rsid w:val="00413E4A"/>
    <w:rsid w:val="00414E35"/>
    <w:rsid w:val="00415C66"/>
    <w:rsid w:val="00415C83"/>
    <w:rsid w:val="00416A61"/>
    <w:rsid w:val="00416C50"/>
    <w:rsid w:val="0041734A"/>
    <w:rsid w:val="004176D9"/>
    <w:rsid w:val="00417D7F"/>
    <w:rsid w:val="00422EDE"/>
    <w:rsid w:val="00423A66"/>
    <w:rsid w:val="00425B94"/>
    <w:rsid w:val="0042700D"/>
    <w:rsid w:val="004303C7"/>
    <w:rsid w:val="004305B4"/>
    <w:rsid w:val="00432690"/>
    <w:rsid w:val="0043274E"/>
    <w:rsid w:val="00432C8A"/>
    <w:rsid w:val="00433848"/>
    <w:rsid w:val="00435EC4"/>
    <w:rsid w:val="0044072B"/>
    <w:rsid w:val="004407E7"/>
    <w:rsid w:val="00440932"/>
    <w:rsid w:val="00441B2B"/>
    <w:rsid w:val="004422B8"/>
    <w:rsid w:val="004461D1"/>
    <w:rsid w:val="0045021E"/>
    <w:rsid w:val="004546FB"/>
    <w:rsid w:val="00454E98"/>
    <w:rsid w:val="00457A3E"/>
    <w:rsid w:val="00457E59"/>
    <w:rsid w:val="00460B72"/>
    <w:rsid w:val="00461491"/>
    <w:rsid w:val="0046195E"/>
    <w:rsid w:val="00462484"/>
    <w:rsid w:val="00462E26"/>
    <w:rsid w:val="004633C0"/>
    <w:rsid w:val="004646F9"/>
    <w:rsid w:val="00464CE8"/>
    <w:rsid w:val="004651F3"/>
    <w:rsid w:val="0046531B"/>
    <w:rsid w:val="0046609A"/>
    <w:rsid w:val="004677E3"/>
    <w:rsid w:val="00472554"/>
    <w:rsid w:val="00473D4F"/>
    <w:rsid w:val="00476BD6"/>
    <w:rsid w:val="00482143"/>
    <w:rsid w:val="00483CD5"/>
    <w:rsid w:val="00491E38"/>
    <w:rsid w:val="00491EE9"/>
    <w:rsid w:val="004927CB"/>
    <w:rsid w:val="004936A6"/>
    <w:rsid w:val="004940D8"/>
    <w:rsid w:val="0049434C"/>
    <w:rsid w:val="0049611A"/>
    <w:rsid w:val="00496DAB"/>
    <w:rsid w:val="004A1C59"/>
    <w:rsid w:val="004A2C96"/>
    <w:rsid w:val="004A4867"/>
    <w:rsid w:val="004A4DE0"/>
    <w:rsid w:val="004A5124"/>
    <w:rsid w:val="004A5DF6"/>
    <w:rsid w:val="004A6306"/>
    <w:rsid w:val="004A6F24"/>
    <w:rsid w:val="004A7F67"/>
    <w:rsid w:val="004B34AE"/>
    <w:rsid w:val="004B3867"/>
    <w:rsid w:val="004B502E"/>
    <w:rsid w:val="004B573D"/>
    <w:rsid w:val="004C041E"/>
    <w:rsid w:val="004C0CFB"/>
    <w:rsid w:val="004C1091"/>
    <w:rsid w:val="004C25F0"/>
    <w:rsid w:val="004C2D69"/>
    <w:rsid w:val="004C3709"/>
    <w:rsid w:val="004C378D"/>
    <w:rsid w:val="004C4097"/>
    <w:rsid w:val="004C56ED"/>
    <w:rsid w:val="004C5F0C"/>
    <w:rsid w:val="004D13BF"/>
    <w:rsid w:val="004D27B5"/>
    <w:rsid w:val="004D3E16"/>
    <w:rsid w:val="004D6AE1"/>
    <w:rsid w:val="004E0100"/>
    <w:rsid w:val="004E1861"/>
    <w:rsid w:val="004E2FA4"/>
    <w:rsid w:val="004E3BA3"/>
    <w:rsid w:val="004E4248"/>
    <w:rsid w:val="004E5400"/>
    <w:rsid w:val="004E5AA4"/>
    <w:rsid w:val="004E60E6"/>
    <w:rsid w:val="004E7987"/>
    <w:rsid w:val="004E7DBC"/>
    <w:rsid w:val="004F343A"/>
    <w:rsid w:val="004F690D"/>
    <w:rsid w:val="00501159"/>
    <w:rsid w:val="00502DBB"/>
    <w:rsid w:val="00503BDE"/>
    <w:rsid w:val="005050FF"/>
    <w:rsid w:val="005063B9"/>
    <w:rsid w:val="00506AAC"/>
    <w:rsid w:val="00507651"/>
    <w:rsid w:val="00511281"/>
    <w:rsid w:val="00512820"/>
    <w:rsid w:val="0051284D"/>
    <w:rsid w:val="00513914"/>
    <w:rsid w:val="0051445A"/>
    <w:rsid w:val="00515447"/>
    <w:rsid w:val="00516B52"/>
    <w:rsid w:val="00516DD2"/>
    <w:rsid w:val="0052085B"/>
    <w:rsid w:val="00520B53"/>
    <w:rsid w:val="0052143E"/>
    <w:rsid w:val="00521A4F"/>
    <w:rsid w:val="0052208B"/>
    <w:rsid w:val="00524C01"/>
    <w:rsid w:val="005262DD"/>
    <w:rsid w:val="00526B36"/>
    <w:rsid w:val="00527A10"/>
    <w:rsid w:val="00530894"/>
    <w:rsid w:val="005315C7"/>
    <w:rsid w:val="0053363D"/>
    <w:rsid w:val="0053386C"/>
    <w:rsid w:val="0053538E"/>
    <w:rsid w:val="00541D69"/>
    <w:rsid w:val="005429A3"/>
    <w:rsid w:val="005467D6"/>
    <w:rsid w:val="005509EF"/>
    <w:rsid w:val="0055256F"/>
    <w:rsid w:val="00552E43"/>
    <w:rsid w:val="0055306E"/>
    <w:rsid w:val="00554F94"/>
    <w:rsid w:val="005556B7"/>
    <w:rsid w:val="005556F6"/>
    <w:rsid w:val="00555F72"/>
    <w:rsid w:val="00557A9A"/>
    <w:rsid w:val="0056137A"/>
    <w:rsid w:val="00562CB4"/>
    <w:rsid w:val="005653C8"/>
    <w:rsid w:val="00565D28"/>
    <w:rsid w:val="00566038"/>
    <w:rsid w:val="00566821"/>
    <w:rsid w:val="0057240D"/>
    <w:rsid w:val="005804AE"/>
    <w:rsid w:val="005820C2"/>
    <w:rsid w:val="00583AB7"/>
    <w:rsid w:val="00587373"/>
    <w:rsid w:val="00590129"/>
    <w:rsid w:val="00594EA4"/>
    <w:rsid w:val="00596FE6"/>
    <w:rsid w:val="005A3060"/>
    <w:rsid w:val="005A6871"/>
    <w:rsid w:val="005A75F5"/>
    <w:rsid w:val="005B018E"/>
    <w:rsid w:val="005B16B4"/>
    <w:rsid w:val="005B213F"/>
    <w:rsid w:val="005B274D"/>
    <w:rsid w:val="005B34FD"/>
    <w:rsid w:val="005B3C60"/>
    <w:rsid w:val="005B3D07"/>
    <w:rsid w:val="005B681C"/>
    <w:rsid w:val="005B6CBA"/>
    <w:rsid w:val="005B6D60"/>
    <w:rsid w:val="005B7953"/>
    <w:rsid w:val="005C16A1"/>
    <w:rsid w:val="005C3972"/>
    <w:rsid w:val="005C64A0"/>
    <w:rsid w:val="005C676E"/>
    <w:rsid w:val="005C677B"/>
    <w:rsid w:val="005D03A8"/>
    <w:rsid w:val="005D18C6"/>
    <w:rsid w:val="005D2CBD"/>
    <w:rsid w:val="005D31AD"/>
    <w:rsid w:val="005D3CAB"/>
    <w:rsid w:val="005E0107"/>
    <w:rsid w:val="005E0954"/>
    <w:rsid w:val="005E3817"/>
    <w:rsid w:val="005E3F4E"/>
    <w:rsid w:val="005E71D1"/>
    <w:rsid w:val="005E72EE"/>
    <w:rsid w:val="005F21B0"/>
    <w:rsid w:val="005F52BF"/>
    <w:rsid w:val="005F5B96"/>
    <w:rsid w:val="005F7F47"/>
    <w:rsid w:val="00600F5D"/>
    <w:rsid w:val="00602E1A"/>
    <w:rsid w:val="006035E3"/>
    <w:rsid w:val="006050BE"/>
    <w:rsid w:val="00607586"/>
    <w:rsid w:val="00610EB1"/>
    <w:rsid w:val="00612722"/>
    <w:rsid w:val="00612CEF"/>
    <w:rsid w:val="00613533"/>
    <w:rsid w:val="00613752"/>
    <w:rsid w:val="00613FBF"/>
    <w:rsid w:val="00616315"/>
    <w:rsid w:val="00616411"/>
    <w:rsid w:val="00616709"/>
    <w:rsid w:val="0061689A"/>
    <w:rsid w:val="006204C1"/>
    <w:rsid w:val="00620926"/>
    <w:rsid w:val="00622C13"/>
    <w:rsid w:val="006232AD"/>
    <w:rsid w:val="00625E28"/>
    <w:rsid w:val="00626E60"/>
    <w:rsid w:val="00627C25"/>
    <w:rsid w:val="0063019B"/>
    <w:rsid w:val="00630A24"/>
    <w:rsid w:val="0063196F"/>
    <w:rsid w:val="0063351B"/>
    <w:rsid w:val="00634B13"/>
    <w:rsid w:val="00635575"/>
    <w:rsid w:val="00635B2D"/>
    <w:rsid w:val="00636174"/>
    <w:rsid w:val="00637A08"/>
    <w:rsid w:val="006406FA"/>
    <w:rsid w:val="00640917"/>
    <w:rsid w:val="006413F7"/>
    <w:rsid w:val="00641E69"/>
    <w:rsid w:val="00644D53"/>
    <w:rsid w:val="00646F5E"/>
    <w:rsid w:val="00647A97"/>
    <w:rsid w:val="00647F9B"/>
    <w:rsid w:val="00651C03"/>
    <w:rsid w:val="006531EA"/>
    <w:rsid w:val="0065544B"/>
    <w:rsid w:val="00656238"/>
    <w:rsid w:val="0065672D"/>
    <w:rsid w:val="0066028A"/>
    <w:rsid w:val="0066085D"/>
    <w:rsid w:val="0066190F"/>
    <w:rsid w:val="0066258F"/>
    <w:rsid w:val="00663763"/>
    <w:rsid w:val="0066471B"/>
    <w:rsid w:val="00665B70"/>
    <w:rsid w:val="00665D74"/>
    <w:rsid w:val="00666CA2"/>
    <w:rsid w:val="00671532"/>
    <w:rsid w:val="00673035"/>
    <w:rsid w:val="00673AB0"/>
    <w:rsid w:val="00673E69"/>
    <w:rsid w:val="00673F15"/>
    <w:rsid w:val="006740C6"/>
    <w:rsid w:val="00675FF3"/>
    <w:rsid w:val="0067604B"/>
    <w:rsid w:val="0067635F"/>
    <w:rsid w:val="0067781E"/>
    <w:rsid w:val="00680180"/>
    <w:rsid w:val="006812B7"/>
    <w:rsid w:val="006818C7"/>
    <w:rsid w:val="00682EA7"/>
    <w:rsid w:val="00682FFE"/>
    <w:rsid w:val="00685FCC"/>
    <w:rsid w:val="006864FB"/>
    <w:rsid w:val="0068754A"/>
    <w:rsid w:val="006878A3"/>
    <w:rsid w:val="00687ADC"/>
    <w:rsid w:val="00690C43"/>
    <w:rsid w:val="00691744"/>
    <w:rsid w:val="00691CCF"/>
    <w:rsid w:val="00692013"/>
    <w:rsid w:val="00692652"/>
    <w:rsid w:val="00695C35"/>
    <w:rsid w:val="006960DA"/>
    <w:rsid w:val="006978C5"/>
    <w:rsid w:val="00697F3F"/>
    <w:rsid w:val="006A0293"/>
    <w:rsid w:val="006A287C"/>
    <w:rsid w:val="006A31FB"/>
    <w:rsid w:val="006A505A"/>
    <w:rsid w:val="006A71A5"/>
    <w:rsid w:val="006A7742"/>
    <w:rsid w:val="006B00C3"/>
    <w:rsid w:val="006B29E2"/>
    <w:rsid w:val="006B3749"/>
    <w:rsid w:val="006B4605"/>
    <w:rsid w:val="006B47C6"/>
    <w:rsid w:val="006B653B"/>
    <w:rsid w:val="006B67C1"/>
    <w:rsid w:val="006B6FCC"/>
    <w:rsid w:val="006C0DD3"/>
    <w:rsid w:val="006C68B6"/>
    <w:rsid w:val="006C75CC"/>
    <w:rsid w:val="006C792B"/>
    <w:rsid w:val="006D1BF0"/>
    <w:rsid w:val="006D2A88"/>
    <w:rsid w:val="006D2AEC"/>
    <w:rsid w:val="006D3017"/>
    <w:rsid w:val="006D3DDB"/>
    <w:rsid w:val="006E0398"/>
    <w:rsid w:val="006E2DE5"/>
    <w:rsid w:val="006E5FEB"/>
    <w:rsid w:val="006E6B11"/>
    <w:rsid w:val="006F1DC5"/>
    <w:rsid w:val="006F1F7D"/>
    <w:rsid w:val="006F2029"/>
    <w:rsid w:val="006F20AD"/>
    <w:rsid w:val="006F335B"/>
    <w:rsid w:val="006F4BB1"/>
    <w:rsid w:val="006F6B7B"/>
    <w:rsid w:val="00703208"/>
    <w:rsid w:val="00703CA7"/>
    <w:rsid w:val="007057C1"/>
    <w:rsid w:val="00707DDA"/>
    <w:rsid w:val="00710CF7"/>
    <w:rsid w:val="00712A14"/>
    <w:rsid w:val="00713B79"/>
    <w:rsid w:val="00713DAE"/>
    <w:rsid w:val="007157FA"/>
    <w:rsid w:val="00715D57"/>
    <w:rsid w:val="007162B6"/>
    <w:rsid w:val="00716A5B"/>
    <w:rsid w:val="00717242"/>
    <w:rsid w:val="00717E72"/>
    <w:rsid w:val="0072151C"/>
    <w:rsid w:val="00722CA6"/>
    <w:rsid w:val="00723797"/>
    <w:rsid w:val="00724D6C"/>
    <w:rsid w:val="00727027"/>
    <w:rsid w:val="00727C6D"/>
    <w:rsid w:val="00730006"/>
    <w:rsid w:val="00730414"/>
    <w:rsid w:val="007304AA"/>
    <w:rsid w:val="007333F8"/>
    <w:rsid w:val="007334D1"/>
    <w:rsid w:val="00733D59"/>
    <w:rsid w:val="007351AE"/>
    <w:rsid w:val="00735F06"/>
    <w:rsid w:val="00736480"/>
    <w:rsid w:val="007366E0"/>
    <w:rsid w:val="00741DF1"/>
    <w:rsid w:val="00743890"/>
    <w:rsid w:val="00743CFB"/>
    <w:rsid w:val="00747591"/>
    <w:rsid w:val="0075289E"/>
    <w:rsid w:val="00753B4B"/>
    <w:rsid w:val="00754CE5"/>
    <w:rsid w:val="00757A1F"/>
    <w:rsid w:val="00761976"/>
    <w:rsid w:val="0076244E"/>
    <w:rsid w:val="0076290E"/>
    <w:rsid w:val="00762CEC"/>
    <w:rsid w:val="00763C04"/>
    <w:rsid w:val="00763EC1"/>
    <w:rsid w:val="0076400E"/>
    <w:rsid w:val="00765639"/>
    <w:rsid w:val="00766372"/>
    <w:rsid w:val="0076705E"/>
    <w:rsid w:val="00767D9E"/>
    <w:rsid w:val="00772F30"/>
    <w:rsid w:val="00774D6C"/>
    <w:rsid w:val="00775AA1"/>
    <w:rsid w:val="007770A9"/>
    <w:rsid w:val="00780481"/>
    <w:rsid w:val="007825B8"/>
    <w:rsid w:val="00782B3D"/>
    <w:rsid w:val="007835FE"/>
    <w:rsid w:val="00785014"/>
    <w:rsid w:val="007863F6"/>
    <w:rsid w:val="00787166"/>
    <w:rsid w:val="00787C23"/>
    <w:rsid w:val="00790353"/>
    <w:rsid w:val="007904EC"/>
    <w:rsid w:val="00790F13"/>
    <w:rsid w:val="00791832"/>
    <w:rsid w:val="00792DF8"/>
    <w:rsid w:val="00792FC4"/>
    <w:rsid w:val="007A0AA7"/>
    <w:rsid w:val="007A0C43"/>
    <w:rsid w:val="007A33CA"/>
    <w:rsid w:val="007A5EF0"/>
    <w:rsid w:val="007A6EFD"/>
    <w:rsid w:val="007B0AD7"/>
    <w:rsid w:val="007B176E"/>
    <w:rsid w:val="007B36E1"/>
    <w:rsid w:val="007B3909"/>
    <w:rsid w:val="007B46F1"/>
    <w:rsid w:val="007B4F55"/>
    <w:rsid w:val="007B6DCE"/>
    <w:rsid w:val="007B6E88"/>
    <w:rsid w:val="007C2919"/>
    <w:rsid w:val="007C2FE3"/>
    <w:rsid w:val="007C3011"/>
    <w:rsid w:val="007C3215"/>
    <w:rsid w:val="007C3AD3"/>
    <w:rsid w:val="007C4FA7"/>
    <w:rsid w:val="007C551A"/>
    <w:rsid w:val="007C5CC9"/>
    <w:rsid w:val="007D010E"/>
    <w:rsid w:val="007D0B5C"/>
    <w:rsid w:val="007D1F32"/>
    <w:rsid w:val="007D1F90"/>
    <w:rsid w:val="007D1FC0"/>
    <w:rsid w:val="007D28CE"/>
    <w:rsid w:val="007D2B0C"/>
    <w:rsid w:val="007D3472"/>
    <w:rsid w:val="007D49CF"/>
    <w:rsid w:val="007D4CCF"/>
    <w:rsid w:val="007D6994"/>
    <w:rsid w:val="007D7DB2"/>
    <w:rsid w:val="007E21A6"/>
    <w:rsid w:val="007E422D"/>
    <w:rsid w:val="007E6416"/>
    <w:rsid w:val="007F0198"/>
    <w:rsid w:val="007F072C"/>
    <w:rsid w:val="007F3CF9"/>
    <w:rsid w:val="007F55CC"/>
    <w:rsid w:val="007F612C"/>
    <w:rsid w:val="007F7CDC"/>
    <w:rsid w:val="008044A3"/>
    <w:rsid w:val="00805E01"/>
    <w:rsid w:val="008072CE"/>
    <w:rsid w:val="008114A8"/>
    <w:rsid w:val="008114D7"/>
    <w:rsid w:val="0081289C"/>
    <w:rsid w:val="00813058"/>
    <w:rsid w:val="0082238C"/>
    <w:rsid w:val="00822EB8"/>
    <w:rsid w:val="00823668"/>
    <w:rsid w:val="0082369B"/>
    <w:rsid w:val="008236F5"/>
    <w:rsid w:val="008256FB"/>
    <w:rsid w:val="00826266"/>
    <w:rsid w:val="00830C98"/>
    <w:rsid w:val="00832A80"/>
    <w:rsid w:val="008342DD"/>
    <w:rsid w:val="008356A6"/>
    <w:rsid w:val="008406E9"/>
    <w:rsid w:val="008414EA"/>
    <w:rsid w:val="008417D1"/>
    <w:rsid w:val="00841E6A"/>
    <w:rsid w:val="0084214B"/>
    <w:rsid w:val="00847C89"/>
    <w:rsid w:val="008526D7"/>
    <w:rsid w:val="0085344D"/>
    <w:rsid w:val="008539DC"/>
    <w:rsid w:val="00854456"/>
    <w:rsid w:val="00855363"/>
    <w:rsid w:val="008566F0"/>
    <w:rsid w:val="00864487"/>
    <w:rsid w:val="00864EC7"/>
    <w:rsid w:val="00865C7E"/>
    <w:rsid w:val="00870013"/>
    <w:rsid w:val="00871F24"/>
    <w:rsid w:val="00876BBE"/>
    <w:rsid w:val="00881F5C"/>
    <w:rsid w:val="008822BB"/>
    <w:rsid w:val="00882E2A"/>
    <w:rsid w:val="00882EFC"/>
    <w:rsid w:val="008833CF"/>
    <w:rsid w:val="00884C31"/>
    <w:rsid w:val="00886693"/>
    <w:rsid w:val="00886866"/>
    <w:rsid w:val="0088710D"/>
    <w:rsid w:val="00890894"/>
    <w:rsid w:val="00890F36"/>
    <w:rsid w:val="008921B0"/>
    <w:rsid w:val="008923B2"/>
    <w:rsid w:val="00897B86"/>
    <w:rsid w:val="008A1457"/>
    <w:rsid w:val="008A69AA"/>
    <w:rsid w:val="008A6B49"/>
    <w:rsid w:val="008A72F9"/>
    <w:rsid w:val="008A7921"/>
    <w:rsid w:val="008B07FA"/>
    <w:rsid w:val="008B3F53"/>
    <w:rsid w:val="008B59BD"/>
    <w:rsid w:val="008B6357"/>
    <w:rsid w:val="008C04A0"/>
    <w:rsid w:val="008C07AA"/>
    <w:rsid w:val="008C09D0"/>
    <w:rsid w:val="008C141D"/>
    <w:rsid w:val="008C352E"/>
    <w:rsid w:val="008C4380"/>
    <w:rsid w:val="008C5126"/>
    <w:rsid w:val="008C724C"/>
    <w:rsid w:val="008C7D5C"/>
    <w:rsid w:val="008D13A7"/>
    <w:rsid w:val="008D3237"/>
    <w:rsid w:val="008D3A2E"/>
    <w:rsid w:val="008E0D19"/>
    <w:rsid w:val="008E18B2"/>
    <w:rsid w:val="008E596D"/>
    <w:rsid w:val="008E5CDE"/>
    <w:rsid w:val="008E710E"/>
    <w:rsid w:val="008E7D35"/>
    <w:rsid w:val="008F2231"/>
    <w:rsid w:val="008F2C05"/>
    <w:rsid w:val="008F3A35"/>
    <w:rsid w:val="008F6EDD"/>
    <w:rsid w:val="009003EB"/>
    <w:rsid w:val="009011D7"/>
    <w:rsid w:val="00903C96"/>
    <w:rsid w:val="0090429C"/>
    <w:rsid w:val="0090490B"/>
    <w:rsid w:val="00904CF8"/>
    <w:rsid w:val="00905BF6"/>
    <w:rsid w:val="00906BA8"/>
    <w:rsid w:val="009109CE"/>
    <w:rsid w:val="009121DB"/>
    <w:rsid w:val="0091477C"/>
    <w:rsid w:val="0091744E"/>
    <w:rsid w:val="0091753E"/>
    <w:rsid w:val="009213B0"/>
    <w:rsid w:val="00922EB1"/>
    <w:rsid w:val="00923339"/>
    <w:rsid w:val="0092408A"/>
    <w:rsid w:val="00924EF7"/>
    <w:rsid w:val="009256EF"/>
    <w:rsid w:val="0092597E"/>
    <w:rsid w:val="009263CE"/>
    <w:rsid w:val="009279DD"/>
    <w:rsid w:val="00931059"/>
    <w:rsid w:val="00932038"/>
    <w:rsid w:val="009329B7"/>
    <w:rsid w:val="00932C0A"/>
    <w:rsid w:val="00933B92"/>
    <w:rsid w:val="0093464C"/>
    <w:rsid w:val="00937464"/>
    <w:rsid w:val="00937A7A"/>
    <w:rsid w:val="00937E33"/>
    <w:rsid w:val="009411D9"/>
    <w:rsid w:val="00941D7B"/>
    <w:rsid w:val="009424E7"/>
    <w:rsid w:val="00942670"/>
    <w:rsid w:val="009469FD"/>
    <w:rsid w:val="00946C6A"/>
    <w:rsid w:val="00947AD2"/>
    <w:rsid w:val="0095349A"/>
    <w:rsid w:val="00954027"/>
    <w:rsid w:val="00954A5C"/>
    <w:rsid w:val="00955493"/>
    <w:rsid w:val="00955F21"/>
    <w:rsid w:val="009560B9"/>
    <w:rsid w:val="009564C2"/>
    <w:rsid w:val="0095655B"/>
    <w:rsid w:val="00960AC4"/>
    <w:rsid w:val="00961166"/>
    <w:rsid w:val="00963A82"/>
    <w:rsid w:val="00964A11"/>
    <w:rsid w:val="00964F9B"/>
    <w:rsid w:val="009653B3"/>
    <w:rsid w:val="00965474"/>
    <w:rsid w:val="00965923"/>
    <w:rsid w:val="00967998"/>
    <w:rsid w:val="00967EB1"/>
    <w:rsid w:val="009752F0"/>
    <w:rsid w:val="00975721"/>
    <w:rsid w:val="00976362"/>
    <w:rsid w:val="0098023B"/>
    <w:rsid w:val="0098128E"/>
    <w:rsid w:val="00982DAE"/>
    <w:rsid w:val="00983ADB"/>
    <w:rsid w:val="00984185"/>
    <w:rsid w:val="00991862"/>
    <w:rsid w:val="00991BAF"/>
    <w:rsid w:val="009934BD"/>
    <w:rsid w:val="00994246"/>
    <w:rsid w:val="00996D29"/>
    <w:rsid w:val="009A05A6"/>
    <w:rsid w:val="009A0AE0"/>
    <w:rsid w:val="009A1597"/>
    <w:rsid w:val="009A4C8E"/>
    <w:rsid w:val="009A50F7"/>
    <w:rsid w:val="009A71F8"/>
    <w:rsid w:val="009A759F"/>
    <w:rsid w:val="009B0424"/>
    <w:rsid w:val="009B344D"/>
    <w:rsid w:val="009B373F"/>
    <w:rsid w:val="009B4909"/>
    <w:rsid w:val="009B5B4F"/>
    <w:rsid w:val="009B62EE"/>
    <w:rsid w:val="009B6E68"/>
    <w:rsid w:val="009B7558"/>
    <w:rsid w:val="009C0A6C"/>
    <w:rsid w:val="009C309F"/>
    <w:rsid w:val="009C3D44"/>
    <w:rsid w:val="009C3D8E"/>
    <w:rsid w:val="009C4458"/>
    <w:rsid w:val="009C6F80"/>
    <w:rsid w:val="009C7B17"/>
    <w:rsid w:val="009D07BB"/>
    <w:rsid w:val="009D1072"/>
    <w:rsid w:val="009D1172"/>
    <w:rsid w:val="009D23BB"/>
    <w:rsid w:val="009D3783"/>
    <w:rsid w:val="009D5520"/>
    <w:rsid w:val="009D6C77"/>
    <w:rsid w:val="009D77DD"/>
    <w:rsid w:val="009E34D6"/>
    <w:rsid w:val="009E3676"/>
    <w:rsid w:val="009E4B99"/>
    <w:rsid w:val="009E61BF"/>
    <w:rsid w:val="009F00EF"/>
    <w:rsid w:val="009F0966"/>
    <w:rsid w:val="009F1700"/>
    <w:rsid w:val="009F55E8"/>
    <w:rsid w:val="009F61D6"/>
    <w:rsid w:val="009F663D"/>
    <w:rsid w:val="009F6AA2"/>
    <w:rsid w:val="00A02984"/>
    <w:rsid w:val="00A03648"/>
    <w:rsid w:val="00A038D2"/>
    <w:rsid w:val="00A05114"/>
    <w:rsid w:val="00A1039E"/>
    <w:rsid w:val="00A10A4C"/>
    <w:rsid w:val="00A2096C"/>
    <w:rsid w:val="00A242B8"/>
    <w:rsid w:val="00A24B59"/>
    <w:rsid w:val="00A24FA5"/>
    <w:rsid w:val="00A25358"/>
    <w:rsid w:val="00A26AF2"/>
    <w:rsid w:val="00A27E33"/>
    <w:rsid w:val="00A31113"/>
    <w:rsid w:val="00A32698"/>
    <w:rsid w:val="00A3403D"/>
    <w:rsid w:val="00A34E57"/>
    <w:rsid w:val="00A34E89"/>
    <w:rsid w:val="00A359FE"/>
    <w:rsid w:val="00A36719"/>
    <w:rsid w:val="00A367BE"/>
    <w:rsid w:val="00A36A5B"/>
    <w:rsid w:val="00A41EA4"/>
    <w:rsid w:val="00A42693"/>
    <w:rsid w:val="00A42D2A"/>
    <w:rsid w:val="00A4417C"/>
    <w:rsid w:val="00A457D9"/>
    <w:rsid w:val="00A46C08"/>
    <w:rsid w:val="00A47305"/>
    <w:rsid w:val="00A51017"/>
    <w:rsid w:val="00A523B3"/>
    <w:rsid w:val="00A53B40"/>
    <w:rsid w:val="00A53B96"/>
    <w:rsid w:val="00A5572A"/>
    <w:rsid w:val="00A56843"/>
    <w:rsid w:val="00A56D7C"/>
    <w:rsid w:val="00A578EB"/>
    <w:rsid w:val="00A57D5C"/>
    <w:rsid w:val="00A61708"/>
    <w:rsid w:val="00A65159"/>
    <w:rsid w:val="00A65F54"/>
    <w:rsid w:val="00A669EB"/>
    <w:rsid w:val="00A72AFA"/>
    <w:rsid w:val="00A74C10"/>
    <w:rsid w:val="00A755BA"/>
    <w:rsid w:val="00A757FF"/>
    <w:rsid w:val="00A763F7"/>
    <w:rsid w:val="00A8036E"/>
    <w:rsid w:val="00A807FD"/>
    <w:rsid w:val="00A82E7A"/>
    <w:rsid w:val="00A831C5"/>
    <w:rsid w:val="00A85270"/>
    <w:rsid w:val="00A8635F"/>
    <w:rsid w:val="00A872CE"/>
    <w:rsid w:val="00A900EA"/>
    <w:rsid w:val="00A905C9"/>
    <w:rsid w:val="00A91623"/>
    <w:rsid w:val="00A91800"/>
    <w:rsid w:val="00A9318A"/>
    <w:rsid w:val="00A94075"/>
    <w:rsid w:val="00A950C8"/>
    <w:rsid w:val="00A96008"/>
    <w:rsid w:val="00A96BEB"/>
    <w:rsid w:val="00AA1EBA"/>
    <w:rsid w:val="00AA3118"/>
    <w:rsid w:val="00AA5800"/>
    <w:rsid w:val="00AA6687"/>
    <w:rsid w:val="00AA757C"/>
    <w:rsid w:val="00AB2090"/>
    <w:rsid w:val="00AB433A"/>
    <w:rsid w:val="00AB578B"/>
    <w:rsid w:val="00AB622C"/>
    <w:rsid w:val="00AB7B54"/>
    <w:rsid w:val="00AC0857"/>
    <w:rsid w:val="00AC1BD1"/>
    <w:rsid w:val="00AC2281"/>
    <w:rsid w:val="00AC2886"/>
    <w:rsid w:val="00AC2B85"/>
    <w:rsid w:val="00AC3B54"/>
    <w:rsid w:val="00AD16B7"/>
    <w:rsid w:val="00AD1979"/>
    <w:rsid w:val="00AD1C78"/>
    <w:rsid w:val="00AD3432"/>
    <w:rsid w:val="00AD3A48"/>
    <w:rsid w:val="00AD3F6D"/>
    <w:rsid w:val="00AD4364"/>
    <w:rsid w:val="00AD4E7B"/>
    <w:rsid w:val="00AD54B6"/>
    <w:rsid w:val="00AE08F7"/>
    <w:rsid w:val="00AE0D32"/>
    <w:rsid w:val="00AE4EE3"/>
    <w:rsid w:val="00AE53DA"/>
    <w:rsid w:val="00AE5934"/>
    <w:rsid w:val="00AE6664"/>
    <w:rsid w:val="00AE7348"/>
    <w:rsid w:val="00AE7381"/>
    <w:rsid w:val="00AE7F6A"/>
    <w:rsid w:val="00AF4CCC"/>
    <w:rsid w:val="00AF5263"/>
    <w:rsid w:val="00AF5603"/>
    <w:rsid w:val="00AF76A9"/>
    <w:rsid w:val="00B00CF6"/>
    <w:rsid w:val="00B00F03"/>
    <w:rsid w:val="00B0278D"/>
    <w:rsid w:val="00B0312C"/>
    <w:rsid w:val="00B034C5"/>
    <w:rsid w:val="00B04024"/>
    <w:rsid w:val="00B10FB4"/>
    <w:rsid w:val="00B13020"/>
    <w:rsid w:val="00B15578"/>
    <w:rsid w:val="00B168B8"/>
    <w:rsid w:val="00B172F2"/>
    <w:rsid w:val="00B17664"/>
    <w:rsid w:val="00B24EC1"/>
    <w:rsid w:val="00B27ABD"/>
    <w:rsid w:val="00B30772"/>
    <w:rsid w:val="00B372F9"/>
    <w:rsid w:val="00B41F91"/>
    <w:rsid w:val="00B4631F"/>
    <w:rsid w:val="00B50CB3"/>
    <w:rsid w:val="00B51E7A"/>
    <w:rsid w:val="00B5690F"/>
    <w:rsid w:val="00B57F24"/>
    <w:rsid w:val="00B57F72"/>
    <w:rsid w:val="00B616BC"/>
    <w:rsid w:val="00B619D3"/>
    <w:rsid w:val="00B627C1"/>
    <w:rsid w:val="00B62A28"/>
    <w:rsid w:val="00B63894"/>
    <w:rsid w:val="00B64A78"/>
    <w:rsid w:val="00B65097"/>
    <w:rsid w:val="00B70BF0"/>
    <w:rsid w:val="00B7107D"/>
    <w:rsid w:val="00B7172D"/>
    <w:rsid w:val="00B75351"/>
    <w:rsid w:val="00B7673A"/>
    <w:rsid w:val="00B767A3"/>
    <w:rsid w:val="00B77F74"/>
    <w:rsid w:val="00B816FE"/>
    <w:rsid w:val="00B81722"/>
    <w:rsid w:val="00B83FFC"/>
    <w:rsid w:val="00B84C30"/>
    <w:rsid w:val="00B86480"/>
    <w:rsid w:val="00B86E76"/>
    <w:rsid w:val="00B87BBB"/>
    <w:rsid w:val="00B902A2"/>
    <w:rsid w:val="00B92020"/>
    <w:rsid w:val="00B94C34"/>
    <w:rsid w:val="00B95B78"/>
    <w:rsid w:val="00B9773E"/>
    <w:rsid w:val="00BA2DA8"/>
    <w:rsid w:val="00BA5A0C"/>
    <w:rsid w:val="00BA723F"/>
    <w:rsid w:val="00BB1705"/>
    <w:rsid w:val="00BB35C5"/>
    <w:rsid w:val="00BB724D"/>
    <w:rsid w:val="00BB7285"/>
    <w:rsid w:val="00BC15E6"/>
    <w:rsid w:val="00BC170E"/>
    <w:rsid w:val="00BC57CA"/>
    <w:rsid w:val="00BC64EC"/>
    <w:rsid w:val="00BC7A07"/>
    <w:rsid w:val="00BD1048"/>
    <w:rsid w:val="00BD17DF"/>
    <w:rsid w:val="00BD1EBA"/>
    <w:rsid w:val="00BD2D68"/>
    <w:rsid w:val="00BD32F8"/>
    <w:rsid w:val="00BD3473"/>
    <w:rsid w:val="00BD3B69"/>
    <w:rsid w:val="00BD3B8E"/>
    <w:rsid w:val="00BD3C81"/>
    <w:rsid w:val="00BD76B3"/>
    <w:rsid w:val="00BD7A1A"/>
    <w:rsid w:val="00BE0297"/>
    <w:rsid w:val="00BE1B3D"/>
    <w:rsid w:val="00BE1C03"/>
    <w:rsid w:val="00BE5449"/>
    <w:rsid w:val="00BE641C"/>
    <w:rsid w:val="00BF100C"/>
    <w:rsid w:val="00BF1E07"/>
    <w:rsid w:val="00BF1FB7"/>
    <w:rsid w:val="00BF2374"/>
    <w:rsid w:val="00BF29A8"/>
    <w:rsid w:val="00BF4782"/>
    <w:rsid w:val="00BF4888"/>
    <w:rsid w:val="00C035A1"/>
    <w:rsid w:val="00C04FDB"/>
    <w:rsid w:val="00C05C6C"/>
    <w:rsid w:val="00C06FD4"/>
    <w:rsid w:val="00C10682"/>
    <w:rsid w:val="00C10E2E"/>
    <w:rsid w:val="00C11A35"/>
    <w:rsid w:val="00C1200C"/>
    <w:rsid w:val="00C120B5"/>
    <w:rsid w:val="00C140EB"/>
    <w:rsid w:val="00C147E5"/>
    <w:rsid w:val="00C14A94"/>
    <w:rsid w:val="00C1557A"/>
    <w:rsid w:val="00C15A91"/>
    <w:rsid w:val="00C15DB3"/>
    <w:rsid w:val="00C20C3E"/>
    <w:rsid w:val="00C22DD5"/>
    <w:rsid w:val="00C22E72"/>
    <w:rsid w:val="00C23AAD"/>
    <w:rsid w:val="00C23E3A"/>
    <w:rsid w:val="00C2440C"/>
    <w:rsid w:val="00C249FD"/>
    <w:rsid w:val="00C31AB2"/>
    <w:rsid w:val="00C350DA"/>
    <w:rsid w:val="00C35E40"/>
    <w:rsid w:val="00C37D1C"/>
    <w:rsid w:val="00C41190"/>
    <w:rsid w:val="00C41A0C"/>
    <w:rsid w:val="00C41C64"/>
    <w:rsid w:val="00C42E0C"/>
    <w:rsid w:val="00C43326"/>
    <w:rsid w:val="00C45259"/>
    <w:rsid w:val="00C4594C"/>
    <w:rsid w:val="00C45B7C"/>
    <w:rsid w:val="00C47021"/>
    <w:rsid w:val="00C470B2"/>
    <w:rsid w:val="00C47FB8"/>
    <w:rsid w:val="00C503D8"/>
    <w:rsid w:val="00C50E8A"/>
    <w:rsid w:val="00C51DF9"/>
    <w:rsid w:val="00C52A01"/>
    <w:rsid w:val="00C53567"/>
    <w:rsid w:val="00C56522"/>
    <w:rsid w:val="00C567E8"/>
    <w:rsid w:val="00C56F95"/>
    <w:rsid w:val="00C57F2B"/>
    <w:rsid w:val="00C602A6"/>
    <w:rsid w:val="00C620FA"/>
    <w:rsid w:val="00C635B7"/>
    <w:rsid w:val="00C64914"/>
    <w:rsid w:val="00C658FF"/>
    <w:rsid w:val="00C66187"/>
    <w:rsid w:val="00C66443"/>
    <w:rsid w:val="00C666A0"/>
    <w:rsid w:val="00C66F1B"/>
    <w:rsid w:val="00C70328"/>
    <w:rsid w:val="00C71E3E"/>
    <w:rsid w:val="00C7418F"/>
    <w:rsid w:val="00C8041B"/>
    <w:rsid w:val="00C835BF"/>
    <w:rsid w:val="00C85FF9"/>
    <w:rsid w:val="00C87D55"/>
    <w:rsid w:val="00C90FC4"/>
    <w:rsid w:val="00C91E23"/>
    <w:rsid w:val="00C91E33"/>
    <w:rsid w:val="00C93F10"/>
    <w:rsid w:val="00CA197E"/>
    <w:rsid w:val="00CA369D"/>
    <w:rsid w:val="00CA7314"/>
    <w:rsid w:val="00CB0715"/>
    <w:rsid w:val="00CB117A"/>
    <w:rsid w:val="00CB2211"/>
    <w:rsid w:val="00CB25A0"/>
    <w:rsid w:val="00CB2F60"/>
    <w:rsid w:val="00CB3140"/>
    <w:rsid w:val="00CB326A"/>
    <w:rsid w:val="00CB3CCE"/>
    <w:rsid w:val="00CB5EF8"/>
    <w:rsid w:val="00CB6911"/>
    <w:rsid w:val="00CC40F9"/>
    <w:rsid w:val="00CC48F9"/>
    <w:rsid w:val="00CD0722"/>
    <w:rsid w:val="00CD0BA5"/>
    <w:rsid w:val="00CD302D"/>
    <w:rsid w:val="00CD4482"/>
    <w:rsid w:val="00CD51E0"/>
    <w:rsid w:val="00CD5E37"/>
    <w:rsid w:val="00CD714E"/>
    <w:rsid w:val="00CD787F"/>
    <w:rsid w:val="00CD7DF5"/>
    <w:rsid w:val="00CE24C9"/>
    <w:rsid w:val="00CE29CD"/>
    <w:rsid w:val="00CE6ACB"/>
    <w:rsid w:val="00CE712F"/>
    <w:rsid w:val="00CE73B5"/>
    <w:rsid w:val="00CF1202"/>
    <w:rsid w:val="00CF16DC"/>
    <w:rsid w:val="00CF1AA8"/>
    <w:rsid w:val="00CF3BD0"/>
    <w:rsid w:val="00CF4FF1"/>
    <w:rsid w:val="00CF50E1"/>
    <w:rsid w:val="00CF5950"/>
    <w:rsid w:val="00CF5EF0"/>
    <w:rsid w:val="00D016F2"/>
    <w:rsid w:val="00D02001"/>
    <w:rsid w:val="00D03774"/>
    <w:rsid w:val="00D03F91"/>
    <w:rsid w:val="00D059AB"/>
    <w:rsid w:val="00D05F5F"/>
    <w:rsid w:val="00D10B84"/>
    <w:rsid w:val="00D10D55"/>
    <w:rsid w:val="00D124CA"/>
    <w:rsid w:val="00D12681"/>
    <w:rsid w:val="00D13792"/>
    <w:rsid w:val="00D14991"/>
    <w:rsid w:val="00D16D78"/>
    <w:rsid w:val="00D21015"/>
    <w:rsid w:val="00D21428"/>
    <w:rsid w:val="00D227F4"/>
    <w:rsid w:val="00D2483B"/>
    <w:rsid w:val="00D25192"/>
    <w:rsid w:val="00D2650D"/>
    <w:rsid w:val="00D26E81"/>
    <w:rsid w:val="00D30BCC"/>
    <w:rsid w:val="00D31D1E"/>
    <w:rsid w:val="00D3610C"/>
    <w:rsid w:val="00D366F8"/>
    <w:rsid w:val="00D36816"/>
    <w:rsid w:val="00D417EA"/>
    <w:rsid w:val="00D4305E"/>
    <w:rsid w:val="00D44CC9"/>
    <w:rsid w:val="00D465A3"/>
    <w:rsid w:val="00D47859"/>
    <w:rsid w:val="00D52474"/>
    <w:rsid w:val="00D52B2F"/>
    <w:rsid w:val="00D54FC5"/>
    <w:rsid w:val="00D6069E"/>
    <w:rsid w:val="00D6233C"/>
    <w:rsid w:val="00D62A76"/>
    <w:rsid w:val="00D62E85"/>
    <w:rsid w:val="00D63E88"/>
    <w:rsid w:val="00D64B82"/>
    <w:rsid w:val="00D64EC4"/>
    <w:rsid w:val="00D65484"/>
    <w:rsid w:val="00D66E31"/>
    <w:rsid w:val="00D6711D"/>
    <w:rsid w:val="00D67DAE"/>
    <w:rsid w:val="00D701F6"/>
    <w:rsid w:val="00D702EF"/>
    <w:rsid w:val="00D70714"/>
    <w:rsid w:val="00D70E7C"/>
    <w:rsid w:val="00D736E3"/>
    <w:rsid w:val="00D73736"/>
    <w:rsid w:val="00D73E94"/>
    <w:rsid w:val="00D74F91"/>
    <w:rsid w:val="00D75E84"/>
    <w:rsid w:val="00D7638F"/>
    <w:rsid w:val="00D763A8"/>
    <w:rsid w:val="00D77C8E"/>
    <w:rsid w:val="00D80F7A"/>
    <w:rsid w:val="00D82F36"/>
    <w:rsid w:val="00D84F32"/>
    <w:rsid w:val="00D85CC4"/>
    <w:rsid w:val="00D86264"/>
    <w:rsid w:val="00D90A06"/>
    <w:rsid w:val="00D9238E"/>
    <w:rsid w:val="00D92B98"/>
    <w:rsid w:val="00D96292"/>
    <w:rsid w:val="00D9749D"/>
    <w:rsid w:val="00DA1323"/>
    <w:rsid w:val="00DA2CF3"/>
    <w:rsid w:val="00DA305C"/>
    <w:rsid w:val="00DA307D"/>
    <w:rsid w:val="00DA35A2"/>
    <w:rsid w:val="00DA52E7"/>
    <w:rsid w:val="00DB01CA"/>
    <w:rsid w:val="00DB0B45"/>
    <w:rsid w:val="00DB220C"/>
    <w:rsid w:val="00DB2A4A"/>
    <w:rsid w:val="00DB2D92"/>
    <w:rsid w:val="00DB2E69"/>
    <w:rsid w:val="00DB2F2C"/>
    <w:rsid w:val="00DB4010"/>
    <w:rsid w:val="00DB5F2E"/>
    <w:rsid w:val="00DB6B0D"/>
    <w:rsid w:val="00DB71DF"/>
    <w:rsid w:val="00DB7E49"/>
    <w:rsid w:val="00DC022C"/>
    <w:rsid w:val="00DC2C1A"/>
    <w:rsid w:val="00DC497D"/>
    <w:rsid w:val="00DC6046"/>
    <w:rsid w:val="00DC639E"/>
    <w:rsid w:val="00DD0F64"/>
    <w:rsid w:val="00DD4480"/>
    <w:rsid w:val="00DD5988"/>
    <w:rsid w:val="00DD7842"/>
    <w:rsid w:val="00DE01FE"/>
    <w:rsid w:val="00DE0819"/>
    <w:rsid w:val="00DE4709"/>
    <w:rsid w:val="00DE5529"/>
    <w:rsid w:val="00DE6DA5"/>
    <w:rsid w:val="00DF070B"/>
    <w:rsid w:val="00DF0999"/>
    <w:rsid w:val="00DF205E"/>
    <w:rsid w:val="00DF35D5"/>
    <w:rsid w:val="00DF37E5"/>
    <w:rsid w:val="00DF4D58"/>
    <w:rsid w:val="00DF4D9D"/>
    <w:rsid w:val="00DF5009"/>
    <w:rsid w:val="00E0116E"/>
    <w:rsid w:val="00E04256"/>
    <w:rsid w:val="00E06ACF"/>
    <w:rsid w:val="00E100A1"/>
    <w:rsid w:val="00E108EE"/>
    <w:rsid w:val="00E12EA9"/>
    <w:rsid w:val="00E152B8"/>
    <w:rsid w:val="00E1550E"/>
    <w:rsid w:val="00E15DD6"/>
    <w:rsid w:val="00E16069"/>
    <w:rsid w:val="00E17EA3"/>
    <w:rsid w:val="00E2071B"/>
    <w:rsid w:val="00E23D0C"/>
    <w:rsid w:val="00E2412E"/>
    <w:rsid w:val="00E248A8"/>
    <w:rsid w:val="00E251DA"/>
    <w:rsid w:val="00E2561E"/>
    <w:rsid w:val="00E26314"/>
    <w:rsid w:val="00E26515"/>
    <w:rsid w:val="00E303F9"/>
    <w:rsid w:val="00E306CE"/>
    <w:rsid w:val="00E32D87"/>
    <w:rsid w:val="00E33B79"/>
    <w:rsid w:val="00E35550"/>
    <w:rsid w:val="00E359EA"/>
    <w:rsid w:val="00E35C09"/>
    <w:rsid w:val="00E368CF"/>
    <w:rsid w:val="00E36F4B"/>
    <w:rsid w:val="00E377A0"/>
    <w:rsid w:val="00E377ED"/>
    <w:rsid w:val="00E377EE"/>
    <w:rsid w:val="00E37C7F"/>
    <w:rsid w:val="00E4212D"/>
    <w:rsid w:val="00E45B47"/>
    <w:rsid w:val="00E4616C"/>
    <w:rsid w:val="00E463A8"/>
    <w:rsid w:val="00E46598"/>
    <w:rsid w:val="00E46734"/>
    <w:rsid w:val="00E4766C"/>
    <w:rsid w:val="00E47A76"/>
    <w:rsid w:val="00E47B19"/>
    <w:rsid w:val="00E50765"/>
    <w:rsid w:val="00E5386B"/>
    <w:rsid w:val="00E546DA"/>
    <w:rsid w:val="00E54E32"/>
    <w:rsid w:val="00E568B9"/>
    <w:rsid w:val="00E568CE"/>
    <w:rsid w:val="00E6176E"/>
    <w:rsid w:val="00E62F4D"/>
    <w:rsid w:val="00E64239"/>
    <w:rsid w:val="00E64CD1"/>
    <w:rsid w:val="00E70267"/>
    <w:rsid w:val="00E71FA6"/>
    <w:rsid w:val="00E7426A"/>
    <w:rsid w:val="00E751B0"/>
    <w:rsid w:val="00E80B48"/>
    <w:rsid w:val="00E85A12"/>
    <w:rsid w:val="00E85E56"/>
    <w:rsid w:val="00E91F20"/>
    <w:rsid w:val="00E92648"/>
    <w:rsid w:val="00E92711"/>
    <w:rsid w:val="00E953E7"/>
    <w:rsid w:val="00E95B3D"/>
    <w:rsid w:val="00E9741B"/>
    <w:rsid w:val="00E978F4"/>
    <w:rsid w:val="00EA1366"/>
    <w:rsid w:val="00EA2184"/>
    <w:rsid w:val="00EA2857"/>
    <w:rsid w:val="00EA3842"/>
    <w:rsid w:val="00EA5A92"/>
    <w:rsid w:val="00EA6917"/>
    <w:rsid w:val="00EB0A7E"/>
    <w:rsid w:val="00EB190A"/>
    <w:rsid w:val="00EB1FC7"/>
    <w:rsid w:val="00EB3A5E"/>
    <w:rsid w:val="00EB4008"/>
    <w:rsid w:val="00EB674F"/>
    <w:rsid w:val="00EC352D"/>
    <w:rsid w:val="00EC391E"/>
    <w:rsid w:val="00EC3D5D"/>
    <w:rsid w:val="00EC42C8"/>
    <w:rsid w:val="00EC4C1D"/>
    <w:rsid w:val="00EC5E47"/>
    <w:rsid w:val="00EC6CE1"/>
    <w:rsid w:val="00ED2C60"/>
    <w:rsid w:val="00ED38DB"/>
    <w:rsid w:val="00ED7A7A"/>
    <w:rsid w:val="00EE0113"/>
    <w:rsid w:val="00EE10AA"/>
    <w:rsid w:val="00EE12CC"/>
    <w:rsid w:val="00EE38BE"/>
    <w:rsid w:val="00EE481A"/>
    <w:rsid w:val="00EE53D2"/>
    <w:rsid w:val="00EE629E"/>
    <w:rsid w:val="00EE720A"/>
    <w:rsid w:val="00EF0657"/>
    <w:rsid w:val="00EF081F"/>
    <w:rsid w:val="00EF1794"/>
    <w:rsid w:val="00EF5F5C"/>
    <w:rsid w:val="00F00AA1"/>
    <w:rsid w:val="00F00F49"/>
    <w:rsid w:val="00F02BE3"/>
    <w:rsid w:val="00F0317E"/>
    <w:rsid w:val="00F07040"/>
    <w:rsid w:val="00F07D7B"/>
    <w:rsid w:val="00F103D5"/>
    <w:rsid w:val="00F1288D"/>
    <w:rsid w:val="00F14D87"/>
    <w:rsid w:val="00F1782F"/>
    <w:rsid w:val="00F21570"/>
    <w:rsid w:val="00F24F1D"/>
    <w:rsid w:val="00F268B5"/>
    <w:rsid w:val="00F27FC4"/>
    <w:rsid w:val="00F31A64"/>
    <w:rsid w:val="00F44F3E"/>
    <w:rsid w:val="00F46FAE"/>
    <w:rsid w:val="00F53F38"/>
    <w:rsid w:val="00F5504A"/>
    <w:rsid w:val="00F60F5D"/>
    <w:rsid w:val="00F6105E"/>
    <w:rsid w:val="00F6115D"/>
    <w:rsid w:val="00F6141C"/>
    <w:rsid w:val="00F62047"/>
    <w:rsid w:val="00F63691"/>
    <w:rsid w:val="00F65BDF"/>
    <w:rsid w:val="00F667CF"/>
    <w:rsid w:val="00F66A06"/>
    <w:rsid w:val="00F66AB2"/>
    <w:rsid w:val="00F71937"/>
    <w:rsid w:val="00F71F52"/>
    <w:rsid w:val="00F7375E"/>
    <w:rsid w:val="00F7389B"/>
    <w:rsid w:val="00F73CD7"/>
    <w:rsid w:val="00F75FC6"/>
    <w:rsid w:val="00F76A5E"/>
    <w:rsid w:val="00F7701B"/>
    <w:rsid w:val="00F77F4F"/>
    <w:rsid w:val="00F80BD4"/>
    <w:rsid w:val="00F80EB1"/>
    <w:rsid w:val="00F8269A"/>
    <w:rsid w:val="00F8562C"/>
    <w:rsid w:val="00F85E4A"/>
    <w:rsid w:val="00F8617E"/>
    <w:rsid w:val="00F86D85"/>
    <w:rsid w:val="00F9078F"/>
    <w:rsid w:val="00F90F33"/>
    <w:rsid w:val="00F93FFF"/>
    <w:rsid w:val="00F9439B"/>
    <w:rsid w:val="00F96E98"/>
    <w:rsid w:val="00F97CF1"/>
    <w:rsid w:val="00F97F16"/>
    <w:rsid w:val="00FA03CE"/>
    <w:rsid w:val="00FA1AEA"/>
    <w:rsid w:val="00FA3548"/>
    <w:rsid w:val="00FA4748"/>
    <w:rsid w:val="00FA57AF"/>
    <w:rsid w:val="00FA710E"/>
    <w:rsid w:val="00FB14DB"/>
    <w:rsid w:val="00FB47E6"/>
    <w:rsid w:val="00FB7244"/>
    <w:rsid w:val="00FC18A1"/>
    <w:rsid w:val="00FC29A0"/>
    <w:rsid w:val="00FC4559"/>
    <w:rsid w:val="00FC4711"/>
    <w:rsid w:val="00FC6BA3"/>
    <w:rsid w:val="00FC6D43"/>
    <w:rsid w:val="00FC7025"/>
    <w:rsid w:val="00FD1073"/>
    <w:rsid w:val="00FD2F4C"/>
    <w:rsid w:val="00FD3DBF"/>
    <w:rsid w:val="00FD4777"/>
    <w:rsid w:val="00FD6880"/>
    <w:rsid w:val="00FD6B49"/>
    <w:rsid w:val="00FD711E"/>
    <w:rsid w:val="00FD71A2"/>
    <w:rsid w:val="00FE12EE"/>
    <w:rsid w:val="00FE32B4"/>
    <w:rsid w:val="00FE446F"/>
    <w:rsid w:val="00FE4FAA"/>
    <w:rsid w:val="00FE518F"/>
    <w:rsid w:val="00FE653C"/>
    <w:rsid w:val="00FF0337"/>
    <w:rsid w:val="00FF33FF"/>
    <w:rsid w:val="00FF354C"/>
    <w:rsid w:val="00FF51BA"/>
    <w:rsid w:val="00FF5386"/>
    <w:rsid w:val="00FF59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DB518"/>
  <w15:docId w15:val="{3B350BAF-DF4C-A345-9C8E-07CF1D0F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7E39"/>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515"/>
    <w:rPr>
      <w:sz w:val="16"/>
      <w:szCs w:val="16"/>
    </w:rPr>
  </w:style>
  <w:style w:type="paragraph" w:styleId="CommentText">
    <w:name w:val="annotation text"/>
    <w:basedOn w:val="Normal"/>
    <w:link w:val="CommentTextChar"/>
    <w:uiPriority w:val="99"/>
    <w:unhideWhenUsed/>
    <w:rsid w:val="00E26515"/>
    <w:pPr>
      <w:spacing w:line="240" w:lineRule="auto"/>
    </w:pPr>
    <w:rPr>
      <w:sz w:val="20"/>
      <w:szCs w:val="20"/>
    </w:rPr>
  </w:style>
  <w:style w:type="character" w:customStyle="1" w:styleId="CommentTextChar">
    <w:name w:val="Comment Text Char"/>
    <w:basedOn w:val="DefaultParagraphFont"/>
    <w:link w:val="CommentText"/>
    <w:uiPriority w:val="99"/>
    <w:rsid w:val="00E26515"/>
    <w:rPr>
      <w:sz w:val="20"/>
      <w:szCs w:val="20"/>
    </w:rPr>
  </w:style>
  <w:style w:type="paragraph" w:styleId="CommentSubject">
    <w:name w:val="annotation subject"/>
    <w:basedOn w:val="CommentText"/>
    <w:next w:val="CommentText"/>
    <w:link w:val="CommentSubjectChar"/>
    <w:uiPriority w:val="99"/>
    <w:semiHidden/>
    <w:unhideWhenUsed/>
    <w:rsid w:val="00E26515"/>
    <w:rPr>
      <w:b/>
      <w:bCs/>
    </w:rPr>
  </w:style>
  <w:style w:type="character" w:customStyle="1" w:styleId="CommentSubjectChar">
    <w:name w:val="Comment Subject Char"/>
    <w:basedOn w:val="CommentTextChar"/>
    <w:link w:val="CommentSubject"/>
    <w:uiPriority w:val="99"/>
    <w:semiHidden/>
    <w:rsid w:val="00E26515"/>
    <w:rPr>
      <w:b/>
      <w:bCs/>
      <w:sz w:val="20"/>
      <w:szCs w:val="20"/>
    </w:rPr>
  </w:style>
  <w:style w:type="paragraph" w:styleId="BalloonText">
    <w:name w:val="Balloon Text"/>
    <w:basedOn w:val="Normal"/>
    <w:link w:val="BalloonTextChar"/>
    <w:uiPriority w:val="99"/>
    <w:semiHidden/>
    <w:unhideWhenUsed/>
    <w:rsid w:val="00E2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15"/>
    <w:rPr>
      <w:rFonts w:ascii="Tahoma" w:hAnsi="Tahoma" w:cs="Tahoma"/>
      <w:sz w:val="16"/>
      <w:szCs w:val="16"/>
    </w:rPr>
  </w:style>
  <w:style w:type="paragraph" w:styleId="NormalWeb">
    <w:name w:val="Normal (Web)"/>
    <w:basedOn w:val="Normal"/>
    <w:uiPriority w:val="99"/>
    <w:semiHidden/>
    <w:unhideWhenUsed/>
    <w:rsid w:val="00E26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3E68"/>
    <w:rPr>
      <w:color w:val="0000FF"/>
      <w:u w:val="single"/>
    </w:rPr>
  </w:style>
  <w:style w:type="character" w:styleId="Strong">
    <w:name w:val="Strong"/>
    <w:basedOn w:val="DefaultParagraphFont"/>
    <w:uiPriority w:val="22"/>
    <w:qFormat/>
    <w:rsid w:val="00723797"/>
    <w:rPr>
      <w:b/>
      <w:bCs/>
    </w:rPr>
  </w:style>
  <w:style w:type="paragraph" w:customStyle="1" w:styleId="UpdateBox">
    <w:name w:val="~UpdateBox"/>
    <w:basedOn w:val="Normal"/>
    <w:qFormat/>
    <w:rsid w:val="00864487"/>
    <w:pPr>
      <w:framePr w:wrap="notBeside" w:vAnchor="text" w:hAnchor="text" w:y="1"/>
      <w:spacing w:after="120" w:line="240" w:lineRule="auto"/>
      <w:jc w:val="center"/>
    </w:pPr>
    <w:rPr>
      <w:b/>
      <w:color w:val="F79646" w:themeColor="accent6"/>
      <w:sz w:val="24"/>
      <w:szCs w:val="24"/>
    </w:rPr>
  </w:style>
  <w:style w:type="paragraph" w:customStyle="1" w:styleId="TableTextLeft">
    <w:name w:val="~TableTextLeft"/>
    <w:basedOn w:val="Normal"/>
    <w:link w:val="TableTextLeftChar"/>
    <w:qFormat/>
    <w:rsid w:val="003820DA"/>
    <w:pPr>
      <w:spacing w:before="40" w:after="20" w:line="240" w:lineRule="auto"/>
    </w:pPr>
    <w:rPr>
      <w:sz w:val="20"/>
    </w:rPr>
  </w:style>
  <w:style w:type="paragraph" w:customStyle="1" w:styleId="TableHeadingLeft">
    <w:name w:val="~TableHeadingLeft"/>
    <w:basedOn w:val="TableTextLeft"/>
    <w:qFormat/>
    <w:rsid w:val="003820DA"/>
    <w:rPr>
      <w:b/>
      <w:color w:val="000000" w:themeColor="text1"/>
      <w:szCs w:val="26"/>
    </w:rPr>
  </w:style>
  <w:style w:type="paragraph" w:customStyle="1" w:styleId="TableBullet">
    <w:name w:val="~TableBullet"/>
    <w:basedOn w:val="TableTextLeft"/>
    <w:qFormat/>
    <w:rsid w:val="003820DA"/>
    <w:pPr>
      <w:numPr>
        <w:numId w:val="4"/>
      </w:numPr>
      <w:tabs>
        <w:tab w:val="clear" w:pos="170"/>
        <w:tab w:val="left" w:pos="340"/>
        <w:tab w:val="num" w:pos="720"/>
      </w:tabs>
      <w:ind w:left="0" w:firstLine="0"/>
    </w:pPr>
    <w:rPr>
      <w:rFonts w:eastAsia="Calibri" w:cs="Arial"/>
      <w:szCs w:val="20"/>
    </w:rPr>
  </w:style>
  <w:style w:type="paragraph" w:customStyle="1" w:styleId="TableBullet2">
    <w:name w:val="~TableBullet2"/>
    <w:basedOn w:val="TableBullet"/>
    <w:qFormat/>
    <w:rsid w:val="003820DA"/>
    <w:pPr>
      <w:numPr>
        <w:ilvl w:val="1"/>
      </w:numPr>
      <w:tabs>
        <w:tab w:val="clear" w:pos="340"/>
        <w:tab w:val="num" w:pos="360"/>
        <w:tab w:val="num" w:pos="1440"/>
      </w:tabs>
      <w:ind w:left="1440" w:hanging="360"/>
    </w:pPr>
  </w:style>
  <w:style w:type="paragraph" w:customStyle="1" w:styleId="TableBullet3">
    <w:name w:val="~TableBullet3"/>
    <w:basedOn w:val="TableBullet2"/>
    <w:qFormat/>
    <w:rsid w:val="003820DA"/>
    <w:pPr>
      <w:numPr>
        <w:ilvl w:val="2"/>
      </w:numPr>
      <w:tabs>
        <w:tab w:val="clear" w:pos="510"/>
        <w:tab w:val="num" w:pos="360"/>
        <w:tab w:val="num" w:pos="2160"/>
      </w:tabs>
      <w:ind w:left="2160" w:hanging="360"/>
    </w:pPr>
  </w:style>
  <w:style w:type="character" w:customStyle="1" w:styleId="TableTextLeftChar">
    <w:name w:val="~TableTextLeft Char"/>
    <w:basedOn w:val="DefaultParagraphFont"/>
    <w:link w:val="TableTextLeft"/>
    <w:locked/>
    <w:rsid w:val="003820DA"/>
    <w:rPr>
      <w:sz w:val="20"/>
    </w:rPr>
  </w:style>
  <w:style w:type="paragraph" w:customStyle="1" w:styleId="Bullet1">
    <w:name w:val="~Bullet1"/>
    <w:basedOn w:val="Normal"/>
    <w:qFormat/>
    <w:rsid w:val="00326AB3"/>
    <w:pPr>
      <w:numPr>
        <w:numId w:val="5"/>
      </w:numPr>
      <w:tabs>
        <w:tab w:val="left" w:pos="284"/>
      </w:tabs>
      <w:spacing w:before="60" w:after="60" w:line="240" w:lineRule="auto"/>
    </w:pPr>
    <w:rPr>
      <w:rFonts w:eastAsia="Calibri" w:cs="Arial"/>
      <w:szCs w:val="20"/>
    </w:rPr>
  </w:style>
  <w:style w:type="paragraph" w:customStyle="1" w:styleId="Bullet2">
    <w:name w:val="~Bullet2"/>
    <w:basedOn w:val="Bullet1"/>
    <w:qFormat/>
    <w:rsid w:val="00326AB3"/>
    <w:pPr>
      <w:numPr>
        <w:ilvl w:val="1"/>
      </w:numPr>
      <w:tabs>
        <w:tab w:val="clear" w:pos="284"/>
      </w:tabs>
    </w:pPr>
  </w:style>
  <w:style w:type="paragraph" w:customStyle="1" w:styleId="Bullet3">
    <w:name w:val="~Bullet3"/>
    <w:basedOn w:val="Bullet2"/>
    <w:qFormat/>
    <w:rsid w:val="00326AB3"/>
    <w:pPr>
      <w:numPr>
        <w:ilvl w:val="2"/>
      </w:numPr>
    </w:pPr>
  </w:style>
  <w:style w:type="paragraph" w:styleId="Caption">
    <w:name w:val="caption"/>
    <w:aliases w:val="~Caption,NCC-AC Caption"/>
    <w:basedOn w:val="Normal"/>
    <w:next w:val="Normal"/>
    <w:link w:val="CaptionChar"/>
    <w:qFormat/>
    <w:rsid w:val="00176447"/>
    <w:pPr>
      <w:keepNext/>
      <w:tabs>
        <w:tab w:val="left" w:pos="993"/>
      </w:tabs>
      <w:spacing w:before="300" w:after="0" w:line="240" w:lineRule="auto"/>
      <w:ind w:left="993" w:hanging="993"/>
    </w:pPr>
    <w:rPr>
      <w:rFonts w:eastAsia="Calibri" w:cs="Arial"/>
      <w:b/>
      <w:szCs w:val="20"/>
    </w:rPr>
  </w:style>
  <w:style w:type="character" w:customStyle="1" w:styleId="CaptionChar">
    <w:name w:val="Caption Char"/>
    <w:aliases w:val="~Caption Char,NCC-AC Caption Char"/>
    <w:basedOn w:val="DefaultParagraphFont"/>
    <w:link w:val="Caption"/>
    <w:rsid w:val="00176447"/>
    <w:rPr>
      <w:rFonts w:eastAsia="Calibri" w:cs="Arial"/>
      <w:b/>
      <w:szCs w:val="20"/>
    </w:rPr>
  </w:style>
  <w:style w:type="table" w:styleId="TableGrid">
    <w:name w:val="Table Grid"/>
    <w:basedOn w:val="TableNormal"/>
    <w:uiPriority w:val="59"/>
    <w:rsid w:val="002E02E3"/>
    <w:pPr>
      <w:spacing w:after="0" w:line="240" w:lineRule="auto"/>
      <w:ind w:left="1304"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earchRecomHead">
    <w:name w:val="~ResearchRecomHead"/>
    <w:basedOn w:val="Normal"/>
    <w:next w:val="ResearchRecomBullet"/>
    <w:qFormat/>
    <w:rsid w:val="002E02E3"/>
    <w:pPr>
      <w:numPr>
        <w:numId w:val="6"/>
      </w:numPr>
      <w:tabs>
        <w:tab w:val="left" w:pos="426"/>
      </w:tabs>
      <w:spacing w:before="300" w:after="0" w:line="240" w:lineRule="auto"/>
    </w:pPr>
    <w:rPr>
      <w:b/>
    </w:rPr>
  </w:style>
  <w:style w:type="paragraph" w:customStyle="1" w:styleId="ResearchRecomBullet">
    <w:name w:val="~ResearchRecomBullet"/>
    <w:basedOn w:val="Normal"/>
    <w:qFormat/>
    <w:rsid w:val="002E02E3"/>
    <w:pPr>
      <w:numPr>
        <w:ilvl w:val="1"/>
        <w:numId w:val="6"/>
      </w:numPr>
      <w:spacing w:before="60" w:after="60" w:line="240" w:lineRule="auto"/>
    </w:pPr>
    <w:rPr>
      <w:b/>
    </w:rPr>
  </w:style>
  <w:style w:type="paragraph" w:customStyle="1" w:styleId="AppHead">
    <w:name w:val="~AppHead"/>
    <w:basedOn w:val="Normal"/>
    <w:next w:val="Normal"/>
    <w:qFormat/>
    <w:rsid w:val="002E02E3"/>
    <w:pPr>
      <w:keepNext/>
      <w:numPr>
        <w:numId w:val="7"/>
      </w:numPr>
      <w:tabs>
        <w:tab w:val="left" w:pos="2552"/>
      </w:tabs>
      <w:spacing w:before="300" w:after="0" w:line="240" w:lineRule="auto"/>
      <w:outlineLvl w:val="0"/>
    </w:pPr>
    <w:rPr>
      <w:b/>
      <w:sz w:val="44"/>
    </w:rPr>
  </w:style>
  <w:style w:type="paragraph" w:customStyle="1" w:styleId="AppSubhead">
    <w:name w:val="~AppSubhead"/>
    <w:basedOn w:val="AppHead"/>
    <w:next w:val="Normal"/>
    <w:qFormat/>
    <w:rsid w:val="002E02E3"/>
    <w:pPr>
      <w:numPr>
        <w:ilvl w:val="1"/>
      </w:numPr>
      <w:tabs>
        <w:tab w:val="clear" w:pos="2552"/>
      </w:tabs>
      <w:outlineLvl w:val="1"/>
    </w:pPr>
    <w:rPr>
      <w:sz w:val="32"/>
    </w:rPr>
  </w:style>
  <w:style w:type="paragraph" w:customStyle="1" w:styleId="AppMinorSubhead">
    <w:name w:val="~AppMinorSubhead"/>
    <w:basedOn w:val="AppSubhead"/>
    <w:next w:val="Normal"/>
    <w:qFormat/>
    <w:rsid w:val="002E02E3"/>
    <w:pPr>
      <w:numPr>
        <w:ilvl w:val="2"/>
      </w:numPr>
      <w:outlineLvl w:val="2"/>
    </w:pPr>
    <w:rPr>
      <w:sz w:val="24"/>
      <w:szCs w:val="24"/>
    </w:rPr>
  </w:style>
  <w:style w:type="paragraph" w:customStyle="1" w:styleId="AppLevel4Head">
    <w:name w:val="~AppLevel4Head"/>
    <w:basedOn w:val="AppMinorSubhead"/>
    <w:next w:val="Normal"/>
    <w:qFormat/>
    <w:rsid w:val="002E02E3"/>
    <w:pPr>
      <w:numPr>
        <w:ilvl w:val="3"/>
      </w:numPr>
      <w:outlineLvl w:val="3"/>
    </w:pPr>
    <w:rPr>
      <w:sz w:val="22"/>
      <w:szCs w:val="22"/>
    </w:rPr>
  </w:style>
  <w:style w:type="paragraph" w:customStyle="1" w:styleId="AppLevel5Head">
    <w:name w:val="~AppLevel5Head"/>
    <w:basedOn w:val="AppLevel4Head"/>
    <w:next w:val="Normal"/>
    <w:qFormat/>
    <w:rsid w:val="002E02E3"/>
    <w:pPr>
      <w:keepLines/>
      <w:numPr>
        <w:ilvl w:val="4"/>
      </w:numPr>
      <w:tabs>
        <w:tab w:val="left" w:pos="0"/>
      </w:tabs>
      <w:spacing w:before="200"/>
      <w:outlineLvl w:val="4"/>
    </w:pPr>
    <w:rPr>
      <w:rFonts w:ascii="Calibri" w:hAnsi="Calibri"/>
      <w:i/>
    </w:rPr>
  </w:style>
  <w:style w:type="paragraph" w:customStyle="1" w:styleId="TableNoteNum">
    <w:name w:val="~TableNoteNum"/>
    <w:basedOn w:val="Normal"/>
    <w:qFormat/>
    <w:rsid w:val="002E02E3"/>
    <w:pPr>
      <w:numPr>
        <w:numId w:val="10"/>
      </w:numPr>
      <w:spacing w:after="0" w:line="240" w:lineRule="auto"/>
    </w:pPr>
    <w:rPr>
      <w:rFonts w:eastAsia="Calibri" w:cs="Arial"/>
      <w:i/>
      <w:sz w:val="18"/>
      <w:szCs w:val="20"/>
    </w:rPr>
  </w:style>
  <w:style w:type="table" w:customStyle="1" w:styleId="TableGrid2">
    <w:name w:val="Table Grid2"/>
    <w:basedOn w:val="TableNormal"/>
    <w:next w:val="TableGrid"/>
    <w:uiPriority w:val="59"/>
    <w:rsid w:val="00371A4F"/>
    <w:pPr>
      <w:spacing w:after="0" w:line="240" w:lineRule="auto"/>
      <w:ind w:left="1304"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Note">
    <w:name w:val="~TableNote"/>
    <w:basedOn w:val="Normal"/>
    <w:next w:val="Normal"/>
    <w:qFormat/>
    <w:rsid w:val="001E6DFB"/>
    <w:pPr>
      <w:spacing w:after="0" w:line="240" w:lineRule="auto"/>
    </w:pPr>
    <w:rPr>
      <w:rFonts w:eastAsia="Calibri" w:cs="Arial"/>
      <w:i/>
      <w:sz w:val="18"/>
      <w:szCs w:val="20"/>
    </w:rPr>
  </w:style>
  <w:style w:type="numbering" w:customStyle="1" w:styleId="TableNoteList">
    <w:name w:val="~TableNoteList"/>
    <w:uiPriority w:val="99"/>
    <w:rsid w:val="001E6DFB"/>
    <w:pPr>
      <w:numPr>
        <w:numId w:val="19"/>
      </w:numPr>
    </w:pPr>
  </w:style>
  <w:style w:type="paragraph" w:customStyle="1" w:styleId="Source">
    <w:name w:val="~Source"/>
    <w:basedOn w:val="Normal"/>
    <w:next w:val="Normal"/>
    <w:qFormat/>
    <w:rsid w:val="00074B87"/>
    <w:pPr>
      <w:spacing w:before="60" w:after="120" w:line="240" w:lineRule="auto"/>
      <w:ind w:left="709" w:hanging="709"/>
    </w:pPr>
    <w:rPr>
      <w:rFonts w:eastAsia="Calibri" w:cs="Arial"/>
      <w:i/>
      <w:sz w:val="18"/>
      <w:szCs w:val="20"/>
    </w:rPr>
  </w:style>
  <w:style w:type="paragraph" w:customStyle="1" w:styleId="GraphicLeft">
    <w:name w:val="~GraphicLeft"/>
    <w:basedOn w:val="NoSpacing"/>
    <w:rsid w:val="00074B87"/>
  </w:style>
  <w:style w:type="paragraph" w:customStyle="1" w:styleId="AppSubHead0">
    <w:name w:val="~AppSubHead"/>
    <w:basedOn w:val="AppHead"/>
    <w:next w:val="Normal"/>
    <w:qFormat/>
    <w:rsid w:val="00074B87"/>
    <w:pPr>
      <w:numPr>
        <w:numId w:val="0"/>
      </w:numPr>
      <w:tabs>
        <w:tab w:val="clear" w:pos="2552"/>
        <w:tab w:val="num" w:pos="0"/>
      </w:tabs>
      <w:ind w:hanging="284"/>
    </w:pPr>
    <w:rPr>
      <w:sz w:val="32"/>
    </w:rPr>
  </w:style>
  <w:style w:type="paragraph" w:customStyle="1" w:styleId="AppMinorSubHead0">
    <w:name w:val="~AppMinorSubHead"/>
    <w:basedOn w:val="AppSubHead0"/>
    <w:next w:val="Normal"/>
    <w:qFormat/>
    <w:rsid w:val="00074B87"/>
    <w:rPr>
      <w:sz w:val="24"/>
      <w:szCs w:val="24"/>
    </w:rPr>
  </w:style>
  <w:style w:type="paragraph" w:styleId="NoSpacing">
    <w:name w:val="No Spacing"/>
    <w:uiPriority w:val="1"/>
    <w:qFormat/>
    <w:rsid w:val="00074B87"/>
    <w:pPr>
      <w:spacing w:after="0" w:line="240" w:lineRule="auto"/>
    </w:pPr>
  </w:style>
  <w:style w:type="paragraph" w:styleId="Header">
    <w:name w:val="header"/>
    <w:basedOn w:val="Normal"/>
    <w:link w:val="HeaderChar"/>
    <w:uiPriority w:val="99"/>
    <w:unhideWhenUsed/>
    <w:rsid w:val="002C1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B4E"/>
  </w:style>
  <w:style w:type="paragraph" w:styleId="Footer">
    <w:name w:val="footer"/>
    <w:basedOn w:val="Normal"/>
    <w:link w:val="FooterChar"/>
    <w:uiPriority w:val="99"/>
    <w:unhideWhenUsed/>
    <w:rsid w:val="002C1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B4E"/>
  </w:style>
  <w:style w:type="paragraph" w:styleId="ListParagraph">
    <w:name w:val="List Paragraph"/>
    <w:basedOn w:val="Normal"/>
    <w:link w:val="ListParagraphChar"/>
    <w:uiPriority w:val="34"/>
    <w:qFormat/>
    <w:rsid w:val="001837CE"/>
    <w:pPr>
      <w:ind w:left="720"/>
      <w:contextualSpacing/>
    </w:pPr>
  </w:style>
  <w:style w:type="character" w:styleId="FollowedHyperlink">
    <w:name w:val="FollowedHyperlink"/>
    <w:basedOn w:val="DefaultParagraphFont"/>
    <w:uiPriority w:val="99"/>
    <w:semiHidden/>
    <w:unhideWhenUsed/>
    <w:rsid w:val="00937E33"/>
    <w:rPr>
      <w:color w:val="800080" w:themeColor="followedHyperlink"/>
      <w:u w:val="single"/>
    </w:rPr>
  </w:style>
  <w:style w:type="paragraph" w:styleId="Revision">
    <w:name w:val="Revision"/>
    <w:hidden/>
    <w:uiPriority w:val="99"/>
    <w:semiHidden/>
    <w:rsid w:val="008114D7"/>
    <w:pPr>
      <w:spacing w:after="0" w:line="240" w:lineRule="auto"/>
    </w:pPr>
  </w:style>
  <w:style w:type="paragraph" w:customStyle="1" w:styleId="title1">
    <w:name w:val="title1"/>
    <w:basedOn w:val="Normal"/>
    <w:rsid w:val="00961166"/>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961166"/>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961166"/>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961166"/>
  </w:style>
  <w:style w:type="character" w:customStyle="1" w:styleId="Heading1Char">
    <w:name w:val="Heading 1 Char"/>
    <w:basedOn w:val="DefaultParagraphFont"/>
    <w:link w:val="Heading1"/>
    <w:uiPriority w:val="9"/>
    <w:rsid w:val="002B7E39"/>
    <w:rPr>
      <w:rFonts w:ascii="Times New Roman" w:eastAsia="Times New Roman" w:hAnsi="Times New Roman" w:cs="Times New Roman"/>
      <w:b/>
      <w:bCs/>
      <w:color w:val="000000"/>
      <w:kern w:val="36"/>
      <w:sz w:val="33"/>
      <w:szCs w:val="33"/>
      <w:lang w:eastAsia="en-GB"/>
    </w:rPr>
  </w:style>
  <w:style w:type="character" w:customStyle="1" w:styleId="highlight2">
    <w:name w:val="highlight2"/>
    <w:basedOn w:val="DefaultParagraphFont"/>
    <w:rsid w:val="002B7E39"/>
  </w:style>
  <w:style w:type="table" w:styleId="LightShading">
    <w:name w:val="Light Shading"/>
    <w:basedOn w:val="TableNormal"/>
    <w:uiPriority w:val="60"/>
    <w:rsid w:val="003408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D124CA"/>
    <w:rPr>
      <w:i/>
      <w:iCs/>
    </w:rPr>
  </w:style>
  <w:style w:type="paragraph" w:customStyle="1" w:styleId="EndNoteBibliographyTitle">
    <w:name w:val="EndNote Bibliography Title"/>
    <w:basedOn w:val="Normal"/>
    <w:link w:val="EndNoteBibliographyTitleChar"/>
    <w:rsid w:val="005F21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F21B0"/>
    <w:rPr>
      <w:rFonts w:ascii="Calibri" w:hAnsi="Calibri"/>
      <w:noProof/>
      <w:lang w:val="en-US"/>
    </w:rPr>
  </w:style>
  <w:style w:type="paragraph" w:customStyle="1" w:styleId="EndNoteBibliography">
    <w:name w:val="EndNote Bibliography"/>
    <w:basedOn w:val="Normal"/>
    <w:link w:val="EndNoteBibliographyChar"/>
    <w:rsid w:val="005F21B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F21B0"/>
    <w:rPr>
      <w:rFonts w:ascii="Calibri" w:hAnsi="Calibri"/>
      <w:noProof/>
      <w:lang w:val="en-US"/>
    </w:rPr>
  </w:style>
  <w:style w:type="character" w:customStyle="1" w:styleId="ListParagraphChar">
    <w:name w:val="List Paragraph Char"/>
    <w:basedOn w:val="DefaultParagraphFont"/>
    <w:link w:val="ListParagraph"/>
    <w:uiPriority w:val="34"/>
    <w:rsid w:val="006F1F7D"/>
  </w:style>
  <w:style w:type="table" w:styleId="LightGrid">
    <w:name w:val="Light Grid"/>
    <w:basedOn w:val="TableNormal"/>
    <w:uiPriority w:val="62"/>
    <w:rsid w:val="006F1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E9741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
    <w:name w:val="Light Grid2"/>
    <w:basedOn w:val="TableNormal"/>
    <w:next w:val="LightGrid"/>
    <w:uiPriority w:val="62"/>
    <w:rsid w:val="00A931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CB326A"/>
    <w:rPr>
      <w:color w:val="605E5C"/>
      <w:shd w:val="clear" w:color="auto" w:fill="E1DFDD"/>
    </w:rPr>
  </w:style>
  <w:style w:type="paragraph" w:styleId="Title">
    <w:name w:val="Title"/>
    <w:basedOn w:val="Normal"/>
    <w:next w:val="Heading1"/>
    <w:link w:val="TitleChar"/>
    <w:qFormat/>
    <w:rsid w:val="00291468"/>
    <w:pPr>
      <w:spacing w:before="120" w:after="120" w:line="240" w:lineRule="auto"/>
      <w:jc w:val="center"/>
      <w:outlineLvl w:val="0"/>
    </w:pPr>
    <w:rPr>
      <w:rFonts w:ascii="Arial" w:eastAsia="Times New Roman" w:hAnsi="Arial" w:cs="Times New Roman"/>
      <w:b/>
      <w:bCs/>
      <w:kern w:val="28"/>
      <w:sz w:val="32"/>
      <w:szCs w:val="32"/>
      <w:lang w:eastAsia="en-GB"/>
    </w:rPr>
  </w:style>
  <w:style w:type="character" w:customStyle="1" w:styleId="TitleChar">
    <w:name w:val="Title Char"/>
    <w:basedOn w:val="DefaultParagraphFont"/>
    <w:link w:val="Title"/>
    <w:rsid w:val="00291468"/>
    <w:rPr>
      <w:rFonts w:ascii="Arial" w:eastAsia="Times New Roman" w:hAnsi="Arial" w:cs="Times New Roman"/>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6508">
      <w:bodyDiv w:val="1"/>
      <w:marLeft w:val="0"/>
      <w:marRight w:val="0"/>
      <w:marTop w:val="0"/>
      <w:marBottom w:val="0"/>
      <w:divBdr>
        <w:top w:val="none" w:sz="0" w:space="0" w:color="auto"/>
        <w:left w:val="none" w:sz="0" w:space="0" w:color="auto"/>
        <w:bottom w:val="none" w:sz="0" w:space="0" w:color="auto"/>
        <w:right w:val="none" w:sz="0" w:space="0" w:color="auto"/>
      </w:divBdr>
      <w:divsChild>
        <w:div w:id="192965066">
          <w:marLeft w:val="0"/>
          <w:marRight w:val="0"/>
          <w:marTop w:val="225"/>
          <w:marBottom w:val="300"/>
          <w:divBdr>
            <w:top w:val="none" w:sz="0" w:space="0" w:color="auto"/>
            <w:left w:val="none" w:sz="0" w:space="0" w:color="auto"/>
            <w:bottom w:val="none" w:sz="0" w:space="0" w:color="auto"/>
            <w:right w:val="none" w:sz="0" w:space="0" w:color="auto"/>
          </w:divBdr>
        </w:div>
        <w:div w:id="697201969">
          <w:marLeft w:val="0"/>
          <w:marRight w:val="0"/>
          <w:marTop w:val="75"/>
          <w:marBottom w:val="0"/>
          <w:divBdr>
            <w:top w:val="none" w:sz="0" w:space="0" w:color="auto"/>
            <w:left w:val="none" w:sz="0" w:space="0" w:color="auto"/>
            <w:bottom w:val="none" w:sz="0" w:space="0" w:color="auto"/>
            <w:right w:val="none" w:sz="0" w:space="0" w:color="auto"/>
          </w:divBdr>
        </w:div>
      </w:divsChild>
    </w:div>
    <w:div w:id="325481692">
      <w:bodyDiv w:val="1"/>
      <w:marLeft w:val="0"/>
      <w:marRight w:val="0"/>
      <w:marTop w:val="0"/>
      <w:marBottom w:val="0"/>
      <w:divBdr>
        <w:top w:val="none" w:sz="0" w:space="0" w:color="auto"/>
        <w:left w:val="none" w:sz="0" w:space="0" w:color="auto"/>
        <w:bottom w:val="none" w:sz="0" w:space="0" w:color="auto"/>
        <w:right w:val="none" w:sz="0" w:space="0" w:color="auto"/>
      </w:divBdr>
      <w:divsChild>
        <w:div w:id="1238520755">
          <w:marLeft w:val="0"/>
          <w:marRight w:val="0"/>
          <w:marTop w:val="0"/>
          <w:marBottom w:val="0"/>
          <w:divBdr>
            <w:top w:val="none" w:sz="0" w:space="0" w:color="auto"/>
            <w:left w:val="none" w:sz="0" w:space="0" w:color="auto"/>
            <w:bottom w:val="none" w:sz="0" w:space="0" w:color="auto"/>
            <w:right w:val="none" w:sz="0" w:space="0" w:color="auto"/>
          </w:divBdr>
          <w:divsChild>
            <w:div w:id="95440787">
              <w:marLeft w:val="0"/>
              <w:marRight w:val="0"/>
              <w:marTop w:val="0"/>
              <w:marBottom w:val="0"/>
              <w:divBdr>
                <w:top w:val="none" w:sz="0" w:space="0" w:color="auto"/>
                <w:left w:val="none" w:sz="0" w:space="0" w:color="auto"/>
                <w:bottom w:val="none" w:sz="0" w:space="0" w:color="auto"/>
                <w:right w:val="none" w:sz="0" w:space="0" w:color="auto"/>
              </w:divBdr>
              <w:divsChild>
                <w:div w:id="934753220">
                  <w:marLeft w:val="0"/>
                  <w:marRight w:val="0"/>
                  <w:marTop w:val="0"/>
                  <w:marBottom w:val="0"/>
                  <w:divBdr>
                    <w:top w:val="none" w:sz="0" w:space="0" w:color="auto"/>
                    <w:left w:val="none" w:sz="0" w:space="0" w:color="auto"/>
                    <w:bottom w:val="none" w:sz="0" w:space="0" w:color="auto"/>
                    <w:right w:val="none" w:sz="0" w:space="0" w:color="auto"/>
                  </w:divBdr>
                  <w:divsChild>
                    <w:div w:id="1827745920">
                      <w:marLeft w:val="0"/>
                      <w:marRight w:val="0"/>
                      <w:marTop w:val="0"/>
                      <w:marBottom w:val="0"/>
                      <w:divBdr>
                        <w:top w:val="none" w:sz="0" w:space="0" w:color="auto"/>
                        <w:left w:val="none" w:sz="0" w:space="0" w:color="auto"/>
                        <w:bottom w:val="none" w:sz="0" w:space="0" w:color="auto"/>
                        <w:right w:val="none" w:sz="0" w:space="0" w:color="auto"/>
                      </w:divBdr>
                      <w:divsChild>
                        <w:div w:id="1577593228">
                          <w:marLeft w:val="0"/>
                          <w:marRight w:val="0"/>
                          <w:marTop w:val="0"/>
                          <w:marBottom w:val="0"/>
                          <w:divBdr>
                            <w:top w:val="none" w:sz="0" w:space="0" w:color="auto"/>
                            <w:left w:val="none" w:sz="0" w:space="0" w:color="auto"/>
                            <w:bottom w:val="none" w:sz="0" w:space="0" w:color="auto"/>
                            <w:right w:val="none" w:sz="0" w:space="0" w:color="auto"/>
                          </w:divBdr>
                          <w:divsChild>
                            <w:div w:id="451941233">
                              <w:marLeft w:val="0"/>
                              <w:marRight w:val="0"/>
                              <w:marTop w:val="0"/>
                              <w:marBottom w:val="0"/>
                              <w:divBdr>
                                <w:top w:val="none" w:sz="0" w:space="0" w:color="auto"/>
                                <w:left w:val="none" w:sz="0" w:space="0" w:color="auto"/>
                                <w:bottom w:val="none" w:sz="0" w:space="0" w:color="auto"/>
                                <w:right w:val="none" w:sz="0" w:space="0" w:color="auto"/>
                              </w:divBdr>
                              <w:divsChild>
                                <w:div w:id="328601745">
                                  <w:marLeft w:val="0"/>
                                  <w:marRight w:val="0"/>
                                  <w:marTop w:val="0"/>
                                  <w:marBottom w:val="0"/>
                                  <w:divBdr>
                                    <w:top w:val="none" w:sz="0" w:space="0" w:color="auto"/>
                                    <w:left w:val="none" w:sz="0" w:space="0" w:color="auto"/>
                                    <w:bottom w:val="none" w:sz="0" w:space="0" w:color="auto"/>
                                    <w:right w:val="none" w:sz="0" w:space="0" w:color="auto"/>
                                  </w:divBdr>
                                  <w:divsChild>
                                    <w:div w:id="1146625116">
                                      <w:marLeft w:val="0"/>
                                      <w:marRight w:val="0"/>
                                      <w:marTop w:val="0"/>
                                      <w:marBottom w:val="0"/>
                                      <w:divBdr>
                                        <w:top w:val="none" w:sz="0" w:space="0" w:color="auto"/>
                                        <w:left w:val="none" w:sz="0" w:space="0" w:color="auto"/>
                                        <w:bottom w:val="none" w:sz="0" w:space="0" w:color="auto"/>
                                        <w:right w:val="none" w:sz="0" w:space="0" w:color="auto"/>
                                      </w:divBdr>
                                      <w:divsChild>
                                        <w:div w:id="1003583972">
                                          <w:marLeft w:val="0"/>
                                          <w:marRight w:val="0"/>
                                          <w:marTop w:val="0"/>
                                          <w:marBottom w:val="0"/>
                                          <w:divBdr>
                                            <w:top w:val="none" w:sz="0" w:space="0" w:color="auto"/>
                                            <w:left w:val="none" w:sz="0" w:space="0" w:color="auto"/>
                                            <w:bottom w:val="none" w:sz="0" w:space="0" w:color="auto"/>
                                            <w:right w:val="none" w:sz="0" w:space="0" w:color="auto"/>
                                          </w:divBdr>
                                          <w:divsChild>
                                            <w:div w:id="433524662">
                                              <w:marLeft w:val="0"/>
                                              <w:marRight w:val="0"/>
                                              <w:marTop w:val="0"/>
                                              <w:marBottom w:val="0"/>
                                              <w:divBdr>
                                                <w:top w:val="none" w:sz="0" w:space="0" w:color="auto"/>
                                                <w:left w:val="none" w:sz="0" w:space="0" w:color="auto"/>
                                                <w:bottom w:val="none" w:sz="0" w:space="0" w:color="auto"/>
                                                <w:right w:val="none" w:sz="0" w:space="0" w:color="auto"/>
                                              </w:divBdr>
                                              <w:divsChild>
                                                <w:div w:id="1583444784">
                                                  <w:marLeft w:val="0"/>
                                                  <w:marRight w:val="0"/>
                                                  <w:marTop w:val="0"/>
                                                  <w:marBottom w:val="0"/>
                                                  <w:divBdr>
                                                    <w:top w:val="none" w:sz="0" w:space="0" w:color="auto"/>
                                                    <w:left w:val="none" w:sz="0" w:space="0" w:color="auto"/>
                                                    <w:bottom w:val="none" w:sz="0" w:space="0" w:color="auto"/>
                                                    <w:right w:val="none" w:sz="0" w:space="0" w:color="auto"/>
                                                  </w:divBdr>
                                                  <w:divsChild>
                                                    <w:div w:id="13243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72175">
      <w:bodyDiv w:val="1"/>
      <w:marLeft w:val="0"/>
      <w:marRight w:val="0"/>
      <w:marTop w:val="0"/>
      <w:marBottom w:val="0"/>
      <w:divBdr>
        <w:top w:val="none" w:sz="0" w:space="0" w:color="auto"/>
        <w:left w:val="none" w:sz="0" w:space="0" w:color="auto"/>
        <w:bottom w:val="none" w:sz="0" w:space="0" w:color="auto"/>
        <w:right w:val="none" w:sz="0" w:space="0" w:color="auto"/>
      </w:divBdr>
    </w:div>
    <w:div w:id="422264657">
      <w:bodyDiv w:val="1"/>
      <w:marLeft w:val="0"/>
      <w:marRight w:val="0"/>
      <w:marTop w:val="0"/>
      <w:marBottom w:val="0"/>
      <w:divBdr>
        <w:top w:val="none" w:sz="0" w:space="0" w:color="auto"/>
        <w:left w:val="none" w:sz="0" w:space="0" w:color="auto"/>
        <w:bottom w:val="none" w:sz="0" w:space="0" w:color="auto"/>
        <w:right w:val="none" w:sz="0" w:space="0" w:color="auto"/>
      </w:divBdr>
    </w:div>
    <w:div w:id="605380950">
      <w:bodyDiv w:val="1"/>
      <w:marLeft w:val="0"/>
      <w:marRight w:val="0"/>
      <w:marTop w:val="0"/>
      <w:marBottom w:val="0"/>
      <w:divBdr>
        <w:top w:val="none" w:sz="0" w:space="0" w:color="auto"/>
        <w:left w:val="none" w:sz="0" w:space="0" w:color="auto"/>
        <w:bottom w:val="none" w:sz="0" w:space="0" w:color="auto"/>
        <w:right w:val="none" w:sz="0" w:space="0" w:color="auto"/>
      </w:divBdr>
      <w:divsChild>
        <w:div w:id="1565532166">
          <w:marLeft w:val="0"/>
          <w:marRight w:val="1"/>
          <w:marTop w:val="0"/>
          <w:marBottom w:val="0"/>
          <w:divBdr>
            <w:top w:val="none" w:sz="0" w:space="0" w:color="auto"/>
            <w:left w:val="none" w:sz="0" w:space="0" w:color="auto"/>
            <w:bottom w:val="none" w:sz="0" w:space="0" w:color="auto"/>
            <w:right w:val="none" w:sz="0" w:space="0" w:color="auto"/>
          </w:divBdr>
          <w:divsChild>
            <w:div w:id="1014721826">
              <w:marLeft w:val="0"/>
              <w:marRight w:val="0"/>
              <w:marTop w:val="0"/>
              <w:marBottom w:val="0"/>
              <w:divBdr>
                <w:top w:val="none" w:sz="0" w:space="0" w:color="auto"/>
                <w:left w:val="none" w:sz="0" w:space="0" w:color="auto"/>
                <w:bottom w:val="none" w:sz="0" w:space="0" w:color="auto"/>
                <w:right w:val="none" w:sz="0" w:space="0" w:color="auto"/>
              </w:divBdr>
              <w:divsChild>
                <w:div w:id="193424179">
                  <w:marLeft w:val="0"/>
                  <w:marRight w:val="1"/>
                  <w:marTop w:val="0"/>
                  <w:marBottom w:val="0"/>
                  <w:divBdr>
                    <w:top w:val="none" w:sz="0" w:space="0" w:color="auto"/>
                    <w:left w:val="none" w:sz="0" w:space="0" w:color="auto"/>
                    <w:bottom w:val="none" w:sz="0" w:space="0" w:color="auto"/>
                    <w:right w:val="none" w:sz="0" w:space="0" w:color="auto"/>
                  </w:divBdr>
                  <w:divsChild>
                    <w:div w:id="1314679962">
                      <w:marLeft w:val="0"/>
                      <w:marRight w:val="0"/>
                      <w:marTop w:val="0"/>
                      <w:marBottom w:val="0"/>
                      <w:divBdr>
                        <w:top w:val="none" w:sz="0" w:space="0" w:color="auto"/>
                        <w:left w:val="none" w:sz="0" w:space="0" w:color="auto"/>
                        <w:bottom w:val="none" w:sz="0" w:space="0" w:color="auto"/>
                        <w:right w:val="none" w:sz="0" w:space="0" w:color="auto"/>
                      </w:divBdr>
                      <w:divsChild>
                        <w:div w:id="1869559367">
                          <w:marLeft w:val="0"/>
                          <w:marRight w:val="0"/>
                          <w:marTop w:val="0"/>
                          <w:marBottom w:val="0"/>
                          <w:divBdr>
                            <w:top w:val="none" w:sz="0" w:space="0" w:color="auto"/>
                            <w:left w:val="none" w:sz="0" w:space="0" w:color="auto"/>
                            <w:bottom w:val="none" w:sz="0" w:space="0" w:color="auto"/>
                            <w:right w:val="none" w:sz="0" w:space="0" w:color="auto"/>
                          </w:divBdr>
                          <w:divsChild>
                            <w:div w:id="1533877593">
                              <w:marLeft w:val="0"/>
                              <w:marRight w:val="0"/>
                              <w:marTop w:val="120"/>
                              <w:marBottom w:val="360"/>
                              <w:divBdr>
                                <w:top w:val="none" w:sz="0" w:space="0" w:color="auto"/>
                                <w:left w:val="none" w:sz="0" w:space="0" w:color="auto"/>
                                <w:bottom w:val="none" w:sz="0" w:space="0" w:color="auto"/>
                                <w:right w:val="none" w:sz="0" w:space="0" w:color="auto"/>
                              </w:divBdr>
                              <w:divsChild>
                                <w:div w:id="1551845090">
                                  <w:marLeft w:val="420"/>
                                  <w:marRight w:val="0"/>
                                  <w:marTop w:val="0"/>
                                  <w:marBottom w:val="0"/>
                                  <w:divBdr>
                                    <w:top w:val="none" w:sz="0" w:space="0" w:color="auto"/>
                                    <w:left w:val="none" w:sz="0" w:space="0" w:color="auto"/>
                                    <w:bottom w:val="none" w:sz="0" w:space="0" w:color="auto"/>
                                    <w:right w:val="none" w:sz="0" w:space="0" w:color="auto"/>
                                  </w:divBdr>
                                  <w:divsChild>
                                    <w:div w:id="3147267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04420">
      <w:bodyDiv w:val="1"/>
      <w:marLeft w:val="0"/>
      <w:marRight w:val="0"/>
      <w:marTop w:val="0"/>
      <w:marBottom w:val="0"/>
      <w:divBdr>
        <w:top w:val="none" w:sz="0" w:space="0" w:color="auto"/>
        <w:left w:val="none" w:sz="0" w:space="0" w:color="auto"/>
        <w:bottom w:val="none" w:sz="0" w:space="0" w:color="auto"/>
        <w:right w:val="none" w:sz="0" w:space="0" w:color="auto"/>
      </w:divBdr>
    </w:div>
    <w:div w:id="899940731">
      <w:bodyDiv w:val="1"/>
      <w:marLeft w:val="0"/>
      <w:marRight w:val="0"/>
      <w:marTop w:val="0"/>
      <w:marBottom w:val="0"/>
      <w:divBdr>
        <w:top w:val="none" w:sz="0" w:space="0" w:color="auto"/>
        <w:left w:val="none" w:sz="0" w:space="0" w:color="auto"/>
        <w:bottom w:val="none" w:sz="0" w:space="0" w:color="auto"/>
        <w:right w:val="none" w:sz="0" w:space="0" w:color="auto"/>
      </w:divBdr>
    </w:div>
    <w:div w:id="913006422">
      <w:bodyDiv w:val="1"/>
      <w:marLeft w:val="0"/>
      <w:marRight w:val="0"/>
      <w:marTop w:val="0"/>
      <w:marBottom w:val="0"/>
      <w:divBdr>
        <w:top w:val="none" w:sz="0" w:space="0" w:color="auto"/>
        <w:left w:val="none" w:sz="0" w:space="0" w:color="auto"/>
        <w:bottom w:val="none" w:sz="0" w:space="0" w:color="auto"/>
        <w:right w:val="none" w:sz="0" w:space="0" w:color="auto"/>
      </w:divBdr>
    </w:div>
    <w:div w:id="953943966">
      <w:bodyDiv w:val="1"/>
      <w:marLeft w:val="0"/>
      <w:marRight w:val="0"/>
      <w:marTop w:val="0"/>
      <w:marBottom w:val="0"/>
      <w:divBdr>
        <w:top w:val="none" w:sz="0" w:space="0" w:color="auto"/>
        <w:left w:val="none" w:sz="0" w:space="0" w:color="auto"/>
        <w:bottom w:val="none" w:sz="0" w:space="0" w:color="auto"/>
        <w:right w:val="none" w:sz="0" w:space="0" w:color="auto"/>
      </w:divBdr>
    </w:div>
    <w:div w:id="954679552">
      <w:bodyDiv w:val="1"/>
      <w:marLeft w:val="0"/>
      <w:marRight w:val="0"/>
      <w:marTop w:val="0"/>
      <w:marBottom w:val="0"/>
      <w:divBdr>
        <w:top w:val="none" w:sz="0" w:space="0" w:color="auto"/>
        <w:left w:val="none" w:sz="0" w:space="0" w:color="auto"/>
        <w:bottom w:val="none" w:sz="0" w:space="0" w:color="auto"/>
        <w:right w:val="none" w:sz="0" w:space="0" w:color="auto"/>
      </w:divBdr>
    </w:div>
    <w:div w:id="1096949563">
      <w:bodyDiv w:val="1"/>
      <w:marLeft w:val="0"/>
      <w:marRight w:val="0"/>
      <w:marTop w:val="0"/>
      <w:marBottom w:val="0"/>
      <w:divBdr>
        <w:top w:val="none" w:sz="0" w:space="0" w:color="auto"/>
        <w:left w:val="none" w:sz="0" w:space="0" w:color="auto"/>
        <w:bottom w:val="none" w:sz="0" w:space="0" w:color="auto"/>
        <w:right w:val="none" w:sz="0" w:space="0" w:color="auto"/>
      </w:divBdr>
      <w:divsChild>
        <w:div w:id="50423743">
          <w:marLeft w:val="0"/>
          <w:marRight w:val="1"/>
          <w:marTop w:val="0"/>
          <w:marBottom w:val="0"/>
          <w:divBdr>
            <w:top w:val="none" w:sz="0" w:space="0" w:color="auto"/>
            <w:left w:val="none" w:sz="0" w:space="0" w:color="auto"/>
            <w:bottom w:val="none" w:sz="0" w:space="0" w:color="auto"/>
            <w:right w:val="none" w:sz="0" w:space="0" w:color="auto"/>
          </w:divBdr>
          <w:divsChild>
            <w:div w:id="956063897">
              <w:marLeft w:val="0"/>
              <w:marRight w:val="0"/>
              <w:marTop w:val="0"/>
              <w:marBottom w:val="0"/>
              <w:divBdr>
                <w:top w:val="none" w:sz="0" w:space="0" w:color="auto"/>
                <w:left w:val="none" w:sz="0" w:space="0" w:color="auto"/>
                <w:bottom w:val="none" w:sz="0" w:space="0" w:color="auto"/>
                <w:right w:val="none" w:sz="0" w:space="0" w:color="auto"/>
              </w:divBdr>
              <w:divsChild>
                <w:div w:id="1332872360">
                  <w:marLeft w:val="0"/>
                  <w:marRight w:val="1"/>
                  <w:marTop w:val="0"/>
                  <w:marBottom w:val="0"/>
                  <w:divBdr>
                    <w:top w:val="none" w:sz="0" w:space="0" w:color="auto"/>
                    <w:left w:val="none" w:sz="0" w:space="0" w:color="auto"/>
                    <w:bottom w:val="none" w:sz="0" w:space="0" w:color="auto"/>
                    <w:right w:val="none" w:sz="0" w:space="0" w:color="auto"/>
                  </w:divBdr>
                  <w:divsChild>
                    <w:div w:id="1983922229">
                      <w:marLeft w:val="0"/>
                      <w:marRight w:val="0"/>
                      <w:marTop w:val="0"/>
                      <w:marBottom w:val="0"/>
                      <w:divBdr>
                        <w:top w:val="none" w:sz="0" w:space="0" w:color="auto"/>
                        <w:left w:val="none" w:sz="0" w:space="0" w:color="auto"/>
                        <w:bottom w:val="none" w:sz="0" w:space="0" w:color="auto"/>
                        <w:right w:val="none" w:sz="0" w:space="0" w:color="auto"/>
                      </w:divBdr>
                      <w:divsChild>
                        <w:div w:id="617181298">
                          <w:marLeft w:val="0"/>
                          <w:marRight w:val="0"/>
                          <w:marTop w:val="0"/>
                          <w:marBottom w:val="0"/>
                          <w:divBdr>
                            <w:top w:val="none" w:sz="0" w:space="0" w:color="auto"/>
                            <w:left w:val="none" w:sz="0" w:space="0" w:color="auto"/>
                            <w:bottom w:val="none" w:sz="0" w:space="0" w:color="auto"/>
                            <w:right w:val="none" w:sz="0" w:space="0" w:color="auto"/>
                          </w:divBdr>
                          <w:divsChild>
                            <w:div w:id="2140031219">
                              <w:marLeft w:val="0"/>
                              <w:marRight w:val="0"/>
                              <w:marTop w:val="120"/>
                              <w:marBottom w:val="360"/>
                              <w:divBdr>
                                <w:top w:val="none" w:sz="0" w:space="0" w:color="auto"/>
                                <w:left w:val="none" w:sz="0" w:space="0" w:color="auto"/>
                                <w:bottom w:val="none" w:sz="0" w:space="0" w:color="auto"/>
                                <w:right w:val="none" w:sz="0" w:space="0" w:color="auto"/>
                              </w:divBdr>
                              <w:divsChild>
                                <w:div w:id="1767379309">
                                  <w:marLeft w:val="42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7945">
      <w:bodyDiv w:val="1"/>
      <w:marLeft w:val="0"/>
      <w:marRight w:val="0"/>
      <w:marTop w:val="0"/>
      <w:marBottom w:val="0"/>
      <w:divBdr>
        <w:top w:val="none" w:sz="0" w:space="0" w:color="auto"/>
        <w:left w:val="none" w:sz="0" w:space="0" w:color="auto"/>
        <w:bottom w:val="none" w:sz="0" w:space="0" w:color="auto"/>
        <w:right w:val="none" w:sz="0" w:space="0" w:color="auto"/>
      </w:divBdr>
      <w:divsChild>
        <w:div w:id="233125890">
          <w:marLeft w:val="0"/>
          <w:marRight w:val="0"/>
          <w:marTop w:val="0"/>
          <w:marBottom w:val="0"/>
          <w:divBdr>
            <w:top w:val="none" w:sz="0" w:space="0" w:color="auto"/>
            <w:left w:val="none" w:sz="0" w:space="0" w:color="auto"/>
            <w:bottom w:val="none" w:sz="0" w:space="0" w:color="auto"/>
            <w:right w:val="none" w:sz="0" w:space="0" w:color="auto"/>
          </w:divBdr>
          <w:divsChild>
            <w:div w:id="445197115">
              <w:marLeft w:val="0"/>
              <w:marRight w:val="0"/>
              <w:marTop w:val="0"/>
              <w:marBottom w:val="0"/>
              <w:divBdr>
                <w:top w:val="none" w:sz="0" w:space="0" w:color="auto"/>
                <w:left w:val="none" w:sz="0" w:space="0" w:color="auto"/>
                <w:bottom w:val="none" w:sz="0" w:space="0" w:color="auto"/>
                <w:right w:val="none" w:sz="0" w:space="0" w:color="auto"/>
              </w:divBdr>
              <w:divsChild>
                <w:div w:id="1619415690">
                  <w:marLeft w:val="0"/>
                  <w:marRight w:val="0"/>
                  <w:marTop w:val="0"/>
                  <w:marBottom w:val="0"/>
                  <w:divBdr>
                    <w:top w:val="none" w:sz="0" w:space="0" w:color="auto"/>
                    <w:left w:val="none" w:sz="0" w:space="0" w:color="auto"/>
                    <w:bottom w:val="none" w:sz="0" w:space="0" w:color="auto"/>
                    <w:right w:val="none" w:sz="0" w:space="0" w:color="auto"/>
                  </w:divBdr>
                  <w:divsChild>
                    <w:div w:id="849949912">
                      <w:marLeft w:val="0"/>
                      <w:marRight w:val="0"/>
                      <w:marTop w:val="0"/>
                      <w:marBottom w:val="0"/>
                      <w:divBdr>
                        <w:top w:val="none" w:sz="0" w:space="0" w:color="auto"/>
                        <w:left w:val="none" w:sz="0" w:space="0" w:color="auto"/>
                        <w:bottom w:val="none" w:sz="0" w:space="0" w:color="auto"/>
                        <w:right w:val="none" w:sz="0" w:space="0" w:color="auto"/>
                      </w:divBdr>
                      <w:divsChild>
                        <w:div w:id="245919489">
                          <w:marLeft w:val="0"/>
                          <w:marRight w:val="0"/>
                          <w:marTop w:val="0"/>
                          <w:marBottom w:val="0"/>
                          <w:divBdr>
                            <w:top w:val="none" w:sz="0" w:space="0" w:color="auto"/>
                            <w:left w:val="none" w:sz="0" w:space="0" w:color="auto"/>
                            <w:bottom w:val="none" w:sz="0" w:space="0" w:color="auto"/>
                            <w:right w:val="none" w:sz="0" w:space="0" w:color="auto"/>
                          </w:divBdr>
                          <w:divsChild>
                            <w:div w:id="709384555">
                              <w:marLeft w:val="0"/>
                              <w:marRight w:val="0"/>
                              <w:marTop w:val="0"/>
                              <w:marBottom w:val="0"/>
                              <w:divBdr>
                                <w:top w:val="none" w:sz="0" w:space="0" w:color="auto"/>
                                <w:left w:val="none" w:sz="0" w:space="0" w:color="auto"/>
                                <w:bottom w:val="none" w:sz="0" w:space="0" w:color="auto"/>
                                <w:right w:val="none" w:sz="0" w:space="0" w:color="auto"/>
                              </w:divBdr>
                              <w:divsChild>
                                <w:div w:id="1097867611">
                                  <w:marLeft w:val="0"/>
                                  <w:marRight w:val="0"/>
                                  <w:marTop w:val="0"/>
                                  <w:marBottom w:val="0"/>
                                  <w:divBdr>
                                    <w:top w:val="none" w:sz="0" w:space="0" w:color="auto"/>
                                    <w:left w:val="none" w:sz="0" w:space="0" w:color="auto"/>
                                    <w:bottom w:val="none" w:sz="0" w:space="0" w:color="auto"/>
                                    <w:right w:val="none" w:sz="0" w:space="0" w:color="auto"/>
                                  </w:divBdr>
                                  <w:divsChild>
                                    <w:div w:id="1972859513">
                                      <w:marLeft w:val="0"/>
                                      <w:marRight w:val="0"/>
                                      <w:marTop w:val="0"/>
                                      <w:marBottom w:val="0"/>
                                      <w:divBdr>
                                        <w:top w:val="none" w:sz="0" w:space="0" w:color="auto"/>
                                        <w:left w:val="none" w:sz="0" w:space="0" w:color="auto"/>
                                        <w:bottom w:val="none" w:sz="0" w:space="0" w:color="auto"/>
                                        <w:right w:val="none" w:sz="0" w:space="0" w:color="auto"/>
                                      </w:divBdr>
                                      <w:divsChild>
                                        <w:div w:id="1421373234">
                                          <w:marLeft w:val="0"/>
                                          <w:marRight w:val="0"/>
                                          <w:marTop w:val="0"/>
                                          <w:marBottom w:val="0"/>
                                          <w:divBdr>
                                            <w:top w:val="none" w:sz="0" w:space="0" w:color="auto"/>
                                            <w:left w:val="none" w:sz="0" w:space="0" w:color="auto"/>
                                            <w:bottom w:val="none" w:sz="0" w:space="0" w:color="auto"/>
                                            <w:right w:val="none" w:sz="0" w:space="0" w:color="auto"/>
                                          </w:divBdr>
                                          <w:divsChild>
                                            <w:div w:id="679744005">
                                              <w:marLeft w:val="0"/>
                                              <w:marRight w:val="0"/>
                                              <w:marTop w:val="0"/>
                                              <w:marBottom w:val="0"/>
                                              <w:divBdr>
                                                <w:top w:val="none" w:sz="0" w:space="0" w:color="auto"/>
                                                <w:left w:val="none" w:sz="0" w:space="0" w:color="auto"/>
                                                <w:bottom w:val="none" w:sz="0" w:space="0" w:color="auto"/>
                                                <w:right w:val="none" w:sz="0" w:space="0" w:color="auto"/>
                                              </w:divBdr>
                                              <w:divsChild>
                                                <w:div w:id="111901972">
                                                  <w:marLeft w:val="0"/>
                                                  <w:marRight w:val="0"/>
                                                  <w:marTop w:val="0"/>
                                                  <w:marBottom w:val="0"/>
                                                  <w:divBdr>
                                                    <w:top w:val="none" w:sz="0" w:space="0" w:color="auto"/>
                                                    <w:left w:val="none" w:sz="0" w:space="0" w:color="auto"/>
                                                    <w:bottom w:val="none" w:sz="0" w:space="0" w:color="auto"/>
                                                    <w:right w:val="none" w:sz="0" w:space="0" w:color="auto"/>
                                                  </w:divBdr>
                                                  <w:divsChild>
                                                    <w:div w:id="1345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344877">
      <w:bodyDiv w:val="1"/>
      <w:marLeft w:val="0"/>
      <w:marRight w:val="0"/>
      <w:marTop w:val="0"/>
      <w:marBottom w:val="0"/>
      <w:divBdr>
        <w:top w:val="none" w:sz="0" w:space="0" w:color="auto"/>
        <w:left w:val="none" w:sz="0" w:space="0" w:color="auto"/>
        <w:bottom w:val="none" w:sz="0" w:space="0" w:color="auto"/>
        <w:right w:val="none" w:sz="0" w:space="0" w:color="auto"/>
      </w:divBdr>
      <w:divsChild>
        <w:div w:id="584148958">
          <w:marLeft w:val="0"/>
          <w:marRight w:val="0"/>
          <w:marTop w:val="0"/>
          <w:marBottom w:val="0"/>
          <w:divBdr>
            <w:top w:val="none" w:sz="0" w:space="0" w:color="auto"/>
            <w:left w:val="none" w:sz="0" w:space="0" w:color="auto"/>
            <w:bottom w:val="none" w:sz="0" w:space="0" w:color="auto"/>
            <w:right w:val="none" w:sz="0" w:space="0" w:color="auto"/>
          </w:divBdr>
          <w:divsChild>
            <w:div w:id="1889803083">
              <w:marLeft w:val="0"/>
              <w:marRight w:val="0"/>
              <w:marTop w:val="0"/>
              <w:marBottom w:val="0"/>
              <w:divBdr>
                <w:top w:val="none" w:sz="0" w:space="0" w:color="auto"/>
                <w:left w:val="none" w:sz="0" w:space="0" w:color="auto"/>
                <w:bottom w:val="none" w:sz="0" w:space="0" w:color="auto"/>
                <w:right w:val="none" w:sz="0" w:space="0" w:color="auto"/>
              </w:divBdr>
              <w:divsChild>
                <w:div w:id="1521778223">
                  <w:marLeft w:val="0"/>
                  <w:marRight w:val="0"/>
                  <w:marTop w:val="0"/>
                  <w:marBottom w:val="0"/>
                  <w:divBdr>
                    <w:top w:val="none" w:sz="0" w:space="0" w:color="auto"/>
                    <w:left w:val="none" w:sz="0" w:space="0" w:color="auto"/>
                    <w:bottom w:val="none" w:sz="0" w:space="0" w:color="auto"/>
                    <w:right w:val="none" w:sz="0" w:space="0" w:color="auto"/>
                  </w:divBdr>
                  <w:divsChild>
                    <w:div w:id="1612199755">
                      <w:marLeft w:val="0"/>
                      <w:marRight w:val="0"/>
                      <w:marTop w:val="0"/>
                      <w:marBottom w:val="0"/>
                      <w:divBdr>
                        <w:top w:val="none" w:sz="0" w:space="0" w:color="auto"/>
                        <w:left w:val="none" w:sz="0" w:space="0" w:color="auto"/>
                        <w:bottom w:val="none" w:sz="0" w:space="0" w:color="auto"/>
                        <w:right w:val="none" w:sz="0" w:space="0" w:color="auto"/>
                      </w:divBdr>
                      <w:divsChild>
                        <w:div w:id="1757479788">
                          <w:marLeft w:val="0"/>
                          <w:marRight w:val="0"/>
                          <w:marTop w:val="0"/>
                          <w:marBottom w:val="0"/>
                          <w:divBdr>
                            <w:top w:val="none" w:sz="0" w:space="0" w:color="auto"/>
                            <w:left w:val="none" w:sz="0" w:space="0" w:color="auto"/>
                            <w:bottom w:val="none" w:sz="0" w:space="0" w:color="auto"/>
                            <w:right w:val="none" w:sz="0" w:space="0" w:color="auto"/>
                          </w:divBdr>
                          <w:divsChild>
                            <w:div w:id="1630015989">
                              <w:marLeft w:val="0"/>
                              <w:marRight w:val="0"/>
                              <w:marTop w:val="0"/>
                              <w:marBottom w:val="0"/>
                              <w:divBdr>
                                <w:top w:val="none" w:sz="0" w:space="0" w:color="auto"/>
                                <w:left w:val="none" w:sz="0" w:space="0" w:color="auto"/>
                                <w:bottom w:val="none" w:sz="0" w:space="0" w:color="auto"/>
                                <w:right w:val="none" w:sz="0" w:space="0" w:color="auto"/>
                              </w:divBdr>
                              <w:divsChild>
                                <w:div w:id="1277908740">
                                  <w:marLeft w:val="0"/>
                                  <w:marRight w:val="0"/>
                                  <w:marTop w:val="0"/>
                                  <w:marBottom w:val="0"/>
                                  <w:divBdr>
                                    <w:top w:val="none" w:sz="0" w:space="0" w:color="auto"/>
                                    <w:left w:val="none" w:sz="0" w:space="0" w:color="auto"/>
                                    <w:bottom w:val="none" w:sz="0" w:space="0" w:color="auto"/>
                                    <w:right w:val="none" w:sz="0" w:space="0" w:color="auto"/>
                                  </w:divBdr>
                                  <w:divsChild>
                                    <w:div w:id="15545326">
                                      <w:marLeft w:val="0"/>
                                      <w:marRight w:val="0"/>
                                      <w:marTop w:val="0"/>
                                      <w:marBottom w:val="0"/>
                                      <w:divBdr>
                                        <w:top w:val="none" w:sz="0" w:space="0" w:color="auto"/>
                                        <w:left w:val="none" w:sz="0" w:space="0" w:color="auto"/>
                                        <w:bottom w:val="none" w:sz="0" w:space="0" w:color="auto"/>
                                        <w:right w:val="none" w:sz="0" w:space="0" w:color="auto"/>
                                      </w:divBdr>
                                      <w:divsChild>
                                        <w:div w:id="11031708">
                                          <w:marLeft w:val="0"/>
                                          <w:marRight w:val="0"/>
                                          <w:marTop w:val="0"/>
                                          <w:marBottom w:val="0"/>
                                          <w:divBdr>
                                            <w:top w:val="none" w:sz="0" w:space="0" w:color="auto"/>
                                            <w:left w:val="none" w:sz="0" w:space="0" w:color="auto"/>
                                            <w:bottom w:val="none" w:sz="0" w:space="0" w:color="auto"/>
                                            <w:right w:val="none" w:sz="0" w:space="0" w:color="auto"/>
                                          </w:divBdr>
                                          <w:divsChild>
                                            <w:div w:id="1348096589">
                                              <w:marLeft w:val="0"/>
                                              <w:marRight w:val="0"/>
                                              <w:marTop w:val="0"/>
                                              <w:marBottom w:val="0"/>
                                              <w:divBdr>
                                                <w:top w:val="none" w:sz="0" w:space="0" w:color="auto"/>
                                                <w:left w:val="none" w:sz="0" w:space="0" w:color="auto"/>
                                                <w:bottom w:val="none" w:sz="0" w:space="0" w:color="auto"/>
                                                <w:right w:val="none" w:sz="0" w:space="0" w:color="auto"/>
                                              </w:divBdr>
                                              <w:divsChild>
                                                <w:div w:id="1586655">
                                                  <w:marLeft w:val="0"/>
                                                  <w:marRight w:val="0"/>
                                                  <w:marTop w:val="0"/>
                                                  <w:marBottom w:val="0"/>
                                                  <w:divBdr>
                                                    <w:top w:val="none" w:sz="0" w:space="0" w:color="auto"/>
                                                    <w:left w:val="none" w:sz="0" w:space="0" w:color="auto"/>
                                                    <w:bottom w:val="none" w:sz="0" w:space="0" w:color="auto"/>
                                                    <w:right w:val="none" w:sz="0" w:space="0" w:color="auto"/>
                                                  </w:divBdr>
                                                  <w:divsChild>
                                                    <w:div w:id="1148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880186">
      <w:bodyDiv w:val="1"/>
      <w:marLeft w:val="0"/>
      <w:marRight w:val="0"/>
      <w:marTop w:val="0"/>
      <w:marBottom w:val="0"/>
      <w:divBdr>
        <w:top w:val="none" w:sz="0" w:space="0" w:color="auto"/>
        <w:left w:val="none" w:sz="0" w:space="0" w:color="auto"/>
        <w:bottom w:val="none" w:sz="0" w:space="0" w:color="auto"/>
        <w:right w:val="none" w:sz="0" w:space="0" w:color="auto"/>
      </w:divBdr>
    </w:div>
    <w:div w:id="1480465876">
      <w:bodyDiv w:val="1"/>
      <w:marLeft w:val="0"/>
      <w:marRight w:val="0"/>
      <w:marTop w:val="0"/>
      <w:marBottom w:val="0"/>
      <w:divBdr>
        <w:top w:val="none" w:sz="0" w:space="0" w:color="auto"/>
        <w:left w:val="none" w:sz="0" w:space="0" w:color="auto"/>
        <w:bottom w:val="none" w:sz="0" w:space="0" w:color="auto"/>
        <w:right w:val="none" w:sz="0" w:space="0" w:color="auto"/>
      </w:divBdr>
    </w:div>
    <w:div w:id="1638949527">
      <w:bodyDiv w:val="1"/>
      <w:marLeft w:val="0"/>
      <w:marRight w:val="0"/>
      <w:marTop w:val="0"/>
      <w:marBottom w:val="0"/>
      <w:divBdr>
        <w:top w:val="none" w:sz="0" w:space="0" w:color="auto"/>
        <w:left w:val="none" w:sz="0" w:space="0" w:color="auto"/>
        <w:bottom w:val="none" w:sz="0" w:space="0" w:color="auto"/>
        <w:right w:val="none" w:sz="0" w:space="0" w:color="auto"/>
      </w:divBdr>
    </w:div>
    <w:div w:id="1653218358">
      <w:bodyDiv w:val="1"/>
      <w:marLeft w:val="0"/>
      <w:marRight w:val="0"/>
      <w:marTop w:val="0"/>
      <w:marBottom w:val="0"/>
      <w:divBdr>
        <w:top w:val="none" w:sz="0" w:space="0" w:color="auto"/>
        <w:left w:val="none" w:sz="0" w:space="0" w:color="auto"/>
        <w:bottom w:val="none" w:sz="0" w:space="0" w:color="auto"/>
        <w:right w:val="none" w:sz="0" w:space="0" w:color="auto"/>
      </w:divBdr>
    </w:div>
    <w:div w:id="1974675468">
      <w:bodyDiv w:val="1"/>
      <w:marLeft w:val="0"/>
      <w:marRight w:val="0"/>
      <w:marTop w:val="0"/>
      <w:marBottom w:val="0"/>
      <w:divBdr>
        <w:top w:val="none" w:sz="0" w:space="0" w:color="auto"/>
        <w:left w:val="none" w:sz="0" w:space="0" w:color="auto"/>
        <w:bottom w:val="none" w:sz="0" w:space="0" w:color="auto"/>
        <w:right w:val="none" w:sz="0" w:space="0" w:color="auto"/>
      </w:divBdr>
      <w:divsChild>
        <w:div w:id="1470978905">
          <w:marLeft w:val="0"/>
          <w:marRight w:val="1"/>
          <w:marTop w:val="0"/>
          <w:marBottom w:val="0"/>
          <w:divBdr>
            <w:top w:val="none" w:sz="0" w:space="0" w:color="auto"/>
            <w:left w:val="none" w:sz="0" w:space="0" w:color="auto"/>
            <w:bottom w:val="none" w:sz="0" w:space="0" w:color="auto"/>
            <w:right w:val="none" w:sz="0" w:space="0" w:color="auto"/>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20996380">
                  <w:marLeft w:val="0"/>
                  <w:marRight w:val="1"/>
                  <w:marTop w:val="0"/>
                  <w:marBottom w:val="0"/>
                  <w:divBdr>
                    <w:top w:val="none" w:sz="0" w:space="0" w:color="auto"/>
                    <w:left w:val="none" w:sz="0" w:space="0" w:color="auto"/>
                    <w:bottom w:val="none" w:sz="0" w:space="0" w:color="auto"/>
                    <w:right w:val="none" w:sz="0" w:space="0" w:color="auto"/>
                  </w:divBdr>
                  <w:divsChild>
                    <w:div w:id="1670787426">
                      <w:marLeft w:val="0"/>
                      <w:marRight w:val="0"/>
                      <w:marTop w:val="0"/>
                      <w:marBottom w:val="0"/>
                      <w:divBdr>
                        <w:top w:val="none" w:sz="0" w:space="0" w:color="auto"/>
                        <w:left w:val="none" w:sz="0" w:space="0" w:color="auto"/>
                        <w:bottom w:val="none" w:sz="0" w:space="0" w:color="auto"/>
                        <w:right w:val="none" w:sz="0" w:space="0" w:color="auto"/>
                      </w:divBdr>
                      <w:divsChild>
                        <w:div w:id="1898275559">
                          <w:marLeft w:val="0"/>
                          <w:marRight w:val="0"/>
                          <w:marTop w:val="0"/>
                          <w:marBottom w:val="0"/>
                          <w:divBdr>
                            <w:top w:val="none" w:sz="0" w:space="0" w:color="auto"/>
                            <w:left w:val="none" w:sz="0" w:space="0" w:color="auto"/>
                            <w:bottom w:val="none" w:sz="0" w:space="0" w:color="auto"/>
                            <w:right w:val="none" w:sz="0" w:space="0" w:color="auto"/>
                          </w:divBdr>
                          <w:divsChild>
                            <w:div w:id="28802763">
                              <w:marLeft w:val="0"/>
                              <w:marRight w:val="0"/>
                              <w:marTop w:val="120"/>
                              <w:marBottom w:val="360"/>
                              <w:divBdr>
                                <w:top w:val="none" w:sz="0" w:space="0" w:color="auto"/>
                                <w:left w:val="none" w:sz="0" w:space="0" w:color="auto"/>
                                <w:bottom w:val="none" w:sz="0" w:space="0" w:color="auto"/>
                                <w:right w:val="none" w:sz="0" w:space="0" w:color="auto"/>
                              </w:divBdr>
                              <w:divsChild>
                                <w:div w:id="41638925">
                                  <w:marLeft w:val="0"/>
                                  <w:marRight w:val="0"/>
                                  <w:marTop w:val="0"/>
                                  <w:marBottom w:val="0"/>
                                  <w:divBdr>
                                    <w:top w:val="none" w:sz="0" w:space="0" w:color="auto"/>
                                    <w:left w:val="none" w:sz="0" w:space="0" w:color="auto"/>
                                    <w:bottom w:val="none" w:sz="0" w:space="0" w:color="auto"/>
                                    <w:right w:val="none" w:sz="0" w:space="0" w:color="auto"/>
                                  </w:divBdr>
                                </w:div>
                                <w:div w:id="5499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5179">
      <w:bodyDiv w:val="1"/>
      <w:marLeft w:val="0"/>
      <w:marRight w:val="0"/>
      <w:marTop w:val="0"/>
      <w:marBottom w:val="0"/>
      <w:divBdr>
        <w:top w:val="none" w:sz="0" w:space="0" w:color="auto"/>
        <w:left w:val="none" w:sz="0" w:space="0" w:color="auto"/>
        <w:bottom w:val="none" w:sz="0" w:space="0" w:color="auto"/>
        <w:right w:val="none" w:sz="0" w:space="0" w:color="auto"/>
      </w:divBdr>
    </w:div>
    <w:div w:id="20007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1504-09C3-814E-945A-9CC91692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Pages>
  <Words>6889</Words>
  <Characters>39273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46070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Dawoud</dc:creator>
  <cp:lastModifiedBy>Dalia Dawoud</cp:lastModifiedBy>
  <cp:revision>11</cp:revision>
  <cp:lastPrinted>2016-05-04T09:56:00Z</cp:lastPrinted>
  <dcterms:created xsi:type="dcterms:W3CDTF">2019-06-08T20:03:00Z</dcterms:created>
  <dcterms:modified xsi:type="dcterms:W3CDTF">2019-06-10T14:27:00Z</dcterms:modified>
</cp:coreProperties>
</file>