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3613A" w14:textId="77777777" w:rsidR="00643BCF" w:rsidRPr="00EE79DF" w:rsidRDefault="00643BCF" w:rsidP="00643BCF">
      <w:pPr>
        <w:jc w:val="center"/>
        <w:rPr>
          <w:rFonts w:ascii="Futura Hv BT" w:hAnsi="Futura Hv BT" w:cs="Arial"/>
          <w:sz w:val="40"/>
          <w:szCs w:val="40"/>
        </w:rPr>
      </w:pPr>
      <w:r w:rsidRPr="00EE79DF">
        <w:rPr>
          <w:rFonts w:ascii="Futura Hv BT" w:hAnsi="Futura Hv BT" w:cs="Arial"/>
          <w:sz w:val="40"/>
          <w:szCs w:val="40"/>
        </w:rPr>
        <w:t xml:space="preserve">The </w:t>
      </w:r>
      <w:r w:rsidR="00C14D8F" w:rsidRPr="00EE79DF">
        <w:rPr>
          <w:rFonts w:ascii="Futura Hv BT" w:hAnsi="Futura Hv BT" w:cs="Arial"/>
          <w:sz w:val="40"/>
          <w:szCs w:val="40"/>
        </w:rPr>
        <w:t>G</w:t>
      </w:r>
      <w:r w:rsidR="007B190A" w:rsidRPr="00EE79DF">
        <w:rPr>
          <w:rFonts w:ascii="Futura Hv BT" w:hAnsi="Futura Hv BT" w:cs="Arial"/>
          <w:sz w:val="40"/>
          <w:szCs w:val="40"/>
        </w:rPr>
        <w:t xml:space="preserve">lobal </w:t>
      </w:r>
      <w:r w:rsidR="00C14D8F" w:rsidRPr="00EE79DF">
        <w:rPr>
          <w:rFonts w:ascii="Futura Hv BT" w:hAnsi="Futura Hv BT" w:cs="Arial"/>
          <w:sz w:val="40"/>
          <w:szCs w:val="40"/>
        </w:rPr>
        <w:t>A</w:t>
      </w:r>
      <w:r w:rsidR="007B190A" w:rsidRPr="00EE79DF">
        <w:rPr>
          <w:rFonts w:ascii="Futura Hv BT" w:hAnsi="Futura Hv BT" w:cs="Arial"/>
          <w:sz w:val="40"/>
          <w:szCs w:val="40"/>
        </w:rPr>
        <w:t xml:space="preserve">tmospheric Pollution </w:t>
      </w:r>
      <w:r w:rsidR="00C14D8F" w:rsidRPr="00EE79DF">
        <w:rPr>
          <w:rFonts w:ascii="Futura Hv BT" w:hAnsi="Futura Hv BT" w:cs="Arial"/>
          <w:sz w:val="40"/>
          <w:szCs w:val="40"/>
        </w:rPr>
        <w:t>F</w:t>
      </w:r>
      <w:r w:rsidR="007B190A" w:rsidRPr="00EE79DF">
        <w:rPr>
          <w:rFonts w:ascii="Futura Hv BT" w:hAnsi="Futura Hv BT" w:cs="Arial"/>
          <w:sz w:val="40"/>
          <w:szCs w:val="40"/>
        </w:rPr>
        <w:t>orum</w:t>
      </w:r>
      <w:r w:rsidR="00C14D8F" w:rsidRPr="00EE79DF">
        <w:rPr>
          <w:rFonts w:ascii="Futura Hv BT" w:hAnsi="Futura Hv BT" w:cs="Arial"/>
          <w:sz w:val="40"/>
          <w:szCs w:val="40"/>
        </w:rPr>
        <w:t xml:space="preserve"> </w:t>
      </w:r>
      <w:r w:rsidRPr="00EE79DF">
        <w:rPr>
          <w:rFonts w:ascii="Futura Hv BT" w:hAnsi="Futura Hv BT" w:cs="Arial"/>
          <w:sz w:val="40"/>
          <w:szCs w:val="40"/>
        </w:rPr>
        <w:t>Air Pollut</w:t>
      </w:r>
      <w:r w:rsidR="005E708F" w:rsidRPr="00EE79DF">
        <w:rPr>
          <w:rFonts w:ascii="Futura Hv BT" w:hAnsi="Futura Hv BT" w:cs="Arial"/>
          <w:sz w:val="40"/>
          <w:szCs w:val="40"/>
        </w:rPr>
        <w:t>ant</w:t>
      </w:r>
      <w:r w:rsidRPr="00EE79DF">
        <w:rPr>
          <w:rFonts w:ascii="Futura Hv BT" w:hAnsi="Futura Hv BT" w:cs="Arial"/>
          <w:sz w:val="40"/>
          <w:szCs w:val="40"/>
        </w:rPr>
        <w:t xml:space="preserve"> Emission Inventory Manual</w:t>
      </w:r>
    </w:p>
    <w:p w14:paraId="63C5D193" w14:textId="77777777" w:rsidR="00643BCF" w:rsidRPr="001D6DA3" w:rsidRDefault="00643BCF" w:rsidP="00643BCF">
      <w:pPr>
        <w:jc w:val="center"/>
        <w:rPr>
          <w:rFonts w:ascii="Futura Hv BT" w:hAnsi="Futura Hv BT" w:cs="Arial"/>
          <w:szCs w:val="24"/>
        </w:rPr>
      </w:pPr>
    </w:p>
    <w:p w14:paraId="3705D6A2" w14:textId="1EA054CE" w:rsidR="00643BCF" w:rsidRPr="00404F37" w:rsidRDefault="00E20ADC" w:rsidP="00643BCF">
      <w:pPr>
        <w:jc w:val="center"/>
        <w:rPr>
          <w:rFonts w:ascii="Futura Hv BT" w:hAnsi="Futura Hv BT" w:cs="Arial"/>
          <w:sz w:val="36"/>
          <w:szCs w:val="36"/>
        </w:rPr>
      </w:pPr>
      <w:r>
        <w:rPr>
          <w:rFonts w:ascii="Futura Hv BT" w:hAnsi="Futura Hv BT" w:cs="Arial"/>
          <w:sz w:val="36"/>
          <w:szCs w:val="36"/>
        </w:rPr>
        <w:t xml:space="preserve">Version </w:t>
      </w:r>
      <w:r w:rsidR="00AF1E14">
        <w:rPr>
          <w:rFonts w:ascii="Futura Hv BT" w:hAnsi="Futura Hv BT" w:cs="Arial"/>
          <w:sz w:val="36"/>
          <w:szCs w:val="36"/>
        </w:rPr>
        <w:t>6.0</w:t>
      </w:r>
    </w:p>
    <w:p w14:paraId="7607E3B5" w14:textId="47C9BFBB" w:rsidR="00643BCF" w:rsidRDefault="00643BCF" w:rsidP="00643BCF">
      <w:pPr>
        <w:jc w:val="center"/>
        <w:rPr>
          <w:rFonts w:ascii="Futura Hv BT" w:hAnsi="Futura Hv BT" w:cs="Arial"/>
          <w:sz w:val="36"/>
          <w:szCs w:val="36"/>
        </w:rPr>
      </w:pPr>
    </w:p>
    <w:p w14:paraId="27B7954F" w14:textId="3FE12A79" w:rsidR="009840BE" w:rsidRPr="00EE79DF" w:rsidRDefault="009840BE" w:rsidP="00643BCF">
      <w:pPr>
        <w:jc w:val="center"/>
        <w:rPr>
          <w:rFonts w:ascii="Futura Hv BT" w:hAnsi="Futura Hv BT" w:cs="Arial"/>
          <w:color w:val="000000" w:themeColor="text1"/>
          <w:sz w:val="36"/>
          <w:szCs w:val="36"/>
        </w:rPr>
      </w:pPr>
      <w:r w:rsidRPr="00EE79DF">
        <w:rPr>
          <w:rFonts w:ascii="Futura Hv BT" w:hAnsi="Futura Hv BT" w:cs="Arial"/>
          <w:color w:val="000000" w:themeColor="text1"/>
          <w:sz w:val="36"/>
          <w:szCs w:val="36"/>
        </w:rPr>
        <w:t>May 2019 revision</w:t>
      </w:r>
    </w:p>
    <w:p w14:paraId="48E7C998" w14:textId="77777777" w:rsidR="00643BCF" w:rsidRPr="001D6DA3" w:rsidRDefault="00643BCF" w:rsidP="00643BCF">
      <w:pPr>
        <w:jc w:val="center"/>
        <w:rPr>
          <w:rFonts w:ascii="Futura Hv BT" w:hAnsi="Futura Hv BT" w:cs="Arial"/>
          <w:szCs w:val="24"/>
        </w:rPr>
      </w:pPr>
    </w:p>
    <w:p w14:paraId="7F2DBA82" w14:textId="77777777" w:rsidR="00643BCF" w:rsidRDefault="00161564" w:rsidP="00643BCF">
      <w:pPr>
        <w:jc w:val="center"/>
        <w:rPr>
          <w:rFonts w:ascii="Futura Hv BT" w:hAnsi="Futura Hv BT" w:cs="Arial"/>
          <w:sz w:val="36"/>
          <w:szCs w:val="36"/>
        </w:rPr>
      </w:pPr>
      <w:r>
        <w:rPr>
          <w:noProof/>
          <w:lang w:eastAsia="en-GB"/>
        </w:rPr>
        <w:drawing>
          <wp:inline distT="0" distB="0" distL="0" distR="0" wp14:anchorId="3D960657" wp14:editId="3F7E1C89">
            <wp:extent cx="4495800" cy="4343400"/>
            <wp:effectExtent l="0" t="0" r="0" b="0"/>
            <wp:docPr id="1" name="Picture 1" descr="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4343400"/>
                    </a:xfrm>
                    <a:prstGeom prst="rect">
                      <a:avLst/>
                    </a:prstGeom>
                    <a:noFill/>
                    <a:ln>
                      <a:noFill/>
                    </a:ln>
                  </pic:spPr>
                </pic:pic>
              </a:graphicData>
            </a:graphic>
          </wp:inline>
        </w:drawing>
      </w:r>
    </w:p>
    <w:p w14:paraId="18591BD1" w14:textId="77777777" w:rsidR="00643BCF" w:rsidRDefault="00643BCF" w:rsidP="00643BCF">
      <w:pPr>
        <w:rPr>
          <w:rFonts w:ascii="Futura Hv BT" w:hAnsi="Futura Hv BT" w:cs="Arial"/>
          <w:sz w:val="36"/>
          <w:szCs w:val="36"/>
        </w:rPr>
      </w:pPr>
    </w:p>
    <w:p w14:paraId="2D8CEDE1" w14:textId="77777777" w:rsidR="00643BCF" w:rsidRDefault="00643BCF" w:rsidP="00643BCF">
      <w:pPr>
        <w:jc w:val="center"/>
        <w:rPr>
          <w:rFonts w:ascii="Futura Hv BT" w:hAnsi="Futura Hv BT" w:cs="Arial"/>
          <w:sz w:val="36"/>
          <w:szCs w:val="36"/>
        </w:rPr>
      </w:pPr>
    </w:p>
    <w:tbl>
      <w:tblPr>
        <w:tblW w:w="9730" w:type="dxa"/>
        <w:tblInd w:w="-318" w:type="dxa"/>
        <w:tblLook w:val="01E0" w:firstRow="1" w:lastRow="1" w:firstColumn="1" w:lastColumn="1" w:noHBand="0" w:noVBand="0"/>
      </w:tblPr>
      <w:tblGrid>
        <w:gridCol w:w="3160"/>
        <w:gridCol w:w="4397"/>
        <w:gridCol w:w="274"/>
        <w:gridCol w:w="1899"/>
      </w:tblGrid>
      <w:tr w:rsidR="005D483D" w:rsidRPr="00C3376E" w14:paraId="218B188D" w14:textId="77777777" w:rsidTr="005D483D">
        <w:tc>
          <w:tcPr>
            <w:tcW w:w="3160" w:type="dxa"/>
          </w:tcPr>
          <w:p w14:paraId="128E991F" w14:textId="58F7B56A" w:rsidR="00643BCF" w:rsidRPr="00C3376E" w:rsidRDefault="005D483D" w:rsidP="00C3376E">
            <w:pPr>
              <w:jc w:val="center"/>
              <w:rPr>
                <w:rFonts w:ascii="Futura Hv BT" w:hAnsi="Futura Hv BT" w:cs="Arial"/>
                <w:sz w:val="36"/>
                <w:szCs w:val="36"/>
              </w:rPr>
            </w:pPr>
            <w:r>
              <w:rPr>
                <w:noProof/>
                <w:sz w:val="16"/>
                <w:lang w:eastAsia="en-GB"/>
              </w:rPr>
              <w:drawing>
                <wp:inline distT="0" distB="0" distL="0" distR="0" wp14:anchorId="31F78DC2" wp14:editId="2CFB710E">
                  <wp:extent cx="1762566" cy="739140"/>
                  <wp:effectExtent l="0" t="0" r="952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named.jpg"/>
                          <pic:cNvPicPr/>
                        </pic:nvPicPr>
                        <pic:blipFill>
                          <a:blip r:embed="rId9">
                            <a:extLst>
                              <a:ext uri="{28A0092B-C50C-407E-A947-70E740481C1C}">
                                <a14:useLocalDpi xmlns:a14="http://schemas.microsoft.com/office/drawing/2010/main" val="0"/>
                              </a:ext>
                            </a:extLst>
                          </a:blip>
                          <a:stretch>
                            <a:fillRect/>
                          </a:stretch>
                        </pic:blipFill>
                        <pic:spPr>
                          <a:xfrm>
                            <a:off x="0" y="0"/>
                            <a:ext cx="1821630" cy="763909"/>
                          </a:xfrm>
                          <a:prstGeom prst="rect">
                            <a:avLst/>
                          </a:prstGeom>
                        </pic:spPr>
                      </pic:pic>
                    </a:graphicData>
                  </a:graphic>
                </wp:inline>
              </w:drawing>
            </w:r>
          </w:p>
        </w:tc>
        <w:tc>
          <w:tcPr>
            <w:tcW w:w="4397" w:type="dxa"/>
          </w:tcPr>
          <w:p w14:paraId="0394FF93" w14:textId="77777777" w:rsidR="00643BCF" w:rsidRPr="00C3376E" w:rsidRDefault="007B776F" w:rsidP="005D483D">
            <w:pPr>
              <w:rPr>
                <w:rFonts w:ascii="Futura Hv BT" w:hAnsi="Futura Hv BT" w:cs="Arial"/>
                <w:sz w:val="36"/>
                <w:szCs w:val="36"/>
              </w:rPr>
            </w:pPr>
            <w:r>
              <w:object w:dxaOrig="12570" w:dyaOrig="3945" w14:anchorId="15E10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51.8pt" o:ole="">
                  <v:imagedata r:id="rId10" o:title=""/>
                </v:shape>
                <o:OLEObject Type="Embed" ProgID="PBrush" ShapeID="_x0000_i1025" DrawAspect="Content" ObjectID="_1621771434" r:id="rId11"/>
              </w:object>
            </w:r>
          </w:p>
        </w:tc>
        <w:tc>
          <w:tcPr>
            <w:tcW w:w="274" w:type="dxa"/>
          </w:tcPr>
          <w:p w14:paraId="061D5E8E" w14:textId="77777777" w:rsidR="00643BCF" w:rsidRPr="00C3376E" w:rsidRDefault="00643BCF" w:rsidP="00C3376E">
            <w:pPr>
              <w:jc w:val="center"/>
              <w:rPr>
                <w:rFonts w:ascii="Futura Hv BT" w:hAnsi="Futura Hv BT" w:cs="Arial"/>
                <w:sz w:val="36"/>
                <w:szCs w:val="36"/>
              </w:rPr>
            </w:pPr>
          </w:p>
        </w:tc>
        <w:tc>
          <w:tcPr>
            <w:tcW w:w="1899" w:type="dxa"/>
          </w:tcPr>
          <w:p w14:paraId="2FC1313F" w14:textId="77777777" w:rsidR="00643BCF" w:rsidRPr="00C3376E" w:rsidRDefault="00161564" w:rsidP="00C3376E">
            <w:pPr>
              <w:ind w:left="-620" w:firstLine="620"/>
              <w:jc w:val="center"/>
              <w:rPr>
                <w:rFonts w:ascii="Futura Hv BT" w:hAnsi="Futura Hv BT" w:cs="Arial"/>
                <w:sz w:val="36"/>
                <w:szCs w:val="36"/>
              </w:rPr>
            </w:pPr>
            <w:r>
              <w:rPr>
                <w:rFonts w:ascii="Futura Hv BT" w:hAnsi="Futura Hv BT" w:cs="Arial"/>
                <w:noProof/>
                <w:sz w:val="36"/>
                <w:szCs w:val="36"/>
                <w:lang w:eastAsia="en-GB"/>
              </w:rPr>
              <w:drawing>
                <wp:inline distT="0" distB="0" distL="0" distR="0" wp14:anchorId="1B81ED62" wp14:editId="627C81B2">
                  <wp:extent cx="990600" cy="739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739140"/>
                          </a:xfrm>
                          <a:prstGeom prst="rect">
                            <a:avLst/>
                          </a:prstGeom>
                          <a:noFill/>
                          <a:ln>
                            <a:noFill/>
                          </a:ln>
                        </pic:spPr>
                      </pic:pic>
                    </a:graphicData>
                  </a:graphic>
                </wp:inline>
              </w:drawing>
            </w:r>
          </w:p>
        </w:tc>
      </w:tr>
    </w:tbl>
    <w:p w14:paraId="7039AAD1" w14:textId="77777777" w:rsidR="00C46552" w:rsidRDefault="00C46552"/>
    <w:p w14:paraId="6F5B0CB5" w14:textId="77777777" w:rsidR="005A2C9E" w:rsidRDefault="007B776F" w:rsidP="008D335F">
      <w:pPr>
        <w:pStyle w:val="Heading1"/>
        <w:numPr>
          <w:ilvl w:val="0"/>
          <w:numId w:val="0"/>
        </w:numPr>
      </w:pPr>
      <w:bookmarkStart w:id="0" w:name="_Toc10122644"/>
      <w:r>
        <w:lastRenderedPageBreak/>
        <w:t>Acknowledgments</w:t>
      </w:r>
      <w:bookmarkEnd w:id="0"/>
    </w:p>
    <w:p w14:paraId="13037477" w14:textId="77777777" w:rsidR="005A2C9E" w:rsidRDefault="005A2C9E" w:rsidP="005A2C9E"/>
    <w:p w14:paraId="0697C4B0" w14:textId="3C4F3110" w:rsidR="00594052" w:rsidRDefault="005A2C9E" w:rsidP="00000228">
      <w:bookmarkStart w:id="1" w:name="_Toc135038158"/>
      <w:r w:rsidRPr="00000228">
        <w:t>This Manual and its associated Workbook were prepared by Harry Vallack</w:t>
      </w:r>
      <w:r w:rsidR="00D84BBA">
        <w:rPr>
          <w:rStyle w:val="FootnoteReference"/>
        </w:rPr>
        <w:footnoteReference w:id="1"/>
      </w:r>
      <w:r w:rsidRPr="00000228">
        <w:t xml:space="preserve"> (Stockholm Environment Institute)</w:t>
      </w:r>
      <w:r w:rsidR="00C14D8F" w:rsidRPr="00000228">
        <w:t xml:space="preserve"> and Kristin Rypdal (</w:t>
      </w:r>
      <w:r w:rsidR="00B74F90" w:rsidRPr="00B74F90">
        <w:t>CICERO Center for International Climate Research</w:t>
      </w:r>
      <w:r w:rsidR="00B74F90">
        <w:t xml:space="preserve"> </w:t>
      </w:r>
      <w:bookmarkStart w:id="2" w:name="_GoBack"/>
      <w:bookmarkEnd w:id="2"/>
      <w:r w:rsidR="00C14D8F" w:rsidRPr="00000228">
        <w:t>- Oslo)</w:t>
      </w:r>
      <w:r w:rsidRPr="00000228">
        <w:t xml:space="preserve"> in consultation with experts from </w:t>
      </w:r>
      <w:r w:rsidR="00C14D8F" w:rsidRPr="00000228">
        <w:t>Brazil (Gabriel Branco), China (Jiming Hao), India (Sumana Bhattacharya) and Malawi (Kenneth Gondwe)</w:t>
      </w:r>
      <w:r w:rsidRPr="00000228">
        <w:t xml:space="preserve">. </w:t>
      </w:r>
      <w:r w:rsidR="00023078" w:rsidRPr="00000228">
        <w:t xml:space="preserve">This work </w:t>
      </w:r>
      <w:r w:rsidR="00C14D8F" w:rsidRPr="00000228">
        <w:t>was</w:t>
      </w:r>
      <w:r w:rsidR="00023078" w:rsidRPr="00000228">
        <w:t xml:space="preserve"> </w:t>
      </w:r>
      <w:r w:rsidR="00C14D8F" w:rsidRPr="00000228">
        <w:t>co-</w:t>
      </w:r>
      <w:r w:rsidR="00023078" w:rsidRPr="00000228">
        <w:t>sponsored by the</w:t>
      </w:r>
      <w:r w:rsidR="00C14D8F" w:rsidRPr="00000228">
        <w:t xml:space="preserve"> BOC Foundation, the US EPA and the </w:t>
      </w:r>
      <w:r w:rsidR="00023078" w:rsidRPr="00000228">
        <w:t xml:space="preserve">Swedish International Development Cooperation Agency (Sida) as part of its Regional Air Pollution in Developing Countries (RAPIDC) programme. </w:t>
      </w:r>
    </w:p>
    <w:p w14:paraId="0761440C" w14:textId="77777777" w:rsidR="00594052" w:rsidRDefault="00594052" w:rsidP="00000228"/>
    <w:p w14:paraId="397C2500" w14:textId="77777777" w:rsidR="005A2C9E" w:rsidRDefault="00EA3167" w:rsidP="00EA3167">
      <w:pPr>
        <w:ind w:firstLine="720"/>
      </w:pPr>
      <w:r>
        <w:t xml:space="preserve">The </w:t>
      </w:r>
      <w:r w:rsidR="005A2C9E" w:rsidRPr="00000228">
        <w:t xml:space="preserve">Manual was based on, and grew out of, a manual </w:t>
      </w:r>
      <w:r w:rsidR="006E035A">
        <w:t xml:space="preserve">initially </w:t>
      </w:r>
      <w:r w:rsidR="005A2C9E" w:rsidRPr="00000228">
        <w:t>prepared for UNDP/UN DESA by the Stockholm Environment Institute (principal authors: David von Hippel and Harry Vallack) entitled “Manual for Preparation of Emissions Inventories for use in Model</w:t>
      </w:r>
      <w:r w:rsidR="00D57539">
        <w:t>l</w:t>
      </w:r>
      <w:r w:rsidR="005A2C9E" w:rsidRPr="00000228">
        <w:t>ing of Transboundary Air Pollution” for use in Northeast Asia</w:t>
      </w:r>
      <w:r w:rsidR="006E035A">
        <w:t xml:space="preserve"> which has been subsequently modified for use by the Malé Declaration</w:t>
      </w:r>
      <w:r w:rsidR="00594052">
        <w:t xml:space="preserve"> countries of South Asia</w:t>
      </w:r>
      <w:r w:rsidR="007B776F">
        <w:t xml:space="preserve"> and the Air Pollution Info</w:t>
      </w:r>
      <w:r w:rsidR="006E035A">
        <w:t>rmation Network for Africa (APINA)</w:t>
      </w:r>
      <w:r w:rsidR="005A2C9E" w:rsidRPr="00000228">
        <w:t>.</w:t>
      </w:r>
      <w:bookmarkEnd w:id="1"/>
      <w:r w:rsidR="006E035A">
        <w:t xml:space="preserve"> All these sources have </w:t>
      </w:r>
      <w:r>
        <w:t xml:space="preserve">been used in the </w:t>
      </w:r>
      <w:r w:rsidR="005E2E16">
        <w:t>preparation of this</w:t>
      </w:r>
      <w:r>
        <w:t xml:space="preserve"> Forum M</w:t>
      </w:r>
      <w:r w:rsidR="006E035A">
        <w:t>anual.</w:t>
      </w:r>
      <w:r w:rsidR="005A2C9E" w:rsidRPr="00000228">
        <w:t xml:space="preserve">  </w:t>
      </w:r>
    </w:p>
    <w:p w14:paraId="6AA44405" w14:textId="77777777" w:rsidR="00594052" w:rsidRDefault="00594052" w:rsidP="00000228"/>
    <w:p w14:paraId="3AD2578C" w14:textId="77777777" w:rsidR="00594052" w:rsidRDefault="00594052" w:rsidP="00000228"/>
    <w:p w14:paraId="327566A2" w14:textId="77777777" w:rsidR="00594052" w:rsidRDefault="00594052" w:rsidP="00000228"/>
    <w:p w14:paraId="5CEF2759" w14:textId="77777777" w:rsidR="00594052" w:rsidRDefault="00594052" w:rsidP="00000228"/>
    <w:p w14:paraId="5DC55AA5" w14:textId="77777777" w:rsidR="00C46552" w:rsidRDefault="00785429" w:rsidP="00785429">
      <w:pPr>
        <w:pStyle w:val="Heading1"/>
        <w:numPr>
          <w:ilvl w:val="0"/>
          <w:numId w:val="0"/>
        </w:numPr>
        <w:jc w:val="left"/>
      </w:pPr>
      <w:r>
        <w:t xml:space="preserve"> </w:t>
      </w:r>
      <w:r w:rsidR="00DA1EEF">
        <w:rPr>
          <w:rFonts w:ascii="Times New Roman" w:hAnsi="Times New Roman"/>
          <w:sz w:val="22"/>
        </w:rPr>
        <w:t xml:space="preserve"> </w:t>
      </w:r>
      <w:bookmarkStart w:id="3" w:name="_Toc140896028"/>
      <w:bookmarkStart w:id="4" w:name="_Toc339890906"/>
      <w:bookmarkStart w:id="5" w:name="_Toc10122645"/>
      <w:r w:rsidR="00161564">
        <w:rPr>
          <w:rFonts w:ascii="Times New Roman" w:hAnsi="Times New Roman"/>
          <w:noProof/>
          <w:sz w:val="22"/>
          <w:lang w:eastAsia="en-GB"/>
        </w:rPr>
        <w:drawing>
          <wp:inline distT="0" distB="0" distL="0" distR="0" wp14:anchorId="5D88733D" wp14:editId="56B9C260">
            <wp:extent cx="1333500" cy="1295400"/>
            <wp:effectExtent l="0" t="0" r="0" b="0"/>
            <wp:docPr id="4" name="Picture 4" descr="epafiles_aara_logo_epa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afiles_aara_logo_epase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1295400"/>
                    </a:xfrm>
                    <a:prstGeom prst="rect">
                      <a:avLst/>
                    </a:prstGeom>
                    <a:noFill/>
                    <a:ln>
                      <a:noFill/>
                    </a:ln>
                  </pic:spPr>
                </pic:pic>
              </a:graphicData>
            </a:graphic>
          </wp:inline>
        </w:drawing>
      </w:r>
      <w:r w:rsidR="00B43417">
        <w:rPr>
          <w:rFonts w:ascii="Times New Roman" w:hAnsi="Times New Roman"/>
          <w:sz w:val="22"/>
        </w:rPr>
        <w:t xml:space="preserve"> </w:t>
      </w:r>
      <w:r w:rsidR="00DA1EEF">
        <w:rPr>
          <w:rFonts w:ascii="Times New Roman" w:hAnsi="Times New Roman"/>
          <w:sz w:val="22"/>
        </w:rPr>
        <w:t xml:space="preserve"> </w:t>
      </w:r>
      <w:r w:rsidR="00B43417">
        <w:rPr>
          <w:rFonts w:ascii="Times New Roman" w:hAnsi="Times New Roman"/>
          <w:sz w:val="22"/>
        </w:rPr>
        <w:t xml:space="preserve"> </w:t>
      </w:r>
      <w:r w:rsidR="00161564">
        <w:rPr>
          <w:rFonts w:ascii="Times New Roman" w:hAnsi="Times New Roman"/>
          <w:noProof/>
          <w:sz w:val="22"/>
          <w:lang w:eastAsia="en-GB"/>
        </w:rPr>
        <w:drawing>
          <wp:inline distT="0" distB="0" distL="0" distR="0" wp14:anchorId="2F62C733" wp14:editId="7B80BFB3">
            <wp:extent cx="1211580" cy="449580"/>
            <wp:effectExtent l="0" t="0" r="7620" b="7620"/>
            <wp:docPr id="5" name="Picture 5" descr="s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d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1580" cy="449580"/>
                    </a:xfrm>
                    <a:prstGeom prst="rect">
                      <a:avLst/>
                    </a:prstGeom>
                    <a:noFill/>
                    <a:ln>
                      <a:noFill/>
                    </a:ln>
                  </pic:spPr>
                </pic:pic>
              </a:graphicData>
            </a:graphic>
          </wp:inline>
        </w:drawing>
      </w:r>
      <w:r w:rsidR="00B43417">
        <w:rPr>
          <w:rFonts w:ascii="Times New Roman" w:hAnsi="Times New Roman"/>
          <w:sz w:val="22"/>
        </w:rPr>
        <w:t xml:space="preserve">    </w:t>
      </w:r>
      <w:r w:rsidR="00161564">
        <w:rPr>
          <w:rFonts w:ascii="Times New Roman" w:hAnsi="Times New Roman"/>
          <w:noProof/>
          <w:sz w:val="22"/>
          <w:lang w:eastAsia="en-GB"/>
        </w:rPr>
        <w:drawing>
          <wp:inline distT="0" distB="0" distL="0" distR="0" wp14:anchorId="15471D82" wp14:editId="6443B1DB">
            <wp:extent cx="1417320" cy="685800"/>
            <wp:effectExtent l="0" t="0" r="0" b="0"/>
            <wp:docPr id="6" name="Picture 6" descr="cicero_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cero_n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7320" cy="685800"/>
                    </a:xfrm>
                    <a:prstGeom prst="rect">
                      <a:avLst/>
                    </a:prstGeom>
                    <a:noFill/>
                    <a:ln>
                      <a:noFill/>
                    </a:ln>
                  </pic:spPr>
                </pic:pic>
              </a:graphicData>
            </a:graphic>
          </wp:inline>
        </w:drawing>
      </w:r>
      <w:r w:rsidR="00B43417">
        <w:rPr>
          <w:rFonts w:ascii="Times New Roman" w:hAnsi="Times New Roman"/>
          <w:sz w:val="22"/>
        </w:rPr>
        <w:t xml:space="preserve">      </w:t>
      </w:r>
      <w:r w:rsidR="00161564">
        <w:rPr>
          <w:rFonts w:ascii="Times New Roman" w:hAnsi="Times New Roman"/>
          <w:noProof/>
          <w:sz w:val="22"/>
          <w:lang w:eastAsia="en-GB"/>
        </w:rPr>
        <w:drawing>
          <wp:inline distT="0" distB="0" distL="0" distR="0" wp14:anchorId="140B1027" wp14:editId="077769BC">
            <wp:extent cx="1127760" cy="1363980"/>
            <wp:effectExtent l="0" t="0" r="0" b="7620"/>
            <wp:docPr id="7" name="Picture 7" descr="logo_BOC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BOC found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1363980"/>
                    </a:xfrm>
                    <a:prstGeom prst="rect">
                      <a:avLst/>
                    </a:prstGeom>
                    <a:noFill/>
                    <a:ln>
                      <a:noFill/>
                    </a:ln>
                  </pic:spPr>
                </pic:pic>
              </a:graphicData>
            </a:graphic>
          </wp:inline>
        </w:drawing>
      </w:r>
      <w:r w:rsidR="00C46552">
        <w:rPr>
          <w:rFonts w:ascii="Times New Roman" w:hAnsi="Times New Roman"/>
          <w:sz w:val="22"/>
        </w:rPr>
        <w:br w:type="column"/>
      </w:r>
      <w:r w:rsidR="00C46552">
        <w:lastRenderedPageBreak/>
        <w:t>Table of Contents</w:t>
      </w:r>
      <w:bookmarkEnd w:id="3"/>
      <w:bookmarkEnd w:id="4"/>
      <w:bookmarkEnd w:id="5"/>
    </w:p>
    <w:p w14:paraId="7733598F" w14:textId="77777777" w:rsidR="00C46552" w:rsidRPr="00EA3167" w:rsidRDefault="00C46552">
      <w:pPr>
        <w:rPr>
          <w:b/>
          <w:sz w:val="20"/>
        </w:rPr>
      </w:pPr>
    </w:p>
    <w:p w14:paraId="6A5753C7" w14:textId="33D3ADDE" w:rsidR="00DC7701" w:rsidRDefault="008059FF">
      <w:pPr>
        <w:pStyle w:val="TOC1"/>
        <w:tabs>
          <w:tab w:val="right" w:leader="dot" w:pos="9352"/>
        </w:tabs>
        <w:rPr>
          <w:rFonts w:asciiTheme="minorHAnsi" w:eastAsiaTheme="minorEastAsia" w:hAnsiTheme="minorHAnsi" w:cstheme="minorBidi"/>
          <w:b w:val="0"/>
          <w:caps w:val="0"/>
          <w:sz w:val="22"/>
          <w:szCs w:val="22"/>
          <w:lang w:eastAsia="en-GB"/>
        </w:rPr>
      </w:pPr>
      <w:r>
        <w:fldChar w:fldCharType="begin"/>
      </w:r>
      <w:r w:rsidR="00C46552">
        <w:instrText xml:space="preserve"> TOC \o "3-3" \t "Heading 1,1,Heading 2,2,Title,1,Subtitle,2,Appendix_title,1,Annex_Hd_1,2,Annex_hd_2,3" </w:instrText>
      </w:r>
      <w:r>
        <w:fldChar w:fldCharType="separate"/>
      </w:r>
      <w:r w:rsidR="00DC7701">
        <w:t>Acknowledgments</w:t>
      </w:r>
      <w:r w:rsidR="00DC7701">
        <w:tab/>
      </w:r>
      <w:r w:rsidR="00DC7701">
        <w:fldChar w:fldCharType="begin"/>
      </w:r>
      <w:r w:rsidR="00DC7701">
        <w:instrText xml:space="preserve"> PAGEREF _Toc10122644 \h </w:instrText>
      </w:r>
      <w:r w:rsidR="00DC7701">
        <w:fldChar w:fldCharType="separate"/>
      </w:r>
      <w:r w:rsidR="00DC7701">
        <w:t>ii</w:t>
      </w:r>
      <w:r w:rsidR="00DC7701">
        <w:fldChar w:fldCharType="end"/>
      </w:r>
    </w:p>
    <w:p w14:paraId="3335DC46" w14:textId="7693AA73"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Table of Contents</w:t>
      </w:r>
      <w:r>
        <w:tab/>
      </w:r>
      <w:r>
        <w:fldChar w:fldCharType="begin"/>
      </w:r>
      <w:r>
        <w:instrText xml:space="preserve"> PAGEREF _Toc10122645 \h </w:instrText>
      </w:r>
      <w:r>
        <w:fldChar w:fldCharType="separate"/>
      </w:r>
      <w:r>
        <w:t>ii</w:t>
      </w:r>
      <w:r>
        <w:fldChar w:fldCharType="end"/>
      </w:r>
    </w:p>
    <w:p w14:paraId="3450413F" w14:textId="45FC17B5"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Executive summary</w:t>
      </w:r>
      <w:r>
        <w:tab/>
      </w:r>
      <w:r>
        <w:fldChar w:fldCharType="begin"/>
      </w:r>
      <w:r>
        <w:instrText xml:space="preserve"> PAGEREF _Toc10122646 \h </w:instrText>
      </w:r>
      <w:r>
        <w:fldChar w:fldCharType="separate"/>
      </w:r>
      <w:r>
        <w:t>vii</w:t>
      </w:r>
      <w:r>
        <w:fldChar w:fldCharType="end"/>
      </w:r>
    </w:p>
    <w:p w14:paraId="05E3E33C" w14:textId="6F6A3617"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Acronyms and Abbreviations</w:t>
      </w:r>
      <w:r>
        <w:tab/>
      </w:r>
      <w:r>
        <w:fldChar w:fldCharType="begin"/>
      </w:r>
      <w:r>
        <w:instrText xml:space="preserve"> PAGEREF _Toc10122647 \h </w:instrText>
      </w:r>
      <w:r>
        <w:fldChar w:fldCharType="separate"/>
      </w:r>
      <w:r>
        <w:t>viii</w:t>
      </w:r>
      <w:r>
        <w:fldChar w:fldCharType="end"/>
      </w:r>
    </w:p>
    <w:p w14:paraId="12912401" w14:textId="6E89CFE8"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Units and Conversions</w:t>
      </w:r>
      <w:r>
        <w:tab/>
      </w:r>
      <w:r>
        <w:fldChar w:fldCharType="begin"/>
      </w:r>
      <w:r>
        <w:instrText xml:space="preserve"> PAGEREF _Toc10122648 \h </w:instrText>
      </w:r>
      <w:r>
        <w:fldChar w:fldCharType="separate"/>
      </w:r>
      <w:r>
        <w:t>xii</w:t>
      </w:r>
      <w:r>
        <w:fldChar w:fldCharType="end"/>
      </w:r>
    </w:p>
    <w:p w14:paraId="651EFE79" w14:textId="1FAD2AE2"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Fuel categories used in the Forum Workbook</w:t>
      </w:r>
      <w:r>
        <w:tab/>
      </w:r>
      <w:r>
        <w:fldChar w:fldCharType="begin"/>
      </w:r>
      <w:r>
        <w:instrText xml:space="preserve"> PAGEREF _Toc10122649 \h </w:instrText>
      </w:r>
      <w:r>
        <w:fldChar w:fldCharType="separate"/>
      </w:r>
      <w:r>
        <w:t>xiii</w:t>
      </w:r>
      <w:r>
        <w:fldChar w:fldCharType="end"/>
      </w:r>
    </w:p>
    <w:p w14:paraId="71154610" w14:textId="58190BF5"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1.</w:t>
      </w:r>
      <w:r>
        <w:rPr>
          <w:rFonts w:asciiTheme="minorHAnsi" w:eastAsiaTheme="minorEastAsia" w:hAnsiTheme="minorHAnsi" w:cstheme="minorBidi"/>
          <w:b w:val="0"/>
          <w:caps w:val="0"/>
          <w:sz w:val="22"/>
          <w:szCs w:val="22"/>
          <w:lang w:eastAsia="en-GB"/>
        </w:rPr>
        <w:tab/>
      </w:r>
      <w:r>
        <w:t>Introduction</w:t>
      </w:r>
      <w:r>
        <w:tab/>
      </w:r>
      <w:r>
        <w:fldChar w:fldCharType="begin"/>
      </w:r>
      <w:r>
        <w:instrText xml:space="preserve"> PAGEREF _Toc10122650 \h </w:instrText>
      </w:r>
      <w:r>
        <w:fldChar w:fldCharType="separate"/>
      </w:r>
      <w:r>
        <w:t>1</w:t>
      </w:r>
      <w:r>
        <w:fldChar w:fldCharType="end"/>
      </w:r>
    </w:p>
    <w:p w14:paraId="582DD969" w14:textId="54C905B2" w:rsidR="00DC7701" w:rsidRDefault="00DC7701">
      <w:pPr>
        <w:pStyle w:val="TOC2"/>
        <w:rPr>
          <w:rFonts w:asciiTheme="minorHAnsi" w:eastAsiaTheme="minorEastAsia" w:hAnsiTheme="minorHAnsi" w:cstheme="minorBidi"/>
          <w:smallCaps w:val="0"/>
          <w:sz w:val="22"/>
          <w:szCs w:val="22"/>
          <w:lang w:eastAsia="en-GB"/>
        </w:rPr>
      </w:pPr>
      <w:r>
        <w:t>1.1</w:t>
      </w:r>
      <w:r>
        <w:rPr>
          <w:rFonts w:asciiTheme="minorHAnsi" w:eastAsiaTheme="minorEastAsia" w:hAnsiTheme="minorHAnsi" w:cstheme="minorBidi"/>
          <w:smallCaps w:val="0"/>
          <w:sz w:val="22"/>
          <w:szCs w:val="22"/>
          <w:lang w:eastAsia="en-GB"/>
        </w:rPr>
        <w:tab/>
      </w:r>
      <w:r>
        <w:t>The need for regional cooperation on emissions inventories</w:t>
      </w:r>
      <w:r>
        <w:tab/>
      </w:r>
      <w:r>
        <w:fldChar w:fldCharType="begin"/>
      </w:r>
      <w:r>
        <w:instrText xml:space="preserve"> PAGEREF _Toc10122651 \h </w:instrText>
      </w:r>
      <w:r>
        <w:fldChar w:fldCharType="separate"/>
      </w:r>
      <w:r>
        <w:t>1</w:t>
      </w:r>
      <w:r>
        <w:fldChar w:fldCharType="end"/>
      </w:r>
    </w:p>
    <w:p w14:paraId="71FA65E3" w14:textId="3B462236" w:rsidR="00DC7701" w:rsidRDefault="00DC7701">
      <w:pPr>
        <w:pStyle w:val="TOC2"/>
        <w:rPr>
          <w:rFonts w:asciiTheme="minorHAnsi" w:eastAsiaTheme="minorEastAsia" w:hAnsiTheme="minorHAnsi" w:cstheme="minorBidi"/>
          <w:smallCaps w:val="0"/>
          <w:sz w:val="22"/>
          <w:szCs w:val="22"/>
          <w:lang w:eastAsia="en-GB"/>
        </w:rPr>
      </w:pPr>
      <w:r>
        <w:t>1.2</w:t>
      </w:r>
      <w:r>
        <w:rPr>
          <w:rFonts w:asciiTheme="minorHAnsi" w:eastAsiaTheme="minorEastAsia" w:hAnsiTheme="minorHAnsi" w:cstheme="minorBidi"/>
          <w:smallCaps w:val="0"/>
          <w:sz w:val="22"/>
          <w:szCs w:val="22"/>
          <w:lang w:eastAsia="en-GB"/>
        </w:rPr>
        <w:tab/>
      </w:r>
      <w:r>
        <w:t>Regional air pollution initiatives</w:t>
      </w:r>
      <w:r>
        <w:tab/>
      </w:r>
      <w:r>
        <w:fldChar w:fldCharType="begin"/>
      </w:r>
      <w:r>
        <w:instrText xml:space="preserve"> PAGEREF _Toc10122652 \h </w:instrText>
      </w:r>
      <w:r>
        <w:fldChar w:fldCharType="separate"/>
      </w:r>
      <w:r>
        <w:t>1</w:t>
      </w:r>
      <w:r>
        <w:fldChar w:fldCharType="end"/>
      </w:r>
    </w:p>
    <w:p w14:paraId="2E23A004" w14:textId="25737BEB" w:rsidR="00DC7701" w:rsidRDefault="00DC7701">
      <w:pPr>
        <w:pStyle w:val="TOC2"/>
        <w:rPr>
          <w:rFonts w:asciiTheme="minorHAnsi" w:eastAsiaTheme="minorEastAsia" w:hAnsiTheme="minorHAnsi" w:cstheme="minorBidi"/>
          <w:smallCaps w:val="0"/>
          <w:sz w:val="22"/>
          <w:szCs w:val="22"/>
          <w:lang w:eastAsia="en-GB"/>
        </w:rPr>
      </w:pPr>
      <w:r>
        <w:t>1.3</w:t>
      </w:r>
      <w:r>
        <w:rPr>
          <w:rFonts w:asciiTheme="minorHAnsi" w:eastAsiaTheme="minorEastAsia" w:hAnsiTheme="minorHAnsi" w:cstheme="minorBidi"/>
          <w:smallCaps w:val="0"/>
          <w:sz w:val="22"/>
          <w:szCs w:val="22"/>
          <w:lang w:eastAsia="en-GB"/>
        </w:rPr>
        <w:tab/>
      </w:r>
      <w:r>
        <w:t>The Global Atmospheric Pollution Forum</w:t>
      </w:r>
      <w:r>
        <w:tab/>
      </w:r>
      <w:r>
        <w:fldChar w:fldCharType="begin"/>
      </w:r>
      <w:r>
        <w:instrText xml:space="preserve"> PAGEREF _Toc10122653 \h </w:instrText>
      </w:r>
      <w:r>
        <w:fldChar w:fldCharType="separate"/>
      </w:r>
      <w:r>
        <w:t>2</w:t>
      </w:r>
      <w:r>
        <w:fldChar w:fldCharType="end"/>
      </w:r>
    </w:p>
    <w:p w14:paraId="27BE7852" w14:textId="1E615428"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2.</w:t>
      </w:r>
      <w:r>
        <w:rPr>
          <w:rFonts w:asciiTheme="minorHAnsi" w:eastAsiaTheme="minorEastAsia" w:hAnsiTheme="minorHAnsi" w:cstheme="minorBidi"/>
          <w:b w:val="0"/>
          <w:caps w:val="0"/>
          <w:sz w:val="22"/>
          <w:szCs w:val="22"/>
          <w:lang w:eastAsia="en-GB"/>
        </w:rPr>
        <w:tab/>
      </w:r>
      <w:r>
        <w:t>Principles of good practice in preparing inventories</w:t>
      </w:r>
      <w:r>
        <w:tab/>
      </w:r>
      <w:r>
        <w:fldChar w:fldCharType="begin"/>
      </w:r>
      <w:r>
        <w:instrText xml:space="preserve"> PAGEREF _Toc10122654 \h </w:instrText>
      </w:r>
      <w:r>
        <w:fldChar w:fldCharType="separate"/>
      </w:r>
      <w:r>
        <w:t>2</w:t>
      </w:r>
      <w:r>
        <w:fldChar w:fldCharType="end"/>
      </w:r>
    </w:p>
    <w:p w14:paraId="511AA479" w14:textId="1D1EA3DE" w:rsidR="00DC7701" w:rsidRDefault="00DC7701">
      <w:pPr>
        <w:pStyle w:val="TOC2"/>
        <w:rPr>
          <w:rFonts w:asciiTheme="minorHAnsi" w:eastAsiaTheme="minorEastAsia" w:hAnsiTheme="minorHAnsi" w:cstheme="minorBidi"/>
          <w:smallCaps w:val="0"/>
          <w:sz w:val="22"/>
          <w:szCs w:val="22"/>
          <w:lang w:eastAsia="en-GB"/>
        </w:rPr>
      </w:pPr>
      <w:r>
        <w:t>2.1</w:t>
      </w:r>
      <w:r>
        <w:rPr>
          <w:rFonts w:asciiTheme="minorHAnsi" w:eastAsiaTheme="minorEastAsia" w:hAnsiTheme="minorHAnsi" w:cstheme="minorBidi"/>
          <w:smallCaps w:val="0"/>
          <w:sz w:val="22"/>
          <w:szCs w:val="22"/>
          <w:lang w:eastAsia="en-GB"/>
        </w:rPr>
        <w:tab/>
      </w:r>
      <w:r>
        <w:t>Basic inventory principles</w:t>
      </w:r>
      <w:r>
        <w:tab/>
      </w:r>
      <w:r>
        <w:fldChar w:fldCharType="begin"/>
      </w:r>
      <w:r>
        <w:instrText xml:space="preserve"> PAGEREF _Toc10122655 \h </w:instrText>
      </w:r>
      <w:r>
        <w:fldChar w:fldCharType="separate"/>
      </w:r>
      <w:r>
        <w:t>2</w:t>
      </w:r>
      <w:r>
        <w:fldChar w:fldCharType="end"/>
      </w:r>
    </w:p>
    <w:p w14:paraId="0624A920" w14:textId="51ACC300" w:rsidR="00DC7701" w:rsidRDefault="00DC7701">
      <w:pPr>
        <w:pStyle w:val="TOC2"/>
        <w:rPr>
          <w:rFonts w:asciiTheme="minorHAnsi" w:eastAsiaTheme="minorEastAsia" w:hAnsiTheme="minorHAnsi" w:cstheme="minorBidi"/>
          <w:smallCaps w:val="0"/>
          <w:sz w:val="22"/>
          <w:szCs w:val="22"/>
          <w:lang w:eastAsia="en-GB"/>
        </w:rPr>
      </w:pPr>
      <w:r>
        <w:t>2.2</w:t>
      </w:r>
      <w:r>
        <w:rPr>
          <w:rFonts w:asciiTheme="minorHAnsi" w:eastAsiaTheme="minorEastAsia" w:hAnsiTheme="minorHAnsi" w:cstheme="minorBidi"/>
          <w:smallCaps w:val="0"/>
          <w:sz w:val="22"/>
          <w:szCs w:val="22"/>
          <w:lang w:eastAsia="en-GB"/>
        </w:rPr>
        <w:tab/>
      </w:r>
      <w:r>
        <w:t>Estimation methods</w:t>
      </w:r>
      <w:r>
        <w:tab/>
      </w:r>
      <w:r>
        <w:fldChar w:fldCharType="begin"/>
      </w:r>
      <w:r>
        <w:instrText xml:space="preserve"> PAGEREF _Toc10122656 \h </w:instrText>
      </w:r>
      <w:r>
        <w:fldChar w:fldCharType="separate"/>
      </w:r>
      <w:r>
        <w:t>3</w:t>
      </w:r>
      <w:r>
        <w:fldChar w:fldCharType="end"/>
      </w:r>
    </w:p>
    <w:p w14:paraId="4778EB12" w14:textId="21ACD1B6" w:rsidR="00DC7701" w:rsidRDefault="00DC7701">
      <w:pPr>
        <w:pStyle w:val="TOC2"/>
        <w:rPr>
          <w:rFonts w:asciiTheme="minorHAnsi" w:eastAsiaTheme="minorEastAsia" w:hAnsiTheme="minorHAnsi" w:cstheme="minorBidi"/>
          <w:smallCaps w:val="0"/>
          <w:sz w:val="22"/>
          <w:szCs w:val="22"/>
          <w:lang w:eastAsia="en-GB"/>
        </w:rPr>
      </w:pPr>
      <w:r>
        <w:t>2.3</w:t>
      </w:r>
      <w:r>
        <w:rPr>
          <w:rFonts w:asciiTheme="minorHAnsi" w:eastAsiaTheme="minorEastAsia" w:hAnsiTheme="minorHAnsi" w:cstheme="minorBidi"/>
          <w:smallCaps w:val="0"/>
          <w:sz w:val="22"/>
          <w:szCs w:val="22"/>
          <w:lang w:eastAsia="en-GB"/>
        </w:rPr>
        <w:tab/>
      </w:r>
      <w:r>
        <w:t>Data collection</w:t>
      </w:r>
      <w:r>
        <w:tab/>
      </w:r>
      <w:r>
        <w:fldChar w:fldCharType="begin"/>
      </w:r>
      <w:r>
        <w:instrText xml:space="preserve"> PAGEREF _Toc10122657 \h </w:instrText>
      </w:r>
      <w:r>
        <w:fldChar w:fldCharType="separate"/>
      </w:r>
      <w:r>
        <w:t>4</w:t>
      </w:r>
      <w:r>
        <w:fldChar w:fldCharType="end"/>
      </w:r>
    </w:p>
    <w:p w14:paraId="04DEDF18" w14:textId="6BCC5576" w:rsidR="00DC7701" w:rsidRDefault="00DC7701">
      <w:pPr>
        <w:pStyle w:val="TOC2"/>
        <w:rPr>
          <w:rFonts w:asciiTheme="minorHAnsi" w:eastAsiaTheme="minorEastAsia" w:hAnsiTheme="minorHAnsi" w:cstheme="minorBidi"/>
          <w:smallCaps w:val="0"/>
          <w:sz w:val="22"/>
          <w:szCs w:val="22"/>
          <w:lang w:eastAsia="en-GB"/>
        </w:rPr>
      </w:pPr>
      <w:r>
        <w:t>2.4</w:t>
      </w:r>
      <w:r>
        <w:rPr>
          <w:rFonts w:asciiTheme="minorHAnsi" w:eastAsiaTheme="minorEastAsia" w:hAnsiTheme="minorHAnsi" w:cstheme="minorBidi"/>
          <w:smallCaps w:val="0"/>
          <w:sz w:val="22"/>
          <w:szCs w:val="22"/>
          <w:lang w:eastAsia="en-GB"/>
        </w:rPr>
        <w:tab/>
      </w:r>
      <w:r>
        <w:t>Data structure</w:t>
      </w:r>
      <w:r>
        <w:tab/>
      </w:r>
      <w:r>
        <w:fldChar w:fldCharType="begin"/>
      </w:r>
      <w:r>
        <w:instrText xml:space="preserve"> PAGEREF _Toc10122658 \h </w:instrText>
      </w:r>
      <w:r>
        <w:fldChar w:fldCharType="separate"/>
      </w:r>
      <w:r>
        <w:t>4</w:t>
      </w:r>
      <w:r>
        <w:fldChar w:fldCharType="end"/>
      </w:r>
    </w:p>
    <w:p w14:paraId="75214F1E" w14:textId="15755103" w:rsidR="00DC7701" w:rsidRDefault="00DC7701">
      <w:pPr>
        <w:pStyle w:val="TOC2"/>
        <w:rPr>
          <w:rFonts w:asciiTheme="minorHAnsi" w:eastAsiaTheme="minorEastAsia" w:hAnsiTheme="minorHAnsi" w:cstheme="minorBidi"/>
          <w:smallCaps w:val="0"/>
          <w:sz w:val="22"/>
          <w:szCs w:val="22"/>
          <w:lang w:eastAsia="en-GB"/>
        </w:rPr>
      </w:pPr>
      <w:r>
        <w:t>2.5</w:t>
      </w:r>
      <w:r>
        <w:rPr>
          <w:rFonts w:asciiTheme="minorHAnsi" w:eastAsiaTheme="minorEastAsia" w:hAnsiTheme="minorHAnsi" w:cstheme="minorBidi"/>
          <w:smallCaps w:val="0"/>
          <w:sz w:val="22"/>
          <w:szCs w:val="22"/>
          <w:lang w:eastAsia="en-GB"/>
        </w:rPr>
        <w:tab/>
      </w:r>
      <w:r>
        <w:t>Shared elements with other emissions inventories</w:t>
      </w:r>
      <w:r>
        <w:tab/>
      </w:r>
      <w:r>
        <w:fldChar w:fldCharType="begin"/>
      </w:r>
      <w:r>
        <w:instrText xml:space="preserve"> PAGEREF _Toc10122659 \h </w:instrText>
      </w:r>
      <w:r>
        <w:fldChar w:fldCharType="separate"/>
      </w:r>
      <w:r>
        <w:t>4</w:t>
      </w:r>
      <w:r>
        <w:fldChar w:fldCharType="end"/>
      </w:r>
    </w:p>
    <w:p w14:paraId="19E522F8" w14:textId="525A45C4" w:rsidR="00DC7701" w:rsidRDefault="00DC7701">
      <w:pPr>
        <w:pStyle w:val="TOC2"/>
        <w:rPr>
          <w:rFonts w:asciiTheme="minorHAnsi" w:eastAsiaTheme="minorEastAsia" w:hAnsiTheme="minorHAnsi" w:cstheme="minorBidi"/>
          <w:smallCaps w:val="0"/>
          <w:sz w:val="22"/>
          <w:szCs w:val="22"/>
          <w:lang w:eastAsia="en-GB"/>
        </w:rPr>
      </w:pPr>
      <w:r>
        <w:t>2.6</w:t>
      </w:r>
      <w:r>
        <w:rPr>
          <w:rFonts w:asciiTheme="minorHAnsi" w:eastAsiaTheme="minorEastAsia" w:hAnsiTheme="minorHAnsi" w:cstheme="minorBidi"/>
          <w:smallCaps w:val="0"/>
          <w:sz w:val="22"/>
          <w:szCs w:val="22"/>
          <w:lang w:eastAsia="en-GB"/>
        </w:rPr>
        <w:tab/>
      </w:r>
      <w:r>
        <w:t>Completeness</w:t>
      </w:r>
      <w:r>
        <w:tab/>
      </w:r>
      <w:r>
        <w:fldChar w:fldCharType="begin"/>
      </w:r>
      <w:r>
        <w:instrText xml:space="preserve"> PAGEREF _Toc10122660 \h </w:instrText>
      </w:r>
      <w:r>
        <w:fldChar w:fldCharType="separate"/>
      </w:r>
      <w:r>
        <w:t>7</w:t>
      </w:r>
      <w:r>
        <w:fldChar w:fldCharType="end"/>
      </w:r>
    </w:p>
    <w:p w14:paraId="067B3B52" w14:textId="2EB264B2" w:rsidR="00DC7701" w:rsidRDefault="00DC7701">
      <w:pPr>
        <w:pStyle w:val="TOC2"/>
        <w:rPr>
          <w:rFonts w:asciiTheme="minorHAnsi" w:eastAsiaTheme="minorEastAsia" w:hAnsiTheme="minorHAnsi" w:cstheme="minorBidi"/>
          <w:smallCaps w:val="0"/>
          <w:sz w:val="22"/>
          <w:szCs w:val="22"/>
          <w:lang w:eastAsia="en-GB"/>
        </w:rPr>
      </w:pPr>
      <w:r>
        <w:t>2.7</w:t>
      </w:r>
      <w:r>
        <w:rPr>
          <w:rFonts w:asciiTheme="minorHAnsi" w:eastAsiaTheme="minorEastAsia" w:hAnsiTheme="minorHAnsi" w:cstheme="minorBidi"/>
          <w:smallCaps w:val="0"/>
          <w:sz w:val="22"/>
          <w:szCs w:val="22"/>
          <w:lang w:eastAsia="en-GB"/>
        </w:rPr>
        <w:tab/>
      </w:r>
      <w:r>
        <w:t>Pollutants covered in this manual</w:t>
      </w:r>
      <w:r>
        <w:tab/>
      </w:r>
      <w:r>
        <w:fldChar w:fldCharType="begin"/>
      </w:r>
      <w:r>
        <w:instrText xml:space="preserve"> PAGEREF _Toc10122661 \h </w:instrText>
      </w:r>
      <w:r>
        <w:fldChar w:fldCharType="separate"/>
      </w:r>
      <w:r>
        <w:t>8</w:t>
      </w:r>
      <w:r>
        <w:fldChar w:fldCharType="end"/>
      </w:r>
    </w:p>
    <w:p w14:paraId="409F673F" w14:textId="0C97A27D"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2.7.1</w:t>
      </w:r>
      <w:r>
        <w:rPr>
          <w:rFonts w:asciiTheme="minorHAnsi" w:eastAsiaTheme="minorEastAsia" w:hAnsiTheme="minorHAnsi" w:cstheme="minorBidi"/>
          <w:i w:val="0"/>
          <w:noProof/>
          <w:sz w:val="22"/>
          <w:szCs w:val="22"/>
          <w:lang w:eastAsia="en-GB"/>
        </w:rPr>
        <w:tab/>
      </w:r>
      <w:r>
        <w:rPr>
          <w:noProof/>
        </w:rPr>
        <w:t>Sulphur dioxide</w:t>
      </w:r>
      <w:r>
        <w:rPr>
          <w:noProof/>
        </w:rPr>
        <w:tab/>
      </w:r>
      <w:r>
        <w:rPr>
          <w:noProof/>
        </w:rPr>
        <w:fldChar w:fldCharType="begin"/>
      </w:r>
      <w:r>
        <w:rPr>
          <w:noProof/>
        </w:rPr>
        <w:instrText xml:space="preserve"> PAGEREF _Toc10122662 \h </w:instrText>
      </w:r>
      <w:r>
        <w:rPr>
          <w:noProof/>
        </w:rPr>
      </w:r>
      <w:r>
        <w:rPr>
          <w:noProof/>
        </w:rPr>
        <w:fldChar w:fldCharType="separate"/>
      </w:r>
      <w:r>
        <w:rPr>
          <w:noProof/>
        </w:rPr>
        <w:t>8</w:t>
      </w:r>
      <w:r>
        <w:rPr>
          <w:noProof/>
        </w:rPr>
        <w:fldChar w:fldCharType="end"/>
      </w:r>
    </w:p>
    <w:p w14:paraId="3E48A70A" w14:textId="365077B3"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2.7.2</w:t>
      </w:r>
      <w:r>
        <w:rPr>
          <w:rFonts w:asciiTheme="minorHAnsi" w:eastAsiaTheme="minorEastAsia" w:hAnsiTheme="minorHAnsi" w:cstheme="minorBidi"/>
          <w:i w:val="0"/>
          <w:noProof/>
          <w:sz w:val="22"/>
          <w:szCs w:val="22"/>
          <w:lang w:eastAsia="en-GB"/>
        </w:rPr>
        <w:tab/>
      </w:r>
      <w:r>
        <w:rPr>
          <w:noProof/>
        </w:rPr>
        <w:t>Nitrogen oxides</w:t>
      </w:r>
      <w:r>
        <w:rPr>
          <w:noProof/>
        </w:rPr>
        <w:tab/>
      </w:r>
      <w:r>
        <w:rPr>
          <w:noProof/>
        </w:rPr>
        <w:fldChar w:fldCharType="begin"/>
      </w:r>
      <w:r>
        <w:rPr>
          <w:noProof/>
        </w:rPr>
        <w:instrText xml:space="preserve"> PAGEREF _Toc10122663 \h </w:instrText>
      </w:r>
      <w:r>
        <w:rPr>
          <w:noProof/>
        </w:rPr>
      </w:r>
      <w:r>
        <w:rPr>
          <w:noProof/>
        </w:rPr>
        <w:fldChar w:fldCharType="separate"/>
      </w:r>
      <w:r>
        <w:rPr>
          <w:noProof/>
        </w:rPr>
        <w:t>8</w:t>
      </w:r>
      <w:r>
        <w:rPr>
          <w:noProof/>
        </w:rPr>
        <w:fldChar w:fldCharType="end"/>
      </w:r>
    </w:p>
    <w:p w14:paraId="043D0B98" w14:textId="6166E319"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2.7.3</w:t>
      </w:r>
      <w:r>
        <w:rPr>
          <w:rFonts w:asciiTheme="minorHAnsi" w:eastAsiaTheme="minorEastAsia" w:hAnsiTheme="minorHAnsi" w:cstheme="minorBidi"/>
          <w:i w:val="0"/>
          <w:noProof/>
          <w:sz w:val="22"/>
          <w:szCs w:val="22"/>
          <w:lang w:eastAsia="en-GB"/>
        </w:rPr>
        <w:tab/>
      </w:r>
      <w:r>
        <w:rPr>
          <w:noProof/>
        </w:rPr>
        <w:t>Ammonia</w:t>
      </w:r>
      <w:r>
        <w:rPr>
          <w:noProof/>
        </w:rPr>
        <w:tab/>
      </w:r>
      <w:r>
        <w:rPr>
          <w:noProof/>
        </w:rPr>
        <w:fldChar w:fldCharType="begin"/>
      </w:r>
      <w:r>
        <w:rPr>
          <w:noProof/>
        </w:rPr>
        <w:instrText xml:space="preserve"> PAGEREF _Toc10122664 \h </w:instrText>
      </w:r>
      <w:r>
        <w:rPr>
          <w:noProof/>
        </w:rPr>
      </w:r>
      <w:r>
        <w:rPr>
          <w:noProof/>
        </w:rPr>
        <w:fldChar w:fldCharType="separate"/>
      </w:r>
      <w:r>
        <w:rPr>
          <w:noProof/>
        </w:rPr>
        <w:t>8</w:t>
      </w:r>
      <w:r>
        <w:rPr>
          <w:noProof/>
        </w:rPr>
        <w:fldChar w:fldCharType="end"/>
      </w:r>
    </w:p>
    <w:p w14:paraId="34F27B58" w14:textId="487FE2BD"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2.7.4</w:t>
      </w:r>
      <w:r>
        <w:rPr>
          <w:rFonts w:asciiTheme="minorHAnsi" w:eastAsiaTheme="minorEastAsia" w:hAnsiTheme="minorHAnsi" w:cstheme="minorBidi"/>
          <w:i w:val="0"/>
          <w:noProof/>
          <w:sz w:val="22"/>
          <w:szCs w:val="22"/>
          <w:lang w:eastAsia="en-GB"/>
        </w:rPr>
        <w:tab/>
      </w:r>
      <w:r>
        <w:rPr>
          <w:noProof/>
        </w:rPr>
        <w:t>NMVOCs</w:t>
      </w:r>
      <w:r>
        <w:rPr>
          <w:noProof/>
        </w:rPr>
        <w:tab/>
      </w:r>
      <w:r>
        <w:rPr>
          <w:noProof/>
        </w:rPr>
        <w:fldChar w:fldCharType="begin"/>
      </w:r>
      <w:r>
        <w:rPr>
          <w:noProof/>
        </w:rPr>
        <w:instrText xml:space="preserve"> PAGEREF _Toc10122665 \h </w:instrText>
      </w:r>
      <w:r>
        <w:rPr>
          <w:noProof/>
        </w:rPr>
      </w:r>
      <w:r>
        <w:rPr>
          <w:noProof/>
        </w:rPr>
        <w:fldChar w:fldCharType="separate"/>
      </w:r>
      <w:r>
        <w:rPr>
          <w:noProof/>
        </w:rPr>
        <w:t>9</w:t>
      </w:r>
      <w:r>
        <w:rPr>
          <w:noProof/>
        </w:rPr>
        <w:fldChar w:fldCharType="end"/>
      </w:r>
    </w:p>
    <w:p w14:paraId="5572B07D" w14:textId="57A58237"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2.7.5</w:t>
      </w:r>
      <w:r>
        <w:rPr>
          <w:rFonts w:asciiTheme="minorHAnsi" w:eastAsiaTheme="minorEastAsia" w:hAnsiTheme="minorHAnsi" w:cstheme="minorBidi"/>
          <w:i w:val="0"/>
          <w:noProof/>
          <w:sz w:val="22"/>
          <w:szCs w:val="22"/>
          <w:lang w:eastAsia="en-GB"/>
        </w:rPr>
        <w:tab/>
      </w:r>
      <w:r>
        <w:rPr>
          <w:noProof/>
        </w:rPr>
        <w:t>Carbon monoxide</w:t>
      </w:r>
      <w:r>
        <w:rPr>
          <w:noProof/>
        </w:rPr>
        <w:tab/>
      </w:r>
      <w:r>
        <w:rPr>
          <w:noProof/>
        </w:rPr>
        <w:fldChar w:fldCharType="begin"/>
      </w:r>
      <w:r>
        <w:rPr>
          <w:noProof/>
        </w:rPr>
        <w:instrText xml:space="preserve"> PAGEREF _Toc10122666 \h </w:instrText>
      </w:r>
      <w:r>
        <w:rPr>
          <w:noProof/>
        </w:rPr>
      </w:r>
      <w:r>
        <w:rPr>
          <w:noProof/>
        </w:rPr>
        <w:fldChar w:fldCharType="separate"/>
      </w:r>
      <w:r>
        <w:rPr>
          <w:noProof/>
        </w:rPr>
        <w:t>9</w:t>
      </w:r>
      <w:r>
        <w:rPr>
          <w:noProof/>
        </w:rPr>
        <w:fldChar w:fldCharType="end"/>
      </w:r>
    </w:p>
    <w:p w14:paraId="2BE99D3A" w14:textId="6CC5B55C"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2.7.6</w:t>
      </w:r>
      <w:r>
        <w:rPr>
          <w:rFonts w:asciiTheme="minorHAnsi" w:eastAsiaTheme="minorEastAsia" w:hAnsiTheme="minorHAnsi" w:cstheme="minorBidi"/>
          <w:i w:val="0"/>
          <w:noProof/>
          <w:sz w:val="22"/>
          <w:szCs w:val="22"/>
          <w:lang w:eastAsia="en-GB"/>
        </w:rPr>
        <w:tab/>
      </w:r>
      <w:r>
        <w:rPr>
          <w:noProof/>
        </w:rPr>
        <w:t>Particulate matter</w:t>
      </w:r>
      <w:r>
        <w:rPr>
          <w:noProof/>
        </w:rPr>
        <w:tab/>
      </w:r>
      <w:r>
        <w:rPr>
          <w:noProof/>
        </w:rPr>
        <w:fldChar w:fldCharType="begin"/>
      </w:r>
      <w:r>
        <w:rPr>
          <w:noProof/>
        </w:rPr>
        <w:instrText xml:space="preserve"> PAGEREF _Toc10122667 \h </w:instrText>
      </w:r>
      <w:r>
        <w:rPr>
          <w:noProof/>
        </w:rPr>
      </w:r>
      <w:r>
        <w:rPr>
          <w:noProof/>
        </w:rPr>
        <w:fldChar w:fldCharType="separate"/>
      </w:r>
      <w:r>
        <w:rPr>
          <w:noProof/>
        </w:rPr>
        <w:t>10</w:t>
      </w:r>
      <w:r>
        <w:rPr>
          <w:noProof/>
        </w:rPr>
        <w:fldChar w:fldCharType="end"/>
      </w:r>
    </w:p>
    <w:p w14:paraId="3C41908A" w14:textId="142A7271"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2.7.7</w:t>
      </w:r>
      <w:r>
        <w:rPr>
          <w:rFonts w:asciiTheme="minorHAnsi" w:eastAsiaTheme="minorEastAsia" w:hAnsiTheme="minorHAnsi" w:cstheme="minorBidi"/>
          <w:i w:val="0"/>
          <w:noProof/>
          <w:sz w:val="22"/>
          <w:szCs w:val="22"/>
          <w:lang w:eastAsia="en-GB"/>
        </w:rPr>
        <w:tab/>
      </w:r>
      <w:r>
        <w:rPr>
          <w:noProof/>
        </w:rPr>
        <w:t>Methane</w:t>
      </w:r>
      <w:r>
        <w:rPr>
          <w:noProof/>
        </w:rPr>
        <w:tab/>
      </w:r>
      <w:r>
        <w:rPr>
          <w:noProof/>
        </w:rPr>
        <w:fldChar w:fldCharType="begin"/>
      </w:r>
      <w:r>
        <w:rPr>
          <w:noProof/>
        </w:rPr>
        <w:instrText xml:space="preserve"> PAGEREF _Toc10122668 \h </w:instrText>
      </w:r>
      <w:r>
        <w:rPr>
          <w:noProof/>
        </w:rPr>
      </w:r>
      <w:r>
        <w:rPr>
          <w:noProof/>
        </w:rPr>
        <w:fldChar w:fldCharType="separate"/>
      </w:r>
      <w:r>
        <w:rPr>
          <w:noProof/>
        </w:rPr>
        <w:t>10</w:t>
      </w:r>
      <w:r>
        <w:rPr>
          <w:noProof/>
        </w:rPr>
        <w:fldChar w:fldCharType="end"/>
      </w:r>
    </w:p>
    <w:p w14:paraId="3A52C923" w14:textId="6E247EAD"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2.7.8</w:t>
      </w:r>
      <w:r>
        <w:rPr>
          <w:rFonts w:asciiTheme="minorHAnsi" w:eastAsiaTheme="minorEastAsia" w:hAnsiTheme="minorHAnsi" w:cstheme="minorBidi"/>
          <w:i w:val="0"/>
          <w:noProof/>
          <w:sz w:val="22"/>
          <w:szCs w:val="22"/>
          <w:lang w:eastAsia="en-GB"/>
        </w:rPr>
        <w:tab/>
      </w:r>
      <w:r>
        <w:rPr>
          <w:noProof/>
        </w:rPr>
        <w:t>Carbon dioxide</w:t>
      </w:r>
      <w:r>
        <w:rPr>
          <w:noProof/>
        </w:rPr>
        <w:tab/>
      </w:r>
      <w:r>
        <w:rPr>
          <w:noProof/>
        </w:rPr>
        <w:fldChar w:fldCharType="begin"/>
      </w:r>
      <w:r>
        <w:rPr>
          <w:noProof/>
        </w:rPr>
        <w:instrText xml:space="preserve"> PAGEREF _Toc10122669 \h </w:instrText>
      </w:r>
      <w:r>
        <w:rPr>
          <w:noProof/>
        </w:rPr>
      </w:r>
      <w:r>
        <w:rPr>
          <w:noProof/>
        </w:rPr>
        <w:fldChar w:fldCharType="separate"/>
      </w:r>
      <w:r>
        <w:rPr>
          <w:noProof/>
        </w:rPr>
        <w:t>11</w:t>
      </w:r>
      <w:r>
        <w:rPr>
          <w:noProof/>
        </w:rPr>
        <w:fldChar w:fldCharType="end"/>
      </w:r>
    </w:p>
    <w:p w14:paraId="14FB16BD" w14:textId="2B5859E1" w:rsidR="00DC7701" w:rsidRDefault="00DC7701">
      <w:pPr>
        <w:pStyle w:val="TOC2"/>
        <w:rPr>
          <w:rFonts w:asciiTheme="minorHAnsi" w:eastAsiaTheme="minorEastAsia" w:hAnsiTheme="minorHAnsi" w:cstheme="minorBidi"/>
          <w:smallCaps w:val="0"/>
          <w:sz w:val="22"/>
          <w:szCs w:val="22"/>
          <w:lang w:eastAsia="en-GB"/>
        </w:rPr>
      </w:pPr>
      <w:r>
        <w:t>2.8</w:t>
      </w:r>
      <w:r>
        <w:rPr>
          <w:rFonts w:asciiTheme="minorHAnsi" w:eastAsiaTheme="minorEastAsia" w:hAnsiTheme="minorHAnsi" w:cstheme="minorBidi"/>
          <w:smallCaps w:val="0"/>
          <w:sz w:val="22"/>
          <w:szCs w:val="22"/>
          <w:lang w:eastAsia="en-GB"/>
        </w:rPr>
        <w:tab/>
      </w:r>
      <w:r>
        <w:t>Sources-sectors included</w:t>
      </w:r>
      <w:r>
        <w:tab/>
      </w:r>
      <w:r>
        <w:fldChar w:fldCharType="begin"/>
      </w:r>
      <w:r>
        <w:instrText xml:space="preserve"> PAGEREF _Toc10122670 \h </w:instrText>
      </w:r>
      <w:r>
        <w:fldChar w:fldCharType="separate"/>
      </w:r>
      <w:r>
        <w:t>11</w:t>
      </w:r>
      <w:r>
        <w:fldChar w:fldCharType="end"/>
      </w:r>
    </w:p>
    <w:p w14:paraId="7FA40E06" w14:textId="38AD10B7"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2.8.1</w:t>
      </w:r>
      <w:r>
        <w:rPr>
          <w:rFonts w:asciiTheme="minorHAnsi" w:eastAsiaTheme="minorEastAsia" w:hAnsiTheme="minorHAnsi" w:cstheme="minorBidi"/>
          <w:i w:val="0"/>
          <w:noProof/>
          <w:sz w:val="22"/>
          <w:szCs w:val="22"/>
          <w:lang w:eastAsia="en-GB"/>
        </w:rPr>
        <w:tab/>
      </w:r>
      <w:r>
        <w:rPr>
          <w:noProof/>
        </w:rPr>
        <w:t>Energy</w:t>
      </w:r>
      <w:r>
        <w:rPr>
          <w:noProof/>
        </w:rPr>
        <w:tab/>
      </w:r>
      <w:r>
        <w:rPr>
          <w:noProof/>
        </w:rPr>
        <w:fldChar w:fldCharType="begin"/>
      </w:r>
      <w:r>
        <w:rPr>
          <w:noProof/>
        </w:rPr>
        <w:instrText xml:space="preserve"> PAGEREF _Toc10122671 \h </w:instrText>
      </w:r>
      <w:r>
        <w:rPr>
          <w:noProof/>
        </w:rPr>
      </w:r>
      <w:r>
        <w:rPr>
          <w:noProof/>
        </w:rPr>
        <w:fldChar w:fldCharType="separate"/>
      </w:r>
      <w:r>
        <w:rPr>
          <w:noProof/>
        </w:rPr>
        <w:t>11</w:t>
      </w:r>
      <w:r>
        <w:rPr>
          <w:noProof/>
        </w:rPr>
        <w:fldChar w:fldCharType="end"/>
      </w:r>
    </w:p>
    <w:p w14:paraId="53BAF351" w14:textId="1C8F7480"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2.8.2</w:t>
      </w:r>
      <w:r>
        <w:rPr>
          <w:rFonts w:asciiTheme="minorHAnsi" w:eastAsiaTheme="minorEastAsia" w:hAnsiTheme="minorHAnsi" w:cstheme="minorBidi"/>
          <w:i w:val="0"/>
          <w:noProof/>
          <w:sz w:val="22"/>
          <w:szCs w:val="22"/>
          <w:lang w:eastAsia="en-GB"/>
        </w:rPr>
        <w:tab/>
      </w:r>
      <w:r>
        <w:rPr>
          <w:noProof/>
        </w:rPr>
        <w:t>Industrial processes</w:t>
      </w:r>
      <w:r>
        <w:rPr>
          <w:noProof/>
        </w:rPr>
        <w:tab/>
      </w:r>
      <w:r>
        <w:rPr>
          <w:noProof/>
        </w:rPr>
        <w:fldChar w:fldCharType="begin"/>
      </w:r>
      <w:r>
        <w:rPr>
          <w:noProof/>
        </w:rPr>
        <w:instrText xml:space="preserve"> PAGEREF _Toc10122672 \h </w:instrText>
      </w:r>
      <w:r>
        <w:rPr>
          <w:noProof/>
        </w:rPr>
      </w:r>
      <w:r>
        <w:rPr>
          <w:noProof/>
        </w:rPr>
        <w:fldChar w:fldCharType="separate"/>
      </w:r>
      <w:r>
        <w:rPr>
          <w:noProof/>
        </w:rPr>
        <w:t>11</w:t>
      </w:r>
      <w:r>
        <w:rPr>
          <w:noProof/>
        </w:rPr>
        <w:fldChar w:fldCharType="end"/>
      </w:r>
    </w:p>
    <w:p w14:paraId="46153D12" w14:textId="56D91F4A"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2.8.3</w:t>
      </w:r>
      <w:r>
        <w:rPr>
          <w:rFonts w:asciiTheme="minorHAnsi" w:eastAsiaTheme="minorEastAsia" w:hAnsiTheme="minorHAnsi" w:cstheme="minorBidi"/>
          <w:i w:val="0"/>
          <w:noProof/>
          <w:sz w:val="22"/>
          <w:szCs w:val="22"/>
          <w:lang w:eastAsia="en-GB"/>
        </w:rPr>
        <w:tab/>
      </w:r>
      <w:r>
        <w:rPr>
          <w:noProof/>
        </w:rPr>
        <w:t>Solvent and Other Product Use</w:t>
      </w:r>
      <w:r>
        <w:rPr>
          <w:noProof/>
        </w:rPr>
        <w:tab/>
      </w:r>
      <w:r>
        <w:rPr>
          <w:noProof/>
        </w:rPr>
        <w:fldChar w:fldCharType="begin"/>
      </w:r>
      <w:r>
        <w:rPr>
          <w:noProof/>
        </w:rPr>
        <w:instrText xml:space="preserve"> PAGEREF _Toc10122673 \h </w:instrText>
      </w:r>
      <w:r>
        <w:rPr>
          <w:noProof/>
        </w:rPr>
      </w:r>
      <w:r>
        <w:rPr>
          <w:noProof/>
        </w:rPr>
        <w:fldChar w:fldCharType="separate"/>
      </w:r>
      <w:r>
        <w:rPr>
          <w:noProof/>
        </w:rPr>
        <w:t>11</w:t>
      </w:r>
      <w:r>
        <w:rPr>
          <w:noProof/>
        </w:rPr>
        <w:fldChar w:fldCharType="end"/>
      </w:r>
    </w:p>
    <w:p w14:paraId="37D4C2CB" w14:textId="55342CB3"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2.8.4</w:t>
      </w:r>
      <w:r>
        <w:rPr>
          <w:rFonts w:asciiTheme="minorHAnsi" w:eastAsiaTheme="minorEastAsia" w:hAnsiTheme="minorHAnsi" w:cstheme="minorBidi"/>
          <w:i w:val="0"/>
          <w:noProof/>
          <w:sz w:val="22"/>
          <w:szCs w:val="22"/>
          <w:lang w:eastAsia="en-GB"/>
        </w:rPr>
        <w:tab/>
      </w:r>
      <w:r>
        <w:rPr>
          <w:noProof/>
        </w:rPr>
        <w:t>Agriculture</w:t>
      </w:r>
      <w:r>
        <w:rPr>
          <w:noProof/>
        </w:rPr>
        <w:tab/>
      </w:r>
      <w:r>
        <w:rPr>
          <w:noProof/>
        </w:rPr>
        <w:fldChar w:fldCharType="begin"/>
      </w:r>
      <w:r>
        <w:rPr>
          <w:noProof/>
        </w:rPr>
        <w:instrText xml:space="preserve"> PAGEREF _Toc10122674 \h </w:instrText>
      </w:r>
      <w:r>
        <w:rPr>
          <w:noProof/>
        </w:rPr>
      </w:r>
      <w:r>
        <w:rPr>
          <w:noProof/>
        </w:rPr>
        <w:fldChar w:fldCharType="separate"/>
      </w:r>
      <w:r>
        <w:rPr>
          <w:noProof/>
        </w:rPr>
        <w:t>12</w:t>
      </w:r>
      <w:r>
        <w:rPr>
          <w:noProof/>
        </w:rPr>
        <w:fldChar w:fldCharType="end"/>
      </w:r>
    </w:p>
    <w:p w14:paraId="7841A4C2" w14:textId="177FA509"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2.8.5</w:t>
      </w:r>
      <w:r>
        <w:rPr>
          <w:rFonts w:asciiTheme="minorHAnsi" w:eastAsiaTheme="minorEastAsia" w:hAnsiTheme="minorHAnsi" w:cstheme="minorBidi"/>
          <w:i w:val="0"/>
          <w:noProof/>
          <w:sz w:val="22"/>
          <w:szCs w:val="22"/>
          <w:lang w:eastAsia="en-GB"/>
        </w:rPr>
        <w:tab/>
      </w:r>
      <w:r>
        <w:rPr>
          <w:noProof/>
        </w:rPr>
        <w:t>Vegetation fires and forestry</w:t>
      </w:r>
      <w:r>
        <w:rPr>
          <w:noProof/>
        </w:rPr>
        <w:tab/>
      </w:r>
      <w:r>
        <w:rPr>
          <w:noProof/>
        </w:rPr>
        <w:fldChar w:fldCharType="begin"/>
      </w:r>
      <w:r>
        <w:rPr>
          <w:noProof/>
        </w:rPr>
        <w:instrText xml:space="preserve"> PAGEREF _Toc10122675 \h </w:instrText>
      </w:r>
      <w:r>
        <w:rPr>
          <w:noProof/>
        </w:rPr>
      </w:r>
      <w:r>
        <w:rPr>
          <w:noProof/>
        </w:rPr>
        <w:fldChar w:fldCharType="separate"/>
      </w:r>
      <w:r>
        <w:rPr>
          <w:noProof/>
        </w:rPr>
        <w:t>12</w:t>
      </w:r>
      <w:r>
        <w:rPr>
          <w:noProof/>
        </w:rPr>
        <w:fldChar w:fldCharType="end"/>
      </w:r>
    </w:p>
    <w:p w14:paraId="095A9D77" w14:textId="38372906"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2.8.6</w:t>
      </w:r>
      <w:r>
        <w:rPr>
          <w:rFonts w:asciiTheme="minorHAnsi" w:eastAsiaTheme="minorEastAsia" w:hAnsiTheme="minorHAnsi" w:cstheme="minorBidi"/>
          <w:i w:val="0"/>
          <w:noProof/>
          <w:sz w:val="22"/>
          <w:szCs w:val="22"/>
          <w:lang w:eastAsia="en-GB"/>
        </w:rPr>
        <w:tab/>
      </w:r>
      <w:r>
        <w:rPr>
          <w:noProof/>
        </w:rPr>
        <w:t>Waste</w:t>
      </w:r>
      <w:r>
        <w:rPr>
          <w:noProof/>
        </w:rPr>
        <w:tab/>
      </w:r>
      <w:r>
        <w:rPr>
          <w:noProof/>
        </w:rPr>
        <w:fldChar w:fldCharType="begin"/>
      </w:r>
      <w:r>
        <w:rPr>
          <w:noProof/>
        </w:rPr>
        <w:instrText xml:space="preserve"> PAGEREF _Toc10122676 \h </w:instrText>
      </w:r>
      <w:r>
        <w:rPr>
          <w:noProof/>
        </w:rPr>
      </w:r>
      <w:r>
        <w:rPr>
          <w:noProof/>
        </w:rPr>
        <w:fldChar w:fldCharType="separate"/>
      </w:r>
      <w:r>
        <w:rPr>
          <w:noProof/>
        </w:rPr>
        <w:t>12</w:t>
      </w:r>
      <w:r>
        <w:rPr>
          <w:noProof/>
        </w:rPr>
        <w:fldChar w:fldCharType="end"/>
      </w:r>
    </w:p>
    <w:p w14:paraId="7457A2C9" w14:textId="6A51309A" w:rsidR="00DC7701" w:rsidRDefault="00DC7701">
      <w:pPr>
        <w:pStyle w:val="TOC2"/>
        <w:rPr>
          <w:rFonts w:asciiTheme="minorHAnsi" w:eastAsiaTheme="minorEastAsia" w:hAnsiTheme="minorHAnsi" w:cstheme="minorBidi"/>
          <w:smallCaps w:val="0"/>
          <w:sz w:val="22"/>
          <w:szCs w:val="22"/>
          <w:lang w:eastAsia="en-GB"/>
        </w:rPr>
      </w:pPr>
      <w:r>
        <w:t>2.9</w:t>
      </w:r>
      <w:r>
        <w:rPr>
          <w:rFonts w:asciiTheme="minorHAnsi" w:eastAsiaTheme="minorEastAsia" w:hAnsiTheme="minorHAnsi" w:cstheme="minorBidi"/>
          <w:smallCaps w:val="0"/>
          <w:sz w:val="22"/>
          <w:szCs w:val="22"/>
          <w:lang w:eastAsia="en-GB"/>
        </w:rPr>
        <w:tab/>
      </w:r>
      <w:r>
        <w:t>Large points sources (LPS)</w:t>
      </w:r>
      <w:r>
        <w:tab/>
      </w:r>
      <w:r>
        <w:fldChar w:fldCharType="begin"/>
      </w:r>
      <w:r>
        <w:instrText xml:space="preserve"> PAGEREF _Toc10122677 \h </w:instrText>
      </w:r>
      <w:r>
        <w:fldChar w:fldCharType="separate"/>
      </w:r>
      <w:r>
        <w:t>18</w:t>
      </w:r>
      <w:r>
        <w:fldChar w:fldCharType="end"/>
      </w:r>
    </w:p>
    <w:p w14:paraId="610D00F0" w14:textId="27EDB8B7" w:rsidR="00DC7701" w:rsidRDefault="00DC7701">
      <w:pPr>
        <w:pStyle w:val="TOC2"/>
        <w:rPr>
          <w:rFonts w:asciiTheme="minorHAnsi" w:eastAsiaTheme="minorEastAsia" w:hAnsiTheme="minorHAnsi" w:cstheme="minorBidi"/>
          <w:smallCaps w:val="0"/>
          <w:sz w:val="22"/>
          <w:szCs w:val="22"/>
          <w:lang w:eastAsia="en-GB"/>
        </w:rPr>
      </w:pPr>
      <w:r>
        <w:t>2.10</w:t>
      </w:r>
      <w:r>
        <w:rPr>
          <w:rFonts w:asciiTheme="minorHAnsi" w:eastAsiaTheme="minorEastAsia" w:hAnsiTheme="minorHAnsi" w:cstheme="minorBidi"/>
          <w:smallCaps w:val="0"/>
          <w:sz w:val="22"/>
          <w:szCs w:val="22"/>
          <w:lang w:eastAsia="en-GB"/>
        </w:rPr>
        <w:tab/>
      </w:r>
      <w:r>
        <w:t>Temporal allocation of emissions</w:t>
      </w:r>
      <w:r>
        <w:tab/>
      </w:r>
      <w:r>
        <w:fldChar w:fldCharType="begin"/>
      </w:r>
      <w:r>
        <w:instrText xml:space="preserve"> PAGEREF _Toc10122678 \h </w:instrText>
      </w:r>
      <w:r>
        <w:fldChar w:fldCharType="separate"/>
      </w:r>
      <w:r>
        <w:t>19</w:t>
      </w:r>
      <w:r>
        <w:fldChar w:fldCharType="end"/>
      </w:r>
    </w:p>
    <w:p w14:paraId="4AE9E435" w14:textId="2914EC48" w:rsidR="00DC7701" w:rsidRDefault="00DC7701">
      <w:pPr>
        <w:pStyle w:val="TOC2"/>
        <w:rPr>
          <w:rFonts w:asciiTheme="minorHAnsi" w:eastAsiaTheme="minorEastAsia" w:hAnsiTheme="minorHAnsi" w:cstheme="minorBidi"/>
          <w:smallCaps w:val="0"/>
          <w:sz w:val="22"/>
          <w:szCs w:val="22"/>
          <w:lang w:eastAsia="en-GB"/>
        </w:rPr>
      </w:pPr>
      <w:r>
        <w:t>2.11</w:t>
      </w:r>
      <w:r>
        <w:rPr>
          <w:rFonts w:asciiTheme="minorHAnsi" w:eastAsiaTheme="minorEastAsia" w:hAnsiTheme="minorHAnsi" w:cstheme="minorBidi"/>
          <w:smallCaps w:val="0"/>
          <w:sz w:val="22"/>
          <w:szCs w:val="22"/>
          <w:lang w:eastAsia="en-GB"/>
        </w:rPr>
        <w:tab/>
      </w:r>
      <w:r>
        <w:t>Spatial allocation of emissions</w:t>
      </w:r>
      <w:r>
        <w:tab/>
      </w:r>
      <w:r>
        <w:fldChar w:fldCharType="begin"/>
      </w:r>
      <w:r>
        <w:instrText xml:space="preserve"> PAGEREF _Toc10122679 \h </w:instrText>
      </w:r>
      <w:r>
        <w:fldChar w:fldCharType="separate"/>
      </w:r>
      <w:r>
        <w:t>19</w:t>
      </w:r>
      <w:r>
        <w:fldChar w:fldCharType="end"/>
      </w:r>
    </w:p>
    <w:p w14:paraId="09E4AA1C" w14:textId="213AC533"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3.</w:t>
      </w:r>
      <w:r>
        <w:rPr>
          <w:rFonts w:asciiTheme="minorHAnsi" w:eastAsiaTheme="minorEastAsia" w:hAnsiTheme="minorHAnsi" w:cstheme="minorBidi"/>
          <w:b w:val="0"/>
          <w:caps w:val="0"/>
          <w:sz w:val="22"/>
          <w:szCs w:val="22"/>
          <w:lang w:eastAsia="en-GB"/>
        </w:rPr>
        <w:tab/>
      </w:r>
      <w:r>
        <w:t>Emissions from energy-related activities</w:t>
      </w:r>
      <w:r>
        <w:tab/>
      </w:r>
      <w:r>
        <w:fldChar w:fldCharType="begin"/>
      </w:r>
      <w:r>
        <w:instrText xml:space="preserve"> PAGEREF _Toc10122680 \h </w:instrText>
      </w:r>
      <w:r>
        <w:fldChar w:fldCharType="separate"/>
      </w:r>
      <w:r>
        <w:t>20</w:t>
      </w:r>
      <w:r>
        <w:fldChar w:fldCharType="end"/>
      </w:r>
    </w:p>
    <w:p w14:paraId="245EBA62" w14:textId="5B64D52C" w:rsidR="00DC7701" w:rsidRDefault="00DC7701">
      <w:pPr>
        <w:pStyle w:val="TOC2"/>
        <w:rPr>
          <w:rFonts w:asciiTheme="minorHAnsi" w:eastAsiaTheme="minorEastAsia" w:hAnsiTheme="minorHAnsi" w:cstheme="minorBidi"/>
          <w:smallCaps w:val="0"/>
          <w:sz w:val="22"/>
          <w:szCs w:val="22"/>
          <w:lang w:eastAsia="en-GB"/>
        </w:rPr>
      </w:pPr>
      <w:r>
        <w:t>3.1</w:t>
      </w:r>
      <w:r>
        <w:rPr>
          <w:rFonts w:asciiTheme="minorHAnsi" w:eastAsiaTheme="minorEastAsia" w:hAnsiTheme="minorHAnsi" w:cstheme="minorBidi"/>
          <w:smallCaps w:val="0"/>
          <w:sz w:val="22"/>
          <w:szCs w:val="22"/>
          <w:lang w:eastAsia="en-GB"/>
        </w:rPr>
        <w:tab/>
      </w:r>
      <w:r>
        <w:t>Introduction</w:t>
      </w:r>
      <w:r>
        <w:tab/>
      </w:r>
      <w:r>
        <w:fldChar w:fldCharType="begin"/>
      </w:r>
      <w:r>
        <w:instrText xml:space="preserve"> PAGEREF _Toc10122681 \h </w:instrText>
      </w:r>
      <w:r>
        <w:fldChar w:fldCharType="separate"/>
      </w:r>
      <w:r>
        <w:t>20</w:t>
      </w:r>
      <w:r>
        <w:fldChar w:fldCharType="end"/>
      </w:r>
    </w:p>
    <w:p w14:paraId="6120FCA5" w14:textId="442FCFE3" w:rsidR="00DC7701" w:rsidRDefault="00DC7701">
      <w:pPr>
        <w:pStyle w:val="TOC2"/>
        <w:rPr>
          <w:rFonts w:asciiTheme="minorHAnsi" w:eastAsiaTheme="minorEastAsia" w:hAnsiTheme="minorHAnsi" w:cstheme="minorBidi"/>
          <w:smallCaps w:val="0"/>
          <w:sz w:val="22"/>
          <w:szCs w:val="22"/>
          <w:lang w:eastAsia="en-GB"/>
        </w:rPr>
      </w:pPr>
      <w:r>
        <w:t>3.2</w:t>
      </w:r>
      <w:r>
        <w:rPr>
          <w:rFonts w:asciiTheme="minorHAnsi" w:eastAsiaTheme="minorEastAsia" w:hAnsiTheme="minorHAnsi" w:cstheme="minorBidi"/>
          <w:smallCaps w:val="0"/>
          <w:sz w:val="22"/>
          <w:szCs w:val="22"/>
          <w:lang w:eastAsia="en-GB"/>
        </w:rPr>
        <w:tab/>
      </w:r>
      <w:r>
        <w:t>Sector 1: Fuel Combustion in the Energy Industries</w:t>
      </w:r>
      <w:r>
        <w:tab/>
      </w:r>
      <w:r>
        <w:fldChar w:fldCharType="begin"/>
      </w:r>
      <w:r>
        <w:instrText xml:space="preserve"> PAGEREF _Toc10122682 \h </w:instrText>
      </w:r>
      <w:r>
        <w:fldChar w:fldCharType="separate"/>
      </w:r>
      <w:r>
        <w:t>22</w:t>
      </w:r>
      <w:r>
        <w:fldChar w:fldCharType="end"/>
      </w:r>
    </w:p>
    <w:p w14:paraId="498924E0" w14:textId="6382CBD6"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3.2.1</w:t>
      </w:r>
      <w:r>
        <w:rPr>
          <w:rFonts w:asciiTheme="minorHAnsi" w:eastAsiaTheme="minorEastAsia" w:hAnsiTheme="minorHAnsi" w:cstheme="minorBidi"/>
          <w:i w:val="0"/>
          <w:noProof/>
          <w:sz w:val="22"/>
          <w:szCs w:val="22"/>
          <w:lang w:eastAsia="en-GB"/>
        </w:rPr>
        <w:tab/>
      </w:r>
      <w:r>
        <w:rPr>
          <w:noProof/>
        </w:rPr>
        <w:t>Introduction</w:t>
      </w:r>
      <w:r>
        <w:rPr>
          <w:noProof/>
        </w:rPr>
        <w:tab/>
      </w:r>
      <w:r>
        <w:rPr>
          <w:noProof/>
        </w:rPr>
        <w:fldChar w:fldCharType="begin"/>
      </w:r>
      <w:r>
        <w:rPr>
          <w:noProof/>
        </w:rPr>
        <w:instrText xml:space="preserve"> PAGEREF _Toc10122683 \h </w:instrText>
      </w:r>
      <w:r>
        <w:rPr>
          <w:noProof/>
        </w:rPr>
      </w:r>
      <w:r>
        <w:rPr>
          <w:noProof/>
        </w:rPr>
        <w:fldChar w:fldCharType="separate"/>
      </w:r>
      <w:r>
        <w:rPr>
          <w:noProof/>
        </w:rPr>
        <w:t>22</w:t>
      </w:r>
      <w:r>
        <w:rPr>
          <w:noProof/>
        </w:rPr>
        <w:fldChar w:fldCharType="end"/>
      </w:r>
    </w:p>
    <w:p w14:paraId="2D588489" w14:textId="5AC41C48"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3.2.2</w:t>
      </w:r>
      <w:r>
        <w:rPr>
          <w:rFonts w:asciiTheme="minorHAnsi" w:eastAsiaTheme="minorEastAsia" w:hAnsiTheme="minorHAnsi" w:cstheme="minorBidi"/>
          <w:i w:val="0"/>
          <w:noProof/>
          <w:sz w:val="22"/>
          <w:szCs w:val="22"/>
          <w:lang w:eastAsia="en-GB"/>
        </w:rPr>
        <w:tab/>
      </w:r>
      <w:r>
        <w:rPr>
          <w:noProof/>
        </w:rPr>
        <w:t>Procedures and default data used in this Manual</w:t>
      </w:r>
      <w:r>
        <w:rPr>
          <w:noProof/>
        </w:rPr>
        <w:tab/>
      </w:r>
      <w:r>
        <w:rPr>
          <w:noProof/>
        </w:rPr>
        <w:fldChar w:fldCharType="begin"/>
      </w:r>
      <w:r>
        <w:rPr>
          <w:noProof/>
        </w:rPr>
        <w:instrText xml:space="preserve"> PAGEREF _Toc10122684 \h </w:instrText>
      </w:r>
      <w:r>
        <w:rPr>
          <w:noProof/>
        </w:rPr>
      </w:r>
      <w:r>
        <w:rPr>
          <w:noProof/>
        </w:rPr>
        <w:fldChar w:fldCharType="separate"/>
      </w:r>
      <w:r>
        <w:rPr>
          <w:noProof/>
        </w:rPr>
        <w:t>23</w:t>
      </w:r>
      <w:r>
        <w:rPr>
          <w:noProof/>
        </w:rPr>
        <w:fldChar w:fldCharType="end"/>
      </w:r>
    </w:p>
    <w:p w14:paraId="37E14979" w14:textId="3DBDE72A" w:rsidR="00DC7701" w:rsidRDefault="00DC7701">
      <w:pPr>
        <w:pStyle w:val="TOC2"/>
        <w:rPr>
          <w:rFonts w:asciiTheme="minorHAnsi" w:eastAsiaTheme="minorEastAsia" w:hAnsiTheme="minorHAnsi" w:cstheme="minorBidi"/>
          <w:smallCaps w:val="0"/>
          <w:sz w:val="22"/>
          <w:szCs w:val="22"/>
          <w:lang w:eastAsia="en-GB"/>
        </w:rPr>
      </w:pPr>
      <w:r>
        <w:lastRenderedPageBreak/>
        <w:t>3.3</w:t>
      </w:r>
      <w:r>
        <w:rPr>
          <w:rFonts w:asciiTheme="minorHAnsi" w:eastAsiaTheme="minorEastAsia" w:hAnsiTheme="minorHAnsi" w:cstheme="minorBidi"/>
          <w:smallCaps w:val="0"/>
          <w:sz w:val="22"/>
          <w:szCs w:val="22"/>
          <w:lang w:eastAsia="en-GB"/>
        </w:rPr>
        <w:tab/>
      </w:r>
      <w:r>
        <w:t>Sector 2: Fuel Combustion in Manufacturing and Construction</w:t>
      </w:r>
      <w:r>
        <w:tab/>
      </w:r>
      <w:r>
        <w:fldChar w:fldCharType="begin"/>
      </w:r>
      <w:r>
        <w:instrText xml:space="preserve"> PAGEREF _Toc10122685 \h </w:instrText>
      </w:r>
      <w:r>
        <w:fldChar w:fldCharType="separate"/>
      </w:r>
      <w:r>
        <w:t>24</w:t>
      </w:r>
      <w:r>
        <w:fldChar w:fldCharType="end"/>
      </w:r>
    </w:p>
    <w:p w14:paraId="58CC684B" w14:textId="598B18C2"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3.3.1</w:t>
      </w:r>
      <w:r>
        <w:rPr>
          <w:rFonts w:asciiTheme="minorHAnsi" w:eastAsiaTheme="minorEastAsia" w:hAnsiTheme="minorHAnsi" w:cstheme="minorBidi"/>
          <w:i w:val="0"/>
          <w:noProof/>
          <w:sz w:val="22"/>
          <w:szCs w:val="22"/>
          <w:lang w:eastAsia="en-GB"/>
        </w:rPr>
        <w:tab/>
      </w:r>
      <w:r>
        <w:rPr>
          <w:noProof/>
        </w:rPr>
        <w:t>Introduction</w:t>
      </w:r>
      <w:r>
        <w:rPr>
          <w:noProof/>
        </w:rPr>
        <w:tab/>
      </w:r>
      <w:r>
        <w:rPr>
          <w:noProof/>
        </w:rPr>
        <w:fldChar w:fldCharType="begin"/>
      </w:r>
      <w:r>
        <w:rPr>
          <w:noProof/>
        </w:rPr>
        <w:instrText xml:space="preserve"> PAGEREF _Toc10122686 \h </w:instrText>
      </w:r>
      <w:r>
        <w:rPr>
          <w:noProof/>
        </w:rPr>
      </w:r>
      <w:r>
        <w:rPr>
          <w:noProof/>
        </w:rPr>
        <w:fldChar w:fldCharType="separate"/>
      </w:r>
      <w:r>
        <w:rPr>
          <w:noProof/>
        </w:rPr>
        <w:t>24</w:t>
      </w:r>
      <w:r>
        <w:rPr>
          <w:noProof/>
        </w:rPr>
        <w:fldChar w:fldCharType="end"/>
      </w:r>
    </w:p>
    <w:p w14:paraId="34C9EE12" w14:textId="0F46D8C4"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3.3.2</w:t>
      </w:r>
      <w:r>
        <w:rPr>
          <w:rFonts w:asciiTheme="minorHAnsi" w:eastAsiaTheme="minorEastAsia" w:hAnsiTheme="minorHAnsi" w:cstheme="minorBidi"/>
          <w:i w:val="0"/>
          <w:noProof/>
          <w:sz w:val="22"/>
          <w:szCs w:val="22"/>
          <w:lang w:eastAsia="en-GB"/>
        </w:rPr>
        <w:tab/>
      </w:r>
      <w:r>
        <w:rPr>
          <w:noProof/>
        </w:rPr>
        <w:t>Procedures and default data used in this manual</w:t>
      </w:r>
      <w:r>
        <w:rPr>
          <w:noProof/>
        </w:rPr>
        <w:tab/>
      </w:r>
      <w:r>
        <w:rPr>
          <w:noProof/>
        </w:rPr>
        <w:fldChar w:fldCharType="begin"/>
      </w:r>
      <w:r>
        <w:rPr>
          <w:noProof/>
        </w:rPr>
        <w:instrText xml:space="preserve"> PAGEREF _Toc10122687 \h </w:instrText>
      </w:r>
      <w:r>
        <w:rPr>
          <w:noProof/>
        </w:rPr>
      </w:r>
      <w:r>
        <w:rPr>
          <w:noProof/>
        </w:rPr>
        <w:fldChar w:fldCharType="separate"/>
      </w:r>
      <w:r>
        <w:rPr>
          <w:noProof/>
        </w:rPr>
        <w:t>25</w:t>
      </w:r>
      <w:r>
        <w:rPr>
          <w:noProof/>
        </w:rPr>
        <w:fldChar w:fldCharType="end"/>
      </w:r>
    </w:p>
    <w:p w14:paraId="41BF06CD" w14:textId="2121A0DA" w:rsidR="00DC7701" w:rsidRDefault="00DC7701">
      <w:pPr>
        <w:pStyle w:val="TOC2"/>
        <w:rPr>
          <w:rFonts w:asciiTheme="minorHAnsi" w:eastAsiaTheme="minorEastAsia" w:hAnsiTheme="minorHAnsi" w:cstheme="minorBidi"/>
          <w:smallCaps w:val="0"/>
          <w:sz w:val="22"/>
          <w:szCs w:val="22"/>
          <w:lang w:eastAsia="en-GB"/>
        </w:rPr>
      </w:pPr>
      <w:r>
        <w:t>3.4</w:t>
      </w:r>
      <w:r>
        <w:rPr>
          <w:rFonts w:asciiTheme="minorHAnsi" w:eastAsiaTheme="minorEastAsia" w:hAnsiTheme="minorHAnsi" w:cstheme="minorBidi"/>
          <w:smallCaps w:val="0"/>
          <w:sz w:val="22"/>
          <w:szCs w:val="22"/>
          <w:lang w:eastAsia="en-GB"/>
        </w:rPr>
        <w:tab/>
      </w:r>
      <w:r>
        <w:t>Sector 3: Transport</w:t>
      </w:r>
      <w:r>
        <w:tab/>
      </w:r>
      <w:r>
        <w:fldChar w:fldCharType="begin"/>
      </w:r>
      <w:r>
        <w:instrText xml:space="preserve"> PAGEREF _Toc10122688 \h </w:instrText>
      </w:r>
      <w:r>
        <w:fldChar w:fldCharType="separate"/>
      </w:r>
      <w:r>
        <w:t>25</w:t>
      </w:r>
      <w:r>
        <w:fldChar w:fldCharType="end"/>
      </w:r>
    </w:p>
    <w:p w14:paraId="5874AD47" w14:textId="332351AD"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3.4.1</w:t>
      </w:r>
      <w:r>
        <w:rPr>
          <w:rFonts w:asciiTheme="minorHAnsi" w:eastAsiaTheme="minorEastAsia" w:hAnsiTheme="minorHAnsi" w:cstheme="minorBidi"/>
          <w:i w:val="0"/>
          <w:noProof/>
          <w:sz w:val="22"/>
          <w:szCs w:val="22"/>
          <w:lang w:eastAsia="en-GB"/>
        </w:rPr>
        <w:tab/>
      </w:r>
      <w:r>
        <w:rPr>
          <w:noProof/>
        </w:rPr>
        <w:t>Introduction</w:t>
      </w:r>
      <w:r>
        <w:rPr>
          <w:noProof/>
        </w:rPr>
        <w:tab/>
      </w:r>
      <w:r>
        <w:rPr>
          <w:noProof/>
        </w:rPr>
        <w:fldChar w:fldCharType="begin"/>
      </w:r>
      <w:r>
        <w:rPr>
          <w:noProof/>
        </w:rPr>
        <w:instrText xml:space="preserve"> PAGEREF _Toc10122689 \h </w:instrText>
      </w:r>
      <w:r>
        <w:rPr>
          <w:noProof/>
        </w:rPr>
      </w:r>
      <w:r>
        <w:rPr>
          <w:noProof/>
        </w:rPr>
        <w:fldChar w:fldCharType="separate"/>
      </w:r>
      <w:r>
        <w:rPr>
          <w:noProof/>
        </w:rPr>
        <w:t>25</w:t>
      </w:r>
      <w:r>
        <w:rPr>
          <w:noProof/>
        </w:rPr>
        <w:fldChar w:fldCharType="end"/>
      </w:r>
    </w:p>
    <w:p w14:paraId="0F286F96" w14:textId="261739A7"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3.4.2</w:t>
      </w:r>
      <w:r>
        <w:rPr>
          <w:rFonts w:asciiTheme="minorHAnsi" w:eastAsiaTheme="minorEastAsia" w:hAnsiTheme="minorHAnsi" w:cstheme="minorBidi"/>
          <w:i w:val="0"/>
          <w:noProof/>
          <w:sz w:val="22"/>
          <w:szCs w:val="22"/>
          <w:lang w:eastAsia="en-GB"/>
        </w:rPr>
        <w:tab/>
      </w:r>
      <w:r>
        <w:rPr>
          <w:noProof/>
        </w:rPr>
        <w:t>Procedures and default data used in this manual</w:t>
      </w:r>
      <w:r>
        <w:rPr>
          <w:noProof/>
        </w:rPr>
        <w:tab/>
      </w:r>
      <w:r>
        <w:rPr>
          <w:noProof/>
        </w:rPr>
        <w:fldChar w:fldCharType="begin"/>
      </w:r>
      <w:r>
        <w:rPr>
          <w:noProof/>
        </w:rPr>
        <w:instrText xml:space="preserve"> PAGEREF _Toc10122690 \h </w:instrText>
      </w:r>
      <w:r>
        <w:rPr>
          <w:noProof/>
        </w:rPr>
      </w:r>
      <w:r>
        <w:rPr>
          <w:noProof/>
        </w:rPr>
        <w:fldChar w:fldCharType="separate"/>
      </w:r>
      <w:r>
        <w:rPr>
          <w:noProof/>
        </w:rPr>
        <w:t>25</w:t>
      </w:r>
      <w:r>
        <w:rPr>
          <w:noProof/>
        </w:rPr>
        <w:fldChar w:fldCharType="end"/>
      </w:r>
    </w:p>
    <w:p w14:paraId="1D4D8B76" w14:textId="00B65ADD"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3.4.3</w:t>
      </w:r>
      <w:r>
        <w:rPr>
          <w:rFonts w:asciiTheme="minorHAnsi" w:eastAsiaTheme="minorEastAsia" w:hAnsiTheme="minorHAnsi" w:cstheme="minorBidi"/>
          <w:i w:val="0"/>
          <w:noProof/>
          <w:sz w:val="22"/>
          <w:szCs w:val="22"/>
          <w:lang w:eastAsia="en-GB"/>
        </w:rPr>
        <w:tab/>
      </w:r>
      <w:r>
        <w:rPr>
          <w:noProof/>
        </w:rPr>
        <w:t>Application of parameters for control equipment</w:t>
      </w:r>
      <w:r>
        <w:rPr>
          <w:noProof/>
        </w:rPr>
        <w:tab/>
      </w:r>
      <w:r>
        <w:rPr>
          <w:noProof/>
        </w:rPr>
        <w:fldChar w:fldCharType="begin"/>
      </w:r>
      <w:r>
        <w:rPr>
          <w:noProof/>
        </w:rPr>
        <w:instrText xml:space="preserve"> PAGEREF _Toc10122691 \h </w:instrText>
      </w:r>
      <w:r>
        <w:rPr>
          <w:noProof/>
        </w:rPr>
      </w:r>
      <w:r>
        <w:rPr>
          <w:noProof/>
        </w:rPr>
        <w:fldChar w:fldCharType="separate"/>
      </w:r>
      <w:r>
        <w:rPr>
          <w:noProof/>
        </w:rPr>
        <w:t>27</w:t>
      </w:r>
      <w:r>
        <w:rPr>
          <w:noProof/>
        </w:rPr>
        <w:fldChar w:fldCharType="end"/>
      </w:r>
    </w:p>
    <w:p w14:paraId="42EBE9A9" w14:textId="3121AB15" w:rsidR="00DC7701" w:rsidRDefault="00DC7701">
      <w:pPr>
        <w:pStyle w:val="TOC2"/>
        <w:rPr>
          <w:rFonts w:asciiTheme="minorHAnsi" w:eastAsiaTheme="minorEastAsia" w:hAnsiTheme="minorHAnsi" w:cstheme="minorBidi"/>
          <w:smallCaps w:val="0"/>
          <w:sz w:val="22"/>
          <w:szCs w:val="22"/>
          <w:lang w:eastAsia="en-GB"/>
        </w:rPr>
      </w:pPr>
      <w:r>
        <w:t>3.5</w:t>
      </w:r>
      <w:r>
        <w:rPr>
          <w:rFonts w:asciiTheme="minorHAnsi" w:eastAsiaTheme="minorEastAsia" w:hAnsiTheme="minorHAnsi" w:cstheme="minorBidi"/>
          <w:smallCaps w:val="0"/>
          <w:sz w:val="22"/>
          <w:szCs w:val="22"/>
          <w:lang w:eastAsia="en-GB"/>
        </w:rPr>
        <w:tab/>
      </w:r>
      <w:r>
        <w:t>Sector 4: Combustion of fuel in “Other sectors”</w:t>
      </w:r>
      <w:r w:rsidRPr="007C5178">
        <w:rPr>
          <w:i/>
        </w:rPr>
        <w:t xml:space="preserve"> </w:t>
      </w:r>
      <w:r>
        <w:t>(Residential, Commercial/ Institutional, Agriculture, Forestry and Fishing)</w:t>
      </w:r>
      <w:r>
        <w:tab/>
      </w:r>
      <w:r>
        <w:fldChar w:fldCharType="begin"/>
      </w:r>
      <w:r>
        <w:instrText xml:space="preserve"> PAGEREF _Toc10122692 \h </w:instrText>
      </w:r>
      <w:r>
        <w:fldChar w:fldCharType="separate"/>
      </w:r>
      <w:r>
        <w:t>28</w:t>
      </w:r>
      <w:r>
        <w:fldChar w:fldCharType="end"/>
      </w:r>
    </w:p>
    <w:p w14:paraId="6F6FD048" w14:textId="5CCC6F75"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3.5.1</w:t>
      </w:r>
      <w:r>
        <w:rPr>
          <w:rFonts w:asciiTheme="minorHAnsi" w:eastAsiaTheme="minorEastAsia" w:hAnsiTheme="minorHAnsi" w:cstheme="minorBidi"/>
          <w:i w:val="0"/>
          <w:noProof/>
          <w:sz w:val="22"/>
          <w:szCs w:val="22"/>
          <w:lang w:eastAsia="en-GB"/>
        </w:rPr>
        <w:tab/>
      </w:r>
      <w:r>
        <w:rPr>
          <w:noProof/>
        </w:rPr>
        <w:t>Introduction</w:t>
      </w:r>
      <w:r>
        <w:rPr>
          <w:noProof/>
        </w:rPr>
        <w:tab/>
      </w:r>
      <w:r>
        <w:rPr>
          <w:noProof/>
        </w:rPr>
        <w:fldChar w:fldCharType="begin"/>
      </w:r>
      <w:r>
        <w:rPr>
          <w:noProof/>
        </w:rPr>
        <w:instrText xml:space="preserve"> PAGEREF _Toc10122693 \h </w:instrText>
      </w:r>
      <w:r>
        <w:rPr>
          <w:noProof/>
        </w:rPr>
      </w:r>
      <w:r>
        <w:rPr>
          <w:noProof/>
        </w:rPr>
        <w:fldChar w:fldCharType="separate"/>
      </w:r>
      <w:r>
        <w:rPr>
          <w:noProof/>
        </w:rPr>
        <w:t>28</w:t>
      </w:r>
      <w:r>
        <w:rPr>
          <w:noProof/>
        </w:rPr>
        <w:fldChar w:fldCharType="end"/>
      </w:r>
    </w:p>
    <w:p w14:paraId="2F965CD5" w14:textId="2458A93E"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3.5.2</w:t>
      </w:r>
      <w:r>
        <w:rPr>
          <w:rFonts w:asciiTheme="minorHAnsi" w:eastAsiaTheme="minorEastAsia" w:hAnsiTheme="minorHAnsi" w:cstheme="minorBidi"/>
          <w:i w:val="0"/>
          <w:noProof/>
          <w:sz w:val="22"/>
          <w:szCs w:val="22"/>
          <w:lang w:eastAsia="en-GB"/>
        </w:rPr>
        <w:tab/>
      </w:r>
      <w:r>
        <w:rPr>
          <w:noProof/>
        </w:rPr>
        <w:t>Procedures and default data used in this manual</w:t>
      </w:r>
      <w:r>
        <w:rPr>
          <w:noProof/>
        </w:rPr>
        <w:tab/>
      </w:r>
      <w:r>
        <w:rPr>
          <w:noProof/>
        </w:rPr>
        <w:fldChar w:fldCharType="begin"/>
      </w:r>
      <w:r>
        <w:rPr>
          <w:noProof/>
        </w:rPr>
        <w:instrText xml:space="preserve"> PAGEREF _Toc10122694 \h </w:instrText>
      </w:r>
      <w:r>
        <w:rPr>
          <w:noProof/>
        </w:rPr>
      </w:r>
      <w:r>
        <w:rPr>
          <w:noProof/>
        </w:rPr>
        <w:fldChar w:fldCharType="separate"/>
      </w:r>
      <w:r>
        <w:rPr>
          <w:noProof/>
        </w:rPr>
        <w:t>28</w:t>
      </w:r>
      <w:r>
        <w:rPr>
          <w:noProof/>
        </w:rPr>
        <w:fldChar w:fldCharType="end"/>
      </w:r>
    </w:p>
    <w:p w14:paraId="367428D4" w14:textId="2C5B2E2C" w:rsidR="00DC7701" w:rsidRDefault="00DC7701">
      <w:pPr>
        <w:pStyle w:val="TOC2"/>
        <w:rPr>
          <w:rFonts w:asciiTheme="minorHAnsi" w:eastAsiaTheme="minorEastAsia" w:hAnsiTheme="minorHAnsi" w:cstheme="minorBidi"/>
          <w:smallCaps w:val="0"/>
          <w:sz w:val="22"/>
          <w:szCs w:val="22"/>
          <w:lang w:eastAsia="en-GB"/>
        </w:rPr>
      </w:pPr>
      <w:r>
        <w:t>3.6</w:t>
      </w:r>
      <w:r>
        <w:rPr>
          <w:rFonts w:asciiTheme="minorHAnsi" w:eastAsiaTheme="minorEastAsia" w:hAnsiTheme="minorHAnsi" w:cstheme="minorBidi"/>
          <w:smallCaps w:val="0"/>
          <w:sz w:val="22"/>
          <w:szCs w:val="22"/>
          <w:lang w:eastAsia="en-GB"/>
        </w:rPr>
        <w:tab/>
      </w:r>
      <w:r>
        <w:t>Sector 5: Fugitive emissions from fuels</w:t>
      </w:r>
      <w:r>
        <w:tab/>
      </w:r>
      <w:r>
        <w:fldChar w:fldCharType="begin"/>
      </w:r>
      <w:r>
        <w:instrText xml:space="preserve"> PAGEREF _Toc10122695 \h </w:instrText>
      </w:r>
      <w:r>
        <w:fldChar w:fldCharType="separate"/>
      </w:r>
      <w:r>
        <w:t>29</w:t>
      </w:r>
      <w:r>
        <w:fldChar w:fldCharType="end"/>
      </w:r>
    </w:p>
    <w:p w14:paraId="214F1181" w14:textId="5531DAE5"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3.6.1</w:t>
      </w:r>
      <w:r>
        <w:rPr>
          <w:rFonts w:asciiTheme="minorHAnsi" w:eastAsiaTheme="minorEastAsia" w:hAnsiTheme="minorHAnsi" w:cstheme="minorBidi"/>
          <w:i w:val="0"/>
          <w:noProof/>
          <w:sz w:val="22"/>
          <w:szCs w:val="22"/>
          <w:lang w:eastAsia="en-GB"/>
        </w:rPr>
        <w:tab/>
      </w:r>
      <w:r>
        <w:rPr>
          <w:noProof/>
        </w:rPr>
        <w:t>Introduction</w:t>
      </w:r>
      <w:r>
        <w:rPr>
          <w:noProof/>
        </w:rPr>
        <w:tab/>
      </w:r>
      <w:r>
        <w:rPr>
          <w:noProof/>
        </w:rPr>
        <w:fldChar w:fldCharType="begin"/>
      </w:r>
      <w:r>
        <w:rPr>
          <w:noProof/>
        </w:rPr>
        <w:instrText xml:space="preserve"> PAGEREF _Toc10122696 \h </w:instrText>
      </w:r>
      <w:r>
        <w:rPr>
          <w:noProof/>
        </w:rPr>
      </w:r>
      <w:r>
        <w:rPr>
          <w:noProof/>
        </w:rPr>
        <w:fldChar w:fldCharType="separate"/>
      </w:r>
      <w:r>
        <w:rPr>
          <w:noProof/>
        </w:rPr>
        <w:t>29</w:t>
      </w:r>
      <w:r>
        <w:rPr>
          <w:noProof/>
        </w:rPr>
        <w:fldChar w:fldCharType="end"/>
      </w:r>
    </w:p>
    <w:p w14:paraId="715F3616" w14:textId="01813F12"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3.6.2</w:t>
      </w:r>
      <w:r>
        <w:rPr>
          <w:rFonts w:asciiTheme="minorHAnsi" w:eastAsiaTheme="minorEastAsia" w:hAnsiTheme="minorHAnsi" w:cstheme="minorBidi"/>
          <w:i w:val="0"/>
          <w:noProof/>
          <w:sz w:val="22"/>
          <w:szCs w:val="22"/>
          <w:lang w:eastAsia="en-GB"/>
        </w:rPr>
        <w:tab/>
      </w:r>
      <w:r>
        <w:rPr>
          <w:noProof/>
        </w:rPr>
        <w:t>Procedures suggested in this Manual</w:t>
      </w:r>
      <w:r>
        <w:rPr>
          <w:noProof/>
        </w:rPr>
        <w:tab/>
      </w:r>
      <w:r>
        <w:rPr>
          <w:noProof/>
        </w:rPr>
        <w:fldChar w:fldCharType="begin"/>
      </w:r>
      <w:r>
        <w:rPr>
          <w:noProof/>
        </w:rPr>
        <w:instrText xml:space="preserve"> PAGEREF _Toc10122697 \h </w:instrText>
      </w:r>
      <w:r>
        <w:rPr>
          <w:noProof/>
        </w:rPr>
      </w:r>
      <w:r>
        <w:rPr>
          <w:noProof/>
        </w:rPr>
        <w:fldChar w:fldCharType="separate"/>
      </w:r>
      <w:r>
        <w:rPr>
          <w:noProof/>
        </w:rPr>
        <w:t>30</w:t>
      </w:r>
      <w:r>
        <w:rPr>
          <w:noProof/>
        </w:rPr>
        <w:fldChar w:fldCharType="end"/>
      </w:r>
    </w:p>
    <w:p w14:paraId="6CAADAFB" w14:textId="081714D8"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4.</w:t>
      </w:r>
      <w:r>
        <w:rPr>
          <w:rFonts w:asciiTheme="minorHAnsi" w:eastAsiaTheme="minorEastAsia" w:hAnsiTheme="minorHAnsi" w:cstheme="minorBidi"/>
          <w:b w:val="0"/>
          <w:caps w:val="0"/>
          <w:sz w:val="22"/>
          <w:szCs w:val="22"/>
          <w:lang w:eastAsia="en-GB"/>
        </w:rPr>
        <w:tab/>
      </w:r>
      <w:r>
        <w:t>Industrial Process (non-combustion) emissions (Sector 6)</w:t>
      </w:r>
      <w:r>
        <w:tab/>
      </w:r>
      <w:r>
        <w:fldChar w:fldCharType="begin"/>
      </w:r>
      <w:r>
        <w:instrText xml:space="preserve"> PAGEREF _Toc10122698 \h </w:instrText>
      </w:r>
      <w:r>
        <w:fldChar w:fldCharType="separate"/>
      </w:r>
      <w:r>
        <w:t>31</w:t>
      </w:r>
      <w:r>
        <w:fldChar w:fldCharType="end"/>
      </w:r>
    </w:p>
    <w:p w14:paraId="719FCC16" w14:textId="2EA95867" w:rsidR="00DC7701" w:rsidRDefault="00DC7701">
      <w:pPr>
        <w:pStyle w:val="TOC2"/>
        <w:rPr>
          <w:rFonts w:asciiTheme="minorHAnsi" w:eastAsiaTheme="minorEastAsia" w:hAnsiTheme="minorHAnsi" w:cstheme="minorBidi"/>
          <w:smallCaps w:val="0"/>
          <w:sz w:val="22"/>
          <w:szCs w:val="22"/>
          <w:lang w:eastAsia="en-GB"/>
        </w:rPr>
      </w:pPr>
      <w:r>
        <w:t>4.1</w:t>
      </w:r>
      <w:r>
        <w:rPr>
          <w:rFonts w:asciiTheme="minorHAnsi" w:eastAsiaTheme="minorEastAsia" w:hAnsiTheme="minorHAnsi" w:cstheme="minorBidi"/>
          <w:smallCaps w:val="0"/>
          <w:sz w:val="22"/>
          <w:szCs w:val="22"/>
          <w:lang w:eastAsia="en-GB"/>
        </w:rPr>
        <w:tab/>
      </w:r>
      <w:r>
        <w:t>Introduction</w:t>
      </w:r>
      <w:r>
        <w:tab/>
      </w:r>
      <w:r>
        <w:fldChar w:fldCharType="begin"/>
      </w:r>
      <w:r>
        <w:instrText xml:space="preserve"> PAGEREF _Toc10122699 \h </w:instrText>
      </w:r>
      <w:r>
        <w:fldChar w:fldCharType="separate"/>
      </w:r>
      <w:r>
        <w:t>31</w:t>
      </w:r>
      <w:r>
        <w:fldChar w:fldCharType="end"/>
      </w:r>
    </w:p>
    <w:p w14:paraId="1A656068" w14:textId="412018A2" w:rsidR="00DC7701" w:rsidRDefault="00DC7701">
      <w:pPr>
        <w:pStyle w:val="TOC2"/>
        <w:rPr>
          <w:rFonts w:asciiTheme="minorHAnsi" w:eastAsiaTheme="minorEastAsia" w:hAnsiTheme="minorHAnsi" w:cstheme="minorBidi"/>
          <w:smallCaps w:val="0"/>
          <w:sz w:val="22"/>
          <w:szCs w:val="22"/>
          <w:lang w:eastAsia="en-GB"/>
        </w:rPr>
      </w:pPr>
      <w:r>
        <w:t>4.2</w:t>
      </w:r>
      <w:r>
        <w:rPr>
          <w:rFonts w:asciiTheme="minorHAnsi" w:eastAsiaTheme="minorEastAsia" w:hAnsiTheme="minorHAnsi" w:cstheme="minorBidi"/>
          <w:smallCaps w:val="0"/>
          <w:sz w:val="22"/>
          <w:szCs w:val="22"/>
          <w:lang w:eastAsia="en-GB"/>
        </w:rPr>
        <w:tab/>
      </w:r>
      <w:r>
        <w:t>Procedures and default data used in this manual</w:t>
      </w:r>
      <w:r>
        <w:tab/>
      </w:r>
      <w:r>
        <w:fldChar w:fldCharType="begin"/>
      </w:r>
      <w:r>
        <w:instrText xml:space="preserve"> PAGEREF _Toc10122700 \h </w:instrText>
      </w:r>
      <w:r>
        <w:fldChar w:fldCharType="separate"/>
      </w:r>
      <w:r>
        <w:t>31</w:t>
      </w:r>
      <w:r>
        <w:fldChar w:fldCharType="end"/>
      </w:r>
    </w:p>
    <w:p w14:paraId="3E30255C" w14:textId="00B39262" w:rsidR="00DC7701" w:rsidRDefault="00DC7701">
      <w:pPr>
        <w:pStyle w:val="TOC2"/>
        <w:rPr>
          <w:rFonts w:asciiTheme="minorHAnsi" w:eastAsiaTheme="minorEastAsia" w:hAnsiTheme="minorHAnsi" w:cstheme="minorBidi"/>
          <w:smallCaps w:val="0"/>
          <w:sz w:val="22"/>
          <w:szCs w:val="22"/>
          <w:lang w:eastAsia="en-GB"/>
        </w:rPr>
      </w:pPr>
      <w:r>
        <w:t>4.3</w:t>
      </w:r>
      <w:r>
        <w:rPr>
          <w:rFonts w:asciiTheme="minorHAnsi" w:eastAsiaTheme="minorEastAsia" w:hAnsiTheme="minorHAnsi" w:cstheme="minorBidi"/>
          <w:smallCaps w:val="0"/>
          <w:sz w:val="22"/>
          <w:szCs w:val="22"/>
          <w:lang w:eastAsia="en-GB"/>
        </w:rPr>
        <w:tab/>
      </w:r>
      <w:r>
        <w:t>Application of parameters for control equipment</w:t>
      </w:r>
      <w:r>
        <w:tab/>
      </w:r>
      <w:r>
        <w:fldChar w:fldCharType="begin"/>
      </w:r>
      <w:r>
        <w:instrText xml:space="preserve"> PAGEREF _Toc10122701 \h </w:instrText>
      </w:r>
      <w:r>
        <w:fldChar w:fldCharType="separate"/>
      </w:r>
      <w:r>
        <w:t>31</w:t>
      </w:r>
      <w:r>
        <w:fldChar w:fldCharType="end"/>
      </w:r>
    </w:p>
    <w:p w14:paraId="5816215F" w14:textId="5E15EFAC" w:rsidR="00DC7701" w:rsidRDefault="00DC7701">
      <w:pPr>
        <w:pStyle w:val="TOC2"/>
        <w:rPr>
          <w:rFonts w:asciiTheme="minorHAnsi" w:eastAsiaTheme="minorEastAsia" w:hAnsiTheme="minorHAnsi" w:cstheme="minorBidi"/>
          <w:smallCaps w:val="0"/>
          <w:sz w:val="22"/>
          <w:szCs w:val="22"/>
          <w:lang w:eastAsia="en-GB"/>
        </w:rPr>
      </w:pPr>
      <w:r>
        <w:t>4.4</w:t>
      </w:r>
      <w:r>
        <w:rPr>
          <w:rFonts w:asciiTheme="minorHAnsi" w:eastAsiaTheme="minorEastAsia" w:hAnsiTheme="minorHAnsi" w:cstheme="minorBidi"/>
          <w:smallCaps w:val="0"/>
          <w:sz w:val="22"/>
          <w:szCs w:val="22"/>
          <w:lang w:eastAsia="en-GB"/>
        </w:rPr>
        <w:tab/>
      </w:r>
      <w:r>
        <w:t>Sources of emission factor data</w:t>
      </w:r>
      <w:r>
        <w:tab/>
      </w:r>
      <w:r>
        <w:fldChar w:fldCharType="begin"/>
      </w:r>
      <w:r>
        <w:instrText xml:space="preserve"> PAGEREF _Toc10122702 \h </w:instrText>
      </w:r>
      <w:r>
        <w:fldChar w:fldCharType="separate"/>
      </w:r>
      <w:r>
        <w:t>32</w:t>
      </w:r>
      <w:r>
        <w:fldChar w:fldCharType="end"/>
      </w:r>
    </w:p>
    <w:p w14:paraId="640B2961" w14:textId="074C4346"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5.</w:t>
      </w:r>
      <w:r>
        <w:rPr>
          <w:rFonts w:asciiTheme="minorHAnsi" w:eastAsiaTheme="minorEastAsia" w:hAnsiTheme="minorHAnsi" w:cstheme="minorBidi"/>
          <w:b w:val="0"/>
          <w:caps w:val="0"/>
          <w:sz w:val="22"/>
          <w:szCs w:val="22"/>
          <w:lang w:eastAsia="en-GB"/>
        </w:rPr>
        <w:tab/>
      </w:r>
      <w:r>
        <w:t>Emissions from solvent and other product use (Sector 7)</w:t>
      </w:r>
      <w:r>
        <w:tab/>
      </w:r>
      <w:r>
        <w:fldChar w:fldCharType="begin"/>
      </w:r>
      <w:r>
        <w:instrText xml:space="preserve"> PAGEREF _Toc10122703 \h </w:instrText>
      </w:r>
      <w:r>
        <w:fldChar w:fldCharType="separate"/>
      </w:r>
      <w:r>
        <w:t>33</w:t>
      </w:r>
      <w:r>
        <w:fldChar w:fldCharType="end"/>
      </w:r>
    </w:p>
    <w:p w14:paraId="1B3F4F59" w14:textId="01F7CB38" w:rsidR="00DC7701" w:rsidRDefault="00DC7701">
      <w:pPr>
        <w:pStyle w:val="TOC2"/>
        <w:rPr>
          <w:rFonts w:asciiTheme="minorHAnsi" w:eastAsiaTheme="minorEastAsia" w:hAnsiTheme="minorHAnsi" w:cstheme="minorBidi"/>
          <w:smallCaps w:val="0"/>
          <w:sz w:val="22"/>
          <w:szCs w:val="22"/>
          <w:lang w:eastAsia="en-GB"/>
        </w:rPr>
      </w:pPr>
      <w:r>
        <w:t>5.1</w:t>
      </w:r>
      <w:r>
        <w:rPr>
          <w:rFonts w:asciiTheme="minorHAnsi" w:eastAsiaTheme="minorEastAsia" w:hAnsiTheme="minorHAnsi" w:cstheme="minorBidi"/>
          <w:smallCaps w:val="0"/>
          <w:sz w:val="22"/>
          <w:szCs w:val="22"/>
          <w:lang w:eastAsia="en-GB"/>
        </w:rPr>
        <w:tab/>
      </w:r>
      <w:r>
        <w:t>Introduction</w:t>
      </w:r>
      <w:r>
        <w:tab/>
      </w:r>
      <w:r>
        <w:fldChar w:fldCharType="begin"/>
      </w:r>
      <w:r>
        <w:instrText xml:space="preserve"> PAGEREF _Toc10122704 \h </w:instrText>
      </w:r>
      <w:r>
        <w:fldChar w:fldCharType="separate"/>
      </w:r>
      <w:r>
        <w:t>33</w:t>
      </w:r>
      <w:r>
        <w:fldChar w:fldCharType="end"/>
      </w:r>
    </w:p>
    <w:p w14:paraId="66D3CC64" w14:textId="59C349A6" w:rsidR="00DC7701" w:rsidRDefault="00DC7701">
      <w:pPr>
        <w:pStyle w:val="TOC2"/>
        <w:rPr>
          <w:rFonts w:asciiTheme="minorHAnsi" w:eastAsiaTheme="minorEastAsia" w:hAnsiTheme="minorHAnsi" w:cstheme="minorBidi"/>
          <w:smallCaps w:val="0"/>
          <w:sz w:val="22"/>
          <w:szCs w:val="22"/>
          <w:lang w:eastAsia="en-GB"/>
        </w:rPr>
      </w:pPr>
      <w:r>
        <w:t>5.2</w:t>
      </w:r>
      <w:r>
        <w:rPr>
          <w:rFonts w:asciiTheme="minorHAnsi" w:eastAsiaTheme="minorEastAsia" w:hAnsiTheme="minorHAnsi" w:cstheme="minorBidi"/>
          <w:smallCaps w:val="0"/>
          <w:sz w:val="22"/>
          <w:szCs w:val="22"/>
          <w:lang w:eastAsia="en-GB"/>
        </w:rPr>
        <w:tab/>
      </w:r>
      <w:r>
        <w:t>Procedure and default data suggested in this manual</w:t>
      </w:r>
      <w:r>
        <w:tab/>
      </w:r>
      <w:r>
        <w:fldChar w:fldCharType="begin"/>
      </w:r>
      <w:r>
        <w:instrText xml:space="preserve"> PAGEREF _Toc10122705 \h </w:instrText>
      </w:r>
      <w:r>
        <w:fldChar w:fldCharType="separate"/>
      </w:r>
      <w:r>
        <w:t>33</w:t>
      </w:r>
      <w:r>
        <w:fldChar w:fldCharType="end"/>
      </w:r>
    </w:p>
    <w:p w14:paraId="665507F8" w14:textId="1099C491" w:rsidR="00DC7701" w:rsidRDefault="00DC7701">
      <w:pPr>
        <w:pStyle w:val="TOC2"/>
        <w:rPr>
          <w:rFonts w:asciiTheme="minorHAnsi" w:eastAsiaTheme="minorEastAsia" w:hAnsiTheme="minorHAnsi" w:cstheme="minorBidi"/>
          <w:smallCaps w:val="0"/>
          <w:sz w:val="22"/>
          <w:szCs w:val="22"/>
          <w:lang w:eastAsia="en-GB"/>
        </w:rPr>
      </w:pPr>
      <w:r>
        <w:t>5.3</w:t>
      </w:r>
      <w:r>
        <w:rPr>
          <w:rFonts w:asciiTheme="minorHAnsi" w:eastAsiaTheme="minorEastAsia" w:hAnsiTheme="minorHAnsi" w:cstheme="minorBidi"/>
          <w:smallCaps w:val="0"/>
          <w:sz w:val="22"/>
          <w:szCs w:val="22"/>
          <w:lang w:eastAsia="en-GB"/>
        </w:rPr>
        <w:tab/>
      </w:r>
      <w:r>
        <w:t>Application of parameters for control equipment</w:t>
      </w:r>
      <w:r>
        <w:tab/>
      </w:r>
      <w:r>
        <w:fldChar w:fldCharType="begin"/>
      </w:r>
      <w:r>
        <w:instrText xml:space="preserve"> PAGEREF _Toc10122706 \h </w:instrText>
      </w:r>
      <w:r>
        <w:fldChar w:fldCharType="separate"/>
      </w:r>
      <w:r>
        <w:t>33</w:t>
      </w:r>
      <w:r>
        <w:fldChar w:fldCharType="end"/>
      </w:r>
    </w:p>
    <w:p w14:paraId="671FA7A8" w14:textId="22F5F0A7"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6.</w:t>
      </w:r>
      <w:r>
        <w:rPr>
          <w:rFonts w:asciiTheme="minorHAnsi" w:eastAsiaTheme="minorEastAsia" w:hAnsiTheme="minorHAnsi" w:cstheme="minorBidi"/>
          <w:b w:val="0"/>
          <w:caps w:val="0"/>
          <w:sz w:val="22"/>
          <w:szCs w:val="22"/>
          <w:lang w:eastAsia="en-GB"/>
        </w:rPr>
        <w:tab/>
      </w:r>
      <w:r>
        <w:t>Emissions from Agriculture (Sector 8)</w:t>
      </w:r>
      <w:r>
        <w:tab/>
      </w:r>
      <w:r>
        <w:fldChar w:fldCharType="begin"/>
      </w:r>
      <w:r>
        <w:instrText xml:space="preserve"> PAGEREF _Toc10122707 \h </w:instrText>
      </w:r>
      <w:r>
        <w:fldChar w:fldCharType="separate"/>
      </w:r>
      <w:r>
        <w:t>34</w:t>
      </w:r>
      <w:r>
        <w:fldChar w:fldCharType="end"/>
      </w:r>
    </w:p>
    <w:p w14:paraId="446FCDD2" w14:textId="2DB8C8AB" w:rsidR="00DC7701" w:rsidRDefault="00DC7701">
      <w:pPr>
        <w:pStyle w:val="TOC2"/>
        <w:rPr>
          <w:rFonts w:asciiTheme="minorHAnsi" w:eastAsiaTheme="minorEastAsia" w:hAnsiTheme="minorHAnsi" w:cstheme="minorBidi"/>
          <w:smallCaps w:val="0"/>
          <w:sz w:val="22"/>
          <w:szCs w:val="22"/>
          <w:lang w:eastAsia="en-GB"/>
        </w:rPr>
      </w:pPr>
      <w:r>
        <w:t>6.1</w:t>
      </w:r>
      <w:r>
        <w:rPr>
          <w:rFonts w:asciiTheme="minorHAnsi" w:eastAsiaTheme="minorEastAsia" w:hAnsiTheme="minorHAnsi" w:cstheme="minorBidi"/>
          <w:smallCaps w:val="0"/>
          <w:sz w:val="22"/>
          <w:szCs w:val="22"/>
          <w:lang w:eastAsia="en-GB"/>
        </w:rPr>
        <w:tab/>
      </w:r>
      <w:r>
        <w:t>Introduction</w:t>
      </w:r>
      <w:r>
        <w:tab/>
      </w:r>
      <w:r>
        <w:fldChar w:fldCharType="begin"/>
      </w:r>
      <w:r>
        <w:instrText xml:space="preserve"> PAGEREF _Toc10122708 \h </w:instrText>
      </w:r>
      <w:r>
        <w:fldChar w:fldCharType="separate"/>
      </w:r>
      <w:r>
        <w:t>34</w:t>
      </w:r>
      <w:r>
        <w:fldChar w:fldCharType="end"/>
      </w:r>
    </w:p>
    <w:p w14:paraId="1037B973" w14:textId="45DC8AA2" w:rsidR="00DC7701" w:rsidRDefault="00DC7701">
      <w:pPr>
        <w:pStyle w:val="TOC2"/>
        <w:rPr>
          <w:rFonts w:asciiTheme="minorHAnsi" w:eastAsiaTheme="minorEastAsia" w:hAnsiTheme="minorHAnsi" w:cstheme="minorBidi"/>
          <w:smallCaps w:val="0"/>
          <w:sz w:val="22"/>
          <w:szCs w:val="22"/>
          <w:lang w:eastAsia="en-GB"/>
        </w:rPr>
      </w:pPr>
      <w:r>
        <w:t>6.2</w:t>
      </w:r>
      <w:r>
        <w:rPr>
          <w:rFonts w:asciiTheme="minorHAnsi" w:eastAsiaTheme="minorEastAsia" w:hAnsiTheme="minorHAnsi" w:cstheme="minorBidi"/>
          <w:smallCaps w:val="0"/>
          <w:sz w:val="22"/>
          <w:szCs w:val="22"/>
          <w:lang w:eastAsia="en-GB"/>
        </w:rPr>
        <w:tab/>
      </w:r>
      <w:r>
        <w:t>Procedures suggested for use in this Manual</w:t>
      </w:r>
      <w:r>
        <w:tab/>
      </w:r>
      <w:r>
        <w:fldChar w:fldCharType="begin"/>
      </w:r>
      <w:r>
        <w:instrText xml:space="preserve"> PAGEREF _Toc10122709 \h </w:instrText>
      </w:r>
      <w:r>
        <w:fldChar w:fldCharType="separate"/>
      </w:r>
      <w:r>
        <w:t>34</w:t>
      </w:r>
      <w:r>
        <w:fldChar w:fldCharType="end"/>
      </w:r>
    </w:p>
    <w:p w14:paraId="44D2212E" w14:textId="54E125EE"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6.2.1</w:t>
      </w:r>
      <w:r>
        <w:rPr>
          <w:rFonts w:asciiTheme="minorHAnsi" w:eastAsiaTheme="minorEastAsia" w:hAnsiTheme="minorHAnsi" w:cstheme="minorBidi"/>
          <w:i w:val="0"/>
          <w:noProof/>
          <w:sz w:val="22"/>
          <w:szCs w:val="22"/>
          <w:lang w:eastAsia="en-GB"/>
        </w:rPr>
        <w:tab/>
      </w:r>
      <w:r>
        <w:rPr>
          <w:noProof/>
        </w:rPr>
        <w:t>Sources of emissions covered</w:t>
      </w:r>
      <w:r>
        <w:rPr>
          <w:noProof/>
        </w:rPr>
        <w:tab/>
      </w:r>
      <w:r>
        <w:rPr>
          <w:noProof/>
        </w:rPr>
        <w:fldChar w:fldCharType="begin"/>
      </w:r>
      <w:r>
        <w:rPr>
          <w:noProof/>
        </w:rPr>
        <w:instrText xml:space="preserve"> PAGEREF _Toc10122710 \h </w:instrText>
      </w:r>
      <w:r>
        <w:rPr>
          <w:noProof/>
        </w:rPr>
      </w:r>
      <w:r>
        <w:rPr>
          <w:noProof/>
        </w:rPr>
        <w:fldChar w:fldCharType="separate"/>
      </w:r>
      <w:r>
        <w:rPr>
          <w:noProof/>
        </w:rPr>
        <w:t>34</w:t>
      </w:r>
      <w:r>
        <w:rPr>
          <w:noProof/>
        </w:rPr>
        <w:fldChar w:fldCharType="end"/>
      </w:r>
    </w:p>
    <w:p w14:paraId="4C4FC896" w14:textId="0DCFE5B0"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6.2.2</w:t>
      </w:r>
      <w:r>
        <w:rPr>
          <w:rFonts w:asciiTheme="minorHAnsi" w:eastAsiaTheme="minorEastAsia" w:hAnsiTheme="minorHAnsi" w:cstheme="minorBidi"/>
          <w:i w:val="0"/>
          <w:noProof/>
          <w:sz w:val="22"/>
          <w:szCs w:val="22"/>
          <w:lang w:eastAsia="en-GB"/>
        </w:rPr>
        <w:tab/>
      </w:r>
      <w:r>
        <w:rPr>
          <w:noProof/>
        </w:rPr>
        <w:t>Procedure for estimating emissions of ammonia and methane from livestock manure management and methane emissions from enteric fermentation</w:t>
      </w:r>
      <w:r>
        <w:rPr>
          <w:noProof/>
        </w:rPr>
        <w:tab/>
      </w:r>
      <w:r>
        <w:rPr>
          <w:noProof/>
        </w:rPr>
        <w:fldChar w:fldCharType="begin"/>
      </w:r>
      <w:r>
        <w:rPr>
          <w:noProof/>
        </w:rPr>
        <w:instrText xml:space="preserve"> PAGEREF _Toc10122711 \h </w:instrText>
      </w:r>
      <w:r>
        <w:rPr>
          <w:noProof/>
        </w:rPr>
      </w:r>
      <w:r>
        <w:rPr>
          <w:noProof/>
        </w:rPr>
        <w:fldChar w:fldCharType="separate"/>
      </w:r>
      <w:r>
        <w:rPr>
          <w:noProof/>
        </w:rPr>
        <w:t>35</w:t>
      </w:r>
      <w:r>
        <w:rPr>
          <w:noProof/>
        </w:rPr>
        <w:fldChar w:fldCharType="end"/>
      </w:r>
    </w:p>
    <w:p w14:paraId="2BCF0B65" w14:textId="13E958D8"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6.2.3</w:t>
      </w:r>
      <w:r>
        <w:rPr>
          <w:rFonts w:asciiTheme="minorHAnsi" w:eastAsiaTheme="minorEastAsia" w:hAnsiTheme="minorHAnsi" w:cstheme="minorBidi"/>
          <w:i w:val="0"/>
          <w:noProof/>
          <w:sz w:val="22"/>
          <w:szCs w:val="22"/>
          <w:lang w:eastAsia="en-GB"/>
        </w:rPr>
        <w:tab/>
      </w:r>
      <w:r>
        <w:rPr>
          <w:noProof/>
        </w:rPr>
        <w:t>Procedure for estimating emissions of particulate matter from indoor animal husbandry</w:t>
      </w:r>
      <w:r>
        <w:rPr>
          <w:noProof/>
        </w:rPr>
        <w:tab/>
      </w:r>
      <w:r>
        <w:rPr>
          <w:noProof/>
        </w:rPr>
        <w:fldChar w:fldCharType="begin"/>
      </w:r>
      <w:r>
        <w:rPr>
          <w:noProof/>
        </w:rPr>
        <w:instrText xml:space="preserve"> PAGEREF _Toc10122712 \h </w:instrText>
      </w:r>
      <w:r>
        <w:rPr>
          <w:noProof/>
        </w:rPr>
      </w:r>
      <w:r>
        <w:rPr>
          <w:noProof/>
        </w:rPr>
        <w:fldChar w:fldCharType="separate"/>
      </w:r>
      <w:r>
        <w:rPr>
          <w:noProof/>
        </w:rPr>
        <w:t>35</w:t>
      </w:r>
      <w:r>
        <w:rPr>
          <w:noProof/>
        </w:rPr>
        <w:fldChar w:fldCharType="end"/>
      </w:r>
    </w:p>
    <w:p w14:paraId="40F4E08E" w14:textId="094777EB"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6.2.4</w:t>
      </w:r>
      <w:r>
        <w:rPr>
          <w:rFonts w:asciiTheme="minorHAnsi" w:eastAsiaTheme="minorEastAsia" w:hAnsiTheme="minorHAnsi" w:cstheme="minorBidi"/>
          <w:i w:val="0"/>
          <w:noProof/>
          <w:sz w:val="22"/>
          <w:szCs w:val="22"/>
          <w:lang w:eastAsia="en-GB"/>
        </w:rPr>
        <w:tab/>
      </w:r>
      <w:r>
        <w:rPr>
          <w:noProof/>
        </w:rPr>
        <w:t>Procedure for estimating emissions of ammonia and nitric oxide from fertilizer use</w:t>
      </w:r>
      <w:r>
        <w:rPr>
          <w:noProof/>
        </w:rPr>
        <w:tab/>
      </w:r>
      <w:r>
        <w:rPr>
          <w:noProof/>
        </w:rPr>
        <w:fldChar w:fldCharType="begin"/>
      </w:r>
      <w:r>
        <w:rPr>
          <w:noProof/>
        </w:rPr>
        <w:instrText xml:space="preserve"> PAGEREF _Toc10122713 \h </w:instrText>
      </w:r>
      <w:r>
        <w:rPr>
          <w:noProof/>
        </w:rPr>
      </w:r>
      <w:r>
        <w:rPr>
          <w:noProof/>
        </w:rPr>
        <w:fldChar w:fldCharType="separate"/>
      </w:r>
      <w:r>
        <w:rPr>
          <w:noProof/>
        </w:rPr>
        <w:t>35</w:t>
      </w:r>
      <w:r>
        <w:rPr>
          <w:noProof/>
        </w:rPr>
        <w:fldChar w:fldCharType="end"/>
      </w:r>
    </w:p>
    <w:p w14:paraId="0D5790A4" w14:textId="1C39965D"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6.2.5</w:t>
      </w:r>
      <w:r>
        <w:rPr>
          <w:rFonts w:asciiTheme="minorHAnsi" w:eastAsiaTheme="minorEastAsia" w:hAnsiTheme="minorHAnsi" w:cstheme="minorBidi"/>
          <w:i w:val="0"/>
          <w:noProof/>
          <w:sz w:val="22"/>
          <w:szCs w:val="22"/>
          <w:lang w:eastAsia="en-GB"/>
        </w:rPr>
        <w:tab/>
      </w:r>
      <w:r>
        <w:rPr>
          <w:noProof/>
        </w:rPr>
        <w:t>Procedure for estimating emissions from burning of savannas</w:t>
      </w:r>
      <w:r>
        <w:rPr>
          <w:noProof/>
        </w:rPr>
        <w:tab/>
      </w:r>
      <w:r>
        <w:rPr>
          <w:noProof/>
        </w:rPr>
        <w:fldChar w:fldCharType="begin"/>
      </w:r>
      <w:r>
        <w:rPr>
          <w:noProof/>
        </w:rPr>
        <w:instrText xml:space="preserve"> PAGEREF _Toc10122714 \h </w:instrText>
      </w:r>
      <w:r>
        <w:rPr>
          <w:noProof/>
        </w:rPr>
      </w:r>
      <w:r>
        <w:rPr>
          <w:noProof/>
        </w:rPr>
        <w:fldChar w:fldCharType="separate"/>
      </w:r>
      <w:r>
        <w:rPr>
          <w:noProof/>
        </w:rPr>
        <w:t>36</w:t>
      </w:r>
      <w:r>
        <w:rPr>
          <w:noProof/>
        </w:rPr>
        <w:fldChar w:fldCharType="end"/>
      </w:r>
    </w:p>
    <w:p w14:paraId="73548A03" w14:textId="5B615DFB"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6.2.6</w:t>
      </w:r>
      <w:r>
        <w:rPr>
          <w:rFonts w:asciiTheme="minorHAnsi" w:eastAsiaTheme="minorEastAsia" w:hAnsiTheme="minorHAnsi" w:cstheme="minorBidi"/>
          <w:i w:val="0"/>
          <w:noProof/>
          <w:sz w:val="22"/>
          <w:szCs w:val="22"/>
          <w:lang w:eastAsia="en-GB"/>
        </w:rPr>
        <w:tab/>
      </w:r>
      <w:r>
        <w:rPr>
          <w:noProof/>
        </w:rPr>
        <w:t>Procedure for estimating emissions from burning of agricultural wastes</w:t>
      </w:r>
      <w:r>
        <w:rPr>
          <w:noProof/>
        </w:rPr>
        <w:tab/>
      </w:r>
      <w:r>
        <w:rPr>
          <w:noProof/>
        </w:rPr>
        <w:fldChar w:fldCharType="begin"/>
      </w:r>
      <w:r>
        <w:rPr>
          <w:noProof/>
        </w:rPr>
        <w:instrText xml:space="preserve"> PAGEREF _Toc10122715 \h </w:instrText>
      </w:r>
      <w:r>
        <w:rPr>
          <w:noProof/>
        </w:rPr>
      </w:r>
      <w:r>
        <w:rPr>
          <w:noProof/>
        </w:rPr>
        <w:fldChar w:fldCharType="separate"/>
      </w:r>
      <w:r>
        <w:rPr>
          <w:noProof/>
        </w:rPr>
        <w:t>37</w:t>
      </w:r>
      <w:r>
        <w:rPr>
          <w:noProof/>
        </w:rPr>
        <w:fldChar w:fldCharType="end"/>
      </w:r>
    </w:p>
    <w:p w14:paraId="0D3F9C44" w14:textId="7402BAED"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6.2.7</w:t>
      </w:r>
      <w:r>
        <w:rPr>
          <w:rFonts w:asciiTheme="minorHAnsi" w:eastAsiaTheme="minorEastAsia" w:hAnsiTheme="minorHAnsi" w:cstheme="minorBidi"/>
          <w:i w:val="0"/>
          <w:noProof/>
          <w:sz w:val="22"/>
          <w:szCs w:val="22"/>
          <w:lang w:eastAsia="en-GB"/>
        </w:rPr>
        <w:tab/>
      </w:r>
      <w:r>
        <w:rPr>
          <w:noProof/>
        </w:rPr>
        <w:t>Procedure for estimating emissions of methane from rice cultivation</w:t>
      </w:r>
      <w:r>
        <w:rPr>
          <w:noProof/>
        </w:rPr>
        <w:tab/>
      </w:r>
      <w:r>
        <w:rPr>
          <w:noProof/>
        </w:rPr>
        <w:fldChar w:fldCharType="begin"/>
      </w:r>
      <w:r>
        <w:rPr>
          <w:noProof/>
        </w:rPr>
        <w:instrText xml:space="preserve"> PAGEREF _Toc10122716 \h </w:instrText>
      </w:r>
      <w:r>
        <w:rPr>
          <w:noProof/>
        </w:rPr>
      </w:r>
      <w:r>
        <w:rPr>
          <w:noProof/>
        </w:rPr>
        <w:fldChar w:fldCharType="separate"/>
      </w:r>
      <w:r>
        <w:rPr>
          <w:noProof/>
        </w:rPr>
        <w:t>37</w:t>
      </w:r>
      <w:r>
        <w:rPr>
          <w:noProof/>
        </w:rPr>
        <w:fldChar w:fldCharType="end"/>
      </w:r>
    </w:p>
    <w:p w14:paraId="5C5A83E4" w14:textId="00517DC3" w:rsidR="00DC7701" w:rsidRDefault="00DC7701">
      <w:pPr>
        <w:pStyle w:val="TOC2"/>
        <w:rPr>
          <w:rFonts w:asciiTheme="minorHAnsi" w:eastAsiaTheme="minorEastAsia" w:hAnsiTheme="minorHAnsi" w:cstheme="minorBidi"/>
          <w:smallCaps w:val="0"/>
          <w:sz w:val="22"/>
          <w:szCs w:val="22"/>
          <w:lang w:eastAsia="en-GB"/>
        </w:rPr>
      </w:pPr>
      <w:r>
        <w:t>6.3</w:t>
      </w:r>
      <w:r>
        <w:rPr>
          <w:rFonts w:asciiTheme="minorHAnsi" w:eastAsiaTheme="minorEastAsia" w:hAnsiTheme="minorHAnsi" w:cstheme="minorBidi"/>
          <w:smallCaps w:val="0"/>
          <w:sz w:val="22"/>
          <w:szCs w:val="22"/>
          <w:lang w:eastAsia="en-GB"/>
        </w:rPr>
        <w:tab/>
      </w:r>
      <w:r>
        <w:t>Sources of emission factors in literature and their limitations</w:t>
      </w:r>
      <w:r>
        <w:tab/>
      </w:r>
      <w:r>
        <w:fldChar w:fldCharType="begin"/>
      </w:r>
      <w:r>
        <w:instrText xml:space="preserve"> PAGEREF _Toc10122717 \h </w:instrText>
      </w:r>
      <w:r>
        <w:fldChar w:fldCharType="separate"/>
      </w:r>
      <w:r>
        <w:t>38</w:t>
      </w:r>
      <w:r>
        <w:fldChar w:fldCharType="end"/>
      </w:r>
    </w:p>
    <w:p w14:paraId="17829B98" w14:textId="4641A3A5"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7.</w:t>
      </w:r>
      <w:r>
        <w:rPr>
          <w:rFonts w:asciiTheme="minorHAnsi" w:eastAsiaTheme="minorEastAsia" w:hAnsiTheme="minorHAnsi" w:cstheme="minorBidi"/>
          <w:b w:val="0"/>
          <w:caps w:val="0"/>
          <w:sz w:val="22"/>
          <w:szCs w:val="22"/>
          <w:lang w:eastAsia="en-GB"/>
        </w:rPr>
        <w:tab/>
      </w:r>
      <w:r>
        <w:t>Emissions from Vegetation Fires and Forestry (Sector 9)</w:t>
      </w:r>
      <w:r>
        <w:tab/>
      </w:r>
      <w:r>
        <w:fldChar w:fldCharType="begin"/>
      </w:r>
      <w:r>
        <w:instrText xml:space="preserve"> PAGEREF _Toc10122718 \h </w:instrText>
      </w:r>
      <w:r>
        <w:fldChar w:fldCharType="separate"/>
      </w:r>
      <w:r>
        <w:t>39</w:t>
      </w:r>
      <w:r>
        <w:fldChar w:fldCharType="end"/>
      </w:r>
    </w:p>
    <w:p w14:paraId="0897E0ED" w14:textId="020547C7" w:rsidR="00DC7701" w:rsidRDefault="00DC7701">
      <w:pPr>
        <w:pStyle w:val="TOC2"/>
        <w:rPr>
          <w:rFonts w:asciiTheme="minorHAnsi" w:eastAsiaTheme="minorEastAsia" w:hAnsiTheme="minorHAnsi" w:cstheme="minorBidi"/>
          <w:smallCaps w:val="0"/>
          <w:sz w:val="22"/>
          <w:szCs w:val="22"/>
          <w:lang w:eastAsia="en-GB"/>
        </w:rPr>
      </w:pPr>
      <w:r>
        <w:t>7.1</w:t>
      </w:r>
      <w:r>
        <w:rPr>
          <w:rFonts w:asciiTheme="minorHAnsi" w:eastAsiaTheme="minorEastAsia" w:hAnsiTheme="minorHAnsi" w:cstheme="minorBidi"/>
          <w:smallCaps w:val="0"/>
          <w:sz w:val="22"/>
          <w:szCs w:val="22"/>
          <w:lang w:eastAsia="en-GB"/>
        </w:rPr>
        <w:tab/>
      </w:r>
      <w:r>
        <w:t>Introduction</w:t>
      </w:r>
      <w:r>
        <w:tab/>
      </w:r>
      <w:r>
        <w:fldChar w:fldCharType="begin"/>
      </w:r>
      <w:r>
        <w:instrText xml:space="preserve"> PAGEREF _Toc10122719 \h </w:instrText>
      </w:r>
      <w:r>
        <w:fldChar w:fldCharType="separate"/>
      </w:r>
      <w:r>
        <w:t>39</w:t>
      </w:r>
      <w:r>
        <w:fldChar w:fldCharType="end"/>
      </w:r>
    </w:p>
    <w:p w14:paraId="459C9B3F" w14:textId="48EE1DCE" w:rsidR="00DC7701" w:rsidRDefault="00DC7701">
      <w:pPr>
        <w:pStyle w:val="TOC2"/>
        <w:rPr>
          <w:rFonts w:asciiTheme="minorHAnsi" w:eastAsiaTheme="minorEastAsia" w:hAnsiTheme="minorHAnsi" w:cstheme="minorBidi"/>
          <w:smallCaps w:val="0"/>
          <w:sz w:val="22"/>
          <w:szCs w:val="22"/>
          <w:lang w:eastAsia="en-GB"/>
        </w:rPr>
      </w:pPr>
      <w:r>
        <w:t>7.2</w:t>
      </w:r>
      <w:r>
        <w:rPr>
          <w:rFonts w:asciiTheme="minorHAnsi" w:eastAsiaTheme="minorEastAsia" w:hAnsiTheme="minorHAnsi" w:cstheme="minorBidi"/>
          <w:smallCaps w:val="0"/>
          <w:sz w:val="22"/>
          <w:szCs w:val="22"/>
          <w:lang w:eastAsia="en-GB"/>
        </w:rPr>
        <w:tab/>
      </w:r>
      <w:r>
        <w:t>Procedures for estimating emissions from vegetation fires</w:t>
      </w:r>
      <w:r>
        <w:tab/>
      </w:r>
      <w:r>
        <w:fldChar w:fldCharType="begin"/>
      </w:r>
      <w:r>
        <w:instrText xml:space="preserve"> PAGEREF _Toc10122720 \h </w:instrText>
      </w:r>
      <w:r>
        <w:fldChar w:fldCharType="separate"/>
      </w:r>
      <w:r>
        <w:t>39</w:t>
      </w:r>
      <w:r>
        <w:fldChar w:fldCharType="end"/>
      </w:r>
    </w:p>
    <w:p w14:paraId="23FC8DBD" w14:textId="08F8C44A" w:rsidR="00DC7701" w:rsidRDefault="00DC7701">
      <w:pPr>
        <w:pStyle w:val="TOC2"/>
        <w:rPr>
          <w:rFonts w:asciiTheme="minorHAnsi" w:eastAsiaTheme="minorEastAsia" w:hAnsiTheme="minorHAnsi" w:cstheme="minorBidi"/>
          <w:smallCaps w:val="0"/>
          <w:sz w:val="22"/>
          <w:szCs w:val="22"/>
          <w:lang w:eastAsia="en-GB"/>
        </w:rPr>
      </w:pPr>
      <w:r>
        <w:t>7.3</w:t>
      </w:r>
      <w:r>
        <w:rPr>
          <w:rFonts w:asciiTheme="minorHAnsi" w:eastAsiaTheme="minorEastAsia" w:hAnsiTheme="minorHAnsi" w:cstheme="minorBidi"/>
          <w:smallCaps w:val="0"/>
          <w:sz w:val="22"/>
          <w:szCs w:val="22"/>
          <w:lang w:eastAsia="en-GB"/>
        </w:rPr>
        <w:tab/>
      </w:r>
      <w:r>
        <w:t>Sources of emission factor data</w:t>
      </w:r>
      <w:r>
        <w:tab/>
      </w:r>
      <w:r>
        <w:fldChar w:fldCharType="begin"/>
      </w:r>
      <w:r>
        <w:instrText xml:space="preserve"> PAGEREF _Toc10122721 \h </w:instrText>
      </w:r>
      <w:r>
        <w:fldChar w:fldCharType="separate"/>
      </w:r>
      <w:r>
        <w:t>39</w:t>
      </w:r>
      <w:r>
        <w:fldChar w:fldCharType="end"/>
      </w:r>
    </w:p>
    <w:p w14:paraId="2AD65AF0" w14:textId="532934E8"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8.</w:t>
      </w:r>
      <w:r>
        <w:rPr>
          <w:rFonts w:asciiTheme="minorHAnsi" w:eastAsiaTheme="minorEastAsia" w:hAnsiTheme="minorHAnsi" w:cstheme="minorBidi"/>
          <w:b w:val="0"/>
          <w:caps w:val="0"/>
          <w:sz w:val="22"/>
          <w:szCs w:val="22"/>
          <w:lang w:eastAsia="en-GB"/>
        </w:rPr>
        <w:tab/>
      </w:r>
      <w:r>
        <w:t>Emissions from the treatment and disposal of Waste (Sector 10)</w:t>
      </w:r>
      <w:r>
        <w:tab/>
      </w:r>
      <w:r>
        <w:fldChar w:fldCharType="begin"/>
      </w:r>
      <w:r>
        <w:instrText xml:space="preserve"> PAGEREF _Toc10122722 \h </w:instrText>
      </w:r>
      <w:r>
        <w:fldChar w:fldCharType="separate"/>
      </w:r>
      <w:r>
        <w:t>40</w:t>
      </w:r>
      <w:r>
        <w:fldChar w:fldCharType="end"/>
      </w:r>
    </w:p>
    <w:p w14:paraId="7C6B6367" w14:textId="5B069A4F" w:rsidR="00DC7701" w:rsidRDefault="00DC7701">
      <w:pPr>
        <w:pStyle w:val="TOC2"/>
        <w:rPr>
          <w:rFonts w:asciiTheme="minorHAnsi" w:eastAsiaTheme="minorEastAsia" w:hAnsiTheme="minorHAnsi" w:cstheme="minorBidi"/>
          <w:smallCaps w:val="0"/>
          <w:sz w:val="22"/>
          <w:szCs w:val="22"/>
          <w:lang w:eastAsia="en-GB"/>
        </w:rPr>
      </w:pPr>
      <w:r>
        <w:t>8.1</w:t>
      </w:r>
      <w:r>
        <w:rPr>
          <w:rFonts w:asciiTheme="minorHAnsi" w:eastAsiaTheme="minorEastAsia" w:hAnsiTheme="minorHAnsi" w:cstheme="minorBidi"/>
          <w:smallCaps w:val="0"/>
          <w:sz w:val="22"/>
          <w:szCs w:val="22"/>
          <w:lang w:eastAsia="en-GB"/>
        </w:rPr>
        <w:tab/>
      </w:r>
      <w:r>
        <w:t>Introduction</w:t>
      </w:r>
      <w:r>
        <w:tab/>
      </w:r>
      <w:r>
        <w:fldChar w:fldCharType="begin"/>
      </w:r>
      <w:r>
        <w:instrText xml:space="preserve"> PAGEREF _Toc10122723 \h </w:instrText>
      </w:r>
      <w:r>
        <w:fldChar w:fldCharType="separate"/>
      </w:r>
      <w:r>
        <w:t>40</w:t>
      </w:r>
      <w:r>
        <w:fldChar w:fldCharType="end"/>
      </w:r>
    </w:p>
    <w:p w14:paraId="3ED16BCA" w14:textId="34624F87" w:rsidR="00DC7701" w:rsidRDefault="00DC7701">
      <w:pPr>
        <w:pStyle w:val="TOC2"/>
        <w:rPr>
          <w:rFonts w:asciiTheme="minorHAnsi" w:eastAsiaTheme="minorEastAsia" w:hAnsiTheme="minorHAnsi" w:cstheme="minorBidi"/>
          <w:smallCaps w:val="0"/>
          <w:sz w:val="22"/>
          <w:szCs w:val="22"/>
          <w:lang w:eastAsia="en-GB"/>
        </w:rPr>
      </w:pPr>
      <w:r>
        <w:lastRenderedPageBreak/>
        <w:t>8.2</w:t>
      </w:r>
      <w:r>
        <w:rPr>
          <w:rFonts w:asciiTheme="minorHAnsi" w:eastAsiaTheme="minorEastAsia" w:hAnsiTheme="minorHAnsi" w:cstheme="minorBidi"/>
          <w:smallCaps w:val="0"/>
          <w:sz w:val="22"/>
          <w:szCs w:val="22"/>
          <w:lang w:eastAsia="en-GB"/>
        </w:rPr>
        <w:tab/>
      </w:r>
      <w:r>
        <w:t>Procedure selected for use in this Manual</w:t>
      </w:r>
      <w:r>
        <w:tab/>
      </w:r>
      <w:r>
        <w:fldChar w:fldCharType="begin"/>
      </w:r>
      <w:r>
        <w:instrText xml:space="preserve"> PAGEREF _Toc10122724 \h </w:instrText>
      </w:r>
      <w:r>
        <w:fldChar w:fldCharType="separate"/>
      </w:r>
      <w:r>
        <w:t>40</w:t>
      </w:r>
      <w:r>
        <w:fldChar w:fldCharType="end"/>
      </w:r>
    </w:p>
    <w:p w14:paraId="03210A84" w14:textId="222BBDC1"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8.2.1</w:t>
      </w:r>
      <w:r>
        <w:rPr>
          <w:rFonts w:asciiTheme="minorHAnsi" w:eastAsiaTheme="minorEastAsia" w:hAnsiTheme="minorHAnsi" w:cstheme="minorBidi"/>
          <w:i w:val="0"/>
          <w:noProof/>
          <w:sz w:val="22"/>
          <w:szCs w:val="22"/>
          <w:lang w:eastAsia="en-GB"/>
        </w:rPr>
        <w:tab/>
      </w:r>
      <w:r>
        <w:rPr>
          <w:noProof/>
        </w:rPr>
        <w:t>Procedure for estimating emissions from combustion of solid wastes</w:t>
      </w:r>
      <w:r>
        <w:rPr>
          <w:noProof/>
        </w:rPr>
        <w:tab/>
      </w:r>
      <w:r>
        <w:rPr>
          <w:noProof/>
        </w:rPr>
        <w:fldChar w:fldCharType="begin"/>
      </w:r>
      <w:r>
        <w:rPr>
          <w:noProof/>
        </w:rPr>
        <w:instrText xml:space="preserve"> PAGEREF _Toc10122725 \h </w:instrText>
      </w:r>
      <w:r>
        <w:rPr>
          <w:noProof/>
        </w:rPr>
      </w:r>
      <w:r>
        <w:rPr>
          <w:noProof/>
        </w:rPr>
        <w:fldChar w:fldCharType="separate"/>
      </w:r>
      <w:r>
        <w:rPr>
          <w:noProof/>
        </w:rPr>
        <w:t>40</w:t>
      </w:r>
      <w:r>
        <w:rPr>
          <w:noProof/>
        </w:rPr>
        <w:fldChar w:fldCharType="end"/>
      </w:r>
    </w:p>
    <w:p w14:paraId="259D0D2C" w14:textId="0DFD7996"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8.2.2</w:t>
      </w:r>
      <w:r>
        <w:rPr>
          <w:rFonts w:asciiTheme="minorHAnsi" w:eastAsiaTheme="minorEastAsia" w:hAnsiTheme="minorHAnsi" w:cstheme="minorBidi"/>
          <w:i w:val="0"/>
          <w:noProof/>
          <w:sz w:val="22"/>
          <w:szCs w:val="22"/>
          <w:lang w:eastAsia="en-GB"/>
        </w:rPr>
        <w:tab/>
      </w:r>
      <w:r>
        <w:rPr>
          <w:noProof/>
        </w:rPr>
        <w:t>Procedure for estimating methane emissions from municipal solid waste (MSW) in landfill</w:t>
      </w:r>
      <w:r>
        <w:rPr>
          <w:noProof/>
        </w:rPr>
        <w:tab/>
      </w:r>
      <w:r>
        <w:rPr>
          <w:noProof/>
        </w:rPr>
        <w:fldChar w:fldCharType="begin"/>
      </w:r>
      <w:r>
        <w:rPr>
          <w:noProof/>
        </w:rPr>
        <w:instrText xml:space="preserve"> PAGEREF _Toc10122726 \h </w:instrText>
      </w:r>
      <w:r>
        <w:rPr>
          <w:noProof/>
        </w:rPr>
      </w:r>
      <w:r>
        <w:rPr>
          <w:noProof/>
        </w:rPr>
        <w:fldChar w:fldCharType="separate"/>
      </w:r>
      <w:r>
        <w:rPr>
          <w:noProof/>
        </w:rPr>
        <w:t>41</w:t>
      </w:r>
      <w:r>
        <w:rPr>
          <w:noProof/>
        </w:rPr>
        <w:fldChar w:fldCharType="end"/>
      </w:r>
    </w:p>
    <w:p w14:paraId="150F12B4" w14:textId="4E7CA8AD"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8.2.3</w:t>
      </w:r>
      <w:r>
        <w:rPr>
          <w:rFonts w:asciiTheme="minorHAnsi" w:eastAsiaTheme="minorEastAsia" w:hAnsiTheme="minorHAnsi" w:cstheme="minorBidi"/>
          <w:i w:val="0"/>
          <w:noProof/>
          <w:sz w:val="22"/>
          <w:szCs w:val="22"/>
          <w:lang w:eastAsia="en-GB"/>
        </w:rPr>
        <w:tab/>
      </w:r>
      <w:r>
        <w:rPr>
          <w:noProof/>
        </w:rPr>
        <w:t>Procedure for estimating methane emissions from domestic wastewater treatment and disposal</w:t>
      </w:r>
      <w:r>
        <w:rPr>
          <w:noProof/>
        </w:rPr>
        <w:tab/>
      </w:r>
      <w:r>
        <w:rPr>
          <w:noProof/>
        </w:rPr>
        <w:fldChar w:fldCharType="begin"/>
      </w:r>
      <w:r>
        <w:rPr>
          <w:noProof/>
        </w:rPr>
        <w:instrText xml:space="preserve"> PAGEREF _Toc10122727 \h </w:instrText>
      </w:r>
      <w:r>
        <w:rPr>
          <w:noProof/>
        </w:rPr>
      </w:r>
      <w:r>
        <w:rPr>
          <w:noProof/>
        </w:rPr>
        <w:fldChar w:fldCharType="separate"/>
      </w:r>
      <w:r>
        <w:rPr>
          <w:noProof/>
        </w:rPr>
        <w:t>41</w:t>
      </w:r>
      <w:r>
        <w:rPr>
          <w:noProof/>
        </w:rPr>
        <w:fldChar w:fldCharType="end"/>
      </w:r>
    </w:p>
    <w:p w14:paraId="7E4D32F7" w14:textId="236BAB6A" w:rsidR="00DC7701" w:rsidRDefault="00DC7701">
      <w:pPr>
        <w:pStyle w:val="TOC3"/>
        <w:tabs>
          <w:tab w:val="left" w:pos="1195"/>
          <w:tab w:val="right" w:leader="dot" w:pos="9352"/>
        </w:tabs>
        <w:rPr>
          <w:rFonts w:asciiTheme="minorHAnsi" w:eastAsiaTheme="minorEastAsia" w:hAnsiTheme="minorHAnsi" w:cstheme="minorBidi"/>
          <w:i w:val="0"/>
          <w:noProof/>
          <w:sz w:val="22"/>
          <w:szCs w:val="22"/>
          <w:lang w:eastAsia="en-GB"/>
        </w:rPr>
      </w:pPr>
      <w:r>
        <w:rPr>
          <w:noProof/>
        </w:rPr>
        <w:t>8.2.4</w:t>
      </w:r>
      <w:r>
        <w:rPr>
          <w:rFonts w:asciiTheme="minorHAnsi" w:eastAsiaTheme="minorEastAsia" w:hAnsiTheme="minorHAnsi" w:cstheme="minorBidi"/>
          <w:i w:val="0"/>
          <w:noProof/>
          <w:sz w:val="22"/>
          <w:szCs w:val="22"/>
          <w:lang w:eastAsia="en-GB"/>
        </w:rPr>
        <w:tab/>
      </w:r>
      <w:r>
        <w:rPr>
          <w:noProof/>
        </w:rPr>
        <w:t>Procedure for estimating ammonia emissions from latrines</w:t>
      </w:r>
      <w:r>
        <w:rPr>
          <w:noProof/>
        </w:rPr>
        <w:tab/>
      </w:r>
      <w:r>
        <w:rPr>
          <w:noProof/>
        </w:rPr>
        <w:fldChar w:fldCharType="begin"/>
      </w:r>
      <w:r>
        <w:rPr>
          <w:noProof/>
        </w:rPr>
        <w:instrText xml:space="preserve"> PAGEREF _Toc10122728 \h </w:instrText>
      </w:r>
      <w:r>
        <w:rPr>
          <w:noProof/>
        </w:rPr>
      </w:r>
      <w:r>
        <w:rPr>
          <w:noProof/>
        </w:rPr>
        <w:fldChar w:fldCharType="separate"/>
      </w:r>
      <w:r>
        <w:rPr>
          <w:noProof/>
        </w:rPr>
        <w:t>41</w:t>
      </w:r>
      <w:r>
        <w:rPr>
          <w:noProof/>
        </w:rPr>
        <w:fldChar w:fldCharType="end"/>
      </w:r>
    </w:p>
    <w:p w14:paraId="72A93B0B" w14:textId="6F8F4D7D" w:rsidR="00DC7701" w:rsidRDefault="00DC7701">
      <w:pPr>
        <w:pStyle w:val="TOC2"/>
        <w:rPr>
          <w:rFonts w:asciiTheme="minorHAnsi" w:eastAsiaTheme="minorEastAsia" w:hAnsiTheme="minorHAnsi" w:cstheme="minorBidi"/>
          <w:smallCaps w:val="0"/>
          <w:sz w:val="22"/>
          <w:szCs w:val="22"/>
          <w:lang w:eastAsia="en-GB"/>
        </w:rPr>
      </w:pPr>
      <w:r>
        <w:t>8.3</w:t>
      </w:r>
      <w:r>
        <w:rPr>
          <w:rFonts w:asciiTheme="minorHAnsi" w:eastAsiaTheme="minorEastAsia" w:hAnsiTheme="minorHAnsi" w:cstheme="minorBidi"/>
          <w:smallCaps w:val="0"/>
          <w:sz w:val="22"/>
          <w:szCs w:val="22"/>
          <w:lang w:eastAsia="en-GB"/>
        </w:rPr>
        <w:tab/>
      </w:r>
      <w:r>
        <w:t>Application of parameters for control equipment</w:t>
      </w:r>
      <w:r>
        <w:tab/>
      </w:r>
      <w:r>
        <w:fldChar w:fldCharType="begin"/>
      </w:r>
      <w:r>
        <w:instrText xml:space="preserve"> PAGEREF _Toc10122729 \h </w:instrText>
      </w:r>
      <w:r>
        <w:fldChar w:fldCharType="separate"/>
      </w:r>
      <w:r>
        <w:t>42</w:t>
      </w:r>
      <w:r>
        <w:fldChar w:fldCharType="end"/>
      </w:r>
    </w:p>
    <w:p w14:paraId="614B0503" w14:textId="06064D4A"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9.</w:t>
      </w:r>
      <w:r>
        <w:rPr>
          <w:rFonts w:asciiTheme="minorHAnsi" w:eastAsiaTheme="minorEastAsia" w:hAnsiTheme="minorHAnsi" w:cstheme="minorBidi"/>
          <w:b w:val="0"/>
          <w:caps w:val="0"/>
          <w:sz w:val="22"/>
          <w:szCs w:val="22"/>
          <w:lang w:eastAsia="en-GB"/>
        </w:rPr>
        <w:tab/>
      </w:r>
      <w:r>
        <w:t>Emissions from Large Point Sources</w:t>
      </w:r>
      <w:r>
        <w:tab/>
      </w:r>
      <w:r>
        <w:fldChar w:fldCharType="begin"/>
      </w:r>
      <w:r>
        <w:instrText xml:space="preserve"> PAGEREF _Toc10122730 \h </w:instrText>
      </w:r>
      <w:r>
        <w:fldChar w:fldCharType="separate"/>
      </w:r>
      <w:r>
        <w:t>43</w:t>
      </w:r>
      <w:r>
        <w:fldChar w:fldCharType="end"/>
      </w:r>
    </w:p>
    <w:p w14:paraId="160C3336" w14:textId="5005040C" w:rsidR="00DC7701" w:rsidRDefault="00DC7701">
      <w:pPr>
        <w:pStyle w:val="TOC2"/>
        <w:rPr>
          <w:rFonts w:asciiTheme="minorHAnsi" w:eastAsiaTheme="minorEastAsia" w:hAnsiTheme="minorHAnsi" w:cstheme="minorBidi"/>
          <w:smallCaps w:val="0"/>
          <w:sz w:val="22"/>
          <w:szCs w:val="22"/>
          <w:lang w:eastAsia="en-GB"/>
        </w:rPr>
      </w:pPr>
      <w:r>
        <w:t>9.1</w:t>
      </w:r>
      <w:r>
        <w:rPr>
          <w:rFonts w:asciiTheme="minorHAnsi" w:eastAsiaTheme="minorEastAsia" w:hAnsiTheme="minorHAnsi" w:cstheme="minorBidi"/>
          <w:smallCaps w:val="0"/>
          <w:sz w:val="22"/>
          <w:szCs w:val="22"/>
          <w:lang w:eastAsia="en-GB"/>
        </w:rPr>
        <w:tab/>
      </w:r>
      <w:r>
        <w:t>Introduction</w:t>
      </w:r>
      <w:r>
        <w:tab/>
      </w:r>
      <w:r>
        <w:fldChar w:fldCharType="begin"/>
      </w:r>
      <w:r>
        <w:instrText xml:space="preserve"> PAGEREF _Toc10122731 \h </w:instrText>
      </w:r>
      <w:r>
        <w:fldChar w:fldCharType="separate"/>
      </w:r>
      <w:r>
        <w:t>43</w:t>
      </w:r>
      <w:r>
        <w:fldChar w:fldCharType="end"/>
      </w:r>
    </w:p>
    <w:p w14:paraId="6D156067" w14:textId="5C8EA302" w:rsidR="00DC7701" w:rsidRDefault="00DC7701">
      <w:pPr>
        <w:pStyle w:val="TOC2"/>
        <w:rPr>
          <w:rFonts w:asciiTheme="minorHAnsi" w:eastAsiaTheme="minorEastAsia" w:hAnsiTheme="minorHAnsi" w:cstheme="minorBidi"/>
          <w:smallCaps w:val="0"/>
          <w:sz w:val="22"/>
          <w:szCs w:val="22"/>
          <w:lang w:eastAsia="en-GB"/>
        </w:rPr>
      </w:pPr>
      <w:r>
        <w:t>9.2</w:t>
      </w:r>
      <w:r>
        <w:rPr>
          <w:rFonts w:asciiTheme="minorHAnsi" w:eastAsiaTheme="minorEastAsia" w:hAnsiTheme="minorHAnsi" w:cstheme="minorBidi"/>
          <w:smallCaps w:val="0"/>
          <w:sz w:val="22"/>
          <w:szCs w:val="22"/>
          <w:lang w:eastAsia="en-GB"/>
        </w:rPr>
        <w:tab/>
      </w:r>
      <w:r>
        <w:t>Location and emissions data to be compiled for large point sources (LPS)</w:t>
      </w:r>
      <w:r>
        <w:tab/>
      </w:r>
      <w:r>
        <w:fldChar w:fldCharType="begin"/>
      </w:r>
      <w:r>
        <w:instrText xml:space="preserve"> PAGEREF _Toc10122732 \h </w:instrText>
      </w:r>
      <w:r>
        <w:fldChar w:fldCharType="separate"/>
      </w:r>
      <w:r>
        <w:t>44</w:t>
      </w:r>
      <w:r>
        <w:fldChar w:fldCharType="end"/>
      </w:r>
    </w:p>
    <w:p w14:paraId="68203BB0" w14:textId="39620D28" w:rsidR="00DC7701" w:rsidRDefault="00DC7701">
      <w:pPr>
        <w:pStyle w:val="TOC2"/>
        <w:rPr>
          <w:rFonts w:asciiTheme="minorHAnsi" w:eastAsiaTheme="minorEastAsia" w:hAnsiTheme="minorHAnsi" w:cstheme="minorBidi"/>
          <w:smallCaps w:val="0"/>
          <w:sz w:val="22"/>
          <w:szCs w:val="22"/>
          <w:lang w:eastAsia="en-GB"/>
        </w:rPr>
      </w:pPr>
      <w:r>
        <w:t>9.3</w:t>
      </w:r>
      <w:r>
        <w:rPr>
          <w:rFonts w:asciiTheme="minorHAnsi" w:eastAsiaTheme="minorEastAsia" w:hAnsiTheme="minorHAnsi" w:cstheme="minorBidi"/>
          <w:smallCaps w:val="0"/>
          <w:sz w:val="22"/>
          <w:szCs w:val="22"/>
          <w:lang w:eastAsia="en-GB"/>
        </w:rPr>
        <w:tab/>
      </w:r>
      <w:r>
        <w:t>Temporal aspects of modelling large point sources</w:t>
      </w:r>
      <w:r>
        <w:tab/>
      </w:r>
      <w:r>
        <w:fldChar w:fldCharType="begin"/>
      </w:r>
      <w:r>
        <w:instrText xml:space="preserve"> PAGEREF _Toc10122733 \h </w:instrText>
      </w:r>
      <w:r>
        <w:fldChar w:fldCharType="separate"/>
      </w:r>
      <w:r>
        <w:t>44</w:t>
      </w:r>
      <w:r>
        <w:fldChar w:fldCharType="end"/>
      </w:r>
    </w:p>
    <w:p w14:paraId="379EBAE9" w14:textId="08694C86"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10.</w:t>
      </w:r>
      <w:r>
        <w:rPr>
          <w:rFonts w:asciiTheme="minorHAnsi" w:eastAsiaTheme="minorEastAsia" w:hAnsiTheme="minorHAnsi" w:cstheme="minorBidi"/>
          <w:b w:val="0"/>
          <w:caps w:val="0"/>
          <w:sz w:val="22"/>
          <w:szCs w:val="22"/>
          <w:lang w:eastAsia="en-GB"/>
        </w:rPr>
        <w:tab/>
      </w:r>
      <w:r>
        <w:t>Guide to use of Excel Workbook for emissions compilation</w:t>
      </w:r>
      <w:r>
        <w:tab/>
      </w:r>
      <w:r>
        <w:fldChar w:fldCharType="begin"/>
      </w:r>
      <w:r>
        <w:instrText xml:space="preserve"> PAGEREF _Toc10122734 \h </w:instrText>
      </w:r>
      <w:r>
        <w:fldChar w:fldCharType="separate"/>
      </w:r>
      <w:r>
        <w:t>46</w:t>
      </w:r>
      <w:r>
        <w:fldChar w:fldCharType="end"/>
      </w:r>
    </w:p>
    <w:p w14:paraId="5F754CAB" w14:textId="442DD1D2" w:rsidR="00DC7701" w:rsidRDefault="00DC7701">
      <w:pPr>
        <w:pStyle w:val="TOC2"/>
        <w:rPr>
          <w:rFonts w:asciiTheme="minorHAnsi" w:eastAsiaTheme="minorEastAsia" w:hAnsiTheme="minorHAnsi" w:cstheme="minorBidi"/>
          <w:smallCaps w:val="0"/>
          <w:sz w:val="22"/>
          <w:szCs w:val="22"/>
          <w:lang w:eastAsia="en-GB"/>
        </w:rPr>
      </w:pPr>
      <w:r>
        <w:t>10.1</w:t>
      </w:r>
      <w:r>
        <w:rPr>
          <w:rFonts w:asciiTheme="minorHAnsi" w:eastAsiaTheme="minorEastAsia" w:hAnsiTheme="minorHAnsi" w:cstheme="minorBidi"/>
          <w:smallCaps w:val="0"/>
          <w:sz w:val="22"/>
          <w:szCs w:val="22"/>
          <w:lang w:eastAsia="en-GB"/>
        </w:rPr>
        <w:tab/>
      </w:r>
      <w:r>
        <w:t>Introduction</w:t>
      </w:r>
      <w:r>
        <w:tab/>
      </w:r>
      <w:r>
        <w:fldChar w:fldCharType="begin"/>
      </w:r>
      <w:r>
        <w:instrText xml:space="preserve"> PAGEREF _Toc10122735 \h </w:instrText>
      </w:r>
      <w:r>
        <w:fldChar w:fldCharType="separate"/>
      </w:r>
      <w:r>
        <w:t>46</w:t>
      </w:r>
      <w:r>
        <w:fldChar w:fldCharType="end"/>
      </w:r>
    </w:p>
    <w:p w14:paraId="320B15A9" w14:textId="0D964D66" w:rsidR="00DC7701" w:rsidRDefault="00DC7701">
      <w:pPr>
        <w:pStyle w:val="TOC2"/>
        <w:rPr>
          <w:rFonts w:asciiTheme="minorHAnsi" w:eastAsiaTheme="minorEastAsia" w:hAnsiTheme="minorHAnsi" w:cstheme="minorBidi"/>
          <w:smallCaps w:val="0"/>
          <w:sz w:val="22"/>
          <w:szCs w:val="22"/>
          <w:lang w:eastAsia="en-GB"/>
        </w:rPr>
      </w:pPr>
      <w:r>
        <w:t>10.2</w:t>
      </w:r>
      <w:r>
        <w:rPr>
          <w:rFonts w:asciiTheme="minorHAnsi" w:eastAsiaTheme="minorEastAsia" w:hAnsiTheme="minorHAnsi" w:cstheme="minorBidi"/>
          <w:smallCaps w:val="0"/>
          <w:sz w:val="22"/>
          <w:szCs w:val="22"/>
          <w:lang w:eastAsia="en-GB"/>
        </w:rPr>
        <w:tab/>
      </w:r>
      <w:r>
        <w:t>General structure of the workbook</w:t>
      </w:r>
      <w:r>
        <w:tab/>
      </w:r>
      <w:r>
        <w:fldChar w:fldCharType="begin"/>
      </w:r>
      <w:r>
        <w:instrText xml:space="preserve"> PAGEREF _Toc10122736 \h </w:instrText>
      </w:r>
      <w:r>
        <w:fldChar w:fldCharType="separate"/>
      </w:r>
      <w:r>
        <w:t>46</w:t>
      </w:r>
      <w:r>
        <w:fldChar w:fldCharType="end"/>
      </w:r>
    </w:p>
    <w:p w14:paraId="6E4AD08E" w14:textId="00CDBCA9" w:rsidR="00DC7701" w:rsidRDefault="00DC7701">
      <w:pPr>
        <w:pStyle w:val="TOC3"/>
        <w:tabs>
          <w:tab w:val="left" w:pos="1440"/>
          <w:tab w:val="right" w:leader="dot" w:pos="9352"/>
        </w:tabs>
        <w:rPr>
          <w:rFonts w:asciiTheme="minorHAnsi" w:eastAsiaTheme="minorEastAsia" w:hAnsiTheme="minorHAnsi" w:cstheme="minorBidi"/>
          <w:i w:val="0"/>
          <w:noProof/>
          <w:sz w:val="22"/>
          <w:szCs w:val="22"/>
          <w:lang w:eastAsia="en-GB"/>
        </w:rPr>
      </w:pPr>
      <w:r>
        <w:rPr>
          <w:noProof/>
        </w:rPr>
        <w:t>10.2.1</w:t>
      </w:r>
      <w:r>
        <w:rPr>
          <w:rFonts w:asciiTheme="minorHAnsi" w:eastAsiaTheme="minorEastAsia" w:hAnsiTheme="minorHAnsi" w:cstheme="minorBidi"/>
          <w:i w:val="0"/>
          <w:noProof/>
          <w:sz w:val="22"/>
          <w:szCs w:val="22"/>
          <w:lang w:eastAsia="en-GB"/>
        </w:rPr>
        <w:tab/>
      </w:r>
      <w:r>
        <w:rPr>
          <w:noProof/>
        </w:rPr>
        <w:t>Division into worksheets</w:t>
      </w:r>
      <w:r>
        <w:rPr>
          <w:noProof/>
        </w:rPr>
        <w:tab/>
      </w:r>
      <w:r>
        <w:rPr>
          <w:noProof/>
        </w:rPr>
        <w:fldChar w:fldCharType="begin"/>
      </w:r>
      <w:r>
        <w:rPr>
          <w:noProof/>
        </w:rPr>
        <w:instrText xml:space="preserve"> PAGEREF _Toc10122737 \h </w:instrText>
      </w:r>
      <w:r>
        <w:rPr>
          <w:noProof/>
        </w:rPr>
      </w:r>
      <w:r>
        <w:rPr>
          <w:noProof/>
        </w:rPr>
        <w:fldChar w:fldCharType="separate"/>
      </w:r>
      <w:r>
        <w:rPr>
          <w:noProof/>
        </w:rPr>
        <w:t>46</w:t>
      </w:r>
      <w:r>
        <w:rPr>
          <w:noProof/>
        </w:rPr>
        <w:fldChar w:fldCharType="end"/>
      </w:r>
    </w:p>
    <w:p w14:paraId="472FC176" w14:textId="23662F87" w:rsidR="00DC7701" w:rsidRDefault="00DC7701">
      <w:pPr>
        <w:pStyle w:val="TOC3"/>
        <w:tabs>
          <w:tab w:val="left" w:pos="1440"/>
          <w:tab w:val="right" w:leader="dot" w:pos="9352"/>
        </w:tabs>
        <w:rPr>
          <w:rFonts w:asciiTheme="minorHAnsi" w:eastAsiaTheme="minorEastAsia" w:hAnsiTheme="minorHAnsi" w:cstheme="minorBidi"/>
          <w:i w:val="0"/>
          <w:noProof/>
          <w:sz w:val="22"/>
          <w:szCs w:val="22"/>
          <w:lang w:eastAsia="en-GB"/>
        </w:rPr>
      </w:pPr>
      <w:r>
        <w:rPr>
          <w:noProof/>
        </w:rPr>
        <w:t>10.2.2</w:t>
      </w:r>
      <w:r>
        <w:rPr>
          <w:rFonts w:asciiTheme="minorHAnsi" w:eastAsiaTheme="minorEastAsia" w:hAnsiTheme="minorHAnsi" w:cstheme="minorBidi"/>
          <w:i w:val="0"/>
          <w:noProof/>
          <w:sz w:val="22"/>
          <w:szCs w:val="22"/>
          <w:lang w:eastAsia="en-GB"/>
        </w:rPr>
        <w:tab/>
      </w:r>
      <w:r>
        <w:rPr>
          <w:noProof/>
        </w:rPr>
        <w:t>General data input areas</w:t>
      </w:r>
      <w:r>
        <w:rPr>
          <w:noProof/>
        </w:rPr>
        <w:tab/>
      </w:r>
      <w:r>
        <w:rPr>
          <w:noProof/>
        </w:rPr>
        <w:fldChar w:fldCharType="begin"/>
      </w:r>
      <w:r>
        <w:rPr>
          <w:noProof/>
        </w:rPr>
        <w:instrText xml:space="preserve"> PAGEREF _Toc10122738 \h </w:instrText>
      </w:r>
      <w:r>
        <w:rPr>
          <w:noProof/>
        </w:rPr>
      </w:r>
      <w:r>
        <w:rPr>
          <w:noProof/>
        </w:rPr>
        <w:fldChar w:fldCharType="separate"/>
      </w:r>
      <w:r>
        <w:rPr>
          <w:noProof/>
        </w:rPr>
        <w:t>51</w:t>
      </w:r>
      <w:r>
        <w:rPr>
          <w:noProof/>
        </w:rPr>
        <w:fldChar w:fldCharType="end"/>
      </w:r>
    </w:p>
    <w:p w14:paraId="0E1D98AC" w14:textId="494F7E62" w:rsidR="00DC7701" w:rsidRDefault="00DC7701">
      <w:pPr>
        <w:pStyle w:val="TOC3"/>
        <w:tabs>
          <w:tab w:val="left" w:pos="1440"/>
          <w:tab w:val="right" w:leader="dot" w:pos="9352"/>
        </w:tabs>
        <w:rPr>
          <w:rFonts w:asciiTheme="minorHAnsi" w:eastAsiaTheme="minorEastAsia" w:hAnsiTheme="minorHAnsi" w:cstheme="minorBidi"/>
          <w:i w:val="0"/>
          <w:noProof/>
          <w:sz w:val="22"/>
          <w:szCs w:val="22"/>
          <w:lang w:eastAsia="en-GB"/>
        </w:rPr>
      </w:pPr>
      <w:r>
        <w:rPr>
          <w:noProof/>
        </w:rPr>
        <w:t>10.2.3</w:t>
      </w:r>
      <w:r>
        <w:rPr>
          <w:rFonts w:asciiTheme="minorHAnsi" w:eastAsiaTheme="minorEastAsia" w:hAnsiTheme="minorHAnsi" w:cstheme="minorBidi"/>
          <w:i w:val="0"/>
          <w:noProof/>
          <w:sz w:val="22"/>
          <w:szCs w:val="22"/>
          <w:lang w:eastAsia="en-GB"/>
        </w:rPr>
        <w:tab/>
      </w:r>
      <w:r>
        <w:rPr>
          <w:noProof/>
        </w:rPr>
        <w:t>General data output/report areas</w:t>
      </w:r>
      <w:r>
        <w:rPr>
          <w:noProof/>
        </w:rPr>
        <w:tab/>
      </w:r>
      <w:r>
        <w:rPr>
          <w:noProof/>
        </w:rPr>
        <w:fldChar w:fldCharType="begin"/>
      </w:r>
      <w:r>
        <w:rPr>
          <w:noProof/>
        </w:rPr>
        <w:instrText xml:space="preserve"> PAGEREF _Toc10122739 \h </w:instrText>
      </w:r>
      <w:r>
        <w:rPr>
          <w:noProof/>
        </w:rPr>
      </w:r>
      <w:r>
        <w:rPr>
          <w:noProof/>
        </w:rPr>
        <w:fldChar w:fldCharType="separate"/>
      </w:r>
      <w:r>
        <w:rPr>
          <w:noProof/>
        </w:rPr>
        <w:t>52</w:t>
      </w:r>
      <w:r>
        <w:rPr>
          <w:noProof/>
        </w:rPr>
        <w:fldChar w:fldCharType="end"/>
      </w:r>
    </w:p>
    <w:p w14:paraId="2076B8EE" w14:textId="60AE3FF2" w:rsidR="00DC7701" w:rsidRDefault="00DC7701">
      <w:pPr>
        <w:pStyle w:val="TOC3"/>
        <w:tabs>
          <w:tab w:val="left" w:pos="1440"/>
          <w:tab w:val="right" w:leader="dot" w:pos="9352"/>
        </w:tabs>
        <w:rPr>
          <w:rFonts w:asciiTheme="minorHAnsi" w:eastAsiaTheme="minorEastAsia" w:hAnsiTheme="minorHAnsi" w:cstheme="minorBidi"/>
          <w:i w:val="0"/>
          <w:noProof/>
          <w:sz w:val="22"/>
          <w:szCs w:val="22"/>
          <w:lang w:eastAsia="en-GB"/>
        </w:rPr>
      </w:pPr>
      <w:r>
        <w:rPr>
          <w:noProof/>
        </w:rPr>
        <w:t>10.2.4</w:t>
      </w:r>
      <w:r>
        <w:rPr>
          <w:rFonts w:asciiTheme="minorHAnsi" w:eastAsiaTheme="minorEastAsia" w:hAnsiTheme="minorHAnsi" w:cstheme="minorBidi"/>
          <w:i w:val="0"/>
          <w:noProof/>
          <w:sz w:val="22"/>
          <w:szCs w:val="22"/>
          <w:lang w:eastAsia="en-GB"/>
        </w:rPr>
        <w:tab/>
      </w:r>
      <w:r>
        <w:rPr>
          <w:noProof/>
        </w:rPr>
        <w:t>Summary results worksheet and graphs</w:t>
      </w:r>
      <w:r>
        <w:rPr>
          <w:noProof/>
        </w:rPr>
        <w:tab/>
      </w:r>
      <w:r>
        <w:rPr>
          <w:noProof/>
        </w:rPr>
        <w:fldChar w:fldCharType="begin"/>
      </w:r>
      <w:r>
        <w:rPr>
          <w:noProof/>
        </w:rPr>
        <w:instrText xml:space="preserve"> PAGEREF _Toc10122740 \h </w:instrText>
      </w:r>
      <w:r>
        <w:rPr>
          <w:noProof/>
        </w:rPr>
      </w:r>
      <w:r>
        <w:rPr>
          <w:noProof/>
        </w:rPr>
        <w:fldChar w:fldCharType="separate"/>
      </w:r>
      <w:r>
        <w:rPr>
          <w:noProof/>
        </w:rPr>
        <w:t>52</w:t>
      </w:r>
      <w:r>
        <w:rPr>
          <w:noProof/>
        </w:rPr>
        <w:fldChar w:fldCharType="end"/>
      </w:r>
    </w:p>
    <w:p w14:paraId="05A15004" w14:textId="60E750B9"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 xml:space="preserve"> References</w:t>
      </w:r>
      <w:r>
        <w:tab/>
      </w:r>
      <w:r>
        <w:fldChar w:fldCharType="begin"/>
      </w:r>
      <w:r>
        <w:instrText xml:space="preserve"> PAGEREF _Toc10122741 \h </w:instrText>
      </w:r>
      <w:r>
        <w:fldChar w:fldCharType="separate"/>
      </w:r>
      <w:r>
        <w:t>53</w:t>
      </w:r>
      <w:r>
        <w:fldChar w:fldCharType="end"/>
      </w:r>
    </w:p>
    <w:p w14:paraId="18875CDB" w14:textId="6E19AE54"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Annex 1:  Emissions from Natural Sources</w:t>
      </w:r>
      <w:r>
        <w:tab/>
      </w:r>
      <w:r>
        <w:fldChar w:fldCharType="begin"/>
      </w:r>
      <w:r>
        <w:instrText xml:space="preserve"> PAGEREF _Toc10122742 \h </w:instrText>
      </w:r>
      <w:r>
        <w:fldChar w:fldCharType="separate"/>
      </w:r>
      <w:r>
        <w:t>56</w:t>
      </w:r>
      <w:r>
        <w:fldChar w:fldCharType="end"/>
      </w:r>
    </w:p>
    <w:p w14:paraId="1C020844" w14:textId="70059185"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color w:val="000000"/>
        </w:rPr>
        <w:t>A1.1 Introduction</w:t>
      </w:r>
      <w:r>
        <w:rPr>
          <w:noProof/>
        </w:rPr>
        <w:tab/>
      </w:r>
      <w:r>
        <w:rPr>
          <w:noProof/>
        </w:rPr>
        <w:fldChar w:fldCharType="begin"/>
      </w:r>
      <w:r>
        <w:rPr>
          <w:noProof/>
        </w:rPr>
        <w:instrText xml:space="preserve"> PAGEREF _Toc10122743 \h </w:instrText>
      </w:r>
      <w:r>
        <w:rPr>
          <w:noProof/>
        </w:rPr>
      </w:r>
      <w:r>
        <w:rPr>
          <w:noProof/>
        </w:rPr>
        <w:fldChar w:fldCharType="separate"/>
      </w:r>
      <w:r>
        <w:rPr>
          <w:noProof/>
        </w:rPr>
        <w:t>56</w:t>
      </w:r>
      <w:r>
        <w:rPr>
          <w:noProof/>
        </w:rPr>
        <w:fldChar w:fldCharType="end"/>
      </w:r>
    </w:p>
    <w:p w14:paraId="1503CFDA" w14:textId="5082497B"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rPr>
        <w:t xml:space="preserve">A1.2  </w:t>
      </w:r>
      <w:r w:rsidRPr="007C5178">
        <w:rPr>
          <w:i w:val="0"/>
          <w:noProof/>
          <w:color w:val="000000"/>
        </w:rPr>
        <w:t>Natural emissions of SO</w:t>
      </w:r>
      <w:r w:rsidRPr="007C5178">
        <w:rPr>
          <w:i w:val="0"/>
          <w:noProof/>
          <w:color w:val="000000"/>
          <w:vertAlign w:val="subscript"/>
        </w:rPr>
        <w:t>2</w:t>
      </w:r>
      <w:r w:rsidRPr="007C5178">
        <w:rPr>
          <w:i w:val="0"/>
          <w:noProof/>
          <w:color w:val="000000"/>
        </w:rPr>
        <w:t xml:space="preserve"> from subaerial volcanoes</w:t>
      </w:r>
      <w:r>
        <w:rPr>
          <w:noProof/>
        </w:rPr>
        <w:tab/>
      </w:r>
      <w:r>
        <w:rPr>
          <w:noProof/>
        </w:rPr>
        <w:fldChar w:fldCharType="begin"/>
      </w:r>
      <w:r>
        <w:rPr>
          <w:noProof/>
        </w:rPr>
        <w:instrText xml:space="preserve"> PAGEREF _Toc10122744 \h </w:instrText>
      </w:r>
      <w:r>
        <w:rPr>
          <w:noProof/>
        </w:rPr>
      </w:r>
      <w:r>
        <w:rPr>
          <w:noProof/>
        </w:rPr>
        <w:fldChar w:fldCharType="separate"/>
      </w:r>
      <w:r>
        <w:rPr>
          <w:noProof/>
        </w:rPr>
        <w:t>56</w:t>
      </w:r>
      <w:r>
        <w:rPr>
          <w:noProof/>
        </w:rPr>
        <w:fldChar w:fldCharType="end"/>
      </w:r>
    </w:p>
    <w:p w14:paraId="4E49AC0C" w14:textId="6108959D"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rPr>
        <w:t>A1.3  Biogenic emissions of NMVOCs from vegetation</w:t>
      </w:r>
      <w:r>
        <w:rPr>
          <w:noProof/>
        </w:rPr>
        <w:tab/>
      </w:r>
      <w:r>
        <w:rPr>
          <w:noProof/>
        </w:rPr>
        <w:fldChar w:fldCharType="begin"/>
      </w:r>
      <w:r>
        <w:rPr>
          <w:noProof/>
        </w:rPr>
        <w:instrText xml:space="preserve"> PAGEREF _Toc10122745 \h </w:instrText>
      </w:r>
      <w:r>
        <w:rPr>
          <w:noProof/>
        </w:rPr>
      </w:r>
      <w:r>
        <w:rPr>
          <w:noProof/>
        </w:rPr>
        <w:fldChar w:fldCharType="separate"/>
      </w:r>
      <w:r>
        <w:rPr>
          <w:noProof/>
        </w:rPr>
        <w:t>56</w:t>
      </w:r>
      <w:r>
        <w:rPr>
          <w:noProof/>
        </w:rPr>
        <w:fldChar w:fldCharType="end"/>
      </w:r>
    </w:p>
    <w:p w14:paraId="7B5A17A1" w14:textId="47CFA93F"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rPr>
        <w:t>A1.4 Biogenic emissions of NH</w:t>
      </w:r>
      <w:r w:rsidRPr="007C5178">
        <w:rPr>
          <w:i w:val="0"/>
          <w:noProof/>
          <w:vertAlign w:val="subscript"/>
        </w:rPr>
        <w:t>3</w:t>
      </w:r>
      <w:r w:rsidRPr="007C5178">
        <w:rPr>
          <w:i w:val="0"/>
          <w:noProof/>
        </w:rPr>
        <w:t xml:space="preserve"> from natural vegetation</w:t>
      </w:r>
      <w:r>
        <w:rPr>
          <w:noProof/>
        </w:rPr>
        <w:tab/>
      </w:r>
      <w:r>
        <w:rPr>
          <w:noProof/>
        </w:rPr>
        <w:fldChar w:fldCharType="begin"/>
      </w:r>
      <w:r>
        <w:rPr>
          <w:noProof/>
        </w:rPr>
        <w:instrText xml:space="preserve"> PAGEREF _Toc10122746 \h </w:instrText>
      </w:r>
      <w:r>
        <w:rPr>
          <w:noProof/>
        </w:rPr>
      </w:r>
      <w:r>
        <w:rPr>
          <w:noProof/>
        </w:rPr>
        <w:fldChar w:fldCharType="separate"/>
      </w:r>
      <w:r>
        <w:rPr>
          <w:noProof/>
        </w:rPr>
        <w:t>57</w:t>
      </w:r>
      <w:r>
        <w:rPr>
          <w:noProof/>
        </w:rPr>
        <w:fldChar w:fldCharType="end"/>
      </w:r>
    </w:p>
    <w:p w14:paraId="4A49826F" w14:textId="3C8C5460"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rPr>
        <w:t>A1.5 Emissions of NO</w:t>
      </w:r>
      <w:r w:rsidRPr="007C5178">
        <w:rPr>
          <w:i w:val="0"/>
          <w:noProof/>
          <w:vertAlign w:val="subscript"/>
        </w:rPr>
        <w:t>x</w:t>
      </w:r>
      <w:r w:rsidRPr="007C5178">
        <w:rPr>
          <w:i w:val="0"/>
          <w:noProof/>
        </w:rPr>
        <w:t xml:space="preserve"> from non-agricultural soils (Forests and grasslands)</w:t>
      </w:r>
      <w:r>
        <w:rPr>
          <w:noProof/>
        </w:rPr>
        <w:tab/>
      </w:r>
      <w:r>
        <w:rPr>
          <w:noProof/>
        </w:rPr>
        <w:fldChar w:fldCharType="begin"/>
      </w:r>
      <w:r>
        <w:rPr>
          <w:noProof/>
        </w:rPr>
        <w:instrText xml:space="preserve"> PAGEREF _Toc10122747 \h </w:instrText>
      </w:r>
      <w:r>
        <w:rPr>
          <w:noProof/>
        </w:rPr>
      </w:r>
      <w:r>
        <w:rPr>
          <w:noProof/>
        </w:rPr>
        <w:fldChar w:fldCharType="separate"/>
      </w:r>
      <w:r>
        <w:rPr>
          <w:noProof/>
        </w:rPr>
        <w:t>57</w:t>
      </w:r>
      <w:r>
        <w:rPr>
          <w:noProof/>
        </w:rPr>
        <w:fldChar w:fldCharType="end"/>
      </w:r>
    </w:p>
    <w:p w14:paraId="011DBB6A" w14:textId="1494B8C6"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rPr>
        <w:t>A1.7 Wind-blown dust from desert and disturbed areas</w:t>
      </w:r>
      <w:r>
        <w:rPr>
          <w:noProof/>
        </w:rPr>
        <w:tab/>
      </w:r>
      <w:r>
        <w:rPr>
          <w:noProof/>
        </w:rPr>
        <w:fldChar w:fldCharType="begin"/>
      </w:r>
      <w:r>
        <w:rPr>
          <w:noProof/>
        </w:rPr>
        <w:instrText xml:space="preserve"> PAGEREF _Toc10122748 \h </w:instrText>
      </w:r>
      <w:r>
        <w:rPr>
          <w:noProof/>
        </w:rPr>
      </w:r>
      <w:r>
        <w:rPr>
          <w:noProof/>
        </w:rPr>
        <w:fldChar w:fldCharType="separate"/>
      </w:r>
      <w:r>
        <w:rPr>
          <w:noProof/>
        </w:rPr>
        <w:t>58</w:t>
      </w:r>
      <w:r>
        <w:rPr>
          <w:noProof/>
        </w:rPr>
        <w:fldChar w:fldCharType="end"/>
      </w:r>
    </w:p>
    <w:p w14:paraId="6CAB71E0" w14:textId="1C8D3FE9"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Pr>
          <w:iCs/>
          <w:noProof/>
        </w:rPr>
        <w:tab/>
      </w:r>
      <w:r w:rsidRPr="007C5178">
        <w:rPr>
          <w:iCs/>
          <w:noProof/>
        </w:rPr>
        <w:t>A1.7.1 Mechanism of action of wind-blown dust in buffering</w:t>
      </w:r>
      <w:r>
        <w:rPr>
          <w:noProof/>
        </w:rPr>
        <w:tab/>
      </w:r>
      <w:r>
        <w:rPr>
          <w:noProof/>
        </w:rPr>
        <w:fldChar w:fldCharType="begin"/>
      </w:r>
      <w:r>
        <w:rPr>
          <w:noProof/>
        </w:rPr>
        <w:instrText xml:space="preserve"> PAGEREF _Toc10122749 \h </w:instrText>
      </w:r>
      <w:r>
        <w:rPr>
          <w:noProof/>
        </w:rPr>
      </w:r>
      <w:r>
        <w:rPr>
          <w:noProof/>
        </w:rPr>
        <w:fldChar w:fldCharType="separate"/>
      </w:r>
      <w:r>
        <w:rPr>
          <w:noProof/>
        </w:rPr>
        <w:t>58</w:t>
      </w:r>
      <w:r>
        <w:rPr>
          <w:noProof/>
        </w:rPr>
        <w:fldChar w:fldCharType="end"/>
      </w:r>
    </w:p>
    <w:p w14:paraId="083C8A34" w14:textId="7CD6707E"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Pr>
          <w:noProof/>
        </w:rPr>
        <w:tab/>
        <w:t>A1.7.2 Models of soil dust uplift</w:t>
      </w:r>
      <w:r>
        <w:rPr>
          <w:noProof/>
        </w:rPr>
        <w:tab/>
      </w:r>
      <w:r>
        <w:rPr>
          <w:noProof/>
        </w:rPr>
        <w:fldChar w:fldCharType="begin"/>
      </w:r>
      <w:r>
        <w:rPr>
          <w:noProof/>
        </w:rPr>
        <w:instrText xml:space="preserve"> PAGEREF _Toc10122750 \h </w:instrText>
      </w:r>
      <w:r>
        <w:rPr>
          <w:noProof/>
        </w:rPr>
      </w:r>
      <w:r>
        <w:rPr>
          <w:noProof/>
        </w:rPr>
        <w:fldChar w:fldCharType="separate"/>
      </w:r>
      <w:r>
        <w:rPr>
          <w:noProof/>
        </w:rPr>
        <w:t>58</w:t>
      </w:r>
      <w:r>
        <w:rPr>
          <w:noProof/>
        </w:rPr>
        <w:fldChar w:fldCharType="end"/>
      </w:r>
    </w:p>
    <w:p w14:paraId="158E943B" w14:textId="1AD61D25" w:rsidR="00DC7701" w:rsidRDefault="00DC7701">
      <w:pPr>
        <w:pStyle w:val="TOC1"/>
        <w:tabs>
          <w:tab w:val="right" w:leader="dot" w:pos="9352"/>
        </w:tabs>
        <w:rPr>
          <w:rFonts w:asciiTheme="minorHAnsi" w:eastAsiaTheme="minorEastAsia" w:hAnsiTheme="minorHAnsi" w:cstheme="minorBidi"/>
          <w:b w:val="0"/>
          <w:caps w:val="0"/>
          <w:sz w:val="22"/>
          <w:szCs w:val="22"/>
          <w:lang w:eastAsia="en-GB"/>
        </w:rPr>
      </w:pPr>
      <w:r>
        <w:t>Annex 2: Speciation of pollutant emissions</w:t>
      </w:r>
      <w:r>
        <w:tab/>
      </w:r>
      <w:r>
        <w:fldChar w:fldCharType="begin"/>
      </w:r>
      <w:r>
        <w:instrText xml:space="preserve"> PAGEREF _Toc10122751 \h </w:instrText>
      </w:r>
      <w:r>
        <w:fldChar w:fldCharType="separate"/>
      </w:r>
      <w:r>
        <w:t>60</w:t>
      </w:r>
      <w:r>
        <w:fldChar w:fldCharType="end"/>
      </w:r>
    </w:p>
    <w:p w14:paraId="19D95CC6" w14:textId="7919FB3E"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color w:val="000000"/>
        </w:rPr>
        <w:t>A2.1 Introduction</w:t>
      </w:r>
      <w:r>
        <w:rPr>
          <w:noProof/>
        </w:rPr>
        <w:tab/>
      </w:r>
      <w:r>
        <w:rPr>
          <w:noProof/>
        </w:rPr>
        <w:fldChar w:fldCharType="begin"/>
      </w:r>
      <w:r>
        <w:rPr>
          <w:noProof/>
        </w:rPr>
        <w:instrText xml:space="preserve"> PAGEREF _Toc10122752 \h </w:instrText>
      </w:r>
      <w:r>
        <w:rPr>
          <w:noProof/>
        </w:rPr>
      </w:r>
      <w:r>
        <w:rPr>
          <w:noProof/>
        </w:rPr>
        <w:fldChar w:fldCharType="separate"/>
      </w:r>
      <w:r>
        <w:rPr>
          <w:noProof/>
        </w:rPr>
        <w:t>60</w:t>
      </w:r>
      <w:r>
        <w:rPr>
          <w:noProof/>
        </w:rPr>
        <w:fldChar w:fldCharType="end"/>
      </w:r>
    </w:p>
    <w:p w14:paraId="42C8DA64" w14:textId="1AE00C1A"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color w:val="000000"/>
        </w:rPr>
        <w:t>A2.2 The need for speciation of VOC</w:t>
      </w:r>
      <w:r>
        <w:rPr>
          <w:noProof/>
        </w:rPr>
        <w:tab/>
      </w:r>
      <w:r>
        <w:rPr>
          <w:noProof/>
        </w:rPr>
        <w:fldChar w:fldCharType="begin"/>
      </w:r>
      <w:r>
        <w:rPr>
          <w:noProof/>
        </w:rPr>
        <w:instrText xml:space="preserve"> PAGEREF _Toc10122753 \h </w:instrText>
      </w:r>
      <w:r>
        <w:rPr>
          <w:noProof/>
        </w:rPr>
      </w:r>
      <w:r>
        <w:rPr>
          <w:noProof/>
        </w:rPr>
        <w:fldChar w:fldCharType="separate"/>
      </w:r>
      <w:r>
        <w:rPr>
          <w:noProof/>
        </w:rPr>
        <w:t>60</w:t>
      </w:r>
      <w:r>
        <w:rPr>
          <w:noProof/>
        </w:rPr>
        <w:fldChar w:fldCharType="end"/>
      </w:r>
    </w:p>
    <w:p w14:paraId="2E6F0C97" w14:textId="54D3AC3A"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color w:val="000000"/>
        </w:rPr>
        <w:t>A2.3 Approaches used for NMVOC speciation</w:t>
      </w:r>
      <w:r>
        <w:rPr>
          <w:noProof/>
        </w:rPr>
        <w:tab/>
      </w:r>
      <w:r>
        <w:rPr>
          <w:noProof/>
        </w:rPr>
        <w:fldChar w:fldCharType="begin"/>
      </w:r>
      <w:r>
        <w:rPr>
          <w:noProof/>
        </w:rPr>
        <w:instrText xml:space="preserve"> PAGEREF _Toc10122754 \h </w:instrText>
      </w:r>
      <w:r>
        <w:rPr>
          <w:noProof/>
        </w:rPr>
      </w:r>
      <w:r>
        <w:rPr>
          <w:noProof/>
        </w:rPr>
        <w:fldChar w:fldCharType="separate"/>
      </w:r>
      <w:r>
        <w:rPr>
          <w:noProof/>
        </w:rPr>
        <w:t>60</w:t>
      </w:r>
      <w:r>
        <w:rPr>
          <w:noProof/>
        </w:rPr>
        <w:fldChar w:fldCharType="end"/>
      </w:r>
    </w:p>
    <w:p w14:paraId="7542C3A9" w14:textId="4D8B4000"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color w:val="000000"/>
        </w:rPr>
        <w:t>A2.4 Sources of speciation factors in the literature</w:t>
      </w:r>
      <w:r>
        <w:rPr>
          <w:noProof/>
        </w:rPr>
        <w:tab/>
      </w:r>
      <w:r>
        <w:rPr>
          <w:noProof/>
        </w:rPr>
        <w:fldChar w:fldCharType="begin"/>
      </w:r>
      <w:r>
        <w:rPr>
          <w:noProof/>
        </w:rPr>
        <w:instrText xml:space="preserve"> PAGEREF _Toc10122755 \h </w:instrText>
      </w:r>
      <w:r>
        <w:rPr>
          <w:noProof/>
        </w:rPr>
      </w:r>
      <w:r>
        <w:rPr>
          <w:noProof/>
        </w:rPr>
        <w:fldChar w:fldCharType="separate"/>
      </w:r>
      <w:r>
        <w:rPr>
          <w:noProof/>
        </w:rPr>
        <w:t>60</w:t>
      </w:r>
      <w:r>
        <w:rPr>
          <w:noProof/>
        </w:rPr>
        <w:fldChar w:fldCharType="end"/>
      </w:r>
    </w:p>
    <w:p w14:paraId="1D591D30" w14:textId="348C82A6" w:rsidR="00DC7701" w:rsidRDefault="00DC7701">
      <w:pPr>
        <w:pStyle w:val="TOC3"/>
        <w:tabs>
          <w:tab w:val="right" w:leader="dot" w:pos="9352"/>
        </w:tabs>
        <w:rPr>
          <w:rFonts w:asciiTheme="minorHAnsi" w:eastAsiaTheme="minorEastAsia" w:hAnsiTheme="minorHAnsi" w:cstheme="minorBidi"/>
          <w:i w:val="0"/>
          <w:noProof/>
          <w:sz w:val="22"/>
          <w:szCs w:val="22"/>
          <w:lang w:eastAsia="en-GB"/>
        </w:rPr>
      </w:pPr>
      <w:r w:rsidRPr="007C5178">
        <w:rPr>
          <w:i w:val="0"/>
          <w:noProof/>
          <w:color w:val="000000"/>
        </w:rPr>
        <w:t>A2.5 Speciation models</w:t>
      </w:r>
      <w:r>
        <w:rPr>
          <w:noProof/>
        </w:rPr>
        <w:tab/>
      </w:r>
      <w:r>
        <w:rPr>
          <w:noProof/>
        </w:rPr>
        <w:fldChar w:fldCharType="begin"/>
      </w:r>
      <w:r>
        <w:rPr>
          <w:noProof/>
        </w:rPr>
        <w:instrText xml:space="preserve"> PAGEREF _Toc10122756 \h </w:instrText>
      </w:r>
      <w:r>
        <w:rPr>
          <w:noProof/>
        </w:rPr>
      </w:r>
      <w:r>
        <w:rPr>
          <w:noProof/>
        </w:rPr>
        <w:fldChar w:fldCharType="separate"/>
      </w:r>
      <w:r>
        <w:rPr>
          <w:noProof/>
        </w:rPr>
        <w:t>61</w:t>
      </w:r>
      <w:r>
        <w:rPr>
          <w:noProof/>
        </w:rPr>
        <w:fldChar w:fldCharType="end"/>
      </w:r>
    </w:p>
    <w:p w14:paraId="2BF5F6B0" w14:textId="64534A54" w:rsidR="00C46552" w:rsidRDefault="008059FF" w:rsidP="00EA3167">
      <w:pPr>
        <w:pStyle w:val="Heading1"/>
        <w:numPr>
          <w:ilvl w:val="0"/>
          <w:numId w:val="0"/>
        </w:numPr>
      </w:pPr>
      <w:r>
        <w:fldChar w:fldCharType="end"/>
      </w:r>
      <w:r w:rsidR="00C46552">
        <w:br w:type="column"/>
      </w:r>
      <w:bookmarkStart w:id="6" w:name="_Toc10122646"/>
      <w:r w:rsidR="00C46552">
        <w:lastRenderedPageBreak/>
        <w:t>Executive summary</w:t>
      </w:r>
      <w:bookmarkEnd w:id="6"/>
    </w:p>
    <w:p w14:paraId="16057636" w14:textId="77777777" w:rsidR="00C46552" w:rsidRDefault="00C46552"/>
    <w:p w14:paraId="6A94B8E7" w14:textId="77777777" w:rsidR="0024467F" w:rsidRDefault="0024467F" w:rsidP="0024467F">
      <w:r w:rsidRPr="00FD7527">
        <w:t xml:space="preserve">As </w:t>
      </w:r>
      <w:r>
        <w:t xml:space="preserve">air </w:t>
      </w:r>
      <w:r w:rsidRPr="00FD7527">
        <w:t>pollutant emissions management has increasingly to be conducted at wider geographical scales</w:t>
      </w:r>
      <w:r>
        <w:t xml:space="preserve"> (i</w:t>
      </w:r>
      <w:r w:rsidRPr="00FD7527">
        <w:t>ncluding regional and hemispheric</w:t>
      </w:r>
      <w:r>
        <w:t>)</w:t>
      </w:r>
      <w:r w:rsidRPr="00FD7527">
        <w:t xml:space="preserve">, the development and adoption of </w:t>
      </w:r>
      <w:r>
        <w:t>compatible</w:t>
      </w:r>
      <w:r w:rsidRPr="00FD7527">
        <w:t xml:space="preserve"> approaches by different regional networks</w:t>
      </w:r>
      <w:r w:rsidR="005B41E8">
        <w:t xml:space="preserve">, </w:t>
      </w:r>
      <w:r w:rsidRPr="00FD7527">
        <w:t xml:space="preserve">is increasingly necessary. </w:t>
      </w:r>
      <w:r>
        <w:t>In particular, c</w:t>
      </w:r>
      <w:r w:rsidRPr="00FD7527">
        <w:t xml:space="preserve">onvergence of approaches </w:t>
      </w:r>
      <w:r>
        <w:t xml:space="preserve">for compiling </w:t>
      </w:r>
      <w:r w:rsidRPr="00FD7527">
        <w:t>emission inventor</w:t>
      </w:r>
      <w:r>
        <w:t>ies</w:t>
      </w:r>
      <w:r w:rsidRPr="00FD7527">
        <w:t xml:space="preserve"> will </w:t>
      </w:r>
      <w:r>
        <w:t>enable the</w:t>
      </w:r>
      <w:r w:rsidRPr="00FD7527">
        <w:t xml:space="preserve"> efficient transfer of information and expertise to </w:t>
      </w:r>
      <w:r>
        <w:t>assist</w:t>
      </w:r>
      <w:r w:rsidRPr="00FD7527">
        <w:t xml:space="preserve"> </w:t>
      </w:r>
      <w:r>
        <w:t xml:space="preserve">the efforts of those </w:t>
      </w:r>
      <w:r w:rsidRPr="00FD7527">
        <w:t>regions with l</w:t>
      </w:r>
      <w:r>
        <w:t>ess</w:t>
      </w:r>
      <w:r w:rsidRPr="00FD7527">
        <w:t xml:space="preserve"> experience. </w:t>
      </w:r>
    </w:p>
    <w:p w14:paraId="6686541A" w14:textId="77777777" w:rsidR="0042763A" w:rsidRDefault="0042763A"/>
    <w:p w14:paraId="4A554FA6" w14:textId="77777777" w:rsidR="00756B9A" w:rsidRDefault="005B41E8">
      <w:r>
        <w:t>This Manual has been produced under the auspices of the</w:t>
      </w:r>
      <w:r w:rsidRPr="00886A18">
        <w:t xml:space="preserve"> Global Atmospheric Pollution Forum (</w:t>
      </w:r>
      <w:r w:rsidR="00566FAD">
        <w:t>the Forum</w:t>
      </w:r>
      <w:r w:rsidRPr="00886A18">
        <w:t>)</w:t>
      </w:r>
      <w:r>
        <w:t xml:space="preserve"> which is</w:t>
      </w:r>
      <w:r w:rsidRPr="00886A18">
        <w:t xml:space="preserve"> coordinated by the Stockholm Environment Institute (SEI), based at the University of York, U</w:t>
      </w:r>
      <w:r w:rsidR="0075388C">
        <w:t>.K.</w:t>
      </w:r>
      <w:r w:rsidRPr="00886A18">
        <w:t xml:space="preserve"> and The International Union of Air Pollution Prevention Associations (IUAPPA).</w:t>
      </w:r>
      <w:r w:rsidRPr="00FD7527">
        <w:t xml:space="preserve"> </w:t>
      </w:r>
      <w:r w:rsidR="009C3F42">
        <w:t>The purpose of the Forum Manual is to pr</w:t>
      </w:r>
      <w:r w:rsidR="00F53877">
        <w:t>ovide a simplified and user-friendly</w:t>
      </w:r>
      <w:r w:rsidR="009C3F42">
        <w:t xml:space="preserve"> framework for emission</w:t>
      </w:r>
      <w:r w:rsidR="00C46E3B">
        <w:t>s</w:t>
      </w:r>
      <w:r w:rsidR="009C3F42">
        <w:t xml:space="preserve"> inventory preparation that is suitable for use in different developing and rapidly industrialising countries and which is compatible with other major </w:t>
      </w:r>
      <w:r w:rsidR="00C46E3B">
        <w:t xml:space="preserve">international </w:t>
      </w:r>
      <w:r w:rsidR="009C3F42">
        <w:t>emission</w:t>
      </w:r>
      <w:r w:rsidR="00C46E3B">
        <w:t>s</w:t>
      </w:r>
      <w:r w:rsidR="009C3F42">
        <w:t xml:space="preserve"> inventory </w:t>
      </w:r>
      <w:r w:rsidR="00C46E3B">
        <w:t>initiatives</w:t>
      </w:r>
      <w:r w:rsidR="009C3F42">
        <w:t xml:space="preserve">. </w:t>
      </w:r>
      <w:r w:rsidR="006C1B59">
        <w:t>However, the methodologies suggested in the Manual and Workbook are indicative only and the actual level of detail used for different parts of the inventory will vary according to data availability and capacity of the country concerned. In some cases, the level of detail possible</w:t>
      </w:r>
      <w:r w:rsidR="00C86C0C">
        <w:t xml:space="preserve"> </w:t>
      </w:r>
      <w:r w:rsidR="006C1B59">
        <w:t xml:space="preserve">will </w:t>
      </w:r>
      <w:r w:rsidR="00C86C0C">
        <w:t xml:space="preserve">surpass that provided for in the Forum Manual/Workbook and users are then free to use alternative methods or tools so long as these are properly documented.  </w:t>
      </w:r>
      <w:r w:rsidR="006C1B59">
        <w:t xml:space="preserve"> </w:t>
      </w:r>
    </w:p>
    <w:p w14:paraId="45DD63DA" w14:textId="77777777" w:rsidR="00756B9A" w:rsidRDefault="00756B9A"/>
    <w:p w14:paraId="594C8626" w14:textId="74A73CA8" w:rsidR="00746110" w:rsidRDefault="00756B9A">
      <w:r>
        <w:t>I</w:t>
      </w:r>
      <w:r w:rsidR="00C46552">
        <w:t xml:space="preserve">nventory methods </w:t>
      </w:r>
      <w:r>
        <w:t xml:space="preserve">are provided </w:t>
      </w:r>
      <w:r w:rsidR="00C46552">
        <w:t xml:space="preserve">for estimating emissions from the following sources: fuel combustion and transformation; fugitive emissions from fuels; industrial process emissions </w:t>
      </w:r>
      <w:r w:rsidR="00FF4C4C">
        <w:t>(non-</w:t>
      </w:r>
      <w:r w:rsidR="00C46552">
        <w:t>combustion</w:t>
      </w:r>
      <w:r w:rsidR="00FF4C4C">
        <w:t>)</w:t>
      </w:r>
      <w:r w:rsidR="00C46552">
        <w:t>;</w:t>
      </w:r>
      <w:r w:rsidR="00BD4FA1">
        <w:t xml:space="preserve"> emissions from </w:t>
      </w:r>
      <w:r w:rsidR="009F3BDE">
        <w:t>solvent and other product use;</w:t>
      </w:r>
      <w:r w:rsidR="00C46552">
        <w:t xml:space="preserve"> emissions from agriculture</w:t>
      </w:r>
      <w:r w:rsidR="00E54EA9">
        <w:t xml:space="preserve"> (including savanna fires)</w:t>
      </w:r>
      <w:r w:rsidR="00C46552">
        <w:t xml:space="preserve">; emissions from </w:t>
      </w:r>
      <w:r w:rsidR="00E54EA9">
        <w:t xml:space="preserve">other </w:t>
      </w:r>
      <w:r w:rsidR="00C46552">
        <w:t xml:space="preserve">vegetation fires and forestry; </w:t>
      </w:r>
      <w:r w:rsidR="005B41E8">
        <w:t xml:space="preserve">and </w:t>
      </w:r>
      <w:r w:rsidR="00C46552">
        <w:t>emissions from</w:t>
      </w:r>
      <w:r w:rsidR="005B41E8">
        <w:t xml:space="preserve"> the</w:t>
      </w:r>
      <w:r w:rsidR="00C46552">
        <w:t xml:space="preserve"> t</w:t>
      </w:r>
      <w:r w:rsidR="005B41E8">
        <w:t>reatment and disposal of wastes</w:t>
      </w:r>
      <w:r w:rsidR="00C46552">
        <w:t>.  The air pollutants covered are sulphur dioxide (SO</w:t>
      </w:r>
      <w:r w:rsidR="00C46552">
        <w:rPr>
          <w:vertAlign w:val="subscript"/>
        </w:rPr>
        <w:t>2</w:t>
      </w:r>
      <w:r w:rsidR="00C46552">
        <w:t>), oxides of nitrogen (NO</w:t>
      </w:r>
      <w:r w:rsidR="00C46552">
        <w:rPr>
          <w:vertAlign w:val="subscript"/>
        </w:rPr>
        <w:t>x</w:t>
      </w:r>
      <w:r w:rsidR="00C46552">
        <w:t xml:space="preserve">), </w:t>
      </w:r>
      <w:r w:rsidR="009F3BDE">
        <w:t xml:space="preserve">carbon monoxide (CO), </w:t>
      </w:r>
      <w:r w:rsidR="005B41E8">
        <w:t xml:space="preserve">non-methane </w:t>
      </w:r>
      <w:r w:rsidR="009F3BDE">
        <w:t xml:space="preserve">volatile organic compounds (NMVOC), </w:t>
      </w:r>
      <w:r w:rsidR="001C64A4">
        <w:t>methane (CH</w:t>
      </w:r>
      <w:r w:rsidR="001C64A4" w:rsidRPr="001C64A4">
        <w:rPr>
          <w:vertAlign w:val="subscript"/>
        </w:rPr>
        <w:t>4</w:t>
      </w:r>
      <w:r w:rsidR="001C64A4">
        <w:t xml:space="preserve">), </w:t>
      </w:r>
      <w:r w:rsidR="00C46552">
        <w:t>ammonia (NH</w:t>
      </w:r>
      <w:r w:rsidR="00C46552">
        <w:rPr>
          <w:vertAlign w:val="subscript"/>
        </w:rPr>
        <w:t>3</w:t>
      </w:r>
      <w:r w:rsidR="00C46552">
        <w:t>)</w:t>
      </w:r>
      <w:r w:rsidR="001C64A4">
        <w:t>,</w:t>
      </w:r>
      <w:r w:rsidR="00C46552">
        <w:t xml:space="preserve"> particulate matter (PM</w:t>
      </w:r>
      <w:r w:rsidR="00C46552">
        <w:rPr>
          <w:vertAlign w:val="subscript"/>
        </w:rPr>
        <w:t>10</w:t>
      </w:r>
      <w:r w:rsidR="001C64A4">
        <w:t>,</w:t>
      </w:r>
      <w:r w:rsidR="00C46552">
        <w:t xml:space="preserve"> </w:t>
      </w:r>
      <w:r w:rsidR="00E54EA9">
        <w:t>PM</w:t>
      </w:r>
      <w:r w:rsidR="00E54EA9">
        <w:rPr>
          <w:vertAlign w:val="subscript"/>
        </w:rPr>
        <w:t>2.5</w:t>
      </w:r>
      <w:r w:rsidR="001C64A4">
        <w:t>, black carbon (BC), organic carbon (OC)) and carbon dioxide (CO</w:t>
      </w:r>
      <w:r w:rsidR="001C64A4" w:rsidRPr="001C64A4">
        <w:rPr>
          <w:vertAlign w:val="subscript"/>
        </w:rPr>
        <w:t>2</w:t>
      </w:r>
      <w:r w:rsidR="001C64A4">
        <w:t>)</w:t>
      </w:r>
      <w:r w:rsidR="00C46552">
        <w:t xml:space="preserve">.  An Excel workbook </w:t>
      </w:r>
      <w:r w:rsidR="00746110">
        <w:t>(</w:t>
      </w:r>
      <w:r w:rsidR="00746110" w:rsidRPr="00746110">
        <w:t xml:space="preserve">FORUM Workbook Version </w:t>
      </w:r>
      <w:r w:rsidR="00EE79DF">
        <w:t>7.5.0</w:t>
      </w:r>
      <w:r w:rsidR="00746110">
        <w:t xml:space="preserve">) </w:t>
      </w:r>
      <w:r w:rsidR="00C46552">
        <w:t>has been prepared as a companion to this Manual for use as an aid and tool in preparing national emissions inventories</w:t>
      </w:r>
      <w:r w:rsidR="00746110">
        <w:t xml:space="preserve"> and is available for download from </w:t>
      </w:r>
      <w:hyperlink r:id="rId17" w:history="1">
        <w:r w:rsidR="00F42796">
          <w:rPr>
            <w:rStyle w:val="Hyperlink"/>
          </w:rPr>
          <w:t>https://www.sei.org/projects-and-tools/tools/gap-global-air-pollution-forum-emission-manual/</w:t>
        </w:r>
      </w:hyperlink>
    </w:p>
    <w:p w14:paraId="67C3457B" w14:textId="77777777" w:rsidR="00746110" w:rsidRDefault="00746110"/>
    <w:p w14:paraId="494D6C2E" w14:textId="77777777" w:rsidR="00C46552" w:rsidRDefault="00C46552">
      <w:r>
        <w:t>Use of th</w:t>
      </w:r>
      <w:r w:rsidR="009C3F42">
        <w:t>e Forum</w:t>
      </w:r>
      <w:r>
        <w:t xml:space="preserve"> Manual and its companion Workbook will, it is hoped, enable </w:t>
      </w:r>
      <w:r w:rsidR="005B41E8">
        <w:t>non-OECD</w:t>
      </w:r>
      <w:r>
        <w:t xml:space="preserve"> countries to develop emissions inventories in a</w:t>
      </w:r>
      <w:r w:rsidR="008A4453">
        <w:t>n accurate,</w:t>
      </w:r>
      <w:r>
        <w:t xml:space="preserve"> </w:t>
      </w:r>
      <w:r w:rsidR="00A861F0">
        <w:t xml:space="preserve">complete, </w:t>
      </w:r>
      <w:r w:rsidR="00FF44D2">
        <w:t xml:space="preserve">comparable, </w:t>
      </w:r>
      <w:r>
        <w:t>consistent</w:t>
      </w:r>
      <w:r w:rsidR="00FF44D2">
        <w:t xml:space="preserve"> and</w:t>
      </w:r>
      <w:r>
        <w:t xml:space="preserve"> transparent manner </w:t>
      </w:r>
      <w:r w:rsidR="00FF44D2">
        <w:t xml:space="preserve">to support </w:t>
      </w:r>
      <w:r>
        <w:t xml:space="preserve">the process of regional cooperation on </w:t>
      </w:r>
      <w:r w:rsidR="00756B9A">
        <w:t xml:space="preserve">the </w:t>
      </w:r>
      <w:r>
        <w:t>modelling</w:t>
      </w:r>
      <w:r w:rsidR="005B41E8">
        <w:t xml:space="preserve"> and mitigati</w:t>
      </w:r>
      <w:r w:rsidR="00756B9A">
        <w:t>on</w:t>
      </w:r>
      <w:r>
        <w:t xml:space="preserve"> of transboundary air pollution. </w:t>
      </w:r>
    </w:p>
    <w:p w14:paraId="3A3BFB26" w14:textId="77777777" w:rsidR="00C46552" w:rsidRDefault="00C46552" w:rsidP="008D335F">
      <w:pPr>
        <w:pStyle w:val="Heading1"/>
        <w:numPr>
          <w:ilvl w:val="0"/>
          <w:numId w:val="0"/>
        </w:numPr>
      </w:pPr>
      <w:r>
        <w:rPr>
          <w:rFonts w:ascii="Times New Roman" w:hAnsi="Times New Roman"/>
          <w:sz w:val="22"/>
        </w:rPr>
        <w:t xml:space="preserve"> </w:t>
      </w:r>
      <w:r>
        <w:br w:type="page"/>
      </w:r>
      <w:bookmarkStart w:id="7" w:name="_Toc63246521"/>
      <w:bookmarkStart w:id="8" w:name="_Toc63670109"/>
      <w:bookmarkStart w:id="9" w:name="_Toc63844534"/>
      <w:bookmarkStart w:id="10" w:name="_Toc63853589"/>
      <w:bookmarkStart w:id="11" w:name="_Toc64086871"/>
      <w:bookmarkStart w:id="12" w:name="_Toc70390797"/>
      <w:bookmarkStart w:id="13" w:name="_Toc75234007"/>
      <w:bookmarkStart w:id="14" w:name="_Toc108864821"/>
      <w:bookmarkStart w:id="15" w:name="_Toc120596605"/>
      <w:bookmarkStart w:id="16" w:name="_Toc121216647"/>
      <w:bookmarkStart w:id="17" w:name="_Toc121566148"/>
      <w:bookmarkStart w:id="18" w:name="_Toc121566263"/>
      <w:bookmarkStart w:id="19" w:name="_Toc121566378"/>
      <w:bookmarkStart w:id="20" w:name="_Toc126728667"/>
      <w:bookmarkStart w:id="21" w:name="_Toc126728812"/>
      <w:bookmarkStart w:id="22" w:name="_Toc135038162"/>
      <w:bookmarkStart w:id="23" w:name="_Toc135038768"/>
      <w:bookmarkStart w:id="24" w:name="_Toc135039056"/>
      <w:bookmarkStart w:id="25" w:name="_Toc135042496"/>
      <w:bookmarkStart w:id="26" w:name="_Toc136409833"/>
      <w:bookmarkStart w:id="27" w:name="_Toc136410094"/>
      <w:bookmarkStart w:id="28" w:name="_Toc138144784"/>
      <w:bookmarkStart w:id="29" w:name="_Toc138565632"/>
      <w:bookmarkStart w:id="30" w:name="_Toc140896032"/>
      <w:bookmarkStart w:id="31" w:name="_Toc10122647"/>
      <w:r>
        <w:lastRenderedPageBreak/>
        <w:t>Acronyms and Abbreviations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2A1EC3DD" w14:textId="77777777" w:rsidR="00C46552" w:rsidRDefault="00C46552"/>
    <w:p w14:paraId="794CADB4" w14:textId="77777777" w:rsidR="00C46552" w:rsidRDefault="00C46552"/>
    <w:p w14:paraId="0DB0C9FB" w14:textId="77777777" w:rsidR="00E81DDC" w:rsidRDefault="00E81DDC">
      <w:pPr>
        <w:spacing w:after="120"/>
        <w:ind w:left="1440" w:hanging="1440"/>
      </w:pPr>
      <w:r>
        <w:t xml:space="preserve">ACCENT </w:t>
      </w:r>
      <w:r>
        <w:tab/>
        <w:t>Atmospheric Composition Change the European Network of Excellence</w:t>
      </w:r>
    </w:p>
    <w:p w14:paraId="524151C3" w14:textId="77777777" w:rsidR="0010490A" w:rsidRDefault="0010490A">
      <w:pPr>
        <w:spacing w:after="120"/>
        <w:ind w:left="1440" w:hanging="1440"/>
      </w:pPr>
      <w:r>
        <w:t>APINA</w:t>
      </w:r>
      <w:r>
        <w:tab/>
        <w:t xml:space="preserve">Air Pollution Information Network for </w:t>
      </w:r>
      <w:smartTag w:uri="urn:schemas-microsoft-com:office:smarttags" w:element="place">
        <w:r>
          <w:t>Africa</w:t>
        </w:r>
      </w:smartTag>
    </w:p>
    <w:p w14:paraId="2EEA8CCB" w14:textId="77777777" w:rsidR="00C46552" w:rsidRDefault="00C46552">
      <w:pPr>
        <w:spacing w:after="120"/>
        <w:ind w:left="1440" w:hanging="1440"/>
        <w:rPr>
          <w:i/>
          <w:snapToGrid w:val="0"/>
        </w:rPr>
      </w:pPr>
      <w:r>
        <w:t>AP-42</w:t>
      </w:r>
      <w:r>
        <w:tab/>
        <w:t>Common name for t</w:t>
      </w:r>
      <w:r>
        <w:rPr>
          <w:snapToGrid w:val="0"/>
        </w:rPr>
        <w:t xml:space="preserve">he US EPA’s </w:t>
      </w:r>
      <w:r>
        <w:rPr>
          <w:i/>
          <w:snapToGrid w:val="0"/>
        </w:rPr>
        <w:t xml:space="preserve">Compilation of Air Pollutant Emission Factors </w:t>
      </w:r>
    </w:p>
    <w:p w14:paraId="7728113F" w14:textId="77777777" w:rsidR="001C64A4" w:rsidRDefault="001C64A4">
      <w:pPr>
        <w:spacing w:after="120"/>
        <w:ind w:left="1440" w:hanging="1440"/>
      </w:pPr>
      <w:r>
        <w:t>BC</w:t>
      </w:r>
      <w:r>
        <w:tab/>
        <w:t>black carbon</w:t>
      </w:r>
    </w:p>
    <w:p w14:paraId="572AA55B" w14:textId="77777777" w:rsidR="00C46552" w:rsidRDefault="005A2C9E">
      <w:pPr>
        <w:spacing w:after="120"/>
        <w:ind w:left="1440" w:hanging="1440"/>
        <w:rPr>
          <w:b/>
        </w:rPr>
      </w:pPr>
      <w:r>
        <w:t>BEIS</w:t>
      </w:r>
      <w:r w:rsidR="00C46552">
        <w:t xml:space="preserve"> </w:t>
      </w:r>
      <w:r w:rsidR="00C46552">
        <w:tab/>
        <w:t>Biogenic Emissions Inventory System</w:t>
      </w:r>
    </w:p>
    <w:p w14:paraId="1A167D7C" w14:textId="77777777" w:rsidR="00C46552" w:rsidRDefault="00C46552">
      <w:pPr>
        <w:spacing w:after="120"/>
        <w:ind w:left="1440" w:hanging="1440"/>
      </w:pPr>
      <w:r>
        <w:t>BKB</w:t>
      </w:r>
      <w:r>
        <w:tab/>
      </w:r>
      <w:r>
        <w:rPr>
          <w:color w:val="000000"/>
        </w:rPr>
        <w:t>brown coal briquettes</w:t>
      </w:r>
    </w:p>
    <w:p w14:paraId="6BD8C753" w14:textId="77777777" w:rsidR="00C46552" w:rsidRDefault="00C46552">
      <w:pPr>
        <w:spacing w:after="120"/>
        <w:ind w:left="1440" w:hanging="1440"/>
      </w:pPr>
      <w:r>
        <w:t>Btu</w:t>
      </w:r>
      <w:r>
        <w:tab/>
        <w:t>British thermal unit</w:t>
      </w:r>
    </w:p>
    <w:p w14:paraId="690C3B57" w14:textId="77777777" w:rsidR="00C46552" w:rsidRDefault="00C46552">
      <w:pPr>
        <w:spacing w:after="120"/>
        <w:ind w:left="1440" w:hanging="1440"/>
      </w:pPr>
      <w:r>
        <w:t>CEC</w:t>
      </w:r>
      <w:r>
        <w:tab/>
        <w:t>Commission of the European Communities</w:t>
      </w:r>
    </w:p>
    <w:p w14:paraId="154D6E2C" w14:textId="77777777" w:rsidR="00E53139" w:rsidRDefault="00E53139">
      <w:pPr>
        <w:spacing w:after="120"/>
        <w:ind w:left="1440" w:hanging="1440"/>
      </w:pPr>
      <w:r>
        <w:t>CFC</w:t>
      </w:r>
      <w:r>
        <w:tab/>
        <w:t>chloroflourocarbon</w:t>
      </w:r>
    </w:p>
    <w:p w14:paraId="5688413C" w14:textId="77777777" w:rsidR="00E53139" w:rsidRDefault="00E53139">
      <w:pPr>
        <w:spacing w:after="120"/>
        <w:ind w:left="1440" w:hanging="1440"/>
      </w:pPr>
      <w:r>
        <w:t xml:space="preserve">CLRTAP </w:t>
      </w:r>
      <w:r>
        <w:tab/>
        <w:t xml:space="preserve">Convention on </w:t>
      </w:r>
      <w:smartTag w:uri="urn:schemas-microsoft-com:office:smarttags" w:element="place">
        <w:smartTag w:uri="urn:schemas-microsoft-com:office:smarttags" w:element="PlaceName">
          <w:r>
            <w:t>Long</w:t>
          </w:r>
        </w:smartTag>
        <w:r>
          <w:t xml:space="preserve"> </w:t>
        </w:r>
        <w:smartTag w:uri="urn:schemas-microsoft-com:office:smarttags" w:element="PlaceType">
          <w:r>
            <w:t>Range</w:t>
          </w:r>
        </w:smartTag>
      </w:smartTag>
      <w:r>
        <w:t xml:space="preserve"> Transboundary Air Pollution </w:t>
      </w:r>
    </w:p>
    <w:p w14:paraId="443B7DED" w14:textId="77777777" w:rsidR="00C46552" w:rsidRDefault="00C46552">
      <w:pPr>
        <w:spacing w:after="120"/>
        <w:ind w:left="1440" w:hanging="1440"/>
      </w:pPr>
      <w:r>
        <w:t>CNG</w:t>
      </w:r>
      <w:r>
        <w:tab/>
        <w:t xml:space="preserve">compressed natural gas </w:t>
      </w:r>
    </w:p>
    <w:p w14:paraId="395AD2DA" w14:textId="77777777" w:rsidR="00C46552" w:rsidRDefault="00C46552">
      <w:pPr>
        <w:spacing w:after="120"/>
        <w:ind w:left="1440" w:hanging="1440"/>
      </w:pPr>
      <w:r>
        <w:t xml:space="preserve">CORINE </w:t>
      </w:r>
      <w:r>
        <w:tab/>
      </w:r>
      <w:r>
        <w:rPr>
          <w:b/>
        </w:rPr>
        <w:t>CO</w:t>
      </w:r>
      <w:r>
        <w:t>-o</w:t>
      </w:r>
      <w:r>
        <w:rPr>
          <w:b/>
        </w:rPr>
        <w:t>R</w:t>
      </w:r>
      <w:r>
        <w:t>dination d'</w:t>
      </w:r>
      <w:r>
        <w:rPr>
          <w:b/>
        </w:rPr>
        <w:t>IN</w:t>
      </w:r>
      <w:r>
        <w:t xml:space="preserve">formation </w:t>
      </w:r>
      <w:r>
        <w:rPr>
          <w:b/>
        </w:rPr>
        <w:t>E</w:t>
      </w:r>
      <w:r>
        <w:t>nvironmentale</w:t>
      </w:r>
    </w:p>
    <w:p w14:paraId="6C57C24B" w14:textId="77777777" w:rsidR="00C46552" w:rsidRDefault="00C46552">
      <w:pPr>
        <w:spacing w:after="120"/>
        <w:ind w:left="1440" w:hanging="1440"/>
        <w:rPr>
          <w:color w:val="000000"/>
        </w:rPr>
      </w:pPr>
      <w:r>
        <w:t>COG</w:t>
      </w:r>
      <w:r>
        <w:tab/>
      </w:r>
      <w:r>
        <w:rPr>
          <w:color w:val="000000"/>
        </w:rPr>
        <w:t>coke oven gas</w:t>
      </w:r>
    </w:p>
    <w:p w14:paraId="7DC5B3EC" w14:textId="77777777" w:rsidR="001C64A4" w:rsidRDefault="001C64A4">
      <w:pPr>
        <w:spacing w:after="120"/>
        <w:ind w:left="1440" w:hanging="1440"/>
      </w:pPr>
      <w:r>
        <w:t>CH</w:t>
      </w:r>
      <w:r w:rsidRPr="001C64A4">
        <w:rPr>
          <w:vertAlign w:val="subscript"/>
        </w:rPr>
        <w:t>4</w:t>
      </w:r>
      <w:r>
        <w:tab/>
        <w:t>methane</w:t>
      </w:r>
    </w:p>
    <w:p w14:paraId="24946E88" w14:textId="77777777" w:rsidR="00FF4C4C" w:rsidRDefault="00FF4C4C">
      <w:pPr>
        <w:spacing w:after="120"/>
        <w:ind w:left="1440" w:hanging="1440"/>
      </w:pPr>
      <w:r>
        <w:t>CO</w:t>
      </w:r>
      <w:r>
        <w:tab/>
        <w:t>carbon monoxide</w:t>
      </w:r>
    </w:p>
    <w:p w14:paraId="6D610C61" w14:textId="77777777" w:rsidR="00C46552" w:rsidRDefault="00C46552">
      <w:pPr>
        <w:spacing w:after="120"/>
        <w:ind w:left="1440" w:hanging="1440"/>
      </w:pPr>
      <w:r>
        <w:t>CO</w:t>
      </w:r>
      <w:r>
        <w:rPr>
          <w:vertAlign w:val="subscript"/>
        </w:rPr>
        <w:t>2</w:t>
      </w:r>
      <w:r>
        <w:tab/>
        <w:t>carbon dioxide</w:t>
      </w:r>
    </w:p>
    <w:p w14:paraId="022D3849" w14:textId="77777777" w:rsidR="00C46552" w:rsidRDefault="00C46552">
      <w:pPr>
        <w:spacing w:after="120"/>
        <w:ind w:left="1440" w:hanging="1440"/>
        <w:rPr>
          <w:color w:val="000000"/>
        </w:rPr>
      </w:pPr>
      <w:r>
        <w:t>EF</w:t>
      </w:r>
      <w:r>
        <w:tab/>
        <w:t>e</w:t>
      </w:r>
      <w:r>
        <w:rPr>
          <w:color w:val="000000"/>
        </w:rPr>
        <w:t>mission factor</w:t>
      </w:r>
    </w:p>
    <w:p w14:paraId="1BD505D0" w14:textId="77777777" w:rsidR="00D47972" w:rsidRDefault="00D47972">
      <w:pPr>
        <w:spacing w:after="120"/>
        <w:ind w:left="1440" w:hanging="1440"/>
      </w:pPr>
      <w:r>
        <w:t>EFDB</w:t>
      </w:r>
      <w:r>
        <w:tab/>
        <w:t>Emission Factor Database</w:t>
      </w:r>
    </w:p>
    <w:p w14:paraId="564CC65E" w14:textId="77777777" w:rsidR="00C46552" w:rsidRDefault="00C46552">
      <w:pPr>
        <w:spacing w:after="120"/>
        <w:ind w:left="1440" w:hanging="1440"/>
        <w:rPr>
          <w:color w:val="000000"/>
        </w:rPr>
      </w:pPr>
      <w:r>
        <w:t>EMEP</w:t>
      </w:r>
      <w:r>
        <w:tab/>
      </w:r>
      <w:r>
        <w:rPr>
          <w:color w:val="000000"/>
        </w:rPr>
        <w:t xml:space="preserve">Co-operative Programme for Monitoring and Evaluation of the </w:t>
      </w:r>
      <w:smartTag w:uri="urn:schemas-microsoft-com:office:smarttags" w:element="PlaceName">
        <w:r>
          <w:rPr>
            <w:color w:val="000000"/>
          </w:rPr>
          <w:t>Long</w:t>
        </w:r>
      </w:smartTag>
      <w:r>
        <w:rPr>
          <w:color w:val="000000"/>
        </w:rPr>
        <w:t xml:space="preserve"> </w:t>
      </w:r>
      <w:smartTag w:uri="urn:schemas-microsoft-com:office:smarttags" w:element="PlaceType">
        <w:r>
          <w:rPr>
            <w:color w:val="000000"/>
          </w:rPr>
          <w:t>Range</w:t>
        </w:r>
      </w:smartTag>
      <w:r>
        <w:rPr>
          <w:color w:val="000000"/>
        </w:rPr>
        <w:t xml:space="preserve"> Transmission of Air Pollutants in </w:t>
      </w:r>
      <w:smartTag w:uri="urn:schemas-microsoft-com:office:smarttags" w:element="place">
        <w:r>
          <w:rPr>
            <w:color w:val="000000"/>
          </w:rPr>
          <w:t>Europe</w:t>
        </w:r>
      </w:smartTag>
    </w:p>
    <w:p w14:paraId="5A62F1C4" w14:textId="77777777" w:rsidR="00C46552" w:rsidRDefault="00C46552">
      <w:pPr>
        <w:spacing w:after="120"/>
        <w:ind w:left="1440" w:hanging="1440"/>
        <w:rPr>
          <w:color w:val="000000"/>
        </w:rPr>
      </w:pPr>
      <w:r>
        <w:rPr>
          <w:color w:val="000000"/>
        </w:rPr>
        <w:t>EPA</w:t>
      </w:r>
      <w:r>
        <w:rPr>
          <w:color w:val="000000"/>
        </w:rPr>
        <w:tab/>
        <w:t>(US) Environment Protection Agency</w:t>
      </w:r>
    </w:p>
    <w:p w14:paraId="14B8D4A8" w14:textId="77777777" w:rsidR="008472CC" w:rsidRDefault="008472CC">
      <w:pPr>
        <w:spacing w:after="120"/>
        <w:ind w:left="1440" w:hanging="1440"/>
      </w:pPr>
      <w:r>
        <w:rPr>
          <w:noProof/>
        </w:rPr>
        <w:t>ESP</w:t>
      </w:r>
      <w:r>
        <w:rPr>
          <w:noProof/>
        </w:rPr>
        <w:tab/>
      </w:r>
      <w:r>
        <w:t>Electrostatic Precipitator</w:t>
      </w:r>
    </w:p>
    <w:p w14:paraId="11C2EF13" w14:textId="77777777" w:rsidR="00C46552" w:rsidRDefault="00C46552">
      <w:pPr>
        <w:spacing w:after="120"/>
        <w:ind w:left="1440" w:hanging="1440"/>
        <w:rPr>
          <w:color w:val="000000"/>
        </w:rPr>
      </w:pPr>
      <w:r>
        <w:rPr>
          <w:color w:val="000000"/>
        </w:rPr>
        <w:t xml:space="preserve">EU </w:t>
      </w:r>
      <w:r>
        <w:rPr>
          <w:color w:val="000000"/>
        </w:rPr>
        <w:tab/>
        <w:t xml:space="preserve">European Union </w:t>
      </w:r>
    </w:p>
    <w:p w14:paraId="7E5A6EA9" w14:textId="77777777" w:rsidR="00C46552" w:rsidRDefault="00C46552">
      <w:pPr>
        <w:spacing w:after="120"/>
        <w:ind w:left="1440" w:hanging="1440"/>
      </w:pPr>
      <w:r>
        <w:t>FAO</w:t>
      </w:r>
      <w:r>
        <w:tab/>
      </w:r>
      <w:r w:rsidR="00FF44D2">
        <w:t xml:space="preserve">United Nations </w:t>
      </w:r>
      <w:r>
        <w:t>Food and Agriculture Organization</w:t>
      </w:r>
    </w:p>
    <w:p w14:paraId="6E544386" w14:textId="77777777" w:rsidR="00C46552" w:rsidRDefault="00C46552">
      <w:pPr>
        <w:spacing w:after="120"/>
        <w:ind w:left="1440" w:hanging="1440"/>
      </w:pPr>
      <w:r>
        <w:t>FGD</w:t>
      </w:r>
      <w:r>
        <w:tab/>
        <w:t>flue gas desulphurization</w:t>
      </w:r>
    </w:p>
    <w:p w14:paraId="31AF6EE1" w14:textId="77777777" w:rsidR="00C46552" w:rsidRDefault="00C46552">
      <w:pPr>
        <w:spacing w:after="120"/>
        <w:ind w:left="1440" w:hanging="1440"/>
      </w:pPr>
      <w:r>
        <w:t>g</w:t>
      </w:r>
      <w:r>
        <w:tab/>
        <w:t>gram</w:t>
      </w:r>
    </w:p>
    <w:p w14:paraId="323D89AD" w14:textId="77777777" w:rsidR="005B41E8" w:rsidRDefault="005B41E8">
      <w:pPr>
        <w:spacing w:after="120"/>
        <w:ind w:left="1440" w:hanging="1440"/>
      </w:pPr>
      <w:r>
        <w:t>GAPF</w:t>
      </w:r>
      <w:r>
        <w:tab/>
      </w:r>
      <w:r w:rsidR="00D561B1" w:rsidRPr="00886A18">
        <w:t>Global Atmospheric Pollution Forum</w:t>
      </w:r>
    </w:p>
    <w:p w14:paraId="7DD786D0" w14:textId="77777777" w:rsidR="00C46552" w:rsidRDefault="00C46552">
      <w:pPr>
        <w:spacing w:after="120"/>
        <w:ind w:left="1440" w:hanging="1440"/>
      </w:pPr>
      <w:r>
        <w:t>Gcal</w:t>
      </w:r>
      <w:r>
        <w:tab/>
        <w:t>gigacalorie (one billion calories)</w:t>
      </w:r>
    </w:p>
    <w:p w14:paraId="505BD904" w14:textId="77777777" w:rsidR="00C46552" w:rsidRDefault="00C46552">
      <w:pPr>
        <w:spacing w:after="120"/>
        <w:ind w:left="1440" w:hanging="1440"/>
      </w:pPr>
      <w:r>
        <w:t>GCV</w:t>
      </w:r>
      <w:r>
        <w:tab/>
        <w:t>Gross calorific value (= higher heating value, HHV)</w:t>
      </w:r>
    </w:p>
    <w:p w14:paraId="6EA1473E" w14:textId="77777777" w:rsidR="00173F98" w:rsidRDefault="00173F98" w:rsidP="00173F98">
      <w:pPr>
        <w:spacing w:after="120"/>
        <w:ind w:left="1440" w:hanging="1440"/>
      </w:pPr>
      <w:r>
        <w:t>GEIA</w:t>
      </w:r>
      <w:r>
        <w:tab/>
        <w:t>Global Emissions Inventory Activity</w:t>
      </w:r>
    </w:p>
    <w:p w14:paraId="3C36F8BB" w14:textId="77777777" w:rsidR="00C46552" w:rsidRDefault="00C46552">
      <w:pPr>
        <w:spacing w:after="120"/>
        <w:ind w:left="1440" w:hanging="1440"/>
      </w:pPr>
      <w:r>
        <w:t>Gg</w:t>
      </w:r>
      <w:r>
        <w:tab/>
        <w:t>gigagram (10</w:t>
      </w:r>
      <w:r>
        <w:rPr>
          <w:vertAlign w:val="superscript"/>
        </w:rPr>
        <w:t xml:space="preserve">9 </w:t>
      </w:r>
      <w:r>
        <w:t>grams, equal to one thousand “metric tonnes” (t))</w:t>
      </w:r>
    </w:p>
    <w:p w14:paraId="23F0E44B" w14:textId="77777777" w:rsidR="00C46552" w:rsidRDefault="00C46552">
      <w:pPr>
        <w:spacing w:after="120"/>
        <w:ind w:left="1440" w:hanging="1440"/>
      </w:pPr>
      <w:r>
        <w:rPr>
          <w:color w:val="000000"/>
        </w:rPr>
        <w:t>GHG(s)</w:t>
      </w:r>
      <w:r>
        <w:t xml:space="preserve"> </w:t>
      </w:r>
      <w:r>
        <w:tab/>
        <w:t>g</w:t>
      </w:r>
      <w:r>
        <w:rPr>
          <w:color w:val="000000"/>
        </w:rPr>
        <w:t>reenhouse gas(es)</w:t>
      </w:r>
    </w:p>
    <w:p w14:paraId="6B72DA39" w14:textId="77777777" w:rsidR="00C46552" w:rsidRDefault="00C46552">
      <w:pPr>
        <w:spacing w:after="120"/>
        <w:ind w:left="1440" w:hanging="1440"/>
      </w:pPr>
      <w:r>
        <w:lastRenderedPageBreak/>
        <w:t>GIS</w:t>
      </w:r>
      <w:r>
        <w:tab/>
        <w:t>Geographical Information System</w:t>
      </w:r>
    </w:p>
    <w:p w14:paraId="302AB9C3" w14:textId="77777777" w:rsidR="00C46552" w:rsidRDefault="00C46552">
      <w:pPr>
        <w:spacing w:after="120"/>
        <w:ind w:left="1440" w:hanging="1440"/>
      </w:pPr>
      <w:r>
        <w:t>GJ</w:t>
      </w:r>
      <w:r>
        <w:tab/>
        <w:t>gigajoule (one billion Joules)</w:t>
      </w:r>
    </w:p>
    <w:p w14:paraId="72254DD2" w14:textId="77777777" w:rsidR="00C46552" w:rsidRDefault="00C46552">
      <w:pPr>
        <w:spacing w:after="120"/>
        <w:ind w:left="1440" w:hanging="1440"/>
      </w:pPr>
      <w:r>
        <w:t>GWG</w:t>
      </w:r>
      <w:r>
        <w:tab/>
      </w:r>
      <w:r>
        <w:rPr>
          <w:color w:val="000000"/>
        </w:rPr>
        <w:t>gas works gas</w:t>
      </w:r>
    </w:p>
    <w:p w14:paraId="1C276548" w14:textId="77777777" w:rsidR="00C46552" w:rsidRDefault="00C46552">
      <w:pPr>
        <w:spacing w:after="120"/>
        <w:ind w:left="1440" w:hanging="1440"/>
      </w:pPr>
      <w:r>
        <w:t>GWh</w:t>
      </w:r>
      <w:r>
        <w:tab/>
        <w:t>gigawatt-hour</w:t>
      </w:r>
      <w:r w:rsidR="008A4453">
        <w:t xml:space="preserve"> (= 3.6 TJ)</w:t>
      </w:r>
    </w:p>
    <w:p w14:paraId="2E653587" w14:textId="77777777" w:rsidR="00C46552" w:rsidRDefault="00C46552">
      <w:pPr>
        <w:spacing w:after="120"/>
        <w:ind w:left="1440" w:hanging="1440"/>
      </w:pPr>
      <w:r>
        <w:t>HFO</w:t>
      </w:r>
      <w:r>
        <w:tab/>
        <w:t>heavy fuel oil (also called residual fuel oil (RFO))</w:t>
      </w:r>
    </w:p>
    <w:p w14:paraId="7BC3429F" w14:textId="77777777" w:rsidR="00C46552" w:rsidRDefault="00C46552">
      <w:pPr>
        <w:spacing w:after="120"/>
        <w:ind w:left="1440" w:hanging="1440"/>
      </w:pPr>
      <w:r>
        <w:t>HHV</w:t>
      </w:r>
      <w:r>
        <w:tab/>
        <w:t>higher heating value (= gross calorific value, GCV)</w:t>
      </w:r>
    </w:p>
    <w:p w14:paraId="0CDFD203" w14:textId="77777777" w:rsidR="00C46552" w:rsidRDefault="00C46552">
      <w:pPr>
        <w:spacing w:after="120"/>
        <w:ind w:left="1440" w:hanging="1440"/>
      </w:pPr>
      <w:r>
        <w:t>IAM</w:t>
      </w:r>
      <w:r>
        <w:tab/>
        <w:t>Integrated Assessment Model</w:t>
      </w:r>
    </w:p>
    <w:p w14:paraId="0188877F" w14:textId="77777777" w:rsidR="00C46552" w:rsidRDefault="00C46552">
      <w:pPr>
        <w:spacing w:after="120"/>
        <w:ind w:left="1440" w:hanging="1440"/>
      </w:pPr>
      <w:r>
        <w:t>IEA</w:t>
      </w:r>
      <w:r>
        <w:tab/>
        <w:t>International Energy Agency</w:t>
      </w:r>
    </w:p>
    <w:p w14:paraId="6DC2D4C5" w14:textId="77777777" w:rsidR="00D2387D" w:rsidRDefault="00D2387D">
      <w:pPr>
        <w:spacing w:after="120"/>
        <w:ind w:left="1440" w:hanging="1440"/>
      </w:pPr>
      <w:r>
        <w:t>IISI</w:t>
      </w:r>
      <w:r>
        <w:tab/>
        <w:t>International Iron and Steel Institute</w:t>
      </w:r>
    </w:p>
    <w:p w14:paraId="66698E43" w14:textId="77777777" w:rsidR="00C46552" w:rsidRDefault="00C46552">
      <w:pPr>
        <w:spacing w:after="120"/>
        <w:ind w:left="1440" w:hanging="1440"/>
      </w:pPr>
      <w:r>
        <w:t xml:space="preserve">IPCC </w:t>
      </w:r>
      <w:r>
        <w:tab/>
        <w:t>Intergovernmental Panel on Climate Change</w:t>
      </w:r>
    </w:p>
    <w:p w14:paraId="7A83A017" w14:textId="77777777" w:rsidR="00972098" w:rsidRDefault="00972098">
      <w:pPr>
        <w:spacing w:after="120"/>
        <w:ind w:left="1440" w:hanging="1440"/>
      </w:pPr>
      <w:r>
        <w:t>ISO</w:t>
      </w:r>
      <w:r w:rsidR="00CA1E0B">
        <w:tab/>
      </w:r>
      <w:r w:rsidR="00CA1E0B" w:rsidRPr="00CA1E0B">
        <w:t>International Standards Organization</w:t>
      </w:r>
    </w:p>
    <w:p w14:paraId="26A186F2" w14:textId="77777777" w:rsidR="00C46552" w:rsidRDefault="00C46552">
      <w:pPr>
        <w:spacing w:after="120"/>
        <w:ind w:left="1440" w:hanging="1440"/>
      </w:pPr>
      <w:r>
        <w:t>IVL</w:t>
      </w:r>
      <w:r>
        <w:tab/>
        <w:t>Swedish Environmental Research Institute</w:t>
      </w:r>
    </w:p>
    <w:p w14:paraId="1DC2BDAB" w14:textId="77777777" w:rsidR="00C46552" w:rsidRDefault="00C46552">
      <w:pPr>
        <w:spacing w:after="120"/>
        <w:ind w:left="1440" w:hanging="1440"/>
      </w:pPr>
      <w:r>
        <w:t>J</w:t>
      </w:r>
      <w:r>
        <w:tab/>
        <w:t>joule</w:t>
      </w:r>
    </w:p>
    <w:p w14:paraId="52F31519" w14:textId="77777777" w:rsidR="0042763A" w:rsidRPr="00CA1E0B" w:rsidRDefault="008A2EE4">
      <w:pPr>
        <w:spacing w:after="120"/>
        <w:ind w:left="1440" w:hanging="1440"/>
      </w:pPr>
      <w:hyperlink r:id="rId18" w:tgtFrame="_new" w:history="1">
        <w:r w:rsidR="0042763A" w:rsidRPr="0074735C">
          <w:t>JRC-IES</w:t>
        </w:r>
      </w:hyperlink>
      <w:r w:rsidR="00CA1E0B">
        <w:tab/>
        <w:t>Joint Research Centre of the European Commission</w:t>
      </w:r>
      <w:r w:rsidR="00CA1E0B" w:rsidRPr="00CA1E0B">
        <w:t xml:space="preserve"> - </w:t>
      </w:r>
      <w:r w:rsidR="00CA1E0B" w:rsidRPr="00CA1E0B">
        <w:rPr>
          <w:bCs/>
        </w:rPr>
        <w:t>Institute for Environment and Sustainability</w:t>
      </w:r>
    </w:p>
    <w:p w14:paraId="527D40F7" w14:textId="77777777" w:rsidR="00C46552" w:rsidRDefault="008F667B">
      <w:pPr>
        <w:tabs>
          <w:tab w:val="left" w:pos="720"/>
          <w:tab w:val="left" w:pos="1440"/>
          <w:tab w:val="left" w:pos="3780"/>
        </w:tabs>
        <w:spacing w:after="120"/>
        <w:rPr>
          <w:lang w:val="nl-NL"/>
        </w:rPr>
      </w:pPr>
      <w:r>
        <w:rPr>
          <w:lang w:val="nl-NL"/>
        </w:rPr>
        <w:t>k</w:t>
      </w:r>
      <w:r w:rsidR="00C46552" w:rsidRPr="00CD7F07">
        <w:rPr>
          <w:lang w:val="nl-NL"/>
        </w:rPr>
        <w:t>cal</w:t>
      </w:r>
      <w:r w:rsidR="00C46552" w:rsidRPr="00CD7F07">
        <w:rPr>
          <w:lang w:val="nl-NL"/>
        </w:rPr>
        <w:tab/>
      </w:r>
      <w:r w:rsidR="00C46552" w:rsidRPr="00CD7F07">
        <w:rPr>
          <w:lang w:val="nl-NL"/>
        </w:rPr>
        <w:tab/>
        <w:t>kilocalorie</w:t>
      </w:r>
      <w:r w:rsidR="008A4453">
        <w:rPr>
          <w:lang w:val="nl-NL"/>
        </w:rPr>
        <w:t xml:space="preserve"> (=</w:t>
      </w:r>
      <w:r w:rsidR="00EB0DCD">
        <w:rPr>
          <w:lang w:val="nl-NL"/>
        </w:rPr>
        <w:t xml:space="preserve"> </w:t>
      </w:r>
      <w:r w:rsidR="008A4453">
        <w:rPr>
          <w:lang w:val="nl-NL"/>
        </w:rPr>
        <w:t>4.18 kJ)</w:t>
      </w:r>
    </w:p>
    <w:p w14:paraId="2A321840" w14:textId="77777777" w:rsidR="009E57A4" w:rsidRPr="00CD7F07" w:rsidRDefault="009E57A4">
      <w:pPr>
        <w:tabs>
          <w:tab w:val="left" w:pos="720"/>
          <w:tab w:val="left" w:pos="1440"/>
          <w:tab w:val="left" w:pos="3780"/>
        </w:tabs>
        <w:spacing w:after="120"/>
        <w:rPr>
          <w:lang w:val="nl-NL"/>
        </w:rPr>
      </w:pPr>
      <w:r>
        <w:rPr>
          <w:lang w:val="nl-NL"/>
        </w:rPr>
        <w:t>K</w:t>
      </w:r>
      <w:r>
        <w:rPr>
          <w:lang w:val="nl-NL"/>
        </w:rPr>
        <w:tab/>
      </w:r>
      <w:r>
        <w:rPr>
          <w:lang w:val="nl-NL"/>
        </w:rPr>
        <w:tab/>
        <w:t>Kelvin</w:t>
      </w:r>
    </w:p>
    <w:p w14:paraId="5ED924E4" w14:textId="77777777" w:rsidR="00C46552" w:rsidRPr="00CD7F07" w:rsidRDefault="00C46552">
      <w:pPr>
        <w:tabs>
          <w:tab w:val="left" w:pos="720"/>
          <w:tab w:val="left" w:pos="1440"/>
          <w:tab w:val="left" w:pos="3780"/>
        </w:tabs>
        <w:spacing w:after="120"/>
        <w:rPr>
          <w:lang w:val="nl-NL"/>
        </w:rPr>
      </w:pPr>
      <w:r w:rsidRPr="00CD7F07">
        <w:rPr>
          <w:lang w:val="nl-NL"/>
        </w:rPr>
        <w:t>kg</w:t>
      </w:r>
      <w:r w:rsidRPr="00CD7F07">
        <w:rPr>
          <w:lang w:val="nl-NL"/>
        </w:rPr>
        <w:tab/>
      </w:r>
      <w:r w:rsidRPr="00CD7F07">
        <w:rPr>
          <w:lang w:val="nl-NL"/>
        </w:rPr>
        <w:tab/>
        <w:t>kilogram (1000 grams)</w:t>
      </w:r>
    </w:p>
    <w:p w14:paraId="4B693045" w14:textId="77777777" w:rsidR="00C46552" w:rsidRPr="00F576DA" w:rsidRDefault="00C46552">
      <w:pPr>
        <w:tabs>
          <w:tab w:val="left" w:pos="720"/>
          <w:tab w:val="left" w:pos="1440"/>
          <w:tab w:val="left" w:pos="3780"/>
        </w:tabs>
        <w:spacing w:after="120"/>
        <w:rPr>
          <w:lang w:val="de-DE"/>
        </w:rPr>
      </w:pPr>
      <w:r w:rsidRPr="00F576DA">
        <w:rPr>
          <w:lang w:val="de-DE"/>
        </w:rPr>
        <w:t>kt</w:t>
      </w:r>
      <w:r w:rsidRPr="00F576DA">
        <w:rPr>
          <w:lang w:val="de-DE"/>
        </w:rPr>
        <w:tab/>
      </w:r>
      <w:r w:rsidRPr="00F576DA">
        <w:rPr>
          <w:lang w:val="de-DE"/>
        </w:rPr>
        <w:tab/>
        <w:t xml:space="preserve">kilotonne (1000 </w:t>
      </w:r>
      <w:r w:rsidR="00F576DA" w:rsidRPr="00F576DA">
        <w:rPr>
          <w:lang w:val="de-DE"/>
        </w:rPr>
        <w:t xml:space="preserve">metric </w:t>
      </w:r>
      <w:r w:rsidRPr="00F576DA">
        <w:rPr>
          <w:lang w:val="de-DE"/>
        </w:rPr>
        <w:t>tonnes</w:t>
      </w:r>
      <w:r w:rsidR="00F576DA" w:rsidRPr="00F576DA">
        <w:rPr>
          <w:lang w:val="de-DE"/>
        </w:rPr>
        <w:t xml:space="preserve"> (t) = 1 Gg</w:t>
      </w:r>
      <w:r w:rsidRPr="00F576DA">
        <w:rPr>
          <w:lang w:val="de-DE"/>
        </w:rPr>
        <w:t>)</w:t>
      </w:r>
    </w:p>
    <w:p w14:paraId="1D6DA10F" w14:textId="77777777" w:rsidR="00C46552" w:rsidRDefault="00C46552">
      <w:pPr>
        <w:spacing w:after="120"/>
        <w:ind w:left="1440" w:hanging="1440"/>
        <w:rPr>
          <w:color w:val="000000"/>
        </w:rPr>
      </w:pPr>
      <w:r>
        <w:t>LNB</w:t>
      </w:r>
      <w:r>
        <w:tab/>
      </w:r>
      <w:r>
        <w:rPr>
          <w:color w:val="000000"/>
        </w:rPr>
        <w:t>low NO</w:t>
      </w:r>
      <w:r>
        <w:rPr>
          <w:color w:val="000000"/>
          <w:vertAlign w:val="subscript"/>
        </w:rPr>
        <w:t>x</w:t>
      </w:r>
      <w:r>
        <w:rPr>
          <w:color w:val="000000"/>
        </w:rPr>
        <w:t xml:space="preserve"> burner</w:t>
      </w:r>
    </w:p>
    <w:p w14:paraId="11C875B3" w14:textId="77777777" w:rsidR="00C46552" w:rsidRDefault="00C46552">
      <w:pPr>
        <w:spacing w:after="120"/>
        <w:ind w:left="1440" w:hanging="1440"/>
        <w:rPr>
          <w:color w:val="000000"/>
        </w:rPr>
      </w:pPr>
      <w:r>
        <w:rPr>
          <w:color w:val="000000"/>
        </w:rPr>
        <w:t xml:space="preserve">LPG </w:t>
      </w:r>
      <w:r>
        <w:rPr>
          <w:color w:val="000000"/>
        </w:rPr>
        <w:tab/>
        <w:t>Liquefied Petroleum Gas</w:t>
      </w:r>
    </w:p>
    <w:p w14:paraId="5257FED0" w14:textId="77777777" w:rsidR="00E53139" w:rsidRDefault="00C46552">
      <w:pPr>
        <w:spacing w:after="120"/>
        <w:ind w:left="1440" w:hanging="1440"/>
      </w:pPr>
      <w:r>
        <w:t xml:space="preserve">LPS </w:t>
      </w:r>
      <w:r>
        <w:tab/>
        <w:t>large point source</w:t>
      </w:r>
    </w:p>
    <w:p w14:paraId="14D7408A" w14:textId="77777777" w:rsidR="00C46552" w:rsidRDefault="00E53139">
      <w:pPr>
        <w:spacing w:after="120"/>
        <w:ind w:left="1440" w:hanging="1440"/>
        <w:rPr>
          <w:color w:val="000000"/>
        </w:rPr>
      </w:pPr>
      <w:r>
        <w:t xml:space="preserve">LRTAP </w:t>
      </w:r>
      <w:r>
        <w:tab/>
      </w:r>
      <w:smartTag w:uri="urn:schemas-microsoft-com:office:smarttags" w:element="place">
        <w:smartTag w:uri="urn:schemas-microsoft-com:office:smarttags" w:element="PlaceName">
          <w:r>
            <w:t>Long</w:t>
          </w:r>
        </w:smartTag>
        <w:r>
          <w:t xml:space="preserve"> </w:t>
        </w:r>
        <w:smartTag w:uri="urn:schemas-microsoft-com:office:smarttags" w:element="PlaceType">
          <w:r>
            <w:t>Range</w:t>
          </w:r>
        </w:smartTag>
      </w:smartTag>
      <w:r>
        <w:t xml:space="preserve"> Transboundary Air Pollution </w:t>
      </w:r>
    </w:p>
    <w:p w14:paraId="20D3B2D8" w14:textId="77777777" w:rsidR="006F5AF0" w:rsidRPr="006F5AF0" w:rsidRDefault="00C46552" w:rsidP="006F5AF0">
      <w:pPr>
        <w:spacing w:after="120"/>
        <w:ind w:left="1440" w:hanging="1440"/>
        <w:rPr>
          <w:color w:val="000000"/>
        </w:rPr>
      </w:pPr>
      <w:r>
        <w:rPr>
          <w:color w:val="000000"/>
        </w:rPr>
        <w:t xml:space="preserve">LTO </w:t>
      </w:r>
      <w:r>
        <w:rPr>
          <w:color w:val="000000"/>
        </w:rPr>
        <w:tab/>
        <w:t>landing and take-off cycle (for aircraft)</w:t>
      </w:r>
    </w:p>
    <w:p w14:paraId="7480D199" w14:textId="77777777" w:rsidR="0026560E" w:rsidRDefault="0026560E" w:rsidP="0026560E">
      <w:pPr>
        <w:tabs>
          <w:tab w:val="left" w:pos="720"/>
          <w:tab w:val="left" w:pos="1440"/>
          <w:tab w:val="left" w:pos="3780"/>
        </w:tabs>
        <w:spacing w:after="120"/>
      </w:pPr>
      <w:r>
        <w:t>LULUCF</w:t>
      </w:r>
      <w:r>
        <w:tab/>
        <w:t>Land Use, Land-Use Change and Forestry</w:t>
      </w:r>
    </w:p>
    <w:p w14:paraId="0CF5BF37" w14:textId="77777777" w:rsidR="00C46552" w:rsidRDefault="00C46552">
      <w:pPr>
        <w:spacing w:after="120"/>
        <w:ind w:left="1440" w:hanging="1440"/>
      </w:pPr>
      <w:r>
        <w:t>Mg</w:t>
      </w:r>
      <w:r>
        <w:tab/>
        <w:t>megagram (10</w:t>
      </w:r>
      <w:r>
        <w:rPr>
          <w:vertAlign w:val="superscript"/>
        </w:rPr>
        <w:t xml:space="preserve">6 </w:t>
      </w:r>
      <w:r>
        <w:t>grams, equal to one “metric tonne” (t))</w:t>
      </w:r>
    </w:p>
    <w:p w14:paraId="4AB5525C" w14:textId="77777777" w:rsidR="0042763A" w:rsidRDefault="008A2EE4">
      <w:pPr>
        <w:spacing w:after="120"/>
        <w:ind w:left="1440" w:hanging="1440"/>
      </w:pPr>
      <w:hyperlink r:id="rId19" w:tgtFrame="_new" w:history="1">
        <w:r w:rsidR="0042763A" w:rsidRPr="0074735C">
          <w:t>MPIC-AC</w:t>
        </w:r>
      </w:hyperlink>
      <w:r w:rsidR="00756B9A" w:rsidRPr="003177E5">
        <w:rPr>
          <w:szCs w:val="24"/>
        </w:rPr>
        <w:tab/>
      </w:r>
      <w:r w:rsidR="008F667B" w:rsidRPr="003177E5">
        <w:rPr>
          <w:szCs w:val="24"/>
        </w:rPr>
        <w:t>Max-Planck-Institute for Chemistry</w:t>
      </w:r>
      <w:r w:rsidR="003177E5" w:rsidRPr="003177E5">
        <w:rPr>
          <w:szCs w:val="24"/>
        </w:rPr>
        <w:t>, Department of Atmospheric Chemistry,</w:t>
      </w:r>
      <w:r w:rsidR="008F667B" w:rsidRPr="003177E5">
        <w:rPr>
          <w:szCs w:val="24"/>
        </w:rPr>
        <w:t xml:space="preserve"> </w:t>
      </w:r>
      <w:smartTag w:uri="urn:schemas-microsoft-com:office:smarttags" w:element="country-region">
        <w:smartTag w:uri="urn:schemas-microsoft-com:office:smarttags" w:element="place">
          <w:r w:rsidR="008F667B" w:rsidRPr="003177E5">
            <w:rPr>
              <w:szCs w:val="24"/>
            </w:rPr>
            <w:t>Germany</w:t>
          </w:r>
        </w:smartTag>
      </w:smartTag>
    </w:p>
    <w:p w14:paraId="292561CC" w14:textId="77777777" w:rsidR="00C46552" w:rsidRDefault="00C46552">
      <w:pPr>
        <w:spacing w:after="120"/>
        <w:ind w:left="1440" w:hanging="1440"/>
      </w:pPr>
      <w:r>
        <w:t>MSW</w:t>
      </w:r>
      <w:r>
        <w:tab/>
        <w:t>municipal solid waste</w:t>
      </w:r>
    </w:p>
    <w:p w14:paraId="1A25A8CD" w14:textId="77777777" w:rsidR="00C46552" w:rsidRPr="00F576DA" w:rsidRDefault="00C46552">
      <w:pPr>
        <w:spacing w:after="120"/>
        <w:ind w:left="1440" w:hanging="1440"/>
        <w:rPr>
          <w:lang w:val="fr-FR"/>
        </w:rPr>
      </w:pPr>
      <w:r w:rsidRPr="00F576DA">
        <w:rPr>
          <w:lang w:val="fr-FR"/>
        </w:rPr>
        <w:t>Mt</w:t>
      </w:r>
      <w:r w:rsidRPr="00F576DA">
        <w:rPr>
          <w:lang w:val="fr-FR"/>
        </w:rPr>
        <w:tab/>
        <w:t>megatonne (10</w:t>
      </w:r>
      <w:r w:rsidR="00F576DA" w:rsidRPr="00F576DA">
        <w:rPr>
          <w:vertAlign w:val="superscript"/>
          <w:lang w:val="fr-FR"/>
        </w:rPr>
        <w:t>6</w:t>
      </w:r>
      <w:r w:rsidRPr="00F576DA">
        <w:rPr>
          <w:lang w:val="fr-FR"/>
        </w:rPr>
        <w:t xml:space="preserve"> </w:t>
      </w:r>
      <w:r w:rsidR="00F576DA" w:rsidRPr="00F576DA">
        <w:rPr>
          <w:lang w:val="fr-FR"/>
        </w:rPr>
        <w:t xml:space="preserve">metric </w:t>
      </w:r>
      <w:r w:rsidRPr="00F576DA">
        <w:rPr>
          <w:lang w:val="fr-FR"/>
        </w:rPr>
        <w:t>tonnes</w:t>
      </w:r>
      <w:r w:rsidR="00F576DA" w:rsidRPr="00F576DA">
        <w:rPr>
          <w:lang w:val="fr-FR"/>
        </w:rPr>
        <w:t xml:space="preserve"> (t) = Tg</w:t>
      </w:r>
      <w:r w:rsidRPr="00F576DA">
        <w:rPr>
          <w:lang w:val="fr-FR"/>
        </w:rPr>
        <w:t>)</w:t>
      </w:r>
    </w:p>
    <w:p w14:paraId="31C98436" w14:textId="77777777" w:rsidR="00C46552" w:rsidRPr="00F576DA" w:rsidRDefault="00C46552">
      <w:pPr>
        <w:spacing w:after="120"/>
        <w:ind w:left="1440" w:hanging="1440"/>
        <w:rPr>
          <w:lang w:val="fr-FR"/>
        </w:rPr>
      </w:pPr>
      <w:r w:rsidRPr="00F576DA">
        <w:rPr>
          <w:lang w:val="fr-FR"/>
        </w:rPr>
        <w:t>Mtoe</w:t>
      </w:r>
      <w:r w:rsidRPr="00F576DA">
        <w:rPr>
          <w:lang w:val="fr-FR"/>
        </w:rPr>
        <w:tab/>
        <w:t xml:space="preserve">megatonne </w:t>
      </w:r>
      <w:r w:rsidR="00F576DA" w:rsidRPr="00F576DA">
        <w:rPr>
          <w:lang w:val="fr-FR"/>
        </w:rPr>
        <w:t xml:space="preserve">(Tg) </w:t>
      </w:r>
      <w:r w:rsidRPr="00F576DA">
        <w:rPr>
          <w:lang w:val="fr-FR"/>
        </w:rPr>
        <w:t xml:space="preserve">oil equivalent </w:t>
      </w:r>
    </w:p>
    <w:p w14:paraId="1AE1C6E3" w14:textId="77777777" w:rsidR="00C46552" w:rsidRDefault="00C46552">
      <w:pPr>
        <w:spacing w:after="120"/>
        <w:ind w:left="1440" w:hanging="1440"/>
      </w:pPr>
      <w:r>
        <w:t>MW</w:t>
      </w:r>
      <w:r>
        <w:tab/>
        <w:t>megawatt (1000</w:t>
      </w:r>
      <w:r w:rsidR="0049333E">
        <w:t>000</w:t>
      </w:r>
      <w:r>
        <w:t xml:space="preserve"> watts)</w:t>
      </w:r>
    </w:p>
    <w:p w14:paraId="6297BFF0" w14:textId="77777777" w:rsidR="00C46552" w:rsidRDefault="00C46552">
      <w:pPr>
        <w:spacing w:after="120"/>
        <w:ind w:left="1440" w:hanging="1440"/>
      </w:pPr>
      <w:r>
        <w:t>MW</w:t>
      </w:r>
      <w:r>
        <w:rPr>
          <w:vertAlign w:val="subscript"/>
        </w:rPr>
        <w:t>e</w:t>
      </w:r>
      <w:r>
        <w:tab/>
        <w:t>megawatt (electricity)</w:t>
      </w:r>
    </w:p>
    <w:p w14:paraId="72AB5358" w14:textId="77777777" w:rsidR="00C46552" w:rsidRDefault="00C46552">
      <w:pPr>
        <w:spacing w:after="120"/>
        <w:ind w:left="1440" w:hanging="1440"/>
      </w:pPr>
      <w:r>
        <w:t>MW</w:t>
      </w:r>
      <w:r>
        <w:rPr>
          <w:vertAlign w:val="subscript"/>
        </w:rPr>
        <w:t>th</w:t>
      </w:r>
      <w:r>
        <w:tab/>
        <w:t>megawatt (thermal)</w:t>
      </w:r>
    </w:p>
    <w:p w14:paraId="31A94C28" w14:textId="77777777" w:rsidR="00C46552" w:rsidRPr="00AF7B5B" w:rsidRDefault="00C46552">
      <w:pPr>
        <w:spacing w:after="120"/>
        <w:ind w:left="1440" w:hanging="1440"/>
        <w:rPr>
          <w:lang w:val="nl-NL"/>
        </w:rPr>
      </w:pPr>
      <w:r w:rsidRPr="00AF7B5B">
        <w:rPr>
          <w:lang w:val="nl-NL"/>
        </w:rPr>
        <w:t>m</w:t>
      </w:r>
      <w:r w:rsidRPr="00AF7B5B">
        <w:rPr>
          <w:vertAlign w:val="superscript"/>
          <w:lang w:val="nl-NL"/>
        </w:rPr>
        <w:t>3</w:t>
      </w:r>
      <w:r w:rsidRPr="00AF7B5B">
        <w:rPr>
          <w:lang w:val="nl-NL"/>
        </w:rPr>
        <w:tab/>
        <w:t>cubic meter</w:t>
      </w:r>
    </w:p>
    <w:p w14:paraId="46DB77AB" w14:textId="77777777" w:rsidR="00C46552" w:rsidRPr="00AF7B5B" w:rsidRDefault="00C46552">
      <w:pPr>
        <w:spacing w:after="120"/>
        <w:ind w:left="1440" w:hanging="1440"/>
        <w:rPr>
          <w:vertAlign w:val="superscript"/>
          <w:lang w:val="nl-NL"/>
        </w:rPr>
      </w:pPr>
      <w:r w:rsidRPr="00AF7B5B">
        <w:rPr>
          <w:lang w:val="nl-NL"/>
        </w:rPr>
        <w:lastRenderedPageBreak/>
        <w:t>µm</w:t>
      </w:r>
      <w:r w:rsidRPr="00AF7B5B">
        <w:rPr>
          <w:lang w:val="nl-NL"/>
        </w:rPr>
        <w:tab/>
        <w:t>micrometer (10</w:t>
      </w:r>
      <w:r w:rsidRPr="00AF7B5B">
        <w:rPr>
          <w:vertAlign w:val="superscript"/>
          <w:lang w:val="nl-NL"/>
        </w:rPr>
        <w:t>-6</w:t>
      </w:r>
      <w:r w:rsidRPr="00AF7B5B">
        <w:rPr>
          <w:lang w:val="nl-NL"/>
        </w:rPr>
        <w:t xml:space="preserve"> meter)</w:t>
      </w:r>
    </w:p>
    <w:p w14:paraId="6C8AAC7E" w14:textId="77777777" w:rsidR="00C46552" w:rsidRDefault="00C46552">
      <w:pPr>
        <w:spacing w:after="120"/>
        <w:ind w:left="1440" w:hanging="1440"/>
      </w:pPr>
      <w:r>
        <w:t>N</w:t>
      </w:r>
      <w:r>
        <w:tab/>
        <w:t>nitrogen</w:t>
      </w:r>
    </w:p>
    <w:p w14:paraId="1F0841A8" w14:textId="77777777" w:rsidR="00C46552" w:rsidRDefault="00C46552">
      <w:pPr>
        <w:spacing w:after="120"/>
        <w:ind w:left="1440" w:hanging="1440"/>
        <w:rPr>
          <w:snapToGrid w:val="0"/>
        </w:rPr>
      </w:pPr>
      <w:r>
        <w:rPr>
          <w:snapToGrid w:val="0"/>
        </w:rPr>
        <w:t>NAPAP</w:t>
      </w:r>
      <w:r>
        <w:rPr>
          <w:snapToGrid w:val="0"/>
        </w:rPr>
        <w:tab/>
        <w:t>National Acid Precipitation Assessment Program</w:t>
      </w:r>
    </w:p>
    <w:p w14:paraId="1ACB8274" w14:textId="77777777" w:rsidR="00E53139" w:rsidRDefault="00E53139" w:rsidP="00E53139">
      <w:pPr>
        <w:spacing w:after="120"/>
        <w:ind w:left="1440" w:hanging="1440"/>
      </w:pPr>
      <w:r>
        <w:t xml:space="preserve">NAPSEA </w:t>
      </w:r>
      <w:r>
        <w:tab/>
        <w:t>nomenclature for air pollution socio-economic activity</w:t>
      </w:r>
    </w:p>
    <w:p w14:paraId="0C586D5E" w14:textId="77777777" w:rsidR="00F576DA" w:rsidRDefault="00F576DA" w:rsidP="003177E5">
      <w:pPr>
        <w:autoSpaceDE w:val="0"/>
        <w:autoSpaceDN w:val="0"/>
        <w:adjustRightInd w:val="0"/>
        <w:spacing w:after="120"/>
        <w:jc w:val="left"/>
        <w:rPr>
          <w:color w:val="000000"/>
          <w:szCs w:val="24"/>
          <w:lang w:val="en-US"/>
        </w:rPr>
      </w:pPr>
      <w:r>
        <w:t>NARSTO</w:t>
      </w:r>
      <w:r>
        <w:tab/>
      </w:r>
      <w:r w:rsidR="003177E5" w:rsidRPr="003177E5">
        <w:rPr>
          <w:color w:val="000000"/>
          <w:szCs w:val="24"/>
          <w:lang w:val="en-US"/>
        </w:rPr>
        <w:t>A North American Consortium for Atmospheric Research in Support of Air-</w:t>
      </w:r>
      <w:r w:rsidR="003177E5">
        <w:rPr>
          <w:color w:val="000000"/>
          <w:szCs w:val="24"/>
          <w:lang w:val="en-US"/>
        </w:rPr>
        <w:tab/>
      </w:r>
      <w:r w:rsidR="003177E5">
        <w:rPr>
          <w:color w:val="000000"/>
          <w:szCs w:val="24"/>
          <w:lang w:val="en-US"/>
        </w:rPr>
        <w:tab/>
      </w:r>
      <w:r w:rsidR="003177E5">
        <w:rPr>
          <w:color w:val="000000"/>
          <w:szCs w:val="24"/>
          <w:lang w:val="en-US"/>
        </w:rPr>
        <w:tab/>
      </w:r>
      <w:r w:rsidR="003177E5" w:rsidRPr="003177E5">
        <w:rPr>
          <w:color w:val="000000"/>
          <w:szCs w:val="24"/>
          <w:lang w:val="en-US"/>
        </w:rPr>
        <w:t>Quality Management</w:t>
      </w:r>
    </w:p>
    <w:p w14:paraId="37685EBB" w14:textId="77777777" w:rsidR="00C46552" w:rsidRDefault="00C46552" w:rsidP="003177E5">
      <w:pPr>
        <w:spacing w:after="120"/>
        <w:ind w:left="1440" w:hanging="1440"/>
      </w:pPr>
      <w:r>
        <w:t>NCV</w:t>
      </w:r>
      <w:r>
        <w:tab/>
        <w:t>net calorific value (= lower heating value, LHV)</w:t>
      </w:r>
    </w:p>
    <w:p w14:paraId="3A06EC86" w14:textId="77777777" w:rsidR="00C46552" w:rsidRDefault="00C46552">
      <w:pPr>
        <w:spacing w:after="120"/>
        <w:ind w:left="1440" w:hanging="1440"/>
      </w:pPr>
      <w:r>
        <w:t>NGL</w:t>
      </w:r>
      <w:r>
        <w:tab/>
        <w:t>n</w:t>
      </w:r>
      <w:r>
        <w:rPr>
          <w:color w:val="000000"/>
        </w:rPr>
        <w:t>atural gas liquids</w:t>
      </w:r>
    </w:p>
    <w:p w14:paraId="36AC9A2F" w14:textId="77777777" w:rsidR="00C46552" w:rsidRDefault="00C46552">
      <w:pPr>
        <w:spacing w:after="120"/>
        <w:ind w:left="1440" w:hanging="1440"/>
        <w:rPr>
          <w:color w:val="000000"/>
        </w:rPr>
      </w:pPr>
      <w:r>
        <w:rPr>
          <w:color w:val="000000"/>
        </w:rPr>
        <w:t>NH</w:t>
      </w:r>
      <w:r>
        <w:rPr>
          <w:color w:val="000000"/>
          <w:vertAlign w:val="subscript"/>
        </w:rPr>
        <w:t>3</w:t>
      </w:r>
      <w:r>
        <w:rPr>
          <w:color w:val="000000"/>
          <w:vertAlign w:val="subscript"/>
        </w:rPr>
        <w:tab/>
      </w:r>
      <w:r>
        <w:rPr>
          <w:color w:val="000000"/>
        </w:rPr>
        <w:t xml:space="preserve">ammonia </w:t>
      </w:r>
    </w:p>
    <w:p w14:paraId="16A3DE2F" w14:textId="77777777" w:rsidR="00C46552" w:rsidRDefault="00C46552">
      <w:pPr>
        <w:spacing w:after="120"/>
        <w:ind w:left="1440" w:hanging="1440"/>
        <w:rPr>
          <w:lang w:val="en-US"/>
        </w:rPr>
      </w:pPr>
      <w:r>
        <w:t>NIA</w:t>
      </w:r>
      <w:r>
        <w:tab/>
      </w:r>
      <w:r>
        <w:rPr>
          <w:lang w:val="en-US"/>
        </w:rPr>
        <w:t>National Implementing Agency</w:t>
      </w:r>
    </w:p>
    <w:p w14:paraId="278F7423" w14:textId="77777777" w:rsidR="00E53139" w:rsidRDefault="00E53139">
      <w:pPr>
        <w:spacing w:after="120"/>
        <w:ind w:left="1440" w:hanging="1440"/>
      </w:pPr>
      <w:r>
        <w:t>NMVOC</w:t>
      </w:r>
      <w:r>
        <w:tab/>
        <w:t>Non-Methane Volatile Organic Compound</w:t>
      </w:r>
      <w:r w:rsidR="00C90FAF">
        <w:t>s</w:t>
      </w:r>
    </w:p>
    <w:p w14:paraId="45672BFF" w14:textId="77777777" w:rsidR="00C46552" w:rsidRDefault="00C46552">
      <w:pPr>
        <w:spacing w:after="120"/>
        <w:ind w:left="1440" w:hanging="1440"/>
      </w:pPr>
      <w:r>
        <w:t>NO</w:t>
      </w:r>
      <w:r>
        <w:rPr>
          <w:vertAlign w:val="subscript"/>
        </w:rPr>
        <w:t>x</w:t>
      </w:r>
      <w:r>
        <w:tab/>
        <w:t>nitrogen oxides (NO + NO</w:t>
      </w:r>
      <w:r>
        <w:rPr>
          <w:vertAlign w:val="subscript"/>
        </w:rPr>
        <w:t>2</w:t>
      </w:r>
      <w:r>
        <w:t>)</w:t>
      </w:r>
    </w:p>
    <w:p w14:paraId="220FA1D7" w14:textId="77777777" w:rsidR="008472CC" w:rsidRDefault="008472CC">
      <w:pPr>
        <w:spacing w:line="360" w:lineRule="auto"/>
        <w:rPr>
          <w:szCs w:val="24"/>
        </w:rPr>
      </w:pPr>
      <w:r>
        <w:t>O</w:t>
      </w:r>
      <w:r w:rsidRPr="008472CC">
        <w:rPr>
          <w:vertAlign w:val="subscript"/>
        </w:rPr>
        <w:t>3</w:t>
      </w:r>
      <w:r>
        <w:rPr>
          <w:vertAlign w:val="subscript"/>
        </w:rPr>
        <w:tab/>
      </w:r>
      <w:r>
        <w:rPr>
          <w:vertAlign w:val="subscript"/>
        </w:rPr>
        <w:tab/>
      </w:r>
      <w:r w:rsidRPr="008472CC">
        <w:rPr>
          <w:szCs w:val="24"/>
        </w:rPr>
        <w:t>ozone</w:t>
      </w:r>
    </w:p>
    <w:p w14:paraId="4CC08487" w14:textId="77777777" w:rsidR="001C64A4" w:rsidRPr="008472CC" w:rsidRDefault="001C64A4">
      <w:pPr>
        <w:spacing w:line="360" w:lineRule="auto"/>
        <w:rPr>
          <w:szCs w:val="24"/>
        </w:rPr>
      </w:pPr>
      <w:r>
        <w:rPr>
          <w:szCs w:val="24"/>
        </w:rPr>
        <w:t>OC</w:t>
      </w:r>
      <w:r>
        <w:rPr>
          <w:szCs w:val="24"/>
        </w:rPr>
        <w:tab/>
      </w:r>
      <w:r>
        <w:rPr>
          <w:szCs w:val="24"/>
        </w:rPr>
        <w:tab/>
        <w:t>organic carbon</w:t>
      </w:r>
    </w:p>
    <w:p w14:paraId="10A91D91" w14:textId="77777777" w:rsidR="00C46552" w:rsidRDefault="00C46552">
      <w:pPr>
        <w:spacing w:line="360" w:lineRule="auto"/>
      </w:pPr>
      <w:r>
        <w:t>OECD</w:t>
      </w:r>
      <w:r>
        <w:tab/>
      </w:r>
      <w:r>
        <w:tab/>
      </w:r>
      <w:r>
        <w:rPr>
          <w:color w:val="000000"/>
        </w:rPr>
        <w:t>Organization for Economic Co-operation and Development</w:t>
      </w:r>
    </w:p>
    <w:p w14:paraId="42DFF414" w14:textId="77777777" w:rsidR="00C46552" w:rsidRDefault="00C46552">
      <w:pPr>
        <w:spacing w:line="360" w:lineRule="auto"/>
        <w:rPr>
          <w:color w:val="000000"/>
        </w:rPr>
      </w:pPr>
      <w:r>
        <w:t>OFA</w:t>
      </w:r>
      <w:r>
        <w:tab/>
      </w:r>
      <w:r>
        <w:tab/>
        <w:t>o</w:t>
      </w:r>
      <w:r>
        <w:rPr>
          <w:color w:val="000000"/>
        </w:rPr>
        <w:t>ver-fire air (a form of NO</w:t>
      </w:r>
      <w:r>
        <w:rPr>
          <w:color w:val="000000"/>
          <w:vertAlign w:val="subscript"/>
        </w:rPr>
        <w:t>x</w:t>
      </w:r>
      <w:r>
        <w:rPr>
          <w:color w:val="000000"/>
        </w:rPr>
        <w:t xml:space="preserve"> emission control)</w:t>
      </w:r>
    </w:p>
    <w:p w14:paraId="24A38A25" w14:textId="77777777" w:rsidR="009E57A4" w:rsidRDefault="009E57A4">
      <w:pPr>
        <w:spacing w:line="360" w:lineRule="auto"/>
      </w:pPr>
      <w:r>
        <w:rPr>
          <w:color w:val="000000"/>
        </w:rPr>
        <w:t>P</w:t>
      </w:r>
      <w:r>
        <w:rPr>
          <w:color w:val="000000"/>
        </w:rPr>
        <w:tab/>
      </w:r>
      <w:r>
        <w:rPr>
          <w:color w:val="000000"/>
        </w:rPr>
        <w:tab/>
        <w:t>Pascal</w:t>
      </w:r>
    </w:p>
    <w:p w14:paraId="30F76FFB" w14:textId="77777777" w:rsidR="00C46552" w:rsidRDefault="00C46552">
      <w:pPr>
        <w:pStyle w:val="Footer"/>
        <w:tabs>
          <w:tab w:val="clear" w:pos="4320"/>
          <w:tab w:val="clear" w:pos="8640"/>
        </w:tabs>
        <w:spacing w:line="360" w:lineRule="auto"/>
      </w:pPr>
      <w:r>
        <w:t xml:space="preserve">PM </w:t>
      </w:r>
      <w:r>
        <w:tab/>
      </w:r>
      <w:r>
        <w:tab/>
        <w:t xml:space="preserve">particulate matter </w:t>
      </w:r>
    </w:p>
    <w:p w14:paraId="1F8FAF0D" w14:textId="77777777" w:rsidR="00C46552" w:rsidRDefault="00C46552">
      <w:pPr>
        <w:spacing w:line="360" w:lineRule="auto"/>
      </w:pPr>
      <w:r>
        <w:t>PM</w:t>
      </w:r>
      <w:r>
        <w:rPr>
          <w:vertAlign w:val="subscript"/>
        </w:rPr>
        <w:t>10</w:t>
      </w:r>
      <w:r>
        <w:tab/>
      </w:r>
      <w:r>
        <w:tab/>
        <w:t>particulate matter less than</w:t>
      </w:r>
      <w:r w:rsidR="00C83288">
        <w:t xml:space="preserve"> or equal to</w:t>
      </w:r>
      <w:r>
        <w:t xml:space="preserve"> 10 micrometers in aerodynamic diameter</w:t>
      </w:r>
    </w:p>
    <w:p w14:paraId="663B4868" w14:textId="77777777" w:rsidR="00FF4C4C" w:rsidRDefault="00FF4C4C" w:rsidP="00FF4C4C">
      <w:pPr>
        <w:spacing w:line="360" w:lineRule="auto"/>
      </w:pPr>
      <w:r>
        <w:t>PM</w:t>
      </w:r>
      <w:r w:rsidRPr="00FF4C4C">
        <w:rPr>
          <w:vertAlign w:val="subscript"/>
        </w:rPr>
        <w:t>2.5</w:t>
      </w:r>
      <w:r w:rsidR="00C83288">
        <w:tab/>
      </w:r>
      <w:r w:rsidR="00C83288">
        <w:tab/>
        <w:t>particulate matter</w:t>
      </w:r>
      <w:r>
        <w:t xml:space="preserve"> less than </w:t>
      </w:r>
      <w:r w:rsidR="00C83288">
        <w:t>or equal to 2.5</w:t>
      </w:r>
      <w:r>
        <w:t xml:space="preserve"> micrometers in aerodynamic diameter</w:t>
      </w:r>
    </w:p>
    <w:p w14:paraId="0B55B0F3" w14:textId="77777777" w:rsidR="00E53139" w:rsidRDefault="008472CC">
      <w:pPr>
        <w:spacing w:after="120"/>
      </w:pPr>
      <w:r>
        <w:t>p</w:t>
      </w:r>
      <w:r w:rsidR="00E53139">
        <w:t>pm</w:t>
      </w:r>
      <w:r w:rsidR="00E53139">
        <w:tab/>
      </w:r>
      <w:r w:rsidR="00E53139">
        <w:tab/>
        <w:t>parts per million</w:t>
      </w:r>
    </w:p>
    <w:p w14:paraId="717214B8" w14:textId="77777777" w:rsidR="00412AF9" w:rsidRDefault="00412AF9">
      <w:pPr>
        <w:spacing w:after="120"/>
      </w:pPr>
      <w:r>
        <w:t>POP</w:t>
      </w:r>
      <w:r>
        <w:tab/>
      </w:r>
      <w:r>
        <w:tab/>
        <w:t>Persistent organic pollutant</w:t>
      </w:r>
    </w:p>
    <w:p w14:paraId="4091CAC2" w14:textId="77777777" w:rsidR="00C46552" w:rsidRDefault="00C46552">
      <w:pPr>
        <w:spacing w:after="120"/>
      </w:pPr>
      <w:r>
        <w:t>RAINS-A</w:t>
      </w:r>
      <w:r w:rsidR="00E54EA9">
        <w:t>sia</w:t>
      </w:r>
      <w:r>
        <w:tab/>
      </w:r>
      <w:r>
        <w:rPr>
          <w:b/>
          <w:snapToGrid w:val="0"/>
        </w:rPr>
        <w:t>R</w:t>
      </w:r>
      <w:r>
        <w:rPr>
          <w:snapToGrid w:val="0"/>
        </w:rPr>
        <w:t xml:space="preserve">egional </w:t>
      </w:r>
      <w:r>
        <w:rPr>
          <w:b/>
          <w:snapToGrid w:val="0"/>
        </w:rPr>
        <w:t>A</w:t>
      </w:r>
      <w:r>
        <w:rPr>
          <w:snapToGrid w:val="0"/>
        </w:rPr>
        <w:t xml:space="preserve">cidification </w:t>
      </w:r>
      <w:r>
        <w:rPr>
          <w:b/>
          <w:snapToGrid w:val="0"/>
        </w:rPr>
        <w:t>IN</w:t>
      </w:r>
      <w:r>
        <w:rPr>
          <w:snapToGrid w:val="0"/>
        </w:rPr>
        <w:t xml:space="preserve">formation and </w:t>
      </w:r>
      <w:r>
        <w:rPr>
          <w:b/>
          <w:snapToGrid w:val="0"/>
        </w:rPr>
        <w:t>S</w:t>
      </w:r>
      <w:r>
        <w:rPr>
          <w:snapToGrid w:val="0"/>
        </w:rPr>
        <w:t>imulation Model</w:t>
      </w:r>
      <w:r>
        <w:t xml:space="preserve"> for </w:t>
      </w:r>
      <w:smartTag w:uri="urn:schemas-microsoft-com:office:smarttags" w:element="place">
        <w:r>
          <w:t>A</w:t>
        </w:r>
        <w:r w:rsidR="00E54EA9">
          <w:t>sia</w:t>
        </w:r>
      </w:smartTag>
      <w:r>
        <w:t xml:space="preserve"> </w:t>
      </w:r>
    </w:p>
    <w:p w14:paraId="341C4E51" w14:textId="77777777" w:rsidR="00C46552" w:rsidRDefault="00C46552">
      <w:pPr>
        <w:spacing w:after="120"/>
      </w:pPr>
      <w:r>
        <w:rPr>
          <w:lang w:val="en-US"/>
        </w:rPr>
        <w:t>RAPIDC</w:t>
      </w:r>
      <w:r>
        <w:rPr>
          <w:lang w:val="en-US"/>
        </w:rPr>
        <w:tab/>
        <w:t>Regional Air Pollution in Developing Countries</w:t>
      </w:r>
    </w:p>
    <w:p w14:paraId="3CF54B19" w14:textId="77777777" w:rsidR="00C46552" w:rsidRDefault="00C46552">
      <w:pPr>
        <w:spacing w:after="120"/>
        <w:rPr>
          <w:color w:val="000000"/>
        </w:rPr>
      </w:pPr>
      <w:r>
        <w:t>RFO</w:t>
      </w:r>
      <w:r>
        <w:tab/>
      </w:r>
      <w:r>
        <w:tab/>
      </w:r>
      <w:r>
        <w:rPr>
          <w:color w:val="000000"/>
        </w:rPr>
        <w:t>residual fuel oil (also called ‘Heavy Fuel Oil’)</w:t>
      </w:r>
    </w:p>
    <w:p w14:paraId="294ED779" w14:textId="77777777" w:rsidR="0042763A" w:rsidRDefault="008A2EE4" w:rsidP="00D561B1">
      <w:pPr>
        <w:spacing w:after="120"/>
        <w:ind w:left="1440" w:hanging="1440"/>
        <w:jc w:val="left"/>
      </w:pPr>
      <w:hyperlink r:id="rId20" w:history="1">
        <w:r w:rsidR="0042763A" w:rsidRPr="0074735C">
          <w:t>RIVM-MNP</w:t>
        </w:r>
      </w:hyperlink>
      <w:r w:rsidR="0042763A">
        <w:tab/>
      </w:r>
      <w:r w:rsidR="00D561B1">
        <w:t xml:space="preserve">National Institute for Public Health and the Environment - </w:t>
      </w:r>
      <w:smartTag w:uri="urn:schemas-microsoft-com:office:smarttags" w:element="country-region">
        <w:smartTag w:uri="urn:schemas-microsoft-com:office:smarttags" w:element="place">
          <w:r w:rsidR="00D561B1">
            <w:t>Netherlands</w:t>
          </w:r>
        </w:smartTag>
      </w:smartTag>
      <w:r w:rsidR="00D561B1">
        <w:t xml:space="preserve"> Environmental Assessment Agency</w:t>
      </w:r>
    </w:p>
    <w:p w14:paraId="50AD0B2E" w14:textId="77777777" w:rsidR="00C46552" w:rsidRDefault="00C46552">
      <w:pPr>
        <w:spacing w:after="120"/>
        <w:ind w:left="1440" w:hanging="1440"/>
      </w:pPr>
      <w:r>
        <w:t>S</w:t>
      </w:r>
      <w:r>
        <w:tab/>
        <w:t>sulphur</w:t>
      </w:r>
    </w:p>
    <w:p w14:paraId="1992D5D4" w14:textId="77777777" w:rsidR="00FF4C4C" w:rsidRDefault="00FF4C4C">
      <w:pPr>
        <w:spacing w:after="120"/>
        <w:ind w:left="1440" w:hanging="1440"/>
      </w:pPr>
      <w:r>
        <w:t>SAFARI</w:t>
      </w:r>
      <w:r>
        <w:tab/>
        <w:t>Southern African Regional Science Initiative</w:t>
      </w:r>
    </w:p>
    <w:p w14:paraId="3121F1FF" w14:textId="77777777" w:rsidR="0010490A" w:rsidRDefault="0010490A">
      <w:pPr>
        <w:spacing w:after="120"/>
        <w:ind w:left="1440" w:hanging="1440"/>
      </w:pPr>
      <w:r>
        <w:t>SADC</w:t>
      </w:r>
      <w:r>
        <w:tab/>
      </w:r>
      <w:smartTag w:uri="urn:schemas-microsoft-com:office:smarttags" w:element="place">
        <w:r>
          <w:t>Southern Africa</w:t>
        </w:r>
      </w:smartTag>
      <w:r>
        <w:t xml:space="preserve"> Development Community</w:t>
      </w:r>
    </w:p>
    <w:p w14:paraId="7E4D7E27" w14:textId="77777777" w:rsidR="00173F98" w:rsidRDefault="00173F98">
      <w:pPr>
        <w:spacing w:after="120"/>
        <w:ind w:left="1440" w:hanging="1440"/>
        <w:rPr>
          <w:rStyle w:val="TableText"/>
          <w:rFonts w:ascii="Times New Roman" w:hAnsi="Times New Roman"/>
          <w:sz w:val="24"/>
        </w:rPr>
      </w:pPr>
      <w:r>
        <w:rPr>
          <w:rStyle w:val="TableText"/>
          <w:rFonts w:ascii="Times New Roman" w:hAnsi="Times New Roman"/>
          <w:sz w:val="24"/>
        </w:rPr>
        <w:t>SCC</w:t>
      </w:r>
      <w:r>
        <w:rPr>
          <w:rStyle w:val="TableText"/>
          <w:rFonts w:ascii="Times New Roman" w:hAnsi="Times New Roman"/>
          <w:sz w:val="24"/>
        </w:rPr>
        <w:tab/>
        <w:t xml:space="preserve">Source classification code </w:t>
      </w:r>
    </w:p>
    <w:p w14:paraId="7DED990C" w14:textId="77777777" w:rsidR="008472CC" w:rsidRDefault="008472CC">
      <w:pPr>
        <w:spacing w:after="120"/>
        <w:ind w:left="1440" w:hanging="1440"/>
        <w:rPr>
          <w:rStyle w:val="TableText"/>
          <w:rFonts w:ascii="Times New Roman" w:hAnsi="Times New Roman"/>
          <w:sz w:val="24"/>
        </w:rPr>
      </w:pPr>
      <w:r>
        <w:rPr>
          <w:rStyle w:val="TableText"/>
          <w:rFonts w:ascii="Times New Roman" w:hAnsi="Times New Roman"/>
          <w:sz w:val="24"/>
        </w:rPr>
        <w:t>SCR</w:t>
      </w:r>
      <w:r>
        <w:rPr>
          <w:rStyle w:val="TableText"/>
          <w:rFonts w:ascii="Times New Roman" w:hAnsi="Times New Roman"/>
          <w:sz w:val="24"/>
        </w:rPr>
        <w:tab/>
      </w:r>
      <w:r w:rsidRPr="008472CC">
        <w:rPr>
          <w:snapToGrid w:val="0"/>
          <w:szCs w:val="24"/>
        </w:rPr>
        <w:t>Selective Catalytic Reduction</w:t>
      </w:r>
    </w:p>
    <w:p w14:paraId="1F155D5E" w14:textId="77777777" w:rsidR="00C46552" w:rsidRDefault="00C46552">
      <w:pPr>
        <w:spacing w:after="120"/>
        <w:ind w:left="1440" w:hanging="1440"/>
      </w:pPr>
      <w:r>
        <w:t>SEI</w:t>
      </w:r>
      <w:r>
        <w:tab/>
      </w:r>
      <w:r>
        <w:rPr>
          <w:color w:val="000000"/>
        </w:rPr>
        <w:t>Stockholm Environment Institute</w:t>
      </w:r>
    </w:p>
    <w:p w14:paraId="11ABAA4E" w14:textId="77777777" w:rsidR="00C46552" w:rsidRDefault="00C46552">
      <w:pPr>
        <w:spacing w:after="120"/>
        <w:ind w:left="1440" w:hanging="1440"/>
      </w:pPr>
      <w:r>
        <w:t>Sida</w:t>
      </w:r>
      <w:r>
        <w:tab/>
        <w:t>Swedish International Development Agency</w:t>
      </w:r>
    </w:p>
    <w:p w14:paraId="01B12CEF" w14:textId="77777777" w:rsidR="00C46552" w:rsidRDefault="00C46552">
      <w:pPr>
        <w:spacing w:before="100" w:after="100"/>
        <w:ind w:left="1440" w:hanging="1440"/>
        <w:jc w:val="left"/>
        <w:rPr>
          <w:rFonts w:eastAsia="Arial Unicode MS"/>
        </w:rPr>
      </w:pPr>
      <w:r>
        <w:lastRenderedPageBreak/>
        <w:t>Sm</w:t>
      </w:r>
      <w:r>
        <w:rPr>
          <w:vertAlign w:val="superscript"/>
        </w:rPr>
        <w:t>3</w:t>
      </w:r>
      <w:r>
        <w:rPr>
          <w:vertAlign w:val="superscript"/>
        </w:rPr>
        <w:tab/>
      </w:r>
      <w:r>
        <w:t>Standard cubic metre (one standard cubic metre of gas is that amount of gas which occupies 1 m</w:t>
      </w:r>
      <w:r>
        <w:rPr>
          <w:vertAlign w:val="superscript"/>
        </w:rPr>
        <w:t>3</w:t>
      </w:r>
      <w:r>
        <w:t xml:space="preserve"> at Standard Temperature and Pressure (0 °C and 1 atm (1.01325 × 10</w:t>
      </w:r>
      <w:r>
        <w:rPr>
          <w:vertAlign w:val="superscript"/>
        </w:rPr>
        <w:t>5</w:t>
      </w:r>
      <w:r>
        <w:t xml:space="preserve"> Pa) pressure).</w:t>
      </w:r>
    </w:p>
    <w:p w14:paraId="051581F4" w14:textId="77777777" w:rsidR="00C46552" w:rsidRDefault="00C46552">
      <w:pPr>
        <w:spacing w:after="120"/>
        <w:ind w:left="1440" w:hanging="1440"/>
      </w:pPr>
      <w:r>
        <w:t>SNAP</w:t>
      </w:r>
      <w:r>
        <w:tab/>
        <w:t>selected nomenclature for air pollution</w:t>
      </w:r>
    </w:p>
    <w:p w14:paraId="252718CE" w14:textId="77777777" w:rsidR="00C46552" w:rsidRDefault="00C46552">
      <w:pPr>
        <w:spacing w:after="120"/>
        <w:ind w:left="1440" w:hanging="1440"/>
      </w:pPr>
      <w:r>
        <w:rPr>
          <w:color w:val="000000"/>
        </w:rPr>
        <w:t>SO</w:t>
      </w:r>
      <w:r>
        <w:rPr>
          <w:color w:val="000000"/>
          <w:vertAlign w:val="subscript"/>
        </w:rPr>
        <w:t>2</w:t>
      </w:r>
      <w:r>
        <w:rPr>
          <w:color w:val="000000"/>
          <w:vertAlign w:val="subscript"/>
        </w:rPr>
        <w:tab/>
      </w:r>
      <w:r>
        <w:rPr>
          <w:color w:val="000000"/>
        </w:rPr>
        <w:t>sulphur dioxide</w:t>
      </w:r>
    </w:p>
    <w:p w14:paraId="67EF52EB" w14:textId="77777777" w:rsidR="00C46552" w:rsidRDefault="00C46552">
      <w:pPr>
        <w:spacing w:after="120"/>
        <w:ind w:left="1440" w:hanging="1440"/>
      </w:pPr>
      <w:r>
        <w:t>SO</w:t>
      </w:r>
      <w:r>
        <w:rPr>
          <w:vertAlign w:val="subscript"/>
        </w:rPr>
        <w:t>x</w:t>
      </w:r>
      <w:r>
        <w:tab/>
        <w:t>sulphur oxides</w:t>
      </w:r>
    </w:p>
    <w:p w14:paraId="634CE5E3" w14:textId="77777777" w:rsidR="00C46552" w:rsidRPr="00591B0F" w:rsidRDefault="00C46552">
      <w:pPr>
        <w:spacing w:after="120"/>
        <w:ind w:left="1440" w:hanging="1440"/>
        <w:rPr>
          <w:lang w:val="de-DE"/>
        </w:rPr>
      </w:pPr>
      <w:r w:rsidRPr="00591B0F">
        <w:rPr>
          <w:lang w:val="de-DE"/>
        </w:rPr>
        <w:t>t</w:t>
      </w:r>
      <w:r w:rsidRPr="00591B0F">
        <w:rPr>
          <w:lang w:val="de-DE"/>
        </w:rPr>
        <w:tab/>
        <w:t>tonne (metric tonne = 1000 kg = 10</w:t>
      </w:r>
      <w:r w:rsidRPr="00591B0F">
        <w:rPr>
          <w:vertAlign w:val="superscript"/>
          <w:lang w:val="de-DE"/>
        </w:rPr>
        <w:t>6</w:t>
      </w:r>
      <w:r w:rsidRPr="00591B0F">
        <w:rPr>
          <w:lang w:val="de-DE"/>
        </w:rPr>
        <w:t xml:space="preserve"> g))</w:t>
      </w:r>
    </w:p>
    <w:p w14:paraId="181C15D3" w14:textId="77777777" w:rsidR="0042763A" w:rsidRPr="00D561B1" w:rsidRDefault="008A2EE4">
      <w:pPr>
        <w:spacing w:after="120"/>
        <w:ind w:left="1440" w:hanging="1440"/>
        <w:rPr>
          <w:szCs w:val="24"/>
        </w:rPr>
      </w:pPr>
      <w:hyperlink r:id="rId21" w:tgtFrame="_new" w:history="1">
        <w:r w:rsidR="0042763A" w:rsidRPr="0074735C">
          <w:t>TNO-MEP</w:t>
        </w:r>
      </w:hyperlink>
      <w:r w:rsidR="00D561B1">
        <w:tab/>
      </w:r>
      <w:r w:rsidR="00D561B1" w:rsidRPr="00D561B1">
        <w:rPr>
          <w:szCs w:val="24"/>
        </w:rPr>
        <w:t>TNO Environment, Energy and Process Innovation</w:t>
      </w:r>
    </w:p>
    <w:p w14:paraId="087E09C3" w14:textId="77777777" w:rsidR="00C46552" w:rsidRDefault="00C46552" w:rsidP="00CA730C">
      <w:pPr>
        <w:spacing w:after="120"/>
        <w:ind w:left="1440" w:hanging="1440"/>
        <w:jc w:val="left"/>
      </w:pPr>
      <w:r>
        <w:t>toe</w:t>
      </w:r>
      <w:r>
        <w:tab/>
        <w:t>tonne of oil equivalent (an amount of fuel equal in energy content to one tonne of oil = 10</w:t>
      </w:r>
      <w:r>
        <w:rPr>
          <w:vertAlign w:val="superscript"/>
        </w:rPr>
        <w:t>7</w:t>
      </w:r>
      <w:r>
        <w:t xml:space="preserve"> kcal)</w:t>
      </w:r>
    </w:p>
    <w:p w14:paraId="6649239A" w14:textId="77777777" w:rsidR="00C46552" w:rsidRDefault="00C46552" w:rsidP="00CA730C">
      <w:pPr>
        <w:spacing w:after="120"/>
        <w:ind w:left="1440" w:hanging="1440"/>
        <w:jc w:val="left"/>
      </w:pPr>
      <w:r>
        <w:t>TSP</w:t>
      </w:r>
      <w:r>
        <w:tab/>
        <w:t>total suspended particulate matter (particles up to about 45 micrometers in aerodynamic diameter)</w:t>
      </w:r>
    </w:p>
    <w:p w14:paraId="1EE7B9C4" w14:textId="77777777" w:rsidR="00173F98" w:rsidRDefault="00173F98" w:rsidP="00CA730C">
      <w:pPr>
        <w:spacing w:after="120"/>
        <w:ind w:left="1440" w:hanging="1440"/>
        <w:jc w:val="left"/>
      </w:pPr>
      <w:r>
        <w:t>TTN CHIEF</w:t>
      </w:r>
      <w:r>
        <w:tab/>
      </w:r>
      <w:r>
        <w:rPr>
          <w:snapToGrid w:val="0"/>
        </w:rPr>
        <w:t>T</w:t>
      </w:r>
      <w:r>
        <w:t>echnology Transfer Network Clearinghouse for Inventories &amp; Emissions Factors</w:t>
      </w:r>
    </w:p>
    <w:p w14:paraId="3ACE607B" w14:textId="77777777" w:rsidR="00173F98" w:rsidRDefault="00173F98">
      <w:pPr>
        <w:spacing w:after="120"/>
        <w:ind w:left="1440" w:hanging="1440"/>
      </w:pPr>
      <w:r>
        <w:t>UNECE</w:t>
      </w:r>
      <w:r>
        <w:tab/>
        <w:t xml:space="preserve">United Nation Economic Commission for </w:t>
      </w:r>
      <w:smartTag w:uri="urn:schemas-microsoft-com:office:smarttags" w:element="place">
        <w:r>
          <w:t>Europe</w:t>
        </w:r>
      </w:smartTag>
      <w:r>
        <w:t xml:space="preserve"> </w:t>
      </w:r>
    </w:p>
    <w:p w14:paraId="1A582514" w14:textId="77777777" w:rsidR="00C46552" w:rsidRDefault="00C46552">
      <w:pPr>
        <w:spacing w:after="120"/>
        <w:ind w:left="1440" w:hanging="1440"/>
      </w:pPr>
      <w:r>
        <w:t>UNEP</w:t>
      </w:r>
      <w:r>
        <w:tab/>
        <w:t>United Nations Environment Programme</w:t>
      </w:r>
    </w:p>
    <w:p w14:paraId="4293344D" w14:textId="77777777" w:rsidR="00C46552" w:rsidRDefault="00C46552">
      <w:pPr>
        <w:spacing w:after="120"/>
        <w:rPr>
          <w:color w:val="000000"/>
        </w:rPr>
      </w:pPr>
      <w:r>
        <w:rPr>
          <w:color w:val="000000"/>
        </w:rPr>
        <w:t>UNFCCC</w:t>
      </w:r>
      <w:r>
        <w:rPr>
          <w:b/>
          <w:sz w:val="28"/>
        </w:rPr>
        <w:t xml:space="preserve"> </w:t>
      </w:r>
      <w:r>
        <w:rPr>
          <w:b/>
          <w:sz w:val="28"/>
        </w:rPr>
        <w:tab/>
      </w:r>
      <w:r>
        <w:rPr>
          <w:color w:val="000000"/>
        </w:rPr>
        <w:t xml:space="preserve">United Nations Framework Convention on Climate Change </w:t>
      </w:r>
    </w:p>
    <w:p w14:paraId="244A451E" w14:textId="77777777" w:rsidR="00C46552" w:rsidRDefault="00C46552">
      <w:pPr>
        <w:spacing w:after="120"/>
        <w:rPr>
          <w:color w:val="000000"/>
        </w:rPr>
      </w:pPr>
      <w:r>
        <w:rPr>
          <w:color w:val="000000"/>
        </w:rPr>
        <w:t>USEPA</w:t>
      </w:r>
      <w:r>
        <w:rPr>
          <w:color w:val="000000"/>
        </w:rPr>
        <w:tab/>
        <w:t>United States Environmental Protection Agency</w:t>
      </w:r>
    </w:p>
    <w:p w14:paraId="504A4CE4" w14:textId="77777777" w:rsidR="00D2387D" w:rsidRDefault="00D2387D">
      <w:pPr>
        <w:spacing w:after="120"/>
        <w:rPr>
          <w:color w:val="000000"/>
        </w:rPr>
      </w:pPr>
      <w:r>
        <w:t>USGS</w:t>
      </w:r>
      <w:r>
        <w:tab/>
      </w:r>
      <w:r>
        <w:tab/>
      </w:r>
      <w:r>
        <w:rPr>
          <w:color w:val="000000"/>
        </w:rPr>
        <w:t>United States Geological Survey</w:t>
      </w:r>
    </w:p>
    <w:p w14:paraId="4D749B1F" w14:textId="77777777" w:rsidR="00E53139" w:rsidRDefault="00E53139">
      <w:pPr>
        <w:spacing w:after="120"/>
      </w:pPr>
      <w:r>
        <w:rPr>
          <w:color w:val="000000"/>
        </w:rPr>
        <w:t>VOC</w:t>
      </w:r>
      <w:r>
        <w:rPr>
          <w:color w:val="000000"/>
        </w:rPr>
        <w:tab/>
      </w:r>
      <w:r>
        <w:rPr>
          <w:color w:val="000000"/>
        </w:rPr>
        <w:tab/>
        <w:t>V</w:t>
      </w:r>
      <w:r>
        <w:t>olatile Organic Compounds</w:t>
      </w:r>
    </w:p>
    <w:p w14:paraId="0D6FDB5E" w14:textId="77777777" w:rsidR="00B90079" w:rsidRDefault="00B90079">
      <w:pPr>
        <w:spacing w:after="120"/>
      </w:pPr>
      <w:r>
        <w:t>QA/QC</w:t>
      </w:r>
      <w:r>
        <w:tab/>
        <w:t>Quality Assurance/Quality Control</w:t>
      </w:r>
    </w:p>
    <w:p w14:paraId="173F563B" w14:textId="77777777" w:rsidR="00C46552" w:rsidRDefault="00C46552">
      <w:pPr>
        <w:spacing w:after="120"/>
      </w:pPr>
    </w:p>
    <w:p w14:paraId="73DBC7EF" w14:textId="77777777" w:rsidR="00C46552" w:rsidRDefault="00591B0F">
      <w:pPr>
        <w:rPr>
          <w:b/>
          <w:sz w:val="16"/>
        </w:rPr>
      </w:pPr>
      <w:r>
        <w:br w:type="page"/>
      </w:r>
    </w:p>
    <w:p w14:paraId="519205FF" w14:textId="77777777" w:rsidR="00C46552" w:rsidRDefault="00C46552" w:rsidP="008D335F">
      <w:pPr>
        <w:pStyle w:val="Heading1"/>
        <w:numPr>
          <w:ilvl w:val="0"/>
          <w:numId w:val="0"/>
        </w:numPr>
      </w:pPr>
      <w:bookmarkStart w:id="32" w:name="_Toc10122648"/>
      <w:r>
        <w:lastRenderedPageBreak/>
        <w:t>Units and Conversions</w:t>
      </w:r>
      <w:bookmarkEnd w:id="32"/>
    </w:p>
    <w:p w14:paraId="69FCF04F" w14:textId="77777777" w:rsidR="00C46552" w:rsidRDefault="00C46552"/>
    <w:p w14:paraId="279BFD63" w14:textId="77777777" w:rsidR="00C46552" w:rsidRDefault="00C46552">
      <w:pPr>
        <w:pStyle w:val="BodyText"/>
        <w:jc w:val="left"/>
        <w:rPr>
          <w:smallCaps w:val="0"/>
          <w:color w:val="000000"/>
          <w:sz w:val="28"/>
          <w:u w:val="none"/>
        </w:rPr>
      </w:pPr>
      <w:r>
        <w:rPr>
          <w:smallCaps w:val="0"/>
          <w:color w:val="000000"/>
          <w:sz w:val="28"/>
          <w:u w:val="none"/>
        </w:rPr>
        <w:t>Units</w:t>
      </w:r>
    </w:p>
    <w:p w14:paraId="26548E04" w14:textId="77777777" w:rsidR="00C46552" w:rsidRDefault="00C46552"/>
    <w:p w14:paraId="14D8FB22" w14:textId="77777777" w:rsidR="00C46552" w:rsidRDefault="00C46552">
      <w:r>
        <w:t xml:space="preserve">The SI system of units is generally used for emission inventories in order to ensure international compatibility. The basic unit of weight is the gram (g) and the basic unit of energy is the joule (J). Units of greater magnitude can be denoted by attaching the appropriate multiple prefix. </w:t>
      </w:r>
    </w:p>
    <w:p w14:paraId="63270C5C" w14:textId="77777777" w:rsidR="00C46552" w:rsidRDefault="00C46552"/>
    <w:tbl>
      <w:tblPr>
        <w:tblW w:w="0" w:type="auto"/>
        <w:tblInd w:w="20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1276"/>
        <w:gridCol w:w="1701"/>
      </w:tblGrid>
      <w:tr w:rsidR="00C46552" w14:paraId="759A1DFD" w14:textId="77777777">
        <w:tc>
          <w:tcPr>
            <w:tcW w:w="2126" w:type="dxa"/>
            <w:tcBorders>
              <w:top w:val="single" w:sz="4" w:space="0" w:color="auto"/>
              <w:bottom w:val="single" w:sz="4" w:space="0" w:color="auto"/>
            </w:tcBorders>
          </w:tcPr>
          <w:p w14:paraId="6C120A6C" w14:textId="77777777" w:rsidR="00C46552" w:rsidRDefault="00C46552">
            <w:pPr>
              <w:jc w:val="center"/>
              <w:rPr>
                <w:b/>
                <w:i/>
              </w:rPr>
            </w:pPr>
            <w:r>
              <w:rPr>
                <w:b/>
                <w:i/>
              </w:rPr>
              <w:t>Symbol</w:t>
            </w:r>
          </w:p>
        </w:tc>
        <w:tc>
          <w:tcPr>
            <w:tcW w:w="1276" w:type="dxa"/>
            <w:tcBorders>
              <w:top w:val="single" w:sz="4" w:space="0" w:color="auto"/>
              <w:bottom w:val="single" w:sz="4" w:space="0" w:color="auto"/>
            </w:tcBorders>
          </w:tcPr>
          <w:p w14:paraId="0B26CBBF" w14:textId="77777777" w:rsidR="00C46552" w:rsidRDefault="00C46552">
            <w:pPr>
              <w:rPr>
                <w:b/>
                <w:i/>
              </w:rPr>
            </w:pPr>
            <w:r>
              <w:rPr>
                <w:b/>
                <w:i/>
              </w:rPr>
              <w:t>Prefix</w:t>
            </w:r>
          </w:p>
        </w:tc>
        <w:tc>
          <w:tcPr>
            <w:tcW w:w="1701" w:type="dxa"/>
            <w:tcBorders>
              <w:top w:val="single" w:sz="4" w:space="0" w:color="auto"/>
              <w:bottom w:val="single" w:sz="4" w:space="0" w:color="auto"/>
            </w:tcBorders>
          </w:tcPr>
          <w:p w14:paraId="6A631143" w14:textId="77777777" w:rsidR="00C46552" w:rsidRDefault="00C46552">
            <w:pPr>
              <w:jc w:val="center"/>
              <w:rPr>
                <w:b/>
                <w:i/>
              </w:rPr>
            </w:pPr>
            <w:r>
              <w:rPr>
                <w:b/>
                <w:i/>
              </w:rPr>
              <w:t>Multiple</w:t>
            </w:r>
          </w:p>
        </w:tc>
      </w:tr>
      <w:tr w:rsidR="00C46552" w14:paraId="087C1D3F" w14:textId="77777777">
        <w:tc>
          <w:tcPr>
            <w:tcW w:w="2126" w:type="dxa"/>
            <w:tcBorders>
              <w:top w:val="nil"/>
            </w:tcBorders>
          </w:tcPr>
          <w:p w14:paraId="347D6D45" w14:textId="77777777" w:rsidR="00C46552" w:rsidRDefault="00C46552">
            <w:pPr>
              <w:jc w:val="center"/>
            </w:pPr>
            <w:r>
              <w:t>P</w:t>
            </w:r>
          </w:p>
        </w:tc>
        <w:tc>
          <w:tcPr>
            <w:tcW w:w="1276" w:type="dxa"/>
            <w:tcBorders>
              <w:top w:val="nil"/>
            </w:tcBorders>
          </w:tcPr>
          <w:p w14:paraId="4AD5BB5E" w14:textId="77777777" w:rsidR="00C46552" w:rsidRDefault="00C46552">
            <w:r>
              <w:t>peta</w:t>
            </w:r>
          </w:p>
        </w:tc>
        <w:tc>
          <w:tcPr>
            <w:tcW w:w="1701" w:type="dxa"/>
            <w:tcBorders>
              <w:top w:val="nil"/>
            </w:tcBorders>
          </w:tcPr>
          <w:p w14:paraId="0481F40C" w14:textId="77777777" w:rsidR="00C46552" w:rsidRDefault="00C46552">
            <w:pPr>
              <w:jc w:val="center"/>
            </w:pPr>
            <w:r>
              <w:t>10</w:t>
            </w:r>
            <w:r>
              <w:rPr>
                <w:vertAlign w:val="superscript"/>
              </w:rPr>
              <w:t>15</w:t>
            </w:r>
          </w:p>
        </w:tc>
      </w:tr>
      <w:tr w:rsidR="00C46552" w14:paraId="2E8EA1F0" w14:textId="77777777">
        <w:tc>
          <w:tcPr>
            <w:tcW w:w="2126" w:type="dxa"/>
          </w:tcPr>
          <w:p w14:paraId="1C7AA5CC" w14:textId="77777777" w:rsidR="00C46552" w:rsidRDefault="00C46552">
            <w:pPr>
              <w:jc w:val="center"/>
            </w:pPr>
            <w:r>
              <w:t>T</w:t>
            </w:r>
          </w:p>
        </w:tc>
        <w:tc>
          <w:tcPr>
            <w:tcW w:w="1276" w:type="dxa"/>
          </w:tcPr>
          <w:p w14:paraId="28374785" w14:textId="77777777" w:rsidR="00C46552" w:rsidRDefault="00C46552">
            <w:r>
              <w:t>tera</w:t>
            </w:r>
          </w:p>
        </w:tc>
        <w:tc>
          <w:tcPr>
            <w:tcW w:w="1701" w:type="dxa"/>
          </w:tcPr>
          <w:p w14:paraId="6BBF8CEF" w14:textId="77777777" w:rsidR="00C46552" w:rsidRDefault="00C46552">
            <w:pPr>
              <w:jc w:val="center"/>
            </w:pPr>
            <w:r>
              <w:t>10</w:t>
            </w:r>
            <w:r>
              <w:rPr>
                <w:vertAlign w:val="superscript"/>
              </w:rPr>
              <w:t>12</w:t>
            </w:r>
          </w:p>
        </w:tc>
      </w:tr>
      <w:tr w:rsidR="00C46552" w14:paraId="051D3002" w14:textId="77777777">
        <w:tc>
          <w:tcPr>
            <w:tcW w:w="2126" w:type="dxa"/>
          </w:tcPr>
          <w:p w14:paraId="30E74A6E" w14:textId="77777777" w:rsidR="00C46552" w:rsidRDefault="00C46552">
            <w:pPr>
              <w:jc w:val="center"/>
            </w:pPr>
            <w:r>
              <w:t>G</w:t>
            </w:r>
          </w:p>
        </w:tc>
        <w:tc>
          <w:tcPr>
            <w:tcW w:w="1276" w:type="dxa"/>
          </w:tcPr>
          <w:p w14:paraId="341F3A6C" w14:textId="77777777" w:rsidR="00C46552" w:rsidRDefault="00C46552">
            <w:r>
              <w:t>giga</w:t>
            </w:r>
          </w:p>
        </w:tc>
        <w:tc>
          <w:tcPr>
            <w:tcW w:w="1701" w:type="dxa"/>
          </w:tcPr>
          <w:p w14:paraId="2D11209F" w14:textId="77777777" w:rsidR="00C46552" w:rsidRDefault="00C46552">
            <w:pPr>
              <w:jc w:val="center"/>
            </w:pPr>
            <w:r>
              <w:t>10</w:t>
            </w:r>
            <w:r>
              <w:rPr>
                <w:vertAlign w:val="superscript"/>
              </w:rPr>
              <w:t>9</w:t>
            </w:r>
          </w:p>
        </w:tc>
      </w:tr>
      <w:tr w:rsidR="00C46552" w14:paraId="4D8D50AC" w14:textId="77777777">
        <w:tc>
          <w:tcPr>
            <w:tcW w:w="2126" w:type="dxa"/>
          </w:tcPr>
          <w:p w14:paraId="4BC771B3" w14:textId="77777777" w:rsidR="00C46552" w:rsidRDefault="00C46552">
            <w:pPr>
              <w:jc w:val="center"/>
            </w:pPr>
            <w:r>
              <w:t>M</w:t>
            </w:r>
          </w:p>
        </w:tc>
        <w:tc>
          <w:tcPr>
            <w:tcW w:w="1276" w:type="dxa"/>
          </w:tcPr>
          <w:p w14:paraId="3D61C9FA" w14:textId="77777777" w:rsidR="00C46552" w:rsidRDefault="00C46552">
            <w:r>
              <w:t>mega</w:t>
            </w:r>
          </w:p>
        </w:tc>
        <w:tc>
          <w:tcPr>
            <w:tcW w:w="1701" w:type="dxa"/>
          </w:tcPr>
          <w:p w14:paraId="6B8E4F83" w14:textId="77777777" w:rsidR="00C46552" w:rsidRDefault="00C46552">
            <w:pPr>
              <w:jc w:val="center"/>
            </w:pPr>
            <w:r>
              <w:t>10</w:t>
            </w:r>
            <w:r>
              <w:rPr>
                <w:vertAlign w:val="superscript"/>
              </w:rPr>
              <w:t>6</w:t>
            </w:r>
          </w:p>
        </w:tc>
      </w:tr>
      <w:tr w:rsidR="00C46552" w14:paraId="1BD4A04A" w14:textId="77777777">
        <w:tc>
          <w:tcPr>
            <w:tcW w:w="2126" w:type="dxa"/>
          </w:tcPr>
          <w:p w14:paraId="415CA888" w14:textId="77777777" w:rsidR="00C46552" w:rsidRDefault="00E54EA9">
            <w:pPr>
              <w:jc w:val="center"/>
            </w:pPr>
            <w:r>
              <w:t>k</w:t>
            </w:r>
          </w:p>
          <w:p w14:paraId="1ABA3F47" w14:textId="77777777" w:rsidR="00E54EA9" w:rsidRDefault="00E54EA9">
            <w:pPr>
              <w:jc w:val="center"/>
            </w:pPr>
            <w:r>
              <w:t>h</w:t>
            </w:r>
          </w:p>
        </w:tc>
        <w:tc>
          <w:tcPr>
            <w:tcW w:w="1276" w:type="dxa"/>
          </w:tcPr>
          <w:p w14:paraId="761A4069" w14:textId="77777777" w:rsidR="00C46552" w:rsidRDefault="00E54EA9">
            <w:r>
              <w:t>k</w:t>
            </w:r>
            <w:r w:rsidR="00C46552">
              <w:t>ilo</w:t>
            </w:r>
          </w:p>
          <w:p w14:paraId="6825F022" w14:textId="77777777" w:rsidR="00E54EA9" w:rsidRDefault="00E54EA9">
            <w:r>
              <w:t>hecto</w:t>
            </w:r>
          </w:p>
        </w:tc>
        <w:tc>
          <w:tcPr>
            <w:tcW w:w="1701" w:type="dxa"/>
          </w:tcPr>
          <w:p w14:paraId="127A2916" w14:textId="77777777" w:rsidR="00C46552" w:rsidRDefault="00C46552">
            <w:pPr>
              <w:jc w:val="center"/>
              <w:rPr>
                <w:vertAlign w:val="superscript"/>
              </w:rPr>
            </w:pPr>
            <w:r>
              <w:t>10</w:t>
            </w:r>
            <w:r>
              <w:rPr>
                <w:vertAlign w:val="superscript"/>
              </w:rPr>
              <w:t>3</w:t>
            </w:r>
          </w:p>
          <w:p w14:paraId="7386F792" w14:textId="77777777" w:rsidR="00E54EA9" w:rsidRDefault="00E54EA9">
            <w:pPr>
              <w:jc w:val="center"/>
            </w:pPr>
            <w:r>
              <w:t>10</w:t>
            </w:r>
            <w:r>
              <w:rPr>
                <w:vertAlign w:val="superscript"/>
              </w:rPr>
              <w:t>2</w:t>
            </w:r>
          </w:p>
        </w:tc>
      </w:tr>
    </w:tbl>
    <w:p w14:paraId="47160149" w14:textId="77777777" w:rsidR="00C46552" w:rsidRDefault="00C46552"/>
    <w:p w14:paraId="323C3585" w14:textId="77777777" w:rsidR="00C46552" w:rsidRDefault="00C46552" w:rsidP="003728A0">
      <w:r>
        <w:t>Thus one kilogram (kg) equals one thousand (10</w:t>
      </w:r>
      <w:r>
        <w:rPr>
          <w:vertAlign w:val="superscript"/>
        </w:rPr>
        <w:t>3</w:t>
      </w:r>
      <w:r>
        <w:t>) grams, one megagram (Mg) equals 10</w:t>
      </w:r>
      <w:r>
        <w:rPr>
          <w:vertAlign w:val="superscript"/>
        </w:rPr>
        <w:t xml:space="preserve">6 </w:t>
      </w:r>
      <w:r>
        <w:t>grams and a petajoule (PJ) equals 10</w:t>
      </w:r>
      <w:r>
        <w:rPr>
          <w:vertAlign w:val="superscript"/>
        </w:rPr>
        <w:t>15</w:t>
      </w:r>
      <w:r>
        <w:t xml:space="preserve"> joules. A common SI alternative to the Mg is the</w:t>
      </w:r>
      <w:r w:rsidR="00E54EA9">
        <w:t xml:space="preserve"> </w:t>
      </w:r>
      <w:r>
        <w:t>”metric tonne” (t), also equal to 10</w:t>
      </w:r>
      <w:r>
        <w:rPr>
          <w:vertAlign w:val="superscript"/>
        </w:rPr>
        <w:t xml:space="preserve">6 </w:t>
      </w:r>
      <w:r>
        <w:t>grams, and this is used throughout the Manual and Workbook.</w:t>
      </w:r>
      <w:r w:rsidR="00C90FAF">
        <w:t xml:space="preserve"> Total emissions are often reported in Gg</w:t>
      </w:r>
      <w:r w:rsidR="003728A0">
        <w:t xml:space="preserve"> (10</w:t>
      </w:r>
      <w:r w:rsidR="003728A0" w:rsidRPr="003728A0">
        <w:rPr>
          <w:szCs w:val="24"/>
          <w:vertAlign w:val="superscript"/>
        </w:rPr>
        <w:t>9</w:t>
      </w:r>
      <w:r w:rsidR="003728A0">
        <w:t xml:space="preserve"> g) which</w:t>
      </w:r>
      <w:r>
        <w:t xml:space="preserve"> </w:t>
      </w:r>
      <w:r w:rsidR="003728A0">
        <w:t>equals 1000 t.</w:t>
      </w:r>
    </w:p>
    <w:p w14:paraId="4ADE0DA7" w14:textId="77777777" w:rsidR="00C46552" w:rsidRDefault="00C46552">
      <w:pPr>
        <w:pStyle w:val="BodyText"/>
        <w:jc w:val="both"/>
        <w:rPr>
          <w:b w:val="0"/>
          <w:color w:val="000000"/>
          <w:sz w:val="24"/>
        </w:rPr>
      </w:pPr>
    </w:p>
    <w:p w14:paraId="43BE8D72" w14:textId="77777777" w:rsidR="00C46552" w:rsidRDefault="00C46552">
      <w:pPr>
        <w:pStyle w:val="BodyText"/>
        <w:jc w:val="left"/>
        <w:rPr>
          <w:smallCaps w:val="0"/>
          <w:color w:val="000000"/>
          <w:sz w:val="28"/>
          <w:u w:val="none"/>
        </w:rPr>
      </w:pPr>
      <w:r>
        <w:rPr>
          <w:smallCaps w:val="0"/>
          <w:color w:val="000000"/>
          <w:sz w:val="28"/>
          <w:u w:val="none"/>
        </w:rPr>
        <w:t>Conversion factors for energy</w:t>
      </w:r>
    </w:p>
    <w:p w14:paraId="004516B9" w14:textId="77777777" w:rsidR="00C46552" w:rsidRDefault="00C46552">
      <w:pPr>
        <w:pStyle w:val="BodyText"/>
        <w:jc w:val="both"/>
        <w:rPr>
          <w:b w:val="0"/>
          <w:smallCaps w:val="0"/>
          <w:color w:val="000000"/>
          <w:sz w:val="28"/>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48"/>
        <w:gridCol w:w="1548"/>
        <w:gridCol w:w="1548"/>
        <w:gridCol w:w="1548"/>
        <w:gridCol w:w="1548"/>
      </w:tblGrid>
      <w:tr w:rsidR="00C46552" w14:paraId="2376D7F3" w14:textId="77777777">
        <w:trPr>
          <w:trHeight w:val="431"/>
        </w:trPr>
        <w:tc>
          <w:tcPr>
            <w:tcW w:w="1548" w:type="dxa"/>
          </w:tcPr>
          <w:p w14:paraId="7585758B" w14:textId="77777777" w:rsidR="00C46552" w:rsidRDefault="00C46552">
            <w:pPr>
              <w:pStyle w:val="BodyText"/>
              <w:jc w:val="right"/>
              <w:rPr>
                <w:b w:val="0"/>
                <w:smallCaps w:val="0"/>
                <w:color w:val="000000"/>
                <w:sz w:val="24"/>
                <w:u w:val="none"/>
              </w:rPr>
            </w:pPr>
            <w:r>
              <w:rPr>
                <w:b w:val="0"/>
                <w:smallCaps w:val="0"/>
                <w:color w:val="000000"/>
                <w:sz w:val="24"/>
                <w:u w:val="none"/>
              </w:rPr>
              <w:t>To:</w:t>
            </w:r>
          </w:p>
        </w:tc>
        <w:tc>
          <w:tcPr>
            <w:tcW w:w="1548" w:type="dxa"/>
          </w:tcPr>
          <w:p w14:paraId="1BFB5A7F" w14:textId="77777777" w:rsidR="00C46552" w:rsidRDefault="00C46552">
            <w:pPr>
              <w:pStyle w:val="BodyText"/>
              <w:rPr>
                <w:smallCaps w:val="0"/>
                <w:color w:val="000000"/>
                <w:sz w:val="24"/>
                <w:u w:val="none"/>
              </w:rPr>
            </w:pPr>
            <w:r>
              <w:rPr>
                <w:smallCaps w:val="0"/>
                <w:color w:val="000000"/>
                <w:sz w:val="24"/>
                <w:u w:val="none"/>
              </w:rPr>
              <w:t>TJ</w:t>
            </w:r>
          </w:p>
        </w:tc>
        <w:tc>
          <w:tcPr>
            <w:tcW w:w="1548" w:type="dxa"/>
            <w:tcBorders>
              <w:bottom w:val="single" w:sz="4" w:space="0" w:color="auto"/>
            </w:tcBorders>
          </w:tcPr>
          <w:p w14:paraId="14CB8BE3" w14:textId="77777777" w:rsidR="00C46552" w:rsidRDefault="00C46552">
            <w:pPr>
              <w:pStyle w:val="BodyText"/>
              <w:rPr>
                <w:smallCaps w:val="0"/>
                <w:color w:val="000000"/>
                <w:sz w:val="24"/>
                <w:u w:val="none"/>
              </w:rPr>
            </w:pPr>
            <w:r>
              <w:rPr>
                <w:smallCaps w:val="0"/>
                <w:color w:val="000000"/>
                <w:sz w:val="24"/>
                <w:u w:val="none"/>
              </w:rPr>
              <w:t>Gcal</w:t>
            </w:r>
          </w:p>
        </w:tc>
        <w:tc>
          <w:tcPr>
            <w:tcW w:w="1548" w:type="dxa"/>
            <w:tcBorders>
              <w:bottom w:val="single" w:sz="4" w:space="0" w:color="auto"/>
            </w:tcBorders>
          </w:tcPr>
          <w:p w14:paraId="5FC23D75" w14:textId="77777777" w:rsidR="00C46552" w:rsidRDefault="00C46552">
            <w:pPr>
              <w:pStyle w:val="BodyText"/>
              <w:rPr>
                <w:smallCaps w:val="0"/>
                <w:color w:val="000000"/>
                <w:sz w:val="24"/>
                <w:u w:val="none"/>
              </w:rPr>
            </w:pPr>
            <w:r>
              <w:rPr>
                <w:smallCaps w:val="0"/>
                <w:color w:val="000000"/>
                <w:sz w:val="24"/>
                <w:u w:val="none"/>
              </w:rPr>
              <w:t>Mtoe</w:t>
            </w:r>
          </w:p>
        </w:tc>
        <w:tc>
          <w:tcPr>
            <w:tcW w:w="1548" w:type="dxa"/>
            <w:tcBorders>
              <w:bottom w:val="single" w:sz="4" w:space="0" w:color="auto"/>
            </w:tcBorders>
          </w:tcPr>
          <w:p w14:paraId="39BCA1F9" w14:textId="77777777" w:rsidR="00C46552" w:rsidRDefault="00C46552">
            <w:pPr>
              <w:pStyle w:val="BodyText"/>
              <w:rPr>
                <w:smallCaps w:val="0"/>
                <w:color w:val="000000"/>
                <w:sz w:val="24"/>
                <w:u w:val="none"/>
              </w:rPr>
            </w:pPr>
            <w:r>
              <w:rPr>
                <w:smallCaps w:val="0"/>
                <w:color w:val="000000"/>
                <w:sz w:val="24"/>
                <w:u w:val="none"/>
              </w:rPr>
              <w:t>MBtu</w:t>
            </w:r>
          </w:p>
        </w:tc>
        <w:tc>
          <w:tcPr>
            <w:tcW w:w="1548" w:type="dxa"/>
          </w:tcPr>
          <w:p w14:paraId="149E9996" w14:textId="77777777" w:rsidR="00C46552" w:rsidRDefault="00C46552">
            <w:pPr>
              <w:pStyle w:val="BodyText"/>
              <w:rPr>
                <w:smallCaps w:val="0"/>
                <w:color w:val="000000"/>
                <w:sz w:val="24"/>
                <w:u w:val="none"/>
              </w:rPr>
            </w:pPr>
            <w:r>
              <w:rPr>
                <w:smallCaps w:val="0"/>
                <w:color w:val="000000"/>
                <w:sz w:val="24"/>
                <w:u w:val="none"/>
              </w:rPr>
              <w:t>GWh</w:t>
            </w:r>
          </w:p>
        </w:tc>
      </w:tr>
      <w:tr w:rsidR="00C46552" w14:paraId="35FDD638" w14:textId="77777777">
        <w:trPr>
          <w:trHeight w:val="435"/>
        </w:trPr>
        <w:tc>
          <w:tcPr>
            <w:tcW w:w="1548" w:type="dxa"/>
          </w:tcPr>
          <w:p w14:paraId="2147518E" w14:textId="77777777" w:rsidR="00C46552" w:rsidRDefault="00C46552">
            <w:pPr>
              <w:pStyle w:val="BodyText"/>
              <w:jc w:val="both"/>
              <w:rPr>
                <w:b w:val="0"/>
                <w:smallCaps w:val="0"/>
                <w:color w:val="000000"/>
                <w:sz w:val="24"/>
                <w:u w:val="none"/>
              </w:rPr>
            </w:pPr>
            <w:r>
              <w:rPr>
                <w:b w:val="0"/>
                <w:smallCaps w:val="0"/>
                <w:color w:val="000000"/>
                <w:sz w:val="24"/>
                <w:u w:val="none"/>
              </w:rPr>
              <w:t>From:</w:t>
            </w:r>
          </w:p>
        </w:tc>
        <w:tc>
          <w:tcPr>
            <w:tcW w:w="1548" w:type="dxa"/>
            <w:tcBorders>
              <w:right w:val="nil"/>
            </w:tcBorders>
          </w:tcPr>
          <w:p w14:paraId="48108AFA" w14:textId="77777777" w:rsidR="00C46552" w:rsidRDefault="00C46552">
            <w:pPr>
              <w:pStyle w:val="BodyText"/>
              <w:jc w:val="both"/>
              <w:rPr>
                <w:b w:val="0"/>
                <w:smallCaps w:val="0"/>
                <w:color w:val="000000"/>
                <w:sz w:val="24"/>
                <w:u w:val="none"/>
              </w:rPr>
            </w:pPr>
            <w:r>
              <w:rPr>
                <w:b w:val="0"/>
                <w:smallCaps w:val="0"/>
                <w:color w:val="000000"/>
                <w:sz w:val="24"/>
                <w:u w:val="none"/>
              </w:rPr>
              <w:t>multiply by:</w:t>
            </w:r>
          </w:p>
        </w:tc>
        <w:tc>
          <w:tcPr>
            <w:tcW w:w="1548" w:type="dxa"/>
            <w:tcBorders>
              <w:top w:val="nil"/>
              <w:left w:val="nil"/>
              <w:bottom w:val="nil"/>
              <w:right w:val="nil"/>
            </w:tcBorders>
          </w:tcPr>
          <w:p w14:paraId="3DB08338" w14:textId="77777777" w:rsidR="00C46552" w:rsidRDefault="00C46552">
            <w:pPr>
              <w:pStyle w:val="BodyText"/>
              <w:jc w:val="both"/>
              <w:rPr>
                <w:b w:val="0"/>
                <w:smallCaps w:val="0"/>
                <w:color w:val="000000"/>
                <w:sz w:val="24"/>
                <w:u w:val="none"/>
              </w:rPr>
            </w:pPr>
          </w:p>
        </w:tc>
        <w:tc>
          <w:tcPr>
            <w:tcW w:w="1548" w:type="dxa"/>
            <w:tcBorders>
              <w:top w:val="nil"/>
              <w:left w:val="nil"/>
              <w:bottom w:val="nil"/>
              <w:right w:val="nil"/>
            </w:tcBorders>
          </w:tcPr>
          <w:p w14:paraId="37A6D27C" w14:textId="77777777" w:rsidR="00C46552" w:rsidRDefault="00C46552">
            <w:pPr>
              <w:pStyle w:val="BodyText"/>
              <w:jc w:val="both"/>
              <w:rPr>
                <w:b w:val="0"/>
                <w:smallCaps w:val="0"/>
                <w:color w:val="000000"/>
                <w:sz w:val="24"/>
                <w:u w:val="none"/>
              </w:rPr>
            </w:pPr>
          </w:p>
        </w:tc>
        <w:tc>
          <w:tcPr>
            <w:tcW w:w="1548" w:type="dxa"/>
            <w:tcBorders>
              <w:top w:val="nil"/>
              <w:left w:val="nil"/>
              <w:bottom w:val="nil"/>
              <w:right w:val="nil"/>
            </w:tcBorders>
          </w:tcPr>
          <w:p w14:paraId="15E5C268" w14:textId="77777777" w:rsidR="00C46552" w:rsidRDefault="00C46552">
            <w:pPr>
              <w:pStyle w:val="BodyText"/>
              <w:jc w:val="both"/>
              <w:rPr>
                <w:b w:val="0"/>
                <w:smallCaps w:val="0"/>
                <w:color w:val="000000"/>
                <w:sz w:val="24"/>
                <w:u w:val="none"/>
              </w:rPr>
            </w:pPr>
          </w:p>
        </w:tc>
        <w:tc>
          <w:tcPr>
            <w:tcW w:w="1548" w:type="dxa"/>
            <w:tcBorders>
              <w:left w:val="nil"/>
            </w:tcBorders>
          </w:tcPr>
          <w:p w14:paraId="2A5FBDB7" w14:textId="77777777" w:rsidR="00C46552" w:rsidRDefault="00C46552">
            <w:pPr>
              <w:pStyle w:val="BodyText"/>
              <w:jc w:val="both"/>
              <w:rPr>
                <w:b w:val="0"/>
                <w:smallCaps w:val="0"/>
                <w:color w:val="000000"/>
                <w:sz w:val="24"/>
                <w:u w:val="none"/>
              </w:rPr>
            </w:pPr>
          </w:p>
        </w:tc>
      </w:tr>
      <w:tr w:rsidR="00C46552" w14:paraId="361EB3C4" w14:textId="77777777">
        <w:tc>
          <w:tcPr>
            <w:tcW w:w="1548" w:type="dxa"/>
          </w:tcPr>
          <w:p w14:paraId="660FF9C8" w14:textId="77777777" w:rsidR="00C46552" w:rsidRDefault="00C46552">
            <w:pPr>
              <w:pStyle w:val="BodyText"/>
              <w:jc w:val="both"/>
              <w:rPr>
                <w:smallCaps w:val="0"/>
                <w:color w:val="000000"/>
                <w:sz w:val="24"/>
                <w:u w:val="none"/>
              </w:rPr>
            </w:pPr>
            <w:r>
              <w:rPr>
                <w:smallCaps w:val="0"/>
                <w:color w:val="000000"/>
                <w:sz w:val="24"/>
                <w:u w:val="none"/>
              </w:rPr>
              <w:t>TJ</w:t>
            </w:r>
          </w:p>
        </w:tc>
        <w:tc>
          <w:tcPr>
            <w:tcW w:w="1548" w:type="dxa"/>
          </w:tcPr>
          <w:p w14:paraId="0DEE6CE3" w14:textId="77777777" w:rsidR="00C46552" w:rsidRDefault="00C46552">
            <w:pPr>
              <w:pStyle w:val="BodyText"/>
              <w:rPr>
                <w:b w:val="0"/>
                <w:smallCaps w:val="0"/>
                <w:color w:val="000000"/>
                <w:sz w:val="24"/>
                <w:u w:val="none"/>
              </w:rPr>
            </w:pPr>
            <w:r>
              <w:rPr>
                <w:b w:val="0"/>
                <w:smallCaps w:val="0"/>
                <w:color w:val="000000"/>
                <w:sz w:val="24"/>
                <w:u w:val="none"/>
              </w:rPr>
              <w:t>1</w:t>
            </w:r>
          </w:p>
        </w:tc>
        <w:tc>
          <w:tcPr>
            <w:tcW w:w="1548" w:type="dxa"/>
            <w:tcBorders>
              <w:top w:val="single" w:sz="4" w:space="0" w:color="auto"/>
            </w:tcBorders>
          </w:tcPr>
          <w:p w14:paraId="0ED40447" w14:textId="77777777" w:rsidR="00C46552" w:rsidRDefault="00C46552">
            <w:pPr>
              <w:pStyle w:val="BodyText"/>
              <w:rPr>
                <w:b w:val="0"/>
                <w:smallCaps w:val="0"/>
                <w:color w:val="000000"/>
                <w:sz w:val="24"/>
                <w:u w:val="none"/>
              </w:rPr>
            </w:pPr>
            <w:r>
              <w:rPr>
                <w:b w:val="0"/>
                <w:smallCaps w:val="0"/>
                <w:color w:val="000000"/>
                <w:sz w:val="24"/>
                <w:u w:val="none"/>
              </w:rPr>
              <w:t>238.8</w:t>
            </w:r>
          </w:p>
        </w:tc>
        <w:tc>
          <w:tcPr>
            <w:tcW w:w="1548" w:type="dxa"/>
            <w:tcBorders>
              <w:top w:val="single" w:sz="4" w:space="0" w:color="auto"/>
            </w:tcBorders>
          </w:tcPr>
          <w:p w14:paraId="76B4DA07" w14:textId="77777777" w:rsidR="00C46552" w:rsidRDefault="00C46552">
            <w:pPr>
              <w:pStyle w:val="BodyText"/>
              <w:rPr>
                <w:b w:val="0"/>
                <w:smallCaps w:val="0"/>
                <w:color w:val="000000"/>
                <w:sz w:val="24"/>
                <w:u w:val="none"/>
              </w:rPr>
            </w:pPr>
            <w:r>
              <w:rPr>
                <w:b w:val="0"/>
                <w:smallCaps w:val="0"/>
                <w:color w:val="000000"/>
                <w:sz w:val="24"/>
                <w:u w:val="none"/>
              </w:rPr>
              <w:t>2.388 x 10</w:t>
            </w:r>
            <w:r>
              <w:rPr>
                <w:b w:val="0"/>
                <w:smallCaps w:val="0"/>
                <w:color w:val="000000"/>
                <w:sz w:val="24"/>
                <w:u w:val="none"/>
                <w:vertAlign w:val="superscript"/>
              </w:rPr>
              <w:t>-5</w:t>
            </w:r>
          </w:p>
        </w:tc>
        <w:tc>
          <w:tcPr>
            <w:tcW w:w="1548" w:type="dxa"/>
            <w:tcBorders>
              <w:top w:val="single" w:sz="4" w:space="0" w:color="auto"/>
            </w:tcBorders>
          </w:tcPr>
          <w:p w14:paraId="131D2E44" w14:textId="77777777" w:rsidR="00C46552" w:rsidRDefault="00C46552">
            <w:pPr>
              <w:pStyle w:val="BodyText"/>
              <w:rPr>
                <w:b w:val="0"/>
                <w:smallCaps w:val="0"/>
                <w:color w:val="000000"/>
                <w:sz w:val="24"/>
                <w:u w:val="none"/>
              </w:rPr>
            </w:pPr>
            <w:r>
              <w:rPr>
                <w:b w:val="0"/>
                <w:smallCaps w:val="0"/>
                <w:color w:val="000000"/>
                <w:sz w:val="24"/>
                <w:u w:val="none"/>
              </w:rPr>
              <w:t>947.8</w:t>
            </w:r>
          </w:p>
        </w:tc>
        <w:tc>
          <w:tcPr>
            <w:tcW w:w="1548" w:type="dxa"/>
          </w:tcPr>
          <w:p w14:paraId="61849395" w14:textId="77777777" w:rsidR="00C46552" w:rsidRDefault="00C46552">
            <w:pPr>
              <w:pStyle w:val="BodyText"/>
              <w:rPr>
                <w:b w:val="0"/>
                <w:smallCaps w:val="0"/>
                <w:color w:val="000000"/>
                <w:sz w:val="24"/>
                <w:u w:val="none"/>
              </w:rPr>
            </w:pPr>
            <w:r>
              <w:rPr>
                <w:b w:val="0"/>
                <w:smallCaps w:val="0"/>
                <w:color w:val="000000"/>
                <w:sz w:val="24"/>
                <w:u w:val="none"/>
              </w:rPr>
              <w:t>0.2778</w:t>
            </w:r>
          </w:p>
        </w:tc>
      </w:tr>
      <w:tr w:rsidR="00C46552" w14:paraId="6228473D" w14:textId="77777777">
        <w:tc>
          <w:tcPr>
            <w:tcW w:w="1548" w:type="dxa"/>
          </w:tcPr>
          <w:p w14:paraId="52E32A9D" w14:textId="77777777" w:rsidR="00C46552" w:rsidRDefault="00C46552">
            <w:pPr>
              <w:pStyle w:val="BodyText"/>
              <w:jc w:val="both"/>
              <w:rPr>
                <w:smallCaps w:val="0"/>
                <w:color w:val="000000"/>
                <w:sz w:val="24"/>
                <w:u w:val="none"/>
              </w:rPr>
            </w:pPr>
            <w:r>
              <w:rPr>
                <w:smallCaps w:val="0"/>
                <w:color w:val="000000"/>
                <w:sz w:val="24"/>
                <w:u w:val="none"/>
              </w:rPr>
              <w:t>Gcal</w:t>
            </w:r>
          </w:p>
        </w:tc>
        <w:tc>
          <w:tcPr>
            <w:tcW w:w="1548" w:type="dxa"/>
          </w:tcPr>
          <w:p w14:paraId="6FE69CA7" w14:textId="77777777" w:rsidR="00C46552" w:rsidRDefault="00C46552">
            <w:pPr>
              <w:pStyle w:val="BodyText"/>
              <w:rPr>
                <w:b w:val="0"/>
                <w:smallCaps w:val="0"/>
                <w:color w:val="000000"/>
                <w:sz w:val="24"/>
                <w:u w:val="none"/>
              </w:rPr>
            </w:pPr>
            <w:r>
              <w:rPr>
                <w:b w:val="0"/>
                <w:smallCaps w:val="0"/>
                <w:color w:val="000000"/>
                <w:sz w:val="24"/>
                <w:u w:val="none"/>
              </w:rPr>
              <w:t>4.1868 x 10</w:t>
            </w:r>
            <w:r>
              <w:rPr>
                <w:b w:val="0"/>
                <w:smallCaps w:val="0"/>
                <w:color w:val="000000"/>
                <w:sz w:val="24"/>
                <w:u w:val="none"/>
                <w:vertAlign w:val="superscript"/>
              </w:rPr>
              <w:t>-3</w:t>
            </w:r>
          </w:p>
        </w:tc>
        <w:tc>
          <w:tcPr>
            <w:tcW w:w="1548" w:type="dxa"/>
          </w:tcPr>
          <w:p w14:paraId="7D14A7C7" w14:textId="77777777" w:rsidR="00C46552" w:rsidRDefault="00C46552">
            <w:pPr>
              <w:pStyle w:val="BodyText"/>
              <w:rPr>
                <w:b w:val="0"/>
                <w:smallCaps w:val="0"/>
                <w:color w:val="000000"/>
                <w:sz w:val="24"/>
                <w:u w:val="none"/>
              </w:rPr>
            </w:pPr>
            <w:r>
              <w:rPr>
                <w:b w:val="0"/>
                <w:smallCaps w:val="0"/>
                <w:color w:val="000000"/>
                <w:sz w:val="24"/>
                <w:u w:val="none"/>
              </w:rPr>
              <w:t>1</w:t>
            </w:r>
          </w:p>
        </w:tc>
        <w:tc>
          <w:tcPr>
            <w:tcW w:w="1548" w:type="dxa"/>
          </w:tcPr>
          <w:p w14:paraId="1C7579E7" w14:textId="77777777" w:rsidR="00C46552" w:rsidRDefault="00C46552">
            <w:pPr>
              <w:pStyle w:val="BodyText"/>
              <w:rPr>
                <w:b w:val="0"/>
                <w:smallCaps w:val="0"/>
                <w:color w:val="000000"/>
                <w:sz w:val="24"/>
                <w:u w:val="none"/>
              </w:rPr>
            </w:pPr>
            <w:r>
              <w:rPr>
                <w:b w:val="0"/>
                <w:smallCaps w:val="0"/>
                <w:color w:val="000000"/>
                <w:sz w:val="24"/>
                <w:u w:val="none"/>
              </w:rPr>
              <w:t>10</w:t>
            </w:r>
            <w:r>
              <w:rPr>
                <w:b w:val="0"/>
                <w:smallCaps w:val="0"/>
                <w:color w:val="000000"/>
                <w:sz w:val="24"/>
                <w:u w:val="none"/>
                <w:vertAlign w:val="superscript"/>
              </w:rPr>
              <w:t>-7</w:t>
            </w:r>
          </w:p>
        </w:tc>
        <w:tc>
          <w:tcPr>
            <w:tcW w:w="1548" w:type="dxa"/>
          </w:tcPr>
          <w:p w14:paraId="61D24917" w14:textId="77777777" w:rsidR="00C46552" w:rsidRDefault="00C46552">
            <w:pPr>
              <w:pStyle w:val="BodyText"/>
              <w:rPr>
                <w:b w:val="0"/>
                <w:smallCaps w:val="0"/>
                <w:color w:val="000000"/>
                <w:sz w:val="24"/>
                <w:u w:val="none"/>
              </w:rPr>
            </w:pPr>
            <w:r>
              <w:rPr>
                <w:b w:val="0"/>
                <w:smallCaps w:val="0"/>
                <w:color w:val="000000"/>
                <w:sz w:val="24"/>
                <w:u w:val="none"/>
              </w:rPr>
              <w:t>3.968</w:t>
            </w:r>
          </w:p>
        </w:tc>
        <w:tc>
          <w:tcPr>
            <w:tcW w:w="1548" w:type="dxa"/>
          </w:tcPr>
          <w:p w14:paraId="5B4ADDB5" w14:textId="77777777" w:rsidR="00C46552" w:rsidRDefault="00C46552">
            <w:pPr>
              <w:pStyle w:val="BodyText"/>
              <w:rPr>
                <w:b w:val="0"/>
                <w:smallCaps w:val="0"/>
                <w:color w:val="000000"/>
                <w:sz w:val="24"/>
                <w:u w:val="none"/>
              </w:rPr>
            </w:pPr>
            <w:r>
              <w:rPr>
                <w:b w:val="0"/>
                <w:smallCaps w:val="0"/>
                <w:color w:val="000000"/>
                <w:sz w:val="24"/>
                <w:u w:val="none"/>
              </w:rPr>
              <w:t>1.163 x 10</w:t>
            </w:r>
            <w:r>
              <w:rPr>
                <w:b w:val="0"/>
                <w:smallCaps w:val="0"/>
                <w:color w:val="000000"/>
                <w:sz w:val="24"/>
                <w:u w:val="none"/>
                <w:vertAlign w:val="superscript"/>
              </w:rPr>
              <w:t>-3</w:t>
            </w:r>
          </w:p>
        </w:tc>
      </w:tr>
      <w:tr w:rsidR="00C46552" w14:paraId="2C34CD41" w14:textId="77777777">
        <w:tc>
          <w:tcPr>
            <w:tcW w:w="1548" w:type="dxa"/>
          </w:tcPr>
          <w:p w14:paraId="3E41CADF" w14:textId="77777777" w:rsidR="00C46552" w:rsidRDefault="00C46552">
            <w:pPr>
              <w:pStyle w:val="BodyText"/>
              <w:jc w:val="both"/>
              <w:rPr>
                <w:smallCaps w:val="0"/>
                <w:color w:val="000000"/>
                <w:sz w:val="24"/>
                <w:u w:val="none"/>
              </w:rPr>
            </w:pPr>
            <w:r>
              <w:rPr>
                <w:smallCaps w:val="0"/>
                <w:color w:val="000000"/>
                <w:sz w:val="24"/>
                <w:u w:val="none"/>
              </w:rPr>
              <w:t>Mtoe</w:t>
            </w:r>
          </w:p>
        </w:tc>
        <w:tc>
          <w:tcPr>
            <w:tcW w:w="1548" w:type="dxa"/>
          </w:tcPr>
          <w:p w14:paraId="7D10B36F" w14:textId="77777777" w:rsidR="00C46552" w:rsidRDefault="00C46552">
            <w:pPr>
              <w:pStyle w:val="BodyText"/>
              <w:rPr>
                <w:b w:val="0"/>
                <w:smallCaps w:val="0"/>
                <w:color w:val="000000"/>
                <w:sz w:val="24"/>
                <w:u w:val="none"/>
              </w:rPr>
            </w:pPr>
            <w:r>
              <w:rPr>
                <w:b w:val="0"/>
                <w:smallCaps w:val="0"/>
                <w:color w:val="000000"/>
                <w:sz w:val="24"/>
                <w:u w:val="none"/>
              </w:rPr>
              <w:t>4.1868 x 10</w:t>
            </w:r>
            <w:r>
              <w:rPr>
                <w:b w:val="0"/>
                <w:smallCaps w:val="0"/>
                <w:color w:val="000000"/>
                <w:sz w:val="24"/>
                <w:u w:val="none"/>
                <w:vertAlign w:val="superscript"/>
              </w:rPr>
              <w:t>4</w:t>
            </w:r>
          </w:p>
        </w:tc>
        <w:tc>
          <w:tcPr>
            <w:tcW w:w="1548" w:type="dxa"/>
          </w:tcPr>
          <w:p w14:paraId="04C0B525" w14:textId="77777777" w:rsidR="00C46552" w:rsidRDefault="00C46552">
            <w:pPr>
              <w:pStyle w:val="BodyText"/>
              <w:rPr>
                <w:b w:val="0"/>
                <w:smallCaps w:val="0"/>
                <w:color w:val="000000"/>
                <w:sz w:val="24"/>
                <w:u w:val="none"/>
              </w:rPr>
            </w:pPr>
            <w:r>
              <w:rPr>
                <w:b w:val="0"/>
                <w:smallCaps w:val="0"/>
                <w:color w:val="000000"/>
                <w:sz w:val="24"/>
                <w:u w:val="none"/>
              </w:rPr>
              <w:t>10</w:t>
            </w:r>
            <w:r>
              <w:rPr>
                <w:b w:val="0"/>
                <w:smallCaps w:val="0"/>
                <w:color w:val="000000"/>
                <w:sz w:val="24"/>
                <w:u w:val="none"/>
                <w:vertAlign w:val="superscript"/>
              </w:rPr>
              <w:t>7</w:t>
            </w:r>
          </w:p>
        </w:tc>
        <w:tc>
          <w:tcPr>
            <w:tcW w:w="1548" w:type="dxa"/>
          </w:tcPr>
          <w:p w14:paraId="6FF1FDD1" w14:textId="77777777" w:rsidR="00C46552" w:rsidRDefault="00C46552">
            <w:pPr>
              <w:pStyle w:val="BodyText"/>
              <w:rPr>
                <w:b w:val="0"/>
                <w:smallCaps w:val="0"/>
                <w:color w:val="000000"/>
                <w:sz w:val="24"/>
                <w:u w:val="none"/>
              </w:rPr>
            </w:pPr>
            <w:r>
              <w:rPr>
                <w:b w:val="0"/>
                <w:smallCaps w:val="0"/>
                <w:color w:val="000000"/>
                <w:sz w:val="24"/>
                <w:u w:val="none"/>
              </w:rPr>
              <w:t>1</w:t>
            </w:r>
          </w:p>
        </w:tc>
        <w:tc>
          <w:tcPr>
            <w:tcW w:w="1548" w:type="dxa"/>
          </w:tcPr>
          <w:p w14:paraId="31A32FAA" w14:textId="77777777" w:rsidR="00C46552" w:rsidRDefault="00C46552">
            <w:pPr>
              <w:pStyle w:val="BodyText"/>
              <w:rPr>
                <w:b w:val="0"/>
                <w:smallCaps w:val="0"/>
                <w:color w:val="000000"/>
                <w:sz w:val="24"/>
                <w:u w:val="none"/>
              </w:rPr>
            </w:pPr>
            <w:r>
              <w:rPr>
                <w:b w:val="0"/>
                <w:smallCaps w:val="0"/>
                <w:color w:val="000000"/>
                <w:sz w:val="24"/>
                <w:u w:val="none"/>
              </w:rPr>
              <w:t>3.968 x 10</w:t>
            </w:r>
            <w:r>
              <w:rPr>
                <w:b w:val="0"/>
                <w:smallCaps w:val="0"/>
                <w:color w:val="000000"/>
                <w:sz w:val="24"/>
                <w:u w:val="none"/>
                <w:vertAlign w:val="superscript"/>
              </w:rPr>
              <w:t>7</w:t>
            </w:r>
          </w:p>
        </w:tc>
        <w:tc>
          <w:tcPr>
            <w:tcW w:w="1548" w:type="dxa"/>
          </w:tcPr>
          <w:p w14:paraId="5C686698" w14:textId="77777777" w:rsidR="00C46552" w:rsidRDefault="00C46552">
            <w:pPr>
              <w:pStyle w:val="BodyText"/>
              <w:rPr>
                <w:b w:val="0"/>
                <w:smallCaps w:val="0"/>
                <w:color w:val="000000"/>
                <w:sz w:val="24"/>
                <w:u w:val="none"/>
              </w:rPr>
            </w:pPr>
            <w:r>
              <w:rPr>
                <w:b w:val="0"/>
                <w:smallCaps w:val="0"/>
                <w:color w:val="000000"/>
                <w:sz w:val="24"/>
                <w:u w:val="none"/>
              </w:rPr>
              <w:t>11630</w:t>
            </w:r>
          </w:p>
        </w:tc>
      </w:tr>
      <w:tr w:rsidR="00C46552" w14:paraId="53A9F213" w14:textId="77777777">
        <w:tc>
          <w:tcPr>
            <w:tcW w:w="1548" w:type="dxa"/>
          </w:tcPr>
          <w:p w14:paraId="00B31002" w14:textId="77777777" w:rsidR="00C46552" w:rsidRDefault="00C46552">
            <w:pPr>
              <w:pStyle w:val="BodyText"/>
              <w:jc w:val="both"/>
              <w:rPr>
                <w:smallCaps w:val="0"/>
                <w:color w:val="000000"/>
                <w:sz w:val="24"/>
                <w:u w:val="none"/>
              </w:rPr>
            </w:pPr>
            <w:r>
              <w:rPr>
                <w:smallCaps w:val="0"/>
                <w:color w:val="000000"/>
                <w:sz w:val="24"/>
                <w:u w:val="none"/>
              </w:rPr>
              <w:t>MBtu</w:t>
            </w:r>
          </w:p>
        </w:tc>
        <w:tc>
          <w:tcPr>
            <w:tcW w:w="1548" w:type="dxa"/>
          </w:tcPr>
          <w:p w14:paraId="7079C496" w14:textId="77777777" w:rsidR="00C46552" w:rsidRDefault="00C46552">
            <w:pPr>
              <w:pStyle w:val="BodyText"/>
              <w:rPr>
                <w:b w:val="0"/>
                <w:smallCaps w:val="0"/>
                <w:color w:val="000000"/>
                <w:sz w:val="24"/>
                <w:u w:val="none"/>
              </w:rPr>
            </w:pPr>
            <w:r>
              <w:rPr>
                <w:b w:val="0"/>
                <w:smallCaps w:val="0"/>
                <w:color w:val="000000"/>
                <w:sz w:val="24"/>
                <w:u w:val="none"/>
              </w:rPr>
              <w:t>1.0551 x 10</w:t>
            </w:r>
            <w:r>
              <w:rPr>
                <w:b w:val="0"/>
                <w:smallCaps w:val="0"/>
                <w:color w:val="000000"/>
                <w:sz w:val="24"/>
                <w:u w:val="none"/>
                <w:vertAlign w:val="superscript"/>
              </w:rPr>
              <w:t>-3</w:t>
            </w:r>
          </w:p>
        </w:tc>
        <w:tc>
          <w:tcPr>
            <w:tcW w:w="1548" w:type="dxa"/>
          </w:tcPr>
          <w:p w14:paraId="0A77A09D" w14:textId="77777777" w:rsidR="00C46552" w:rsidRDefault="00C46552">
            <w:pPr>
              <w:pStyle w:val="BodyText"/>
              <w:rPr>
                <w:b w:val="0"/>
                <w:smallCaps w:val="0"/>
                <w:color w:val="000000"/>
                <w:sz w:val="24"/>
                <w:u w:val="none"/>
              </w:rPr>
            </w:pPr>
            <w:r>
              <w:rPr>
                <w:b w:val="0"/>
                <w:smallCaps w:val="0"/>
                <w:color w:val="000000"/>
                <w:sz w:val="24"/>
                <w:u w:val="none"/>
              </w:rPr>
              <w:t>0.252</w:t>
            </w:r>
          </w:p>
        </w:tc>
        <w:tc>
          <w:tcPr>
            <w:tcW w:w="1548" w:type="dxa"/>
          </w:tcPr>
          <w:p w14:paraId="2A595844" w14:textId="77777777" w:rsidR="00C46552" w:rsidRDefault="00C46552">
            <w:pPr>
              <w:pStyle w:val="BodyText"/>
              <w:rPr>
                <w:b w:val="0"/>
                <w:smallCaps w:val="0"/>
                <w:color w:val="000000"/>
                <w:sz w:val="24"/>
                <w:u w:val="none"/>
              </w:rPr>
            </w:pPr>
            <w:r>
              <w:rPr>
                <w:b w:val="0"/>
                <w:smallCaps w:val="0"/>
                <w:color w:val="000000"/>
                <w:sz w:val="24"/>
                <w:u w:val="none"/>
              </w:rPr>
              <w:t>2.52 x 10</w:t>
            </w:r>
            <w:r>
              <w:rPr>
                <w:b w:val="0"/>
                <w:smallCaps w:val="0"/>
                <w:color w:val="000000"/>
                <w:sz w:val="24"/>
                <w:u w:val="none"/>
                <w:vertAlign w:val="superscript"/>
              </w:rPr>
              <w:t>-8</w:t>
            </w:r>
          </w:p>
        </w:tc>
        <w:tc>
          <w:tcPr>
            <w:tcW w:w="1548" w:type="dxa"/>
          </w:tcPr>
          <w:p w14:paraId="409BE924" w14:textId="77777777" w:rsidR="00C46552" w:rsidRDefault="00C46552">
            <w:pPr>
              <w:pStyle w:val="BodyText"/>
              <w:rPr>
                <w:b w:val="0"/>
                <w:smallCaps w:val="0"/>
                <w:color w:val="000000"/>
                <w:sz w:val="24"/>
                <w:u w:val="none"/>
              </w:rPr>
            </w:pPr>
            <w:r>
              <w:rPr>
                <w:b w:val="0"/>
                <w:smallCaps w:val="0"/>
                <w:color w:val="000000"/>
                <w:sz w:val="24"/>
                <w:u w:val="none"/>
              </w:rPr>
              <w:t>1</w:t>
            </w:r>
          </w:p>
        </w:tc>
        <w:tc>
          <w:tcPr>
            <w:tcW w:w="1548" w:type="dxa"/>
          </w:tcPr>
          <w:p w14:paraId="384BEC03" w14:textId="77777777" w:rsidR="00C46552" w:rsidRDefault="00C46552">
            <w:pPr>
              <w:pStyle w:val="BodyText"/>
              <w:rPr>
                <w:b w:val="0"/>
                <w:smallCaps w:val="0"/>
                <w:color w:val="000000"/>
                <w:sz w:val="24"/>
                <w:u w:val="none"/>
              </w:rPr>
            </w:pPr>
            <w:r>
              <w:rPr>
                <w:b w:val="0"/>
                <w:smallCaps w:val="0"/>
                <w:color w:val="000000"/>
                <w:sz w:val="24"/>
                <w:u w:val="none"/>
              </w:rPr>
              <w:t>2.931 x 10</w:t>
            </w:r>
            <w:r>
              <w:rPr>
                <w:b w:val="0"/>
                <w:smallCaps w:val="0"/>
                <w:color w:val="000000"/>
                <w:sz w:val="24"/>
                <w:u w:val="none"/>
                <w:vertAlign w:val="superscript"/>
              </w:rPr>
              <w:t>-4</w:t>
            </w:r>
          </w:p>
        </w:tc>
      </w:tr>
      <w:tr w:rsidR="00C46552" w14:paraId="5A43A5A9" w14:textId="77777777">
        <w:tc>
          <w:tcPr>
            <w:tcW w:w="1548" w:type="dxa"/>
          </w:tcPr>
          <w:p w14:paraId="39B8AB94" w14:textId="77777777" w:rsidR="00C46552" w:rsidRDefault="00C46552">
            <w:pPr>
              <w:pStyle w:val="BodyText"/>
              <w:jc w:val="both"/>
              <w:rPr>
                <w:smallCaps w:val="0"/>
                <w:color w:val="000000"/>
                <w:sz w:val="24"/>
                <w:u w:val="none"/>
              </w:rPr>
            </w:pPr>
            <w:r>
              <w:rPr>
                <w:smallCaps w:val="0"/>
                <w:color w:val="000000"/>
                <w:sz w:val="24"/>
                <w:u w:val="none"/>
              </w:rPr>
              <w:t>GWh</w:t>
            </w:r>
          </w:p>
        </w:tc>
        <w:tc>
          <w:tcPr>
            <w:tcW w:w="1548" w:type="dxa"/>
          </w:tcPr>
          <w:p w14:paraId="7C9B1D16" w14:textId="77777777" w:rsidR="00C46552" w:rsidRDefault="00C46552">
            <w:pPr>
              <w:pStyle w:val="BodyText"/>
              <w:rPr>
                <w:b w:val="0"/>
                <w:smallCaps w:val="0"/>
                <w:color w:val="000000"/>
                <w:sz w:val="24"/>
                <w:u w:val="none"/>
              </w:rPr>
            </w:pPr>
            <w:r>
              <w:rPr>
                <w:b w:val="0"/>
                <w:smallCaps w:val="0"/>
                <w:color w:val="000000"/>
                <w:sz w:val="24"/>
                <w:u w:val="none"/>
              </w:rPr>
              <w:t>3.6</w:t>
            </w:r>
          </w:p>
        </w:tc>
        <w:tc>
          <w:tcPr>
            <w:tcW w:w="1548" w:type="dxa"/>
          </w:tcPr>
          <w:p w14:paraId="65B7CA67" w14:textId="77777777" w:rsidR="00C46552" w:rsidRDefault="00C46552">
            <w:pPr>
              <w:pStyle w:val="BodyText"/>
              <w:rPr>
                <w:b w:val="0"/>
                <w:smallCaps w:val="0"/>
                <w:color w:val="000000"/>
                <w:sz w:val="24"/>
                <w:u w:val="none"/>
              </w:rPr>
            </w:pPr>
            <w:r>
              <w:rPr>
                <w:b w:val="0"/>
                <w:smallCaps w:val="0"/>
                <w:color w:val="000000"/>
                <w:sz w:val="24"/>
                <w:u w:val="none"/>
              </w:rPr>
              <w:t>860</w:t>
            </w:r>
          </w:p>
        </w:tc>
        <w:tc>
          <w:tcPr>
            <w:tcW w:w="1548" w:type="dxa"/>
          </w:tcPr>
          <w:p w14:paraId="56DCC388" w14:textId="77777777" w:rsidR="00C46552" w:rsidRDefault="00C46552">
            <w:pPr>
              <w:pStyle w:val="BodyText"/>
              <w:rPr>
                <w:b w:val="0"/>
                <w:smallCaps w:val="0"/>
                <w:color w:val="000000"/>
                <w:sz w:val="24"/>
                <w:u w:val="none"/>
              </w:rPr>
            </w:pPr>
            <w:r>
              <w:rPr>
                <w:b w:val="0"/>
                <w:smallCaps w:val="0"/>
                <w:color w:val="000000"/>
                <w:sz w:val="24"/>
                <w:u w:val="none"/>
              </w:rPr>
              <w:t>8.6 x 10</w:t>
            </w:r>
            <w:r>
              <w:rPr>
                <w:b w:val="0"/>
                <w:smallCaps w:val="0"/>
                <w:color w:val="000000"/>
                <w:sz w:val="24"/>
                <w:u w:val="none"/>
                <w:vertAlign w:val="superscript"/>
              </w:rPr>
              <w:t>-5</w:t>
            </w:r>
          </w:p>
        </w:tc>
        <w:tc>
          <w:tcPr>
            <w:tcW w:w="1548" w:type="dxa"/>
          </w:tcPr>
          <w:p w14:paraId="6E462ABF" w14:textId="77777777" w:rsidR="00C46552" w:rsidRDefault="00C46552">
            <w:pPr>
              <w:pStyle w:val="BodyText"/>
              <w:rPr>
                <w:b w:val="0"/>
                <w:smallCaps w:val="0"/>
                <w:color w:val="000000"/>
                <w:sz w:val="24"/>
                <w:u w:val="none"/>
              </w:rPr>
            </w:pPr>
            <w:r>
              <w:rPr>
                <w:b w:val="0"/>
                <w:smallCaps w:val="0"/>
                <w:color w:val="000000"/>
                <w:sz w:val="24"/>
                <w:u w:val="none"/>
              </w:rPr>
              <w:t>3412</w:t>
            </w:r>
          </w:p>
        </w:tc>
        <w:tc>
          <w:tcPr>
            <w:tcW w:w="1548" w:type="dxa"/>
          </w:tcPr>
          <w:p w14:paraId="14E2C246" w14:textId="77777777" w:rsidR="00C46552" w:rsidRDefault="00C46552">
            <w:pPr>
              <w:pStyle w:val="BodyText"/>
              <w:rPr>
                <w:b w:val="0"/>
                <w:smallCaps w:val="0"/>
                <w:color w:val="000000"/>
                <w:sz w:val="24"/>
                <w:u w:val="none"/>
              </w:rPr>
            </w:pPr>
            <w:r>
              <w:rPr>
                <w:b w:val="0"/>
                <w:smallCaps w:val="0"/>
                <w:color w:val="000000"/>
                <w:sz w:val="24"/>
                <w:u w:val="none"/>
              </w:rPr>
              <w:t>1</w:t>
            </w:r>
          </w:p>
        </w:tc>
      </w:tr>
    </w:tbl>
    <w:p w14:paraId="70372101" w14:textId="77777777" w:rsidR="00C46552" w:rsidRDefault="00C46552">
      <w:pPr>
        <w:pStyle w:val="BodyText"/>
        <w:jc w:val="both"/>
        <w:rPr>
          <w:b w:val="0"/>
          <w:smallCaps w:val="0"/>
          <w:color w:val="000000"/>
          <w:sz w:val="28"/>
          <w:u w:val="none"/>
        </w:rPr>
      </w:pPr>
    </w:p>
    <w:p w14:paraId="0DFA10B0" w14:textId="77777777" w:rsidR="00C46552" w:rsidRDefault="00C46552">
      <w:pPr>
        <w:pStyle w:val="BodyText"/>
        <w:jc w:val="both"/>
        <w:rPr>
          <w:b w:val="0"/>
          <w:smallCaps w:val="0"/>
          <w:color w:val="000000"/>
          <w:sz w:val="28"/>
          <w:u w:val="none"/>
        </w:rPr>
      </w:pPr>
    </w:p>
    <w:p w14:paraId="4D5EE403" w14:textId="77777777" w:rsidR="00C46552" w:rsidRDefault="00C46552">
      <w:pPr>
        <w:pStyle w:val="BodyText"/>
        <w:jc w:val="left"/>
        <w:rPr>
          <w:smallCaps w:val="0"/>
          <w:color w:val="000000"/>
          <w:sz w:val="28"/>
          <w:u w:val="none"/>
        </w:rPr>
      </w:pPr>
      <w:r>
        <w:rPr>
          <w:smallCaps w:val="0"/>
          <w:color w:val="000000"/>
          <w:sz w:val="28"/>
          <w:u w:val="none"/>
        </w:rPr>
        <w:t>Conversion factors for mass</w:t>
      </w:r>
    </w:p>
    <w:p w14:paraId="4C5E2A25" w14:textId="77777777" w:rsidR="00C46552" w:rsidRDefault="00C46552">
      <w:pPr>
        <w:pStyle w:val="BodyText"/>
        <w:jc w:val="both"/>
        <w:rPr>
          <w:b w:val="0"/>
          <w:smallCaps w:val="0"/>
          <w:color w:val="000000"/>
          <w:sz w:val="28"/>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67"/>
        <w:gridCol w:w="1467"/>
        <w:gridCol w:w="1468"/>
        <w:gridCol w:w="1467"/>
        <w:gridCol w:w="1468"/>
      </w:tblGrid>
      <w:tr w:rsidR="00C46552" w14:paraId="52AC786A" w14:textId="77777777">
        <w:trPr>
          <w:trHeight w:val="431"/>
        </w:trPr>
        <w:tc>
          <w:tcPr>
            <w:tcW w:w="1951" w:type="dxa"/>
          </w:tcPr>
          <w:p w14:paraId="5383AC3A" w14:textId="77777777" w:rsidR="00C46552" w:rsidRDefault="00C46552">
            <w:pPr>
              <w:pStyle w:val="BodyText"/>
              <w:jc w:val="right"/>
              <w:rPr>
                <w:b w:val="0"/>
                <w:smallCaps w:val="0"/>
                <w:color w:val="000000"/>
                <w:sz w:val="24"/>
                <w:u w:val="none"/>
              </w:rPr>
            </w:pPr>
            <w:r>
              <w:rPr>
                <w:b w:val="0"/>
                <w:smallCaps w:val="0"/>
                <w:color w:val="000000"/>
                <w:sz w:val="24"/>
                <w:u w:val="none"/>
              </w:rPr>
              <w:t>To:</w:t>
            </w:r>
          </w:p>
        </w:tc>
        <w:tc>
          <w:tcPr>
            <w:tcW w:w="1467" w:type="dxa"/>
          </w:tcPr>
          <w:p w14:paraId="7D72FE4A" w14:textId="77777777" w:rsidR="00C46552" w:rsidRDefault="00C46552">
            <w:pPr>
              <w:pStyle w:val="BodyText"/>
              <w:rPr>
                <w:smallCaps w:val="0"/>
                <w:color w:val="000000"/>
                <w:sz w:val="24"/>
                <w:u w:val="none"/>
              </w:rPr>
            </w:pPr>
            <w:r>
              <w:rPr>
                <w:smallCaps w:val="0"/>
                <w:color w:val="000000"/>
                <w:sz w:val="24"/>
                <w:u w:val="none"/>
              </w:rPr>
              <w:t>kg</w:t>
            </w:r>
          </w:p>
        </w:tc>
        <w:tc>
          <w:tcPr>
            <w:tcW w:w="1467" w:type="dxa"/>
            <w:tcBorders>
              <w:bottom w:val="single" w:sz="4" w:space="0" w:color="auto"/>
            </w:tcBorders>
          </w:tcPr>
          <w:p w14:paraId="3F925930" w14:textId="77777777" w:rsidR="00C46552" w:rsidRDefault="00C46552">
            <w:pPr>
              <w:pStyle w:val="BodyText"/>
              <w:rPr>
                <w:smallCaps w:val="0"/>
                <w:color w:val="000000"/>
                <w:sz w:val="24"/>
                <w:u w:val="none"/>
              </w:rPr>
            </w:pPr>
            <w:r>
              <w:rPr>
                <w:smallCaps w:val="0"/>
                <w:color w:val="000000"/>
                <w:sz w:val="24"/>
                <w:u w:val="none"/>
              </w:rPr>
              <w:t>t</w:t>
            </w:r>
          </w:p>
        </w:tc>
        <w:tc>
          <w:tcPr>
            <w:tcW w:w="1468" w:type="dxa"/>
            <w:tcBorders>
              <w:bottom w:val="single" w:sz="4" w:space="0" w:color="auto"/>
            </w:tcBorders>
          </w:tcPr>
          <w:p w14:paraId="6C746D76" w14:textId="77777777" w:rsidR="00C46552" w:rsidRDefault="003728A0">
            <w:pPr>
              <w:pStyle w:val="BodyText"/>
              <w:rPr>
                <w:smallCaps w:val="0"/>
                <w:color w:val="000000"/>
                <w:sz w:val="24"/>
                <w:u w:val="none"/>
              </w:rPr>
            </w:pPr>
            <w:r>
              <w:rPr>
                <w:smallCaps w:val="0"/>
                <w:color w:val="000000"/>
                <w:sz w:val="24"/>
                <w:u w:val="none"/>
              </w:rPr>
              <w:t>L</w:t>
            </w:r>
            <w:r w:rsidR="00C46552">
              <w:rPr>
                <w:smallCaps w:val="0"/>
                <w:color w:val="000000"/>
                <w:sz w:val="24"/>
                <w:u w:val="none"/>
              </w:rPr>
              <w:t>t</w:t>
            </w:r>
          </w:p>
        </w:tc>
        <w:tc>
          <w:tcPr>
            <w:tcW w:w="1467" w:type="dxa"/>
            <w:tcBorders>
              <w:bottom w:val="single" w:sz="4" w:space="0" w:color="auto"/>
            </w:tcBorders>
          </w:tcPr>
          <w:p w14:paraId="49983EB4" w14:textId="77777777" w:rsidR="00C46552" w:rsidRDefault="00C46552">
            <w:pPr>
              <w:pStyle w:val="BodyText"/>
              <w:rPr>
                <w:smallCaps w:val="0"/>
                <w:color w:val="000000"/>
                <w:sz w:val="24"/>
                <w:u w:val="none"/>
              </w:rPr>
            </w:pPr>
            <w:r>
              <w:rPr>
                <w:smallCaps w:val="0"/>
                <w:color w:val="000000"/>
                <w:sz w:val="24"/>
                <w:u w:val="none"/>
              </w:rPr>
              <w:t>st</w:t>
            </w:r>
          </w:p>
        </w:tc>
        <w:tc>
          <w:tcPr>
            <w:tcW w:w="1468" w:type="dxa"/>
          </w:tcPr>
          <w:p w14:paraId="70AA5C86" w14:textId="77777777" w:rsidR="00C46552" w:rsidRDefault="008D0C8D">
            <w:pPr>
              <w:pStyle w:val="BodyText"/>
              <w:rPr>
                <w:smallCaps w:val="0"/>
                <w:color w:val="000000"/>
                <w:sz w:val="24"/>
                <w:u w:val="none"/>
              </w:rPr>
            </w:pPr>
            <w:r>
              <w:rPr>
                <w:smallCaps w:val="0"/>
                <w:color w:val="000000"/>
                <w:sz w:val="24"/>
                <w:u w:val="none"/>
              </w:rPr>
              <w:t>L</w:t>
            </w:r>
            <w:r w:rsidR="00C46552">
              <w:rPr>
                <w:smallCaps w:val="0"/>
                <w:color w:val="000000"/>
                <w:sz w:val="24"/>
                <w:u w:val="none"/>
              </w:rPr>
              <w:t>b</w:t>
            </w:r>
          </w:p>
        </w:tc>
      </w:tr>
      <w:tr w:rsidR="00C46552" w14:paraId="46AD6409" w14:textId="77777777">
        <w:trPr>
          <w:trHeight w:val="435"/>
        </w:trPr>
        <w:tc>
          <w:tcPr>
            <w:tcW w:w="1951" w:type="dxa"/>
          </w:tcPr>
          <w:p w14:paraId="3D945E8A" w14:textId="77777777" w:rsidR="00C46552" w:rsidRDefault="00C46552">
            <w:pPr>
              <w:pStyle w:val="BodyText"/>
              <w:jc w:val="both"/>
              <w:rPr>
                <w:b w:val="0"/>
                <w:smallCaps w:val="0"/>
                <w:color w:val="000000"/>
                <w:sz w:val="24"/>
                <w:u w:val="none"/>
              </w:rPr>
            </w:pPr>
            <w:r>
              <w:rPr>
                <w:b w:val="0"/>
                <w:smallCaps w:val="0"/>
                <w:color w:val="000000"/>
                <w:sz w:val="24"/>
                <w:u w:val="none"/>
              </w:rPr>
              <w:t>From:</w:t>
            </w:r>
          </w:p>
        </w:tc>
        <w:tc>
          <w:tcPr>
            <w:tcW w:w="1467" w:type="dxa"/>
            <w:tcBorders>
              <w:right w:val="nil"/>
            </w:tcBorders>
          </w:tcPr>
          <w:p w14:paraId="7FFB9A69" w14:textId="77777777" w:rsidR="00C46552" w:rsidRDefault="00C46552">
            <w:pPr>
              <w:pStyle w:val="BodyText"/>
              <w:jc w:val="both"/>
              <w:rPr>
                <w:b w:val="0"/>
                <w:smallCaps w:val="0"/>
                <w:color w:val="000000"/>
                <w:sz w:val="24"/>
                <w:u w:val="none"/>
              </w:rPr>
            </w:pPr>
            <w:r>
              <w:rPr>
                <w:b w:val="0"/>
                <w:smallCaps w:val="0"/>
                <w:color w:val="000000"/>
                <w:sz w:val="24"/>
                <w:u w:val="none"/>
              </w:rPr>
              <w:t>multiply by:</w:t>
            </w:r>
          </w:p>
        </w:tc>
        <w:tc>
          <w:tcPr>
            <w:tcW w:w="1467" w:type="dxa"/>
            <w:tcBorders>
              <w:top w:val="nil"/>
              <w:left w:val="nil"/>
              <w:bottom w:val="nil"/>
              <w:right w:val="nil"/>
            </w:tcBorders>
          </w:tcPr>
          <w:p w14:paraId="725FBCE1" w14:textId="77777777" w:rsidR="00C46552" w:rsidRDefault="00C46552">
            <w:pPr>
              <w:pStyle w:val="BodyText"/>
              <w:jc w:val="both"/>
              <w:rPr>
                <w:b w:val="0"/>
                <w:smallCaps w:val="0"/>
                <w:color w:val="000000"/>
                <w:sz w:val="24"/>
                <w:u w:val="none"/>
              </w:rPr>
            </w:pPr>
          </w:p>
        </w:tc>
        <w:tc>
          <w:tcPr>
            <w:tcW w:w="1468" w:type="dxa"/>
            <w:tcBorders>
              <w:top w:val="nil"/>
              <w:left w:val="nil"/>
              <w:bottom w:val="nil"/>
              <w:right w:val="nil"/>
            </w:tcBorders>
          </w:tcPr>
          <w:p w14:paraId="5DDE04FD" w14:textId="77777777" w:rsidR="00C46552" w:rsidRDefault="00C46552">
            <w:pPr>
              <w:pStyle w:val="BodyText"/>
              <w:jc w:val="both"/>
              <w:rPr>
                <w:b w:val="0"/>
                <w:smallCaps w:val="0"/>
                <w:color w:val="000000"/>
                <w:sz w:val="24"/>
                <w:u w:val="none"/>
              </w:rPr>
            </w:pPr>
          </w:p>
        </w:tc>
        <w:tc>
          <w:tcPr>
            <w:tcW w:w="1467" w:type="dxa"/>
            <w:tcBorders>
              <w:top w:val="nil"/>
              <w:left w:val="nil"/>
              <w:bottom w:val="nil"/>
              <w:right w:val="nil"/>
            </w:tcBorders>
          </w:tcPr>
          <w:p w14:paraId="2972447D" w14:textId="77777777" w:rsidR="00C46552" w:rsidRDefault="00C46552">
            <w:pPr>
              <w:pStyle w:val="BodyText"/>
              <w:jc w:val="both"/>
              <w:rPr>
                <w:b w:val="0"/>
                <w:smallCaps w:val="0"/>
                <w:color w:val="000000"/>
                <w:sz w:val="24"/>
                <w:u w:val="none"/>
              </w:rPr>
            </w:pPr>
          </w:p>
        </w:tc>
        <w:tc>
          <w:tcPr>
            <w:tcW w:w="1468" w:type="dxa"/>
            <w:tcBorders>
              <w:left w:val="nil"/>
            </w:tcBorders>
          </w:tcPr>
          <w:p w14:paraId="1FBA3C70" w14:textId="77777777" w:rsidR="00C46552" w:rsidRDefault="00C46552">
            <w:pPr>
              <w:pStyle w:val="BodyText"/>
              <w:jc w:val="both"/>
              <w:rPr>
                <w:b w:val="0"/>
                <w:smallCaps w:val="0"/>
                <w:color w:val="000000"/>
                <w:sz w:val="24"/>
                <w:u w:val="none"/>
              </w:rPr>
            </w:pPr>
          </w:p>
        </w:tc>
      </w:tr>
      <w:tr w:rsidR="00C46552" w14:paraId="01335653" w14:textId="77777777">
        <w:tc>
          <w:tcPr>
            <w:tcW w:w="1951" w:type="dxa"/>
          </w:tcPr>
          <w:p w14:paraId="04E394D3" w14:textId="77777777" w:rsidR="00C46552" w:rsidRDefault="00C46552">
            <w:pPr>
              <w:pStyle w:val="BodyText"/>
              <w:jc w:val="both"/>
              <w:rPr>
                <w:smallCaps w:val="0"/>
                <w:color w:val="000000"/>
                <w:sz w:val="24"/>
                <w:u w:val="none"/>
              </w:rPr>
            </w:pPr>
            <w:r>
              <w:rPr>
                <w:smallCaps w:val="0"/>
                <w:color w:val="000000"/>
                <w:sz w:val="24"/>
                <w:u w:val="none"/>
              </w:rPr>
              <w:t>Kilogramme (kg)</w:t>
            </w:r>
          </w:p>
        </w:tc>
        <w:tc>
          <w:tcPr>
            <w:tcW w:w="1467" w:type="dxa"/>
          </w:tcPr>
          <w:p w14:paraId="29D1172E" w14:textId="77777777" w:rsidR="00C46552" w:rsidRDefault="00C46552">
            <w:pPr>
              <w:pStyle w:val="BodyText"/>
              <w:rPr>
                <w:b w:val="0"/>
                <w:smallCaps w:val="0"/>
                <w:color w:val="000000"/>
                <w:sz w:val="24"/>
                <w:u w:val="none"/>
              </w:rPr>
            </w:pPr>
            <w:r>
              <w:rPr>
                <w:b w:val="0"/>
                <w:smallCaps w:val="0"/>
                <w:color w:val="000000"/>
                <w:sz w:val="24"/>
                <w:u w:val="none"/>
              </w:rPr>
              <w:t>1</w:t>
            </w:r>
          </w:p>
        </w:tc>
        <w:tc>
          <w:tcPr>
            <w:tcW w:w="1467" w:type="dxa"/>
            <w:tcBorders>
              <w:top w:val="single" w:sz="4" w:space="0" w:color="auto"/>
            </w:tcBorders>
          </w:tcPr>
          <w:p w14:paraId="5572FFD9" w14:textId="77777777" w:rsidR="00C46552" w:rsidRDefault="00C46552">
            <w:pPr>
              <w:pStyle w:val="BodyText"/>
              <w:rPr>
                <w:b w:val="0"/>
                <w:smallCaps w:val="0"/>
                <w:color w:val="000000"/>
                <w:sz w:val="24"/>
                <w:u w:val="none"/>
              </w:rPr>
            </w:pPr>
            <w:r>
              <w:rPr>
                <w:b w:val="0"/>
                <w:smallCaps w:val="0"/>
                <w:color w:val="000000"/>
                <w:sz w:val="24"/>
                <w:u w:val="none"/>
              </w:rPr>
              <w:t>0.001</w:t>
            </w:r>
          </w:p>
        </w:tc>
        <w:tc>
          <w:tcPr>
            <w:tcW w:w="1468" w:type="dxa"/>
            <w:tcBorders>
              <w:top w:val="single" w:sz="4" w:space="0" w:color="auto"/>
            </w:tcBorders>
          </w:tcPr>
          <w:p w14:paraId="37CE1441" w14:textId="77777777" w:rsidR="00C46552" w:rsidRDefault="00C46552">
            <w:pPr>
              <w:pStyle w:val="BodyText"/>
              <w:rPr>
                <w:b w:val="0"/>
                <w:smallCaps w:val="0"/>
                <w:color w:val="000000"/>
                <w:sz w:val="24"/>
                <w:u w:val="none"/>
              </w:rPr>
            </w:pPr>
            <w:r>
              <w:rPr>
                <w:b w:val="0"/>
                <w:smallCaps w:val="0"/>
                <w:color w:val="000000"/>
                <w:sz w:val="24"/>
                <w:u w:val="none"/>
              </w:rPr>
              <w:t>9.84 x 10</w:t>
            </w:r>
            <w:r>
              <w:rPr>
                <w:b w:val="0"/>
                <w:smallCaps w:val="0"/>
                <w:color w:val="000000"/>
                <w:sz w:val="24"/>
                <w:u w:val="none"/>
                <w:vertAlign w:val="superscript"/>
              </w:rPr>
              <w:t>-4</w:t>
            </w:r>
          </w:p>
        </w:tc>
        <w:tc>
          <w:tcPr>
            <w:tcW w:w="1467" w:type="dxa"/>
            <w:tcBorders>
              <w:top w:val="single" w:sz="4" w:space="0" w:color="auto"/>
            </w:tcBorders>
          </w:tcPr>
          <w:p w14:paraId="77EBD515" w14:textId="77777777" w:rsidR="00C46552" w:rsidRDefault="00C46552">
            <w:pPr>
              <w:pStyle w:val="BodyText"/>
              <w:rPr>
                <w:b w:val="0"/>
                <w:smallCaps w:val="0"/>
                <w:color w:val="000000"/>
                <w:sz w:val="24"/>
                <w:u w:val="none"/>
              </w:rPr>
            </w:pPr>
            <w:r>
              <w:rPr>
                <w:b w:val="0"/>
                <w:smallCaps w:val="0"/>
                <w:color w:val="000000"/>
                <w:sz w:val="24"/>
                <w:u w:val="none"/>
              </w:rPr>
              <w:t>1.102 x 10</w:t>
            </w:r>
            <w:r>
              <w:rPr>
                <w:b w:val="0"/>
                <w:smallCaps w:val="0"/>
                <w:color w:val="000000"/>
                <w:sz w:val="24"/>
                <w:u w:val="none"/>
                <w:vertAlign w:val="superscript"/>
              </w:rPr>
              <w:t>-3</w:t>
            </w:r>
          </w:p>
        </w:tc>
        <w:tc>
          <w:tcPr>
            <w:tcW w:w="1468" w:type="dxa"/>
          </w:tcPr>
          <w:p w14:paraId="2D5A6DCE" w14:textId="77777777" w:rsidR="00C46552" w:rsidRDefault="00C46552">
            <w:pPr>
              <w:pStyle w:val="BodyText"/>
              <w:rPr>
                <w:b w:val="0"/>
                <w:smallCaps w:val="0"/>
                <w:color w:val="000000"/>
                <w:sz w:val="24"/>
                <w:u w:val="none"/>
              </w:rPr>
            </w:pPr>
            <w:r>
              <w:rPr>
                <w:b w:val="0"/>
                <w:smallCaps w:val="0"/>
                <w:color w:val="000000"/>
                <w:sz w:val="24"/>
                <w:u w:val="none"/>
              </w:rPr>
              <w:t>2.2046</w:t>
            </w:r>
          </w:p>
        </w:tc>
      </w:tr>
      <w:tr w:rsidR="00C46552" w14:paraId="7C174801" w14:textId="77777777">
        <w:tc>
          <w:tcPr>
            <w:tcW w:w="1951" w:type="dxa"/>
          </w:tcPr>
          <w:p w14:paraId="29836381" w14:textId="77777777" w:rsidR="00C46552" w:rsidRDefault="00C46552">
            <w:pPr>
              <w:pStyle w:val="BodyText"/>
              <w:jc w:val="both"/>
              <w:rPr>
                <w:smallCaps w:val="0"/>
                <w:color w:val="000000"/>
                <w:sz w:val="24"/>
                <w:u w:val="none"/>
              </w:rPr>
            </w:pPr>
            <w:r>
              <w:rPr>
                <w:smallCaps w:val="0"/>
                <w:color w:val="000000"/>
                <w:sz w:val="24"/>
                <w:u w:val="none"/>
              </w:rPr>
              <w:t>Tonne (t)</w:t>
            </w:r>
          </w:p>
        </w:tc>
        <w:tc>
          <w:tcPr>
            <w:tcW w:w="1467" w:type="dxa"/>
          </w:tcPr>
          <w:p w14:paraId="308D0BEE" w14:textId="77777777" w:rsidR="00C46552" w:rsidRDefault="00C46552">
            <w:pPr>
              <w:pStyle w:val="BodyText"/>
              <w:rPr>
                <w:b w:val="0"/>
                <w:smallCaps w:val="0"/>
                <w:color w:val="000000"/>
                <w:sz w:val="24"/>
                <w:u w:val="none"/>
              </w:rPr>
            </w:pPr>
            <w:r>
              <w:rPr>
                <w:b w:val="0"/>
                <w:smallCaps w:val="0"/>
                <w:color w:val="000000"/>
                <w:sz w:val="24"/>
                <w:u w:val="none"/>
              </w:rPr>
              <w:t>1000</w:t>
            </w:r>
          </w:p>
        </w:tc>
        <w:tc>
          <w:tcPr>
            <w:tcW w:w="1467" w:type="dxa"/>
          </w:tcPr>
          <w:p w14:paraId="2E0F740E" w14:textId="77777777" w:rsidR="00C46552" w:rsidRDefault="00C46552">
            <w:pPr>
              <w:pStyle w:val="BodyText"/>
              <w:rPr>
                <w:b w:val="0"/>
                <w:smallCaps w:val="0"/>
                <w:color w:val="000000"/>
                <w:sz w:val="24"/>
                <w:u w:val="none"/>
              </w:rPr>
            </w:pPr>
            <w:r>
              <w:rPr>
                <w:b w:val="0"/>
                <w:smallCaps w:val="0"/>
                <w:color w:val="000000"/>
                <w:sz w:val="24"/>
                <w:u w:val="none"/>
              </w:rPr>
              <w:t>1</w:t>
            </w:r>
          </w:p>
        </w:tc>
        <w:tc>
          <w:tcPr>
            <w:tcW w:w="1468" w:type="dxa"/>
          </w:tcPr>
          <w:p w14:paraId="21E3FCF7" w14:textId="77777777" w:rsidR="00C46552" w:rsidRDefault="00C46552">
            <w:pPr>
              <w:pStyle w:val="BodyText"/>
              <w:rPr>
                <w:b w:val="0"/>
                <w:smallCaps w:val="0"/>
                <w:color w:val="000000"/>
                <w:sz w:val="24"/>
                <w:u w:val="none"/>
              </w:rPr>
            </w:pPr>
            <w:r>
              <w:rPr>
                <w:b w:val="0"/>
                <w:smallCaps w:val="0"/>
                <w:color w:val="000000"/>
                <w:sz w:val="24"/>
                <w:u w:val="none"/>
              </w:rPr>
              <w:t>0.984</w:t>
            </w:r>
          </w:p>
        </w:tc>
        <w:tc>
          <w:tcPr>
            <w:tcW w:w="1467" w:type="dxa"/>
          </w:tcPr>
          <w:p w14:paraId="426C5095" w14:textId="77777777" w:rsidR="00C46552" w:rsidRDefault="00C46552">
            <w:pPr>
              <w:pStyle w:val="BodyText"/>
              <w:rPr>
                <w:b w:val="0"/>
                <w:smallCaps w:val="0"/>
                <w:color w:val="000000"/>
                <w:sz w:val="24"/>
                <w:u w:val="none"/>
              </w:rPr>
            </w:pPr>
            <w:r>
              <w:rPr>
                <w:b w:val="0"/>
                <w:smallCaps w:val="0"/>
                <w:color w:val="000000"/>
                <w:sz w:val="24"/>
                <w:u w:val="none"/>
              </w:rPr>
              <w:t>1.1023</w:t>
            </w:r>
          </w:p>
        </w:tc>
        <w:tc>
          <w:tcPr>
            <w:tcW w:w="1468" w:type="dxa"/>
          </w:tcPr>
          <w:p w14:paraId="505C32D7" w14:textId="77777777" w:rsidR="00C46552" w:rsidRDefault="00C46552">
            <w:pPr>
              <w:pStyle w:val="BodyText"/>
              <w:rPr>
                <w:b w:val="0"/>
                <w:smallCaps w:val="0"/>
                <w:color w:val="000000"/>
                <w:sz w:val="24"/>
                <w:u w:val="none"/>
              </w:rPr>
            </w:pPr>
            <w:r>
              <w:rPr>
                <w:b w:val="0"/>
                <w:smallCaps w:val="0"/>
                <w:color w:val="000000"/>
                <w:sz w:val="24"/>
                <w:u w:val="none"/>
              </w:rPr>
              <w:t>2204.6</w:t>
            </w:r>
          </w:p>
        </w:tc>
      </w:tr>
      <w:tr w:rsidR="00C46552" w14:paraId="6B99C9C8" w14:textId="77777777">
        <w:tc>
          <w:tcPr>
            <w:tcW w:w="1951" w:type="dxa"/>
          </w:tcPr>
          <w:p w14:paraId="24324FC4" w14:textId="77777777" w:rsidR="00C46552" w:rsidRDefault="00C46552">
            <w:pPr>
              <w:pStyle w:val="BodyText"/>
              <w:jc w:val="both"/>
              <w:rPr>
                <w:smallCaps w:val="0"/>
                <w:color w:val="000000"/>
                <w:sz w:val="24"/>
                <w:u w:val="none"/>
              </w:rPr>
            </w:pPr>
            <w:r>
              <w:rPr>
                <w:smallCaps w:val="0"/>
                <w:color w:val="000000"/>
                <w:sz w:val="24"/>
                <w:u w:val="none"/>
              </w:rPr>
              <w:t>Long ton (lt)</w:t>
            </w:r>
          </w:p>
        </w:tc>
        <w:tc>
          <w:tcPr>
            <w:tcW w:w="1467" w:type="dxa"/>
          </w:tcPr>
          <w:p w14:paraId="392AE05B" w14:textId="77777777" w:rsidR="00C46552" w:rsidRDefault="00C46552">
            <w:pPr>
              <w:pStyle w:val="BodyText"/>
              <w:rPr>
                <w:b w:val="0"/>
                <w:smallCaps w:val="0"/>
                <w:color w:val="000000"/>
                <w:sz w:val="24"/>
                <w:u w:val="none"/>
              </w:rPr>
            </w:pPr>
            <w:r>
              <w:rPr>
                <w:b w:val="0"/>
                <w:smallCaps w:val="0"/>
                <w:color w:val="000000"/>
                <w:sz w:val="24"/>
                <w:u w:val="none"/>
              </w:rPr>
              <w:t>1016</w:t>
            </w:r>
          </w:p>
        </w:tc>
        <w:tc>
          <w:tcPr>
            <w:tcW w:w="1467" w:type="dxa"/>
          </w:tcPr>
          <w:p w14:paraId="3CEDC7D8" w14:textId="77777777" w:rsidR="00C46552" w:rsidRDefault="00C46552">
            <w:pPr>
              <w:pStyle w:val="BodyText"/>
              <w:rPr>
                <w:b w:val="0"/>
                <w:smallCaps w:val="0"/>
                <w:color w:val="000000"/>
                <w:sz w:val="24"/>
                <w:u w:val="none"/>
              </w:rPr>
            </w:pPr>
            <w:r>
              <w:rPr>
                <w:b w:val="0"/>
                <w:smallCaps w:val="0"/>
                <w:color w:val="000000"/>
                <w:sz w:val="24"/>
                <w:u w:val="none"/>
              </w:rPr>
              <w:t>1.016</w:t>
            </w:r>
          </w:p>
        </w:tc>
        <w:tc>
          <w:tcPr>
            <w:tcW w:w="1468" w:type="dxa"/>
          </w:tcPr>
          <w:p w14:paraId="09187992" w14:textId="77777777" w:rsidR="00C46552" w:rsidRDefault="00C46552">
            <w:pPr>
              <w:pStyle w:val="BodyText"/>
              <w:rPr>
                <w:b w:val="0"/>
                <w:smallCaps w:val="0"/>
                <w:color w:val="000000"/>
                <w:sz w:val="24"/>
                <w:u w:val="none"/>
              </w:rPr>
            </w:pPr>
            <w:r>
              <w:rPr>
                <w:b w:val="0"/>
                <w:smallCaps w:val="0"/>
                <w:color w:val="000000"/>
                <w:sz w:val="24"/>
                <w:u w:val="none"/>
              </w:rPr>
              <w:t>1</w:t>
            </w:r>
          </w:p>
        </w:tc>
        <w:tc>
          <w:tcPr>
            <w:tcW w:w="1467" w:type="dxa"/>
          </w:tcPr>
          <w:p w14:paraId="0AFC9030" w14:textId="77777777" w:rsidR="00C46552" w:rsidRDefault="00C46552">
            <w:pPr>
              <w:pStyle w:val="BodyText"/>
              <w:rPr>
                <w:b w:val="0"/>
                <w:smallCaps w:val="0"/>
                <w:color w:val="000000"/>
                <w:sz w:val="24"/>
                <w:u w:val="none"/>
              </w:rPr>
            </w:pPr>
            <w:r>
              <w:rPr>
                <w:b w:val="0"/>
                <w:smallCaps w:val="0"/>
                <w:color w:val="000000"/>
                <w:sz w:val="24"/>
                <w:u w:val="none"/>
              </w:rPr>
              <w:t>1.120</w:t>
            </w:r>
          </w:p>
        </w:tc>
        <w:tc>
          <w:tcPr>
            <w:tcW w:w="1468" w:type="dxa"/>
          </w:tcPr>
          <w:p w14:paraId="1634331E" w14:textId="77777777" w:rsidR="00C46552" w:rsidRDefault="00C46552">
            <w:pPr>
              <w:pStyle w:val="BodyText"/>
              <w:rPr>
                <w:b w:val="0"/>
                <w:smallCaps w:val="0"/>
                <w:color w:val="000000"/>
                <w:sz w:val="24"/>
                <w:u w:val="none"/>
              </w:rPr>
            </w:pPr>
            <w:r>
              <w:rPr>
                <w:b w:val="0"/>
                <w:smallCaps w:val="0"/>
                <w:color w:val="000000"/>
                <w:sz w:val="24"/>
                <w:u w:val="none"/>
              </w:rPr>
              <w:t>2240.0</w:t>
            </w:r>
          </w:p>
        </w:tc>
      </w:tr>
      <w:tr w:rsidR="00C46552" w14:paraId="2C903359" w14:textId="77777777">
        <w:tc>
          <w:tcPr>
            <w:tcW w:w="1951" w:type="dxa"/>
          </w:tcPr>
          <w:p w14:paraId="05DEED3A" w14:textId="77777777" w:rsidR="00C46552" w:rsidRDefault="00C46552">
            <w:pPr>
              <w:pStyle w:val="BodyText"/>
              <w:jc w:val="both"/>
              <w:rPr>
                <w:smallCaps w:val="0"/>
                <w:color w:val="000000"/>
                <w:sz w:val="24"/>
                <w:u w:val="none"/>
              </w:rPr>
            </w:pPr>
            <w:r>
              <w:rPr>
                <w:smallCaps w:val="0"/>
                <w:color w:val="000000"/>
                <w:sz w:val="24"/>
                <w:u w:val="none"/>
              </w:rPr>
              <w:t>Short ton (st)</w:t>
            </w:r>
          </w:p>
        </w:tc>
        <w:tc>
          <w:tcPr>
            <w:tcW w:w="1467" w:type="dxa"/>
          </w:tcPr>
          <w:p w14:paraId="543F8F61" w14:textId="77777777" w:rsidR="00C46552" w:rsidRDefault="00C46552">
            <w:pPr>
              <w:pStyle w:val="BodyText"/>
              <w:rPr>
                <w:b w:val="0"/>
                <w:smallCaps w:val="0"/>
                <w:color w:val="000000"/>
                <w:sz w:val="24"/>
                <w:u w:val="none"/>
              </w:rPr>
            </w:pPr>
            <w:r>
              <w:rPr>
                <w:b w:val="0"/>
                <w:smallCaps w:val="0"/>
                <w:color w:val="000000"/>
                <w:sz w:val="24"/>
                <w:u w:val="none"/>
              </w:rPr>
              <w:t>907.2</w:t>
            </w:r>
          </w:p>
        </w:tc>
        <w:tc>
          <w:tcPr>
            <w:tcW w:w="1467" w:type="dxa"/>
          </w:tcPr>
          <w:p w14:paraId="256C56C1" w14:textId="77777777" w:rsidR="00C46552" w:rsidRDefault="00C46552">
            <w:pPr>
              <w:pStyle w:val="BodyText"/>
              <w:rPr>
                <w:b w:val="0"/>
                <w:smallCaps w:val="0"/>
                <w:color w:val="000000"/>
                <w:sz w:val="24"/>
                <w:u w:val="none"/>
              </w:rPr>
            </w:pPr>
            <w:r>
              <w:rPr>
                <w:b w:val="0"/>
                <w:smallCaps w:val="0"/>
                <w:color w:val="000000"/>
                <w:sz w:val="24"/>
                <w:u w:val="none"/>
              </w:rPr>
              <w:t>0.9072</w:t>
            </w:r>
          </w:p>
        </w:tc>
        <w:tc>
          <w:tcPr>
            <w:tcW w:w="1468" w:type="dxa"/>
          </w:tcPr>
          <w:p w14:paraId="4848EDC6" w14:textId="77777777" w:rsidR="00C46552" w:rsidRDefault="00C46552">
            <w:pPr>
              <w:pStyle w:val="BodyText"/>
              <w:rPr>
                <w:b w:val="0"/>
                <w:smallCaps w:val="0"/>
                <w:color w:val="000000"/>
                <w:sz w:val="24"/>
                <w:u w:val="none"/>
              </w:rPr>
            </w:pPr>
            <w:r>
              <w:rPr>
                <w:b w:val="0"/>
                <w:smallCaps w:val="0"/>
                <w:color w:val="000000"/>
                <w:sz w:val="24"/>
                <w:u w:val="none"/>
              </w:rPr>
              <w:t>0.893</w:t>
            </w:r>
          </w:p>
        </w:tc>
        <w:tc>
          <w:tcPr>
            <w:tcW w:w="1467" w:type="dxa"/>
          </w:tcPr>
          <w:p w14:paraId="30D69F98" w14:textId="77777777" w:rsidR="00C46552" w:rsidRDefault="00C46552">
            <w:pPr>
              <w:pStyle w:val="BodyText"/>
              <w:rPr>
                <w:b w:val="0"/>
                <w:smallCaps w:val="0"/>
                <w:color w:val="000000"/>
                <w:sz w:val="24"/>
                <w:u w:val="none"/>
              </w:rPr>
            </w:pPr>
            <w:r>
              <w:rPr>
                <w:b w:val="0"/>
                <w:smallCaps w:val="0"/>
                <w:color w:val="000000"/>
                <w:sz w:val="24"/>
                <w:u w:val="none"/>
              </w:rPr>
              <w:t>1</w:t>
            </w:r>
          </w:p>
        </w:tc>
        <w:tc>
          <w:tcPr>
            <w:tcW w:w="1468" w:type="dxa"/>
          </w:tcPr>
          <w:p w14:paraId="34B55BD1" w14:textId="77777777" w:rsidR="00C46552" w:rsidRDefault="00C46552">
            <w:pPr>
              <w:pStyle w:val="BodyText"/>
              <w:rPr>
                <w:b w:val="0"/>
                <w:smallCaps w:val="0"/>
                <w:color w:val="000000"/>
                <w:sz w:val="24"/>
                <w:u w:val="none"/>
              </w:rPr>
            </w:pPr>
            <w:r>
              <w:rPr>
                <w:b w:val="0"/>
                <w:smallCaps w:val="0"/>
                <w:color w:val="000000"/>
                <w:sz w:val="24"/>
                <w:u w:val="none"/>
              </w:rPr>
              <w:t>2000.0</w:t>
            </w:r>
          </w:p>
        </w:tc>
      </w:tr>
      <w:tr w:rsidR="00C46552" w14:paraId="42D79C19" w14:textId="77777777">
        <w:tc>
          <w:tcPr>
            <w:tcW w:w="1951" w:type="dxa"/>
          </w:tcPr>
          <w:p w14:paraId="330EAFAE" w14:textId="77777777" w:rsidR="00C46552" w:rsidRDefault="00C46552">
            <w:pPr>
              <w:pStyle w:val="BodyText"/>
              <w:jc w:val="both"/>
              <w:rPr>
                <w:smallCaps w:val="0"/>
                <w:color w:val="000000"/>
                <w:sz w:val="24"/>
                <w:u w:val="none"/>
              </w:rPr>
            </w:pPr>
            <w:r>
              <w:rPr>
                <w:smallCaps w:val="0"/>
                <w:color w:val="000000"/>
                <w:sz w:val="24"/>
                <w:u w:val="none"/>
              </w:rPr>
              <w:t>Pound (lb)</w:t>
            </w:r>
          </w:p>
        </w:tc>
        <w:tc>
          <w:tcPr>
            <w:tcW w:w="1467" w:type="dxa"/>
          </w:tcPr>
          <w:p w14:paraId="55767196" w14:textId="77777777" w:rsidR="00C46552" w:rsidRDefault="00C46552">
            <w:pPr>
              <w:pStyle w:val="BodyText"/>
              <w:rPr>
                <w:b w:val="0"/>
                <w:smallCaps w:val="0"/>
                <w:color w:val="000000"/>
                <w:sz w:val="24"/>
                <w:u w:val="none"/>
              </w:rPr>
            </w:pPr>
            <w:r>
              <w:rPr>
                <w:b w:val="0"/>
                <w:smallCaps w:val="0"/>
                <w:color w:val="000000"/>
                <w:sz w:val="24"/>
                <w:u w:val="none"/>
              </w:rPr>
              <w:t>0.454</w:t>
            </w:r>
          </w:p>
        </w:tc>
        <w:tc>
          <w:tcPr>
            <w:tcW w:w="1467" w:type="dxa"/>
          </w:tcPr>
          <w:p w14:paraId="3BF07D5B" w14:textId="77777777" w:rsidR="00C46552" w:rsidRDefault="00C46552">
            <w:pPr>
              <w:pStyle w:val="BodyText"/>
              <w:rPr>
                <w:b w:val="0"/>
                <w:smallCaps w:val="0"/>
                <w:color w:val="000000"/>
                <w:sz w:val="24"/>
                <w:u w:val="none"/>
              </w:rPr>
            </w:pPr>
            <w:r>
              <w:rPr>
                <w:b w:val="0"/>
                <w:smallCaps w:val="0"/>
                <w:color w:val="000000"/>
                <w:sz w:val="24"/>
                <w:u w:val="none"/>
              </w:rPr>
              <w:t>4.54 x 10</w:t>
            </w:r>
            <w:r>
              <w:rPr>
                <w:b w:val="0"/>
                <w:smallCaps w:val="0"/>
                <w:color w:val="000000"/>
                <w:sz w:val="24"/>
                <w:u w:val="none"/>
                <w:vertAlign w:val="superscript"/>
              </w:rPr>
              <w:t>-4</w:t>
            </w:r>
          </w:p>
        </w:tc>
        <w:tc>
          <w:tcPr>
            <w:tcW w:w="1468" w:type="dxa"/>
          </w:tcPr>
          <w:p w14:paraId="1405DB30" w14:textId="77777777" w:rsidR="00C46552" w:rsidRDefault="00C46552">
            <w:pPr>
              <w:pStyle w:val="BodyText"/>
              <w:rPr>
                <w:b w:val="0"/>
                <w:smallCaps w:val="0"/>
                <w:color w:val="000000"/>
                <w:sz w:val="24"/>
                <w:u w:val="none"/>
              </w:rPr>
            </w:pPr>
            <w:r>
              <w:rPr>
                <w:b w:val="0"/>
                <w:smallCaps w:val="0"/>
                <w:color w:val="000000"/>
                <w:sz w:val="24"/>
                <w:u w:val="none"/>
              </w:rPr>
              <w:t>4.46 x 10</w:t>
            </w:r>
            <w:r>
              <w:rPr>
                <w:b w:val="0"/>
                <w:smallCaps w:val="0"/>
                <w:color w:val="000000"/>
                <w:sz w:val="24"/>
                <w:u w:val="none"/>
                <w:vertAlign w:val="superscript"/>
              </w:rPr>
              <w:t>-4</w:t>
            </w:r>
          </w:p>
        </w:tc>
        <w:tc>
          <w:tcPr>
            <w:tcW w:w="1467" w:type="dxa"/>
          </w:tcPr>
          <w:p w14:paraId="3FB66CB8" w14:textId="77777777" w:rsidR="00C46552" w:rsidRDefault="00C46552">
            <w:pPr>
              <w:pStyle w:val="BodyText"/>
              <w:rPr>
                <w:b w:val="0"/>
                <w:smallCaps w:val="0"/>
                <w:color w:val="000000"/>
                <w:sz w:val="24"/>
                <w:u w:val="none"/>
              </w:rPr>
            </w:pPr>
            <w:r>
              <w:rPr>
                <w:b w:val="0"/>
                <w:smallCaps w:val="0"/>
                <w:color w:val="000000"/>
                <w:sz w:val="24"/>
                <w:u w:val="none"/>
              </w:rPr>
              <w:t>5.0 x 10</w:t>
            </w:r>
            <w:r>
              <w:rPr>
                <w:b w:val="0"/>
                <w:smallCaps w:val="0"/>
                <w:color w:val="000000"/>
                <w:sz w:val="24"/>
                <w:u w:val="none"/>
                <w:vertAlign w:val="superscript"/>
              </w:rPr>
              <w:t>-4</w:t>
            </w:r>
          </w:p>
        </w:tc>
        <w:tc>
          <w:tcPr>
            <w:tcW w:w="1468" w:type="dxa"/>
          </w:tcPr>
          <w:p w14:paraId="5475B618" w14:textId="77777777" w:rsidR="00C46552" w:rsidRDefault="00C46552">
            <w:pPr>
              <w:pStyle w:val="BodyText"/>
              <w:rPr>
                <w:b w:val="0"/>
                <w:smallCaps w:val="0"/>
                <w:color w:val="000000"/>
                <w:sz w:val="24"/>
                <w:u w:val="none"/>
              </w:rPr>
            </w:pPr>
            <w:r>
              <w:rPr>
                <w:b w:val="0"/>
                <w:smallCaps w:val="0"/>
                <w:color w:val="000000"/>
                <w:sz w:val="24"/>
                <w:u w:val="none"/>
              </w:rPr>
              <w:t>1</w:t>
            </w:r>
          </w:p>
        </w:tc>
      </w:tr>
    </w:tbl>
    <w:p w14:paraId="648C3BB4" w14:textId="77777777" w:rsidR="00CC7F6D" w:rsidRDefault="00CC7F6D" w:rsidP="00CC7F6D">
      <w:pPr>
        <w:pStyle w:val="Heading1"/>
        <w:numPr>
          <w:ilvl w:val="0"/>
          <w:numId w:val="0"/>
        </w:numPr>
      </w:pPr>
      <w:bookmarkStart w:id="33" w:name="_Toc10122649"/>
      <w:r>
        <w:lastRenderedPageBreak/>
        <w:t>Fuel categories</w:t>
      </w:r>
      <w:r>
        <w:rPr>
          <w:rStyle w:val="FootnoteReference"/>
        </w:rPr>
        <w:footnoteReference w:id="2"/>
      </w:r>
      <w:r>
        <w:t xml:space="preserve"> used in the Forum Workbook</w:t>
      </w:r>
      <w:bookmarkEnd w:id="33"/>
      <w:r>
        <w:t xml:space="preserve"> </w:t>
      </w:r>
    </w:p>
    <w:p w14:paraId="72DB534F" w14:textId="77777777" w:rsidR="00CC7F6D" w:rsidRPr="00CC7F6D" w:rsidRDefault="00CC7F6D" w:rsidP="00CC7F6D"/>
    <w:p w14:paraId="6318059E" w14:textId="77777777" w:rsidR="009E250D" w:rsidRDefault="009E250D" w:rsidP="002D2644"/>
    <w:p w14:paraId="2B9C6B6C" w14:textId="77777777" w:rsidR="002D2644" w:rsidRPr="00F1185B" w:rsidRDefault="002D2644" w:rsidP="002D2644">
      <w:pPr>
        <w:rPr>
          <w:b/>
        </w:rPr>
      </w:pPr>
      <w:r w:rsidRPr="00F1185B">
        <w:rPr>
          <w:b/>
        </w:rPr>
        <w:t>Coking coal</w:t>
      </w:r>
    </w:p>
    <w:p w14:paraId="2AD1CCBA" w14:textId="77777777" w:rsidR="002D2644" w:rsidRPr="00F1185B" w:rsidRDefault="002D2644" w:rsidP="002D2644">
      <w:pPr>
        <w:rPr>
          <w:sz w:val="12"/>
          <w:szCs w:val="12"/>
        </w:rPr>
      </w:pPr>
    </w:p>
    <w:p w14:paraId="4DA7C1C7" w14:textId="77777777" w:rsidR="002D2644" w:rsidRDefault="002D2644" w:rsidP="002D2644">
      <w:r w:rsidRPr="00F1185B">
        <w:t>Coking coal refers to coal with a quality that allows the production of a coke suitable to support a blast furnace charge. Its gross calorific value is greater than 23 865 kJ/kg (5 700 kcal/kg) on an ash-free but moist basis.</w:t>
      </w:r>
    </w:p>
    <w:p w14:paraId="37C1D0B3" w14:textId="77777777" w:rsidR="002D2644" w:rsidRDefault="002D2644" w:rsidP="002D2644"/>
    <w:p w14:paraId="217041F7" w14:textId="77777777" w:rsidR="002D2644" w:rsidRDefault="002D2644" w:rsidP="002D2644">
      <w:pPr>
        <w:rPr>
          <w:b/>
        </w:rPr>
      </w:pPr>
      <w:r w:rsidRPr="00F1185B">
        <w:rPr>
          <w:b/>
        </w:rPr>
        <w:t>Other Bituminous Coal &amp; Anthracite</w:t>
      </w:r>
    </w:p>
    <w:p w14:paraId="6A9F5986" w14:textId="77777777" w:rsidR="002D2644" w:rsidRPr="00F1185B" w:rsidRDefault="002D2644" w:rsidP="002D2644">
      <w:pPr>
        <w:rPr>
          <w:b/>
          <w:sz w:val="12"/>
          <w:szCs w:val="12"/>
        </w:rPr>
      </w:pPr>
    </w:p>
    <w:p w14:paraId="7E3A5DBD" w14:textId="77777777" w:rsidR="002D2644" w:rsidRPr="00F1185B" w:rsidRDefault="002D2644" w:rsidP="002D2644">
      <w:r w:rsidRPr="00F1185B">
        <w:t>Other bituminous coal is used for steam raising and space heating purposes and includes all anthracite coals and bituminous coals not included under coking coal. Its gross calorific value is greater than 23 865 kJ/kg (5 700 kcal/kg), but usually lower than that of coking coal.</w:t>
      </w:r>
    </w:p>
    <w:p w14:paraId="202B29BA" w14:textId="77777777" w:rsidR="002D2644" w:rsidRPr="00F1185B" w:rsidRDefault="002D2644" w:rsidP="002D2644">
      <w:pPr>
        <w:rPr>
          <w:szCs w:val="24"/>
        </w:rPr>
      </w:pPr>
    </w:p>
    <w:p w14:paraId="32EC8708" w14:textId="77777777" w:rsidR="002D2644" w:rsidRPr="00F1185B" w:rsidRDefault="002D2644" w:rsidP="002D2644">
      <w:pPr>
        <w:rPr>
          <w:b/>
        </w:rPr>
      </w:pPr>
      <w:r w:rsidRPr="00F1185B">
        <w:rPr>
          <w:b/>
        </w:rPr>
        <w:t>Sub-Bituminous Coal</w:t>
      </w:r>
    </w:p>
    <w:p w14:paraId="37051C2B" w14:textId="77777777" w:rsidR="002D2644" w:rsidRPr="00D7510F" w:rsidRDefault="002D2644" w:rsidP="002D2644">
      <w:pPr>
        <w:rPr>
          <w:sz w:val="12"/>
          <w:szCs w:val="12"/>
        </w:rPr>
      </w:pPr>
    </w:p>
    <w:p w14:paraId="5A16646D" w14:textId="77777777" w:rsidR="002D2644" w:rsidRDefault="002D2644" w:rsidP="002D2644">
      <w:r w:rsidRPr="00F1185B">
        <w:t>Non-agglomerating coals with a gross calorific value between 17 435 kJ/kg (4 165 kcal/kg) and 23 865 kJ/kg (5 700 kcal/kg) containing more than 31 per cent volatile matter on a dry mineral matter free basis.</w:t>
      </w:r>
    </w:p>
    <w:p w14:paraId="28179C64" w14:textId="77777777" w:rsidR="002D2644" w:rsidRDefault="002D2644" w:rsidP="002D2644"/>
    <w:p w14:paraId="2CD7664C" w14:textId="77777777" w:rsidR="002D2644" w:rsidRPr="00F1185B" w:rsidRDefault="002D2644" w:rsidP="002D2644">
      <w:pPr>
        <w:rPr>
          <w:b/>
        </w:rPr>
      </w:pPr>
      <w:r w:rsidRPr="00F1185B">
        <w:rPr>
          <w:b/>
        </w:rPr>
        <w:t>Lignite/Brown Coal</w:t>
      </w:r>
    </w:p>
    <w:p w14:paraId="5E7C2D67" w14:textId="77777777" w:rsidR="002D2644" w:rsidRPr="00D7510F" w:rsidRDefault="002D2644" w:rsidP="002D2644">
      <w:pPr>
        <w:rPr>
          <w:sz w:val="12"/>
          <w:szCs w:val="12"/>
        </w:rPr>
      </w:pPr>
    </w:p>
    <w:p w14:paraId="5CE6A04F" w14:textId="77777777" w:rsidR="002D2644" w:rsidRDefault="002D2644" w:rsidP="002D2644">
      <w:r>
        <w:t>Lignite/brown coal is a non-agglomerating coal with a gross calorific value less than 17435 kJ/kg (4 165 kcal/kg), and greater than 31 per cent volatile matter on a dry mineral matter free basis.</w:t>
      </w:r>
    </w:p>
    <w:p w14:paraId="16A0D304" w14:textId="77777777" w:rsidR="002D2644" w:rsidRDefault="002D2644" w:rsidP="002D2644"/>
    <w:p w14:paraId="32CBEB8A" w14:textId="77777777" w:rsidR="002D2644" w:rsidRPr="000F73B3" w:rsidRDefault="002D2644" w:rsidP="002D2644">
      <w:pPr>
        <w:rPr>
          <w:b/>
        </w:rPr>
      </w:pPr>
      <w:r w:rsidRPr="000F73B3">
        <w:rPr>
          <w:b/>
        </w:rPr>
        <w:t>Patent Fuel</w:t>
      </w:r>
    </w:p>
    <w:p w14:paraId="5417D19E" w14:textId="77777777" w:rsidR="002D2644" w:rsidRPr="00D7510F" w:rsidRDefault="002D2644" w:rsidP="002D2644">
      <w:pPr>
        <w:rPr>
          <w:sz w:val="12"/>
          <w:szCs w:val="12"/>
        </w:rPr>
      </w:pPr>
    </w:p>
    <w:p w14:paraId="30D174FD" w14:textId="77777777" w:rsidR="002D2644" w:rsidRDefault="002D2644" w:rsidP="002D2644">
      <w:r w:rsidRPr="000F73B3">
        <w:t xml:space="preserve">Patent fuel is a composition fuel manufactured from hard coal fines with the addition of a binding agent. </w:t>
      </w:r>
    </w:p>
    <w:p w14:paraId="6E81D889" w14:textId="77777777" w:rsidR="002D2644" w:rsidRDefault="002D2644" w:rsidP="002D2644"/>
    <w:p w14:paraId="065CFCAE" w14:textId="77777777" w:rsidR="002D2644" w:rsidRDefault="002D2644" w:rsidP="002D2644">
      <w:pPr>
        <w:rPr>
          <w:b/>
        </w:rPr>
      </w:pPr>
      <w:r w:rsidRPr="000F73B3">
        <w:rPr>
          <w:b/>
        </w:rPr>
        <w:t>Coke Oven Coke and Lignite Coke</w:t>
      </w:r>
    </w:p>
    <w:p w14:paraId="38564AE5" w14:textId="77777777" w:rsidR="002D2644" w:rsidRPr="00D7510F" w:rsidRDefault="002D2644" w:rsidP="002D2644">
      <w:pPr>
        <w:rPr>
          <w:b/>
          <w:sz w:val="12"/>
          <w:szCs w:val="12"/>
        </w:rPr>
      </w:pPr>
    </w:p>
    <w:p w14:paraId="6184090F" w14:textId="77777777" w:rsidR="002D2644" w:rsidRDefault="002D2644" w:rsidP="002D2644">
      <w:r w:rsidRPr="000F73B3">
        <w:t xml:space="preserve">Coke oven coke is the solid product obtained from the carbonisation of coal, principally coking coal, at high temperature. Also included are semi-coke, a solid product obtained from the carbonisation of coal at a low temperature, lignite coke, semi-coke made from lignite/brown coal, coke breeze and foundry coke. </w:t>
      </w:r>
    </w:p>
    <w:p w14:paraId="215C646F" w14:textId="77777777" w:rsidR="002D2644" w:rsidRDefault="002D2644" w:rsidP="002D2644"/>
    <w:p w14:paraId="7085C3F3" w14:textId="77777777" w:rsidR="002D2644" w:rsidRDefault="002D2644" w:rsidP="002D2644">
      <w:pPr>
        <w:rPr>
          <w:b/>
        </w:rPr>
      </w:pPr>
      <w:r w:rsidRPr="000F73B3">
        <w:rPr>
          <w:b/>
        </w:rPr>
        <w:t>Gas coke</w:t>
      </w:r>
    </w:p>
    <w:p w14:paraId="56BB2202" w14:textId="77777777" w:rsidR="002D2644" w:rsidRPr="00D7510F" w:rsidRDefault="002D2644" w:rsidP="002D2644">
      <w:pPr>
        <w:rPr>
          <w:b/>
          <w:sz w:val="12"/>
          <w:szCs w:val="12"/>
        </w:rPr>
      </w:pPr>
    </w:p>
    <w:p w14:paraId="641493BF" w14:textId="77777777" w:rsidR="002D2644" w:rsidRDefault="002D2644" w:rsidP="002D2644">
      <w:r w:rsidRPr="000F73B3">
        <w:t xml:space="preserve">Gas coke is a by-product of hard coal used for the production of town gas in gas works. Gas coke is used for heating purposes. </w:t>
      </w:r>
    </w:p>
    <w:p w14:paraId="0474EB3F" w14:textId="77777777" w:rsidR="002D2644" w:rsidRDefault="002D2644" w:rsidP="002D2644"/>
    <w:p w14:paraId="14716FBC" w14:textId="77777777" w:rsidR="002D2644" w:rsidRPr="000F73B3" w:rsidRDefault="002D2644" w:rsidP="002D2644">
      <w:r w:rsidRPr="000F73B3">
        <w:rPr>
          <w:b/>
        </w:rPr>
        <w:t>Brown Coal Briquettes (BKB)</w:t>
      </w:r>
      <w:r w:rsidRPr="000F73B3">
        <w:t xml:space="preserve"> </w:t>
      </w:r>
    </w:p>
    <w:p w14:paraId="5ED83A57" w14:textId="77777777" w:rsidR="002D2644" w:rsidRPr="00D7510F" w:rsidRDefault="002D2644" w:rsidP="002D2644">
      <w:pPr>
        <w:rPr>
          <w:sz w:val="12"/>
          <w:szCs w:val="12"/>
        </w:rPr>
      </w:pPr>
    </w:p>
    <w:p w14:paraId="2842FA8B" w14:textId="77777777" w:rsidR="002D2644" w:rsidRDefault="002D2644" w:rsidP="002D2644">
      <w:r w:rsidRPr="000F73B3">
        <w:t xml:space="preserve">BKB are composition fuels manufactured from lignite/brown coal, produced by briquetting under high pressure. </w:t>
      </w:r>
    </w:p>
    <w:p w14:paraId="2C925F4B" w14:textId="77777777" w:rsidR="002D2644" w:rsidRDefault="002D2644" w:rsidP="002D2644"/>
    <w:p w14:paraId="065E8DF3" w14:textId="77777777" w:rsidR="009E250D" w:rsidRDefault="009E250D" w:rsidP="002D2644"/>
    <w:p w14:paraId="7478649D" w14:textId="77777777" w:rsidR="009E250D" w:rsidRDefault="009E250D" w:rsidP="002D2644"/>
    <w:p w14:paraId="49B8C3DC" w14:textId="77777777" w:rsidR="002D2644" w:rsidRDefault="002D2644" w:rsidP="002D2644">
      <w:pPr>
        <w:rPr>
          <w:b/>
        </w:rPr>
      </w:pPr>
      <w:r w:rsidRPr="000F73B3">
        <w:rPr>
          <w:b/>
        </w:rPr>
        <w:t>Gas Works Gas</w:t>
      </w:r>
    </w:p>
    <w:p w14:paraId="503EAD42" w14:textId="77777777" w:rsidR="002D2644" w:rsidRPr="00D7510F" w:rsidRDefault="002D2644" w:rsidP="002D2644">
      <w:pPr>
        <w:rPr>
          <w:sz w:val="12"/>
          <w:szCs w:val="12"/>
        </w:rPr>
      </w:pPr>
    </w:p>
    <w:p w14:paraId="0F898AC1" w14:textId="77777777" w:rsidR="002D2644" w:rsidRDefault="002D2644" w:rsidP="002D2644">
      <w:r w:rsidRPr="000F73B3">
        <w:t>Gas works gas covers all types of gas produced in public utility or private plants, whose main purpose is the manufacture, transport and distribution of gas. It includes gas produced by carbonisation (including gas produced by coke ovens and transferred to gas works), by total gasification, by cracking of natural gas, and by reforming and simple mixing of gases and/or air. This heading also includes substitute natural gas, which is a high calorific value gas manufactured by chemical conversion of a hydrocarbon fossil fuel.</w:t>
      </w:r>
    </w:p>
    <w:p w14:paraId="2A9CD66C" w14:textId="77777777" w:rsidR="002D2644" w:rsidRDefault="002D2644" w:rsidP="002D2644"/>
    <w:p w14:paraId="5DDAAB93" w14:textId="77777777" w:rsidR="002D2644" w:rsidRDefault="002D2644" w:rsidP="002D2644">
      <w:pPr>
        <w:rPr>
          <w:b/>
        </w:rPr>
      </w:pPr>
      <w:r w:rsidRPr="00523139">
        <w:rPr>
          <w:b/>
        </w:rPr>
        <w:t>Coke Oven Gas</w:t>
      </w:r>
    </w:p>
    <w:p w14:paraId="28F5050A" w14:textId="77777777" w:rsidR="002D2644" w:rsidRPr="00D7510F" w:rsidRDefault="002D2644" w:rsidP="002D2644">
      <w:pPr>
        <w:rPr>
          <w:sz w:val="12"/>
          <w:szCs w:val="12"/>
        </w:rPr>
      </w:pPr>
    </w:p>
    <w:p w14:paraId="5ACF13EB" w14:textId="77777777" w:rsidR="002D2644" w:rsidRDefault="002D2644" w:rsidP="002D2644">
      <w:r w:rsidRPr="00523139">
        <w:t>Coke oven gas is obtained as a by-product of the manufacture of coke oven coke for the production of iron and steel.</w:t>
      </w:r>
    </w:p>
    <w:p w14:paraId="553BFC8E" w14:textId="77777777" w:rsidR="002D2644" w:rsidRDefault="002D2644" w:rsidP="002D2644"/>
    <w:p w14:paraId="7954B9C9" w14:textId="77777777" w:rsidR="002D2644" w:rsidRPr="00523139" w:rsidRDefault="002D2644" w:rsidP="002D2644">
      <w:pPr>
        <w:rPr>
          <w:b/>
        </w:rPr>
      </w:pPr>
      <w:r w:rsidRPr="00523139">
        <w:rPr>
          <w:b/>
        </w:rPr>
        <w:t>Blast Furnace Gas</w:t>
      </w:r>
    </w:p>
    <w:p w14:paraId="42684AEE" w14:textId="77777777" w:rsidR="002D2644" w:rsidRPr="00D7510F" w:rsidRDefault="002D2644" w:rsidP="002D2644">
      <w:pPr>
        <w:rPr>
          <w:sz w:val="12"/>
          <w:szCs w:val="12"/>
        </w:rPr>
      </w:pPr>
    </w:p>
    <w:p w14:paraId="360F707E" w14:textId="77777777" w:rsidR="002D2644" w:rsidRDefault="002D2644" w:rsidP="002D2644">
      <w:r w:rsidRPr="00523139">
        <w:t>Blast furnace gas is produced during the combustion of coke in blast furnaces in the iron and steel industry. It is recovered and used as a fuel partly within the plant and partly in other steel industry processes or in power stations equipped to burn it.</w:t>
      </w:r>
    </w:p>
    <w:p w14:paraId="095B580F" w14:textId="77777777" w:rsidR="002D2644" w:rsidRPr="00523139" w:rsidRDefault="002D2644" w:rsidP="002D2644"/>
    <w:p w14:paraId="104DF977" w14:textId="77777777" w:rsidR="002D2644" w:rsidRPr="00523139" w:rsidRDefault="002D2644" w:rsidP="002D2644">
      <w:pPr>
        <w:rPr>
          <w:b/>
        </w:rPr>
      </w:pPr>
      <w:r w:rsidRPr="00523139">
        <w:rPr>
          <w:b/>
        </w:rPr>
        <w:t>Natural Gas</w:t>
      </w:r>
    </w:p>
    <w:p w14:paraId="1A67FEAF" w14:textId="77777777" w:rsidR="002D2644" w:rsidRPr="00D7510F" w:rsidRDefault="002D2644" w:rsidP="002D2644">
      <w:pPr>
        <w:rPr>
          <w:sz w:val="12"/>
          <w:szCs w:val="12"/>
        </w:rPr>
      </w:pPr>
    </w:p>
    <w:p w14:paraId="22A238BF" w14:textId="77777777" w:rsidR="002D2644" w:rsidRDefault="002D2644" w:rsidP="002D2644">
      <w:r>
        <w:t>Natural gas comprises gases, occurring in underground deposits, whether liquefied or gaseous, consisting mainly of methane. It includes both "non-associated" gas originating from fields producing only hydrocarbons in gaseous form, and "associated" gas produced in association with crude oil as well as methane recovered from coal mines (colliery gas). Production is measured after extraction of NGL and sulphur, and excludes re-injected gas, quantities vented or flared. It includes gas consumed by gas processing plants and gas transported by pipeline.</w:t>
      </w:r>
    </w:p>
    <w:p w14:paraId="4467C191" w14:textId="77777777" w:rsidR="002D2644" w:rsidRDefault="002D2644" w:rsidP="002D2644"/>
    <w:p w14:paraId="5B79AAC5" w14:textId="77777777" w:rsidR="002D2644" w:rsidRPr="00523139" w:rsidRDefault="002D2644" w:rsidP="002D2644">
      <w:pPr>
        <w:rPr>
          <w:b/>
        </w:rPr>
      </w:pPr>
      <w:r w:rsidRPr="00523139">
        <w:rPr>
          <w:b/>
        </w:rPr>
        <w:t>Crude Oil</w:t>
      </w:r>
    </w:p>
    <w:p w14:paraId="65993243" w14:textId="77777777" w:rsidR="002D2644" w:rsidRPr="00D7510F" w:rsidRDefault="002D2644" w:rsidP="002D2644">
      <w:pPr>
        <w:rPr>
          <w:sz w:val="12"/>
          <w:szCs w:val="12"/>
        </w:rPr>
      </w:pPr>
    </w:p>
    <w:p w14:paraId="412A275B" w14:textId="77777777" w:rsidR="002D2644" w:rsidRDefault="002D2644" w:rsidP="002D2644">
      <w:r w:rsidRPr="00523139">
        <w:t>Crude oil is a mineral oil consisting of a mixture of hydrocarbons of natural origin, being yellow to black in colour, of variable density and viscosity. It also includes lease condensate (separator liquids) which are recovered from gaseous hydrocarbons in lease separation facilities.</w:t>
      </w:r>
    </w:p>
    <w:p w14:paraId="0934A0EF" w14:textId="77777777" w:rsidR="002D2644" w:rsidRDefault="002D2644" w:rsidP="002D2644"/>
    <w:p w14:paraId="430EA041" w14:textId="77777777" w:rsidR="002D2644" w:rsidRDefault="002D2644" w:rsidP="002D2644">
      <w:pPr>
        <w:rPr>
          <w:b/>
        </w:rPr>
      </w:pPr>
      <w:r w:rsidRPr="00523139">
        <w:rPr>
          <w:b/>
        </w:rPr>
        <w:t>Natural Gas Liquids (NGL)</w:t>
      </w:r>
    </w:p>
    <w:p w14:paraId="2326B6A1" w14:textId="77777777" w:rsidR="002D2644" w:rsidRPr="00D7510F" w:rsidRDefault="002D2644" w:rsidP="002D2644">
      <w:pPr>
        <w:rPr>
          <w:b/>
          <w:sz w:val="12"/>
          <w:szCs w:val="12"/>
        </w:rPr>
      </w:pPr>
    </w:p>
    <w:p w14:paraId="1F39103D" w14:textId="77777777" w:rsidR="002D2644" w:rsidRDefault="002D2644" w:rsidP="002D2644">
      <w:r w:rsidRPr="00523139">
        <w:t xml:space="preserve">NGLs are the liquid or liquefied hydrocarbons produced in the manufacture, purification and stabilisation of natural gas. These are those portions of natural gas which are recovered as liquids in separators, field facilities, or gas processing plants. NGLs include but are not limited to ethane, propane, butane, pentane, natural gasoline and condensate. </w:t>
      </w:r>
    </w:p>
    <w:p w14:paraId="6B30AE27" w14:textId="77777777" w:rsidR="002D2644" w:rsidRDefault="002D2644" w:rsidP="002D2644"/>
    <w:p w14:paraId="4595FEA3" w14:textId="77777777" w:rsidR="002D2644" w:rsidRDefault="002D2644" w:rsidP="002D2644">
      <w:pPr>
        <w:rPr>
          <w:b/>
        </w:rPr>
      </w:pPr>
      <w:r w:rsidRPr="00523139">
        <w:rPr>
          <w:b/>
        </w:rPr>
        <w:t>Refinery Gas</w:t>
      </w:r>
    </w:p>
    <w:p w14:paraId="26567F6B" w14:textId="77777777" w:rsidR="002D2644" w:rsidRPr="00D7510F" w:rsidRDefault="002D2644" w:rsidP="002D2644">
      <w:pPr>
        <w:rPr>
          <w:b/>
          <w:sz w:val="12"/>
          <w:szCs w:val="12"/>
        </w:rPr>
      </w:pPr>
    </w:p>
    <w:p w14:paraId="5F62FB4B" w14:textId="77777777" w:rsidR="002D2644" w:rsidRDefault="002D2644" w:rsidP="002D2644">
      <w:r w:rsidRPr="00523139">
        <w:t xml:space="preserve">Refinery gas is defined as non-condensable gas obtained during distillation of crude oil or treatment of oil products (e.g. cracking) in refineries. It consists mainly of hydrogen, methane, ethane and olefins. It also includes gases which are returned from the petrochemical industry. </w:t>
      </w:r>
    </w:p>
    <w:p w14:paraId="734F5AC3" w14:textId="77777777" w:rsidR="002D2644" w:rsidRDefault="002D2644" w:rsidP="002D2644"/>
    <w:p w14:paraId="4659E7F8" w14:textId="77777777" w:rsidR="002D2644" w:rsidRPr="00523139" w:rsidRDefault="002D2644" w:rsidP="002D2644">
      <w:pPr>
        <w:rPr>
          <w:b/>
        </w:rPr>
      </w:pPr>
      <w:r w:rsidRPr="00523139">
        <w:rPr>
          <w:b/>
        </w:rPr>
        <w:t>Liquefied Petroleum Gases (LPG)</w:t>
      </w:r>
    </w:p>
    <w:p w14:paraId="0224FC20" w14:textId="77777777" w:rsidR="002D2644" w:rsidRPr="00D7510F" w:rsidRDefault="002D2644" w:rsidP="002D2644">
      <w:pPr>
        <w:rPr>
          <w:sz w:val="12"/>
          <w:szCs w:val="12"/>
        </w:rPr>
      </w:pPr>
    </w:p>
    <w:p w14:paraId="5FE901BC" w14:textId="77777777" w:rsidR="002D2644" w:rsidRDefault="002D2644" w:rsidP="002D2644">
      <w:r w:rsidRPr="00523139">
        <w:t>These are the light hydrocarbons fraction of the paraffin series, derived from refinery processes, crude oil stabilisation plants and natural gas processing plants comprising propane (C</w:t>
      </w:r>
      <w:r w:rsidRPr="00B35FE9">
        <w:rPr>
          <w:vertAlign w:val="subscript"/>
        </w:rPr>
        <w:t>3</w:t>
      </w:r>
      <w:r w:rsidRPr="00523139">
        <w:t>H</w:t>
      </w:r>
      <w:r w:rsidRPr="00B35FE9">
        <w:rPr>
          <w:vertAlign w:val="subscript"/>
        </w:rPr>
        <w:t>8</w:t>
      </w:r>
      <w:r w:rsidRPr="00523139">
        <w:t xml:space="preserve">) and </w:t>
      </w:r>
      <w:r w:rsidRPr="00523139">
        <w:lastRenderedPageBreak/>
        <w:t>butane (C</w:t>
      </w:r>
      <w:r w:rsidRPr="00B35FE9">
        <w:rPr>
          <w:vertAlign w:val="subscript"/>
        </w:rPr>
        <w:t>4</w:t>
      </w:r>
      <w:r w:rsidRPr="00523139">
        <w:t>H</w:t>
      </w:r>
      <w:r w:rsidRPr="00B35FE9">
        <w:rPr>
          <w:vertAlign w:val="subscript"/>
        </w:rPr>
        <w:t>10</w:t>
      </w:r>
      <w:r w:rsidRPr="00523139">
        <w:t>) or a combination of the two. They are normally liquefied under pressure for transportation and storage.</w:t>
      </w:r>
    </w:p>
    <w:p w14:paraId="08F4664A" w14:textId="77777777" w:rsidR="002D2644" w:rsidRDefault="002D2644" w:rsidP="002D2644"/>
    <w:p w14:paraId="2304D8F6" w14:textId="77777777" w:rsidR="002D2644" w:rsidRPr="006E2316" w:rsidRDefault="002D2644" w:rsidP="002D2644">
      <w:pPr>
        <w:rPr>
          <w:b/>
        </w:rPr>
      </w:pPr>
      <w:r w:rsidRPr="006E2316">
        <w:rPr>
          <w:b/>
        </w:rPr>
        <w:t>Motor Gasoline</w:t>
      </w:r>
    </w:p>
    <w:p w14:paraId="0C041210" w14:textId="77777777" w:rsidR="002D2644" w:rsidRPr="00D7510F" w:rsidRDefault="002D2644" w:rsidP="002D2644">
      <w:pPr>
        <w:rPr>
          <w:sz w:val="12"/>
          <w:szCs w:val="12"/>
        </w:rPr>
      </w:pPr>
    </w:p>
    <w:p w14:paraId="1335A83D" w14:textId="77777777" w:rsidR="002D2644" w:rsidRDefault="002D2644" w:rsidP="002D2644">
      <w:r w:rsidRPr="006E2316">
        <w:t>This is light hydrocarbon oil for use in internal combustion engines such as motor vehicles, excluding aircraft. Motor gasoline is distilled between 35</w:t>
      </w:r>
      <w:r w:rsidRPr="006E2316">
        <w:rPr>
          <w:vertAlign w:val="superscript"/>
        </w:rPr>
        <w:t>o</w:t>
      </w:r>
      <w:r w:rsidRPr="006E2316">
        <w:t>C and 215</w:t>
      </w:r>
      <w:r w:rsidRPr="006E2316">
        <w:rPr>
          <w:vertAlign w:val="superscript"/>
        </w:rPr>
        <w:t>o</w:t>
      </w:r>
      <w:r w:rsidRPr="006E2316">
        <w:t>C and is used as a fuel for land based spark ignition engines. Motor gasoline may include additives, oxygenates and octane enhancers, including lead compounds such as TEL (Tetraethyl lead) and TML (tetramethyl lead).</w:t>
      </w:r>
    </w:p>
    <w:p w14:paraId="0C83D706" w14:textId="77777777" w:rsidR="002D2644" w:rsidRPr="006E2316" w:rsidRDefault="002D2644" w:rsidP="002D2644"/>
    <w:p w14:paraId="38DCB0C3" w14:textId="77777777" w:rsidR="002D2644" w:rsidRPr="006E2316" w:rsidRDefault="002D2644" w:rsidP="002D2644">
      <w:pPr>
        <w:rPr>
          <w:b/>
        </w:rPr>
      </w:pPr>
      <w:r w:rsidRPr="006E2316">
        <w:rPr>
          <w:b/>
        </w:rPr>
        <w:t>Aviation Gasoline</w:t>
      </w:r>
    </w:p>
    <w:p w14:paraId="0575E96F" w14:textId="77777777" w:rsidR="002D2644" w:rsidRPr="00D7510F" w:rsidRDefault="002D2644" w:rsidP="002D2644">
      <w:pPr>
        <w:rPr>
          <w:sz w:val="12"/>
          <w:szCs w:val="12"/>
        </w:rPr>
      </w:pPr>
    </w:p>
    <w:p w14:paraId="1788EA78" w14:textId="77777777" w:rsidR="002D2644" w:rsidRDefault="002D2644" w:rsidP="002D2644">
      <w:r w:rsidRPr="006E2316">
        <w:t>Aviation gasoline is motor spirit prepared especially for aviation piston engines, with an octane number suited to the engine, a freezing point of -60</w:t>
      </w:r>
      <w:r w:rsidRPr="006E2316">
        <w:rPr>
          <w:vertAlign w:val="superscript"/>
        </w:rPr>
        <w:t>o</w:t>
      </w:r>
      <w:r w:rsidRPr="006E2316">
        <w:t>C, and a distillation range usually within the limits of 30</w:t>
      </w:r>
      <w:r w:rsidRPr="006E2316">
        <w:rPr>
          <w:vertAlign w:val="superscript"/>
        </w:rPr>
        <w:t>o</w:t>
      </w:r>
      <w:r w:rsidRPr="006E2316">
        <w:t>C and 180</w:t>
      </w:r>
      <w:r w:rsidRPr="006E2316">
        <w:rPr>
          <w:vertAlign w:val="superscript"/>
        </w:rPr>
        <w:t>o</w:t>
      </w:r>
      <w:r w:rsidRPr="006E2316">
        <w:t>C.</w:t>
      </w:r>
    </w:p>
    <w:p w14:paraId="7A97B856" w14:textId="77777777" w:rsidR="002D2644" w:rsidRDefault="002D2644" w:rsidP="002D2644"/>
    <w:p w14:paraId="2987A4AB" w14:textId="77777777" w:rsidR="002D2644" w:rsidRPr="006E2316" w:rsidRDefault="002D2644" w:rsidP="002D2644">
      <w:pPr>
        <w:rPr>
          <w:b/>
        </w:rPr>
      </w:pPr>
      <w:r w:rsidRPr="006E2316">
        <w:rPr>
          <w:b/>
        </w:rPr>
        <w:t>Gasoline type Jet Fuel</w:t>
      </w:r>
    </w:p>
    <w:p w14:paraId="53C4FD7A" w14:textId="77777777" w:rsidR="002D2644" w:rsidRPr="00D7510F" w:rsidRDefault="002D2644" w:rsidP="002D2644">
      <w:pPr>
        <w:rPr>
          <w:sz w:val="12"/>
          <w:szCs w:val="12"/>
        </w:rPr>
      </w:pPr>
    </w:p>
    <w:p w14:paraId="473D047E" w14:textId="77777777" w:rsidR="002D2644" w:rsidRDefault="002D2644" w:rsidP="002D2644">
      <w:r w:rsidRPr="006E2316">
        <w:t>This includes all light hydrocarbon oils for use in aviation turbine power units. They distil between 100</w:t>
      </w:r>
      <w:r w:rsidRPr="006E2316">
        <w:rPr>
          <w:vertAlign w:val="superscript"/>
        </w:rPr>
        <w:t>o</w:t>
      </w:r>
      <w:r w:rsidRPr="006E2316">
        <w:t>C and 250</w:t>
      </w:r>
      <w:r w:rsidRPr="006E2316">
        <w:rPr>
          <w:vertAlign w:val="superscript"/>
        </w:rPr>
        <w:t>o</w:t>
      </w:r>
      <w:r w:rsidRPr="006E2316">
        <w:t>C. It is obtained by blending kerosenes and gasoline or naphthas in such a way that the aromatic content does not exceed 25 percent in volu</w:t>
      </w:r>
      <w:r>
        <w:t xml:space="preserve">me. </w:t>
      </w:r>
      <w:r w:rsidRPr="006E2316">
        <w:t>Additives can be included to improve fuel stability and combustibility.</w:t>
      </w:r>
    </w:p>
    <w:p w14:paraId="0AE22114" w14:textId="77777777" w:rsidR="002D2644" w:rsidRDefault="002D2644" w:rsidP="002D2644"/>
    <w:p w14:paraId="201BC4CC" w14:textId="77777777" w:rsidR="002D2644" w:rsidRDefault="002D2644" w:rsidP="002D2644">
      <w:pPr>
        <w:rPr>
          <w:b/>
        </w:rPr>
      </w:pPr>
      <w:r w:rsidRPr="006E2316">
        <w:rPr>
          <w:b/>
        </w:rPr>
        <w:t>Kerosene type Jet Fuel</w:t>
      </w:r>
    </w:p>
    <w:p w14:paraId="6459995A" w14:textId="77777777" w:rsidR="002D2644" w:rsidRPr="00D7510F" w:rsidRDefault="002D2644" w:rsidP="002D2644">
      <w:pPr>
        <w:rPr>
          <w:sz w:val="12"/>
          <w:szCs w:val="12"/>
        </w:rPr>
      </w:pPr>
    </w:p>
    <w:p w14:paraId="5C5D0A54" w14:textId="77777777" w:rsidR="002D2644" w:rsidRDefault="002D2644" w:rsidP="002D2644">
      <w:r w:rsidRPr="006E2316">
        <w:t>This is medium distillate used for aviation turbine power units. It has the same distillation characteristics and flash point as kerosene (between 150</w:t>
      </w:r>
      <w:r w:rsidRPr="006E2316">
        <w:rPr>
          <w:vertAlign w:val="superscript"/>
        </w:rPr>
        <w:t>o</w:t>
      </w:r>
      <w:r w:rsidRPr="006E2316">
        <w:t>C and 300</w:t>
      </w:r>
      <w:r w:rsidRPr="006E2316">
        <w:rPr>
          <w:vertAlign w:val="superscript"/>
        </w:rPr>
        <w:t>o</w:t>
      </w:r>
      <w:r w:rsidRPr="006E2316">
        <w:t>C but not generally above 250</w:t>
      </w:r>
      <w:r w:rsidRPr="006E2316">
        <w:rPr>
          <w:vertAlign w:val="superscript"/>
        </w:rPr>
        <w:t>o</w:t>
      </w:r>
      <w:r w:rsidRPr="006E2316">
        <w:t>C). In addition, it has particular specifications (such as freezing point) which are established by the International Air Transport Association (IATA).</w:t>
      </w:r>
    </w:p>
    <w:p w14:paraId="78622349" w14:textId="77777777" w:rsidR="002D2644" w:rsidRPr="006E2316" w:rsidRDefault="002D2644" w:rsidP="002D2644"/>
    <w:p w14:paraId="67F0A180" w14:textId="77777777" w:rsidR="002D2644" w:rsidRPr="006E2316" w:rsidRDefault="002D2644" w:rsidP="002D2644">
      <w:pPr>
        <w:rPr>
          <w:b/>
        </w:rPr>
      </w:pPr>
      <w:r w:rsidRPr="006E2316">
        <w:rPr>
          <w:b/>
        </w:rPr>
        <w:t>Kerosene</w:t>
      </w:r>
    </w:p>
    <w:p w14:paraId="1570A09E" w14:textId="77777777" w:rsidR="002D2644" w:rsidRPr="00D7510F" w:rsidRDefault="002D2644" w:rsidP="002D2644">
      <w:pPr>
        <w:rPr>
          <w:sz w:val="12"/>
          <w:szCs w:val="12"/>
        </w:rPr>
      </w:pPr>
    </w:p>
    <w:p w14:paraId="1CCE7D35" w14:textId="77777777" w:rsidR="002D2644" w:rsidRDefault="002D2644" w:rsidP="002D2644">
      <w:r w:rsidRPr="006E2316">
        <w:t>Kerosene comprises refined petroleum distillate intermediate in volatility between gasoline and gas/diesel oil. It is a medium oil distilling between 150</w:t>
      </w:r>
      <w:r w:rsidRPr="006E2316">
        <w:rPr>
          <w:vertAlign w:val="superscript"/>
        </w:rPr>
        <w:t>o</w:t>
      </w:r>
      <w:r w:rsidRPr="006E2316">
        <w:t>C and 300</w:t>
      </w:r>
      <w:r w:rsidRPr="006E2316">
        <w:rPr>
          <w:vertAlign w:val="superscript"/>
        </w:rPr>
        <w:t>o</w:t>
      </w:r>
      <w:r w:rsidRPr="006E2316">
        <w:t>C.</w:t>
      </w:r>
    </w:p>
    <w:p w14:paraId="38A60962" w14:textId="77777777" w:rsidR="002D2644" w:rsidRDefault="002D2644" w:rsidP="002D2644"/>
    <w:p w14:paraId="54C2D81B" w14:textId="77777777" w:rsidR="002D2644" w:rsidRPr="006E2316" w:rsidRDefault="002D2644" w:rsidP="002D2644">
      <w:pPr>
        <w:rPr>
          <w:b/>
        </w:rPr>
      </w:pPr>
      <w:r w:rsidRPr="006E2316">
        <w:rPr>
          <w:b/>
        </w:rPr>
        <w:t>Gas/Diesel Oil</w:t>
      </w:r>
    </w:p>
    <w:p w14:paraId="51E9660A" w14:textId="77777777" w:rsidR="002D2644" w:rsidRPr="00D7510F" w:rsidRDefault="002D2644" w:rsidP="002D2644">
      <w:pPr>
        <w:rPr>
          <w:sz w:val="12"/>
          <w:szCs w:val="12"/>
        </w:rPr>
      </w:pPr>
    </w:p>
    <w:p w14:paraId="01FC6C7F" w14:textId="77777777" w:rsidR="002D2644" w:rsidRDefault="002D2644" w:rsidP="002D2644">
      <w:r w:rsidRPr="006E2316">
        <w:t>Gas/diesel oil includes heavy gas oils. Gas oils are obtained from the lowest fraction from atmospheric distillation of crude oil, while heavy gas oils are obtained by vacuum redistillation of the residual from atmospheric distillation. Gas/diesel oil distils between 180</w:t>
      </w:r>
      <w:r w:rsidRPr="006E2316">
        <w:rPr>
          <w:vertAlign w:val="superscript"/>
        </w:rPr>
        <w:t>o</w:t>
      </w:r>
      <w:r w:rsidRPr="006E2316">
        <w:t>C and 380</w:t>
      </w:r>
      <w:r w:rsidRPr="006E2316">
        <w:rPr>
          <w:vertAlign w:val="superscript"/>
        </w:rPr>
        <w:t>o</w:t>
      </w:r>
      <w:r w:rsidRPr="006E2316">
        <w:t>C. Several grades are available depending on uses: diesel oil for diesel compression ignition (cars, trucks, marine, etc.), light heating oil for industrial and commercial uses, and other gas oil including heavy gas oils which distil between 380</w:t>
      </w:r>
      <w:r w:rsidRPr="006E2316">
        <w:rPr>
          <w:vertAlign w:val="superscript"/>
        </w:rPr>
        <w:t>o</w:t>
      </w:r>
      <w:r w:rsidRPr="006E2316">
        <w:t>C and 540</w:t>
      </w:r>
      <w:r w:rsidRPr="006E2316">
        <w:rPr>
          <w:vertAlign w:val="superscript"/>
        </w:rPr>
        <w:t>o</w:t>
      </w:r>
      <w:r w:rsidRPr="006E2316">
        <w:t>C and which are used as petrochemical feedstocks.</w:t>
      </w:r>
    </w:p>
    <w:p w14:paraId="4BDAF5F7" w14:textId="77777777" w:rsidR="002D2644" w:rsidRDefault="002D2644" w:rsidP="002D2644"/>
    <w:p w14:paraId="2A1AD68E" w14:textId="77777777" w:rsidR="002D2644" w:rsidRPr="006E2316" w:rsidRDefault="002D2644" w:rsidP="002D2644">
      <w:pPr>
        <w:rPr>
          <w:b/>
        </w:rPr>
      </w:pPr>
      <w:r w:rsidRPr="006E2316">
        <w:rPr>
          <w:b/>
        </w:rPr>
        <w:t>Heavy Fuel Oil (HFO)</w:t>
      </w:r>
    </w:p>
    <w:p w14:paraId="62A5DD8D" w14:textId="77777777" w:rsidR="002D2644" w:rsidRPr="00D7510F" w:rsidRDefault="002D2644" w:rsidP="002D2644">
      <w:pPr>
        <w:rPr>
          <w:sz w:val="12"/>
          <w:szCs w:val="12"/>
        </w:rPr>
      </w:pPr>
    </w:p>
    <w:p w14:paraId="10314D82" w14:textId="77777777" w:rsidR="002D2644" w:rsidRDefault="002D2644" w:rsidP="002D2644">
      <w:r w:rsidRPr="006E2316">
        <w:t>This heading defines oils that make up the distillation residue. It comprises all residual fuel oils, including those obtained by blending. The flash point is always above 50</w:t>
      </w:r>
      <w:r w:rsidRPr="006E2316">
        <w:rPr>
          <w:vertAlign w:val="superscript"/>
        </w:rPr>
        <w:t>o</w:t>
      </w:r>
      <w:r w:rsidRPr="006E2316">
        <w:t>C and the density is always more than 0.90 kg/l.</w:t>
      </w:r>
    </w:p>
    <w:p w14:paraId="4E771B30" w14:textId="0BBAB9E5" w:rsidR="002D2644" w:rsidRDefault="002D2644" w:rsidP="002D2644"/>
    <w:p w14:paraId="157A2DAE" w14:textId="77777777" w:rsidR="00B35FE9" w:rsidRDefault="00B35FE9" w:rsidP="002D2644"/>
    <w:p w14:paraId="4A5AEBA9" w14:textId="77777777" w:rsidR="002D2644" w:rsidRDefault="002D2644" w:rsidP="002D2644">
      <w:pPr>
        <w:rPr>
          <w:b/>
        </w:rPr>
      </w:pPr>
    </w:p>
    <w:p w14:paraId="1D0F8977" w14:textId="77777777" w:rsidR="002D2644" w:rsidRPr="006E2316" w:rsidRDefault="002D2644" w:rsidP="002D2644">
      <w:pPr>
        <w:rPr>
          <w:b/>
        </w:rPr>
      </w:pPr>
      <w:r w:rsidRPr="006E2316">
        <w:rPr>
          <w:b/>
        </w:rPr>
        <w:lastRenderedPageBreak/>
        <w:t>Petroleum Coke</w:t>
      </w:r>
    </w:p>
    <w:p w14:paraId="78195040" w14:textId="77777777" w:rsidR="002D2644" w:rsidRPr="00D7510F" w:rsidRDefault="002D2644" w:rsidP="002D2644">
      <w:pPr>
        <w:rPr>
          <w:sz w:val="12"/>
          <w:szCs w:val="12"/>
        </w:rPr>
      </w:pPr>
    </w:p>
    <w:p w14:paraId="7E28A606" w14:textId="77777777" w:rsidR="002D2644" w:rsidRDefault="002D2644" w:rsidP="002D2644">
      <w:r>
        <w:t>A</w:t>
      </w:r>
      <w:r w:rsidRPr="006E2316">
        <w:t xml:space="preserve"> black solid residue, obtained mainly by cracking and carbonising of petroleum derived feedstocks, vacuum bottoms, tar and pitches in processes such as delayed coking or fluid coking. It is used as a feedstock in coke ovens for the steel industry, for heating purposes, for electrode manufacture and for production of chemicals. The two most important qualities are "green coke" and "calcinated coke". This category also includes "catalyst coke" deposited on the catalyst during refining processes: this coke is not recoverable and is usually burned as refinery fuel.</w:t>
      </w:r>
    </w:p>
    <w:p w14:paraId="78764144" w14:textId="77777777" w:rsidR="002D2644" w:rsidRPr="006E2316" w:rsidRDefault="002D2644" w:rsidP="002D2644">
      <w:pPr>
        <w:rPr>
          <w:b/>
        </w:rPr>
      </w:pPr>
    </w:p>
    <w:p w14:paraId="6BB2CF1A" w14:textId="77777777" w:rsidR="002D2644" w:rsidRDefault="002D2644" w:rsidP="002D2644">
      <w:pPr>
        <w:rPr>
          <w:b/>
        </w:rPr>
      </w:pPr>
      <w:r w:rsidRPr="006E2316">
        <w:rPr>
          <w:b/>
        </w:rPr>
        <w:t>Other Petroleum Products</w:t>
      </w:r>
    </w:p>
    <w:p w14:paraId="45C00CF5" w14:textId="77777777" w:rsidR="002D2644" w:rsidRPr="00D7510F" w:rsidRDefault="002D2644" w:rsidP="002D2644">
      <w:pPr>
        <w:rPr>
          <w:b/>
          <w:sz w:val="12"/>
          <w:szCs w:val="12"/>
        </w:rPr>
      </w:pPr>
    </w:p>
    <w:p w14:paraId="73BDFE39" w14:textId="77777777" w:rsidR="002D2644" w:rsidRDefault="002D2644" w:rsidP="002D2644">
      <w:r w:rsidRPr="006E2316">
        <w:t>Includes the petroleum products not classified above, for example: tar, sulphur, and grease. This category also includes aromatics (e.g. BTX or benzene, toluene and xylene) and olefins (e.g. propylene) produced within refineries.</w:t>
      </w:r>
    </w:p>
    <w:p w14:paraId="5ACECE23" w14:textId="77777777" w:rsidR="002D2644" w:rsidRDefault="002D2644" w:rsidP="002D2644"/>
    <w:p w14:paraId="4AC6F140" w14:textId="77777777" w:rsidR="002D2644" w:rsidRDefault="002D2644" w:rsidP="002D2644">
      <w:pPr>
        <w:rPr>
          <w:b/>
        </w:rPr>
      </w:pPr>
      <w:r w:rsidRPr="006E2316">
        <w:rPr>
          <w:b/>
        </w:rPr>
        <w:t>Primary Solid Biomass</w:t>
      </w:r>
    </w:p>
    <w:p w14:paraId="4D220A9A" w14:textId="77777777" w:rsidR="002D2644" w:rsidRPr="00D7510F" w:rsidRDefault="002D2644" w:rsidP="002D2644">
      <w:pPr>
        <w:rPr>
          <w:b/>
          <w:sz w:val="12"/>
          <w:szCs w:val="12"/>
        </w:rPr>
      </w:pPr>
    </w:p>
    <w:p w14:paraId="2DFD946E" w14:textId="77777777" w:rsidR="002D2644" w:rsidRDefault="002D2644" w:rsidP="002D2644">
      <w:r>
        <w:t>Biomass is defined as any plant matter used directly as fuel or converted into other forms before combustion. Included are wood, vegetal waste (including wood waste and crops used for energy production), animal materials/wastes, sulphite lyes, also known as "black liquor" (an alkaline spent liquor from the digesters in the production of sulphate or soda pulp during the manufacture of paper where the energy content derives from the lignin removed from the wood pulp) and other solid biomass. This category contains only primary solid biomass. This includes inputs to charcoal production but not the actual production of charcoal (this would be double counting since charcoal is a secondary product).</w:t>
      </w:r>
    </w:p>
    <w:p w14:paraId="74341BAC" w14:textId="77777777" w:rsidR="002D2644" w:rsidRDefault="002D2644" w:rsidP="002D2644"/>
    <w:p w14:paraId="0E167BEA" w14:textId="77777777" w:rsidR="002D2644" w:rsidRPr="00D7510F" w:rsidRDefault="002D2644" w:rsidP="002D2644">
      <w:pPr>
        <w:rPr>
          <w:b/>
        </w:rPr>
      </w:pPr>
      <w:r w:rsidRPr="00D7510F">
        <w:rPr>
          <w:b/>
        </w:rPr>
        <w:t>Biogas</w:t>
      </w:r>
    </w:p>
    <w:p w14:paraId="0F9C7F2D" w14:textId="77777777" w:rsidR="002D2644" w:rsidRPr="00D7510F" w:rsidRDefault="002D2644" w:rsidP="002D2644">
      <w:pPr>
        <w:rPr>
          <w:sz w:val="12"/>
          <w:szCs w:val="12"/>
        </w:rPr>
      </w:pPr>
    </w:p>
    <w:p w14:paraId="01C7998C" w14:textId="77777777" w:rsidR="002D2644" w:rsidRDefault="002D2644" w:rsidP="002D2644">
      <w:r w:rsidRPr="00D7510F">
        <w:t>Biomass gases are derived principally from the anaerobic fermentation of biomass and solid wastes and combusted to produce heat and/or power. Included in this category are landfill gas and sludge gas (sewage gas and gas from animal slurries).</w:t>
      </w:r>
    </w:p>
    <w:p w14:paraId="615A4C2D" w14:textId="77777777" w:rsidR="002D2644" w:rsidRDefault="002D2644" w:rsidP="002D2644"/>
    <w:p w14:paraId="60293CA7" w14:textId="77777777" w:rsidR="002D2644" w:rsidRPr="00D7510F" w:rsidRDefault="002D2644" w:rsidP="002D2644">
      <w:pPr>
        <w:rPr>
          <w:b/>
        </w:rPr>
      </w:pPr>
      <w:r w:rsidRPr="00D7510F">
        <w:rPr>
          <w:b/>
        </w:rPr>
        <w:t>Liquid Biomass</w:t>
      </w:r>
    </w:p>
    <w:p w14:paraId="2908CF80" w14:textId="77777777" w:rsidR="002D2644" w:rsidRPr="00D7510F" w:rsidRDefault="002D2644" w:rsidP="002D2644">
      <w:pPr>
        <w:rPr>
          <w:sz w:val="12"/>
          <w:szCs w:val="12"/>
        </w:rPr>
      </w:pPr>
    </w:p>
    <w:p w14:paraId="520D2C81" w14:textId="77777777" w:rsidR="002D2644" w:rsidRDefault="002D2644" w:rsidP="002D2644">
      <w:r w:rsidRPr="00D7510F">
        <w:t>Liquid biomass includes bio-additives such as ethanol.</w:t>
      </w:r>
    </w:p>
    <w:p w14:paraId="5E7123E2" w14:textId="77777777" w:rsidR="002D2644" w:rsidRDefault="002D2644" w:rsidP="002D2644"/>
    <w:p w14:paraId="357A78D5" w14:textId="77777777" w:rsidR="002D2644" w:rsidRPr="00D7510F" w:rsidRDefault="002D2644" w:rsidP="002D2644">
      <w:pPr>
        <w:rPr>
          <w:b/>
        </w:rPr>
      </w:pPr>
      <w:r w:rsidRPr="00D7510F">
        <w:rPr>
          <w:b/>
        </w:rPr>
        <w:t>Municipal Wastes</w:t>
      </w:r>
    </w:p>
    <w:p w14:paraId="367A5427" w14:textId="77777777" w:rsidR="002D2644" w:rsidRPr="00D7510F" w:rsidRDefault="002D2644" w:rsidP="002D2644">
      <w:pPr>
        <w:rPr>
          <w:sz w:val="12"/>
          <w:szCs w:val="12"/>
        </w:rPr>
      </w:pPr>
    </w:p>
    <w:p w14:paraId="0DFB2EAB" w14:textId="77777777" w:rsidR="002D2644" w:rsidRDefault="002D2644" w:rsidP="002D2644">
      <w:r w:rsidRPr="00D7510F">
        <w:t xml:space="preserve">This consists </w:t>
      </w:r>
      <w:r>
        <w:t xml:space="preserve">of </w:t>
      </w:r>
      <w:r w:rsidRPr="00D7510F">
        <w:t>municipal waste products that are combusted directly to produce heat and/or power and comprises wastes produced by the residential, commercial and public services sectors that are collected by local authorities for disposal in a central location. Hospital waste is included in this category.</w:t>
      </w:r>
      <w:r>
        <w:t xml:space="preserve"> </w:t>
      </w:r>
    </w:p>
    <w:p w14:paraId="783A0912" w14:textId="77777777" w:rsidR="002D2644" w:rsidRDefault="002D2644" w:rsidP="002D2644"/>
    <w:p w14:paraId="657AE528" w14:textId="77777777" w:rsidR="002D2644" w:rsidRPr="00D7510F" w:rsidRDefault="002D2644" w:rsidP="002D2644">
      <w:pPr>
        <w:rPr>
          <w:b/>
        </w:rPr>
      </w:pPr>
      <w:r w:rsidRPr="00D7510F">
        <w:rPr>
          <w:b/>
        </w:rPr>
        <w:t>Industrial Wastes</w:t>
      </w:r>
    </w:p>
    <w:p w14:paraId="36B625D8" w14:textId="77777777" w:rsidR="002D2644" w:rsidRPr="00D7510F" w:rsidRDefault="002D2644" w:rsidP="002D2644">
      <w:pPr>
        <w:rPr>
          <w:sz w:val="12"/>
          <w:szCs w:val="12"/>
        </w:rPr>
      </w:pPr>
    </w:p>
    <w:p w14:paraId="04D6A20B" w14:textId="77777777" w:rsidR="002D2644" w:rsidRDefault="002D2644" w:rsidP="002D2644">
      <w:r w:rsidRPr="00D7510F">
        <w:t>Industrial waste consists of solid and liquid products (e.g. tyres) combusted directly, usually in specialised plants, to produce heat and/or power and that are not reported in the category solid biomass and animal products.</w:t>
      </w:r>
    </w:p>
    <w:p w14:paraId="391339EB" w14:textId="77777777" w:rsidR="002D2644" w:rsidRDefault="002D2644" w:rsidP="002D2644"/>
    <w:p w14:paraId="31A1AF82" w14:textId="77777777" w:rsidR="002D2644" w:rsidRDefault="002D2644" w:rsidP="002D2644">
      <w:pPr>
        <w:rPr>
          <w:b/>
        </w:rPr>
      </w:pPr>
      <w:r w:rsidRPr="00D7510F">
        <w:rPr>
          <w:b/>
        </w:rPr>
        <w:t>Charcoal</w:t>
      </w:r>
    </w:p>
    <w:p w14:paraId="22D6DE7A" w14:textId="77777777" w:rsidR="002D2644" w:rsidRPr="00D7510F" w:rsidRDefault="002D2644" w:rsidP="002D2644">
      <w:pPr>
        <w:rPr>
          <w:b/>
          <w:sz w:val="12"/>
          <w:szCs w:val="12"/>
        </w:rPr>
      </w:pPr>
    </w:p>
    <w:p w14:paraId="2821B667" w14:textId="77777777" w:rsidR="002D2644" w:rsidRDefault="002D2644" w:rsidP="002D2644">
      <w:pPr>
        <w:rPr>
          <w:b/>
        </w:rPr>
      </w:pPr>
      <w:r w:rsidRPr="00D7510F">
        <w:t>Charcoal covers the solid residue of the destructive distillation and pyrolysis of wood and other vegetal material.</w:t>
      </w:r>
    </w:p>
    <w:p w14:paraId="305F5D38" w14:textId="77777777" w:rsidR="000F73B3" w:rsidRPr="000F73B3" w:rsidRDefault="000F73B3" w:rsidP="000F73B3">
      <w:pPr>
        <w:jc w:val="left"/>
        <w:sectPr w:rsidR="000F73B3" w:rsidRPr="000F73B3" w:rsidSect="00CA730C">
          <w:footerReference w:type="even" r:id="rId22"/>
          <w:footerReference w:type="default" r:id="rId23"/>
          <w:endnotePr>
            <w:numFmt w:val="decimal"/>
          </w:endnotePr>
          <w:pgSz w:w="12242" w:h="15842" w:code="1"/>
          <w:pgMar w:top="992" w:right="1440" w:bottom="1276" w:left="1440" w:header="720" w:footer="720" w:gutter="0"/>
          <w:pgNumType w:fmt="lowerRoman"/>
          <w:cols w:space="720"/>
          <w:titlePg/>
        </w:sectPr>
      </w:pPr>
    </w:p>
    <w:p w14:paraId="5587F1FA" w14:textId="77777777" w:rsidR="00C46552" w:rsidRDefault="00C46552">
      <w:pPr>
        <w:ind w:firstLine="720"/>
        <w:rPr>
          <w:b/>
          <w:sz w:val="32"/>
        </w:rPr>
      </w:pPr>
    </w:p>
    <w:p w14:paraId="5B5AEC58" w14:textId="77777777" w:rsidR="00C46552" w:rsidRDefault="00C46552">
      <w:pPr>
        <w:jc w:val="center"/>
        <w:rPr>
          <w:sz w:val="32"/>
        </w:rPr>
      </w:pPr>
      <w:r>
        <w:rPr>
          <w:rFonts w:ascii="Futura Hv BT" w:hAnsi="Futura Hv BT"/>
          <w:b/>
          <w:smallCaps/>
          <w:sz w:val="36"/>
        </w:rPr>
        <w:t xml:space="preserve">The </w:t>
      </w:r>
      <w:r w:rsidR="00634BDF">
        <w:rPr>
          <w:rFonts w:ascii="Futura Hv BT" w:hAnsi="Futura Hv BT"/>
          <w:b/>
          <w:smallCaps/>
          <w:sz w:val="36"/>
        </w:rPr>
        <w:t>G</w:t>
      </w:r>
      <w:r w:rsidR="007B190A">
        <w:rPr>
          <w:rFonts w:ascii="Futura Hv BT" w:hAnsi="Futura Hv BT"/>
          <w:b/>
          <w:smallCaps/>
          <w:sz w:val="36"/>
        </w:rPr>
        <w:t xml:space="preserve">lobal </w:t>
      </w:r>
      <w:r w:rsidR="00634BDF">
        <w:rPr>
          <w:rFonts w:ascii="Futura Hv BT" w:hAnsi="Futura Hv BT"/>
          <w:b/>
          <w:smallCaps/>
          <w:sz w:val="36"/>
        </w:rPr>
        <w:t>A</w:t>
      </w:r>
      <w:r w:rsidR="007B190A">
        <w:rPr>
          <w:rFonts w:ascii="Futura Hv BT" w:hAnsi="Futura Hv BT"/>
          <w:b/>
          <w:smallCaps/>
          <w:sz w:val="36"/>
        </w:rPr>
        <w:t xml:space="preserve">tmospheric Pollution Forum Air </w:t>
      </w:r>
      <w:r>
        <w:rPr>
          <w:rFonts w:ascii="Futura Hv BT" w:hAnsi="Futura Hv BT"/>
          <w:b/>
          <w:smallCaps/>
          <w:sz w:val="36"/>
        </w:rPr>
        <w:t xml:space="preserve">Pollutant Emissions Inventory Manual </w:t>
      </w:r>
    </w:p>
    <w:p w14:paraId="4A29D4B8" w14:textId="77777777" w:rsidR="00C46552" w:rsidRDefault="00C46552">
      <w:pPr>
        <w:pStyle w:val="Heading1"/>
        <w:numPr>
          <w:ilvl w:val="0"/>
          <w:numId w:val="17"/>
        </w:numPr>
      </w:pPr>
      <w:bookmarkStart w:id="34" w:name="_Toc10122650"/>
      <w:r>
        <w:t>Introduction</w:t>
      </w:r>
      <w:bookmarkEnd w:id="34"/>
      <w:r>
        <w:t xml:space="preserve"> </w:t>
      </w:r>
    </w:p>
    <w:p w14:paraId="41D26E23" w14:textId="77777777" w:rsidR="00634BDF" w:rsidRPr="00634BDF" w:rsidRDefault="00634BDF" w:rsidP="00634BDF"/>
    <w:p w14:paraId="40D7FFA5" w14:textId="77777777" w:rsidR="00C46552" w:rsidRDefault="00804353" w:rsidP="00BE3408">
      <w:pPr>
        <w:pStyle w:val="Heading2"/>
      </w:pPr>
      <w:bookmarkStart w:id="35" w:name="_Toc10122651"/>
      <w:r>
        <w:t>The need for r</w:t>
      </w:r>
      <w:r w:rsidR="00C46552">
        <w:t>egional</w:t>
      </w:r>
      <w:r>
        <w:t xml:space="preserve"> cooperation on emissions inventories</w:t>
      </w:r>
      <w:bookmarkEnd w:id="35"/>
    </w:p>
    <w:p w14:paraId="397728FF" w14:textId="77777777" w:rsidR="00634BDF" w:rsidRDefault="00634BDF" w:rsidP="00634BDF"/>
    <w:p w14:paraId="2B6C8020" w14:textId="77777777" w:rsidR="004F2072" w:rsidRDefault="00C86C0C" w:rsidP="00804353">
      <w:pPr>
        <w:pStyle w:val="BodyTextIndent"/>
        <w:ind w:firstLine="0"/>
      </w:pPr>
      <w:r w:rsidRPr="003E4DF8">
        <w:rPr>
          <w:color w:val="000000"/>
        </w:rPr>
        <w:t xml:space="preserve">The increased levels of pollutants in the atmosphere are of </w:t>
      </w:r>
      <w:r w:rsidR="004F2072" w:rsidRPr="003E4DF8">
        <w:rPr>
          <w:color w:val="000000"/>
        </w:rPr>
        <w:t xml:space="preserve">growing </w:t>
      </w:r>
      <w:r w:rsidRPr="003E4DF8">
        <w:rPr>
          <w:color w:val="000000"/>
        </w:rPr>
        <w:t xml:space="preserve">concern due to their detrimental effect on human health, agriculture and natural ecosystems. </w:t>
      </w:r>
      <w:r w:rsidR="004F2072" w:rsidRPr="003E4DF8">
        <w:rPr>
          <w:color w:val="000000"/>
        </w:rPr>
        <w:t xml:space="preserve">Some </w:t>
      </w:r>
      <w:r w:rsidR="004F2072">
        <w:t xml:space="preserve">air pollutants can be transported across national boundaries and even spread across an entire hemisphere of the globe.  Addressing problems associated with these ‘transboundary’ and ‘hemispheric’ air pollutants requires coordinated regional planning. </w:t>
      </w:r>
      <w:r w:rsidR="001C64A4">
        <w:t>In this version of the manual</w:t>
      </w:r>
      <w:r w:rsidR="00784BBC">
        <w:t xml:space="preserve"> the climate forcers</w:t>
      </w:r>
      <w:r w:rsidR="001C64A4">
        <w:t>, black carbon (BC), organic carbon (OC), methane (CH</w:t>
      </w:r>
      <w:r w:rsidR="001C64A4" w:rsidRPr="001C64A4">
        <w:rPr>
          <w:vertAlign w:val="subscript"/>
        </w:rPr>
        <w:t>4</w:t>
      </w:r>
      <w:r w:rsidR="001C64A4">
        <w:t>) and carbon dioxide (CO</w:t>
      </w:r>
      <w:r w:rsidR="001C64A4" w:rsidRPr="001C64A4">
        <w:rPr>
          <w:vertAlign w:val="subscript"/>
        </w:rPr>
        <w:t>2</w:t>
      </w:r>
      <w:r w:rsidR="001C64A4">
        <w:t>) emissions are included in order to allow for the assessment of co-benefits for climate change arising from actions or scenarios that address the traditional air pollutants.</w:t>
      </w:r>
    </w:p>
    <w:p w14:paraId="7C7C1C05" w14:textId="77777777" w:rsidR="004F2072" w:rsidRDefault="004F2072" w:rsidP="00804353">
      <w:pPr>
        <w:pStyle w:val="BodyTextIndent"/>
        <w:ind w:firstLine="0"/>
      </w:pPr>
    </w:p>
    <w:p w14:paraId="404BE833" w14:textId="77777777" w:rsidR="00804353" w:rsidRDefault="00C95D66" w:rsidP="004F2072">
      <w:pPr>
        <w:pStyle w:val="BodyTextIndent"/>
      </w:pPr>
      <w:r>
        <w:t>Air pollutant e</w:t>
      </w:r>
      <w:r w:rsidR="00804353">
        <w:t xml:space="preserve">mission </w:t>
      </w:r>
      <w:r>
        <w:t>i</w:t>
      </w:r>
      <w:r w:rsidR="00804353">
        <w:t xml:space="preserve">nventories are the basic building blocks of air quality modelling and of wider air quality management processes. In Europe and </w:t>
      </w:r>
      <w:smartTag w:uri="urn:schemas-microsoft-com:office:smarttags" w:element="place">
        <w:r w:rsidR="00804353">
          <w:t>North America</w:t>
        </w:r>
      </w:smartTag>
      <w:r w:rsidR="00804353">
        <w:t xml:space="preserve"> there is official national reporting of emission </w:t>
      </w:r>
      <w:r w:rsidR="008D0C8D">
        <w:t>inventories</w:t>
      </w:r>
      <w:r w:rsidR="00804353">
        <w:t xml:space="preserve"> for a number of pollutants to the Convention on Long-Range Transboundary Air Pollution. </w:t>
      </w:r>
      <w:r>
        <w:t>However, i</w:t>
      </w:r>
      <w:r w:rsidR="00804353">
        <w:t xml:space="preserve">n Asia, Africa and </w:t>
      </w:r>
      <w:smartTag w:uri="urn:schemas-microsoft-com:office:smarttags" w:element="place">
        <w:r w:rsidR="00804353">
          <w:t>Latin America</w:t>
        </w:r>
      </w:smartTag>
      <w:r w:rsidR="00804353">
        <w:t xml:space="preserve">, routine calculation of emission estimates of high quality is either absent or only available for a few countries. There is no official calculation or reporting by governments in </w:t>
      </w:r>
      <w:r w:rsidR="000C5C08">
        <w:t xml:space="preserve">most of the </w:t>
      </w:r>
      <w:r w:rsidR="00804353">
        <w:t xml:space="preserve">remaining countries and capacity to undertake the </w:t>
      </w:r>
      <w:r>
        <w:t xml:space="preserve">necessary </w:t>
      </w:r>
      <w:r w:rsidR="00804353">
        <w:t xml:space="preserve">calculations </w:t>
      </w:r>
      <w:r w:rsidR="000C5C08">
        <w:t>is generally</w:t>
      </w:r>
      <w:r w:rsidR="00804353">
        <w:t xml:space="preserve"> lacking. </w:t>
      </w:r>
    </w:p>
    <w:p w14:paraId="3B17B416" w14:textId="77777777" w:rsidR="00804353" w:rsidRDefault="00804353" w:rsidP="00804353">
      <w:pPr>
        <w:pStyle w:val="BodyTextIndent"/>
        <w:ind w:firstLine="0"/>
      </w:pPr>
    </w:p>
    <w:p w14:paraId="17647561" w14:textId="77777777" w:rsidR="00804353" w:rsidRDefault="00804353" w:rsidP="000C5C08">
      <w:pPr>
        <w:pStyle w:val="BodyTextIndent"/>
      </w:pPr>
      <w:r>
        <w:t>Without detailed and reliable emission inventories, there is little opportunity to develop strategic plans of how to deal internationally, nationally, or locally with air pollution problems</w:t>
      </w:r>
      <w:r w:rsidR="001B676C">
        <w:t xml:space="preserve"> and to monitor the effect of such plans</w:t>
      </w:r>
      <w:r>
        <w:t xml:space="preserve">. In many cases the sources of pollution are obvious and are already being tackled in parts of Asia (such as CNG buses and CNG three wheelers in Delhi) but the level of emission reduction achieved or achievable by these measures remains poorly understood due to the lack of high quality emission factors and inventory techniques and has led to a lot of debate there as to whether it is an effective measure. </w:t>
      </w:r>
      <w:r w:rsidR="007F098C">
        <w:t>Good</w:t>
      </w:r>
      <w:r>
        <w:t xml:space="preserve"> quality emission inventories are the foundation on which optimised emission prevention and control strategies can be developed at different scales. Regional issues such as acidic deposition,</w:t>
      </w:r>
      <w:r w:rsidR="007F098C">
        <w:t xml:space="preserve"> eutrophication of sensitive ecosystems,</w:t>
      </w:r>
      <w:r>
        <w:t xml:space="preserve"> tropospheric ozone formation and </w:t>
      </w:r>
      <w:r w:rsidR="007F098C">
        <w:t xml:space="preserve">increasing atmospheric loads of </w:t>
      </w:r>
      <w:r>
        <w:t>small particulate matter (especially</w:t>
      </w:r>
      <w:r w:rsidR="000C5C08">
        <w:t xml:space="preserve"> those</w:t>
      </w:r>
      <w:r>
        <w:t xml:space="preserve"> less than 2.5 µm</w:t>
      </w:r>
      <w:r w:rsidR="000C5C08">
        <w:t xml:space="preserve"> in diameter</w:t>
      </w:r>
      <w:r>
        <w:t xml:space="preserve">) also require high quality emission inventories in order to develop regionally coordinated abatement strategies. </w:t>
      </w:r>
    </w:p>
    <w:p w14:paraId="03F7C55C" w14:textId="77777777" w:rsidR="000C5C08" w:rsidRDefault="000C5C08" w:rsidP="000C5C08">
      <w:pPr>
        <w:pStyle w:val="BodyTextIndent"/>
      </w:pPr>
    </w:p>
    <w:p w14:paraId="535B19F6" w14:textId="77777777" w:rsidR="00804353" w:rsidRDefault="000C5C08" w:rsidP="00BE3408">
      <w:pPr>
        <w:pStyle w:val="Heading2"/>
      </w:pPr>
      <w:bookmarkStart w:id="36" w:name="_Toc10122652"/>
      <w:r>
        <w:t>Regional air pollution initiatives</w:t>
      </w:r>
      <w:bookmarkEnd w:id="36"/>
    </w:p>
    <w:p w14:paraId="68FFCD67" w14:textId="77777777" w:rsidR="000C5C08" w:rsidRDefault="000C5C08" w:rsidP="00804353">
      <w:pPr>
        <w:pStyle w:val="BodyTextIndent"/>
        <w:ind w:firstLine="0"/>
      </w:pPr>
    </w:p>
    <w:p w14:paraId="3877DCDB" w14:textId="7C8A97DE" w:rsidR="00804353" w:rsidRPr="00BA6222" w:rsidRDefault="00804353" w:rsidP="00FC3CF5">
      <w:r w:rsidRPr="00BA6222">
        <w:t xml:space="preserve">There </w:t>
      </w:r>
      <w:r w:rsidR="00EE79DF">
        <w:t>have been</w:t>
      </w:r>
      <w:r w:rsidRPr="00BA6222">
        <w:t xml:space="preserve"> </w:t>
      </w:r>
      <w:r w:rsidR="00FC3CF5">
        <w:t>several</w:t>
      </w:r>
      <w:r w:rsidRPr="00BA6222">
        <w:t xml:space="preserve"> regional air pollution initiatives in these developing regions where cooperation between countries to tackle this problem is a goal. </w:t>
      </w:r>
      <w:r w:rsidR="007F098C" w:rsidRPr="00AD3770">
        <w:t>These include</w:t>
      </w:r>
      <w:r w:rsidRPr="00AD3770">
        <w:t xml:space="preserve"> the Malé Declaration in South Asia, the East Asian Network for Acid Rain Monitoring </w:t>
      </w:r>
      <w:r w:rsidR="007F098C" w:rsidRPr="00AD3770">
        <w:t xml:space="preserve">(EANET) </w:t>
      </w:r>
      <w:r w:rsidRPr="00AD3770">
        <w:t xml:space="preserve">and in </w:t>
      </w:r>
      <w:smartTag w:uri="urn:schemas-microsoft-com:office:smarttags" w:element="place">
        <w:r w:rsidRPr="00AD3770">
          <w:t>Asia</w:t>
        </w:r>
      </w:smartTag>
      <w:r w:rsidRPr="00AD3770">
        <w:t xml:space="preserve"> </w:t>
      </w:r>
      <w:r w:rsidR="007F098C" w:rsidRPr="00AD3770">
        <w:t xml:space="preserve">as a whole, </w:t>
      </w:r>
      <w:r w:rsidRPr="00AD3770">
        <w:t>the ASEAN Haze Protocol. In Africa</w:t>
      </w:r>
      <w:r w:rsidR="007F098C" w:rsidRPr="00AD3770">
        <w:t xml:space="preserve">, the </w:t>
      </w:r>
      <w:r w:rsidRPr="00AD3770">
        <w:t>Air Pollution Information Network for Africa</w:t>
      </w:r>
      <w:r w:rsidR="007F098C" w:rsidRPr="00AD3770">
        <w:t xml:space="preserve"> (APINA)</w:t>
      </w:r>
      <w:r w:rsidRPr="00AD3770">
        <w:t xml:space="preserve"> develop</w:t>
      </w:r>
      <w:r w:rsidR="00EE79DF" w:rsidRPr="00AD3770">
        <w:t xml:space="preserve">ed </w:t>
      </w:r>
      <w:r w:rsidRPr="00AD3770">
        <w:t xml:space="preserve">regional cooperation </w:t>
      </w:r>
      <w:r w:rsidR="007F098C" w:rsidRPr="00AD3770">
        <w:t>amongst SADC countries, and i</w:t>
      </w:r>
      <w:r w:rsidRPr="00AD3770">
        <w:t xml:space="preserve">n Latin America </w:t>
      </w:r>
      <w:r w:rsidR="007F098C" w:rsidRPr="00AD3770">
        <w:t xml:space="preserve">the </w:t>
      </w:r>
      <w:r w:rsidRPr="00AD3770">
        <w:t xml:space="preserve">Inter-American Network for Atmospheric/Biospheric Studies </w:t>
      </w:r>
      <w:r w:rsidR="007F098C" w:rsidRPr="00AD3770">
        <w:t xml:space="preserve">(IANABIS) </w:t>
      </w:r>
      <w:r w:rsidRPr="00AD3770">
        <w:t>is developing scientific understanding of the air pollution issue.</w:t>
      </w:r>
      <w:r w:rsidRPr="00BA6222">
        <w:t xml:space="preserve"> Developing emission inventories is one of the activities prioritised by these initiatives and some have sought help to develop the manuals and frameworks required. In response to this</w:t>
      </w:r>
      <w:r w:rsidR="006140CF">
        <w:t>,</w:t>
      </w:r>
      <w:r w:rsidR="007F098C">
        <w:t xml:space="preserve"> emissions inventory</w:t>
      </w:r>
      <w:r w:rsidRPr="00BA6222">
        <w:t xml:space="preserve"> manual</w:t>
      </w:r>
      <w:r w:rsidR="007F098C">
        <w:t>s</w:t>
      </w:r>
      <w:r w:rsidRPr="00BA6222">
        <w:t xml:space="preserve"> ha</w:t>
      </w:r>
      <w:r w:rsidR="007F098C">
        <w:t>ve</w:t>
      </w:r>
      <w:r w:rsidRPr="00BA6222">
        <w:t xml:space="preserve"> been produced for the Malé Declaration and </w:t>
      </w:r>
      <w:r w:rsidR="007F098C">
        <w:t>A</w:t>
      </w:r>
      <w:r w:rsidRPr="00BA6222">
        <w:t>PINA</w:t>
      </w:r>
      <w:r w:rsidR="007F098C">
        <w:t>,</w:t>
      </w:r>
      <w:r w:rsidRPr="00BA6222">
        <w:t xml:space="preserve"> </w:t>
      </w:r>
      <w:r w:rsidR="007F098C">
        <w:t xml:space="preserve">from activities </w:t>
      </w:r>
      <w:r w:rsidRPr="00BA6222">
        <w:t xml:space="preserve">coordinated by SEI at the </w:t>
      </w:r>
      <w:smartTag w:uri="urn:schemas-microsoft-com:office:smarttags" w:element="place">
        <w:smartTag w:uri="urn:schemas-microsoft-com:office:smarttags" w:element="PlaceType">
          <w:r w:rsidRPr="00BA6222">
            <w:t>University</w:t>
          </w:r>
        </w:smartTag>
        <w:r w:rsidRPr="00BA6222">
          <w:t xml:space="preserve"> of </w:t>
        </w:r>
        <w:smartTag w:uri="urn:schemas-microsoft-com:office:smarttags" w:element="PlaceName">
          <w:r w:rsidRPr="00BA6222">
            <w:t>York</w:t>
          </w:r>
        </w:smartTag>
      </w:smartTag>
      <w:r w:rsidR="007F098C">
        <w:t>,</w:t>
      </w:r>
      <w:r w:rsidRPr="00BA6222">
        <w:t xml:space="preserve"> as part of a </w:t>
      </w:r>
      <w:r w:rsidR="007F098C">
        <w:t xml:space="preserve">Sida-funded </w:t>
      </w:r>
      <w:r w:rsidRPr="00BA6222">
        <w:t xml:space="preserve">programme on Regional Air Pollution in Developing Countries. </w:t>
      </w:r>
      <w:r w:rsidR="007F098C">
        <w:t>These manuals have formed the starting point for the development of this Forum Manual.</w:t>
      </w:r>
    </w:p>
    <w:p w14:paraId="6960A1BC" w14:textId="77777777" w:rsidR="00BA6222" w:rsidRDefault="00BA6222" w:rsidP="00BA6222">
      <w:pPr>
        <w:pStyle w:val="BodyTextIndent"/>
        <w:ind w:firstLine="0"/>
      </w:pPr>
    </w:p>
    <w:p w14:paraId="3B29A3E1" w14:textId="77777777" w:rsidR="00804353" w:rsidRDefault="007F098C" w:rsidP="00FC3CF5">
      <w:pPr>
        <w:pStyle w:val="BodyTextIndent"/>
        <w:ind w:firstLine="576"/>
      </w:pPr>
      <w:r>
        <w:t>I</w:t>
      </w:r>
      <w:r w:rsidR="00804353">
        <w:t xml:space="preserve">ssues related to emission inventory development need to be addressed internationally.  As pollutant emissions management has increasingly to be conducted at wider geographical scales, now including both the </w:t>
      </w:r>
      <w:r w:rsidR="00804353">
        <w:lastRenderedPageBreak/>
        <w:t>regional and hemispheric, the development and adoption of harmonised approaches</w:t>
      </w:r>
      <w:r w:rsidR="000C5C08">
        <w:t xml:space="preserve"> by different regional networks</w:t>
      </w:r>
      <w:r w:rsidR="00804353">
        <w:t xml:space="preserve"> is increasingly necessary.  Harmonised approaches will allow efficient transfer of information and expertise to </w:t>
      </w:r>
      <w:r w:rsidR="000C5C08">
        <w:t>help</w:t>
      </w:r>
      <w:r w:rsidR="00804353">
        <w:t xml:space="preserve"> regions</w:t>
      </w:r>
      <w:r w:rsidR="000C5C08">
        <w:t xml:space="preserve"> or countries</w:t>
      </w:r>
      <w:r w:rsidR="00804353">
        <w:t xml:space="preserve"> with little experience in emission inventory preparation. </w:t>
      </w:r>
    </w:p>
    <w:p w14:paraId="4780CEDF" w14:textId="77777777" w:rsidR="00804353" w:rsidRDefault="00804353" w:rsidP="00804353">
      <w:pPr>
        <w:pStyle w:val="BodyTextIndent"/>
      </w:pPr>
      <w:r>
        <w:t xml:space="preserve"> </w:t>
      </w:r>
    </w:p>
    <w:p w14:paraId="338D1C93" w14:textId="77777777" w:rsidR="007F098C" w:rsidRDefault="007F098C" w:rsidP="00804353">
      <w:pPr>
        <w:pStyle w:val="BodyTextIndent"/>
      </w:pPr>
    </w:p>
    <w:p w14:paraId="478E0BE4" w14:textId="77777777" w:rsidR="00804353" w:rsidRDefault="00804353" w:rsidP="00BE3408">
      <w:pPr>
        <w:pStyle w:val="Heading2"/>
      </w:pPr>
      <w:r>
        <w:t xml:space="preserve">   </w:t>
      </w:r>
      <w:bookmarkStart w:id="37" w:name="_Toc10122653"/>
      <w:r w:rsidR="00BA6222">
        <w:t>T</w:t>
      </w:r>
      <w:r w:rsidRPr="00BA6222">
        <w:t>h</w:t>
      </w:r>
      <w:r>
        <w:t xml:space="preserve">e Global </w:t>
      </w:r>
      <w:r w:rsidR="00BA6222">
        <w:t xml:space="preserve">Atmospheric Pollution </w:t>
      </w:r>
      <w:r>
        <w:t>Forum</w:t>
      </w:r>
      <w:bookmarkEnd w:id="37"/>
    </w:p>
    <w:p w14:paraId="2F6B1786" w14:textId="77777777" w:rsidR="00804353" w:rsidRDefault="00804353" w:rsidP="00804353">
      <w:pPr>
        <w:pStyle w:val="BodyTextIndent"/>
        <w:ind w:firstLine="0"/>
      </w:pPr>
    </w:p>
    <w:p w14:paraId="3A724686" w14:textId="46D2F14F" w:rsidR="00804353" w:rsidRDefault="00BA6222" w:rsidP="007B190A">
      <w:r w:rsidRPr="00BA6222">
        <w:t xml:space="preserve">The </w:t>
      </w:r>
      <w:r w:rsidR="00FC3CF5" w:rsidRPr="00BA6222">
        <w:t>Global Atmospheric Pollution Forum</w:t>
      </w:r>
      <w:r w:rsidR="00FC3CF5">
        <w:t xml:space="preserve"> (the Forum)</w:t>
      </w:r>
      <w:r w:rsidR="00FC3CF5" w:rsidRPr="00BA6222">
        <w:t xml:space="preserve"> </w:t>
      </w:r>
      <w:r w:rsidRPr="00BA6222">
        <w:t xml:space="preserve">was established </w:t>
      </w:r>
      <w:r w:rsidR="00FC3CF5">
        <w:t>in 2005,</w:t>
      </w:r>
      <w:r w:rsidRPr="00BA6222">
        <w:t xml:space="preserve"> on the initiative of the International Union of Air Pollution</w:t>
      </w:r>
      <w:r w:rsidR="00FC3CF5">
        <w:t xml:space="preserve"> </w:t>
      </w:r>
      <w:r w:rsidRPr="00BA6222">
        <w:t>Prevention Associations (IUAPPA) and the Stockholm Environment Institute (SEI), to support co-operation and development of common</w:t>
      </w:r>
      <w:r w:rsidR="00FC3CF5">
        <w:t xml:space="preserve"> </w:t>
      </w:r>
      <w:r w:rsidRPr="00BA6222">
        <w:t>practice among scientific and policy networks concerned with the abatement of air pollution at the regional scale.</w:t>
      </w:r>
      <w:r w:rsidR="00FC3CF5">
        <w:t xml:space="preserve"> </w:t>
      </w:r>
      <w:r w:rsidR="00FC3CF5" w:rsidRPr="00FC3CF5">
        <w:t>The Forum emerged from a widespread recognition among</w:t>
      </w:r>
      <w:r w:rsidR="00FC3CF5">
        <w:t xml:space="preserve"> </w:t>
      </w:r>
      <w:r w:rsidR="00FC3CF5" w:rsidRPr="00FC3CF5">
        <w:t>regional air pollution networks of the timeliness and merit of</w:t>
      </w:r>
      <w:r w:rsidR="00FC3CF5">
        <w:t xml:space="preserve"> </w:t>
      </w:r>
      <w:r w:rsidR="00FC3CF5" w:rsidRPr="00FC3CF5">
        <w:t>closer</w:t>
      </w:r>
      <w:r w:rsidR="00FC3CF5">
        <w:t xml:space="preserve"> consultation and co-operation. </w:t>
      </w:r>
      <w:r w:rsidR="00804353">
        <w:t xml:space="preserve">The Forum is already promoting a Global Atlas of Atmospheric Pollution and undertaking a collaborative review of Hemispheric Pollution. It is now developing a programme of collaborative development and demonstration problems on common technical issues. </w:t>
      </w:r>
      <w:r w:rsidR="007B190A">
        <w:t>A</w:t>
      </w:r>
      <w:r w:rsidR="00804353">
        <w:t xml:space="preserve"> pro</w:t>
      </w:r>
      <w:r w:rsidR="00FC3CF5">
        <w:t>ject</w:t>
      </w:r>
      <w:r w:rsidR="00804353">
        <w:t xml:space="preserve"> </w:t>
      </w:r>
      <w:r w:rsidR="007B190A">
        <w:t>entitled</w:t>
      </w:r>
      <w:r w:rsidR="00804353">
        <w:t xml:space="preserve"> </w:t>
      </w:r>
      <w:r w:rsidR="007B190A" w:rsidRPr="007B190A">
        <w:t>‘D</w:t>
      </w:r>
      <w:r w:rsidR="00FC3CF5" w:rsidRPr="007B190A">
        <w:t xml:space="preserve">eveloping </w:t>
      </w:r>
      <w:r w:rsidR="007B190A" w:rsidRPr="007B190A">
        <w:t>and Disseminating International Good P</w:t>
      </w:r>
      <w:r w:rsidR="00FC3CF5" w:rsidRPr="007B190A">
        <w:t xml:space="preserve">ractice in </w:t>
      </w:r>
      <w:r w:rsidR="007B190A" w:rsidRPr="007B190A">
        <w:t>E</w:t>
      </w:r>
      <w:r w:rsidR="00804353" w:rsidRPr="007B190A">
        <w:t xml:space="preserve">missions </w:t>
      </w:r>
      <w:r w:rsidR="007B190A" w:rsidRPr="007B190A">
        <w:t>I</w:t>
      </w:r>
      <w:r w:rsidR="00804353" w:rsidRPr="007B190A">
        <w:t>nventor</w:t>
      </w:r>
      <w:r w:rsidR="007B190A" w:rsidRPr="007B190A">
        <w:t>y Compilation’</w:t>
      </w:r>
      <w:r w:rsidR="00804353">
        <w:t xml:space="preserve"> is among the first </w:t>
      </w:r>
      <w:r w:rsidR="007B190A">
        <w:t>initiatives of this programme and this Manual and its associated Excel-based Workbook are its main products</w:t>
      </w:r>
      <w:r w:rsidR="00804353">
        <w:t>.</w:t>
      </w:r>
      <w:r w:rsidR="006E035A" w:rsidRPr="006E035A">
        <w:t xml:space="preserve"> </w:t>
      </w:r>
      <w:r w:rsidR="006E035A">
        <w:t xml:space="preserve">The purpose of the manual is to present a framework for emission inventory preparation that is suitable for use in different developing and rapidly industrialising countries and which is </w:t>
      </w:r>
      <w:r w:rsidR="00C46E3B">
        <w:t>compatible with</w:t>
      </w:r>
      <w:r w:rsidR="006E035A">
        <w:t xml:space="preserve"> other major emission</w:t>
      </w:r>
      <w:r w:rsidR="00C46E3B">
        <w:t>s</w:t>
      </w:r>
      <w:r w:rsidR="006E035A">
        <w:t xml:space="preserve"> inventory</w:t>
      </w:r>
      <w:r w:rsidR="00C46E3B">
        <w:t xml:space="preserve"> preparation</w:t>
      </w:r>
      <w:r w:rsidR="006E035A">
        <w:t xml:space="preserve"> approaches such as those described in the </w:t>
      </w:r>
      <w:r w:rsidR="002E5800">
        <w:t xml:space="preserve">2016 </w:t>
      </w:r>
      <w:r w:rsidR="006E035A">
        <w:t>EMEP/</w:t>
      </w:r>
      <w:r w:rsidR="009840BE">
        <w:t>EEA</w:t>
      </w:r>
      <w:r w:rsidR="006E035A">
        <w:t xml:space="preserve"> </w:t>
      </w:r>
      <w:r w:rsidR="002E5800">
        <w:t>air pollutant emission inventory g</w:t>
      </w:r>
      <w:r w:rsidR="006E035A">
        <w:t>uidebook</w:t>
      </w:r>
      <w:r w:rsidR="002E5800">
        <w:t xml:space="preserve"> (EMEP/EEA, 2016)</w:t>
      </w:r>
      <w:r w:rsidR="009C3F42">
        <w:rPr>
          <w:rStyle w:val="FootnoteReference"/>
        </w:rPr>
        <w:footnoteReference w:id="3"/>
      </w:r>
      <w:r w:rsidR="002E5800">
        <w:t xml:space="preserve">, hereafter referred to as the </w:t>
      </w:r>
      <w:r w:rsidR="002E5800" w:rsidRPr="00AD3770">
        <w:rPr>
          <w:i/>
        </w:rPr>
        <w:t>EMEP/EEA Guide</w:t>
      </w:r>
      <w:r w:rsidR="002E5800">
        <w:rPr>
          <w:i/>
        </w:rPr>
        <w:t>book</w:t>
      </w:r>
      <w:r w:rsidR="002E5800">
        <w:t xml:space="preserve">, </w:t>
      </w:r>
      <w:r w:rsidR="009C3F42">
        <w:t>and</w:t>
      </w:r>
      <w:r w:rsidR="002E5800">
        <w:t xml:space="preserve"> </w:t>
      </w:r>
      <w:r w:rsidR="002E5800" w:rsidRPr="002E5800">
        <w:t>Intergovernmental  Panel  on  Climate  Change (IPCC)  Guidelines for National Greenhouse Gas Inventories</w:t>
      </w:r>
      <w:r w:rsidR="002E5800">
        <w:t xml:space="preserve"> (IPCC, 2006), hereafter referred to as</w:t>
      </w:r>
      <w:r w:rsidR="009C3F42">
        <w:t xml:space="preserve"> </w:t>
      </w:r>
      <w:r w:rsidR="006E035A">
        <w:t>the</w:t>
      </w:r>
      <w:r w:rsidR="006E035A" w:rsidRPr="006E035A">
        <w:t xml:space="preserve"> </w:t>
      </w:r>
      <w:r w:rsidR="006E035A" w:rsidRPr="00AD3770">
        <w:rPr>
          <w:i/>
        </w:rPr>
        <w:t>IPCC</w:t>
      </w:r>
      <w:r w:rsidR="009C3F42" w:rsidRPr="00AD3770">
        <w:rPr>
          <w:i/>
        </w:rPr>
        <w:t xml:space="preserve"> Guidelines</w:t>
      </w:r>
      <w:r w:rsidR="009C3F42">
        <w:rPr>
          <w:rStyle w:val="FootnoteReference"/>
        </w:rPr>
        <w:footnoteReference w:id="4"/>
      </w:r>
      <w:r w:rsidR="006E035A">
        <w:t xml:space="preserve">.  </w:t>
      </w:r>
    </w:p>
    <w:p w14:paraId="4D084A29" w14:textId="77777777" w:rsidR="00C46552" w:rsidRDefault="00C46552"/>
    <w:p w14:paraId="5211EBAC" w14:textId="77777777" w:rsidR="00C46552" w:rsidRDefault="007D124C" w:rsidP="002847DC">
      <w:pPr>
        <w:pStyle w:val="Heading1"/>
        <w:numPr>
          <w:ilvl w:val="0"/>
          <w:numId w:val="17"/>
        </w:numPr>
      </w:pPr>
      <w:bookmarkStart w:id="38" w:name="_Toc10122654"/>
      <w:r>
        <w:t>P</w:t>
      </w:r>
      <w:r w:rsidR="00001732">
        <w:t>rinciples</w:t>
      </w:r>
      <w:r>
        <w:t xml:space="preserve"> of good practice in preparing inventories</w:t>
      </w:r>
      <w:bookmarkEnd w:id="38"/>
    </w:p>
    <w:p w14:paraId="148B0B17" w14:textId="77777777" w:rsidR="00001732" w:rsidRDefault="00001732" w:rsidP="00001732"/>
    <w:p w14:paraId="35353085" w14:textId="77777777" w:rsidR="00AD2813" w:rsidRDefault="00AD2813" w:rsidP="00BE3408">
      <w:pPr>
        <w:pStyle w:val="Heading2"/>
      </w:pPr>
      <w:bookmarkStart w:id="39" w:name="_Toc10122655"/>
      <w:r>
        <w:t>Basic inventory principles</w:t>
      </w:r>
      <w:bookmarkEnd w:id="39"/>
    </w:p>
    <w:p w14:paraId="54933CE0" w14:textId="77777777" w:rsidR="00001732" w:rsidRDefault="00001732" w:rsidP="00001732"/>
    <w:p w14:paraId="2F93400F" w14:textId="77777777" w:rsidR="00490F08" w:rsidRDefault="00AD2813" w:rsidP="00001732">
      <w:r>
        <w:t>An emission inventory lists emissions of different pollutants from defined sources. An inventory can ha</w:t>
      </w:r>
      <w:r w:rsidR="0042763A">
        <w:t>ve</w:t>
      </w:r>
      <w:r>
        <w:t xml:space="preserve"> different geographical scope ranging from global </w:t>
      </w:r>
      <w:r w:rsidR="0042763A">
        <w:t xml:space="preserve">down </w:t>
      </w:r>
      <w:r>
        <w:t xml:space="preserve">to </w:t>
      </w:r>
      <w:r w:rsidR="0042763A">
        <w:t xml:space="preserve">individual </w:t>
      </w:r>
      <w:r>
        <w:t>plant level. The focus of this manual is national inventories.</w:t>
      </w:r>
      <w:r w:rsidR="000429DF">
        <w:t xml:space="preserve"> An inventory can be compiled</w:t>
      </w:r>
      <w:r w:rsidR="00490F08">
        <w:t xml:space="preserve"> </w:t>
      </w:r>
      <w:r w:rsidR="000429DF">
        <w:t>at the national level</w:t>
      </w:r>
      <w:r w:rsidR="00490F08">
        <w:t>, or emission</w:t>
      </w:r>
      <w:r w:rsidR="0042763A">
        <w:t>s</w:t>
      </w:r>
      <w:r w:rsidR="00490F08">
        <w:t xml:space="preserve"> at the national level can be the sum of emissions compiled at smaller geographical scale</w:t>
      </w:r>
      <w:r w:rsidR="0042763A">
        <w:t>s</w:t>
      </w:r>
      <w:r w:rsidR="00490F08">
        <w:t xml:space="preserve"> (e.g. county</w:t>
      </w:r>
      <w:r w:rsidR="00711452">
        <w:t>,</w:t>
      </w:r>
      <w:r w:rsidR="00490F08">
        <w:t xml:space="preserve"> municipality</w:t>
      </w:r>
      <w:r w:rsidR="00711452">
        <w:t xml:space="preserve"> or even facility level</w:t>
      </w:r>
      <w:r w:rsidR="00490F08">
        <w:t>).</w:t>
      </w:r>
      <w:r w:rsidR="000429DF">
        <w:t xml:space="preserve"> </w:t>
      </w:r>
      <w:r>
        <w:t xml:space="preserve"> An i</w:t>
      </w:r>
      <w:r w:rsidR="00490F08">
        <w:t>nventory can be given for a single</w:t>
      </w:r>
      <w:r>
        <w:t xml:space="preserve"> year</w:t>
      </w:r>
      <w:r w:rsidR="00490F08">
        <w:t xml:space="preserve"> only</w:t>
      </w:r>
      <w:r>
        <w:t>,</w:t>
      </w:r>
      <w:r w:rsidR="00490F08">
        <w:t xml:space="preserve"> but inventories for more years (time-series) are needed for most applications.</w:t>
      </w:r>
    </w:p>
    <w:p w14:paraId="3F0D3B64" w14:textId="77777777" w:rsidR="00490F08" w:rsidRDefault="00490F08" w:rsidP="00001732"/>
    <w:p w14:paraId="79AC5127" w14:textId="77777777" w:rsidR="00490F08" w:rsidRDefault="00490F08" w:rsidP="006D330C">
      <w:pPr>
        <w:ind w:firstLine="720"/>
      </w:pPr>
      <w:r>
        <w:t xml:space="preserve">The </w:t>
      </w:r>
      <w:r w:rsidR="00784D7A">
        <w:t xml:space="preserve">generally accepted </w:t>
      </w:r>
      <w:r>
        <w:t xml:space="preserve">objectives of inventories are that they </w:t>
      </w:r>
      <w:r w:rsidR="0042763A">
        <w:t xml:space="preserve">should be </w:t>
      </w:r>
      <w:r>
        <w:t xml:space="preserve">transparent, accurate, complete, consistent and comparable.  </w:t>
      </w:r>
    </w:p>
    <w:p w14:paraId="62B23F99" w14:textId="77777777" w:rsidR="00490F08" w:rsidRDefault="00490F08" w:rsidP="00001732"/>
    <w:p w14:paraId="6B3EC94A" w14:textId="77777777" w:rsidR="00490F08" w:rsidRDefault="00490F08" w:rsidP="00490F08">
      <w:pPr>
        <w:pStyle w:val="BodyText2006GL"/>
        <w:ind w:left="51"/>
        <w:rPr>
          <w:sz w:val="24"/>
          <w:lang w:eastAsia="en-US"/>
        </w:rPr>
      </w:pPr>
      <w:r w:rsidRPr="0042763A">
        <w:rPr>
          <w:b/>
          <w:sz w:val="24"/>
          <w:lang w:eastAsia="en-US"/>
        </w:rPr>
        <w:t>Transparency:</w:t>
      </w:r>
      <w:r w:rsidRPr="00490F08">
        <w:rPr>
          <w:sz w:val="24"/>
          <w:lang w:eastAsia="en-US"/>
        </w:rPr>
        <w:t xml:space="preserve"> There </w:t>
      </w:r>
      <w:r>
        <w:rPr>
          <w:sz w:val="24"/>
          <w:lang w:eastAsia="en-US"/>
        </w:rPr>
        <w:t>is</w:t>
      </w:r>
      <w:r w:rsidRPr="00490F08">
        <w:rPr>
          <w:sz w:val="24"/>
          <w:lang w:eastAsia="en-US"/>
        </w:rPr>
        <w:t xml:space="preserve"> sufficient and clear documentation</w:t>
      </w:r>
      <w:r w:rsidR="0042763A">
        <w:rPr>
          <w:sz w:val="24"/>
          <w:lang w:eastAsia="en-US"/>
        </w:rPr>
        <w:t xml:space="preserve"> such</w:t>
      </w:r>
      <w:r w:rsidRPr="00490F08">
        <w:rPr>
          <w:sz w:val="24"/>
          <w:lang w:eastAsia="en-US"/>
        </w:rPr>
        <w:t xml:space="preserve"> that individuals or groups other than the inventory compilers can understand how the inventory was compiled and can assure themselves</w:t>
      </w:r>
      <w:r w:rsidR="0042763A">
        <w:rPr>
          <w:sz w:val="24"/>
          <w:lang w:eastAsia="en-US"/>
        </w:rPr>
        <w:t xml:space="preserve"> that</w:t>
      </w:r>
      <w:r w:rsidRPr="00490F08">
        <w:rPr>
          <w:sz w:val="24"/>
          <w:lang w:eastAsia="en-US"/>
        </w:rPr>
        <w:t xml:space="preserve"> it meets the requirements</w:t>
      </w:r>
      <w:r w:rsidR="003544B0">
        <w:rPr>
          <w:sz w:val="24"/>
          <w:lang w:eastAsia="en-US"/>
        </w:rPr>
        <w:t xml:space="preserve"> set for the inventory.</w:t>
      </w:r>
      <w:r w:rsidRPr="00490F08">
        <w:rPr>
          <w:sz w:val="24"/>
          <w:lang w:eastAsia="en-US"/>
        </w:rPr>
        <w:t xml:space="preserve"> </w:t>
      </w:r>
    </w:p>
    <w:p w14:paraId="62BD0D9F" w14:textId="77777777" w:rsidR="00490F08" w:rsidRPr="00490F08" w:rsidRDefault="00490F08" w:rsidP="00490F08">
      <w:pPr>
        <w:pStyle w:val="BodyText2006GL"/>
        <w:ind w:left="51"/>
        <w:rPr>
          <w:sz w:val="24"/>
          <w:lang w:eastAsia="en-US"/>
        </w:rPr>
      </w:pPr>
      <w:r w:rsidRPr="0042763A">
        <w:rPr>
          <w:b/>
          <w:sz w:val="24"/>
          <w:lang w:eastAsia="en-US"/>
        </w:rPr>
        <w:t>Completeness</w:t>
      </w:r>
      <w:r w:rsidRPr="00490F08">
        <w:rPr>
          <w:sz w:val="24"/>
          <w:lang w:eastAsia="en-US"/>
        </w:rPr>
        <w:t xml:space="preserve">: Estimates are reported for all relevant sources, gases and geographic areas within the scope of the </w:t>
      </w:r>
      <w:r w:rsidR="003544B0">
        <w:rPr>
          <w:sz w:val="24"/>
          <w:lang w:eastAsia="en-US"/>
        </w:rPr>
        <w:t>i</w:t>
      </w:r>
      <w:r w:rsidRPr="00490F08">
        <w:rPr>
          <w:sz w:val="24"/>
          <w:lang w:eastAsia="en-US"/>
        </w:rPr>
        <w:t>nventory</w:t>
      </w:r>
      <w:r w:rsidR="003544B0">
        <w:rPr>
          <w:sz w:val="24"/>
          <w:lang w:eastAsia="en-US"/>
        </w:rPr>
        <w:t>.</w:t>
      </w:r>
      <w:r w:rsidRPr="00490F08">
        <w:rPr>
          <w:sz w:val="24"/>
          <w:lang w:eastAsia="en-US"/>
        </w:rPr>
        <w:t xml:space="preserve"> Where elements are missing their absence should be clearly documented internally and highlighted in association with any published data. </w:t>
      </w:r>
    </w:p>
    <w:p w14:paraId="09C082C7" w14:textId="77777777" w:rsidR="00490F08" w:rsidRPr="00490F08" w:rsidRDefault="00490F08" w:rsidP="00490F08">
      <w:pPr>
        <w:pStyle w:val="BodyText2006GL"/>
        <w:ind w:left="51"/>
        <w:rPr>
          <w:sz w:val="24"/>
          <w:lang w:eastAsia="en-US"/>
        </w:rPr>
      </w:pPr>
      <w:r w:rsidRPr="0042763A">
        <w:rPr>
          <w:b/>
          <w:sz w:val="24"/>
          <w:lang w:eastAsia="en-US"/>
        </w:rPr>
        <w:t>Consistenc</w:t>
      </w:r>
      <w:r w:rsidRPr="0042763A">
        <w:rPr>
          <w:sz w:val="24"/>
          <w:lang w:eastAsia="en-US"/>
        </w:rPr>
        <w:t>y:</w:t>
      </w:r>
      <w:r w:rsidRPr="00490F08">
        <w:rPr>
          <w:sz w:val="24"/>
          <w:lang w:eastAsia="en-US"/>
        </w:rPr>
        <w:t xml:space="preserve"> Estimates for different inventory years, gases and </w:t>
      </w:r>
      <w:r w:rsidR="00711452">
        <w:rPr>
          <w:sz w:val="24"/>
          <w:lang w:eastAsia="en-US"/>
        </w:rPr>
        <w:t>sources</w:t>
      </w:r>
      <w:r w:rsidR="00711452" w:rsidRPr="00490F08">
        <w:rPr>
          <w:sz w:val="24"/>
          <w:lang w:eastAsia="en-US"/>
        </w:rPr>
        <w:t xml:space="preserve"> </w:t>
      </w:r>
      <w:r w:rsidRPr="00490F08">
        <w:rPr>
          <w:sz w:val="24"/>
          <w:lang w:eastAsia="en-US"/>
        </w:rPr>
        <w:t xml:space="preserve">are made in such a way that differences in the results between years and </w:t>
      </w:r>
      <w:r w:rsidR="00711452">
        <w:rPr>
          <w:sz w:val="24"/>
          <w:lang w:eastAsia="en-US"/>
        </w:rPr>
        <w:t>sources</w:t>
      </w:r>
      <w:r w:rsidRPr="00490F08">
        <w:rPr>
          <w:sz w:val="24"/>
          <w:lang w:eastAsia="en-US"/>
        </w:rPr>
        <w:t xml:space="preserve"> reflect real differences in emissions. Inventory annual </w:t>
      </w:r>
      <w:r w:rsidRPr="00490F08">
        <w:rPr>
          <w:sz w:val="24"/>
          <w:lang w:eastAsia="en-US"/>
        </w:rPr>
        <w:lastRenderedPageBreak/>
        <w:t xml:space="preserve">trends, as far as possible, should be calculated using the same method and data sources in all years and should aim to reflect the real annual fluctuations in emissions and not be subject to changes resulting from methodological differences. </w:t>
      </w:r>
    </w:p>
    <w:p w14:paraId="3965C2FE" w14:textId="77777777" w:rsidR="00490F08" w:rsidRPr="00490F08" w:rsidRDefault="00490F08" w:rsidP="00490F08">
      <w:pPr>
        <w:pStyle w:val="BodyText2006GL"/>
        <w:ind w:left="51"/>
        <w:rPr>
          <w:sz w:val="24"/>
          <w:lang w:eastAsia="en-US"/>
        </w:rPr>
      </w:pPr>
      <w:r w:rsidRPr="0042763A">
        <w:rPr>
          <w:b/>
          <w:sz w:val="24"/>
          <w:lang w:eastAsia="en-US"/>
        </w:rPr>
        <w:t>Comparability:</w:t>
      </w:r>
      <w:r w:rsidRPr="00490F08">
        <w:rPr>
          <w:sz w:val="24"/>
          <w:lang w:eastAsia="en-US"/>
        </w:rPr>
        <w:t xml:space="preserve"> The inventory is reported in a way that allows it to be compared with inventories for other countries. This should be reflected in appropriate use of </w:t>
      </w:r>
      <w:r w:rsidR="003544B0">
        <w:rPr>
          <w:sz w:val="24"/>
          <w:lang w:eastAsia="en-US"/>
        </w:rPr>
        <w:t>tables and use of a common</w:t>
      </w:r>
      <w:r w:rsidRPr="00490F08">
        <w:rPr>
          <w:sz w:val="24"/>
          <w:lang w:eastAsia="en-US"/>
        </w:rPr>
        <w:t xml:space="preserve"> classification and definition of </w:t>
      </w:r>
      <w:r w:rsidR="00711452">
        <w:rPr>
          <w:sz w:val="24"/>
          <w:lang w:eastAsia="en-US"/>
        </w:rPr>
        <w:t>sources</w:t>
      </w:r>
      <w:r w:rsidR="00711452" w:rsidRPr="00490F08">
        <w:rPr>
          <w:sz w:val="24"/>
          <w:lang w:eastAsia="en-US"/>
        </w:rPr>
        <w:t xml:space="preserve"> </w:t>
      </w:r>
      <w:r w:rsidRPr="00490F08">
        <w:rPr>
          <w:sz w:val="24"/>
          <w:lang w:eastAsia="en-US"/>
        </w:rPr>
        <w:t>of emissions</w:t>
      </w:r>
      <w:r w:rsidR="003544B0">
        <w:rPr>
          <w:sz w:val="24"/>
          <w:lang w:eastAsia="en-US"/>
        </w:rPr>
        <w:t>.</w:t>
      </w:r>
      <w:r w:rsidRPr="00490F08">
        <w:rPr>
          <w:sz w:val="24"/>
          <w:lang w:eastAsia="en-US"/>
        </w:rPr>
        <w:t xml:space="preserve"> </w:t>
      </w:r>
    </w:p>
    <w:p w14:paraId="0FF654AE" w14:textId="77777777" w:rsidR="00504F4C" w:rsidRPr="00490F08" w:rsidRDefault="00490F08" w:rsidP="00490F08">
      <w:pPr>
        <w:pStyle w:val="BodyText2006GL"/>
        <w:ind w:left="51"/>
        <w:rPr>
          <w:sz w:val="24"/>
          <w:lang w:eastAsia="en-US"/>
        </w:rPr>
      </w:pPr>
      <w:r w:rsidRPr="0042763A">
        <w:rPr>
          <w:b/>
          <w:sz w:val="24"/>
          <w:lang w:eastAsia="en-US"/>
        </w:rPr>
        <w:t>Accuracy:</w:t>
      </w:r>
      <w:r w:rsidRPr="00490F08">
        <w:rPr>
          <w:sz w:val="24"/>
          <w:lang w:eastAsia="en-US"/>
        </w:rPr>
        <w:t xml:space="preserve"> </w:t>
      </w:r>
      <w:r w:rsidR="003544B0">
        <w:rPr>
          <w:sz w:val="24"/>
          <w:lang w:eastAsia="en-US"/>
        </w:rPr>
        <w:t>That the</w:t>
      </w:r>
      <w:r w:rsidRPr="00490F08">
        <w:rPr>
          <w:sz w:val="24"/>
          <w:lang w:eastAsia="en-US"/>
        </w:rPr>
        <w:t xml:space="preserve"> inventory contain neither over- nor underestimates so far as can be judged, This means making all endeavours to remove bias from the inventory estimates</w:t>
      </w:r>
      <w:r w:rsidR="003544B0">
        <w:rPr>
          <w:sz w:val="24"/>
          <w:lang w:eastAsia="en-US"/>
        </w:rPr>
        <w:t>.</w:t>
      </w:r>
      <w:r w:rsidRPr="00490F08">
        <w:rPr>
          <w:sz w:val="24"/>
          <w:lang w:eastAsia="en-US"/>
        </w:rPr>
        <w:t xml:space="preserve"> </w:t>
      </w:r>
    </w:p>
    <w:p w14:paraId="781B58D8" w14:textId="77777777" w:rsidR="00490F08" w:rsidRDefault="00490F08" w:rsidP="00001732"/>
    <w:p w14:paraId="4C2C5B2B" w14:textId="77777777" w:rsidR="00F76F3B" w:rsidRDefault="00F76F3B" w:rsidP="006D330C">
      <w:pPr>
        <w:ind w:firstLine="720"/>
      </w:pPr>
      <w:r>
        <w:t xml:space="preserve">It is important to implement appropriate </w:t>
      </w:r>
      <w:r w:rsidR="00784D7A">
        <w:t>quality assurance/quality control (</w:t>
      </w:r>
      <w:r>
        <w:t>QA/QC</w:t>
      </w:r>
      <w:r w:rsidR="00784D7A">
        <w:t>)</w:t>
      </w:r>
      <w:r>
        <w:t xml:space="preserve"> checks to</w:t>
      </w:r>
      <w:r w:rsidR="00634BDF">
        <w:t xml:space="preserve"> the</w:t>
      </w:r>
      <w:r>
        <w:t xml:space="preserve"> inventory to ensure that these objectives are met. The principles for QA/QC developed by IPCC (2006 Guidelines</w:t>
      </w:r>
      <w:r w:rsidR="003C194C">
        <w:t>, Volume 1</w:t>
      </w:r>
      <w:r w:rsidR="001C57AD">
        <w:rPr>
          <w:rStyle w:val="FootnoteReference"/>
        </w:rPr>
        <w:footnoteReference w:id="5"/>
      </w:r>
      <w:r>
        <w:t>)</w:t>
      </w:r>
      <w:r w:rsidR="003C194C">
        <w:t xml:space="preserve"> are also generally applicable to other inventories.</w:t>
      </w:r>
    </w:p>
    <w:p w14:paraId="5CB24E78" w14:textId="77777777" w:rsidR="00F76F3B" w:rsidRDefault="00F76F3B" w:rsidP="00001732"/>
    <w:p w14:paraId="3F79473B" w14:textId="77777777" w:rsidR="001C57AD" w:rsidRDefault="003544B0" w:rsidP="001C57AD">
      <w:pPr>
        <w:ind w:firstLine="720"/>
      </w:pPr>
      <w:r>
        <w:t>Time-series consistency</w:t>
      </w:r>
      <w:r w:rsidR="00E6092A">
        <w:t xml:space="preserve"> can be a particular challenge when inventories are updated with new years. Often new emission factors,</w:t>
      </w:r>
      <w:r w:rsidR="007F0D7B">
        <w:t xml:space="preserve"> </w:t>
      </w:r>
      <w:r w:rsidR="00E6092A">
        <w:t xml:space="preserve">methods and other information are available to improve the estimates. </w:t>
      </w:r>
      <w:r w:rsidR="007F0D7B">
        <w:t xml:space="preserve">In this situation it is important to apply the new method and data also to previous years of the time-series. This principle is called </w:t>
      </w:r>
      <w:r w:rsidR="00634BDF">
        <w:t>‘</w:t>
      </w:r>
      <w:r w:rsidR="007F0D7B">
        <w:t>recalculations</w:t>
      </w:r>
      <w:r w:rsidR="00634BDF">
        <w:t>’</w:t>
      </w:r>
      <w:r w:rsidR="007F0D7B">
        <w:t xml:space="preserve">. If emissions are not appropriately recalculated real changes in emissions may be masked by changes that are due to changes in emission factors or methods. </w:t>
      </w:r>
      <w:r w:rsidR="00784D7A">
        <w:t xml:space="preserve">Sometimes data are not available </w:t>
      </w:r>
      <w:r w:rsidR="00DC3B69">
        <w:t>for all years or the method is not possible or practical to implement annually. In this situation IPCC (2006 Guidelines, Volume 1) suggests using so-called splicing techniques. These techniques include extrapolations, interpolations, overlap considerations and use of surrogate data (data that are correlated with real emissions).</w:t>
      </w:r>
    </w:p>
    <w:p w14:paraId="2AAE8305" w14:textId="77777777" w:rsidR="00490F08" w:rsidRDefault="00490F08" w:rsidP="00001732"/>
    <w:p w14:paraId="03E50F77" w14:textId="77777777" w:rsidR="004742DE" w:rsidRDefault="00F76F3B" w:rsidP="006D330C">
      <w:pPr>
        <w:ind w:firstLine="720"/>
        <w:rPr>
          <w:bCs/>
        </w:rPr>
      </w:pPr>
      <w:r>
        <w:t>An inventory consist</w:t>
      </w:r>
      <w:r w:rsidR="003C194C">
        <w:t>s</w:t>
      </w:r>
      <w:r>
        <w:t xml:space="preserve"> of a large number of sources</w:t>
      </w:r>
      <w:r w:rsidR="003C194C">
        <w:t xml:space="preserve"> and it can often be labour intensive to collect data, in particular when more detailed methods are used. In this situation priority</w:t>
      </w:r>
      <w:r w:rsidR="004742DE">
        <w:t xml:space="preserve"> should be given to the </w:t>
      </w:r>
      <w:r w:rsidR="004742DE" w:rsidRPr="00DC3B69">
        <w:rPr>
          <w:i/>
        </w:rPr>
        <w:t>key sources</w:t>
      </w:r>
      <w:r w:rsidR="004742DE">
        <w:t xml:space="preserve">. Key </w:t>
      </w:r>
      <w:r w:rsidR="0081676D">
        <w:t>sources</w:t>
      </w:r>
      <w:r w:rsidR="004742DE">
        <w:t xml:space="preserve"> are those </w:t>
      </w:r>
      <w:r w:rsidR="004742DE">
        <w:rPr>
          <w:i/>
        </w:rPr>
        <w:t>that have a significant influence on a country’s inventory in terms of the absolute level of emissions, the trend in emissions, or uncertainty</w:t>
      </w:r>
      <w:r w:rsidR="004742DE">
        <w:t xml:space="preserve">. Key </w:t>
      </w:r>
      <w:r w:rsidR="0081676D">
        <w:t>sources</w:t>
      </w:r>
      <w:r w:rsidR="004742DE">
        <w:t xml:space="preserve"> should be the priority for countries during inventory resource allocation for data collection, compilation, </w:t>
      </w:r>
      <w:r w:rsidR="00DC3B69">
        <w:t>QA/QC</w:t>
      </w:r>
      <w:r w:rsidR="004742DE">
        <w:t xml:space="preserve"> and reporting. </w:t>
      </w:r>
    </w:p>
    <w:p w14:paraId="058F0800" w14:textId="77777777" w:rsidR="004742DE" w:rsidRDefault="004742DE"/>
    <w:p w14:paraId="5B328B37" w14:textId="3264FBA0" w:rsidR="00490F08" w:rsidRDefault="004742DE" w:rsidP="006D330C">
      <w:pPr>
        <w:ind w:firstLine="576"/>
      </w:pPr>
      <w:r>
        <w:t xml:space="preserve">Key sources can be defined with respect to the total </w:t>
      </w:r>
      <w:r w:rsidR="0081676D">
        <w:t xml:space="preserve">emissions </w:t>
      </w:r>
      <w:r>
        <w:t>or the trend. In IPCC Approach 1 only the size of a source of emissions is taken into account. Approach 2</w:t>
      </w:r>
      <w:r w:rsidR="0081676D">
        <w:t xml:space="preserve"> also includes uncertainties. The IPCC method for level assessment has been developed for air quality pollutants in the </w:t>
      </w:r>
      <w:r w:rsidR="0081676D" w:rsidRPr="00AD3770">
        <w:rPr>
          <w:i/>
        </w:rPr>
        <w:t>EMEP/</w:t>
      </w:r>
      <w:r w:rsidR="002E5800" w:rsidRPr="00AD3770">
        <w:rPr>
          <w:i/>
        </w:rPr>
        <w:t xml:space="preserve">EEA </w:t>
      </w:r>
      <w:r w:rsidR="0081676D" w:rsidRPr="00AD3770">
        <w:rPr>
          <w:i/>
        </w:rPr>
        <w:t>Guidebook</w:t>
      </w:r>
      <w:r w:rsidR="0081676D">
        <w:t xml:space="preserve"> (Good Practice Guidance for CLRTAP Emission Inventories). The method is simple to implement in a spreadsheet if an initial inventory is available. If an init</w:t>
      </w:r>
      <w:r w:rsidR="00027C59">
        <w:t>ial inventory is not available it is recommended to first compile a</w:t>
      </w:r>
      <w:r w:rsidR="00F33037">
        <w:t>n</w:t>
      </w:r>
      <w:r w:rsidR="00027C59">
        <w:t xml:space="preserve"> inventory using simple methods before setting priorities. </w:t>
      </w:r>
      <w:r w:rsidR="002D2891">
        <w:t>International</w:t>
      </w:r>
      <w:r w:rsidR="00027C59">
        <w:t xml:space="preserve"> inventory </w:t>
      </w:r>
      <w:r w:rsidR="002D2891">
        <w:t xml:space="preserve">initiatives </w:t>
      </w:r>
      <w:r w:rsidR="00027C59">
        <w:t>or inventories in countries with similar national circumstances may also be used</w:t>
      </w:r>
      <w:r w:rsidR="00982E82">
        <w:t xml:space="preserve"> to initially identify key sources</w:t>
      </w:r>
      <w:r w:rsidR="00027C59">
        <w:t xml:space="preserve">. </w:t>
      </w:r>
    </w:p>
    <w:p w14:paraId="3D13A50E" w14:textId="77777777" w:rsidR="00530812" w:rsidRDefault="00530812"/>
    <w:p w14:paraId="35AFEF64" w14:textId="77777777" w:rsidR="00EA3167" w:rsidRDefault="00EA3167"/>
    <w:p w14:paraId="397F98FC" w14:textId="77777777" w:rsidR="00530812" w:rsidRDefault="00530812" w:rsidP="00BE3408">
      <w:pPr>
        <w:pStyle w:val="Heading2"/>
      </w:pPr>
      <w:bookmarkStart w:id="40" w:name="_Toc10122656"/>
      <w:r>
        <w:t>Estimation methods</w:t>
      </w:r>
      <w:bookmarkEnd w:id="40"/>
    </w:p>
    <w:p w14:paraId="6F1CC43A" w14:textId="77777777" w:rsidR="00530812" w:rsidRDefault="00530812"/>
    <w:p w14:paraId="3DA0C641" w14:textId="77777777" w:rsidR="00530812" w:rsidRDefault="00530812">
      <w:r>
        <w:t>Most emissions can be estimated using the simple relation:</w:t>
      </w:r>
    </w:p>
    <w:p w14:paraId="5BE275B7" w14:textId="77777777" w:rsidR="00530812" w:rsidRDefault="00530812"/>
    <w:p w14:paraId="19CADFF9" w14:textId="77777777" w:rsidR="00530812" w:rsidRPr="00F66C46" w:rsidRDefault="00530812">
      <w:pPr>
        <w:rPr>
          <w:i/>
        </w:rPr>
      </w:pPr>
      <w:r w:rsidRPr="00F66C46">
        <w:rPr>
          <w:i/>
        </w:rPr>
        <w:t>Emissions = Emission factor x Activity rate</w:t>
      </w:r>
    </w:p>
    <w:p w14:paraId="16FF1BEA" w14:textId="77777777" w:rsidR="00530812" w:rsidRDefault="00530812"/>
    <w:p w14:paraId="53DEAC49" w14:textId="77777777" w:rsidR="00530812" w:rsidRDefault="00F33037">
      <w:r>
        <w:t>An emission factor</w:t>
      </w:r>
      <w:r w:rsidR="00530812">
        <w:t xml:space="preserve"> provides emissions per unit activity, for example kg NOx emitted per TJ fuel. </w:t>
      </w:r>
      <w:r w:rsidR="00DC3B69">
        <w:t xml:space="preserve">Abatement </w:t>
      </w:r>
      <w:r w:rsidR="00530812">
        <w:t>of emissions can be taken into account by applying a</w:t>
      </w:r>
      <w:r>
        <w:t xml:space="preserve"> different, technology-specific</w:t>
      </w:r>
      <w:r w:rsidR="00530812">
        <w:t xml:space="preserve"> emission factor. In other situations</w:t>
      </w:r>
      <w:r>
        <w:t>,</w:t>
      </w:r>
      <w:r w:rsidR="00530812">
        <w:t xml:space="preserve"> </w:t>
      </w:r>
      <w:r w:rsidR="00DC3B69">
        <w:t xml:space="preserve">abatement </w:t>
      </w:r>
      <w:r>
        <w:t>is</w:t>
      </w:r>
      <w:r w:rsidR="00530812">
        <w:t xml:space="preserve"> taken into account by subtraction: </w:t>
      </w:r>
    </w:p>
    <w:p w14:paraId="208442EA" w14:textId="77777777" w:rsidR="00530812" w:rsidRDefault="00530812"/>
    <w:p w14:paraId="0D07CF0C" w14:textId="77777777" w:rsidR="00530812" w:rsidRPr="00F66C46" w:rsidRDefault="00530812">
      <w:pPr>
        <w:rPr>
          <w:i/>
        </w:rPr>
      </w:pPr>
      <w:r w:rsidRPr="00F66C46">
        <w:rPr>
          <w:i/>
        </w:rPr>
        <w:t xml:space="preserve">Emissions = Emission factor x Activity rate – </w:t>
      </w:r>
      <w:r w:rsidR="003C7674">
        <w:rPr>
          <w:i/>
        </w:rPr>
        <w:t>A</w:t>
      </w:r>
      <w:r w:rsidR="00DC3B69">
        <w:rPr>
          <w:i/>
        </w:rPr>
        <w:t>batement/</w:t>
      </w:r>
      <w:r w:rsidR="003C7674">
        <w:rPr>
          <w:i/>
        </w:rPr>
        <w:t>R</w:t>
      </w:r>
      <w:r w:rsidRPr="00F66C46">
        <w:rPr>
          <w:i/>
        </w:rPr>
        <w:t>ecovery</w:t>
      </w:r>
    </w:p>
    <w:p w14:paraId="7F9EB022" w14:textId="77777777" w:rsidR="00530812" w:rsidRDefault="00530812"/>
    <w:p w14:paraId="05D81213" w14:textId="77777777" w:rsidR="00530812" w:rsidRDefault="00530812">
      <w:r>
        <w:lastRenderedPageBreak/>
        <w:t xml:space="preserve">Some methods are more complex and include more than one emission factor or type of activity data. Examples are in the agriculture or road transportation sector. </w:t>
      </w:r>
    </w:p>
    <w:p w14:paraId="4D3A10FC" w14:textId="77777777" w:rsidR="003D1CFA" w:rsidRDefault="003D1CFA"/>
    <w:p w14:paraId="47AA6239" w14:textId="77777777" w:rsidR="003D1CFA" w:rsidRDefault="003D1CFA" w:rsidP="006D330C">
      <w:pPr>
        <w:ind w:firstLine="576"/>
      </w:pPr>
      <w:r>
        <w:t>Air pollution inventories often include data from large point sources</w:t>
      </w:r>
      <w:r w:rsidR="00972098">
        <w:t xml:space="preserve"> (LPS)</w:t>
      </w:r>
      <w:r>
        <w:t xml:space="preserve">. Such data can be based on direct emission measurements, calculations from emission factors or mass balance considerations. In combining data from </w:t>
      </w:r>
      <w:r w:rsidR="00972098">
        <w:t>LPS</w:t>
      </w:r>
      <w:r>
        <w:t xml:space="preserve"> with data estimated from aggregated emission factors and activity data</w:t>
      </w:r>
      <w:r w:rsidR="00DC3B69">
        <w:t xml:space="preserve"> (for example at the country level)</w:t>
      </w:r>
      <w:r>
        <w:t>, it is particularly important to check that emissions are not double counted and that the inventory is complete.</w:t>
      </w:r>
      <w:r w:rsidR="00F66C46">
        <w:t xml:space="preserve"> In applying emission measurements to determine emissions it is important to adhere to accepted standards for making such measurements (e.g. ISO).</w:t>
      </w:r>
    </w:p>
    <w:p w14:paraId="6E86F3E7" w14:textId="77777777" w:rsidR="00F76F3B" w:rsidRDefault="00F76F3B"/>
    <w:p w14:paraId="4A47E4E5" w14:textId="77777777" w:rsidR="00EA3167" w:rsidRDefault="00EA3167"/>
    <w:p w14:paraId="43250852" w14:textId="77777777" w:rsidR="00027C59" w:rsidRDefault="00027C59" w:rsidP="00BE3408">
      <w:pPr>
        <w:pStyle w:val="Heading2"/>
      </w:pPr>
      <w:bookmarkStart w:id="41" w:name="_Toc10122657"/>
      <w:r>
        <w:t>Data collection</w:t>
      </w:r>
      <w:bookmarkEnd w:id="41"/>
    </w:p>
    <w:p w14:paraId="7EBD178A" w14:textId="77777777" w:rsidR="00E6092A" w:rsidRDefault="00E6092A"/>
    <w:p w14:paraId="373CFC99" w14:textId="77777777" w:rsidR="00027C59" w:rsidRDefault="00B34356">
      <w:r>
        <w:t>The data that need to be collect</w:t>
      </w:r>
      <w:r w:rsidR="00982E82">
        <w:t>ed</w:t>
      </w:r>
      <w:r>
        <w:t xml:space="preserve"> are </w:t>
      </w:r>
      <w:r w:rsidR="00BD1FE2">
        <w:t>described</w:t>
      </w:r>
      <w:r>
        <w:t xml:space="preserve"> in this </w:t>
      </w:r>
      <w:r w:rsidR="00972098">
        <w:t>M</w:t>
      </w:r>
      <w:r>
        <w:t xml:space="preserve">anual. Default emission factors </w:t>
      </w:r>
      <w:r w:rsidR="00EB7291">
        <w:t xml:space="preserve">given in this </w:t>
      </w:r>
      <w:r w:rsidR="00972098">
        <w:t>M</w:t>
      </w:r>
      <w:r w:rsidR="00642146">
        <w:t xml:space="preserve">anual </w:t>
      </w:r>
      <w:r>
        <w:t xml:space="preserve">can be </w:t>
      </w:r>
      <w:r w:rsidR="00EB7291">
        <w:t>used in an initial inventory and for non-key sources. However, to improve the inventory it is important to take into account national an</w:t>
      </w:r>
      <w:r w:rsidR="00BD1FE2">
        <w:t>d regional information and data</w:t>
      </w:r>
      <w:r w:rsidR="00EB7291">
        <w:t xml:space="preserve"> </w:t>
      </w:r>
      <w:r w:rsidR="00BD1FE2">
        <w:t>available,</w:t>
      </w:r>
      <w:r w:rsidR="00EB7291">
        <w:t xml:space="preserve"> for example</w:t>
      </w:r>
      <w:r w:rsidR="00BD1FE2">
        <w:t>,</w:t>
      </w:r>
      <w:r w:rsidR="00EB7291">
        <w:t xml:space="preserve"> </w:t>
      </w:r>
      <w:r w:rsidR="00BD1FE2">
        <w:t>from</w:t>
      </w:r>
      <w:r w:rsidR="00EB7291">
        <w:t xml:space="preserve"> peer reviewed literature, national/regional research organisations </w:t>
      </w:r>
      <w:r w:rsidR="00BD1FE2">
        <w:t>or</w:t>
      </w:r>
      <w:r w:rsidR="00EB7291">
        <w:t xml:space="preserve"> industry organisations. It can be time consuming to identify relevant data, assess its quality and establish cooperation with data providers.</w:t>
      </w:r>
      <w:r w:rsidR="00DC3B69">
        <w:t xml:space="preserve"> Therefore it is important to develop a realistic plan for these tasks.</w:t>
      </w:r>
    </w:p>
    <w:p w14:paraId="39B34FFA" w14:textId="77777777" w:rsidR="00027C59" w:rsidRDefault="00027C59"/>
    <w:p w14:paraId="2F0FEDDB" w14:textId="77777777" w:rsidR="00642146" w:rsidRDefault="00642146" w:rsidP="006D330C">
      <w:pPr>
        <w:ind w:firstLine="720"/>
      </w:pPr>
      <w:r>
        <w:t xml:space="preserve">Specific advice on activity data collection is given in this </w:t>
      </w:r>
      <w:r w:rsidR="00972098">
        <w:t>M</w:t>
      </w:r>
      <w:r>
        <w:t xml:space="preserve">anual. </w:t>
      </w:r>
      <w:r w:rsidR="00C252B1">
        <w:t>Most</w:t>
      </w:r>
      <w:r>
        <w:t xml:space="preserve"> activity data </w:t>
      </w:r>
      <w:r w:rsidR="00C252B1">
        <w:t xml:space="preserve">needed to compile an inventory </w:t>
      </w:r>
      <w:r>
        <w:t>will be available from national statistical offices or ministries</w:t>
      </w:r>
      <w:r w:rsidR="00C252B1">
        <w:t>. However, data on biomass burning and small scale waste incineration for example can be more difficult to obtain without targeted surveys.</w:t>
      </w:r>
      <w:r w:rsidR="00982E82">
        <w:t xml:space="preserve"> Such surveys can be very resource demanding and should be made in collaboration with experts (e.g. from statistical offices).</w:t>
      </w:r>
      <w:r w:rsidR="00C252B1">
        <w:t xml:space="preserve"> Implementation of the detailed methods usually requires collection of additional data, in particular on technologies</w:t>
      </w:r>
      <w:r w:rsidR="00DC3B69">
        <w:t xml:space="preserve"> and abatement</w:t>
      </w:r>
      <w:r w:rsidR="00C252B1">
        <w:t xml:space="preserve">. </w:t>
      </w:r>
      <w:r w:rsidR="00FC7B2D">
        <w:t xml:space="preserve">To set up a stable inventory system it is important to establish cooperation arrangements with data providers. </w:t>
      </w:r>
    </w:p>
    <w:p w14:paraId="1124C1B4" w14:textId="77777777" w:rsidR="00642146" w:rsidRDefault="00642146"/>
    <w:p w14:paraId="4A27D362" w14:textId="77777777" w:rsidR="0081676D" w:rsidRDefault="00C252B1" w:rsidP="006D330C">
      <w:pPr>
        <w:ind w:firstLine="576"/>
      </w:pPr>
      <w:r>
        <w:t>In com</w:t>
      </w:r>
      <w:r w:rsidR="00FC7B2D">
        <w:t>piling an inventory there is usually a</w:t>
      </w:r>
      <w:r>
        <w:t xml:space="preserve"> need for information (data or assumptions) which i</w:t>
      </w:r>
      <w:r w:rsidR="00FC7B2D">
        <w:t>s difficult or impossible to obtain</w:t>
      </w:r>
      <w:r>
        <w:t>.</w:t>
      </w:r>
      <w:r w:rsidR="00FC7B2D">
        <w:t xml:space="preserve"> An example is the use of different technologies.</w:t>
      </w:r>
      <w:r>
        <w:t xml:space="preserve"> In this situation it </w:t>
      </w:r>
      <w:r w:rsidR="00972098">
        <w:t xml:space="preserve">is </w:t>
      </w:r>
      <w:r>
        <w:t xml:space="preserve">recommended </w:t>
      </w:r>
      <w:r w:rsidR="00972098">
        <w:t>that</w:t>
      </w:r>
      <w:r>
        <w:t xml:space="preserve"> </w:t>
      </w:r>
      <w:r w:rsidRPr="00982E82">
        <w:rPr>
          <w:i/>
        </w:rPr>
        <w:t>expert judgement</w:t>
      </w:r>
      <w:r w:rsidR="00972098">
        <w:t xml:space="preserve"> be applied</w:t>
      </w:r>
      <w:r>
        <w:t>. It is important that expert judgements are</w:t>
      </w:r>
      <w:r w:rsidR="00DC3B69">
        <w:t xml:space="preserve"> performed in a systematic manner, </w:t>
      </w:r>
      <w:r>
        <w:t>that several experts are independently involved in making such judgement</w:t>
      </w:r>
      <w:r w:rsidR="00FC7B2D">
        <w:t>s</w:t>
      </w:r>
      <w:r w:rsidR="00DC3B69">
        <w:t xml:space="preserve"> and</w:t>
      </w:r>
      <w:r w:rsidR="00BD1FE2">
        <w:t xml:space="preserve"> that these</w:t>
      </w:r>
      <w:r w:rsidR="00DC3B69">
        <w:t xml:space="preserve"> </w:t>
      </w:r>
      <w:r w:rsidR="00BD1FE2">
        <w:t xml:space="preserve">judgements </w:t>
      </w:r>
      <w:r w:rsidR="00DC3B69">
        <w:t>are well documented</w:t>
      </w:r>
      <w:r>
        <w:t xml:space="preserve">. </w:t>
      </w:r>
    </w:p>
    <w:p w14:paraId="74E52AE5" w14:textId="77777777" w:rsidR="0081676D" w:rsidRDefault="0081676D"/>
    <w:p w14:paraId="16AB7A4C" w14:textId="77777777" w:rsidR="00C46552" w:rsidRDefault="00001732" w:rsidP="00BE3408">
      <w:pPr>
        <w:pStyle w:val="Heading2"/>
      </w:pPr>
      <w:bookmarkStart w:id="42" w:name="_Toc10122658"/>
      <w:r>
        <w:t>D</w:t>
      </w:r>
      <w:r w:rsidR="00C46552">
        <w:t>ata structure</w:t>
      </w:r>
      <w:bookmarkEnd w:id="42"/>
    </w:p>
    <w:p w14:paraId="4B7F66B0" w14:textId="77777777" w:rsidR="00C46552" w:rsidRDefault="00C46552"/>
    <w:p w14:paraId="719346CD" w14:textId="77777777" w:rsidR="00C46552" w:rsidRDefault="00C46552">
      <w:r>
        <w:t xml:space="preserve">A major purpose of using a defined structure for an inventory of air pollutants is to </w:t>
      </w:r>
      <w:r w:rsidR="004A510F">
        <w:t>increase transparency and ensure comparability</w:t>
      </w:r>
      <w:r>
        <w:t xml:space="preserve">. Using a defined, </w:t>
      </w:r>
      <w:r w:rsidR="00DE0F79">
        <w:t>common</w:t>
      </w:r>
      <w:r>
        <w:t xml:space="preserve"> structure </w:t>
      </w:r>
      <w:r w:rsidR="004A510F">
        <w:t>helps</w:t>
      </w:r>
      <w:r>
        <w:t xml:space="preserve"> </w:t>
      </w:r>
      <w:r w:rsidR="004A510F">
        <w:t>users of the data</w:t>
      </w:r>
      <w:r>
        <w:t xml:space="preserve"> to </w:t>
      </w:r>
      <w:r w:rsidR="004A510F">
        <w:t>assess the scope and completeness of</w:t>
      </w:r>
      <w:r>
        <w:t xml:space="preserve"> each inventory, as well as to use the inventory results as inputs to different regional models of transboundary air pollution. Using a consistent structure also allows inventories to be more readily updated, and allows new data sets to be generated more quickly from updated data. This Chapter provides an overview of the data format </w:t>
      </w:r>
      <w:r w:rsidR="00972098">
        <w:t>used in this Manual and its associated Workbook</w:t>
      </w:r>
      <w:r>
        <w:t xml:space="preserve"> including the elements that the structure shares with other international inventory methodologies, the pollutants included and the sources of pollutants covered.</w:t>
      </w:r>
    </w:p>
    <w:p w14:paraId="3A1010A6" w14:textId="77777777" w:rsidR="00C46552" w:rsidRDefault="00C46552">
      <w:pPr>
        <w:ind w:firstLine="720"/>
      </w:pPr>
    </w:p>
    <w:p w14:paraId="155B729F" w14:textId="77777777" w:rsidR="00C46552" w:rsidRDefault="00C46552">
      <w:pPr>
        <w:ind w:firstLine="720"/>
      </w:pPr>
    </w:p>
    <w:p w14:paraId="7048E7B8" w14:textId="77777777" w:rsidR="00C46552" w:rsidRDefault="00C46552" w:rsidP="00BE3408">
      <w:pPr>
        <w:pStyle w:val="Heading2"/>
      </w:pPr>
      <w:bookmarkStart w:id="43" w:name="_Toc10122659"/>
      <w:r>
        <w:t>Shared elements with other emissions inventories</w:t>
      </w:r>
      <w:bookmarkEnd w:id="43"/>
      <w:r>
        <w:t xml:space="preserve"> </w:t>
      </w:r>
    </w:p>
    <w:p w14:paraId="37EE7342" w14:textId="77777777" w:rsidR="00C46552" w:rsidRDefault="00C46552"/>
    <w:p w14:paraId="51C876BA" w14:textId="15FF1899" w:rsidR="00C46552" w:rsidRDefault="00C46552">
      <w:pPr>
        <w:rPr>
          <w:snapToGrid w:val="0"/>
        </w:rPr>
      </w:pPr>
      <w:r>
        <w:rPr>
          <w:snapToGrid w:val="0"/>
        </w:rPr>
        <w:t>Both the IPCC and the EMEP/</w:t>
      </w:r>
      <w:r w:rsidR="008736A1">
        <w:rPr>
          <w:snapToGrid w:val="0"/>
        </w:rPr>
        <w:t>EEA</w:t>
      </w:r>
      <w:r>
        <w:rPr>
          <w:snapToGrid w:val="0"/>
        </w:rPr>
        <w:t xml:space="preserve"> approaches are currently in use for drawing up and presenting national emission inventories. The IPCC approach meets </w:t>
      </w:r>
      <w:r w:rsidR="00CE3EC7">
        <w:rPr>
          <w:snapToGrid w:val="0"/>
        </w:rPr>
        <w:t>UNFCCC</w:t>
      </w:r>
      <w:r>
        <w:rPr>
          <w:snapToGrid w:val="0"/>
        </w:rPr>
        <w:t xml:space="preserve"> needs for calculating national totals</w:t>
      </w:r>
      <w:r w:rsidR="00CE3EC7">
        <w:rPr>
          <w:snapToGrid w:val="0"/>
        </w:rPr>
        <w:t xml:space="preserve"> at a country level</w:t>
      </w:r>
      <w:r>
        <w:rPr>
          <w:snapToGrid w:val="0"/>
        </w:rPr>
        <w:t xml:space="preserve"> (without further spatial resolution) and identifying sectors within which emissions</w:t>
      </w:r>
      <w:r w:rsidR="00CE3EC7">
        <w:rPr>
          <w:snapToGrid w:val="0"/>
        </w:rPr>
        <w:t>/removals</w:t>
      </w:r>
      <w:r>
        <w:rPr>
          <w:snapToGrid w:val="0"/>
        </w:rPr>
        <w:t xml:space="preserve"> occur, whereas the EMEP/</w:t>
      </w:r>
      <w:r w:rsidR="008736A1">
        <w:rPr>
          <w:snapToGrid w:val="0"/>
        </w:rPr>
        <w:t>EEA</w:t>
      </w:r>
      <w:r>
        <w:rPr>
          <w:snapToGrid w:val="0"/>
        </w:rPr>
        <w:t xml:space="preserve"> approach is technology-based and includes spatial allocation of emissions (point and area sources). Both systems follow the same basic principles:</w:t>
      </w:r>
    </w:p>
    <w:p w14:paraId="127FAFEA" w14:textId="77777777" w:rsidR="00C46552" w:rsidRDefault="00C46552">
      <w:pPr>
        <w:rPr>
          <w:snapToGrid w:val="0"/>
        </w:rPr>
      </w:pPr>
    </w:p>
    <w:p w14:paraId="478C5E87" w14:textId="77777777" w:rsidR="00C46552" w:rsidRDefault="00C46552">
      <w:pPr>
        <w:numPr>
          <w:ilvl w:val="0"/>
          <w:numId w:val="2"/>
        </w:numPr>
        <w:spacing w:before="120"/>
        <w:rPr>
          <w:snapToGrid w:val="0"/>
        </w:rPr>
      </w:pPr>
      <w:r>
        <w:rPr>
          <w:snapToGrid w:val="0"/>
        </w:rPr>
        <w:t>complete coverage of anthropogenic</w:t>
      </w:r>
      <w:r w:rsidR="00170174">
        <w:rPr>
          <w:rStyle w:val="FootnoteReference"/>
          <w:snapToGrid w:val="0"/>
        </w:rPr>
        <w:footnoteReference w:id="6"/>
      </w:r>
      <w:r>
        <w:rPr>
          <w:snapToGrid w:val="0"/>
        </w:rPr>
        <w:t xml:space="preserve"> emissions;</w:t>
      </w:r>
    </w:p>
    <w:p w14:paraId="6F13358F" w14:textId="77777777" w:rsidR="00C46552" w:rsidRDefault="00C46552">
      <w:pPr>
        <w:numPr>
          <w:ilvl w:val="0"/>
          <w:numId w:val="2"/>
        </w:numPr>
        <w:spacing w:before="120"/>
        <w:rPr>
          <w:snapToGrid w:val="0"/>
        </w:rPr>
      </w:pPr>
      <w:r>
        <w:rPr>
          <w:snapToGrid w:val="0"/>
        </w:rPr>
        <w:t>annual source category totals of national emissions;</w:t>
      </w:r>
    </w:p>
    <w:p w14:paraId="4EFAAAF4" w14:textId="77777777" w:rsidR="00C46552" w:rsidRDefault="00C46552">
      <w:pPr>
        <w:numPr>
          <w:ilvl w:val="0"/>
          <w:numId w:val="2"/>
        </w:numPr>
        <w:spacing w:before="120"/>
        <w:rPr>
          <w:snapToGrid w:val="0"/>
        </w:rPr>
      </w:pPr>
      <w:r>
        <w:rPr>
          <w:snapToGrid w:val="0"/>
        </w:rPr>
        <w:t>clear distinction between energy and non-energy related emissions; and</w:t>
      </w:r>
    </w:p>
    <w:p w14:paraId="017D4429" w14:textId="77777777" w:rsidR="00C46552" w:rsidRDefault="00DE0F79">
      <w:pPr>
        <w:numPr>
          <w:ilvl w:val="0"/>
          <w:numId w:val="2"/>
        </w:numPr>
        <w:spacing w:before="120"/>
      </w:pPr>
      <w:r>
        <w:rPr>
          <w:snapToGrid w:val="0"/>
        </w:rPr>
        <w:t>transparency</w:t>
      </w:r>
      <w:r w:rsidR="00C46552">
        <w:rPr>
          <w:snapToGrid w:val="0"/>
        </w:rPr>
        <w:t xml:space="preserve"> and documentation permitting detailed verification of activity data and emission factors.</w:t>
      </w:r>
    </w:p>
    <w:p w14:paraId="3DAC937D" w14:textId="77777777" w:rsidR="00C46552" w:rsidRDefault="00C46552">
      <w:r>
        <w:tab/>
      </w:r>
    </w:p>
    <w:p w14:paraId="20A2FDE7" w14:textId="08E4862F" w:rsidR="00C46552" w:rsidRDefault="00C46552">
      <w:r>
        <w:tab/>
        <w:t>Considerable progress has been made in harmonizing these two approaches, to the extent that a complete EMEP/</w:t>
      </w:r>
      <w:r w:rsidR="008736A1">
        <w:t>EEA</w:t>
      </w:r>
      <w:r>
        <w:t xml:space="preserve"> inventory</w:t>
      </w:r>
      <w:r>
        <w:rPr>
          <w:snapToGrid w:val="0"/>
        </w:rPr>
        <w:t xml:space="preserve"> can be used to produce reports in both the </w:t>
      </w:r>
      <w:r w:rsidR="00DE0F79">
        <w:rPr>
          <w:snapToGrid w:val="0"/>
        </w:rPr>
        <w:t>UN</w:t>
      </w:r>
      <w:r>
        <w:rPr>
          <w:snapToGrid w:val="0"/>
        </w:rPr>
        <w:t>FCCC/IPCC or EMEP/</w:t>
      </w:r>
      <w:r w:rsidR="008736A1">
        <w:rPr>
          <w:snapToGrid w:val="0"/>
        </w:rPr>
        <w:t>EEA</w:t>
      </w:r>
      <w:r>
        <w:rPr>
          <w:snapToGrid w:val="0"/>
        </w:rPr>
        <w:t xml:space="preserve"> reporting formats.</w:t>
      </w:r>
      <w:r>
        <w:tab/>
      </w:r>
    </w:p>
    <w:p w14:paraId="27F33D8B" w14:textId="77777777" w:rsidR="006F5AF0" w:rsidRDefault="006F5AF0"/>
    <w:p w14:paraId="398CC0EF" w14:textId="22E6ADC4" w:rsidR="00C46552" w:rsidRDefault="00C46552">
      <w:r>
        <w:tab/>
        <w:t xml:space="preserve">The approach used in this Manual borrows elements of both of these methodologies. The emission source categories used here (summarized in Table </w:t>
      </w:r>
      <w:r w:rsidR="00260E07">
        <w:t>2</w:t>
      </w:r>
      <w:r>
        <w:t>-1) are based on the sectoral structure given in the IPCC Guidelines</w:t>
      </w:r>
      <w:r w:rsidR="00C33465">
        <w:t>.</w:t>
      </w:r>
      <w:r>
        <w:t xml:space="preserve"> Some of the activities included in the IPCC Guidelines are exclusively sources of greenhouse gas pollutants (such as methane (CH</w:t>
      </w:r>
      <w:r>
        <w:rPr>
          <w:vertAlign w:val="subscript"/>
        </w:rPr>
        <w:t>4</w:t>
      </w:r>
      <w:r>
        <w:t>) and nitrous oxide (N</w:t>
      </w:r>
      <w:r>
        <w:rPr>
          <w:vertAlign w:val="subscript"/>
        </w:rPr>
        <w:t>2</w:t>
      </w:r>
      <w:r>
        <w:t xml:space="preserve">O)) and are not included below. </w:t>
      </w:r>
    </w:p>
    <w:p w14:paraId="67D25695" w14:textId="77777777" w:rsidR="00BA4944" w:rsidRDefault="00BA4944"/>
    <w:p w14:paraId="0B507018" w14:textId="0ACB4FD8" w:rsidR="00BA4944" w:rsidRDefault="00BA4944" w:rsidP="00BA4944">
      <w:pPr>
        <w:ind w:firstLine="720"/>
      </w:pPr>
      <w:r>
        <w:t>In common with both IPCC and EMEP/</w:t>
      </w:r>
      <w:r w:rsidR="008736A1">
        <w:t>EEA</w:t>
      </w:r>
      <w:r>
        <w:t xml:space="preserve"> methods, as far as possible, the SI system of units is used in this Manual (see the "Units and Conversions" section at the front of the Manual).  Emissions are calculated as metric tonnes (t</w:t>
      </w:r>
      <w:r w:rsidR="00170174">
        <w:t xml:space="preserve"> </w:t>
      </w:r>
      <w:r w:rsidR="00170174" w:rsidRPr="005E708F">
        <w:rPr>
          <w:color w:val="000000"/>
        </w:rPr>
        <w:t>= Mg</w:t>
      </w:r>
      <w:r>
        <w:t xml:space="preserve">) (or kilotonnes (kt) </w:t>
      </w:r>
      <w:r w:rsidR="00225535">
        <w:t xml:space="preserve">= Gg </w:t>
      </w:r>
      <w:r>
        <w:t>in the final summary worksheet).</w:t>
      </w:r>
    </w:p>
    <w:p w14:paraId="27E8F3A8" w14:textId="77777777" w:rsidR="00BA4944" w:rsidRDefault="00BA4944" w:rsidP="00BA4944">
      <w:pPr>
        <w:ind w:firstLine="720"/>
      </w:pPr>
    </w:p>
    <w:p w14:paraId="2ED82A95" w14:textId="77777777" w:rsidR="00BA4944" w:rsidRDefault="00BA4944" w:rsidP="00BA4944"/>
    <w:p w14:paraId="35E65299" w14:textId="77777777" w:rsidR="00BE2343" w:rsidRDefault="00BA4944" w:rsidP="00BA4944">
      <w:r>
        <w:tab/>
      </w:r>
    </w:p>
    <w:p w14:paraId="5FFB8176" w14:textId="77777777" w:rsidR="00B83E60" w:rsidRDefault="00C46552" w:rsidP="003851C6">
      <w:pPr>
        <w:pStyle w:val="Tablefigureheading"/>
        <w:jc w:val="center"/>
        <w:rPr>
          <w:bCs/>
          <w:iCs/>
        </w:rPr>
      </w:pPr>
      <w:r w:rsidRPr="003851C6">
        <w:rPr>
          <w:bCs/>
          <w:iCs/>
        </w:rPr>
        <w:lastRenderedPageBreak/>
        <w:t xml:space="preserve">Table </w:t>
      </w:r>
      <w:r w:rsidR="00260E07" w:rsidRPr="003851C6">
        <w:rPr>
          <w:bCs/>
          <w:iCs/>
        </w:rPr>
        <w:t>2</w:t>
      </w:r>
      <w:r w:rsidRPr="003851C6">
        <w:rPr>
          <w:bCs/>
          <w:iCs/>
        </w:rPr>
        <w:t xml:space="preserve">-1: </w:t>
      </w:r>
    </w:p>
    <w:p w14:paraId="4EA26974" w14:textId="77777777" w:rsidR="00C46552" w:rsidRPr="003851C6" w:rsidRDefault="00C46552" w:rsidP="003851C6">
      <w:pPr>
        <w:pStyle w:val="Tablefigureheading"/>
        <w:jc w:val="center"/>
        <w:rPr>
          <w:bCs/>
          <w:iCs/>
        </w:rPr>
      </w:pPr>
      <w:r w:rsidRPr="003851C6">
        <w:rPr>
          <w:bCs/>
          <w:iCs/>
        </w:rPr>
        <w:t>Summary of sectoral structure for emission source</w:t>
      </w:r>
      <w:r w:rsidR="003851C6">
        <w:rPr>
          <w:bCs/>
          <w:iCs/>
        </w:rPr>
        <w:t xml:space="preserve"> </w:t>
      </w:r>
      <w:r w:rsidRPr="003851C6">
        <w:rPr>
          <w:bCs/>
          <w:iCs/>
        </w:rPr>
        <w:t>categories used in this Manual</w:t>
      </w:r>
    </w:p>
    <w:p w14:paraId="47B45BF6" w14:textId="77777777" w:rsidR="00C46552" w:rsidRDefault="00C46552">
      <w:pPr>
        <w:keepNext/>
        <w:keepLines/>
      </w:pP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788"/>
      </w:tblGrid>
      <w:tr w:rsidR="00C46552" w14:paraId="71D3868E" w14:textId="77777777">
        <w:tc>
          <w:tcPr>
            <w:tcW w:w="4928" w:type="dxa"/>
          </w:tcPr>
          <w:p w14:paraId="6D38B785" w14:textId="77777777" w:rsidR="00C46552" w:rsidRDefault="00C46552">
            <w:pPr>
              <w:keepNext/>
              <w:keepLines/>
              <w:jc w:val="center"/>
              <w:rPr>
                <w:rFonts w:ascii="Arial" w:hAnsi="Arial"/>
                <w:b/>
                <w:snapToGrid w:val="0"/>
              </w:rPr>
            </w:pPr>
          </w:p>
          <w:p w14:paraId="33E54A46" w14:textId="77777777" w:rsidR="00C46552" w:rsidRDefault="00C46552">
            <w:pPr>
              <w:keepNext/>
              <w:keepLines/>
              <w:jc w:val="center"/>
            </w:pPr>
            <w:r>
              <w:rPr>
                <w:rFonts w:ascii="Arial" w:hAnsi="Arial"/>
                <w:b/>
                <w:snapToGrid w:val="0"/>
              </w:rPr>
              <w:t>SECTORS</w:t>
            </w:r>
          </w:p>
        </w:tc>
        <w:tc>
          <w:tcPr>
            <w:tcW w:w="4788" w:type="dxa"/>
          </w:tcPr>
          <w:p w14:paraId="7E5F3B10" w14:textId="77777777" w:rsidR="00C46552" w:rsidRDefault="00C46552">
            <w:pPr>
              <w:keepNext/>
              <w:keepLines/>
              <w:jc w:val="center"/>
              <w:rPr>
                <w:rFonts w:ascii="Arial" w:hAnsi="Arial"/>
                <w:b/>
                <w:snapToGrid w:val="0"/>
              </w:rPr>
            </w:pPr>
          </w:p>
          <w:p w14:paraId="2669DAA3" w14:textId="77777777" w:rsidR="00C46552" w:rsidRDefault="00C46552">
            <w:pPr>
              <w:keepNext/>
              <w:keepLines/>
              <w:jc w:val="center"/>
              <w:rPr>
                <w:rFonts w:ascii="Arial" w:hAnsi="Arial"/>
                <w:b/>
                <w:snapToGrid w:val="0"/>
              </w:rPr>
            </w:pPr>
            <w:r>
              <w:rPr>
                <w:rFonts w:ascii="Arial" w:hAnsi="Arial"/>
                <w:b/>
                <w:snapToGrid w:val="0"/>
              </w:rPr>
              <w:t>DESCRIPTION OF ACTIVITIES INCLUDED</w:t>
            </w:r>
          </w:p>
          <w:p w14:paraId="45F56293" w14:textId="77777777" w:rsidR="00C46552" w:rsidRDefault="00C46552">
            <w:pPr>
              <w:keepNext/>
              <w:keepLines/>
              <w:jc w:val="center"/>
            </w:pPr>
          </w:p>
        </w:tc>
      </w:tr>
      <w:tr w:rsidR="00C46552" w14:paraId="2CB09FFE" w14:textId="77777777">
        <w:tc>
          <w:tcPr>
            <w:tcW w:w="4928" w:type="dxa"/>
          </w:tcPr>
          <w:p w14:paraId="5ADDD7AA" w14:textId="77777777" w:rsidR="00C46552" w:rsidRDefault="00C46552">
            <w:pPr>
              <w:keepNext/>
              <w:keepLines/>
              <w:rPr>
                <w:rFonts w:ascii="Arial" w:hAnsi="Arial"/>
                <w:b/>
                <w:snapToGrid w:val="0"/>
              </w:rPr>
            </w:pPr>
          </w:p>
          <w:p w14:paraId="0BA78C1F" w14:textId="77777777" w:rsidR="00C46552" w:rsidRDefault="00C46552">
            <w:pPr>
              <w:keepNext/>
              <w:keepLines/>
            </w:pPr>
            <w:r>
              <w:rPr>
                <w:rFonts w:ascii="Arial" w:hAnsi="Arial"/>
                <w:b/>
                <w:snapToGrid w:val="0"/>
              </w:rPr>
              <w:t>1 to 5     ENERGY</w:t>
            </w:r>
          </w:p>
        </w:tc>
        <w:tc>
          <w:tcPr>
            <w:tcW w:w="4788" w:type="dxa"/>
          </w:tcPr>
          <w:p w14:paraId="35B7424D" w14:textId="77777777" w:rsidR="00C46552" w:rsidRDefault="00C46552">
            <w:pPr>
              <w:keepNext/>
              <w:keepLines/>
              <w:rPr>
                <w:rFonts w:ascii="Arial" w:hAnsi="Arial"/>
                <w:snapToGrid w:val="0"/>
                <w:sz w:val="22"/>
              </w:rPr>
            </w:pPr>
          </w:p>
          <w:p w14:paraId="527750EC" w14:textId="77777777" w:rsidR="00C46552" w:rsidRDefault="00C46552">
            <w:pPr>
              <w:keepNext/>
              <w:keepLines/>
              <w:rPr>
                <w:rFonts w:ascii="Arial" w:hAnsi="Arial"/>
                <w:snapToGrid w:val="0"/>
                <w:sz w:val="22"/>
              </w:rPr>
            </w:pPr>
            <w:r>
              <w:rPr>
                <w:rFonts w:ascii="Arial" w:hAnsi="Arial"/>
                <w:snapToGrid w:val="0"/>
                <w:sz w:val="22"/>
              </w:rPr>
              <w:t>Emissions from stationary and mobile energy activities (fuel combustion as well as fugitive emissions</w:t>
            </w:r>
            <w:r w:rsidR="00B75DAD">
              <w:rPr>
                <w:rFonts w:ascii="Arial" w:hAnsi="Arial"/>
                <w:snapToGrid w:val="0"/>
                <w:sz w:val="22"/>
              </w:rPr>
              <w:t xml:space="preserve"> from </w:t>
            </w:r>
            <w:r w:rsidR="00170174">
              <w:rPr>
                <w:rFonts w:ascii="Arial" w:hAnsi="Arial"/>
                <w:snapToGrid w:val="0"/>
                <w:sz w:val="22"/>
              </w:rPr>
              <w:t xml:space="preserve">production and </w:t>
            </w:r>
            <w:r w:rsidR="00B75DAD">
              <w:rPr>
                <w:rFonts w:ascii="Arial" w:hAnsi="Arial"/>
                <w:snapToGrid w:val="0"/>
                <w:sz w:val="22"/>
              </w:rPr>
              <w:t>handling of fuels</w:t>
            </w:r>
            <w:r>
              <w:rPr>
                <w:rFonts w:ascii="Arial" w:hAnsi="Arial"/>
                <w:snapToGrid w:val="0"/>
                <w:sz w:val="22"/>
              </w:rPr>
              <w:t>).</w:t>
            </w:r>
          </w:p>
          <w:p w14:paraId="46685C7A" w14:textId="77777777" w:rsidR="00C46552" w:rsidRDefault="00C46552">
            <w:pPr>
              <w:keepNext/>
              <w:keepLines/>
              <w:rPr>
                <w:sz w:val="22"/>
              </w:rPr>
            </w:pPr>
          </w:p>
        </w:tc>
      </w:tr>
      <w:tr w:rsidR="00C46552" w14:paraId="7129DF02" w14:textId="77777777">
        <w:tc>
          <w:tcPr>
            <w:tcW w:w="4928" w:type="dxa"/>
          </w:tcPr>
          <w:p w14:paraId="0EF6ADCA" w14:textId="77777777" w:rsidR="00C46552" w:rsidRDefault="00C46552">
            <w:pPr>
              <w:keepNext/>
              <w:keepLines/>
              <w:rPr>
                <w:rFonts w:ascii="Arial" w:hAnsi="Arial"/>
                <w:b/>
                <w:snapToGrid w:val="0"/>
              </w:rPr>
            </w:pPr>
          </w:p>
          <w:p w14:paraId="2875E20B" w14:textId="77777777" w:rsidR="00C46552" w:rsidRDefault="00C46552">
            <w:pPr>
              <w:keepNext/>
              <w:keepLines/>
            </w:pPr>
            <w:r>
              <w:rPr>
                <w:rFonts w:ascii="Arial" w:hAnsi="Arial"/>
                <w:b/>
                <w:snapToGrid w:val="0"/>
              </w:rPr>
              <w:t>6     INDUSTRIAL PROCESSES</w:t>
            </w:r>
          </w:p>
        </w:tc>
        <w:tc>
          <w:tcPr>
            <w:tcW w:w="4788" w:type="dxa"/>
          </w:tcPr>
          <w:p w14:paraId="4D6D9AA9" w14:textId="77777777" w:rsidR="00C46552" w:rsidRDefault="00C46552">
            <w:pPr>
              <w:keepNext/>
              <w:keepLines/>
              <w:rPr>
                <w:rFonts w:ascii="Arial" w:hAnsi="Arial"/>
                <w:snapToGrid w:val="0"/>
                <w:sz w:val="22"/>
              </w:rPr>
            </w:pPr>
          </w:p>
          <w:p w14:paraId="00D316FF" w14:textId="77777777" w:rsidR="00C46552" w:rsidRDefault="00C46552">
            <w:pPr>
              <w:keepNext/>
              <w:keepLines/>
              <w:rPr>
                <w:rFonts w:ascii="Arial" w:hAnsi="Arial"/>
                <w:snapToGrid w:val="0"/>
                <w:sz w:val="22"/>
              </w:rPr>
            </w:pPr>
            <w:r>
              <w:rPr>
                <w:rFonts w:ascii="Arial" w:hAnsi="Arial"/>
                <w:snapToGrid w:val="0"/>
                <w:sz w:val="22"/>
              </w:rPr>
              <w:t>Emissions within this sector comprise by-product (process) or fugitive emissions from industrial processes. Emissions from fuel combustion in industry should be reported under Energy.</w:t>
            </w:r>
          </w:p>
          <w:p w14:paraId="3D25E0B2" w14:textId="77777777" w:rsidR="00C46552" w:rsidRDefault="00C46552">
            <w:pPr>
              <w:keepNext/>
              <w:keepLines/>
              <w:rPr>
                <w:sz w:val="22"/>
              </w:rPr>
            </w:pPr>
          </w:p>
        </w:tc>
      </w:tr>
      <w:tr w:rsidR="00C33465" w14:paraId="57F87CE6" w14:textId="77777777">
        <w:trPr>
          <w:trHeight w:val="1077"/>
        </w:trPr>
        <w:tc>
          <w:tcPr>
            <w:tcW w:w="4928" w:type="dxa"/>
            <w:vAlign w:val="center"/>
          </w:tcPr>
          <w:p w14:paraId="6E5D4CEE" w14:textId="77777777" w:rsidR="00C33465" w:rsidRDefault="00C33465" w:rsidP="007B50D9">
            <w:pPr>
              <w:keepNext/>
              <w:keepLines/>
              <w:rPr>
                <w:rFonts w:ascii="Arial" w:hAnsi="Arial"/>
                <w:b/>
                <w:snapToGrid w:val="0"/>
              </w:rPr>
            </w:pPr>
            <w:r>
              <w:rPr>
                <w:rFonts w:ascii="Arial" w:hAnsi="Arial"/>
                <w:b/>
                <w:snapToGrid w:val="0"/>
              </w:rPr>
              <w:t xml:space="preserve">7     SOLVENT AND OTHER </w:t>
            </w:r>
          </w:p>
          <w:p w14:paraId="0C5D3462" w14:textId="77777777" w:rsidR="00C33465" w:rsidRDefault="00C33465" w:rsidP="007B50D9">
            <w:pPr>
              <w:keepNext/>
              <w:keepLines/>
            </w:pPr>
            <w:r>
              <w:rPr>
                <w:rFonts w:ascii="Arial" w:hAnsi="Arial"/>
                <w:b/>
                <w:snapToGrid w:val="0"/>
              </w:rPr>
              <w:t xml:space="preserve">       PRODUCT USE</w:t>
            </w:r>
          </w:p>
        </w:tc>
        <w:tc>
          <w:tcPr>
            <w:tcW w:w="4788" w:type="dxa"/>
            <w:vAlign w:val="center"/>
          </w:tcPr>
          <w:p w14:paraId="6EAF590F" w14:textId="77777777" w:rsidR="00C33465" w:rsidRDefault="00CF1C2F" w:rsidP="007B50D9">
            <w:pPr>
              <w:keepNext/>
              <w:keepLines/>
              <w:rPr>
                <w:sz w:val="22"/>
              </w:rPr>
            </w:pPr>
            <w:r>
              <w:rPr>
                <w:rFonts w:ascii="Arial" w:hAnsi="Arial"/>
                <w:snapToGrid w:val="0"/>
                <w:sz w:val="22"/>
              </w:rPr>
              <w:t>E</w:t>
            </w:r>
            <w:r w:rsidR="00C33465">
              <w:rPr>
                <w:rFonts w:ascii="Arial" w:hAnsi="Arial"/>
                <w:snapToGrid w:val="0"/>
                <w:sz w:val="22"/>
              </w:rPr>
              <w:t>missions resulting from the use of solvents and other products</w:t>
            </w:r>
            <w:r>
              <w:rPr>
                <w:rFonts w:ascii="Arial" w:hAnsi="Arial"/>
                <w:snapToGrid w:val="0"/>
                <w:sz w:val="22"/>
              </w:rPr>
              <w:t>.</w:t>
            </w:r>
            <w:r w:rsidR="00C33465">
              <w:rPr>
                <w:rFonts w:ascii="Arial" w:hAnsi="Arial"/>
                <w:snapToGrid w:val="0"/>
                <w:sz w:val="22"/>
              </w:rPr>
              <w:t xml:space="preserve"> </w:t>
            </w:r>
          </w:p>
        </w:tc>
      </w:tr>
      <w:tr w:rsidR="00C33465" w14:paraId="395771CF" w14:textId="77777777">
        <w:tc>
          <w:tcPr>
            <w:tcW w:w="4928" w:type="dxa"/>
          </w:tcPr>
          <w:p w14:paraId="72DC657C" w14:textId="77777777" w:rsidR="00C33465" w:rsidRDefault="00C33465">
            <w:pPr>
              <w:keepNext/>
              <w:keepLines/>
              <w:tabs>
                <w:tab w:val="right" w:pos="426"/>
              </w:tabs>
              <w:rPr>
                <w:rFonts w:ascii="Arial" w:hAnsi="Arial"/>
                <w:b/>
                <w:snapToGrid w:val="0"/>
              </w:rPr>
            </w:pPr>
          </w:p>
          <w:p w14:paraId="0C2E2F66" w14:textId="77777777" w:rsidR="00C33465" w:rsidRDefault="00C33465">
            <w:pPr>
              <w:keepNext/>
              <w:keepLines/>
              <w:tabs>
                <w:tab w:val="right" w:pos="426"/>
              </w:tabs>
            </w:pPr>
            <w:r>
              <w:rPr>
                <w:rFonts w:ascii="Arial" w:hAnsi="Arial"/>
                <w:b/>
                <w:snapToGrid w:val="0"/>
              </w:rPr>
              <w:t>8    AGRICULTURE</w:t>
            </w:r>
          </w:p>
        </w:tc>
        <w:tc>
          <w:tcPr>
            <w:tcW w:w="4788" w:type="dxa"/>
          </w:tcPr>
          <w:p w14:paraId="62DD1E84" w14:textId="77777777" w:rsidR="00C33465" w:rsidRDefault="00C33465">
            <w:pPr>
              <w:keepNext/>
              <w:keepLines/>
              <w:rPr>
                <w:rFonts w:ascii="Arial" w:hAnsi="Arial"/>
                <w:snapToGrid w:val="0"/>
                <w:sz w:val="22"/>
              </w:rPr>
            </w:pPr>
          </w:p>
          <w:p w14:paraId="57E88C36" w14:textId="77777777" w:rsidR="00C33465" w:rsidRDefault="00C33465">
            <w:pPr>
              <w:keepNext/>
              <w:keepLines/>
              <w:rPr>
                <w:rFonts w:ascii="Arial" w:hAnsi="Arial"/>
                <w:snapToGrid w:val="0"/>
                <w:sz w:val="22"/>
              </w:rPr>
            </w:pPr>
            <w:r>
              <w:rPr>
                <w:rFonts w:ascii="Arial" w:hAnsi="Arial"/>
                <w:snapToGrid w:val="0"/>
                <w:sz w:val="22"/>
              </w:rPr>
              <w:t>Describes all anthropogenic emissions from this sector except for fuel combustion emissions which are covered in the Energy sector. Includes ammonia emissions from manure management and fertilizer application</w:t>
            </w:r>
            <w:r w:rsidR="00EA7BF0">
              <w:rPr>
                <w:rFonts w:ascii="Arial" w:hAnsi="Arial"/>
                <w:snapToGrid w:val="0"/>
                <w:sz w:val="22"/>
              </w:rPr>
              <w:t>; methane emissions from manure management and livestock enteric fermentation;</w:t>
            </w:r>
            <w:r>
              <w:rPr>
                <w:rFonts w:ascii="Arial" w:hAnsi="Arial"/>
                <w:snapToGrid w:val="0"/>
                <w:sz w:val="22"/>
              </w:rPr>
              <w:t xml:space="preserve"> total emissions </w:t>
            </w:r>
            <w:r w:rsidR="00EA7BF0">
              <w:rPr>
                <w:rFonts w:ascii="Arial" w:hAnsi="Arial"/>
                <w:snapToGrid w:val="0"/>
                <w:sz w:val="22"/>
              </w:rPr>
              <w:t xml:space="preserve">from </w:t>
            </w:r>
            <w:r w:rsidR="00CB3841">
              <w:rPr>
                <w:rFonts w:ascii="Arial" w:hAnsi="Arial"/>
                <w:snapToGrid w:val="0"/>
                <w:sz w:val="22"/>
              </w:rPr>
              <w:t xml:space="preserve">savanna burning and </w:t>
            </w:r>
            <w:r>
              <w:rPr>
                <w:rFonts w:ascii="Arial" w:hAnsi="Arial"/>
                <w:snapToGrid w:val="0"/>
                <w:sz w:val="22"/>
              </w:rPr>
              <w:t>from agricultural residue burning</w:t>
            </w:r>
            <w:r w:rsidR="00EA7BF0">
              <w:rPr>
                <w:rFonts w:ascii="Arial" w:hAnsi="Arial"/>
                <w:snapToGrid w:val="0"/>
                <w:sz w:val="22"/>
              </w:rPr>
              <w:t xml:space="preserve">, and </w:t>
            </w:r>
            <w:r w:rsidR="001158DA">
              <w:rPr>
                <w:rFonts w:ascii="Arial" w:hAnsi="Arial"/>
                <w:snapToGrid w:val="0"/>
                <w:sz w:val="22"/>
              </w:rPr>
              <w:t>methane emissions from rice cultivation.</w:t>
            </w:r>
          </w:p>
          <w:p w14:paraId="0F57E0CA" w14:textId="77777777" w:rsidR="00C33465" w:rsidRDefault="00C33465">
            <w:pPr>
              <w:keepNext/>
              <w:keepLines/>
              <w:rPr>
                <w:sz w:val="22"/>
              </w:rPr>
            </w:pPr>
          </w:p>
        </w:tc>
      </w:tr>
      <w:tr w:rsidR="00C33465" w14:paraId="51D7692A" w14:textId="77777777">
        <w:tc>
          <w:tcPr>
            <w:tcW w:w="4928" w:type="dxa"/>
          </w:tcPr>
          <w:p w14:paraId="6AB5F687" w14:textId="77777777" w:rsidR="00C33465" w:rsidRDefault="00C33465">
            <w:pPr>
              <w:keepNext/>
              <w:keepLines/>
              <w:rPr>
                <w:rFonts w:ascii="Arial" w:hAnsi="Arial"/>
                <w:b/>
                <w:snapToGrid w:val="0"/>
              </w:rPr>
            </w:pPr>
          </w:p>
          <w:p w14:paraId="61BF7B33" w14:textId="77777777" w:rsidR="00C33465" w:rsidRDefault="00C33465">
            <w:pPr>
              <w:keepNext/>
              <w:keepLines/>
            </w:pPr>
            <w:r>
              <w:rPr>
                <w:rFonts w:ascii="Arial" w:hAnsi="Arial"/>
                <w:b/>
                <w:snapToGrid w:val="0"/>
              </w:rPr>
              <w:t>9    VEGETATION FIRES &amp; FORESTRY</w:t>
            </w:r>
          </w:p>
        </w:tc>
        <w:tc>
          <w:tcPr>
            <w:tcW w:w="4788" w:type="dxa"/>
          </w:tcPr>
          <w:p w14:paraId="09E62B6C" w14:textId="77777777" w:rsidR="00C33465" w:rsidRDefault="00C33465">
            <w:pPr>
              <w:keepNext/>
              <w:keepLines/>
              <w:rPr>
                <w:rFonts w:ascii="Arial" w:hAnsi="Arial"/>
                <w:snapToGrid w:val="0"/>
                <w:sz w:val="22"/>
              </w:rPr>
            </w:pPr>
          </w:p>
          <w:p w14:paraId="5E1C842E" w14:textId="77777777" w:rsidR="00C33465" w:rsidRDefault="00C33465">
            <w:pPr>
              <w:keepNext/>
              <w:keepLines/>
              <w:rPr>
                <w:rFonts w:ascii="Arial" w:hAnsi="Arial"/>
                <w:snapToGrid w:val="0"/>
                <w:sz w:val="22"/>
              </w:rPr>
            </w:pPr>
            <w:r>
              <w:rPr>
                <w:rFonts w:ascii="Arial" w:hAnsi="Arial"/>
                <w:snapToGrid w:val="0"/>
                <w:sz w:val="22"/>
              </w:rPr>
              <w:t>Total emissions from on-site burning of forests and other vegetation.</w:t>
            </w:r>
            <w:r w:rsidR="00CB3841">
              <w:rPr>
                <w:rFonts w:ascii="Arial" w:hAnsi="Arial"/>
                <w:snapToGrid w:val="0"/>
                <w:sz w:val="22"/>
              </w:rPr>
              <w:t xml:space="preserve"> </w:t>
            </w:r>
          </w:p>
          <w:p w14:paraId="0707D086" w14:textId="77777777" w:rsidR="00C33465" w:rsidRDefault="00C33465">
            <w:pPr>
              <w:keepNext/>
              <w:keepLines/>
              <w:rPr>
                <w:sz w:val="22"/>
              </w:rPr>
            </w:pPr>
          </w:p>
        </w:tc>
      </w:tr>
      <w:tr w:rsidR="00C33465" w14:paraId="71A98736" w14:textId="77777777">
        <w:tc>
          <w:tcPr>
            <w:tcW w:w="4928" w:type="dxa"/>
          </w:tcPr>
          <w:p w14:paraId="4FEA4AD8" w14:textId="77777777" w:rsidR="00C33465" w:rsidRDefault="00C33465">
            <w:pPr>
              <w:keepNext/>
              <w:keepLines/>
              <w:rPr>
                <w:rFonts w:ascii="Arial" w:hAnsi="Arial"/>
                <w:b/>
                <w:snapToGrid w:val="0"/>
              </w:rPr>
            </w:pPr>
          </w:p>
          <w:p w14:paraId="6A463175" w14:textId="77777777" w:rsidR="00C33465" w:rsidRDefault="00C33465">
            <w:pPr>
              <w:keepNext/>
              <w:keepLines/>
            </w:pPr>
            <w:r>
              <w:rPr>
                <w:rFonts w:ascii="Arial" w:hAnsi="Arial"/>
                <w:b/>
                <w:snapToGrid w:val="0"/>
              </w:rPr>
              <w:t>10    WASTE</w:t>
            </w:r>
          </w:p>
        </w:tc>
        <w:tc>
          <w:tcPr>
            <w:tcW w:w="4788" w:type="dxa"/>
          </w:tcPr>
          <w:p w14:paraId="21E45269" w14:textId="77777777" w:rsidR="00C33465" w:rsidRDefault="00C33465">
            <w:pPr>
              <w:keepNext/>
              <w:keepLines/>
              <w:rPr>
                <w:rFonts w:ascii="Arial" w:hAnsi="Arial"/>
                <w:snapToGrid w:val="0"/>
                <w:sz w:val="22"/>
              </w:rPr>
            </w:pPr>
          </w:p>
          <w:p w14:paraId="4F3A581E" w14:textId="77777777" w:rsidR="00C33465" w:rsidRDefault="00C33465">
            <w:pPr>
              <w:keepNext/>
              <w:keepLines/>
              <w:rPr>
                <w:rFonts w:ascii="Arial" w:hAnsi="Arial"/>
                <w:snapToGrid w:val="0"/>
                <w:sz w:val="22"/>
              </w:rPr>
            </w:pPr>
            <w:r>
              <w:rPr>
                <w:rFonts w:ascii="Arial" w:hAnsi="Arial"/>
                <w:snapToGrid w:val="0"/>
                <w:sz w:val="22"/>
              </w:rPr>
              <w:t>Emissions from</w:t>
            </w:r>
            <w:r w:rsidR="00CF1C2F">
              <w:rPr>
                <w:rFonts w:ascii="Arial" w:hAnsi="Arial"/>
                <w:snapToGrid w:val="0"/>
                <w:sz w:val="22"/>
              </w:rPr>
              <w:t xml:space="preserve"> waste disposal,</w:t>
            </w:r>
            <w:r>
              <w:rPr>
                <w:rFonts w:ascii="Arial" w:hAnsi="Arial"/>
                <w:snapToGrid w:val="0"/>
                <w:sz w:val="22"/>
              </w:rPr>
              <w:t xml:space="preserve"> waste incineration and </w:t>
            </w:r>
            <w:r w:rsidR="003E4DF8">
              <w:rPr>
                <w:rFonts w:ascii="Arial" w:hAnsi="Arial"/>
                <w:snapToGrid w:val="0"/>
                <w:sz w:val="22"/>
              </w:rPr>
              <w:t>human excreta</w:t>
            </w:r>
            <w:r>
              <w:rPr>
                <w:rFonts w:ascii="Arial" w:hAnsi="Arial"/>
                <w:snapToGrid w:val="0"/>
                <w:sz w:val="22"/>
              </w:rPr>
              <w:t>.</w:t>
            </w:r>
            <w:r w:rsidR="00784BBC">
              <w:rPr>
                <w:rFonts w:ascii="Arial" w:hAnsi="Arial"/>
                <w:snapToGrid w:val="0"/>
                <w:sz w:val="22"/>
              </w:rPr>
              <w:t xml:space="preserve"> Includes methane emissions from municipal solid waste in landfill </w:t>
            </w:r>
            <w:r w:rsidR="001158DA">
              <w:rPr>
                <w:rFonts w:ascii="Arial" w:hAnsi="Arial"/>
                <w:snapToGrid w:val="0"/>
                <w:sz w:val="22"/>
              </w:rPr>
              <w:t>and methane from domestic waste water treatment</w:t>
            </w:r>
          </w:p>
          <w:p w14:paraId="0C5345CD" w14:textId="77777777" w:rsidR="00C33465" w:rsidRDefault="00C33465">
            <w:pPr>
              <w:keepNext/>
              <w:keepLines/>
              <w:rPr>
                <w:sz w:val="22"/>
              </w:rPr>
            </w:pPr>
          </w:p>
        </w:tc>
      </w:tr>
    </w:tbl>
    <w:p w14:paraId="0FB5163C" w14:textId="77777777" w:rsidR="00C46552" w:rsidRDefault="00C46552"/>
    <w:p w14:paraId="3122B9C4" w14:textId="77777777" w:rsidR="00EA3167" w:rsidRDefault="00EA3167" w:rsidP="00EA3167">
      <w:pPr>
        <w:ind w:firstLine="720"/>
      </w:pPr>
      <w:r>
        <w:t xml:space="preserve">The pollutants are defined as follows: </w:t>
      </w:r>
    </w:p>
    <w:p w14:paraId="1C3D5000" w14:textId="77777777" w:rsidR="00EA3167" w:rsidRDefault="00EA3167" w:rsidP="00EA3167">
      <w:pPr>
        <w:ind w:firstLine="720"/>
      </w:pPr>
    </w:p>
    <w:p w14:paraId="7732C186" w14:textId="77777777" w:rsidR="00EA3167" w:rsidRDefault="00EA3167" w:rsidP="00EA3167">
      <w:pPr>
        <w:numPr>
          <w:ilvl w:val="0"/>
          <w:numId w:val="24"/>
        </w:numPr>
      </w:pPr>
      <w:r>
        <w:t>NO</w:t>
      </w:r>
      <w:r>
        <w:rPr>
          <w:vertAlign w:val="subscript"/>
        </w:rPr>
        <w:t>x</w:t>
      </w:r>
      <w:r>
        <w:t xml:space="preserve"> includes NO and NO</w:t>
      </w:r>
      <w:r>
        <w:rPr>
          <w:vertAlign w:val="subscript"/>
        </w:rPr>
        <w:t>2</w:t>
      </w:r>
      <w:r>
        <w:t xml:space="preserve"> reported in NO</w:t>
      </w:r>
      <w:r>
        <w:rPr>
          <w:vertAlign w:val="subscript"/>
        </w:rPr>
        <w:t>2</w:t>
      </w:r>
      <w:r>
        <w:t xml:space="preserve"> mass equivalents.</w:t>
      </w:r>
    </w:p>
    <w:p w14:paraId="7137345A" w14:textId="77777777" w:rsidR="00EA3167" w:rsidRDefault="00EA3167" w:rsidP="00EA3167">
      <w:pPr>
        <w:numPr>
          <w:ilvl w:val="0"/>
          <w:numId w:val="24"/>
        </w:numPr>
      </w:pPr>
      <w:r>
        <w:t>SO</w:t>
      </w:r>
      <w:r>
        <w:rPr>
          <w:vertAlign w:val="subscript"/>
        </w:rPr>
        <w:t>2</w:t>
      </w:r>
      <w:r>
        <w:t xml:space="preserve"> includes all sulphur compounds expressed in SO</w:t>
      </w:r>
      <w:r>
        <w:rPr>
          <w:vertAlign w:val="subscript"/>
        </w:rPr>
        <w:t>2</w:t>
      </w:r>
      <w:r>
        <w:t xml:space="preserve"> mass equivalents. </w:t>
      </w:r>
    </w:p>
    <w:p w14:paraId="6DE05881" w14:textId="77777777" w:rsidR="00EA3167" w:rsidRDefault="00EA3167" w:rsidP="00EA3167">
      <w:pPr>
        <w:numPr>
          <w:ilvl w:val="0"/>
          <w:numId w:val="24"/>
        </w:numPr>
      </w:pPr>
      <w:r>
        <w:t>NMVOC means any non-methane organic compound having at 293.15 K a vapour pressure of 0.01 kP or more, or having a corresponding volatility under the particular conditions of use.</w:t>
      </w:r>
    </w:p>
    <w:p w14:paraId="52B037C9" w14:textId="77777777" w:rsidR="00784BBC" w:rsidRDefault="00784BBC" w:rsidP="00EA3167">
      <w:pPr>
        <w:numPr>
          <w:ilvl w:val="0"/>
          <w:numId w:val="24"/>
        </w:numPr>
      </w:pPr>
      <w:r>
        <w:t>PM</w:t>
      </w:r>
      <w:r w:rsidRPr="002722D9">
        <w:rPr>
          <w:vertAlign w:val="subscript"/>
        </w:rPr>
        <w:t>10</w:t>
      </w:r>
      <w:r>
        <w:t xml:space="preserve"> includes all particulate matter with an aerodynamic diameter less than or equal to 10 microns (µm)</w:t>
      </w:r>
    </w:p>
    <w:p w14:paraId="4D58FBA7" w14:textId="77777777" w:rsidR="00784BBC" w:rsidRDefault="00784BBC" w:rsidP="00784BBC">
      <w:pPr>
        <w:numPr>
          <w:ilvl w:val="0"/>
          <w:numId w:val="24"/>
        </w:numPr>
      </w:pPr>
      <w:r>
        <w:lastRenderedPageBreak/>
        <w:t>PM</w:t>
      </w:r>
      <w:r w:rsidRPr="002722D9">
        <w:rPr>
          <w:vertAlign w:val="subscript"/>
        </w:rPr>
        <w:t>2.5</w:t>
      </w:r>
      <w:r w:rsidRPr="00784BBC">
        <w:t xml:space="preserve"> </w:t>
      </w:r>
      <w:r>
        <w:t>includes all particulate matter with an aerodynamic diameter less than or equal to 2.5 microns (µm)</w:t>
      </w:r>
    </w:p>
    <w:p w14:paraId="69BB0324" w14:textId="77777777" w:rsidR="00784BBC" w:rsidRDefault="00784BBC" w:rsidP="00784BBC">
      <w:pPr>
        <w:numPr>
          <w:ilvl w:val="0"/>
          <w:numId w:val="24"/>
        </w:numPr>
      </w:pPr>
      <w:r>
        <w:t xml:space="preserve">BC and OC </w:t>
      </w:r>
      <w:r w:rsidR="00072702">
        <w:t>form part of the PM (and are assumed to be less than or equal to 1.0 microns in diameter).</w:t>
      </w:r>
    </w:p>
    <w:p w14:paraId="4674753D" w14:textId="77777777" w:rsidR="00EA3167" w:rsidRDefault="00EA3167"/>
    <w:p w14:paraId="7CC273FB" w14:textId="4C6DE78A" w:rsidR="00260E07" w:rsidRDefault="00260E07" w:rsidP="00260E07">
      <w:pPr>
        <w:ind w:firstLine="576"/>
      </w:pPr>
      <w:r>
        <w:t>The commonality between the IPCC and EMEP/</w:t>
      </w:r>
      <w:r w:rsidR="008736A1">
        <w:t>EEA</w:t>
      </w:r>
      <w:r>
        <w:t xml:space="preserve"> methods described above underscores the overlap between the inventory information needed for, respectively, greenhouse gas modelling (and policy analysis), and modelling of transboundary air pollution. In this Manual, a focus has been to draw as much as possible on inventory methods that are likely to be already in use by the countries of the region in compiling GHG emissions inventories, so that the process of compiling emissions inventories for transboundary air pollution modelling can make full use of existing inventory databases.</w:t>
      </w:r>
      <w:r w:rsidR="003851C6">
        <w:t xml:space="preserve"> The correspondence between the emission source structure used in this manual and those of the EMEP/</w:t>
      </w:r>
      <w:r w:rsidR="008736A1">
        <w:t>EEA</w:t>
      </w:r>
      <w:r w:rsidR="003851C6">
        <w:t xml:space="preserve"> and IPCC approaches are shown in Table 2.2. </w:t>
      </w:r>
    </w:p>
    <w:p w14:paraId="4AE867AF" w14:textId="77777777" w:rsidR="00C46E3B" w:rsidRDefault="00C46E3B" w:rsidP="00260E07">
      <w:pPr>
        <w:ind w:firstLine="576"/>
      </w:pPr>
    </w:p>
    <w:p w14:paraId="50DE7605" w14:textId="77777777" w:rsidR="00B83E60" w:rsidRDefault="003851C6" w:rsidP="003851C6">
      <w:pPr>
        <w:pStyle w:val="Tablefigureheading"/>
        <w:keepLines/>
        <w:jc w:val="center"/>
      </w:pPr>
      <w:r>
        <w:t>Table 2-2</w:t>
      </w:r>
      <w:r w:rsidR="00B83E60">
        <w:t>:</w:t>
      </w:r>
    </w:p>
    <w:p w14:paraId="016288AB" w14:textId="10732998" w:rsidR="003851C6" w:rsidRDefault="003851C6" w:rsidP="003851C6">
      <w:pPr>
        <w:pStyle w:val="Tablefigureheading"/>
        <w:keepLines/>
        <w:jc w:val="center"/>
      </w:pPr>
      <w:r>
        <w:t xml:space="preserve"> Correspondence between the emission source categories used in this Manual, the </w:t>
      </w:r>
      <w:r w:rsidR="008736A1">
        <w:t>EMEP/EEA Guidebook</w:t>
      </w:r>
      <w:r>
        <w:t xml:space="preserve"> classification and the categories used in the IPCC guidelines.</w:t>
      </w:r>
    </w:p>
    <w:p w14:paraId="3C21BC59" w14:textId="77777777" w:rsidR="006660FA" w:rsidRDefault="006660FA" w:rsidP="003851C6">
      <w:pPr>
        <w:pStyle w:val="Tablefigureheading"/>
        <w:keepLines/>
        <w:jc w:val="center"/>
      </w:pPr>
    </w:p>
    <w:tbl>
      <w:tblPr>
        <w:tblW w:w="9180" w:type="dxa"/>
        <w:tblLayout w:type="fixed"/>
        <w:tblLook w:val="0000" w:firstRow="0" w:lastRow="0" w:firstColumn="0" w:lastColumn="0" w:noHBand="0" w:noVBand="0"/>
      </w:tblPr>
      <w:tblGrid>
        <w:gridCol w:w="3060"/>
        <w:gridCol w:w="3002"/>
        <w:gridCol w:w="3118"/>
      </w:tblGrid>
      <w:tr w:rsidR="006660FA" w:rsidRPr="003E2D1E" w14:paraId="0C56B893" w14:textId="77777777" w:rsidTr="00B26A78">
        <w:tc>
          <w:tcPr>
            <w:tcW w:w="3060" w:type="dxa"/>
            <w:tcBorders>
              <w:top w:val="single" w:sz="12" w:space="0" w:color="auto"/>
              <w:bottom w:val="single" w:sz="12" w:space="0" w:color="auto"/>
            </w:tcBorders>
          </w:tcPr>
          <w:p w14:paraId="75436CF5" w14:textId="77777777" w:rsidR="006660FA" w:rsidRPr="003E2D1E" w:rsidRDefault="006660FA" w:rsidP="006660FA">
            <w:pPr>
              <w:keepNext/>
              <w:keepLines/>
              <w:spacing w:before="120"/>
              <w:ind w:left="198" w:hanging="180"/>
              <w:rPr>
                <w:b/>
                <w:color w:val="000000" w:themeColor="text1"/>
                <w:sz w:val="20"/>
              </w:rPr>
            </w:pPr>
            <w:r w:rsidRPr="003E2D1E">
              <w:rPr>
                <w:b/>
                <w:color w:val="000000" w:themeColor="text1"/>
                <w:sz w:val="20"/>
              </w:rPr>
              <w:t>GAPF</w:t>
            </w:r>
            <w:r>
              <w:rPr>
                <w:b/>
                <w:color w:val="000000" w:themeColor="text1"/>
                <w:sz w:val="20"/>
              </w:rPr>
              <w:t xml:space="preserve"> manual</w:t>
            </w:r>
          </w:p>
        </w:tc>
        <w:tc>
          <w:tcPr>
            <w:tcW w:w="3002" w:type="dxa"/>
            <w:tcBorders>
              <w:top w:val="single" w:sz="12" w:space="0" w:color="auto"/>
              <w:bottom w:val="single" w:sz="12" w:space="0" w:color="auto"/>
            </w:tcBorders>
          </w:tcPr>
          <w:p w14:paraId="36B7FB60" w14:textId="77777777" w:rsidR="006660FA" w:rsidRPr="003E2D1E" w:rsidRDefault="006660FA" w:rsidP="00B26A78">
            <w:pPr>
              <w:pStyle w:val="BodyTextIndent"/>
              <w:keepNext/>
              <w:keepLines/>
              <w:spacing w:before="120"/>
              <w:ind w:left="216" w:hanging="216"/>
              <w:jc w:val="left"/>
              <w:rPr>
                <w:b/>
                <w:color w:val="000000" w:themeColor="text1"/>
                <w:sz w:val="20"/>
              </w:rPr>
            </w:pPr>
            <w:r w:rsidRPr="003E2D1E">
              <w:rPr>
                <w:b/>
                <w:color w:val="000000" w:themeColor="text1"/>
                <w:sz w:val="20"/>
              </w:rPr>
              <w:t>EMEP/EEA (2016) Emission Inventory Guidebook</w:t>
            </w:r>
          </w:p>
        </w:tc>
        <w:tc>
          <w:tcPr>
            <w:tcW w:w="3118" w:type="dxa"/>
            <w:tcBorders>
              <w:top w:val="single" w:sz="12" w:space="0" w:color="auto"/>
              <w:bottom w:val="single" w:sz="12" w:space="0" w:color="auto"/>
            </w:tcBorders>
          </w:tcPr>
          <w:p w14:paraId="4B335BD4" w14:textId="77777777" w:rsidR="006660FA" w:rsidRPr="003E2D1E" w:rsidRDefault="006660FA" w:rsidP="00B26A78">
            <w:pPr>
              <w:keepNext/>
              <w:keepLines/>
              <w:spacing w:before="120"/>
              <w:ind w:left="288" w:hanging="270"/>
              <w:rPr>
                <w:b/>
                <w:snapToGrid w:val="0"/>
                <w:color w:val="000000" w:themeColor="text1"/>
                <w:sz w:val="20"/>
              </w:rPr>
            </w:pPr>
            <w:r w:rsidRPr="003E2D1E">
              <w:rPr>
                <w:b/>
                <w:snapToGrid w:val="0"/>
                <w:color w:val="000000" w:themeColor="text1"/>
                <w:sz w:val="20"/>
              </w:rPr>
              <w:t>2006 IPCC  Guidelines</w:t>
            </w:r>
          </w:p>
        </w:tc>
      </w:tr>
      <w:tr w:rsidR="006660FA" w:rsidRPr="003E2D1E" w14:paraId="66573051" w14:textId="77777777" w:rsidTr="00B26A78">
        <w:tc>
          <w:tcPr>
            <w:tcW w:w="3060" w:type="dxa"/>
            <w:tcBorders>
              <w:top w:val="single" w:sz="12" w:space="0" w:color="auto"/>
              <w:bottom w:val="single" w:sz="6" w:space="0" w:color="auto"/>
            </w:tcBorders>
          </w:tcPr>
          <w:p w14:paraId="75F389BC" w14:textId="77777777" w:rsidR="006660FA" w:rsidRPr="003E2D1E" w:rsidRDefault="006660FA" w:rsidP="00B26A78">
            <w:pPr>
              <w:keepNext/>
              <w:keepLines/>
              <w:ind w:left="198" w:hanging="181"/>
              <w:rPr>
                <w:color w:val="000000" w:themeColor="text1"/>
                <w:sz w:val="20"/>
              </w:rPr>
            </w:pPr>
            <w:r w:rsidRPr="003E2D1E">
              <w:rPr>
                <w:color w:val="000000" w:themeColor="text1"/>
                <w:sz w:val="20"/>
              </w:rPr>
              <w:t>1 Combustion in the Energy Industries</w:t>
            </w:r>
          </w:p>
          <w:p w14:paraId="1AF7E331" w14:textId="77777777" w:rsidR="006660FA" w:rsidRPr="003E2D1E" w:rsidRDefault="006660FA" w:rsidP="00B26A78">
            <w:pPr>
              <w:keepNext/>
              <w:keepLines/>
              <w:ind w:left="198" w:hanging="181"/>
              <w:rPr>
                <w:color w:val="000000" w:themeColor="text1"/>
                <w:sz w:val="20"/>
              </w:rPr>
            </w:pPr>
            <w:r w:rsidRPr="003E2D1E">
              <w:rPr>
                <w:color w:val="000000" w:themeColor="text1"/>
                <w:sz w:val="20"/>
              </w:rPr>
              <w:t>2 Combustion in Manufacturing Industries and Construction</w:t>
            </w:r>
          </w:p>
          <w:p w14:paraId="32D385E0" w14:textId="77777777" w:rsidR="006660FA" w:rsidRPr="003E2D1E" w:rsidRDefault="006660FA" w:rsidP="00B26A78">
            <w:pPr>
              <w:keepNext/>
              <w:keepLines/>
              <w:ind w:left="198" w:hanging="181"/>
              <w:rPr>
                <w:color w:val="000000" w:themeColor="text1"/>
                <w:sz w:val="20"/>
              </w:rPr>
            </w:pPr>
            <w:r w:rsidRPr="003E2D1E">
              <w:rPr>
                <w:color w:val="000000" w:themeColor="text1"/>
                <w:sz w:val="20"/>
              </w:rPr>
              <w:t>3 Transport</w:t>
            </w:r>
          </w:p>
          <w:p w14:paraId="77C3A941" w14:textId="77777777" w:rsidR="006660FA" w:rsidRPr="003E2D1E" w:rsidRDefault="006660FA" w:rsidP="00B26A78">
            <w:pPr>
              <w:keepNext/>
              <w:keepLines/>
              <w:ind w:left="198" w:hanging="181"/>
              <w:rPr>
                <w:color w:val="000000" w:themeColor="text1"/>
                <w:sz w:val="20"/>
              </w:rPr>
            </w:pPr>
            <w:r w:rsidRPr="003E2D1E">
              <w:rPr>
                <w:color w:val="000000" w:themeColor="text1"/>
                <w:sz w:val="20"/>
              </w:rPr>
              <w:t>4 Combustion in Other Sectors</w:t>
            </w:r>
          </w:p>
        </w:tc>
        <w:tc>
          <w:tcPr>
            <w:tcW w:w="3002" w:type="dxa"/>
            <w:tcBorders>
              <w:top w:val="single" w:sz="12" w:space="0" w:color="auto"/>
              <w:bottom w:val="single" w:sz="6" w:space="0" w:color="auto"/>
            </w:tcBorders>
          </w:tcPr>
          <w:p w14:paraId="28411C60" w14:textId="77777777" w:rsidR="006660FA" w:rsidRDefault="006660FA" w:rsidP="00B26A78">
            <w:pPr>
              <w:pStyle w:val="BodyTextIndent"/>
              <w:keepNext/>
              <w:keepLines/>
              <w:ind w:left="215" w:hanging="215"/>
              <w:jc w:val="left"/>
              <w:rPr>
                <w:color w:val="000000" w:themeColor="text1"/>
                <w:sz w:val="20"/>
              </w:rPr>
            </w:pPr>
            <w:r w:rsidRPr="003E2D1E">
              <w:rPr>
                <w:color w:val="000000" w:themeColor="text1"/>
                <w:sz w:val="20"/>
              </w:rPr>
              <w:t xml:space="preserve">1.A.1 Energy </w:t>
            </w:r>
            <w:r>
              <w:rPr>
                <w:color w:val="000000" w:themeColor="text1"/>
                <w:sz w:val="20"/>
              </w:rPr>
              <w:t>i</w:t>
            </w:r>
            <w:r w:rsidRPr="003E2D1E">
              <w:rPr>
                <w:color w:val="000000" w:themeColor="text1"/>
                <w:sz w:val="20"/>
              </w:rPr>
              <w:t>ndustries</w:t>
            </w:r>
          </w:p>
          <w:p w14:paraId="64EA48CB" w14:textId="77777777" w:rsidR="006660FA" w:rsidRDefault="006660FA" w:rsidP="00B26A78">
            <w:pPr>
              <w:keepNext/>
              <w:keepLines/>
              <w:ind w:left="215" w:hanging="215"/>
              <w:rPr>
                <w:snapToGrid w:val="0"/>
                <w:color w:val="000000" w:themeColor="text1"/>
                <w:sz w:val="20"/>
              </w:rPr>
            </w:pPr>
          </w:p>
          <w:p w14:paraId="0AF77D40" w14:textId="77777777" w:rsidR="006660FA" w:rsidRPr="003E2D1E" w:rsidRDefault="006660FA" w:rsidP="00B26A78">
            <w:pPr>
              <w:keepNext/>
              <w:keepLines/>
              <w:ind w:left="215" w:hanging="215"/>
              <w:rPr>
                <w:snapToGrid w:val="0"/>
                <w:color w:val="000000" w:themeColor="text1"/>
                <w:sz w:val="20"/>
              </w:rPr>
            </w:pPr>
            <w:r w:rsidRPr="003E2D1E">
              <w:rPr>
                <w:snapToGrid w:val="0"/>
                <w:color w:val="000000" w:themeColor="text1"/>
                <w:sz w:val="20"/>
              </w:rPr>
              <w:t xml:space="preserve">1.A.2 </w:t>
            </w:r>
            <w:r>
              <w:rPr>
                <w:snapToGrid w:val="0"/>
                <w:color w:val="000000" w:themeColor="text1"/>
                <w:sz w:val="20"/>
              </w:rPr>
              <w:t>Manufacturing i</w:t>
            </w:r>
            <w:r w:rsidRPr="003E2D1E">
              <w:rPr>
                <w:snapToGrid w:val="0"/>
                <w:color w:val="000000" w:themeColor="text1"/>
                <w:sz w:val="20"/>
              </w:rPr>
              <w:t xml:space="preserve">ndustries and </w:t>
            </w:r>
            <w:r>
              <w:rPr>
                <w:snapToGrid w:val="0"/>
                <w:color w:val="000000" w:themeColor="text1"/>
                <w:sz w:val="20"/>
              </w:rPr>
              <w:t>c</w:t>
            </w:r>
            <w:r w:rsidRPr="003E2D1E">
              <w:rPr>
                <w:snapToGrid w:val="0"/>
                <w:color w:val="000000" w:themeColor="text1"/>
                <w:sz w:val="20"/>
              </w:rPr>
              <w:t>onstruction</w:t>
            </w:r>
          </w:p>
          <w:p w14:paraId="538CAA22" w14:textId="77777777" w:rsidR="006660FA" w:rsidRDefault="006660FA" w:rsidP="00B26A78">
            <w:pPr>
              <w:keepNext/>
              <w:keepLines/>
              <w:ind w:left="215" w:hanging="215"/>
              <w:rPr>
                <w:snapToGrid w:val="0"/>
                <w:color w:val="000000" w:themeColor="text1"/>
                <w:sz w:val="20"/>
              </w:rPr>
            </w:pPr>
            <w:r w:rsidRPr="003E2D1E">
              <w:rPr>
                <w:snapToGrid w:val="0"/>
                <w:color w:val="000000" w:themeColor="text1"/>
                <w:sz w:val="20"/>
              </w:rPr>
              <w:t>1.A.3</w:t>
            </w:r>
            <w:r>
              <w:rPr>
                <w:snapToGrid w:val="0"/>
                <w:color w:val="000000" w:themeColor="text1"/>
                <w:sz w:val="20"/>
              </w:rPr>
              <w:t xml:space="preserve"> </w:t>
            </w:r>
            <w:r w:rsidRPr="003E2D1E">
              <w:rPr>
                <w:snapToGrid w:val="0"/>
                <w:color w:val="000000" w:themeColor="text1"/>
                <w:sz w:val="20"/>
              </w:rPr>
              <w:t>Transport</w:t>
            </w:r>
          </w:p>
          <w:p w14:paraId="5667C8CB" w14:textId="77777777" w:rsidR="006660FA" w:rsidRPr="003E2D1E" w:rsidRDefault="006660FA" w:rsidP="00B26A78">
            <w:pPr>
              <w:keepNext/>
              <w:keepLines/>
              <w:rPr>
                <w:color w:val="000000" w:themeColor="text1"/>
                <w:sz w:val="20"/>
              </w:rPr>
            </w:pPr>
            <w:r>
              <w:rPr>
                <w:snapToGrid w:val="0"/>
                <w:color w:val="000000" w:themeColor="text1"/>
                <w:sz w:val="20"/>
              </w:rPr>
              <w:t>1.A.4 Small c</w:t>
            </w:r>
            <w:r w:rsidRPr="003E2D1E">
              <w:rPr>
                <w:snapToGrid w:val="0"/>
                <w:color w:val="000000" w:themeColor="text1"/>
                <w:sz w:val="20"/>
              </w:rPr>
              <w:t>ombustion</w:t>
            </w:r>
          </w:p>
        </w:tc>
        <w:tc>
          <w:tcPr>
            <w:tcW w:w="3118" w:type="dxa"/>
            <w:tcBorders>
              <w:top w:val="single" w:sz="12" w:space="0" w:color="auto"/>
              <w:bottom w:val="single" w:sz="6" w:space="0" w:color="auto"/>
            </w:tcBorders>
          </w:tcPr>
          <w:p w14:paraId="668F09E8" w14:textId="77777777" w:rsidR="006660FA" w:rsidRPr="003E2D1E" w:rsidRDefault="006660FA" w:rsidP="00B26A78">
            <w:pPr>
              <w:keepNext/>
              <w:keepLines/>
              <w:ind w:left="288" w:hanging="270"/>
              <w:rPr>
                <w:snapToGrid w:val="0"/>
                <w:color w:val="000000" w:themeColor="text1"/>
                <w:sz w:val="20"/>
              </w:rPr>
            </w:pPr>
            <w:r w:rsidRPr="003E2D1E">
              <w:rPr>
                <w:snapToGrid w:val="0"/>
                <w:color w:val="000000" w:themeColor="text1"/>
                <w:sz w:val="20"/>
              </w:rPr>
              <w:t xml:space="preserve">1 Energy </w:t>
            </w:r>
          </w:p>
          <w:p w14:paraId="187BF448" w14:textId="77777777" w:rsidR="006660FA" w:rsidRPr="003E2D1E" w:rsidRDefault="006660FA" w:rsidP="00B26A78">
            <w:pPr>
              <w:keepNext/>
              <w:keepLines/>
              <w:ind w:left="288" w:hanging="270"/>
              <w:rPr>
                <w:color w:val="000000" w:themeColor="text1"/>
                <w:sz w:val="20"/>
              </w:rPr>
            </w:pPr>
            <w:r w:rsidRPr="003E2D1E">
              <w:rPr>
                <w:snapToGrid w:val="0"/>
                <w:color w:val="000000" w:themeColor="text1"/>
                <w:sz w:val="20"/>
              </w:rPr>
              <w:t>(1A Fuel Combustion Activities)</w:t>
            </w:r>
          </w:p>
        </w:tc>
      </w:tr>
      <w:tr w:rsidR="006660FA" w:rsidRPr="003E2D1E" w14:paraId="052049A6" w14:textId="77777777" w:rsidTr="00B26A78">
        <w:tc>
          <w:tcPr>
            <w:tcW w:w="3060" w:type="dxa"/>
            <w:tcBorders>
              <w:top w:val="single" w:sz="6" w:space="0" w:color="auto"/>
              <w:bottom w:val="single" w:sz="6" w:space="0" w:color="auto"/>
            </w:tcBorders>
          </w:tcPr>
          <w:p w14:paraId="39E57C2D" w14:textId="77777777" w:rsidR="006660FA" w:rsidRPr="003E2D1E" w:rsidRDefault="006660FA" w:rsidP="00B26A78">
            <w:pPr>
              <w:keepNext/>
              <w:keepLines/>
              <w:ind w:left="198" w:hanging="180"/>
              <w:rPr>
                <w:color w:val="000000" w:themeColor="text1"/>
                <w:sz w:val="20"/>
              </w:rPr>
            </w:pPr>
            <w:r w:rsidRPr="003E2D1E">
              <w:rPr>
                <w:color w:val="000000" w:themeColor="text1"/>
                <w:sz w:val="20"/>
              </w:rPr>
              <w:t>5 Fugitive emission from fuels</w:t>
            </w:r>
          </w:p>
        </w:tc>
        <w:tc>
          <w:tcPr>
            <w:tcW w:w="3002" w:type="dxa"/>
            <w:tcBorders>
              <w:top w:val="single" w:sz="6" w:space="0" w:color="auto"/>
              <w:bottom w:val="single" w:sz="6" w:space="0" w:color="auto"/>
            </w:tcBorders>
          </w:tcPr>
          <w:p w14:paraId="33D9A1A4" w14:textId="77777777" w:rsidR="006660FA" w:rsidRPr="003E2D1E" w:rsidRDefault="006660FA" w:rsidP="00B26A78">
            <w:pPr>
              <w:keepNext/>
              <w:keepLines/>
              <w:ind w:left="216" w:hanging="216"/>
              <w:rPr>
                <w:color w:val="000000" w:themeColor="text1"/>
                <w:sz w:val="20"/>
              </w:rPr>
            </w:pPr>
            <w:r w:rsidRPr="003E2D1E">
              <w:rPr>
                <w:snapToGrid w:val="0"/>
                <w:color w:val="000000" w:themeColor="text1"/>
                <w:sz w:val="20"/>
              </w:rPr>
              <w:t xml:space="preserve">1.B </w:t>
            </w:r>
            <w:r w:rsidRPr="003E2D1E">
              <w:rPr>
                <w:color w:val="000000" w:themeColor="text1"/>
                <w:sz w:val="20"/>
              </w:rPr>
              <w:t>Fugitive emission from fuels</w:t>
            </w:r>
            <w:r w:rsidRPr="003E2D1E" w:rsidDel="00610559">
              <w:rPr>
                <w:snapToGrid w:val="0"/>
                <w:color w:val="000000" w:themeColor="text1"/>
                <w:sz w:val="20"/>
              </w:rPr>
              <w:t xml:space="preserve"> </w:t>
            </w:r>
            <w:r w:rsidRPr="003E2D1E">
              <w:rPr>
                <w:snapToGrid w:val="0"/>
                <w:color w:val="000000" w:themeColor="text1"/>
                <w:sz w:val="20"/>
              </w:rPr>
              <w:t xml:space="preserve"> </w:t>
            </w:r>
          </w:p>
        </w:tc>
        <w:tc>
          <w:tcPr>
            <w:tcW w:w="3118" w:type="dxa"/>
            <w:tcBorders>
              <w:top w:val="single" w:sz="6" w:space="0" w:color="auto"/>
              <w:bottom w:val="single" w:sz="6" w:space="0" w:color="auto"/>
            </w:tcBorders>
          </w:tcPr>
          <w:p w14:paraId="3F1ADB82" w14:textId="77777777" w:rsidR="006660FA" w:rsidRPr="003E2D1E" w:rsidRDefault="006660FA" w:rsidP="00B26A78">
            <w:pPr>
              <w:keepNext/>
              <w:keepLines/>
              <w:ind w:left="288" w:hanging="288"/>
              <w:rPr>
                <w:snapToGrid w:val="0"/>
                <w:color w:val="000000" w:themeColor="text1"/>
                <w:sz w:val="20"/>
              </w:rPr>
            </w:pPr>
            <w:r w:rsidRPr="003E2D1E">
              <w:rPr>
                <w:snapToGrid w:val="0"/>
                <w:color w:val="000000" w:themeColor="text1"/>
                <w:sz w:val="20"/>
              </w:rPr>
              <w:t>1 Energy</w:t>
            </w:r>
          </w:p>
          <w:p w14:paraId="0463D648" w14:textId="77777777" w:rsidR="006660FA" w:rsidRPr="003E2D1E" w:rsidRDefault="006660FA" w:rsidP="00B26A78">
            <w:pPr>
              <w:keepNext/>
              <w:keepLines/>
              <w:ind w:left="288" w:hanging="288"/>
              <w:rPr>
                <w:color w:val="000000" w:themeColor="text1"/>
                <w:sz w:val="20"/>
              </w:rPr>
            </w:pPr>
            <w:r w:rsidRPr="003E2D1E">
              <w:rPr>
                <w:snapToGrid w:val="0"/>
                <w:color w:val="000000" w:themeColor="text1"/>
                <w:sz w:val="20"/>
              </w:rPr>
              <w:t>(1B Fugitive Emissions from</w:t>
            </w:r>
            <w:r>
              <w:rPr>
                <w:snapToGrid w:val="0"/>
                <w:color w:val="000000" w:themeColor="text1"/>
                <w:sz w:val="20"/>
              </w:rPr>
              <w:t xml:space="preserve"> </w:t>
            </w:r>
            <w:r w:rsidRPr="003E2D1E">
              <w:rPr>
                <w:snapToGrid w:val="0"/>
                <w:color w:val="000000" w:themeColor="text1"/>
                <w:sz w:val="20"/>
              </w:rPr>
              <w:t>Fuels)</w:t>
            </w:r>
          </w:p>
        </w:tc>
      </w:tr>
      <w:tr w:rsidR="006660FA" w:rsidRPr="003E2D1E" w14:paraId="54CD017C" w14:textId="77777777" w:rsidTr="00B26A78">
        <w:tc>
          <w:tcPr>
            <w:tcW w:w="3060" w:type="dxa"/>
            <w:tcBorders>
              <w:top w:val="single" w:sz="6" w:space="0" w:color="auto"/>
              <w:bottom w:val="single" w:sz="6" w:space="0" w:color="auto"/>
            </w:tcBorders>
          </w:tcPr>
          <w:p w14:paraId="42B60F57" w14:textId="77777777" w:rsidR="006660FA" w:rsidRPr="003E2D1E" w:rsidRDefault="006660FA" w:rsidP="00B26A78">
            <w:pPr>
              <w:keepNext/>
              <w:keepLines/>
              <w:ind w:left="198" w:hanging="180"/>
              <w:rPr>
                <w:color w:val="000000" w:themeColor="text1"/>
                <w:sz w:val="20"/>
              </w:rPr>
            </w:pPr>
            <w:r w:rsidRPr="003E2D1E">
              <w:rPr>
                <w:color w:val="000000" w:themeColor="text1"/>
                <w:sz w:val="20"/>
              </w:rPr>
              <w:t>6 Industrial Processes</w:t>
            </w:r>
          </w:p>
          <w:p w14:paraId="5D77529F" w14:textId="77777777" w:rsidR="006660FA" w:rsidRPr="003E2D1E" w:rsidRDefault="006660FA" w:rsidP="00B26A78">
            <w:pPr>
              <w:keepNext/>
              <w:keepLines/>
              <w:ind w:left="198" w:hanging="180"/>
              <w:rPr>
                <w:color w:val="000000" w:themeColor="text1"/>
                <w:sz w:val="20"/>
              </w:rPr>
            </w:pPr>
            <w:r w:rsidRPr="003E2D1E">
              <w:rPr>
                <w:color w:val="000000" w:themeColor="text1"/>
                <w:sz w:val="20"/>
              </w:rPr>
              <w:t xml:space="preserve">7 </w:t>
            </w:r>
            <w:r w:rsidRPr="003E2D1E">
              <w:rPr>
                <w:snapToGrid w:val="0"/>
                <w:color w:val="000000" w:themeColor="text1"/>
                <w:sz w:val="20"/>
              </w:rPr>
              <w:t>Solvent and Other Product Use</w:t>
            </w:r>
          </w:p>
        </w:tc>
        <w:tc>
          <w:tcPr>
            <w:tcW w:w="3002" w:type="dxa"/>
            <w:tcBorders>
              <w:top w:val="single" w:sz="6" w:space="0" w:color="auto"/>
              <w:bottom w:val="single" w:sz="6" w:space="0" w:color="auto"/>
            </w:tcBorders>
          </w:tcPr>
          <w:p w14:paraId="45A98BAE" w14:textId="77777777" w:rsidR="006660FA" w:rsidRPr="003E2D1E" w:rsidRDefault="006660FA" w:rsidP="00B26A78">
            <w:pPr>
              <w:keepNext/>
              <w:keepLines/>
              <w:ind w:left="216" w:hanging="216"/>
              <w:rPr>
                <w:color w:val="000000" w:themeColor="text1"/>
                <w:sz w:val="20"/>
              </w:rPr>
            </w:pPr>
            <w:r w:rsidRPr="003E2D1E">
              <w:rPr>
                <w:snapToGrid w:val="0"/>
                <w:color w:val="000000" w:themeColor="text1"/>
                <w:sz w:val="20"/>
              </w:rPr>
              <w:t xml:space="preserve">2 </w:t>
            </w:r>
            <w:r>
              <w:rPr>
                <w:snapToGrid w:val="0"/>
                <w:color w:val="000000" w:themeColor="text1"/>
                <w:sz w:val="20"/>
              </w:rPr>
              <w:t>Industrial p</w:t>
            </w:r>
            <w:r w:rsidRPr="003E2D1E">
              <w:rPr>
                <w:snapToGrid w:val="0"/>
                <w:color w:val="000000" w:themeColor="text1"/>
                <w:sz w:val="20"/>
              </w:rPr>
              <w:t>rocesses</w:t>
            </w:r>
            <w:r>
              <w:rPr>
                <w:snapToGrid w:val="0"/>
                <w:color w:val="000000" w:themeColor="text1"/>
                <w:sz w:val="20"/>
              </w:rPr>
              <w:t xml:space="preserve"> and product u</w:t>
            </w:r>
            <w:r w:rsidRPr="003E2D1E">
              <w:rPr>
                <w:snapToGrid w:val="0"/>
                <w:color w:val="000000" w:themeColor="text1"/>
                <w:sz w:val="20"/>
              </w:rPr>
              <w:t>se</w:t>
            </w:r>
          </w:p>
        </w:tc>
        <w:tc>
          <w:tcPr>
            <w:tcW w:w="3118" w:type="dxa"/>
            <w:tcBorders>
              <w:top w:val="single" w:sz="6" w:space="0" w:color="auto"/>
              <w:bottom w:val="single" w:sz="6" w:space="0" w:color="auto"/>
            </w:tcBorders>
          </w:tcPr>
          <w:p w14:paraId="14607DF6" w14:textId="77777777" w:rsidR="006660FA" w:rsidRPr="003E2D1E" w:rsidRDefault="006660FA" w:rsidP="00B26A78">
            <w:pPr>
              <w:keepNext/>
              <w:keepLines/>
              <w:rPr>
                <w:color w:val="000000" w:themeColor="text1"/>
                <w:sz w:val="20"/>
              </w:rPr>
            </w:pPr>
            <w:r w:rsidRPr="003E2D1E">
              <w:rPr>
                <w:snapToGrid w:val="0"/>
                <w:color w:val="000000" w:themeColor="text1"/>
                <w:sz w:val="20"/>
              </w:rPr>
              <w:t>2 Industrial Processes and Product Use</w:t>
            </w:r>
          </w:p>
        </w:tc>
      </w:tr>
      <w:tr w:rsidR="006660FA" w:rsidRPr="003E2D1E" w14:paraId="76565DF6" w14:textId="77777777" w:rsidTr="00B26A78">
        <w:tc>
          <w:tcPr>
            <w:tcW w:w="3060" w:type="dxa"/>
            <w:tcBorders>
              <w:top w:val="single" w:sz="6" w:space="0" w:color="auto"/>
              <w:bottom w:val="single" w:sz="4" w:space="0" w:color="auto"/>
            </w:tcBorders>
          </w:tcPr>
          <w:p w14:paraId="57BED7F3" w14:textId="77777777" w:rsidR="006660FA" w:rsidRDefault="006660FA" w:rsidP="00B26A78">
            <w:pPr>
              <w:keepNext/>
              <w:keepLines/>
              <w:spacing w:before="120"/>
              <w:ind w:left="198" w:hanging="180"/>
              <w:rPr>
                <w:snapToGrid w:val="0"/>
                <w:color w:val="000000" w:themeColor="text1"/>
                <w:sz w:val="20"/>
              </w:rPr>
            </w:pPr>
            <w:r w:rsidRPr="003E2D1E">
              <w:rPr>
                <w:snapToGrid w:val="0"/>
                <w:color w:val="000000" w:themeColor="text1"/>
                <w:sz w:val="20"/>
              </w:rPr>
              <w:t>8 Agriculture</w:t>
            </w:r>
          </w:p>
          <w:p w14:paraId="4F6F6051" w14:textId="77777777" w:rsidR="006660FA" w:rsidRPr="003E2D1E" w:rsidRDefault="006660FA" w:rsidP="00B26A78">
            <w:pPr>
              <w:keepNext/>
              <w:keepLines/>
              <w:spacing w:before="120"/>
              <w:ind w:left="198" w:hanging="180"/>
              <w:rPr>
                <w:color w:val="000000" w:themeColor="text1"/>
                <w:sz w:val="20"/>
              </w:rPr>
            </w:pPr>
            <w:r w:rsidRPr="003E2D1E">
              <w:rPr>
                <w:snapToGrid w:val="0"/>
                <w:color w:val="000000" w:themeColor="text1"/>
                <w:sz w:val="20"/>
              </w:rPr>
              <w:t>9 Vegetation Fires &amp; Forestry</w:t>
            </w:r>
          </w:p>
        </w:tc>
        <w:tc>
          <w:tcPr>
            <w:tcW w:w="3002" w:type="dxa"/>
            <w:tcBorders>
              <w:top w:val="single" w:sz="6" w:space="0" w:color="auto"/>
              <w:bottom w:val="single" w:sz="6" w:space="0" w:color="auto"/>
            </w:tcBorders>
          </w:tcPr>
          <w:p w14:paraId="7ECED17F" w14:textId="77777777" w:rsidR="006660FA" w:rsidRDefault="006660FA" w:rsidP="00B26A78">
            <w:pPr>
              <w:keepNext/>
              <w:keepLines/>
              <w:spacing w:before="120"/>
              <w:ind w:left="216" w:hanging="216"/>
              <w:rPr>
                <w:color w:val="000000" w:themeColor="text1"/>
                <w:sz w:val="20"/>
              </w:rPr>
            </w:pPr>
            <w:r w:rsidRPr="003E2D1E">
              <w:rPr>
                <w:color w:val="000000" w:themeColor="text1"/>
                <w:sz w:val="20"/>
              </w:rPr>
              <w:t>3 Agriculture</w:t>
            </w:r>
          </w:p>
          <w:p w14:paraId="5F47FFAD" w14:textId="77777777" w:rsidR="006660FA" w:rsidRPr="003E2D1E" w:rsidRDefault="006660FA" w:rsidP="00B26A78">
            <w:pPr>
              <w:keepNext/>
              <w:keepLines/>
              <w:spacing w:before="120"/>
              <w:ind w:left="216" w:hanging="216"/>
              <w:rPr>
                <w:color w:val="000000" w:themeColor="text1"/>
                <w:sz w:val="20"/>
              </w:rPr>
            </w:pPr>
            <w:r w:rsidRPr="003E2D1E">
              <w:rPr>
                <w:snapToGrid w:val="0"/>
                <w:color w:val="000000" w:themeColor="text1"/>
                <w:sz w:val="20"/>
              </w:rPr>
              <w:t>11B Forest fires</w:t>
            </w:r>
          </w:p>
        </w:tc>
        <w:tc>
          <w:tcPr>
            <w:tcW w:w="3118" w:type="dxa"/>
            <w:tcBorders>
              <w:top w:val="single" w:sz="6" w:space="0" w:color="auto"/>
              <w:bottom w:val="single" w:sz="6" w:space="0" w:color="auto"/>
            </w:tcBorders>
          </w:tcPr>
          <w:p w14:paraId="68288A81" w14:textId="77777777" w:rsidR="006660FA" w:rsidRPr="003E2D1E" w:rsidRDefault="006660FA" w:rsidP="00B26A78">
            <w:pPr>
              <w:pStyle w:val="CommentText"/>
              <w:spacing w:before="120"/>
              <w:rPr>
                <w:color w:val="000000" w:themeColor="text1"/>
              </w:rPr>
            </w:pPr>
            <w:r w:rsidRPr="003E2D1E">
              <w:rPr>
                <w:snapToGrid w:val="0"/>
                <w:color w:val="000000" w:themeColor="text1"/>
              </w:rPr>
              <w:t xml:space="preserve">3 </w:t>
            </w:r>
            <w:r w:rsidRPr="003E2D1E">
              <w:rPr>
                <w:color w:val="000000" w:themeColor="text1"/>
              </w:rPr>
              <w:t>Agriculture, Forestry and Other Land Use</w:t>
            </w:r>
          </w:p>
        </w:tc>
      </w:tr>
      <w:tr w:rsidR="006660FA" w:rsidRPr="003E2D1E" w14:paraId="4B3FF001" w14:textId="77777777" w:rsidTr="00B26A78">
        <w:tc>
          <w:tcPr>
            <w:tcW w:w="3060" w:type="dxa"/>
            <w:tcBorders>
              <w:top w:val="single" w:sz="4" w:space="0" w:color="auto"/>
              <w:bottom w:val="single" w:sz="12" w:space="0" w:color="auto"/>
            </w:tcBorders>
          </w:tcPr>
          <w:p w14:paraId="6A5FA42B" w14:textId="77777777" w:rsidR="006660FA" w:rsidRPr="003E2D1E" w:rsidRDefault="006660FA" w:rsidP="00B26A78">
            <w:pPr>
              <w:keepNext/>
              <w:keepLines/>
              <w:spacing w:before="120"/>
              <w:ind w:left="216" w:hanging="216"/>
              <w:rPr>
                <w:snapToGrid w:val="0"/>
                <w:color w:val="000000" w:themeColor="text1"/>
                <w:sz w:val="20"/>
              </w:rPr>
            </w:pPr>
            <w:r w:rsidRPr="003E2D1E">
              <w:rPr>
                <w:snapToGrid w:val="0"/>
                <w:color w:val="000000" w:themeColor="text1"/>
                <w:sz w:val="20"/>
              </w:rPr>
              <w:t>10 Waste</w:t>
            </w:r>
          </w:p>
        </w:tc>
        <w:tc>
          <w:tcPr>
            <w:tcW w:w="3002" w:type="dxa"/>
            <w:tcBorders>
              <w:top w:val="single" w:sz="6" w:space="0" w:color="auto"/>
              <w:bottom w:val="single" w:sz="12" w:space="0" w:color="auto"/>
            </w:tcBorders>
          </w:tcPr>
          <w:p w14:paraId="722A04EC" w14:textId="77777777" w:rsidR="006660FA" w:rsidRPr="003E2D1E" w:rsidRDefault="006660FA" w:rsidP="00B26A78">
            <w:pPr>
              <w:keepNext/>
              <w:keepLines/>
              <w:spacing w:before="120"/>
              <w:ind w:left="216" w:hanging="216"/>
              <w:rPr>
                <w:snapToGrid w:val="0"/>
                <w:color w:val="000000" w:themeColor="text1"/>
                <w:sz w:val="20"/>
              </w:rPr>
            </w:pPr>
            <w:r w:rsidRPr="003E2D1E">
              <w:rPr>
                <w:snapToGrid w:val="0"/>
                <w:color w:val="000000" w:themeColor="text1"/>
                <w:sz w:val="20"/>
              </w:rPr>
              <w:t xml:space="preserve">5 Waste </w:t>
            </w:r>
          </w:p>
        </w:tc>
        <w:tc>
          <w:tcPr>
            <w:tcW w:w="3118" w:type="dxa"/>
            <w:tcBorders>
              <w:top w:val="single" w:sz="6" w:space="0" w:color="auto"/>
              <w:bottom w:val="single" w:sz="12" w:space="0" w:color="auto"/>
            </w:tcBorders>
          </w:tcPr>
          <w:p w14:paraId="510BC2E0" w14:textId="77777777" w:rsidR="006660FA" w:rsidRPr="003E2D1E" w:rsidRDefault="006660FA" w:rsidP="00B26A78">
            <w:pPr>
              <w:keepNext/>
              <w:keepLines/>
              <w:spacing w:before="120"/>
              <w:ind w:left="216" w:hanging="216"/>
              <w:rPr>
                <w:snapToGrid w:val="0"/>
                <w:color w:val="000000" w:themeColor="text1"/>
                <w:sz w:val="20"/>
              </w:rPr>
            </w:pPr>
            <w:r w:rsidRPr="003E2D1E">
              <w:rPr>
                <w:snapToGrid w:val="0"/>
                <w:color w:val="000000" w:themeColor="text1"/>
                <w:sz w:val="20"/>
              </w:rPr>
              <w:t xml:space="preserve">4 Waste </w:t>
            </w:r>
          </w:p>
        </w:tc>
      </w:tr>
    </w:tbl>
    <w:p w14:paraId="6EE72E07" w14:textId="77777777" w:rsidR="003851C6" w:rsidRDefault="003851C6" w:rsidP="003851C6">
      <w:pPr>
        <w:pStyle w:val="Footer"/>
        <w:keepNext/>
        <w:keepLines/>
        <w:tabs>
          <w:tab w:val="clear" w:pos="4320"/>
          <w:tab w:val="clear" w:pos="8640"/>
        </w:tabs>
      </w:pPr>
    </w:p>
    <w:p w14:paraId="35DDB050" w14:textId="77777777" w:rsidR="003851C6" w:rsidRDefault="003851C6" w:rsidP="003851C6">
      <w:pPr>
        <w:keepNext/>
        <w:keepLines/>
        <w:rPr>
          <w:rFonts w:ascii="Arial" w:hAnsi="Arial"/>
          <w:snapToGrid w:val="0"/>
          <w:sz w:val="16"/>
        </w:rPr>
      </w:pPr>
    </w:p>
    <w:p w14:paraId="14C1CAF3" w14:textId="77777777" w:rsidR="00E75B23" w:rsidRDefault="00E75B23"/>
    <w:p w14:paraId="6993969B" w14:textId="77777777" w:rsidR="00E75B23" w:rsidRDefault="00E75B23" w:rsidP="00BE3408">
      <w:pPr>
        <w:pStyle w:val="Heading2"/>
      </w:pPr>
      <w:bookmarkStart w:id="44" w:name="_Toc10122660"/>
      <w:r>
        <w:t>Completeness</w:t>
      </w:r>
      <w:bookmarkEnd w:id="44"/>
    </w:p>
    <w:p w14:paraId="5E059957" w14:textId="77777777" w:rsidR="00E75B23" w:rsidRDefault="00E75B23"/>
    <w:p w14:paraId="17D88110" w14:textId="77777777" w:rsidR="00E75B23" w:rsidRDefault="006B515F">
      <w:r>
        <w:t xml:space="preserve">The aim is to include all known sources of emissions in the inventory. </w:t>
      </w:r>
      <w:r w:rsidR="00E75B23">
        <w:t xml:space="preserve">If it is not possible to fill a cell with numbers, for example due to data availability, cells should be filled in using appropriate </w:t>
      </w:r>
      <w:r w:rsidR="00E75B23" w:rsidRPr="00170174">
        <w:rPr>
          <w:i/>
        </w:rPr>
        <w:t>notation keys</w:t>
      </w:r>
      <w:r w:rsidR="00E75B23">
        <w:t xml:space="preserve"> to increase transparency. The following notation keys are recommended:</w:t>
      </w:r>
    </w:p>
    <w:p w14:paraId="67DC1036" w14:textId="77777777" w:rsidR="00E75B23" w:rsidRDefault="00E75B23"/>
    <w:tbl>
      <w:tblPr>
        <w:tblW w:w="0" w:type="auto"/>
        <w:tblLayout w:type="fixed"/>
        <w:tblCellMar>
          <w:left w:w="70" w:type="dxa"/>
          <w:right w:w="70" w:type="dxa"/>
        </w:tblCellMar>
        <w:tblLook w:val="0000" w:firstRow="0" w:lastRow="0" w:firstColumn="0" w:lastColumn="0" w:noHBand="0" w:noVBand="0"/>
      </w:tblPr>
      <w:tblGrid>
        <w:gridCol w:w="1371"/>
        <w:gridCol w:w="2319"/>
        <w:gridCol w:w="5325"/>
      </w:tblGrid>
      <w:tr w:rsidR="00E75B23" w14:paraId="3EA34B28" w14:textId="77777777">
        <w:tc>
          <w:tcPr>
            <w:tcW w:w="1371" w:type="dxa"/>
            <w:tcBorders>
              <w:top w:val="single" w:sz="4" w:space="0" w:color="auto"/>
              <w:left w:val="single" w:sz="4" w:space="0" w:color="auto"/>
              <w:bottom w:val="single" w:sz="4" w:space="0" w:color="auto"/>
              <w:right w:val="single" w:sz="4" w:space="0" w:color="auto"/>
            </w:tcBorders>
          </w:tcPr>
          <w:p w14:paraId="0066D9D0" w14:textId="77777777" w:rsidR="00E75B23" w:rsidRDefault="00E75B23" w:rsidP="00E75B23">
            <w:pPr>
              <w:pStyle w:val="Tabletext2006GL"/>
              <w:ind w:left="-70"/>
              <w:jc w:val="center"/>
              <w:rPr>
                <w:sz w:val="20"/>
              </w:rPr>
            </w:pPr>
            <w:r>
              <w:rPr>
                <w:sz w:val="20"/>
              </w:rPr>
              <w:t>NE</w:t>
            </w:r>
          </w:p>
        </w:tc>
        <w:tc>
          <w:tcPr>
            <w:tcW w:w="2319" w:type="dxa"/>
            <w:tcBorders>
              <w:top w:val="single" w:sz="4" w:space="0" w:color="auto"/>
              <w:left w:val="single" w:sz="4" w:space="0" w:color="auto"/>
              <w:bottom w:val="single" w:sz="4" w:space="0" w:color="auto"/>
              <w:right w:val="single" w:sz="4" w:space="0" w:color="auto"/>
            </w:tcBorders>
          </w:tcPr>
          <w:p w14:paraId="04BEAD26" w14:textId="77777777" w:rsidR="00E75B23" w:rsidRDefault="00E75B23" w:rsidP="00E75B23">
            <w:pPr>
              <w:pStyle w:val="Tabletext2006GL"/>
            </w:pPr>
            <w:r>
              <w:t>Not estimated</w:t>
            </w:r>
          </w:p>
        </w:tc>
        <w:tc>
          <w:tcPr>
            <w:tcW w:w="5325" w:type="dxa"/>
            <w:tcBorders>
              <w:top w:val="single" w:sz="4" w:space="0" w:color="auto"/>
              <w:left w:val="single" w:sz="4" w:space="0" w:color="auto"/>
              <w:bottom w:val="single" w:sz="4" w:space="0" w:color="auto"/>
              <w:right w:val="single" w:sz="4" w:space="0" w:color="auto"/>
            </w:tcBorders>
          </w:tcPr>
          <w:p w14:paraId="22054135" w14:textId="77777777" w:rsidR="00E75B23" w:rsidRDefault="00F66C46" w:rsidP="00E75B23">
            <w:pPr>
              <w:pStyle w:val="Tabletext2006GL"/>
            </w:pPr>
            <w:r>
              <w:t>Emissions</w:t>
            </w:r>
            <w:r w:rsidR="000450D5">
              <w:t xml:space="preserve"> may</w:t>
            </w:r>
            <w:r w:rsidR="00E75B23">
              <w:t xml:space="preserve"> occur but have not been estimated or reported </w:t>
            </w:r>
            <w:r w:rsidR="000450D5">
              <w:t>(e.g. due to lack of activity data)</w:t>
            </w:r>
          </w:p>
        </w:tc>
      </w:tr>
      <w:tr w:rsidR="00E75B23" w14:paraId="10C97D7D" w14:textId="77777777">
        <w:tc>
          <w:tcPr>
            <w:tcW w:w="1371" w:type="dxa"/>
            <w:tcBorders>
              <w:top w:val="single" w:sz="4" w:space="0" w:color="auto"/>
              <w:left w:val="single" w:sz="4" w:space="0" w:color="auto"/>
              <w:bottom w:val="single" w:sz="4" w:space="0" w:color="auto"/>
              <w:right w:val="single" w:sz="4" w:space="0" w:color="auto"/>
            </w:tcBorders>
          </w:tcPr>
          <w:p w14:paraId="19871A55" w14:textId="77777777" w:rsidR="00E75B23" w:rsidRDefault="00E75B23" w:rsidP="00E75B23">
            <w:pPr>
              <w:pStyle w:val="Tabletext2006GL"/>
              <w:ind w:left="-70"/>
              <w:jc w:val="center"/>
              <w:rPr>
                <w:sz w:val="20"/>
              </w:rPr>
            </w:pPr>
            <w:r>
              <w:rPr>
                <w:sz w:val="20"/>
              </w:rPr>
              <w:t>IE</w:t>
            </w:r>
          </w:p>
        </w:tc>
        <w:tc>
          <w:tcPr>
            <w:tcW w:w="2319" w:type="dxa"/>
            <w:tcBorders>
              <w:top w:val="single" w:sz="4" w:space="0" w:color="auto"/>
              <w:left w:val="single" w:sz="4" w:space="0" w:color="auto"/>
              <w:bottom w:val="single" w:sz="4" w:space="0" w:color="auto"/>
              <w:right w:val="single" w:sz="4" w:space="0" w:color="auto"/>
            </w:tcBorders>
          </w:tcPr>
          <w:p w14:paraId="6F09F41C" w14:textId="77777777" w:rsidR="00E75B23" w:rsidRDefault="00E75B23" w:rsidP="00E75B23">
            <w:pPr>
              <w:pStyle w:val="Tabletext2006GL"/>
            </w:pPr>
            <w:r>
              <w:t>Included elsewhere</w:t>
            </w:r>
          </w:p>
        </w:tc>
        <w:tc>
          <w:tcPr>
            <w:tcW w:w="5325" w:type="dxa"/>
            <w:tcBorders>
              <w:top w:val="single" w:sz="4" w:space="0" w:color="auto"/>
              <w:left w:val="single" w:sz="4" w:space="0" w:color="auto"/>
              <w:bottom w:val="single" w:sz="4" w:space="0" w:color="auto"/>
              <w:right w:val="single" w:sz="4" w:space="0" w:color="auto"/>
            </w:tcBorders>
          </w:tcPr>
          <w:p w14:paraId="6BE6D014" w14:textId="77777777" w:rsidR="00E75B23" w:rsidRDefault="00E75B23" w:rsidP="00E75B23">
            <w:pPr>
              <w:pStyle w:val="Tabletext2006GL"/>
            </w:pPr>
            <w:r>
              <w:t xml:space="preserve">Emissions for this </w:t>
            </w:r>
            <w:r w:rsidR="006B515F">
              <w:t>source</w:t>
            </w:r>
            <w:r>
              <w:t xml:space="preserve"> are estimated and included in the inventory but not presented separately for this category.  The </w:t>
            </w:r>
            <w:r w:rsidR="006B515F">
              <w:t>source</w:t>
            </w:r>
            <w:r>
              <w:t xml:space="preserve"> where these emissions are included should be indicated (for example in the documentation box in the correspondent table).</w:t>
            </w:r>
          </w:p>
        </w:tc>
      </w:tr>
      <w:tr w:rsidR="00E75B23" w14:paraId="251E1F50" w14:textId="77777777">
        <w:tc>
          <w:tcPr>
            <w:tcW w:w="1371" w:type="dxa"/>
            <w:tcBorders>
              <w:top w:val="single" w:sz="4" w:space="0" w:color="auto"/>
              <w:left w:val="single" w:sz="4" w:space="0" w:color="auto"/>
              <w:bottom w:val="single" w:sz="4" w:space="0" w:color="auto"/>
              <w:right w:val="single" w:sz="4" w:space="0" w:color="auto"/>
            </w:tcBorders>
          </w:tcPr>
          <w:p w14:paraId="1CDFDF62" w14:textId="77777777" w:rsidR="00E75B23" w:rsidRDefault="00E75B23" w:rsidP="00E75B23">
            <w:pPr>
              <w:pStyle w:val="Tabletext2006GL"/>
              <w:ind w:left="-70"/>
              <w:jc w:val="center"/>
              <w:rPr>
                <w:sz w:val="20"/>
              </w:rPr>
            </w:pPr>
            <w:r>
              <w:rPr>
                <w:sz w:val="20"/>
              </w:rPr>
              <w:t>C</w:t>
            </w:r>
          </w:p>
        </w:tc>
        <w:tc>
          <w:tcPr>
            <w:tcW w:w="2319" w:type="dxa"/>
            <w:tcBorders>
              <w:top w:val="single" w:sz="4" w:space="0" w:color="auto"/>
              <w:left w:val="single" w:sz="4" w:space="0" w:color="auto"/>
              <w:bottom w:val="single" w:sz="4" w:space="0" w:color="auto"/>
              <w:right w:val="single" w:sz="4" w:space="0" w:color="auto"/>
            </w:tcBorders>
          </w:tcPr>
          <w:p w14:paraId="53896434" w14:textId="77777777" w:rsidR="00E75B23" w:rsidRDefault="00E75B23" w:rsidP="00E75B23">
            <w:pPr>
              <w:pStyle w:val="Tabletext2006GL"/>
            </w:pPr>
            <w:r>
              <w:t>Confidential information</w:t>
            </w:r>
          </w:p>
        </w:tc>
        <w:tc>
          <w:tcPr>
            <w:tcW w:w="5325" w:type="dxa"/>
            <w:tcBorders>
              <w:top w:val="single" w:sz="4" w:space="0" w:color="auto"/>
              <w:left w:val="single" w:sz="4" w:space="0" w:color="auto"/>
              <w:bottom w:val="single" w:sz="4" w:space="0" w:color="auto"/>
              <w:right w:val="single" w:sz="4" w:space="0" w:color="auto"/>
            </w:tcBorders>
          </w:tcPr>
          <w:p w14:paraId="58D6022B" w14:textId="77777777" w:rsidR="00E75B23" w:rsidRDefault="00E75B23" w:rsidP="00E75B23">
            <w:pPr>
              <w:pStyle w:val="Tabletext2006GL"/>
            </w:pPr>
            <w:r>
              <w:t>Emissions are aggregated and included elsewhere in the inventory because reporting at a disaggregated level could lead to the disclosure of confidential information</w:t>
            </w:r>
          </w:p>
        </w:tc>
      </w:tr>
      <w:tr w:rsidR="00E75B23" w14:paraId="6A8B7C56" w14:textId="77777777">
        <w:tc>
          <w:tcPr>
            <w:tcW w:w="1371" w:type="dxa"/>
            <w:tcBorders>
              <w:top w:val="single" w:sz="4" w:space="0" w:color="auto"/>
              <w:left w:val="single" w:sz="4" w:space="0" w:color="auto"/>
              <w:bottom w:val="single" w:sz="4" w:space="0" w:color="auto"/>
              <w:right w:val="single" w:sz="4" w:space="0" w:color="auto"/>
            </w:tcBorders>
          </w:tcPr>
          <w:p w14:paraId="0FA404ED" w14:textId="77777777" w:rsidR="00E75B23" w:rsidRDefault="00E75B23" w:rsidP="00E75B23">
            <w:pPr>
              <w:pStyle w:val="Tabletext2006GL"/>
              <w:ind w:left="-70"/>
              <w:jc w:val="center"/>
              <w:rPr>
                <w:sz w:val="20"/>
              </w:rPr>
            </w:pPr>
            <w:r>
              <w:rPr>
                <w:sz w:val="20"/>
              </w:rPr>
              <w:t>NA</w:t>
            </w:r>
          </w:p>
        </w:tc>
        <w:tc>
          <w:tcPr>
            <w:tcW w:w="2319" w:type="dxa"/>
            <w:tcBorders>
              <w:top w:val="single" w:sz="4" w:space="0" w:color="auto"/>
              <w:left w:val="single" w:sz="4" w:space="0" w:color="auto"/>
              <w:bottom w:val="single" w:sz="4" w:space="0" w:color="auto"/>
              <w:right w:val="single" w:sz="4" w:space="0" w:color="auto"/>
            </w:tcBorders>
          </w:tcPr>
          <w:p w14:paraId="225DA8CE" w14:textId="77777777" w:rsidR="00E75B23" w:rsidRDefault="00E75B23" w:rsidP="00E75B23">
            <w:pPr>
              <w:pStyle w:val="Tabletext2006GL"/>
            </w:pPr>
            <w:r>
              <w:t>Not applicable</w:t>
            </w:r>
          </w:p>
        </w:tc>
        <w:tc>
          <w:tcPr>
            <w:tcW w:w="5325" w:type="dxa"/>
            <w:tcBorders>
              <w:top w:val="single" w:sz="4" w:space="0" w:color="auto"/>
              <w:left w:val="single" w:sz="4" w:space="0" w:color="auto"/>
              <w:bottom w:val="single" w:sz="4" w:space="0" w:color="auto"/>
              <w:right w:val="single" w:sz="4" w:space="0" w:color="auto"/>
            </w:tcBorders>
          </w:tcPr>
          <w:p w14:paraId="7E219CDB" w14:textId="77777777" w:rsidR="00E75B23" w:rsidRDefault="00E75B23" w:rsidP="00E75B23">
            <w:pPr>
              <w:pStyle w:val="Tabletext2006GL"/>
            </w:pPr>
            <w:r>
              <w:t xml:space="preserve">The </w:t>
            </w:r>
            <w:r w:rsidR="006B515F">
              <w:t>source</w:t>
            </w:r>
            <w:r>
              <w:t xml:space="preserve"> exists but relevant emissions  are considered never to occur</w:t>
            </w:r>
          </w:p>
        </w:tc>
      </w:tr>
      <w:tr w:rsidR="00E75B23" w14:paraId="1FBF73F7" w14:textId="77777777">
        <w:tc>
          <w:tcPr>
            <w:tcW w:w="1371" w:type="dxa"/>
            <w:tcBorders>
              <w:top w:val="single" w:sz="4" w:space="0" w:color="auto"/>
              <w:left w:val="single" w:sz="4" w:space="0" w:color="auto"/>
              <w:bottom w:val="single" w:sz="4" w:space="0" w:color="auto"/>
              <w:right w:val="single" w:sz="4" w:space="0" w:color="auto"/>
            </w:tcBorders>
          </w:tcPr>
          <w:p w14:paraId="042DD5F9" w14:textId="77777777" w:rsidR="00E75B23" w:rsidRDefault="00E75B23" w:rsidP="00E75B23">
            <w:pPr>
              <w:pStyle w:val="Tabletext2006GL"/>
              <w:ind w:left="-70"/>
              <w:jc w:val="center"/>
              <w:rPr>
                <w:sz w:val="20"/>
              </w:rPr>
            </w:pPr>
            <w:r>
              <w:rPr>
                <w:sz w:val="20"/>
              </w:rPr>
              <w:t>NO</w:t>
            </w:r>
          </w:p>
        </w:tc>
        <w:tc>
          <w:tcPr>
            <w:tcW w:w="2319" w:type="dxa"/>
            <w:tcBorders>
              <w:top w:val="single" w:sz="4" w:space="0" w:color="auto"/>
              <w:left w:val="single" w:sz="4" w:space="0" w:color="auto"/>
              <w:bottom w:val="single" w:sz="4" w:space="0" w:color="auto"/>
              <w:right w:val="single" w:sz="4" w:space="0" w:color="auto"/>
            </w:tcBorders>
          </w:tcPr>
          <w:p w14:paraId="6D76660E" w14:textId="77777777" w:rsidR="00E75B23" w:rsidRDefault="00E75B23" w:rsidP="00E75B23">
            <w:pPr>
              <w:pStyle w:val="Tabletext2006GL"/>
            </w:pPr>
            <w:r>
              <w:t xml:space="preserve">Not occurring </w:t>
            </w:r>
          </w:p>
        </w:tc>
        <w:tc>
          <w:tcPr>
            <w:tcW w:w="5325" w:type="dxa"/>
            <w:tcBorders>
              <w:top w:val="single" w:sz="4" w:space="0" w:color="auto"/>
              <w:left w:val="single" w:sz="4" w:space="0" w:color="auto"/>
              <w:bottom w:val="single" w:sz="4" w:space="0" w:color="auto"/>
              <w:right w:val="single" w:sz="4" w:space="0" w:color="auto"/>
            </w:tcBorders>
          </w:tcPr>
          <w:p w14:paraId="7236148E" w14:textId="77777777" w:rsidR="00E75B23" w:rsidRDefault="00E75B23" w:rsidP="00E75B23">
            <w:pPr>
              <w:pStyle w:val="Tabletext2006GL"/>
            </w:pPr>
            <w:r>
              <w:t xml:space="preserve">An activity or process does not exist within a country </w:t>
            </w:r>
          </w:p>
        </w:tc>
      </w:tr>
    </w:tbl>
    <w:p w14:paraId="0ED07F42" w14:textId="77777777" w:rsidR="00E75B23" w:rsidRDefault="00E75B23"/>
    <w:p w14:paraId="6FAEC71D" w14:textId="77777777" w:rsidR="00C46552" w:rsidRDefault="00C46552"/>
    <w:p w14:paraId="1F198FF5" w14:textId="77777777" w:rsidR="00C46552" w:rsidRDefault="00C46552" w:rsidP="00BE3408">
      <w:pPr>
        <w:pStyle w:val="Heading2"/>
      </w:pPr>
      <w:bookmarkStart w:id="45" w:name="_Toc10122661"/>
      <w:r>
        <w:lastRenderedPageBreak/>
        <w:t>Pollutants covered in this manual</w:t>
      </w:r>
      <w:bookmarkEnd w:id="45"/>
      <w:r>
        <w:t xml:space="preserve"> </w:t>
      </w:r>
    </w:p>
    <w:p w14:paraId="32B47D8D" w14:textId="77777777" w:rsidR="00C46552" w:rsidRDefault="00C46552"/>
    <w:p w14:paraId="51415201" w14:textId="77777777" w:rsidR="00C46552" w:rsidRDefault="00C46552" w:rsidP="002847DC">
      <w:pPr>
        <w:pStyle w:val="Heading3"/>
        <w:numPr>
          <w:ilvl w:val="2"/>
          <w:numId w:val="17"/>
        </w:numPr>
      </w:pPr>
      <w:bookmarkStart w:id="46" w:name="_Toc10122662"/>
      <w:smartTag w:uri="urn:schemas-microsoft-com:office:smarttags" w:element="City">
        <w:smartTag w:uri="urn:schemas-microsoft-com:office:smarttags" w:element="place">
          <w:r>
            <w:t>Sulphur</w:t>
          </w:r>
        </w:smartTag>
      </w:smartTag>
      <w:r>
        <w:t xml:space="preserve"> dioxide</w:t>
      </w:r>
      <w:bookmarkEnd w:id="46"/>
    </w:p>
    <w:p w14:paraId="51F3CAA7" w14:textId="77777777" w:rsidR="00C46552" w:rsidRDefault="00C46552"/>
    <w:p w14:paraId="10B23DCA" w14:textId="77777777" w:rsidR="00C46552" w:rsidRDefault="00C46552">
      <w:r>
        <w:t>Although the primary product of the oxidation of the sulphur component of fuels during the combustion process is sulphur dioxide (SO</w:t>
      </w:r>
      <w:r>
        <w:rPr>
          <w:vertAlign w:val="subscript"/>
        </w:rPr>
        <w:t>2</w:t>
      </w:r>
      <w:r>
        <w:t>), other oxidation states (such as sulphur trioxide (SO</w:t>
      </w:r>
      <w:r>
        <w:rPr>
          <w:vertAlign w:val="subscript"/>
        </w:rPr>
        <w:t>3</w:t>
      </w:r>
      <w:r>
        <w:t xml:space="preserve">)) are also usually formed.  These compounds are jointly referred to as </w:t>
      </w:r>
      <w:r w:rsidR="00BA4944">
        <w:t>‘</w:t>
      </w:r>
      <w:r>
        <w:t>sulphur oxides</w:t>
      </w:r>
      <w:r w:rsidR="00BA4944">
        <w:t>’</w:t>
      </w:r>
      <w:r>
        <w:t xml:space="preserve"> (SO</w:t>
      </w:r>
      <w:r>
        <w:rPr>
          <w:vertAlign w:val="subscript"/>
        </w:rPr>
        <w:t>x</w:t>
      </w:r>
      <w:r>
        <w:t xml:space="preserve">) although they may also be termed </w:t>
      </w:r>
      <w:r w:rsidR="00BA4944">
        <w:t>‘</w:t>
      </w:r>
      <w:r>
        <w:t>oxides of sulphur</w:t>
      </w:r>
      <w:r w:rsidR="00BA4944">
        <w:t>’</w:t>
      </w:r>
      <w:r>
        <w:t xml:space="preserve"> or </w:t>
      </w:r>
      <w:r w:rsidR="00BA4944">
        <w:t>‘</w:t>
      </w:r>
      <w:r>
        <w:t>sulphuric</w:t>
      </w:r>
      <w:r>
        <w:rPr>
          <w:b/>
        </w:rPr>
        <w:t xml:space="preserve"> </w:t>
      </w:r>
      <w:r>
        <w:t>oxides</w:t>
      </w:r>
      <w:r w:rsidR="00BA4944">
        <w:t>’</w:t>
      </w:r>
      <w:r>
        <w:t>. SO</w:t>
      </w:r>
      <w:r>
        <w:rPr>
          <w:vertAlign w:val="subscript"/>
        </w:rPr>
        <w:t>x</w:t>
      </w:r>
      <w:r>
        <w:t xml:space="preserve"> emissions are usually expressed on the basis of the molecular weight of SO</w:t>
      </w:r>
      <w:r>
        <w:rPr>
          <w:vertAlign w:val="subscript"/>
        </w:rPr>
        <w:t>2</w:t>
      </w:r>
      <w:r>
        <w:t xml:space="preserve">, and for convenience often simply referred to as </w:t>
      </w:r>
      <w:r w:rsidR="00BA4944">
        <w:t>‘</w:t>
      </w:r>
      <w:r>
        <w:t>SO</w:t>
      </w:r>
      <w:r>
        <w:rPr>
          <w:vertAlign w:val="subscript"/>
        </w:rPr>
        <w:t>2</w:t>
      </w:r>
      <w:r w:rsidR="00BA4944">
        <w:t>’</w:t>
      </w:r>
      <w:r>
        <w:t xml:space="preserve"> - this convention is</w:t>
      </w:r>
      <w:r>
        <w:rPr>
          <w:vertAlign w:val="subscript"/>
        </w:rPr>
        <w:t xml:space="preserve"> </w:t>
      </w:r>
      <w:r>
        <w:t xml:space="preserve">followed in this Manual. </w:t>
      </w:r>
    </w:p>
    <w:p w14:paraId="20F92F0C" w14:textId="77777777" w:rsidR="00C46552" w:rsidRDefault="00C46552"/>
    <w:p w14:paraId="128EAFD6" w14:textId="77777777" w:rsidR="00C46552" w:rsidRDefault="00C46552">
      <w:pPr>
        <w:ind w:firstLine="720"/>
      </w:pPr>
      <w:smartTag w:uri="urn:schemas-microsoft-com:office:smarttags" w:element="City">
        <w:smartTag w:uri="urn:schemas-microsoft-com:office:smarttags" w:element="place">
          <w:r>
            <w:t>Sulphur</w:t>
          </w:r>
        </w:smartTag>
      </w:smartTag>
      <w:r>
        <w:t xml:space="preserve"> oxides are the major cause of the wet and dry acidic depositions commonly referred to as "acid rain". They are subject to long-range transport and can give rise to acidification problems at locations well away from sites of emission, sometimes in neighbouring countries.</w:t>
      </w:r>
      <w:r w:rsidR="00965414">
        <w:t xml:space="preserve"> SO</w:t>
      </w:r>
      <w:r w:rsidR="00965414" w:rsidRPr="00965414">
        <w:rPr>
          <w:vertAlign w:val="subscript"/>
        </w:rPr>
        <w:t>2</w:t>
      </w:r>
      <w:r w:rsidR="00965414">
        <w:t xml:space="preserve"> </w:t>
      </w:r>
      <w:r w:rsidR="00ED65D7">
        <w:t>is</w:t>
      </w:r>
      <w:r w:rsidR="00965414">
        <w:t xml:space="preserve"> </w:t>
      </w:r>
      <w:r w:rsidR="0066389F">
        <w:t xml:space="preserve">also </w:t>
      </w:r>
      <w:r w:rsidR="00965414">
        <w:t>an aerosol (particulate</w:t>
      </w:r>
      <w:r w:rsidR="0066389F">
        <w:t xml:space="preserve"> matter</w:t>
      </w:r>
      <w:r w:rsidR="00965414">
        <w:t>) precursor.</w:t>
      </w:r>
    </w:p>
    <w:p w14:paraId="06FC5B5E" w14:textId="77777777" w:rsidR="00C46552" w:rsidRDefault="00C46552">
      <w:pPr>
        <w:ind w:firstLine="720"/>
      </w:pPr>
    </w:p>
    <w:p w14:paraId="1A49E896" w14:textId="77777777" w:rsidR="00C46552" w:rsidRDefault="00C46552">
      <w:pPr>
        <w:ind w:firstLine="720"/>
      </w:pPr>
      <w:r>
        <w:t>The main anthropogenic source of SO</w:t>
      </w:r>
      <w:r>
        <w:rPr>
          <w:vertAlign w:val="subscript"/>
        </w:rPr>
        <w:t xml:space="preserve">2 </w:t>
      </w:r>
      <w:r>
        <w:t>is the combustion of fossil fuels containing sulphur; predominantly coal and heavy fuel oil. Some industrial processes including metal smelting, oil refining and sulphuric acid production also emit significant amounts of SO</w:t>
      </w:r>
      <w:r>
        <w:rPr>
          <w:vertAlign w:val="subscript"/>
        </w:rPr>
        <w:t>2</w:t>
      </w:r>
      <w:r>
        <w:t>. Globally, the combustion of coal in power stations constitutes the largest single source of anthropogenic SO</w:t>
      </w:r>
      <w:r>
        <w:rPr>
          <w:vertAlign w:val="subscript"/>
        </w:rPr>
        <w:t xml:space="preserve">2 </w:t>
      </w:r>
      <w:r>
        <w:t>emissions. Volcanoes are the most important source of natural SO</w:t>
      </w:r>
      <w:r>
        <w:rPr>
          <w:vertAlign w:val="subscript"/>
        </w:rPr>
        <w:t xml:space="preserve">2 </w:t>
      </w:r>
      <w:r>
        <w:t>emissions.</w:t>
      </w:r>
    </w:p>
    <w:p w14:paraId="206C8841" w14:textId="77777777" w:rsidR="00C46552" w:rsidRDefault="00C46552"/>
    <w:p w14:paraId="7EB3DD35" w14:textId="77777777" w:rsidR="00C46552" w:rsidRDefault="00C46552"/>
    <w:p w14:paraId="553A31EA" w14:textId="77777777" w:rsidR="00C46552" w:rsidRDefault="00C46552" w:rsidP="00B926BE">
      <w:pPr>
        <w:pStyle w:val="Heading3"/>
        <w:numPr>
          <w:ilvl w:val="2"/>
          <w:numId w:val="25"/>
        </w:numPr>
      </w:pPr>
      <w:bookmarkStart w:id="47" w:name="_Toc10122663"/>
      <w:r>
        <w:t>Nitrogen oxides</w:t>
      </w:r>
      <w:bookmarkEnd w:id="47"/>
    </w:p>
    <w:p w14:paraId="3499BAFF" w14:textId="77777777" w:rsidR="00C46552" w:rsidRDefault="00C46552">
      <w:pPr>
        <w:pStyle w:val="Date"/>
      </w:pPr>
    </w:p>
    <w:p w14:paraId="08A78C13" w14:textId="77777777" w:rsidR="00C46552" w:rsidRDefault="00C46552">
      <w:r>
        <w:t>The two most important nitrogen oxides with respect to air pollution are nitric oxide (NO) and nitrogen dioxide (NO</w:t>
      </w:r>
      <w:r>
        <w:rPr>
          <w:vertAlign w:val="subscript"/>
        </w:rPr>
        <w:t>2</w:t>
      </w:r>
      <w:r w:rsidR="0066389F">
        <w:t>), jointly referred to as ‘</w:t>
      </w:r>
      <w:r>
        <w:t>NO</w:t>
      </w:r>
      <w:r>
        <w:rPr>
          <w:vertAlign w:val="subscript"/>
        </w:rPr>
        <w:t>X</w:t>
      </w:r>
      <w:r w:rsidR="0066389F">
        <w:t>’</w:t>
      </w:r>
      <w:r>
        <w:t>. Although nitrous oxide (N</w:t>
      </w:r>
      <w:r>
        <w:rPr>
          <w:vertAlign w:val="subscript"/>
        </w:rPr>
        <w:t>2</w:t>
      </w:r>
      <w:r>
        <w:t>O) is also an oxide of nitrogen, it is usually treated separately as its role in atmospheric chemistry is distinct from that of NO and NO</w:t>
      </w:r>
      <w:r>
        <w:rPr>
          <w:vertAlign w:val="subscript"/>
        </w:rPr>
        <w:t>2</w:t>
      </w:r>
      <w:r>
        <w:t>. NO</w:t>
      </w:r>
      <w:r>
        <w:rPr>
          <w:vertAlign w:val="subscript"/>
        </w:rPr>
        <w:t>X</w:t>
      </w:r>
      <w:r>
        <w:t xml:space="preserve"> emissions are usually expressed on the basis of the molecular weight of NO</w:t>
      </w:r>
      <w:r>
        <w:rPr>
          <w:vertAlign w:val="subscript"/>
        </w:rPr>
        <w:t>2</w:t>
      </w:r>
      <w:r>
        <w:t>, and the same convention is</w:t>
      </w:r>
      <w:r>
        <w:rPr>
          <w:vertAlign w:val="subscript"/>
        </w:rPr>
        <w:t xml:space="preserve"> </w:t>
      </w:r>
      <w:r>
        <w:t xml:space="preserve">followed in this Manual. </w:t>
      </w:r>
    </w:p>
    <w:p w14:paraId="1EB57AAA" w14:textId="77777777" w:rsidR="00517D24" w:rsidRDefault="00517D24"/>
    <w:p w14:paraId="332F835B" w14:textId="77777777" w:rsidR="00965414" w:rsidRDefault="00C46552" w:rsidP="00965414">
      <w:pPr>
        <w:ind w:firstLine="720"/>
      </w:pPr>
      <w:r>
        <w:t>Nitrogen oxides, like SO</w:t>
      </w:r>
      <w:r>
        <w:rPr>
          <w:vertAlign w:val="subscript"/>
        </w:rPr>
        <w:t>X</w:t>
      </w:r>
      <w:r>
        <w:t>, are acid rain precursors. NO</w:t>
      </w:r>
      <w:r>
        <w:rPr>
          <w:vertAlign w:val="subscript"/>
        </w:rPr>
        <w:t>X</w:t>
      </w:r>
      <w:r>
        <w:t xml:space="preserve"> compounds are also major contributors to the formation of photochemical oxidants. Since NO</w:t>
      </w:r>
      <w:r>
        <w:rPr>
          <w:vertAlign w:val="subscript"/>
        </w:rPr>
        <w:t>X</w:t>
      </w:r>
      <w:r>
        <w:t xml:space="preserve"> can be transported over considerable distances, these impacts of NO</w:t>
      </w:r>
      <w:r>
        <w:rPr>
          <w:vertAlign w:val="subscript"/>
        </w:rPr>
        <w:t>X</w:t>
      </w:r>
      <w:r>
        <w:t xml:space="preserve"> emissions are not localized problems.</w:t>
      </w:r>
      <w:r w:rsidR="00965414">
        <w:t xml:space="preserve"> </w:t>
      </w:r>
      <w:bookmarkStart w:id="48" w:name="OLE_LINK13"/>
      <w:bookmarkStart w:id="49" w:name="OLE_LINK14"/>
      <w:r w:rsidR="00965414">
        <w:t>NO</w:t>
      </w:r>
      <w:r w:rsidR="00965414">
        <w:rPr>
          <w:vertAlign w:val="subscript"/>
        </w:rPr>
        <w:t>x</w:t>
      </w:r>
      <w:r w:rsidR="00965414">
        <w:t xml:space="preserve"> </w:t>
      </w:r>
      <w:r w:rsidR="0066389F">
        <w:t xml:space="preserve">is </w:t>
      </w:r>
      <w:r w:rsidR="00965414">
        <w:t>also an aerosol precursor.</w:t>
      </w:r>
      <w:bookmarkEnd w:id="48"/>
      <w:bookmarkEnd w:id="49"/>
    </w:p>
    <w:p w14:paraId="40CF0B5B" w14:textId="77777777" w:rsidR="00C46552" w:rsidRDefault="00C46552">
      <w:pPr>
        <w:pStyle w:val="Date"/>
      </w:pPr>
    </w:p>
    <w:p w14:paraId="61F37EF8" w14:textId="77777777" w:rsidR="00C46552" w:rsidRDefault="00C46552"/>
    <w:p w14:paraId="555AD2EC" w14:textId="77777777" w:rsidR="00C46552" w:rsidRDefault="00C46552" w:rsidP="00B926BE">
      <w:pPr>
        <w:pStyle w:val="Heading3"/>
        <w:keepNext w:val="0"/>
        <w:numPr>
          <w:ilvl w:val="2"/>
          <w:numId w:val="25"/>
        </w:numPr>
      </w:pPr>
      <w:bookmarkStart w:id="50" w:name="_Toc10122664"/>
      <w:r>
        <w:t>Ammonia</w:t>
      </w:r>
      <w:bookmarkEnd w:id="50"/>
    </w:p>
    <w:p w14:paraId="185A97FB" w14:textId="77777777" w:rsidR="00C46552" w:rsidRDefault="00C46552" w:rsidP="00AC4F36">
      <w:pPr>
        <w:spacing w:before="240"/>
        <w:rPr>
          <w:snapToGrid w:val="0"/>
        </w:rPr>
      </w:pPr>
      <w:r>
        <w:rPr>
          <w:snapToGrid w:val="0"/>
        </w:rPr>
        <w:t>Estimates of ammonia (NH</w:t>
      </w:r>
      <w:r>
        <w:rPr>
          <w:snapToGrid w:val="0"/>
          <w:vertAlign w:val="subscript"/>
        </w:rPr>
        <w:t>3</w:t>
      </w:r>
      <w:r>
        <w:rPr>
          <w:snapToGrid w:val="0"/>
        </w:rPr>
        <w:t>) emissions are important to include in atmospheric models as ammonia can have a significant effect on the oxidation rates, and hence on the deposition rates, of acidic species.  Although much less research has been done on the effects of atmospheric NH</w:t>
      </w:r>
      <w:r>
        <w:rPr>
          <w:snapToGrid w:val="0"/>
          <w:vertAlign w:val="subscript"/>
        </w:rPr>
        <w:t>3</w:t>
      </w:r>
      <w:r w:rsidR="00CF1C2F">
        <w:rPr>
          <w:snapToGrid w:val="0"/>
          <w:vertAlign w:val="subscript"/>
        </w:rPr>
        <w:t xml:space="preserve"> </w:t>
      </w:r>
      <w:r w:rsidR="00CF1C2F" w:rsidRPr="00CF1C2F">
        <w:rPr>
          <w:snapToGrid w:val="0"/>
        </w:rPr>
        <w:t>c</w:t>
      </w:r>
      <w:r w:rsidR="00CF1C2F">
        <w:rPr>
          <w:snapToGrid w:val="0"/>
        </w:rPr>
        <w:t>ompared to sulphur dioxide and nitrogen oxides</w:t>
      </w:r>
      <w:r>
        <w:rPr>
          <w:snapToGrid w:val="0"/>
        </w:rPr>
        <w:t>, it is well known that over large areas of Europe, acid precipitation is falling in which up to 70 percent of the original acid is neutralized by NH</w:t>
      </w:r>
      <w:r>
        <w:rPr>
          <w:snapToGrid w:val="0"/>
          <w:vertAlign w:val="subscript"/>
        </w:rPr>
        <w:t>3</w:t>
      </w:r>
      <w:r>
        <w:rPr>
          <w:snapToGrid w:val="0"/>
          <w:sz w:val="14"/>
        </w:rPr>
        <w:t xml:space="preserve"> </w:t>
      </w:r>
      <w:r>
        <w:rPr>
          <w:snapToGrid w:val="0"/>
        </w:rPr>
        <w:t xml:space="preserve"> (Battye et al., 1994</w:t>
      </w:r>
      <w:r>
        <w:rPr>
          <w:rStyle w:val="FootnoteReference"/>
          <w:snapToGrid w:val="0"/>
        </w:rPr>
        <w:footnoteReference w:id="7"/>
      </w:r>
      <w:r>
        <w:rPr>
          <w:snapToGrid w:val="0"/>
        </w:rPr>
        <w:t>). This neutralization occurs close to the point of emission of ammonia and ammonium ions are formed which may be transferred over large distances. When the ammonium (NH</w:t>
      </w:r>
      <w:r w:rsidRPr="00AC4F36">
        <w:rPr>
          <w:snapToGrid w:val="0"/>
          <w:vertAlign w:val="subscript"/>
        </w:rPr>
        <w:t>4</w:t>
      </w:r>
      <w:r w:rsidRPr="00AC4F36">
        <w:rPr>
          <w:snapToGrid w:val="0"/>
          <w:vertAlign w:val="superscript"/>
        </w:rPr>
        <w:t>+</w:t>
      </w:r>
      <w:r>
        <w:rPr>
          <w:snapToGrid w:val="0"/>
        </w:rPr>
        <w:t>) ion is deposited on ecosystems it can acidify after transformation in the nitrogen cycle to nitrate. Acidification is caused if the nitrate ion leaches from the soil. Therefore, ammonium deposition has the potential to acidify even if ammonia (NH</w:t>
      </w:r>
      <w:r>
        <w:rPr>
          <w:snapToGrid w:val="0"/>
          <w:vertAlign w:val="subscript"/>
        </w:rPr>
        <w:t>3</w:t>
      </w:r>
      <w:r>
        <w:rPr>
          <w:snapToGrid w:val="0"/>
        </w:rPr>
        <w:t>) buffers acidity close to the point of its emission, and is a component of acidifying deposition together with nitrate and sulphate.</w:t>
      </w:r>
      <w:r w:rsidR="00965414">
        <w:rPr>
          <w:snapToGrid w:val="0"/>
        </w:rPr>
        <w:t xml:space="preserve"> </w:t>
      </w:r>
      <w:bookmarkStart w:id="51" w:name="OLE_LINK15"/>
      <w:bookmarkStart w:id="52" w:name="OLE_LINK16"/>
      <w:r w:rsidR="00965414">
        <w:t>NH</w:t>
      </w:r>
      <w:r w:rsidR="00965414">
        <w:rPr>
          <w:vertAlign w:val="subscript"/>
        </w:rPr>
        <w:t>3</w:t>
      </w:r>
      <w:r w:rsidR="00965414">
        <w:t xml:space="preserve"> </w:t>
      </w:r>
      <w:r w:rsidR="0066389F">
        <w:t xml:space="preserve">is </w:t>
      </w:r>
      <w:r w:rsidR="00965414">
        <w:t>also an aerosol precursor.</w:t>
      </w:r>
      <w:bookmarkEnd w:id="51"/>
      <w:bookmarkEnd w:id="52"/>
    </w:p>
    <w:p w14:paraId="66852F67" w14:textId="77777777" w:rsidR="00C46552" w:rsidRDefault="00C46552">
      <w:pPr>
        <w:rPr>
          <w:snapToGrid w:val="0"/>
        </w:rPr>
      </w:pPr>
    </w:p>
    <w:p w14:paraId="1E787D9A" w14:textId="77777777" w:rsidR="00C46552" w:rsidRDefault="00C46552">
      <w:pPr>
        <w:ind w:firstLine="720"/>
      </w:pPr>
      <w:r>
        <w:rPr>
          <w:snapToGrid w:val="0"/>
        </w:rPr>
        <w:lastRenderedPageBreak/>
        <w:t>The majority of anthropogenic NH</w:t>
      </w:r>
      <w:r>
        <w:rPr>
          <w:snapToGrid w:val="0"/>
          <w:vertAlign w:val="subscript"/>
        </w:rPr>
        <w:t>3</w:t>
      </w:r>
      <w:r>
        <w:rPr>
          <w:snapToGrid w:val="0"/>
          <w:sz w:val="14"/>
        </w:rPr>
        <w:t xml:space="preserve"> </w:t>
      </w:r>
      <w:r>
        <w:rPr>
          <w:snapToGrid w:val="0"/>
        </w:rPr>
        <w:t>emissions originate from agricultural practices such as livestock manure management and fertilizer application.</w:t>
      </w:r>
      <w:r w:rsidR="00AC4F36">
        <w:rPr>
          <w:snapToGrid w:val="0"/>
        </w:rPr>
        <w:t xml:space="preserve"> Cars equipped with catalytic converters have been a source of increasing importance.</w:t>
      </w:r>
      <w:r>
        <w:rPr>
          <w:snapToGrid w:val="0"/>
        </w:rPr>
        <w:t xml:space="preserve"> There is also evidence that significant NH</w:t>
      </w:r>
      <w:r>
        <w:rPr>
          <w:snapToGrid w:val="0"/>
          <w:vertAlign w:val="subscript"/>
        </w:rPr>
        <w:t>3</w:t>
      </w:r>
      <w:r>
        <w:rPr>
          <w:snapToGrid w:val="0"/>
          <w:sz w:val="14"/>
        </w:rPr>
        <w:t xml:space="preserve"> </w:t>
      </w:r>
      <w:r>
        <w:rPr>
          <w:snapToGrid w:val="0"/>
        </w:rPr>
        <w:t>emissions come from undisturbed soils and from biomass burning.</w:t>
      </w:r>
    </w:p>
    <w:p w14:paraId="0F77481A" w14:textId="77777777" w:rsidR="00C46552" w:rsidRDefault="00C46552"/>
    <w:p w14:paraId="6E15C809" w14:textId="77777777" w:rsidR="00C46552" w:rsidRDefault="00C46552"/>
    <w:p w14:paraId="54A8031F" w14:textId="77777777" w:rsidR="0016015B" w:rsidRDefault="0016015B" w:rsidP="00B926BE">
      <w:pPr>
        <w:pStyle w:val="Heading3"/>
        <w:numPr>
          <w:ilvl w:val="2"/>
          <w:numId w:val="25"/>
        </w:numPr>
      </w:pPr>
      <w:bookmarkStart w:id="53" w:name="_Toc484189386"/>
      <w:bookmarkStart w:id="54" w:name="_Toc10122665"/>
      <w:r>
        <w:t>NMVOCs</w:t>
      </w:r>
      <w:bookmarkEnd w:id="53"/>
      <w:bookmarkEnd w:id="54"/>
      <w:r>
        <w:t xml:space="preserve"> </w:t>
      </w:r>
    </w:p>
    <w:p w14:paraId="4C8C8DDC" w14:textId="77777777" w:rsidR="0016015B" w:rsidRDefault="0016015B" w:rsidP="0016015B"/>
    <w:p w14:paraId="472B0358" w14:textId="77777777" w:rsidR="0016015B" w:rsidRDefault="0016015B" w:rsidP="0016015B">
      <w:r>
        <w:t xml:space="preserve">Volatile organic compounds (VOCs) are an important class of organic chemical air pollutants that are volatile at ambient air conditions. VOCs are composed of many hundreds of compounds, the exact number depending on the choice of definition. Other terms used to </w:t>
      </w:r>
      <w:r w:rsidR="00ED65D7">
        <w:t>represen</w:t>
      </w:r>
      <w:r>
        <w:t>t VOCs are hydrocarbons (HCs), reactive organic gases (ROGs) and non-methane volati</w:t>
      </w:r>
      <w:r w:rsidR="00FC0AB5">
        <w:t xml:space="preserve">le organic compounds (NMVOCs). </w:t>
      </w:r>
      <w:r>
        <w:t xml:space="preserve"> </w:t>
      </w:r>
    </w:p>
    <w:p w14:paraId="582C1950" w14:textId="77777777" w:rsidR="007934CA" w:rsidRDefault="007934CA" w:rsidP="0016015B"/>
    <w:p w14:paraId="2ED403CE" w14:textId="77777777" w:rsidR="00FC0AB5" w:rsidRDefault="00E53139" w:rsidP="0016015B">
      <w:pPr>
        <w:ind w:firstLine="720"/>
      </w:pPr>
      <w:r>
        <w:t>NM</w:t>
      </w:r>
      <w:r w:rsidR="0016015B">
        <w:t>VOCs are major contributors (together with NO</w:t>
      </w:r>
      <w:r w:rsidR="0016015B">
        <w:rPr>
          <w:vertAlign w:val="subscript"/>
        </w:rPr>
        <w:t>x</w:t>
      </w:r>
      <w:r w:rsidR="00A62699">
        <w:rPr>
          <w:vertAlign w:val="subscript"/>
        </w:rPr>
        <w:t xml:space="preserve"> </w:t>
      </w:r>
      <w:r w:rsidR="00A62699" w:rsidRPr="00A62699">
        <w:rPr>
          <w:szCs w:val="24"/>
        </w:rPr>
        <w:t>and CO</w:t>
      </w:r>
      <w:r w:rsidR="0016015B">
        <w:t xml:space="preserve">) to the formation of photochemical oxidants. The problem of photochemical oxidants is of international significance because it has been proven that relevant concentrations and fluxes of </w:t>
      </w:r>
      <w:r>
        <w:t>NM</w:t>
      </w:r>
      <w:r w:rsidR="0016015B">
        <w:t xml:space="preserve">VOCs and their by-products can be transported over long distances. An important by-product of the degradation of </w:t>
      </w:r>
      <w:r>
        <w:t>NM</w:t>
      </w:r>
      <w:r w:rsidR="0016015B">
        <w:t>VOCs in the troposphere is ozone (O</w:t>
      </w:r>
      <w:r w:rsidR="0016015B" w:rsidRPr="0016015B">
        <w:rPr>
          <w:vertAlign w:val="subscript"/>
        </w:rPr>
        <w:t>3</w:t>
      </w:r>
      <w:r w:rsidR="0016015B">
        <w:t xml:space="preserve">), a toxic agent, which can adversely affect human </w:t>
      </w:r>
      <w:r w:rsidR="00A62699">
        <w:t xml:space="preserve">and animal </w:t>
      </w:r>
      <w:r w:rsidR="0016015B">
        <w:t>health, plant growth and materials (plastics, for example) even at sub-ppm (parts per million) concentrations.</w:t>
      </w:r>
      <w:r w:rsidR="00ED65D7" w:rsidRPr="00ED65D7">
        <w:t xml:space="preserve"> </w:t>
      </w:r>
      <w:r w:rsidR="00ED65D7">
        <w:t>Some NMVOC species also act as aerosol precursors.</w:t>
      </w:r>
      <w:r w:rsidR="00FC0AB5" w:rsidRPr="00FC0AB5">
        <w:t xml:space="preserve"> </w:t>
      </w:r>
    </w:p>
    <w:p w14:paraId="16A2C556" w14:textId="77777777" w:rsidR="00FC0AB5" w:rsidRDefault="00FC0AB5" w:rsidP="0016015B">
      <w:pPr>
        <w:ind w:firstLine="720"/>
      </w:pPr>
    </w:p>
    <w:p w14:paraId="7D79435D" w14:textId="77777777" w:rsidR="0016015B" w:rsidRDefault="00FC0AB5" w:rsidP="0016015B">
      <w:pPr>
        <w:ind w:firstLine="720"/>
      </w:pPr>
      <w:r>
        <w:t>By definition, methane (CH</w:t>
      </w:r>
      <w:r>
        <w:rPr>
          <w:vertAlign w:val="subscript"/>
        </w:rPr>
        <w:t>4</w:t>
      </w:r>
      <w:r>
        <w:t xml:space="preserve">) is not a NMVOC </w:t>
      </w:r>
      <w:r w:rsidR="00DB6B0B">
        <w:t>and</w:t>
      </w:r>
      <w:r>
        <w:t xml:space="preserve"> because of its importance as a direct greenhouse gas, methane is inventoried separately in GHG inventories. Methane has a long residence time in the atmosphere and has therefore become mixed uniformly throughout the lower atmosphere (troposphere). Although methane slightly enhances ozone formation in photochemical smog, its effect is small compared with the more reactive organic gases. The contribution of methane to background ozone formation can be accounted for by ozone modellers without detailed knowledge of methane emissions. For these reasons, estimation of methane emissions is not included in this manual</w:t>
      </w:r>
    </w:p>
    <w:p w14:paraId="301A3FCC" w14:textId="77777777" w:rsidR="00F3437F" w:rsidRDefault="00F3437F" w:rsidP="0016015B">
      <w:pPr>
        <w:ind w:firstLine="720"/>
      </w:pPr>
    </w:p>
    <w:p w14:paraId="7A0E3612" w14:textId="77777777" w:rsidR="00F3437F" w:rsidRDefault="00F3437F" w:rsidP="00F3437F">
      <w:pPr>
        <w:ind w:firstLine="720"/>
      </w:pPr>
      <w:r>
        <w:t>The major sources of anthropogenic NMVOC emissions are organic solvents (such as those used in the formulation and use of paints, inks and adhesives), the oil and chemical industries (especially petroleum product handling and gasoline distribution), motor vehicles, and other combustion sources (especially residential biomass burning).  Natural, or biogenic, NMVOC emissions from vegetation are also important.</w:t>
      </w:r>
    </w:p>
    <w:p w14:paraId="0E3D3CE4" w14:textId="77777777" w:rsidR="007B7DE1" w:rsidRDefault="007B7DE1" w:rsidP="007B7DE1">
      <w:pPr>
        <w:pStyle w:val="Heading2"/>
        <w:numPr>
          <w:ilvl w:val="0"/>
          <w:numId w:val="0"/>
        </w:numPr>
      </w:pPr>
    </w:p>
    <w:p w14:paraId="5E559D1D" w14:textId="3CA789B5" w:rsidR="007B7DE1" w:rsidRDefault="007B7DE1" w:rsidP="007B7DE1">
      <w:r>
        <w:t>There are thousands of individual chemical species that can be classified as NMVOCs.  For the purposes of modelling the atmospheric chemistry involved on ozone formation, it is often necessary to "speciate" VOC emissions into so-called "reactivity groups". Speciation of NMVOCs is des</w:t>
      </w:r>
      <w:r w:rsidR="00DC7701">
        <w:t>cribed in more detail in Annex 2</w:t>
      </w:r>
      <w:r>
        <w:t>.</w:t>
      </w:r>
    </w:p>
    <w:p w14:paraId="15795AC6" w14:textId="77777777" w:rsidR="007B7DE1" w:rsidRDefault="007B7DE1" w:rsidP="00F3437F">
      <w:pPr>
        <w:ind w:firstLine="720"/>
      </w:pPr>
    </w:p>
    <w:p w14:paraId="6B9C0D5B" w14:textId="77777777" w:rsidR="0016015B" w:rsidRDefault="0016015B" w:rsidP="0016015B"/>
    <w:p w14:paraId="5CB95B6F" w14:textId="77777777" w:rsidR="0016015B" w:rsidRDefault="0016015B" w:rsidP="0016015B"/>
    <w:p w14:paraId="4DF5A96F" w14:textId="77777777" w:rsidR="0016015B" w:rsidRDefault="0016015B" w:rsidP="00B926BE">
      <w:pPr>
        <w:pStyle w:val="Heading3"/>
        <w:numPr>
          <w:ilvl w:val="2"/>
          <w:numId w:val="25"/>
        </w:numPr>
      </w:pPr>
      <w:bookmarkStart w:id="55" w:name="_Toc484189387"/>
      <w:bookmarkStart w:id="56" w:name="_Toc10122666"/>
      <w:r>
        <w:t>Carbon monoxide</w:t>
      </w:r>
      <w:bookmarkEnd w:id="55"/>
      <w:bookmarkEnd w:id="56"/>
    </w:p>
    <w:p w14:paraId="6471E7AE" w14:textId="77777777" w:rsidR="0016015B" w:rsidRDefault="0016015B" w:rsidP="0016015B"/>
    <w:p w14:paraId="00D1EEAF" w14:textId="5109D4E3" w:rsidR="0016015B" w:rsidRDefault="0016015B" w:rsidP="0016015B">
      <w:r>
        <w:t xml:space="preserve">Carbon monoxide (CO) is one of the most widely distributed and commonly occurring air pollutants. It is produced in large quantities by the incomplete combustion of fossil fuel (especially in the transport sector) and of other organic matter. It is also emitted as a by-product of some industrial processes such as in the </w:t>
      </w:r>
      <w:r w:rsidR="007934CA">
        <w:t>aluminium</w:t>
      </w:r>
      <w:r>
        <w:t xml:space="preserve"> and steel production industries. Natural sources of CO include volcanic eruptions, the photolysis of certain naturally-occurring VOCs (such as methane and terpenes), chlorophyll decomposition, forest fires, and microbial action in oceans.</w:t>
      </w:r>
    </w:p>
    <w:p w14:paraId="10BE5557" w14:textId="77777777" w:rsidR="0016015B" w:rsidRDefault="0016015B" w:rsidP="0016015B"/>
    <w:p w14:paraId="70DCB30F" w14:textId="77777777" w:rsidR="0016015B" w:rsidRDefault="0016015B" w:rsidP="0016015B">
      <w:r>
        <w:tab/>
        <w:t>The major concern regarding CO pollution relates to its adverse effects on human health. When inhaled, CO is absorbed in the lungs and combines irreversibly with hemoglobin (Hb) in the blood to form carboxyhemoglobin (COHb). The principal toxic properties of CO arise from the resulting lack of oxygen in tissues (hypoxia).</w:t>
      </w:r>
    </w:p>
    <w:p w14:paraId="5DCE4497" w14:textId="77777777" w:rsidR="0016015B" w:rsidRDefault="0016015B" w:rsidP="0016015B"/>
    <w:p w14:paraId="4D2A39EF" w14:textId="77777777" w:rsidR="0016015B" w:rsidRDefault="0016015B" w:rsidP="0016015B">
      <w:r>
        <w:lastRenderedPageBreak/>
        <w:tab/>
        <w:t>Carbon monoxide pollution is of particular concern in urban situations where air concentration can vary widely from a background level of a few parts per million (ppm) up to 50-60 ppm, depending on the weather and the traffic density. Although mainly of local importance, CO is also of interest to transboundary air pollution modellers because of its role in tropospheric (ground level) ozone formation.</w:t>
      </w:r>
      <w:r>
        <w:rPr>
          <w:b/>
        </w:rPr>
        <w:t xml:space="preserve"> </w:t>
      </w:r>
    </w:p>
    <w:p w14:paraId="67FD60EF" w14:textId="77777777" w:rsidR="0016015B" w:rsidRDefault="0016015B" w:rsidP="0016015B">
      <w:pPr>
        <w:pStyle w:val="Heading3"/>
        <w:numPr>
          <w:ilvl w:val="0"/>
          <w:numId w:val="0"/>
        </w:numPr>
      </w:pPr>
    </w:p>
    <w:p w14:paraId="7E7CAC3A" w14:textId="77777777" w:rsidR="0016015B" w:rsidRDefault="0016015B" w:rsidP="0016015B">
      <w:pPr>
        <w:pStyle w:val="Heading3"/>
        <w:numPr>
          <w:ilvl w:val="0"/>
          <w:numId w:val="0"/>
        </w:numPr>
      </w:pPr>
    </w:p>
    <w:p w14:paraId="0FE8337F" w14:textId="77777777" w:rsidR="00C46552" w:rsidRDefault="00C46552" w:rsidP="00B926BE">
      <w:pPr>
        <w:pStyle w:val="Heading3"/>
        <w:numPr>
          <w:ilvl w:val="2"/>
          <w:numId w:val="25"/>
        </w:numPr>
      </w:pPr>
      <w:bookmarkStart w:id="57" w:name="_Toc10122667"/>
      <w:r>
        <w:t>Particulate matter</w:t>
      </w:r>
      <w:bookmarkEnd w:id="57"/>
    </w:p>
    <w:p w14:paraId="5A0C3D84" w14:textId="77777777" w:rsidR="00C46552" w:rsidRDefault="00C46552"/>
    <w:p w14:paraId="22A0DB81" w14:textId="77777777" w:rsidR="00C46552" w:rsidRDefault="00C46552">
      <w:r>
        <w:t xml:space="preserve">Particulate matter (PM) is a collective term used to describe small solid and/or liquid particles.  Individual particles vary considerably in size, chemical composition and physical properties depending on their source. Particles may be produced by natural processes (pollen and particles from salt spray, soil erosion, and volcanic eruptions are examples) or by human activities that produce particulate emissions such as soot, fly ash and iron oxide. </w:t>
      </w:r>
    </w:p>
    <w:p w14:paraId="1011A295" w14:textId="77777777" w:rsidR="00C46552" w:rsidRDefault="00C46552"/>
    <w:p w14:paraId="0F96E2E2" w14:textId="77777777" w:rsidR="00C46552" w:rsidRDefault="00C46552">
      <w:r>
        <w:tab/>
        <w:t xml:space="preserve">"Primary particles" are produced by physical and chemical processes within (or shortly after being emitted from) a source whereas "secondary particles" are formed in the atmosphere as a result of chemical </w:t>
      </w:r>
      <w:r w:rsidR="00ED65D7">
        <w:t xml:space="preserve">and physical </w:t>
      </w:r>
      <w:r>
        <w:t>reactions that involve gases</w:t>
      </w:r>
      <w:r w:rsidR="00ED65D7">
        <w:t xml:space="preserve"> (e.g. SO</w:t>
      </w:r>
      <w:r w:rsidR="00ED65D7" w:rsidRPr="00ED65D7">
        <w:rPr>
          <w:vertAlign w:val="subscript"/>
        </w:rPr>
        <w:t>2</w:t>
      </w:r>
      <w:r w:rsidR="00A62699">
        <w:rPr>
          <w:vertAlign w:val="subscript"/>
        </w:rPr>
        <w:t xml:space="preserve"> </w:t>
      </w:r>
      <w:r w:rsidR="00A62699" w:rsidRPr="00A62699">
        <w:rPr>
          <w:szCs w:val="24"/>
        </w:rPr>
        <w:t>and NH</w:t>
      </w:r>
      <w:r w:rsidR="00A62699" w:rsidRPr="00A62699">
        <w:rPr>
          <w:szCs w:val="24"/>
          <w:vertAlign w:val="subscript"/>
        </w:rPr>
        <w:t>3</w:t>
      </w:r>
      <w:r w:rsidR="00ED65D7">
        <w:t>)</w:t>
      </w:r>
      <w:r>
        <w:t>.  The two major sources of primary PM are industrial processes and fuel combustion</w:t>
      </w:r>
      <w:r w:rsidR="007934CA">
        <w:t xml:space="preserve"> (in particular small</w:t>
      </w:r>
      <w:r w:rsidR="00BA4944">
        <w:t>-</w:t>
      </w:r>
      <w:r w:rsidR="007934CA">
        <w:t>scale coal and biomass burning)</w:t>
      </w:r>
      <w:r>
        <w:t>.  Secondary particles may be produced from gases of anthropogenic or natural origin</w:t>
      </w:r>
      <w:r w:rsidR="00CA34D9">
        <w:t xml:space="preserve"> (e.g. sulphur and nitrogen compounds)</w:t>
      </w:r>
      <w:r>
        <w:t>. This manual offers emissions estimation procedures only for primary PM; estimates of secondary PM concentrations are made using models of atmospheric processes.</w:t>
      </w:r>
    </w:p>
    <w:p w14:paraId="2A8AA6C9" w14:textId="77777777" w:rsidR="00C46552" w:rsidRDefault="00C46552"/>
    <w:p w14:paraId="242D26B7" w14:textId="77777777" w:rsidR="001F1C5D" w:rsidRDefault="00C46552">
      <w:r>
        <w:tab/>
      </w:r>
      <w:r w:rsidR="001F1C5D">
        <w:t>Particles larger than about 10 µm in diameter tend to settle on surfaces near the source of emission</w:t>
      </w:r>
      <w:r w:rsidR="001F1C5D" w:rsidRPr="001F1C5D">
        <w:t xml:space="preserve"> </w:t>
      </w:r>
      <w:r w:rsidR="001F1C5D">
        <w:t>and so give rise to local nuisance. However, particulate matter less than 10 µm in diameter (that is, PM</w:t>
      </w:r>
      <w:r w:rsidR="001F1C5D">
        <w:rPr>
          <w:vertAlign w:val="subscript"/>
        </w:rPr>
        <w:t>10</w:t>
      </w:r>
      <w:r w:rsidR="001F1C5D">
        <w:t>) can travel considerable distances because atmospheric residence times increase with a decrease in particle size.  PM</w:t>
      </w:r>
      <w:r w:rsidR="001F1C5D">
        <w:rPr>
          <w:vertAlign w:val="subscript"/>
        </w:rPr>
        <w:t>10</w:t>
      </w:r>
      <w:r w:rsidR="001F1C5D">
        <w:t xml:space="preserve"> also pose a greater threat to human health because they can penetrate more deeply into the respiratory tract. For both these reasons, PM</w:t>
      </w:r>
      <w:r w:rsidR="001F1C5D">
        <w:rPr>
          <w:vertAlign w:val="subscript"/>
        </w:rPr>
        <w:t>10</w:t>
      </w:r>
      <w:r w:rsidR="001F1C5D">
        <w:t xml:space="preserve"> is the category chosen for the inventory process described in this Manual. PM</w:t>
      </w:r>
      <w:r w:rsidR="001F1C5D">
        <w:rPr>
          <w:vertAlign w:val="subscript"/>
        </w:rPr>
        <w:t>2.5</w:t>
      </w:r>
      <w:r w:rsidR="001F1C5D">
        <w:t xml:space="preserve"> (particles less than 2.5 µm in diameter) have been found to be particularly relevant to human health impacts and so </w:t>
      </w:r>
      <w:r w:rsidR="00146E1C">
        <w:t>methods</w:t>
      </w:r>
      <w:r w:rsidR="001F1C5D">
        <w:t xml:space="preserve"> for the estimation of PM</w:t>
      </w:r>
      <w:r w:rsidR="001F1C5D">
        <w:rPr>
          <w:vertAlign w:val="subscript"/>
        </w:rPr>
        <w:t>2.5</w:t>
      </w:r>
      <w:r w:rsidR="001F1C5D">
        <w:t xml:space="preserve"> emissions are also provided in this Manual and Workbook.</w:t>
      </w:r>
    </w:p>
    <w:p w14:paraId="73330F12" w14:textId="77777777" w:rsidR="00E60C3C" w:rsidRDefault="00E60C3C"/>
    <w:p w14:paraId="08D62884" w14:textId="3E249333" w:rsidR="00E60C3C" w:rsidRDefault="00E60C3C">
      <w:r>
        <w:tab/>
        <w:t xml:space="preserve">Total suspended particulate matter (TSP) is often monitored for air quality management purposes and TSP emissions are sometimes included in emissions inventories. However, this category of PM is not covered by the Forum Manual and Workbook. This is partly because it is not generally used for regional air pollution modelling and partly because many of the important anthropogenic sources of TSP, such as fugitive emissions from mining and quarrying, </w:t>
      </w:r>
      <w:r w:rsidR="002966F4">
        <w:t>are not part of the emission source structure of this manual</w:t>
      </w:r>
      <w:r w:rsidR="00BD2439">
        <w:t xml:space="preserve"> and emission inventory methodologies are often non-existing or little developed</w:t>
      </w:r>
      <w:r w:rsidR="004C546F">
        <w:t>.</w:t>
      </w:r>
      <w:r w:rsidR="00101BE4">
        <w:t xml:space="preserve"> </w:t>
      </w:r>
    </w:p>
    <w:p w14:paraId="1ADD16EA" w14:textId="77777777" w:rsidR="00072702" w:rsidRDefault="00072702"/>
    <w:p w14:paraId="2EC4C302" w14:textId="77777777" w:rsidR="00072702" w:rsidRDefault="00072702" w:rsidP="00F7728A">
      <w:r>
        <w:tab/>
        <w:t xml:space="preserve">In this version of the Manual, two other categories of PM are inventoried separately, namely black carbon (BC) and organic carbon (OC) both of which are assume to </w:t>
      </w:r>
      <w:r w:rsidR="00F7728A">
        <w:t>be submicron in size</w:t>
      </w:r>
      <w:r w:rsidR="00F718D0">
        <w:t xml:space="preserve"> (</w:t>
      </w:r>
      <w:r w:rsidR="00F7728A">
        <w:t xml:space="preserve">i.e. </w:t>
      </w:r>
      <w:r w:rsidR="00F718D0">
        <w:t xml:space="preserve">less than or equal to 1.0 </w:t>
      </w:r>
      <w:r w:rsidR="00F718D0" w:rsidRPr="00F718D0">
        <w:t>µm in diameter</w:t>
      </w:r>
      <w:r w:rsidR="00F718D0">
        <w:t xml:space="preserve">). BC is formed through the incomplete combustion of fossil fuels, biofuel and biomass and is emitted as part of anthropogenic and naturally occurring soot. It consists of pure carbon (C) in several linked forms. </w:t>
      </w:r>
      <w:r w:rsidR="00F7728A">
        <w:t>BC</w:t>
      </w:r>
      <w:r w:rsidR="00F718D0">
        <w:t xml:space="preserve"> warms the Earth by absorbing sunlight and re-emitting heat to the atmosphere and by reducing albedo (the ability to reflect sunlight) when deposited on snow and ice. OC </w:t>
      </w:r>
      <w:r w:rsidR="00F7728A">
        <w:t>has a cooling effect on the atmosphere and can be defined as</w:t>
      </w:r>
      <w:r w:rsidR="00F718D0">
        <w:t xml:space="preserve"> the carbon fraction of the </w:t>
      </w:r>
      <w:r w:rsidR="00F7728A">
        <w:t>submicron</w:t>
      </w:r>
      <w:r w:rsidR="00F718D0">
        <w:t xml:space="preserve"> PM that is not black</w:t>
      </w:r>
      <w:r w:rsidR="00F7728A">
        <w:t>. There is a close relationship between emissions of BC and OC as they are always co-emitted, but in different proportions depending on the source.</w:t>
      </w:r>
      <w:r w:rsidR="00794215">
        <w:t xml:space="preserve"> Black carbon and organic carbon are now included </w:t>
      </w:r>
      <w:r w:rsidR="0026797A">
        <w:t>in this</w:t>
      </w:r>
      <w:r w:rsidR="00794215">
        <w:t xml:space="preserve"> manual to enable the co-benefits for near-term climate to be assessed when scenarios of emission reduction for the tradition transboundary air pollutants are modelled.</w:t>
      </w:r>
    </w:p>
    <w:p w14:paraId="4D79FFD0" w14:textId="77777777" w:rsidR="001F1C5D" w:rsidRDefault="001F1C5D"/>
    <w:p w14:paraId="5C57B177" w14:textId="77777777" w:rsidR="00E82EFA" w:rsidRDefault="00E82EFA" w:rsidP="00E82EFA">
      <w:pPr>
        <w:pStyle w:val="Heading3"/>
        <w:numPr>
          <w:ilvl w:val="2"/>
          <w:numId w:val="25"/>
        </w:numPr>
      </w:pPr>
      <w:bookmarkStart w:id="58" w:name="_Toc10122668"/>
      <w:r>
        <w:t>Methane</w:t>
      </w:r>
      <w:bookmarkEnd w:id="58"/>
      <w:r>
        <w:t xml:space="preserve"> </w:t>
      </w:r>
    </w:p>
    <w:p w14:paraId="2B401971" w14:textId="77777777" w:rsidR="00E82EFA" w:rsidRDefault="00E82EFA" w:rsidP="002722D9">
      <w:pPr>
        <w:ind w:left="720"/>
      </w:pPr>
    </w:p>
    <w:p w14:paraId="551CDD84" w14:textId="2AC900AC" w:rsidR="00E82EFA" w:rsidRDefault="00E82EFA" w:rsidP="002722D9">
      <w:r>
        <w:t>Methane is</w:t>
      </w:r>
      <w:r w:rsidR="00794215">
        <w:t xml:space="preserve"> a potent greenhouse gas and its increased concentration in the atmosphere has caused the largest radiative forcing by any greenhouse gas after carbon dioxide. Methane concentrations have grown as a result </w:t>
      </w:r>
      <w:r w:rsidR="00794215">
        <w:lastRenderedPageBreak/>
        <w:t>of human activities related to agriculture, including rice cultivation and the keeping of ruminant livestock, coal mining, oil and gas production and distribution, biomass burning</w:t>
      </w:r>
      <w:r w:rsidR="00B26A78">
        <w:t>,</w:t>
      </w:r>
      <w:r w:rsidR="00794215">
        <w:t xml:space="preserve"> municipal waste landfills</w:t>
      </w:r>
      <w:r w:rsidR="00B26A78">
        <w:t xml:space="preserve"> and waste water</w:t>
      </w:r>
      <w:r w:rsidR="0017631F">
        <w:t xml:space="preserve"> treatment</w:t>
      </w:r>
      <w:r w:rsidR="00794215">
        <w:t>. Methane has a direct influence on climate, but also has a number of indirect effects including its role as an important precursor to the formation of tropospheric ozone</w:t>
      </w:r>
      <w:r w:rsidR="00794215" w:rsidRPr="00794215">
        <w:t xml:space="preserve"> </w:t>
      </w:r>
      <w:r w:rsidR="00794215">
        <w:t>which damages human health and reduces crop yields. Methane is now included in th</w:t>
      </w:r>
      <w:r w:rsidR="0026797A">
        <w:t>is</w:t>
      </w:r>
      <w:r w:rsidR="00794215">
        <w:t xml:space="preserve"> manual primarily to enable the co-benefits for near-term climate to be assessed when scenarios of emission reduction for the tradition transboundary air pollutants are modelled.</w:t>
      </w:r>
    </w:p>
    <w:p w14:paraId="4F6AE625" w14:textId="77777777" w:rsidR="00794215" w:rsidRDefault="00794215" w:rsidP="002722D9"/>
    <w:p w14:paraId="0F86200B" w14:textId="77777777" w:rsidR="00794215" w:rsidRDefault="00794215" w:rsidP="00794215">
      <w:pPr>
        <w:pStyle w:val="Heading3"/>
        <w:numPr>
          <w:ilvl w:val="2"/>
          <w:numId w:val="25"/>
        </w:numPr>
      </w:pPr>
      <w:bookmarkStart w:id="59" w:name="_Toc10122669"/>
      <w:r>
        <w:t>Carbon dioxide</w:t>
      </w:r>
      <w:bookmarkEnd w:id="59"/>
    </w:p>
    <w:p w14:paraId="2787FCFF" w14:textId="77777777" w:rsidR="00794215" w:rsidRDefault="00794215" w:rsidP="002722D9">
      <w:pPr>
        <w:ind w:left="720"/>
      </w:pPr>
    </w:p>
    <w:p w14:paraId="2701828D" w14:textId="62456CBF" w:rsidR="0026797A" w:rsidRDefault="0026797A" w:rsidP="0026797A">
      <w:r w:rsidRPr="00794215">
        <w:t>Carbon dioxide</w:t>
      </w:r>
      <w:r>
        <w:t xml:space="preserve"> (CO</w:t>
      </w:r>
      <w:r w:rsidRPr="00D032EA">
        <w:rPr>
          <w:vertAlign w:val="subscript"/>
        </w:rPr>
        <w:t>2</w:t>
      </w:r>
      <w:r>
        <w:t>)</w:t>
      </w:r>
      <w:r w:rsidRPr="00794215">
        <w:t xml:space="preserve"> is the most important </w:t>
      </w:r>
      <w:r>
        <w:t xml:space="preserve">of the </w:t>
      </w:r>
      <w:r w:rsidRPr="00794215">
        <w:t>anthropogenic g</w:t>
      </w:r>
      <w:r>
        <w:t xml:space="preserve">reenhouse gases, its </w:t>
      </w:r>
      <w:r w:rsidR="00794215">
        <w:t>increase in atmospheric concentration ha</w:t>
      </w:r>
      <w:r>
        <w:t>ving</w:t>
      </w:r>
      <w:r w:rsidR="00794215">
        <w:t xml:space="preserve"> caused the largest radiative forcing (i.e. atmospheric warming)</w:t>
      </w:r>
      <w:r>
        <w:t>.</w:t>
      </w:r>
      <w:r w:rsidR="00794215" w:rsidRPr="00794215">
        <w:t xml:space="preserve"> </w:t>
      </w:r>
      <w:r w:rsidRPr="00794215">
        <w:t xml:space="preserve">The global atmospheric concentration of </w:t>
      </w:r>
      <w:r>
        <w:t>CO</w:t>
      </w:r>
      <w:r w:rsidRPr="00C75859">
        <w:rPr>
          <w:vertAlign w:val="subscript"/>
        </w:rPr>
        <w:t>2</w:t>
      </w:r>
      <w:r w:rsidRPr="00794215">
        <w:t xml:space="preserve"> has increased from a pre-industrial value of about 280 ppm to </w:t>
      </w:r>
      <w:r w:rsidR="00B26A78">
        <w:t>405</w:t>
      </w:r>
      <w:r w:rsidRPr="00794215">
        <w:t xml:space="preserve"> ppm </w:t>
      </w:r>
      <w:r w:rsidR="00B26A78">
        <w:t>by 2017</w:t>
      </w:r>
      <w:r w:rsidRPr="00794215">
        <w:t>.</w:t>
      </w:r>
      <w:r>
        <w:t xml:space="preserve"> </w:t>
      </w:r>
      <w:r w:rsidR="00794215" w:rsidRPr="00794215">
        <w:t xml:space="preserve">The global increases in </w:t>
      </w:r>
      <w:r>
        <w:t>CO</w:t>
      </w:r>
      <w:r w:rsidRPr="0069572D">
        <w:rPr>
          <w:vertAlign w:val="subscript"/>
        </w:rPr>
        <w:t>2</w:t>
      </w:r>
      <w:r w:rsidR="00794215" w:rsidRPr="00794215">
        <w:t xml:space="preserve"> concentration are due primarily to fossil fuel use and land use change</w:t>
      </w:r>
      <w:r>
        <w:t>.</w:t>
      </w:r>
      <w:r w:rsidR="00794215" w:rsidRPr="00794215">
        <w:t xml:space="preserve"> </w:t>
      </w:r>
      <w:r>
        <w:t>Carbon dioxide is now included in this</w:t>
      </w:r>
      <w:r w:rsidRPr="0026797A">
        <w:t xml:space="preserve"> manual to enable </w:t>
      </w:r>
      <w:r>
        <w:t>co-benefits for long-term climate to be assessed when scenarios of emission reduction for the tradition transboundary air pollutants are modelled.</w:t>
      </w:r>
    </w:p>
    <w:p w14:paraId="7FFA32BC" w14:textId="77777777" w:rsidR="00794215" w:rsidRPr="00794215" w:rsidRDefault="00794215" w:rsidP="002722D9"/>
    <w:p w14:paraId="16DE33E7" w14:textId="77777777" w:rsidR="00C46552" w:rsidRDefault="00C46552">
      <w:pPr>
        <w:tabs>
          <w:tab w:val="right" w:pos="567"/>
        </w:tabs>
      </w:pPr>
    </w:p>
    <w:p w14:paraId="6579EE7F" w14:textId="77777777" w:rsidR="00C46552" w:rsidRDefault="00C46552" w:rsidP="00BE3408">
      <w:pPr>
        <w:pStyle w:val="Heading2"/>
      </w:pPr>
      <w:bookmarkStart w:id="60" w:name="_Toc10122670"/>
      <w:r>
        <w:t>Sources</w:t>
      </w:r>
      <w:r w:rsidR="00B75DAD">
        <w:t>-sectors</w:t>
      </w:r>
      <w:r>
        <w:t xml:space="preserve"> included</w:t>
      </w:r>
      <w:bookmarkEnd w:id="60"/>
      <w:r>
        <w:t xml:space="preserve"> </w:t>
      </w:r>
    </w:p>
    <w:p w14:paraId="11BF6637" w14:textId="77777777" w:rsidR="00C46552" w:rsidRDefault="00C46552"/>
    <w:p w14:paraId="76C10AEB" w14:textId="77777777" w:rsidR="00C46552" w:rsidRDefault="00260E07">
      <w:r>
        <w:t>Table 2</w:t>
      </w:r>
      <w:r w:rsidR="003851C6">
        <w:t>-3</w:t>
      </w:r>
      <w:r w:rsidR="00C46552">
        <w:t xml:space="preserve"> presents an overview of the emission source categories used in this Manual, as well as the pollutants to be inventoried within each category and/or subcategory. Brief descriptions of the processes included in each</w:t>
      </w:r>
      <w:r w:rsidR="002271CD">
        <w:t xml:space="preserve"> sector are reflected in Table </w:t>
      </w:r>
      <w:r>
        <w:t>2</w:t>
      </w:r>
      <w:r w:rsidR="00C46552">
        <w:t>-</w:t>
      </w:r>
      <w:r w:rsidR="003851C6">
        <w:t>3</w:t>
      </w:r>
      <w:r w:rsidR="00C46552">
        <w:t xml:space="preserve"> and in the text that follows. </w:t>
      </w:r>
    </w:p>
    <w:p w14:paraId="66CCC963" w14:textId="77777777" w:rsidR="00C46552" w:rsidRDefault="00C46552"/>
    <w:p w14:paraId="71936FC7" w14:textId="77777777" w:rsidR="00C46552" w:rsidRDefault="00C46552" w:rsidP="00B926BE">
      <w:pPr>
        <w:pStyle w:val="Heading3"/>
        <w:numPr>
          <w:ilvl w:val="2"/>
          <w:numId w:val="26"/>
        </w:numPr>
      </w:pPr>
      <w:bookmarkStart w:id="61" w:name="_Toc10122671"/>
      <w:r>
        <w:t>Energy</w:t>
      </w:r>
      <w:bookmarkEnd w:id="61"/>
      <w:r>
        <w:t xml:space="preserve"> </w:t>
      </w:r>
    </w:p>
    <w:p w14:paraId="40341191" w14:textId="77777777" w:rsidR="00C46552" w:rsidRDefault="00C46552"/>
    <w:p w14:paraId="2892AD49" w14:textId="33F62CC8" w:rsidR="00C46552" w:rsidRDefault="00C46552">
      <w:r>
        <w:t>This sector includes Fuel Combustion Activities (Sectors 1 to 4 in this Manual) as well as sources of Fugitive Emissions from Fuels (Sector 5). Sectors 1 to 4 include fuel combustion activities within the Energy Industries (Sector 1), Manufacturing Industries and Construction (Sector 2), Transport (Sector 3), and Other Sectors (Commercial/Institutional, Residential and Agriculture/Forestry/</w:t>
      </w:r>
      <w:r w:rsidR="0017631F">
        <w:t xml:space="preserve"> </w:t>
      </w:r>
      <w:r>
        <w:t xml:space="preserve">Fishing—Sector 4). Sector 5 includes non-combustion activities related to the extraction, processing, storage, distribution and use of fuels. </w:t>
      </w:r>
    </w:p>
    <w:p w14:paraId="1E0E998C" w14:textId="77777777" w:rsidR="00C46552" w:rsidRDefault="00C46552">
      <w:pPr>
        <w:pStyle w:val="Date"/>
      </w:pPr>
    </w:p>
    <w:p w14:paraId="7D898C6E" w14:textId="77777777" w:rsidR="00C46552" w:rsidRDefault="00C46552" w:rsidP="00B926BE">
      <w:pPr>
        <w:pStyle w:val="Heading3"/>
        <w:numPr>
          <w:ilvl w:val="2"/>
          <w:numId w:val="26"/>
        </w:numPr>
      </w:pPr>
      <w:bookmarkStart w:id="62" w:name="_Toc10122672"/>
      <w:r>
        <w:t>Industrial processes</w:t>
      </w:r>
      <w:bookmarkEnd w:id="62"/>
    </w:p>
    <w:p w14:paraId="20DD41D6" w14:textId="77777777" w:rsidR="00C46552" w:rsidRDefault="00C46552"/>
    <w:p w14:paraId="63337B8B" w14:textId="77777777" w:rsidR="00C46552" w:rsidRDefault="00C46552">
      <w:r>
        <w:t xml:space="preserve">This category (Sector 6 in this Manual) covers those industrial processes that generate by-product emissions (that is, process emissions) or fugitive emissions of the pollutants covered by this Manual. It specifically </w:t>
      </w:r>
      <w:r>
        <w:rPr>
          <w:i/>
        </w:rPr>
        <w:t>excludes all combustion emissions</w:t>
      </w:r>
      <w:r>
        <w:t xml:space="preserve"> from industry as these are already covered in Sector 2</w:t>
      </w:r>
      <w:r w:rsidR="00BD2439">
        <w:rPr>
          <w:rStyle w:val="FootnoteReference"/>
        </w:rPr>
        <w:footnoteReference w:id="8"/>
      </w:r>
      <w:r>
        <w:t>.</w:t>
      </w:r>
      <w:r w:rsidR="00B75DAD">
        <w:t xml:space="preserve"> However, it includes emissions from energy commodities used as a raw material in processes and coal and coke used as reducing agents for metal production</w:t>
      </w:r>
      <w:r w:rsidR="00E202F9">
        <w:t xml:space="preserve"> (e.g. in iron manufacture)</w:t>
      </w:r>
      <w:r w:rsidR="00B75DAD">
        <w:t xml:space="preserve">. </w:t>
      </w:r>
      <w:r>
        <w:t>This sector includes the Mineral Products Industry, the Chemical Industry, Metals Production and the Pulp and Paper Industry.</w:t>
      </w:r>
    </w:p>
    <w:p w14:paraId="4917644E" w14:textId="77777777" w:rsidR="00C46552" w:rsidRDefault="00C46552">
      <w:pPr>
        <w:ind w:firstLine="720"/>
      </w:pPr>
    </w:p>
    <w:p w14:paraId="59D3CB3A" w14:textId="77777777" w:rsidR="0016015B" w:rsidRDefault="0016015B" w:rsidP="00B926BE">
      <w:pPr>
        <w:pStyle w:val="Heading3"/>
        <w:numPr>
          <w:ilvl w:val="2"/>
          <w:numId w:val="26"/>
        </w:numPr>
      </w:pPr>
      <w:bookmarkStart w:id="63" w:name="_Toc10122673"/>
      <w:bookmarkStart w:id="64" w:name="_Toc484189392"/>
      <w:r>
        <w:t>Solvent and Other Product Use</w:t>
      </w:r>
      <w:bookmarkEnd w:id="63"/>
      <w:r>
        <w:t xml:space="preserve"> </w:t>
      </w:r>
      <w:bookmarkEnd w:id="64"/>
    </w:p>
    <w:p w14:paraId="2D286123" w14:textId="77777777" w:rsidR="0016015B" w:rsidRDefault="0016015B" w:rsidP="0016015B"/>
    <w:p w14:paraId="0123593B" w14:textId="77777777" w:rsidR="0016015B" w:rsidRDefault="0016015B" w:rsidP="0016015B">
      <w:pPr>
        <w:ind w:firstLine="720"/>
        <w:rPr>
          <w:snapToGrid w:val="0"/>
          <w:color w:val="000000"/>
        </w:rPr>
      </w:pPr>
      <w:r>
        <w:t>This category (Sector 7 in this Manual) covers the use of solvents and other products</w:t>
      </w:r>
      <w:r w:rsidR="00BD2439">
        <w:t>. In this version of the manual</w:t>
      </w:r>
      <w:r w:rsidR="009E250D">
        <w:t>,</w:t>
      </w:r>
      <w:r w:rsidR="00BD2439">
        <w:t xml:space="preserve"> all </w:t>
      </w:r>
      <w:r w:rsidR="00040CB7">
        <w:t>contain</w:t>
      </w:r>
      <w:r>
        <w:t xml:space="preserve"> volatile compounds that are sources of NMVOC emissions. </w:t>
      </w:r>
      <w:r w:rsidR="00040CB7">
        <w:t>This category</w:t>
      </w:r>
      <w:r>
        <w:t xml:space="preserve"> includes the</w:t>
      </w:r>
      <w:r>
        <w:rPr>
          <w:snapToGrid w:val="0"/>
          <w:color w:val="000000"/>
        </w:rPr>
        <w:t xml:space="preserve"> application of paint, glue and adhesives; metal degreasing and dry cleaning of fabrics; the manufacture of certain chemical products; and the use of solvents in the printing industry. </w:t>
      </w:r>
    </w:p>
    <w:p w14:paraId="4422D3EC" w14:textId="77777777" w:rsidR="00B926BE" w:rsidRDefault="00B926BE" w:rsidP="0016015B">
      <w:pPr>
        <w:ind w:firstLine="720"/>
      </w:pPr>
    </w:p>
    <w:p w14:paraId="0728D403" w14:textId="77777777" w:rsidR="00B926BE" w:rsidRDefault="00B926BE" w:rsidP="0016015B">
      <w:pPr>
        <w:ind w:firstLine="720"/>
      </w:pPr>
    </w:p>
    <w:p w14:paraId="445A3CC6" w14:textId="77777777" w:rsidR="00C46552" w:rsidRDefault="00C46552" w:rsidP="00B926BE">
      <w:pPr>
        <w:pStyle w:val="Heading3"/>
        <w:keepNext w:val="0"/>
        <w:numPr>
          <w:ilvl w:val="2"/>
          <w:numId w:val="26"/>
        </w:numPr>
      </w:pPr>
      <w:bookmarkStart w:id="65" w:name="_Toc10122674"/>
      <w:r>
        <w:lastRenderedPageBreak/>
        <w:t>Agriculture</w:t>
      </w:r>
      <w:bookmarkEnd w:id="65"/>
      <w:r>
        <w:t xml:space="preserve"> </w:t>
      </w:r>
    </w:p>
    <w:p w14:paraId="54DA4EEC" w14:textId="77777777" w:rsidR="00C46552" w:rsidRDefault="00C46552">
      <w:pPr>
        <w:keepLines/>
      </w:pPr>
    </w:p>
    <w:p w14:paraId="56128927" w14:textId="77777777" w:rsidR="00C46552" w:rsidRDefault="0016015B">
      <w:pPr>
        <w:keepLines/>
      </w:pPr>
      <w:r>
        <w:t>This category (Sector 8</w:t>
      </w:r>
      <w:r w:rsidR="00C46552">
        <w:t xml:space="preserve"> in this Manual) includes livestock manure management</w:t>
      </w:r>
      <w:r w:rsidR="00EA7BF0">
        <w:t xml:space="preserve"> (ammonia and methane emissions),</w:t>
      </w:r>
      <w:r w:rsidR="00C46552">
        <w:t xml:space="preserve"> </w:t>
      </w:r>
      <w:r w:rsidR="00EA7BF0">
        <w:t xml:space="preserve">enteric fermentation in livestock (methane emissions) and </w:t>
      </w:r>
      <w:r w:rsidR="00C46552">
        <w:t>the application of nitrogen-containing fertilizers</w:t>
      </w:r>
      <w:r w:rsidR="00EA7BF0">
        <w:t xml:space="preserve"> (ammonia and NOx emissions)</w:t>
      </w:r>
      <w:r w:rsidR="00C46552">
        <w:t xml:space="preserve">. </w:t>
      </w:r>
      <w:r w:rsidR="00065B5E">
        <w:t>S</w:t>
      </w:r>
      <w:r w:rsidR="00C2555D">
        <w:t>avanna burning</w:t>
      </w:r>
      <w:r w:rsidR="00065B5E">
        <w:t xml:space="preserve"> is included here</w:t>
      </w:r>
      <w:r w:rsidR="00C2555D">
        <w:t xml:space="preserve"> (both prescribed fires and fires of opportunity)</w:t>
      </w:r>
      <w:r w:rsidR="004A42F0">
        <w:t xml:space="preserve"> as well as th</w:t>
      </w:r>
      <w:r w:rsidR="00C46552">
        <w:t>e field burning of agricultural crop residues.</w:t>
      </w:r>
      <w:r w:rsidR="001158DA">
        <w:t xml:space="preserve"> This sector also</w:t>
      </w:r>
      <w:r w:rsidR="001158DA" w:rsidRPr="001158DA">
        <w:t xml:space="preserve"> includes methane emissions from rice cultivation.</w:t>
      </w:r>
      <w:r w:rsidR="00C46552">
        <w:t xml:space="preserve"> Fuel combustion emissions in agriculture are excluded as these are covered in Sector 4.</w:t>
      </w:r>
      <w:r w:rsidR="00BD2439">
        <w:t xml:space="preserve"> Solvent use is also excluded and is covered in Sector 7.</w:t>
      </w:r>
    </w:p>
    <w:p w14:paraId="325DD4BE" w14:textId="77777777" w:rsidR="005E708F" w:rsidRDefault="005E708F" w:rsidP="005E708F">
      <w:pPr>
        <w:pStyle w:val="Heading3"/>
        <w:numPr>
          <w:ilvl w:val="0"/>
          <w:numId w:val="0"/>
        </w:numPr>
      </w:pPr>
    </w:p>
    <w:p w14:paraId="54B75B82" w14:textId="77777777" w:rsidR="00C46552" w:rsidRDefault="00C46552" w:rsidP="00B926BE">
      <w:pPr>
        <w:pStyle w:val="Heading3"/>
        <w:numPr>
          <w:ilvl w:val="2"/>
          <w:numId w:val="26"/>
        </w:numPr>
      </w:pPr>
      <w:bookmarkStart w:id="66" w:name="_Toc10122675"/>
      <w:r>
        <w:t>Vegetation fires and forestry</w:t>
      </w:r>
      <w:bookmarkEnd w:id="66"/>
      <w:r>
        <w:t xml:space="preserve"> </w:t>
      </w:r>
    </w:p>
    <w:p w14:paraId="193E65F1" w14:textId="77777777" w:rsidR="00C46552" w:rsidRDefault="00C46552">
      <w:pPr>
        <w:keepNext/>
        <w:keepLines/>
      </w:pPr>
    </w:p>
    <w:p w14:paraId="09D98E9E" w14:textId="77777777" w:rsidR="00C46552" w:rsidRDefault="0016015B">
      <w:pPr>
        <w:keepNext/>
        <w:keepLines/>
      </w:pPr>
      <w:r>
        <w:t>This sector (Sector 9</w:t>
      </w:r>
      <w:r w:rsidR="00C46552">
        <w:t xml:space="preserve"> in this Manual) includes the on-site burning of f</w:t>
      </w:r>
      <w:r w:rsidR="00C2555D">
        <w:t>orests and natural grasslands (excluding s</w:t>
      </w:r>
      <w:r w:rsidR="00C46552">
        <w:t>avannas). These fires may be man-induced (due to prescribed burning for management purposes or conversion to other land uses, or by accident) or</w:t>
      </w:r>
      <w:r w:rsidR="00040CB7">
        <w:t xml:space="preserve"> due to</w:t>
      </w:r>
      <w:r w:rsidR="00C46552">
        <w:t xml:space="preserve"> natural </w:t>
      </w:r>
      <w:r w:rsidR="00040CB7">
        <w:t>causes (e.g. lightning)</w:t>
      </w:r>
      <w:r w:rsidR="00C46552">
        <w:t>.</w:t>
      </w:r>
    </w:p>
    <w:p w14:paraId="7A41027C" w14:textId="77777777" w:rsidR="00C46552" w:rsidRDefault="00C46552"/>
    <w:p w14:paraId="1EDBDFE1" w14:textId="77777777" w:rsidR="00C46552" w:rsidRDefault="00C46552" w:rsidP="00B926BE">
      <w:pPr>
        <w:pStyle w:val="Heading3"/>
        <w:numPr>
          <w:ilvl w:val="2"/>
          <w:numId w:val="26"/>
        </w:numPr>
      </w:pPr>
      <w:bookmarkStart w:id="67" w:name="_Toc10122676"/>
      <w:r>
        <w:t>Waste</w:t>
      </w:r>
      <w:bookmarkEnd w:id="67"/>
      <w:r>
        <w:t xml:space="preserve"> </w:t>
      </w:r>
    </w:p>
    <w:p w14:paraId="74287D46" w14:textId="77777777" w:rsidR="00C46552" w:rsidRDefault="00C46552"/>
    <w:p w14:paraId="505ACBA8" w14:textId="77777777" w:rsidR="00C46552" w:rsidRDefault="00C46552">
      <w:r>
        <w:t>This emi</w:t>
      </w:r>
      <w:r w:rsidR="0016015B">
        <w:t>ssions source category (Sector 10</w:t>
      </w:r>
      <w:r>
        <w:t xml:space="preserve"> in this Manual) covers all types of waste incineration except waste-to-energy facilities (which are dealt with under Energy facilities, Sector 1) and on-field burning of crop residues (dealt with under Agriculture, Sector </w:t>
      </w:r>
      <w:r w:rsidR="002847DC">
        <w:t>8</w:t>
      </w:r>
      <w:r>
        <w:t>). It includes the incineration of municipal solid waste (MSW), industrial waste and commercial waste</w:t>
      </w:r>
      <w:r w:rsidR="0026797A">
        <w:t xml:space="preserve"> as well as methane emissions from MSW in landfill sites</w:t>
      </w:r>
      <w:r w:rsidR="001158DA">
        <w:t xml:space="preserve"> and from waste water treatment</w:t>
      </w:r>
      <w:r w:rsidR="00EA7BF0">
        <w:t xml:space="preserve"> and disposal</w:t>
      </w:r>
      <w:r>
        <w:t>. Also included are emissions of ammonia from human excreta stored in latrines ("dry" toilets located outside the house)</w:t>
      </w:r>
      <w:r w:rsidR="00EB0DCD">
        <w:t xml:space="preserve"> or deposited directly outside in the fields or bush</w:t>
      </w:r>
      <w:r>
        <w:t xml:space="preserve">. </w:t>
      </w:r>
    </w:p>
    <w:p w14:paraId="4643D528" w14:textId="77777777" w:rsidR="00C46552" w:rsidRDefault="00C46552"/>
    <w:p w14:paraId="3355334D" w14:textId="77777777" w:rsidR="00B83E60" w:rsidRDefault="00C46552">
      <w:pPr>
        <w:keepNext/>
        <w:keepLines/>
        <w:jc w:val="center"/>
        <w:rPr>
          <w:b/>
          <w:i/>
        </w:rPr>
      </w:pPr>
      <w:r>
        <w:rPr>
          <w:b/>
          <w:i/>
        </w:rPr>
        <w:br w:type="page"/>
      </w:r>
      <w:r w:rsidR="002271CD">
        <w:rPr>
          <w:b/>
          <w:i/>
        </w:rPr>
        <w:lastRenderedPageBreak/>
        <w:t xml:space="preserve">Table </w:t>
      </w:r>
      <w:r w:rsidR="00260E07">
        <w:rPr>
          <w:b/>
          <w:i/>
        </w:rPr>
        <w:t>2</w:t>
      </w:r>
      <w:r w:rsidR="003851C6">
        <w:rPr>
          <w:b/>
          <w:i/>
        </w:rPr>
        <w:t>-3</w:t>
      </w:r>
      <w:r w:rsidR="00B83E60">
        <w:rPr>
          <w:b/>
          <w:i/>
        </w:rPr>
        <w:t>:</w:t>
      </w:r>
    </w:p>
    <w:p w14:paraId="669DEDA8" w14:textId="3E3B2499" w:rsidR="00C46552" w:rsidRDefault="00C46552">
      <w:pPr>
        <w:keepNext/>
        <w:keepLines/>
        <w:jc w:val="center"/>
        <w:rPr>
          <w:b/>
          <w:i/>
        </w:rPr>
      </w:pPr>
      <w:r>
        <w:rPr>
          <w:b/>
          <w:i/>
        </w:rPr>
        <w:t xml:space="preserve"> Details of emission source categories used in this Manual and the pollutants inventoried by category</w:t>
      </w:r>
    </w:p>
    <w:p w14:paraId="53B33A52" w14:textId="77777777" w:rsidR="00C46552" w:rsidRDefault="00C46552">
      <w:pPr>
        <w:keepNext/>
        <w:keepLines/>
        <w:jc w:val="center"/>
        <w:rPr>
          <w:b/>
          <w:i/>
        </w:rPr>
      </w:pPr>
      <w:bookmarkStart w:id="68" w:name="OLE_LINK1"/>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9"/>
        <w:gridCol w:w="392"/>
        <w:gridCol w:w="2017"/>
        <w:gridCol w:w="9"/>
        <w:gridCol w:w="3994"/>
        <w:gridCol w:w="9"/>
        <w:gridCol w:w="1550"/>
        <w:gridCol w:w="9"/>
      </w:tblGrid>
      <w:tr w:rsidR="00C46552" w14:paraId="7E8D0615" w14:textId="77777777">
        <w:trPr>
          <w:cantSplit/>
          <w:jc w:val="center"/>
        </w:trPr>
        <w:tc>
          <w:tcPr>
            <w:tcW w:w="3127" w:type="dxa"/>
            <w:gridSpan w:val="4"/>
            <w:shd w:val="clear" w:color="auto" w:fill="FFFFFF"/>
          </w:tcPr>
          <w:p w14:paraId="1DD13209" w14:textId="77777777" w:rsidR="00C46552" w:rsidRDefault="00C46552">
            <w:pPr>
              <w:jc w:val="center"/>
              <w:rPr>
                <w:rFonts w:ascii="Arial" w:hAnsi="Arial"/>
                <w:b/>
                <w:sz w:val="20"/>
              </w:rPr>
            </w:pPr>
            <w:bookmarkStart w:id="69" w:name="OLE_LINK2"/>
            <w:r>
              <w:rPr>
                <w:rFonts w:ascii="Arial" w:hAnsi="Arial"/>
                <w:b/>
                <w:sz w:val="20"/>
              </w:rPr>
              <w:t>Sector</w:t>
            </w:r>
          </w:p>
        </w:tc>
        <w:tc>
          <w:tcPr>
            <w:tcW w:w="4003" w:type="dxa"/>
            <w:gridSpan w:val="2"/>
            <w:shd w:val="clear" w:color="auto" w:fill="FFFFFF"/>
          </w:tcPr>
          <w:p w14:paraId="7D79395D" w14:textId="77777777" w:rsidR="00C46552" w:rsidRDefault="00C46552">
            <w:pPr>
              <w:jc w:val="center"/>
              <w:rPr>
                <w:rFonts w:ascii="Arial" w:hAnsi="Arial"/>
                <w:b/>
                <w:sz w:val="20"/>
              </w:rPr>
            </w:pPr>
            <w:r>
              <w:rPr>
                <w:rFonts w:ascii="Arial" w:hAnsi="Arial"/>
                <w:b/>
                <w:sz w:val="20"/>
              </w:rPr>
              <w:t>Comments</w:t>
            </w:r>
          </w:p>
        </w:tc>
        <w:tc>
          <w:tcPr>
            <w:tcW w:w="1559" w:type="dxa"/>
            <w:gridSpan w:val="2"/>
            <w:shd w:val="clear" w:color="auto" w:fill="FFFFFF"/>
          </w:tcPr>
          <w:p w14:paraId="2E9AAA89" w14:textId="77777777" w:rsidR="00C46552" w:rsidRDefault="00C46552">
            <w:pPr>
              <w:rPr>
                <w:rFonts w:ascii="Arial" w:hAnsi="Arial"/>
                <w:b/>
                <w:sz w:val="20"/>
              </w:rPr>
            </w:pPr>
            <w:r>
              <w:rPr>
                <w:rFonts w:ascii="Arial" w:hAnsi="Arial"/>
                <w:b/>
                <w:sz w:val="20"/>
              </w:rPr>
              <w:t xml:space="preserve">Pollutants </w:t>
            </w:r>
          </w:p>
        </w:tc>
      </w:tr>
      <w:tr w:rsidR="00C46552" w14:paraId="1243FB97" w14:textId="77777777">
        <w:trPr>
          <w:gridAfter w:val="1"/>
          <w:wAfter w:w="9" w:type="dxa"/>
          <w:cantSplit/>
          <w:jc w:val="center"/>
        </w:trPr>
        <w:tc>
          <w:tcPr>
            <w:tcW w:w="709" w:type="dxa"/>
            <w:tcBorders>
              <w:top w:val="single" w:sz="12" w:space="0" w:color="auto"/>
              <w:bottom w:val="nil"/>
            </w:tcBorders>
            <w:shd w:val="pct20" w:color="auto" w:fill="auto"/>
          </w:tcPr>
          <w:p w14:paraId="032F5C4D" w14:textId="77777777" w:rsidR="00C46552" w:rsidRDefault="00C46552">
            <w:pPr>
              <w:jc w:val="right"/>
              <w:rPr>
                <w:rFonts w:ascii="Arial" w:hAnsi="Arial"/>
                <w:b/>
                <w:sz w:val="20"/>
              </w:rPr>
            </w:pPr>
            <w:r>
              <w:rPr>
                <w:rFonts w:ascii="Arial" w:hAnsi="Arial"/>
                <w:b/>
                <w:sz w:val="20"/>
              </w:rPr>
              <w:t>1</w:t>
            </w:r>
          </w:p>
        </w:tc>
        <w:tc>
          <w:tcPr>
            <w:tcW w:w="2409" w:type="dxa"/>
            <w:gridSpan w:val="2"/>
            <w:tcBorders>
              <w:top w:val="single" w:sz="12" w:space="0" w:color="auto"/>
              <w:bottom w:val="nil"/>
            </w:tcBorders>
            <w:shd w:val="pct20" w:color="auto" w:fill="auto"/>
          </w:tcPr>
          <w:p w14:paraId="4AF4B570" w14:textId="77777777" w:rsidR="00C46552" w:rsidRDefault="00C46552">
            <w:pPr>
              <w:jc w:val="left"/>
              <w:rPr>
                <w:rFonts w:ascii="Arial" w:hAnsi="Arial"/>
                <w:b/>
                <w:smallCaps/>
              </w:rPr>
            </w:pPr>
            <w:r>
              <w:rPr>
                <w:rFonts w:ascii="Arial" w:hAnsi="Arial"/>
                <w:b/>
                <w:smallCaps/>
              </w:rPr>
              <w:t>Combustion in the energy industries</w:t>
            </w:r>
          </w:p>
        </w:tc>
        <w:tc>
          <w:tcPr>
            <w:tcW w:w="4003" w:type="dxa"/>
            <w:gridSpan w:val="2"/>
            <w:tcBorders>
              <w:top w:val="single" w:sz="12" w:space="0" w:color="auto"/>
              <w:bottom w:val="nil"/>
            </w:tcBorders>
            <w:shd w:val="pct20" w:color="auto" w:fill="auto"/>
          </w:tcPr>
          <w:p w14:paraId="28E15DC3" w14:textId="77777777" w:rsidR="00C46552" w:rsidRDefault="00C46552">
            <w:pPr>
              <w:pStyle w:val="CommentText"/>
              <w:rPr>
                <w:rFonts w:ascii="Arial" w:hAnsi="Arial"/>
              </w:rPr>
            </w:pPr>
            <w:r>
              <w:rPr>
                <w:rFonts w:ascii="Arial" w:hAnsi="Arial"/>
              </w:rPr>
              <w:t>Emissions from fuels combusted in the fuel extraction and energy transformation industries</w:t>
            </w:r>
          </w:p>
        </w:tc>
        <w:tc>
          <w:tcPr>
            <w:tcW w:w="1559" w:type="dxa"/>
            <w:gridSpan w:val="2"/>
            <w:tcBorders>
              <w:top w:val="single" w:sz="12" w:space="0" w:color="auto"/>
              <w:bottom w:val="nil"/>
            </w:tcBorders>
            <w:shd w:val="pct20" w:color="auto" w:fill="auto"/>
          </w:tcPr>
          <w:p w14:paraId="68D6C4AC" w14:textId="77777777" w:rsidR="00C46552" w:rsidRDefault="00C46552">
            <w:pPr>
              <w:rPr>
                <w:rFonts w:ascii="Arial" w:hAnsi="Arial"/>
                <w:sz w:val="20"/>
              </w:rPr>
            </w:pPr>
          </w:p>
        </w:tc>
      </w:tr>
      <w:tr w:rsidR="00C46552" w14:paraId="7600FD95" w14:textId="77777777">
        <w:trPr>
          <w:gridAfter w:val="1"/>
          <w:wAfter w:w="9" w:type="dxa"/>
          <w:jc w:val="center"/>
        </w:trPr>
        <w:tc>
          <w:tcPr>
            <w:tcW w:w="709" w:type="dxa"/>
            <w:tcBorders>
              <w:top w:val="single" w:sz="12" w:space="0" w:color="auto"/>
              <w:bottom w:val="single" w:sz="12" w:space="0" w:color="auto"/>
            </w:tcBorders>
            <w:shd w:val="pct12" w:color="auto" w:fill="auto"/>
          </w:tcPr>
          <w:p w14:paraId="5517820E" w14:textId="77777777" w:rsidR="00C46552" w:rsidRDefault="00C46552">
            <w:pPr>
              <w:jc w:val="right"/>
              <w:rPr>
                <w:rFonts w:ascii="Arial" w:hAnsi="Arial"/>
                <w:b/>
                <w:sz w:val="20"/>
              </w:rPr>
            </w:pPr>
            <w:r>
              <w:rPr>
                <w:rFonts w:ascii="Arial" w:hAnsi="Arial"/>
                <w:b/>
                <w:sz w:val="20"/>
              </w:rPr>
              <w:t>1</w:t>
            </w:r>
          </w:p>
        </w:tc>
        <w:tc>
          <w:tcPr>
            <w:tcW w:w="392" w:type="dxa"/>
            <w:tcBorders>
              <w:top w:val="single" w:sz="12" w:space="0" w:color="auto"/>
              <w:bottom w:val="single" w:sz="12" w:space="0" w:color="auto"/>
            </w:tcBorders>
            <w:shd w:val="pct12" w:color="auto" w:fill="auto"/>
          </w:tcPr>
          <w:p w14:paraId="01E547C1" w14:textId="77777777" w:rsidR="00C46552" w:rsidRDefault="00C46552">
            <w:pPr>
              <w:rPr>
                <w:rFonts w:ascii="Arial" w:hAnsi="Arial"/>
                <w:b/>
                <w:sz w:val="20"/>
              </w:rPr>
            </w:pPr>
            <w:r>
              <w:rPr>
                <w:rFonts w:ascii="Arial" w:hAnsi="Arial"/>
                <w:b/>
                <w:sz w:val="20"/>
              </w:rPr>
              <w:t>A</w:t>
            </w:r>
          </w:p>
        </w:tc>
        <w:tc>
          <w:tcPr>
            <w:tcW w:w="2017" w:type="dxa"/>
            <w:tcBorders>
              <w:top w:val="single" w:sz="12" w:space="0" w:color="auto"/>
              <w:bottom w:val="single" w:sz="12" w:space="0" w:color="auto"/>
            </w:tcBorders>
            <w:shd w:val="pct12" w:color="auto" w:fill="auto"/>
          </w:tcPr>
          <w:p w14:paraId="53FE6378" w14:textId="77777777" w:rsidR="00C46552" w:rsidRDefault="00C46552">
            <w:pPr>
              <w:jc w:val="left"/>
              <w:rPr>
                <w:rFonts w:ascii="Arial" w:hAnsi="Arial"/>
                <w:b/>
                <w:sz w:val="20"/>
              </w:rPr>
            </w:pPr>
            <w:r>
              <w:rPr>
                <w:rFonts w:ascii="Arial" w:hAnsi="Arial"/>
                <w:b/>
                <w:sz w:val="20"/>
              </w:rPr>
              <w:t>Public electricity and heat production</w:t>
            </w:r>
          </w:p>
        </w:tc>
        <w:tc>
          <w:tcPr>
            <w:tcW w:w="4003" w:type="dxa"/>
            <w:gridSpan w:val="2"/>
            <w:tcBorders>
              <w:top w:val="single" w:sz="12" w:space="0" w:color="auto"/>
              <w:bottom w:val="single" w:sz="12" w:space="0" w:color="auto"/>
            </w:tcBorders>
            <w:shd w:val="pct12" w:color="auto" w:fill="auto"/>
          </w:tcPr>
          <w:p w14:paraId="613AE0D0" w14:textId="1E2CCAC5" w:rsidR="00C46552" w:rsidRDefault="00C46552" w:rsidP="00B03EEB">
            <w:pPr>
              <w:rPr>
                <w:rFonts w:ascii="Arial" w:hAnsi="Arial"/>
                <w:sz w:val="20"/>
              </w:rPr>
            </w:pPr>
            <w:r>
              <w:rPr>
                <w:rFonts w:ascii="Arial" w:hAnsi="Arial"/>
                <w:sz w:val="20"/>
              </w:rPr>
              <w:t xml:space="preserve">Includes public electricity generation, public combined heat and power generation and public heat plants. It does </w:t>
            </w:r>
            <w:r>
              <w:rPr>
                <w:rFonts w:ascii="Arial" w:hAnsi="Arial"/>
                <w:i/>
                <w:sz w:val="20"/>
              </w:rPr>
              <w:t>not</w:t>
            </w:r>
            <w:r>
              <w:rPr>
                <w:rFonts w:ascii="Arial" w:hAnsi="Arial"/>
                <w:sz w:val="20"/>
              </w:rPr>
              <w:t xml:space="preserve"> include fuel combustion for the generation of electricity and heat (that is, autoproduction) within manufacturing industries which is included under sector 2 below. </w:t>
            </w:r>
            <w:r>
              <w:rPr>
                <w:rFonts w:ascii="Arial" w:hAnsi="Arial"/>
                <w:i/>
                <w:sz w:val="20"/>
              </w:rPr>
              <w:t>Emission</w:t>
            </w:r>
            <w:r w:rsidR="00B03EEB">
              <w:rPr>
                <w:rFonts w:ascii="Arial" w:hAnsi="Arial"/>
                <w:i/>
                <w:sz w:val="20"/>
              </w:rPr>
              <w:t xml:space="preserve">s from own on-site use of fuel </w:t>
            </w:r>
            <w:r>
              <w:rPr>
                <w:rFonts w:ascii="Arial" w:hAnsi="Arial"/>
                <w:i/>
                <w:sz w:val="20"/>
              </w:rPr>
              <w:t>should, however, be included.</w:t>
            </w:r>
          </w:p>
        </w:tc>
        <w:tc>
          <w:tcPr>
            <w:tcW w:w="1559" w:type="dxa"/>
            <w:gridSpan w:val="2"/>
            <w:tcBorders>
              <w:top w:val="single" w:sz="12" w:space="0" w:color="auto"/>
              <w:bottom w:val="single" w:sz="12" w:space="0" w:color="auto"/>
            </w:tcBorders>
            <w:shd w:val="pct12" w:color="auto" w:fill="auto"/>
          </w:tcPr>
          <w:p w14:paraId="2ACF83D3" w14:textId="77777777" w:rsidR="00C46552" w:rsidRDefault="00C46552"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xml:space="preserve">, </w:t>
            </w:r>
            <w:r w:rsidR="00CA2DF8">
              <w:rPr>
                <w:rFonts w:ascii="Arial" w:hAnsi="Arial"/>
                <w:sz w:val="20"/>
              </w:rPr>
              <w:t>CO,</w:t>
            </w:r>
            <w:r w:rsidR="00500ED8">
              <w:rPr>
                <w:rFonts w:ascii="Arial" w:hAnsi="Arial"/>
                <w:sz w:val="20"/>
              </w:rPr>
              <w:t xml:space="preserve"> CO</w:t>
            </w:r>
            <w:r w:rsidR="00500ED8" w:rsidRPr="004B5A0D">
              <w:rPr>
                <w:rFonts w:ascii="Arial" w:hAnsi="Arial"/>
                <w:sz w:val="20"/>
                <w:vertAlign w:val="subscript"/>
              </w:rPr>
              <w:t>2</w:t>
            </w:r>
            <w:r w:rsidR="00500ED8">
              <w:rPr>
                <w:rFonts w:ascii="Arial" w:hAnsi="Arial"/>
                <w:sz w:val="20"/>
              </w:rPr>
              <w:t>,</w:t>
            </w:r>
            <w:r w:rsidR="00CA2DF8">
              <w:rPr>
                <w:rFonts w:ascii="Arial" w:hAnsi="Arial"/>
                <w:sz w:val="20"/>
              </w:rPr>
              <w:t xml:space="preserve"> NMVOC, </w:t>
            </w:r>
            <w:r w:rsidR="00500ED8">
              <w:rPr>
                <w:rFonts w:ascii="Arial" w:hAnsi="Arial"/>
                <w:sz w:val="20"/>
              </w:rPr>
              <w:t>CH</w:t>
            </w:r>
            <w:r w:rsidR="00500ED8" w:rsidRPr="004B5A0D">
              <w:rPr>
                <w:rFonts w:ascii="Arial" w:hAnsi="Arial"/>
                <w:sz w:val="20"/>
                <w:vertAlign w:val="subscript"/>
              </w:rPr>
              <w:t>4</w:t>
            </w:r>
            <w:r w:rsidR="00500ED8">
              <w:rPr>
                <w:rFonts w:ascii="Arial" w:hAnsi="Arial"/>
                <w:sz w:val="20"/>
              </w:rPr>
              <w:t xml:space="preserve">, </w:t>
            </w:r>
            <w:r>
              <w:rPr>
                <w:rFonts w:ascii="Arial" w:hAnsi="Arial"/>
                <w:sz w:val="20"/>
              </w:rPr>
              <w:t>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xml:space="preserve">, </w:t>
            </w:r>
            <w:r w:rsidR="00065B5E">
              <w:rPr>
                <w:rFonts w:ascii="Arial" w:hAnsi="Arial"/>
                <w:sz w:val="20"/>
              </w:rPr>
              <w:t>PM</w:t>
            </w:r>
            <w:r w:rsidR="00065B5E" w:rsidRPr="00065B5E">
              <w:rPr>
                <w:rFonts w:ascii="Arial" w:hAnsi="Arial"/>
                <w:sz w:val="20"/>
                <w:vertAlign w:val="subscript"/>
              </w:rPr>
              <w:t>2.5</w:t>
            </w:r>
            <w:r w:rsidR="00500ED8">
              <w:rPr>
                <w:rFonts w:ascii="Arial" w:hAnsi="Arial"/>
                <w:sz w:val="20"/>
                <w:vertAlign w:val="subscript"/>
              </w:rPr>
              <w:t xml:space="preserve"> </w:t>
            </w:r>
            <w:r w:rsidR="00500ED8" w:rsidRPr="004B5A0D">
              <w:rPr>
                <w:rFonts w:ascii="Arial" w:hAnsi="Arial"/>
                <w:sz w:val="20"/>
              </w:rPr>
              <w:t>BC</w:t>
            </w:r>
            <w:r w:rsidR="003E7B99">
              <w:rPr>
                <w:rFonts w:ascii="Arial" w:hAnsi="Arial"/>
                <w:sz w:val="20"/>
              </w:rPr>
              <w:t>,</w:t>
            </w:r>
            <w:r w:rsidR="00500ED8" w:rsidRPr="004B5A0D">
              <w:rPr>
                <w:rFonts w:ascii="Arial" w:hAnsi="Arial"/>
                <w:sz w:val="20"/>
              </w:rPr>
              <w:t xml:space="preserve"> OC</w:t>
            </w:r>
          </w:p>
        </w:tc>
      </w:tr>
      <w:tr w:rsidR="00C46552" w14:paraId="213B5E02" w14:textId="77777777">
        <w:trPr>
          <w:gridAfter w:val="1"/>
          <w:wAfter w:w="9" w:type="dxa"/>
          <w:jc w:val="center"/>
        </w:trPr>
        <w:tc>
          <w:tcPr>
            <w:tcW w:w="709" w:type="dxa"/>
            <w:tcBorders>
              <w:top w:val="nil"/>
              <w:bottom w:val="nil"/>
            </w:tcBorders>
            <w:shd w:val="pct12" w:color="auto" w:fill="auto"/>
          </w:tcPr>
          <w:p w14:paraId="1F0D255B" w14:textId="77777777" w:rsidR="00C46552" w:rsidRDefault="00C46552">
            <w:pPr>
              <w:jc w:val="right"/>
              <w:rPr>
                <w:rFonts w:ascii="Arial" w:hAnsi="Arial"/>
                <w:b/>
                <w:sz w:val="20"/>
              </w:rPr>
            </w:pPr>
            <w:r>
              <w:rPr>
                <w:rFonts w:ascii="Arial" w:hAnsi="Arial"/>
                <w:b/>
                <w:sz w:val="20"/>
              </w:rPr>
              <w:t>1</w:t>
            </w:r>
          </w:p>
        </w:tc>
        <w:tc>
          <w:tcPr>
            <w:tcW w:w="392" w:type="dxa"/>
            <w:tcBorders>
              <w:top w:val="nil"/>
              <w:bottom w:val="nil"/>
            </w:tcBorders>
            <w:shd w:val="pct12" w:color="auto" w:fill="auto"/>
          </w:tcPr>
          <w:p w14:paraId="565EE102" w14:textId="77777777" w:rsidR="00C46552" w:rsidRDefault="00C46552">
            <w:pPr>
              <w:rPr>
                <w:rFonts w:ascii="Arial" w:hAnsi="Arial"/>
                <w:b/>
                <w:sz w:val="20"/>
              </w:rPr>
            </w:pPr>
            <w:r>
              <w:rPr>
                <w:rFonts w:ascii="Arial" w:hAnsi="Arial"/>
                <w:b/>
                <w:sz w:val="20"/>
              </w:rPr>
              <w:t>B</w:t>
            </w:r>
          </w:p>
        </w:tc>
        <w:tc>
          <w:tcPr>
            <w:tcW w:w="2017" w:type="dxa"/>
            <w:tcBorders>
              <w:top w:val="nil"/>
              <w:bottom w:val="nil"/>
            </w:tcBorders>
            <w:shd w:val="pct12" w:color="auto" w:fill="auto"/>
          </w:tcPr>
          <w:p w14:paraId="10EAF879" w14:textId="77777777" w:rsidR="00C46552" w:rsidRDefault="00C46552">
            <w:pPr>
              <w:jc w:val="left"/>
              <w:rPr>
                <w:rFonts w:ascii="Arial" w:hAnsi="Arial"/>
                <w:b/>
                <w:sz w:val="20"/>
              </w:rPr>
            </w:pPr>
            <w:r>
              <w:rPr>
                <w:rFonts w:ascii="Arial" w:hAnsi="Arial"/>
                <w:b/>
                <w:sz w:val="20"/>
              </w:rPr>
              <w:t>Petroleum refining</w:t>
            </w:r>
          </w:p>
        </w:tc>
        <w:tc>
          <w:tcPr>
            <w:tcW w:w="4003" w:type="dxa"/>
            <w:gridSpan w:val="2"/>
            <w:tcBorders>
              <w:top w:val="nil"/>
              <w:bottom w:val="nil"/>
            </w:tcBorders>
            <w:shd w:val="pct12" w:color="auto" w:fill="auto"/>
          </w:tcPr>
          <w:p w14:paraId="214AFF45" w14:textId="77777777" w:rsidR="00C46552" w:rsidRDefault="00C46552">
            <w:pPr>
              <w:pStyle w:val="CommentText"/>
              <w:rPr>
                <w:rFonts w:ascii="Arial" w:hAnsi="Arial"/>
              </w:rPr>
            </w:pPr>
            <w:r>
              <w:rPr>
                <w:rFonts w:ascii="Arial" w:hAnsi="Arial"/>
              </w:rPr>
              <w:t>Combustion activities supporting the refining of petroleum products. Does not include evaporative emissions, which are dealt with in Sector 5B.</w:t>
            </w:r>
          </w:p>
        </w:tc>
        <w:tc>
          <w:tcPr>
            <w:tcW w:w="1559" w:type="dxa"/>
            <w:gridSpan w:val="2"/>
            <w:tcBorders>
              <w:top w:val="nil"/>
              <w:bottom w:val="nil"/>
            </w:tcBorders>
            <w:shd w:val="pct12" w:color="auto" w:fill="auto"/>
          </w:tcPr>
          <w:p w14:paraId="552FAE37" w14:textId="77777777" w:rsidR="00C46552" w:rsidRDefault="00500ED8"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C46552" w14:paraId="2B071D36" w14:textId="77777777">
        <w:trPr>
          <w:gridAfter w:val="1"/>
          <w:wAfter w:w="9" w:type="dxa"/>
          <w:jc w:val="center"/>
        </w:trPr>
        <w:tc>
          <w:tcPr>
            <w:tcW w:w="709" w:type="dxa"/>
            <w:tcBorders>
              <w:top w:val="single" w:sz="12" w:space="0" w:color="auto"/>
              <w:bottom w:val="nil"/>
            </w:tcBorders>
            <w:shd w:val="pct12" w:color="auto" w:fill="auto"/>
          </w:tcPr>
          <w:p w14:paraId="7D922706" w14:textId="77777777" w:rsidR="00C46552" w:rsidRDefault="00C46552">
            <w:pPr>
              <w:jc w:val="right"/>
              <w:rPr>
                <w:rFonts w:ascii="Arial" w:hAnsi="Arial"/>
                <w:b/>
                <w:sz w:val="20"/>
              </w:rPr>
            </w:pPr>
            <w:r>
              <w:rPr>
                <w:rFonts w:ascii="Arial" w:hAnsi="Arial"/>
                <w:b/>
                <w:sz w:val="20"/>
              </w:rPr>
              <w:t>1</w:t>
            </w:r>
          </w:p>
        </w:tc>
        <w:tc>
          <w:tcPr>
            <w:tcW w:w="392" w:type="dxa"/>
            <w:tcBorders>
              <w:top w:val="single" w:sz="12" w:space="0" w:color="auto"/>
              <w:bottom w:val="nil"/>
            </w:tcBorders>
            <w:shd w:val="pct12" w:color="auto" w:fill="auto"/>
          </w:tcPr>
          <w:p w14:paraId="6AF00923" w14:textId="77777777" w:rsidR="00C46552" w:rsidRDefault="00C46552">
            <w:pPr>
              <w:rPr>
                <w:rFonts w:ascii="Arial" w:hAnsi="Arial"/>
                <w:b/>
                <w:sz w:val="20"/>
              </w:rPr>
            </w:pPr>
            <w:r>
              <w:rPr>
                <w:rFonts w:ascii="Arial" w:hAnsi="Arial"/>
                <w:b/>
                <w:sz w:val="20"/>
              </w:rPr>
              <w:t>C</w:t>
            </w:r>
          </w:p>
        </w:tc>
        <w:tc>
          <w:tcPr>
            <w:tcW w:w="2017" w:type="dxa"/>
            <w:tcBorders>
              <w:top w:val="single" w:sz="12" w:space="0" w:color="auto"/>
              <w:bottom w:val="nil"/>
            </w:tcBorders>
            <w:shd w:val="pct12" w:color="auto" w:fill="auto"/>
          </w:tcPr>
          <w:p w14:paraId="159B7C94" w14:textId="77777777" w:rsidR="00C46552" w:rsidRDefault="00C46552">
            <w:pPr>
              <w:jc w:val="left"/>
              <w:rPr>
                <w:rFonts w:ascii="Arial" w:hAnsi="Arial"/>
                <w:b/>
                <w:sz w:val="20"/>
              </w:rPr>
            </w:pPr>
            <w:r>
              <w:rPr>
                <w:rFonts w:ascii="Arial" w:hAnsi="Arial"/>
                <w:b/>
                <w:sz w:val="20"/>
              </w:rPr>
              <w:t>Manufacture of solid fuels and other energy industries</w:t>
            </w:r>
          </w:p>
        </w:tc>
        <w:tc>
          <w:tcPr>
            <w:tcW w:w="4003" w:type="dxa"/>
            <w:gridSpan w:val="2"/>
            <w:tcBorders>
              <w:top w:val="single" w:sz="12" w:space="0" w:color="auto"/>
              <w:bottom w:val="nil"/>
            </w:tcBorders>
            <w:shd w:val="pct12" w:color="auto" w:fill="auto"/>
          </w:tcPr>
          <w:p w14:paraId="0906ECCC" w14:textId="77777777" w:rsidR="00C46552" w:rsidRDefault="00C46552">
            <w:pPr>
              <w:pStyle w:val="CommentText"/>
              <w:rPr>
                <w:rFonts w:ascii="Arial" w:hAnsi="Arial"/>
              </w:rPr>
            </w:pPr>
            <w:r>
              <w:rPr>
                <w:rFonts w:ascii="Arial" w:hAnsi="Arial"/>
              </w:rPr>
              <w:t xml:space="preserve">Combustion activities supporting the manufacture of coke, brown coal briquettes (BKB), patent fuel, charcoal, gas works gas (GWG), and other energy industries (that is, energy industries' own (on-site) energy use not already included above—mainly own use in coal mining and oil and gas extraction).  Excluded are emissions from flaring, which are dealt with under 5B.  </w:t>
            </w:r>
          </w:p>
        </w:tc>
        <w:tc>
          <w:tcPr>
            <w:tcW w:w="1559" w:type="dxa"/>
            <w:gridSpan w:val="2"/>
            <w:tcBorders>
              <w:top w:val="single" w:sz="12" w:space="0" w:color="auto"/>
              <w:bottom w:val="nil"/>
            </w:tcBorders>
            <w:shd w:val="pct12" w:color="auto" w:fill="auto"/>
          </w:tcPr>
          <w:p w14:paraId="69B6F5F8" w14:textId="77777777" w:rsidR="00C46552"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w:t>
            </w:r>
            <w:r w:rsidR="003E7B99">
              <w:rPr>
                <w:rFonts w:ascii="Arial" w:hAnsi="Arial"/>
                <w:sz w:val="20"/>
              </w:rPr>
              <w:t xml:space="preserve">, </w:t>
            </w:r>
            <w:r w:rsidRPr="0069572D">
              <w:rPr>
                <w:rFonts w:ascii="Arial" w:hAnsi="Arial"/>
                <w:sz w:val="20"/>
              </w:rPr>
              <w:t>OC</w:t>
            </w:r>
          </w:p>
        </w:tc>
      </w:tr>
      <w:tr w:rsidR="00C46552" w14:paraId="0559B7F5" w14:textId="77777777">
        <w:trPr>
          <w:gridAfter w:val="1"/>
          <w:wAfter w:w="9" w:type="dxa"/>
          <w:cantSplit/>
          <w:jc w:val="center"/>
        </w:trPr>
        <w:tc>
          <w:tcPr>
            <w:tcW w:w="709" w:type="dxa"/>
            <w:tcBorders>
              <w:top w:val="single" w:sz="12" w:space="0" w:color="auto"/>
              <w:bottom w:val="single" w:sz="12" w:space="0" w:color="auto"/>
            </w:tcBorders>
            <w:shd w:val="pct20" w:color="auto" w:fill="auto"/>
          </w:tcPr>
          <w:p w14:paraId="4AF86C98" w14:textId="77777777" w:rsidR="00C46552" w:rsidRDefault="00C46552">
            <w:pPr>
              <w:jc w:val="right"/>
              <w:rPr>
                <w:rFonts w:ascii="Arial" w:hAnsi="Arial"/>
                <w:b/>
                <w:sz w:val="20"/>
              </w:rPr>
            </w:pPr>
            <w:r>
              <w:rPr>
                <w:rFonts w:ascii="Arial" w:hAnsi="Arial"/>
                <w:b/>
                <w:sz w:val="20"/>
              </w:rPr>
              <w:t>2</w:t>
            </w:r>
          </w:p>
        </w:tc>
        <w:tc>
          <w:tcPr>
            <w:tcW w:w="2409" w:type="dxa"/>
            <w:gridSpan w:val="2"/>
            <w:tcBorders>
              <w:top w:val="single" w:sz="12" w:space="0" w:color="auto"/>
              <w:bottom w:val="single" w:sz="12" w:space="0" w:color="auto"/>
            </w:tcBorders>
            <w:shd w:val="pct20" w:color="auto" w:fill="auto"/>
          </w:tcPr>
          <w:p w14:paraId="376AE41A" w14:textId="77777777" w:rsidR="00C46552" w:rsidRDefault="00C46552">
            <w:pPr>
              <w:jc w:val="left"/>
              <w:rPr>
                <w:rFonts w:ascii="Arial" w:hAnsi="Arial"/>
                <w:b/>
                <w:smallCaps/>
              </w:rPr>
            </w:pPr>
            <w:r>
              <w:rPr>
                <w:rFonts w:ascii="Arial" w:hAnsi="Arial"/>
                <w:b/>
                <w:smallCaps/>
              </w:rPr>
              <w:t>Combustion in manufacturing industries and construction</w:t>
            </w:r>
          </w:p>
        </w:tc>
        <w:tc>
          <w:tcPr>
            <w:tcW w:w="4003" w:type="dxa"/>
            <w:gridSpan w:val="2"/>
            <w:tcBorders>
              <w:top w:val="single" w:sz="12" w:space="0" w:color="auto"/>
              <w:bottom w:val="single" w:sz="12" w:space="0" w:color="auto"/>
            </w:tcBorders>
            <w:shd w:val="pct20" w:color="auto" w:fill="auto"/>
          </w:tcPr>
          <w:p w14:paraId="1ABD8DF8" w14:textId="77777777" w:rsidR="00C46552" w:rsidRDefault="00C46552">
            <w:pPr>
              <w:pStyle w:val="CommentText"/>
              <w:rPr>
                <w:rFonts w:ascii="Arial" w:hAnsi="Arial"/>
              </w:rPr>
            </w:pPr>
            <w:r>
              <w:rPr>
                <w:rFonts w:ascii="Arial" w:hAnsi="Arial"/>
              </w:rPr>
              <w:t xml:space="preserve">Emissions from the combustion of fuels in industry. This also includes combustion for the generation of electricity and heat (that is, auto-production) for use within the industry. Emissions for off-road mobile activities in this sub-sector are included. However, emissions for on-road transport by industry should be included under 3B (Road transport). </w:t>
            </w:r>
          </w:p>
        </w:tc>
        <w:tc>
          <w:tcPr>
            <w:tcW w:w="1559" w:type="dxa"/>
            <w:gridSpan w:val="2"/>
            <w:tcBorders>
              <w:top w:val="single" w:sz="12" w:space="0" w:color="auto"/>
              <w:bottom w:val="single" w:sz="12" w:space="0" w:color="auto"/>
            </w:tcBorders>
            <w:shd w:val="pct20" w:color="auto" w:fill="auto"/>
          </w:tcPr>
          <w:p w14:paraId="74FC125F" w14:textId="77777777" w:rsidR="00C46552"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C46552" w14:paraId="0DF3C781" w14:textId="77777777">
        <w:trPr>
          <w:gridAfter w:val="1"/>
          <w:wAfter w:w="9" w:type="dxa"/>
          <w:jc w:val="center"/>
        </w:trPr>
        <w:tc>
          <w:tcPr>
            <w:tcW w:w="709" w:type="dxa"/>
            <w:tcBorders>
              <w:top w:val="nil"/>
            </w:tcBorders>
            <w:shd w:val="pct12" w:color="auto" w:fill="auto"/>
          </w:tcPr>
          <w:p w14:paraId="5DF2E5C7" w14:textId="77777777" w:rsidR="00C46552" w:rsidRDefault="00C46552">
            <w:pPr>
              <w:jc w:val="right"/>
              <w:rPr>
                <w:rFonts w:ascii="Arial" w:hAnsi="Arial"/>
                <w:b/>
                <w:sz w:val="20"/>
              </w:rPr>
            </w:pPr>
            <w:r>
              <w:rPr>
                <w:rFonts w:ascii="Arial" w:hAnsi="Arial"/>
                <w:b/>
                <w:sz w:val="20"/>
              </w:rPr>
              <w:t>2</w:t>
            </w:r>
          </w:p>
        </w:tc>
        <w:tc>
          <w:tcPr>
            <w:tcW w:w="392" w:type="dxa"/>
            <w:tcBorders>
              <w:top w:val="nil"/>
            </w:tcBorders>
            <w:shd w:val="pct12" w:color="auto" w:fill="auto"/>
          </w:tcPr>
          <w:p w14:paraId="4A65F0D6" w14:textId="77777777" w:rsidR="00C46552" w:rsidRDefault="00C46552">
            <w:pPr>
              <w:rPr>
                <w:rFonts w:ascii="Arial" w:hAnsi="Arial"/>
                <w:b/>
                <w:sz w:val="20"/>
              </w:rPr>
            </w:pPr>
            <w:r>
              <w:rPr>
                <w:rFonts w:ascii="Arial" w:hAnsi="Arial"/>
                <w:b/>
                <w:sz w:val="20"/>
              </w:rPr>
              <w:t>A</w:t>
            </w:r>
          </w:p>
        </w:tc>
        <w:tc>
          <w:tcPr>
            <w:tcW w:w="2017" w:type="dxa"/>
            <w:tcBorders>
              <w:top w:val="nil"/>
            </w:tcBorders>
            <w:shd w:val="pct12" w:color="auto" w:fill="auto"/>
          </w:tcPr>
          <w:p w14:paraId="43D53103" w14:textId="0A70581C" w:rsidR="00C46552" w:rsidRDefault="00C46552" w:rsidP="00B03EEB">
            <w:pPr>
              <w:jc w:val="left"/>
              <w:rPr>
                <w:rFonts w:ascii="Arial" w:hAnsi="Arial"/>
                <w:b/>
                <w:sz w:val="20"/>
              </w:rPr>
            </w:pPr>
            <w:r>
              <w:rPr>
                <w:rFonts w:ascii="Arial" w:hAnsi="Arial"/>
                <w:b/>
                <w:sz w:val="20"/>
              </w:rPr>
              <w:t xml:space="preserve">Iron and Steel </w:t>
            </w:r>
          </w:p>
        </w:tc>
        <w:tc>
          <w:tcPr>
            <w:tcW w:w="4003" w:type="dxa"/>
            <w:gridSpan w:val="2"/>
            <w:tcBorders>
              <w:top w:val="nil"/>
            </w:tcBorders>
            <w:shd w:val="pct12" w:color="auto" w:fill="auto"/>
          </w:tcPr>
          <w:p w14:paraId="64C60FD0" w14:textId="77777777" w:rsidR="00C46552" w:rsidRDefault="00C46552">
            <w:pPr>
              <w:pStyle w:val="CommentText"/>
              <w:rPr>
                <w:rFonts w:ascii="Arial" w:hAnsi="Arial"/>
              </w:rPr>
            </w:pPr>
            <w:r>
              <w:rPr>
                <w:rFonts w:ascii="Arial" w:hAnsi="Arial"/>
              </w:rPr>
              <w:t>Emissions from fuel combustion in coke ovens within the Iron and Steel industry are included under 1C above.</w:t>
            </w:r>
            <w:r w:rsidR="004A42F0">
              <w:rPr>
                <w:rFonts w:ascii="Arial" w:hAnsi="Arial"/>
              </w:rPr>
              <w:t xml:space="preserve"> </w:t>
            </w:r>
            <w:r w:rsidR="004B2A6A" w:rsidRPr="004B2A6A">
              <w:rPr>
                <w:rFonts w:ascii="Arial" w:hAnsi="Arial"/>
                <w:color w:val="000000"/>
              </w:rPr>
              <w:t>Emissions from the consumption of coke as a reducing agent are not included as these are accounted for as process emissions under Metal Production (6C) below.</w:t>
            </w:r>
            <w:r w:rsidR="00860836">
              <w:rPr>
                <w:rFonts w:ascii="Arial" w:hAnsi="Arial"/>
                <w:color w:val="000000"/>
              </w:rPr>
              <w:t xml:space="preserve"> However, emissions from combustion of blast furnace gas are included here. </w:t>
            </w:r>
          </w:p>
        </w:tc>
        <w:tc>
          <w:tcPr>
            <w:tcW w:w="1559" w:type="dxa"/>
            <w:gridSpan w:val="2"/>
            <w:tcBorders>
              <w:top w:val="nil"/>
            </w:tcBorders>
            <w:shd w:val="pct12" w:color="auto" w:fill="auto"/>
          </w:tcPr>
          <w:p w14:paraId="1D598298" w14:textId="77777777" w:rsidR="00C46552"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bookmarkEnd w:id="69"/>
    </w:tbl>
    <w:p w14:paraId="5C3961E0" w14:textId="77777777" w:rsidR="00C46552" w:rsidRDefault="00C46552"/>
    <w:bookmarkEnd w:id="68"/>
    <w:p w14:paraId="206CA931" w14:textId="77777777" w:rsidR="00C46552" w:rsidRDefault="00C46552"/>
    <w:p w14:paraId="03A375FA" w14:textId="77777777" w:rsidR="00C46552" w:rsidRDefault="00C46552">
      <w:r>
        <w:br w:type="column"/>
      </w:r>
    </w:p>
    <w:p w14:paraId="30F19BA3" w14:textId="77777777" w:rsidR="00C46552" w:rsidRDefault="002271CD">
      <w:pPr>
        <w:jc w:val="center"/>
      </w:pPr>
      <w:r>
        <w:rPr>
          <w:b/>
          <w:i/>
        </w:rPr>
        <w:t xml:space="preserve">Table </w:t>
      </w:r>
      <w:r w:rsidR="00260E07">
        <w:rPr>
          <w:b/>
          <w:i/>
        </w:rPr>
        <w:t>2</w:t>
      </w:r>
      <w:r w:rsidR="00C46552">
        <w:rPr>
          <w:b/>
          <w:i/>
        </w:rPr>
        <w:t>-</w:t>
      </w:r>
      <w:r w:rsidR="003851C6">
        <w:rPr>
          <w:b/>
          <w:i/>
        </w:rPr>
        <w:t>3</w:t>
      </w:r>
      <w:r w:rsidR="00C46552">
        <w:rPr>
          <w:b/>
          <w:i/>
        </w:rPr>
        <w:t xml:space="preserve"> (Continued)</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9"/>
        <w:gridCol w:w="392"/>
        <w:gridCol w:w="458"/>
        <w:gridCol w:w="1879"/>
        <w:gridCol w:w="4012"/>
        <w:gridCol w:w="2167"/>
      </w:tblGrid>
      <w:tr w:rsidR="00C46552" w14:paraId="7F1FD1E9" w14:textId="77777777">
        <w:tc>
          <w:tcPr>
            <w:tcW w:w="709" w:type="dxa"/>
            <w:tcBorders>
              <w:top w:val="single" w:sz="12" w:space="0" w:color="auto"/>
              <w:bottom w:val="nil"/>
            </w:tcBorders>
            <w:shd w:val="clear" w:color="auto" w:fill="FFFFFF"/>
          </w:tcPr>
          <w:p w14:paraId="3FEC8F50" w14:textId="77777777" w:rsidR="00C46552" w:rsidRDefault="00C46552">
            <w:pPr>
              <w:jc w:val="right"/>
              <w:rPr>
                <w:rFonts w:ascii="Arial" w:hAnsi="Arial"/>
                <w:b/>
                <w:sz w:val="20"/>
              </w:rPr>
            </w:pPr>
            <w:bookmarkStart w:id="70" w:name="OLE_LINK3"/>
          </w:p>
        </w:tc>
        <w:tc>
          <w:tcPr>
            <w:tcW w:w="392" w:type="dxa"/>
            <w:tcBorders>
              <w:top w:val="single" w:sz="12" w:space="0" w:color="auto"/>
              <w:bottom w:val="nil"/>
            </w:tcBorders>
            <w:shd w:val="clear" w:color="auto" w:fill="FFFFFF"/>
          </w:tcPr>
          <w:p w14:paraId="7142B465" w14:textId="77777777" w:rsidR="00C46552" w:rsidRDefault="00C46552">
            <w:pPr>
              <w:rPr>
                <w:rFonts w:ascii="Arial" w:hAnsi="Arial"/>
                <w:b/>
                <w:sz w:val="20"/>
              </w:rPr>
            </w:pPr>
          </w:p>
        </w:tc>
        <w:tc>
          <w:tcPr>
            <w:tcW w:w="2337" w:type="dxa"/>
            <w:gridSpan w:val="2"/>
            <w:tcBorders>
              <w:top w:val="single" w:sz="12" w:space="0" w:color="auto"/>
              <w:bottom w:val="nil"/>
            </w:tcBorders>
            <w:shd w:val="clear" w:color="auto" w:fill="FFFFFF"/>
          </w:tcPr>
          <w:p w14:paraId="270F79B5" w14:textId="77777777" w:rsidR="00C46552" w:rsidRDefault="00C46552">
            <w:pPr>
              <w:rPr>
                <w:rFonts w:ascii="Arial" w:hAnsi="Arial"/>
                <w:b/>
                <w:sz w:val="20"/>
              </w:rPr>
            </w:pPr>
            <w:r>
              <w:rPr>
                <w:rFonts w:ascii="Arial" w:hAnsi="Arial"/>
                <w:b/>
                <w:sz w:val="20"/>
              </w:rPr>
              <w:t>Sector</w:t>
            </w:r>
          </w:p>
        </w:tc>
        <w:tc>
          <w:tcPr>
            <w:tcW w:w="4012" w:type="dxa"/>
            <w:tcBorders>
              <w:top w:val="single" w:sz="12" w:space="0" w:color="auto"/>
              <w:bottom w:val="nil"/>
            </w:tcBorders>
            <w:shd w:val="clear" w:color="auto" w:fill="FFFFFF"/>
          </w:tcPr>
          <w:p w14:paraId="17BCE7B4" w14:textId="77777777" w:rsidR="00C46552" w:rsidRDefault="00C46552">
            <w:pPr>
              <w:rPr>
                <w:rFonts w:ascii="Arial" w:hAnsi="Arial"/>
                <w:sz w:val="20"/>
              </w:rPr>
            </w:pPr>
            <w:r>
              <w:rPr>
                <w:rFonts w:ascii="Arial" w:hAnsi="Arial"/>
                <w:b/>
                <w:sz w:val="20"/>
              </w:rPr>
              <w:t>Comments</w:t>
            </w:r>
          </w:p>
        </w:tc>
        <w:tc>
          <w:tcPr>
            <w:tcW w:w="2167" w:type="dxa"/>
            <w:tcBorders>
              <w:top w:val="single" w:sz="12" w:space="0" w:color="auto"/>
              <w:bottom w:val="nil"/>
              <w:right w:val="single" w:sz="12" w:space="0" w:color="auto"/>
            </w:tcBorders>
            <w:shd w:val="clear" w:color="auto" w:fill="FFFFFF"/>
          </w:tcPr>
          <w:p w14:paraId="45119ACA" w14:textId="77777777" w:rsidR="00C46552" w:rsidRDefault="00C46552">
            <w:pPr>
              <w:rPr>
                <w:rFonts w:ascii="Arial" w:hAnsi="Arial"/>
                <w:b/>
                <w:sz w:val="20"/>
              </w:rPr>
            </w:pPr>
            <w:r>
              <w:rPr>
                <w:rFonts w:ascii="Arial" w:hAnsi="Arial"/>
                <w:b/>
                <w:sz w:val="20"/>
              </w:rPr>
              <w:t xml:space="preserve">Pollutants </w:t>
            </w:r>
          </w:p>
          <w:p w14:paraId="4F6C0C47" w14:textId="77777777" w:rsidR="00C46552" w:rsidRDefault="00C46552">
            <w:pPr>
              <w:rPr>
                <w:rFonts w:ascii="Arial" w:hAnsi="Arial"/>
                <w:sz w:val="20"/>
              </w:rPr>
            </w:pPr>
          </w:p>
        </w:tc>
      </w:tr>
      <w:tr w:rsidR="00C46552" w14:paraId="5FA56CF5" w14:textId="77777777">
        <w:tc>
          <w:tcPr>
            <w:tcW w:w="709" w:type="dxa"/>
            <w:tcBorders>
              <w:top w:val="single" w:sz="12" w:space="0" w:color="auto"/>
              <w:bottom w:val="single" w:sz="12" w:space="0" w:color="auto"/>
            </w:tcBorders>
            <w:shd w:val="pct12" w:color="auto" w:fill="auto"/>
          </w:tcPr>
          <w:p w14:paraId="02C4DAD9" w14:textId="77777777" w:rsidR="00C46552" w:rsidRDefault="00C46552">
            <w:pPr>
              <w:jc w:val="right"/>
              <w:rPr>
                <w:rFonts w:ascii="Arial" w:hAnsi="Arial"/>
                <w:b/>
                <w:sz w:val="20"/>
              </w:rPr>
            </w:pPr>
            <w:r>
              <w:rPr>
                <w:rFonts w:ascii="Arial" w:hAnsi="Arial"/>
                <w:b/>
                <w:sz w:val="20"/>
              </w:rPr>
              <w:t>2</w:t>
            </w:r>
          </w:p>
        </w:tc>
        <w:tc>
          <w:tcPr>
            <w:tcW w:w="392" w:type="dxa"/>
            <w:tcBorders>
              <w:top w:val="single" w:sz="12" w:space="0" w:color="auto"/>
              <w:bottom w:val="single" w:sz="12" w:space="0" w:color="auto"/>
            </w:tcBorders>
            <w:shd w:val="pct12" w:color="auto" w:fill="auto"/>
          </w:tcPr>
          <w:p w14:paraId="550C6C68" w14:textId="77777777" w:rsidR="00C46552" w:rsidRDefault="00C46552">
            <w:pPr>
              <w:rPr>
                <w:rFonts w:ascii="Arial" w:hAnsi="Arial"/>
                <w:b/>
                <w:sz w:val="20"/>
              </w:rPr>
            </w:pPr>
            <w:r>
              <w:rPr>
                <w:rFonts w:ascii="Arial" w:hAnsi="Arial"/>
                <w:b/>
                <w:sz w:val="20"/>
              </w:rPr>
              <w:t>B</w:t>
            </w:r>
          </w:p>
        </w:tc>
        <w:tc>
          <w:tcPr>
            <w:tcW w:w="2337" w:type="dxa"/>
            <w:gridSpan w:val="2"/>
            <w:tcBorders>
              <w:top w:val="single" w:sz="12" w:space="0" w:color="auto"/>
              <w:bottom w:val="single" w:sz="12" w:space="0" w:color="auto"/>
            </w:tcBorders>
            <w:shd w:val="pct12" w:color="auto" w:fill="auto"/>
          </w:tcPr>
          <w:p w14:paraId="58A7A6C0" w14:textId="188C95F9" w:rsidR="00C46552" w:rsidRDefault="00C46552" w:rsidP="00B03EEB">
            <w:pPr>
              <w:jc w:val="left"/>
              <w:rPr>
                <w:rFonts w:ascii="Arial" w:hAnsi="Arial"/>
                <w:b/>
                <w:sz w:val="20"/>
              </w:rPr>
            </w:pPr>
            <w:r>
              <w:rPr>
                <w:rFonts w:ascii="Arial" w:hAnsi="Arial"/>
                <w:b/>
                <w:sz w:val="20"/>
              </w:rPr>
              <w:t xml:space="preserve">Non-ferrous metals </w:t>
            </w:r>
          </w:p>
        </w:tc>
        <w:tc>
          <w:tcPr>
            <w:tcW w:w="4012" w:type="dxa"/>
            <w:tcBorders>
              <w:top w:val="single" w:sz="12" w:space="0" w:color="auto"/>
              <w:bottom w:val="single" w:sz="12" w:space="0" w:color="auto"/>
            </w:tcBorders>
            <w:shd w:val="pct12" w:color="auto" w:fill="auto"/>
          </w:tcPr>
          <w:p w14:paraId="32B503D8" w14:textId="77777777" w:rsidR="00C46552" w:rsidRDefault="00C46552">
            <w:pPr>
              <w:rPr>
                <w:rFonts w:ascii="Arial" w:hAnsi="Arial"/>
                <w:sz w:val="20"/>
              </w:rPr>
            </w:pPr>
            <w:r>
              <w:rPr>
                <w:rFonts w:ascii="Arial" w:hAnsi="Arial"/>
                <w:sz w:val="20"/>
              </w:rPr>
              <w:t xml:space="preserve"> </w:t>
            </w:r>
          </w:p>
        </w:tc>
        <w:tc>
          <w:tcPr>
            <w:tcW w:w="2167" w:type="dxa"/>
            <w:tcBorders>
              <w:top w:val="single" w:sz="12" w:space="0" w:color="auto"/>
              <w:bottom w:val="single" w:sz="12" w:space="0" w:color="auto"/>
            </w:tcBorders>
            <w:shd w:val="pct12" w:color="auto" w:fill="auto"/>
          </w:tcPr>
          <w:p w14:paraId="6561451E" w14:textId="77777777" w:rsidR="00C46552"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2C6C2E" w14:paraId="2096F216" w14:textId="77777777">
        <w:tc>
          <w:tcPr>
            <w:tcW w:w="709" w:type="dxa"/>
            <w:tcBorders>
              <w:top w:val="single" w:sz="12" w:space="0" w:color="auto"/>
              <w:bottom w:val="single" w:sz="12" w:space="0" w:color="auto"/>
            </w:tcBorders>
            <w:shd w:val="pct12" w:color="auto" w:fill="auto"/>
          </w:tcPr>
          <w:p w14:paraId="6851E3C5" w14:textId="77777777" w:rsidR="002C6C2E" w:rsidRDefault="002C6C2E" w:rsidP="00416CFA">
            <w:pPr>
              <w:jc w:val="right"/>
              <w:rPr>
                <w:rFonts w:ascii="Arial" w:hAnsi="Arial"/>
                <w:b/>
                <w:sz w:val="20"/>
              </w:rPr>
            </w:pPr>
            <w:r>
              <w:rPr>
                <w:rFonts w:ascii="Arial" w:hAnsi="Arial"/>
                <w:b/>
                <w:sz w:val="20"/>
              </w:rPr>
              <w:t>2</w:t>
            </w:r>
          </w:p>
        </w:tc>
        <w:tc>
          <w:tcPr>
            <w:tcW w:w="392" w:type="dxa"/>
            <w:tcBorders>
              <w:top w:val="single" w:sz="12" w:space="0" w:color="auto"/>
              <w:bottom w:val="single" w:sz="12" w:space="0" w:color="auto"/>
            </w:tcBorders>
            <w:shd w:val="pct12" w:color="auto" w:fill="auto"/>
          </w:tcPr>
          <w:p w14:paraId="289BE492" w14:textId="77777777" w:rsidR="002C6C2E" w:rsidRDefault="002C6C2E" w:rsidP="00416CFA">
            <w:pPr>
              <w:rPr>
                <w:rFonts w:ascii="Arial" w:hAnsi="Arial"/>
                <w:b/>
                <w:sz w:val="20"/>
              </w:rPr>
            </w:pPr>
            <w:r>
              <w:rPr>
                <w:rFonts w:ascii="Arial" w:hAnsi="Arial"/>
                <w:b/>
                <w:sz w:val="20"/>
              </w:rPr>
              <w:t>C</w:t>
            </w:r>
          </w:p>
        </w:tc>
        <w:tc>
          <w:tcPr>
            <w:tcW w:w="2337" w:type="dxa"/>
            <w:gridSpan w:val="2"/>
            <w:tcBorders>
              <w:top w:val="single" w:sz="12" w:space="0" w:color="auto"/>
              <w:bottom w:val="single" w:sz="12" w:space="0" w:color="auto"/>
            </w:tcBorders>
            <w:shd w:val="pct12" w:color="auto" w:fill="auto"/>
          </w:tcPr>
          <w:p w14:paraId="7F9C6D02" w14:textId="2A39D01C" w:rsidR="002C6C2E" w:rsidRDefault="002C6C2E" w:rsidP="00B03EEB">
            <w:pPr>
              <w:jc w:val="left"/>
              <w:rPr>
                <w:rFonts w:ascii="Arial" w:hAnsi="Arial"/>
                <w:b/>
                <w:sz w:val="20"/>
              </w:rPr>
            </w:pPr>
            <w:r>
              <w:rPr>
                <w:rFonts w:ascii="Arial" w:hAnsi="Arial"/>
                <w:b/>
                <w:sz w:val="20"/>
              </w:rPr>
              <w:t xml:space="preserve">Non-metallic minerals </w:t>
            </w:r>
          </w:p>
        </w:tc>
        <w:tc>
          <w:tcPr>
            <w:tcW w:w="4012" w:type="dxa"/>
            <w:tcBorders>
              <w:top w:val="single" w:sz="12" w:space="0" w:color="auto"/>
              <w:bottom w:val="single" w:sz="12" w:space="0" w:color="auto"/>
            </w:tcBorders>
            <w:shd w:val="pct12" w:color="auto" w:fill="auto"/>
          </w:tcPr>
          <w:p w14:paraId="2F0ED9DE" w14:textId="77777777" w:rsidR="002C6C2E" w:rsidRDefault="002C6C2E" w:rsidP="00416CFA">
            <w:pPr>
              <w:rPr>
                <w:rFonts w:ascii="Arial" w:hAnsi="Arial"/>
                <w:sz w:val="20"/>
              </w:rPr>
            </w:pPr>
            <w:r>
              <w:rPr>
                <w:rFonts w:ascii="Arial" w:hAnsi="Arial"/>
                <w:sz w:val="20"/>
              </w:rPr>
              <w:t xml:space="preserve"> </w:t>
            </w:r>
          </w:p>
        </w:tc>
        <w:tc>
          <w:tcPr>
            <w:tcW w:w="2167" w:type="dxa"/>
            <w:tcBorders>
              <w:top w:val="single" w:sz="12" w:space="0" w:color="auto"/>
              <w:bottom w:val="single" w:sz="12" w:space="0" w:color="auto"/>
              <w:right w:val="single" w:sz="12" w:space="0" w:color="auto"/>
            </w:tcBorders>
            <w:shd w:val="pct12" w:color="auto" w:fill="auto"/>
          </w:tcPr>
          <w:p w14:paraId="67C8E21A" w14:textId="77777777" w:rsidR="002C6C2E"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2C6C2E" w14:paraId="76221CF0" w14:textId="77777777">
        <w:tc>
          <w:tcPr>
            <w:tcW w:w="709" w:type="dxa"/>
            <w:tcBorders>
              <w:top w:val="single" w:sz="12" w:space="0" w:color="auto"/>
              <w:bottom w:val="single" w:sz="12" w:space="0" w:color="auto"/>
            </w:tcBorders>
            <w:shd w:val="pct12" w:color="auto" w:fill="auto"/>
          </w:tcPr>
          <w:p w14:paraId="59D20C62" w14:textId="77777777" w:rsidR="002C6C2E" w:rsidRDefault="002C6C2E">
            <w:pPr>
              <w:jc w:val="right"/>
              <w:rPr>
                <w:rFonts w:ascii="Arial" w:hAnsi="Arial"/>
                <w:b/>
                <w:sz w:val="20"/>
              </w:rPr>
            </w:pPr>
            <w:r>
              <w:rPr>
                <w:rFonts w:ascii="Arial" w:hAnsi="Arial"/>
                <w:b/>
                <w:sz w:val="20"/>
              </w:rPr>
              <w:t>2</w:t>
            </w:r>
          </w:p>
        </w:tc>
        <w:tc>
          <w:tcPr>
            <w:tcW w:w="392" w:type="dxa"/>
            <w:tcBorders>
              <w:top w:val="single" w:sz="12" w:space="0" w:color="auto"/>
              <w:bottom w:val="single" w:sz="12" w:space="0" w:color="auto"/>
            </w:tcBorders>
            <w:shd w:val="pct12" w:color="auto" w:fill="auto"/>
          </w:tcPr>
          <w:p w14:paraId="6A31F5FF" w14:textId="77777777" w:rsidR="002C6C2E" w:rsidRDefault="00860836">
            <w:pPr>
              <w:rPr>
                <w:rFonts w:ascii="Arial" w:hAnsi="Arial"/>
                <w:b/>
                <w:sz w:val="20"/>
              </w:rPr>
            </w:pPr>
            <w:r>
              <w:rPr>
                <w:rFonts w:ascii="Arial" w:hAnsi="Arial"/>
                <w:b/>
                <w:sz w:val="20"/>
              </w:rPr>
              <w:t>D</w:t>
            </w:r>
          </w:p>
        </w:tc>
        <w:tc>
          <w:tcPr>
            <w:tcW w:w="2337" w:type="dxa"/>
            <w:gridSpan w:val="2"/>
            <w:tcBorders>
              <w:top w:val="single" w:sz="12" w:space="0" w:color="auto"/>
              <w:bottom w:val="single" w:sz="12" w:space="0" w:color="auto"/>
            </w:tcBorders>
            <w:shd w:val="pct12" w:color="auto" w:fill="auto"/>
          </w:tcPr>
          <w:p w14:paraId="19B73525" w14:textId="77777777" w:rsidR="002C6C2E" w:rsidRDefault="002C6C2E">
            <w:pPr>
              <w:rPr>
                <w:rFonts w:ascii="Arial" w:hAnsi="Arial"/>
                <w:b/>
                <w:sz w:val="20"/>
              </w:rPr>
            </w:pPr>
            <w:r>
              <w:rPr>
                <w:rFonts w:ascii="Arial" w:hAnsi="Arial"/>
                <w:b/>
                <w:sz w:val="20"/>
              </w:rPr>
              <w:t xml:space="preserve">Chemicals </w:t>
            </w:r>
          </w:p>
          <w:p w14:paraId="247E896F" w14:textId="547D772F" w:rsidR="002C6C2E" w:rsidRDefault="002C6C2E">
            <w:pPr>
              <w:rPr>
                <w:rFonts w:ascii="Arial" w:hAnsi="Arial"/>
                <w:b/>
                <w:sz w:val="20"/>
              </w:rPr>
            </w:pPr>
          </w:p>
        </w:tc>
        <w:tc>
          <w:tcPr>
            <w:tcW w:w="4012" w:type="dxa"/>
            <w:tcBorders>
              <w:top w:val="single" w:sz="12" w:space="0" w:color="auto"/>
              <w:bottom w:val="single" w:sz="12" w:space="0" w:color="auto"/>
            </w:tcBorders>
            <w:shd w:val="pct12" w:color="auto" w:fill="auto"/>
          </w:tcPr>
          <w:p w14:paraId="256B3B9F" w14:textId="77777777" w:rsidR="002C6C2E" w:rsidRDefault="002C6C2E">
            <w:pPr>
              <w:rPr>
                <w:rFonts w:ascii="Arial" w:hAnsi="Arial"/>
                <w:sz w:val="20"/>
              </w:rPr>
            </w:pPr>
          </w:p>
        </w:tc>
        <w:tc>
          <w:tcPr>
            <w:tcW w:w="2167" w:type="dxa"/>
            <w:tcBorders>
              <w:top w:val="single" w:sz="12" w:space="0" w:color="auto"/>
              <w:bottom w:val="single" w:sz="12" w:space="0" w:color="auto"/>
              <w:right w:val="single" w:sz="12" w:space="0" w:color="auto"/>
            </w:tcBorders>
            <w:shd w:val="pct12" w:color="auto" w:fill="auto"/>
          </w:tcPr>
          <w:p w14:paraId="1DDB0381" w14:textId="77777777" w:rsidR="002C6C2E" w:rsidRDefault="004B5A0D" w:rsidP="004B5A0D">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 and OC</w:t>
            </w:r>
          </w:p>
        </w:tc>
      </w:tr>
      <w:tr w:rsidR="002C6C2E" w14:paraId="357B718A" w14:textId="77777777">
        <w:tc>
          <w:tcPr>
            <w:tcW w:w="709" w:type="dxa"/>
            <w:tcBorders>
              <w:top w:val="single" w:sz="12" w:space="0" w:color="auto"/>
              <w:bottom w:val="single" w:sz="12" w:space="0" w:color="auto"/>
            </w:tcBorders>
            <w:shd w:val="pct12" w:color="auto" w:fill="auto"/>
          </w:tcPr>
          <w:p w14:paraId="15BD226B" w14:textId="77777777" w:rsidR="002C6C2E" w:rsidRDefault="002C6C2E">
            <w:pPr>
              <w:jc w:val="right"/>
              <w:rPr>
                <w:rFonts w:ascii="Arial" w:hAnsi="Arial"/>
                <w:b/>
                <w:sz w:val="20"/>
              </w:rPr>
            </w:pPr>
            <w:r>
              <w:rPr>
                <w:rFonts w:ascii="Arial" w:hAnsi="Arial"/>
                <w:b/>
                <w:sz w:val="20"/>
              </w:rPr>
              <w:t>2</w:t>
            </w:r>
          </w:p>
        </w:tc>
        <w:tc>
          <w:tcPr>
            <w:tcW w:w="392" w:type="dxa"/>
            <w:tcBorders>
              <w:top w:val="single" w:sz="12" w:space="0" w:color="auto"/>
              <w:bottom w:val="single" w:sz="12" w:space="0" w:color="auto"/>
            </w:tcBorders>
            <w:shd w:val="pct12" w:color="auto" w:fill="auto"/>
          </w:tcPr>
          <w:p w14:paraId="13DE26D6" w14:textId="77777777" w:rsidR="002C6C2E" w:rsidRDefault="00860836">
            <w:pPr>
              <w:rPr>
                <w:rFonts w:ascii="Arial" w:hAnsi="Arial"/>
                <w:b/>
                <w:sz w:val="20"/>
              </w:rPr>
            </w:pPr>
            <w:r>
              <w:rPr>
                <w:rFonts w:ascii="Arial" w:hAnsi="Arial"/>
                <w:b/>
                <w:sz w:val="20"/>
              </w:rPr>
              <w:t>E</w:t>
            </w:r>
          </w:p>
        </w:tc>
        <w:tc>
          <w:tcPr>
            <w:tcW w:w="2337" w:type="dxa"/>
            <w:gridSpan w:val="2"/>
            <w:tcBorders>
              <w:top w:val="single" w:sz="12" w:space="0" w:color="auto"/>
              <w:bottom w:val="single" w:sz="12" w:space="0" w:color="auto"/>
            </w:tcBorders>
            <w:shd w:val="pct12" w:color="auto" w:fill="auto"/>
          </w:tcPr>
          <w:p w14:paraId="4C84898D" w14:textId="75910E20" w:rsidR="002C6C2E" w:rsidRDefault="002C6C2E">
            <w:pPr>
              <w:jc w:val="left"/>
              <w:rPr>
                <w:rFonts w:ascii="Arial" w:hAnsi="Arial"/>
                <w:b/>
                <w:sz w:val="20"/>
              </w:rPr>
            </w:pPr>
            <w:r>
              <w:rPr>
                <w:rFonts w:ascii="Arial" w:hAnsi="Arial"/>
                <w:b/>
                <w:sz w:val="20"/>
              </w:rPr>
              <w:t xml:space="preserve">Pulp, Paper and print </w:t>
            </w:r>
          </w:p>
        </w:tc>
        <w:tc>
          <w:tcPr>
            <w:tcW w:w="4012" w:type="dxa"/>
            <w:tcBorders>
              <w:top w:val="single" w:sz="12" w:space="0" w:color="auto"/>
              <w:bottom w:val="single" w:sz="12" w:space="0" w:color="auto"/>
            </w:tcBorders>
            <w:shd w:val="pct12" w:color="auto" w:fill="auto"/>
          </w:tcPr>
          <w:p w14:paraId="139DCDB4" w14:textId="77777777" w:rsidR="002C6C2E" w:rsidRDefault="002C6C2E">
            <w:pPr>
              <w:rPr>
                <w:rFonts w:ascii="Arial" w:hAnsi="Arial"/>
                <w:sz w:val="20"/>
              </w:rPr>
            </w:pPr>
          </w:p>
        </w:tc>
        <w:tc>
          <w:tcPr>
            <w:tcW w:w="2167" w:type="dxa"/>
            <w:tcBorders>
              <w:top w:val="single" w:sz="12" w:space="0" w:color="auto"/>
              <w:bottom w:val="single" w:sz="12" w:space="0" w:color="auto"/>
              <w:right w:val="single" w:sz="12" w:space="0" w:color="auto"/>
            </w:tcBorders>
            <w:shd w:val="pct12" w:color="auto" w:fill="auto"/>
          </w:tcPr>
          <w:p w14:paraId="27E91FF3" w14:textId="77777777" w:rsidR="002C6C2E"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2C6C2E" w14:paraId="65EC4D8F" w14:textId="77777777">
        <w:tc>
          <w:tcPr>
            <w:tcW w:w="709" w:type="dxa"/>
            <w:tcBorders>
              <w:top w:val="single" w:sz="12" w:space="0" w:color="auto"/>
              <w:bottom w:val="single" w:sz="12" w:space="0" w:color="auto"/>
            </w:tcBorders>
            <w:shd w:val="pct12" w:color="auto" w:fill="auto"/>
          </w:tcPr>
          <w:p w14:paraId="5BBF80D1" w14:textId="77777777" w:rsidR="002C6C2E" w:rsidRDefault="002C6C2E">
            <w:pPr>
              <w:jc w:val="right"/>
              <w:rPr>
                <w:rFonts w:ascii="Arial" w:hAnsi="Arial"/>
                <w:b/>
                <w:sz w:val="20"/>
              </w:rPr>
            </w:pPr>
            <w:r>
              <w:rPr>
                <w:rFonts w:ascii="Arial" w:hAnsi="Arial"/>
                <w:b/>
                <w:sz w:val="20"/>
              </w:rPr>
              <w:t>2</w:t>
            </w:r>
          </w:p>
        </w:tc>
        <w:tc>
          <w:tcPr>
            <w:tcW w:w="392" w:type="dxa"/>
            <w:tcBorders>
              <w:top w:val="single" w:sz="12" w:space="0" w:color="auto"/>
              <w:bottom w:val="single" w:sz="12" w:space="0" w:color="auto"/>
            </w:tcBorders>
            <w:shd w:val="pct12" w:color="auto" w:fill="auto"/>
          </w:tcPr>
          <w:p w14:paraId="5CBDA8EB" w14:textId="77777777" w:rsidR="002C6C2E" w:rsidRDefault="00860836">
            <w:pPr>
              <w:rPr>
                <w:rFonts w:ascii="Arial" w:hAnsi="Arial"/>
                <w:b/>
                <w:sz w:val="20"/>
              </w:rPr>
            </w:pPr>
            <w:r>
              <w:rPr>
                <w:rFonts w:ascii="Arial" w:hAnsi="Arial"/>
                <w:b/>
                <w:sz w:val="20"/>
              </w:rPr>
              <w:t>F</w:t>
            </w:r>
          </w:p>
        </w:tc>
        <w:tc>
          <w:tcPr>
            <w:tcW w:w="2337" w:type="dxa"/>
            <w:gridSpan w:val="2"/>
            <w:tcBorders>
              <w:top w:val="single" w:sz="12" w:space="0" w:color="auto"/>
              <w:bottom w:val="single" w:sz="12" w:space="0" w:color="auto"/>
            </w:tcBorders>
            <w:shd w:val="pct12" w:color="auto" w:fill="auto"/>
          </w:tcPr>
          <w:p w14:paraId="730614C9" w14:textId="5A0E1DD9" w:rsidR="002C6C2E" w:rsidRDefault="002C6C2E">
            <w:pPr>
              <w:jc w:val="left"/>
              <w:rPr>
                <w:rFonts w:ascii="Arial" w:hAnsi="Arial"/>
                <w:sz w:val="20"/>
              </w:rPr>
            </w:pPr>
            <w:r>
              <w:rPr>
                <w:rFonts w:ascii="Arial" w:hAnsi="Arial"/>
                <w:b/>
                <w:snapToGrid w:val="0"/>
                <w:color w:val="000000"/>
                <w:sz w:val="20"/>
              </w:rPr>
              <w:t xml:space="preserve">Mining and quarrying </w:t>
            </w:r>
          </w:p>
        </w:tc>
        <w:tc>
          <w:tcPr>
            <w:tcW w:w="4012" w:type="dxa"/>
            <w:tcBorders>
              <w:top w:val="single" w:sz="12" w:space="0" w:color="auto"/>
              <w:bottom w:val="single" w:sz="12" w:space="0" w:color="auto"/>
            </w:tcBorders>
            <w:shd w:val="pct12" w:color="auto" w:fill="auto"/>
          </w:tcPr>
          <w:p w14:paraId="4B5865EB" w14:textId="77777777" w:rsidR="002C6C2E" w:rsidRDefault="002C6C2E">
            <w:pPr>
              <w:rPr>
                <w:rFonts w:ascii="Arial" w:hAnsi="Arial"/>
                <w:sz w:val="20"/>
              </w:rPr>
            </w:pPr>
          </w:p>
        </w:tc>
        <w:tc>
          <w:tcPr>
            <w:tcW w:w="2167" w:type="dxa"/>
            <w:tcBorders>
              <w:top w:val="single" w:sz="12" w:space="0" w:color="auto"/>
              <w:bottom w:val="single" w:sz="12" w:space="0" w:color="auto"/>
              <w:right w:val="single" w:sz="12" w:space="0" w:color="auto"/>
            </w:tcBorders>
            <w:shd w:val="pct12" w:color="auto" w:fill="auto"/>
          </w:tcPr>
          <w:p w14:paraId="194ACECD" w14:textId="77777777" w:rsidR="002C6C2E"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Pr>
                <w:rFonts w:ascii="Arial" w:hAnsi="Arial"/>
                <w:sz w:val="20"/>
                <w:vertAlign w:val="subscript"/>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2C6C2E" w14:paraId="04037D1B" w14:textId="77777777">
        <w:tc>
          <w:tcPr>
            <w:tcW w:w="709" w:type="dxa"/>
            <w:tcBorders>
              <w:top w:val="single" w:sz="12" w:space="0" w:color="auto"/>
              <w:bottom w:val="single" w:sz="12" w:space="0" w:color="auto"/>
            </w:tcBorders>
            <w:shd w:val="pct12" w:color="auto" w:fill="auto"/>
          </w:tcPr>
          <w:p w14:paraId="356864E8" w14:textId="77777777" w:rsidR="002C6C2E" w:rsidRDefault="002C6C2E">
            <w:pPr>
              <w:jc w:val="right"/>
              <w:rPr>
                <w:rFonts w:ascii="Arial" w:hAnsi="Arial"/>
                <w:b/>
                <w:sz w:val="20"/>
              </w:rPr>
            </w:pPr>
            <w:r>
              <w:rPr>
                <w:rFonts w:ascii="Arial" w:hAnsi="Arial"/>
                <w:b/>
                <w:sz w:val="20"/>
              </w:rPr>
              <w:t>2</w:t>
            </w:r>
          </w:p>
        </w:tc>
        <w:tc>
          <w:tcPr>
            <w:tcW w:w="392" w:type="dxa"/>
            <w:tcBorders>
              <w:top w:val="single" w:sz="12" w:space="0" w:color="auto"/>
              <w:bottom w:val="single" w:sz="12" w:space="0" w:color="auto"/>
            </w:tcBorders>
            <w:shd w:val="pct12" w:color="auto" w:fill="auto"/>
          </w:tcPr>
          <w:p w14:paraId="00F3D8B9" w14:textId="77777777" w:rsidR="002C6C2E" w:rsidRDefault="00860836">
            <w:pPr>
              <w:rPr>
                <w:rFonts w:ascii="Arial" w:hAnsi="Arial"/>
                <w:b/>
                <w:sz w:val="20"/>
              </w:rPr>
            </w:pPr>
            <w:r>
              <w:rPr>
                <w:rFonts w:ascii="Arial" w:hAnsi="Arial"/>
                <w:b/>
                <w:sz w:val="20"/>
              </w:rPr>
              <w:t>G</w:t>
            </w:r>
          </w:p>
        </w:tc>
        <w:tc>
          <w:tcPr>
            <w:tcW w:w="2337" w:type="dxa"/>
            <w:gridSpan w:val="2"/>
            <w:tcBorders>
              <w:top w:val="single" w:sz="12" w:space="0" w:color="auto"/>
              <w:bottom w:val="single" w:sz="12" w:space="0" w:color="auto"/>
            </w:tcBorders>
            <w:shd w:val="pct12" w:color="auto" w:fill="auto"/>
          </w:tcPr>
          <w:p w14:paraId="25CDECC7" w14:textId="587A4D36" w:rsidR="002C6C2E" w:rsidRDefault="002C6C2E">
            <w:pPr>
              <w:jc w:val="left"/>
              <w:rPr>
                <w:rFonts w:ascii="Arial" w:hAnsi="Arial"/>
                <w:snapToGrid w:val="0"/>
                <w:color w:val="000000"/>
                <w:sz w:val="20"/>
              </w:rPr>
            </w:pPr>
            <w:r>
              <w:rPr>
                <w:rFonts w:ascii="Arial" w:hAnsi="Arial"/>
                <w:b/>
                <w:snapToGrid w:val="0"/>
                <w:color w:val="000000"/>
                <w:sz w:val="20"/>
              </w:rPr>
              <w:t>Construction</w:t>
            </w:r>
            <w:r w:rsidR="00B03EEB">
              <w:rPr>
                <w:rFonts w:ascii="Arial" w:hAnsi="Arial"/>
                <w:snapToGrid w:val="0"/>
                <w:color w:val="000000"/>
                <w:sz w:val="20"/>
              </w:rPr>
              <w:t xml:space="preserve"> </w:t>
            </w:r>
            <w:r>
              <w:rPr>
                <w:rFonts w:ascii="Arial" w:hAnsi="Arial"/>
                <w:snapToGrid w:val="0"/>
                <w:color w:val="000000"/>
                <w:sz w:val="20"/>
              </w:rPr>
              <w:t xml:space="preserve"> </w:t>
            </w:r>
          </w:p>
        </w:tc>
        <w:tc>
          <w:tcPr>
            <w:tcW w:w="4012" w:type="dxa"/>
            <w:tcBorders>
              <w:top w:val="single" w:sz="12" w:space="0" w:color="auto"/>
              <w:bottom w:val="single" w:sz="12" w:space="0" w:color="auto"/>
            </w:tcBorders>
            <w:shd w:val="pct12" w:color="auto" w:fill="auto"/>
          </w:tcPr>
          <w:p w14:paraId="68015147" w14:textId="77777777" w:rsidR="002C6C2E" w:rsidRDefault="002C6C2E">
            <w:pPr>
              <w:pStyle w:val="CommentText"/>
              <w:rPr>
                <w:rFonts w:ascii="Arial" w:hAnsi="Arial"/>
              </w:rPr>
            </w:pPr>
          </w:p>
        </w:tc>
        <w:tc>
          <w:tcPr>
            <w:tcW w:w="2167" w:type="dxa"/>
            <w:tcBorders>
              <w:top w:val="single" w:sz="12" w:space="0" w:color="auto"/>
              <w:bottom w:val="single" w:sz="12" w:space="0" w:color="auto"/>
              <w:right w:val="single" w:sz="12" w:space="0" w:color="auto"/>
            </w:tcBorders>
            <w:shd w:val="pct12" w:color="auto" w:fill="auto"/>
          </w:tcPr>
          <w:p w14:paraId="159804F9" w14:textId="77777777" w:rsidR="002C6C2E"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2C6C2E" w14:paraId="3FA52322" w14:textId="77777777">
        <w:tc>
          <w:tcPr>
            <w:tcW w:w="709" w:type="dxa"/>
            <w:tcBorders>
              <w:top w:val="single" w:sz="12" w:space="0" w:color="auto"/>
              <w:bottom w:val="nil"/>
            </w:tcBorders>
            <w:shd w:val="pct12" w:color="auto" w:fill="auto"/>
          </w:tcPr>
          <w:p w14:paraId="14E33493" w14:textId="77777777" w:rsidR="002C6C2E" w:rsidRDefault="002C6C2E">
            <w:pPr>
              <w:jc w:val="right"/>
              <w:rPr>
                <w:rFonts w:ascii="Arial" w:hAnsi="Arial"/>
                <w:b/>
                <w:sz w:val="20"/>
              </w:rPr>
            </w:pPr>
            <w:r>
              <w:rPr>
                <w:rFonts w:ascii="Arial" w:hAnsi="Arial"/>
                <w:b/>
                <w:sz w:val="20"/>
              </w:rPr>
              <w:t>2</w:t>
            </w:r>
          </w:p>
        </w:tc>
        <w:tc>
          <w:tcPr>
            <w:tcW w:w="392" w:type="dxa"/>
            <w:tcBorders>
              <w:top w:val="single" w:sz="12" w:space="0" w:color="auto"/>
              <w:bottom w:val="nil"/>
            </w:tcBorders>
            <w:shd w:val="pct12" w:color="auto" w:fill="auto"/>
          </w:tcPr>
          <w:p w14:paraId="6B64B4FB" w14:textId="77777777" w:rsidR="002C6C2E" w:rsidRDefault="00860836">
            <w:pPr>
              <w:rPr>
                <w:rFonts w:ascii="Arial" w:hAnsi="Arial"/>
                <w:b/>
                <w:sz w:val="20"/>
              </w:rPr>
            </w:pPr>
            <w:r>
              <w:rPr>
                <w:rFonts w:ascii="Arial" w:hAnsi="Arial"/>
                <w:b/>
                <w:sz w:val="20"/>
              </w:rPr>
              <w:t>H</w:t>
            </w:r>
          </w:p>
        </w:tc>
        <w:tc>
          <w:tcPr>
            <w:tcW w:w="2337" w:type="dxa"/>
            <w:gridSpan w:val="2"/>
            <w:tcBorders>
              <w:top w:val="single" w:sz="12" w:space="0" w:color="auto"/>
              <w:bottom w:val="nil"/>
            </w:tcBorders>
            <w:shd w:val="pct12" w:color="auto" w:fill="auto"/>
          </w:tcPr>
          <w:p w14:paraId="117FE943" w14:textId="77777777" w:rsidR="002C6C2E" w:rsidRDefault="00DB0AA0">
            <w:pPr>
              <w:rPr>
                <w:rFonts w:ascii="Arial" w:hAnsi="Arial"/>
                <w:b/>
                <w:sz w:val="20"/>
              </w:rPr>
            </w:pPr>
            <w:r>
              <w:rPr>
                <w:rFonts w:ascii="Arial" w:hAnsi="Arial"/>
                <w:b/>
                <w:snapToGrid w:val="0"/>
                <w:color w:val="000000"/>
                <w:sz w:val="20"/>
              </w:rPr>
              <w:t>Non-specified industry</w:t>
            </w:r>
            <w:r w:rsidR="002C6C2E">
              <w:rPr>
                <w:rFonts w:ascii="Arial" w:hAnsi="Arial"/>
                <w:b/>
                <w:snapToGrid w:val="0"/>
                <w:color w:val="000000"/>
                <w:sz w:val="20"/>
              </w:rPr>
              <w:t xml:space="preserve">   </w:t>
            </w:r>
          </w:p>
        </w:tc>
        <w:tc>
          <w:tcPr>
            <w:tcW w:w="4012" w:type="dxa"/>
            <w:tcBorders>
              <w:top w:val="single" w:sz="12" w:space="0" w:color="auto"/>
              <w:bottom w:val="nil"/>
            </w:tcBorders>
            <w:shd w:val="pct12" w:color="auto" w:fill="auto"/>
          </w:tcPr>
          <w:p w14:paraId="73246E5A" w14:textId="77777777" w:rsidR="002C6C2E" w:rsidRDefault="00791D84">
            <w:pPr>
              <w:pStyle w:val="CommentText"/>
              <w:rPr>
                <w:rFonts w:ascii="Arial" w:hAnsi="Arial"/>
              </w:rPr>
            </w:pPr>
            <w:r>
              <w:rPr>
                <w:rFonts w:ascii="Arial" w:hAnsi="Arial"/>
              </w:rPr>
              <w:t>Fuel combustion emissions from all remaining manufacturing industries not already specifically accounted for above.</w:t>
            </w:r>
          </w:p>
        </w:tc>
        <w:tc>
          <w:tcPr>
            <w:tcW w:w="2167" w:type="dxa"/>
            <w:tcBorders>
              <w:top w:val="single" w:sz="12" w:space="0" w:color="auto"/>
              <w:bottom w:val="nil"/>
              <w:right w:val="single" w:sz="12" w:space="0" w:color="auto"/>
            </w:tcBorders>
            <w:shd w:val="pct12" w:color="auto" w:fill="auto"/>
          </w:tcPr>
          <w:p w14:paraId="57AA69AE" w14:textId="77777777" w:rsidR="002C6C2E"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w:t>
            </w:r>
            <w:r w:rsidRPr="0069572D">
              <w:rPr>
                <w:rFonts w:ascii="Arial" w:hAnsi="Arial"/>
                <w:sz w:val="20"/>
              </w:rPr>
              <w:t>OC</w:t>
            </w:r>
          </w:p>
        </w:tc>
      </w:tr>
      <w:tr w:rsidR="002C6C2E" w14:paraId="5CDB5E9A" w14:textId="77777777">
        <w:trPr>
          <w:cantSplit/>
        </w:trPr>
        <w:tc>
          <w:tcPr>
            <w:tcW w:w="709" w:type="dxa"/>
            <w:tcBorders>
              <w:top w:val="single" w:sz="12" w:space="0" w:color="auto"/>
              <w:bottom w:val="nil"/>
            </w:tcBorders>
            <w:shd w:val="pct20" w:color="auto" w:fill="auto"/>
          </w:tcPr>
          <w:p w14:paraId="3D41B0E9" w14:textId="77777777" w:rsidR="002C6C2E" w:rsidRDefault="002C6C2E">
            <w:pPr>
              <w:jc w:val="right"/>
              <w:rPr>
                <w:rFonts w:ascii="Arial" w:hAnsi="Arial"/>
                <w:b/>
                <w:sz w:val="20"/>
              </w:rPr>
            </w:pPr>
            <w:r>
              <w:rPr>
                <w:rFonts w:ascii="Arial" w:hAnsi="Arial"/>
                <w:b/>
                <w:sz w:val="20"/>
              </w:rPr>
              <w:t>3</w:t>
            </w:r>
          </w:p>
        </w:tc>
        <w:tc>
          <w:tcPr>
            <w:tcW w:w="2729" w:type="dxa"/>
            <w:gridSpan w:val="3"/>
            <w:tcBorders>
              <w:top w:val="single" w:sz="12" w:space="0" w:color="auto"/>
              <w:bottom w:val="nil"/>
            </w:tcBorders>
            <w:shd w:val="pct20" w:color="auto" w:fill="auto"/>
          </w:tcPr>
          <w:p w14:paraId="1C2CA128" w14:textId="77777777" w:rsidR="002C6C2E" w:rsidRDefault="002C6C2E">
            <w:pPr>
              <w:rPr>
                <w:rFonts w:ascii="Arial" w:hAnsi="Arial"/>
                <w:b/>
                <w:smallCaps/>
              </w:rPr>
            </w:pPr>
            <w:r>
              <w:rPr>
                <w:rFonts w:ascii="Arial" w:hAnsi="Arial"/>
                <w:b/>
                <w:smallCaps/>
              </w:rPr>
              <w:t xml:space="preserve">Transport </w:t>
            </w:r>
          </w:p>
          <w:p w14:paraId="772F2C15" w14:textId="2F2952FD" w:rsidR="002C6C2E" w:rsidRDefault="002C6C2E">
            <w:pPr>
              <w:rPr>
                <w:rFonts w:ascii="Arial" w:hAnsi="Arial"/>
                <w:b/>
                <w:smallCaps/>
                <w:sz w:val="20"/>
              </w:rPr>
            </w:pPr>
          </w:p>
        </w:tc>
        <w:tc>
          <w:tcPr>
            <w:tcW w:w="4012" w:type="dxa"/>
            <w:tcBorders>
              <w:top w:val="single" w:sz="12" w:space="0" w:color="auto"/>
              <w:bottom w:val="nil"/>
            </w:tcBorders>
            <w:shd w:val="pct20" w:color="auto" w:fill="auto"/>
          </w:tcPr>
          <w:p w14:paraId="67BB1671" w14:textId="77777777" w:rsidR="002C6C2E" w:rsidRDefault="002C6C2E">
            <w:pPr>
              <w:pStyle w:val="CommentText"/>
              <w:rPr>
                <w:rFonts w:ascii="Arial" w:hAnsi="Arial"/>
              </w:rPr>
            </w:pPr>
            <w:r>
              <w:rPr>
                <w:rFonts w:ascii="Arial" w:hAnsi="Arial"/>
              </w:rPr>
              <w:t xml:space="preserve">Emissions from the combustion of fuel and, for road transport, re-suspended road dust. </w:t>
            </w:r>
          </w:p>
        </w:tc>
        <w:tc>
          <w:tcPr>
            <w:tcW w:w="2167" w:type="dxa"/>
            <w:tcBorders>
              <w:top w:val="single" w:sz="12" w:space="0" w:color="auto"/>
              <w:bottom w:val="nil"/>
              <w:right w:val="single" w:sz="12" w:space="0" w:color="auto"/>
            </w:tcBorders>
            <w:shd w:val="pct20" w:color="auto" w:fill="auto"/>
          </w:tcPr>
          <w:p w14:paraId="0F58CDC9" w14:textId="77777777" w:rsidR="002C6C2E" w:rsidRDefault="002C6C2E">
            <w:pPr>
              <w:rPr>
                <w:rFonts w:ascii="Arial" w:hAnsi="Arial"/>
                <w:sz w:val="20"/>
              </w:rPr>
            </w:pPr>
          </w:p>
        </w:tc>
      </w:tr>
      <w:tr w:rsidR="002C6C2E" w14:paraId="7140BEC6" w14:textId="77777777">
        <w:tc>
          <w:tcPr>
            <w:tcW w:w="709" w:type="dxa"/>
            <w:tcBorders>
              <w:top w:val="single" w:sz="12" w:space="0" w:color="auto"/>
              <w:bottom w:val="single" w:sz="12" w:space="0" w:color="auto"/>
            </w:tcBorders>
            <w:shd w:val="pct12" w:color="auto" w:fill="auto"/>
          </w:tcPr>
          <w:p w14:paraId="66C917D4" w14:textId="77777777" w:rsidR="002C6C2E" w:rsidRDefault="002C6C2E">
            <w:pPr>
              <w:jc w:val="right"/>
              <w:rPr>
                <w:rFonts w:ascii="Arial" w:hAnsi="Arial"/>
                <w:b/>
                <w:sz w:val="20"/>
              </w:rPr>
            </w:pPr>
            <w:r>
              <w:rPr>
                <w:rFonts w:ascii="Arial" w:hAnsi="Arial"/>
                <w:b/>
                <w:sz w:val="20"/>
              </w:rPr>
              <w:t>3</w:t>
            </w:r>
          </w:p>
        </w:tc>
        <w:tc>
          <w:tcPr>
            <w:tcW w:w="392" w:type="dxa"/>
            <w:tcBorders>
              <w:top w:val="single" w:sz="12" w:space="0" w:color="auto"/>
              <w:bottom w:val="single" w:sz="12" w:space="0" w:color="auto"/>
            </w:tcBorders>
            <w:shd w:val="pct12" w:color="auto" w:fill="auto"/>
          </w:tcPr>
          <w:p w14:paraId="4BA410B5" w14:textId="77777777" w:rsidR="002C6C2E" w:rsidRDefault="002C6C2E">
            <w:pPr>
              <w:rPr>
                <w:rFonts w:ascii="Arial" w:hAnsi="Arial"/>
                <w:b/>
                <w:sz w:val="20"/>
              </w:rPr>
            </w:pPr>
            <w:r>
              <w:rPr>
                <w:rFonts w:ascii="Arial" w:hAnsi="Arial"/>
                <w:b/>
                <w:sz w:val="20"/>
              </w:rPr>
              <w:t>A</w:t>
            </w:r>
          </w:p>
        </w:tc>
        <w:tc>
          <w:tcPr>
            <w:tcW w:w="2337" w:type="dxa"/>
            <w:gridSpan w:val="2"/>
            <w:tcBorders>
              <w:top w:val="single" w:sz="12" w:space="0" w:color="auto"/>
              <w:bottom w:val="single" w:sz="12" w:space="0" w:color="auto"/>
            </w:tcBorders>
            <w:shd w:val="pct12" w:color="auto" w:fill="auto"/>
          </w:tcPr>
          <w:p w14:paraId="7021D0C9" w14:textId="77777777" w:rsidR="002C6C2E" w:rsidRDefault="002C6C2E">
            <w:pPr>
              <w:rPr>
                <w:rFonts w:ascii="Arial" w:hAnsi="Arial"/>
                <w:b/>
                <w:sz w:val="20"/>
              </w:rPr>
            </w:pPr>
            <w:r>
              <w:rPr>
                <w:rFonts w:ascii="Arial" w:hAnsi="Arial"/>
                <w:b/>
                <w:sz w:val="20"/>
              </w:rPr>
              <w:t>Civil aviation</w:t>
            </w:r>
          </w:p>
        </w:tc>
        <w:tc>
          <w:tcPr>
            <w:tcW w:w="4012" w:type="dxa"/>
            <w:tcBorders>
              <w:top w:val="single" w:sz="12" w:space="0" w:color="auto"/>
              <w:bottom w:val="single" w:sz="12" w:space="0" w:color="auto"/>
            </w:tcBorders>
            <w:shd w:val="pct12" w:color="auto" w:fill="auto"/>
          </w:tcPr>
          <w:p w14:paraId="5C539179" w14:textId="77777777" w:rsidR="002C6C2E" w:rsidRDefault="002C6C2E">
            <w:pPr>
              <w:pStyle w:val="CommentText"/>
              <w:rPr>
                <w:rFonts w:ascii="Arial" w:hAnsi="Arial"/>
              </w:rPr>
            </w:pPr>
            <w:r>
              <w:rPr>
                <w:rFonts w:ascii="Arial" w:hAnsi="Arial"/>
              </w:rPr>
              <w:t xml:space="preserve">Emissions from all landing and take-off (LTO) cycles and cruise activities for domestic air transport and LTO cycles only for international air transport. Excludes use of fuel for ground transport (see 3E below). </w:t>
            </w:r>
          </w:p>
        </w:tc>
        <w:tc>
          <w:tcPr>
            <w:tcW w:w="2167" w:type="dxa"/>
            <w:tcBorders>
              <w:top w:val="single" w:sz="12" w:space="0" w:color="auto"/>
              <w:bottom w:val="single" w:sz="12" w:space="0" w:color="auto"/>
              <w:right w:val="single" w:sz="12" w:space="0" w:color="auto"/>
            </w:tcBorders>
            <w:shd w:val="pct12" w:color="auto" w:fill="auto"/>
          </w:tcPr>
          <w:p w14:paraId="0D00C2E0" w14:textId="77777777" w:rsidR="002C6C2E" w:rsidRDefault="002C6C2E">
            <w:pPr>
              <w:rPr>
                <w:rFonts w:ascii="Arial" w:hAnsi="Arial"/>
                <w:sz w:val="20"/>
              </w:rPr>
            </w:pPr>
          </w:p>
        </w:tc>
      </w:tr>
      <w:tr w:rsidR="002C6C2E" w14:paraId="737BB145" w14:textId="77777777">
        <w:tc>
          <w:tcPr>
            <w:tcW w:w="709" w:type="dxa"/>
            <w:tcBorders>
              <w:top w:val="nil"/>
              <w:bottom w:val="single" w:sz="12" w:space="0" w:color="auto"/>
            </w:tcBorders>
            <w:shd w:val="pct12" w:color="auto" w:fill="auto"/>
          </w:tcPr>
          <w:p w14:paraId="5BE3A2FF" w14:textId="77777777" w:rsidR="002C6C2E" w:rsidRDefault="002C6C2E">
            <w:pPr>
              <w:jc w:val="right"/>
              <w:rPr>
                <w:rFonts w:ascii="Arial" w:hAnsi="Arial"/>
                <w:b/>
                <w:sz w:val="20"/>
              </w:rPr>
            </w:pPr>
          </w:p>
        </w:tc>
        <w:tc>
          <w:tcPr>
            <w:tcW w:w="392" w:type="dxa"/>
            <w:tcBorders>
              <w:top w:val="nil"/>
              <w:bottom w:val="single" w:sz="12" w:space="0" w:color="auto"/>
            </w:tcBorders>
            <w:shd w:val="pct12" w:color="auto" w:fill="auto"/>
          </w:tcPr>
          <w:p w14:paraId="46F0EE39" w14:textId="77777777" w:rsidR="002C6C2E" w:rsidRDefault="002C6C2E">
            <w:pPr>
              <w:rPr>
                <w:rFonts w:ascii="Arial" w:hAnsi="Arial"/>
                <w:b/>
                <w:sz w:val="20"/>
              </w:rPr>
            </w:pPr>
          </w:p>
        </w:tc>
        <w:tc>
          <w:tcPr>
            <w:tcW w:w="458" w:type="dxa"/>
            <w:tcBorders>
              <w:top w:val="nil"/>
              <w:bottom w:val="single" w:sz="12" w:space="0" w:color="auto"/>
            </w:tcBorders>
            <w:shd w:val="pct12" w:color="auto" w:fill="auto"/>
          </w:tcPr>
          <w:p w14:paraId="23EFD587" w14:textId="77777777" w:rsidR="002C6C2E" w:rsidRDefault="002C6C2E">
            <w:pPr>
              <w:rPr>
                <w:rFonts w:ascii="Arial" w:hAnsi="Arial"/>
                <w:b/>
                <w:sz w:val="20"/>
              </w:rPr>
            </w:pPr>
            <w:r>
              <w:rPr>
                <w:rFonts w:ascii="Arial" w:hAnsi="Arial"/>
                <w:b/>
                <w:sz w:val="20"/>
              </w:rPr>
              <w:t>1</w:t>
            </w:r>
          </w:p>
        </w:tc>
        <w:tc>
          <w:tcPr>
            <w:tcW w:w="1879" w:type="dxa"/>
            <w:tcBorders>
              <w:top w:val="nil"/>
              <w:bottom w:val="single" w:sz="12" w:space="0" w:color="auto"/>
            </w:tcBorders>
            <w:shd w:val="pct12" w:color="auto" w:fill="auto"/>
          </w:tcPr>
          <w:p w14:paraId="42DF6732" w14:textId="77777777" w:rsidR="002C6C2E" w:rsidRDefault="002C6C2E">
            <w:pPr>
              <w:rPr>
                <w:rFonts w:ascii="Arial" w:hAnsi="Arial"/>
                <w:b/>
                <w:sz w:val="20"/>
              </w:rPr>
            </w:pPr>
            <w:r>
              <w:rPr>
                <w:rFonts w:ascii="Arial" w:hAnsi="Arial"/>
                <w:b/>
                <w:sz w:val="20"/>
              </w:rPr>
              <w:t>International aviation</w:t>
            </w:r>
          </w:p>
        </w:tc>
        <w:tc>
          <w:tcPr>
            <w:tcW w:w="4012" w:type="dxa"/>
            <w:tcBorders>
              <w:top w:val="nil"/>
              <w:bottom w:val="single" w:sz="12" w:space="0" w:color="auto"/>
            </w:tcBorders>
            <w:shd w:val="pct12" w:color="auto" w:fill="auto"/>
          </w:tcPr>
          <w:p w14:paraId="0F86CA20" w14:textId="77777777" w:rsidR="002C6C2E" w:rsidRDefault="002C6C2E">
            <w:pPr>
              <w:pStyle w:val="CommentText"/>
              <w:rPr>
                <w:rFonts w:ascii="Arial" w:hAnsi="Arial"/>
              </w:rPr>
            </w:pPr>
            <w:r>
              <w:rPr>
                <w:rFonts w:ascii="Arial" w:hAnsi="Arial"/>
              </w:rPr>
              <w:t xml:space="preserve">LTO emissions from all international flights (whether operated by domestic airlines or foreign airlines). Emissions from international aviation cruise activities are not included in national totals but fuel use should be reported as a memo item under ”International Aviation Bunkers”. (The IPCC method also includes international LTO cycle emissions in the bunker category but, if possible, one half of these emissions should be included in national totals for the purposes of this Manual) </w:t>
            </w:r>
          </w:p>
        </w:tc>
        <w:tc>
          <w:tcPr>
            <w:tcW w:w="2167" w:type="dxa"/>
            <w:tcBorders>
              <w:top w:val="nil"/>
              <w:bottom w:val="single" w:sz="12" w:space="0" w:color="auto"/>
              <w:right w:val="single" w:sz="12" w:space="0" w:color="auto"/>
            </w:tcBorders>
            <w:shd w:val="pct12" w:color="auto" w:fill="auto"/>
          </w:tcPr>
          <w:p w14:paraId="4104E2C0" w14:textId="77777777" w:rsidR="002C6C2E" w:rsidRDefault="004B5A0D" w:rsidP="003E7B99">
            <w:pPr>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 xml:space="preserve">, </w:t>
            </w:r>
            <w:r w:rsidRPr="0069572D">
              <w:rPr>
                <w:rFonts w:ascii="Arial" w:hAnsi="Arial"/>
                <w:sz w:val="20"/>
              </w:rPr>
              <w:t>OC</w:t>
            </w:r>
          </w:p>
        </w:tc>
      </w:tr>
      <w:tr w:rsidR="002C6C2E" w14:paraId="42636FCE" w14:textId="77777777" w:rsidTr="004B5A0D">
        <w:trPr>
          <w:trHeight w:val="185"/>
        </w:trPr>
        <w:tc>
          <w:tcPr>
            <w:tcW w:w="709" w:type="dxa"/>
            <w:tcBorders>
              <w:top w:val="single" w:sz="12" w:space="0" w:color="auto"/>
              <w:bottom w:val="single" w:sz="12" w:space="0" w:color="auto"/>
            </w:tcBorders>
            <w:shd w:val="pct12" w:color="auto" w:fill="auto"/>
          </w:tcPr>
          <w:p w14:paraId="6B4C95E1" w14:textId="77777777" w:rsidR="002C6C2E" w:rsidRDefault="002C6C2E">
            <w:pPr>
              <w:jc w:val="right"/>
              <w:rPr>
                <w:rFonts w:ascii="Arial" w:hAnsi="Arial"/>
                <w:b/>
                <w:sz w:val="20"/>
              </w:rPr>
            </w:pPr>
          </w:p>
        </w:tc>
        <w:tc>
          <w:tcPr>
            <w:tcW w:w="392" w:type="dxa"/>
            <w:tcBorders>
              <w:top w:val="single" w:sz="12" w:space="0" w:color="auto"/>
              <w:bottom w:val="single" w:sz="12" w:space="0" w:color="auto"/>
            </w:tcBorders>
            <w:shd w:val="pct12" w:color="auto" w:fill="auto"/>
          </w:tcPr>
          <w:p w14:paraId="741ED5A4" w14:textId="77777777" w:rsidR="002C6C2E" w:rsidRDefault="002C6C2E">
            <w:pPr>
              <w:rPr>
                <w:rFonts w:ascii="Arial" w:hAnsi="Arial"/>
                <w:b/>
                <w:sz w:val="20"/>
              </w:rPr>
            </w:pPr>
          </w:p>
        </w:tc>
        <w:tc>
          <w:tcPr>
            <w:tcW w:w="458" w:type="dxa"/>
            <w:tcBorders>
              <w:top w:val="single" w:sz="12" w:space="0" w:color="auto"/>
              <w:bottom w:val="single" w:sz="12" w:space="0" w:color="auto"/>
            </w:tcBorders>
            <w:shd w:val="pct12" w:color="auto" w:fill="auto"/>
          </w:tcPr>
          <w:p w14:paraId="5DF6ECFD" w14:textId="77777777" w:rsidR="002C6C2E" w:rsidRDefault="002C6C2E">
            <w:pPr>
              <w:rPr>
                <w:rFonts w:ascii="Arial" w:hAnsi="Arial"/>
                <w:b/>
                <w:sz w:val="20"/>
              </w:rPr>
            </w:pPr>
            <w:r>
              <w:rPr>
                <w:rFonts w:ascii="Arial" w:hAnsi="Arial"/>
                <w:b/>
                <w:sz w:val="20"/>
              </w:rPr>
              <w:t>2</w:t>
            </w:r>
          </w:p>
        </w:tc>
        <w:tc>
          <w:tcPr>
            <w:tcW w:w="1879" w:type="dxa"/>
            <w:tcBorders>
              <w:top w:val="single" w:sz="12" w:space="0" w:color="auto"/>
              <w:bottom w:val="single" w:sz="12" w:space="0" w:color="auto"/>
            </w:tcBorders>
            <w:shd w:val="pct12" w:color="auto" w:fill="auto"/>
          </w:tcPr>
          <w:p w14:paraId="64EE7BDA" w14:textId="77777777" w:rsidR="002C6C2E" w:rsidRDefault="002C6C2E">
            <w:pPr>
              <w:rPr>
                <w:rFonts w:ascii="Arial" w:hAnsi="Arial"/>
                <w:b/>
                <w:sz w:val="20"/>
              </w:rPr>
            </w:pPr>
            <w:r>
              <w:rPr>
                <w:rFonts w:ascii="Arial" w:hAnsi="Arial"/>
                <w:b/>
                <w:sz w:val="20"/>
              </w:rPr>
              <w:t>Domestic aviation</w:t>
            </w:r>
          </w:p>
        </w:tc>
        <w:tc>
          <w:tcPr>
            <w:tcW w:w="4012" w:type="dxa"/>
            <w:tcBorders>
              <w:top w:val="single" w:sz="12" w:space="0" w:color="auto"/>
              <w:bottom w:val="single" w:sz="12" w:space="0" w:color="auto"/>
            </w:tcBorders>
            <w:shd w:val="pct12" w:color="auto" w:fill="auto"/>
          </w:tcPr>
          <w:p w14:paraId="2C124126" w14:textId="77777777" w:rsidR="002C6C2E" w:rsidRDefault="002C6C2E">
            <w:pPr>
              <w:pStyle w:val="CommentText"/>
              <w:rPr>
                <w:rFonts w:ascii="Arial" w:hAnsi="Arial"/>
              </w:rPr>
            </w:pPr>
            <w:r>
              <w:rPr>
                <w:rFonts w:ascii="Arial" w:hAnsi="Arial"/>
              </w:rPr>
              <w:t xml:space="preserve">Emissions from all LTO cycles and cruise activities for civil domestic passenger and freight air traffic. </w:t>
            </w:r>
          </w:p>
        </w:tc>
        <w:tc>
          <w:tcPr>
            <w:tcW w:w="2167" w:type="dxa"/>
            <w:tcBorders>
              <w:top w:val="single" w:sz="12" w:space="0" w:color="auto"/>
              <w:bottom w:val="single" w:sz="12" w:space="0" w:color="auto"/>
              <w:right w:val="single" w:sz="12" w:space="0" w:color="auto"/>
            </w:tcBorders>
            <w:shd w:val="pct12" w:color="auto" w:fill="auto"/>
          </w:tcPr>
          <w:p w14:paraId="535A184F" w14:textId="77777777" w:rsidR="002C6C2E"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w:t>
            </w:r>
            <w:r w:rsidRPr="0069572D">
              <w:rPr>
                <w:rFonts w:ascii="Arial" w:hAnsi="Arial"/>
                <w:sz w:val="20"/>
              </w:rPr>
              <w:t>OC</w:t>
            </w:r>
          </w:p>
        </w:tc>
      </w:tr>
      <w:bookmarkEnd w:id="70"/>
    </w:tbl>
    <w:p w14:paraId="7BC51B42" w14:textId="77777777" w:rsidR="00C46552" w:rsidRDefault="00C46552"/>
    <w:p w14:paraId="53B3A29E" w14:textId="77777777" w:rsidR="00C46552" w:rsidRDefault="00C46552"/>
    <w:p w14:paraId="2D727A1D" w14:textId="77777777" w:rsidR="00C46552" w:rsidRDefault="00C46552"/>
    <w:p w14:paraId="1BC387E6" w14:textId="77777777" w:rsidR="00C46552" w:rsidRDefault="00C46552"/>
    <w:p w14:paraId="37414278" w14:textId="77777777" w:rsidR="00C46552" w:rsidRDefault="00C46552"/>
    <w:p w14:paraId="5D9FCD1C" w14:textId="77777777" w:rsidR="00C46552" w:rsidRDefault="00C46552">
      <w:r>
        <w:br w:type="column"/>
      </w:r>
    </w:p>
    <w:p w14:paraId="568C8B01" w14:textId="77777777" w:rsidR="00C46552" w:rsidRDefault="002271CD">
      <w:pPr>
        <w:jc w:val="center"/>
        <w:rPr>
          <w:b/>
          <w:i/>
        </w:rPr>
      </w:pPr>
      <w:r>
        <w:rPr>
          <w:b/>
          <w:i/>
        </w:rPr>
        <w:t xml:space="preserve">Table </w:t>
      </w:r>
      <w:r w:rsidR="00260E07">
        <w:rPr>
          <w:b/>
          <w:i/>
        </w:rPr>
        <w:t>2</w:t>
      </w:r>
      <w:r w:rsidR="00C46552">
        <w:rPr>
          <w:b/>
          <w:i/>
        </w:rPr>
        <w:t>-</w:t>
      </w:r>
      <w:r w:rsidR="003851C6">
        <w:rPr>
          <w:b/>
          <w:i/>
        </w:rPr>
        <w:t>3</w:t>
      </w:r>
      <w:r w:rsidR="00C46552">
        <w:rPr>
          <w:b/>
          <w:i/>
        </w:rPr>
        <w:t xml:space="preserve"> (Continued)</w:t>
      </w:r>
    </w:p>
    <w:p w14:paraId="68BD8B6A" w14:textId="77777777" w:rsidR="00C46552" w:rsidRDefault="00C46552"/>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79"/>
        <w:gridCol w:w="422"/>
        <w:gridCol w:w="2020"/>
        <w:gridCol w:w="4190"/>
        <w:gridCol w:w="2257"/>
      </w:tblGrid>
      <w:tr w:rsidR="00C46552" w14:paraId="24BAA303" w14:textId="77777777">
        <w:tc>
          <w:tcPr>
            <w:tcW w:w="679" w:type="dxa"/>
            <w:tcBorders>
              <w:top w:val="single" w:sz="12" w:space="0" w:color="auto"/>
              <w:bottom w:val="nil"/>
            </w:tcBorders>
            <w:shd w:val="clear" w:color="auto" w:fill="FFFFFF"/>
          </w:tcPr>
          <w:p w14:paraId="4A9A4A7B" w14:textId="77777777" w:rsidR="00C46552" w:rsidRDefault="00C46552">
            <w:pPr>
              <w:jc w:val="right"/>
              <w:rPr>
                <w:rFonts w:ascii="Arial" w:hAnsi="Arial"/>
                <w:b/>
                <w:sz w:val="20"/>
              </w:rPr>
            </w:pPr>
            <w:bookmarkStart w:id="71" w:name="OLE_LINK4"/>
          </w:p>
        </w:tc>
        <w:tc>
          <w:tcPr>
            <w:tcW w:w="422" w:type="dxa"/>
            <w:tcBorders>
              <w:top w:val="single" w:sz="12" w:space="0" w:color="auto"/>
              <w:bottom w:val="nil"/>
            </w:tcBorders>
            <w:shd w:val="clear" w:color="auto" w:fill="FFFFFF"/>
          </w:tcPr>
          <w:p w14:paraId="1C283CE2" w14:textId="77777777" w:rsidR="00C46552" w:rsidRDefault="00C46552">
            <w:pPr>
              <w:rPr>
                <w:rFonts w:ascii="Arial" w:hAnsi="Arial"/>
                <w:b/>
                <w:sz w:val="20"/>
              </w:rPr>
            </w:pPr>
          </w:p>
        </w:tc>
        <w:tc>
          <w:tcPr>
            <w:tcW w:w="2020" w:type="dxa"/>
            <w:tcBorders>
              <w:top w:val="single" w:sz="12" w:space="0" w:color="auto"/>
              <w:bottom w:val="nil"/>
            </w:tcBorders>
            <w:shd w:val="clear" w:color="auto" w:fill="FFFFFF"/>
          </w:tcPr>
          <w:p w14:paraId="4EB468AB" w14:textId="77777777" w:rsidR="00C46552" w:rsidRDefault="00C46552">
            <w:pPr>
              <w:rPr>
                <w:rFonts w:ascii="Arial" w:hAnsi="Arial"/>
                <w:b/>
                <w:sz w:val="20"/>
              </w:rPr>
            </w:pPr>
            <w:r>
              <w:rPr>
                <w:rFonts w:ascii="Arial" w:hAnsi="Arial"/>
                <w:b/>
                <w:sz w:val="20"/>
              </w:rPr>
              <w:t>Sector</w:t>
            </w:r>
          </w:p>
        </w:tc>
        <w:tc>
          <w:tcPr>
            <w:tcW w:w="4190" w:type="dxa"/>
            <w:tcBorders>
              <w:top w:val="single" w:sz="12" w:space="0" w:color="auto"/>
              <w:bottom w:val="nil"/>
            </w:tcBorders>
            <w:shd w:val="clear" w:color="auto" w:fill="FFFFFF"/>
          </w:tcPr>
          <w:p w14:paraId="7A20354B" w14:textId="77777777" w:rsidR="00C46552" w:rsidRDefault="00C46552">
            <w:pPr>
              <w:rPr>
                <w:rFonts w:ascii="Arial" w:hAnsi="Arial"/>
                <w:sz w:val="20"/>
              </w:rPr>
            </w:pPr>
            <w:r>
              <w:rPr>
                <w:rFonts w:ascii="Arial" w:hAnsi="Arial"/>
                <w:b/>
                <w:sz w:val="20"/>
              </w:rPr>
              <w:t>Comments</w:t>
            </w:r>
          </w:p>
        </w:tc>
        <w:tc>
          <w:tcPr>
            <w:tcW w:w="2257" w:type="dxa"/>
            <w:tcBorders>
              <w:top w:val="single" w:sz="12" w:space="0" w:color="auto"/>
              <w:bottom w:val="nil"/>
            </w:tcBorders>
            <w:shd w:val="clear" w:color="auto" w:fill="FFFFFF"/>
          </w:tcPr>
          <w:p w14:paraId="40A981E5" w14:textId="77777777" w:rsidR="00C46552" w:rsidRDefault="00C46552">
            <w:pPr>
              <w:rPr>
                <w:rFonts w:ascii="Arial" w:hAnsi="Arial"/>
                <w:b/>
                <w:sz w:val="20"/>
              </w:rPr>
            </w:pPr>
            <w:r>
              <w:rPr>
                <w:rFonts w:ascii="Arial" w:hAnsi="Arial"/>
                <w:b/>
                <w:sz w:val="20"/>
              </w:rPr>
              <w:t xml:space="preserve">Pollutants </w:t>
            </w:r>
          </w:p>
          <w:p w14:paraId="41E90D93" w14:textId="77777777" w:rsidR="00C46552" w:rsidRDefault="00C46552">
            <w:pPr>
              <w:rPr>
                <w:rFonts w:ascii="Arial" w:hAnsi="Arial"/>
                <w:sz w:val="20"/>
              </w:rPr>
            </w:pPr>
          </w:p>
        </w:tc>
      </w:tr>
      <w:tr w:rsidR="00C46552" w14:paraId="2A104A73" w14:textId="77777777">
        <w:tc>
          <w:tcPr>
            <w:tcW w:w="679" w:type="dxa"/>
            <w:tcBorders>
              <w:top w:val="single" w:sz="12" w:space="0" w:color="auto"/>
              <w:bottom w:val="single" w:sz="12" w:space="0" w:color="auto"/>
            </w:tcBorders>
            <w:shd w:val="pct12" w:color="auto" w:fill="auto"/>
          </w:tcPr>
          <w:p w14:paraId="270C5F11" w14:textId="77777777" w:rsidR="00C46552" w:rsidRDefault="00C46552">
            <w:pPr>
              <w:jc w:val="right"/>
              <w:rPr>
                <w:rFonts w:ascii="Arial" w:hAnsi="Arial"/>
                <w:b/>
                <w:sz w:val="20"/>
              </w:rPr>
            </w:pPr>
            <w:r>
              <w:rPr>
                <w:rFonts w:ascii="Arial" w:hAnsi="Arial"/>
                <w:b/>
                <w:sz w:val="20"/>
              </w:rPr>
              <w:t>3</w:t>
            </w:r>
          </w:p>
        </w:tc>
        <w:tc>
          <w:tcPr>
            <w:tcW w:w="422" w:type="dxa"/>
            <w:tcBorders>
              <w:top w:val="single" w:sz="12" w:space="0" w:color="auto"/>
              <w:bottom w:val="single" w:sz="12" w:space="0" w:color="auto"/>
            </w:tcBorders>
            <w:shd w:val="pct12" w:color="auto" w:fill="auto"/>
          </w:tcPr>
          <w:p w14:paraId="20A7D2C3" w14:textId="77777777" w:rsidR="00C46552" w:rsidRDefault="00C46552">
            <w:pPr>
              <w:rPr>
                <w:rFonts w:ascii="Arial" w:hAnsi="Arial"/>
                <w:b/>
                <w:sz w:val="20"/>
              </w:rPr>
            </w:pPr>
            <w:r>
              <w:rPr>
                <w:rFonts w:ascii="Arial" w:hAnsi="Arial"/>
                <w:b/>
                <w:sz w:val="20"/>
              </w:rPr>
              <w:t>B</w:t>
            </w:r>
          </w:p>
        </w:tc>
        <w:tc>
          <w:tcPr>
            <w:tcW w:w="2020" w:type="dxa"/>
            <w:tcBorders>
              <w:top w:val="single" w:sz="12" w:space="0" w:color="auto"/>
              <w:bottom w:val="single" w:sz="12" w:space="0" w:color="auto"/>
            </w:tcBorders>
            <w:shd w:val="pct12" w:color="auto" w:fill="auto"/>
          </w:tcPr>
          <w:p w14:paraId="614D5688" w14:textId="77777777" w:rsidR="00C46552" w:rsidRDefault="00C46552">
            <w:pPr>
              <w:rPr>
                <w:rFonts w:ascii="Arial" w:hAnsi="Arial"/>
                <w:b/>
                <w:sz w:val="20"/>
              </w:rPr>
            </w:pPr>
            <w:r>
              <w:rPr>
                <w:rFonts w:ascii="Arial" w:hAnsi="Arial"/>
                <w:b/>
                <w:sz w:val="20"/>
              </w:rPr>
              <w:t>Road transport</w:t>
            </w:r>
          </w:p>
        </w:tc>
        <w:tc>
          <w:tcPr>
            <w:tcW w:w="4190" w:type="dxa"/>
            <w:tcBorders>
              <w:top w:val="single" w:sz="12" w:space="0" w:color="auto"/>
              <w:bottom w:val="single" w:sz="12" w:space="0" w:color="auto"/>
            </w:tcBorders>
            <w:shd w:val="pct12" w:color="auto" w:fill="auto"/>
          </w:tcPr>
          <w:p w14:paraId="6EFD9B7C" w14:textId="77777777" w:rsidR="00C46552" w:rsidRDefault="00C46552">
            <w:pPr>
              <w:rPr>
                <w:rFonts w:ascii="Arial" w:hAnsi="Arial"/>
                <w:sz w:val="20"/>
              </w:rPr>
            </w:pPr>
            <w:r>
              <w:rPr>
                <w:rFonts w:ascii="Arial" w:hAnsi="Arial"/>
                <w:sz w:val="20"/>
              </w:rPr>
              <w:t xml:space="preserve">All exhaust and dust emissions for on-road </w:t>
            </w:r>
            <w:r>
              <w:rPr>
                <w:rFonts w:ascii="Arial" w:hAnsi="Arial"/>
                <w:snapToGrid w:val="0"/>
                <w:color w:val="000000"/>
                <w:sz w:val="20"/>
              </w:rPr>
              <w:t xml:space="preserve">passenger cars, light commercial vehicles, heavy-duty vehicles (trucks and buses), motorcycles (2-stroke and 4-stroke) and 3-wheelers. </w:t>
            </w:r>
            <w:r w:rsidR="00686539">
              <w:rPr>
                <w:rFonts w:ascii="Arial" w:hAnsi="Arial"/>
                <w:snapToGrid w:val="0"/>
                <w:color w:val="000000"/>
                <w:sz w:val="20"/>
              </w:rPr>
              <w:t>Also includes evaporative losses from the vehicle (except from loading of gasoline into the vehicle).</w:t>
            </w:r>
          </w:p>
        </w:tc>
        <w:tc>
          <w:tcPr>
            <w:tcW w:w="2257" w:type="dxa"/>
            <w:tcBorders>
              <w:top w:val="single" w:sz="12" w:space="0" w:color="auto"/>
              <w:bottom w:val="single" w:sz="12" w:space="0" w:color="auto"/>
            </w:tcBorders>
            <w:shd w:val="pct12" w:color="auto" w:fill="auto"/>
          </w:tcPr>
          <w:p w14:paraId="1242DC76" w14:textId="77777777" w:rsidR="00C46552"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C46552" w14:paraId="5A9606AD" w14:textId="77777777">
        <w:tc>
          <w:tcPr>
            <w:tcW w:w="679" w:type="dxa"/>
            <w:tcBorders>
              <w:top w:val="single" w:sz="12" w:space="0" w:color="auto"/>
              <w:bottom w:val="single" w:sz="12" w:space="0" w:color="auto"/>
            </w:tcBorders>
            <w:shd w:val="pct12" w:color="auto" w:fill="auto"/>
          </w:tcPr>
          <w:p w14:paraId="4E04DE5D" w14:textId="77777777" w:rsidR="00C46552" w:rsidRDefault="00C46552">
            <w:pPr>
              <w:jc w:val="right"/>
              <w:rPr>
                <w:rFonts w:ascii="Arial" w:hAnsi="Arial"/>
                <w:b/>
                <w:sz w:val="20"/>
              </w:rPr>
            </w:pPr>
            <w:r>
              <w:rPr>
                <w:rFonts w:ascii="Arial" w:hAnsi="Arial"/>
                <w:b/>
                <w:sz w:val="20"/>
              </w:rPr>
              <w:t>3</w:t>
            </w:r>
          </w:p>
        </w:tc>
        <w:tc>
          <w:tcPr>
            <w:tcW w:w="422" w:type="dxa"/>
            <w:tcBorders>
              <w:top w:val="single" w:sz="12" w:space="0" w:color="auto"/>
              <w:bottom w:val="single" w:sz="12" w:space="0" w:color="auto"/>
            </w:tcBorders>
            <w:shd w:val="pct12" w:color="auto" w:fill="auto"/>
          </w:tcPr>
          <w:p w14:paraId="2BD385A8" w14:textId="77777777" w:rsidR="00C46552" w:rsidRDefault="00C46552">
            <w:pPr>
              <w:rPr>
                <w:rFonts w:ascii="Arial" w:hAnsi="Arial"/>
                <w:b/>
                <w:sz w:val="20"/>
              </w:rPr>
            </w:pPr>
            <w:r>
              <w:rPr>
                <w:rFonts w:ascii="Arial" w:hAnsi="Arial"/>
                <w:b/>
                <w:sz w:val="20"/>
              </w:rPr>
              <w:t>C</w:t>
            </w:r>
          </w:p>
        </w:tc>
        <w:tc>
          <w:tcPr>
            <w:tcW w:w="2020" w:type="dxa"/>
            <w:tcBorders>
              <w:top w:val="single" w:sz="12" w:space="0" w:color="auto"/>
              <w:bottom w:val="single" w:sz="12" w:space="0" w:color="auto"/>
            </w:tcBorders>
            <w:shd w:val="pct12" w:color="auto" w:fill="auto"/>
          </w:tcPr>
          <w:p w14:paraId="6CBB38C6" w14:textId="77777777" w:rsidR="00C46552" w:rsidRDefault="00C46552">
            <w:pPr>
              <w:rPr>
                <w:rFonts w:ascii="Arial" w:hAnsi="Arial"/>
                <w:b/>
                <w:sz w:val="20"/>
              </w:rPr>
            </w:pPr>
            <w:r>
              <w:rPr>
                <w:rFonts w:ascii="Arial" w:hAnsi="Arial"/>
                <w:b/>
                <w:sz w:val="20"/>
              </w:rPr>
              <w:t>Railways</w:t>
            </w:r>
          </w:p>
        </w:tc>
        <w:tc>
          <w:tcPr>
            <w:tcW w:w="4190" w:type="dxa"/>
            <w:tcBorders>
              <w:top w:val="single" w:sz="12" w:space="0" w:color="auto"/>
              <w:bottom w:val="single" w:sz="12" w:space="0" w:color="auto"/>
            </w:tcBorders>
            <w:shd w:val="pct12" w:color="auto" w:fill="auto"/>
          </w:tcPr>
          <w:p w14:paraId="657DED5A" w14:textId="77777777" w:rsidR="00C46552" w:rsidRDefault="00C46552">
            <w:pPr>
              <w:pStyle w:val="CommentText"/>
              <w:rPr>
                <w:rFonts w:ascii="Arial" w:hAnsi="Arial"/>
              </w:rPr>
            </w:pPr>
            <w:r>
              <w:rPr>
                <w:rFonts w:ascii="Arial" w:hAnsi="Arial"/>
              </w:rPr>
              <w:t>Both freight and passenger</w:t>
            </w:r>
          </w:p>
        </w:tc>
        <w:tc>
          <w:tcPr>
            <w:tcW w:w="2257" w:type="dxa"/>
            <w:tcBorders>
              <w:top w:val="single" w:sz="12" w:space="0" w:color="auto"/>
              <w:bottom w:val="single" w:sz="12" w:space="0" w:color="auto"/>
            </w:tcBorders>
            <w:shd w:val="pct12" w:color="auto" w:fill="auto"/>
          </w:tcPr>
          <w:p w14:paraId="2B07856A" w14:textId="77777777" w:rsidR="00C46552"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 xml:space="preserve">, </w:t>
            </w:r>
            <w:r w:rsidRPr="0069572D">
              <w:rPr>
                <w:rFonts w:ascii="Arial" w:hAnsi="Arial"/>
                <w:sz w:val="20"/>
              </w:rPr>
              <w:t>OC</w:t>
            </w:r>
          </w:p>
        </w:tc>
      </w:tr>
      <w:tr w:rsidR="00DB0AA0" w14:paraId="6B6A9E8C" w14:textId="77777777">
        <w:trPr>
          <w:cantSplit/>
        </w:trPr>
        <w:tc>
          <w:tcPr>
            <w:tcW w:w="679" w:type="dxa"/>
            <w:tcBorders>
              <w:top w:val="single" w:sz="12" w:space="0" w:color="auto"/>
              <w:bottom w:val="nil"/>
            </w:tcBorders>
            <w:shd w:val="pct12" w:color="auto" w:fill="auto"/>
          </w:tcPr>
          <w:p w14:paraId="488B0C84" w14:textId="77777777" w:rsidR="00DB0AA0" w:rsidRDefault="00DB0AA0">
            <w:pPr>
              <w:jc w:val="right"/>
              <w:rPr>
                <w:rFonts w:ascii="Arial" w:hAnsi="Arial"/>
                <w:b/>
                <w:sz w:val="20"/>
              </w:rPr>
            </w:pPr>
            <w:r>
              <w:rPr>
                <w:rFonts w:ascii="Arial" w:hAnsi="Arial"/>
                <w:b/>
                <w:sz w:val="20"/>
              </w:rPr>
              <w:t>3</w:t>
            </w:r>
          </w:p>
        </w:tc>
        <w:tc>
          <w:tcPr>
            <w:tcW w:w="422" w:type="dxa"/>
            <w:tcBorders>
              <w:top w:val="single" w:sz="12" w:space="0" w:color="auto"/>
              <w:bottom w:val="nil"/>
            </w:tcBorders>
            <w:shd w:val="pct12" w:color="auto" w:fill="auto"/>
          </w:tcPr>
          <w:p w14:paraId="196BEC7D" w14:textId="77777777" w:rsidR="00DB0AA0" w:rsidRDefault="00DB0AA0">
            <w:pPr>
              <w:rPr>
                <w:rFonts w:ascii="Arial" w:hAnsi="Arial"/>
                <w:b/>
                <w:sz w:val="20"/>
              </w:rPr>
            </w:pPr>
            <w:r>
              <w:rPr>
                <w:rFonts w:ascii="Arial" w:hAnsi="Arial"/>
                <w:b/>
                <w:sz w:val="20"/>
              </w:rPr>
              <w:t>D</w:t>
            </w:r>
          </w:p>
        </w:tc>
        <w:tc>
          <w:tcPr>
            <w:tcW w:w="2020" w:type="dxa"/>
            <w:tcBorders>
              <w:top w:val="single" w:sz="12" w:space="0" w:color="auto"/>
              <w:bottom w:val="nil"/>
            </w:tcBorders>
            <w:shd w:val="pct12" w:color="auto" w:fill="auto"/>
          </w:tcPr>
          <w:p w14:paraId="5C5C244A" w14:textId="77777777" w:rsidR="00DB0AA0" w:rsidRDefault="00DB0AA0">
            <w:pPr>
              <w:rPr>
                <w:rFonts w:ascii="Arial" w:hAnsi="Arial"/>
                <w:b/>
                <w:sz w:val="20"/>
              </w:rPr>
            </w:pPr>
            <w:r>
              <w:rPr>
                <w:rFonts w:ascii="Arial" w:hAnsi="Arial"/>
                <w:b/>
                <w:sz w:val="20"/>
              </w:rPr>
              <w:t>Navigation</w:t>
            </w:r>
          </w:p>
          <w:p w14:paraId="55E92384" w14:textId="77777777" w:rsidR="00DB0AA0" w:rsidRDefault="00DB0AA0">
            <w:pPr>
              <w:rPr>
                <w:rFonts w:ascii="Arial" w:hAnsi="Arial"/>
                <w:b/>
                <w:sz w:val="20"/>
              </w:rPr>
            </w:pPr>
            <w:r>
              <w:rPr>
                <w:rFonts w:ascii="Arial" w:hAnsi="Arial"/>
                <w:b/>
                <w:sz w:val="20"/>
              </w:rPr>
              <w:t>(domestic)</w:t>
            </w:r>
          </w:p>
        </w:tc>
        <w:tc>
          <w:tcPr>
            <w:tcW w:w="4190" w:type="dxa"/>
            <w:tcBorders>
              <w:top w:val="single" w:sz="12" w:space="0" w:color="auto"/>
              <w:bottom w:val="nil"/>
            </w:tcBorders>
            <w:shd w:val="pct12" w:color="auto" w:fill="auto"/>
          </w:tcPr>
          <w:p w14:paraId="6C0469B9" w14:textId="77777777" w:rsidR="00DB0AA0" w:rsidRDefault="00DB0AA0" w:rsidP="00E6797C">
            <w:pPr>
              <w:rPr>
                <w:rFonts w:ascii="Arial" w:hAnsi="Arial"/>
                <w:sz w:val="20"/>
              </w:rPr>
            </w:pPr>
            <w:r>
              <w:rPr>
                <w:rFonts w:ascii="Arial" w:hAnsi="Arial"/>
                <w:sz w:val="20"/>
              </w:rPr>
              <w:t>Emissions from fuels burnt by all vessels not engaged in international transport. Excludes emissions for fishing vessels, which are covered in 4C (</w:t>
            </w:r>
            <w:r>
              <w:rPr>
                <w:rFonts w:ascii="Arial" w:hAnsi="Arial"/>
                <w:smallCaps/>
                <w:sz w:val="20"/>
              </w:rPr>
              <w:t>Other Sectors</w:t>
            </w:r>
            <w:r>
              <w:rPr>
                <w:rFonts w:ascii="Arial" w:hAnsi="Arial"/>
                <w:sz w:val="20"/>
              </w:rPr>
              <w:t>: Agriculture/Forestry/Fishing) below.</w:t>
            </w:r>
          </w:p>
        </w:tc>
        <w:tc>
          <w:tcPr>
            <w:tcW w:w="2257" w:type="dxa"/>
            <w:tcBorders>
              <w:top w:val="single" w:sz="12" w:space="0" w:color="auto"/>
              <w:bottom w:val="nil"/>
            </w:tcBorders>
            <w:shd w:val="pct12" w:color="auto" w:fill="auto"/>
          </w:tcPr>
          <w:p w14:paraId="0058D832" w14:textId="77777777" w:rsidR="00DB0AA0"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DB0AA0" w14:paraId="677C0358" w14:textId="77777777">
        <w:tc>
          <w:tcPr>
            <w:tcW w:w="679" w:type="dxa"/>
            <w:tcBorders>
              <w:top w:val="single" w:sz="12" w:space="0" w:color="auto"/>
              <w:bottom w:val="nil"/>
            </w:tcBorders>
            <w:shd w:val="pct12" w:color="auto" w:fill="auto"/>
          </w:tcPr>
          <w:p w14:paraId="74515D64" w14:textId="77777777" w:rsidR="00DB0AA0" w:rsidRDefault="00DB0AA0">
            <w:pPr>
              <w:jc w:val="right"/>
              <w:rPr>
                <w:rFonts w:ascii="Arial" w:hAnsi="Arial"/>
                <w:b/>
                <w:sz w:val="20"/>
              </w:rPr>
            </w:pPr>
            <w:r>
              <w:rPr>
                <w:rFonts w:ascii="Arial" w:hAnsi="Arial"/>
                <w:b/>
                <w:sz w:val="20"/>
              </w:rPr>
              <w:t>3</w:t>
            </w:r>
          </w:p>
        </w:tc>
        <w:tc>
          <w:tcPr>
            <w:tcW w:w="422" w:type="dxa"/>
            <w:tcBorders>
              <w:top w:val="single" w:sz="12" w:space="0" w:color="auto"/>
              <w:bottom w:val="nil"/>
            </w:tcBorders>
            <w:shd w:val="pct12" w:color="auto" w:fill="auto"/>
          </w:tcPr>
          <w:p w14:paraId="7078A934" w14:textId="77777777" w:rsidR="00DB0AA0" w:rsidRDefault="00DB0AA0">
            <w:pPr>
              <w:rPr>
                <w:rFonts w:ascii="Arial" w:hAnsi="Arial"/>
                <w:b/>
                <w:sz w:val="20"/>
              </w:rPr>
            </w:pPr>
            <w:r>
              <w:rPr>
                <w:rFonts w:ascii="Arial" w:hAnsi="Arial"/>
                <w:b/>
                <w:sz w:val="20"/>
              </w:rPr>
              <w:t>E</w:t>
            </w:r>
          </w:p>
        </w:tc>
        <w:tc>
          <w:tcPr>
            <w:tcW w:w="2020" w:type="dxa"/>
            <w:tcBorders>
              <w:top w:val="single" w:sz="12" w:space="0" w:color="auto"/>
              <w:bottom w:val="nil"/>
            </w:tcBorders>
            <w:shd w:val="pct12" w:color="auto" w:fill="auto"/>
          </w:tcPr>
          <w:p w14:paraId="60003509" w14:textId="77777777" w:rsidR="00DB0AA0" w:rsidRDefault="00DB0AA0">
            <w:pPr>
              <w:rPr>
                <w:rFonts w:ascii="Arial" w:hAnsi="Arial"/>
                <w:b/>
                <w:sz w:val="20"/>
              </w:rPr>
            </w:pPr>
            <w:r>
              <w:rPr>
                <w:rFonts w:ascii="Arial" w:hAnsi="Arial"/>
                <w:b/>
                <w:sz w:val="20"/>
              </w:rPr>
              <w:t>Pipeline transport</w:t>
            </w:r>
          </w:p>
        </w:tc>
        <w:tc>
          <w:tcPr>
            <w:tcW w:w="4190" w:type="dxa"/>
            <w:tcBorders>
              <w:top w:val="single" w:sz="12" w:space="0" w:color="auto"/>
              <w:bottom w:val="nil"/>
            </w:tcBorders>
            <w:shd w:val="pct12" w:color="auto" w:fill="auto"/>
          </w:tcPr>
          <w:p w14:paraId="02FF91EF" w14:textId="77777777" w:rsidR="00DB0AA0" w:rsidRDefault="00DB0AA0">
            <w:pPr>
              <w:rPr>
                <w:rFonts w:ascii="Arial" w:hAnsi="Arial"/>
                <w:sz w:val="20"/>
              </w:rPr>
            </w:pPr>
            <w:r>
              <w:rPr>
                <w:rFonts w:ascii="Arial" w:hAnsi="Arial"/>
                <w:sz w:val="20"/>
              </w:rPr>
              <w:t>Emissions from fuels used to transport materials by pipeline.</w:t>
            </w:r>
          </w:p>
        </w:tc>
        <w:tc>
          <w:tcPr>
            <w:tcW w:w="2257" w:type="dxa"/>
            <w:tcBorders>
              <w:top w:val="single" w:sz="12" w:space="0" w:color="auto"/>
              <w:bottom w:val="nil"/>
            </w:tcBorders>
            <w:shd w:val="pct12" w:color="auto" w:fill="auto"/>
          </w:tcPr>
          <w:p w14:paraId="218E3460" w14:textId="77777777" w:rsidR="00DB0AA0"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w:t>
            </w:r>
            <w:r w:rsidRPr="0069572D">
              <w:rPr>
                <w:rFonts w:ascii="Arial" w:hAnsi="Arial"/>
                <w:sz w:val="20"/>
              </w:rPr>
              <w:t xml:space="preserve"> OC</w:t>
            </w:r>
          </w:p>
        </w:tc>
      </w:tr>
      <w:tr w:rsidR="00DB0AA0" w14:paraId="4F75E9EC" w14:textId="77777777">
        <w:tc>
          <w:tcPr>
            <w:tcW w:w="679" w:type="dxa"/>
            <w:tcBorders>
              <w:top w:val="single" w:sz="12" w:space="0" w:color="auto"/>
              <w:bottom w:val="nil"/>
            </w:tcBorders>
            <w:shd w:val="pct12" w:color="auto" w:fill="auto"/>
          </w:tcPr>
          <w:p w14:paraId="1B9927DB" w14:textId="77777777" w:rsidR="00DB0AA0" w:rsidRDefault="00DB0AA0">
            <w:pPr>
              <w:jc w:val="right"/>
              <w:rPr>
                <w:rFonts w:ascii="Arial" w:hAnsi="Arial"/>
                <w:b/>
                <w:sz w:val="20"/>
              </w:rPr>
            </w:pPr>
            <w:r>
              <w:rPr>
                <w:rFonts w:ascii="Arial" w:hAnsi="Arial"/>
                <w:b/>
                <w:sz w:val="20"/>
              </w:rPr>
              <w:t>3</w:t>
            </w:r>
          </w:p>
        </w:tc>
        <w:tc>
          <w:tcPr>
            <w:tcW w:w="422" w:type="dxa"/>
            <w:tcBorders>
              <w:top w:val="single" w:sz="12" w:space="0" w:color="auto"/>
              <w:bottom w:val="nil"/>
            </w:tcBorders>
            <w:shd w:val="pct12" w:color="auto" w:fill="auto"/>
          </w:tcPr>
          <w:p w14:paraId="5D9AAAB7" w14:textId="77777777" w:rsidR="00DB0AA0" w:rsidRDefault="00DB0AA0">
            <w:pPr>
              <w:rPr>
                <w:rFonts w:ascii="Arial" w:hAnsi="Arial"/>
                <w:b/>
                <w:sz w:val="20"/>
              </w:rPr>
            </w:pPr>
            <w:r>
              <w:rPr>
                <w:rFonts w:ascii="Arial" w:hAnsi="Arial"/>
                <w:b/>
                <w:sz w:val="20"/>
              </w:rPr>
              <w:t>F</w:t>
            </w:r>
          </w:p>
        </w:tc>
        <w:tc>
          <w:tcPr>
            <w:tcW w:w="2020" w:type="dxa"/>
            <w:tcBorders>
              <w:top w:val="single" w:sz="12" w:space="0" w:color="auto"/>
              <w:bottom w:val="nil"/>
            </w:tcBorders>
            <w:shd w:val="pct12" w:color="auto" w:fill="auto"/>
          </w:tcPr>
          <w:p w14:paraId="11940420" w14:textId="77777777" w:rsidR="00DB0AA0" w:rsidRDefault="00DB0AA0">
            <w:pPr>
              <w:rPr>
                <w:rFonts w:ascii="Arial" w:hAnsi="Arial"/>
                <w:b/>
                <w:sz w:val="20"/>
              </w:rPr>
            </w:pPr>
            <w:r>
              <w:rPr>
                <w:rFonts w:ascii="Arial" w:hAnsi="Arial"/>
                <w:b/>
                <w:sz w:val="20"/>
              </w:rPr>
              <w:t>Non-specified transport</w:t>
            </w:r>
          </w:p>
        </w:tc>
        <w:tc>
          <w:tcPr>
            <w:tcW w:w="4190" w:type="dxa"/>
            <w:tcBorders>
              <w:top w:val="single" w:sz="12" w:space="0" w:color="auto"/>
              <w:bottom w:val="nil"/>
            </w:tcBorders>
            <w:shd w:val="pct12" w:color="auto" w:fill="auto"/>
          </w:tcPr>
          <w:p w14:paraId="766F0AB3" w14:textId="77777777" w:rsidR="00DB0AA0" w:rsidRDefault="00DB0AA0">
            <w:pPr>
              <w:rPr>
                <w:rFonts w:ascii="Arial" w:hAnsi="Arial"/>
                <w:sz w:val="20"/>
              </w:rPr>
            </w:pPr>
            <w:r>
              <w:rPr>
                <w:rFonts w:ascii="Arial" w:hAnsi="Arial"/>
                <w:sz w:val="20"/>
              </w:rPr>
              <w:t>Includes fuel combustion emissions from ground activities in airports and harbours. Excluded are mobile off-road activities in Manufacturing Industries and Construction (reported under sector 2), and in Agriculture, Forestry and Fishing (covered under 4C (</w:t>
            </w:r>
            <w:r>
              <w:rPr>
                <w:rFonts w:ascii="Arial" w:hAnsi="Arial"/>
                <w:smallCaps/>
                <w:sz w:val="20"/>
              </w:rPr>
              <w:t>Other Sectors</w:t>
            </w:r>
            <w:r>
              <w:rPr>
                <w:rFonts w:ascii="Arial" w:hAnsi="Arial"/>
                <w:sz w:val="20"/>
              </w:rPr>
              <w:t>: Agriculture/ Forestry/ Fishing) below).</w:t>
            </w:r>
          </w:p>
        </w:tc>
        <w:tc>
          <w:tcPr>
            <w:tcW w:w="2257" w:type="dxa"/>
            <w:tcBorders>
              <w:top w:val="single" w:sz="12" w:space="0" w:color="auto"/>
              <w:bottom w:val="nil"/>
            </w:tcBorders>
            <w:shd w:val="pct12" w:color="auto" w:fill="auto"/>
          </w:tcPr>
          <w:p w14:paraId="1CFA7562" w14:textId="77777777" w:rsidR="00DB0AA0"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 xml:space="preserve">, </w:t>
            </w:r>
            <w:r w:rsidRPr="0069572D">
              <w:rPr>
                <w:rFonts w:ascii="Arial" w:hAnsi="Arial"/>
                <w:sz w:val="20"/>
              </w:rPr>
              <w:t>OC</w:t>
            </w:r>
          </w:p>
        </w:tc>
      </w:tr>
      <w:tr w:rsidR="00DB0AA0" w14:paraId="18087810" w14:textId="77777777">
        <w:trPr>
          <w:cantSplit/>
        </w:trPr>
        <w:tc>
          <w:tcPr>
            <w:tcW w:w="679" w:type="dxa"/>
            <w:tcBorders>
              <w:top w:val="single" w:sz="12" w:space="0" w:color="auto"/>
              <w:bottom w:val="single" w:sz="12" w:space="0" w:color="auto"/>
            </w:tcBorders>
            <w:shd w:val="pct20" w:color="auto" w:fill="auto"/>
          </w:tcPr>
          <w:p w14:paraId="799BDAD9" w14:textId="77777777" w:rsidR="00DB0AA0" w:rsidRDefault="00DB0AA0">
            <w:pPr>
              <w:jc w:val="right"/>
              <w:rPr>
                <w:rFonts w:ascii="Arial" w:hAnsi="Arial"/>
                <w:b/>
                <w:sz w:val="20"/>
              </w:rPr>
            </w:pPr>
            <w:r>
              <w:rPr>
                <w:rFonts w:ascii="Arial" w:hAnsi="Arial"/>
                <w:b/>
                <w:sz w:val="20"/>
              </w:rPr>
              <w:t>4</w:t>
            </w:r>
          </w:p>
        </w:tc>
        <w:tc>
          <w:tcPr>
            <w:tcW w:w="2442" w:type="dxa"/>
            <w:gridSpan w:val="2"/>
            <w:tcBorders>
              <w:top w:val="single" w:sz="12" w:space="0" w:color="auto"/>
              <w:bottom w:val="single" w:sz="12" w:space="0" w:color="auto"/>
            </w:tcBorders>
            <w:shd w:val="pct20" w:color="auto" w:fill="auto"/>
          </w:tcPr>
          <w:p w14:paraId="6B27A80C" w14:textId="77777777" w:rsidR="00DB0AA0" w:rsidRDefault="00DB0AA0">
            <w:pPr>
              <w:jc w:val="left"/>
              <w:rPr>
                <w:rFonts w:ascii="Arial" w:hAnsi="Arial"/>
                <w:smallCaps/>
                <w:sz w:val="20"/>
              </w:rPr>
            </w:pPr>
            <w:r>
              <w:rPr>
                <w:rFonts w:ascii="Arial" w:hAnsi="Arial"/>
                <w:b/>
                <w:smallCaps/>
              </w:rPr>
              <w:t>Combustion  in other sectors</w:t>
            </w:r>
            <w:r>
              <w:rPr>
                <w:rFonts w:ascii="Arial" w:hAnsi="Arial"/>
                <w:b/>
                <w:smallCaps/>
                <w:sz w:val="20"/>
              </w:rPr>
              <w:t xml:space="preserve"> </w:t>
            </w:r>
          </w:p>
        </w:tc>
        <w:tc>
          <w:tcPr>
            <w:tcW w:w="4190" w:type="dxa"/>
            <w:tcBorders>
              <w:top w:val="single" w:sz="12" w:space="0" w:color="auto"/>
              <w:bottom w:val="single" w:sz="12" w:space="0" w:color="auto"/>
            </w:tcBorders>
            <w:shd w:val="pct20" w:color="auto" w:fill="auto"/>
          </w:tcPr>
          <w:p w14:paraId="6B66BFE1" w14:textId="77777777" w:rsidR="00DB0AA0" w:rsidRDefault="00DB0AA0">
            <w:pPr>
              <w:rPr>
                <w:rFonts w:ascii="Arial" w:hAnsi="Arial"/>
                <w:sz w:val="20"/>
              </w:rPr>
            </w:pPr>
          </w:p>
        </w:tc>
        <w:tc>
          <w:tcPr>
            <w:tcW w:w="2257" w:type="dxa"/>
            <w:tcBorders>
              <w:top w:val="single" w:sz="12" w:space="0" w:color="auto"/>
              <w:bottom w:val="single" w:sz="12" w:space="0" w:color="auto"/>
            </w:tcBorders>
            <w:shd w:val="pct20" w:color="auto" w:fill="auto"/>
          </w:tcPr>
          <w:p w14:paraId="5FDC0DC0" w14:textId="77777777" w:rsidR="00DB0AA0" w:rsidRDefault="00DB0AA0">
            <w:pPr>
              <w:rPr>
                <w:rFonts w:ascii="Arial" w:hAnsi="Arial"/>
                <w:sz w:val="20"/>
              </w:rPr>
            </w:pPr>
          </w:p>
        </w:tc>
      </w:tr>
      <w:tr w:rsidR="00DB0AA0" w14:paraId="062DCA00" w14:textId="77777777">
        <w:tc>
          <w:tcPr>
            <w:tcW w:w="679" w:type="dxa"/>
            <w:tcBorders>
              <w:top w:val="nil"/>
              <w:bottom w:val="single" w:sz="12" w:space="0" w:color="auto"/>
            </w:tcBorders>
            <w:shd w:val="pct12" w:color="auto" w:fill="auto"/>
          </w:tcPr>
          <w:p w14:paraId="17F2B437" w14:textId="77777777" w:rsidR="00DB0AA0" w:rsidRDefault="00DB0AA0">
            <w:pPr>
              <w:jc w:val="right"/>
              <w:rPr>
                <w:rFonts w:ascii="Arial" w:hAnsi="Arial"/>
                <w:b/>
                <w:sz w:val="20"/>
              </w:rPr>
            </w:pPr>
            <w:r>
              <w:rPr>
                <w:rFonts w:ascii="Arial" w:hAnsi="Arial"/>
                <w:b/>
                <w:sz w:val="20"/>
              </w:rPr>
              <w:t>4</w:t>
            </w:r>
          </w:p>
        </w:tc>
        <w:tc>
          <w:tcPr>
            <w:tcW w:w="422" w:type="dxa"/>
            <w:tcBorders>
              <w:top w:val="nil"/>
              <w:bottom w:val="single" w:sz="12" w:space="0" w:color="auto"/>
            </w:tcBorders>
            <w:shd w:val="pct12" w:color="auto" w:fill="auto"/>
          </w:tcPr>
          <w:p w14:paraId="54F85083" w14:textId="77777777" w:rsidR="00DB0AA0" w:rsidRDefault="00DB0AA0">
            <w:pPr>
              <w:rPr>
                <w:rFonts w:ascii="Arial" w:hAnsi="Arial"/>
                <w:b/>
                <w:sz w:val="20"/>
              </w:rPr>
            </w:pPr>
            <w:r>
              <w:rPr>
                <w:rFonts w:ascii="Arial" w:hAnsi="Arial"/>
                <w:b/>
                <w:sz w:val="20"/>
              </w:rPr>
              <w:t>A</w:t>
            </w:r>
          </w:p>
        </w:tc>
        <w:tc>
          <w:tcPr>
            <w:tcW w:w="2020" w:type="dxa"/>
            <w:tcBorders>
              <w:top w:val="nil"/>
              <w:bottom w:val="single" w:sz="12" w:space="0" w:color="auto"/>
            </w:tcBorders>
            <w:shd w:val="pct12" w:color="auto" w:fill="auto"/>
          </w:tcPr>
          <w:p w14:paraId="553583B6" w14:textId="77777777" w:rsidR="00DB0AA0" w:rsidRDefault="00DB0AA0">
            <w:pPr>
              <w:rPr>
                <w:rFonts w:ascii="Arial" w:hAnsi="Arial"/>
                <w:b/>
                <w:sz w:val="20"/>
              </w:rPr>
            </w:pPr>
            <w:r>
              <w:rPr>
                <w:rFonts w:ascii="Arial" w:hAnsi="Arial"/>
                <w:b/>
                <w:sz w:val="20"/>
              </w:rPr>
              <w:t>Commercial/</w:t>
            </w:r>
          </w:p>
          <w:p w14:paraId="010AB9F5" w14:textId="77777777" w:rsidR="00DB0AA0" w:rsidRDefault="00DB0AA0">
            <w:pPr>
              <w:rPr>
                <w:rFonts w:ascii="Arial" w:hAnsi="Arial"/>
                <w:b/>
                <w:sz w:val="20"/>
              </w:rPr>
            </w:pPr>
            <w:r>
              <w:rPr>
                <w:rFonts w:ascii="Arial" w:hAnsi="Arial"/>
                <w:b/>
                <w:sz w:val="20"/>
              </w:rPr>
              <w:t>Institutional</w:t>
            </w:r>
          </w:p>
        </w:tc>
        <w:tc>
          <w:tcPr>
            <w:tcW w:w="4190" w:type="dxa"/>
            <w:tcBorders>
              <w:top w:val="nil"/>
              <w:bottom w:val="single" w:sz="12" w:space="0" w:color="auto"/>
            </w:tcBorders>
            <w:shd w:val="pct12" w:color="auto" w:fill="auto"/>
          </w:tcPr>
          <w:p w14:paraId="138CA181" w14:textId="50439C4C" w:rsidR="00DB0AA0" w:rsidRDefault="00DB0AA0" w:rsidP="00B03EEB">
            <w:pPr>
              <w:pStyle w:val="CommentText"/>
              <w:rPr>
                <w:rFonts w:ascii="Arial" w:hAnsi="Arial"/>
              </w:rPr>
            </w:pPr>
            <w:r>
              <w:rPr>
                <w:rFonts w:ascii="Arial" w:hAnsi="Arial"/>
              </w:rPr>
              <w:t xml:space="preserve">Emissions from fuel combustion in commercial and institutional buildings </w:t>
            </w:r>
          </w:p>
        </w:tc>
        <w:tc>
          <w:tcPr>
            <w:tcW w:w="2257" w:type="dxa"/>
            <w:tcBorders>
              <w:top w:val="nil"/>
              <w:bottom w:val="single" w:sz="12" w:space="0" w:color="auto"/>
            </w:tcBorders>
            <w:shd w:val="pct12" w:color="auto" w:fill="auto"/>
          </w:tcPr>
          <w:p w14:paraId="151C9FDE" w14:textId="77777777" w:rsidR="00DB0AA0" w:rsidRDefault="004B5A0D" w:rsidP="004B5A0D">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 and OC</w:t>
            </w:r>
          </w:p>
        </w:tc>
      </w:tr>
      <w:tr w:rsidR="00DB0AA0" w14:paraId="1589DD19" w14:textId="77777777">
        <w:tc>
          <w:tcPr>
            <w:tcW w:w="679" w:type="dxa"/>
            <w:tcBorders>
              <w:top w:val="single" w:sz="12" w:space="0" w:color="auto"/>
              <w:bottom w:val="single" w:sz="12" w:space="0" w:color="auto"/>
            </w:tcBorders>
            <w:shd w:val="pct12" w:color="auto" w:fill="auto"/>
          </w:tcPr>
          <w:p w14:paraId="25AB22A1" w14:textId="77777777" w:rsidR="00DB0AA0" w:rsidRDefault="00DB0AA0">
            <w:pPr>
              <w:jc w:val="right"/>
              <w:rPr>
                <w:rFonts w:ascii="Arial" w:hAnsi="Arial"/>
                <w:b/>
                <w:sz w:val="20"/>
              </w:rPr>
            </w:pPr>
            <w:r>
              <w:rPr>
                <w:rFonts w:ascii="Arial" w:hAnsi="Arial"/>
                <w:b/>
                <w:sz w:val="20"/>
              </w:rPr>
              <w:t>4</w:t>
            </w:r>
          </w:p>
        </w:tc>
        <w:tc>
          <w:tcPr>
            <w:tcW w:w="422" w:type="dxa"/>
            <w:tcBorders>
              <w:top w:val="single" w:sz="12" w:space="0" w:color="auto"/>
              <w:bottom w:val="single" w:sz="12" w:space="0" w:color="auto"/>
            </w:tcBorders>
            <w:shd w:val="pct12" w:color="auto" w:fill="auto"/>
          </w:tcPr>
          <w:p w14:paraId="315C344C" w14:textId="77777777" w:rsidR="00DB0AA0" w:rsidRDefault="00DB0AA0">
            <w:pPr>
              <w:rPr>
                <w:rFonts w:ascii="Arial" w:hAnsi="Arial"/>
                <w:b/>
                <w:sz w:val="20"/>
              </w:rPr>
            </w:pPr>
            <w:r>
              <w:rPr>
                <w:rFonts w:ascii="Arial" w:hAnsi="Arial"/>
                <w:b/>
                <w:sz w:val="20"/>
              </w:rPr>
              <w:t>B</w:t>
            </w:r>
          </w:p>
        </w:tc>
        <w:tc>
          <w:tcPr>
            <w:tcW w:w="2020" w:type="dxa"/>
            <w:tcBorders>
              <w:top w:val="single" w:sz="12" w:space="0" w:color="auto"/>
              <w:bottom w:val="single" w:sz="12" w:space="0" w:color="auto"/>
            </w:tcBorders>
            <w:shd w:val="pct12" w:color="auto" w:fill="auto"/>
          </w:tcPr>
          <w:p w14:paraId="394F137A" w14:textId="77777777" w:rsidR="00DB0AA0" w:rsidRDefault="00DB0AA0">
            <w:pPr>
              <w:rPr>
                <w:rFonts w:ascii="Arial" w:hAnsi="Arial"/>
                <w:b/>
                <w:sz w:val="20"/>
              </w:rPr>
            </w:pPr>
            <w:r>
              <w:rPr>
                <w:rFonts w:ascii="Arial" w:hAnsi="Arial"/>
                <w:b/>
                <w:sz w:val="20"/>
              </w:rPr>
              <w:t>Residential</w:t>
            </w:r>
          </w:p>
        </w:tc>
        <w:tc>
          <w:tcPr>
            <w:tcW w:w="4190" w:type="dxa"/>
            <w:tcBorders>
              <w:top w:val="single" w:sz="12" w:space="0" w:color="auto"/>
              <w:bottom w:val="single" w:sz="12" w:space="0" w:color="auto"/>
            </w:tcBorders>
            <w:shd w:val="pct12" w:color="auto" w:fill="auto"/>
          </w:tcPr>
          <w:p w14:paraId="29AAF292" w14:textId="77777777" w:rsidR="00DB0AA0" w:rsidRDefault="00DB0AA0">
            <w:pPr>
              <w:rPr>
                <w:rFonts w:ascii="Arial" w:hAnsi="Arial"/>
                <w:snapToGrid w:val="0"/>
                <w:color w:val="000000"/>
                <w:sz w:val="20"/>
              </w:rPr>
            </w:pPr>
            <w:r>
              <w:rPr>
                <w:rFonts w:ascii="Arial" w:hAnsi="Arial"/>
                <w:snapToGrid w:val="0"/>
                <w:color w:val="000000"/>
                <w:sz w:val="20"/>
              </w:rPr>
              <w:t>Emissions from domestic fuel combustion within households.</w:t>
            </w:r>
          </w:p>
        </w:tc>
        <w:tc>
          <w:tcPr>
            <w:tcW w:w="2257" w:type="dxa"/>
            <w:tcBorders>
              <w:top w:val="single" w:sz="12" w:space="0" w:color="auto"/>
              <w:bottom w:val="single" w:sz="12" w:space="0" w:color="auto"/>
            </w:tcBorders>
            <w:shd w:val="pct12" w:color="auto" w:fill="auto"/>
          </w:tcPr>
          <w:p w14:paraId="1E289286" w14:textId="77777777" w:rsidR="00DB0AA0"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w:t>
            </w:r>
            <w:r w:rsidRPr="0069572D">
              <w:rPr>
                <w:rFonts w:ascii="Arial" w:hAnsi="Arial"/>
                <w:sz w:val="20"/>
              </w:rPr>
              <w:t>OC</w:t>
            </w:r>
          </w:p>
        </w:tc>
      </w:tr>
      <w:tr w:rsidR="00DB0AA0" w14:paraId="5E33787B" w14:textId="77777777">
        <w:tc>
          <w:tcPr>
            <w:tcW w:w="679" w:type="dxa"/>
            <w:tcBorders>
              <w:top w:val="single" w:sz="12" w:space="0" w:color="auto"/>
              <w:bottom w:val="single" w:sz="12" w:space="0" w:color="auto"/>
            </w:tcBorders>
            <w:shd w:val="pct12" w:color="auto" w:fill="auto"/>
          </w:tcPr>
          <w:p w14:paraId="64F3C752" w14:textId="77777777" w:rsidR="00DB0AA0" w:rsidRDefault="00DB0AA0">
            <w:pPr>
              <w:jc w:val="right"/>
              <w:rPr>
                <w:rFonts w:ascii="Arial" w:hAnsi="Arial"/>
                <w:b/>
                <w:sz w:val="20"/>
              </w:rPr>
            </w:pPr>
            <w:r>
              <w:rPr>
                <w:rFonts w:ascii="Arial" w:hAnsi="Arial"/>
                <w:b/>
                <w:sz w:val="20"/>
              </w:rPr>
              <w:t>4</w:t>
            </w:r>
          </w:p>
        </w:tc>
        <w:tc>
          <w:tcPr>
            <w:tcW w:w="422" w:type="dxa"/>
            <w:tcBorders>
              <w:top w:val="single" w:sz="12" w:space="0" w:color="auto"/>
              <w:bottom w:val="single" w:sz="12" w:space="0" w:color="auto"/>
            </w:tcBorders>
            <w:shd w:val="pct12" w:color="auto" w:fill="auto"/>
          </w:tcPr>
          <w:p w14:paraId="77327A50" w14:textId="77777777" w:rsidR="00DB0AA0" w:rsidRDefault="00DB0AA0">
            <w:pPr>
              <w:rPr>
                <w:rFonts w:ascii="Arial" w:hAnsi="Arial"/>
                <w:b/>
                <w:sz w:val="20"/>
              </w:rPr>
            </w:pPr>
            <w:r>
              <w:rPr>
                <w:rFonts w:ascii="Arial" w:hAnsi="Arial"/>
                <w:b/>
                <w:sz w:val="20"/>
              </w:rPr>
              <w:t>C</w:t>
            </w:r>
          </w:p>
        </w:tc>
        <w:tc>
          <w:tcPr>
            <w:tcW w:w="2020" w:type="dxa"/>
            <w:tcBorders>
              <w:top w:val="single" w:sz="12" w:space="0" w:color="auto"/>
              <w:bottom w:val="single" w:sz="12" w:space="0" w:color="auto"/>
            </w:tcBorders>
            <w:shd w:val="pct12" w:color="auto" w:fill="auto"/>
          </w:tcPr>
          <w:p w14:paraId="668B53FC" w14:textId="77777777" w:rsidR="00DB0AA0" w:rsidRDefault="00DB0AA0">
            <w:pPr>
              <w:rPr>
                <w:rFonts w:ascii="Arial" w:hAnsi="Arial"/>
                <w:b/>
                <w:sz w:val="20"/>
              </w:rPr>
            </w:pPr>
            <w:r>
              <w:rPr>
                <w:rFonts w:ascii="Arial" w:hAnsi="Arial"/>
                <w:b/>
                <w:sz w:val="20"/>
              </w:rPr>
              <w:t>Agriculture/ Forestry/Fishing</w:t>
            </w:r>
          </w:p>
        </w:tc>
        <w:tc>
          <w:tcPr>
            <w:tcW w:w="4190" w:type="dxa"/>
            <w:tcBorders>
              <w:top w:val="single" w:sz="12" w:space="0" w:color="auto"/>
              <w:bottom w:val="single" w:sz="12" w:space="0" w:color="auto"/>
            </w:tcBorders>
            <w:shd w:val="pct12" w:color="auto" w:fill="auto"/>
          </w:tcPr>
          <w:p w14:paraId="0A21CD62" w14:textId="20A2D328" w:rsidR="00DB0AA0" w:rsidRDefault="00DB0AA0" w:rsidP="00B03EEB">
            <w:pPr>
              <w:rPr>
                <w:rFonts w:ascii="Arial" w:hAnsi="Arial"/>
                <w:snapToGrid w:val="0"/>
                <w:color w:val="000000"/>
                <w:sz w:val="20"/>
              </w:rPr>
            </w:pPr>
            <w:r>
              <w:rPr>
                <w:rFonts w:ascii="Arial" w:hAnsi="Arial"/>
                <w:snapToGrid w:val="0"/>
                <w:color w:val="000000"/>
                <w:sz w:val="20"/>
              </w:rPr>
              <w:t xml:space="preserve">Emissions from fuel combustion (including mobile off-road activities) in agriculture, forestry and domestic inland, coastal or deep-sea fishing. </w:t>
            </w:r>
          </w:p>
        </w:tc>
        <w:tc>
          <w:tcPr>
            <w:tcW w:w="2257" w:type="dxa"/>
            <w:tcBorders>
              <w:top w:val="single" w:sz="12" w:space="0" w:color="auto"/>
              <w:bottom w:val="single" w:sz="12" w:space="0" w:color="auto"/>
            </w:tcBorders>
            <w:shd w:val="pct12" w:color="auto" w:fill="auto"/>
          </w:tcPr>
          <w:p w14:paraId="4DD0CC1E" w14:textId="77777777" w:rsidR="00DB0AA0" w:rsidRDefault="004B5A0D"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CO</w:t>
            </w:r>
            <w:r w:rsidRPr="0069572D">
              <w:rPr>
                <w:rFonts w:ascii="Arial" w:hAnsi="Arial"/>
                <w:sz w:val="20"/>
                <w:vertAlign w:val="subscript"/>
              </w:rPr>
              <w:t>2</w:t>
            </w:r>
            <w:r>
              <w:rPr>
                <w:rFonts w:ascii="Arial" w:hAnsi="Arial"/>
                <w:sz w:val="20"/>
              </w:rPr>
              <w:t>,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sidR="003E7B99">
              <w:rPr>
                <w:rFonts w:ascii="Arial" w:hAnsi="Arial"/>
                <w:sz w:val="20"/>
              </w:rPr>
              <w:t xml:space="preserve">, </w:t>
            </w:r>
            <w:r w:rsidRPr="0069572D">
              <w:rPr>
                <w:rFonts w:ascii="Arial" w:hAnsi="Arial"/>
                <w:sz w:val="20"/>
              </w:rPr>
              <w:t>OC</w:t>
            </w:r>
          </w:p>
        </w:tc>
      </w:tr>
      <w:bookmarkEnd w:id="71"/>
    </w:tbl>
    <w:p w14:paraId="77A201DD" w14:textId="77777777" w:rsidR="00C46552" w:rsidRDefault="00C46552"/>
    <w:p w14:paraId="1D2E6CCE" w14:textId="77777777" w:rsidR="00C46552" w:rsidRDefault="00C46552"/>
    <w:p w14:paraId="1910D582" w14:textId="77777777" w:rsidR="00C46552" w:rsidRDefault="00C46552">
      <w:r>
        <w:br w:type="column"/>
      </w:r>
    </w:p>
    <w:p w14:paraId="35DB9852" w14:textId="77777777" w:rsidR="00C46552" w:rsidRDefault="002271CD">
      <w:pPr>
        <w:jc w:val="center"/>
        <w:rPr>
          <w:b/>
          <w:i/>
        </w:rPr>
      </w:pPr>
      <w:r>
        <w:rPr>
          <w:b/>
          <w:i/>
        </w:rPr>
        <w:t xml:space="preserve">Table </w:t>
      </w:r>
      <w:r w:rsidR="00260E07">
        <w:rPr>
          <w:b/>
          <w:i/>
        </w:rPr>
        <w:t>2</w:t>
      </w:r>
      <w:r w:rsidR="00C46552">
        <w:rPr>
          <w:b/>
          <w:i/>
        </w:rPr>
        <w:t>-</w:t>
      </w:r>
      <w:r w:rsidR="003851C6">
        <w:rPr>
          <w:b/>
          <w:i/>
        </w:rPr>
        <w:t>3</w:t>
      </w:r>
      <w:r w:rsidR="00C46552">
        <w:rPr>
          <w:b/>
          <w:i/>
        </w:rPr>
        <w:t xml:space="preserve"> (Continued)</w:t>
      </w:r>
    </w:p>
    <w:p w14:paraId="446F4F31" w14:textId="77777777" w:rsidR="00C46552" w:rsidRDefault="00C46552"/>
    <w:tbl>
      <w:tblPr>
        <w:tblW w:w="959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67"/>
        <w:gridCol w:w="709"/>
        <w:gridCol w:w="392"/>
        <w:gridCol w:w="2017"/>
        <w:gridCol w:w="4003"/>
        <w:gridCol w:w="1906"/>
      </w:tblGrid>
      <w:tr w:rsidR="00C46552" w14:paraId="6FA28187" w14:textId="77777777">
        <w:trPr>
          <w:cantSplit/>
        </w:trPr>
        <w:tc>
          <w:tcPr>
            <w:tcW w:w="567" w:type="dxa"/>
            <w:tcBorders>
              <w:top w:val="single" w:sz="12" w:space="0" w:color="auto"/>
              <w:bottom w:val="nil"/>
            </w:tcBorders>
            <w:shd w:val="clear" w:color="auto" w:fill="FFFFFF"/>
          </w:tcPr>
          <w:p w14:paraId="7D3DD6A0" w14:textId="77777777" w:rsidR="00C46552" w:rsidRDefault="00C46552">
            <w:pPr>
              <w:jc w:val="right"/>
              <w:rPr>
                <w:rFonts w:ascii="Arial" w:hAnsi="Arial"/>
                <w:b/>
                <w:sz w:val="20"/>
              </w:rPr>
            </w:pPr>
            <w:bookmarkStart w:id="72" w:name="OLE_LINK5"/>
          </w:p>
        </w:tc>
        <w:tc>
          <w:tcPr>
            <w:tcW w:w="3118" w:type="dxa"/>
            <w:gridSpan w:val="3"/>
            <w:tcBorders>
              <w:top w:val="single" w:sz="12" w:space="0" w:color="auto"/>
              <w:bottom w:val="nil"/>
            </w:tcBorders>
            <w:shd w:val="clear" w:color="auto" w:fill="FFFFFF"/>
          </w:tcPr>
          <w:p w14:paraId="485FB16F" w14:textId="77777777" w:rsidR="00C46552" w:rsidRDefault="00C46552">
            <w:pPr>
              <w:rPr>
                <w:rFonts w:ascii="Arial" w:hAnsi="Arial"/>
                <w:b/>
                <w:sz w:val="20"/>
              </w:rPr>
            </w:pPr>
            <w:r>
              <w:rPr>
                <w:rFonts w:ascii="Arial" w:hAnsi="Arial"/>
                <w:b/>
                <w:sz w:val="20"/>
              </w:rPr>
              <w:t>Sector</w:t>
            </w:r>
          </w:p>
        </w:tc>
        <w:tc>
          <w:tcPr>
            <w:tcW w:w="4003" w:type="dxa"/>
            <w:tcBorders>
              <w:top w:val="single" w:sz="12" w:space="0" w:color="auto"/>
              <w:bottom w:val="nil"/>
            </w:tcBorders>
            <w:shd w:val="clear" w:color="auto" w:fill="FFFFFF"/>
          </w:tcPr>
          <w:p w14:paraId="1A26CC2A" w14:textId="77777777" w:rsidR="00C46552" w:rsidRDefault="00C46552">
            <w:pPr>
              <w:rPr>
                <w:rFonts w:ascii="Arial" w:hAnsi="Arial"/>
                <w:sz w:val="20"/>
              </w:rPr>
            </w:pPr>
            <w:r>
              <w:rPr>
                <w:rFonts w:ascii="Arial" w:hAnsi="Arial"/>
                <w:b/>
                <w:sz w:val="20"/>
              </w:rPr>
              <w:t>Comments</w:t>
            </w:r>
          </w:p>
        </w:tc>
        <w:tc>
          <w:tcPr>
            <w:tcW w:w="1906" w:type="dxa"/>
            <w:tcBorders>
              <w:top w:val="single" w:sz="12" w:space="0" w:color="auto"/>
              <w:bottom w:val="nil"/>
            </w:tcBorders>
            <w:shd w:val="clear" w:color="auto" w:fill="FFFFFF"/>
          </w:tcPr>
          <w:p w14:paraId="5D731CC1" w14:textId="77777777" w:rsidR="00C46552" w:rsidRDefault="00C46552">
            <w:pPr>
              <w:rPr>
                <w:rFonts w:ascii="Arial" w:hAnsi="Arial"/>
                <w:b/>
                <w:sz w:val="20"/>
              </w:rPr>
            </w:pPr>
            <w:r>
              <w:rPr>
                <w:rFonts w:ascii="Arial" w:hAnsi="Arial"/>
                <w:b/>
                <w:sz w:val="20"/>
              </w:rPr>
              <w:t xml:space="preserve">Pollutants </w:t>
            </w:r>
          </w:p>
          <w:p w14:paraId="24230C7B" w14:textId="77777777" w:rsidR="00C46552" w:rsidRDefault="00C46552">
            <w:pPr>
              <w:rPr>
                <w:rFonts w:ascii="Arial" w:hAnsi="Arial"/>
                <w:sz w:val="20"/>
              </w:rPr>
            </w:pPr>
          </w:p>
        </w:tc>
      </w:tr>
      <w:tr w:rsidR="00C46552" w14:paraId="7194F007" w14:textId="77777777">
        <w:trPr>
          <w:cantSplit/>
        </w:trPr>
        <w:tc>
          <w:tcPr>
            <w:tcW w:w="567" w:type="dxa"/>
            <w:tcBorders>
              <w:top w:val="single" w:sz="12" w:space="0" w:color="auto"/>
              <w:bottom w:val="single" w:sz="12" w:space="0" w:color="auto"/>
            </w:tcBorders>
            <w:shd w:val="pct20" w:color="auto" w:fill="auto"/>
          </w:tcPr>
          <w:p w14:paraId="485016BF" w14:textId="77777777" w:rsidR="00C46552" w:rsidRDefault="00C46552">
            <w:pPr>
              <w:jc w:val="right"/>
              <w:rPr>
                <w:rFonts w:ascii="Arial" w:hAnsi="Arial"/>
                <w:b/>
                <w:sz w:val="20"/>
              </w:rPr>
            </w:pPr>
            <w:r>
              <w:rPr>
                <w:rFonts w:ascii="Arial" w:hAnsi="Arial"/>
                <w:b/>
                <w:sz w:val="20"/>
              </w:rPr>
              <w:t>5</w:t>
            </w:r>
          </w:p>
        </w:tc>
        <w:tc>
          <w:tcPr>
            <w:tcW w:w="3118" w:type="dxa"/>
            <w:gridSpan w:val="3"/>
            <w:tcBorders>
              <w:top w:val="single" w:sz="12" w:space="0" w:color="auto"/>
              <w:bottom w:val="single" w:sz="12" w:space="0" w:color="auto"/>
            </w:tcBorders>
            <w:shd w:val="pct20" w:color="auto" w:fill="auto"/>
          </w:tcPr>
          <w:p w14:paraId="43857D38" w14:textId="77777777" w:rsidR="00C46552" w:rsidRDefault="00C46552">
            <w:pPr>
              <w:jc w:val="left"/>
              <w:rPr>
                <w:rFonts w:ascii="Arial" w:hAnsi="Arial"/>
                <w:b/>
                <w:smallCaps/>
              </w:rPr>
            </w:pPr>
            <w:r>
              <w:rPr>
                <w:rFonts w:ascii="Arial" w:hAnsi="Arial"/>
                <w:b/>
                <w:smallCaps/>
              </w:rPr>
              <w:t>Fugitive emissions from fuels</w:t>
            </w:r>
          </w:p>
        </w:tc>
        <w:tc>
          <w:tcPr>
            <w:tcW w:w="4003" w:type="dxa"/>
            <w:tcBorders>
              <w:top w:val="single" w:sz="12" w:space="0" w:color="auto"/>
              <w:bottom w:val="single" w:sz="12" w:space="0" w:color="auto"/>
            </w:tcBorders>
            <w:shd w:val="pct20" w:color="auto" w:fill="auto"/>
          </w:tcPr>
          <w:p w14:paraId="7321B365" w14:textId="77777777" w:rsidR="00C46552" w:rsidRDefault="00FA56FC" w:rsidP="00500ED8">
            <w:pPr>
              <w:rPr>
                <w:rFonts w:ascii="Arial" w:hAnsi="Arial"/>
                <w:snapToGrid w:val="0"/>
                <w:color w:val="000000"/>
                <w:sz w:val="20"/>
              </w:rPr>
            </w:pPr>
            <w:r>
              <w:rPr>
                <w:rFonts w:ascii="Arial" w:hAnsi="Arial"/>
                <w:sz w:val="20"/>
              </w:rPr>
              <w:t>Non-combustion activities related to the extraction, processing, storage, distribution and use of fuels. Includes emissions of NMVOCs from crude oil exploration, production and transport; oil refining; the distribution and handling of gasoline: the production and distribution of natural gas: emissions of NMVOC and PM from the production of coke</w:t>
            </w:r>
            <w:r w:rsidR="00500ED8">
              <w:rPr>
                <w:rFonts w:ascii="Arial" w:hAnsi="Arial"/>
                <w:sz w:val="20"/>
              </w:rPr>
              <w:t>: and release of methane from coal mining</w:t>
            </w:r>
            <w:r>
              <w:rPr>
                <w:rFonts w:ascii="Arial" w:hAnsi="Arial"/>
                <w:sz w:val="20"/>
              </w:rPr>
              <w:t>. Excluded are evaporative emissions from vehicles, which are dealt with under the Transport sector.</w:t>
            </w:r>
          </w:p>
        </w:tc>
        <w:tc>
          <w:tcPr>
            <w:tcW w:w="1906" w:type="dxa"/>
            <w:tcBorders>
              <w:top w:val="single" w:sz="12" w:space="0" w:color="auto"/>
              <w:bottom w:val="single" w:sz="12" w:space="0" w:color="auto"/>
            </w:tcBorders>
            <w:shd w:val="pct20" w:color="auto" w:fill="auto"/>
          </w:tcPr>
          <w:p w14:paraId="6EEC12AA" w14:textId="77777777" w:rsidR="00C46552" w:rsidRDefault="00C46552">
            <w:pPr>
              <w:rPr>
                <w:rFonts w:ascii="Arial" w:hAnsi="Arial"/>
                <w:sz w:val="20"/>
              </w:rPr>
            </w:pPr>
          </w:p>
        </w:tc>
      </w:tr>
      <w:tr w:rsidR="00C46552" w14:paraId="534F604B" w14:textId="77777777">
        <w:trPr>
          <w:cantSplit/>
        </w:trPr>
        <w:tc>
          <w:tcPr>
            <w:tcW w:w="567" w:type="dxa"/>
            <w:tcBorders>
              <w:top w:val="nil"/>
            </w:tcBorders>
            <w:shd w:val="pct12" w:color="auto" w:fill="auto"/>
          </w:tcPr>
          <w:p w14:paraId="79C92883" w14:textId="77777777" w:rsidR="00C46552" w:rsidRDefault="00C46552">
            <w:pPr>
              <w:jc w:val="right"/>
              <w:rPr>
                <w:rFonts w:ascii="Arial" w:hAnsi="Arial"/>
                <w:b/>
                <w:sz w:val="20"/>
              </w:rPr>
            </w:pPr>
          </w:p>
        </w:tc>
        <w:tc>
          <w:tcPr>
            <w:tcW w:w="709" w:type="dxa"/>
            <w:tcBorders>
              <w:top w:val="nil"/>
              <w:bottom w:val="nil"/>
            </w:tcBorders>
            <w:shd w:val="pct12" w:color="auto" w:fill="auto"/>
          </w:tcPr>
          <w:p w14:paraId="3524200D" w14:textId="77777777" w:rsidR="00C46552" w:rsidRDefault="00C46552">
            <w:pPr>
              <w:jc w:val="right"/>
              <w:rPr>
                <w:rFonts w:ascii="Arial" w:hAnsi="Arial"/>
                <w:b/>
                <w:sz w:val="20"/>
              </w:rPr>
            </w:pPr>
            <w:r>
              <w:rPr>
                <w:rFonts w:ascii="Arial" w:hAnsi="Arial"/>
                <w:b/>
                <w:sz w:val="20"/>
              </w:rPr>
              <w:t>5A</w:t>
            </w:r>
          </w:p>
        </w:tc>
        <w:tc>
          <w:tcPr>
            <w:tcW w:w="2409" w:type="dxa"/>
            <w:gridSpan w:val="2"/>
            <w:tcBorders>
              <w:top w:val="nil"/>
              <w:bottom w:val="nil"/>
            </w:tcBorders>
            <w:shd w:val="pct12" w:color="auto" w:fill="auto"/>
          </w:tcPr>
          <w:p w14:paraId="45EE734E" w14:textId="77777777" w:rsidR="00C46552" w:rsidRDefault="00C46552">
            <w:pPr>
              <w:rPr>
                <w:rFonts w:ascii="Arial" w:hAnsi="Arial"/>
                <w:b/>
                <w:sz w:val="20"/>
              </w:rPr>
            </w:pPr>
            <w:r>
              <w:rPr>
                <w:rFonts w:ascii="Arial" w:hAnsi="Arial"/>
                <w:b/>
                <w:sz w:val="20"/>
              </w:rPr>
              <w:t>Solid fuels</w:t>
            </w:r>
          </w:p>
        </w:tc>
        <w:tc>
          <w:tcPr>
            <w:tcW w:w="4003" w:type="dxa"/>
            <w:tcBorders>
              <w:top w:val="nil"/>
              <w:bottom w:val="nil"/>
            </w:tcBorders>
            <w:shd w:val="pct12" w:color="auto" w:fill="auto"/>
          </w:tcPr>
          <w:p w14:paraId="67CA5658" w14:textId="77777777" w:rsidR="00500ED8" w:rsidRPr="002722D9" w:rsidRDefault="00F94088" w:rsidP="00F94088">
            <w:pPr>
              <w:rPr>
                <w:rFonts w:ascii="Arial" w:hAnsi="Arial"/>
                <w:snapToGrid w:val="0"/>
                <w:color w:val="000000"/>
                <w:sz w:val="20"/>
              </w:rPr>
            </w:pPr>
            <w:r w:rsidRPr="00F94088">
              <w:rPr>
                <w:rFonts w:ascii="Arial" w:hAnsi="Arial"/>
                <w:snapToGrid w:val="0"/>
                <w:color w:val="000000"/>
                <w:sz w:val="20"/>
              </w:rPr>
              <w:t>(i</w:t>
            </w:r>
            <w:r>
              <w:rPr>
                <w:rFonts w:ascii="Arial" w:hAnsi="Arial"/>
                <w:snapToGrid w:val="0"/>
                <w:color w:val="000000"/>
                <w:sz w:val="20"/>
              </w:rPr>
              <w:t xml:space="preserve">) </w:t>
            </w:r>
            <w:r w:rsidR="00C46552" w:rsidRPr="002722D9">
              <w:rPr>
                <w:rFonts w:ascii="Arial" w:hAnsi="Arial"/>
                <w:snapToGrid w:val="0"/>
                <w:color w:val="000000"/>
                <w:sz w:val="20"/>
              </w:rPr>
              <w:t xml:space="preserve">Fugitive emissions from the </w:t>
            </w:r>
            <w:r w:rsidR="00C46552" w:rsidRPr="002722D9">
              <w:rPr>
                <w:rFonts w:ascii="Arial" w:hAnsi="Arial"/>
                <w:i/>
                <w:snapToGrid w:val="0"/>
                <w:color w:val="000000"/>
                <w:sz w:val="20"/>
              </w:rPr>
              <w:t>manufacture of coke</w:t>
            </w:r>
            <w:r w:rsidR="00C46552" w:rsidRPr="002722D9">
              <w:rPr>
                <w:rFonts w:ascii="Arial" w:hAnsi="Arial"/>
                <w:snapToGrid w:val="0"/>
                <w:color w:val="000000"/>
                <w:sz w:val="20"/>
              </w:rPr>
              <w:t xml:space="preserve">. </w:t>
            </w:r>
          </w:p>
          <w:p w14:paraId="585F5418" w14:textId="77777777" w:rsidR="00A05E94" w:rsidRDefault="00A05E94" w:rsidP="00F94088">
            <w:pPr>
              <w:rPr>
                <w:rFonts w:ascii="Arial" w:hAnsi="Arial"/>
                <w:snapToGrid w:val="0"/>
                <w:color w:val="000000"/>
                <w:sz w:val="20"/>
              </w:rPr>
            </w:pPr>
          </w:p>
          <w:p w14:paraId="5C2A0CA9" w14:textId="77777777" w:rsidR="00C46552" w:rsidRDefault="00F94088" w:rsidP="00F94088">
            <w:pPr>
              <w:rPr>
                <w:rFonts w:ascii="Arial" w:hAnsi="Arial"/>
                <w:snapToGrid w:val="0"/>
                <w:color w:val="000000"/>
                <w:sz w:val="20"/>
              </w:rPr>
            </w:pPr>
            <w:r>
              <w:rPr>
                <w:rFonts w:ascii="Arial" w:hAnsi="Arial"/>
                <w:snapToGrid w:val="0"/>
                <w:color w:val="000000"/>
                <w:sz w:val="20"/>
              </w:rPr>
              <w:t>(ii) The</w:t>
            </w:r>
            <w:r w:rsidR="00500ED8">
              <w:rPr>
                <w:rFonts w:ascii="Arial" w:hAnsi="Arial"/>
                <w:snapToGrid w:val="0"/>
                <w:color w:val="000000"/>
                <w:sz w:val="20"/>
              </w:rPr>
              <w:t xml:space="preserve"> release of methane during underground and surface </w:t>
            </w:r>
            <w:r w:rsidR="00500ED8" w:rsidRPr="00F94088">
              <w:rPr>
                <w:rFonts w:ascii="Arial" w:hAnsi="Arial"/>
                <w:i/>
                <w:snapToGrid w:val="0"/>
                <w:color w:val="000000"/>
                <w:sz w:val="20"/>
              </w:rPr>
              <w:t>coal mining</w:t>
            </w:r>
            <w:r w:rsidR="00500ED8">
              <w:rPr>
                <w:rFonts w:ascii="Arial" w:hAnsi="Arial"/>
                <w:snapToGrid w:val="0"/>
                <w:color w:val="000000"/>
                <w:sz w:val="20"/>
              </w:rPr>
              <w:t xml:space="preserve"> and post-mining activities.</w:t>
            </w:r>
          </w:p>
        </w:tc>
        <w:tc>
          <w:tcPr>
            <w:tcW w:w="1906" w:type="dxa"/>
            <w:tcBorders>
              <w:top w:val="nil"/>
              <w:bottom w:val="nil"/>
            </w:tcBorders>
            <w:shd w:val="pct12" w:color="auto" w:fill="auto"/>
          </w:tcPr>
          <w:p w14:paraId="54349778" w14:textId="77777777" w:rsidR="00C46552" w:rsidRDefault="00E85CEA" w:rsidP="00791D84">
            <w:pPr>
              <w:jc w:val="left"/>
              <w:rPr>
                <w:rFonts w:ascii="Arial" w:hAnsi="Arial"/>
                <w:sz w:val="20"/>
                <w:vertAlign w:val="subscript"/>
              </w:rPr>
            </w:pPr>
            <w:r>
              <w:rPr>
                <w:rFonts w:ascii="Arial" w:hAnsi="Arial"/>
                <w:sz w:val="20"/>
              </w:rPr>
              <w:t>NMVOC,</w:t>
            </w:r>
            <w:r w:rsidR="00791D84">
              <w:rPr>
                <w:rFonts w:ascii="Arial" w:hAnsi="Arial"/>
                <w:sz w:val="20"/>
              </w:rPr>
              <w:t xml:space="preserve">  NH</w:t>
            </w:r>
            <w:r w:rsidR="00791D84" w:rsidRPr="00791D84">
              <w:rPr>
                <w:rFonts w:ascii="Arial" w:hAnsi="Arial"/>
                <w:sz w:val="20"/>
                <w:vertAlign w:val="subscript"/>
              </w:rPr>
              <w:t>3</w:t>
            </w:r>
            <w:r w:rsidR="00791D84">
              <w:rPr>
                <w:rFonts w:ascii="Arial" w:hAnsi="Arial"/>
                <w:sz w:val="20"/>
              </w:rPr>
              <w:t>,</w:t>
            </w:r>
            <w:r>
              <w:rPr>
                <w:rFonts w:ascii="Arial" w:hAnsi="Arial"/>
                <w:sz w:val="20"/>
              </w:rPr>
              <w:t xml:space="preserve"> PM</w:t>
            </w:r>
            <w:r>
              <w:rPr>
                <w:rFonts w:ascii="Arial" w:hAnsi="Arial"/>
                <w:sz w:val="20"/>
                <w:vertAlign w:val="subscript"/>
              </w:rPr>
              <w:t>10</w:t>
            </w:r>
            <w:r>
              <w:rPr>
                <w:rFonts w:ascii="Arial" w:hAnsi="Arial"/>
                <w:sz w:val="20"/>
              </w:rPr>
              <w:t xml:space="preserve">, </w:t>
            </w:r>
            <w:r w:rsidR="00791D84">
              <w:rPr>
                <w:rFonts w:ascii="Arial" w:hAnsi="Arial"/>
                <w:sz w:val="20"/>
              </w:rPr>
              <w:t xml:space="preserve"> </w:t>
            </w:r>
            <w:r>
              <w:rPr>
                <w:rFonts w:ascii="Arial" w:hAnsi="Arial"/>
                <w:sz w:val="20"/>
              </w:rPr>
              <w:t>PM</w:t>
            </w:r>
            <w:r>
              <w:rPr>
                <w:rFonts w:ascii="Arial" w:hAnsi="Arial"/>
                <w:sz w:val="20"/>
                <w:vertAlign w:val="subscript"/>
              </w:rPr>
              <w:t>2.5</w:t>
            </w:r>
          </w:p>
          <w:p w14:paraId="00A3BBE7" w14:textId="77777777" w:rsidR="00500ED8" w:rsidRPr="002722D9" w:rsidRDefault="00500ED8" w:rsidP="00791D84">
            <w:pPr>
              <w:jc w:val="left"/>
              <w:rPr>
                <w:rFonts w:ascii="Arial" w:hAnsi="Arial"/>
                <w:sz w:val="20"/>
              </w:rPr>
            </w:pPr>
            <w:r w:rsidRPr="002722D9">
              <w:rPr>
                <w:rFonts w:ascii="Arial" w:hAnsi="Arial"/>
                <w:sz w:val="20"/>
              </w:rPr>
              <w:t>BC</w:t>
            </w:r>
            <w:r>
              <w:rPr>
                <w:rFonts w:ascii="Arial" w:hAnsi="Arial"/>
                <w:sz w:val="20"/>
              </w:rPr>
              <w:t>,</w:t>
            </w:r>
            <w:r w:rsidRPr="002722D9">
              <w:rPr>
                <w:rFonts w:ascii="Arial" w:hAnsi="Arial"/>
                <w:sz w:val="20"/>
              </w:rPr>
              <w:t xml:space="preserve"> OC</w:t>
            </w:r>
            <w:r w:rsidR="003E7B99">
              <w:rPr>
                <w:rFonts w:ascii="Arial" w:hAnsi="Arial"/>
                <w:sz w:val="20"/>
              </w:rPr>
              <w:t>,</w:t>
            </w:r>
            <w:r w:rsidRPr="004939E8">
              <w:rPr>
                <w:rFonts w:ascii="Arial" w:hAnsi="Arial"/>
                <w:sz w:val="20"/>
              </w:rPr>
              <w:t xml:space="preserve"> </w:t>
            </w:r>
            <w:r>
              <w:rPr>
                <w:rFonts w:ascii="Arial" w:hAnsi="Arial"/>
                <w:sz w:val="20"/>
              </w:rPr>
              <w:t>CH</w:t>
            </w:r>
            <w:r w:rsidRPr="002722D9">
              <w:rPr>
                <w:rFonts w:ascii="Arial" w:hAnsi="Arial"/>
                <w:sz w:val="20"/>
                <w:vertAlign w:val="subscript"/>
              </w:rPr>
              <w:t>4</w:t>
            </w:r>
          </w:p>
          <w:p w14:paraId="246C3036" w14:textId="77777777" w:rsidR="00500ED8" w:rsidRDefault="00500ED8" w:rsidP="00500ED8">
            <w:pPr>
              <w:jc w:val="left"/>
              <w:rPr>
                <w:rFonts w:ascii="Arial" w:hAnsi="Arial"/>
                <w:sz w:val="20"/>
              </w:rPr>
            </w:pPr>
          </w:p>
          <w:p w14:paraId="6582504C" w14:textId="77777777" w:rsidR="00500ED8" w:rsidRDefault="00500ED8" w:rsidP="00500ED8">
            <w:pPr>
              <w:jc w:val="left"/>
              <w:rPr>
                <w:rFonts w:ascii="Arial" w:hAnsi="Arial"/>
                <w:sz w:val="20"/>
              </w:rPr>
            </w:pPr>
            <w:r w:rsidRPr="002722D9">
              <w:rPr>
                <w:rFonts w:ascii="Arial" w:hAnsi="Arial"/>
                <w:sz w:val="20"/>
              </w:rPr>
              <w:t>C</w:t>
            </w:r>
            <w:r>
              <w:rPr>
                <w:rFonts w:ascii="Arial" w:hAnsi="Arial"/>
                <w:sz w:val="20"/>
              </w:rPr>
              <w:t>H</w:t>
            </w:r>
            <w:r>
              <w:rPr>
                <w:rFonts w:ascii="Arial" w:hAnsi="Arial"/>
                <w:sz w:val="20"/>
                <w:vertAlign w:val="subscript"/>
              </w:rPr>
              <w:t>4</w:t>
            </w:r>
          </w:p>
        </w:tc>
      </w:tr>
      <w:tr w:rsidR="00C46552" w14:paraId="2D53F0C7" w14:textId="77777777">
        <w:trPr>
          <w:cantSplit/>
        </w:trPr>
        <w:tc>
          <w:tcPr>
            <w:tcW w:w="567" w:type="dxa"/>
            <w:shd w:val="pct12" w:color="auto" w:fill="auto"/>
          </w:tcPr>
          <w:p w14:paraId="272DF5F7" w14:textId="77777777" w:rsidR="00C46552" w:rsidRDefault="00C46552">
            <w:pPr>
              <w:jc w:val="right"/>
              <w:rPr>
                <w:rFonts w:ascii="Arial" w:hAnsi="Arial"/>
                <w:b/>
                <w:sz w:val="20"/>
              </w:rPr>
            </w:pPr>
          </w:p>
        </w:tc>
        <w:tc>
          <w:tcPr>
            <w:tcW w:w="709" w:type="dxa"/>
            <w:tcBorders>
              <w:top w:val="single" w:sz="12" w:space="0" w:color="auto"/>
              <w:bottom w:val="single" w:sz="12" w:space="0" w:color="auto"/>
            </w:tcBorders>
            <w:shd w:val="pct12" w:color="auto" w:fill="auto"/>
          </w:tcPr>
          <w:p w14:paraId="2941BA9B" w14:textId="77777777" w:rsidR="00C46552" w:rsidRDefault="00C46552">
            <w:pPr>
              <w:jc w:val="right"/>
              <w:rPr>
                <w:rFonts w:ascii="Arial" w:hAnsi="Arial"/>
                <w:b/>
                <w:sz w:val="20"/>
              </w:rPr>
            </w:pPr>
            <w:r>
              <w:rPr>
                <w:rFonts w:ascii="Arial" w:hAnsi="Arial"/>
                <w:b/>
                <w:sz w:val="20"/>
              </w:rPr>
              <w:t>5B</w:t>
            </w:r>
          </w:p>
        </w:tc>
        <w:tc>
          <w:tcPr>
            <w:tcW w:w="2409" w:type="dxa"/>
            <w:gridSpan w:val="2"/>
            <w:tcBorders>
              <w:top w:val="single" w:sz="12" w:space="0" w:color="auto"/>
              <w:bottom w:val="single" w:sz="12" w:space="0" w:color="auto"/>
            </w:tcBorders>
            <w:shd w:val="pct12" w:color="auto" w:fill="auto"/>
          </w:tcPr>
          <w:p w14:paraId="59A096C9" w14:textId="77777777" w:rsidR="00C46552" w:rsidRDefault="00C46552">
            <w:pPr>
              <w:rPr>
                <w:rFonts w:ascii="Arial" w:hAnsi="Arial"/>
                <w:b/>
                <w:sz w:val="20"/>
              </w:rPr>
            </w:pPr>
            <w:r>
              <w:rPr>
                <w:rFonts w:ascii="Arial" w:hAnsi="Arial"/>
                <w:b/>
                <w:sz w:val="20"/>
              </w:rPr>
              <w:t>Oil and natural gas</w:t>
            </w:r>
          </w:p>
        </w:tc>
        <w:tc>
          <w:tcPr>
            <w:tcW w:w="4003" w:type="dxa"/>
            <w:tcBorders>
              <w:top w:val="single" w:sz="12" w:space="0" w:color="auto"/>
              <w:bottom w:val="single" w:sz="12" w:space="0" w:color="auto"/>
            </w:tcBorders>
            <w:shd w:val="pct12" w:color="auto" w:fill="auto"/>
          </w:tcPr>
          <w:p w14:paraId="00C58BFE" w14:textId="77777777" w:rsidR="00C46552" w:rsidRDefault="00C46552">
            <w:pPr>
              <w:rPr>
                <w:rFonts w:ascii="Arial" w:hAnsi="Arial"/>
                <w:snapToGrid w:val="0"/>
                <w:color w:val="000000"/>
                <w:sz w:val="20"/>
              </w:rPr>
            </w:pPr>
            <w:r>
              <w:rPr>
                <w:rFonts w:ascii="Arial" w:hAnsi="Arial"/>
                <w:sz w:val="20"/>
              </w:rPr>
              <w:t xml:space="preserve">Emissions from </w:t>
            </w:r>
            <w:r w:rsidR="00A05E94" w:rsidRPr="00A05E94">
              <w:rPr>
                <w:rFonts w:ascii="Arial" w:hAnsi="Arial"/>
                <w:snapToGrid w:val="0"/>
                <w:color w:val="000000"/>
                <w:sz w:val="20"/>
              </w:rPr>
              <w:t>venting</w:t>
            </w:r>
            <w:r w:rsidR="00A05E94">
              <w:rPr>
                <w:rFonts w:ascii="Arial" w:hAnsi="Arial"/>
                <w:snapToGrid w:val="0"/>
                <w:color w:val="000000"/>
                <w:sz w:val="20"/>
              </w:rPr>
              <w:t xml:space="preserve"> and</w:t>
            </w:r>
            <w:r w:rsidR="00A05E94" w:rsidRPr="00A05E94">
              <w:rPr>
                <w:rFonts w:ascii="Arial" w:hAnsi="Arial"/>
                <w:snapToGrid w:val="0"/>
                <w:color w:val="000000"/>
                <w:sz w:val="20"/>
              </w:rPr>
              <w:t xml:space="preserve"> </w:t>
            </w:r>
            <w:r>
              <w:rPr>
                <w:rFonts w:ascii="Arial" w:hAnsi="Arial"/>
                <w:sz w:val="20"/>
              </w:rPr>
              <w:t>flaring are included here as this does not include energy recovery.</w:t>
            </w:r>
          </w:p>
        </w:tc>
        <w:tc>
          <w:tcPr>
            <w:tcW w:w="1906" w:type="dxa"/>
            <w:tcBorders>
              <w:top w:val="single" w:sz="12" w:space="0" w:color="auto"/>
              <w:bottom w:val="single" w:sz="12" w:space="0" w:color="auto"/>
            </w:tcBorders>
            <w:shd w:val="pct12" w:color="auto" w:fill="auto"/>
          </w:tcPr>
          <w:p w14:paraId="35984320" w14:textId="77777777" w:rsidR="00C46552" w:rsidRDefault="00C46552">
            <w:pPr>
              <w:rPr>
                <w:rFonts w:ascii="Arial" w:hAnsi="Arial"/>
                <w:sz w:val="20"/>
              </w:rPr>
            </w:pPr>
          </w:p>
        </w:tc>
      </w:tr>
      <w:tr w:rsidR="00E85CEA" w14:paraId="1EED090F" w14:textId="77777777">
        <w:tc>
          <w:tcPr>
            <w:tcW w:w="567" w:type="dxa"/>
            <w:shd w:val="pct12" w:color="auto" w:fill="auto"/>
          </w:tcPr>
          <w:p w14:paraId="0848D28B" w14:textId="77777777" w:rsidR="00E85CEA" w:rsidRDefault="00E85CEA">
            <w:pPr>
              <w:jc w:val="right"/>
              <w:rPr>
                <w:rFonts w:ascii="Arial" w:hAnsi="Arial"/>
                <w:b/>
                <w:sz w:val="20"/>
              </w:rPr>
            </w:pPr>
          </w:p>
        </w:tc>
        <w:tc>
          <w:tcPr>
            <w:tcW w:w="709" w:type="dxa"/>
            <w:tcBorders>
              <w:top w:val="nil"/>
            </w:tcBorders>
            <w:shd w:val="pct12" w:color="auto" w:fill="auto"/>
          </w:tcPr>
          <w:p w14:paraId="6CC1E693" w14:textId="77777777" w:rsidR="00E85CEA" w:rsidRDefault="00E85CEA">
            <w:pPr>
              <w:jc w:val="right"/>
              <w:rPr>
                <w:rFonts w:ascii="Arial" w:hAnsi="Arial"/>
                <w:b/>
                <w:sz w:val="20"/>
              </w:rPr>
            </w:pPr>
          </w:p>
        </w:tc>
        <w:tc>
          <w:tcPr>
            <w:tcW w:w="392" w:type="dxa"/>
            <w:tcBorders>
              <w:top w:val="nil"/>
              <w:bottom w:val="single" w:sz="12" w:space="0" w:color="auto"/>
            </w:tcBorders>
            <w:shd w:val="pct12" w:color="auto" w:fill="auto"/>
          </w:tcPr>
          <w:p w14:paraId="65B78B90" w14:textId="77777777" w:rsidR="00E85CEA" w:rsidRDefault="00E85CEA">
            <w:pPr>
              <w:rPr>
                <w:rFonts w:ascii="Arial" w:hAnsi="Arial"/>
                <w:b/>
                <w:sz w:val="20"/>
              </w:rPr>
            </w:pPr>
            <w:r>
              <w:rPr>
                <w:rFonts w:ascii="Arial" w:hAnsi="Arial"/>
                <w:b/>
                <w:sz w:val="20"/>
              </w:rPr>
              <w:t>1</w:t>
            </w:r>
          </w:p>
        </w:tc>
        <w:tc>
          <w:tcPr>
            <w:tcW w:w="2017" w:type="dxa"/>
            <w:tcBorders>
              <w:top w:val="nil"/>
              <w:bottom w:val="single" w:sz="12" w:space="0" w:color="auto"/>
            </w:tcBorders>
            <w:shd w:val="pct12" w:color="auto" w:fill="auto"/>
          </w:tcPr>
          <w:p w14:paraId="4D71FE62" w14:textId="77777777" w:rsidR="00E85CEA" w:rsidRDefault="00E85CEA">
            <w:pPr>
              <w:rPr>
                <w:rFonts w:ascii="Arial" w:hAnsi="Arial"/>
                <w:b/>
                <w:sz w:val="20"/>
              </w:rPr>
            </w:pPr>
            <w:r>
              <w:rPr>
                <w:rFonts w:ascii="Arial" w:hAnsi="Arial"/>
                <w:b/>
                <w:sz w:val="20"/>
              </w:rPr>
              <w:t>Oil</w:t>
            </w:r>
          </w:p>
        </w:tc>
        <w:tc>
          <w:tcPr>
            <w:tcW w:w="4003" w:type="dxa"/>
            <w:tcBorders>
              <w:top w:val="nil"/>
              <w:bottom w:val="single" w:sz="12" w:space="0" w:color="auto"/>
            </w:tcBorders>
            <w:shd w:val="pct12" w:color="auto" w:fill="auto"/>
          </w:tcPr>
          <w:p w14:paraId="2938E519" w14:textId="77777777" w:rsidR="00E85CEA" w:rsidRDefault="00E85CEA" w:rsidP="00A93B0B">
            <w:pPr>
              <w:rPr>
                <w:rFonts w:ascii="Arial" w:hAnsi="Arial"/>
                <w:snapToGrid w:val="0"/>
                <w:color w:val="000000"/>
                <w:sz w:val="20"/>
              </w:rPr>
            </w:pPr>
            <w:r>
              <w:rPr>
                <w:rFonts w:ascii="Arial" w:hAnsi="Arial"/>
                <w:snapToGrid w:val="0"/>
                <w:color w:val="000000"/>
                <w:sz w:val="20"/>
              </w:rPr>
              <w:t>Fugitive emissions from:</w:t>
            </w:r>
          </w:p>
          <w:p w14:paraId="06B9AE5A" w14:textId="77777777" w:rsidR="00E85CEA" w:rsidRDefault="00E85CEA" w:rsidP="00A93B0B">
            <w:pPr>
              <w:rPr>
                <w:rFonts w:ascii="Arial" w:hAnsi="Arial"/>
                <w:snapToGrid w:val="0"/>
                <w:color w:val="000000"/>
                <w:sz w:val="20"/>
              </w:rPr>
            </w:pPr>
            <w:r>
              <w:rPr>
                <w:rFonts w:ascii="Arial" w:hAnsi="Arial"/>
                <w:snapToGrid w:val="0"/>
                <w:color w:val="000000"/>
                <w:sz w:val="20"/>
              </w:rPr>
              <w:t>(i)</w:t>
            </w:r>
            <w:r>
              <w:rPr>
                <w:rFonts w:ascii="Arial" w:hAnsi="Arial"/>
                <w:i/>
                <w:snapToGrid w:val="0"/>
                <w:color w:val="000000"/>
                <w:sz w:val="20"/>
              </w:rPr>
              <w:t xml:space="preserve">  oil exploration</w:t>
            </w:r>
            <w:r>
              <w:rPr>
                <w:rFonts w:ascii="Arial" w:hAnsi="Arial"/>
                <w:snapToGrid w:val="0"/>
                <w:color w:val="000000"/>
                <w:sz w:val="20"/>
              </w:rPr>
              <w:t xml:space="preserve"> (oil well drilling), </w:t>
            </w:r>
          </w:p>
          <w:p w14:paraId="1C626400" w14:textId="77777777" w:rsidR="00E85CEA" w:rsidRDefault="00E85CEA" w:rsidP="00A93B0B">
            <w:pPr>
              <w:rPr>
                <w:rFonts w:ascii="Arial" w:hAnsi="Arial"/>
                <w:snapToGrid w:val="0"/>
                <w:color w:val="000000"/>
                <w:sz w:val="20"/>
              </w:rPr>
            </w:pPr>
            <w:r>
              <w:rPr>
                <w:rFonts w:ascii="Arial" w:hAnsi="Arial"/>
                <w:snapToGrid w:val="0"/>
                <w:color w:val="000000"/>
                <w:sz w:val="20"/>
              </w:rPr>
              <w:t>(ii)</w:t>
            </w:r>
            <w:r>
              <w:rPr>
                <w:rFonts w:ascii="Arial" w:hAnsi="Arial"/>
                <w:i/>
                <w:snapToGrid w:val="0"/>
                <w:color w:val="000000"/>
                <w:sz w:val="20"/>
              </w:rPr>
              <w:t xml:space="preserve"> crude oil  production</w:t>
            </w:r>
            <w:r>
              <w:rPr>
                <w:rFonts w:ascii="Arial" w:hAnsi="Arial"/>
                <w:snapToGrid w:val="0"/>
                <w:color w:val="000000"/>
                <w:sz w:val="20"/>
              </w:rPr>
              <w:t xml:space="preserve"> (emissions from facilities/platforms), </w:t>
            </w:r>
          </w:p>
          <w:p w14:paraId="05A31B69" w14:textId="77777777" w:rsidR="00E85CEA" w:rsidRDefault="00E85CEA" w:rsidP="00A93B0B">
            <w:pPr>
              <w:rPr>
                <w:rFonts w:ascii="Arial" w:hAnsi="Arial"/>
                <w:snapToGrid w:val="0"/>
                <w:color w:val="000000"/>
                <w:sz w:val="20"/>
              </w:rPr>
            </w:pPr>
            <w:r>
              <w:rPr>
                <w:rFonts w:ascii="Arial" w:hAnsi="Arial"/>
                <w:snapToGrid w:val="0"/>
                <w:color w:val="000000"/>
                <w:sz w:val="20"/>
              </w:rPr>
              <w:t>(iii)</w:t>
            </w:r>
            <w:r>
              <w:rPr>
                <w:rFonts w:ascii="Arial" w:hAnsi="Arial"/>
                <w:i/>
                <w:snapToGrid w:val="0"/>
                <w:color w:val="000000"/>
                <w:sz w:val="20"/>
              </w:rPr>
              <w:t xml:space="preserve"> transport</w:t>
            </w:r>
            <w:r>
              <w:rPr>
                <w:rFonts w:ascii="Arial" w:hAnsi="Arial"/>
                <w:snapToGrid w:val="0"/>
                <w:color w:val="000000"/>
                <w:sz w:val="20"/>
              </w:rPr>
              <w:t xml:space="preserve"> (loading onto marine tankers, rail tank cars &amp; tank trucks, transit in marine tankers and pipeline transport),</w:t>
            </w:r>
          </w:p>
          <w:p w14:paraId="5D5F4297" w14:textId="77777777" w:rsidR="00E85CEA" w:rsidRDefault="00E85CEA" w:rsidP="00A93B0B">
            <w:pPr>
              <w:rPr>
                <w:rFonts w:ascii="Arial" w:hAnsi="Arial"/>
                <w:snapToGrid w:val="0"/>
                <w:color w:val="000000"/>
                <w:sz w:val="20"/>
              </w:rPr>
            </w:pPr>
            <w:r>
              <w:rPr>
                <w:rFonts w:ascii="Arial" w:hAnsi="Arial"/>
                <w:snapToGrid w:val="0"/>
                <w:color w:val="000000"/>
                <w:sz w:val="20"/>
              </w:rPr>
              <w:t xml:space="preserve">(iv) </w:t>
            </w:r>
            <w:r>
              <w:rPr>
                <w:rFonts w:ascii="Arial" w:hAnsi="Arial"/>
                <w:i/>
                <w:snapToGrid w:val="0"/>
                <w:color w:val="000000"/>
                <w:sz w:val="20"/>
              </w:rPr>
              <w:t>oil refining</w:t>
            </w:r>
            <w:r w:rsidR="00A05E94">
              <w:rPr>
                <w:rFonts w:ascii="Arial" w:hAnsi="Arial"/>
                <w:snapToGrid w:val="0"/>
                <w:color w:val="000000"/>
                <w:sz w:val="20"/>
              </w:rPr>
              <w:t>,</w:t>
            </w:r>
          </w:p>
          <w:p w14:paraId="2A8A8495" w14:textId="77777777" w:rsidR="00E85CEA" w:rsidRDefault="00E85CEA" w:rsidP="00A93B0B">
            <w:pPr>
              <w:rPr>
                <w:rFonts w:ascii="Arial" w:hAnsi="Arial"/>
                <w:snapToGrid w:val="0"/>
                <w:color w:val="000000"/>
                <w:sz w:val="20"/>
              </w:rPr>
            </w:pPr>
            <w:r>
              <w:rPr>
                <w:rFonts w:ascii="Arial" w:hAnsi="Arial"/>
                <w:snapToGrid w:val="0"/>
                <w:color w:val="000000"/>
                <w:sz w:val="20"/>
              </w:rPr>
              <w:t>and</w:t>
            </w:r>
          </w:p>
          <w:p w14:paraId="1F0D06EC" w14:textId="77777777" w:rsidR="00E85CEA" w:rsidRDefault="00E85CEA" w:rsidP="00A93B0B">
            <w:pPr>
              <w:rPr>
                <w:rFonts w:ascii="Arial" w:hAnsi="Arial"/>
                <w:snapToGrid w:val="0"/>
                <w:color w:val="000000"/>
                <w:sz w:val="20"/>
              </w:rPr>
            </w:pPr>
            <w:r>
              <w:rPr>
                <w:rFonts w:ascii="Arial" w:hAnsi="Arial"/>
                <w:snapToGrid w:val="0"/>
                <w:color w:val="000000"/>
                <w:sz w:val="20"/>
              </w:rPr>
              <w:t>(v)</w:t>
            </w:r>
            <w:r>
              <w:rPr>
                <w:rFonts w:ascii="Arial" w:hAnsi="Arial"/>
                <w:i/>
                <w:snapToGrid w:val="0"/>
                <w:color w:val="000000"/>
                <w:sz w:val="20"/>
              </w:rPr>
              <w:t xml:space="preserve"> distribution and handling of  gasoline </w:t>
            </w:r>
            <w:r>
              <w:rPr>
                <w:rFonts w:ascii="Arial" w:hAnsi="Arial"/>
                <w:snapToGrid w:val="0"/>
                <w:color w:val="000000"/>
                <w:sz w:val="20"/>
              </w:rPr>
              <w:t xml:space="preserve">(including emissions from service stations). </w:t>
            </w:r>
          </w:p>
        </w:tc>
        <w:tc>
          <w:tcPr>
            <w:tcW w:w="1906" w:type="dxa"/>
            <w:tcBorders>
              <w:top w:val="nil"/>
              <w:bottom w:val="single" w:sz="12" w:space="0" w:color="auto"/>
            </w:tcBorders>
            <w:shd w:val="pct12" w:color="auto" w:fill="auto"/>
          </w:tcPr>
          <w:p w14:paraId="51CF4774" w14:textId="77777777" w:rsidR="00E85CEA" w:rsidRDefault="00E85CEA" w:rsidP="00A93B0B">
            <w:pPr>
              <w:rPr>
                <w:rFonts w:ascii="Arial" w:hAnsi="Arial"/>
                <w:snapToGrid w:val="0"/>
                <w:color w:val="000000"/>
                <w:sz w:val="20"/>
              </w:rPr>
            </w:pPr>
          </w:p>
          <w:p w14:paraId="17F4FE11" w14:textId="77777777" w:rsidR="00E85CEA" w:rsidRDefault="00E85CEA" w:rsidP="00A93B0B">
            <w:pPr>
              <w:rPr>
                <w:rFonts w:ascii="Arial" w:hAnsi="Arial"/>
                <w:snapToGrid w:val="0"/>
                <w:color w:val="000000"/>
                <w:sz w:val="20"/>
              </w:rPr>
            </w:pPr>
            <w:r>
              <w:rPr>
                <w:rFonts w:ascii="Arial" w:hAnsi="Arial"/>
                <w:snapToGrid w:val="0"/>
                <w:color w:val="000000"/>
                <w:sz w:val="20"/>
              </w:rPr>
              <w:t>NMVOC</w:t>
            </w:r>
            <w:r w:rsidR="00A05E94">
              <w:rPr>
                <w:rFonts w:ascii="Arial" w:hAnsi="Arial"/>
                <w:snapToGrid w:val="0"/>
                <w:color w:val="000000"/>
                <w:sz w:val="20"/>
              </w:rPr>
              <w:t>, CH</w:t>
            </w:r>
            <w:r w:rsidR="00A05E94" w:rsidRPr="00A05E94">
              <w:rPr>
                <w:rFonts w:ascii="Arial" w:hAnsi="Arial"/>
                <w:snapToGrid w:val="0"/>
                <w:color w:val="000000"/>
                <w:sz w:val="20"/>
                <w:vertAlign w:val="subscript"/>
              </w:rPr>
              <w:t>4</w:t>
            </w:r>
          </w:p>
          <w:p w14:paraId="2CC38C3F" w14:textId="77777777" w:rsidR="00E85CEA" w:rsidRDefault="00E85CEA" w:rsidP="00A93B0B">
            <w:pPr>
              <w:rPr>
                <w:rFonts w:ascii="Arial" w:hAnsi="Arial"/>
                <w:snapToGrid w:val="0"/>
                <w:color w:val="000000"/>
                <w:sz w:val="20"/>
              </w:rPr>
            </w:pPr>
            <w:r>
              <w:rPr>
                <w:rFonts w:ascii="Arial" w:hAnsi="Arial"/>
                <w:snapToGrid w:val="0"/>
                <w:color w:val="000000"/>
                <w:sz w:val="20"/>
              </w:rPr>
              <w:t>NMVOC</w:t>
            </w:r>
            <w:r w:rsidR="00A05E94">
              <w:rPr>
                <w:rFonts w:ascii="Arial" w:hAnsi="Arial"/>
                <w:snapToGrid w:val="0"/>
                <w:color w:val="000000"/>
                <w:sz w:val="20"/>
              </w:rPr>
              <w:t>, CH</w:t>
            </w:r>
            <w:r w:rsidR="00A05E94" w:rsidRPr="00A05E94">
              <w:rPr>
                <w:rFonts w:ascii="Arial" w:hAnsi="Arial"/>
                <w:snapToGrid w:val="0"/>
                <w:color w:val="000000"/>
                <w:sz w:val="20"/>
                <w:vertAlign w:val="subscript"/>
              </w:rPr>
              <w:t>4</w:t>
            </w:r>
          </w:p>
          <w:p w14:paraId="64E81DF5" w14:textId="77777777" w:rsidR="00E85CEA" w:rsidRDefault="00E85CEA" w:rsidP="00A93B0B">
            <w:pPr>
              <w:rPr>
                <w:rFonts w:ascii="Arial" w:hAnsi="Arial"/>
                <w:snapToGrid w:val="0"/>
                <w:color w:val="000000"/>
                <w:sz w:val="20"/>
              </w:rPr>
            </w:pPr>
          </w:p>
          <w:p w14:paraId="37D22E60" w14:textId="77777777" w:rsidR="00E85CEA" w:rsidRDefault="00E85CEA" w:rsidP="00A93B0B">
            <w:pPr>
              <w:rPr>
                <w:rFonts w:ascii="Arial" w:hAnsi="Arial"/>
                <w:snapToGrid w:val="0"/>
                <w:color w:val="000000"/>
                <w:sz w:val="20"/>
              </w:rPr>
            </w:pPr>
            <w:r>
              <w:rPr>
                <w:rFonts w:ascii="Arial" w:hAnsi="Arial"/>
                <w:snapToGrid w:val="0"/>
                <w:color w:val="000000"/>
                <w:sz w:val="20"/>
              </w:rPr>
              <w:t>NMVOC</w:t>
            </w:r>
            <w:r w:rsidR="00A05E94">
              <w:rPr>
                <w:rFonts w:ascii="Arial" w:hAnsi="Arial"/>
                <w:snapToGrid w:val="0"/>
                <w:color w:val="000000"/>
                <w:sz w:val="20"/>
              </w:rPr>
              <w:t>, CH</w:t>
            </w:r>
            <w:r w:rsidR="00A05E94" w:rsidRPr="00A05E94">
              <w:rPr>
                <w:rFonts w:ascii="Arial" w:hAnsi="Arial"/>
                <w:snapToGrid w:val="0"/>
                <w:color w:val="000000"/>
                <w:sz w:val="20"/>
                <w:vertAlign w:val="subscript"/>
              </w:rPr>
              <w:t>4</w:t>
            </w:r>
          </w:p>
          <w:p w14:paraId="1549E1B5" w14:textId="77777777" w:rsidR="00E85CEA" w:rsidRDefault="00E85CEA" w:rsidP="00A93B0B">
            <w:pPr>
              <w:rPr>
                <w:rFonts w:ascii="Arial" w:hAnsi="Arial"/>
                <w:snapToGrid w:val="0"/>
                <w:color w:val="000000"/>
                <w:sz w:val="20"/>
              </w:rPr>
            </w:pPr>
          </w:p>
          <w:p w14:paraId="4E64A582" w14:textId="77777777" w:rsidR="00E85CEA" w:rsidRDefault="00E85CEA" w:rsidP="00A93B0B">
            <w:pPr>
              <w:rPr>
                <w:rFonts w:ascii="Arial" w:hAnsi="Arial"/>
                <w:snapToGrid w:val="0"/>
                <w:color w:val="000000"/>
                <w:sz w:val="20"/>
              </w:rPr>
            </w:pPr>
          </w:p>
          <w:p w14:paraId="062E5461" w14:textId="77777777" w:rsidR="00E85CEA" w:rsidRDefault="00E85CEA" w:rsidP="00A93B0B">
            <w:pPr>
              <w:rPr>
                <w:rFonts w:ascii="Arial" w:hAnsi="Arial"/>
                <w:snapToGrid w:val="0"/>
                <w:color w:val="000000"/>
                <w:sz w:val="20"/>
              </w:rPr>
            </w:pPr>
            <w:r>
              <w:rPr>
                <w:rFonts w:ascii="Arial" w:hAnsi="Arial"/>
                <w:snapToGrid w:val="0"/>
                <w:color w:val="000000"/>
                <w:sz w:val="20"/>
              </w:rPr>
              <w:t>SO</w:t>
            </w:r>
            <w:r>
              <w:rPr>
                <w:rFonts w:ascii="Arial" w:hAnsi="Arial"/>
                <w:snapToGrid w:val="0"/>
                <w:color w:val="000000"/>
                <w:sz w:val="20"/>
                <w:vertAlign w:val="subscript"/>
              </w:rPr>
              <w:t>2</w:t>
            </w:r>
            <w:r>
              <w:rPr>
                <w:rFonts w:ascii="Arial" w:hAnsi="Arial"/>
                <w:snapToGrid w:val="0"/>
                <w:color w:val="000000"/>
                <w:sz w:val="20"/>
              </w:rPr>
              <w:t>, NO</w:t>
            </w:r>
            <w:r>
              <w:rPr>
                <w:rFonts w:ascii="Arial" w:hAnsi="Arial"/>
                <w:snapToGrid w:val="0"/>
                <w:color w:val="000000"/>
                <w:sz w:val="20"/>
                <w:vertAlign w:val="subscript"/>
              </w:rPr>
              <w:t>x</w:t>
            </w:r>
            <w:r>
              <w:rPr>
                <w:rFonts w:ascii="Arial" w:hAnsi="Arial"/>
                <w:snapToGrid w:val="0"/>
                <w:color w:val="000000"/>
                <w:sz w:val="20"/>
              </w:rPr>
              <w:t>,</w:t>
            </w:r>
            <w:r w:rsidR="00A05E94">
              <w:rPr>
                <w:rFonts w:ascii="Arial" w:hAnsi="Arial"/>
                <w:snapToGrid w:val="0"/>
                <w:color w:val="000000"/>
                <w:sz w:val="20"/>
              </w:rPr>
              <w:t xml:space="preserve"> CH</w:t>
            </w:r>
            <w:r w:rsidR="00A05E94" w:rsidRPr="00A05E94">
              <w:rPr>
                <w:rFonts w:ascii="Arial" w:hAnsi="Arial"/>
                <w:snapToGrid w:val="0"/>
                <w:color w:val="000000"/>
                <w:sz w:val="20"/>
                <w:vertAlign w:val="subscript"/>
              </w:rPr>
              <w:t>4</w:t>
            </w:r>
            <w:r w:rsidR="00A05E94">
              <w:rPr>
                <w:rFonts w:ascii="Arial" w:hAnsi="Arial"/>
                <w:snapToGrid w:val="0"/>
                <w:color w:val="000000"/>
                <w:sz w:val="20"/>
              </w:rPr>
              <w:t xml:space="preserve">, </w:t>
            </w:r>
            <w:r>
              <w:rPr>
                <w:rFonts w:ascii="Arial" w:hAnsi="Arial"/>
                <w:snapToGrid w:val="0"/>
                <w:color w:val="000000"/>
                <w:sz w:val="20"/>
              </w:rPr>
              <w:t>CO</w:t>
            </w:r>
            <w:r w:rsidR="00A05E94">
              <w:rPr>
                <w:rFonts w:ascii="Arial" w:hAnsi="Arial"/>
                <w:snapToGrid w:val="0"/>
                <w:color w:val="000000"/>
                <w:sz w:val="20"/>
              </w:rPr>
              <w:t>,</w:t>
            </w:r>
            <w:r>
              <w:rPr>
                <w:rFonts w:ascii="Arial" w:hAnsi="Arial"/>
                <w:snapToGrid w:val="0"/>
                <w:color w:val="000000"/>
                <w:sz w:val="20"/>
              </w:rPr>
              <w:t xml:space="preserve">  NMVOC</w:t>
            </w:r>
          </w:p>
          <w:p w14:paraId="3A67D326" w14:textId="77777777" w:rsidR="00E85CEA" w:rsidRDefault="00E85CEA" w:rsidP="00A93B0B">
            <w:pPr>
              <w:rPr>
                <w:rFonts w:ascii="Arial" w:hAnsi="Arial"/>
                <w:snapToGrid w:val="0"/>
                <w:color w:val="000000"/>
                <w:sz w:val="20"/>
              </w:rPr>
            </w:pPr>
          </w:p>
          <w:p w14:paraId="3C1C1E57" w14:textId="77777777" w:rsidR="00E85CEA" w:rsidRDefault="00E85CEA" w:rsidP="00A93B0B">
            <w:pPr>
              <w:rPr>
                <w:rFonts w:ascii="Arial" w:hAnsi="Arial"/>
                <w:snapToGrid w:val="0"/>
                <w:color w:val="000000"/>
                <w:sz w:val="20"/>
              </w:rPr>
            </w:pPr>
            <w:r>
              <w:rPr>
                <w:rFonts w:ascii="Arial" w:hAnsi="Arial"/>
                <w:snapToGrid w:val="0"/>
                <w:color w:val="000000"/>
                <w:sz w:val="20"/>
              </w:rPr>
              <w:t>NMVOC</w:t>
            </w:r>
          </w:p>
          <w:p w14:paraId="1DC4B8AA" w14:textId="77777777" w:rsidR="00E85CEA" w:rsidRDefault="00E85CEA" w:rsidP="00A93B0B">
            <w:pPr>
              <w:rPr>
                <w:rFonts w:ascii="Arial" w:hAnsi="Arial"/>
                <w:sz w:val="20"/>
              </w:rPr>
            </w:pPr>
          </w:p>
        </w:tc>
      </w:tr>
      <w:tr w:rsidR="00E85CEA" w14:paraId="36217247" w14:textId="77777777">
        <w:tc>
          <w:tcPr>
            <w:tcW w:w="567" w:type="dxa"/>
            <w:tcBorders>
              <w:bottom w:val="single" w:sz="12" w:space="0" w:color="auto"/>
            </w:tcBorders>
            <w:shd w:val="pct12" w:color="auto" w:fill="auto"/>
          </w:tcPr>
          <w:p w14:paraId="068139E0" w14:textId="77777777" w:rsidR="00E85CEA" w:rsidRDefault="00E85CEA">
            <w:pPr>
              <w:jc w:val="right"/>
              <w:rPr>
                <w:rFonts w:ascii="Arial" w:hAnsi="Arial"/>
                <w:b/>
                <w:sz w:val="20"/>
              </w:rPr>
            </w:pPr>
          </w:p>
        </w:tc>
        <w:tc>
          <w:tcPr>
            <w:tcW w:w="709" w:type="dxa"/>
            <w:tcBorders>
              <w:bottom w:val="single" w:sz="12" w:space="0" w:color="auto"/>
            </w:tcBorders>
            <w:shd w:val="pct12" w:color="auto" w:fill="auto"/>
          </w:tcPr>
          <w:p w14:paraId="26960D69" w14:textId="77777777" w:rsidR="00E85CEA" w:rsidRDefault="00E85CEA">
            <w:pPr>
              <w:jc w:val="right"/>
              <w:rPr>
                <w:rFonts w:ascii="Arial" w:hAnsi="Arial"/>
                <w:b/>
                <w:sz w:val="20"/>
              </w:rPr>
            </w:pPr>
          </w:p>
        </w:tc>
        <w:tc>
          <w:tcPr>
            <w:tcW w:w="392" w:type="dxa"/>
            <w:tcBorders>
              <w:top w:val="single" w:sz="12" w:space="0" w:color="auto"/>
              <w:bottom w:val="single" w:sz="12" w:space="0" w:color="auto"/>
            </w:tcBorders>
            <w:shd w:val="pct12" w:color="auto" w:fill="auto"/>
          </w:tcPr>
          <w:p w14:paraId="658D301C" w14:textId="77777777" w:rsidR="00E85CEA" w:rsidRDefault="00E85CEA" w:rsidP="00A93B0B">
            <w:pPr>
              <w:rPr>
                <w:rFonts w:ascii="Arial" w:hAnsi="Arial"/>
                <w:b/>
                <w:sz w:val="20"/>
              </w:rPr>
            </w:pPr>
            <w:r>
              <w:rPr>
                <w:rFonts w:ascii="Arial" w:hAnsi="Arial"/>
                <w:b/>
                <w:sz w:val="20"/>
              </w:rPr>
              <w:t>2</w:t>
            </w:r>
          </w:p>
        </w:tc>
        <w:tc>
          <w:tcPr>
            <w:tcW w:w="2017" w:type="dxa"/>
            <w:tcBorders>
              <w:top w:val="single" w:sz="12" w:space="0" w:color="auto"/>
              <w:bottom w:val="single" w:sz="12" w:space="0" w:color="auto"/>
            </w:tcBorders>
            <w:shd w:val="pct12" w:color="auto" w:fill="auto"/>
          </w:tcPr>
          <w:p w14:paraId="747BA080" w14:textId="77777777" w:rsidR="00E85CEA" w:rsidRDefault="00E85CEA" w:rsidP="00A93B0B">
            <w:pPr>
              <w:rPr>
                <w:rFonts w:ascii="Arial" w:hAnsi="Arial"/>
                <w:b/>
                <w:sz w:val="20"/>
              </w:rPr>
            </w:pPr>
            <w:r>
              <w:rPr>
                <w:rFonts w:ascii="Arial" w:hAnsi="Arial"/>
                <w:b/>
                <w:sz w:val="20"/>
              </w:rPr>
              <w:t>Natural gas</w:t>
            </w:r>
          </w:p>
        </w:tc>
        <w:tc>
          <w:tcPr>
            <w:tcW w:w="4003" w:type="dxa"/>
            <w:tcBorders>
              <w:top w:val="single" w:sz="12" w:space="0" w:color="auto"/>
              <w:bottom w:val="single" w:sz="12" w:space="0" w:color="auto"/>
            </w:tcBorders>
            <w:shd w:val="pct12" w:color="auto" w:fill="auto"/>
          </w:tcPr>
          <w:p w14:paraId="45C931C8" w14:textId="77777777" w:rsidR="00E85CEA" w:rsidRDefault="00E85CEA" w:rsidP="00A05E94">
            <w:pPr>
              <w:rPr>
                <w:rFonts w:ascii="Arial" w:hAnsi="Arial"/>
                <w:snapToGrid w:val="0"/>
                <w:color w:val="000000"/>
                <w:sz w:val="20"/>
              </w:rPr>
            </w:pPr>
            <w:r>
              <w:rPr>
                <w:rFonts w:ascii="Arial" w:hAnsi="Arial"/>
                <w:snapToGrid w:val="0"/>
                <w:color w:val="000000"/>
                <w:sz w:val="20"/>
              </w:rPr>
              <w:t>Fugitive emissions from the production and distribution of natural gas</w:t>
            </w:r>
          </w:p>
        </w:tc>
        <w:tc>
          <w:tcPr>
            <w:tcW w:w="1906" w:type="dxa"/>
            <w:tcBorders>
              <w:top w:val="single" w:sz="12" w:space="0" w:color="auto"/>
              <w:bottom w:val="single" w:sz="12" w:space="0" w:color="auto"/>
            </w:tcBorders>
            <w:shd w:val="pct12" w:color="auto" w:fill="auto"/>
          </w:tcPr>
          <w:p w14:paraId="5287930E" w14:textId="77777777" w:rsidR="00E85CEA" w:rsidRDefault="00E85CEA" w:rsidP="00A93B0B">
            <w:pPr>
              <w:rPr>
                <w:rFonts w:ascii="Arial" w:hAnsi="Arial"/>
                <w:sz w:val="20"/>
              </w:rPr>
            </w:pPr>
            <w:r>
              <w:rPr>
                <w:rFonts w:ascii="Arial" w:hAnsi="Arial"/>
                <w:sz w:val="20"/>
              </w:rPr>
              <w:t>NMVOC</w:t>
            </w:r>
            <w:r w:rsidR="00A05E94">
              <w:rPr>
                <w:rFonts w:ascii="Arial" w:hAnsi="Arial"/>
                <w:sz w:val="20"/>
              </w:rPr>
              <w:t xml:space="preserve">, </w:t>
            </w:r>
            <w:r w:rsidR="00A05E94">
              <w:rPr>
                <w:rFonts w:ascii="Arial" w:hAnsi="Arial"/>
                <w:snapToGrid w:val="0"/>
                <w:color w:val="000000"/>
                <w:sz w:val="20"/>
              </w:rPr>
              <w:t>CH</w:t>
            </w:r>
            <w:r w:rsidR="00A05E94" w:rsidRPr="00A05E94">
              <w:rPr>
                <w:rFonts w:ascii="Arial" w:hAnsi="Arial"/>
                <w:snapToGrid w:val="0"/>
                <w:color w:val="000000"/>
                <w:sz w:val="20"/>
                <w:vertAlign w:val="subscript"/>
              </w:rPr>
              <w:t>4</w:t>
            </w:r>
          </w:p>
        </w:tc>
      </w:tr>
      <w:bookmarkEnd w:id="72"/>
    </w:tbl>
    <w:p w14:paraId="3C29E0BD" w14:textId="77777777" w:rsidR="00C46552" w:rsidRDefault="00C46552">
      <w:pPr>
        <w:rPr>
          <w:sz w:val="2"/>
        </w:rPr>
      </w:pPr>
    </w:p>
    <w:p w14:paraId="2D9F8F6C" w14:textId="77777777" w:rsidR="00FA56FC" w:rsidRDefault="00FA56FC">
      <w:pPr>
        <w:rPr>
          <w:sz w:val="2"/>
        </w:rPr>
      </w:pPr>
    </w:p>
    <w:p w14:paraId="5D4DF720" w14:textId="77777777" w:rsidR="00FA56FC" w:rsidRDefault="00FA56FC">
      <w:pPr>
        <w:rPr>
          <w:sz w:val="2"/>
        </w:rPr>
      </w:pPr>
    </w:p>
    <w:p w14:paraId="130E7F1D" w14:textId="77777777" w:rsidR="00FA56FC" w:rsidRDefault="00FA56FC">
      <w:pPr>
        <w:rPr>
          <w:sz w:val="2"/>
        </w:rPr>
      </w:pPr>
    </w:p>
    <w:p w14:paraId="2E2F3202" w14:textId="77777777" w:rsidR="00FA56FC" w:rsidRDefault="00FA56FC">
      <w:pPr>
        <w:rPr>
          <w:sz w:val="2"/>
        </w:rPr>
      </w:pPr>
    </w:p>
    <w:p w14:paraId="639E5296" w14:textId="77777777" w:rsidR="00A93B0B" w:rsidRDefault="00FA56FC" w:rsidP="00A93B0B">
      <w:pPr>
        <w:jc w:val="center"/>
        <w:rPr>
          <w:b/>
          <w:i/>
        </w:rPr>
      </w:pPr>
      <w:r>
        <w:rPr>
          <w:sz w:val="2"/>
        </w:rPr>
        <w:br w:type="page"/>
      </w:r>
      <w:r w:rsidR="00A93B0B">
        <w:rPr>
          <w:b/>
          <w:i/>
        </w:rPr>
        <w:lastRenderedPageBreak/>
        <w:t xml:space="preserve">Table </w:t>
      </w:r>
      <w:r w:rsidR="00260E07">
        <w:rPr>
          <w:b/>
          <w:i/>
        </w:rPr>
        <w:t>2</w:t>
      </w:r>
      <w:r w:rsidR="00A93B0B">
        <w:rPr>
          <w:b/>
          <w:i/>
        </w:rPr>
        <w:t>-</w:t>
      </w:r>
      <w:r w:rsidR="003851C6">
        <w:rPr>
          <w:b/>
          <w:i/>
        </w:rPr>
        <w:t>3</w:t>
      </w:r>
      <w:r w:rsidR="00A93B0B">
        <w:rPr>
          <w:b/>
          <w:i/>
        </w:rPr>
        <w:t xml:space="preserve"> (Continued)</w:t>
      </w:r>
    </w:p>
    <w:p w14:paraId="4BD338DB" w14:textId="77777777" w:rsidR="00FA56FC" w:rsidRDefault="00FA56FC">
      <w:pPr>
        <w:rPr>
          <w:sz w:val="2"/>
        </w:rPr>
      </w:pPr>
    </w:p>
    <w:p w14:paraId="013906C6" w14:textId="77777777" w:rsidR="00A93B0B" w:rsidRDefault="00A93B0B">
      <w:pPr>
        <w:rPr>
          <w:sz w:val="2"/>
        </w:rPr>
      </w:pPr>
    </w:p>
    <w:p w14:paraId="03C58BE9" w14:textId="77777777" w:rsidR="00A93B0B" w:rsidRDefault="00A93B0B">
      <w:pPr>
        <w:rPr>
          <w:sz w:val="2"/>
        </w:rPr>
      </w:pPr>
    </w:p>
    <w:p w14:paraId="4C95230A" w14:textId="77777777" w:rsidR="00A93B0B" w:rsidRDefault="00A93B0B">
      <w:pPr>
        <w:rPr>
          <w:sz w:val="2"/>
        </w:rPr>
      </w:pPr>
    </w:p>
    <w:p w14:paraId="106E2138" w14:textId="77777777" w:rsidR="00A93B0B" w:rsidRDefault="00A93B0B">
      <w:pPr>
        <w:rPr>
          <w:sz w:val="2"/>
        </w:rPr>
      </w:pPr>
    </w:p>
    <w:p w14:paraId="6BFD08C1" w14:textId="77777777" w:rsidR="00A93B0B" w:rsidRDefault="00A93B0B">
      <w:pPr>
        <w:rPr>
          <w:sz w:val="2"/>
        </w:rPr>
      </w:pPr>
    </w:p>
    <w:p w14:paraId="6545C2C8" w14:textId="77777777" w:rsidR="00A93B0B" w:rsidRDefault="00A93B0B">
      <w:pPr>
        <w:rPr>
          <w:sz w:val="2"/>
        </w:rPr>
      </w:pPr>
    </w:p>
    <w:p w14:paraId="404E576F" w14:textId="77777777" w:rsidR="00A93B0B" w:rsidRDefault="00A93B0B">
      <w:pPr>
        <w:rPr>
          <w:sz w:val="2"/>
        </w:rPr>
      </w:pPr>
    </w:p>
    <w:tbl>
      <w:tblPr>
        <w:tblW w:w="963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92"/>
        <w:gridCol w:w="567"/>
        <w:gridCol w:w="142"/>
        <w:gridCol w:w="2551"/>
        <w:gridCol w:w="425"/>
        <w:gridCol w:w="3686"/>
        <w:gridCol w:w="317"/>
        <w:gridCol w:w="1526"/>
        <w:gridCol w:w="33"/>
      </w:tblGrid>
      <w:tr w:rsidR="00A93B0B" w14:paraId="6DAA32EB" w14:textId="77777777">
        <w:trPr>
          <w:gridAfter w:val="1"/>
          <w:wAfter w:w="33" w:type="dxa"/>
          <w:cantSplit/>
        </w:trPr>
        <w:tc>
          <w:tcPr>
            <w:tcW w:w="392" w:type="dxa"/>
            <w:tcBorders>
              <w:top w:val="single" w:sz="12" w:space="0" w:color="auto"/>
              <w:bottom w:val="single" w:sz="12" w:space="0" w:color="auto"/>
            </w:tcBorders>
            <w:shd w:val="clear" w:color="auto" w:fill="FFFFFF"/>
          </w:tcPr>
          <w:p w14:paraId="187D22EE" w14:textId="77777777" w:rsidR="00A93B0B" w:rsidRPr="00A93B0B" w:rsidRDefault="00A93B0B">
            <w:pPr>
              <w:rPr>
                <w:rFonts w:ascii="Arial" w:hAnsi="Arial"/>
                <w:b/>
                <w:sz w:val="20"/>
              </w:rPr>
            </w:pPr>
          </w:p>
        </w:tc>
        <w:tc>
          <w:tcPr>
            <w:tcW w:w="3260" w:type="dxa"/>
            <w:gridSpan w:val="3"/>
            <w:tcBorders>
              <w:top w:val="single" w:sz="12" w:space="0" w:color="auto"/>
              <w:bottom w:val="single" w:sz="12" w:space="0" w:color="auto"/>
            </w:tcBorders>
            <w:shd w:val="clear" w:color="auto" w:fill="FFFFFF"/>
          </w:tcPr>
          <w:p w14:paraId="13B1C3A1" w14:textId="77777777" w:rsidR="00A93B0B" w:rsidRPr="00A93B0B" w:rsidRDefault="00A93B0B" w:rsidP="00A93B0B">
            <w:pPr>
              <w:rPr>
                <w:rFonts w:ascii="Arial" w:hAnsi="Arial"/>
                <w:b/>
                <w:sz w:val="20"/>
              </w:rPr>
            </w:pPr>
            <w:r w:rsidRPr="00A93B0B">
              <w:rPr>
                <w:rFonts w:ascii="Arial" w:hAnsi="Arial"/>
                <w:b/>
                <w:sz w:val="20"/>
              </w:rPr>
              <w:t>Sector</w:t>
            </w:r>
          </w:p>
        </w:tc>
        <w:tc>
          <w:tcPr>
            <w:tcW w:w="4111" w:type="dxa"/>
            <w:gridSpan w:val="2"/>
            <w:tcBorders>
              <w:top w:val="single" w:sz="12" w:space="0" w:color="auto"/>
              <w:bottom w:val="single" w:sz="12" w:space="0" w:color="auto"/>
            </w:tcBorders>
            <w:shd w:val="clear" w:color="auto" w:fill="FFFFFF"/>
          </w:tcPr>
          <w:p w14:paraId="25AAAFB0" w14:textId="77777777" w:rsidR="00A93B0B" w:rsidRPr="00A93B0B" w:rsidRDefault="00A93B0B" w:rsidP="00A93B0B">
            <w:pPr>
              <w:rPr>
                <w:rFonts w:ascii="Arial" w:hAnsi="Arial"/>
                <w:snapToGrid w:val="0"/>
                <w:sz w:val="20"/>
              </w:rPr>
            </w:pPr>
            <w:r w:rsidRPr="00A93B0B">
              <w:rPr>
                <w:rFonts w:ascii="Arial" w:hAnsi="Arial"/>
                <w:b/>
                <w:sz w:val="20"/>
              </w:rPr>
              <w:t>Comments</w:t>
            </w:r>
          </w:p>
        </w:tc>
        <w:tc>
          <w:tcPr>
            <w:tcW w:w="1843" w:type="dxa"/>
            <w:gridSpan w:val="2"/>
            <w:tcBorders>
              <w:top w:val="single" w:sz="12" w:space="0" w:color="auto"/>
              <w:bottom w:val="single" w:sz="12" w:space="0" w:color="auto"/>
            </w:tcBorders>
            <w:shd w:val="clear" w:color="auto" w:fill="FFFFFF"/>
          </w:tcPr>
          <w:p w14:paraId="2022AF42" w14:textId="77777777" w:rsidR="00A93B0B" w:rsidRPr="00A93B0B" w:rsidRDefault="00A93B0B" w:rsidP="00A93B0B">
            <w:pPr>
              <w:rPr>
                <w:rFonts w:ascii="Arial" w:hAnsi="Arial"/>
                <w:sz w:val="20"/>
              </w:rPr>
            </w:pPr>
            <w:r w:rsidRPr="00A93B0B">
              <w:rPr>
                <w:rFonts w:ascii="Arial" w:hAnsi="Arial"/>
                <w:b/>
                <w:sz w:val="20"/>
              </w:rPr>
              <w:t xml:space="preserve">Pollutants </w:t>
            </w:r>
          </w:p>
        </w:tc>
      </w:tr>
      <w:tr w:rsidR="00A93B0B" w14:paraId="225A4B07" w14:textId="77777777">
        <w:trPr>
          <w:gridAfter w:val="1"/>
          <w:wAfter w:w="33" w:type="dxa"/>
          <w:cantSplit/>
        </w:trPr>
        <w:tc>
          <w:tcPr>
            <w:tcW w:w="392" w:type="dxa"/>
            <w:tcBorders>
              <w:top w:val="single" w:sz="12" w:space="0" w:color="auto"/>
              <w:bottom w:val="single" w:sz="4" w:space="0" w:color="auto"/>
            </w:tcBorders>
            <w:shd w:val="pct20" w:color="000000" w:fill="FFFFFF"/>
          </w:tcPr>
          <w:p w14:paraId="35704733" w14:textId="77777777" w:rsidR="00A93B0B" w:rsidRDefault="00A93B0B">
            <w:pPr>
              <w:rPr>
                <w:rFonts w:ascii="Arial" w:hAnsi="Arial"/>
                <w:b/>
                <w:sz w:val="20"/>
              </w:rPr>
            </w:pPr>
            <w:bookmarkStart w:id="73" w:name="OLE_LINK6"/>
            <w:r>
              <w:rPr>
                <w:rFonts w:ascii="Arial" w:hAnsi="Arial"/>
                <w:b/>
                <w:sz w:val="20"/>
              </w:rPr>
              <w:t>6</w:t>
            </w:r>
          </w:p>
        </w:tc>
        <w:tc>
          <w:tcPr>
            <w:tcW w:w="3260" w:type="dxa"/>
            <w:gridSpan w:val="3"/>
            <w:tcBorders>
              <w:top w:val="single" w:sz="12" w:space="0" w:color="auto"/>
              <w:bottom w:val="single" w:sz="4" w:space="0" w:color="auto"/>
            </w:tcBorders>
            <w:shd w:val="pct20" w:color="000000" w:fill="FFFFFF"/>
          </w:tcPr>
          <w:p w14:paraId="2F6843AC" w14:textId="77777777" w:rsidR="00A93B0B" w:rsidRDefault="00A93B0B">
            <w:pPr>
              <w:rPr>
                <w:rFonts w:ascii="Arial" w:hAnsi="Arial"/>
                <w:b/>
                <w:smallCaps/>
              </w:rPr>
            </w:pPr>
            <w:r>
              <w:rPr>
                <w:rFonts w:ascii="Arial" w:hAnsi="Arial"/>
                <w:b/>
                <w:smallCaps/>
              </w:rPr>
              <w:t>Industrial processes</w:t>
            </w:r>
          </w:p>
        </w:tc>
        <w:tc>
          <w:tcPr>
            <w:tcW w:w="4111" w:type="dxa"/>
            <w:gridSpan w:val="2"/>
            <w:tcBorders>
              <w:top w:val="single" w:sz="12" w:space="0" w:color="auto"/>
              <w:bottom w:val="single" w:sz="4" w:space="0" w:color="auto"/>
            </w:tcBorders>
            <w:shd w:val="pct20" w:color="000000" w:fill="FFFFFF"/>
          </w:tcPr>
          <w:p w14:paraId="4DF8F6A6" w14:textId="77777777" w:rsidR="00A93B0B" w:rsidRDefault="00A93B0B">
            <w:pPr>
              <w:pStyle w:val="CommentText"/>
              <w:rPr>
                <w:rFonts w:ascii="Arial" w:hAnsi="Arial"/>
                <w:snapToGrid w:val="0"/>
                <w:color w:val="000000"/>
              </w:rPr>
            </w:pPr>
            <w:r>
              <w:rPr>
                <w:rFonts w:ascii="Arial" w:hAnsi="Arial"/>
                <w:snapToGrid w:val="0"/>
              </w:rPr>
              <w:t xml:space="preserve">Process (by-product) or fugitive emissions from industrial processes. (Emissions from fuel combustion in industry should be reported under Energy.) </w:t>
            </w:r>
            <w:r w:rsidR="00686539">
              <w:rPr>
                <w:rFonts w:ascii="Arial" w:hAnsi="Arial"/>
                <w:snapToGrid w:val="0"/>
              </w:rPr>
              <w:t>Emissions from coal and coke used as reducing agents are reported under this category.</w:t>
            </w:r>
          </w:p>
        </w:tc>
        <w:tc>
          <w:tcPr>
            <w:tcW w:w="1843" w:type="dxa"/>
            <w:gridSpan w:val="2"/>
            <w:tcBorders>
              <w:top w:val="single" w:sz="12" w:space="0" w:color="auto"/>
              <w:bottom w:val="single" w:sz="4" w:space="0" w:color="auto"/>
            </w:tcBorders>
            <w:shd w:val="pct20" w:color="000000" w:fill="FFFFFF"/>
          </w:tcPr>
          <w:p w14:paraId="631B1DFC" w14:textId="77777777" w:rsidR="00A93B0B" w:rsidRDefault="00A93B0B">
            <w:pPr>
              <w:rPr>
                <w:rFonts w:ascii="Arial" w:hAnsi="Arial"/>
                <w:sz w:val="20"/>
              </w:rPr>
            </w:pPr>
          </w:p>
        </w:tc>
      </w:tr>
      <w:tr w:rsidR="00A93B0B" w14:paraId="77E0DEA9" w14:textId="77777777">
        <w:trPr>
          <w:gridAfter w:val="1"/>
          <w:wAfter w:w="33" w:type="dxa"/>
          <w:cantSplit/>
        </w:trPr>
        <w:tc>
          <w:tcPr>
            <w:tcW w:w="392" w:type="dxa"/>
            <w:tcBorders>
              <w:top w:val="single" w:sz="4" w:space="0" w:color="auto"/>
            </w:tcBorders>
            <w:shd w:val="clear" w:color="auto" w:fill="FFFFFF"/>
          </w:tcPr>
          <w:p w14:paraId="7CFD1665" w14:textId="77777777" w:rsidR="00A93B0B" w:rsidRDefault="00A93B0B">
            <w:pPr>
              <w:rPr>
                <w:rFonts w:ascii="Arial" w:hAnsi="Arial"/>
                <w:sz w:val="20"/>
              </w:rPr>
            </w:pPr>
          </w:p>
        </w:tc>
        <w:tc>
          <w:tcPr>
            <w:tcW w:w="567" w:type="dxa"/>
            <w:tcBorders>
              <w:top w:val="single" w:sz="4" w:space="0" w:color="auto"/>
              <w:bottom w:val="single" w:sz="12" w:space="0" w:color="auto"/>
            </w:tcBorders>
            <w:shd w:val="pct12" w:color="000000" w:fill="FFFFFF"/>
          </w:tcPr>
          <w:p w14:paraId="14510C24" w14:textId="77777777" w:rsidR="00A93B0B" w:rsidRDefault="00A93B0B">
            <w:pPr>
              <w:jc w:val="right"/>
              <w:rPr>
                <w:rFonts w:ascii="Arial" w:hAnsi="Arial"/>
                <w:b/>
                <w:sz w:val="20"/>
              </w:rPr>
            </w:pPr>
            <w:r>
              <w:rPr>
                <w:rFonts w:ascii="Arial" w:hAnsi="Arial"/>
                <w:b/>
                <w:sz w:val="20"/>
              </w:rPr>
              <w:t>6A</w:t>
            </w:r>
          </w:p>
        </w:tc>
        <w:tc>
          <w:tcPr>
            <w:tcW w:w="2693" w:type="dxa"/>
            <w:gridSpan w:val="2"/>
            <w:tcBorders>
              <w:top w:val="single" w:sz="4" w:space="0" w:color="auto"/>
              <w:bottom w:val="single" w:sz="12" w:space="0" w:color="auto"/>
            </w:tcBorders>
            <w:shd w:val="pct12" w:color="000000" w:fill="FFFFFF"/>
          </w:tcPr>
          <w:p w14:paraId="044B86D7" w14:textId="77777777" w:rsidR="00A93B0B" w:rsidRDefault="00A93B0B">
            <w:pPr>
              <w:rPr>
                <w:rFonts w:ascii="Arial" w:hAnsi="Arial"/>
                <w:b/>
                <w:sz w:val="20"/>
              </w:rPr>
            </w:pPr>
            <w:r>
              <w:rPr>
                <w:rFonts w:ascii="Arial" w:hAnsi="Arial"/>
                <w:b/>
                <w:sz w:val="20"/>
              </w:rPr>
              <w:t xml:space="preserve">Mineral products </w:t>
            </w:r>
          </w:p>
          <w:p w14:paraId="60809DB3" w14:textId="70AFB716" w:rsidR="00A93B0B" w:rsidRDefault="00A93B0B">
            <w:pPr>
              <w:rPr>
                <w:rFonts w:ascii="Arial" w:hAnsi="Arial"/>
                <w:b/>
                <w:smallCaps/>
                <w:sz w:val="20"/>
              </w:rPr>
            </w:pPr>
          </w:p>
        </w:tc>
        <w:tc>
          <w:tcPr>
            <w:tcW w:w="4111" w:type="dxa"/>
            <w:gridSpan w:val="2"/>
            <w:tcBorders>
              <w:top w:val="single" w:sz="4" w:space="0" w:color="auto"/>
              <w:bottom w:val="single" w:sz="12" w:space="0" w:color="auto"/>
            </w:tcBorders>
            <w:shd w:val="pct12" w:color="000000" w:fill="FFFFFF"/>
          </w:tcPr>
          <w:p w14:paraId="412ED3B0" w14:textId="77777777" w:rsidR="00A93B0B" w:rsidRDefault="00A93B0B">
            <w:pPr>
              <w:rPr>
                <w:rFonts w:ascii="Arial" w:hAnsi="Arial"/>
                <w:snapToGrid w:val="0"/>
                <w:color w:val="000000"/>
                <w:sz w:val="20"/>
              </w:rPr>
            </w:pPr>
            <w:r>
              <w:rPr>
                <w:rFonts w:ascii="Arial" w:hAnsi="Arial"/>
                <w:snapToGrid w:val="0"/>
                <w:color w:val="000000"/>
                <w:sz w:val="20"/>
              </w:rPr>
              <w:t>Cement Production, Lime Production, Road Paving with Asphalt and Brick Manufacture.</w:t>
            </w:r>
          </w:p>
        </w:tc>
        <w:tc>
          <w:tcPr>
            <w:tcW w:w="1843" w:type="dxa"/>
            <w:gridSpan w:val="2"/>
            <w:tcBorders>
              <w:top w:val="single" w:sz="4" w:space="0" w:color="auto"/>
              <w:bottom w:val="single" w:sz="12" w:space="0" w:color="auto"/>
            </w:tcBorders>
            <w:shd w:val="pct12" w:color="000000" w:fill="FFFFFF"/>
          </w:tcPr>
          <w:p w14:paraId="3C7BE3D9" w14:textId="77777777" w:rsidR="00A93B0B" w:rsidRPr="004B5A0D" w:rsidRDefault="00A93B0B">
            <w:pPr>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NMVOC, PM</w:t>
            </w:r>
            <w:r>
              <w:rPr>
                <w:rFonts w:ascii="Arial" w:hAnsi="Arial"/>
                <w:sz w:val="20"/>
                <w:vertAlign w:val="subscript"/>
              </w:rPr>
              <w:t>10</w:t>
            </w:r>
            <w:r>
              <w:rPr>
                <w:rFonts w:ascii="Arial" w:hAnsi="Arial"/>
                <w:sz w:val="20"/>
              </w:rPr>
              <w:t>, PM</w:t>
            </w:r>
            <w:r>
              <w:rPr>
                <w:rFonts w:ascii="Arial" w:hAnsi="Arial"/>
                <w:sz w:val="20"/>
                <w:vertAlign w:val="subscript"/>
              </w:rPr>
              <w:t>2.5</w:t>
            </w:r>
            <w:r w:rsidR="004B5A0D">
              <w:rPr>
                <w:rFonts w:ascii="Arial" w:hAnsi="Arial"/>
                <w:sz w:val="20"/>
                <w:vertAlign w:val="subscript"/>
              </w:rPr>
              <w:t xml:space="preserve"> </w:t>
            </w:r>
            <w:r w:rsidR="004B5A0D">
              <w:rPr>
                <w:rFonts w:ascii="Arial" w:hAnsi="Arial"/>
                <w:sz w:val="20"/>
              </w:rPr>
              <w:t>(+CO</w:t>
            </w:r>
            <w:r w:rsidR="004B5A0D" w:rsidRPr="004B5A0D">
              <w:rPr>
                <w:rFonts w:ascii="Arial" w:hAnsi="Arial"/>
                <w:sz w:val="20"/>
                <w:vertAlign w:val="subscript"/>
              </w:rPr>
              <w:t>2</w:t>
            </w:r>
            <w:r w:rsidR="004B5A0D">
              <w:rPr>
                <w:rFonts w:ascii="Arial" w:hAnsi="Arial"/>
                <w:sz w:val="20"/>
              </w:rPr>
              <w:t xml:space="preserve"> for cement)</w:t>
            </w:r>
          </w:p>
        </w:tc>
      </w:tr>
      <w:tr w:rsidR="00A93B0B" w14:paraId="3A0FFD82" w14:textId="77777777">
        <w:trPr>
          <w:gridAfter w:val="1"/>
          <w:wAfter w:w="33" w:type="dxa"/>
          <w:cantSplit/>
        </w:trPr>
        <w:tc>
          <w:tcPr>
            <w:tcW w:w="392" w:type="dxa"/>
            <w:shd w:val="clear" w:color="auto" w:fill="FFFFFF"/>
          </w:tcPr>
          <w:p w14:paraId="08CAE9A4" w14:textId="77777777" w:rsidR="00A93B0B" w:rsidRDefault="00A93B0B">
            <w:pPr>
              <w:rPr>
                <w:rFonts w:ascii="Arial" w:hAnsi="Arial"/>
                <w:sz w:val="20"/>
              </w:rPr>
            </w:pPr>
          </w:p>
        </w:tc>
        <w:tc>
          <w:tcPr>
            <w:tcW w:w="567" w:type="dxa"/>
            <w:tcBorders>
              <w:top w:val="single" w:sz="12" w:space="0" w:color="auto"/>
              <w:bottom w:val="single" w:sz="12" w:space="0" w:color="auto"/>
            </w:tcBorders>
            <w:shd w:val="pct12" w:color="000000" w:fill="FFFFFF"/>
          </w:tcPr>
          <w:p w14:paraId="6B71EFF3" w14:textId="77777777" w:rsidR="00A93B0B" w:rsidRDefault="00A93B0B">
            <w:pPr>
              <w:jc w:val="right"/>
              <w:rPr>
                <w:rFonts w:ascii="Arial" w:hAnsi="Arial"/>
                <w:b/>
                <w:sz w:val="20"/>
              </w:rPr>
            </w:pPr>
            <w:r>
              <w:rPr>
                <w:rFonts w:ascii="Arial" w:hAnsi="Arial"/>
                <w:b/>
                <w:sz w:val="20"/>
              </w:rPr>
              <w:t>6B</w:t>
            </w:r>
          </w:p>
        </w:tc>
        <w:tc>
          <w:tcPr>
            <w:tcW w:w="2693" w:type="dxa"/>
            <w:gridSpan w:val="2"/>
            <w:tcBorders>
              <w:top w:val="single" w:sz="12" w:space="0" w:color="auto"/>
              <w:bottom w:val="single" w:sz="12" w:space="0" w:color="auto"/>
            </w:tcBorders>
            <w:shd w:val="pct12" w:color="000000" w:fill="FFFFFF"/>
          </w:tcPr>
          <w:p w14:paraId="0D0F2009" w14:textId="77777777" w:rsidR="00A93B0B" w:rsidRDefault="00A93B0B">
            <w:pPr>
              <w:rPr>
                <w:rFonts w:ascii="Arial" w:hAnsi="Arial"/>
                <w:b/>
                <w:sz w:val="20"/>
              </w:rPr>
            </w:pPr>
            <w:r>
              <w:rPr>
                <w:rFonts w:ascii="Arial" w:hAnsi="Arial"/>
                <w:b/>
                <w:sz w:val="20"/>
              </w:rPr>
              <w:t>Chemical industry</w:t>
            </w:r>
          </w:p>
          <w:p w14:paraId="184CBC55" w14:textId="0A7A3562" w:rsidR="00A93B0B" w:rsidRDefault="00A93B0B">
            <w:pPr>
              <w:rPr>
                <w:rFonts w:ascii="Arial" w:hAnsi="Arial"/>
                <w:sz w:val="20"/>
              </w:rPr>
            </w:pPr>
          </w:p>
        </w:tc>
        <w:tc>
          <w:tcPr>
            <w:tcW w:w="4111" w:type="dxa"/>
            <w:gridSpan w:val="2"/>
            <w:tcBorders>
              <w:top w:val="single" w:sz="12" w:space="0" w:color="auto"/>
              <w:bottom w:val="single" w:sz="12" w:space="0" w:color="auto"/>
            </w:tcBorders>
            <w:shd w:val="pct12" w:color="000000" w:fill="FFFFFF"/>
          </w:tcPr>
          <w:p w14:paraId="52E1D228" w14:textId="77777777" w:rsidR="00A93B0B" w:rsidRDefault="00A93B0B">
            <w:pPr>
              <w:rPr>
                <w:rFonts w:ascii="Arial" w:hAnsi="Arial"/>
                <w:snapToGrid w:val="0"/>
                <w:color w:val="000000"/>
                <w:sz w:val="20"/>
              </w:rPr>
            </w:pPr>
            <w:r>
              <w:rPr>
                <w:rFonts w:ascii="Arial" w:hAnsi="Arial"/>
                <w:snapToGrid w:val="0"/>
                <w:color w:val="000000"/>
                <w:sz w:val="20"/>
              </w:rPr>
              <w:t>Production of Ammonia, Nitric acid, Adipic acid, Carbon black, Urea, Ammonium nitrate, Ammonium phosphate, Sulphuric acid and Titanium dioxide and other chemicals.</w:t>
            </w:r>
          </w:p>
        </w:tc>
        <w:tc>
          <w:tcPr>
            <w:tcW w:w="1843" w:type="dxa"/>
            <w:gridSpan w:val="2"/>
            <w:tcBorders>
              <w:top w:val="single" w:sz="12" w:space="0" w:color="auto"/>
              <w:bottom w:val="single" w:sz="12" w:space="0" w:color="auto"/>
            </w:tcBorders>
            <w:shd w:val="pct12" w:color="000000" w:fill="FFFFFF"/>
          </w:tcPr>
          <w:p w14:paraId="3C483B19" w14:textId="77777777" w:rsidR="00A93B0B" w:rsidRDefault="00A93B0B">
            <w:pPr>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NMVOC,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Pr>
                <w:rFonts w:ascii="Arial" w:hAnsi="Arial"/>
                <w:sz w:val="20"/>
                <w:vertAlign w:val="subscript"/>
              </w:rPr>
              <w:t>2.5</w:t>
            </w:r>
          </w:p>
        </w:tc>
      </w:tr>
      <w:tr w:rsidR="00A93B0B" w14:paraId="1032A354" w14:textId="77777777">
        <w:trPr>
          <w:gridAfter w:val="1"/>
          <w:wAfter w:w="33" w:type="dxa"/>
          <w:cantSplit/>
        </w:trPr>
        <w:tc>
          <w:tcPr>
            <w:tcW w:w="392" w:type="dxa"/>
            <w:shd w:val="clear" w:color="auto" w:fill="FFFFFF"/>
          </w:tcPr>
          <w:p w14:paraId="127D2C63" w14:textId="77777777" w:rsidR="00A93B0B" w:rsidRDefault="00A93B0B">
            <w:pPr>
              <w:rPr>
                <w:rFonts w:ascii="Arial" w:hAnsi="Arial"/>
                <w:sz w:val="20"/>
              </w:rPr>
            </w:pPr>
          </w:p>
        </w:tc>
        <w:tc>
          <w:tcPr>
            <w:tcW w:w="567" w:type="dxa"/>
            <w:tcBorders>
              <w:top w:val="single" w:sz="12" w:space="0" w:color="auto"/>
              <w:bottom w:val="single" w:sz="12" w:space="0" w:color="auto"/>
            </w:tcBorders>
            <w:shd w:val="pct12" w:color="000000" w:fill="FFFFFF"/>
          </w:tcPr>
          <w:p w14:paraId="671C825E" w14:textId="77777777" w:rsidR="00A93B0B" w:rsidRDefault="00A93B0B">
            <w:pPr>
              <w:jc w:val="right"/>
              <w:rPr>
                <w:rFonts w:ascii="Arial" w:hAnsi="Arial"/>
                <w:b/>
                <w:sz w:val="20"/>
              </w:rPr>
            </w:pPr>
            <w:r>
              <w:rPr>
                <w:rFonts w:ascii="Arial" w:hAnsi="Arial"/>
                <w:b/>
                <w:sz w:val="20"/>
              </w:rPr>
              <w:t>6C</w:t>
            </w:r>
          </w:p>
        </w:tc>
        <w:tc>
          <w:tcPr>
            <w:tcW w:w="2693" w:type="dxa"/>
            <w:gridSpan w:val="2"/>
            <w:tcBorders>
              <w:top w:val="single" w:sz="12" w:space="0" w:color="auto"/>
              <w:bottom w:val="single" w:sz="12" w:space="0" w:color="auto"/>
            </w:tcBorders>
            <w:shd w:val="pct12" w:color="000000" w:fill="FFFFFF"/>
          </w:tcPr>
          <w:p w14:paraId="4BC23706" w14:textId="77777777" w:rsidR="00A93B0B" w:rsidRDefault="00A93B0B">
            <w:pPr>
              <w:rPr>
                <w:rFonts w:ascii="Arial" w:hAnsi="Arial"/>
                <w:b/>
                <w:sz w:val="20"/>
              </w:rPr>
            </w:pPr>
            <w:r>
              <w:rPr>
                <w:rFonts w:ascii="Arial" w:hAnsi="Arial"/>
                <w:b/>
                <w:sz w:val="20"/>
              </w:rPr>
              <w:t>Metal production</w:t>
            </w:r>
          </w:p>
          <w:p w14:paraId="74C5CA14" w14:textId="719C7434" w:rsidR="00A93B0B" w:rsidRDefault="00A93B0B">
            <w:pPr>
              <w:rPr>
                <w:rFonts w:ascii="Arial" w:hAnsi="Arial"/>
                <w:sz w:val="20"/>
              </w:rPr>
            </w:pPr>
          </w:p>
        </w:tc>
        <w:tc>
          <w:tcPr>
            <w:tcW w:w="4111" w:type="dxa"/>
            <w:gridSpan w:val="2"/>
            <w:tcBorders>
              <w:top w:val="single" w:sz="12" w:space="0" w:color="auto"/>
              <w:bottom w:val="single" w:sz="12" w:space="0" w:color="auto"/>
            </w:tcBorders>
            <w:shd w:val="pct12" w:color="000000" w:fill="FFFFFF"/>
          </w:tcPr>
          <w:p w14:paraId="62E6467E" w14:textId="77777777" w:rsidR="00A93B0B" w:rsidRDefault="00A93B0B">
            <w:pPr>
              <w:rPr>
                <w:rFonts w:ascii="Arial" w:hAnsi="Arial"/>
                <w:snapToGrid w:val="0"/>
                <w:color w:val="000000"/>
                <w:sz w:val="20"/>
              </w:rPr>
            </w:pPr>
            <w:r>
              <w:rPr>
                <w:rFonts w:ascii="Arial" w:hAnsi="Arial"/>
                <w:snapToGrid w:val="0"/>
                <w:color w:val="000000"/>
                <w:sz w:val="20"/>
              </w:rPr>
              <w:t>Pig iron production, Aluminium production, Copper smelting (primary), Lead smelting (primary) and Zinc smelting (primary).</w:t>
            </w:r>
            <w:r w:rsidR="004A42F0">
              <w:rPr>
                <w:rFonts w:ascii="Arial" w:hAnsi="Arial"/>
                <w:snapToGrid w:val="0"/>
                <w:color w:val="000000"/>
                <w:sz w:val="20"/>
              </w:rPr>
              <w:t xml:space="preserve"> </w:t>
            </w:r>
            <w:r w:rsidR="004B2A6A" w:rsidRPr="004B2A6A">
              <w:rPr>
                <w:rFonts w:ascii="Arial" w:hAnsi="Arial"/>
                <w:snapToGrid w:val="0"/>
                <w:color w:val="000000"/>
                <w:sz w:val="20"/>
              </w:rPr>
              <w:t xml:space="preserve"> Emissions from coke and coal used primarily as reducing agents are included here (and not as combustion emissions under 2A above).</w:t>
            </w:r>
          </w:p>
        </w:tc>
        <w:tc>
          <w:tcPr>
            <w:tcW w:w="1843" w:type="dxa"/>
            <w:gridSpan w:val="2"/>
            <w:tcBorders>
              <w:top w:val="single" w:sz="12" w:space="0" w:color="auto"/>
              <w:bottom w:val="single" w:sz="12" w:space="0" w:color="auto"/>
            </w:tcBorders>
            <w:shd w:val="pct12" w:color="000000" w:fill="FFFFFF"/>
          </w:tcPr>
          <w:p w14:paraId="372B38E6" w14:textId="77777777" w:rsidR="00A93B0B" w:rsidRDefault="00A93B0B">
            <w:pPr>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NMVOC, PM</w:t>
            </w:r>
            <w:r>
              <w:rPr>
                <w:rFonts w:ascii="Arial" w:hAnsi="Arial"/>
                <w:sz w:val="20"/>
                <w:vertAlign w:val="subscript"/>
              </w:rPr>
              <w:t>10</w:t>
            </w:r>
            <w:r>
              <w:rPr>
                <w:rFonts w:ascii="Arial" w:hAnsi="Arial"/>
                <w:sz w:val="20"/>
              </w:rPr>
              <w:t>, PM</w:t>
            </w:r>
            <w:r>
              <w:rPr>
                <w:rFonts w:ascii="Arial" w:hAnsi="Arial"/>
                <w:sz w:val="20"/>
                <w:vertAlign w:val="subscript"/>
              </w:rPr>
              <w:t>2.5</w:t>
            </w:r>
          </w:p>
        </w:tc>
      </w:tr>
      <w:tr w:rsidR="00A93B0B" w14:paraId="646CB53E" w14:textId="77777777">
        <w:trPr>
          <w:gridAfter w:val="1"/>
          <w:wAfter w:w="33" w:type="dxa"/>
          <w:cantSplit/>
        </w:trPr>
        <w:tc>
          <w:tcPr>
            <w:tcW w:w="392" w:type="dxa"/>
            <w:shd w:val="clear" w:color="auto" w:fill="FFFFFF"/>
          </w:tcPr>
          <w:p w14:paraId="01B083D8" w14:textId="77777777" w:rsidR="00A93B0B" w:rsidRDefault="00A93B0B">
            <w:pPr>
              <w:rPr>
                <w:rFonts w:ascii="Arial" w:hAnsi="Arial"/>
                <w:sz w:val="20"/>
              </w:rPr>
            </w:pPr>
          </w:p>
        </w:tc>
        <w:tc>
          <w:tcPr>
            <w:tcW w:w="567" w:type="dxa"/>
            <w:tcBorders>
              <w:top w:val="single" w:sz="12" w:space="0" w:color="auto"/>
              <w:bottom w:val="single" w:sz="12" w:space="0" w:color="auto"/>
            </w:tcBorders>
            <w:shd w:val="pct12" w:color="000000" w:fill="FFFFFF"/>
          </w:tcPr>
          <w:p w14:paraId="6BBE9D07" w14:textId="77777777" w:rsidR="00A93B0B" w:rsidRDefault="00A93B0B" w:rsidP="00A93B0B">
            <w:pPr>
              <w:jc w:val="right"/>
              <w:rPr>
                <w:rFonts w:ascii="Arial" w:hAnsi="Arial"/>
                <w:b/>
                <w:sz w:val="18"/>
              </w:rPr>
            </w:pPr>
            <w:r>
              <w:rPr>
                <w:rFonts w:ascii="Arial" w:hAnsi="Arial"/>
                <w:b/>
                <w:sz w:val="18"/>
              </w:rPr>
              <w:t>6D</w:t>
            </w:r>
          </w:p>
        </w:tc>
        <w:tc>
          <w:tcPr>
            <w:tcW w:w="2693" w:type="dxa"/>
            <w:gridSpan w:val="2"/>
            <w:tcBorders>
              <w:top w:val="single" w:sz="12" w:space="0" w:color="auto"/>
              <w:bottom w:val="single" w:sz="12" w:space="0" w:color="auto"/>
            </w:tcBorders>
            <w:shd w:val="pct12" w:color="000000" w:fill="FFFFFF"/>
          </w:tcPr>
          <w:p w14:paraId="0A9B1228" w14:textId="77777777" w:rsidR="00A93B0B" w:rsidRDefault="00A93B0B" w:rsidP="00A93B0B">
            <w:pPr>
              <w:rPr>
                <w:rFonts w:ascii="Arial" w:hAnsi="Arial"/>
                <w:b/>
                <w:sz w:val="20"/>
              </w:rPr>
            </w:pPr>
            <w:r>
              <w:rPr>
                <w:rFonts w:ascii="Arial" w:hAnsi="Arial"/>
                <w:b/>
                <w:sz w:val="20"/>
              </w:rPr>
              <w:t>Paper and pulp</w:t>
            </w:r>
          </w:p>
          <w:p w14:paraId="7A142F44" w14:textId="3C183798" w:rsidR="00A93B0B" w:rsidRDefault="00A93B0B" w:rsidP="00A93B0B">
            <w:pPr>
              <w:rPr>
                <w:rFonts w:ascii="Arial" w:hAnsi="Arial"/>
                <w:sz w:val="20"/>
              </w:rPr>
            </w:pPr>
          </w:p>
        </w:tc>
        <w:tc>
          <w:tcPr>
            <w:tcW w:w="4111" w:type="dxa"/>
            <w:gridSpan w:val="2"/>
            <w:tcBorders>
              <w:top w:val="single" w:sz="12" w:space="0" w:color="auto"/>
              <w:bottom w:val="single" w:sz="12" w:space="0" w:color="auto"/>
            </w:tcBorders>
            <w:shd w:val="pct12" w:color="000000" w:fill="FFFFFF"/>
          </w:tcPr>
          <w:p w14:paraId="73664062" w14:textId="77777777" w:rsidR="00A93B0B" w:rsidRDefault="00A93B0B" w:rsidP="00A93B0B">
            <w:pPr>
              <w:rPr>
                <w:rFonts w:ascii="Arial" w:hAnsi="Arial"/>
                <w:snapToGrid w:val="0"/>
                <w:color w:val="000000"/>
                <w:sz w:val="20"/>
              </w:rPr>
            </w:pPr>
            <w:r>
              <w:rPr>
                <w:rFonts w:ascii="Arial" w:hAnsi="Arial"/>
                <w:snapToGrid w:val="0"/>
                <w:color w:val="000000"/>
                <w:sz w:val="20"/>
              </w:rPr>
              <w:t>Kraft pulping, Alkaline soda pulping, Acid sulphite pulping, Neutral sulphite semi-chemical (NSSC).</w:t>
            </w:r>
          </w:p>
        </w:tc>
        <w:tc>
          <w:tcPr>
            <w:tcW w:w="1843" w:type="dxa"/>
            <w:gridSpan w:val="2"/>
            <w:tcBorders>
              <w:top w:val="single" w:sz="12" w:space="0" w:color="auto"/>
              <w:bottom w:val="single" w:sz="12" w:space="0" w:color="auto"/>
            </w:tcBorders>
            <w:shd w:val="pct12" w:color="000000" w:fill="FFFFFF"/>
          </w:tcPr>
          <w:p w14:paraId="34C0D308" w14:textId="77777777" w:rsidR="00A93B0B" w:rsidRDefault="00A93B0B" w:rsidP="00A93B0B">
            <w:pPr>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NMVOC, PM</w:t>
            </w:r>
            <w:r>
              <w:rPr>
                <w:rFonts w:ascii="Arial" w:hAnsi="Arial"/>
                <w:sz w:val="20"/>
                <w:vertAlign w:val="subscript"/>
              </w:rPr>
              <w:t>10</w:t>
            </w:r>
            <w:r>
              <w:rPr>
                <w:rFonts w:ascii="Arial" w:hAnsi="Arial"/>
                <w:sz w:val="20"/>
              </w:rPr>
              <w:t>, PM</w:t>
            </w:r>
            <w:r>
              <w:rPr>
                <w:rFonts w:ascii="Arial" w:hAnsi="Arial"/>
                <w:sz w:val="20"/>
                <w:vertAlign w:val="subscript"/>
              </w:rPr>
              <w:t>2.5</w:t>
            </w:r>
          </w:p>
        </w:tc>
      </w:tr>
      <w:tr w:rsidR="00A93B0B" w14:paraId="760C5F9C" w14:textId="77777777">
        <w:trPr>
          <w:gridAfter w:val="1"/>
          <w:wAfter w:w="33" w:type="dxa"/>
          <w:cantSplit/>
        </w:trPr>
        <w:tc>
          <w:tcPr>
            <w:tcW w:w="392" w:type="dxa"/>
            <w:shd w:val="clear" w:color="auto" w:fill="FFFFFF"/>
          </w:tcPr>
          <w:p w14:paraId="3971F579" w14:textId="77777777" w:rsidR="00A93B0B" w:rsidRDefault="00A93B0B">
            <w:pPr>
              <w:rPr>
                <w:rFonts w:ascii="Arial" w:hAnsi="Arial"/>
                <w:sz w:val="20"/>
              </w:rPr>
            </w:pPr>
          </w:p>
        </w:tc>
        <w:tc>
          <w:tcPr>
            <w:tcW w:w="567" w:type="dxa"/>
            <w:tcBorders>
              <w:top w:val="single" w:sz="12" w:space="0" w:color="auto"/>
              <w:bottom w:val="single" w:sz="12" w:space="0" w:color="auto"/>
            </w:tcBorders>
            <w:shd w:val="pct12" w:color="000000" w:fill="FFFFFF"/>
          </w:tcPr>
          <w:p w14:paraId="63E2F6A6" w14:textId="77777777" w:rsidR="00A93B0B" w:rsidRDefault="00A93B0B" w:rsidP="00A93B0B">
            <w:pPr>
              <w:jc w:val="right"/>
              <w:rPr>
                <w:rFonts w:ascii="Arial" w:hAnsi="Arial"/>
                <w:b/>
                <w:sz w:val="18"/>
              </w:rPr>
            </w:pPr>
            <w:r>
              <w:rPr>
                <w:rFonts w:ascii="Arial" w:hAnsi="Arial"/>
                <w:b/>
                <w:sz w:val="18"/>
              </w:rPr>
              <w:t>6E</w:t>
            </w:r>
          </w:p>
        </w:tc>
        <w:tc>
          <w:tcPr>
            <w:tcW w:w="2693" w:type="dxa"/>
            <w:gridSpan w:val="2"/>
            <w:tcBorders>
              <w:top w:val="single" w:sz="12" w:space="0" w:color="auto"/>
              <w:bottom w:val="single" w:sz="12" w:space="0" w:color="auto"/>
            </w:tcBorders>
            <w:shd w:val="pct12" w:color="000000" w:fill="FFFFFF"/>
          </w:tcPr>
          <w:p w14:paraId="151D3A64" w14:textId="77777777" w:rsidR="00A93B0B" w:rsidRPr="00FA56FC" w:rsidRDefault="00A93B0B" w:rsidP="00A93B0B">
            <w:pPr>
              <w:rPr>
                <w:rFonts w:ascii="Arial" w:hAnsi="Arial"/>
                <w:b/>
                <w:sz w:val="20"/>
              </w:rPr>
            </w:pPr>
            <w:r w:rsidRPr="00FA56FC">
              <w:rPr>
                <w:rFonts w:ascii="Arial" w:hAnsi="Arial"/>
                <w:b/>
                <w:sz w:val="20"/>
              </w:rPr>
              <w:t>Food and Drink</w:t>
            </w:r>
          </w:p>
          <w:p w14:paraId="1D55BA04" w14:textId="0BFA67F4" w:rsidR="00A93B0B" w:rsidRDefault="00A93B0B" w:rsidP="00A93B0B">
            <w:pPr>
              <w:rPr>
                <w:rFonts w:ascii="Arial" w:hAnsi="Arial"/>
                <w:sz w:val="20"/>
              </w:rPr>
            </w:pPr>
          </w:p>
        </w:tc>
        <w:tc>
          <w:tcPr>
            <w:tcW w:w="4111" w:type="dxa"/>
            <w:gridSpan w:val="2"/>
            <w:tcBorders>
              <w:top w:val="single" w:sz="12" w:space="0" w:color="auto"/>
              <w:bottom w:val="single" w:sz="12" w:space="0" w:color="auto"/>
            </w:tcBorders>
            <w:shd w:val="pct12" w:color="000000" w:fill="FFFFFF"/>
          </w:tcPr>
          <w:p w14:paraId="7CCDDAF4" w14:textId="77777777" w:rsidR="00A93B0B" w:rsidRDefault="00A93B0B" w:rsidP="00A93B0B">
            <w:pPr>
              <w:rPr>
                <w:rFonts w:ascii="Arial" w:hAnsi="Arial"/>
                <w:snapToGrid w:val="0"/>
                <w:color w:val="000000"/>
                <w:sz w:val="20"/>
              </w:rPr>
            </w:pPr>
            <w:r>
              <w:rPr>
                <w:rFonts w:ascii="Arial" w:hAnsi="Arial"/>
                <w:snapToGrid w:val="0"/>
                <w:color w:val="000000"/>
                <w:sz w:val="20"/>
              </w:rPr>
              <w:t>All processes in food production chains that occur after the slaughtering of animals or harvesting of crops. Includes production of Meat, fish and poultry; Sugar; Margarines and solid cooking fats; Cakes, biscuits and breakfast cereals; Bread; Animal feed; Coffee roasting and Alcoholic beverage manufacture. Excludes vegetable oil extraction and tobacco</w:t>
            </w:r>
          </w:p>
        </w:tc>
        <w:tc>
          <w:tcPr>
            <w:tcW w:w="1843" w:type="dxa"/>
            <w:gridSpan w:val="2"/>
            <w:tcBorders>
              <w:top w:val="single" w:sz="12" w:space="0" w:color="auto"/>
              <w:bottom w:val="single" w:sz="12" w:space="0" w:color="auto"/>
            </w:tcBorders>
            <w:shd w:val="pct12" w:color="000000" w:fill="FFFFFF"/>
          </w:tcPr>
          <w:p w14:paraId="0055C8FE" w14:textId="77777777" w:rsidR="00A93B0B" w:rsidRDefault="00A93B0B" w:rsidP="00A93B0B">
            <w:pPr>
              <w:rPr>
                <w:rFonts w:ascii="Arial" w:hAnsi="Arial"/>
                <w:sz w:val="20"/>
              </w:rPr>
            </w:pPr>
            <w:r>
              <w:rPr>
                <w:rFonts w:ascii="Arial" w:hAnsi="Arial"/>
                <w:sz w:val="20"/>
              </w:rPr>
              <w:t>NMVOC, PM</w:t>
            </w:r>
            <w:r>
              <w:rPr>
                <w:rFonts w:ascii="Arial" w:hAnsi="Arial"/>
                <w:sz w:val="20"/>
                <w:vertAlign w:val="subscript"/>
              </w:rPr>
              <w:t>10</w:t>
            </w:r>
            <w:r>
              <w:rPr>
                <w:rFonts w:ascii="Arial" w:hAnsi="Arial"/>
                <w:sz w:val="20"/>
              </w:rPr>
              <w:t>, PM</w:t>
            </w:r>
            <w:r>
              <w:rPr>
                <w:rFonts w:ascii="Arial" w:hAnsi="Arial"/>
                <w:sz w:val="20"/>
                <w:vertAlign w:val="subscript"/>
              </w:rPr>
              <w:t>2.5</w:t>
            </w:r>
          </w:p>
        </w:tc>
      </w:tr>
      <w:bookmarkEnd w:id="73"/>
      <w:tr w:rsidR="00A93B0B" w14:paraId="5AD57BD2" w14:textId="77777777">
        <w:trPr>
          <w:cantSplit/>
        </w:trPr>
        <w:tc>
          <w:tcPr>
            <w:tcW w:w="392" w:type="dxa"/>
            <w:tcBorders>
              <w:top w:val="single" w:sz="12" w:space="0" w:color="auto"/>
              <w:bottom w:val="single" w:sz="12" w:space="0" w:color="auto"/>
            </w:tcBorders>
            <w:shd w:val="pct20" w:color="000000" w:fill="FFFFFF"/>
          </w:tcPr>
          <w:p w14:paraId="53BCCB60" w14:textId="77777777" w:rsidR="00A93B0B" w:rsidRDefault="00A93B0B" w:rsidP="00A93B0B">
            <w:pPr>
              <w:rPr>
                <w:rFonts w:ascii="Arial" w:hAnsi="Arial"/>
                <w:b/>
                <w:sz w:val="20"/>
              </w:rPr>
            </w:pPr>
            <w:r>
              <w:rPr>
                <w:rFonts w:ascii="Arial" w:hAnsi="Arial"/>
                <w:b/>
                <w:sz w:val="20"/>
              </w:rPr>
              <w:t>7</w:t>
            </w:r>
          </w:p>
        </w:tc>
        <w:tc>
          <w:tcPr>
            <w:tcW w:w="3685" w:type="dxa"/>
            <w:gridSpan w:val="4"/>
            <w:tcBorders>
              <w:top w:val="single" w:sz="12" w:space="0" w:color="auto"/>
              <w:bottom w:val="single" w:sz="12" w:space="0" w:color="auto"/>
            </w:tcBorders>
            <w:shd w:val="pct20" w:color="000000" w:fill="FFFFFF"/>
          </w:tcPr>
          <w:p w14:paraId="0CD2F2BA" w14:textId="77777777" w:rsidR="00A93B0B" w:rsidRDefault="00A93B0B" w:rsidP="00A93B0B">
            <w:pPr>
              <w:rPr>
                <w:rFonts w:ascii="Arial" w:hAnsi="Arial"/>
                <w:b/>
                <w:sz w:val="20"/>
              </w:rPr>
            </w:pPr>
            <w:r>
              <w:rPr>
                <w:rFonts w:ascii="Arial" w:hAnsi="Arial"/>
                <w:b/>
                <w:sz w:val="20"/>
              </w:rPr>
              <w:t>SOLVENT AND OTHER</w:t>
            </w:r>
          </w:p>
          <w:p w14:paraId="13B67CAD" w14:textId="77777777" w:rsidR="00A93B0B" w:rsidRDefault="00A93B0B" w:rsidP="00A93B0B">
            <w:pPr>
              <w:rPr>
                <w:rFonts w:ascii="Arial" w:hAnsi="Arial"/>
                <w:b/>
                <w:sz w:val="20"/>
              </w:rPr>
            </w:pPr>
            <w:r>
              <w:rPr>
                <w:rFonts w:ascii="Arial" w:hAnsi="Arial"/>
                <w:b/>
                <w:sz w:val="20"/>
              </w:rPr>
              <w:t>PRODUCT USE</w:t>
            </w:r>
          </w:p>
        </w:tc>
        <w:tc>
          <w:tcPr>
            <w:tcW w:w="4003" w:type="dxa"/>
            <w:gridSpan w:val="2"/>
            <w:tcBorders>
              <w:top w:val="single" w:sz="12" w:space="0" w:color="auto"/>
              <w:bottom w:val="single" w:sz="12" w:space="0" w:color="auto"/>
            </w:tcBorders>
            <w:shd w:val="pct20" w:color="000000" w:fill="FFFFFF"/>
          </w:tcPr>
          <w:p w14:paraId="5AD9A7AD" w14:textId="77777777" w:rsidR="00A93B0B" w:rsidRDefault="00A93B0B" w:rsidP="00A93B0B">
            <w:pPr>
              <w:pStyle w:val="CommentText"/>
              <w:rPr>
                <w:rFonts w:ascii="Arial" w:hAnsi="Arial"/>
                <w:snapToGrid w:val="0"/>
                <w:color w:val="000000"/>
              </w:rPr>
            </w:pPr>
            <w:r>
              <w:rPr>
                <w:rFonts w:ascii="Arial" w:hAnsi="Arial"/>
                <w:snapToGrid w:val="0"/>
              </w:rPr>
              <w:t>Emissions resulting from the use of solvents and other products containing volatile compounds.</w:t>
            </w:r>
          </w:p>
        </w:tc>
        <w:tc>
          <w:tcPr>
            <w:tcW w:w="1559" w:type="dxa"/>
            <w:gridSpan w:val="2"/>
            <w:tcBorders>
              <w:top w:val="single" w:sz="12" w:space="0" w:color="auto"/>
              <w:bottom w:val="single" w:sz="12" w:space="0" w:color="auto"/>
            </w:tcBorders>
            <w:shd w:val="pct20" w:color="000000" w:fill="FFFFFF"/>
          </w:tcPr>
          <w:p w14:paraId="6B0285D7" w14:textId="77777777" w:rsidR="00A93B0B" w:rsidRDefault="00A93B0B" w:rsidP="00A93B0B">
            <w:pPr>
              <w:rPr>
                <w:rFonts w:ascii="Arial" w:hAnsi="Arial"/>
                <w:sz w:val="20"/>
              </w:rPr>
            </w:pPr>
          </w:p>
        </w:tc>
      </w:tr>
      <w:tr w:rsidR="00A93B0B" w14:paraId="1217C811" w14:textId="77777777">
        <w:trPr>
          <w:cantSplit/>
        </w:trPr>
        <w:tc>
          <w:tcPr>
            <w:tcW w:w="392" w:type="dxa"/>
            <w:tcBorders>
              <w:top w:val="nil"/>
            </w:tcBorders>
            <w:shd w:val="clear" w:color="auto" w:fill="FFFFFF"/>
          </w:tcPr>
          <w:p w14:paraId="4AFC04B9" w14:textId="77777777" w:rsidR="00A93B0B" w:rsidRDefault="00A93B0B" w:rsidP="00A93B0B">
            <w:pPr>
              <w:rPr>
                <w:rFonts w:ascii="Arial" w:hAnsi="Arial"/>
                <w:sz w:val="20"/>
              </w:rPr>
            </w:pPr>
          </w:p>
        </w:tc>
        <w:tc>
          <w:tcPr>
            <w:tcW w:w="709" w:type="dxa"/>
            <w:gridSpan w:val="2"/>
            <w:tcBorders>
              <w:top w:val="nil"/>
              <w:bottom w:val="single" w:sz="12" w:space="0" w:color="auto"/>
            </w:tcBorders>
            <w:shd w:val="pct12" w:color="000000" w:fill="FFFFFF"/>
          </w:tcPr>
          <w:p w14:paraId="414E1A74" w14:textId="77777777" w:rsidR="00A93B0B" w:rsidRDefault="00A93B0B" w:rsidP="00A93B0B">
            <w:pPr>
              <w:jc w:val="right"/>
              <w:rPr>
                <w:rFonts w:ascii="Arial" w:hAnsi="Arial"/>
                <w:b/>
                <w:sz w:val="20"/>
              </w:rPr>
            </w:pPr>
            <w:r>
              <w:rPr>
                <w:rFonts w:ascii="Arial" w:hAnsi="Arial"/>
                <w:b/>
                <w:sz w:val="20"/>
              </w:rPr>
              <w:t>7A</w:t>
            </w:r>
          </w:p>
        </w:tc>
        <w:tc>
          <w:tcPr>
            <w:tcW w:w="2976" w:type="dxa"/>
            <w:gridSpan w:val="2"/>
            <w:tcBorders>
              <w:top w:val="nil"/>
              <w:bottom w:val="single" w:sz="12" w:space="0" w:color="auto"/>
            </w:tcBorders>
            <w:shd w:val="pct12" w:color="000000" w:fill="FFFFFF"/>
          </w:tcPr>
          <w:p w14:paraId="6C59A789" w14:textId="77777777" w:rsidR="00A93B0B" w:rsidRPr="00FA56FC" w:rsidRDefault="00A93B0B" w:rsidP="00A93B0B">
            <w:pPr>
              <w:rPr>
                <w:rFonts w:ascii="Arial" w:hAnsi="Arial"/>
                <w:b/>
                <w:sz w:val="20"/>
              </w:rPr>
            </w:pPr>
            <w:r w:rsidRPr="00FA56FC">
              <w:rPr>
                <w:rFonts w:ascii="Arial" w:hAnsi="Arial"/>
                <w:b/>
                <w:snapToGrid w:val="0"/>
                <w:color w:val="000000"/>
                <w:sz w:val="20"/>
              </w:rPr>
              <w:t xml:space="preserve">Paint Application </w:t>
            </w:r>
          </w:p>
        </w:tc>
        <w:tc>
          <w:tcPr>
            <w:tcW w:w="4003" w:type="dxa"/>
            <w:gridSpan w:val="2"/>
            <w:tcBorders>
              <w:top w:val="nil"/>
              <w:bottom w:val="single" w:sz="12" w:space="0" w:color="auto"/>
            </w:tcBorders>
            <w:shd w:val="pct12" w:color="000000" w:fill="FFFFFF"/>
          </w:tcPr>
          <w:p w14:paraId="467D12FA" w14:textId="77777777" w:rsidR="00A93B0B" w:rsidRDefault="00A93B0B" w:rsidP="00A93B0B">
            <w:pPr>
              <w:rPr>
                <w:rFonts w:ascii="Arial" w:hAnsi="Arial"/>
                <w:snapToGrid w:val="0"/>
                <w:color w:val="000000"/>
                <w:sz w:val="20"/>
              </w:rPr>
            </w:pPr>
            <w:r>
              <w:rPr>
                <w:rFonts w:ascii="Arial" w:hAnsi="Arial"/>
                <w:snapToGrid w:val="0"/>
                <w:color w:val="000000"/>
                <w:sz w:val="20"/>
              </w:rPr>
              <w:t>The application of paint in industry (including the manufacture of vehicles, ship building etc.), vehicles refinishing, construction and building, and domestic.</w:t>
            </w:r>
          </w:p>
        </w:tc>
        <w:tc>
          <w:tcPr>
            <w:tcW w:w="1559" w:type="dxa"/>
            <w:gridSpan w:val="2"/>
            <w:tcBorders>
              <w:top w:val="nil"/>
              <w:bottom w:val="single" w:sz="12" w:space="0" w:color="auto"/>
            </w:tcBorders>
            <w:shd w:val="pct12" w:color="000000" w:fill="FFFFFF"/>
          </w:tcPr>
          <w:p w14:paraId="474DE35A" w14:textId="77777777" w:rsidR="00A93B0B" w:rsidRDefault="00A93B0B" w:rsidP="00A93B0B">
            <w:pPr>
              <w:rPr>
                <w:rFonts w:ascii="Arial" w:hAnsi="Arial"/>
                <w:sz w:val="20"/>
              </w:rPr>
            </w:pPr>
            <w:r>
              <w:rPr>
                <w:rFonts w:ascii="Arial" w:hAnsi="Arial"/>
                <w:snapToGrid w:val="0"/>
                <w:sz w:val="20"/>
              </w:rPr>
              <w:t>NMVOC</w:t>
            </w:r>
          </w:p>
        </w:tc>
      </w:tr>
      <w:tr w:rsidR="00A93B0B" w14:paraId="22679F5A" w14:textId="77777777">
        <w:trPr>
          <w:cantSplit/>
        </w:trPr>
        <w:tc>
          <w:tcPr>
            <w:tcW w:w="392" w:type="dxa"/>
            <w:shd w:val="clear" w:color="auto" w:fill="FFFFFF"/>
          </w:tcPr>
          <w:p w14:paraId="3562FBE2" w14:textId="77777777" w:rsidR="00A93B0B" w:rsidRDefault="00A93B0B" w:rsidP="00A93B0B">
            <w:pPr>
              <w:rPr>
                <w:rFonts w:ascii="Arial" w:hAnsi="Arial"/>
                <w:sz w:val="20"/>
              </w:rPr>
            </w:pPr>
          </w:p>
        </w:tc>
        <w:tc>
          <w:tcPr>
            <w:tcW w:w="709" w:type="dxa"/>
            <w:gridSpan w:val="2"/>
            <w:tcBorders>
              <w:top w:val="single" w:sz="12" w:space="0" w:color="auto"/>
              <w:bottom w:val="single" w:sz="12" w:space="0" w:color="auto"/>
            </w:tcBorders>
            <w:shd w:val="pct12" w:color="000000" w:fill="FFFFFF"/>
          </w:tcPr>
          <w:p w14:paraId="3165E06C" w14:textId="77777777" w:rsidR="00A93B0B" w:rsidRDefault="00A93B0B" w:rsidP="00A93B0B">
            <w:pPr>
              <w:jc w:val="right"/>
              <w:rPr>
                <w:rFonts w:ascii="Arial" w:hAnsi="Arial"/>
                <w:b/>
                <w:sz w:val="20"/>
              </w:rPr>
            </w:pPr>
            <w:r>
              <w:rPr>
                <w:rFonts w:ascii="Arial" w:hAnsi="Arial"/>
                <w:b/>
                <w:sz w:val="20"/>
              </w:rPr>
              <w:t>7B</w:t>
            </w:r>
          </w:p>
        </w:tc>
        <w:tc>
          <w:tcPr>
            <w:tcW w:w="2976" w:type="dxa"/>
            <w:gridSpan w:val="2"/>
            <w:tcBorders>
              <w:top w:val="single" w:sz="12" w:space="0" w:color="auto"/>
              <w:bottom w:val="single" w:sz="12" w:space="0" w:color="auto"/>
            </w:tcBorders>
            <w:shd w:val="pct12" w:color="000000" w:fill="FFFFFF"/>
          </w:tcPr>
          <w:p w14:paraId="2C5F687A" w14:textId="77777777" w:rsidR="00A93B0B" w:rsidRPr="00FA56FC" w:rsidRDefault="00A93B0B" w:rsidP="00A93B0B">
            <w:pPr>
              <w:rPr>
                <w:rFonts w:ascii="Arial" w:hAnsi="Arial"/>
                <w:b/>
                <w:sz w:val="20"/>
              </w:rPr>
            </w:pPr>
            <w:r w:rsidRPr="00FA56FC">
              <w:rPr>
                <w:rFonts w:ascii="Arial" w:hAnsi="Arial"/>
                <w:b/>
                <w:sz w:val="20"/>
              </w:rPr>
              <w:t>Degreasing and Dry cleaning</w:t>
            </w:r>
          </w:p>
        </w:tc>
        <w:tc>
          <w:tcPr>
            <w:tcW w:w="4003" w:type="dxa"/>
            <w:gridSpan w:val="2"/>
            <w:tcBorders>
              <w:top w:val="single" w:sz="12" w:space="0" w:color="auto"/>
              <w:bottom w:val="single" w:sz="12" w:space="0" w:color="auto"/>
            </w:tcBorders>
            <w:shd w:val="pct12" w:color="000000" w:fill="FFFFFF"/>
          </w:tcPr>
          <w:p w14:paraId="6337D09B" w14:textId="77777777" w:rsidR="00A93B0B" w:rsidRDefault="00A93B0B" w:rsidP="00A93B0B">
            <w:pPr>
              <w:rPr>
                <w:rFonts w:ascii="Arial" w:hAnsi="Arial"/>
                <w:snapToGrid w:val="0"/>
                <w:color w:val="000000"/>
                <w:sz w:val="20"/>
              </w:rPr>
            </w:pPr>
            <w:r>
              <w:rPr>
                <w:rFonts w:ascii="Arial" w:hAnsi="Arial"/>
                <w:snapToGrid w:val="0"/>
                <w:color w:val="000000"/>
                <w:sz w:val="20"/>
              </w:rPr>
              <w:t>Metal degreasing and Dry-cleaning of fabrics</w:t>
            </w:r>
          </w:p>
        </w:tc>
        <w:tc>
          <w:tcPr>
            <w:tcW w:w="1559" w:type="dxa"/>
            <w:gridSpan w:val="2"/>
            <w:tcBorders>
              <w:top w:val="single" w:sz="12" w:space="0" w:color="auto"/>
              <w:bottom w:val="single" w:sz="12" w:space="0" w:color="auto"/>
            </w:tcBorders>
            <w:shd w:val="pct12" w:color="000000" w:fill="FFFFFF"/>
          </w:tcPr>
          <w:p w14:paraId="6F4AC4AA" w14:textId="77777777" w:rsidR="00A93B0B" w:rsidRDefault="00A93B0B" w:rsidP="00A93B0B">
            <w:pPr>
              <w:rPr>
                <w:rFonts w:ascii="Arial" w:hAnsi="Arial"/>
                <w:sz w:val="20"/>
              </w:rPr>
            </w:pPr>
            <w:r>
              <w:rPr>
                <w:rFonts w:ascii="Arial" w:hAnsi="Arial"/>
                <w:snapToGrid w:val="0"/>
                <w:sz w:val="20"/>
              </w:rPr>
              <w:t>NMVOC</w:t>
            </w:r>
          </w:p>
        </w:tc>
      </w:tr>
      <w:tr w:rsidR="00A93B0B" w14:paraId="62299172" w14:textId="77777777">
        <w:trPr>
          <w:cantSplit/>
        </w:trPr>
        <w:tc>
          <w:tcPr>
            <w:tcW w:w="392" w:type="dxa"/>
            <w:shd w:val="clear" w:color="auto" w:fill="FFFFFF"/>
          </w:tcPr>
          <w:p w14:paraId="7C590141" w14:textId="77777777" w:rsidR="00A93B0B" w:rsidRDefault="00A93B0B" w:rsidP="00A93B0B">
            <w:pPr>
              <w:rPr>
                <w:rFonts w:ascii="Arial" w:hAnsi="Arial"/>
                <w:sz w:val="20"/>
              </w:rPr>
            </w:pPr>
          </w:p>
        </w:tc>
        <w:tc>
          <w:tcPr>
            <w:tcW w:w="709" w:type="dxa"/>
            <w:gridSpan w:val="2"/>
            <w:tcBorders>
              <w:top w:val="single" w:sz="12" w:space="0" w:color="auto"/>
              <w:bottom w:val="single" w:sz="12" w:space="0" w:color="auto"/>
            </w:tcBorders>
            <w:shd w:val="pct12" w:color="000000" w:fill="FFFFFF"/>
          </w:tcPr>
          <w:p w14:paraId="7D921857" w14:textId="77777777" w:rsidR="00A93B0B" w:rsidRDefault="00A93B0B" w:rsidP="00A93B0B">
            <w:pPr>
              <w:jc w:val="right"/>
              <w:rPr>
                <w:rFonts w:ascii="Arial" w:hAnsi="Arial"/>
                <w:b/>
                <w:sz w:val="20"/>
              </w:rPr>
            </w:pPr>
            <w:r>
              <w:rPr>
                <w:rFonts w:ascii="Arial" w:hAnsi="Arial"/>
                <w:b/>
                <w:sz w:val="20"/>
              </w:rPr>
              <w:t>7C</w:t>
            </w:r>
          </w:p>
        </w:tc>
        <w:tc>
          <w:tcPr>
            <w:tcW w:w="2976" w:type="dxa"/>
            <w:gridSpan w:val="2"/>
            <w:tcBorders>
              <w:top w:val="single" w:sz="12" w:space="0" w:color="auto"/>
              <w:bottom w:val="single" w:sz="12" w:space="0" w:color="auto"/>
            </w:tcBorders>
            <w:shd w:val="pct12" w:color="000000" w:fill="FFFFFF"/>
          </w:tcPr>
          <w:p w14:paraId="68BCBA03" w14:textId="77777777" w:rsidR="00A93B0B" w:rsidRPr="00FA56FC" w:rsidRDefault="00A93B0B" w:rsidP="00FA56FC">
            <w:pPr>
              <w:jc w:val="left"/>
              <w:rPr>
                <w:rFonts w:ascii="Arial" w:hAnsi="Arial"/>
                <w:b/>
                <w:sz w:val="20"/>
              </w:rPr>
            </w:pPr>
            <w:r w:rsidRPr="00FA56FC">
              <w:rPr>
                <w:rFonts w:ascii="Arial" w:hAnsi="Arial"/>
                <w:b/>
                <w:sz w:val="20"/>
              </w:rPr>
              <w:t>Chemical</w:t>
            </w:r>
            <w:r>
              <w:rPr>
                <w:rFonts w:ascii="Arial" w:hAnsi="Arial"/>
                <w:b/>
                <w:sz w:val="20"/>
              </w:rPr>
              <w:t xml:space="preserve"> </w:t>
            </w:r>
            <w:r w:rsidRPr="00FA56FC">
              <w:rPr>
                <w:rFonts w:ascii="Arial" w:hAnsi="Arial"/>
                <w:b/>
                <w:sz w:val="20"/>
              </w:rPr>
              <w:t>Products, Manufacture and Processing</w:t>
            </w:r>
          </w:p>
        </w:tc>
        <w:tc>
          <w:tcPr>
            <w:tcW w:w="4003" w:type="dxa"/>
            <w:gridSpan w:val="2"/>
            <w:tcBorders>
              <w:top w:val="single" w:sz="12" w:space="0" w:color="auto"/>
              <w:bottom w:val="single" w:sz="12" w:space="0" w:color="auto"/>
            </w:tcBorders>
            <w:shd w:val="pct12" w:color="000000" w:fill="FFFFFF"/>
          </w:tcPr>
          <w:p w14:paraId="2B390166" w14:textId="77777777" w:rsidR="00A93B0B" w:rsidRDefault="00A93B0B" w:rsidP="00A93B0B">
            <w:pPr>
              <w:rPr>
                <w:rFonts w:ascii="Arial" w:hAnsi="Arial"/>
                <w:snapToGrid w:val="0"/>
                <w:color w:val="000000"/>
                <w:sz w:val="20"/>
              </w:rPr>
            </w:pPr>
            <w:r>
              <w:rPr>
                <w:rFonts w:ascii="Arial" w:hAnsi="Arial"/>
                <w:snapToGrid w:val="0"/>
                <w:color w:val="000000"/>
                <w:sz w:val="20"/>
              </w:rPr>
              <w:t>Manufacture of Polyester resins, Polyvinylchloride, Polyurethane, Polystyrene foam, Paint and varnish, Ink, Glue, Adhesive tape and Rubber processing.</w:t>
            </w:r>
          </w:p>
        </w:tc>
        <w:tc>
          <w:tcPr>
            <w:tcW w:w="1559" w:type="dxa"/>
            <w:gridSpan w:val="2"/>
            <w:tcBorders>
              <w:top w:val="single" w:sz="12" w:space="0" w:color="auto"/>
              <w:bottom w:val="single" w:sz="12" w:space="0" w:color="auto"/>
            </w:tcBorders>
            <w:shd w:val="pct12" w:color="000000" w:fill="FFFFFF"/>
          </w:tcPr>
          <w:p w14:paraId="44F766A5" w14:textId="77777777" w:rsidR="00A93B0B" w:rsidRDefault="00A93B0B" w:rsidP="00A93B0B">
            <w:pPr>
              <w:rPr>
                <w:rFonts w:ascii="Arial" w:hAnsi="Arial"/>
                <w:sz w:val="20"/>
              </w:rPr>
            </w:pPr>
            <w:r>
              <w:rPr>
                <w:rFonts w:ascii="Arial" w:hAnsi="Arial"/>
                <w:snapToGrid w:val="0"/>
                <w:sz w:val="20"/>
              </w:rPr>
              <w:t>NMVOC</w:t>
            </w:r>
          </w:p>
        </w:tc>
      </w:tr>
      <w:tr w:rsidR="00A93B0B" w14:paraId="35DF034F" w14:textId="77777777">
        <w:trPr>
          <w:cantSplit/>
        </w:trPr>
        <w:tc>
          <w:tcPr>
            <w:tcW w:w="392" w:type="dxa"/>
            <w:shd w:val="clear" w:color="auto" w:fill="FFFFFF"/>
          </w:tcPr>
          <w:p w14:paraId="6FBDA385" w14:textId="77777777" w:rsidR="00A93B0B" w:rsidRDefault="00A93B0B" w:rsidP="00A93B0B">
            <w:pPr>
              <w:rPr>
                <w:rFonts w:ascii="Arial" w:hAnsi="Arial"/>
                <w:sz w:val="20"/>
              </w:rPr>
            </w:pPr>
          </w:p>
        </w:tc>
        <w:tc>
          <w:tcPr>
            <w:tcW w:w="709" w:type="dxa"/>
            <w:gridSpan w:val="2"/>
            <w:tcBorders>
              <w:top w:val="single" w:sz="12" w:space="0" w:color="auto"/>
              <w:bottom w:val="single" w:sz="12" w:space="0" w:color="auto"/>
            </w:tcBorders>
            <w:shd w:val="pct12" w:color="000000" w:fill="FFFFFF"/>
          </w:tcPr>
          <w:p w14:paraId="59370EBD" w14:textId="77777777" w:rsidR="00A93B0B" w:rsidRDefault="00A93B0B" w:rsidP="00A93B0B">
            <w:pPr>
              <w:jc w:val="right"/>
              <w:rPr>
                <w:rFonts w:ascii="Arial" w:hAnsi="Arial"/>
                <w:b/>
                <w:sz w:val="20"/>
              </w:rPr>
            </w:pPr>
            <w:r>
              <w:rPr>
                <w:rFonts w:ascii="Arial" w:hAnsi="Arial"/>
                <w:b/>
                <w:sz w:val="20"/>
              </w:rPr>
              <w:t>7D</w:t>
            </w:r>
          </w:p>
        </w:tc>
        <w:tc>
          <w:tcPr>
            <w:tcW w:w="2976" w:type="dxa"/>
            <w:gridSpan w:val="2"/>
            <w:tcBorders>
              <w:top w:val="single" w:sz="12" w:space="0" w:color="auto"/>
              <w:bottom w:val="single" w:sz="12" w:space="0" w:color="auto"/>
            </w:tcBorders>
            <w:shd w:val="pct12" w:color="000000" w:fill="FFFFFF"/>
          </w:tcPr>
          <w:p w14:paraId="303D5861" w14:textId="77777777" w:rsidR="00A93B0B" w:rsidRPr="00FA56FC" w:rsidRDefault="00A93B0B" w:rsidP="00A93B0B">
            <w:pPr>
              <w:rPr>
                <w:rFonts w:ascii="Arial" w:hAnsi="Arial"/>
                <w:b/>
                <w:sz w:val="20"/>
              </w:rPr>
            </w:pPr>
            <w:r w:rsidRPr="00FA56FC">
              <w:rPr>
                <w:rFonts w:ascii="Arial" w:hAnsi="Arial"/>
                <w:b/>
                <w:snapToGrid w:val="0"/>
                <w:color w:val="000000"/>
                <w:sz w:val="20"/>
              </w:rPr>
              <w:t>Other Solvent Use</w:t>
            </w:r>
          </w:p>
        </w:tc>
        <w:tc>
          <w:tcPr>
            <w:tcW w:w="4003" w:type="dxa"/>
            <w:gridSpan w:val="2"/>
            <w:tcBorders>
              <w:top w:val="single" w:sz="12" w:space="0" w:color="auto"/>
              <w:bottom w:val="single" w:sz="12" w:space="0" w:color="auto"/>
            </w:tcBorders>
            <w:shd w:val="pct12" w:color="000000" w:fill="FFFFFF"/>
          </w:tcPr>
          <w:p w14:paraId="3C745469" w14:textId="77777777" w:rsidR="00A93B0B" w:rsidRDefault="00A93B0B" w:rsidP="00A93B0B">
            <w:pPr>
              <w:rPr>
                <w:rFonts w:ascii="Arial" w:hAnsi="Arial"/>
                <w:snapToGrid w:val="0"/>
                <w:color w:val="000000"/>
                <w:sz w:val="20"/>
              </w:rPr>
            </w:pPr>
            <w:r>
              <w:rPr>
                <w:rFonts w:ascii="Arial" w:hAnsi="Arial"/>
                <w:snapToGrid w:val="0"/>
                <w:color w:val="000000"/>
                <w:sz w:val="20"/>
              </w:rPr>
              <w:t xml:space="preserve">For example, glass/mineral wool enduction, Printing industry, the extraction of edible fat and non-edible oil and the application of glues and adhesives. </w:t>
            </w:r>
          </w:p>
        </w:tc>
        <w:tc>
          <w:tcPr>
            <w:tcW w:w="1559" w:type="dxa"/>
            <w:gridSpan w:val="2"/>
            <w:tcBorders>
              <w:top w:val="single" w:sz="12" w:space="0" w:color="auto"/>
              <w:bottom w:val="single" w:sz="12" w:space="0" w:color="auto"/>
            </w:tcBorders>
            <w:shd w:val="pct12" w:color="000000" w:fill="FFFFFF"/>
          </w:tcPr>
          <w:p w14:paraId="55D70B72" w14:textId="77777777" w:rsidR="00A93B0B" w:rsidRDefault="00A93B0B" w:rsidP="00A93B0B">
            <w:pPr>
              <w:rPr>
                <w:rFonts w:ascii="Arial" w:hAnsi="Arial"/>
                <w:sz w:val="20"/>
              </w:rPr>
            </w:pPr>
            <w:r>
              <w:rPr>
                <w:rFonts w:ascii="Arial" w:hAnsi="Arial"/>
                <w:snapToGrid w:val="0"/>
                <w:sz w:val="20"/>
              </w:rPr>
              <w:t>NMVOC</w:t>
            </w:r>
          </w:p>
        </w:tc>
      </w:tr>
    </w:tbl>
    <w:p w14:paraId="478EC0F2" w14:textId="77777777" w:rsidR="00A93B0B" w:rsidRDefault="00A93B0B"/>
    <w:p w14:paraId="4A8CD62F" w14:textId="77777777" w:rsidR="004548BE" w:rsidRDefault="00A93B0B" w:rsidP="00A93B0B">
      <w:pPr>
        <w:jc w:val="center"/>
      </w:pPr>
      <w:r>
        <w:br w:type="page"/>
      </w:r>
    </w:p>
    <w:p w14:paraId="1801B3DA" w14:textId="77777777" w:rsidR="00C46552" w:rsidRDefault="00A93B0B" w:rsidP="00A93B0B">
      <w:pPr>
        <w:jc w:val="center"/>
      </w:pPr>
      <w:r>
        <w:rPr>
          <w:b/>
          <w:i/>
        </w:rPr>
        <w:lastRenderedPageBreak/>
        <w:t xml:space="preserve">Table </w:t>
      </w:r>
      <w:r w:rsidR="00260E07">
        <w:rPr>
          <w:b/>
          <w:i/>
        </w:rPr>
        <w:t>2</w:t>
      </w:r>
      <w:r>
        <w:rPr>
          <w:b/>
          <w:i/>
        </w:rPr>
        <w:t>-</w:t>
      </w:r>
      <w:r w:rsidR="003851C6">
        <w:rPr>
          <w:b/>
          <w:i/>
        </w:rPr>
        <w:t>3</w:t>
      </w:r>
      <w:r>
        <w:rPr>
          <w:b/>
          <w:i/>
        </w:rPr>
        <w:t xml:space="preserve"> (Continued)</w:t>
      </w:r>
    </w:p>
    <w:p w14:paraId="145D5F74" w14:textId="77777777" w:rsidR="00C46552" w:rsidRDefault="00C46552"/>
    <w:tbl>
      <w:tblPr>
        <w:tblW w:w="971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8"/>
        <w:gridCol w:w="709"/>
        <w:gridCol w:w="2976"/>
        <w:gridCol w:w="4003"/>
        <w:gridCol w:w="1559"/>
      </w:tblGrid>
      <w:tr w:rsidR="00C46552" w14:paraId="1C3DB402" w14:textId="77777777">
        <w:trPr>
          <w:cantSplit/>
        </w:trPr>
        <w:tc>
          <w:tcPr>
            <w:tcW w:w="468" w:type="dxa"/>
            <w:tcBorders>
              <w:top w:val="single" w:sz="12" w:space="0" w:color="auto"/>
              <w:left w:val="single" w:sz="12" w:space="0" w:color="auto"/>
              <w:bottom w:val="nil"/>
            </w:tcBorders>
            <w:shd w:val="clear" w:color="auto" w:fill="FFFFFF"/>
          </w:tcPr>
          <w:p w14:paraId="5D23B3E4" w14:textId="77777777" w:rsidR="00C46552" w:rsidRDefault="00C46552">
            <w:pPr>
              <w:rPr>
                <w:rFonts w:ascii="Arial" w:hAnsi="Arial"/>
                <w:b/>
                <w:sz w:val="20"/>
              </w:rPr>
            </w:pPr>
            <w:bookmarkStart w:id="74" w:name="OLE_LINK7"/>
          </w:p>
        </w:tc>
        <w:tc>
          <w:tcPr>
            <w:tcW w:w="3685" w:type="dxa"/>
            <w:gridSpan w:val="2"/>
            <w:tcBorders>
              <w:top w:val="single" w:sz="12" w:space="0" w:color="auto"/>
              <w:bottom w:val="nil"/>
            </w:tcBorders>
            <w:shd w:val="clear" w:color="auto" w:fill="FFFFFF"/>
          </w:tcPr>
          <w:p w14:paraId="3DB907FF" w14:textId="77777777" w:rsidR="00C46552" w:rsidRDefault="00C46552">
            <w:pPr>
              <w:rPr>
                <w:rFonts w:ascii="Arial" w:hAnsi="Arial"/>
                <w:b/>
                <w:smallCaps/>
                <w:sz w:val="20"/>
              </w:rPr>
            </w:pPr>
            <w:r>
              <w:rPr>
                <w:rFonts w:ascii="Arial" w:hAnsi="Arial"/>
                <w:b/>
                <w:sz w:val="20"/>
              </w:rPr>
              <w:t>Sector</w:t>
            </w:r>
          </w:p>
        </w:tc>
        <w:tc>
          <w:tcPr>
            <w:tcW w:w="4003" w:type="dxa"/>
            <w:tcBorders>
              <w:top w:val="single" w:sz="12" w:space="0" w:color="auto"/>
              <w:bottom w:val="nil"/>
            </w:tcBorders>
            <w:shd w:val="clear" w:color="auto" w:fill="FFFFFF"/>
          </w:tcPr>
          <w:p w14:paraId="7E749720" w14:textId="77777777" w:rsidR="00C46552" w:rsidRDefault="00C46552">
            <w:pPr>
              <w:rPr>
                <w:rFonts w:ascii="Arial" w:hAnsi="Arial"/>
                <w:snapToGrid w:val="0"/>
                <w:color w:val="000000"/>
                <w:sz w:val="20"/>
              </w:rPr>
            </w:pPr>
            <w:r>
              <w:rPr>
                <w:rFonts w:ascii="Arial" w:hAnsi="Arial"/>
                <w:b/>
                <w:sz w:val="20"/>
              </w:rPr>
              <w:t>Comments</w:t>
            </w:r>
          </w:p>
        </w:tc>
        <w:tc>
          <w:tcPr>
            <w:tcW w:w="1559" w:type="dxa"/>
            <w:tcBorders>
              <w:top w:val="single" w:sz="12" w:space="0" w:color="auto"/>
              <w:bottom w:val="nil"/>
              <w:right w:val="single" w:sz="12" w:space="0" w:color="auto"/>
            </w:tcBorders>
            <w:shd w:val="clear" w:color="auto" w:fill="FFFFFF"/>
          </w:tcPr>
          <w:p w14:paraId="59D6B07E" w14:textId="77777777" w:rsidR="00C46552" w:rsidRDefault="00C46552">
            <w:pPr>
              <w:rPr>
                <w:rFonts w:ascii="Arial" w:hAnsi="Arial"/>
                <w:sz w:val="20"/>
              </w:rPr>
            </w:pPr>
            <w:r>
              <w:rPr>
                <w:rFonts w:ascii="Arial" w:hAnsi="Arial"/>
                <w:b/>
                <w:sz w:val="20"/>
              </w:rPr>
              <w:t xml:space="preserve">Pollutants </w:t>
            </w:r>
          </w:p>
        </w:tc>
      </w:tr>
      <w:tr w:rsidR="00C46552" w14:paraId="7AEE66DF" w14:textId="77777777">
        <w:trPr>
          <w:cantSplit/>
        </w:trPr>
        <w:tc>
          <w:tcPr>
            <w:tcW w:w="468" w:type="dxa"/>
            <w:tcBorders>
              <w:top w:val="single" w:sz="12" w:space="0" w:color="auto"/>
              <w:left w:val="single" w:sz="12" w:space="0" w:color="auto"/>
              <w:bottom w:val="single" w:sz="12" w:space="0" w:color="auto"/>
            </w:tcBorders>
            <w:shd w:val="pct20" w:color="000000" w:fill="FFFFFF"/>
          </w:tcPr>
          <w:p w14:paraId="062F693A" w14:textId="77777777" w:rsidR="00C46552" w:rsidRDefault="00FA56FC">
            <w:pPr>
              <w:rPr>
                <w:rFonts w:ascii="Arial" w:hAnsi="Arial"/>
                <w:b/>
                <w:sz w:val="20"/>
              </w:rPr>
            </w:pPr>
            <w:r>
              <w:rPr>
                <w:rFonts w:ascii="Arial" w:hAnsi="Arial"/>
                <w:b/>
                <w:sz w:val="20"/>
              </w:rPr>
              <w:t xml:space="preserve"> 8</w:t>
            </w:r>
          </w:p>
        </w:tc>
        <w:tc>
          <w:tcPr>
            <w:tcW w:w="3685" w:type="dxa"/>
            <w:gridSpan w:val="2"/>
            <w:tcBorders>
              <w:top w:val="single" w:sz="12" w:space="0" w:color="auto"/>
              <w:bottom w:val="single" w:sz="12" w:space="0" w:color="auto"/>
            </w:tcBorders>
            <w:shd w:val="pct20" w:color="000000" w:fill="FFFFFF"/>
          </w:tcPr>
          <w:p w14:paraId="63E487E5" w14:textId="77777777" w:rsidR="00C46552" w:rsidRDefault="00C46552">
            <w:pPr>
              <w:rPr>
                <w:rFonts w:ascii="Arial" w:hAnsi="Arial"/>
                <w:b/>
                <w:smallCaps/>
              </w:rPr>
            </w:pPr>
            <w:r>
              <w:rPr>
                <w:rFonts w:ascii="Arial" w:hAnsi="Arial"/>
                <w:b/>
                <w:smallCaps/>
              </w:rPr>
              <w:t>Agriculture</w:t>
            </w:r>
          </w:p>
        </w:tc>
        <w:tc>
          <w:tcPr>
            <w:tcW w:w="4003" w:type="dxa"/>
            <w:tcBorders>
              <w:top w:val="single" w:sz="12" w:space="0" w:color="auto"/>
              <w:bottom w:val="single" w:sz="12" w:space="0" w:color="auto"/>
            </w:tcBorders>
            <w:shd w:val="pct20" w:color="000000" w:fill="FFFFFF"/>
          </w:tcPr>
          <w:p w14:paraId="513E5460" w14:textId="77777777" w:rsidR="00C46552" w:rsidRDefault="00C46552">
            <w:pPr>
              <w:rPr>
                <w:rFonts w:ascii="Arial" w:hAnsi="Arial"/>
                <w:snapToGrid w:val="0"/>
                <w:color w:val="000000"/>
                <w:sz w:val="20"/>
              </w:rPr>
            </w:pPr>
          </w:p>
        </w:tc>
        <w:tc>
          <w:tcPr>
            <w:tcW w:w="1559" w:type="dxa"/>
            <w:tcBorders>
              <w:top w:val="single" w:sz="12" w:space="0" w:color="auto"/>
              <w:bottom w:val="single" w:sz="12" w:space="0" w:color="auto"/>
              <w:right w:val="single" w:sz="12" w:space="0" w:color="auto"/>
            </w:tcBorders>
            <w:shd w:val="pct20" w:color="000000" w:fill="FFFFFF"/>
          </w:tcPr>
          <w:p w14:paraId="5F37CE33" w14:textId="77777777" w:rsidR="00C46552" w:rsidRDefault="00C46552">
            <w:pPr>
              <w:rPr>
                <w:rFonts w:ascii="Arial" w:hAnsi="Arial"/>
                <w:sz w:val="20"/>
              </w:rPr>
            </w:pPr>
          </w:p>
        </w:tc>
      </w:tr>
      <w:tr w:rsidR="00C46552" w14:paraId="5621E2F2" w14:textId="77777777">
        <w:trPr>
          <w:cantSplit/>
        </w:trPr>
        <w:tc>
          <w:tcPr>
            <w:tcW w:w="468" w:type="dxa"/>
            <w:tcBorders>
              <w:top w:val="nil"/>
              <w:left w:val="single" w:sz="12" w:space="0" w:color="auto"/>
            </w:tcBorders>
            <w:shd w:val="clear" w:color="auto" w:fill="FFFFFF"/>
          </w:tcPr>
          <w:p w14:paraId="26ED6BE1" w14:textId="77777777" w:rsidR="00C46552" w:rsidRDefault="00C46552">
            <w:pPr>
              <w:rPr>
                <w:rFonts w:ascii="Arial" w:hAnsi="Arial"/>
                <w:sz w:val="20"/>
              </w:rPr>
            </w:pPr>
          </w:p>
        </w:tc>
        <w:tc>
          <w:tcPr>
            <w:tcW w:w="709" w:type="dxa"/>
            <w:tcBorders>
              <w:top w:val="nil"/>
              <w:bottom w:val="single" w:sz="12" w:space="0" w:color="auto"/>
            </w:tcBorders>
            <w:shd w:val="pct12" w:color="000000" w:fill="FFFFFF"/>
          </w:tcPr>
          <w:p w14:paraId="7D505BBE" w14:textId="77777777" w:rsidR="00C46552" w:rsidRDefault="00FA56FC">
            <w:pPr>
              <w:jc w:val="right"/>
              <w:rPr>
                <w:rFonts w:ascii="Arial" w:hAnsi="Arial"/>
                <w:b/>
                <w:sz w:val="20"/>
              </w:rPr>
            </w:pPr>
            <w:r>
              <w:rPr>
                <w:rFonts w:ascii="Arial" w:hAnsi="Arial"/>
                <w:b/>
                <w:sz w:val="20"/>
              </w:rPr>
              <w:t>8</w:t>
            </w:r>
            <w:r w:rsidR="00C46552">
              <w:rPr>
                <w:rFonts w:ascii="Arial" w:hAnsi="Arial"/>
                <w:b/>
                <w:sz w:val="20"/>
              </w:rPr>
              <w:t>A</w:t>
            </w:r>
          </w:p>
        </w:tc>
        <w:tc>
          <w:tcPr>
            <w:tcW w:w="2976" w:type="dxa"/>
            <w:tcBorders>
              <w:top w:val="nil"/>
              <w:bottom w:val="single" w:sz="12" w:space="0" w:color="auto"/>
            </w:tcBorders>
            <w:shd w:val="pct12" w:color="000000" w:fill="FFFFFF"/>
          </w:tcPr>
          <w:p w14:paraId="0EDC9365" w14:textId="77777777" w:rsidR="00C46552" w:rsidRDefault="00C46552">
            <w:pPr>
              <w:rPr>
                <w:rFonts w:ascii="Arial" w:hAnsi="Arial"/>
                <w:b/>
                <w:sz w:val="20"/>
              </w:rPr>
            </w:pPr>
            <w:r>
              <w:rPr>
                <w:rFonts w:ascii="Arial" w:hAnsi="Arial"/>
                <w:b/>
                <w:sz w:val="20"/>
              </w:rPr>
              <w:t>Manure management</w:t>
            </w:r>
          </w:p>
        </w:tc>
        <w:tc>
          <w:tcPr>
            <w:tcW w:w="4003" w:type="dxa"/>
            <w:tcBorders>
              <w:top w:val="nil"/>
              <w:bottom w:val="single" w:sz="12" w:space="0" w:color="auto"/>
            </w:tcBorders>
            <w:shd w:val="pct12" w:color="000000" w:fill="FFFFFF"/>
          </w:tcPr>
          <w:p w14:paraId="3F0F3779" w14:textId="77777777" w:rsidR="00C46552" w:rsidRDefault="00C46552">
            <w:pPr>
              <w:rPr>
                <w:rFonts w:ascii="Arial" w:hAnsi="Arial"/>
                <w:snapToGrid w:val="0"/>
                <w:color w:val="000000"/>
                <w:sz w:val="20"/>
              </w:rPr>
            </w:pPr>
            <w:r>
              <w:rPr>
                <w:rFonts w:ascii="Arial" w:hAnsi="Arial"/>
                <w:snapToGrid w:val="0"/>
                <w:color w:val="000000"/>
                <w:sz w:val="20"/>
              </w:rPr>
              <w:t xml:space="preserve">Ammonia </w:t>
            </w:r>
            <w:r w:rsidR="00C16BD1">
              <w:rPr>
                <w:rFonts w:ascii="Arial" w:hAnsi="Arial"/>
                <w:snapToGrid w:val="0"/>
                <w:color w:val="000000"/>
                <w:sz w:val="20"/>
              </w:rPr>
              <w:t xml:space="preserve">and methane </w:t>
            </w:r>
            <w:r>
              <w:rPr>
                <w:rFonts w:ascii="Arial" w:hAnsi="Arial"/>
                <w:snapToGrid w:val="0"/>
                <w:color w:val="000000"/>
                <w:sz w:val="20"/>
              </w:rPr>
              <w:t xml:space="preserve">emissions from </w:t>
            </w:r>
            <w:r w:rsidR="00C16BD1">
              <w:rPr>
                <w:rFonts w:ascii="Arial" w:hAnsi="Arial"/>
                <w:snapToGrid w:val="0"/>
                <w:color w:val="000000"/>
                <w:sz w:val="20"/>
              </w:rPr>
              <w:t xml:space="preserve">managing manure from </w:t>
            </w:r>
            <w:r>
              <w:rPr>
                <w:rFonts w:ascii="Arial" w:hAnsi="Arial"/>
                <w:snapToGrid w:val="0"/>
                <w:color w:val="000000"/>
                <w:sz w:val="20"/>
              </w:rPr>
              <w:t>farm animals</w:t>
            </w:r>
          </w:p>
        </w:tc>
        <w:tc>
          <w:tcPr>
            <w:tcW w:w="1559" w:type="dxa"/>
            <w:tcBorders>
              <w:top w:val="nil"/>
              <w:bottom w:val="single" w:sz="12" w:space="0" w:color="auto"/>
              <w:right w:val="single" w:sz="12" w:space="0" w:color="auto"/>
            </w:tcBorders>
            <w:shd w:val="pct12" w:color="000000" w:fill="FFFFFF"/>
          </w:tcPr>
          <w:p w14:paraId="45CFF61F" w14:textId="77777777" w:rsidR="00C46552" w:rsidRDefault="00C46552">
            <w:pPr>
              <w:rPr>
                <w:rFonts w:ascii="Arial" w:hAnsi="Arial"/>
                <w:sz w:val="20"/>
              </w:rPr>
            </w:pPr>
            <w:r>
              <w:rPr>
                <w:rFonts w:ascii="Arial" w:hAnsi="Arial"/>
                <w:sz w:val="20"/>
              </w:rPr>
              <w:t>NH</w:t>
            </w:r>
            <w:r>
              <w:rPr>
                <w:rFonts w:ascii="Arial" w:hAnsi="Arial"/>
                <w:sz w:val="20"/>
                <w:vertAlign w:val="subscript"/>
              </w:rPr>
              <w:t>3</w:t>
            </w:r>
            <w:r w:rsidR="00C16BD1">
              <w:rPr>
                <w:rFonts w:ascii="Arial" w:hAnsi="Arial"/>
                <w:sz w:val="20"/>
                <w:vertAlign w:val="subscript"/>
              </w:rPr>
              <w:t xml:space="preserve">, </w:t>
            </w:r>
            <w:r w:rsidR="00C16BD1" w:rsidRPr="002722D9">
              <w:rPr>
                <w:rFonts w:ascii="Arial" w:hAnsi="Arial"/>
                <w:sz w:val="20"/>
              </w:rPr>
              <w:t>CH</w:t>
            </w:r>
            <w:r w:rsidR="00C16BD1">
              <w:rPr>
                <w:rFonts w:ascii="Arial" w:hAnsi="Arial"/>
                <w:sz w:val="20"/>
                <w:vertAlign w:val="subscript"/>
              </w:rPr>
              <w:t>4</w:t>
            </w:r>
          </w:p>
        </w:tc>
      </w:tr>
      <w:tr w:rsidR="000079F3" w14:paraId="32ED5BC7" w14:textId="77777777">
        <w:trPr>
          <w:cantSplit/>
        </w:trPr>
        <w:tc>
          <w:tcPr>
            <w:tcW w:w="468" w:type="dxa"/>
            <w:tcBorders>
              <w:left w:val="single" w:sz="12" w:space="0" w:color="auto"/>
            </w:tcBorders>
            <w:shd w:val="clear" w:color="auto" w:fill="FFFFFF"/>
          </w:tcPr>
          <w:p w14:paraId="6D0C3607" w14:textId="77777777" w:rsidR="000079F3" w:rsidRDefault="000079F3">
            <w:pPr>
              <w:rPr>
                <w:rFonts w:ascii="Arial" w:hAnsi="Arial"/>
                <w:sz w:val="20"/>
              </w:rPr>
            </w:pPr>
          </w:p>
        </w:tc>
        <w:tc>
          <w:tcPr>
            <w:tcW w:w="709" w:type="dxa"/>
            <w:tcBorders>
              <w:top w:val="single" w:sz="12" w:space="0" w:color="auto"/>
              <w:bottom w:val="single" w:sz="12" w:space="0" w:color="auto"/>
            </w:tcBorders>
            <w:shd w:val="pct12" w:color="000000" w:fill="FFFFFF"/>
          </w:tcPr>
          <w:p w14:paraId="08819BC3" w14:textId="77777777" w:rsidR="000079F3" w:rsidRDefault="000079F3">
            <w:pPr>
              <w:jc w:val="right"/>
              <w:rPr>
                <w:rFonts w:ascii="Arial" w:hAnsi="Arial"/>
                <w:b/>
                <w:sz w:val="20"/>
              </w:rPr>
            </w:pPr>
            <w:r>
              <w:rPr>
                <w:rFonts w:ascii="Arial" w:hAnsi="Arial"/>
                <w:b/>
                <w:sz w:val="20"/>
              </w:rPr>
              <w:t>8B</w:t>
            </w:r>
          </w:p>
        </w:tc>
        <w:tc>
          <w:tcPr>
            <w:tcW w:w="2976" w:type="dxa"/>
            <w:tcBorders>
              <w:top w:val="single" w:sz="12" w:space="0" w:color="auto"/>
              <w:bottom w:val="single" w:sz="12" w:space="0" w:color="auto"/>
            </w:tcBorders>
            <w:shd w:val="pct12" w:color="000000" w:fill="FFFFFF"/>
          </w:tcPr>
          <w:p w14:paraId="6F414CFF" w14:textId="77777777" w:rsidR="000079F3" w:rsidRDefault="000079F3">
            <w:pPr>
              <w:rPr>
                <w:rFonts w:ascii="Arial" w:hAnsi="Arial"/>
                <w:b/>
                <w:sz w:val="20"/>
              </w:rPr>
            </w:pPr>
            <w:r>
              <w:rPr>
                <w:rFonts w:ascii="Arial" w:hAnsi="Arial"/>
                <w:b/>
                <w:sz w:val="20"/>
              </w:rPr>
              <w:t>Animal husbandry</w:t>
            </w:r>
          </w:p>
        </w:tc>
        <w:tc>
          <w:tcPr>
            <w:tcW w:w="4003" w:type="dxa"/>
            <w:tcBorders>
              <w:top w:val="single" w:sz="12" w:space="0" w:color="auto"/>
              <w:bottom w:val="single" w:sz="12" w:space="0" w:color="auto"/>
            </w:tcBorders>
            <w:shd w:val="pct12" w:color="000000" w:fill="FFFFFF"/>
          </w:tcPr>
          <w:p w14:paraId="3733C594" w14:textId="77777777" w:rsidR="000079F3" w:rsidRDefault="000079F3">
            <w:pPr>
              <w:rPr>
                <w:rFonts w:ascii="Arial" w:hAnsi="Arial"/>
                <w:snapToGrid w:val="0"/>
                <w:color w:val="000000"/>
                <w:sz w:val="20"/>
              </w:rPr>
            </w:pPr>
            <w:r>
              <w:rPr>
                <w:rFonts w:ascii="Arial" w:hAnsi="Arial"/>
                <w:snapToGrid w:val="0"/>
                <w:color w:val="000000"/>
                <w:sz w:val="20"/>
              </w:rPr>
              <w:t>Particle emissions from animal housing systems.</w:t>
            </w:r>
          </w:p>
        </w:tc>
        <w:tc>
          <w:tcPr>
            <w:tcW w:w="1559" w:type="dxa"/>
            <w:tcBorders>
              <w:top w:val="single" w:sz="12" w:space="0" w:color="auto"/>
              <w:bottom w:val="single" w:sz="12" w:space="0" w:color="auto"/>
              <w:right w:val="single" w:sz="12" w:space="0" w:color="auto"/>
            </w:tcBorders>
            <w:shd w:val="pct12" w:color="000000" w:fill="FFFFFF"/>
          </w:tcPr>
          <w:p w14:paraId="582F8AD1" w14:textId="77777777" w:rsidR="000079F3" w:rsidRDefault="000079F3">
            <w:pPr>
              <w:rPr>
                <w:rFonts w:ascii="Arial" w:hAnsi="Arial"/>
                <w:sz w:val="20"/>
              </w:rPr>
            </w:pPr>
            <w:r>
              <w:rPr>
                <w:rFonts w:ascii="Arial" w:hAnsi="Arial"/>
                <w:sz w:val="20"/>
              </w:rPr>
              <w:t>PM</w:t>
            </w:r>
            <w:r w:rsidRPr="00065B5E">
              <w:rPr>
                <w:rFonts w:ascii="Arial" w:hAnsi="Arial"/>
                <w:sz w:val="20"/>
                <w:vertAlign w:val="subscript"/>
              </w:rPr>
              <w:t>10</w:t>
            </w:r>
            <w:r>
              <w:rPr>
                <w:rFonts w:ascii="Arial" w:hAnsi="Arial"/>
                <w:sz w:val="20"/>
              </w:rPr>
              <w:t>, PM</w:t>
            </w:r>
            <w:r>
              <w:rPr>
                <w:rFonts w:ascii="Arial" w:hAnsi="Arial"/>
                <w:sz w:val="20"/>
                <w:vertAlign w:val="subscript"/>
              </w:rPr>
              <w:t>2.5</w:t>
            </w:r>
          </w:p>
        </w:tc>
      </w:tr>
      <w:tr w:rsidR="000079F3" w14:paraId="61748708" w14:textId="77777777">
        <w:trPr>
          <w:cantSplit/>
        </w:trPr>
        <w:tc>
          <w:tcPr>
            <w:tcW w:w="468" w:type="dxa"/>
            <w:tcBorders>
              <w:left w:val="single" w:sz="12" w:space="0" w:color="auto"/>
            </w:tcBorders>
            <w:shd w:val="clear" w:color="auto" w:fill="FFFFFF"/>
          </w:tcPr>
          <w:p w14:paraId="56E6B1B1" w14:textId="77777777" w:rsidR="000079F3" w:rsidRDefault="000079F3">
            <w:pPr>
              <w:rPr>
                <w:rFonts w:ascii="Arial" w:hAnsi="Arial"/>
                <w:sz w:val="20"/>
              </w:rPr>
            </w:pPr>
          </w:p>
        </w:tc>
        <w:tc>
          <w:tcPr>
            <w:tcW w:w="709" w:type="dxa"/>
            <w:tcBorders>
              <w:top w:val="single" w:sz="12" w:space="0" w:color="auto"/>
              <w:bottom w:val="single" w:sz="12" w:space="0" w:color="auto"/>
            </w:tcBorders>
            <w:shd w:val="pct12" w:color="000000" w:fill="FFFFFF"/>
          </w:tcPr>
          <w:p w14:paraId="6B3BA951" w14:textId="77777777" w:rsidR="000079F3" w:rsidRDefault="000079F3">
            <w:pPr>
              <w:jc w:val="right"/>
              <w:rPr>
                <w:rFonts w:ascii="Arial" w:hAnsi="Arial"/>
                <w:b/>
                <w:sz w:val="20"/>
              </w:rPr>
            </w:pPr>
            <w:r>
              <w:rPr>
                <w:rFonts w:ascii="Arial" w:hAnsi="Arial"/>
                <w:b/>
                <w:sz w:val="20"/>
              </w:rPr>
              <w:t>8C</w:t>
            </w:r>
          </w:p>
        </w:tc>
        <w:tc>
          <w:tcPr>
            <w:tcW w:w="2976" w:type="dxa"/>
            <w:tcBorders>
              <w:top w:val="single" w:sz="12" w:space="0" w:color="auto"/>
              <w:bottom w:val="single" w:sz="12" w:space="0" w:color="auto"/>
            </w:tcBorders>
            <w:shd w:val="pct12" w:color="000000" w:fill="FFFFFF"/>
          </w:tcPr>
          <w:p w14:paraId="6ADB7658" w14:textId="77777777" w:rsidR="000079F3" w:rsidRDefault="000079F3">
            <w:pPr>
              <w:rPr>
                <w:rFonts w:ascii="Arial" w:hAnsi="Arial"/>
                <w:b/>
                <w:sz w:val="20"/>
              </w:rPr>
            </w:pPr>
            <w:r>
              <w:rPr>
                <w:rFonts w:ascii="Arial" w:hAnsi="Arial"/>
                <w:b/>
                <w:sz w:val="20"/>
              </w:rPr>
              <w:t>Fertilizer application</w:t>
            </w:r>
          </w:p>
        </w:tc>
        <w:tc>
          <w:tcPr>
            <w:tcW w:w="4003" w:type="dxa"/>
            <w:tcBorders>
              <w:top w:val="single" w:sz="12" w:space="0" w:color="auto"/>
              <w:bottom w:val="single" w:sz="12" w:space="0" w:color="auto"/>
            </w:tcBorders>
            <w:shd w:val="pct12" w:color="000000" w:fill="FFFFFF"/>
          </w:tcPr>
          <w:p w14:paraId="0057F9CB" w14:textId="77777777" w:rsidR="000079F3" w:rsidRDefault="000079F3" w:rsidP="00C16BD1">
            <w:pPr>
              <w:rPr>
                <w:rFonts w:ascii="Arial" w:hAnsi="Arial"/>
                <w:snapToGrid w:val="0"/>
                <w:color w:val="000000"/>
                <w:sz w:val="20"/>
              </w:rPr>
            </w:pPr>
            <w:r>
              <w:rPr>
                <w:rFonts w:ascii="Arial" w:hAnsi="Arial"/>
                <w:snapToGrid w:val="0"/>
                <w:color w:val="000000"/>
                <w:sz w:val="20"/>
              </w:rPr>
              <w:t>Emissions of</w:t>
            </w:r>
            <w:r>
              <w:rPr>
                <w:rFonts w:ascii="Arial" w:hAnsi="Arial"/>
                <w:sz w:val="20"/>
              </w:rPr>
              <w:t xml:space="preserve"> </w:t>
            </w:r>
            <w:r w:rsidR="00C16BD1">
              <w:rPr>
                <w:rFonts w:ascii="Arial" w:hAnsi="Arial"/>
                <w:sz w:val="20"/>
              </w:rPr>
              <w:t>ammonia</w:t>
            </w:r>
            <w:r w:rsidR="00C16BD1">
              <w:rPr>
                <w:rFonts w:ascii="Arial" w:hAnsi="Arial"/>
                <w:snapToGrid w:val="0"/>
                <w:color w:val="000000"/>
                <w:sz w:val="20"/>
              </w:rPr>
              <w:t xml:space="preserve"> </w:t>
            </w:r>
            <w:r>
              <w:rPr>
                <w:rFonts w:ascii="Arial" w:hAnsi="Arial"/>
                <w:snapToGrid w:val="0"/>
                <w:color w:val="000000"/>
                <w:sz w:val="20"/>
              </w:rPr>
              <w:t>and NO</w:t>
            </w:r>
            <w:r>
              <w:rPr>
                <w:rFonts w:ascii="Arial" w:hAnsi="Arial"/>
                <w:snapToGrid w:val="0"/>
                <w:color w:val="000000"/>
                <w:sz w:val="20"/>
                <w:vertAlign w:val="subscript"/>
              </w:rPr>
              <w:t>x</w:t>
            </w:r>
            <w:r>
              <w:rPr>
                <w:rFonts w:ascii="Arial" w:hAnsi="Arial"/>
                <w:snapToGrid w:val="0"/>
                <w:color w:val="000000"/>
                <w:sz w:val="20"/>
              </w:rPr>
              <w:t xml:space="preserve"> from application of N-containing fertilizers (fertilizer volatilization, foliar emissions and decomposing vegetation)</w:t>
            </w:r>
          </w:p>
        </w:tc>
        <w:tc>
          <w:tcPr>
            <w:tcW w:w="1559" w:type="dxa"/>
            <w:tcBorders>
              <w:top w:val="single" w:sz="12" w:space="0" w:color="auto"/>
              <w:bottom w:val="single" w:sz="12" w:space="0" w:color="auto"/>
              <w:right w:val="single" w:sz="12" w:space="0" w:color="auto"/>
            </w:tcBorders>
            <w:shd w:val="pct12" w:color="000000" w:fill="FFFFFF"/>
          </w:tcPr>
          <w:p w14:paraId="4A16A2E8" w14:textId="77777777" w:rsidR="000079F3" w:rsidRDefault="000079F3">
            <w:pPr>
              <w:rPr>
                <w:rFonts w:ascii="Arial" w:hAnsi="Arial"/>
                <w:sz w:val="20"/>
              </w:rPr>
            </w:pPr>
            <w:r>
              <w:rPr>
                <w:rFonts w:ascii="Arial" w:hAnsi="Arial"/>
                <w:sz w:val="20"/>
              </w:rPr>
              <w:t>NH</w:t>
            </w:r>
            <w:r>
              <w:rPr>
                <w:rFonts w:ascii="Arial" w:hAnsi="Arial"/>
                <w:sz w:val="20"/>
                <w:vertAlign w:val="subscript"/>
              </w:rPr>
              <w:t xml:space="preserve">3, </w:t>
            </w:r>
            <w:r>
              <w:rPr>
                <w:rFonts w:ascii="Arial" w:hAnsi="Arial"/>
                <w:sz w:val="20"/>
              </w:rPr>
              <w:t>NO</w:t>
            </w:r>
            <w:r>
              <w:rPr>
                <w:rFonts w:ascii="Arial" w:hAnsi="Arial"/>
                <w:sz w:val="20"/>
                <w:vertAlign w:val="subscript"/>
              </w:rPr>
              <w:t>x</w:t>
            </w:r>
          </w:p>
        </w:tc>
      </w:tr>
      <w:tr w:rsidR="000079F3" w14:paraId="67C03FC9" w14:textId="77777777">
        <w:trPr>
          <w:cantSplit/>
        </w:trPr>
        <w:tc>
          <w:tcPr>
            <w:tcW w:w="468" w:type="dxa"/>
            <w:tcBorders>
              <w:left w:val="single" w:sz="12" w:space="0" w:color="auto"/>
            </w:tcBorders>
            <w:shd w:val="clear" w:color="auto" w:fill="FFFFFF"/>
          </w:tcPr>
          <w:p w14:paraId="4E6D2395" w14:textId="77777777" w:rsidR="000079F3" w:rsidRDefault="000079F3">
            <w:pPr>
              <w:rPr>
                <w:rFonts w:ascii="Arial" w:hAnsi="Arial"/>
                <w:sz w:val="20"/>
              </w:rPr>
            </w:pPr>
          </w:p>
        </w:tc>
        <w:tc>
          <w:tcPr>
            <w:tcW w:w="709" w:type="dxa"/>
            <w:tcBorders>
              <w:top w:val="single" w:sz="12" w:space="0" w:color="auto"/>
              <w:bottom w:val="single" w:sz="12" w:space="0" w:color="auto"/>
            </w:tcBorders>
            <w:shd w:val="pct12" w:color="000000" w:fill="FFFFFF"/>
          </w:tcPr>
          <w:p w14:paraId="4BFAF7A0" w14:textId="77777777" w:rsidR="000079F3" w:rsidRDefault="000079F3">
            <w:pPr>
              <w:jc w:val="right"/>
              <w:rPr>
                <w:rFonts w:ascii="Arial" w:hAnsi="Arial"/>
                <w:b/>
                <w:sz w:val="20"/>
              </w:rPr>
            </w:pPr>
            <w:r>
              <w:rPr>
                <w:rFonts w:ascii="Arial" w:hAnsi="Arial"/>
                <w:b/>
                <w:sz w:val="20"/>
              </w:rPr>
              <w:t>8D</w:t>
            </w:r>
          </w:p>
        </w:tc>
        <w:tc>
          <w:tcPr>
            <w:tcW w:w="2976" w:type="dxa"/>
            <w:tcBorders>
              <w:top w:val="single" w:sz="12" w:space="0" w:color="auto"/>
              <w:bottom w:val="single" w:sz="12" w:space="0" w:color="auto"/>
            </w:tcBorders>
            <w:shd w:val="pct12" w:color="000000" w:fill="FFFFFF"/>
          </w:tcPr>
          <w:p w14:paraId="75FA8F8F" w14:textId="77777777" w:rsidR="000079F3" w:rsidRDefault="000079F3">
            <w:pPr>
              <w:jc w:val="left"/>
              <w:rPr>
                <w:rFonts w:ascii="Arial" w:hAnsi="Arial"/>
                <w:b/>
                <w:sz w:val="20"/>
              </w:rPr>
            </w:pPr>
            <w:r>
              <w:rPr>
                <w:rFonts w:ascii="Arial" w:hAnsi="Arial"/>
                <w:b/>
                <w:sz w:val="20"/>
              </w:rPr>
              <w:t>Savanna burning</w:t>
            </w:r>
          </w:p>
        </w:tc>
        <w:tc>
          <w:tcPr>
            <w:tcW w:w="4003" w:type="dxa"/>
            <w:tcBorders>
              <w:top w:val="single" w:sz="12" w:space="0" w:color="auto"/>
              <w:bottom w:val="single" w:sz="12" w:space="0" w:color="auto"/>
            </w:tcBorders>
            <w:shd w:val="pct12" w:color="000000" w:fill="FFFFFF"/>
          </w:tcPr>
          <w:p w14:paraId="28626A5F" w14:textId="77777777" w:rsidR="000079F3" w:rsidRPr="00065B5E" w:rsidRDefault="000079F3">
            <w:pPr>
              <w:rPr>
                <w:rFonts w:ascii="Arial" w:hAnsi="Arial"/>
                <w:snapToGrid w:val="0"/>
                <w:color w:val="000000"/>
                <w:sz w:val="20"/>
              </w:rPr>
            </w:pPr>
            <w:r w:rsidRPr="00065B5E">
              <w:rPr>
                <w:rFonts w:ascii="Arial" w:hAnsi="Arial"/>
                <w:snapToGrid w:val="0"/>
                <w:sz w:val="20"/>
              </w:rPr>
              <w:t>Emissions from the burning of savannas. (Savannas are tropical and subtropical formations with continuous grass cover, occasionally interrupted by trees and shrubs.)</w:t>
            </w:r>
          </w:p>
        </w:tc>
        <w:tc>
          <w:tcPr>
            <w:tcW w:w="1559" w:type="dxa"/>
            <w:tcBorders>
              <w:top w:val="single" w:sz="12" w:space="0" w:color="auto"/>
              <w:bottom w:val="single" w:sz="12" w:space="0" w:color="auto"/>
              <w:right w:val="single" w:sz="12" w:space="0" w:color="auto"/>
            </w:tcBorders>
            <w:shd w:val="pct12" w:color="000000" w:fill="FFFFFF"/>
          </w:tcPr>
          <w:p w14:paraId="62977715" w14:textId="77777777" w:rsidR="000079F3" w:rsidRDefault="004B5A0D" w:rsidP="004B5A0D">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Pr>
                <w:rFonts w:ascii="Arial" w:hAnsi="Arial"/>
                <w:sz w:val="20"/>
              </w:rPr>
              <w:t>,</w:t>
            </w:r>
            <w:r w:rsidRPr="0069572D">
              <w:rPr>
                <w:rFonts w:ascii="Arial" w:hAnsi="Arial"/>
                <w:sz w:val="20"/>
              </w:rPr>
              <w:t xml:space="preserve"> OC</w:t>
            </w:r>
          </w:p>
        </w:tc>
      </w:tr>
      <w:tr w:rsidR="000079F3" w14:paraId="203388EF" w14:textId="77777777">
        <w:trPr>
          <w:cantSplit/>
        </w:trPr>
        <w:tc>
          <w:tcPr>
            <w:tcW w:w="468" w:type="dxa"/>
            <w:tcBorders>
              <w:left w:val="single" w:sz="12" w:space="0" w:color="auto"/>
            </w:tcBorders>
            <w:shd w:val="clear" w:color="auto" w:fill="FFFFFF"/>
          </w:tcPr>
          <w:p w14:paraId="555BF615" w14:textId="77777777" w:rsidR="000079F3" w:rsidRDefault="000079F3">
            <w:pPr>
              <w:rPr>
                <w:rFonts w:ascii="Arial" w:hAnsi="Arial"/>
                <w:sz w:val="20"/>
              </w:rPr>
            </w:pPr>
          </w:p>
        </w:tc>
        <w:tc>
          <w:tcPr>
            <w:tcW w:w="709" w:type="dxa"/>
            <w:tcBorders>
              <w:top w:val="single" w:sz="12" w:space="0" w:color="auto"/>
              <w:bottom w:val="single" w:sz="12" w:space="0" w:color="auto"/>
            </w:tcBorders>
            <w:shd w:val="pct12" w:color="000000" w:fill="FFFFFF"/>
          </w:tcPr>
          <w:p w14:paraId="43FC6B54" w14:textId="77777777" w:rsidR="000079F3" w:rsidRDefault="000079F3">
            <w:pPr>
              <w:jc w:val="right"/>
              <w:rPr>
                <w:rFonts w:ascii="Arial" w:hAnsi="Arial"/>
                <w:b/>
                <w:sz w:val="20"/>
              </w:rPr>
            </w:pPr>
            <w:r>
              <w:rPr>
                <w:rFonts w:ascii="Arial" w:hAnsi="Arial"/>
                <w:b/>
                <w:sz w:val="20"/>
              </w:rPr>
              <w:t>8E</w:t>
            </w:r>
          </w:p>
        </w:tc>
        <w:tc>
          <w:tcPr>
            <w:tcW w:w="2976" w:type="dxa"/>
            <w:tcBorders>
              <w:top w:val="single" w:sz="12" w:space="0" w:color="auto"/>
              <w:bottom w:val="single" w:sz="12" w:space="0" w:color="auto"/>
            </w:tcBorders>
            <w:shd w:val="pct12" w:color="000000" w:fill="FFFFFF"/>
          </w:tcPr>
          <w:p w14:paraId="45AE5E57" w14:textId="77777777" w:rsidR="000079F3" w:rsidRDefault="000079F3">
            <w:pPr>
              <w:jc w:val="left"/>
              <w:rPr>
                <w:rFonts w:ascii="Arial" w:hAnsi="Arial"/>
                <w:b/>
                <w:sz w:val="20"/>
              </w:rPr>
            </w:pPr>
            <w:r>
              <w:rPr>
                <w:rFonts w:ascii="Arial" w:hAnsi="Arial"/>
                <w:b/>
                <w:sz w:val="20"/>
              </w:rPr>
              <w:t>Field burning of agricultural residues</w:t>
            </w:r>
          </w:p>
        </w:tc>
        <w:tc>
          <w:tcPr>
            <w:tcW w:w="4003" w:type="dxa"/>
            <w:tcBorders>
              <w:top w:val="single" w:sz="12" w:space="0" w:color="auto"/>
              <w:bottom w:val="single" w:sz="12" w:space="0" w:color="auto"/>
            </w:tcBorders>
            <w:shd w:val="pct12" w:color="000000" w:fill="FFFFFF"/>
          </w:tcPr>
          <w:p w14:paraId="4D660DDD" w14:textId="77777777" w:rsidR="000079F3" w:rsidRDefault="000079F3">
            <w:pPr>
              <w:rPr>
                <w:rFonts w:ascii="Arial" w:hAnsi="Arial"/>
                <w:snapToGrid w:val="0"/>
                <w:color w:val="000000"/>
                <w:sz w:val="20"/>
              </w:rPr>
            </w:pPr>
            <w:r>
              <w:rPr>
                <w:rFonts w:ascii="Arial" w:hAnsi="Arial"/>
                <w:snapToGrid w:val="0"/>
                <w:color w:val="000000"/>
                <w:sz w:val="20"/>
              </w:rPr>
              <w:t>Field combustion of residues from Rice, Wheat, Millet, Soya and other crops.</w:t>
            </w:r>
          </w:p>
        </w:tc>
        <w:tc>
          <w:tcPr>
            <w:tcW w:w="1559" w:type="dxa"/>
            <w:tcBorders>
              <w:top w:val="single" w:sz="12" w:space="0" w:color="auto"/>
              <w:bottom w:val="single" w:sz="12" w:space="0" w:color="auto"/>
              <w:right w:val="single" w:sz="12" w:space="0" w:color="auto"/>
            </w:tcBorders>
            <w:shd w:val="pct12" w:color="000000" w:fill="FFFFFF"/>
          </w:tcPr>
          <w:p w14:paraId="5F2EC474" w14:textId="77777777" w:rsidR="000079F3" w:rsidRDefault="004B5A0D" w:rsidP="004B5A0D">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Pr>
                <w:rFonts w:ascii="Arial" w:hAnsi="Arial"/>
                <w:sz w:val="20"/>
              </w:rPr>
              <w:t>,</w:t>
            </w:r>
            <w:r w:rsidRPr="0069572D">
              <w:rPr>
                <w:rFonts w:ascii="Arial" w:hAnsi="Arial"/>
                <w:sz w:val="20"/>
              </w:rPr>
              <w:t xml:space="preserve"> OC</w:t>
            </w:r>
          </w:p>
        </w:tc>
      </w:tr>
      <w:tr w:rsidR="001158DA" w14:paraId="5C18F0F3" w14:textId="77777777">
        <w:trPr>
          <w:cantSplit/>
        </w:trPr>
        <w:tc>
          <w:tcPr>
            <w:tcW w:w="468" w:type="dxa"/>
            <w:tcBorders>
              <w:left w:val="single" w:sz="12" w:space="0" w:color="auto"/>
            </w:tcBorders>
            <w:shd w:val="clear" w:color="auto" w:fill="FFFFFF"/>
          </w:tcPr>
          <w:p w14:paraId="7418F6C9" w14:textId="77777777" w:rsidR="001158DA" w:rsidRDefault="001158DA">
            <w:pPr>
              <w:rPr>
                <w:rFonts w:ascii="Arial" w:hAnsi="Arial"/>
                <w:sz w:val="20"/>
              </w:rPr>
            </w:pPr>
          </w:p>
        </w:tc>
        <w:tc>
          <w:tcPr>
            <w:tcW w:w="709" w:type="dxa"/>
            <w:tcBorders>
              <w:top w:val="single" w:sz="12" w:space="0" w:color="auto"/>
              <w:bottom w:val="single" w:sz="12" w:space="0" w:color="auto"/>
            </w:tcBorders>
            <w:shd w:val="pct12" w:color="000000" w:fill="FFFFFF"/>
          </w:tcPr>
          <w:p w14:paraId="7CC08589" w14:textId="77777777" w:rsidR="001158DA" w:rsidRDefault="007C549C">
            <w:pPr>
              <w:jc w:val="right"/>
              <w:rPr>
                <w:rFonts w:ascii="Arial" w:hAnsi="Arial"/>
                <w:b/>
                <w:sz w:val="20"/>
              </w:rPr>
            </w:pPr>
            <w:r>
              <w:rPr>
                <w:rFonts w:ascii="Arial" w:hAnsi="Arial"/>
                <w:b/>
                <w:sz w:val="20"/>
              </w:rPr>
              <w:t>8F</w:t>
            </w:r>
          </w:p>
        </w:tc>
        <w:tc>
          <w:tcPr>
            <w:tcW w:w="2976" w:type="dxa"/>
            <w:tcBorders>
              <w:top w:val="single" w:sz="12" w:space="0" w:color="auto"/>
              <w:bottom w:val="single" w:sz="12" w:space="0" w:color="auto"/>
            </w:tcBorders>
            <w:shd w:val="pct12" w:color="000000" w:fill="FFFFFF"/>
          </w:tcPr>
          <w:p w14:paraId="00CFD72E" w14:textId="77777777" w:rsidR="001158DA" w:rsidRDefault="007C549C">
            <w:pPr>
              <w:jc w:val="left"/>
              <w:rPr>
                <w:rFonts w:ascii="Arial" w:hAnsi="Arial"/>
                <w:b/>
                <w:sz w:val="20"/>
              </w:rPr>
            </w:pPr>
            <w:r>
              <w:rPr>
                <w:rFonts w:ascii="Arial" w:hAnsi="Arial"/>
                <w:b/>
                <w:sz w:val="20"/>
              </w:rPr>
              <w:t>Rice cultivation</w:t>
            </w:r>
          </w:p>
        </w:tc>
        <w:tc>
          <w:tcPr>
            <w:tcW w:w="4003" w:type="dxa"/>
            <w:tcBorders>
              <w:top w:val="single" w:sz="12" w:space="0" w:color="auto"/>
              <w:bottom w:val="single" w:sz="12" w:space="0" w:color="auto"/>
            </w:tcBorders>
            <w:shd w:val="pct12" w:color="000000" w:fill="FFFFFF"/>
          </w:tcPr>
          <w:p w14:paraId="407E9D4F" w14:textId="77777777" w:rsidR="001158DA" w:rsidRDefault="001158DA" w:rsidP="001158DA">
            <w:pPr>
              <w:rPr>
                <w:rFonts w:ascii="Arial" w:hAnsi="Arial"/>
                <w:snapToGrid w:val="0"/>
                <w:color w:val="000000"/>
                <w:sz w:val="20"/>
              </w:rPr>
            </w:pPr>
            <w:r w:rsidRPr="001158DA">
              <w:rPr>
                <w:rFonts w:ascii="Arial" w:hAnsi="Arial"/>
                <w:snapToGrid w:val="0"/>
                <w:color w:val="000000"/>
                <w:sz w:val="20"/>
              </w:rPr>
              <w:t>Methane emissions from anaerobic decomposition of</w:t>
            </w:r>
            <w:r>
              <w:rPr>
                <w:rFonts w:ascii="Arial" w:hAnsi="Arial"/>
                <w:snapToGrid w:val="0"/>
                <w:color w:val="000000"/>
                <w:sz w:val="20"/>
              </w:rPr>
              <w:t xml:space="preserve"> </w:t>
            </w:r>
            <w:r w:rsidRPr="001158DA">
              <w:rPr>
                <w:rFonts w:ascii="Arial" w:hAnsi="Arial"/>
                <w:snapToGrid w:val="0"/>
                <w:color w:val="000000"/>
                <w:sz w:val="20"/>
              </w:rPr>
              <w:t>organic material in flooded rice fields.</w:t>
            </w:r>
          </w:p>
        </w:tc>
        <w:tc>
          <w:tcPr>
            <w:tcW w:w="1559" w:type="dxa"/>
            <w:tcBorders>
              <w:top w:val="single" w:sz="12" w:space="0" w:color="auto"/>
              <w:bottom w:val="single" w:sz="12" w:space="0" w:color="auto"/>
              <w:right w:val="single" w:sz="12" w:space="0" w:color="auto"/>
            </w:tcBorders>
            <w:shd w:val="pct12" w:color="000000" w:fill="FFFFFF"/>
          </w:tcPr>
          <w:p w14:paraId="5465AFDF" w14:textId="77777777" w:rsidR="001158DA" w:rsidRDefault="001158DA" w:rsidP="004B5A0D">
            <w:pPr>
              <w:jc w:val="left"/>
              <w:rPr>
                <w:rFonts w:ascii="Arial" w:hAnsi="Arial"/>
                <w:sz w:val="20"/>
              </w:rPr>
            </w:pPr>
            <w:r>
              <w:rPr>
                <w:rFonts w:ascii="Arial" w:hAnsi="Arial"/>
                <w:sz w:val="20"/>
              </w:rPr>
              <w:t>CH</w:t>
            </w:r>
            <w:r w:rsidRPr="002722D9">
              <w:rPr>
                <w:rFonts w:ascii="Arial" w:hAnsi="Arial"/>
                <w:sz w:val="20"/>
                <w:vertAlign w:val="subscript"/>
              </w:rPr>
              <w:t>4</w:t>
            </w:r>
          </w:p>
        </w:tc>
      </w:tr>
      <w:tr w:rsidR="000079F3" w14:paraId="2CDD6FA2" w14:textId="77777777">
        <w:trPr>
          <w:cantSplit/>
        </w:trPr>
        <w:tc>
          <w:tcPr>
            <w:tcW w:w="468" w:type="dxa"/>
            <w:tcBorders>
              <w:top w:val="single" w:sz="12" w:space="0" w:color="auto"/>
              <w:left w:val="single" w:sz="12" w:space="0" w:color="auto"/>
              <w:bottom w:val="single" w:sz="12" w:space="0" w:color="auto"/>
            </w:tcBorders>
            <w:shd w:val="pct20" w:color="000000" w:fill="FFFFFF"/>
          </w:tcPr>
          <w:p w14:paraId="43E08C8B" w14:textId="77777777" w:rsidR="000079F3" w:rsidRDefault="000079F3">
            <w:pPr>
              <w:rPr>
                <w:rFonts w:ascii="Arial" w:hAnsi="Arial"/>
                <w:b/>
                <w:sz w:val="20"/>
              </w:rPr>
            </w:pPr>
            <w:r>
              <w:rPr>
                <w:rFonts w:ascii="Arial" w:hAnsi="Arial"/>
                <w:b/>
                <w:sz w:val="20"/>
              </w:rPr>
              <w:t>9</w:t>
            </w:r>
          </w:p>
        </w:tc>
        <w:tc>
          <w:tcPr>
            <w:tcW w:w="3685" w:type="dxa"/>
            <w:gridSpan w:val="2"/>
            <w:tcBorders>
              <w:top w:val="single" w:sz="12" w:space="0" w:color="auto"/>
              <w:bottom w:val="single" w:sz="12" w:space="0" w:color="auto"/>
            </w:tcBorders>
            <w:shd w:val="pct20" w:color="000000" w:fill="FFFFFF"/>
          </w:tcPr>
          <w:p w14:paraId="187C8A6A" w14:textId="77777777" w:rsidR="000079F3" w:rsidRDefault="000079F3">
            <w:pPr>
              <w:rPr>
                <w:rFonts w:ascii="Arial" w:hAnsi="Arial"/>
                <w:b/>
                <w:smallCaps/>
              </w:rPr>
            </w:pPr>
            <w:r>
              <w:rPr>
                <w:rFonts w:ascii="Arial" w:hAnsi="Arial"/>
                <w:b/>
                <w:smallCaps/>
              </w:rPr>
              <w:t xml:space="preserve">Vegetation fires &amp; forestry </w:t>
            </w:r>
          </w:p>
        </w:tc>
        <w:tc>
          <w:tcPr>
            <w:tcW w:w="4003" w:type="dxa"/>
            <w:tcBorders>
              <w:top w:val="single" w:sz="12" w:space="0" w:color="auto"/>
              <w:bottom w:val="single" w:sz="12" w:space="0" w:color="auto"/>
            </w:tcBorders>
            <w:shd w:val="pct20" w:color="000000" w:fill="FFFFFF"/>
          </w:tcPr>
          <w:p w14:paraId="7CD6B6C8" w14:textId="77777777" w:rsidR="000079F3" w:rsidRDefault="000079F3">
            <w:pPr>
              <w:rPr>
                <w:rFonts w:ascii="Arial" w:hAnsi="Arial"/>
                <w:snapToGrid w:val="0"/>
                <w:color w:val="000000"/>
                <w:sz w:val="20"/>
              </w:rPr>
            </w:pPr>
          </w:p>
        </w:tc>
        <w:tc>
          <w:tcPr>
            <w:tcW w:w="1559" w:type="dxa"/>
            <w:tcBorders>
              <w:top w:val="single" w:sz="12" w:space="0" w:color="auto"/>
              <w:bottom w:val="single" w:sz="12" w:space="0" w:color="auto"/>
              <w:right w:val="single" w:sz="12" w:space="0" w:color="auto"/>
            </w:tcBorders>
            <w:shd w:val="pct20" w:color="000000" w:fill="FFFFFF"/>
          </w:tcPr>
          <w:p w14:paraId="542F1249" w14:textId="77777777" w:rsidR="000079F3" w:rsidRDefault="000079F3">
            <w:pPr>
              <w:rPr>
                <w:rFonts w:ascii="Arial" w:hAnsi="Arial"/>
                <w:sz w:val="20"/>
              </w:rPr>
            </w:pPr>
          </w:p>
        </w:tc>
      </w:tr>
      <w:tr w:rsidR="000079F3" w14:paraId="07483D75" w14:textId="77777777">
        <w:trPr>
          <w:cantSplit/>
        </w:trPr>
        <w:tc>
          <w:tcPr>
            <w:tcW w:w="468" w:type="dxa"/>
            <w:tcBorders>
              <w:top w:val="single" w:sz="12" w:space="0" w:color="auto"/>
              <w:left w:val="single" w:sz="12" w:space="0" w:color="auto"/>
              <w:bottom w:val="single" w:sz="12" w:space="0" w:color="auto"/>
            </w:tcBorders>
            <w:shd w:val="clear" w:color="auto" w:fill="FFFFFF"/>
          </w:tcPr>
          <w:p w14:paraId="46107005" w14:textId="77777777" w:rsidR="000079F3" w:rsidRDefault="000079F3">
            <w:pPr>
              <w:rPr>
                <w:rFonts w:ascii="Arial" w:hAnsi="Arial"/>
                <w:sz w:val="20"/>
              </w:rPr>
            </w:pPr>
          </w:p>
        </w:tc>
        <w:tc>
          <w:tcPr>
            <w:tcW w:w="709" w:type="dxa"/>
            <w:tcBorders>
              <w:top w:val="nil"/>
              <w:bottom w:val="single" w:sz="12" w:space="0" w:color="auto"/>
            </w:tcBorders>
            <w:shd w:val="pct12" w:color="000000" w:fill="FFFFFF"/>
          </w:tcPr>
          <w:p w14:paraId="7FA6454E" w14:textId="77777777" w:rsidR="000079F3" w:rsidRDefault="000079F3">
            <w:pPr>
              <w:rPr>
                <w:rFonts w:ascii="Arial" w:hAnsi="Arial"/>
                <w:b/>
                <w:sz w:val="20"/>
              </w:rPr>
            </w:pPr>
            <w:r>
              <w:rPr>
                <w:rFonts w:ascii="Arial" w:hAnsi="Arial"/>
                <w:b/>
                <w:sz w:val="20"/>
              </w:rPr>
              <w:t>9A</w:t>
            </w:r>
          </w:p>
        </w:tc>
        <w:tc>
          <w:tcPr>
            <w:tcW w:w="2976" w:type="dxa"/>
            <w:tcBorders>
              <w:top w:val="nil"/>
              <w:bottom w:val="single" w:sz="12" w:space="0" w:color="auto"/>
            </w:tcBorders>
            <w:shd w:val="pct12" w:color="000000" w:fill="FFFFFF"/>
          </w:tcPr>
          <w:p w14:paraId="28BDCB35" w14:textId="77777777" w:rsidR="000079F3" w:rsidRDefault="000079F3">
            <w:pPr>
              <w:rPr>
                <w:rFonts w:ascii="Arial" w:hAnsi="Arial"/>
                <w:b/>
                <w:sz w:val="20"/>
              </w:rPr>
            </w:pPr>
            <w:smartTag w:uri="urn:schemas-microsoft-com:office:smarttags" w:element="place">
              <w:r>
                <w:rPr>
                  <w:rFonts w:ascii="Arial" w:hAnsi="Arial"/>
                  <w:b/>
                  <w:sz w:val="20"/>
                </w:rPr>
                <w:t>Forest</w:t>
              </w:r>
            </w:smartTag>
            <w:r>
              <w:rPr>
                <w:rFonts w:ascii="Arial" w:hAnsi="Arial"/>
                <w:b/>
                <w:sz w:val="20"/>
              </w:rPr>
              <w:t xml:space="preserve"> and Grassland fires</w:t>
            </w:r>
          </w:p>
        </w:tc>
        <w:tc>
          <w:tcPr>
            <w:tcW w:w="4003" w:type="dxa"/>
            <w:tcBorders>
              <w:top w:val="nil"/>
              <w:bottom w:val="single" w:sz="12" w:space="0" w:color="auto"/>
            </w:tcBorders>
            <w:shd w:val="pct12" w:color="000000" w:fill="FFFFFF"/>
          </w:tcPr>
          <w:p w14:paraId="14296C20" w14:textId="77777777" w:rsidR="000079F3" w:rsidRDefault="000079F3">
            <w:pPr>
              <w:rPr>
                <w:rFonts w:ascii="Arial" w:hAnsi="Arial"/>
                <w:snapToGrid w:val="0"/>
                <w:color w:val="000000"/>
                <w:sz w:val="20"/>
              </w:rPr>
            </w:pPr>
            <w:r>
              <w:rPr>
                <w:rFonts w:ascii="Arial" w:hAnsi="Arial"/>
                <w:snapToGrid w:val="0"/>
                <w:color w:val="000000"/>
                <w:sz w:val="20"/>
              </w:rPr>
              <w:t>All on-site burning of forests and natural grasslands (excluding Savannas) during conversion to other land uses, for  management purposes or</w:t>
            </w:r>
            <w:r>
              <w:rPr>
                <w:rFonts w:ascii="Arial" w:hAnsi="Arial"/>
                <w:sz w:val="20"/>
              </w:rPr>
              <w:t xml:space="preserve"> as a result of fires started either accidentally by man or naturally by lightning</w:t>
            </w:r>
            <w:r>
              <w:rPr>
                <w:rFonts w:ascii="Arial" w:hAnsi="Arial"/>
                <w:snapToGrid w:val="0"/>
                <w:color w:val="000000"/>
                <w:sz w:val="20"/>
              </w:rPr>
              <w:t>.</w:t>
            </w:r>
          </w:p>
        </w:tc>
        <w:tc>
          <w:tcPr>
            <w:tcW w:w="1559" w:type="dxa"/>
            <w:tcBorders>
              <w:top w:val="nil"/>
              <w:bottom w:val="single" w:sz="12" w:space="0" w:color="auto"/>
              <w:right w:val="single" w:sz="12" w:space="0" w:color="auto"/>
            </w:tcBorders>
            <w:shd w:val="pct12" w:color="000000" w:fill="FFFFFF"/>
          </w:tcPr>
          <w:p w14:paraId="1425C020" w14:textId="77777777" w:rsidR="000079F3" w:rsidRDefault="003E7B99" w:rsidP="00D7164E">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Pr>
                <w:rFonts w:ascii="Arial" w:hAnsi="Arial"/>
                <w:sz w:val="20"/>
              </w:rPr>
              <w:t>,</w:t>
            </w:r>
            <w:r w:rsidRPr="0069572D">
              <w:rPr>
                <w:rFonts w:ascii="Arial" w:hAnsi="Arial"/>
                <w:sz w:val="20"/>
              </w:rPr>
              <w:t xml:space="preserve"> OC</w:t>
            </w:r>
          </w:p>
        </w:tc>
      </w:tr>
      <w:tr w:rsidR="000079F3" w14:paraId="5CBE2D7D" w14:textId="77777777">
        <w:trPr>
          <w:cantSplit/>
        </w:trPr>
        <w:tc>
          <w:tcPr>
            <w:tcW w:w="468" w:type="dxa"/>
            <w:tcBorders>
              <w:top w:val="single" w:sz="12" w:space="0" w:color="auto"/>
              <w:left w:val="single" w:sz="12" w:space="0" w:color="auto"/>
              <w:bottom w:val="single" w:sz="12" w:space="0" w:color="auto"/>
            </w:tcBorders>
            <w:shd w:val="pct25" w:color="000000" w:fill="FFFFFF"/>
          </w:tcPr>
          <w:p w14:paraId="796A5CF6" w14:textId="77777777" w:rsidR="000079F3" w:rsidRDefault="000079F3">
            <w:pPr>
              <w:rPr>
                <w:rFonts w:ascii="Arial" w:hAnsi="Arial"/>
                <w:sz w:val="20"/>
              </w:rPr>
            </w:pPr>
            <w:r>
              <w:rPr>
                <w:rFonts w:ascii="Arial" w:hAnsi="Arial"/>
                <w:b/>
                <w:sz w:val="20"/>
              </w:rPr>
              <w:t>10</w:t>
            </w:r>
          </w:p>
        </w:tc>
        <w:tc>
          <w:tcPr>
            <w:tcW w:w="3685" w:type="dxa"/>
            <w:gridSpan w:val="2"/>
            <w:tcBorders>
              <w:top w:val="nil"/>
              <w:bottom w:val="single" w:sz="12" w:space="0" w:color="auto"/>
            </w:tcBorders>
            <w:shd w:val="pct25" w:color="000000" w:fill="FFFFFF"/>
          </w:tcPr>
          <w:p w14:paraId="007D30B3" w14:textId="77777777" w:rsidR="000079F3" w:rsidRDefault="000079F3">
            <w:pPr>
              <w:rPr>
                <w:rFonts w:ascii="Arial" w:hAnsi="Arial"/>
                <w:b/>
                <w:smallCaps/>
              </w:rPr>
            </w:pPr>
            <w:r>
              <w:rPr>
                <w:rFonts w:ascii="Arial" w:hAnsi="Arial"/>
                <w:b/>
                <w:sz w:val="20"/>
              </w:rPr>
              <w:t>WASTE</w:t>
            </w:r>
          </w:p>
        </w:tc>
        <w:tc>
          <w:tcPr>
            <w:tcW w:w="4003" w:type="dxa"/>
            <w:tcBorders>
              <w:top w:val="nil"/>
              <w:bottom w:val="single" w:sz="12" w:space="0" w:color="auto"/>
            </w:tcBorders>
            <w:shd w:val="pct25" w:color="000000" w:fill="FFFFFF"/>
          </w:tcPr>
          <w:p w14:paraId="5DC1E2B8" w14:textId="77777777" w:rsidR="000079F3" w:rsidRDefault="000079F3">
            <w:pPr>
              <w:rPr>
                <w:rFonts w:ascii="Arial" w:hAnsi="Arial"/>
                <w:snapToGrid w:val="0"/>
                <w:color w:val="000000"/>
                <w:sz w:val="20"/>
              </w:rPr>
            </w:pPr>
          </w:p>
        </w:tc>
        <w:tc>
          <w:tcPr>
            <w:tcW w:w="1559" w:type="dxa"/>
            <w:tcBorders>
              <w:top w:val="nil"/>
              <w:bottom w:val="single" w:sz="12" w:space="0" w:color="auto"/>
              <w:right w:val="single" w:sz="12" w:space="0" w:color="auto"/>
            </w:tcBorders>
            <w:shd w:val="pct25" w:color="000000" w:fill="FFFFFF"/>
          </w:tcPr>
          <w:p w14:paraId="7223A6AD" w14:textId="77777777" w:rsidR="000079F3" w:rsidRDefault="000079F3">
            <w:pPr>
              <w:rPr>
                <w:rFonts w:ascii="Arial" w:hAnsi="Arial"/>
                <w:sz w:val="20"/>
              </w:rPr>
            </w:pPr>
          </w:p>
        </w:tc>
      </w:tr>
      <w:tr w:rsidR="000079F3" w14:paraId="4D897043" w14:textId="77777777">
        <w:trPr>
          <w:cantSplit/>
        </w:trPr>
        <w:tc>
          <w:tcPr>
            <w:tcW w:w="468" w:type="dxa"/>
            <w:tcBorders>
              <w:left w:val="single" w:sz="12" w:space="0" w:color="auto"/>
              <w:bottom w:val="single" w:sz="12" w:space="0" w:color="auto"/>
            </w:tcBorders>
            <w:shd w:val="clear" w:color="auto" w:fill="FFFFFF"/>
          </w:tcPr>
          <w:p w14:paraId="06E3EAF5" w14:textId="77777777" w:rsidR="000079F3" w:rsidRDefault="000079F3">
            <w:pPr>
              <w:rPr>
                <w:rFonts w:ascii="Arial" w:hAnsi="Arial"/>
                <w:sz w:val="20"/>
              </w:rPr>
            </w:pPr>
          </w:p>
        </w:tc>
        <w:tc>
          <w:tcPr>
            <w:tcW w:w="709" w:type="dxa"/>
            <w:tcBorders>
              <w:top w:val="nil"/>
              <w:bottom w:val="single" w:sz="12" w:space="0" w:color="auto"/>
            </w:tcBorders>
            <w:shd w:val="pct12" w:color="000000" w:fill="FFFFFF"/>
          </w:tcPr>
          <w:p w14:paraId="70B9649C" w14:textId="77777777" w:rsidR="000079F3" w:rsidRDefault="000079F3">
            <w:pPr>
              <w:rPr>
                <w:rFonts w:ascii="Arial" w:hAnsi="Arial"/>
                <w:b/>
                <w:sz w:val="20"/>
              </w:rPr>
            </w:pPr>
            <w:r>
              <w:rPr>
                <w:rFonts w:ascii="Arial" w:hAnsi="Arial"/>
                <w:b/>
                <w:sz w:val="20"/>
              </w:rPr>
              <w:t>10A</w:t>
            </w:r>
          </w:p>
        </w:tc>
        <w:tc>
          <w:tcPr>
            <w:tcW w:w="2976" w:type="dxa"/>
            <w:tcBorders>
              <w:top w:val="nil"/>
              <w:bottom w:val="single" w:sz="12" w:space="0" w:color="auto"/>
            </w:tcBorders>
            <w:shd w:val="pct12" w:color="000000" w:fill="FFFFFF"/>
          </w:tcPr>
          <w:p w14:paraId="1355A9F0" w14:textId="77777777" w:rsidR="000079F3" w:rsidRDefault="000079F3">
            <w:pPr>
              <w:rPr>
                <w:rFonts w:ascii="Arial" w:hAnsi="Arial"/>
                <w:b/>
                <w:sz w:val="20"/>
              </w:rPr>
            </w:pPr>
            <w:r>
              <w:rPr>
                <w:rFonts w:ascii="Arial" w:hAnsi="Arial"/>
                <w:b/>
                <w:sz w:val="20"/>
              </w:rPr>
              <w:t xml:space="preserve">Waste Incineration </w:t>
            </w:r>
          </w:p>
        </w:tc>
        <w:tc>
          <w:tcPr>
            <w:tcW w:w="4003" w:type="dxa"/>
            <w:tcBorders>
              <w:top w:val="nil"/>
              <w:bottom w:val="single" w:sz="12" w:space="0" w:color="auto"/>
            </w:tcBorders>
            <w:shd w:val="pct12" w:color="000000" w:fill="FFFFFF"/>
          </w:tcPr>
          <w:p w14:paraId="58651A01" w14:textId="77777777" w:rsidR="000079F3" w:rsidRDefault="000079F3">
            <w:pPr>
              <w:pStyle w:val="CommentText"/>
              <w:rPr>
                <w:rFonts w:ascii="Arial" w:hAnsi="Arial"/>
              </w:rPr>
            </w:pPr>
            <w:r>
              <w:rPr>
                <w:rFonts w:ascii="Arial" w:hAnsi="Arial"/>
              </w:rPr>
              <w:t>Incineration of all municipal solid waste (MSW), industrial waste and commercial waste except waste-to-energy facilities (which are dealt with under Energy, Sector 1). Includes trench and open burning as well as furnace incineration.</w:t>
            </w:r>
          </w:p>
        </w:tc>
        <w:tc>
          <w:tcPr>
            <w:tcW w:w="1559" w:type="dxa"/>
            <w:tcBorders>
              <w:top w:val="nil"/>
              <w:bottom w:val="single" w:sz="12" w:space="0" w:color="auto"/>
              <w:right w:val="single" w:sz="12" w:space="0" w:color="auto"/>
            </w:tcBorders>
            <w:shd w:val="pct12" w:color="000000" w:fill="FFFFFF"/>
          </w:tcPr>
          <w:p w14:paraId="39A36C95" w14:textId="77777777" w:rsidR="000079F3" w:rsidRDefault="003E7B99" w:rsidP="003E7B99">
            <w:pPr>
              <w:jc w:val="left"/>
              <w:rPr>
                <w:rFonts w:ascii="Arial" w:hAnsi="Arial"/>
                <w:sz w:val="20"/>
              </w:rPr>
            </w:pPr>
            <w:r>
              <w:rPr>
                <w:rFonts w:ascii="Arial" w:hAnsi="Arial"/>
                <w:sz w:val="20"/>
              </w:rPr>
              <w:t>SO</w:t>
            </w:r>
            <w:r>
              <w:rPr>
                <w:rFonts w:ascii="Arial" w:hAnsi="Arial"/>
                <w:sz w:val="20"/>
                <w:vertAlign w:val="subscript"/>
              </w:rPr>
              <w:t>2</w:t>
            </w:r>
            <w:r>
              <w:rPr>
                <w:rFonts w:ascii="Arial" w:hAnsi="Arial"/>
                <w:sz w:val="20"/>
              </w:rPr>
              <w:t>, NO</w:t>
            </w:r>
            <w:r>
              <w:rPr>
                <w:rFonts w:ascii="Arial" w:hAnsi="Arial"/>
                <w:sz w:val="20"/>
                <w:vertAlign w:val="subscript"/>
              </w:rPr>
              <w:t>x</w:t>
            </w:r>
            <w:r>
              <w:rPr>
                <w:rFonts w:ascii="Arial" w:hAnsi="Arial"/>
                <w:sz w:val="20"/>
              </w:rPr>
              <w:t>, CO, NMVOC, CH</w:t>
            </w:r>
            <w:r w:rsidRPr="0069572D">
              <w:rPr>
                <w:rFonts w:ascii="Arial" w:hAnsi="Arial"/>
                <w:sz w:val="20"/>
                <w:vertAlign w:val="subscript"/>
              </w:rPr>
              <w:t>4</w:t>
            </w:r>
            <w:r>
              <w:rPr>
                <w:rFonts w:ascii="Arial" w:hAnsi="Arial"/>
                <w:sz w:val="20"/>
              </w:rPr>
              <w:t>, NH</w:t>
            </w:r>
            <w:r>
              <w:rPr>
                <w:rFonts w:ascii="Arial" w:hAnsi="Arial"/>
                <w:sz w:val="20"/>
                <w:vertAlign w:val="subscript"/>
              </w:rPr>
              <w:t>3</w:t>
            </w:r>
            <w:r>
              <w:rPr>
                <w:rFonts w:ascii="Arial" w:hAnsi="Arial"/>
                <w:sz w:val="20"/>
              </w:rPr>
              <w:t>, PM</w:t>
            </w:r>
            <w:r>
              <w:rPr>
                <w:rFonts w:ascii="Arial" w:hAnsi="Arial"/>
                <w:sz w:val="20"/>
                <w:vertAlign w:val="subscript"/>
              </w:rPr>
              <w:t>10</w:t>
            </w:r>
            <w:r>
              <w:rPr>
                <w:rFonts w:ascii="Arial" w:hAnsi="Arial"/>
                <w:sz w:val="20"/>
              </w:rPr>
              <w:t>, PM</w:t>
            </w:r>
            <w:r w:rsidRPr="00065B5E">
              <w:rPr>
                <w:rFonts w:ascii="Arial" w:hAnsi="Arial"/>
                <w:sz w:val="20"/>
                <w:vertAlign w:val="subscript"/>
              </w:rPr>
              <w:t>2.5</w:t>
            </w:r>
            <w:r w:rsidRPr="004B5A0D">
              <w:rPr>
                <w:rFonts w:ascii="Arial" w:hAnsi="Arial"/>
                <w:sz w:val="20"/>
              </w:rPr>
              <w:t xml:space="preserve">, </w:t>
            </w:r>
            <w:r w:rsidRPr="0069572D">
              <w:rPr>
                <w:rFonts w:ascii="Arial" w:hAnsi="Arial"/>
                <w:sz w:val="20"/>
              </w:rPr>
              <w:t>BC</w:t>
            </w:r>
            <w:r>
              <w:rPr>
                <w:rFonts w:ascii="Arial" w:hAnsi="Arial"/>
                <w:sz w:val="20"/>
              </w:rPr>
              <w:t>,</w:t>
            </w:r>
            <w:r w:rsidRPr="0069572D">
              <w:rPr>
                <w:rFonts w:ascii="Arial" w:hAnsi="Arial"/>
                <w:sz w:val="20"/>
              </w:rPr>
              <w:t xml:space="preserve"> OC</w:t>
            </w:r>
          </w:p>
        </w:tc>
      </w:tr>
      <w:tr w:rsidR="00925525" w14:paraId="74FEEE70" w14:textId="77777777">
        <w:trPr>
          <w:cantSplit/>
        </w:trPr>
        <w:tc>
          <w:tcPr>
            <w:tcW w:w="468" w:type="dxa"/>
            <w:tcBorders>
              <w:left w:val="single" w:sz="12" w:space="0" w:color="auto"/>
              <w:bottom w:val="single" w:sz="12" w:space="0" w:color="auto"/>
            </w:tcBorders>
            <w:shd w:val="clear" w:color="auto" w:fill="FFFFFF"/>
          </w:tcPr>
          <w:p w14:paraId="2CA495E7" w14:textId="77777777" w:rsidR="00925525" w:rsidRDefault="00925525">
            <w:pPr>
              <w:rPr>
                <w:rFonts w:ascii="Arial" w:hAnsi="Arial"/>
                <w:sz w:val="20"/>
              </w:rPr>
            </w:pPr>
          </w:p>
        </w:tc>
        <w:tc>
          <w:tcPr>
            <w:tcW w:w="709" w:type="dxa"/>
            <w:tcBorders>
              <w:top w:val="nil"/>
              <w:bottom w:val="single" w:sz="12" w:space="0" w:color="auto"/>
            </w:tcBorders>
            <w:shd w:val="pct12" w:color="000000" w:fill="FFFFFF"/>
          </w:tcPr>
          <w:p w14:paraId="41179769" w14:textId="77777777" w:rsidR="00925525" w:rsidRDefault="00925525">
            <w:pPr>
              <w:rPr>
                <w:rFonts w:ascii="Arial" w:hAnsi="Arial"/>
                <w:b/>
                <w:sz w:val="20"/>
              </w:rPr>
            </w:pPr>
            <w:r>
              <w:rPr>
                <w:rFonts w:ascii="Arial" w:hAnsi="Arial"/>
                <w:b/>
                <w:sz w:val="20"/>
              </w:rPr>
              <w:t>10B</w:t>
            </w:r>
          </w:p>
        </w:tc>
        <w:tc>
          <w:tcPr>
            <w:tcW w:w="2976" w:type="dxa"/>
            <w:tcBorders>
              <w:top w:val="nil"/>
              <w:bottom w:val="single" w:sz="12" w:space="0" w:color="auto"/>
            </w:tcBorders>
            <w:shd w:val="pct12" w:color="000000" w:fill="FFFFFF"/>
          </w:tcPr>
          <w:p w14:paraId="41185E7A" w14:textId="77777777" w:rsidR="00925525" w:rsidRDefault="00925525">
            <w:pPr>
              <w:rPr>
                <w:rFonts w:ascii="Arial" w:hAnsi="Arial"/>
                <w:b/>
                <w:sz w:val="20"/>
              </w:rPr>
            </w:pPr>
            <w:r>
              <w:rPr>
                <w:rFonts w:ascii="Arial" w:hAnsi="Arial"/>
                <w:b/>
                <w:sz w:val="20"/>
              </w:rPr>
              <w:t>Solid waste disposal on land</w:t>
            </w:r>
          </w:p>
        </w:tc>
        <w:tc>
          <w:tcPr>
            <w:tcW w:w="4003" w:type="dxa"/>
            <w:tcBorders>
              <w:top w:val="nil"/>
              <w:bottom w:val="single" w:sz="12" w:space="0" w:color="auto"/>
            </w:tcBorders>
            <w:shd w:val="pct12" w:color="000000" w:fill="FFFFFF"/>
          </w:tcPr>
          <w:p w14:paraId="5EED4529" w14:textId="77777777" w:rsidR="00925525" w:rsidRDefault="00925525">
            <w:pPr>
              <w:pStyle w:val="CommentText"/>
              <w:rPr>
                <w:rFonts w:ascii="Arial" w:hAnsi="Arial"/>
              </w:rPr>
            </w:pPr>
            <w:r>
              <w:rPr>
                <w:rFonts w:ascii="Arial" w:hAnsi="Arial"/>
              </w:rPr>
              <w:t>Methane emissions from anaerobic microbial decomposition of organic matter in solid waste disposal sites</w:t>
            </w:r>
          </w:p>
        </w:tc>
        <w:tc>
          <w:tcPr>
            <w:tcW w:w="1559" w:type="dxa"/>
            <w:tcBorders>
              <w:top w:val="nil"/>
              <w:bottom w:val="single" w:sz="12" w:space="0" w:color="auto"/>
              <w:right w:val="single" w:sz="12" w:space="0" w:color="auto"/>
            </w:tcBorders>
            <w:shd w:val="pct12" w:color="000000" w:fill="FFFFFF"/>
          </w:tcPr>
          <w:p w14:paraId="4F8323BD" w14:textId="77777777" w:rsidR="00925525" w:rsidRDefault="00925525">
            <w:pPr>
              <w:rPr>
                <w:rFonts w:ascii="Arial" w:hAnsi="Arial"/>
                <w:sz w:val="20"/>
              </w:rPr>
            </w:pPr>
            <w:r>
              <w:rPr>
                <w:rFonts w:ascii="Arial" w:hAnsi="Arial"/>
                <w:sz w:val="20"/>
              </w:rPr>
              <w:t>CH</w:t>
            </w:r>
            <w:r w:rsidRPr="002722D9">
              <w:rPr>
                <w:rFonts w:ascii="Arial" w:hAnsi="Arial"/>
                <w:sz w:val="20"/>
                <w:vertAlign w:val="subscript"/>
              </w:rPr>
              <w:t>4</w:t>
            </w:r>
          </w:p>
        </w:tc>
      </w:tr>
      <w:tr w:rsidR="007C549C" w14:paraId="19EA62A6" w14:textId="77777777">
        <w:trPr>
          <w:cantSplit/>
        </w:trPr>
        <w:tc>
          <w:tcPr>
            <w:tcW w:w="468" w:type="dxa"/>
            <w:tcBorders>
              <w:left w:val="single" w:sz="12" w:space="0" w:color="auto"/>
              <w:bottom w:val="single" w:sz="12" w:space="0" w:color="auto"/>
            </w:tcBorders>
            <w:shd w:val="clear" w:color="auto" w:fill="FFFFFF"/>
          </w:tcPr>
          <w:p w14:paraId="730E244A" w14:textId="77777777" w:rsidR="007C549C" w:rsidRDefault="007C549C">
            <w:pPr>
              <w:rPr>
                <w:rFonts w:ascii="Arial" w:hAnsi="Arial"/>
                <w:sz w:val="20"/>
              </w:rPr>
            </w:pPr>
          </w:p>
        </w:tc>
        <w:tc>
          <w:tcPr>
            <w:tcW w:w="709" w:type="dxa"/>
            <w:tcBorders>
              <w:top w:val="nil"/>
              <w:bottom w:val="single" w:sz="12" w:space="0" w:color="auto"/>
            </w:tcBorders>
            <w:shd w:val="pct12" w:color="000000" w:fill="FFFFFF"/>
          </w:tcPr>
          <w:p w14:paraId="0093106A" w14:textId="77777777" w:rsidR="007C549C" w:rsidRDefault="007C549C" w:rsidP="00F94088">
            <w:pPr>
              <w:rPr>
                <w:rFonts w:ascii="Arial" w:hAnsi="Arial"/>
                <w:b/>
                <w:sz w:val="20"/>
              </w:rPr>
            </w:pPr>
            <w:r>
              <w:rPr>
                <w:rFonts w:ascii="Arial" w:hAnsi="Arial"/>
                <w:b/>
                <w:sz w:val="20"/>
              </w:rPr>
              <w:t>10C</w:t>
            </w:r>
          </w:p>
        </w:tc>
        <w:tc>
          <w:tcPr>
            <w:tcW w:w="2976" w:type="dxa"/>
            <w:tcBorders>
              <w:top w:val="nil"/>
              <w:bottom w:val="single" w:sz="12" w:space="0" w:color="auto"/>
            </w:tcBorders>
            <w:shd w:val="pct12" w:color="000000" w:fill="FFFFFF"/>
          </w:tcPr>
          <w:p w14:paraId="24E96AC8" w14:textId="77777777" w:rsidR="007C549C" w:rsidRPr="007C549C" w:rsidRDefault="007C549C" w:rsidP="002722D9">
            <w:pPr>
              <w:pStyle w:val="CommentText"/>
              <w:jc w:val="left"/>
              <w:rPr>
                <w:rFonts w:ascii="Arial" w:hAnsi="Arial"/>
                <w:b/>
              </w:rPr>
            </w:pPr>
            <w:r w:rsidRPr="007C549C">
              <w:rPr>
                <w:rFonts w:ascii="Arial" w:hAnsi="Arial"/>
                <w:b/>
              </w:rPr>
              <w:t xml:space="preserve">Domestic </w:t>
            </w:r>
            <w:r>
              <w:rPr>
                <w:rFonts w:ascii="Arial" w:hAnsi="Arial"/>
                <w:b/>
              </w:rPr>
              <w:t>w</w:t>
            </w:r>
            <w:r w:rsidRPr="007C549C">
              <w:rPr>
                <w:rFonts w:ascii="Arial" w:hAnsi="Arial"/>
                <w:b/>
              </w:rPr>
              <w:t xml:space="preserve">astewater </w:t>
            </w:r>
            <w:r>
              <w:rPr>
                <w:rFonts w:ascii="Arial" w:hAnsi="Arial"/>
                <w:b/>
              </w:rPr>
              <w:t>t</w:t>
            </w:r>
            <w:r w:rsidRPr="002722D9">
              <w:rPr>
                <w:rFonts w:ascii="Arial" w:hAnsi="Arial"/>
                <w:b/>
              </w:rPr>
              <w:t xml:space="preserve">reatment and </w:t>
            </w:r>
            <w:r>
              <w:rPr>
                <w:rFonts w:ascii="Arial" w:hAnsi="Arial"/>
                <w:b/>
              </w:rPr>
              <w:t>d</w:t>
            </w:r>
            <w:r w:rsidRPr="002722D9">
              <w:rPr>
                <w:rFonts w:ascii="Arial" w:hAnsi="Arial"/>
                <w:b/>
              </w:rPr>
              <w:t>ischarge</w:t>
            </w:r>
          </w:p>
        </w:tc>
        <w:tc>
          <w:tcPr>
            <w:tcW w:w="4003" w:type="dxa"/>
            <w:tcBorders>
              <w:top w:val="nil"/>
              <w:bottom w:val="single" w:sz="12" w:space="0" w:color="auto"/>
            </w:tcBorders>
            <w:shd w:val="pct12" w:color="000000" w:fill="FFFFFF"/>
          </w:tcPr>
          <w:p w14:paraId="29B23DF2" w14:textId="77777777" w:rsidR="007C549C" w:rsidRDefault="007C549C">
            <w:pPr>
              <w:pStyle w:val="CommentText"/>
              <w:rPr>
                <w:rFonts w:ascii="Arial" w:hAnsi="Arial"/>
              </w:rPr>
            </w:pPr>
            <w:r w:rsidRPr="007C549C">
              <w:rPr>
                <w:rFonts w:ascii="Arial" w:hAnsi="Arial"/>
              </w:rPr>
              <w:t>Treatment and discharge of liquid wastes from</w:t>
            </w:r>
            <w:r>
              <w:rPr>
                <w:rFonts w:ascii="Arial" w:hAnsi="Arial"/>
              </w:rPr>
              <w:t xml:space="preserve"> housing and commercial sources t</w:t>
            </w:r>
            <w:r w:rsidRPr="007C549C">
              <w:rPr>
                <w:rFonts w:ascii="Arial" w:hAnsi="Arial"/>
              </w:rPr>
              <w:t>hrough: wastewater sewage systems collection and</w:t>
            </w:r>
            <w:r>
              <w:rPr>
                <w:rFonts w:ascii="Arial" w:hAnsi="Arial"/>
              </w:rPr>
              <w:t xml:space="preserve"> </w:t>
            </w:r>
            <w:r w:rsidRPr="007C549C">
              <w:rPr>
                <w:rFonts w:ascii="Arial" w:hAnsi="Arial"/>
              </w:rPr>
              <w:t>treatment systems, open pits/latrines, anaerobic lagoons,</w:t>
            </w:r>
            <w:r>
              <w:rPr>
                <w:rFonts w:ascii="Arial" w:hAnsi="Arial"/>
              </w:rPr>
              <w:t xml:space="preserve"> </w:t>
            </w:r>
            <w:r w:rsidRPr="007C549C">
              <w:rPr>
                <w:rFonts w:ascii="Arial" w:hAnsi="Arial"/>
              </w:rPr>
              <w:t>anaerobic reactors and discharge into surface waters.</w:t>
            </w:r>
          </w:p>
        </w:tc>
        <w:tc>
          <w:tcPr>
            <w:tcW w:w="1559" w:type="dxa"/>
            <w:tcBorders>
              <w:top w:val="nil"/>
              <w:bottom w:val="single" w:sz="12" w:space="0" w:color="auto"/>
              <w:right w:val="single" w:sz="12" w:space="0" w:color="auto"/>
            </w:tcBorders>
            <w:shd w:val="pct12" w:color="000000" w:fill="FFFFFF"/>
          </w:tcPr>
          <w:p w14:paraId="35FF303D" w14:textId="77777777" w:rsidR="007C549C" w:rsidRDefault="007C549C">
            <w:pPr>
              <w:rPr>
                <w:rFonts w:ascii="Arial" w:hAnsi="Arial"/>
                <w:sz w:val="20"/>
              </w:rPr>
            </w:pPr>
            <w:r w:rsidRPr="007C549C">
              <w:rPr>
                <w:rFonts w:ascii="Arial" w:hAnsi="Arial"/>
                <w:sz w:val="20"/>
              </w:rPr>
              <w:t>CH</w:t>
            </w:r>
            <w:r w:rsidRPr="002722D9">
              <w:rPr>
                <w:rFonts w:ascii="Arial" w:hAnsi="Arial"/>
                <w:sz w:val="20"/>
                <w:vertAlign w:val="subscript"/>
              </w:rPr>
              <w:t>4</w:t>
            </w:r>
          </w:p>
        </w:tc>
      </w:tr>
      <w:tr w:rsidR="000079F3" w14:paraId="581CED64" w14:textId="77777777">
        <w:trPr>
          <w:cantSplit/>
        </w:trPr>
        <w:tc>
          <w:tcPr>
            <w:tcW w:w="468" w:type="dxa"/>
            <w:tcBorders>
              <w:left w:val="single" w:sz="12" w:space="0" w:color="auto"/>
              <w:bottom w:val="single" w:sz="12" w:space="0" w:color="auto"/>
            </w:tcBorders>
            <w:shd w:val="clear" w:color="auto" w:fill="FFFFFF"/>
          </w:tcPr>
          <w:p w14:paraId="4FD74B3A" w14:textId="77777777" w:rsidR="000079F3" w:rsidRDefault="000079F3">
            <w:pPr>
              <w:rPr>
                <w:rFonts w:ascii="Arial" w:hAnsi="Arial"/>
                <w:sz w:val="20"/>
              </w:rPr>
            </w:pPr>
          </w:p>
        </w:tc>
        <w:tc>
          <w:tcPr>
            <w:tcW w:w="709" w:type="dxa"/>
            <w:tcBorders>
              <w:top w:val="nil"/>
              <w:bottom w:val="single" w:sz="12" w:space="0" w:color="auto"/>
            </w:tcBorders>
            <w:shd w:val="pct12" w:color="000000" w:fill="FFFFFF"/>
          </w:tcPr>
          <w:p w14:paraId="116DD082" w14:textId="77777777" w:rsidR="000079F3" w:rsidRDefault="000079F3" w:rsidP="007C549C">
            <w:pPr>
              <w:rPr>
                <w:rFonts w:ascii="Arial" w:hAnsi="Arial"/>
                <w:b/>
                <w:sz w:val="20"/>
              </w:rPr>
            </w:pPr>
            <w:r>
              <w:rPr>
                <w:rFonts w:ascii="Arial" w:hAnsi="Arial"/>
                <w:b/>
                <w:sz w:val="20"/>
              </w:rPr>
              <w:t>10</w:t>
            </w:r>
            <w:r w:rsidR="007C549C">
              <w:rPr>
                <w:rFonts w:ascii="Arial" w:hAnsi="Arial"/>
                <w:b/>
                <w:sz w:val="20"/>
              </w:rPr>
              <w:t>D</w:t>
            </w:r>
          </w:p>
        </w:tc>
        <w:tc>
          <w:tcPr>
            <w:tcW w:w="2976" w:type="dxa"/>
            <w:tcBorders>
              <w:top w:val="nil"/>
              <w:bottom w:val="single" w:sz="12" w:space="0" w:color="auto"/>
            </w:tcBorders>
            <w:shd w:val="pct12" w:color="000000" w:fill="FFFFFF"/>
          </w:tcPr>
          <w:p w14:paraId="3CE4B5F0" w14:textId="77777777" w:rsidR="000079F3" w:rsidRDefault="00D42DBC">
            <w:pPr>
              <w:rPr>
                <w:rFonts w:ascii="Arial" w:hAnsi="Arial"/>
                <w:b/>
                <w:sz w:val="20"/>
              </w:rPr>
            </w:pPr>
            <w:r>
              <w:rPr>
                <w:rFonts w:ascii="Arial" w:hAnsi="Arial"/>
                <w:b/>
                <w:sz w:val="20"/>
              </w:rPr>
              <w:t>Human excreta</w:t>
            </w:r>
          </w:p>
        </w:tc>
        <w:tc>
          <w:tcPr>
            <w:tcW w:w="4003" w:type="dxa"/>
            <w:tcBorders>
              <w:top w:val="nil"/>
              <w:bottom w:val="single" w:sz="12" w:space="0" w:color="auto"/>
            </w:tcBorders>
            <w:shd w:val="pct12" w:color="000000" w:fill="FFFFFF"/>
          </w:tcPr>
          <w:p w14:paraId="2D248032" w14:textId="77777777" w:rsidR="000079F3" w:rsidRDefault="000079F3">
            <w:pPr>
              <w:pStyle w:val="CommentText"/>
              <w:rPr>
                <w:rFonts w:ascii="Arial" w:hAnsi="Arial"/>
                <w:snapToGrid w:val="0"/>
                <w:color w:val="000000"/>
              </w:rPr>
            </w:pPr>
            <w:r>
              <w:rPr>
                <w:rFonts w:ascii="Arial" w:hAnsi="Arial"/>
              </w:rPr>
              <w:t xml:space="preserve">Emissions from human excreta in latrines (‘dry’ toilets outside the house) </w:t>
            </w:r>
            <w:r w:rsidR="00D42DBC">
              <w:rPr>
                <w:rFonts w:ascii="Arial" w:hAnsi="Arial"/>
              </w:rPr>
              <w:t xml:space="preserve">and </w:t>
            </w:r>
            <w:r w:rsidR="00FD5641">
              <w:rPr>
                <w:rFonts w:ascii="Arial" w:hAnsi="Arial"/>
              </w:rPr>
              <w:t>from defecation/urination in open fields/bush.</w:t>
            </w:r>
          </w:p>
        </w:tc>
        <w:tc>
          <w:tcPr>
            <w:tcW w:w="1559" w:type="dxa"/>
            <w:tcBorders>
              <w:top w:val="nil"/>
              <w:bottom w:val="single" w:sz="12" w:space="0" w:color="auto"/>
              <w:right w:val="single" w:sz="12" w:space="0" w:color="auto"/>
            </w:tcBorders>
            <w:shd w:val="pct12" w:color="000000" w:fill="FFFFFF"/>
          </w:tcPr>
          <w:p w14:paraId="6C56C6FE" w14:textId="77777777" w:rsidR="000079F3" w:rsidRDefault="000079F3">
            <w:pPr>
              <w:rPr>
                <w:rFonts w:ascii="Arial" w:hAnsi="Arial"/>
                <w:sz w:val="20"/>
              </w:rPr>
            </w:pPr>
            <w:r>
              <w:rPr>
                <w:rFonts w:ascii="Arial" w:hAnsi="Arial"/>
                <w:sz w:val="20"/>
              </w:rPr>
              <w:t>NH</w:t>
            </w:r>
            <w:r>
              <w:rPr>
                <w:rFonts w:ascii="Arial" w:hAnsi="Arial"/>
                <w:sz w:val="20"/>
                <w:vertAlign w:val="subscript"/>
              </w:rPr>
              <w:t xml:space="preserve">3 </w:t>
            </w:r>
          </w:p>
        </w:tc>
      </w:tr>
      <w:bookmarkEnd w:id="74"/>
    </w:tbl>
    <w:p w14:paraId="68CBFD8D" w14:textId="77777777" w:rsidR="00C46552" w:rsidRDefault="00C46552">
      <w:pPr>
        <w:rPr>
          <w:rFonts w:ascii="Arial" w:hAnsi="Arial"/>
          <w:sz w:val="20"/>
        </w:rPr>
      </w:pPr>
    </w:p>
    <w:p w14:paraId="74CAFD76" w14:textId="77777777" w:rsidR="00C46552" w:rsidRDefault="00C46552">
      <w:pPr>
        <w:rPr>
          <w:rFonts w:ascii="Arial" w:hAnsi="Arial"/>
          <w:vanish/>
          <w:sz w:val="20"/>
        </w:rPr>
      </w:pPr>
    </w:p>
    <w:p w14:paraId="2A6A7FA5" w14:textId="77777777" w:rsidR="00C46552" w:rsidRDefault="00C46552"/>
    <w:p w14:paraId="7243C14D" w14:textId="77777777" w:rsidR="005E708F" w:rsidRDefault="005E708F" w:rsidP="00BE3408">
      <w:pPr>
        <w:pStyle w:val="Heading2"/>
      </w:pPr>
      <w:bookmarkStart w:id="75" w:name="_Toc10122677"/>
      <w:bookmarkStart w:id="76" w:name="_Toc484189400"/>
      <w:r>
        <w:t>Large points sources (LPS)</w:t>
      </w:r>
      <w:bookmarkEnd w:id="75"/>
      <w:r>
        <w:t xml:space="preserve">  </w:t>
      </w:r>
    </w:p>
    <w:p w14:paraId="2C5B998A" w14:textId="77777777" w:rsidR="005E708F" w:rsidRDefault="005E708F" w:rsidP="005E708F"/>
    <w:p w14:paraId="511E12A2" w14:textId="77777777" w:rsidR="005E708F" w:rsidRDefault="005E708F" w:rsidP="005E708F">
      <w:r>
        <w:t>Many air pollution models include separate accounting for emissions from Large Point Sources (LPS). Accurate information about the location and height of emission for LPS sources improves the accuracy of air chemistry/transport modelling activities. Therefore, in emissions inventories, emission estimates are often provided for large individual plants or emission outlets, usually in conjunction with data on location, capacity or throughput, operating conditions, height of exhaust stacks, and other data. Reported emissions from point-</w:t>
      </w:r>
      <w:r>
        <w:lastRenderedPageBreak/>
        <w:t xml:space="preserve">sources can be related to the source-categories above; in particular, energy and industrial processes and should always be allocated to the appropriate source-category. </w:t>
      </w:r>
    </w:p>
    <w:p w14:paraId="09BD9FFB" w14:textId="77777777" w:rsidR="005E708F" w:rsidRDefault="005E708F" w:rsidP="005E708F"/>
    <w:p w14:paraId="4AAF0C77" w14:textId="77777777" w:rsidR="005E708F" w:rsidRDefault="005E708F" w:rsidP="005E708F">
      <w:pPr>
        <w:ind w:firstLine="720"/>
      </w:pPr>
      <w:r>
        <w:t xml:space="preserve">Examples of LPS would include large power stations, waste incineration plants and major industrial plants such as metal smelters and oil refineries. The number of LPS included in an inventory depends on the availability of individual plant data and on definitions of "large". Definitions of "large" for the purposes of this Manual are suggested in Chapter </w:t>
      </w:r>
      <w:r w:rsidR="002847DC">
        <w:t>9</w:t>
      </w:r>
      <w:r>
        <w:t xml:space="preserve">.  LPS criteria for modelling purposes may be more limited than those given in this manual depending on the specific application. As modellers may need to select a sub-set of the inventoried point sources according to their own criteria, it is important to include data on parameters such as stack height in the LPS worksheets. </w:t>
      </w:r>
    </w:p>
    <w:p w14:paraId="387E187C" w14:textId="77777777" w:rsidR="005E708F" w:rsidRDefault="005E708F" w:rsidP="005E708F">
      <w:pPr>
        <w:ind w:firstLine="720"/>
      </w:pPr>
    </w:p>
    <w:p w14:paraId="587E0C0F" w14:textId="77777777" w:rsidR="005E708F" w:rsidRDefault="005E708F" w:rsidP="005E708F">
      <w:pPr>
        <w:ind w:firstLine="720"/>
      </w:pPr>
      <w:r>
        <w:t>It is important not to double-count emissions reported from large point sources with the rest of the inventory. Once emissions from LPS have been calculated, LPS estimates must therefore be subtracted from the relevant area emissions totals to avoid double counting. This is done automatically in the workbook when data are aggregated into the summary sheets.</w:t>
      </w:r>
    </w:p>
    <w:p w14:paraId="76A1926F" w14:textId="77777777" w:rsidR="005E708F" w:rsidRDefault="005E708F" w:rsidP="005E708F">
      <w:pPr>
        <w:pStyle w:val="Date"/>
      </w:pPr>
    </w:p>
    <w:p w14:paraId="2F7B9740" w14:textId="77777777" w:rsidR="00517D24" w:rsidRPr="00517D24" w:rsidRDefault="00517D24" w:rsidP="00517D24"/>
    <w:p w14:paraId="33662D85" w14:textId="77777777" w:rsidR="00517D24" w:rsidRDefault="00BB0548" w:rsidP="00BE3408">
      <w:pPr>
        <w:pStyle w:val="Heading2"/>
      </w:pPr>
      <w:r>
        <w:t xml:space="preserve"> </w:t>
      </w:r>
      <w:bookmarkStart w:id="77" w:name="_Toc10122678"/>
      <w:r w:rsidR="00517D24">
        <w:t>Temporal allocation of emissions</w:t>
      </w:r>
      <w:bookmarkEnd w:id="76"/>
      <w:bookmarkEnd w:id="77"/>
    </w:p>
    <w:p w14:paraId="71ED14CA" w14:textId="77777777" w:rsidR="00517D24" w:rsidRDefault="00517D24" w:rsidP="00517D24"/>
    <w:p w14:paraId="2F43828B" w14:textId="77777777" w:rsidR="00517D24" w:rsidRDefault="00517D24" w:rsidP="00061180">
      <w:r>
        <w:t xml:space="preserve">Temporal allocation of emissions, or allocation of emissions quantities over </w:t>
      </w:r>
      <w:r w:rsidR="00ED6760">
        <w:t>time intervals</w:t>
      </w:r>
      <w:r>
        <w:t xml:space="preserve"> in a year, can be accomplished on many different time scales, including seasonal, monthly, weekly, day-of-week, day/night (diurnal), and hourly. Though many pollutant transport and atmospheric chemistry models require emissions data on an hourly basis, in practice, data limitations rarely allow emissions from more than a few specific sources to be specified on an actual hour-by-hour basis.</w:t>
      </w:r>
      <w:r w:rsidR="00871965">
        <w:t xml:space="preserve"> </w:t>
      </w:r>
      <w:r>
        <w:t xml:space="preserve">There is no </w:t>
      </w:r>
      <w:r w:rsidR="000F1804">
        <w:t xml:space="preserve">explicit </w:t>
      </w:r>
      <w:r>
        <w:t>provision in this manual for the temporal allocation of area</w:t>
      </w:r>
      <w:r w:rsidR="000F1804">
        <w:t xml:space="preserve"> or line</w:t>
      </w:r>
      <w:r>
        <w:t xml:space="preserve"> source emissions</w:t>
      </w:r>
      <w:r w:rsidR="000F1804">
        <w:t xml:space="preserve"> although, where temporal information is available for a particular source category (e.g. monthly savanna burning data), this should be recorded in the relevant worksheet </w:t>
      </w:r>
      <w:r w:rsidR="00A644DF">
        <w:t>(</w:t>
      </w:r>
      <w:r w:rsidR="000F1804">
        <w:t>with references</w:t>
      </w:r>
      <w:r w:rsidR="00A644DF">
        <w:t>)</w:t>
      </w:r>
      <w:r w:rsidR="000F1804">
        <w:t>. Also, information on the temporal emissions profile</w:t>
      </w:r>
      <w:r w:rsidR="00ED6760">
        <w:t>s</w:t>
      </w:r>
      <w:r w:rsidR="000F1804">
        <w:t xml:space="preserve"> of Large Point Sources (e.g. % of annual total emitted each month) should be sought and recorded next to each LPS for future possible use by modellers using the inventory. </w:t>
      </w:r>
    </w:p>
    <w:p w14:paraId="4BF3DD65" w14:textId="77777777" w:rsidR="00517D24" w:rsidRDefault="00517D24" w:rsidP="00517D24"/>
    <w:p w14:paraId="65814FCB" w14:textId="77777777" w:rsidR="00F51002" w:rsidRDefault="00F51002" w:rsidP="00517D24"/>
    <w:p w14:paraId="2CDF125D" w14:textId="77777777" w:rsidR="00517D24" w:rsidRDefault="00B926BE" w:rsidP="00BE3408">
      <w:pPr>
        <w:pStyle w:val="Heading2"/>
      </w:pPr>
      <w:bookmarkStart w:id="78" w:name="_Toc484189401"/>
      <w:r>
        <w:t xml:space="preserve"> </w:t>
      </w:r>
      <w:bookmarkStart w:id="79" w:name="_Toc10122679"/>
      <w:r w:rsidR="00517D24">
        <w:t>Spatial allocation of emissions</w:t>
      </w:r>
      <w:bookmarkEnd w:id="78"/>
      <w:bookmarkEnd w:id="79"/>
    </w:p>
    <w:p w14:paraId="04D037AE" w14:textId="77777777" w:rsidR="00517D24" w:rsidRDefault="00517D24" w:rsidP="00517D24"/>
    <w:p w14:paraId="42F4C309" w14:textId="77777777" w:rsidR="00517D24" w:rsidRDefault="00517D24" w:rsidP="00061180">
      <w:r>
        <w:t xml:space="preserve">In addition to allocation of emissions over time, </w:t>
      </w:r>
      <w:r w:rsidR="000F1804">
        <w:t>modellers must also al</w:t>
      </w:r>
      <w:r>
        <w:t>locate</w:t>
      </w:r>
      <w:r w:rsidR="000F1804">
        <w:t xml:space="preserve"> emissions</w:t>
      </w:r>
      <w:r>
        <w:t xml:space="preserve"> over "space", that is, the </w:t>
      </w:r>
      <w:r w:rsidR="0013103A">
        <w:t>location or area (e.g. 1</w:t>
      </w:r>
      <w:r w:rsidR="0013103A">
        <w:rPr>
          <w:vertAlign w:val="superscript"/>
        </w:rPr>
        <w:t>o</w:t>
      </w:r>
      <w:r w:rsidR="0013103A">
        <w:t xml:space="preserve"> x 1</w:t>
      </w:r>
      <w:r w:rsidR="0013103A">
        <w:rPr>
          <w:vertAlign w:val="superscript"/>
        </w:rPr>
        <w:t>o</w:t>
      </w:r>
      <w:r w:rsidR="0013103A">
        <w:t xml:space="preserve"> grid squares) within the</w:t>
      </w:r>
      <w:r>
        <w:t xml:space="preserve"> country </w:t>
      </w:r>
      <w:r w:rsidR="0013103A">
        <w:t>from which</w:t>
      </w:r>
      <w:r>
        <w:t xml:space="preserve"> they are emitted. Spatial allocation </w:t>
      </w:r>
      <w:r w:rsidR="00871965">
        <w:t>can be</w:t>
      </w:r>
      <w:r>
        <w:t xml:space="preserve"> carried out by </w:t>
      </w:r>
      <w:r w:rsidR="0013103A">
        <w:t xml:space="preserve">the </w:t>
      </w:r>
      <w:r>
        <w:t xml:space="preserve">air pollution </w:t>
      </w:r>
      <w:r w:rsidR="0013103A">
        <w:t xml:space="preserve">transport and deposition </w:t>
      </w:r>
      <w:r>
        <w:t>model</w:t>
      </w:r>
      <w:r w:rsidR="0013103A">
        <w:t>l</w:t>
      </w:r>
      <w:r>
        <w:t>ers</w:t>
      </w:r>
      <w:r w:rsidR="00871965">
        <w:t xml:space="preserve"> or</w:t>
      </w:r>
      <w:r>
        <w:t xml:space="preserve"> </w:t>
      </w:r>
      <w:r w:rsidR="0013103A">
        <w:t>by th</w:t>
      </w:r>
      <w:r>
        <w:t xml:space="preserve">e </w:t>
      </w:r>
      <w:r w:rsidR="0013103A">
        <w:t>inventory compilers</w:t>
      </w:r>
      <w:r>
        <w:t>. General procedures are, however, provided in this manua</w:t>
      </w:r>
      <w:r w:rsidR="0013103A">
        <w:t>l to allow large point source (LPS)</w:t>
      </w:r>
      <w:r>
        <w:t xml:space="preserve"> emissions to be associated with one degree by one degree (longitude and latitude) grid squares, as well as to specify the height of exhaus</w:t>
      </w:r>
      <w:r w:rsidR="0013103A">
        <w:t>t stacks (also required by modellers)</w:t>
      </w:r>
      <w:r>
        <w:t xml:space="preserve">. </w:t>
      </w:r>
      <w:r w:rsidR="007500FB">
        <w:t>Area sources are often gridded using data sets that are spatially distributed and correlated with the inventory data. This could for example be population data, road networks and agriculture areas. It is important to ensure an adequate correlation between emissions and the gridding dataset. Often, however, spatial data are limited in availability.</w:t>
      </w:r>
    </w:p>
    <w:p w14:paraId="42EB0C48" w14:textId="77777777" w:rsidR="00C46552" w:rsidRDefault="00C46552"/>
    <w:p w14:paraId="4E430218" w14:textId="77777777" w:rsidR="00F51002" w:rsidRDefault="004548BE">
      <w:r>
        <w:br w:type="page"/>
      </w:r>
    </w:p>
    <w:p w14:paraId="7BB427AF" w14:textId="77777777" w:rsidR="00C46552" w:rsidRDefault="00C46552" w:rsidP="006A28AF">
      <w:pPr>
        <w:pStyle w:val="Heading1"/>
        <w:numPr>
          <w:ilvl w:val="0"/>
          <w:numId w:val="17"/>
        </w:numPr>
      </w:pPr>
      <w:bookmarkStart w:id="80" w:name="_Toc10122680"/>
      <w:r>
        <w:lastRenderedPageBreak/>
        <w:t>Emissions from energy-related activities</w:t>
      </w:r>
      <w:bookmarkEnd w:id="80"/>
      <w:r>
        <w:t xml:space="preserve">   </w:t>
      </w:r>
    </w:p>
    <w:p w14:paraId="49636407" w14:textId="77777777" w:rsidR="00C46552" w:rsidRDefault="00C46552"/>
    <w:p w14:paraId="05013956" w14:textId="77777777" w:rsidR="00C46552" w:rsidRDefault="00C46552" w:rsidP="00BE3408">
      <w:pPr>
        <w:pStyle w:val="Heading2"/>
      </w:pPr>
      <w:bookmarkStart w:id="81" w:name="_Toc10122681"/>
      <w:r>
        <w:t>Introduction</w:t>
      </w:r>
      <w:bookmarkEnd w:id="81"/>
    </w:p>
    <w:p w14:paraId="1B015516" w14:textId="77777777" w:rsidR="00C46552" w:rsidRDefault="00C46552"/>
    <w:p w14:paraId="1D29F35A" w14:textId="77777777" w:rsidR="00C46552" w:rsidRDefault="00C46552">
      <w:r>
        <w:t>The sectors covered here include Fuel Combustion Activities within the Energy Industries, Manufacturing Industries and Construction, Transport, and Other Sectors (Commercial/</w:t>
      </w:r>
      <w:r w:rsidR="00F51002">
        <w:t xml:space="preserve"> </w:t>
      </w:r>
      <w:r>
        <w:t>Institutional, Residential and Agriculture/Forestry/ Fishing) as well as sources of Fugitive Emissions from the extraction, processing, storage, distribution, and use of fuels. Unless measured directly, emissions are generally estimated using emission factors:</w:t>
      </w:r>
    </w:p>
    <w:p w14:paraId="6D698CAC" w14:textId="77777777" w:rsidR="00C46552" w:rsidRDefault="00C46552">
      <w:pPr>
        <w:rPr>
          <w:sz w:val="12"/>
        </w:rPr>
      </w:pPr>
    </w:p>
    <w:p w14:paraId="05469F8B" w14:textId="77777777" w:rsidR="00C46552" w:rsidRDefault="00C46552">
      <w:pPr>
        <w:rPr>
          <w:b/>
        </w:rPr>
      </w:pPr>
      <w:r>
        <w:tab/>
      </w:r>
      <w:r>
        <w:tab/>
      </w:r>
      <w:r>
        <w:tab/>
      </w:r>
      <w:r>
        <w:rPr>
          <w:b/>
        </w:rPr>
        <w:t>Emission  =  (emission factor) x (activity rate)</w:t>
      </w:r>
      <w:r w:rsidR="009D3965">
        <w:rPr>
          <w:b/>
        </w:rPr>
        <w:t xml:space="preserve"> </w:t>
      </w:r>
    </w:p>
    <w:p w14:paraId="0163511F" w14:textId="77777777" w:rsidR="00C46552" w:rsidRDefault="00C46552">
      <w:pPr>
        <w:rPr>
          <w:sz w:val="12"/>
        </w:rPr>
      </w:pPr>
    </w:p>
    <w:p w14:paraId="5A2BB986" w14:textId="3D53DB27" w:rsidR="00C46552" w:rsidRDefault="00C46552" w:rsidP="00B35FE9">
      <w:pPr>
        <w:ind w:firstLine="720"/>
      </w:pPr>
      <w:r>
        <w:t xml:space="preserve">For fuel combustion activities, the “activity rate” is some measure of the annual rate of consumption of a fuel. For fugitive emissions from fuels, the relevant “activity rate” might be the annual rate of fuel production (e.g. for the manufacture of coke). </w:t>
      </w:r>
      <w:r w:rsidR="00273F68">
        <w:t>Ideally, estimations of emissions from fuel combustion should be based on national emission factors for the activity concerned.</w:t>
      </w:r>
      <w:r>
        <w:t xml:space="preserve"> However, where such detailed information is not available, emissions can still be estimated using default emission factors published in sources such as the USEPA’s </w:t>
      </w:r>
      <w:r>
        <w:rPr>
          <w:i/>
        </w:rPr>
        <w:t>AP-42</w:t>
      </w:r>
      <w:r>
        <w:rPr>
          <w:rStyle w:val="FootnoteReference"/>
        </w:rPr>
        <w:footnoteReference w:id="9"/>
      </w:r>
      <w:r>
        <w:t xml:space="preserve">, the </w:t>
      </w:r>
      <w:r>
        <w:rPr>
          <w:i/>
        </w:rPr>
        <w:t>EMEP/</w:t>
      </w:r>
      <w:r w:rsidR="008736A1">
        <w:rPr>
          <w:i/>
        </w:rPr>
        <w:t>EEA</w:t>
      </w:r>
      <w:r>
        <w:rPr>
          <w:i/>
        </w:rPr>
        <w:t xml:space="preserve"> Guidebook</w:t>
      </w:r>
      <w:r>
        <w:t xml:space="preserve"> and the </w:t>
      </w:r>
      <w:r>
        <w:rPr>
          <w:i/>
        </w:rPr>
        <w:t>IPCC Guidelines</w:t>
      </w:r>
      <w:r>
        <w:t xml:space="preserve">. </w:t>
      </w:r>
    </w:p>
    <w:p w14:paraId="5A792A69" w14:textId="77777777" w:rsidR="00C46552" w:rsidRDefault="00C46552"/>
    <w:p w14:paraId="755CF68D" w14:textId="77777777" w:rsidR="00C46552" w:rsidRDefault="00C46552">
      <w:pPr>
        <w:rPr>
          <w:color w:val="000000"/>
        </w:rPr>
      </w:pPr>
      <w:r>
        <w:tab/>
        <w:t>The approach used here is similar to the IPCC Tier 1 method except that a more detailed disaggregation of fuel types, based on the International Energy Agency (I</w:t>
      </w:r>
      <w:r w:rsidR="002271CD">
        <w:t xml:space="preserve">EA) categories, is used (Table </w:t>
      </w:r>
      <w:r w:rsidR="003851C6">
        <w:t>3</w:t>
      </w:r>
      <w:r>
        <w:t>-1)</w:t>
      </w:r>
      <w:r w:rsidR="00685E55">
        <w:rPr>
          <w:rStyle w:val="FootnoteReference"/>
        </w:rPr>
        <w:footnoteReference w:id="10"/>
      </w:r>
      <w:r>
        <w:t xml:space="preserve">. Emissions are estimated in the Workbook with the relevant activity rates being the amount of each of the various fuel types combusted within each sector (entered into the Workbook as either TJ, ktoe or kt depending on the data source). This </w:t>
      </w:r>
      <w:r w:rsidR="0047520A">
        <w:t xml:space="preserve">calculation </w:t>
      </w:r>
      <w:r>
        <w:t xml:space="preserve">could be carried out at the district/province scale if detailed fuel use data at this level of disaggregation are available. Otherwise, national energy balance data at the required level of detail </w:t>
      </w:r>
      <w:r>
        <w:rPr>
          <w:color w:val="000000"/>
        </w:rPr>
        <w:t>could be used,</w:t>
      </w:r>
      <w:r>
        <w:t xml:space="preserve"> for example, as reported by the IEA</w:t>
      </w:r>
      <w:r>
        <w:rPr>
          <w:rStyle w:val="FootnoteReference"/>
          <w:color w:val="000000"/>
        </w:rPr>
        <w:footnoteReference w:id="11"/>
      </w:r>
      <w:r w:rsidR="0047520A">
        <w:t xml:space="preserve"> or the United Nations</w:t>
      </w:r>
      <w:r>
        <w:rPr>
          <w:color w:val="000000"/>
        </w:rPr>
        <w:t>.</w:t>
      </w:r>
    </w:p>
    <w:p w14:paraId="0A6B7B75" w14:textId="77777777" w:rsidR="00C46552" w:rsidRDefault="00C46552">
      <w:r>
        <w:tab/>
      </w:r>
    </w:p>
    <w:p w14:paraId="566B19C3" w14:textId="10D933CA" w:rsidR="00BB0548" w:rsidRDefault="00C46552" w:rsidP="00DE6032">
      <w:r>
        <w:tab/>
        <w:t>In the Workbook, SO</w:t>
      </w:r>
      <w:r>
        <w:rPr>
          <w:vertAlign w:val="subscript"/>
        </w:rPr>
        <w:t>2</w:t>
      </w:r>
      <w:r>
        <w:t xml:space="preserve"> emission factors for fuel combustion are calculated based on the sulphur content and Net Calorific Value (NCV) of each type of fuel, the proportion of sulphur retained in the ash after combustion, and the percentage reduction in emissions achieved by any emission controls technology employed (such as FGD (Flue Gas Desulphurization) on power stations). Default values for the S-content of fuels are taken from the </w:t>
      </w:r>
      <w:r>
        <w:rPr>
          <w:i/>
        </w:rPr>
        <w:t>IPCC Guidelines</w:t>
      </w:r>
      <w:r>
        <w:t xml:space="preserve">, </w:t>
      </w:r>
      <w:r>
        <w:rPr>
          <w:i/>
        </w:rPr>
        <w:t>AP-42</w:t>
      </w:r>
      <w:r>
        <w:t xml:space="preserve">, </w:t>
      </w:r>
      <w:r w:rsidR="00B06477">
        <w:t>Spiro</w:t>
      </w:r>
      <w:r w:rsidR="005E14AE">
        <w:t xml:space="preserve"> </w:t>
      </w:r>
      <w:r w:rsidR="00B06477">
        <w:rPr>
          <w:i/>
        </w:rPr>
        <w:t>et al.</w:t>
      </w:r>
      <w:r w:rsidR="00B06477">
        <w:t xml:space="preserve"> (1992)</w:t>
      </w:r>
      <w:r w:rsidR="00B06477">
        <w:rPr>
          <w:rStyle w:val="FootnoteReference"/>
        </w:rPr>
        <w:footnoteReference w:id="12"/>
      </w:r>
      <w:r w:rsidR="00547FBC">
        <w:t>, Smith et al (2000)</w:t>
      </w:r>
      <w:r w:rsidR="00547FBC">
        <w:rPr>
          <w:rStyle w:val="FootnoteReference"/>
        </w:rPr>
        <w:footnoteReference w:id="13"/>
      </w:r>
      <w:r w:rsidR="00547FBC">
        <w:t xml:space="preserve"> </w:t>
      </w:r>
      <w:r w:rsidR="00B06477">
        <w:t>and Kato and Akimoto, (1992)</w:t>
      </w:r>
      <w:r w:rsidR="00B06477">
        <w:rPr>
          <w:rStyle w:val="FootnoteReference"/>
        </w:rPr>
        <w:footnoteReference w:id="14"/>
      </w:r>
      <w:r w:rsidR="00B06477">
        <w:t xml:space="preserve">. The default NCVs, and the reference sources from which they were </w:t>
      </w:r>
      <w:r w:rsidR="003851C6">
        <w:t>derived, are included in Table 3</w:t>
      </w:r>
      <w:r w:rsidR="00B06477">
        <w:t>-1.</w:t>
      </w:r>
    </w:p>
    <w:p w14:paraId="77A48B52" w14:textId="66E2F627" w:rsidR="00350F54" w:rsidRDefault="00350F54" w:rsidP="00350F54">
      <w:pPr>
        <w:rPr>
          <w:b/>
          <w:i/>
        </w:rPr>
      </w:pPr>
    </w:p>
    <w:p w14:paraId="2C0A17A7" w14:textId="01A9EE73" w:rsidR="00B35FE9" w:rsidRDefault="00B35FE9" w:rsidP="00350F54">
      <w:pPr>
        <w:rPr>
          <w:b/>
          <w:i/>
        </w:rPr>
      </w:pPr>
    </w:p>
    <w:p w14:paraId="6F2D55F7" w14:textId="07F7581D" w:rsidR="00B35FE9" w:rsidRDefault="00B35FE9" w:rsidP="00350F54">
      <w:pPr>
        <w:rPr>
          <w:b/>
          <w:i/>
        </w:rPr>
      </w:pPr>
    </w:p>
    <w:p w14:paraId="36FBFAF2" w14:textId="7F1A367B" w:rsidR="00B35FE9" w:rsidRDefault="00B35FE9" w:rsidP="00350F54">
      <w:pPr>
        <w:rPr>
          <w:b/>
          <w:i/>
        </w:rPr>
      </w:pPr>
    </w:p>
    <w:p w14:paraId="2BA8FF66" w14:textId="068E4F96" w:rsidR="00B35FE9" w:rsidRDefault="00B35FE9" w:rsidP="00350F54">
      <w:pPr>
        <w:rPr>
          <w:b/>
          <w:i/>
        </w:rPr>
      </w:pPr>
    </w:p>
    <w:p w14:paraId="1C8FCF4A" w14:textId="1A38532B" w:rsidR="00B35FE9" w:rsidRDefault="00B35FE9" w:rsidP="00350F54">
      <w:pPr>
        <w:rPr>
          <w:b/>
          <w:i/>
        </w:rPr>
      </w:pPr>
    </w:p>
    <w:p w14:paraId="7DDB5D7A" w14:textId="77777777" w:rsidR="00B35FE9" w:rsidRDefault="00B35FE9" w:rsidP="00350F54">
      <w:pPr>
        <w:rPr>
          <w:b/>
          <w:i/>
        </w:rPr>
      </w:pPr>
    </w:p>
    <w:p w14:paraId="3E4FEC49" w14:textId="77777777" w:rsidR="00596367" w:rsidRDefault="00596367" w:rsidP="00B83E60">
      <w:pPr>
        <w:jc w:val="center"/>
        <w:rPr>
          <w:b/>
          <w:i/>
        </w:rPr>
      </w:pPr>
    </w:p>
    <w:p w14:paraId="65C83B88" w14:textId="77777777" w:rsidR="00CD6D88" w:rsidRDefault="00C46552" w:rsidP="00B83E60">
      <w:pPr>
        <w:jc w:val="center"/>
      </w:pPr>
      <w:r>
        <w:rPr>
          <w:b/>
          <w:i/>
        </w:rPr>
        <w:lastRenderedPageBreak/>
        <w:t xml:space="preserve">Table </w:t>
      </w:r>
      <w:r w:rsidR="003851C6">
        <w:rPr>
          <w:b/>
          <w:i/>
        </w:rPr>
        <w:t>3</w:t>
      </w:r>
      <w:r>
        <w:rPr>
          <w:b/>
          <w:i/>
        </w:rPr>
        <w:t>-1:</w:t>
      </w:r>
      <w:r w:rsidR="001263B5">
        <w:rPr>
          <w:b/>
          <w:i/>
        </w:rPr>
        <w:t xml:space="preserve"> </w:t>
      </w:r>
      <w:r>
        <w:rPr>
          <w:b/>
          <w:i/>
        </w:rPr>
        <w:t>Fuel categories and default Net Calorific Values (NCVs) used in this manual</w:t>
      </w:r>
      <w:r>
        <w:t>.</w:t>
      </w:r>
    </w:p>
    <w:p w14:paraId="4DA0CD9C" w14:textId="77777777" w:rsidR="00C46552" w:rsidRDefault="00C46552">
      <w:pPr>
        <w:pStyle w:val="Footer"/>
        <w:tabs>
          <w:tab w:val="clear" w:pos="4320"/>
          <w:tab w:val="clear" w:pos="8640"/>
          <w:tab w:val="left" w:pos="5529"/>
        </w:tabs>
      </w:pPr>
      <w:r>
        <w:t xml:space="preserve"> </w:t>
      </w:r>
    </w:p>
    <w:tbl>
      <w:tblPr>
        <w:tblW w:w="9072" w:type="dxa"/>
        <w:tblInd w:w="30" w:type="dxa"/>
        <w:tblLayout w:type="fixed"/>
        <w:tblCellMar>
          <w:left w:w="30" w:type="dxa"/>
          <w:right w:w="30" w:type="dxa"/>
        </w:tblCellMar>
        <w:tblLook w:val="0000" w:firstRow="0" w:lastRow="0" w:firstColumn="0" w:lastColumn="0" w:noHBand="0" w:noVBand="0"/>
      </w:tblPr>
      <w:tblGrid>
        <w:gridCol w:w="1418"/>
        <w:gridCol w:w="3685"/>
        <w:gridCol w:w="1843"/>
        <w:gridCol w:w="2126"/>
      </w:tblGrid>
      <w:tr w:rsidR="007040E7" w14:paraId="0BE9AEA0" w14:textId="77777777">
        <w:trPr>
          <w:cantSplit/>
          <w:trHeight w:val="98"/>
        </w:trPr>
        <w:tc>
          <w:tcPr>
            <w:tcW w:w="1418" w:type="dxa"/>
            <w:vMerge w:val="restart"/>
            <w:tcBorders>
              <w:top w:val="single" w:sz="6" w:space="0" w:color="auto"/>
              <w:left w:val="single" w:sz="6" w:space="0" w:color="auto"/>
              <w:right w:val="single" w:sz="6" w:space="0" w:color="auto"/>
            </w:tcBorders>
            <w:vAlign w:val="center"/>
          </w:tcPr>
          <w:p w14:paraId="2CFCC785" w14:textId="77777777" w:rsidR="007040E7" w:rsidRDefault="007040E7" w:rsidP="007040E7">
            <w:pPr>
              <w:jc w:val="center"/>
              <w:rPr>
                <w:rFonts w:ascii="Arial" w:hAnsi="Arial"/>
                <w:b/>
                <w:snapToGrid w:val="0"/>
                <w:color w:val="000000"/>
                <w:sz w:val="10"/>
              </w:rPr>
            </w:pPr>
            <w:bookmarkStart w:id="82" w:name="OLE_LINK8"/>
          </w:p>
          <w:p w14:paraId="787EF7BB" w14:textId="77777777" w:rsidR="007040E7" w:rsidRDefault="007040E7" w:rsidP="007040E7">
            <w:pPr>
              <w:jc w:val="center"/>
              <w:rPr>
                <w:rFonts w:ascii="Arial" w:hAnsi="Arial"/>
                <w:b/>
                <w:snapToGrid w:val="0"/>
                <w:color w:val="000000"/>
                <w:sz w:val="20"/>
              </w:rPr>
            </w:pPr>
            <w:r>
              <w:rPr>
                <w:rFonts w:ascii="Arial" w:hAnsi="Arial"/>
                <w:b/>
                <w:snapToGrid w:val="0"/>
                <w:color w:val="000000"/>
                <w:sz w:val="20"/>
              </w:rPr>
              <w:t>Fuel class</w:t>
            </w:r>
          </w:p>
        </w:tc>
        <w:tc>
          <w:tcPr>
            <w:tcW w:w="3685" w:type="dxa"/>
            <w:vMerge w:val="restart"/>
            <w:tcBorders>
              <w:top w:val="single" w:sz="6" w:space="0" w:color="auto"/>
              <w:left w:val="single" w:sz="6" w:space="0" w:color="auto"/>
              <w:right w:val="single" w:sz="6" w:space="0" w:color="auto"/>
            </w:tcBorders>
            <w:vAlign w:val="center"/>
          </w:tcPr>
          <w:p w14:paraId="39F2A689" w14:textId="77777777" w:rsidR="007040E7" w:rsidRDefault="007040E7" w:rsidP="007040E7">
            <w:pPr>
              <w:jc w:val="center"/>
              <w:rPr>
                <w:rFonts w:ascii="Arial" w:hAnsi="Arial"/>
                <w:b/>
                <w:snapToGrid w:val="0"/>
                <w:color w:val="000000"/>
                <w:sz w:val="10"/>
              </w:rPr>
            </w:pPr>
          </w:p>
          <w:p w14:paraId="2CEBBB4D" w14:textId="77777777" w:rsidR="007040E7" w:rsidRDefault="007040E7" w:rsidP="007040E7">
            <w:pPr>
              <w:jc w:val="center"/>
              <w:rPr>
                <w:rFonts w:ascii="Arial" w:hAnsi="Arial"/>
                <w:b/>
                <w:snapToGrid w:val="0"/>
                <w:color w:val="000000"/>
                <w:sz w:val="20"/>
              </w:rPr>
            </w:pPr>
            <w:r>
              <w:rPr>
                <w:rFonts w:ascii="Arial" w:hAnsi="Arial"/>
                <w:b/>
                <w:snapToGrid w:val="0"/>
                <w:color w:val="000000"/>
                <w:sz w:val="20"/>
              </w:rPr>
              <w:t>Fuel type</w:t>
            </w:r>
          </w:p>
        </w:tc>
        <w:tc>
          <w:tcPr>
            <w:tcW w:w="3969" w:type="dxa"/>
            <w:gridSpan w:val="2"/>
            <w:tcBorders>
              <w:top w:val="single" w:sz="6" w:space="0" w:color="auto"/>
              <w:left w:val="single" w:sz="6" w:space="0" w:color="auto"/>
              <w:bottom w:val="single" w:sz="4" w:space="0" w:color="auto"/>
              <w:right w:val="single" w:sz="6" w:space="0" w:color="auto"/>
            </w:tcBorders>
            <w:vAlign w:val="center"/>
          </w:tcPr>
          <w:p w14:paraId="6A7D312B" w14:textId="77777777" w:rsidR="007040E7" w:rsidRDefault="007040E7" w:rsidP="007040E7">
            <w:pPr>
              <w:jc w:val="center"/>
              <w:rPr>
                <w:rFonts w:ascii="Arial" w:hAnsi="Arial"/>
                <w:b/>
                <w:snapToGrid w:val="0"/>
                <w:color w:val="000000"/>
                <w:sz w:val="10"/>
              </w:rPr>
            </w:pPr>
          </w:p>
          <w:p w14:paraId="5FD4214D" w14:textId="77777777" w:rsidR="007040E7" w:rsidRDefault="007040E7" w:rsidP="007040E7">
            <w:pPr>
              <w:jc w:val="center"/>
              <w:rPr>
                <w:rFonts w:ascii="Arial" w:hAnsi="Arial"/>
                <w:b/>
                <w:snapToGrid w:val="0"/>
                <w:color w:val="000000"/>
                <w:sz w:val="20"/>
              </w:rPr>
            </w:pPr>
            <w:r>
              <w:rPr>
                <w:rFonts w:ascii="Arial" w:hAnsi="Arial"/>
                <w:b/>
                <w:snapToGrid w:val="0"/>
                <w:color w:val="000000"/>
                <w:sz w:val="20"/>
              </w:rPr>
              <w:t>Default Net Calorific Value (NCV)</w:t>
            </w:r>
          </w:p>
          <w:p w14:paraId="680E6947" w14:textId="77777777" w:rsidR="007040E7" w:rsidRDefault="007040E7" w:rsidP="007040E7">
            <w:pPr>
              <w:jc w:val="center"/>
              <w:rPr>
                <w:rFonts w:ascii="Arial" w:hAnsi="Arial"/>
                <w:b/>
                <w:snapToGrid w:val="0"/>
                <w:color w:val="000000"/>
                <w:sz w:val="10"/>
              </w:rPr>
            </w:pPr>
          </w:p>
        </w:tc>
      </w:tr>
      <w:tr w:rsidR="007040E7" w14:paraId="2CE9A2C8" w14:textId="77777777">
        <w:trPr>
          <w:cantSplit/>
          <w:trHeight w:val="98"/>
        </w:trPr>
        <w:tc>
          <w:tcPr>
            <w:tcW w:w="1418" w:type="dxa"/>
            <w:vMerge/>
            <w:tcBorders>
              <w:left w:val="single" w:sz="6" w:space="0" w:color="auto"/>
              <w:bottom w:val="nil"/>
              <w:right w:val="single" w:sz="6" w:space="0" w:color="auto"/>
            </w:tcBorders>
          </w:tcPr>
          <w:p w14:paraId="1EDCDDD5" w14:textId="77777777" w:rsidR="007040E7" w:rsidRDefault="007040E7">
            <w:pPr>
              <w:jc w:val="center"/>
              <w:rPr>
                <w:rFonts w:ascii="Arial" w:hAnsi="Arial"/>
                <w:b/>
                <w:snapToGrid w:val="0"/>
                <w:color w:val="000000"/>
                <w:sz w:val="10"/>
              </w:rPr>
            </w:pPr>
          </w:p>
        </w:tc>
        <w:tc>
          <w:tcPr>
            <w:tcW w:w="3685" w:type="dxa"/>
            <w:vMerge/>
            <w:tcBorders>
              <w:left w:val="single" w:sz="6" w:space="0" w:color="auto"/>
              <w:bottom w:val="single" w:sz="4" w:space="0" w:color="auto"/>
              <w:right w:val="single" w:sz="6" w:space="0" w:color="auto"/>
            </w:tcBorders>
          </w:tcPr>
          <w:p w14:paraId="1A370694" w14:textId="77777777" w:rsidR="007040E7" w:rsidRDefault="007040E7">
            <w:pPr>
              <w:jc w:val="center"/>
              <w:rPr>
                <w:rFonts w:ascii="Arial" w:hAnsi="Arial"/>
                <w:b/>
                <w:snapToGrid w:val="0"/>
                <w:color w:val="000000"/>
                <w:sz w:val="10"/>
              </w:rPr>
            </w:pPr>
          </w:p>
        </w:tc>
        <w:tc>
          <w:tcPr>
            <w:tcW w:w="1843" w:type="dxa"/>
            <w:tcBorders>
              <w:top w:val="single" w:sz="6" w:space="0" w:color="auto"/>
              <w:left w:val="single" w:sz="6" w:space="0" w:color="auto"/>
              <w:bottom w:val="single" w:sz="4" w:space="0" w:color="auto"/>
              <w:right w:val="single" w:sz="6" w:space="0" w:color="auto"/>
            </w:tcBorders>
          </w:tcPr>
          <w:p w14:paraId="4C041935" w14:textId="77777777" w:rsidR="007040E7" w:rsidRDefault="007040E7">
            <w:pPr>
              <w:jc w:val="center"/>
              <w:rPr>
                <w:rFonts w:ascii="Arial" w:hAnsi="Arial"/>
                <w:b/>
                <w:snapToGrid w:val="0"/>
                <w:color w:val="000000"/>
                <w:sz w:val="20"/>
              </w:rPr>
            </w:pPr>
          </w:p>
          <w:p w14:paraId="5447DDFE" w14:textId="198E1E86" w:rsidR="007040E7" w:rsidRPr="007040E7" w:rsidRDefault="00B20830">
            <w:pPr>
              <w:jc w:val="center"/>
              <w:rPr>
                <w:rFonts w:ascii="Arial" w:hAnsi="Arial"/>
                <w:b/>
                <w:snapToGrid w:val="0"/>
                <w:color w:val="000000"/>
                <w:sz w:val="22"/>
                <w:szCs w:val="22"/>
              </w:rPr>
            </w:pPr>
            <w:r>
              <w:rPr>
                <w:rFonts w:ascii="Arial" w:hAnsi="Arial"/>
                <w:b/>
                <w:snapToGrid w:val="0"/>
                <w:color w:val="000000"/>
                <w:sz w:val="20"/>
              </w:rPr>
              <w:t>Terajoules per kilotonne (</w:t>
            </w:r>
            <w:r w:rsidR="007040E7" w:rsidRPr="007040E7">
              <w:rPr>
                <w:rFonts w:ascii="Arial" w:hAnsi="Arial"/>
                <w:b/>
                <w:snapToGrid w:val="0"/>
                <w:color w:val="000000"/>
                <w:sz w:val="20"/>
              </w:rPr>
              <w:t>TJ</w:t>
            </w:r>
            <w:r w:rsidR="007040E7" w:rsidRPr="007040E7">
              <w:rPr>
                <w:rFonts w:ascii="Arial" w:hAnsi="Arial"/>
                <w:b/>
                <w:snapToGrid w:val="0"/>
                <w:color w:val="000000"/>
                <w:sz w:val="22"/>
                <w:szCs w:val="22"/>
              </w:rPr>
              <w:t>/kt</w:t>
            </w:r>
            <w:r>
              <w:rPr>
                <w:rFonts w:ascii="Arial" w:hAnsi="Arial"/>
                <w:b/>
                <w:snapToGrid w:val="0"/>
                <w:color w:val="000000"/>
                <w:sz w:val="22"/>
                <w:szCs w:val="22"/>
              </w:rPr>
              <w:t>)</w:t>
            </w:r>
            <w:r w:rsidR="00897FF0" w:rsidRPr="00350F54">
              <w:rPr>
                <w:rFonts w:ascii="Arial" w:hAnsi="Arial"/>
                <w:b/>
                <w:snapToGrid w:val="0"/>
                <w:color w:val="000000"/>
                <w:sz w:val="22"/>
                <w:szCs w:val="22"/>
                <w:vertAlign w:val="superscript"/>
              </w:rPr>
              <w:t>a</w:t>
            </w:r>
          </w:p>
        </w:tc>
        <w:tc>
          <w:tcPr>
            <w:tcW w:w="2126" w:type="dxa"/>
            <w:tcBorders>
              <w:top w:val="single" w:sz="6" w:space="0" w:color="auto"/>
              <w:left w:val="single" w:sz="6" w:space="0" w:color="auto"/>
              <w:bottom w:val="single" w:sz="4" w:space="0" w:color="auto"/>
              <w:right w:val="single" w:sz="6" w:space="0" w:color="auto"/>
            </w:tcBorders>
          </w:tcPr>
          <w:p w14:paraId="641C4E03" w14:textId="77777777" w:rsidR="007040E7" w:rsidRDefault="00B20830">
            <w:pPr>
              <w:jc w:val="center"/>
              <w:rPr>
                <w:rFonts w:ascii="Arial" w:hAnsi="Arial"/>
                <w:b/>
                <w:snapToGrid w:val="0"/>
                <w:color w:val="000000"/>
                <w:sz w:val="10"/>
              </w:rPr>
            </w:pPr>
            <w:r>
              <w:rPr>
                <w:rFonts w:ascii="Arial" w:hAnsi="Arial"/>
                <w:b/>
                <w:snapToGrid w:val="0"/>
                <w:color w:val="000000"/>
                <w:sz w:val="20"/>
              </w:rPr>
              <w:t>T</w:t>
            </w:r>
            <w:r w:rsidR="007040E7">
              <w:rPr>
                <w:rFonts w:ascii="Arial" w:hAnsi="Arial"/>
                <w:b/>
                <w:snapToGrid w:val="0"/>
                <w:color w:val="000000"/>
                <w:sz w:val="20"/>
              </w:rPr>
              <w:t>onnes of oil equivalent per tonne (toe/t)</w:t>
            </w:r>
          </w:p>
        </w:tc>
      </w:tr>
      <w:tr w:rsidR="00C65B9F" w14:paraId="4EBF1FC0" w14:textId="77777777">
        <w:trPr>
          <w:cantSplit/>
          <w:trHeight w:val="98"/>
        </w:trPr>
        <w:tc>
          <w:tcPr>
            <w:tcW w:w="1418" w:type="dxa"/>
            <w:vMerge w:val="restart"/>
            <w:tcBorders>
              <w:top w:val="single" w:sz="6" w:space="0" w:color="auto"/>
              <w:left w:val="single" w:sz="6" w:space="0" w:color="auto"/>
              <w:bottom w:val="nil"/>
              <w:right w:val="single" w:sz="4" w:space="0" w:color="auto"/>
            </w:tcBorders>
          </w:tcPr>
          <w:p w14:paraId="1A169665" w14:textId="77777777" w:rsidR="00C65B9F" w:rsidRDefault="00C65B9F">
            <w:pPr>
              <w:rPr>
                <w:rFonts w:ascii="Arial" w:hAnsi="Arial"/>
                <w:b/>
                <w:snapToGrid w:val="0"/>
                <w:color w:val="000000"/>
                <w:sz w:val="10"/>
              </w:rPr>
            </w:pPr>
          </w:p>
          <w:p w14:paraId="6F945BF5" w14:textId="77777777" w:rsidR="00C65B9F" w:rsidRDefault="00C65B9F">
            <w:pPr>
              <w:rPr>
                <w:rFonts w:ascii="Arial" w:hAnsi="Arial"/>
                <w:b/>
                <w:snapToGrid w:val="0"/>
                <w:color w:val="000000"/>
                <w:sz w:val="20"/>
              </w:rPr>
            </w:pPr>
            <w:r>
              <w:rPr>
                <w:rFonts w:ascii="Arial" w:hAnsi="Arial"/>
                <w:b/>
                <w:snapToGrid w:val="0"/>
                <w:color w:val="000000"/>
                <w:sz w:val="20"/>
              </w:rPr>
              <w:t>Coal</w:t>
            </w:r>
          </w:p>
        </w:tc>
        <w:tc>
          <w:tcPr>
            <w:tcW w:w="3685" w:type="dxa"/>
            <w:tcBorders>
              <w:top w:val="single" w:sz="4" w:space="0" w:color="auto"/>
              <w:left w:val="single" w:sz="4" w:space="0" w:color="auto"/>
              <w:right w:val="single" w:sz="4" w:space="0" w:color="auto"/>
            </w:tcBorders>
          </w:tcPr>
          <w:p w14:paraId="2998B9D8" w14:textId="77777777" w:rsidR="00C65B9F" w:rsidRDefault="00C65B9F">
            <w:pPr>
              <w:rPr>
                <w:rFonts w:ascii="Arial" w:hAnsi="Arial"/>
                <w:snapToGrid w:val="0"/>
                <w:color w:val="000000"/>
                <w:sz w:val="10"/>
              </w:rPr>
            </w:pPr>
          </w:p>
          <w:p w14:paraId="631E666A" w14:textId="77777777" w:rsidR="00C65B9F" w:rsidRDefault="00C65B9F">
            <w:pPr>
              <w:rPr>
                <w:rFonts w:ascii="Arial" w:hAnsi="Arial"/>
                <w:snapToGrid w:val="0"/>
                <w:color w:val="000000"/>
                <w:sz w:val="20"/>
              </w:rPr>
            </w:pPr>
            <w:r>
              <w:rPr>
                <w:rFonts w:ascii="Arial" w:hAnsi="Arial"/>
                <w:snapToGrid w:val="0"/>
                <w:color w:val="000000"/>
                <w:sz w:val="20"/>
              </w:rPr>
              <w:t xml:space="preserve">Coking Coal                                   </w:t>
            </w:r>
          </w:p>
        </w:tc>
        <w:tc>
          <w:tcPr>
            <w:tcW w:w="1843" w:type="dxa"/>
            <w:tcBorders>
              <w:top w:val="single" w:sz="4" w:space="0" w:color="auto"/>
              <w:left w:val="single" w:sz="4" w:space="0" w:color="auto"/>
              <w:right w:val="single" w:sz="4" w:space="0" w:color="auto"/>
            </w:tcBorders>
          </w:tcPr>
          <w:p w14:paraId="204BCD45" w14:textId="77777777" w:rsidR="00C65B9F" w:rsidRDefault="00C65B9F">
            <w:pPr>
              <w:jc w:val="center"/>
              <w:rPr>
                <w:rFonts w:ascii="Arial" w:hAnsi="Arial"/>
                <w:snapToGrid w:val="0"/>
                <w:color w:val="000000"/>
                <w:sz w:val="10"/>
              </w:rPr>
            </w:pPr>
          </w:p>
          <w:p w14:paraId="170EA4F7" w14:textId="62AE0FD1" w:rsidR="007040E7" w:rsidRPr="007040E7"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top w:val="single" w:sz="4" w:space="0" w:color="auto"/>
              <w:left w:val="single" w:sz="4" w:space="0" w:color="auto"/>
              <w:right w:val="single" w:sz="4" w:space="0" w:color="auto"/>
            </w:tcBorders>
          </w:tcPr>
          <w:p w14:paraId="27DB437E" w14:textId="77777777" w:rsidR="00C65B9F" w:rsidRDefault="00C65B9F">
            <w:pPr>
              <w:jc w:val="center"/>
              <w:rPr>
                <w:rFonts w:ascii="Arial" w:hAnsi="Arial"/>
                <w:snapToGrid w:val="0"/>
                <w:color w:val="000000"/>
                <w:sz w:val="10"/>
              </w:rPr>
            </w:pPr>
          </w:p>
          <w:p w14:paraId="21B8EF40" w14:textId="118D8996"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2F5420AD" w14:textId="77777777">
        <w:trPr>
          <w:cantSplit/>
          <w:trHeight w:val="94"/>
        </w:trPr>
        <w:tc>
          <w:tcPr>
            <w:tcW w:w="1418" w:type="dxa"/>
            <w:vMerge/>
            <w:tcBorders>
              <w:top w:val="nil"/>
              <w:left w:val="single" w:sz="6" w:space="0" w:color="auto"/>
              <w:bottom w:val="nil"/>
              <w:right w:val="single" w:sz="4" w:space="0" w:color="auto"/>
            </w:tcBorders>
          </w:tcPr>
          <w:p w14:paraId="1531D6C1"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340860F6" w14:textId="77777777" w:rsidR="00C65B9F" w:rsidRDefault="00C65B9F">
            <w:pPr>
              <w:rPr>
                <w:rFonts w:ascii="Arial" w:hAnsi="Arial"/>
                <w:snapToGrid w:val="0"/>
                <w:color w:val="000000"/>
                <w:sz w:val="20"/>
              </w:rPr>
            </w:pPr>
            <w:r>
              <w:rPr>
                <w:rFonts w:ascii="Arial" w:hAnsi="Arial"/>
                <w:snapToGrid w:val="0"/>
                <w:color w:val="000000"/>
                <w:sz w:val="20"/>
              </w:rPr>
              <w:t>Other Bituminous Coal &amp; Anthracite</w:t>
            </w:r>
          </w:p>
        </w:tc>
        <w:tc>
          <w:tcPr>
            <w:tcW w:w="1843" w:type="dxa"/>
            <w:tcBorders>
              <w:left w:val="single" w:sz="4" w:space="0" w:color="auto"/>
              <w:right w:val="single" w:sz="4" w:space="0" w:color="auto"/>
            </w:tcBorders>
          </w:tcPr>
          <w:p w14:paraId="407C95B5" w14:textId="1ECFD9FB" w:rsidR="00C65B9F"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left w:val="single" w:sz="4" w:space="0" w:color="auto"/>
              <w:right w:val="single" w:sz="4" w:space="0" w:color="auto"/>
            </w:tcBorders>
          </w:tcPr>
          <w:p w14:paraId="06882084" w14:textId="519CE72F"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51186D4A" w14:textId="77777777">
        <w:trPr>
          <w:cantSplit/>
          <w:trHeight w:val="94"/>
        </w:trPr>
        <w:tc>
          <w:tcPr>
            <w:tcW w:w="1418" w:type="dxa"/>
            <w:vMerge/>
            <w:tcBorders>
              <w:top w:val="nil"/>
              <w:left w:val="single" w:sz="6" w:space="0" w:color="auto"/>
              <w:bottom w:val="nil"/>
              <w:right w:val="single" w:sz="4" w:space="0" w:color="auto"/>
            </w:tcBorders>
          </w:tcPr>
          <w:p w14:paraId="49765394"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5B714096" w14:textId="77777777" w:rsidR="00C65B9F" w:rsidRDefault="00C65B9F">
            <w:pPr>
              <w:rPr>
                <w:rFonts w:ascii="Arial" w:hAnsi="Arial"/>
                <w:snapToGrid w:val="0"/>
                <w:color w:val="000000"/>
                <w:sz w:val="20"/>
              </w:rPr>
            </w:pPr>
            <w:r>
              <w:rPr>
                <w:rFonts w:ascii="Arial" w:hAnsi="Arial"/>
                <w:snapToGrid w:val="0"/>
                <w:color w:val="000000"/>
                <w:sz w:val="20"/>
              </w:rPr>
              <w:t xml:space="preserve">Sub-Bituminous Coal                           </w:t>
            </w:r>
          </w:p>
        </w:tc>
        <w:tc>
          <w:tcPr>
            <w:tcW w:w="1843" w:type="dxa"/>
            <w:tcBorders>
              <w:left w:val="single" w:sz="4" w:space="0" w:color="auto"/>
              <w:right w:val="single" w:sz="4" w:space="0" w:color="auto"/>
            </w:tcBorders>
          </w:tcPr>
          <w:p w14:paraId="22C7A2F2" w14:textId="37B99791" w:rsidR="00C65B9F"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left w:val="single" w:sz="4" w:space="0" w:color="auto"/>
              <w:right w:val="single" w:sz="4" w:space="0" w:color="auto"/>
            </w:tcBorders>
          </w:tcPr>
          <w:p w14:paraId="5FC2D955" w14:textId="6E549454"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3F864B62" w14:textId="77777777">
        <w:trPr>
          <w:cantSplit/>
          <w:trHeight w:val="94"/>
        </w:trPr>
        <w:tc>
          <w:tcPr>
            <w:tcW w:w="1418" w:type="dxa"/>
            <w:vMerge/>
            <w:tcBorders>
              <w:top w:val="nil"/>
              <w:left w:val="single" w:sz="6" w:space="0" w:color="auto"/>
              <w:bottom w:val="nil"/>
              <w:right w:val="single" w:sz="4" w:space="0" w:color="auto"/>
            </w:tcBorders>
          </w:tcPr>
          <w:p w14:paraId="3125A0CD"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0B96A80D" w14:textId="77777777" w:rsidR="00C65B9F" w:rsidRDefault="00C65B9F">
            <w:pPr>
              <w:rPr>
                <w:rFonts w:ascii="Arial" w:hAnsi="Arial"/>
                <w:snapToGrid w:val="0"/>
                <w:color w:val="000000"/>
                <w:sz w:val="20"/>
              </w:rPr>
            </w:pPr>
            <w:r>
              <w:rPr>
                <w:rFonts w:ascii="Arial" w:hAnsi="Arial"/>
                <w:snapToGrid w:val="0"/>
                <w:color w:val="000000"/>
                <w:sz w:val="20"/>
              </w:rPr>
              <w:t xml:space="preserve">Lignite                                       </w:t>
            </w:r>
          </w:p>
        </w:tc>
        <w:tc>
          <w:tcPr>
            <w:tcW w:w="1843" w:type="dxa"/>
            <w:tcBorders>
              <w:left w:val="single" w:sz="4" w:space="0" w:color="auto"/>
              <w:right w:val="single" w:sz="4" w:space="0" w:color="auto"/>
            </w:tcBorders>
          </w:tcPr>
          <w:p w14:paraId="2DB9AA74" w14:textId="39C4BEB4" w:rsidR="00C65B9F"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left w:val="single" w:sz="4" w:space="0" w:color="auto"/>
              <w:right w:val="single" w:sz="4" w:space="0" w:color="auto"/>
            </w:tcBorders>
          </w:tcPr>
          <w:p w14:paraId="46CCF2AA" w14:textId="36E6DC4E"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025D6E70" w14:textId="77777777">
        <w:trPr>
          <w:cantSplit/>
          <w:trHeight w:val="94"/>
        </w:trPr>
        <w:tc>
          <w:tcPr>
            <w:tcW w:w="1418" w:type="dxa"/>
            <w:vMerge/>
            <w:tcBorders>
              <w:top w:val="nil"/>
              <w:left w:val="single" w:sz="6" w:space="0" w:color="auto"/>
              <w:bottom w:val="nil"/>
              <w:right w:val="single" w:sz="4" w:space="0" w:color="auto"/>
            </w:tcBorders>
          </w:tcPr>
          <w:p w14:paraId="1E06D076"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0677FAE3" w14:textId="77777777" w:rsidR="00C65B9F" w:rsidRDefault="00C65B9F">
            <w:pPr>
              <w:rPr>
                <w:rFonts w:ascii="Arial" w:hAnsi="Arial"/>
                <w:snapToGrid w:val="0"/>
                <w:color w:val="000000"/>
                <w:sz w:val="20"/>
              </w:rPr>
            </w:pPr>
            <w:r>
              <w:rPr>
                <w:rFonts w:ascii="Arial" w:hAnsi="Arial"/>
                <w:snapToGrid w:val="0"/>
                <w:color w:val="000000"/>
                <w:sz w:val="20"/>
              </w:rPr>
              <w:t xml:space="preserve">Patent Fuel                                   </w:t>
            </w:r>
          </w:p>
        </w:tc>
        <w:tc>
          <w:tcPr>
            <w:tcW w:w="1843" w:type="dxa"/>
            <w:tcBorders>
              <w:left w:val="single" w:sz="4" w:space="0" w:color="auto"/>
              <w:right w:val="single" w:sz="4" w:space="0" w:color="auto"/>
            </w:tcBorders>
          </w:tcPr>
          <w:p w14:paraId="43E09CE6" w14:textId="63BD907D" w:rsidR="00C65B9F"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left w:val="single" w:sz="4" w:space="0" w:color="auto"/>
              <w:right w:val="single" w:sz="4" w:space="0" w:color="auto"/>
            </w:tcBorders>
          </w:tcPr>
          <w:p w14:paraId="1AEFF381" w14:textId="5E9206BF"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345BBF28" w14:textId="77777777">
        <w:trPr>
          <w:cantSplit/>
          <w:trHeight w:val="94"/>
        </w:trPr>
        <w:tc>
          <w:tcPr>
            <w:tcW w:w="1418" w:type="dxa"/>
            <w:vMerge/>
            <w:tcBorders>
              <w:top w:val="nil"/>
              <w:left w:val="single" w:sz="6" w:space="0" w:color="auto"/>
              <w:bottom w:val="nil"/>
              <w:right w:val="single" w:sz="4" w:space="0" w:color="auto"/>
            </w:tcBorders>
          </w:tcPr>
          <w:p w14:paraId="5562789B"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3DB9BBCF" w14:textId="77777777" w:rsidR="00C65B9F" w:rsidRDefault="00C65B9F">
            <w:pPr>
              <w:rPr>
                <w:rFonts w:ascii="Arial" w:hAnsi="Arial"/>
                <w:snapToGrid w:val="0"/>
                <w:color w:val="000000"/>
                <w:sz w:val="20"/>
              </w:rPr>
            </w:pPr>
            <w:r>
              <w:rPr>
                <w:rFonts w:ascii="Arial" w:hAnsi="Arial"/>
                <w:snapToGrid w:val="0"/>
                <w:color w:val="000000"/>
                <w:sz w:val="20"/>
              </w:rPr>
              <w:t xml:space="preserve">Coke Oven Coke                                </w:t>
            </w:r>
          </w:p>
        </w:tc>
        <w:tc>
          <w:tcPr>
            <w:tcW w:w="1843" w:type="dxa"/>
            <w:tcBorders>
              <w:left w:val="single" w:sz="4" w:space="0" w:color="auto"/>
              <w:right w:val="single" w:sz="4" w:space="0" w:color="auto"/>
            </w:tcBorders>
          </w:tcPr>
          <w:p w14:paraId="1966DB74" w14:textId="3307462D" w:rsidR="00C65B9F"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left w:val="single" w:sz="4" w:space="0" w:color="auto"/>
              <w:right w:val="single" w:sz="4" w:space="0" w:color="auto"/>
            </w:tcBorders>
          </w:tcPr>
          <w:p w14:paraId="19FDB028" w14:textId="38D24A31"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43EA1376" w14:textId="77777777">
        <w:trPr>
          <w:cantSplit/>
          <w:trHeight w:val="94"/>
        </w:trPr>
        <w:tc>
          <w:tcPr>
            <w:tcW w:w="1418" w:type="dxa"/>
            <w:vMerge/>
            <w:tcBorders>
              <w:top w:val="nil"/>
              <w:left w:val="single" w:sz="6" w:space="0" w:color="auto"/>
              <w:bottom w:val="nil"/>
              <w:right w:val="single" w:sz="4" w:space="0" w:color="auto"/>
            </w:tcBorders>
          </w:tcPr>
          <w:p w14:paraId="3EC12617"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12DF21EA" w14:textId="77777777" w:rsidR="00C65B9F" w:rsidRDefault="00C65B9F">
            <w:pPr>
              <w:rPr>
                <w:rFonts w:ascii="Arial" w:hAnsi="Arial"/>
                <w:snapToGrid w:val="0"/>
                <w:color w:val="000000"/>
                <w:sz w:val="20"/>
              </w:rPr>
            </w:pPr>
            <w:r>
              <w:rPr>
                <w:rFonts w:ascii="Arial" w:hAnsi="Arial"/>
                <w:snapToGrid w:val="0"/>
                <w:color w:val="000000"/>
                <w:sz w:val="20"/>
              </w:rPr>
              <w:t xml:space="preserve">Gas Coke                                      </w:t>
            </w:r>
          </w:p>
        </w:tc>
        <w:tc>
          <w:tcPr>
            <w:tcW w:w="1843" w:type="dxa"/>
            <w:tcBorders>
              <w:left w:val="single" w:sz="4" w:space="0" w:color="auto"/>
              <w:right w:val="single" w:sz="4" w:space="0" w:color="auto"/>
            </w:tcBorders>
          </w:tcPr>
          <w:p w14:paraId="1524D485" w14:textId="6867E198" w:rsidR="00C65B9F"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left w:val="single" w:sz="4" w:space="0" w:color="auto"/>
              <w:right w:val="single" w:sz="4" w:space="0" w:color="auto"/>
            </w:tcBorders>
          </w:tcPr>
          <w:p w14:paraId="40F9A2DF" w14:textId="7BD7C6BC"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0136E30D" w14:textId="77777777">
        <w:trPr>
          <w:cantSplit/>
          <w:trHeight w:val="94"/>
        </w:trPr>
        <w:tc>
          <w:tcPr>
            <w:tcW w:w="1418" w:type="dxa"/>
            <w:vMerge/>
            <w:tcBorders>
              <w:top w:val="nil"/>
              <w:left w:val="single" w:sz="6" w:space="0" w:color="auto"/>
              <w:bottom w:val="nil"/>
              <w:right w:val="single" w:sz="4" w:space="0" w:color="auto"/>
            </w:tcBorders>
          </w:tcPr>
          <w:p w14:paraId="05F97687"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4E44D8A8" w14:textId="77777777" w:rsidR="00C65B9F" w:rsidRDefault="00C65B9F">
            <w:pPr>
              <w:rPr>
                <w:rFonts w:ascii="Arial" w:hAnsi="Arial"/>
                <w:snapToGrid w:val="0"/>
                <w:color w:val="000000"/>
                <w:sz w:val="20"/>
              </w:rPr>
            </w:pPr>
            <w:r>
              <w:rPr>
                <w:rFonts w:ascii="Arial" w:hAnsi="Arial"/>
                <w:snapToGrid w:val="0"/>
                <w:color w:val="000000"/>
                <w:sz w:val="20"/>
              </w:rPr>
              <w:t>BKB  (Brown coal briquettes)</w:t>
            </w:r>
          </w:p>
        </w:tc>
        <w:tc>
          <w:tcPr>
            <w:tcW w:w="1843" w:type="dxa"/>
            <w:tcBorders>
              <w:left w:val="single" w:sz="4" w:space="0" w:color="auto"/>
              <w:right w:val="single" w:sz="4" w:space="0" w:color="auto"/>
            </w:tcBorders>
          </w:tcPr>
          <w:p w14:paraId="4238870A" w14:textId="1E1C8EB3" w:rsidR="00C65B9F"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left w:val="single" w:sz="4" w:space="0" w:color="auto"/>
              <w:right w:val="single" w:sz="4" w:space="0" w:color="auto"/>
            </w:tcBorders>
          </w:tcPr>
          <w:p w14:paraId="0DA15497" w14:textId="16E97315"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7322D556" w14:textId="77777777">
        <w:trPr>
          <w:cantSplit/>
          <w:trHeight w:val="94"/>
        </w:trPr>
        <w:tc>
          <w:tcPr>
            <w:tcW w:w="1418" w:type="dxa"/>
            <w:vMerge/>
            <w:tcBorders>
              <w:top w:val="nil"/>
              <w:left w:val="single" w:sz="6" w:space="0" w:color="auto"/>
              <w:bottom w:val="nil"/>
              <w:right w:val="single" w:sz="4" w:space="0" w:color="auto"/>
            </w:tcBorders>
          </w:tcPr>
          <w:p w14:paraId="31B1140F"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715B4EFA" w14:textId="77777777" w:rsidR="00C65B9F" w:rsidRDefault="00C65B9F">
            <w:pPr>
              <w:rPr>
                <w:rFonts w:ascii="Arial" w:hAnsi="Arial"/>
                <w:snapToGrid w:val="0"/>
                <w:color w:val="000000"/>
                <w:sz w:val="20"/>
              </w:rPr>
            </w:pPr>
            <w:r>
              <w:rPr>
                <w:rFonts w:ascii="Arial" w:hAnsi="Arial"/>
                <w:snapToGrid w:val="0"/>
                <w:color w:val="000000"/>
                <w:sz w:val="20"/>
              </w:rPr>
              <w:t xml:space="preserve">Coke Oven Gas (COG)                                 </w:t>
            </w:r>
          </w:p>
        </w:tc>
        <w:tc>
          <w:tcPr>
            <w:tcW w:w="1843" w:type="dxa"/>
            <w:tcBorders>
              <w:left w:val="single" w:sz="4" w:space="0" w:color="auto"/>
              <w:right w:val="single" w:sz="4" w:space="0" w:color="auto"/>
            </w:tcBorders>
          </w:tcPr>
          <w:p w14:paraId="56F1B5C2" w14:textId="662AEBD3" w:rsidR="00C65B9F" w:rsidRDefault="00056B5C" w:rsidP="00056B5C">
            <w:pPr>
              <w:jc w:val="center"/>
              <w:rPr>
                <w:rFonts w:ascii="Arial" w:hAnsi="Arial"/>
                <w:snapToGrid w:val="0"/>
                <w:color w:val="000000"/>
                <w:sz w:val="20"/>
              </w:rPr>
            </w:pPr>
            <w:r>
              <w:rPr>
                <w:rFonts w:ascii="Arial" w:hAnsi="Arial"/>
                <w:snapToGrid w:val="0"/>
                <w:color w:val="000000"/>
                <w:sz w:val="20"/>
              </w:rPr>
              <w:t>38.7</w:t>
            </w:r>
            <w:r w:rsidR="00930330">
              <w:rPr>
                <w:rFonts w:ascii="Arial" w:hAnsi="Arial"/>
                <w:snapToGrid w:val="0"/>
                <w:color w:val="000000"/>
                <w:sz w:val="20"/>
              </w:rPr>
              <w:t xml:space="preserve"> </w:t>
            </w:r>
          </w:p>
        </w:tc>
        <w:tc>
          <w:tcPr>
            <w:tcW w:w="2126" w:type="dxa"/>
            <w:tcBorders>
              <w:left w:val="single" w:sz="4" w:space="0" w:color="auto"/>
              <w:right w:val="single" w:sz="4" w:space="0" w:color="auto"/>
            </w:tcBorders>
          </w:tcPr>
          <w:p w14:paraId="11D6A91F" w14:textId="518111A0" w:rsidR="00C65B9F" w:rsidRDefault="00C65B9F" w:rsidP="00056B5C">
            <w:pPr>
              <w:jc w:val="center"/>
              <w:rPr>
                <w:rFonts w:ascii="Arial" w:hAnsi="Arial"/>
                <w:snapToGrid w:val="0"/>
                <w:color w:val="000000"/>
                <w:sz w:val="20"/>
              </w:rPr>
            </w:pPr>
            <w:r>
              <w:rPr>
                <w:rFonts w:ascii="Arial" w:hAnsi="Arial"/>
                <w:snapToGrid w:val="0"/>
                <w:color w:val="000000"/>
                <w:sz w:val="20"/>
              </w:rPr>
              <w:t>0.</w:t>
            </w:r>
            <w:r w:rsidR="00056B5C">
              <w:rPr>
                <w:rFonts w:ascii="Arial" w:hAnsi="Arial"/>
                <w:snapToGrid w:val="0"/>
                <w:color w:val="000000"/>
                <w:sz w:val="20"/>
              </w:rPr>
              <w:t>9243</w:t>
            </w:r>
            <w:r>
              <w:rPr>
                <w:rFonts w:ascii="Arial" w:hAnsi="Arial"/>
                <w:snapToGrid w:val="0"/>
                <w:color w:val="000000"/>
                <w:sz w:val="20"/>
              </w:rPr>
              <w:t xml:space="preserve"> </w:t>
            </w:r>
          </w:p>
        </w:tc>
      </w:tr>
      <w:tr w:rsidR="00C65B9F" w14:paraId="4CBB67E0" w14:textId="77777777">
        <w:trPr>
          <w:cantSplit/>
          <w:trHeight w:val="94"/>
        </w:trPr>
        <w:tc>
          <w:tcPr>
            <w:tcW w:w="1418" w:type="dxa"/>
            <w:vMerge/>
            <w:tcBorders>
              <w:top w:val="nil"/>
              <w:left w:val="single" w:sz="6" w:space="0" w:color="auto"/>
              <w:bottom w:val="single" w:sz="6" w:space="0" w:color="auto"/>
              <w:right w:val="single" w:sz="4" w:space="0" w:color="auto"/>
            </w:tcBorders>
          </w:tcPr>
          <w:p w14:paraId="1A5F4499" w14:textId="77777777" w:rsidR="00C65B9F" w:rsidRDefault="00C65B9F">
            <w:pPr>
              <w:jc w:val="right"/>
              <w:rPr>
                <w:rFonts w:ascii="Arial" w:hAnsi="Arial"/>
                <w:snapToGrid w:val="0"/>
                <w:color w:val="000000"/>
                <w:sz w:val="20"/>
              </w:rPr>
            </w:pPr>
          </w:p>
        </w:tc>
        <w:tc>
          <w:tcPr>
            <w:tcW w:w="3685" w:type="dxa"/>
            <w:tcBorders>
              <w:left w:val="single" w:sz="4" w:space="0" w:color="auto"/>
              <w:bottom w:val="single" w:sz="4" w:space="0" w:color="auto"/>
              <w:right w:val="single" w:sz="4" w:space="0" w:color="auto"/>
            </w:tcBorders>
          </w:tcPr>
          <w:p w14:paraId="53D75AE7" w14:textId="77777777" w:rsidR="00C65B9F" w:rsidRDefault="00C65B9F">
            <w:pPr>
              <w:rPr>
                <w:rFonts w:ascii="Arial" w:hAnsi="Arial"/>
                <w:snapToGrid w:val="0"/>
                <w:color w:val="000000"/>
                <w:sz w:val="20"/>
              </w:rPr>
            </w:pPr>
            <w:r>
              <w:rPr>
                <w:rFonts w:ascii="Arial" w:hAnsi="Arial"/>
                <w:snapToGrid w:val="0"/>
                <w:color w:val="000000"/>
                <w:sz w:val="20"/>
              </w:rPr>
              <w:t xml:space="preserve">Blast Furnace Gas  (BFG)                           </w:t>
            </w:r>
          </w:p>
        </w:tc>
        <w:tc>
          <w:tcPr>
            <w:tcW w:w="1843" w:type="dxa"/>
            <w:tcBorders>
              <w:left w:val="single" w:sz="4" w:space="0" w:color="auto"/>
              <w:bottom w:val="single" w:sz="4" w:space="0" w:color="auto"/>
              <w:right w:val="single" w:sz="4" w:space="0" w:color="auto"/>
            </w:tcBorders>
          </w:tcPr>
          <w:p w14:paraId="07C7280A" w14:textId="5413CB2B" w:rsidR="00C65B9F" w:rsidRDefault="00930330" w:rsidP="00056B5C">
            <w:pPr>
              <w:jc w:val="center"/>
              <w:rPr>
                <w:rFonts w:ascii="Arial" w:hAnsi="Arial"/>
                <w:snapToGrid w:val="0"/>
                <w:color w:val="000000"/>
                <w:sz w:val="20"/>
              </w:rPr>
            </w:pPr>
            <w:r>
              <w:rPr>
                <w:rFonts w:ascii="Arial" w:hAnsi="Arial"/>
                <w:snapToGrid w:val="0"/>
                <w:color w:val="000000"/>
                <w:sz w:val="20"/>
              </w:rPr>
              <w:t>2.</w:t>
            </w:r>
            <w:r w:rsidR="00056B5C">
              <w:rPr>
                <w:rFonts w:ascii="Arial" w:hAnsi="Arial"/>
                <w:snapToGrid w:val="0"/>
                <w:color w:val="000000"/>
                <w:sz w:val="20"/>
              </w:rPr>
              <w:t>47</w:t>
            </w:r>
            <w:r>
              <w:rPr>
                <w:rFonts w:ascii="Arial" w:hAnsi="Arial"/>
                <w:snapToGrid w:val="0"/>
                <w:color w:val="000000"/>
                <w:sz w:val="20"/>
              </w:rPr>
              <w:t xml:space="preserve"> </w:t>
            </w:r>
          </w:p>
        </w:tc>
        <w:tc>
          <w:tcPr>
            <w:tcW w:w="2126" w:type="dxa"/>
            <w:tcBorders>
              <w:left w:val="single" w:sz="4" w:space="0" w:color="auto"/>
              <w:bottom w:val="single" w:sz="4" w:space="0" w:color="auto"/>
              <w:right w:val="single" w:sz="4" w:space="0" w:color="auto"/>
            </w:tcBorders>
          </w:tcPr>
          <w:p w14:paraId="7E57AC1F" w14:textId="00669DE4" w:rsidR="00C65B9F" w:rsidRDefault="00C65B9F">
            <w:pPr>
              <w:jc w:val="center"/>
              <w:rPr>
                <w:rFonts w:ascii="Arial" w:hAnsi="Arial"/>
                <w:snapToGrid w:val="0"/>
                <w:color w:val="000000"/>
                <w:sz w:val="20"/>
                <w:vertAlign w:val="superscript"/>
              </w:rPr>
            </w:pPr>
            <w:r>
              <w:rPr>
                <w:rFonts w:ascii="Arial" w:hAnsi="Arial"/>
                <w:snapToGrid w:val="0"/>
                <w:color w:val="000000"/>
                <w:sz w:val="20"/>
              </w:rPr>
              <w:t>0.05</w:t>
            </w:r>
            <w:r w:rsidR="00056B5C">
              <w:rPr>
                <w:rFonts w:ascii="Arial" w:hAnsi="Arial"/>
                <w:snapToGrid w:val="0"/>
                <w:color w:val="000000"/>
                <w:sz w:val="20"/>
              </w:rPr>
              <w:t>9</w:t>
            </w:r>
            <w:r>
              <w:rPr>
                <w:rFonts w:ascii="Arial" w:hAnsi="Arial"/>
                <w:snapToGrid w:val="0"/>
                <w:color w:val="000000"/>
                <w:sz w:val="20"/>
              </w:rPr>
              <w:t>3</w:t>
            </w:r>
            <w:r w:rsidR="00930330">
              <w:rPr>
                <w:rFonts w:ascii="Arial" w:hAnsi="Arial"/>
                <w:snapToGrid w:val="0"/>
                <w:color w:val="000000"/>
                <w:sz w:val="20"/>
                <w:vertAlign w:val="superscript"/>
              </w:rPr>
              <w:t xml:space="preserve"> </w:t>
            </w:r>
          </w:p>
          <w:p w14:paraId="04730CB6" w14:textId="77777777" w:rsidR="00C65B9F" w:rsidRDefault="00C65B9F">
            <w:pPr>
              <w:jc w:val="center"/>
              <w:rPr>
                <w:rFonts w:ascii="Arial" w:hAnsi="Arial"/>
                <w:snapToGrid w:val="0"/>
                <w:color w:val="000000"/>
                <w:sz w:val="8"/>
              </w:rPr>
            </w:pPr>
          </w:p>
        </w:tc>
      </w:tr>
      <w:tr w:rsidR="00C65B9F" w14:paraId="39F47225" w14:textId="77777777">
        <w:trPr>
          <w:cantSplit/>
          <w:trHeight w:val="98"/>
        </w:trPr>
        <w:tc>
          <w:tcPr>
            <w:tcW w:w="1418" w:type="dxa"/>
            <w:vMerge w:val="restart"/>
            <w:tcBorders>
              <w:top w:val="single" w:sz="6" w:space="0" w:color="auto"/>
              <w:left w:val="single" w:sz="6" w:space="0" w:color="auto"/>
              <w:bottom w:val="nil"/>
              <w:right w:val="single" w:sz="4" w:space="0" w:color="auto"/>
            </w:tcBorders>
          </w:tcPr>
          <w:p w14:paraId="4C8CDA56" w14:textId="77777777" w:rsidR="00C65B9F" w:rsidRDefault="00C65B9F">
            <w:pPr>
              <w:rPr>
                <w:rFonts w:ascii="Arial" w:hAnsi="Arial"/>
                <w:b/>
                <w:snapToGrid w:val="0"/>
                <w:color w:val="000000"/>
                <w:sz w:val="10"/>
              </w:rPr>
            </w:pPr>
          </w:p>
          <w:p w14:paraId="52A0E68A" w14:textId="77777777" w:rsidR="00C65B9F" w:rsidRDefault="00C65B9F">
            <w:pPr>
              <w:rPr>
                <w:rFonts w:ascii="Arial" w:hAnsi="Arial"/>
                <w:b/>
                <w:snapToGrid w:val="0"/>
                <w:color w:val="000000"/>
                <w:sz w:val="20"/>
              </w:rPr>
            </w:pPr>
            <w:r>
              <w:rPr>
                <w:rFonts w:ascii="Arial" w:hAnsi="Arial"/>
                <w:b/>
                <w:snapToGrid w:val="0"/>
                <w:color w:val="000000"/>
                <w:sz w:val="20"/>
              </w:rPr>
              <w:t>Gas</w:t>
            </w:r>
          </w:p>
        </w:tc>
        <w:tc>
          <w:tcPr>
            <w:tcW w:w="3685" w:type="dxa"/>
            <w:tcBorders>
              <w:top w:val="single" w:sz="4" w:space="0" w:color="auto"/>
              <w:left w:val="single" w:sz="4" w:space="0" w:color="auto"/>
              <w:right w:val="single" w:sz="4" w:space="0" w:color="auto"/>
            </w:tcBorders>
          </w:tcPr>
          <w:p w14:paraId="01B9190C" w14:textId="77777777" w:rsidR="00C65B9F" w:rsidRDefault="00C65B9F">
            <w:pPr>
              <w:rPr>
                <w:rFonts w:ascii="Arial" w:hAnsi="Arial"/>
                <w:snapToGrid w:val="0"/>
                <w:color w:val="000000"/>
                <w:sz w:val="10"/>
              </w:rPr>
            </w:pPr>
          </w:p>
          <w:p w14:paraId="35029DD4" w14:textId="77777777" w:rsidR="00C65B9F" w:rsidRDefault="00C65B9F">
            <w:pPr>
              <w:rPr>
                <w:rFonts w:ascii="Arial" w:hAnsi="Arial"/>
                <w:snapToGrid w:val="0"/>
                <w:color w:val="000000"/>
                <w:sz w:val="20"/>
              </w:rPr>
            </w:pPr>
            <w:r>
              <w:rPr>
                <w:rFonts w:ascii="Arial" w:hAnsi="Arial"/>
                <w:snapToGrid w:val="0"/>
                <w:color w:val="000000"/>
                <w:sz w:val="20"/>
              </w:rPr>
              <w:t>Gas Works Gas (GWG)</w:t>
            </w:r>
          </w:p>
        </w:tc>
        <w:tc>
          <w:tcPr>
            <w:tcW w:w="1843" w:type="dxa"/>
            <w:tcBorders>
              <w:top w:val="single" w:sz="4" w:space="0" w:color="auto"/>
              <w:left w:val="single" w:sz="4" w:space="0" w:color="auto"/>
              <w:right w:val="single" w:sz="4" w:space="0" w:color="auto"/>
            </w:tcBorders>
          </w:tcPr>
          <w:p w14:paraId="406D97E6" w14:textId="77777777" w:rsidR="00C65B9F" w:rsidRDefault="00C65B9F">
            <w:pPr>
              <w:jc w:val="center"/>
              <w:rPr>
                <w:rFonts w:ascii="Arial" w:hAnsi="Arial"/>
                <w:snapToGrid w:val="0"/>
                <w:color w:val="000000"/>
                <w:sz w:val="10"/>
              </w:rPr>
            </w:pPr>
          </w:p>
          <w:p w14:paraId="476920C8" w14:textId="282A1756" w:rsidR="00930330" w:rsidRPr="00930330" w:rsidRDefault="00056B5C" w:rsidP="00056B5C">
            <w:pPr>
              <w:jc w:val="center"/>
              <w:rPr>
                <w:rFonts w:ascii="Arial" w:hAnsi="Arial"/>
                <w:snapToGrid w:val="0"/>
                <w:color w:val="000000"/>
                <w:sz w:val="20"/>
              </w:rPr>
            </w:pPr>
            <w:r>
              <w:rPr>
                <w:rFonts w:ascii="Arial" w:hAnsi="Arial"/>
                <w:snapToGrid w:val="0"/>
                <w:color w:val="000000"/>
                <w:sz w:val="20"/>
              </w:rPr>
              <w:t>38.7</w:t>
            </w:r>
          </w:p>
        </w:tc>
        <w:tc>
          <w:tcPr>
            <w:tcW w:w="2126" w:type="dxa"/>
            <w:tcBorders>
              <w:top w:val="single" w:sz="4" w:space="0" w:color="auto"/>
              <w:left w:val="single" w:sz="4" w:space="0" w:color="auto"/>
              <w:right w:val="single" w:sz="4" w:space="0" w:color="auto"/>
            </w:tcBorders>
          </w:tcPr>
          <w:p w14:paraId="271B6469" w14:textId="77777777" w:rsidR="00C65B9F" w:rsidRDefault="00C65B9F">
            <w:pPr>
              <w:jc w:val="center"/>
              <w:rPr>
                <w:rFonts w:ascii="Arial" w:hAnsi="Arial"/>
                <w:snapToGrid w:val="0"/>
                <w:color w:val="000000"/>
                <w:sz w:val="10"/>
              </w:rPr>
            </w:pPr>
          </w:p>
          <w:p w14:paraId="60E7DC1F" w14:textId="4DE88B16" w:rsidR="00C65B9F" w:rsidRDefault="00C65B9F" w:rsidP="00056B5C">
            <w:pPr>
              <w:jc w:val="center"/>
              <w:rPr>
                <w:rFonts w:ascii="Arial" w:hAnsi="Arial"/>
                <w:snapToGrid w:val="0"/>
                <w:color w:val="000000"/>
                <w:sz w:val="20"/>
              </w:rPr>
            </w:pPr>
            <w:r>
              <w:rPr>
                <w:rFonts w:ascii="Arial" w:hAnsi="Arial"/>
                <w:snapToGrid w:val="0"/>
                <w:color w:val="000000"/>
                <w:sz w:val="20"/>
              </w:rPr>
              <w:t>0.</w:t>
            </w:r>
            <w:r w:rsidR="00056B5C">
              <w:rPr>
                <w:rFonts w:ascii="Arial" w:hAnsi="Arial"/>
                <w:snapToGrid w:val="0"/>
                <w:color w:val="000000"/>
                <w:sz w:val="20"/>
              </w:rPr>
              <w:t>9243</w:t>
            </w:r>
          </w:p>
        </w:tc>
      </w:tr>
      <w:tr w:rsidR="00C65B9F" w14:paraId="7D237C81" w14:textId="77777777">
        <w:trPr>
          <w:cantSplit/>
          <w:trHeight w:val="94"/>
        </w:trPr>
        <w:tc>
          <w:tcPr>
            <w:tcW w:w="1418" w:type="dxa"/>
            <w:vMerge/>
            <w:tcBorders>
              <w:top w:val="nil"/>
              <w:left w:val="single" w:sz="6" w:space="0" w:color="auto"/>
              <w:bottom w:val="single" w:sz="6" w:space="0" w:color="auto"/>
              <w:right w:val="single" w:sz="4" w:space="0" w:color="auto"/>
            </w:tcBorders>
          </w:tcPr>
          <w:p w14:paraId="71CBC9F5" w14:textId="77777777" w:rsidR="00C65B9F" w:rsidRDefault="00C65B9F">
            <w:pPr>
              <w:jc w:val="right"/>
              <w:rPr>
                <w:rFonts w:ascii="Arial" w:hAnsi="Arial"/>
                <w:snapToGrid w:val="0"/>
                <w:color w:val="000000"/>
                <w:sz w:val="20"/>
              </w:rPr>
            </w:pPr>
          </w:p>
        </w:tc>
        <w:tc>
          <w:tcPr>
            <w:tcW w:w="3685" w:type="dxa"/>
            <w:tcBorders>
              <w:left w:val="single" w:sz="4" w:space="0" w:color="auto"/>
              <w:bottom w:val="single" w:sz="4" w:space="0" w:color="auto"/>
              <w:right w:val="single" w:sz="4" w:space="0" w:color="auto"/>
            </w:tcBorders>
          </w:tcPr>
          <w:p w14:paraId="320FB803" w14:textId="77777777" w:rsidR="00C65B9F" w:rsidRDefault="00C65B9F">
            <w:pPr>
              <w:rPr>
                <w:rFonts w:ascii="Arial" w:hAnsi="Arial"/>
                <w:snapToGrid w:val="0"/>
                <w:color w:val="000000"/>
                <w:sz w:val="20"/>
              </w:rPr>
            </w:pPr>
            <w:r>
              <w:rPr>
                <w:rFonts w:ascii="Arial" w:hAnsi="Arial"/>
                <w:snapToGrid w:val="0"/>
                <w:color w:val="000000"/>
                <w:sz w:val="20"/>
              </w:rPr>
              <w:t xml:space="preserve">Natural Gas                                   </w:t>
            </w:r>
          </w:p>
        </w:tc>
        <w:tc>
          <w:tcPr>
            <w:tcW w:w="1843" w:type="dxa"/>
            <w:tcBorders>
              <w:left w:val="single" w:sz="4" w:space="0" w:color="auto"/>
              <w:bottom w:val="single" w:sz="4" w:space="0" w:color="auto"/>
              <w:right w:val="single" w:sz="4" w:space="0" w:color="auto"/>
            </w:tcBorders>
          </w:tcPr>
          <w:p w14:paraId="2013163F" w14:textId="69452161" w:rsidR="00C65B9F" w:rsidRDefault="00056B5C" w:rsidP="00056B5C">
            <w:pPr>
              <w:jc w:val="center"/>
              <w:rPr>
                <w:rFonts w:ascii="Arial" w:hAnsi="Arial"/>
                <w:snapToGrid w:val="0"/>
                <w:color w:val="000000"/>
                <w:sz w:val="20"/>
              </w:rPr>
            </w:pPr>
            <w:r>
              <w:rPr>
                <w:rFonts w:ascii="Arial" w:hAnsi="Arial"/>
                <w:snapToGrid w:val="0"/>
                <w:color w:val="000000"/>
                <w:sz w:val="20"/>
              </w:rPr>
              <w:t>48</w:t>
            </w:r>
          </w:p>
        </w:tc>
        <w:tc>
          <w:tcPr>
            <w:tcW w:w="2126" w:type="dxa"/>
            <w:tcBorders>
              <w:left w:val="single" w:sz="4" w:space="0" w:color="auto"/>
              <w:bottom w:val="single" w:sz="4" w:space="0" w:color="auto"/>
              <w:right w:val="single" w:sz="4" w:space="0" w:color="auto"/>
            </w:tcBorders>
          </w:tcPr>
          <w:p w14:paraId="1749297C" w14:textId="7500ECC2" w:rsidR="00C65B9F" w:rsidRDefault="00C65B9F">
            <w:pPr>
              <w:jc w:val="center"/>
              <w:rPr>
                <w:rFonts w:ascii="Arial" w:hAnsi="Arial"/>
                <w:snapToGrid w:val="0"/>
                <w:color w:val="000000"/>
                <w:sz w:val="10"/>
                <w:vertAlign w:val="superscript"/>
              </w:rPr>
            </w:pPr>
            <w:r>
              <w:rPr>
                <w:rFonts w:ascii="Arial" w:hAnsi="Arial"/>
                <w:snapToGrid w:val="0"/>
                <w:color w:val="000000"/>
                <w:sz w:val="20"/>
              </w:rPr>
              <w:t>1.</w:t>
            </w:r>
            <w:r w:rsidR="00056B5C">
              <w:rPr>
                <w:rFonts w:ascii="Arial" w:hAnsi="Arial"/>
                <w:snapToGrid w:val="0"/>
                <w:color w:val="000000"/>
                <w:sz w:val="20"/>
              </w:rPr>
              <w:t>1465</w:t>
            </w:r>
          </w:p>
          <w:p w14:paraId="6CC92F2B" w14:textId="77777777" w:rsidR="00C65B9F" w:rsidRDefault="00C65B9F">
            <w:pPr>
              <w:jc w:val="center"/>
              <w:rPr>
                <w:rFonts w:ascii="Arial" w:hAnsi="Arial"/>
                <w:snapToGrid w:val="0"/>
                <w:color w:val="000000"/>
                <w:sz w:val="8"/>
              </w:rPr>
            </w:pPr>
          </w:p>
        </w:tc>
      </w:tr>
      <w:tr w:rsidR="00C65B9F" w14:paraId="7653A380" w14:textId="77777777">
        <w:trPr>
          <w:cantSplit/>
          <w:trHeight w:val="98"/>
        </w:trPr>
        <w:tc>
          <w:tcPr>
            <w:tcW w:w="1418" w:type="dxa"/>
            <w:vMerge w:val="restart"/>
            <w:tcBorders>
              <w:top w:val="single" w:sz="6" w:space="0" w:color="auto"/>
              <w:left w:val="single" w:sz="6" w:space="0" w:color="auto"/>
              <w:bottom w:val="nil"/>
              <w:right w:val="single" w:sz="4" w:space="0" w:color="auto"/>
            </w:tcBorders>
          </w:tcPr>
          <w:p w14:paraId="556C52AE" w14:textId="77777777" w:rsidR="00C65B9F" w:rsidRDefault="00C65B9F">
            <w:pPr>
              <w:rPr>
                <w:rFonts w:ascii="Arial" w:hAnsi="Arial"/>
                <w:b/>
                <w:snapToGrid w:val="0"/>
                <w:color w:val="000000"/>
                <w:sz w:val="10"/>
              </w:rPr>
            </w:pPr>
          </w:p>
          <w:p w14:paraId="37ACB3C1" w14:textId="77777777" w:rsidR="00C65B9F" w:rsidRDefault="00C65B9F">
            <w:pPr>
              <w:rPr>
                <w:rFonts w:ascii="Arial" w:hAnsi="Arial"/>
                <w:b/>
                <w:snapToGrid w:val="0"/>
                <w:color w:val="000000"/>
                <w:sz w:val="20"/>
              </w:rPr>
            </w:pPr>
            <w:r>
              <w:rPr>
                <w:rFonts w:ascii="Arial" w:hAnsi="Arial"/>
                <w:b/>
                <w:snapToGrid w:val="0"/>
                <w:color w:val="000000"/>
                <w:sz w:val="20"/>
              </w:rPr>
              <w:t>Oil</w:t>
            </w:r>
          </w:p>
        </w:tc>
        <w:tc>
          <w:tcPr>
            <w:tcW w:w="3685" w:type="dxa"/>
            <w:tcBorders>
              <w:top w:val="single" w:sz="4" w:space="0" w:color="auto"/>
              <w:left w:val="single" w:sz="4" w:space="0" w:color="auto"/>
              <w:right w:val="single" w:sz="4" w:space="0" w:color="auto"/>
            </w:tcBorders>
          </w:tcPr>
          <w:p w14:paraId="7778C515" w14:textId="77777777" w:rsidR="00C65B9F" w:rsidRDefault="00C65B9F">
            <w:pPr>
              <w:rPr>
                <w:rFonts w:ascii="Arial" w:hAnsi="Arial"/>
                <w:snapToGrid w:val="0"/>
                <w:color w:val="000000"/>
                <w:sz w:val="10"/>
              </w:rPr>
            </w:pPr>
          </w:p>
          <w:p w14:paraId="6F2DABE4" w14:textId="77777777" w:rsidR="00C65B9F" w:rsidRDefault="00C65B9F">
            <w:pPr>
              <w:rPr>
                <w:rFonts w:ascii="Arial" w:hAnsi="Arial"/>
                <w:snapToGrid w:val="0"/>
                <w:color w:val="000000"/>
                <w:sz w:val="20"/>
              </w:rPr>
            </w:pPr>
            <w:r>
              <w:rPr>
                <w:rFonts w:ascii="Arial" w:hAnsi="Arial"/>
                <w:snapToGrid w:val="0"/>
                <w:color w:val="000000"/>
                <w:sz w:val="20"/>
              </w:rPr>
              <w:t xml:space="preserve">Crude Oil                                     </w:t>
            </w:r>
          </w:p>
        </w:tc>
        <w:tc>
          <w:tcPr>
            <w:tcW w:w="1843" w:type="dxa"/>
            <w:tcBorders>
              <w:top w:val="single" w:sz="4" w:space="0" w:color="auto"/>
              <w:left w:val="single" w:sz="4" w:space="0" w:color="auto"/>
              <w:right w:val="single" w:sz="4" w:space="0" w:color="auto"/>
            </w:tcBorders>
          </w:tcPr>
          <w:p w14:paraId="46282E02" w14:textId="77777777" w:rsidR="00C65B9F" w:rsidRDefault="00C65B9F">
            <w:pPr>
              <w:jc w:val="center"/>
              <w:rPr>
                <w:rFonts w:ascii="Arial" w:hAnsi="Arial"/>
                <w:snapToGrid w:val="0"/>
                <w:color w:val="000000"/>
                <w:sz w:val="10"/>
              </w:rPr>
            </w:pPr>
          </w:p>
          <w:p w14:paraId="0E79D706" w14:textId="07AB4DF8" w:rsidR="007040E7" w:rsidRPr="007040E7"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top w:val="single" w:sz="4" w:space="0" w:color="auto"/>
              <w:left w:val="single" w:sz="4" w:space="0" w:color="auto"/>
              <w:right w:val="single" w:sz="4" w:space="0" w:color="auto"/>
            </w:tcBorders>
          </w:tcPr>
          <w:p w14:paraId="733AC1EA" w14:textId="77777777" w:rsidR="00C65B9F" w:rsidRDefault="00C65B9F">
            <w:pPr>
              <w:jc w:val="center"/>
              <w:rPr>
                <w:rFonts w:ascii="Arial" w:hAnsi="Arial"/>
                <w:snapToGrid w:val="0"/>
                <w:color w:val="000000"/>
                <w:sz w:val="10"/>
              </w:rPr>
            </w:pPr>
          </w:p>
          <w:p w14:paraId="302E2BD0" w14:textId="5809A963"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5FCBA20E" w14:textId="77777777">
        <w:trPr>
          <w:cantSplit/>
          <w:trHeight w:val="94"/>
        </w:trPr>
        <w:tc>
          <w:tcPr>
            <w:tcW w:w="1418" w:type="dxa"/>
            <w:vMerge/>
            <w:tcBorders>
              <w:top w:val="nil"/>
              <w:left w:val="single" w:sz="6" w:space="0" w:color="auto"/>
              <w:bottom w:val="nil"/>
              <w:right w:val="single" w:sz="4" w:space="0" w:color="auto"/>
            </w:tcBorders>
          </w:tcPr>
          <w:p w14:paraId="01B456A5"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7E6CB634" w14:textId="77777777" w:rsidR="00C65B9F" w:rsidRDefault="00C65B9F">
            <w:pPr>
              <w:rPr>
                <w:rFonts w:ascii="Arial" w:hAnsi="Arial"/>
                <w:snapToGrid w:val="0"/>
                <w:color w:val="000000"/>
                <w:sz w:val="20"/>
              </w:rPr>
            </w:pPr>
            <w:r>
              <w:rPr>
                <w:rFonts w:ascii="Arial" w:hAnsi="Arial"/>
                <w:snapToGrid w:val="0"/>
                <w:color w:val="000000"/>
                <w:sz w:val="20"/>
              </w:rPr>
              <w:t xml:space="preserve">Natural Gas Liquids (NGL)                           </w:t>
            </w:r>
          </w:p>
        </w:tc>
        <w:tc>
          <w:tcPr>
            <w:tcW w:w="1843" w:type="dxa"/>
            <w:tcBorders>
              <w:left w:val="single" w:sz="4" w:space="0" w:color="auto"/>
              <w:right w:val="single" w:sz="4" w:space="0" w:color="auto"/>
            </w:tcBorders>
          </w:tcPr>
          <w:p w14:paraId="2B96E6ED" w14:textId="7B7594A5" w:rsidR="00C65B9F" w:rsidRDefault="00897FF0">
            <w:pPr>
              <w:jc w:val="center"/>
              <w:rPr>
                <w:rFonts w:ascii="Arial" w:hAnsi="Arial"/>
                <w:snapToGrid w:val="0"/>
                <w:color w:val="000000"/>
                <w:sz w:val="20"/>
              </w:rPr>
            </w:pPr>
            <w:r>
              <w:rPr>
                <w:rFonts w:ascii="Arial" w:hAnsi="Arial"/>
                <w:snapToGrid w:val="0"/>
                <w:color w:val="000000"/>
                <w:sz w:val="20"/>
              </w:rPr>
              <w:t>b</w:t>
            </w:r>
          </w:p>
        </w:tc>
        <w:tc>
          <w:tcPr>
            <w:tcW w:w="2126" w:type="dxa"/>
            <w:tcBorders>
              <w:left w:val="single" w:sz="4" w:space="0" w:color="auto"/>
              <w:right w:val="single" w:sz="4" w:space="0" w:color="auto"/>
            </w:tcBorders>
          </w:tcPr>
          <w:p w14:paraId="5725CA38" w14:textId="74681ED6" w:rsidR="00C65B9F" w:rsidRDefault="00897FF0">
            <w:pPr>
              <w:jc w:val="center"/>
              <w:rPr>
                <w:rFonts w:ascii="Arial" w:hAnsi="Arial"/>
                <w:snapToGrid w:val="0"/>
                <w:color w:val="000000"/>
                <w:sz w:val="20"/>
              </w:rPr>
            </w:pPr>
            <w:r>
              <w:rPr>
                <w:rFonts w:ascii="Arial" w:hAnsi="Arial"/>
                <w:snapToGrid w:val="0"/>
                <w:color w:val="000000"/>
                <w:sz w:val="20"/>
              </w:rPr>
              <w:t>b</w:t>
            </w:r>
          </w:p>
        </w:tc>
      </w:tr>
      <w:tr w:rsidR="00C65B9F" w14:paraId="77704D2D" w14:textId="77777777">
        <w:trPr>
          <w:cantSplit/>
          <w:trHeight w:val="94"/>
        </w:trPr>
        <w:tc>
          <w:tcPr>
            <w:tcW w:w="1418" w:type="dxa"/>
            <w:vMerge/>
            <w:tcBorders>
              <w:top w:val="nil"/>
              <w:left w:val="single" w:sz="6" w:space="0" w:color="auto"/>
              <w:bottom w:val="nil"/>
              <w:right w:val="single" w:sz="4" w:space="0" w:color="auto"/>
            </w:tcBorders>
          </w:tcPr>
          <w:p w14:paraId="2214D984"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14E95C0C" w14:textId="77777777" w:rsidR="00C65B9F" w:rsidRDefault="00C65B9F">
            <w:pPr>
              <w:rPr>
                <w:rFonts w:ascii="Arial" w:hAnsi="Arial"/>
                <w:snapToGrid w:val="0"/>
                <w:color w:val="000000"/>
                <w:sz w:val="20"/>
              </w:rPr>
            </w:pPr>
            <w:r>
              <w:rPr>
                <w:rFonts w:ascii="Arial" w:hAnsi="Arial"/>
                <w:snapToGrid w:val="0"/>
                <w:color w:val="000000"/>
                <w:sz w:val="20"/>
              </w:rPr>
              <w:t xml:space="preserve">Refinery Gas                                  </w:t>
            </w:r>
          </w:p>
        </w:tc>
        <w:tc>
          <w:tcPr>
            <w:tcW w:w="1843" w:type="dxa"/>
            <w:tcBorders>
              <w:left w:val="single" w:sz="4" w:space="0" w:color="auto"/>
              <w:right w:val="single" w:sz="4" w:space="0" w:color="auto"/>
            </w:tcBorders>
          </w:tcPr>
          <w:p w14:paraId="577CE996" w14:textId="3027B484" w:rsidR="00C65B9F" w:rsidRDefault="00056B5C" w:rsidP="00056B5C">
            <w:pPr>
              <w:jc w:val="center"/>
              <w:rPr>
                <w:rFonts w:ascii="Arial" w:hAnsi="Arial"/>
                <w:snapToGrid w:val="0"/>
                <w:color w:val="000000"/>
                <w:sz w:val="20"/>
              </w:rPr>
            </w:pPr>
            <w:r>
              <w:rPr>
                <w:rFonts w:ascii="Arial" w:hAnsi="Arial"/>
                <w:snapToGrid w:val="0"/>
                <w:color w:val="000000"/>
                <w:sz w:val="20"/>
              </w:rPr>
              <w:t>49.5</w:t>
            </w:r>
          </w:p>
        </w:tc>
        <w:tc>
          <w:tcPr>
            <w:tcW w:w="2126" w:type="dxa"/>
            <w:tcBorders>
              <w:left w:val="single" w:sz="4" w:space="0" w:color="auto"/>
              <w:right w:val="single" w:sz="4" w:space="0" w:color="auto"/>
            </w:tcBorders>
          </w:tcPr>
          <w:p w14:paraId="6E1A064B" w14:textId="223DBC35" w:rsidR="00C65B9F" w:rsidRDefault="00056B5C" w:rsidP="00056B5C">
            <w:pPr>
              <w:jc w:val="center"/>
              <w:rPr>
                <w:rFonts w:ascii="Arial" w:hAnsi="Arial"/>
                <w:snapToGrid w:val="0"/>
                <w:color w:val="000000"/>
                <w:sz w:val="20"/>
              </w:rPr>
            </w:pPr>
            <w:r>
              <w:rPr>
                <w:rFonts w:ascii="Arial" w:hAnsi="Arial"/>
                <w:snapToGrid w:val="0"/>
                <w:color w:val="000000"/>
                <w:sz w:val="20"/>
              </w:rPr>
              <w:t>1.182</w:t>
            </w:r>
          </w:p>
        </w:tc>
      </w:tr>
      <w:tr w:rsidR="00C65B9F" w14:paraId="03133396" w14:textId="77777777">
        <w:trPr>
          <w:cantSplit/>
          <w:trHeight w:val="94"/>
        </w:trPr>
        <w:tc>
          <w:tcPr>
            <w:tcW w:w="1418" w:type="dxa"/>
            <w:vMerge/>
            <w:tcBorders>
              <w:top w:val="nil"/>
              <w:left w:val="single" w:sz="6" w:space="0" w:color="auto"/>
              <w:bottom w:val="nil"/>
              <w:right w:val="single" w:sz="4" w:space="0" w:color="auto"/>
            </w:tcBorders>
          </w:tcPr>
          <w:p w14:paraId="2A4DA0C6"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7F1D9548" w14:textId="77777777" w:rsidR="00C65B9F" w:rsidRDefault="00C65B9F">
            <w:pPr>
              <w:rPr>
                <w:rFonts w:ascii="Arial" w:hAnsi="Arial"/>
                <w:snapToGrid w:val="0"/>
                <w:color w:val="000000"/>
                <w:sz w:val="20"/>
              </w:rPr>
            </w:pPr>
            <w:r>
              <w:rPr>
                <w:rFonts w:ascii="Arial" w:hAnsi="Arial"/>
                <w:snapToGrid w:val="0"/>
                <w:color w:val="000000"/>
                <w:sz w:val="20"/>
              </w:rPr>
              <w:t xml:space="preserve">Liquefied Petroleum Gases (LPG)                     </w:t>
            </w:r>
          </w:p>
        </w:tc>
        <w:tc>
          <w:tcPr>
            <w:tcW w:w="1843" w:type="dxa"/>
            <w:tcBorders>
              <w:left w:val="single" w:sz="4" w:space="0" w:color="auto"/>
              <w:right w:val="single" w:sz="4" w:space="0" w:color="auto"/>
            </w:tcBorders>
          </w:tcPr>
          <w:p w14:paraId="2CF4E4B1" w14:textId="57FF5F84" w:rsidR="00C65B9F" w:rsidRDefault="00930330" w:rsidP="00056B5C">
            <w:pPr>
              <w:jc w:val="center"/>
              <w:rPr>
                <w:rFonts w:ascii="Arial" w:hAnsi="Arial"/>
                <w:snapToGrid w:val="0"/>
                <w:color w:val="000000"/>
                <w:sz w:val="20"/>
              </w:rPr>
            </w:pPr>
            <w:r>
              <w:rPr>
                <w:rFonts w:ascii="Arial" w:hAnsi="Arial"/>
                <w:snapToGrid w:val="0"/>
                <w:color w:val="000000"/>
                <w:sz w:val="20"/>
              </w:rPr>
              <w:t>47.3</w:t>
            </w:r>
          </w:p>
        </w:tc>
        <w:tc>
          <w:tcPr>
            <w:tcW w:w="2126" w:type="dxa"/>
            <w:tcBorders>
              <w:left w:val="single" w:sz="4" w:space="0" w:color="auto"/>
              <w:right w:val="single" w:sz="4" w:space="0" w:color="auto"/>
            </w:tcBorders>
          </w:tcPr>
          <w:p w14:paraId="49F625C1" w14:textId="6C1DD8E7" w:rsidR="00C65B9F" w:rsidRDefault="00056B5C" w:rsidP="00056B5C">
            <w:pPr>
              <w:jc w:val="center"/>
              <w:rPr>
                <w:rFonts w:ascii="Arial" w:hAnsi="Arial"/>
                <w:snapToGrid w:val="0"/>
                <w:color w:val="000000"/>
                <w:sz w:val="20"/>
              </w:rPr>
            </w:pPr>
            <w:r>
              <w:rPr>
                <w:rFonts w:ascii="Arial" w:hAnsi="Arial"/>
                <w:snapToGrid w:val="0"/>
                <w:color w:val="000000"/>
                <w:sz w:val="20"/>
              </w:rPr>
              <w:t>1.130</w:t>
            </w:r>
          </w:p>
        </w:tc>
      </w:tr>
      <w:tr w:rsidR="00C65B9F" w14:paraId="24D03E8A" w14:textId="77777777">
        <w:trPr>
          <w:cantSplit/>
          <w:trHeight w:val="94"/>
        </w:trPr>
        <w:tc>
          <w:tcPr>
            <w:tcW w:w="1418" w:type="dxa"/>
            <w:vMerge/>
            <w:tcBorders>
              <w:top w:val="nil"/>
              <w:left w:val="single" w:sz="6" w:space="0" w:color="auto"/>
              <w:bottom w:val="nil"/>
              <w:right w:val="single" w:sz="4" w:space="0" w:color="auto"/>
            </w:tcBorders>
          </w:tcPr>
          <w:p w14:paraId="12AEA623"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51283960" w14:textId="77777777" w:rsidR="00C65B9F" w:rsidRDefault="00C65B9F">
            <w:pPr>
              <w:rPr>
                <w:rFonts w:ascii="Arial" w:hAnsi="Arial"/>
                <w:snapToGrid w:val="0"/>
                <w:color w:val="000000"/>
                <w:sz w:val="20"/>
              </w:rPr>
            </w:pPr>
            <w:r>
              <w:rPr>
                <w:rFonts w:ascii="Arial" w:hAnsi="Arial"/>
                <w:snapToGrid w:val="0"/>
                <w:color w:val="000000"/>
                <w:sz w:val="20"/>
              </w:rPr>
              <w:t xml:space="preserve">Motor Gasoline                                </w:t>
            </w:r>
          </w:p>
        </w:tc>
        <w:tc>
          <w:tcPr>
            <w:tcW w:w="1843" w:type="dxa"/>
            <w:tcBorders>
              <w:left w:val="single" w:sz="4" w:space="0" w:color="auto"/>
              <w:right w:val="single" w:sz="4" w:space="0" w:color="auto"/>
            </w:tcBorders>
          </w:tcPr>
          <w:p w14:paraId="0F2DEC3F" w14:textId="20156049" w:rsidR="00C65B9F" w:rsidRDefault="00930330" w:rsidP="00056B5C">
            <w:pPr>
              <w:jc w:val="center"/>
              <w:rPr>
                <w:rFonts w:ascii="Arial" w:hAnsi="Arial"/>
                <w:snapToGrid w:val="0"/>
                <w:color w:val="000000"/>
                <w:sz w:val="20"/>
              </w:rPr>
            </w:pPr>
            <w:r>
              <w:rPr>
                <w:rFonts w:ascii="Arial" w:hAnsi="Arial"/>
                <w:snapToGrid w:val="0"/>
                <w:color w:val="000000"/>
                <w:sz w:val="20"/>
              </w:rPr>
              <w:t>44.</w:t>
            </w:r>
            <w:r w:rsidR="00056B5C">
              <w:rPr>
                <w:rFonts w:ascii="Arial" w:hAnsi="Arial"/>
                <w:snapToGrid w:val="0"/>
                <w:color w:val="000000"/>
                <w:sz w:val="20"/>
              </w:rPr>
              <w:t>3</w:t>
            </w:r>
          </w:p>
        </w:tc>
        <w:tc>
          <w:tcPr>
            <w:tcW w:w="2126" w:type="dxa"/>
            <w:tcBorders>
              <w:left w:val="single" w:sz="4" w:space="0" w:color="auto"/>
              <w:right w:val="single" w:sz="4" w:space="0" w:color="auto"/>
            </w:tcBorders>
          </w:tcPr>
          <w:p w14:paraId="6FCCF497" w14:textId="37876A05" w:rsidR="00C65B9F" w:rsidRDefault="00C65B9F" w:rsidP="00056B5C">
            <w:pPr>
              <w:jc w:val="center"/>
              <w:rPr>
                <w:rFonts w:ascii="Arial" w:hAnsi="Arial"/>
                <w:snapToGrid w:val="0"/>
                <w:color w:val="000000"/>
                <w:sz w:val="20"/>
              </w:rPr>
            </w:pPr>
            <w:r>
              <w:rPr>
                <w:rFonts w:ascii="Arial" w:hAnsi="Arial"/>
                <w:snapToGrid w:val="0"/>
                <w:color w:val="000000"/>
                <w:sz w:val="20"/>
              </w:rPr>
              <w:t>1.0</w:t>
            </w:r>
            <w:r w:rsidR="00056B5C">
              <w:rPr>
                <w:rFonts w:ascii="Arial" w:hAnsi="Arial"/>
                <w:snapToGrid w:val="0"/>
                <w:color w:val="000000"/>
                <w:sz w:val="20"/>
              </w:rPr>
              <w:t>58</w:t>
            </w:r>
          </w:p>
        </w:tc>
      </w:tr>
      <w:tr w:rsidR="00C65B9F" w14:paraId="09542B09" w14:textId="77777777">
        <w:trPr>
          <w:cantSplit/>
          <w:trHeight w:val="94"/>
        </w:trPr>
        <w:tc>
          <w:tcPr>
            <w:tcW w:w="1418" w:type="dxa"/>
            <w:vMerge/>
            <w:tcBorders>
              <w:top w:val="nil"/>
              <w:left w:val="single" w:sz="6" w:space="0" w:color="auto"/>
              <w:bottom w:val="nil"/>
              <w:right w:val="single" w:sz="4" w:space="0" w:color="auto"/>
            </w:tcBorders>
          </w:tcPr>
          <w:p w14:paraId="63FC0D5F"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5799DC2A" w14:textId="77777777" w:rsidR="00C65B9F" w:rsidRDefault="00C65B9F">
            <w:pPr>
              <w:rPr>
                <w:rFonts w:ascii="Arial" w:hAnsi="Arial"/>
                <w:snapToGrid w:val="0"/>
                <w:color w:val="000000"/>
                <w:sz w:val="20"/>
              </w:rPr>
            </w:pPr>
            <w:r>
              <w:rPr>
                <w:rFonts w:ascii="Arial" w:hAnsi="Arial"/>
                <w:snapToGrid w:val="0"/>
                <w:color w:val="000000"/>
                <w:sz w:val="20"/>
              </w:rPr>
              <w:t xml:space="preserve">Aviation Gasoline                             </w:t>
            </w:r>
          </w:p>
        </w:tc>
        <w:tc>
          <w:tcPr>
            <w:tcW w:w="1843" w:type="dxa"/>
            <w:tcBorders>
              <w:left w:val="single" w:sz="4" w:space="0" w:color="auto"/>
              <w:right w:val="single" w:sz="4" w:space="0" w:color="auto"/>
            </w:tcBorders>
          </w:tcPr>
          <w:p w14:paraId="44A00B41" w14:textId="482DEF59" w:rsidR="00C65B9F" w:rsidRDefault="00930330" w:rsidP="00056B5C">
            <w:pPr>
              <w:jc w:val="center"/>
              <w:rPr>
                <w:rFonts w:ascii="Arial" w:hAnsi="Arial"/>
                <w:snapToGrid w:val="0"/>
                <w:color w:val="000000"/>
                <w:sz w:val="20"/>
              </w:rPr>
            </w:pPr>
            <w:r>
              <w:rPr>
                <w:rFonts w:ascii="Arial" w:hAnsi="Arial"/>
                <w:snapToGrid w:val="0"/>
                <w:color w:val="000000"/>
                <w:sz w:val="20"/>
              </w:rPr>
              <w:t>44.</w:t>
            </w:r>
            <w:r w:rsidR="00056B5C">
              <w:rPr>
                <w:rFonts w:ascii="Arial" w:hAnsi="Arial"/>
                <w:snapToGrid w:val="0"/>
                <w:color w:val="000000"/>
                <w:sz w:val="20"/>
              </w:rPr>
              <w:t>3</w:t>
            </w:r>
          </w:p>
        </w:tc>
        <w:tc>
          <w:tcPr>
            <w:tcW w:w="2126" w:type="dxa"/>
            <w:tcBorders>
              <w:left w:val="single" w:sz="4" w:space="0" w:color="auto"/>
              <w:right w:val="single" w:sz="4" w:space="0" w:color="auto"/>
            </w:tcBorders>
          </w:tcPr>
          <w:p w14:paraId="4ADC87D7" w14:textId="531E72A3" w:rsidR="00C65B9F" w:rsidRDefault="00C65B9F" w:rsidP="00056B5C">
            <w:pPr>
              <w:jc w:val="center"/>
              <w:rPr>
                <w:rFonts w:ascii="Arial" w:hAnsi="Arial"/>
                <w:snapToGrid w:val="0"/>
                <w:color w:val="000000"/>
                <w:sz w:val="20"/>
              </w:rPr>
            </w:pPr>
            <w:r>
              <w:rPr>
                <w:rFonts w:ascii="Arial" w:hAnsi="Arial"/>
                <w:snapToGrid w:val="0"/>
                <w:color w:val="000000"/>
                <w:sz w:val="20"/>
              </w:rPr>
              <w:t>1.0</w:t>
            </w:r>
            <w:r w:rsidR="00056B5C">
              <w:rPr>
                <w:rFonts w:ascii="Arial" w:hAnsi="Arial"/>
                <w:snapToGrid w:val="0"/>
                <w:color w:val="000000"/>
                <w:sz w:val="20"/>
              </w:rPr>
              <w:t>58</w:t>
            </w:r>
          </w:p>
        </w:tc>
      </w:tr>
      <w:tr w:rsidR="00C65B9F" w14:paraId="7D580558" w14:textId="77777777">
        <w:trPr>
          <w:cantSplit/>
          <w:trHeight w:val="94"/>
        </w:trPr>
        <w:tc>
          <w:tcPr>
            <w:tcW w:w="1418" w:type="dxa"/>
            <w:vMerge/>
            <w:tcBorders>
              <w:top w:val="nil"/>
              <w:left w:val="single" w:sz="6" w:space="0" w:color="auto"/>
              <w:bottom w:val="nil"/>
              <w:right w:val="single" w:sz="4" w:space="0" w:color="auto"/>
            </w:tcBorders>
          </w:tcPr>
          <w:p w14:paraId="7D03A945"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1081B454" w14:textId="77777777" w:rsidR="00C65B9F" w:rsidRDefault="00C65B9F">
            <w:pPr>
              <w:rPr>
                <w:rFonts w:ascii="Arial" w:hAnsi="Arial"/>
                <w:snapToGrid w:val="0"/>
                <w:color w:val="000000"/>
                <w:sz w:val="20"/>
              </w:rPr>
            </w:pPr>
            <w:r>
              <w:rPr>
                <w:rFonts w:ascii="Arial" w:hAnsi="Arial"/>
                <w:snapToGrid w:val="0"/>
                <w:color w:val="000000"/>
                <w:sz w:val="20"/>
              </w:rPr>
              <w:t xml:space="preserve">Gasoline type Jet Fuel                        </w:t>
            </w:r>
          </w:p>
        </w:tc>
        <w:tc>
          <w:tcPr>
            <w:tcW w:w="1843" w:type="dxa"/>
            <w:tcBorders>
              <w:left w:val="single" w:sz="4" w:space="0" w:color="auto"/>
              <w:right w:val="single" w:sz="4" w:space="0" w:color="auto"/>
            </w:tcBorders>
          </w:tcPr>
          <w:p w14:paraId="5AEFC285" w14:textId="5C5ED1B7" w:rsidR="00C65B9F" w:rsidRDefault="00930330" w:rsidP="00056B5C">
            <w:pPr>
              <w:jc w:val="center"/>
              <w:rPr>
                <w:rFonts w:ascii="Arial" w:hAnsi="Arial"/>
                <w:snapToGrid w:val="0"/>
                <w:color w:val="000000"/>
                <w:sz w:val="20"/>
              </w:rPr>
            </w:pPr>
            <w:r>
              <w:rPr>
                <w:rFonts w:ascii="Arial" w:hAnsi="Arial"/>
                <w:snapToGrid w:val="0"/>
                <w:color w:val="000000"/>
                <w:sz w:val="20"/>
              </w:rPr>
              <w:t>44.</w:t>
            </w:r>
            <w:r w:rsidR="00056B5C">
              <w:rPr>
                <w:rFonts w:ascii="Arial" w:hAnsi="Arial"/>
                <w:snapToGrid w:val="0"/>
                <w:color w:val="000000"/>
                <w:sz w:val="20"/>
              </w:rPr>
              <w:t>3</w:t>
            </w:r>
          </w:p>
        </w:tc>
        <w:tc>
          <w:tcPr>
            <w:tcW w:w="2126" w:type="dxa"/>
            <w:tcBorders>
              <w:left w:val="single" w:sz="4" w:space="0" w:color="auto"/>
              <w:right w:val="single" w:sz="4" w:space="0" w:color="auto"/>
            </w:tcBorders>
          </w:tcPr>
          <w:p w14:paraId="3B065783" w14:textId="35FADCD1" w:rsidR="00C65B9F" w:rsidRDefault="00C65B9F" w:rsidP="00056B5C">
            <w:pPr>
              <w:jc w:val="center"/>
              <w:rPr>
                <w:rFonts w:ascii="Arial" w:hAnsi="Arial"/>
                <w:snapToGrid w:val="0"/>
                <w:color w:val="000000"/>
                <w:sz w:val="20"/>
              </w:rPr>
            </w:pPr>
            <w:r>
              <w:rPr>
                <w:rFonts w:ascii="Arial" w:hAnsi="Arial"/>
                <w:snapToGrid w:val="0"/>
                <w:color w:val="000000"/>
                <w:sz w:val="20"/>
              </w:rPr>
              <w:t>1.0</w:t>
            </w:r>
            <w:r w:rsidR="00056B5C">
              <w:rPr>
                <w:rFonts w:ascii="Arial" w:hAnsi="Arial"/>
                <w:snapToGrid w:val="0"/>
                <w:color w:val="000000"/>
                <w:sz w:val="20"/>
              </w:rPr>
              <w:t>58</w:t>
            </w:r>
          </w:p>
        </w:tc>
      </w:tr>
      <w:tr w:rsidR="00C65B9F" w14:paraId="50B04A51" w14:textId="77777777">
        <w:trPr>
          <w:cantSplit/>
          <w:trHeight w:val="94"/>
        </w:trPr>
        <w:tc>
          <w:tcPr>
            <w:tcW w:w="1418" w:type="dxa"/>
            <w:vMerge/>
            <w:tcBorders>
              <w:top w:val="nil"/>
              <w:left w:val="single" w:sz="6" w:space="0" w:color="auto"/>
              <w:bottom w:val="nil"/>
              <w:right w:val="single" w:sz="4" w:space="0" w:color="auto"/>
            </w:tcBorders>
          </w:tcPr>
          <w:p w14:paraId="34D1E91F"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73E91051" w14:textId="77777777" w:rsidR="00C65B9F" w:rsidRDefault="00C65B9F">
            <w:pPr>
              <w:rPr>
                <w:rFonts w:ascii="Arial" w:hAnsi="Arial"/>
                <w:snapToGrid w:val="0"/>
                <w:color w:val="000000"/>
                <w:sz w:val="20"/>
              </w:rPr>
            </w:pPr>
            <w:r>
              <w:rPr>
                <w:rFonts w:ascii="Arial" w:hAnsi="Arial"/>
                <w:snapToGrid w:val="0"/>
                <w:color w:val="000000"/>
                <w:sz w:val="20"/>
              </w:rPr>
              <w:t xml:space="preserve">Kerosene type Jet Fuel                        </w:t>
            </w:r>
          </w:p>
        </w:tc>
        <w:tc>
          <w:tcPr>
            <w:tcW w:w="1843" w:type="dxa"/>
            <w:tcBorders>
              <w:left w:val="single" w:sz="4" w:space="0" w:color="auto"/>
              <w:right w:val="single" w:sz="4" w:space="0" w:color="auto"/>
            </w:tcBorders>
          </w:tcPr>
          <w:p w14:paraId="4F23ED42" w14:textId="395C9343" w:rsidR="00C65B9F" w:rsidRDefault="00930330" w:rsidP="00056B5C">
            <w:pPr>
              <w:jc w:val="center"/>
              <w:rPr>
                <w:rFonts w:ascii="Arial" w:hAnsi="Arial"/>
                <w:snapToGrid w:val="0"/>
                <w:color w:val="000000"/>
                <w:sz w:val="20"/>
              </w:rPr>
            </w:pPr>
            <w:r>
              <w:rPr>
                <w:rFonts w:ascii="Arial" w:hAnsi="Arial"/>
                <w:snapToGrid w:val="0"/>
                <w:color w:val="000000"/>
                <w:sz w:val="20"/>
              </w:rPr>
              <w:t>44.</w:t>
            </w:r>
            <w:r w:rsidR="00056B5C">
              <w:rPr>
                <w:rFonts w:ascii="Arial" w:hAnsi="Arial"/>
                <w:snapToGrid w:val="0"/>
                <w:color w:val="000000"/>
                <w:sz w:val="20"/>
              </w:rPr>
              <w:t>1</w:t>
            </w:r>
          </w:p>
        </w:tc>
        <w:tc>
          <w:tcPr>
            <w:tcW w:w="2126" w:type="dxa"/>
            <w:tcBorders>
              <w:left w:val="single" w:sz="4" w:space="0" w:color="auto"/>
              <w:right w:val="single" w:sz="4" w:space="0" w:color="auto"/>
            </w:tcBorders>
          </w:tcPr>
          <w:p w14:paraId="3051E44E" w14:textId="715F3432" w:rsidR="00C65B9F" w:rsidRDefault="00C65B9F" w:rsidP="00056B5C">
            <w:pPr>
              <w:jc w:val="center"/>
              <w:rPr>
                <w:rFonts w:ascii="Arial" w:hAnsi="Arial"/>
                <w:snapToGrid w:val="0"/>
                <w:color w:val="000000"/>
                <w:sz w:val="20"/>
              </w:rPr>
            </w:pPr>
            <w:r>
              <w:rPr>
                <w:rFonts w:ascii="Arial" w:hAnsi="Arial"/>
                <w:snapToGrid w:val="0"/>
                <w:color w:val="000000"/>
                <w:sz w:val="20"/>
              </w:rPr>
              <w:t>1.0</w:t>
            </w:r>
            <w:r w:rsidR="00056B5C">
              <w:rPr>
                <w:rFonts w:ascii="Arial" w:hAnsi="Arial"/>
                <w:snapToGrid w:val="0"/>
                <w:color w:val="000000"/>
                <w:sz w:val="20"/>
              </w:rPr>
              <w:t>533</w:t>
            </w:r>
          </w:p>
        </w:tc>
      </w:tr>
      <w:tr w:rsidR="00C65B9F" w14:paraId="1386EE76" w14:textId="77777777">
        <w:trPr>
          <w:cantSplit/>
          <w:trHeight w:val="94"/>
        </w:trPr>
        <w:tc>
          <w:tcPr>
            <w:tcW w:w="1418" w:type="dxa"/>
            <w:vMerge/>
            <w:tcBorders>
              <w:top w:val="nil"/>
              <w:left w:val="single" w:sz="6" w:space="0" w:color="auto"/>
              <w:bottom w:val="nil"/>
              <w:right w:val="single" w:sz="4" w:space="0" w:color="auto"/>
            </w:tcBorders>
          </w:tcPr>
          <w:p w14:paraId="161FF84B"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63851A2E" w14:textId="77777777" w:rsidR="00C65B9F" w:rsidRDefault="00C65B9F">
            <w:pPr>
              <w:rPr>
                <w:rFonts w:ascii="Arial" w:hAnsi="Arial"/>
                <w:snapToGrid w:val="0"/>
                <w:color w:val="000000"/>
                <w:sz w:val="20"/>
              </w:rPr>
            </w:pPr>
            <w:r>
              <w:rPr>
                <w:rFonts w:ascii="Arial" w:hAnsi="Arial"/>
                <w:snapToGrid w:val="0"/>
                <w:color w:val="000000"/>
                <w:sz w:val="20"/>
              </w:rPr>
              <w:t xml:space="preserve">Kerosene                                      </w:t>
            </w:r>
          </w:p>
        </w:tc>
        <w:tc>
          <w:tcPr>
            <w:tcW w:w="1843" w:type="dxa"/>
            <w:tcBorders>
              <w:left w:val="single" w:sz="4" w:space="0" w:color="auto"/>
              <w:right w:val="single" w:sz="4" w:space="0" w:color="auto"/>
            </w:tcBorders>
          </w:tcPr>
          <w:p w14:paraId="044A34C0" w14:textId="695E710D" w:rsidR="00C65B9F" w:rsidRDefault="00930330" w:rsidP="00056B5C">
            <w:pPr>
              <w:jc w:val="center"/>
              <w:rPr>
                <w:rFonts w:ascii="Arial" w:hAnsi="Arial"/>
                <w:snapToGrid w:val="0"/>
                <w:color w:val="000000"/>
                <w:sz w:val="20"/>
              </w:rPr>
            </w:pPr>
            <w:r>
              <w:rPr>
                <w:rFonts w:ascii="Arial" w:hAnsi="Arial"/>
                <w:snapToGrid w:val="0"/>
                <w:color w:val="000000"/>
                <w:sz w:val="20"/>
              </w:rPr>
              <w:t>43.</w:t>
            </w:r>
            <w:r w:rsidR="00056B5C">
              <w:rPr>
                <w:rFonts w:ascii="Arial" w:hAnsi="Arial"/>
                <w:snapToGrid w:val="0"/>
                <w:color w:val="000000"/>
                <w:sz w:val="20"/>
              </w:rPr>
              <w:t>8</w:t>
            </w:r>
          </w:p>
        </w:tc>
        <w:tc>
          <w:tcPr>
            <w:tcW w:w="2126" w:type="dxa"/>
            <w:tcBorders>
              <w:left w:val="single" w:sz="4" w:space="0" w:color="auto"/>
              <w:right w:val="single" w:sz="4" w:space="0" w:color="auto"/>
            </w:tcBorders>
          </w:tcPr>
          <w:p w14:paraId="2DD65BA7" w14:textId="1BF45A84" w:rsidR="00C65B9F" w:rsidRDefault="00C65B9F" w:rsidP="00056B5C">
            <w:pPr>
              <w:jc w:val="center"/>
              <w:rPr>
                <w:rFonts w:ascii="Arial" w:hAnsi="Arial"/>
                <w:snapToGrid w:val="0"/>
                <w:color w:val="000000"/>
                <w:sz w:val="20"/>
              </w:rPr>
            </w:pPr>
            <w:r>
              <w:rPr>
                <w:rFonts w:ascii="Arial" w:hAnsi="Arial"/>
                <w:snapToGrid w:val="0"/>
                <w:color w:val="000000"/>
                <w:sz w:val="20"/>
              </w:rPr>
              <w:t>1.04</w:t>
            </w:r>
            <w:r w:rsidR="00056B5C">
              <w:rPr>
                <w:rFonts w:ascii="Arial" w:hAnsi="Arial"/>
                <w:snapToGrid w:val="0"/>
                <w:color w:val="000000"/>
                <w:sz w:val="20"/>
              </w:rPr>
              <w:t>6</w:t>
            </w:r>
          </w:p>
        </w:tc>
      </w:tr>
      <w:tr w:rsidR="00C65B9F" w14:paraId="5FF53F7B" w14:textId="77777777">
        <w:trPr>
          <w:cantSplit/>
          <w:trHeight w:val="94"/>
        </w:trPr>
        <w:tc>
          <w:tcPr>
            <w:tcW w:w="1418" w:type="dxa"/>
            <w:vMerge/>
            <w:tcBorders>
              <w:top w:val="nil"/>
              <w:left w:val="single" w:sz="6" w:space="0" w:color="auto"/>
              <w:bottom w:val="nil"/>
              <w:right w:val="single" w:sz="4" w:space="0" w:color="auto"/>
            </w:tcBorders>
          </w:tcPr>
          <w:p w14:paraId="3A76E1B6"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7DBDC979" w14:textId="77777777" w:rsidR="00C65B9F" w:rsidRDefault="00C65B9F">
            <w:pPr>
              <w:rPr>
                <w:rFonts w:ascii="Arial" w:hAnsi="Arial"/>
                <w:snapToGrid w:val="0"/>
                <w:color w:val="000000"/>
                <w:sz w:val="20"/>
              </w:rPr>
            </w:pPr>
            <w:r>
              <w:rPr>
                <w:rFonts w:ascii="Arial" w:hAnsi="Arial"/>
                <w:snapToGrid w:val="0"/>
                <w:color w:val="000000"/>
                <w:sz w:val="20"/>
              </w:rPr>
              <w:t xml:space="preserve">Gas/Diesel Oil                                </w:t>
            </w:r>
          </w:p>
        </w:tc>
        <w:tc>
          <w:tcPr>
            <w:tcW w:w="1843" w:type="dxa"/>
            <w:tcBorders>
              <w:left w:val="single" w:sz="4" w:space="0" w:color="auto"/>
              <w:right w:val="single" w:sz="4" w:space="0" w:color="auto"/>
            </w:tcBorders>
          </w:tcPr>
          <w:p w14:paraId="74E7164C" w14:textId="4B668BFD" w:rsidR="00C65B9F" w:rsidRDefault="00930330" w:rsidP="00056B5C">
            <w:pPr>
              <w:jc w:val="center"/>
              <w:rPr>
                <w:rFonts w:ascii="Arial" w:hAnsi="Arial"/>
                <w:snapToGrid w:val="0"/>
                <w:color w:val="000000"/>
                <w:sz w:val="20"/>
              </w:rPr>
            </w:pPr>
            <w:r>
              <w:rPr>
                <w:rFonts w:ascii="Arial" w:hAnsi="Arial"/>
                <w:snapToGrid w:val="0"/>
                <w:color w:val="000000"/>
                <w:sz w:val="20"/>
              </w:rPr>
              <w:t>43.</w:t>
            </w:r>
            <w:r w:rsidR="00056B5C">
              <w:rPr>
                <w:rFonts w:ascii="Arial" w:hAnsi="Arial"/>
                <w:snapToGrid w:val="0"/>
                <w:color w:val="000000"/>
                <w:sz w:val="20"/>
              </w:rPr>
              <w:t>0</w:t>
            </w:r>
          </w:p>
        </w:tc>
        <w:tc>
          <w:tcPr>
            <w:tcW w:w="2126" w:type="dxa"/>
            <w:tcBorders>
              <w:left w:val="single" w:sz="4" w:space="0" w:color="auto"/>
              <w:right w:val="single" w:sz="4" w:space="0" w:color="auto"/>
            </w:tcBorders>
          </w:tcPr>
          <w:p w14:paraId="604F5ED0" w14:textId="447A76D6" w:rsidR="00C65B9F" w:rsidRDefault="00C65B9F" w:rsidP="00056B5C">
            <w:pPr>
              <w:jc w:val="center"/>
              <w:rPr>
                <w:rFonts w:ascii="Arial" w:hAnsi="Arial"/>
                <w:snapToGrid w:val="0"/>
                <w:color w:val="000000"/>
                <w:sz w:val="20"/>
              </w:rPr>
            </w:pPr>
            <w:r>
              <w:rPr>
                <w:rFonts w:ascii="Arial" w:hAnsi="Arial"/>
                <w:snapToGrid w:val="0"/>
                <w:color w:val="000000"/>
                <w:sz w:val="20"/>
              </w:rPr>
              <w:t>1.0</w:t>
            </w:r>
            <w:r w:rsidR="00056B5C">
              <w:rPr>
                <w:rFonts w:ascii="Arial" w:hAnsi="Arial"/>
                <w:snapToGrid w:val="0"/>
                <w:color w:val="000000"/>
                <w:sz w:val="20"/>
              </w:rPr>
              <w:t>27</w:t>
            </w:r>
          </w:p>
        </w:tc>
      </w:tr>
      <w:tr w:rsidR="00C65B9F" w14:paraId="3144D24A" w14:textId="77777777">
        <w:trPr>
          <w:cantSplit/>
          <w:trHeight w:val="94"/>
        </w:trPr>
        <w:tc>
          <w:tcPr>
            <w:tcW w:w="1418" w:type="dxa"/>
            <w:vMerge/>
            <w:tcBorders>
              <w:top w:val="nil"/>
              <w:left w:val="single" w:sz="6" w:space="0" w:color="auto"/>
              <w:bottom w:val="nil"/>
              <w:right w:val="single" w:sz="4" w:space="0" w:color="auto"/>
            </w:tcBorders>
          </w:tcPr>
          <w:p w14:paraId="5E913D6E"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04EE8672" w14:textId="77777777" w:rsidR="00C65B9F" w:rsidRDefault="00C65B9F">
            <w:pPr>
              <w:rPr>
                <w:rFonts w:ascii="Arial" w:hAnsi="Arial"/>
                <w:snapToGrid w:val="0"/>
                <w:color w:val="000000"/>
                <w:sz w:val="20"/>
              </w:rPr>
            </w:pPr>
            <w:r>
              <w:rPr>
                <w:rFonts w:ascii="Arial" w:hAnsi="Arial"/>
                <w:snapToGrid w:val="0"/>
                <w:color w:val="000000"/>
                <w:sz w:val="20"/>
              </w:rPr>
              <w:t xml:space="preserve">Heavy Fuel Oil  (HFO)                            </w:t>
            </w:r>
          </w:p>
        </w:tc>
        <w:tc>
          <w:tcPr>
            <w:tcW w:w="1843" w:type="dxa"/>
            <w:tcBorders>
              <w:left w:val="single" w:sz="4" w:space="0" w:color="auto"/>
              <w:right w:val="single" w:sz="4" w:space="0" w:color="auto"/>
            </w:tcBorders>
          </w:tcPr>
          <w:p w14:paraId="4DA882F4" w14:textId="284F298B" w:rsidR="00C65B9F" w:rsidRDefault="00930330" w:rsidP="00056B5C">
            <w:pPr>
              <w:jc w:val="center"/>
              <w:rPr>
                <w:rFonts w:ascii="Arial" w:hAnsi="Arial"/>
                <w:snapToGrid w:val="0"/>
                <w:color w:val="000000"/>
                <w:sz w:val="20"/>
              </w:rPr>
            </w:pPr>
            <w:r>
              <w:rPr>
                <w:rFonts w:ascii="Arial" w:hAnsi="Arial"/>
                <w:snapToGrid w:val="0"/>
                <w:color w:val="000000"/>
                <w:sz w:val="20"/>
              </w:rPr>
              <w:t>40.</w:t>
            </w:r>
            <w:r w:rsidR="00056B5C">
              <w:rPr>
                <w:rFonts w:ascii="Arial" w:hAnsi="Arial"/>
                <w:snapToGrid w:val="0"/>
                <w:color w:val="000000"/>
                <w:sz w:val="20"/>
              </w:rPr>
              <w:t>4</w:t>
            </w:r>
          </w:p>
        </w:tc>
        <w:tc>
          <w:tcPr>
            <w:tcW w:w="2126" w:type="dxa"/>
            <w:tcBorders>
              <w:left w:val="single" w:sz="4" w:space="0" w:color="auto"/>
              <w:right w:val="single" w:sz="4" w:space="0" w:color="auto"/>
            </w:tcBorders>
          </w:tcPr>
          <w:p w14:paraId="54B4A5AD" w14:textId="10720368" w:rsidR="00C65B9F" w:rsidRDefault="00C65B9F" w:rsidP="00056B5C">
            <w:pPr>
              <w:jc w:val="center"/>
              <w:rPr>
                <w:rFonts w:ascii="Arial" w:hAnsi="Arial"/>
                <w:snapToGrid w:val="0"/>
                <w:color w:val="000000"/>
                <w:sz w:val="20"/>
              </w:rPr>
            </w:pPr>
            <w:r>
              <w:rPr>
                <w:rFonts w:ascii="Arial" w:hAnsi="Arial"/>
                <w:snapToGrid w:val="0"/>
                <w:color w:val="000000"/>
                <w:sz w:val="20"/>
              </w:rPr>
              <w:t>0.96</w:t>
            </w:r>
            <w:r w:rsidR="00056B5C">
              <w:rPr>
                <w:rFonts w:ascii="Arial" w:hAnsi="Arial"/>
                <w:snapToGrid w:val="0"/>
                <w:color w:val="000000"/>
                <w:sz w:val="20"/>
              </w:rPr>
              <w:t>5</w:t>
            </w:r>
          </w:p>
        </w:tc>
      </w:tr>
      <w:tr w:rsidR="00C65B9F" w14:paraId="604E0ABA" w14:textId="77777777">
        <w:trPr>
          <w:cantSplit/>
          <w:trHeight w:val="98"/>
        </w:trPr>
        <w:tc>
          <w:tcPr>
            <w:tcW w:w="1418" w:type="dxa"/>
            <w:vMerge/>
            <w:tcBorders>
              <w:top w:val="nil"/>
              <w:left w:val="single" w:sz="6" w:space="0" w:color="auto"/>
              <w:bottom w:val="single" w:sz="6" w:space="0" w:color="auto"/>
              <w:right w:val="single" w:sz="4" w:space="0" w:color="auto"/>
            </w:tcBorders>
          </w:tcPr>
          <w:p w14:paraId="38441EB3"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285A8D40" w14:textId="77777777" w:rsidR="00C65B9F" w:rsidRDefault="00C65B9F">
            <w:pPr>
              <w:rPr>
                <w:rFonts w:ascii="Arial" w:hAnsi="Arial"/>
                <w:snapToGrid w:val="0"/>
                <w:color w:val="000000"/>
                <w:sz w:val="20"/>
              </w:rPr>
            </w:pPr>
            <w:r>
              <w:rPr>
                <w:rFonts w:ascii="Arial" w:hAnsi="Arial"/>
                <w:snapToGrid w:val="0"/>
                <w:color w:val="000000"/>
                <w:sz w:val="20"/>
              </w:rPr>
              <w:t>Petroleum coke</w:t>
            </w:r>
          </w:p>
        </w:tc>
        <w:tc>
          <w:tcPr>
            <w:tcW w:w="1843" w:type="dxa"/>
            <w:tcBorders>
              <w:left w:val="single" w:sz="4" w:space="0" w:color="auto"/>
              <w:right w:val="single" w:sz="4" w:space="0" w:color="auto"/>
            </w:tcBorders>
          </w:tcPr>
          <w:p w14:paraId="34E98A05" w14:textId="651701BB" w:rsidR="00C65B9F" w:rsidRDefault="00056B5C" w:rsidP="00056B5C">
            <w:pPr>
              <w:jc w:val="center"/>
              <w:rPr>
                <w:rFonts w:ascii="Arial" w:hAnsi="Arial"/>
                <w:snapToGrid w:val="0"/>
                <w:color w:val="000000"/>
                <w:sz w:val="20"/>
              </w:rPr>
            </w:pPr>
            <w:r>
              <w:rPr>
                <w:rFonts w:ascii="Arial" w:hAnsi="Arial"/>
                <w:snapToGrid w:val="0"/>
                <w:color w:val="000000"/>
                <w:sz w:val="20"/>
              </w:rPr>
              <w:t>32.5</w:t>
            </w:r>
          </w:p>
        </w:tc>
        <w:tc>
          <w:tcPr>
            <w:tcW w:w="2126" w:type="dxa"/>
            <w:tcBorders>
              <w:left w:val="single" w:sz="4" w:space="0" w:color="auto"/>
              <w:right w:val="single" w:sz="4" w:space="0" w:color="auto"/>
            </w:tcBorders>
          </w:tcPr>
          <w:p w14:paraId="7E60BD60" w14:textId="481EDCA4" w:rsidR="00C65B9F" w:rsidRDefault="00C65B9F" w:rsidP="00056B5C">
            <w:pPr>
              <w:jc w:val="center"/>
              <w:rPr>
                <w:rFonts w:ascii="Arial" w:hAnsi="Arial"/>
                <w:snapToGrid w:val="0"/>
                <w:color w:val="000000"/>
                <w:sz w:val="20"/>
              </w:rPr>
            </w:pPr>
            <w:r>
              <w:rPr>
                <w:rFonts w:ascii="Arial" w:hAnsi="Arial"/>
                <w:snapToGrid w:val="0"/>
                <w:color w:val="000000"/>
                <w:sz w:val="20"/>
              </w:rPr>
              <w:t>0.7</w:t>
            </w:r>
            <w:r w:rsidR="00056B5C">
              <w:rPr>
                <w:rFonts w:ascii="Arial" w:hAnsi="Arial"/>
                <w:snapToGrid w:val="0"/>
                <w:color w:val="000000"/>
                <w:sz w:val="20"/>
              </w:rPr>
              <w:t>762</w:t>
            </w:r>
          </w:p>
        </w:tc>
      </w:tr>
      <w:tr w:rsidR="00C65B9F" w14:paraId="54973653" w14:textId="77777777">
        <w:trPr>
          <w:cantSplit/>
          <w:trHeight w:val="98"/>
        </w:trPr>
        <w:tc>
          <w:tcPr>
            <w:tcW w:w="1418" w:type="dxa"/>
            <w:vMerge/>
            <w:tcBorders>
              <w:top w:val="nil"/>
              <w:left w:val="single" w:sz="6" w:space="0" w:color="auto"/>
              <w:bottom w:val="single" w:sz="6" w:space="0" w:color="auto"/>
              <w:right w:val="single" w:sz="4" w:space="0" w:color="auto"/>
            </w:tcBorders>
          </w:tcPr>
          <w:p w14:paraId="2CFE6F57" w14:textId="77777777" w:rsidR="00C65B9F" w:rsidRDefault="00C65B9F">
            <w:pPr>
              <w:jc w:val="right"/>
              <w:rPr>
                <w:rFonts w:ascii="Arial" w:hAnsi="Arial"/>
                <w:snapToGrid w:val="0"/>
                <w:color w:val="000000"/>
                <w:sz w:val="20"/>
              </w:rPr>
            </w:pPr>
          </w:p>
        </w:tc>
        <w:tc>
          <w:tcPr>
            <w:tcW w:w="3685" w:type="dxa"/>
            <w:tcBorders>
              <w:left w:val="single" w:sz="4" w:space="0" w:color="auto"/>
              <w:bottom w:val="single" w:sz="4" w:space="0" w:color="auto"/>
              <w:right w:val="single" w:sz="4" w:space="0" w:color="auto"/>
            </w:tcBorders>
          </w:tcPr>
          <w:p w14:paraId="38023A6B" w14:textId="77777777" w:rsidR="00C65B9F" w:rsidRDefault="00C65B9F">
            <w:pPr>
              <w:rPr>
                <w:rFonts w:ascii="Arial" w:hAnsi="Arial"/>
                <w:snapToGrid w:val="0"/>
                <w:color w:val="000000"/>
                <w:sz w:val="20"/>
              </w:rPr>
            </w:pPr>
            <w:r>
              <w:rPr>
                <w:rFonts w:ascii="Arial" w:hAnsi="Arial"/>
                <w:snapToGrid w:val="0"/>
                <w:color w:val="000000"/>
                <w:sz w:val="20"/>
              </w:rPr>
              <w:t xml:space="preserve">Other Petroleum Products              </w:t>
            </w:r>
          </w:p>
        </w:tc>
        <w:tc>
          <w:tcPr>
            <w:tcW w:w="1843" w:type="dxa"/>
            <w:tcBorders>
              <w:left w:val="single" w:sz="4" w:space="0" w:color="auto"/>
              <w:bottom w:val="single" w:sz="4" w:space="0" w:color="auto"/>
              <w:right w:val="single" w:sz="4" w:space="0" w:color="auto"/>
            </w:tcBorders>
          </w:tcPr>
          <w:p w14:paraId="4887DE3B" w14:textId="5AF47C49" w:rsidR="00C65B9F" w:rsidRDefault="00930330" w:rsidP="00056B5C">
            <w:pPr>
              <w:jc w:val="center"/>
              <w:rPr>
                <w:rFonts w:ascii="Arial" w:hAnsi="Arial"/>
                <w:snapToGrid w:val="0"/>
                <w:color w:val="000000"/>
                <w:sz w:val="20"/>
              </w:rPr>
            </w:pPr>
            <w:r>
              <w:rPr>
                <w:rFonts w:ascii="Arial" w:hAnsi="Arial"/>
                <w:snapToGrid w:val="0"/>
                <w:color w:val="000000"/>
                <w:sz w:val="20"/>
              </w:rPr>
              <w:t>40.</w:t>
            </w:r>
            <w:r w:rsidR="00056B5C">
              <w:rPr>
                <w:rFonts w:ascii="Arial" w:hAnsi="Arial"/>
                <w:snapToGrid w:val="0"/>
                <w:color w:val="000000"/>
                <w:sz w:val="20"/>
              </w:rPr>
              <w:t>2</w:t>
            </w:r>
          </w:p>
        </w:tc>
        <w:tc>
          <w:tcPr>
            <w:tcW w:w="2126" w:type="dxa"/>
            <w:tcBorders>
              <w:left w:val="single" w:sz="4" w:space="0" w:color="auto"/>
              <w:bottom w:val="single" w:sz="4" w:space="0" w:color="auto"/>
              <w:right w:val="single" w:sz="4" w:space="0" w:color="auto"/>
            </w:tcBorders>
          </w:tcPr>
          <w:p w14:paraId="1F656297" w14:textId="05D717DC" w:rsidR="00C65B9F" w:rsidRDefault="00C65B9F">
            <w:pPr>
              <w:jc w:val="center"/>
              <w:rPr>
                <w:rFonts w:ascii="Arial" w:hAnsi="Arial"/>
                <w:snapToGrid w:val="0"/>
                <w:color w:val="000000"/>
                <w:sz w:val="10"/>
                <w:vertAlign w:val="superscript"/>
              </w:rPr>
            </w:pPr>
            <w:r>
              <w:rPr>
                <w:rFonts w:ascii="Arial" w:hAnsi="Arial"/>
                <w:snapToGrid w:val="0"/>
                <w:color w:val="000000"/>
                <w:sz w:val="20"/>
              </w:rPr>
              <w:t>0.960</w:t>
            </w:r>
          </w:p>
          <w:p w14:paraId="0F83F694" w14:textId="77777777" w:rsidR="00C65B9F" w:rsidRDefault="00C65B9F">
            <w:pPr>
              <w:jc w:val="center"/>
              <w:rPr>
                <w:rFonts w:ascii="Arial" w:hAnsi="Arial"/>
                <w:snapToGrid w:val="0"/>
                <w:color w:val="000000"/>
                <w:sz w:val="8"/>
              </w:rPr>
            </w:pPr>
          </w:p>
        </w:tc>
      </w:tr>
      <w:tr w:rsidR="00C65B9F" w14:paraId="1282F961" w14:textId="77777777">
        <w:trPr>
          <w:cantSplit/>
          <w:trHeight w:val="98"/>
        </w:trPr>
        <w:tc>
          <w:tcPr>
            <w:tcW w:w="1418" w:type="dxa"/>
            <w:vMerge w:val="restart"/>
            <w:tcBorders>
              <w:top w:val="single" w:sz="6" w:space="0" w:color="auto"/>
              <w:left w:val="single" w:sz="6" w:space="0" w:color="auto"/>
              <w:bottom w:val="nil"/>
              <w:right w:val="single" w:sz="4" w:space="0" w:color="auto"/>
            </w:tcBorders>
          </w:tcPr>
          <w:p w14:paraId="480BEE96" w14:textId="77777777" w:rsidR="00C65B9F" w:rsidRDefault="00C65B9F">
            <w:pPr>
              <w:rPr>
                <w:rFonts w:ascii="Arial" w:hAnsi="Arial"/>
                <w:b/>
                <w:snapToGrid w:val="0"/>
                <w:color w:val="000000"/>
                <w:sz w:val="10"/>
              </w:rPr>
            </w:pPr>
          </w:p>
          <w:p w14:paraId="0CCCC191" w14:textId="77777777" w:rsidR="00C65B9F" w:rsidRDefault="00C65B9F">
            <w:pPr>
              <w:rPr>
                <w:rFonts w:ascii="Arial" w:hAnsi="Arial"/>
                <w:b/>
                <w:snapToGrid w:val="0"/>
                <w:color w:val="000000"/>
                <w:sz w:val="20"/>
              </w:rPr>
            </w:pPr>
            <w:r>
              <w:rPr>
                <w:rFonts w:ascii="Arial" w:hAnsi="Arial"/>
                <w:b/>
                <w:snapToGrid w:val="0"/>
                <w:color w:val="000000"/>
                <w:sz w:val="20"/>
              </w:rPr>
              <w:t>Combustible</w:t>
            </w:r>
          </w:p>
          <w:p w14:paraId="262A9FAF" w14:textId="77777777" w:rsidR="00C65B9F" w:rsidRDefault="00C65B9F">
            <w:pPr>
              <w:rPr>
                <w:rFonts w:ascii="Arial" w:hAnsi="Arial"/>
                <w:b/>
                <w:snapToGrid w:val="0"/>
                <w:color w:val="000000"/>
                <w:sz w:val="20"/>
              </w:rPr>
            </w:pPr>
            <w:r>
              <w:rPr>
                <w:rFonts w:ascii="Arial" w:hAnsi="Arial"/>
                <w:b/>
                <w:snapToGrid w:val="0"/>
                <w:color w:val="000000"/>
                <w:sz w:val="20"/>
              </w:rPr>
              <w:t>renewables/</w:t>
            </w:r>
          </w:p>
          <w:p w14:paraId="4C3CC567" w14:textId="77777777" w:rsidR="00C65B9F" w:rsidRDefault="00C65B9F">
            <w:pPr>
              <w:rPr>
                <w:rFonts w:ascii="Arial" w:hAnsi="Arial"/>
                <w:b/>
                <w:snapToGrid w:val="0"/>
                <w:color w:val="000000"/>
                <w:sz w:val="20"/>
              </w:rPr>
            </w:pPr>
            <w:r>
              <w:rPr>
                <w:rFonts w:ascii="Arial" w:hAnsi="Arial"/>
                <w:b/>
                <w:snapToGrid w:val="0"/>
                <w:color w:val="000000"/>
                <w:sz w:val="20"/>
              </w:rPr>
              <w:t>wastes</w:t>
            </w:r>
          </w:p>
        </w:tc>
        <w:tc>
          <w:tcPr>
            <w:tcW w:w="3685" w:type="dxa"/>
            <w:tcBorders>
              <w:top w:val="single" w:sz="4" w:space="0" w:color="auto"/>
              <w:left w:val="single" w:sz="4" w:space="0" w:color="auto"/>
              <w:right w:val="single" w:sz="4" w:space="0" w:color="auto"/>
            </w:tcBorders>
          </w:tcPr>
          <w:p w14:paraId="526DEF89" w14:textId="77777777" w:rsidR="00C65B9F" w:rsidRDefault="00C65B9F">
            <w:pPr>
              <w:rPr>
                <w:rFonts w:ascii="Arial" w:hAnsi="Arial"/>
                <w:snapToGrid w:val="0"/>
                <w:color w:val="000000"/>
                <w:sz w:val="10"/>
              </w:rPr>
            </w:pPr>
          </w:p>
          <w:p w14:paraId="5E8B42EB" w14:textId="77777777" w:rsidR="00C65B9F" w:rsidRDefault="00C65B9F">
            <w:pPr>
              <w:rPr>
                <w:rFonts w:ascii="Arial" w:hAnsi="Arial"/>
                <w:snapToGrid w:val="0"/>
                <w:color w:val="000000"/>
                <w:sz w:val="20"/>
              </w:rPr>
            </w:pPr>
            <w:r>
              <w:rPr>
                <w:rFonts w:ascii="Arial" w:hAnsi="Arial"/>
                <w:snapToGrid w:val="0"/>
                <w:color w:val="000000"/>
                <w:sz w:val="20"/>
              </w:rPr>
              <w:t xml:space="preserve">Solid Biomass and Animal Products:         </w:t>
            </w:r>
          </w:p>
        </w:tc>
        <w:tc>
          <w:tcPr>
            <w:tcW w:w="1843" w:type="dxa"/>
            <w:tcBorders>
              <w:top w:val="single" w:sz="4" w:space="0" w:color="auto"/>
              <w:left w:val="single" w:sz="4" w:space="0" w:color="auto"/>
              <w:right w:val="single" w:sz="4" w:space="0" w:color="auto"/>
            </w:tcBorders>
          </w:tcPr>
          <w:p w14:paraId="1F931DA5" w14:textId="77777777" w:rsidR="00C65B9F" w:rsidRDefault="00C65B9F">
            <w:pPr>
              <w:jc w:val="center"/>
              <w:rPr>
                <w:rFonts w:ascii="Arial" w:hAnsi="Arial"/>
                <w:snapToGrid w:val="0"/>
                <w:color w:val="000000"/>
                <w:sz w:val="20"/>
              </w:rPr>
            </w:pPr>
          </w:p>
        </w:tc>
        <w:tc>
          <w:tcPr>
            <w:tcW w:w="2126" w:type="dxa"/>
            <w:tcBorders>
              <w:top w:val="single" w:sz="4" w:space="0" w:color="auto"/>
              <w:left w:val="single" w:sz="4" w:space="0" w:color="auto"/>
              <w:right w:val="single" w:sz="4" w:space="0" w:color="auto"/>
            </w:tcBorders>
          </w:tcPr>
          <w:p w14:paraId="69E50879" w14:textId="77777777" w:rsidR="00C65B9F" w:rsidRDefault="00C65B9F">
            <w:pPr>
              <w:jc w:val="center"/>
              <w:rPr>
                <w:rFonts w:ascii="Arial" w:hAnsi="Arial"/>
                <w:snapToGrid w:val="0"/>
                <w:color w:val="000000"/>
                <w:sz w:val="20"/>
              </w:rPr>
            </w:pPr>
          </w:p>
        </w:tc>
      </w:tr>
      <w:tr w:rsidR="00C65B9F" w14:paraId="3385F989" w14:textId="77777777">
        <w:trPr>
          <w:cantSplit/>
          <w:trHeight w:val="98"/>
        </w:trPr>
        <w:tc>
          <w:tcPr>
            <w:tcW w:w="1418" w:type="dxa"/>
            <w:vMerge/>
            <w:tcBorders>
              <w:top w:val="nil"/>
              <w:left w:val="single" w:sz="6" w:space="0" w:color="auto"/>
              <w:bottom w:val="nil"/>
              <w:right w:val="single" w:sz="4" w:space="0" w:color="auto"/>
            </w:tcBorders>
          </w:tcPr>
          <w:p w14:paraId="45A5B589" w14:textId="77777777" w:rsidR="00C65B9F" w:rsidRDefault="00C65B9F">
            <w:pPr>
              <w:rPr>
                <w:rFonts w:ascii="Arial" w:hAnsi="Arial"/>
                <w:b/>
                <w:snapToGrid w:val="0"/>
                <w:color w:val="000000"/>
                <w:sz w:val="20"/>
              </w:rPr>
            </w:pPr>
          </w:p>
        </w:tc>
        <w:tc>
          <w:tcPr>
            <w:tcW w:w="3685" w:type="dxa"/>
            <w:tcBorders>
              <w:left w:val="single" w:sz="4" w:space="0" w:color="auto"/>
              <w:right w:val="single" w:sz="4" w:space="0" w:color="auto"/>
            </w:tcBorders>
          </w:tcPr>
          <w:p w14:paraId="01322490" w14:textId="77777777" w:rsidR="00C65B9F" w:rsidRDefault="00C65B9F">
            <w:pPr>
              <w:rPr>
                <w:rFonts w:ascii="Arial" w:hAnsi="Arial"/>
                <w:snapToGrid w:val="0"/>
                <w:color w:val="000000"/>
                <w:sz w:val="20"/>
              </w:rPr>
            </w:pPr>
            <w:r>
              <w:rPr>
                <w:rFonts w:ascii="Arial" w:hAnsi="Arial"/>
                <w:snapToGrid w:val="0"/>
                <w:color w:val="000000"/>
                <w:sz w:val="20"/>
              </w:rPr>
              <w:t xml:space="preserve">     Wood</w:t>
            </w:r>
          </w:p>
        </w:tc>
        <w:tc>
          <w:tcPr>
            <w:tcW w:w="1843" w:type="dxa"/>
            <w:tcBorders>
              <w:left w:val="single" w:sz="4" w:space="0" w:color="auto"/>
              <w:right w:val="single" w:sz="4" w:space="0" w:color="auto"/>
            </w:tcBorders>
          </w:tcPr>
          <w:p w14:paraId="7BB148FA" w14:textId="1449354F" w:rsidR="00C65B9F" w:rsidRDefault="00930330">
            <w:pPr>
              <w:jc w:val="center"/>
              <w:rPr>
                <w:rFonts w:ascii="Arial" w:hAnsi="Arial"/>
                <w:snapToGrid w:val="0"/>
                <w:color w:val="000000"/>
                <w:sz w:val="20"/>
              </w:rPr>
            </w:pPr>
            <w:r>
              <w:rPr>
                <w:rFonts w:ascii="Arial" w:hAnsi="Arial"/>
                <w:snapToGrid w:val="0"/>
                <w:color w:val="000000"/>
                <w:sz w:val="20"/>
              </w:rPr>
              <w:t>15</w:t>
            </w:r>
            <w:r w:rsidR="00056B5C">
              <w:rPr>
                <w:rFonts w:ascii="Arial" w:hAnsi="Arial"/>
                <w:snapToGrid w:val="0"/>
                <w:color w:val="000000"/>
                <w:sz w:val="20"/>
              </w:rPr>
              <w:t>.6</w:t>
            </w:r>
          </w:p>
        </w:tc>
        <w:tc>
          <w:tcPr>
            <w:tcW w:w="2126" w:type="dxa"/>
            <w:tcBorders>
              <w:left w:val="single" w:sz="4" w:space="0" w:color="auto"/>
              <w:right w:val="single" w:sz="4" w:space="0" w:color="auto"/>
            </w:tcBorders>
          </w:tcPr>
          <w:p w14:paraId="5B49A684" w14:textId="36F80896" w:rsidR="00C65B9F" w:rsidRDefault="00C65B9F" w:rsidP="00056B5C">
            <w:pPr>
              <w:jc w:val="center"/>
              <w:rPr>
                <w:rFonts w:ascii="Arial" w:hAnsi="Arial"/>
                <w:snapToGrid w:val="0"/>
                <w:color w:val="000000"/>
                <w:sz w:val="20"/>
              </w:rPr>
            </w:pPr>
            <w:r>
              <w:rPr>
                <w:rFonts w:ascii="Arial" w:hAnsi="Arial"/>
                <w:snapToGrid w:val="0"/>
                <w:color w:val="000000"/>
                <w:sz w:val="20"/>
              </w:rPr>
              <w:t>0.3</w:t>
            </w:r>
            <w:r w:rsidR="00056B5C">
              <w:rPr>
                <w:rFonts w:ascii="Arial" w:hAnsi="Arial"/>
                <w:snapToGrid w:val="0"/>
                <w:color w:val="000000"/>
                <w:sz w:val="20"/>
              </w:rPr>
              <w:t>726</w:t>
            </w:r>
          </w:p>
        </w:tc>
      </w:tr>
      <w:tr w:rsidR="00C65B9F" w14:paraId="375C01C7" w14:textId="77777777">
        <w:trPr>
          <w:cantSplit/>
          <w:trHeight w:val="98"/>
        </w:trPr>
        <w:tc>
          <w:tcPr>
            <w:tcW w:w="1418" w:type="dxa"/>
            <w:vMerge/>
            <w:tcBorders>
              <w:top w:val="nil"/>
              <w:left w:val="single" w:sz="6" w:space="0" w:color="auto"/>
              <w:bottom w:val="nil"/>
              <w:right w:val="single" w:sz="4" w:space="0" w:color="auto"/>
            </w:tcBorders>
          </w:tcPr>
          <w:p w14:paraId="35C2BF9B" w14:textId="77777777" w:rsidR="00C65B9F" w:rsidRDefault="00C65B9F">
            <w:pPr>
              <w:jc w:val="right"/>
              <w:rPr>
                <w:rFonts w:ascii="Arial" w:hAnsi="Arial"/>
                <w:b/>
                <w:snapToGrid w:val="0"/>
                <w:color w:val="000000"/>
                <w:sz w:val="20"/>
              </w:rPr>
            </w:pPr>
          </w:p>
        </w:tc>
        <w:tc>
          <w:tcPr>
            <w:tcW w:w="3685" w:type="dxa"/>
            <w:tcBorders>
              <w:left w:val="single" w:sz="4" w:space="0" w:color="auto"/>
              <w:right w:val="single" w:sz="4" w:space="0" w:color="auto"/>
            </w:tcBorders>
          </w:tcPr>
          <w:p w14:paraId="0B3D780D" w14:textId="77777777" w:rsidR="00C65B9F" w:rsidRDefault="00C65B9F">
            <w:pPr>
              <w:rPr>
                <w:rFonts w:ascii="Arial" w:hAnsi="Arial"/>
                <w:snapToGrid w:val="0"/>
                <w:color w:val="000000"/>
                <w:sz w:val="20"/>
              </w:rPr>
            </w:pPr>
            <w:r>
              <w:rPr>
                <w:rFonts w:ascii="Arial" w:hAnsi="Arial"/>
                <w:snapToGrid w:val="0"/>
                <w:color w:val="000000"/>
                <w:sz w:val="20"/>
              </w:rPr>
              <w:t xml:space="preserve">     Vegetal materials and wastes</w:t>
            </w:r>
          </w:p>
        </w:tc>
        <w:tc>
          <w:tcPr>
            <w:tcW w:w="1843" w:type="dxa"/>
            <w:tcBorders>
              <w:left w:val="single" w:sz="4" w:space="0" w:color="auto"/>
              <w:right w:val="single" w:sz="4" w:space="0" w:color="auto"/>
            </w:tcBorders>
          </w:tcPr>
          <w:p w14:paraId="50333CED" w14:textId="7FA184A6" w:rsidR="00C65B9F" w:rsidRDefault="0046538B">
            <w:pPr>
              <w:jc w:val="center"/>
              <w:rPr>
                <w:rFonts w:ascii="Arial" w:hAnsi="Arial"/>
                <w:snapToGrid w:val="0"/>
                <w:color w:val="000000"/>
                <w:sz w:val="20"/>
              </w:rPr>
            </w:pPr>
            <w:r>
              <w:rPr>
                <w:rFonts w:ascii="Arial" w:hAnsi="Arial"/>
                <w:snapToGrid w:val="0"/>
                <w:color w:val="000000"/>
                <w:sz w:val="20"/>
              </w:rPr>
              <w:t>14.78</w:t>
            </w:r>
            <w:r w:rsidR="00897FF0">
              <w:rPr>
                <w:rFonts w:ascii="Arial" w:hAnsi="Arial"/>
                <w:snapToGrid w:val="0"/>
                <w:color w:val="000000"/>
                <w:sz w:val="20"/>
                <w:vertAlign w:val="superscript"/>
              </w:rPr>
              <w:t>c</w:t>
            </w:r>
          </w:p>
        </w:tc>
        <w:tc>
          <w:tcPr>
            <w:tcW w:w="2126" w:type="dxa"/>
            <w:tcBorders>
              <w:left w:val="single" w:sz="4" w:space="0" w:color="auto"/>
              <w:right w:val="single" w:sz="4" w:space="0" w:color="auto"/>
            </w:tcBorders>
          </w:tcPr>
          <w:p w14:paraId="58B51E66" w14:textId="6625F3A8" w:rsidR="00C65B9F" w:rsidRDefault="00C65B9F" w:rsidP="00D3590F">
            <w:pPr>
              <w:jc w:val="center"/>
              <w:rPr>
                <w:rFonts w:ascii="Arial" w:hAnsi="Arial"/>
                <w:snapToGrid w:val="0"/>
                <w:color w:val="000000"/>
                <w:sz w:val="20"/>
              </w:rPr>
            </w:pPr>
            <w:r>
              <w:rPr>
                <w:rFonts w:ascii="Arial" w:hAnsi="Arial"/>
                <w:snapToGrid w:val="0"/>
                <w:color w:val="000000"/>
                <w:sz w:val="20"/>
              </w:rPr>
              <w:t>0.</w:t>
            </w:r>
            <w:r w:rsidR="00056B5C">
              <w:rPr>
                <w:rFonts w:ascii="Arial" w:hAnsi="Arial"/>
                <w:snapToGrid w:val="0"/>
                <w:color w:val="000000"/>
                <w:sz w:val="20"/>
              </w:rPr>
              <w:t>3530</w:t>
            </w:r>
            <w:r>
              <w:rPr>
                <w:rFonts w:ascii="Arial" w:hAnsi="Arial"/>
                <w:snapToGrid w:val="0"/>
                <w:color w:val="000000"/>
                <w:sz w:val="20"/>
                <w:vertAlign w:val="superscript"/>
              </w:rPr>
              <w:t xml:space="preserve"> </w:t>
            </w:r>
          </w:p>
        </w:tc>
      </w:tr>
      <w:tr w:rsidR="00C65B9F" w14:paraId="06CE68C5" w14:textId="77777777">
        <w:trPr>
          <w:cantSplit/>
          <w:trHeight w:val="98"/>
        </w:trPr>
        <w:tc>
          <w:tcPr>
            <w:tcW w:w="1418" w:type="dxa"/>
            <w:vMerge/>
            <w:tcBorders>
              <w:top w:val="nil"/>
              <w:left w:val="single" w:sz="6" w:space="0" w:color="auto"/>
              <w:bottom w:val="nil"/>
              <w:right w:val="single" w:sz="4" w:space="0" w:color="auto"/>
            </w:tcBorders>
          </w:tcPr>
          <w:p w14:paraId="5FBCF726" w14:textId="77777777" w:rsidR="00C65B9F" w:rsidRDefault="00C65B9F">
            <w:pPr>
              <w:jc w:val="right"/>
              <w:rPr>
                <w:rFonts w:ascii="Arial" w:hAnsi="Arial"/>
                <w:b/>
                <w:snapToGrid w:val="0"/>
                <w:color w:val="000000"/>
                <w:sz w:val="20"/>
              </w:rPr>
            </w:pPr>
          </w:p>
        </w:tc>
        <w:tc>
          <w:tcPr>
            <w:tcW w:w="3685" w:type="dxa"/>
            <w:tcBorders>
              <w:left w:val="single" w:sz="4" w:space="0" w:color="auto"/>
              <w:right w:val="single" w:sz="4" w:space="0" w:color="auto"/>
            </w:tcBorders>
          </w:tcPr>
          <w:p w14:paraId="6F624E0F" w14:textId="77777777" w:rsidR="00C65B9F" w:rsidRDefault="00C65B9F">
            <w:pPr>
              <w:ind w:left="821" w:hanging="821"/>
              <w:rPr>
                <w:rFonts w:ascii="Arial" w:hAnsi="Arial"/>
                <w:snapToGrid w:val="0"/>
                <w:color w:val="000000"/>
                <w:sz w:val="20"/>
              </w:rPr>
            </w:pPr>
            <w:r>
              <w:rPr>
                <w:rFonts w:ascii="Arial" w:hAnsi="Arial"/>
                <w:snapToGrid w:val="0"/>
                <w:color w:val="000000"/>
                <w:sz w:val="20"/>
              </w:rPr>
              <w:t xml:space="preserve">     Other (e.g. animal products/ wastes)</w:t>
            </w:r>
          </w:p>
        </w:tc>
        <w:tc>
          <w:tcPr>
            <w:tcW w:w="1843" w:type="dxa"/>
            <w:tcBorders>
              <w:left w:val="single" w:sz="4" w:space="0" w:color="auto"/>
              <w:right w:val="single" w:sz="4" w:space="0" w:color="auto"/>
            </w:tcBorders>
          </w:tcPr>
          <w:p w14:paraId="29598CD0" w14:textId="7F3F622C" w:rsidR="00C65B9F" w:rsidRDefault="00D3590F" w:rsidP="00D3590F">
            <w:pPr>
              <w:ind w:left="821" w:hanging="821"/>
              <w:jc w:val="center"/>
              <w:rPr>
                <w:rFonts w:ascii="Arial" w:hAnsi="Arial"/>
                <w:snapToGrid w:val="0"/>
                <w:color w:val="000000"/>
                <w:sz w:val="20"/>
              </w:rPr>
            </w:pPr>
            <w:r>
              <w:rPr>
                <w:rFonts w:ascii="Arial" w:hAnsi="Arial"/>
                <w:snapToGrid w:val="0"/>
                <w:color w:val="000000"/>
                <w:sz w:val="20"/>
              </w:rPr>
              <w:t>11.8</w:t>
            </w:r>
            <w:r w:rsidR="00897FF0">
              <w:rPr>
                <w:rFonts w:ascii="Arial" w:hAnsi="Arial"/>
                <w:snapToGrid w:val="0"/>
                <w:color w:val="000000"/>
                <w:sz w:val="20"/>
                <w:vertAlign w:val="superscript"/>
              </w:rPr>
              <w:t>d</w:t>
            </w:r>
          </w:p>
        </w:tc>
        <w:tc>
          <w:tcPr>
            <w:tcW w:w="2126" w:type="dxa"/>
            <w:tcBorders>
              <w:left w:val="single" w:sz="4" w:space="0" w:color="auto"/>
              <w:right w:val="single" w:sz="4" w:space="0" w:color="auto"/>
            </w:tcBorders>
          </w:tcPr>
          <w:p w14:paraId="6B7BC8AC" w14:textId="10F90583" w:rsidR="00C65B9F" w:rsidRDefault="00C65B9F" w:rsidP="00D3590F">
            <w:pPr>
              <w:ind w:left="821" w:hanging="821"/>
              <w:jc w:val="center"/>
              <w:rPr>
                <w:rFonts w:ascii="Arial" w:hAnsi="Arial"/>
                <w:snapToGrid w:val="0"/>
                <w:color w:val="000000"/>
                <w:sz w:val="20"/>
              </w:rPr>
            </w:pPr>
            <w:r>
              <w:rPr>
                <w:rFonts w:ascii="Arial" w:hAnsi="Arial"/>
                <w:snapToGrid w:val="0"/>
                <w:color w:val="000000"/>
                <w:sz w:val="20"/>
              </w:rPr>
              <w:t>0.</w:t>
            </w:r>
            <w:r w:rsidR="00D3590F">
              <w:rPr>
                <w:rFonts w:ascii="Arial" w:hAnsi="Arial"/>
                <w:snapToGrid w:val="0"/>
                <w:color w:val="000000"/>
                <w:sz w:val="20"/>
              </w:rPr>
              <w:t>2809</w:t>
            </w:r>
          </w:p>
        </w:tc>
      </w:tr>
      <w:tr w:rsidR="00C65B9F" w14:paraId="57D30855" w14:textId="77777777">
        <w:trPr>
          <w:cantSplit/>
          <w:trHeight w:val="94"/>
        </w:trPr>
        <w:tc>
          <w:tcPr>
            <w:tcW w:w="1418" w:type="dxa"/>
            <w:vMerge/>
            <w:tcBorders>
              <w:top w:val="nil"/>
              <w:left w:val="single" w:sz="6" w:space="0" w:color="auto"/>
              <w:bottom w:val="nil"/>
              <w:right w:val="single" w:sz="4" w:space="0" w:color="auto"/>
            </w:tcBorders>
          </w:tcPr>
          <w:p w14:paraId="379611D4"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531E835E" w14:textId="77777777" w:rsidR="00350F54" w:rsidRDefault="00350F54">
            <w:pPr>
              <w:rPr>
                <w:rFonts w:ascii="Arial" w:hAnsi="Arial"/>
                <w:snapToGrid w:val="0"/>
                <w:color w:val="000000"/>
                <w:sz w:val="20"/>
              </w:rPr>
            </w:pPr>
            <w:r>
              <w:rPr>
                <w:rFonts w:ascii="Arial" w:hAnsi="Arial"/>
                <w:snapToGrid w:val="0"/>
                <w:color w:val="000000"/>
                <w:sz w:val="20"/>
              </w:rPr>
              <w:t>Gas/Liquids from b</w:t>
            </w:r>
            <w:r w:rsidR="00C65B9F">
              <w:rPr>
                <w:rFonts w:ascii="Arial" w:hAnsi="Arial"/>
                <w:snapToGrid w:val="0"/>
                <w:color w:val="000000"/>
                <w:sz w:val="20"/>
              </w:rPr>
              <w:t>iomass</w:t>
            </w:r>
            <w:r w:rsidR="00D3590F">
              <w:rPr>
                <w:rFonts w:ascii="Arial" w:hAnsi="Arial"/>
                <w:snapToGrid w:val="0"/>
                <w:color w:val="000000"/>
                <w:sz w:val="20"/>
              </w:rPr>
              <w:t>/</w:t>
            </w:r>
            <w:r w:rsidR="00C65B9F">
              <w:rPr>
                <w:rFonts w:ascii="Arial" w:hAnsi="Arial"/>
                <w:snapToGrid w:val="0"/>
                <w:color w:val="000000"/>
                <w:sz w:val="20"/>
              </w:rPr>
              <w:t>wastes</w:t>
            </w:r>
          </w:p>
          <w:p w14:paraId="7D4D459C" w14:textId="6FCF327A" w:rsidR="00D3590F" w:rsidRDefault="00350F54">
            <w:pPr>
              <w:rPr>
                <w:rFonts w:ascii="Arial" w:hAnsi="Arial"/>
                <w:snapToGrid w:val="0"/>
                <w:color w:val="000000"/>
                <w:sz w:val="20"/>
              </w:rPr>
            </w:pPr>
            <w:r>
              <w:rPr>
                <w:rFonts w:ascii="Arial" w:hAnsi="Arial"/>
                <w:snapToGrid w:val="0"/>
                <w:color w:val="000000"/>
                <w:sz w:val="20"/>
              </w:rPr>
              <w:t xml:space="preserve">     </w:t>
            </w:r>
            <w:r w:rsidR="00D3590F">
              <w:rPr>
                <w:rFonts w:ascii="Arial" w:hAnsi="Arial"/>
                <w:snapToGrid w:val="0"/>
                <w:color w:val="000000"/>
                <w:sz w:val="20"/>
              </w:rPr>
              <w:t xml:space="preserve"> (</w:t>
            </w:r>
            <w:r w:rsidR="00897FF0">
              <w:rPr>
                <w:rFonts w:ascii="Arial" w:hAnsi="Arial"/>
                <w:snapToGrid w:val="0"/>
                <w:color w:val="000000"/>
                <w:sz w:val="20"/>
              </w:rPr>
              <w:t xml:space="preserve">for </w:t>
            </w:r>
            <w:r w:rsidR="00D3590F">
              <w:rPr>
                <w:rFonts w:ascii="Arial" w:hAnsi="Arial"/>
                <w:snapToGrid w:val="0"/>
                <w:color w:val="000000"/>
                <w:sz w:val="20"/>
              </w:rPr>
              <w:t>transport</w:t>
            </w:r>
            <w:r>
              <w:rPr>
                <w:rFonts w:ascii="Arial" w:hAnsi="Arial"/>
                <w:snapToGrid w:val="0"/>
                <w:color w:val="000000"/>
                <w:sz w:val="20"/>
              </w:rPr>
              <w:t>:</w:t>
            </w:r>
            <w:r w:rsidR="00897FF0">
              <w:rPr>
                <w:rFonts w:ascii="Arial" w:hAnsi="Arial"/>
                <w:snapToGrid w:val="0"/>
                <w:color w:val="000000"/>
                <w:sz w:val="20"/>
              </w:rPr>
              <w:t xml:space="preserve"> biogasoline</w:t>
            </w:r>
            <w:r>
              <w:rPr>
                <w:rFonts w:ascii="Arial" w:hAnsi="Arial"/>
                <w:snapToGrid w:val="0"/>
                <w:color w:val="000000"/>
                <w:sz w:val="20"/>
              </w:rPr>
              <w:t>/</w:t>
            </w:r>
            <w:r w:rsidR="00897FF0">
              <w:rPr>
                <w:rFonts w:ascii="Arial" w:hAnsi="Arial"/>
                <w:snapToGrid w:val="0"/>
                <w:color w:val="000000"/>
                <w:sz w:val="20"/>
              </w:rPr>
              <w:t xml:space="preserve"> biodiesel</w:t>
            </w:r>
            <w:r w:rsidR="00D3590F">
              <w:rPr>
                <w:rFonts w:ascii="Arial" w:hAnsi="Arial"/>
                <w:snapToGrid w:val="0"/>
                <w:color w:val="000000"/>
                <w:sz w:val="20"/>
              </w:rPr>
              <w:t>)</w:t>
            </w:r>
            <w:r w:rsidR="00C65B9F">
              <w:rPr>
                <w:rFonts w:ascii="Arial" w:hAnsi="Arial"/>
                <w:snapToGrid w:val="0"/>
                <w:color w:val="000000"/>
                <w:sz w:val="20"/>
              </w:rPr>
              <w:t xml:space="preserve"> </w:t>
            </w:r>
          </w:p>
          <w:p w14:paraId="66EBF5CB" w14:textId="77777777" w:rsidR="00350F54" w:rsidRDefault="00D3590F" w:rsidP="00350F54">
            <w:pPr>
              <w:rPr>
                <w:rFonts w:ascii="Arial" w:hAnsi="Arial"/>
                <w:snapToGrid w:val="0"/>
                <w:color w:val="000000"/>
                <w:sz w:val="20"/>
              </w:rPr>
            </w:pPr>
            <w:r>
              <w:rPr>
                <w:rFonts w:ascii="Arial" w:hAnsi="Arial"/>
                <w:snapToGrid w:val="0"/>
                <w:color w:val="000000"/>
                <w:sz w:val="20"/>
              </w:rPr>
              <w:t>Gas/Liquids from Biomass/wastes</w:t>
            </w:r>
          </w:p>
          <w:p w14:paraId="1336B7B4" w14:textId="2019EC33" w:rsidR="00C65B9F" w:rsidRDefault="00350F54" w:rsidP="00350F54">
            <w:pPr>
              <w:rPr>
                <w:rFonts w:ascii="Arial" w:hAnsi="Arial"/>
                <w:snapToGrid w:val="0"/>
                <w:color w:val="000000"/>
                <w:sz w:val="20"/>
              </w:rPr>
            </w:pPr>
            <w:r>
              <w:rPr>
                <w:rFonts w:ascii="Arial" w:hAnsi="Arial"/>
                <w:snapToGrid w:val="0"/>
                <w:color w:val="000000"/>
                <w:sz w:val="20"/>
              </w:rPr>
              <w:t xml:space="preserve">      </w:t>
            </w:r>
            <w:r w:rsidR="00D3590F">
              <w:rPr>
                <w:rFonts w:ascii="Arial" w:hAnsi="Arial"/>
                <w:snapToGrid w:val="0"/>
                <w:color w:val="000000"/>
                <w:sz w:val="20"/>
              </w:rPr>
              <w:t>(</w:t>
            </w:r>
            <w:r w:rsidR="00897FF0">
              <w:rPr>
                <w:rFonts w:ascii="Arial" w:hAnsi="Arial"/>
                <w:snapToGrid w:val="0"/>
                <w:color w:val="000000"/>
                <w:sz w:val="20"/>
              </w:rPr>
              <w:t xml:space="preserve">for </w:t>
            </w:r>
            <w:r>
              <w:rPr>
                <w:rFonts w:ascii="Arial" w:hAnsi="Arial"/>
                <w:snapToGrid w:val="0"/>
                <w:color w:val="000000"/>
                <w:sz w:val="20"/>
              </w:rPr>
              <w:tab/>
            </w:r>
            <w:r w:rsidR="00897FF0">
              <w:rPr>
                <w:rFonts w:ascii="Arial" w:hAnsi="Arial"/>
                <w:snapToGrid w:val="0"/>
                <w:color w:val="000000"/>
                <w:sz w:val="20"/>
              </w:rPr>
              <w:t>biogas = value for methane</w:t>
            </w:r>
            <w:r w:rsidR="00D3590F">
              <w:rPr>
                <w:rFonts w:ascii="Arial" w:hAnsi="Arial"/>
                <w:snapToGrid w:val="0"/>
                <w:color w:val="000000"/>
                <w:sz w:val="20"/>
              </w:rPr>
              <w:t xml:space="preserve">) </w:t>
            </w:r>
            <w:r w:rsidR="00C65B9F">
              <w:rPr>
                <w:rFonts w:ascii="Arial" w:hAnsi="Arial"/>
                <w:snapToGrid w:val="0"/>
                <w:color w:val="000000"/>
                <w:sz w:val="20"/>
              </w:rPr>
              <w:t xml:space="preserve">       </w:t>
            </w:r>
          </w:p>
        </w:tc>
        <w:tc>
          <w:tcPr>
            <w:tcW w:w="1843" w:type="dxa"/>
            <w:tcBorders>
              <w:left w:val="single" w:sz="4" w:space="0" w:color="auto"/>
              <w:right w:val="single" w:sz="4" w:space="0" w:color="auto"/>
            </w:tcBorders>
          </w:tcPr>
          <w:p w14:paraId="10889C12" w14:textId="1A5D58DC" w:rsidR="00C65B9F" w:rsidRDefault="00897FF0">
            <w:pPr>
              <w:jc w:val="center"/>
              <w:rPr>
                <w:rFonts w:ascii="Arial" w:hAnsi="Arial"/>
                <w:snapToGrid w:val="0"/>
                <w:color w:val="000000"/>
                <w:szCs w:val="24"/>
                <w:vertAlign w:val="superscript"/>
              </w:rPr>
            </w:pPr>
            <w:r>
              <w:rPr>
                <w:rFonts w:ascii="Arial" w:hAnsi="Arial"/>
                <w:snapToGrid w:val="0"/>
                <w:color w:val="000000"/>
                <w:sz w:val="20"/>
              </w:rPr>
              <w:t>27</w:t>
            </w:r>
          </w:p>
          <w:p w14:paraId="201C825F" w14:textId="77777777" w:rsidR="00897FF0" w:rsidRDefault="00897FF0">
            <w:pPr>
              <w:jc w:val="center"/>
              <w:rPr>
                <w:rFonts w:ascii="Arial" w:hAnsi="Arial"/>
                <w:snapToGrid w:val="0"/>
                <w:color w:val="000000"/>
                <w:szCs w:val="24"/>
                <w:vertAlign w:val="superscript"/>
              </w:rPr>
            </w:pPr>
          </w:p>
          <w:p w14:paraId="35322505" w14:textId="399E0F57" w:rsidR="00897FF0" w:rsidRDefault="00897FF0">
            <w:pPr>
              <w:jc w:val="center"/>
              <w:rPr>
                <w:rFonts w:ascii="Arial" w:hAnsi="Arial"/>
                <w:snapToGrid w:val="0"/>
                <w:color w:val="000000"/>
                <w:sz w:val="20"/>
              </w:rPr>
            </w:pPr>
            <w:r>
              <w:rPr>
                <w:rFonts w:ascii="Arial" w:hAnsi="Arial"/>
                <w:snapToGrid w:val="0"/>
                <w:color w:val="000000"/>
                <w:szCs w:val="24"/>
                <w:vertAlign w:val="superscript"/>
              </w:rPr>
              <w:t>50.4</w:t>
            </w:r>
          </w:p>
        </w:tc>
        <w:tc>
          <w:tcPr>
            <w:tcW w:w="2126" w:type="dxa"/>
            <w:tcBorders>
              <w:left w:val="single" w:sz="4" w:space="0" w:color="auto"/>
              <w:right w:val="single" w:sz="4" w:space="0" w:color="auto"/>
            </w:tcBorders>
          </w:tcPr>
          <w:p w14:paraId="11D95898" w14:textId="08AEE3C6" w:rsidR="00C65B9F" w:rsidRDefault="00572D7C">
            <w:pPr>
              <w:jc w:val="center"/>
              <w:rPr>
                <w:rFonts w:ascii="Arial" w:hAnsi="Arial"/>
                <w:snapToGrid w:val="0"/>
                <w:color w:val="000000"/>
                <w:sz w:val="20"/>
              </w:rPr>
            </w:pPr>
            <w:r>
              <w:rPr>
                <w:rFonts w:ascii="Arial" w:hAnsi="Arial"/>
                <w:snapToGrid w:val="0"/>
                <w:color w:val="000000"/>
                <w:sz w:val="20"/>
              </w:rPr>
              <w:t>0.</w:t>
            </w:r>
            <w:r w:rsidR="00897FF0">
              <w:rPr>
                <w:rFonts w:ascii="Arial" w:hAnsi="Arial"/>
                <w:snapToGrid w:val="0"/>
                <w:color w:val="000000"/>
                <w:sz w:val="20"/>
              </w:rPr>
              <w:t>6449</w:t>
            </w:r>
          </w:p>
          <w:p w14:paraId="400E07CC" w14:textId="77777777" w:rsidR="00897FF0" w:rsidRDefault="00897FF0">
            <w:pPr>
              <w:jc w:val="center"/>
              <w:rPr>
                <w:rFonts w:ascii="Arial" w:hAnsi="Arial"/>
                <w:snapToGrid w:val="0"/>
                <w:color w:val="000000"/>
                <w:sz w:val="20"/>
              </w:rPr>
            </w:pPr>
          </w:p>
          <w:p w14:paraId="5FC3063C" w14:textId="46E7AF32" w:rsidR="00897FF0" w:rsidRDefault="00897FF0">
            <w:pPr>
              <w:jc w:val="center"/>
              <w:rPr>
                <w:rFonts w:ascii="Arial" w:hAnsi="Arial"/>
                <w:snapToGrid w:val="0"/>
                <w:color w:val="000000"/>
                <w:sz w:val="20"/>
              </w:rPr>
            </w:pPr>
            <w:r>
              <w:rPr>
                <w:rFonts w:ascii="Arial" w:hAnsi="Arial"/>
                <w:snapToGrid w:val="0"/>
                <w:color w:val="000000"/>
                <w:sz w:val="20"/>
              </w:rPr>
              <w:t>1.204</w:t>
            </w:r>
          </w:p>
        </w:tc>
      </w:tr>
      <w:tr w:rsidR="00C65B9F" w14:paraId="0A07498B" w14:textId="77777777">
        <w:trPr>
          <w:cantSplit/>
          <w:trHeight w:val="94"/>
        </w:trPr>
        <w:tc>
          <w:tcPr>
            <w:tcW w:w="1418" w:type="dxa"/>
            <w:vMerge/>
            <w:tcBorders>
              <w:top w:val="nil"/>
              <w:left w:val="single" w:sz="6" w:space="0" w:color="auto"/>
              <w:bottom w:val="nil"/>
              <w:right w:val="single" w:sz="4" w:space="0" w:color="auto"/>
            </w:tcBorders>
          </w:tcPr>
          <w:p w14:paraId="55F38B3B"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7B3134EA" w14:textId="77777777" w:rsidR="00C65B9F" w:rsidRDefault="00C65B9F">
            <w:pPr>
              <w:rPr>
                <w:rFonts w:ascii="Arial" w:hAnsi="Arial"/>
                <w:snapToGrid w:val="0"/>
                <w:color w:val="000000"/>
                <w:sz w:val="20"/>
              </w:rPr>
            </w:pPr>
            <w:r>
              <w:rPr>
                <w:rFonts w:ascii="Arial" w:hAnsi="Arial"/>
                <w:snapToGrid w:val="0"/>
                <w:color w:val="000000"/>
                <w:sz w:val="20"/>
              </w:rPr>
              <w:t xml:space="preserve">Municipal Waste                               </w:t>
            </w:r>
          </w:p>
        </w:tc>
        <w:tc>
          <w:tcPr>
            <w:tcW w:w="1843" w:type="dxa"/>
            <w:tcBorders>
              <w:left w:val="single" w:sz="4" w:space="0" w:color="auto"/>
              <w:right w:val="single" w:sz="4" w:space="0" w:color="auto"/>
            </w:tcBorders>
          </w:tcPr>
          <w:p w14:paraId="29C7F716" w14:textId="5DEE0E00" w:rsidR="00C65B9F" w:rsidRDefault="00930330">
            <w:pPr>
              <w:jc w:val="center"/>
              <w:rPr>
                <w:rFonts w:ascii="Arial" w:hAnsi="Arial"/>
                <w:snapToGrid w:val="0"/>
                <w:color w:val="000000"/>
                <w:sz w:val="20"/>
              </w:rPr>
            </w:pPr>
            <w:r>
              <w:rPr>
                <w:rFonts w:ascii="Arial" w:hAnsi="Arial"/>
                <w:snapToGrid w:val="0"/>
                <w:color w:val="000000"/>
                <w:sz w:val="20"/>
              </w:rPr>
              <w:t>11</w:t>
            </w:r>
            <w:r w:rsidR="00897FF0">
              <w:rPr>
                <w:rFonts w:ascii="Arial" w:hAnsi="Arial"/>
                <w:snapToGrid w:val="0"/>
                <w:color w:val="000000"/>
                <w:sz w:val="20"/>
              </w:rPr>
              <w:t>.6</w:t>
            </w:r>
          </w:p>
        </w:tc>
        <w:tc>
          <w:tcPr>
            <w:tcW w:w="2126" w:type="dxa"/>
            <w:tcBorders>
              <w:left w:val="single" w:sz="4" w:space="0" w:color="auto"/>
              <w:right w:val="single" w:sz="4" w:space="0" w:color="auto"/>
            </w:tcBorders>
          </w:tcPr>
          <w:p w14:paraId="775EC70E" w14:textId="70A7BEC6" w:rsidR="00C65B9F" w:rsidRDefault="00C65B9F" w:rsidP="00897FF0">
            <w:pPr>
              <w:jc w:val="center"/>
              <w:rPr>
                <w:rFonts w:ascii="Arial" w:hAnsi="Arial"/>
                <w:snapToGrid w:val="0"/>
                <w:color w:val="000000"/>
                <w:sz w:val="20"/>
              </w:rPr>
            </w:pPr>
            <w:r>
              <w:rPr>
                <w:rFonts w:ascii="Arial" w:hAnsi="Arial"/>
                <w:snapToGrid w:val="0"/>
                <w:color w:val="000000"/>
                <w:sz w:val="20"/>
              </w:rPr>
              <w:t>0.2</w:t>
            </w:r>
            <w:r w:rsidR="00897FF0">
              <w:rPr>
                <w:rFonts w:ascii="Arial" w:hAnsi="Arial"/>
                <w:snapToGrid w:val="0"/>
                <w:color w:val="000000"/>
                <w:sz w:val="20"/>
              </w:rPr>
              <w:t>771</w:t>
            </w:r>
          </w:p>
        </w:tc>
      </w:tr>
      <w:tr w:rsidR="00C65B9F" w14:paraId="1ECC86A7" w14:textId="77777777">
        <w:trPr>
          <w:cantSplit/>
          <w:trHeight w:val="94"/>
        </w:trPr>
        <w:tc>
          <w:tcPr>
            <w:tcW w:w="1418" w:type="dxa"/>
            <w:vMerge/>
            <w:tcBorders>
              <w:top w:val="nil"/>
              <w:left w:val="single" w:sz="6" w:space="0" w:color="auto"/>
              <w:bottom w:val="nil"/>
              <w:right w:val="single" w:sz="4" w:space="0" w:color="auto"/>
            </w:tcBorders>
          </w:tcPr>
          <w:p w14:paraId="549D0ADF" w14:textId="77777777" w:rsidR="00C65B9F" w:rsidRDefault="00C65B9F">
            <w:pPr>
              <w:jc w:val="right"/>
              <w:rPr>
                <w:rFonts w:ascii="Arial" w:hAnsi="Arial"/>
                <w:snapToGrid w:val="0"/>
                <w:color w:val="000000"/>
                <w:sz w:val="20"/>
              </w:rPr>
            </w:pPr>
          </w:p>
        </w:tc>
        <w:tc>
          <w:tcPr>
            <w:tcW w:w="3685" w:type="dxa"/>
            <w:tcBorders>
              <w:left w:val="single" w:sz="4" w:space="0" w:color="auto"/>
              <w:right w:val="single" w:sz="4" w:space="0" w:color="auto"/>
            </w:tcBorders>
          </w:tcPr>
          <w:p w14:paraId="27B701C0" w14:textId="77777777" w:rsidR="00C65B9F" w:rsidRDefault="00C65B9F">
            <w:pPr>
              <w:rPr>
                <w:rFonts w:ascii="Arial" w:hAnsi="Arial"/>
                <w:snapToGrid w:val="0"/>
                <w:color w:val="000000"/>
                <w:sz w:val="20"/>
              </w:rPr>
            </w:pPr>
            <w:r>
              <w:rPr>
                <w:rFonts w:ascii="Arial" w:hAnsi="Arial"/>
                <w:snapToGrid w:val="0"/>
                <w:color w:val="000000"/>
                <w:sz w:val="20"/>
              </w:rPr>
              <w:t xml:space="preserve">Industrial Waste                              </w:t>
            </w:r>
          </w:p>
        </w:tc>
        <w:tc>
          <w:tcPr>
            <w:tcW w:w="1843" w:type="dxa"/>
            <w:tcBorders>
              <w:left w:val="single" w:sz="4" w:space="0" w:color="auto"/>
              <w:right w:val="single" w:sz="4" w:space="0" w:color="auto"/>
            </w:tcBorders>
          </w:tcPr>
          <w:p w14:paraId="32CAFC71" w14:textId="6FB9591A" w:rsidR="00C65B9F" w:rsidRDefault="002F640C">
            <w:pPr>
              <w:jc w:val="center"/>
              <w:rPr>
                <w:rFonts w:ascii="Arial" w:hAnsi="Arial"/>
                <w:snapToGrid w:val="0"/>
                <w:color w:val="000000"/>
                <w:sz w:val="20"/>
              </w:rPr>
            </w:pPr>
            <w:r>
              <w:rPr>
                <w:rFonts w:ascii="Arial" w:hAnsi="Arial"/>
                <w:snapToGrid w:val="0"/>
                <w:color w:val="000000"/>
                <w:sz w:val="20"/>
              </w:rPr>
              <w:t>11</w:t>
            </w:r>
            <w:r w:rsidR="00897FF0">
              <w:rPr>
                <w:rFonts w:ascii="Arial" w:hAnsi="Arial"/>
                <w:snapToGrid w:val="0"/>
                <w:color w:val="000000"/>
                <w:sz w:val="20"/>
              </w:rPr>
              <w:t>.6</w:t>
            </w:r>
          </w:p>
        </w:tc>
        <w:tc>
          <w:tcPr>
            <w:tcW w:w="2126" w:type="dxa"/>
            <w:tcBorders>
              <w:left w:val="single" w:sz="4" w:space="0" w:color="auto"/>
              <w:right w:val="single" w:sz="4" w:space="0" w:color="auto"/>
            </w:tcBorders>
          </w:tcPr>
          <w:p w14:paraId="30433ECA" w14:textId="005B1D65" w:rsidR="00C65B9F" w:rsidRDefault="002F640C" w:rsidP="00897FF0">
            <w:pPr>
              <w:jc w:val="center"/>
              <w:rPr>
                <w:rFonts w:ascii="Arial" w:hAnsi="Arial"/>
                <w:snapToGrid w:val="0"/>
                <w:color w:val="000000"/>
                <w:sz w:val="20"/>
              </w:rPr>
            </w:pPr>
            <w:r>
              <w:rPr>
                <w:rFonts w:ascii="Arial" w:hAnsi="Arial"/>
                <w:snapToGrid w:val="0"/>
                <w:color w:val="000000"/>
                <w:sz w:val="20"/>
              </w:rPr>
              <w:t>0.2</w:t>
            </w:r>
            <w:r w:rsidR="00897FF0">
              <w:rPr>
                <w:rFonts w:ascii="Arial" w:hAnsi="Arial"/>
                <w:snapToGrid w:val="0"/>
                <w:color w:val="000000"/>
                <w:sz w:val="20"/>
              </w:rPr>
              <w:t>771</w:t>
            </w:r>
          </w:p>
        </w:tc>
      </w:tr>
      <w:tr w:rsidR="00C65B9F" w14:paraId="0D983BCC" w14:textId="77777777">
        <w:trPr>
          <w:cantSplit/>
          <w:trHeight w:val="94"/>
        </w:trPr>
        <w:tc>
          <w:tcPr>
            <w:tcW w:w="1418" w:type="dxa"/>
            <w:vMerge/>
            <w:tcBorders>
              <w:top w:val="nil"/>
              <w:left w:val="single" w:sz="6" w:space="0" w:color="auto"/>
              <w:bottom w:val="single" w:sz="6" w:space="0" w:color="auto"/>
              <w:right w:val="single" w:sz="4" w:space="0" w:color="auto"/>
            </w:tcBorders>
          </w:tcPr>
          <w:p w14:paraId="27568225" w14:textId="77777777" w:rsidR="00C65B9F" w:rsidRDefault="00C65B9F">
            <w:pPr>
              <w:jc w:val="right"/>
              <w:rPr>
                <w:rFonts w:ascii="Arial" w:hAnsi="Arial"/>
                <w:snapToGrid w:val="0"/>
                <w:color w:val="000000"/>
                <w:sz w:val="20"/>
              </w:rPr>
            </w:pPr>
          </w:p>
        </w:tc>
        <w:tc>
          <w:tcPr>
            <w:tcW w:w="3685" w:type="dxa"/>
            <w:tcBorders>
              <w:left w:val="single" w:sz="4" w:space="0" w:color="auto"/>
              <w:bottom w:val="single" w:sz="4" w:space="0" w:color="auto"/>
              <w:right w:val="single" w:sz="4" w:space="0" w:color="auto"/>
            </w:tcBorders>
          </w:tcPr>
          <w:p w14:paraId="3CCB983D" w14:textId="77777777" w:rsidR="00C65B9F" w:rsidRDefault="00C65B9F">
            <w:pPr>
              <w:rPr>
                <w:rFonts w:ascii="Arial" w:hAnsi="Arial"/>
                <w:snapToGrid w:val="0"/>
                <w:color w:val="000000"/>
                <w:sz w:val="10"/>
              </w:rPr>
            </w:pPr>
            <w:r>
              <w:rPr>
                <w:rFonts w:ascii="Arial" w:hAnsi="Arial"/>
                <w:snapToGrid w:val="0"/>
                <w:color w:val="000000"/>
                <w:sz w:val="20"/>
              </w:rPr>
              <w:t>Charcoal</w:t>
            </w:r>
          </w:p>
          <w:p w14:paraId="699C2AFC" w14:textId="77777777" w:rsidR="00C65B9F" w:rsidRDefault="00C65B9F">
            <w:pPr>
              <w:rPr>
                <w:rFonts w:ascii="Arial" w:hAnsi="Arial"/>
                <w:snapToGrid w:val="0"/>
                <w:color w:val="000000"/>
                <w:sz w:val="8"/>
              </w:rPr>
            </w:pPr>
          </w:p>
        </w:tc>
        <w:tc>
          <w:tcPr>
            <w:tcW w:w="1843" w:type="dxa"/>
            <w:tcBorders>
              <w:left w:val="single" w:sz="4" w:space="0" w:color="auto"/>
              <w:bottom w:val="single" w:sz="4" w:space="0" w:color="auto"/>
              <w:right w:val="single" w:sz="4" w:space="0" w:color="auto"/>
            </w:tcBorders>
          </w:tcPr>
          <w:p w14:paraId="2729E2AF" w14:textId="30A7E7B3" w:rsidR="00C65B9F" w:rsidRDefault="005E6A56" w:rsidP="00897FF0">
            <w:pPr>
              <w:jc w:val="center"/>
              <w:rPr>
                <w:rFonts w:ascii="Arial" w:hAnsi="Arial"/>
                <w:snapToGrid w:val="0"/>
                <w:color w:val="000000"/>
                <w:sz w:val="20"/>
              </w:rPr>
            </w:pPr>
            <w:r>
              <w:rPr>
                <w:rFonts w:ascii="Arial" w:hAnsi="Arial"/>
                <w:snapToGrid w:val="0"/>
                <w:color w:val="000000"/>
                <w:sz w:val="20"/>
              </w:rPr>
              <w:t>3</w:t>
            </w:r>
            <w:r w:rsidR="00897FF0">
              <w:rPr>
                <w:rFonts w:ascii="Arial" w:hAnsi="Arial"/>
                <w:snapToGrid w:val="0"/>
                <w:color w:val="000000"/>
                <w:sz w:val="20"/>
              </w:rPr>
              <w:t>1</w:t>
            </w:r>
            <w:r w:rsidR="00897FF0">
              <w:rPr>
                <w:rFonts w:ascii="Arial" w:hAnsi="Arial"/>
                <w:snapToGrid w:val="0"/>
                <w:color w:val="000000"/>
                <w:sz w:val="20"/>
                <w:vertAlign w:val="superscript"/>
              </w:rPr>
              <w:t>e</w:t>
            </w:r>
          </w:p>
        </w:tc>
        <w:tc>
          <w:tcPr>
            <w:tcW w:w="2126" w:type="dxa"/>
            <w:tcBorders>
              <w:left w:val="single" w:sz="4" w:space="0" w:color="auto"/>
              <w:bottom w:val="single" w:sz="4" w:space="0" w:color="auto"/>
              <w:right w:val="single" w:sz="4" w:space="0" w:color="auto"/>
            </w:tcBorders>
          </w:tcPr>
          <w:p w14:paraId="0CEA24F3" w14:textId="38C44C06" w:rsidR="00C65B9F" w:rsidRDefault="00C65B9F" w:rsidP="00897FF0">
            <w:pPr>
              <w:jc w:val="center"/>
              <w:rPr>
                <w:rFonts w:ascii="Arial" w:hAnsi="Arial"/>
                <w:snapToGrid w:val="0"/>
                <w:color w:val="000000"/>
                <w:sz w:val="20"/>
              </w:rPr>
            </w:pPr>
            <w:r>
              <w:rPr>
                <w:rFonts w:ascii="Arial" w:hAnsi="Arial"/>
                <w:snapToGrid w:val="0"/>
                <w:color w:val="000000"/>
                <w:sz w:val="20"/>
              </w:rPr>
              <w:t>0.7</w:t>
            </w:r>
            <w:r w:rsidR="00897FF0">
              <w:rPr>
                <w:rFonts w:ascii="Arial" w:hAnsi="Arial"/>
                <w:snapToGrid w:val="0"/>
                <w:color w:val="000000"/>
                <w:sz w:val="20"/>
              </w:rPr>
              <w:t>404</w:t>
            </w:r>
            <w:r>
              <w:rPr>
                <w:rFonts w:ascii="Arial" w:hAnsi="Arial"/>
                <w:snapToGrid w:val="0"/>
                <w:color w:val="000000"/>
                <w:sz w:val="20"/>
              </w:rPr>
              <w:t xml:space="preserve">  </w:t>
            </w:r>
          </w:p>
        </w:tc>
      </w:tr>
    </w:tbl>
    <w:bookmarkEnd w:id="82"/>
    <w:p w14:paraId="46E71863" w14:textId="38D3E56E" w:rsidR="00897FF0" w:rsidRDefault="00C46552">
      <w:pPr>
        <w:ind w:left="567" w:hanging="283"/>
        <w:rPr>
          <w:szCs w:val="24"/>
        </w:rPr>
      </w:pPr>
      <w:r w:rsidRPr="00E70758">
        <w:rPr>
          <w:szCs w:val="24"/>
          <w:vertAlign w:val="superscript"/>
        </w:rPr>
        <w:t>a</w:t>
      </w:r>
      <w:r w:rsidRPr="00E70758">
        <w:rPr>
          <w:szCs w:val="24"/>
        </w:rPr>
        <w:t xml:space="preserve"> </w:t>
      </w:r>
      <w:r w:rsidR="00897FF0" w:rsidRPr="005E14AE">
        <w:rPr>
          <w:sz w:val="20"/>
        </w:rPr>
        <w:t>From IPCC (2006) unless otherwise indicated.</w:t>
      </w:r>
    </w:p>
    <w:p w14:paraId="243AB975" w14:textId="646BE0AA" w:rsidR="00C46552" w:rsidRDefault="00897FF0">
      <w:pPr>
        <w:ind w:left="567" w:hanging="283"/>
        <w:rPr>
          <w:sz w:val="20"/>
        </w:rPr>
      </w:pPr>
      <w:r w:rsidRPr="005E14AE">
        <w:rPr>
          <w:sz w:val="20"/>
          <w:vertAlign w:val="superscript"/>
        </w:rPr>
        <w:t>b</w:t>
      </w:r>
      <w:r>
        <w:rPr>
          <w:sz w:val="20"/>
        </w:rPr>
        <w:t xml:space="preserve"> </w:t>
      </w:r>
      <w:r w:rsidR="00C46552">
        <w:rPr>
          <w:sz w:val="20"/>
        </w:rPr>
        <w:t>For coal, coal products, crude oil and natural gas liquids refer to IEA</w:t>
      </w:r>
      <w:r w:rsidR="00C46552">
        <w:rPr>
          <w:rStyle w:val="FootnoteReference"/>
          <w:sz w:val="20"/>
        </w:rPr>
        <w:footnoteReference w:id="15"/>
      </w:r>
      <w:r w:rsidR="00C46552">
        <w:rPr>
          <w:sz w:val="20"/>
        </w:rPr>
        <w:t xml:space="preserve"> or the </w:t>
      </w:r>
      <w:r w:rsidR="00C46552">
        <w:rPr>
          <w:i/>
          <w:sz w:val="20"/>
        </w:rPr>
        <w:t>IPCC Guidelines.</w:t>
      </w:r>
    </w:p>
    <w:p w14:paraId="7BE987C1" w14:textId="31F10494" w:rsidR="00C46552" w:rsidRPr="0046538B" w:rsidRDefault="00897FF0" w:rsidP="0046538B">
      <w:pPr>
        <w:ind w:left="284"/>
        <w:rPr>
          <w:snapToGrid w:val="0"/>
          <w:color w:val="000000"/>
          <w:sz w:val="20"/>
        </w:rPr>
      </w:pPr>
      <w:r>
        <w:rPr>
          <w:snapToGrid w:val="0"/>
          <w:color w:val="000000"/>
          <w:szCs w:val="24"/>
          <w:vertAlign w:val="superscript"/>
        </w:rPr>
        <w:t>c</w:t>
      </w:r>
      <w:r w:rsidR="00C46552">
        <w:rPr>
          <w:snapToGrid w:val="0"/>
          <w:color w:val="000000"/>
          <w:sz w:val="20"/>
        </w:rPr>
        <w:t xml:space="preserve"> </w:t>
      </w:r>
      <w:r w:rsidR="00D3590F" w:rsidRPr="00D3590F">
        <w:rPr>
          <w:sz w:val="20"/>
        </w:rPr>
        <w:t>M</w:t>
      </w:r>
      <w:r w:rsidR="00D3590F" w:rsidRPr="005E14AE">
        <w:rPr>
          <w:sz w:val="20"/>
        </w:rPr>
        <w:t xml:space="preserve">ean of values for mustard straw and rice straw from </w:t>
      </w:r>
      <w:r w:rsidR="0046538B" w:rsidRPr="005E14AE">
        <w:rPr>
          <w:sz w:val="20"/>
        </w:rPr>
        <w:t>Smith et al</w:t>
      </w:r>
      <w:r w:rsidR="00D3590F">
        <w:rPr>
          <w:sz w:val="20"/>
        </w:rPr>
        <w:t>.</w:t>
      </w:r>
      <w:r w:rsidR="0046538B" w:rsidRPr="005E14AE">
        <w:rPr>
          <w:sz w:val="20"/>
        </w:rPr>
        <w:t xml:space="preserve"> (</w:t>
      </w:r>
      <w:r w:rsidR="0046538B" w:rsidRPr="0046538B">
        <w:rPr>
          <w:snapToGrid w:val="0"/>
          <w:color w:val="000000"/>
          <w:sz w:val="20"/>
        </w:rPr>
        <w:t>2000)</w:t>
      </w:r>
      <w:r w:rsidR="00D3590F">
        <w:rPr>
          <w:snapToGrid w:val="0"/>
          <w:color w:val="000000"/>
          <w:sz w:val="20"/>
        </w:rPr>
        <w:t>.</w:t>
      </w:r>
    </w:p>
    <w:p w14:paraId="4909F78A" w14:textId="01C17D4C" w:rsidR="00C46552" w:rsidRDefault="00897FF0">
      <w:pPr>
        <w:ind w:left="426" w:hanging="142"/>
        <w:rPr>
          <w:sz w:val="20"/>
        </w:rPr>
      </w:pPr>
      <w:r>
        <w:rPr>
          <w:snapToGrid w:val="0"/>
          <w:color w:val="000000"/>
          <w:szCs w:val="24"/>
          <w:vertAlign w:val="superscript"/>
        </w:rPr>
        <w:t>d</w:t>
      </w:r>
      <w:r w:rsidR="00C46552">
        <w:rPr>
          <w:snapToGrid w:val="0"/>
          <w:color w:val="000000"/>
          <w:sz w:val="20"/>
          <w:vertAlign w:val="superscript"/>
        </w:rPr>
        <w:t xml:space="preserve"> </w:t>
      </w:r>
      <w:r w:rsidR="00D3590F" w:rsidRPr="005E14AE">
        <w:rPr>
          <w:sz w:val="20"/>
        </w:rPr>
        <w:t xml:space="preserve"> Value for dung cake</w:t>
      </w:r>
      <w:r w:rsidR="00D3590F">
        <w:t xml:space="preserve"> </w:t>
      </w:r>
      <w:r w:rsidR="00D3590F" w:rsidRPr="00D3590F">
        <w:rPr>
          <w:sz w:val="20"/>
        </w:rPr>
        <w:t>from Smith et al. (2000).</w:t>
      </w:r>
    </w:p>
    <w:p w14:paraId="1E6A4FDD" w14:textId="57227963" w:rsidR="00C46552" w:rsidRDefault="00897FF0">
      <w:pPr>
        <w:ind w:left="284"/>
        <w:rPr>
          <w:sz w:val="20"/>
          <w:vertAlign w:val="superscript"/>
        </w:rPr>
      </w:pPr>
      <w:r>
        <w:rPr>
          <w:szCs w:val="24"/>
          <w:vertAlign w:val="superscript"/>
        </w:rPr>
        <w:t>e</w:t>
      </w:r>
      <w:r w:rsidR="00C46552">
        <w:rPr>
          <w:sz w:val="20"/>
        </w:rPr>
        <w:t xml:space="preserve"> </w:t>
      </w:r>
      <w:r>
        <w:rPr>
          <w:sz w:val="20"/>
        </w:rPr>
        <w:t>Bertschi et al. (2003)</w:t>
      </w:r>
      <w:r w:rsidR="001C2B61">
        <w:rPr>
          <w:rStyle w:val="FootnoteReference"/>
          <w:sz w:val="20"/>
        </w:rPr>
        <w:footnoteReference w:id="16"/>
      </w:r>
      <w:r>
        <w:rPr>
          <w:sz w:val="20"/>
        </w:rPr>
        <w:t>.</w:t>
      </w:r>
    </w:p>
    <w:p w14:paraId="0913F56B" w14:textId="77777777" w:rsidR="00C46552" w:rsidRDefault="00C46552"/>
    <w:p w14:paraId="5DBABE52" w14:textId="77777777" w:rsidR="00C46552" w:rsidRDefault="00C46552" w:rsidP="00B35FE9">
      <w:pPr>
        <w:ind w:firstLine="284"/>
      </w:pPr>
      <w:r>
        <w:t xml:space="preserve">Default “retention-in-ash” values for coal combustion were derived from </w:t>
      </w:r>
      <w:r>
        <w:rPr>
          <w:i/>
        </w:rPr>
        <w:t>AP-42</w:t>
      </w:r>
      <w:r w:rsidR="004548BE">
        <w:t xml:space="preserve"> and are indicated in Table 3</w:t>
      </w:r>
      <w:r>
        <w:t xml:space="preserve">-2. </w:t>
      </w:r>
      <w:smartTag w:uri="urn:schemas-microsoft-com:office:smarttags" w:element="City">
        <w:smartTag w:uri="urn:schemas-microsoft-com:office:smarttags" w:element="place">
          <w:r>
            <w:t>Sulphur</w:t>
          </w:r>
        </w:smartTag>
      </w:smartTag>
      <w:r>
        <w:t xml:space="preserve"> retention-in-ash is usually assumed to be</w:t>
      </w:r>
      <w:r w:rsidR="00C8591D">
        <w:t xml:space="preserve"> negligible for solid biomass fuels and</w:t>
      </w:r>
      <w:r>
        <w:t xml:space="preserve"> zero for liquid and gaseous fuels. Emission controls for all the inventoried pollutants, including SO</w:t>
      </w:r>
      <w:r>
        <w:rPr>
          <w:vertAlign w:val="subscript"/>
        </w:rPr>
        <w:t xml:space="preserve">2, </w:t>
      </w:r>
      <w:r>
        <w:t xml:space="preserve">are described below </w:t>
      </w:r>
      <w:r>
        <w:lastRenderedPageBreak/>
        <w:t>separately for each sub-sector. For emissions from the Transport sector, a more detailed</w:t>
      </w:r>
      <w:r w:rsidR="00212D95">
        <w:t xml:space="preserve"> alternative to the IPCC Tier 1-</w:t>
      </w:r>
      <w:r>
        <w:t>based approach is also offered in this Manual and the accompanying workbook.</w:t>
      </w:r>
    </w:p>
    <w:p w14:paraId="60242F52" w14:textId="77777777" w:rsidR="00A85C68" w:rsidRDefault="00A85C68"/>
    <w:p w14:paraId="67384D54" w14:textId="77777777" w:rsidR="00A85C68" w:rsidRDefault="00A85C68">
      <w:r>
        <w:tab/>
      </w:r>
      <w:r w:rsidR="0018549E">
        <w:t>Tables of t</w:t>
      </w:r>
      <w:r>
        <w:t>he default emission factors</w:t>
      </w:r>
      <w:r w:rsidR="0018549E">
        <w:t xml:space="preserve"> for</w:t>
      </w:r>
      <w:r>
        <w:t xml:space="preserve"> </w:t>
      </w:r>
      <w:r w:rsidR="0018549E">
        <w:t>fuel combustion</w:t>
      </w:r>
      <w:r w:rsidR="00B16EB0">
        <w:t xml:space="preserve"> and fugitive emissions for fuels </w:t>
      </w:r>
      <w:r>
        <w:t xml:space="preserve">offered in the Workbook for </w:t>
      </w:r>
      <w:r w:rsidR="00F94088">
        <w:t>NO</w:t>
      </w:r>
      <w:r w:rsidR="00F94088">
        <w:rPr>
          <w:vertAlign w:val="subscript"/>
        </w:rPr>
        <w:t>X</w:t>
      </w:r>
      <w:r w:rsidR="00F94088">
        <w:t>, CO, CO</w:t>
      </w:r>
      <w:r w:rsidR="00F94088" w:rsidRPr="00E4573C">
        <w:rPr>
          <w:vertAlign w:val="subscript"/>
        </w:rPr>
        <w:t>2</w:t>
      </w:r>
      <w:r w:rsidR="00F94088">
        <w:t>, NMVOC, NH</w:t>
      </w:r>
      <w:r w:rsidR="00F94088">
        <w:rPr>
          <w:vertAlign w:val="subscript"/>
        </w:rPr>
        <w:t>3</w:t>
      </w:r>
      <w:r w:rsidR="00F94088">
        <w:t>, PM</w:t>
      </w:r>
      <w:r w:rsidR="00F94088">
        <w:rPr>
          <w:vertAlign w:val="subscript"/>
        </w:rPr>
        <w:t>10</w:t>
      </w:r>
      <w:r w:rsidR="00F94088">
        <w:t>, PM</w:t>
      </w:r>
      <w:r w:rsidR="00F94088" w:rsidRPr="001738D4">
        <w:rPr>
          <w:vertAlign w:val="subscript"/>
        </w:rPr>
        <w:t>2.5</w:t>
      </w:r>
      <w:r w:rsidR="00F94088">
        <w:t>, BC, OC and CH</w:t>
      </w:r>
      <w:r w:rsidR="00F94088" w:rsidRPr="00E4573C">
        <w:rPr>
          <w:vertAlign w:val="subscript"/>
        </w:rPr>
        <w:t>4</w:t>
      </w:r>
      <w:r w:rsidR="00F94088">
        <w:rPr>
          <w:vertAlign w:val="subscript"/>
        </w:rPr>
        <w:t xml:space="preserve"> </w:t>
      </w:r>
      <w:r>
        <w:t xml:space="preserve">are </w:t>
      </w:r>
      <w:r w:rsidR="0018549E">
        <w:t>given in Annex 4 of this Manual.</w:t>
      </w:r>
    </w:p>
    <w:p w14:paraId="75FB88F9" w14:textId="77777777" w:rsidR="00C46552" w:rsidRDefault="00C46552"/>
    <w:p w14:paraId="4DC2A328" w14:textId="77777777" w:rsidR="00577ED5" w:rsidRDefault="00577ED5"/>
    <w:p w14:paraId="3EFA022F" w14:textId="77777777" w:rsidR="00B83E60" w:rsidRDefault="00C46552">
      <w:pPr>
        <w:jc w:val="center"/>
        <w:rPr>
          <w:b/>
          <w:i/>
          <w:color w:val="000000"/>
        </w:rPr>
      </w:pPr>
      <w:r>
        <w:rPr>
          <w:b/>
          <w:i/>
          <w:color w:val="000000"/>
        </w:rPr>
        <w:t xml:space="preserve">Table </w:t>
      </w:r>
      <w:r w:rsidR="004548BE">
        <w:rPr>
          <w:b/>
          <w:i/>
          <w:color w:val="000000"/>
        </w:rPr>
        <w:t>3</w:t>
      </w:r>
      <w:r>
        <w:rPr>
          <w:b/>
          <w:i/>
          <w:color w:val="000000"/>
        </w:rPr>
        <w:t xml:space="preserve">-2: </w:t>
      </w:r>
    </w:p>
    <w:p w14:paraId="183297F3" w14:textId="77777777" w:rsidR="00C46552" w:rsidRDefault="00C46552">
      <w:pPr>
        <w:jc w:val="center"/>
        <w:rPr>
          <w:b/>
          <w:i/>
          <w:color w:val="000000"/>
        </w:rPr>
      </w:pPr>
      <w:r>
        <w:rPr>
          <w:b/>
          <w:i/>
          <w:color w:val="000000"/>
        </w:rPr>
        <w:t>Su</w:t>
      </w:r>
      <w:r w:rsidR="00B83E60">
        <w:rPr>
          <w:b/>
          <w:i/>
          <w:color w:val="000000"/>
        </w:rPr>
        <w:t xml:space="preserve">lphur retention-in-ash factors </w:t>
      </w:r>
    </w:p>
    <w:p w14:paraId="67FBF4B4" w14:textId="77777777" w:rsidR="00C46552" w:rsidRDefault="00C46552">
      <w:pPr>
        <w:rPr>
          <w:color w:val="000000"/>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835"/>
        <w:gridCol w:w="1984"/>
      </w:tblGrid>
      <w:tr w:rsidR="00C46552" w14:paraId="23E87498" w14:textId="77777777">
        <w:trPr>
          <w:trHeight w:val="548"/>
        </w:trPr>
        <w:tc>
          <w:tcPr>
            <w:tcW w:w="3217" w:type="dxa"/>
            <w:vAlign w:val="center"/>
          </w:tcPr>
          <w:p w14:paraId="47E79CC5" w14:textId="77777777" w:rsidR="00C46552" w:rsidRDefault="00C46552">
            <w:pPr>
              <w:rPr>
                <w:rFonts w:ascii="Arial" w:hAnsi="Arial"/>
                <w:b/>
                <w:color w:val="000000"/>
                <w:sz w:val="20"/>
              </w:rPr>
            </w:pPr>
            <w:r>
              <w:rPr>
                <w:rFonts w:ascii="Arial" w:hAnsi="Arial"/>
                <w:b/>
                <w:color w:val="000000"/>
                <w:sz w:val="20"/>
              </w:rPr>
              <w:t>Fuel</w:t>
            </w:r>
          </w:p>
        </w:tc>
        <w:tc>
          <w:tcPr>
            <w:tcW w:w="2835" w:type="dxa"/>
            <w:vAlign w:val="center"/>
          </w:tcPr>
          <w:p w14:paraId="1B760351" w14:textId="77777777" w:rsidR="00C46552" w:rsidRDefault="00C46552">
            <w:pPr>
              <w:tabs>
                <w:tab w:val="left" w:pos="459"/>
              </w:tabs>
              <w:ind w:left="317"/>
              <w:rPr>
                <w:rFonts w:ascii="Arial" w:hAnsi="Arial"/>
                <w:b/>
                <w:color w:val="000000"/>
                <w:sz w:val="20"/>
              </w:rPr>
            </w:pPr>
            <w:r>
              <w:rPr>
                <w:rFonts w:ascii="Arial" w:hAnsi="Arial"/>
                <w:b/>
                <w:color w:val="000000"/>
                <w:sz w:val="20"/>
              </w:rPr>
              <w:t>Sectors</w:t>
            </w:r>
          </w:p>
        </w:tc>
        <w:tc>
          <w:tcPr>
            <w:tcW w:w="1984" w:type="dxa"/>
            <w:vAlign w:val="center"/>
          </w:tcPr>
          <w:p w14:paraId="1969F46C" w14:textId="77777777" w:rsidR="00C46552" w:rsidRDefault="00C46552">
            <w:pPr>
              <w:jc w:val="center"/>
              <w:rPr>
                <w:rFonts w:ascii="Arial" w:hAnsi="Arial"/>
                <w:b/>
                <w:color w:val="000000"/>
                <w:sz w:val="20"/>
              </w:rPr>
            </w:pPr>
          </w:p>
          <w:p w14:paraId="10D29D57" w14:textId="77777777" w:rsidR="00C46552" w:rsidRDefault="00C46552">
            <w:pPr>
              <w:jc w:val="center"/>
              <w:rPr>
                <w:rFonts w:ascii="Arial" w:hAnsi="Arial"/>
                <w:b/>
                <w:color w:val="000000"/>
                <w:sz w:val="20"/>
              </w:rPr>
            </w:pPr>
            <w:smartTag w:uri="urn:schemas-microsoft-com:office:smarttags" w:element="City">
              <w:smartTag w:uri="urn:schemas-microsoft-com:office:smarttags" w:element="place">
                <w:r>
                  <w:rPr>
                    <w:rFonts w:ascii="Arial" w:hAnsi="Arial"/>
                    <w:b/>
                    <w:color w:val="000000"/>
                    <w:sz w:val="20"/>
                  </w:rPr>
                  <w:t>Sulphur</w:t>
                </w:r>
              </w:smartTag>
            </w:smartTag>
            <w:r>
              <w:rPr>
                <w:rFonts w:ascii="Arial" w:hAnsi="Arial"/>
                <w:b/>
                <w:color w:val="000000"/>
                <w:sz w:val="20"/>
              </w:rPr>
              <w:t xml:space="preserve"> </w:t>
            </w:r>
          </w:p>
          <w:p w14:paraId="7AEADEBB" w14:textId="77777777" w:rsidR="00C46552" w:rsidRDefault="00C46552">
            <w:pPr>
              <w:jc w:val="center"/>
              <w:rPr>
                <w:rFonts w:ascii="Arial" w:hAnsi="Arial"/>
                <w:b/>
                <w:color w:val="000000"/>
                <w:sz w:val="20"/>
              </w:rPr>
            </w:pPr>
            <w:r>
              <w:rPr>
                <w:rFonts w:ascii="Arial" w:hAnsi="Arial"/>
                <w:b/>
                <w:color w:val="000000"/>
                <w:sz w:val="20"/>
              </w:rPr>
              <w:t>retention-in-ash</w:t>
            </w:r>
          </w:p>
          <w:p w14:paraId="1F6F9AC1" w14:textId="77777777" w:rsidR="00C46552" w:rsidRDefault="00C46552">
            <w:pPr>
              <w:jc w:val="center"/>
              <w:rPr>
                <w:rFonts w:ascii="Arial" w:hAnsi="Arial"/>
                <w:b/>
                <w:color w:val="000000"/>
                <w:sz w:val="20"/>
              </w:rPr>
            </w:pPr>
            <w:r>
              <w:rPr>
                <w:rFonts w:ascii="Arial" w:hAnsi="Arial"/>
                <w:b/>
                <w:color w:val="000000"/>
                <w:sz w:val="20"/>
              </w:rPr>
              <w:t>(%)</w:t>
            </w:r>
          </w:p>
          <w:p w14:paraId="1790AA78" w14:textId="77777777" w:rsidR="00C46552" w:rsidRDefault="00C46552">
            <w:pPr>
              <w:jc w:val="center"/>
              <w:rPr>
                <w:rFonts w:ascii="Arial" w:hAnsi="Arial"/>
                <w:b/>
                <w:color w:val="000000"/>
                <w:sz w:val="20"/>
              </w:rPr>
            </w:pPr>
          </w:p>
        </w:tc>
      </w:tr>
      <w:tr w:rsidR="00C46552" w14:paraId="6D6B1881" w14:textId="77777777">
        <w:trPr>
          <w:trHeight w:val="642"/>
        </w:trPr>
        <w:tc>
          <w:tcPr>
            <w:tcW w:w="3217" w:type="dxa"/>
            <w:tcBorders>
              <w:bottom w:val="nil"/>
            </w:tcBorders>
          </w:tcPr>
          <w:p w14:paraId="27CDAB22" w14:textId="77777777" w:rsidR="00C46552" w:rsidRDefault="00C46552">
            <w:pPr>
              <w:jc w:val="left"/>
              <w:rPr>
                <w:rFonts w:ascii="Arial" w:hAnsi="Arial"/>
                <w:color w:val="000000"/>
                <w:sz w:val="20"/>
              </w:rPr>
            </w:pPr>
          </w:p>
          <w:p w14:paraId="182B0EDF" w14:textId="77777777" w:rsidR="00C46552" w:rsidRDefault="00C46552">
            <w:pPr>
              <w:jc w:val="left"/>
              <w:rPr>
                <w:rFonts w:ascii="Arial" w:hAnsi="Arial"/>
                <w:color w:val="000000"/>
                <w:sz w:val="20"/>
              </w:rPr>
            </w:pPr>
            <w:r>
              <w:rPr>
                <w:rFonts w:ascii="Arial" w:hAnsi="Arial"/>
                <w:color w:val="000000"/>
                <w:sz w:val="20"/>
              </w:rPr>
              <w:t>Hard coal (i.e. coking coal, other bituminous coal and anthracite)</w:t>
            </w:r>
          </w:p>
        </w:tc>
        <w:tc>
          <w:tcPr>
            <w:tcW w:w="2835" w:type="dxa"/>
            <w:tcBorders>
              <w:bottom w:val="nil"/>
            </w:tcBorders>
          </w:tcPr>
          <w:p w14:paraId="46E63A7B" w14:textId="77777777" w:rsidR="00C46552" w:rsidRDefault="00C46552">
            <w:pPr>
              <w:tabs>
                <w:tab w:val="left" w:pos="459"/>
              </w:tabs>
              <w:ind w:left="34"/>
              <w:rPr>
                <w:rFonts w:ascii="Arial" w:hAnsi="Arial"/>
                <w:color w:val="000000"/>
                <w:sz w:val="20"/>
              </w:rPr>
            </w:pPr>
          </w:p>
          <w:p w14:paraId="095E66BD" w14:textId="77777777" w:rsidR="00C46552" w:rsidRDefault="00C46552">
            <w:pPr>
              <w:tabs>
                <w:tab w:val="left" w:pos="459"/>
              </w:tabs>
              <w:ind w:left="34"/>
              <w:rPr>
                <w:rFonts w:ascii="Arial" w:hAnsi="Arial"/>
                <w:color w:val="000000"/>
                <w:sz w:val="20"/>
              </w:rPr>
            </w:pPr>
            <w:r>
              <w:rPr>
                <w:rFonts w:ascii="Arial" w:hAnsi="Arial"/>
                <w:color w:val="000000"/>
                <w:sz w:val="20"/>
              </w:rPr>
              <w:t>Power generation and</w:t>
            </w:r>
          </w:p>
          <w:p w14:paraId="05982346" w14:textId="77777777" w:rsidR="00C46552" w:rsidRDefault="00C46552">
            <w:pPr>
              <w:tabs>
                <w:tab w:val="left" w:pos="459"/>
              </w:tabs>
              <w:ind w:left="34"/>
              <w:rPr>
                <w:rFonts w:ascii="Arial" w:hAnsi="Arial"/>
                <w:color w:val="000000"/>
                <w:sz w:val="20"/>
              </w:rPr>
            </w:pPr>
            <w:r>
              <w:rPr>
                <w:rFonts w:ascii="Arial" w:hAnsi="Arial"/>
                <w:color w:val="000000"/>
                <w:sz w:val="20"/>
              </w:rPr>
              <w:t>Industry</w:t>
            </w:r>
          </w:p>
          <w:p w14:paraId="388DFA43" w14:textId="77777777" w:rsidR="00C46552" w:rsidRDefault="00C46552">
            <w:pPr>
              <w:tabs>
                <w:tab w:val="left" w:pos="459"/>
              </w:tabs>
              <w:ind w:left="34"/>
              <w:rPr>
                <w:rFonts w:ascii="Arial" w:hAnsi="Arial"/>
                <w:color w:val="000000"/>
                <w:sz w:val="20"/>
              </w:rPr>
            </w:pPr>
          </w:p>
        </w:tc>
        <w:tc>
          <w:tcPr>
            <w:tcW w:w="1984" w:type="dxa"/>
            <w:tcBorders>
              <w:bottom w:val="nil"/>
            </w:tcBorders>
          </w:tcPr>
          <w:p w14:paraId="39C6C145" w14:textId="77777777" w:rsidR="00C46552" w:rsidRDefault="00C46552">
            <w:pPr>
              <w:jc w:val="center"/>
              <w:rPr>
                <w:rFonts w:ascii="Arial" w:hAnsi="Arial"/>
                <w:color w:val="000000"/>
                <w:sz w:val="20"/>
              </w:rPr>
            </w:pPr>
          </w:p>
          <w:p w14:paraId="18F1413F" w14:textId="77777777" w:rsidR="00C46552" w:rsidRDefault="00C46552">
            <w:pPr>
              <w:jc w:val="center"/>
              <w:rPr>
                <w:rFonts w:ascii="Arial" w:hAnsi="Arial"/>
                <w:color w:val="000000"/>
                <w:sz w:val="20"/>
              </w:rPr>
            </w:pPr>
          </w:p>
          <w:p w14:paraId="7A60C4CE" w14:textId="77777777" w:rsidR="00C46552" w:rsidRDefault="00C46552">
            <w:pPr>
              <w:jc w:val="center"/>
              <w:rPr>
                <w:rFonts w:ascii="Arial" w:hAnsi="Arial"/>
                <w:color w:val="000000"/>
                <w:sz w:val="20"/>
              </w:rPr>
            </w:pPr>
            <w:r>
              <w:rPr>
                <w:rFonts w:ascii="Arial" w:hAnsi="Arial"/>
                <w:color w:val="000000"/>
                <w:sz w:val="20"/>
              </w:rPr>
              <w:t>5</w:t>
            </w:r>
          </w:p>
        </w:tc>
      </w:tr>
      <w:tr w:rsidR="00C46552" w14:paraId="588154FB" w14:textId="77777777">
        <w:trPr>
          <w:trHeight w:val="141"/>
        </w:trPr>
        <w:tc>
          <w:tcPr>
            <w:tcW w:w="3217" w:type="dxa"/>
            <w:tcBorders>
              <w:top w:val="nil"/>
            </w:tcBorders>
          </w:tcPr>
          <w:p w14:paraId="40980EDD" w14:textId="77777777" w:rsidR="00C46552" w:rsidRDefault="00C46552">
            <w:pPr>
              <w:rPr>
                <w:rFonts w:ascii="Arial" w:hAnsi="Arial"/>
                <w:color w:val="000000"/>
                <w:sz w:val="20"/>
              </w:rPr>
            </w:pPr>
          </w:p>
        </w:tc>
        <w:tc>
          <w:tcPr>
            <w:tcW w:w="2835" w:type="dxa"/>
            <w:tcBorders>
              <w:top w:val="nil"/>
            </w:tcBorders>
          </w:tcPr>
          <w:p w14:paraId="247F13D2" w14:textId="77777777" w:rsidR="00C46552" w:rsidRDefault="00C46552">
            <w:pPr>
              <w:tabs>
                <w:tab w:val="left" w:pos="459"/>
              </w:tabs>
              <w:ind w:left="34"/>
              <w:jc w:val="left"/>
              <w:rPr>
                <w:rFonts w:ascii="Arial" w:hAnsi="Arial"/>
                <w:color w:val="000000"/>
                <w:sz w:val="20"/>
              </w:rPr>
            </w:pPr>
            <w:r>
              <w:rPr>
                <w:rFonts w:ascii="Arial" w:hAnsi="Arial"/>
                <w:color w:val="000000"/>
                <w:sz w:val="20"/>
              </w:rPr>
              <w:t>Transport and Other Sectors (Commercial/Institutional, Residential and Agriculture/ Forestry/Fishing)</w:t>
            </w:r>
          </w:p>
        </w:tc>
        <w:tc>
          <w:tcPr>
            <w:tcW w:w="1984" w:type="dxa"/>
            <w:tcBorders>
              <w:top w:val="nil"/>
            </w:tcBorders>
          </w:tcPr>
          <w:p w14:paraId="3A282978" w14:textId="77777777" w:rsidR="00C46552" w:rsidRDefault="00C46552">
            <w:pPr>
              <w:jc w:val="center"/>
              <w:rPr>
                <w:rFonts w:ascii="Arial" w:hAnsi="Arial"/>
                <w:color w:val="000000"/>
                <w:sz w:val="20"/>
              </w:rPr>
            </w:pPr>
          </w:p>
          <w:p w14:paraId="31CBB3B1" w14:textId="77777777" w:rsidR="00C46552" w:rsidRDefault="00C46552">
            <w:pPr>
              <w:jc w:val="center"/>
              <w:rPr>
                <w:rFonts w:ascii="Arial" w:hAnsi="Arial"/>
                <w:color w:val="000000"/>
                <w:sz w:val="20"/>
              </w:rPr>
            </w:pPr>
          </w:p>
          <w:p w14:paraId="6EB951A2" w14:textId="77777777" w:rsidR="00C46552" w:rsidRDefault="00C46552">
            <w:pPr>
              <w:jc w:val="center"/>
              <w:rPr>
                <w:rFonts w:ascii="Arial" w:hAnsi="Arial"/>
                <w:color w:val="000000"/>
                <w:sz w:val="20"/>
              </w:rPr>
            </w:pPr>
          </w:p>
          <w:p w14:paraId="567DA6DE" w14:textId="77777777" w:rsidR="00C46552" w:rsidRDefault="00C46552">
            <w:pPr>
              <w:jc w:val="center"/>
              <w:rPr>
                <w:rFonts w:ascii="Arial" w:hAnsi="Arial"/>
                <w:color w:val="000000"/>
                <w:sz w:val="20"/>
              </w:rPr>
            </w:pPr>
            <w:r>
              <w:rPr>
                <w:rFonts w:ascii="Arial" w:hAnsi="Arial"/>
                <w:color w:val="000000"/>
                <w:sz w:val="20"/>
              </w:rPr>
              <w:t>22.5</w:t>
            </w:r>
          </w:p>
          <w:p w14:paraId="2D776598" w14:textId="77777777" w:rsidR="00C46552" w:rsidRDefault="00C46552">
            <w:pPr>
              <w:jc w:val="center"/>
              <w:rPr>
                <w:rFonts w:ascii="Arial" w:hAnsi="Arial"/>
                <w:color w:val="000000"/>
                <w:sz w:val="20"/>
              </w:rPr>
            </w:pPr>
          </w:p>
        </w:tc>
      </w:tr>
      <w:tr w:rsidR="00C46552" w14:paraId="6095101F" w14:textId="77777777">
        <w:trPr>
          <w:trHeight w:val="720"/>
        </w:trPr>
        <w:tc>
          <w:tcPr>
            <w:tcW w:w="3217" w:type="dxa"/>
          </w:tcPr>
          <w:p w14:paraId="74A5F613" w14:textId="77777777" w:rsidR="00C46552" w:rsidRDefault="00C46552">
            <w:pPr>
              <w:jc w:val="left"/>
              <w:rPr>
                <w:rFonts w:ascii="Arial" w:hAnsi="Arial"/>
                <w:color w:val="000000"/>
                <w:sz w:val="20"/>
              </w:rPr>
            </w:pPr>
          </w:p>
          <w:p w14:paraId="1DDE2F64" w14:textId="77777777" w:rsidR="00C46552" w:rsidRDefault="00C46552">
            <w:pPr>
              <w:jc w:val="left"/>
              <w:rPr>
                <w:rFonts w:ascii="Arial" w:hAnsi="Arial"/>
                <w:color w:val="000000"/>
                <w:sz w:val="20"/>
              </w:rPr>
            </w:pPr>
            <w:r>
              <w:rPr>
                <w:rFonts w:ascii="Arial" w:hAnsi="Arial"/>
                <w:color w:val="000000"/>
                <w:sz w:val="20"/>
              </w:rPr>
              <w:t xml:space="preserve">Brown coal </w:t>
            </w:r>
          </w:p>
          <w:p w14:paraId="6FCCC5CC" w14:textId="77777777" w:rsidR="00C46552" w:rsidRDefault="00C46552">
            <w:pPr>
              <w:jc w:val="left"/>
              <w:rPr>
                <w:rFonts w:ascii="Arial" w:hAnsi="Arial"/>
                <w:color w:val="000000"/>
                <w:sz w:val="20"/>
              </w:rPr>
            </w:pPr>
            <w:r>
              <w:rPr>
                <w:rFonts w:ascii="Arial" w:hAnsi="Arial"/>
                <w:color w:val="000000"/>
                <w:sz w:val="20"/>
              </w:rPr>
              <w:t xml:space="preserve">(i.e. sub-bituminous coal) / </w:t>
            </w:r>
          </w:p>
          <w:p w14:paraId="1DCD2556" w14:textId="77777777" w:rsidR="00C46552" w:rsidRDefault="00C46552">
            <w:pPr>
              <w:jc w:val="left"/>
              <w:rPr>
                <w:rFonts w:ascii="Arial" w:hAnsi="Arial"/>
                <w:color w:val="000000"/>
                <w:sz w:val="20"/>
              </w:rPr>
            </w:pPr>
            <w:r>
              <w:rPr>
                <w:rFonts w:ascii="Arial" w:hAnsi="Arial"/>
                <w:color w:val="000000"/>
                <w:sz w:val="20"/>
              </w:rPr>
              <w:t>Lignite</w:t>
            </w:r>
          </w:p>
        </w:tc>
        <w:tc>
          <w:tcPr>
            <w:tcW w:w="2835" w:type="dxa"/>
          </w:tcPr>
          <w:p w14:paraId="621E2264" w14:textId="77777777" w:rsidR="00C46552" w:rsidRDefault="00C46552">
            <w:pPr>
              <w:tabs>
                <w:tab w:val="left" w:pos="459"/>
              </w:tabs>
              <w:ind w:left="34"/>
              <w:rPr>
                <w:rFonts w:ascii="Arial" w:hAnsi="Arial"/>
                <w:color w:val="000000"/>
                <w:sz w:val="20"/>
              </w:rPr>
            </w:pPr>
          </w:p>
          <w:p w14:paraId="391A417A" w14:textId="77777777" w:rsidR="00C46552" w:rsidRDefault="00C46552">
            <w:pPr>
              <w:tabs>
                <w:tab w:val="left" w:pos="459"/>
              </w:tabs>
              <w:ind w:left="34"/>
              <w:rPr>
                <w:rFonts w:ascii="Arial" w:hAnsi="Arial"/>
                <w:color w:val="000000"/>
                <w:sz w:val="20"/>
              </w:rPr>
            </w:pPr>
          </w:p>
          <w:p w14:paraId="3F4EB56B" w14:textId="77777777" w:rsidR="00C46552" w:rsidRDefault="00C46552">
            <w:pPr>
              <w:tabs>
                <w:tab w:val="left" w:pos="459"/>
              </w:tabs>
              <w:ind w:left="34"/>
              <w:rPr>
                <w:rFonts w:ascii="Arial" w:hAnsi="Arial"/>
                <w:color w:val="000000"/>
                <w:sz w:val="20"/>
              </w:rPr>
            </w:pPr>
            <w:r>
              <w:rPr>
                <w:rFonts w:ascii="Arial" w:hAnsi="Arial"/>
                <w:color w:val="000000"/>
                <w:sz w:val="20"/>
              </w:rPr>
              <w:t>All sectors</w:t>
            </w:r>
          </w:p>
        </w:tc>
        <w:tc>
          <w:tcPr>
            <w:tcW w:w="1984" w:type="dxa"/>
          </w:tcPr>
          <w:p w14:paraId="4992AA61" w14:textId="77777777" w:rsidR="00C46552" w:rsidRDefault="00C46552">
            <w:pPr>
              <w:jc w:val="center"/>
              <w:rPr>
                <w:rFonts w:ascii="Arial" w:hAnsi="Arial"/>
                <w:color w:val="000000"/>
                <w:sz w:val="20"/>
              </w:rPr>
            </w:pPr>
          </w:p>
          <w:p w14:paraId="1A9F2348" w14:textId="77777777" w:rsidR="00C46552" w:rsidRDefault="00C46552">
            <w:pPr>
              <w:jc w:val="center"/>
              <w:rPr>
                <w:rFonts w:ascii="Arial" w:hAnsi="Arial"/>
                <w:color w:val="000000"/>
                <w:sz w:val="20"/>
              </w:rPr>
            </w:pPr>
          </w:p>
          <w:p w14:paraId="6619450A" w14:textId="77777777" w:rsidR="00C46552" w:rsidRDefault="00C46552">
            <w:pPr>
              <w:jc w:val="center"/>
              <w:rPr>
                <w:rFonts w:ascii="Arial" w:hAnsi="Arial"/>
                <w:color w:val="000000"/>
                <w:sz w:val="20"/>
              </w:rPr>
            </w:pPr>
            <w:r>
              <w:rPr>
                <w:rFonts w:ascii="Arial" w:hAnsi="Arial"/>
                <w:color w:val="000000"/>
                <w:sz w:val="20"/>
              </w:rPr>
              <w:t>25</w:t>
            </w:r>
          </w:p>
          <w:p w14:paraId="727A8033" w14:textId="77777777" w:rsidR="00C46552" w:rsidRDefault="00C46552">
            <w:pPr>
              <w:jc w:val="center"/>
              <w:rPr>
                <w:rFonts w:ascii="Arial" w:hAnsi="Arial"/>
                <w:color w:val="000000"/>
                <w:sz w:val="20"/>
              </w:rPr>
            </w:pPr>
          </w:p>
        </w:tc>
      </w:tr>
      <w:tr w:rsidR="00C46552" w14:paraId="7B2B240A" w14:textId="77777777">
        <w:trPr>
          <w:trHeight w:val="720"/>
        </w:trPr>
        <w:tc>
          <w:tcPr>
            <w:tcW w:w="3217" w:type="dxa"/>
          </w:tcPr>
          <w:p w14:paraId="51986F2B" w14:textId="77777777" w:rsidR="00C46552" w:rsidRDefault="00C46552">
            <w:pPr>
              <w:rPr>
                <w:rFonts w:ascii="Arial" w:hAnsi="Arial"/>
                <w:color w:val="000000"/>
                <w:sz w:val="20"/>
              </w:rPr>
            </w:pPr>
          </w:p>
          <w:p w14:paraId="5FEDB2C4" w14:textId="77777777" w:rsidR="00C46552" w:rsidRDefault="00C46552">
            <w:pPr>
              <w:rPr>
                <w:rFonts w:ascii="Arial" w:hAnsi="Arial"/>
                <w:color w:val="000000"/>
                <w:sz w:val="20"/>
              </w:rPr>
            </w:pPr>
            <w:r>
              <w:rPr>
                <w:rFonts w:ascii="Arial" w:hAnsi="Arial"/>
                <w:color w:val="000000"/>
                <w:sz w:val="20"/>
              </w:rPr>
              <w:t xml:space="preserve">Solid Biomass </w:t>
            </w:r>
          </w:p>
        </w:tc>
        <w:tc>
          <w:tcPr>
            <w:tcW w:w="2835" w:type="dxa"/>
          </w:tcPr>
          <w:p w14:paraId="3CEFE37E" w14:textId="77777777" w:rsidR="00C46552" w:rsidRDefault="00C46552">
            <w:pPr>
              <w:tabs>
                <w:tab w:val="left" w:pos="459"/>
              </w:tabs>
              <w:ind w:left="34"/>
              <w:rPr>
                <w:rFonts w:ascii="Arial" w:hAnsi="Arial"/>
                <w:color w:val="000000"/>
                <w:sz w:val="20"/>
              </w:rPr>
            </w:pPr>
          </w:p>
          <w:p w14:paraId="59F72DE4" w14:textId="77777777" w:rsidR="00AE1E24" w:rsidRDefault="00C8591D">
            <w:pPr>
              <w:tabs>
                <w:tab w:val="left" w:pos="459"/>
              </w:tabs>
              <w:ind w:left="34"/>
              <w:rPr>
                <w:rFonts w:ascii="Arial" w:hAnsi="Arial"/>
                <w:color w:val="000000"/>
                <w:sz w:val="20"/>
              </w:rPr>
            </w:pPr>
            <w:r>
              <w:rPr>
                <w:rFonts w:ascii="Arial" w:hAnsi="Arial"/>
                <w:color w:val="000000"/>
                <w:sz w:val="20"/>
              </w:rPr>
              <w:t>All sectors</w:t>
            </w:r>
          </w:p>
        </w:tc>
        <w:tc>
          <w:tcPr>
            <w:tcW w:w="1984" w:type="dxa"/>
          </w:tcPr>
          <w:p w14:paraId="7AA86ADA" w14:textId="77777777" w:rsidR="00C46552" w:rsidRDefault="00C46552">
            <w:pPr>
              <w:jc w:val="center"/>
              <w:rPr>
                <w:rFonts w:ascii="Arial" w:hAnsi="Arial"/>
                <w:color w:val="000000"/>
                <w:sz w:val="20"/>
              </w:rPr>
            </w:pPr>
          </w:p>
          <w:p w14:paraId="2A182409" w14:textId="77777777" w:rsidR="00AE1E24" w:rsidRPr="003E4DF8" w:rsidRDefault="00C8591D" w:rsidP="00C8591D">
            <w:pPr>
              <w:jc w:val="center"/>
              <w:rPr>
                <w:rFonts w:ascii="Arial" w:hAnsi="Arial"/>
                <w:color w:val="000000"/>
                <w:sz w:val="20"/>
              </w:rPr>
            </w:pPr>
            <w:r>
              <w:rPr>
                <w:rFonts w:ascii="Arial" w:hAnsi="Arial"/>
                <w:color w:val="000000"/>
                <w:sz w:val="20"/>
              </w:rPr>
              <w:t>Negligible</w:t>
            </w:r>
          </w:p>
        </w:tc>
      </w:tr>
      <w:tr w:rsidR="00C46552" w14:paraId="267216CD" w14:textId="77777777">
        <w:trPr>
          <w:trHeight w:val="720"/>
        </w:trPr>
        <w:tc>
          <w:tcPr>
            <w:tcW w:w="3217" w:type="dxa"/>
          </w:tcPr>
          <w:p w14:paraId="41128B5E" w14:textId="77777777" w:rsidR="00C46552" w:rsidRDefault="00C46552">
            <w:pPr>
              <w:rPr>
                <w:rFonts w:ascii="Arial" w:hAnsi="Arial"/>
                <w:color w:val="000000"/>
                <w:sz w:val="20"/>
              </w:rPr>
            </w:pPr>
          </w:p>
          <w:p w14:paraId="7F79792D" w14:textId="77777777" w:rsidR="00C46552" w:rsidRDefault="00C46552">
            <w:pPr>
              <w:rPr>
                <w:rFonts w:ascii="Arial" w:hAnsi="Arial"/>
                <w:color w:val="000000"/>
                <w:sz w:val="20"/>
              </w:rPr>
            </w:pPr>
            <w:r>
              <w:rPr>
                <w:rFonts w:ascii="Arial" w:hAnsi="Arial"/>
                <w:color w:val="000000"/>
                <w:sz w:val="20"/>
              </w:rPr>
              <w:t>Liquid and gaseous fuels</w:t>
            </w:r>
          </w:p>
        </w:tc>
        <w:tc>
          <w:tcPr>
            <w:tcW w:w="2835" w:type="dxa"/>
          </w:tcPr>
          <w:p w14:paraId="722A9FFE" w14:textId="77777777" w:rsidR="00C46552" w:rsidRDefault="00C46552">
            <w:pPr>
              <w:tabs>
                <w:tab w:val="left" w:pos="459"/>
              </w:tabs>
              <w:ind w:left="34"/>
              <w:rPr>
                <w:rFonts w:ascii="Arial" w:hAnsi="Arial"/>
                <w:color w:val="000000"/>
                <w:sz w:val="20"/>
              </w:rPr>
            </w:pPr>
          </w:p>
          <w:p w14:paraId="6848BBCC" w14:textId="77777777" w:rsidR="00C46552" w:rsidRDefault="00C46552">
            <w:pPr>
              <w:tabs>
                <w:tab w:val="left" w:pos="459"/>
              </w:tabs>
              <w:ind w:left="34"/>
              <w:rPr>
                <w:rFonts w:ascii="Arial" w:hAnsi="Arial"/>
                <w:color w:val="000000"/>
                <w:sz w:val="20"/>
              </w:rPr>
            </w:pPr>
            <w:r>
              <w:rPr>
                <w:rFonts w:ascii="Arial" w:hAnsi="Arial"/>
                <w:color w:val="000000"/>
                <w:sz w:val="20"/>
              </w:rPr>
              <w:t>All sectors</w:t>
            </w:r>
          </w:p>
        </w:tc>
        <w:tc>
          <w:tcPr>
            <w:tcW w:w="1984" w:type="dxa"/>
          </w:tcPr>
          <w:p w14:paraId="495969EF" w14:textId="77777777" w:rsidR="00C46552" w:rsidRDefault="00C46552">
            <w:pPr>
              <w:jc w:val="center"/>
              <w:rPr>
                <w:rFonts w:ascii="Arial" w:hAnsi="Arial"/>
                <w:color w:val="000000"/>
                <w:sz w:val="20"/>
              </w:rPr>
            </w:pPr>
          </w:p>
          <w:p w14:paraId="0641D416" w14:textId="77777777" w:rsidR="00C46552" w:rsidRDefault="00C46552">
            <w:pPr>
              <w:jc w:val="center"/>
              <w:rPr>
                <w:rFonts w:ascii="Arial" w:hAnsi="Arial"/>
                <w:color w:val="000000"/>
                <w:sz w:val="20"/>
              </w:rPr>
            </w:pPr>
            <w:r>
              <w:rPr>
                <w:rFonts w:ascii="Arial" w:hAnsi="Arial"/>
                <w:color w:val="000000"/>
                <w:sz w:val="20"/>
              </w:rPr>
              <w:t>0</w:t>
            </w:r>
          </w:p>
        </w:tc>
      </w:tr>
    </w:tbl>
    <w:p w14:paraId="01E182E7" w14:textId="77777777" w:rsidR="00C46552" w:rsidRDefault="00C46552"/>
    <w:p w14:paraId="436795E2" w14:textId="77777777" w:rsidR="00C46552" w:rsidRDefault="00C46552">
      <w:pPr>
        <w:rPr>
          <w:color w:val="000000"/>
        </w:rPr>
      </w:pPr>
    </w:p>
    <w:p w14:paraId="77EDE142" w14:textId="77777777" w:rsidR="00C8591D" w:rsidRDefault="00C8591D">
      <w:pPr>
        <w:rPr>
          <w:color w:val="000000"/>
        </w:rPr>
      </w:pPr>
    </w:p>
    <w:p w14:paraId="07928918" w14:textId="77777777" w:rsidR="00C46552" w:rsidRDefault="00C46552" w:rsidP="00BE3408">
      <w:pPr>
        <w:pStyle w:val="Heading2"/>
      </w:pPr>
      <w:bookmarkStart w:id="83" w:name="_Toc10122682"/>
      <w:r>
        <w:t xml:space="preserve">Sector 1: </w:t>
      </w:r>
      <w:r w:rsidRPr="004548BE">
        <w:t>Fuel</w:t>
      </w:r>
      <w:r>
        <w:t xml:space="preserve"> Combustion in the Energy Industries</w:t>
      </w:r>
      <w:bookmarkEnd w:id="83"/>
    </w:p>
    <w:p w14:paraId="1BA20402" w14:textId="77777777" w:rsidR="00C46552" w:rsidRDefault="00C46552">
      <w:r>
        <w:t xml:space="preserve"> </w:t>
      </w:r>
    </w:p>
    <w:p w14:paraId="31809399" w14:textId="77777777" w:rsidR="00C46552" w:rsidRDefault="00C46552"/>
    <w:p w14:paraId="2CAB2A60" w14:textId="77777777" w:rsidR="00C46552" w:rsidRPr="007F4B25" w:rsidRDefault="00C46552" w:rsidP="00CC0691">
      <w:pPr>
        <w:pStyle w:val="Heading3"/>
        <w:numPr>
          <w:ilvl w:val="2"/>
          <w:numId w:val="17"/>
        </w:numPr>
      </w:pPr>
      <w:bookmarkStart w:id="84" w:name="_Toc10122683"/>
      <w:r w:rsidRPr="004548BE">
        <w:t>Introduction</w:t>
      </w:r>
      <w:bookmarkEnd w:id="84"/>
    </w:p>
    <w:p w14:paraId="3D857DE4" w14:textId="77777777" w:rsidR="00C46552" w:rsidRDefault="00C46552"/>
    <w:p w14:paraId="453B6593" w14:textId="77777777" w:rsidR="00C46552" w:rsidRDefault="00C46552">
      <w:r>
        <w:t>The energy industries are those industries involved either in energy production (that is, energy transformation) or in fossil fuel extraction. All of the energy industries are potential sources of SO</w:t>
      </w:r>
      <w:r>
        <w:rPr>
          <w:vertAlign w:val="subscript"/>
        </w:rPr>
        <w:t>2</w:t>
      </w:r>
      <w:r>
        <w:t>, NO</w:t>
      </w:r>
      <w:r>
        <w:rPr>
          <w:vertAlign w:val="subscript"/>
        </w:rPr>
        <w:t>x</w:t>
      </w:r>
      <w:r>
        <w:t xml:space="preserve">, </w:t>
      </w:r>
      <w:r w:rsidR="00517D24">
        <w:t xml:space="preserve">CO, NMVOC, </w:t>
      </w:r>
      <w:r>
        <w:t>NH</w:t>
      </w:r>
      <w:r>
        <w:rPr>
          <w:vertAlign w:val="subscript"/>
        </w:rPr>
        <w:t>3</w:t>
      </w:r>
      <w:r>
        <w:t>, PM</w:t>
      </w:r>
      <w:r>
        <w:rPr>
          <w:vertAlign w:val="subscript"/>
        </w:rPr>
        <w:t>10</w:t>
      </w:r>
      <w:r>
        <w:t xml:space="preserve">, and </w:t>
      </w:r>
      <w:r w:rsidR="00065B5E">
        <w:t>PM</w:t>
      </w:r>
      <w:r w:rsidR="00065B5E" w:rsidRPr="00517D24">
        <w:rPr>
          <w:vertAlign w:val="subscript"/>
        </w:rPr>
        <w:t>2.5</w:t>
      </w:r>
      <w:r w:rsidRPr="00517D24">
        <w:rPr>
          <w:i/>
          <w:vertAlign w:val="subscript"/>
        </w:rPr>
        <w:t xml:space="preserve"> </w:t>
      </w:r>
      <w:r>
        <w:t>emissions. These sources comprise:</w:t>
      </w:r>
    </w:p>
    <w:p w14:paraId="12B498C3" w14:textId="77777777" w:rsidR="00C46552" w:rsidRDefault="00C46552">
      <w:pPr>
        <w:pStyle w:val="Date"/>
      </w:pPr>
    </w:p>
    <w:p w14:paraId="35553AF2" w14:textId="77777777" w:rsidR="00C46552" w:rsidRDefault="00C46552">
      <w:pPr>
        <w:numPr>
          <w:ilvl w:val="0"/>
          <w:numId w:val="3"/>
        </w:numPr>
        <w:spacing w:before="120"/>
        <w:rPr>
          <w:i/>
        </w:rPr>
      </w:pPr>
      <w:r>
        <w:rPr>
          <w:i/>
        </w:rPr>
        <w:t>Public Electricity and Heat Production</w:t>
      </w:r>
      <w:r>
        <w:t xml:space="preserve"> –</w:t>
      </w:r>
      <w:r>
        <w:rPr>
          <w:color w:val="0000FF"/>
        </w:rPr>
        <w:t xml:space="preserve"> </w:t>
      </w:r>
      <w:r>
        <w:t>All emissions from the combustion of fuel for generation of electricity or the production of heat for sale to the public. The power stations or utilities may be in public or private ownership. Emissions from own on-site use of fuel are included. Emissions from autoproducers</w:t>
      </w:r>
      <w:r>
        <w:rPr>
          <w:rStyle w:val="FootnoteReference"/>
        </w:rPr>
        <w:footnoteReference w:id="17"/>
      </w:r>
      <w:r>
        <w:t xml:space="preserve"> of electricity or heat are not included under "Energy Industries" but are either assigned to the industrial sector where they were generated or are included under the “Remainder (non-specified)” category within the “Combustion in Manufacturing Industries and Construction” sector.</w:t>
      </w:r>
    </w:p>
    <w:p w14:paraId="21C3220B" w14:textId="77777777" w:rsidR="00C46552" w:rsidRDefault="00C46552">
      <w:pPr>
        <w:numPr>
          <w:ilvl w:val="0"/>
          <w:numId w:val="3"/>
        </w:numPr>
        <w:spacing w:before="120"/>
        <w:rPr>
          <w:i/>
        </w:rPr>
      </w:pPr>
      <w:r>
        <w:rPr>
          <w:i/>
        </w:rPr>
        <w:lastRenderedPageBreak/>
        <w:t>Petroleum Refining.</w:t>
      </w:r>
      <w:r>
        <w:t xml:space="preserve"> –</w:t>
      </w:r>
      <w:r>
        <w:rPr>
          <w:color w:val="0000FF"/>
        </w:rPr>
        <w:t xml:space="preserve"> </w:t>
      </w:r>
      <w:r>
        <w:t>All emissions from the combustion of fuel used to support the refining of petroleum products.</w:t>
      </w:r>
      <w:r w:rsidR="00ED6760">
        <w:t xml:space="preserve"> Evaporative emissions of NMVOC are dealt with separately under "Fugitive Emissions from Fuels".</w:t>
      </w:r>
    </w:p>
    <w:p w14:paraId="55FDC873" w14:textId="77777777" w:rsidR="00C46552" w:rsidRPr="0099785C" w:rsidRDefault="00C46552">
      <w:pPr>
        <w:numPr>
          <w:ilvl w:val="0"/>
          <w:numId w:val="3"/>
        </w:numPr>
        <w:spacing w:before="120"/>
      </w:pPr>
      <w:r>
        <w:rPr>
          <w:i/>
        </w:rPr>
        <w:t xml:space="preserve"> Manufacture of Solid Fuels and Other Energy Industries. </w:t>
      </w:r>
      <w:r>
        <w:t>–</w:t>
      </w:r>
      <w:r>
        <w:rPr>
          <w:color w:val="0000FF"/>
        </w:rPr>
        <w:t xml:space="preserve"> </w:t>
      </w:r>
      <w:r>
        <w:t xml:space="preserve">All emissions from the combustion of fuels used during the manufacture of secondary or tertiary products from solid fuels. Included are emissions from the production of coke (from hard coal in coke ovens and gas works), brown coal briquettes (from brown coal or lignite), patent fuel (from hard coal) and charcoal (from wood). Also included are the </w:t>
      </w:r>
      <w:r w:rsidR="00BB6650">
        <w:t xml:space="preserve">combustion </w:t>
      </w:r>
      <w:r>
        <w:t>emissions from own (on-site) energy use in coal mining and in oil and gas extraction.</w:t>
      </w:r>
    </w:p>
    <w:p w14:paraId="03FFD66C" w14:textId="77777777" w:rsidR="00C46552" w:rsidRDefault="00C46552">
      <w:r>
        <w:tab/>
      </w:r>
    </w:p>
    <w:p w14:paraId="08D19D44" w14:textId="77777777" w:rsidR="00C46552" w:rsidRDefault="00C46552"/>
    <w:p w14:paraId="6C8AFDBC" w14:textId="77777777" w:rsidR="00C46552" w:rsidRPr="00CC0691" w:rsidRDefault="00C46552" w:rsidP="00566FAD">
      <w:pPr>
        <w:pStyle w:val="Heading3"/>
      </w:pPr>
      <w:bookmarkStart w:id="85" w:name="_Toc10122684"/>
      <w:r w:rsidRPr="00CC0691">
        <w:t>Procedures and default data used in this Manual</w:t>
      </w:r>
      <w:bookmarkEnd w:id="85"/>
    </w:p>
    <w:p w14:paraId="2B3512CE" w14:textId="77777777" w:rsidR="00C46552" w:rsidRDefault="00C46552"/>
    <w:p w14:paraId="2E1F25E7" w14:textId="77777777" w:rsidR="00C46552" w:rsidRDefault="00C46552" w:rsidP="00950C7A">
      <w:pPr>
        <w:rPr>
          <w:color w:val="000000"/>
        </w:rPr>
      </w:pPr>
      <w:r>
        <w:t xml:space="preserve">The approach adopted in this Manual is similar to the IPCC Tier 1 method except that a more detailed disaggregation of fuel types is used as detailed above in Table </w:t>
      </w:r>
      <w:r w:rsidR="004548BE">
        <w:t>3</w:t>
      </w:r>
      <w:r>
        <w:t>.1. SO</w:t>
      </w:r>
      <w:r>
        <w:rPr>
          <w:vertAlign w:val="subscript"/>
        </w:rPr>
        <w:t xml:space="preserve">2 </w:t>
      </w:r>
      <w:r>
        <w:t xml:space="preserve">emissions are calculated as described in Section </w:t>
      </w:r>
      <w:r w:rsidR="004548BE">
        <w:t>3</w:t>
      </w:r>
      <w:r>
        <w:t>.1 above. No default values for emission controls are offered for the generalized emission factor calculations (in Worksheet</w:t>
      </w:r>
      <w:r w:rsidR="004548BE">
        <w:t xml:space="preserve">s </w:t>
      </w:r>
      <w:r>
        <w:t>1.2.1</w:t>
      </w:r>
      <w:r w:rsidR="004548BE">
        <w:t xml:space="preserve"> – 1.2.4</w:t>
      </w:r>
      <w:r>
        <w:t xml:space="preserve"> of the workbook that accompanies this Manual) because these will depend on the proportion of total capacity in a particular sector subject to controls.</w:t>
      </w:r>
      <w:r w:rsidR="002551A6" w:rsidRPr="002551A6">
        <w:t xml:space="preserve"> </w:t>
      </w:r>
      <w:r w:rsidR="002551A6">
        <w:t>The default assumption is that SO</w:t>
      </w:r>
      <w:r w:rsidR="002551A6">
        <w:rPr>
          <w:vertAlign w:val="subscript"/>
        </w:rPr>
        <w:t xml:space="preserve">2 </w:t>
      </w:r>
      <w:r w:rsidR="002551A6">
        <w:t xml:space="preserve">emission controls for fuel combustion are insignificant except in the "Public Electricity and Heat Production" </w:t>
      </w:r>
      <w:r w:rsidR="002551A6" w:rsidRPr="002551A6">
        <w:t>sector</w:t>
      </w:r>
      <w:r w:rsidRPr="002551A6">
        <w:t>. (Measures</w:t>
      </w:r>
      <w:r>
        <w:t xml:space="preserve"> such as coal washing or use of low-sulphur diesel should be reflected in the values given for the S contents of fuel entered into Worksheet 1.2.1.)  For the "Public Electricity and Heat Production" sector, “emission control calculators” are included at the bottom of Worksheet 1.2.1 in which the </w:t>
      </w:r>
      <w:r>
        <w:rPr>
          <w:color w:val="000000"/>
        </w:rPr>
        <w:t>proportion of coal- and oil-fired generating capacity subject to the main types of SO</w:t>
      </w:r>
      <w:r>
        <w:rPr>
          <w:color w:val="000000"/>
          <w:vertAlign w:val="subscript"/>
        </w:rPr>
        <w:t>2</w:t>
      </w:r>
      <w:r>
        <w:rPr>
          <w:color w:val="000000"/>
        </w:rPr>
        <w:t xml:space="preserve"> emission control can be entered. The calculator then returns the average percentage emission control achieved for that fuel type and automatically carries it forward into the “SO</w:t>
      </w:r>
      <w:r>
        <w:rPr>
          <w:color w:val="000000"/>
          <w:vertAlign w:val="subscript"/>
        </w:rPr>
        <w:t>2</w:t>
      </w:r>
      <w:r>
        <w:rPr>
          <w:color w:val="000000"/>
        </w:rPr>
        <w:t xml:space="preserve"> emission control efficiency” column of the main worksheet.  The most common types of FGD (flue gas desulphurization) employed are “wet scrubber” and “spray dry absorption” (with 90 and 80 percent reduction efficiencies respectively). A mean reduction efficiency of 85 percent can be assumed for FGD where the precise form of the pollution control equipment employed is unknown.</w:t>
      </w:r>
      <w:r w:rsidR="00950C7A" w:rsidRPr="00950C7A">
        <w:rPr>
          <w:color w:val="000000"/>
        </w:rPr>
        <w:t xml:space="preserve"> </w:t>
      </w:r>
      <w:r w:rsidR="00950C7A" w:rsidRPr="00D978EB">
        <w:rPr>
          <w:color w:val="000000"/>
        </w:rPr>
        <w:t>Atmospheric Fluidized Bed Combustion (AFBC) with sorbent injection</w:t>
      </w:r>
      <w:r w:rsidR="00950C7A">
        <w:rPr>
          <w:color w:val="000000"/>
        </w:rPr>
        <w:t xml:space="preserve"> reduces SO</w:t>
      </w:r>
      <w:r w:rsidR="00950C7A" w:rsidRPr="00950C7A">
        <w:rPr>
          <w:color w:val="000000"/>
          <w:vertAlign w:val="subscript"/>
        </w:rPr>
        <w:t>2</w:t>
      </w:r>
      <w:r w:rsidR="00950C7A">
        <w:rPr>
          <w:color w:val="000000"/>
        </w:rPr>
        <w:t xml:space="preserve"> emissions by 70-90%; an 80% removal efficiency is therefore assumed by default in the Workbook.</w:t>
      </w:r>
      <w:r>
        <w:rPr>
          <w:color w:val="000000"/>
        </w:rPr>
        <w:t xml:space="preserve"> For heavy fuel oil (HFO) combustion with furnace injection an SO</w:t>
      </w:r>
      <w:r>
        <w:rPr>
          <w:color w:val="000000"/>
          <w:vertAlign w:val="subscript"/>
        </w:rPr>
        <w:t>2</w:t>
      </w:r>
      <w:r>
        <w:rPr>
          <w:color w:val="000000"/>
        </w:rPr>
        <w:t xml:space="preserve"> emission control rate of 38 percent is assumed</w:t>
      </w:r>
      <w:r w:rsidR="00950C7A">
        <w:rPr>
          <w:color w:val="000000"/>
        </w:rPr>
        <w:t>.</w:t>
      </w:r>
    </w:p>
    <w:p w14:paraId="7BFDEA2D" w14:textId="77777777" w:rsidR="00C46552" w:rsidRDefault="00C46552">
      <w:pPr>
        <w:rPr>
          <w:color w:val="000000"/>
        </w:rPr>
      </w:pPr>
    </w:p>
    <w:p w14:paraId="570DC9B1" w14:textId="54D38C22" w:rsidR="00C46552" w:rsidRDefault="00C46552">
      <w:pPr>
        <w:tabs>
          <w:tab w:val="num" w:pos="720"/>
        </w:tabs>
        <w:rPr>
          <w:color w:val="000000"/>
        </w:rPr>
      </w:pPr>
      <w:r>
        <w:rPr>
          <w:color w:val="000000"/>
        </w:rPr>
        <w:tab/>
        <w:t>For NO</w:t>
      </w:r>
      <w:r>
        <w:rPr>
          <w:color w:val="000000"/>
          <w:vertAlign w:val="subscript"/>
        </w:rPr>
        <w:t>X</w:t>
      </w:r>
      <w:r>
        <w:rPr>
          <w:color w:val="000000"/>
        </w:rPr>
        <w:t>, the (uncontrolled) default</w:t>
      </w:r>
      <w:r w:rsidR="00AD3770">
        <w:rPr>
          <w:color w:val="000000"/>
        </w:rPr>
        <w:t xml:space="preserve"> emission factors given in the W</w:t>
      </w:r>
      <w:r>
        <w:rPr>
          <w:color w:val="000000"/>
        </w:rPr>
        <w:t>orkbook</w:t>
      </w:r>
      <w:r w:rsidR="0018549E">
        <w:rPr>
          <w:color w:val="000000"/>
        </w:rPr>
        <w:t xml:space="preserve"> </w:t>
      </w:r>
      <w:r>
        <w:rPr>
          <w:color w:val="000000"/>
        </w:rPr>
        <w:t xml:space="preserve">are </w:t>
      </w:r>
      <w:r>
        <w:rPr>
          <w:snapToGrid w:val="0"/>
          <w:color w:val="000000"/>
        </w:rPr>
        <w:t xml:space="preserve">derived from </w:t>
      </w:r>
      <w:r w:rsidR="00397A02">
        <w:rPr>
          <w:snapToGrid w:val="0"/>
          <w:color w:val="000000"/>
        </w:rPr>
        <w:t xml:space="preserve">the </w:t>
      </w:r>
      <w:r w:rsidR="00397A02">
        <w:rPr>
          <w:i/>
          <w:snapToGrid w:val="0"/>
          <w:color w:val="000000"/>
        </w:rPr>
        <w:t>EMEP/EEA Guidebook</w:t>
      </w:r>
      <w:r w:rsidR="00C66699">
        <w:rPr>
          <w:snapToGrid w:val="0"/>
          <w:color w:val="000000"/>
        </w:rPr>
        <w:t xml:space="preserve"> </w:t>
      </w:r>
      <w:r w:rsidR="001C2B61">
        <w:rPr>
          <w:snapToGrid w:val="0"/>
          <w:color w:val="000000"/>
        </w:rPr>
        <w:t>with the exception of</w:t>
      </w:r>
      <w:r w:rsidR="00C66699">
        <w:rPr>
          <w:snapToGrid w:val="0"/>
          <w:color w:val="000000"/>
        </w:rPr>
        <w:t xml:space="preserve"> charcoal making (</w:t>
      </w:r>
      <w:r w:rsidR="001C2B61">
        <w:rPr>
          <w:snapToGrid w:val="0"/>
          <w:color w:val="000000"/>
        </w:rPr>
        <w:t xml:space="preserve">emission factor for traditional earthen charcoal kiln from </w:t>
      </w:r>
      <w:r w:rsidR="00C66699">
        <w:rPr>
          <w:snapToGrid w:val="0"/>
          <w:color w:val="000000"/>
        </w:rPr>
        <w:t>Bertschi et al</w:t>
      </w:r>
      <w:r w:rsidR="001C2B61">
        <w:rPr>
          <w:snapToGrid w:val="0"/>
          <w:color w:val="000000"/>
        </w:rPr>
        <w:t>.</w:t>
      </w:r>
      <w:r w:rsidR="00C66699">
        <w:rPr>
          <w:snapToGrid w:val="0"/>
          <w:color w:val="000000"/>
        </w:rPr>
        <w:t xml:space="preserve"> </w:t>
      </w:r>
      <w:r w:rsidR="001C2B61">
        <w:rPr>
          <w:snapToGrid w:val="0"/>
          <w:color w:val="000000"/>
        </w:rPr>
        <w:t>(</w:t>
      </w:r>
      <w:r w:rsidR="00C66699">
        <w:rPr>
          <w:snapToGrid w:val="0"/>
          <w:color w:val="000000"/>
        </w:rPr>
        <w:t>2003</w:t>
      </w:r>
      <w:r w:rsidR="001C2B61">
        <w:rPr>
          <w:snapToGrid w:val="0"/>
          <w:color w:val="000000"/>
        </w:rPr>
        <w:t>)</w:t>
      </w:r>
      <w:r w:rsidR="00C66699">
        <w:rPr>
          <w:snapToGrid w:val="0"/>
          <w:color w:val="000000"/>
        </w:rPr>
        <w:t>)</w:t>
      </w:r>
      <w:r>
        <w:rPr>
          <w:snapToGrid w:val="0"/>
          <w:color w:val="000000"/>
        </w:rPr>
        <w:t xml:space="preserve">. </w:t>
      </w:r>
      <w:r>
        <w:rPr>
          <w:color w:val="000000"/>
        </w:rPr>
        <w:t>Various types of control technology can be used to reduce NO</w:t>
      </w:r>
      <w:r>
        <w:rPr>
          <w:color w:val="000000"/>
          <w:vertAlign w:val="subscript"/>
        </w:rPr>
        <w:t>X</w:t>
      </w:r>
      <w:r>
        <w:rPr>
          <w:color w:val="000000"/>
        </w:rPr>
        <w:t xml:space="preserve"> emissions</w:t>
      </w:r>
      <w:r w:rsidR="00C66699">
        <w:rPr>
          <w:color w:val="000000"/>
        </w:rPr>
        <w:t xml:space="preserve"> from power stations and industrial sources</w:t>
      </w:r>
      <w:r>
        <w:rPr>
          <w:color w:val="000000"/>
        </w:rPr>
        <w:t>, and some of these may be empl</w:t>
      </w:r>
      <w:r w:rsidR="002271CD">
        <w:rPr>
          <w:color w:val="000000"/>
        </w:rPr>
        <w:t xml:space="preserve">oyed in </w:t>
      </w:r>
      <w:r w:rsidR="004C4638">
        <w:rPr>
          <w:color w:val="000000"/>
        </w:rPr>
        <w:t>non-OECD countries</w:t>
      </w:r>
      <w:r w:rsidR="002271CD">
        <w:rPr>
          <w:color w:val="000000"/>
        </w:rPr>
        <w:t xml:space="preserve">. Table </w:t>
      </w:r>
      <w:r w:rsidR="004548BE">
        <w:rPr>
          <w:color w:val="000000"/>
        </w:rPr>
        <w:t>3</w:t>
      </w:r>
      <w:r>
        <w:rPr>
          <w:color w:val="000000"/>
        </w:rPr>
        <w:t>-3 lists the main NO</w:t>
      </w:r>
      <w:r>
        <w:rPr>
          <w:color w:val="000000"/>
          <w:vertAlign w:val="subscript"/>
        </w:rPr>
        <w:t>x</w:t>
      </w:r>
      <w:r>
        <w:rPr>
          <w:color w:val="000000"/>
        </w:rPr>
        <w:t xml:space="preserve"> control technologies applicable to power stations, along with representative values for percentage emissions reductions associated with each technology. For NO</w:t>
      </w:r>
      <w:r>
        <w:rPr>
          <w:color w:val="000000"/>
          <w:vertAlign w:val="subscript"/>
        </w:rPr>
        <w:t xml:space="preserve">x </w:t>
      </w:r>
      <w:r>
        <w:rPr>
          <w:color w:val="000000"/>
        </w:rPr>
        <w:t>there is a separate worksheet (1.3.2) in the workbook for entering the NO</w:t>
      </w:r>
      <w:r>
        <w:rPr>
          <w:color w:val="000000"/>
          <w:vertAlign w:val="subscript"/>
        </w:rPr>
        <w:t>x</w:t>
      </w:r>
      <w:r>
        <w:rPr>
          <w:color w:val="000000"/>
        </w:rPr>
        <w:t xml:space="preserve"> emission control rates. Emission control calculators are also provided at the bottom of the worksheet for coal, oil and gas combustion and a</w:t>
      </w:r>
      <w:r>
        <w:t>s before, the outputs of the emission control calculators are automatically carried forward into the main worksheet table.</w:t>
      </w:r>
    </w:p>
    <w:p w14:paraId="46FF6331" w14:textId="77777777" w:rsidR="00C46552" w:rsidRDefault="00C46552">
      <w:r>
        <w:tab/>
      </w:r>
    </w:p>
    <w:p w14:paraId="4E8D2B1D" w14:textId="56E030A1" w:rsidR="0018549E" w:rsidRDefault="0018549E"/>
    <w:p w14:paraId="71B665E7" w14:textId="0F44E1C2" w:rsidR="00B35FE9" w:rsidRDefault="00B35FE9"/>
    <w:p w14:paraId="60957A69" w14:textId="3EF7DE2D" w:rsidR="00B35FE9" w:rsidRDefault="00B35FE9"/>
    <w:p w14:paraId="461343E2" w14:textId="1F4FDFFC" w:rsidR="00B35FE9" w:rsidRDefault="00B35FE9"/>
    <w:p w14:paraId="56507BAC" w14:textId="7FAEFF91" w:rsidR="00B35FE9" w:rsidRDefault="00B35FE9"/>
    <w:p w14:paraId="778F5782" w14:textId="4D1657A6" w:rsidR="00B35FE9" w:rsidRDefault="00B35FE9"/>
    <w:p w14:paraId="6D2D5059" w14:textId="50A88A0E" w:rsidR="00B35FE9" w:rsidRDefault="00B35FE9"/>
    <w:p w14:paraId="6CC513F3" w14:textId="18B4F87A" w:rsidR="00B35FE9" w:rsidRDefault="00B35FE9"/>
    <w:p w14:paraId="71AD2AA5" w14:textId="0BE25198" w:rsidR="00B35FE9" w:rsidRDefault="00B35FE9"/>
    <w:p w14:paraId="0460ECAE" w14:textId="67A86CB7" w:rsidR="00B35FE9" w:rsidRDefault="00B35FE9"/>
    <w:p w14:paraId="435FA41D" w14:textId="6C6B8E2C" w:rsidR="00B35FE9" w:rsidRDefault="00B35FE9"/>
    <w:p w14:paraId="753A190E" w14:textId="77777777" w:rsidR="00B35FE9" w:rsidRDefault="00B35FE9"/>
    <w:p w14:paraId="18BBC8FC" w14:textId="77777777" w:rsidR="00B83E60" w:rsidRDefault="002271CD">
      <w:pPr>
        <w:jc w:val="center"/>
        <w:rPr>
          <w:b/>
          <w:i/>
        </w:rPr>
      </w:pPr>
      <w:r>
        <w:rPr>
          <w:b/>
          <w:i/>
        </w:rPr>
        <w:lastRenderedPageBreak/>
        <w:t xml:space="preserve">Table </w:t>
      </w:r>
      <w:r w:rsidR="004548BE">
        <w:rPr>
          <w:b/>
          <w:i/>
        </w:rPr>
        <w:t>3</w:t>
      </w:r>
      <w:r w:rsidR="00C46552">
        <w:rPr>
          <w:b/>
          <w:i/>
        </w:rPr>
        <w:t>-3</w:t>
      </w:r>
      <w:r w:rsidR="00B83E60">
        <w:rPr>
          <w:b/>
          <w:i/>
        </w:rPr>
        <w:t>:</w:t>
      </w:r>
      <w:r w:rsidR="00C46552">
        <w:rPr>
          <w:b/>
          <w:i/>
        </w:rPr>
        <w:t xml:space="preserve"> </w:t>
      </w:r>
    </w:p>
    <w:p w14:paraId="771A3007" w14:textId="77777777" w:rsidR="00C46552" w:rsidRDefault="00C46552" w:rsidP="00B83E60">
      <w:pPr>
        <w:jc w:val="center"/>
        <w:rPr>
          <w:b/>
          <w:i/>
        </w:rPr>
      </w:pPr>
      <w:r>
        <w:rPr>
          <w:b/>
          <w:i/>
        </w:rPr>
        <w:t>Representative NO</w:t>
      </w:r>
      <w:r>
        <w:rPr>
          <w:b/>
          <w:i/>
          <w:vertAlign w:val="subscript"/>
        </w:rPr>
        <w:t>x</w:t>
      </w:r>
      <w:r>
        <w:rPr>
          <w:b/>
          <w:i/>
        </w:rPr>
        <w:t xml:space="preserve"> emission control reductions for power stations and industrial boilers.</w:t>
      </w:r>
    </w:p>
    <w:p w14:paraId="42B17D7F" w14:textId="77777777" w:rsidR="00C46552" w:rsidRDefault="00C46552">
      <w:pPr>
        <w:keepNext/>
        <w:keepLines/>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2261"/>
      </w:tblGrid>
      <w:tr w:rsidR="00C46552" w14:paraId="2160B987" w14:textId="77777777">
        <w:trPr>
          <w:trHeight w:val="647"/>
        </w:trPr>
        <w:tc>
          <w:tcPr>
            <w:tcW w:w="4961" w:type="dxa"/>
            <w:tcBorders>
              <w:bottom w:val="nil"/>
            </w:tcBorders>
            <w:vAlign w:val="center"/>
          </w:tcPr>
          <w:p w14:paraId="2E283BD7" w14:textId="77777777" w:rsidR="00C46552" w:rsidRDefault="00C46552" w:rsidP="00B06477">
            <w:pPr>
              <w:keepNext/>
              <w:keepLines/>
              <w:jc w:val="center"/>
              <w:rPr>
                <w:rFonts w:ascii="Arial" w:hAnsi="Arial"/>
                <w:b/>
                <w:sz w:val="20"/>
              </w:rPr>
            </w:pPr>
            <w:bookmarkStart w:id="86" w:name="OLE_LINK9"/>
          </w:p>
          <w:p w14:paraId="588C849D" w14:textId="77777777" w:rsidR="00C46552" w:rsidRDefault="00C46552" w:rsidP="00B06477">
            <w:pPr>
              <w:keepNext/>
              <w:keepLines/>
              <w:jc w:val="center"/>
              <w:rPr>
                <w:rFonts w:ascii="Arial" w:hAnsi="Arial"/>
                <w:b/>
                <w:sz w:val="20"/>
              </w:rPr>
            </w:pPr>
            <w:r>
              <w:rPr>
                <w:rFonts w:ascii="Arial" w:hAnsi="Arial"/>
                <w:b/>
                <w:sz w:val="20"/>
              </w:rPr>
              <w:t>Technology</w:t>
            </w:r>
          </w:p>
        </w:tc>
        <w:tc>
          <w:tcPr>
            <w:tcW w:w="2261" w:type="dxa"/>
            <w:tcBorders>
              <w:bottom w:val="nil"/>
            </w:tcBorders>
            <w:vAlign w:val="center"/>
          </w:tcPr>
          <w:p w14:paraId="21C86F40" w14:textId="77777777" w:rsidR="00C46552" w:rsidRDefault="00C46552" w:rsidP="00B06477">
            <w:pPr>
              <w:keepNext/>
              <w:keepLines/>
              <w:jc w:val="center"/>
              <w:rPr>
                <w:rFonts w:ascii="Arial" w:hAnsi="Arial"/>
                <w:b/>
                <w:sz w:val="20"/>
              </w:rPr>
            </w:pPr>
            <w:r>
              <w:rPr>
                <w:rFonts w:ascii="Arial" w:hAnsi="Arial"/>
                <w:b/>
                <w:sz w:val="20"/>
              </w:rPr>
              <w:t>Representative NO</w:t>
            </w:r>
            <w:r>
              <w:rPr>
                <w:rFonts w:ascii="Arial" w:hAnsi="Arial"/>
                <w:b/>
                <w:sz w:val="20"/>
                <w:vertAlign w:val="subscript"/>
              </w:rPr>
              <w:t>x</w:t>
            </w:r>
            <w:r>
              <w:rPr>
                <w:rFonts w:ascii="Arial" w:hAnsi="Arial"/>
                <w:b/>
                <w:sz w:val="20"/>
              </w:rPr>
              <w:t xml:space="preserve"> reduction (%)</w:t>
            </w:r>
          </w:p>
        </w:tc>
      </w:tr>
      <w:tr w:rsidR="00C46552" w14:paraId="12446870" w14:textId="77777777">
        <w:tc>
          <w:tcPr>
            <w:tcW w:w="4961" w:type="dxa"/>
            <w:tcBorders>
              <w:top w:val="single" w:sz="4" w:space="0" w:color="auto"/>
              <w:left w:val="single" w:sz="4" w:space="0" w:color="auto"/>
              <w:bottom w:val="nil"/>
              <w:right w:val="nil"/>
            </w:tcBorders>
            <w:vAlign w:val="center"/>
          </w:tcPr>
          <w:p w14:paraId="16BA2A44" w14:textId="77777777" w:rsidR="00C46552" w:rsidRDefault="00C46552">
            <w:pPr>
              <w:keepNext/>
              <w:keepLines/>
              <w:rPr>
                <w:rFonts w:ascii="Arial" w:hAnsi="Arial"/>
                <w:snapToGrid w:val="0"/>
                <w:sz w:val="20"/>
              </w:rPr>
            </w:pPr>
          </w:p>
          <w:p w14:paraId="7EF42B58" w14:textId="77777777" w:rsidR="00C46552" w:rsidRDefault="00C46552">
            <w:pPr>
              <w:keepNext/>
              <w:keepLines/>
              <w:rPr>
                <w:rFonts w:ascii="Arial" w:hAnsi="Arial"/>
                <w:sz w:val="20"/>
              </w:rPr>
            </w:pPr>
            <w:r>
              <w:rPr>
                <w:rFonts w:ascii="Arial" w:hAnsi="Arial"/>
                <w:snapToGrid w:val="0"/>
                <w:sz w:val="20"/>
              </w:rPr>
              <w:t>Low Excess Air (LEA)</w:t>
            </w:r>
          </w:p>
        </w:tc>
        <w:tc>
          <w:tcPr>
            <w:tcW w:w="2261" w:type="dxa"/>
            <w:tcBorders>
              <w:top w:val="single" w:sz="4" w:space="0" w:color="auto"/>
              <w:left w:val="single" w:sz="4" w:space="0" w:color="auto"/>
              <w:bottom w:val="nil"/>
              <w:right w:val="single" w:sz="4" w:space="0" w:color="auto"/>
            </w:tcBorders>
            <w:vAlign w:val="center"/>
          </w:tcPr>
          <w:p w14:paraId="782FDB75" w14:textId="77777777" w:rsidR="00C46552" w:rsidRDefault="00C46552">
            <w:pPr>
              <w:keepNext/>
              <w:keepLines/>
              <w:jc w:val="center"/>
              <w:rPr>
                <w:rFonts w:ascii="Arial" w:hAnsi="Arial"/>
                <w:sz w:val="20"/>
              </w:rPr>
            </w:pPr>
          </w:p>
          <w:p w14:paraId="5F030785" w14:textId="77777777" w:rsidR="00C46552" w:rsidRDefault="00C46552">
            <w:pPr>
              <w:keepNext/>
              <w:keepLines/>
              <w:jc w:val="center"/>
              <w:rPr>
                <w:rFonts w:ascii="Arial" w:hAnsi="Arial"/>
                <w:sz w:val="20"/>
              </w:rPr>
            </w:pPr>
            <w:r>
              <w:rPr>
                <w:rFonts w:ascii="Arial" w:hAnsi="Arial"/>
                <w:sz w:val="20"/>
              </w:rPr>
              <w:t>15</w:t>
            </w:r>
          </w:p>
        </w:tc>
      </w:tr>
      <w:tr w:rsidR="00C46552" w14:paraId="251B14F8" w14:textId="77777777">
        <w:tc>
          <w:tcPr>
            <w:tcW w:w="4961" w:type="dxa"/>
            <w:tcBorders>
              <w:top w:val="nil"/>
              <w:left w:val="single" w:sz="4" w:space="0" w:color="auto"/>
              <w:bottom w:val="nil"/>
              <w:right w:val="nil"/>
            </w:tcBorders>
            <w:vAlign w:val="center"/>
          </w:tcPr>
          <w:p w14:paraId="65675279" w14:textId="77777777" w:rsidR="00C46552" w:rsidRDefault="00C46552">
            <w:pPr>
              <w:keepNext/>
              <w:keepLines/>
              <w:rPr>
                <w:rFonts w:ascii="Arial" w:hAnsi="Arial"/>
                <w:sz w:val="20"/>
              </w:rPr>
            </w:pPr>
            <w:r>
              <w:rPr>
                <w:rFonts w:ascii="Arial" w:hAnsi="Arial"/>
                <w:snapToGrid w:val="0"/>
                <w:sz w:val="20"/>
              </w:rPr>
              <w:t>Overfire Air (OFA) - Coal</w:t>
            </w:r>
          </w:p>
        </w:tc>
        <w:tc>
          <w:tcPr>
            <w:tcW w:w="2261" w:type="dxa"/>
            <w:tcBorders>
              <w:top w:val="nil"/>
              <w:left w:val="single" w:sz="4" w:space="0" w:color="auto"/>
              <w:bottom w:val="nil"/>
              <w:right w:val="single" w:sz="4" w:space="0" w:color="auto"/>
            </w:tcBorders>
            <w:vAlign w:val="center"/>
          </w:tcPr>
          <w:p w14:paraId="47D3D83A" w14:textId="77777777" w:rsidR="00C46552" w:rsidRDefault="00C46552">
            <w:pPr>
              <w:keepNext/>
              <w:keepLines/>
              <w:jc w:val="center"/>
              <w:rPr>
                <w:rFonts w:ascii="Arial" w:hAnsi="Arial"/>
                <w:sz w:val="20"/>
              </w:rPr>
            </w:pPr>
            <w:r>
              <w:rPr>
                <w:rFonts w:ascii="Arial" w:hAnsi="Arial"/>
                <w:sz w:val="20"/>
              </w:rPr>
              <w:t>25</w:t>
            </w:r>
          </w:p>
        </w:tc>
      </w:tr>
      <w:tr w:rsidR="00C46552" w14:paraId="16DCD305" w14:textId="77777777">
        <w:tc>
          <w:tcPr>
            <w:tcW w:w="4961" w:type="dxa"/>
            <w:tcBorders>
              <w:top w:val="nil"/>
              <w:left w:val="single" w:sz="4" w:space="0" w:color="auto"/>
              <w:bottom w:val="nil"/>
              <w:right w:val="nil"/>
            </w:tcBorders>
            <w:vAlign w:val="center"/>
          </w:tcPr>
          <w:p w14:paraId="1B003727" w14:textId="77777777" w:rsidR="00C46552" w:rsidRDefault="00C46552">
            <w:pPr>
              <w:keepNext/>
              <w:keepLines/>
              <w:rPr>
                <w:rFonts w:ascii="Arial" w:hAnsi="Arial"/>
                <w:sz w:val="20"/>
              </w:rPr>
            </w:pPr>
            <w:r>
              <w:rPr>
                <w:rFonts w:ascii="Arial" w:hAnsi="Arial"/>
                <w:snapToGrid w:val="0"/>
                <w:sz w:val="20"/>
              </w:rPr>
              <w:t xml:space="preserve">OFA - Gas </w:t>
            </w:r>
          </w:p>
        </w:tc>
        <w:tc>
          <w:tcPr>
            <w:tcW w:w="2261" w:type="dxa"/>
            <w:tcBorders>
              <w:top w:val="nil"/>
              <w:left w:val="single" w:sz="4" w:space="0" w:color="auto"/>
              <w:bottom w:val="nil"/>
              <w:right w:val="single" w:sz="4" w:space="0" w:color="auto"/>
            </w:tcBorders>
            <w:vAlign w:val="center"/>
          </w:tcPr>
          <w:p w14:paraId="72508A76" w14:textId="77777777" w:rsidR="00C46552" w:rsidRDefault="00C46552">
            <w:pPr>
              <w:keepNext/>
              <w:keepLines/>
              <w:jc w:val="center"/>
              <w:rPr>
                <w:rFonts w:ascii="Arial" w:hAnsi="Arial"/>
                <w:sz w:val="20"/>
              </w:rPr>
            </w:pPr>
            <w:r>
              <w:rPr>
                <w:rFonts w:ascii="Arial" w:hAnsi="Arial"/>
                <w:sz w:val="20"/>
              </w:rPr>
              <w:t>40</w:t>
            </w:r>
          </w:p>
        </w:tc>
      </w:tr>
      <w:tr w:rsidR="00C46552" w14:paraId="39AFF01D" w14:textId="77777777">
        <w:tc>
          <w:tcPr>
            <w:tcW w:w="4961" w:type="dxa"/>
            <w:tcBorders>
              <w:top w:val="nil"/>
              <w:left w:val="single" w:sz="4" w:space="0" w:color="auto"/>
              <w:bottom w:val="nil"/>
              <w:right w:val="nil"/>
            </w:tcBorders>
            <w:vAlign w:val="center"/>
          </w:tcPr>
          <w:p w14:paraId="30982DED" w14:textId="77777777" w:rsidR="00C46552" w:rsidRDefault="00C46552">
            <w:pPr>
              <w:keepNext/>
              <w:keepLines/>
              <w:rPr>
                <w:rFonts w:ascii="Arial" w:hAnsi="Arial"/>
                <w:snapToGrid w:val="0"/>
                <w:sz w:val="20"/>
              </w:rPr>
            </w:pPr>
            <w:r>
              <w:rPr>
                <w:rFonts w:ascii="Arial" w:hAnsi="Arial"/>
                <w:snapToGrid w:val="0"/>
                <w:sz w:val="20"/>
              </w:rPr>
              <w:t>OFA - Oil</w:t>
            </w:r>
          </w:p>
        </w:tc>
        <w:tc>
          <w:tcPr>
            <w:tcW w:w="2261" w:type="dxa"/>
            <w:tcBorders>
              <w:top w:val="nil"/>
              <w:left w:val="single" w:sz="4" w:space="0" w:color="auto"/>
              <w:bottom w:val="nil"/>
              <w:right w:val="single" w:sz="4" w:space="0" w:color="auto"/>
            </w:tcBorders>
            <w:vAlign w:val="center"/>
          </w:tcPr>
          <w:p w14:paraId="59269F09" w14:textId="77777777" w:rsidR="00C46552" w:rsidRDefault="00C46552">
            <w:pPr>
              <w:keepNext/>
              <w:keepLines/>
              <w:jc w:val="center"/>
              <w:rPr>
                <w:rFonts w:ascii="Arial" w:hAnsi="Arial"/>
                <w:sz w:val="20"/>
              </w:rPr>
            </w:pPr>
            <w:r>
              <w:rPr>
                <w:rFonts w:ascii="Arial" w:hAnsi="Arial"/>
                <w:sz w:val="20"/>
              </w:rPr>
              <w:t>30</w:t>
            </w:r>
          </w:p>
        </w:tc>
      </w:tr>
      <w:tr w:rsidR="00C46552" w14:paraId="101DD9EE" w14:textId="77777777">
        <w:tc>
          <w:tcPr>
            <w:tcW w:w="4961" w:type="dxa"/>
            <w:tcBorders>
              <w:top w:val="nil"/>
              <w:left w:val="single" w:sz="4" w:space="0" w:color="auto"/>
              <w:bottom w:val="nil"/>
              <w:right w:val="nil"/>
            </w:tcBorders>
            <w:vAlign w:val="center"/>
          </w:tcPr>
          <w:p w14:paraId="2D9B6C31" w14:textId="77777777" w:rsidR="00C46552" w:rsidRDefault="00C46552">
            <w:pPr>
              <w:keepNext/>
              <w:keepLines/>
              <w:rPr>
                <w:rFonts w:ascii="Arial" w:hAnsi="Arial"/>
                <w:sz w:val="20"/>
              </w:rPr>
            </w:pPr>
            <w:r>
              <w:rPr>
                <w:rFonts w:ascii="Arial" w:hAnsi="Arial"/>
                <w:snapToGrid w:val="0"/>
                <w:sz w:val="20"/>
              </w:rPr>
              <w:t xml:space="preserve">Low NOx Burner (LNB) - Coal </w:t>
            </w:r>
          </w:p>
        </w:tc>
        <w:tc>
          <w:tcPr>
            <w:tcW w:w="2261" w:type="dxa"/>
            <w:tcBorders>
              <w:top w:val="nil"/>
              <w:left w:val="single" w:sz="4" w:space="0" w:color="auto"/>
              <w:bottom w:val="nil"/>
              <w:right w:val="single" w:sz="4" w:space="0" w:color="auto"/>
            </w:tcBorders>
            <w:vAlign w:val="center"/>
          </w:tcPr>
          <w:p w14:paraId="3E925D9B" w14:textId="77777777" w:rsidR="00C46552" w:rsidRDefault="00C46552">
            <w:pPr>
              <w:keepNext/>
              <w:keepLines/>
              <w:jc w:val="center"/>
              <w:rPr>
                <w:rFonts w:ascii="Arial" w:hAnsi="Arial"/>
                <w:sz w:val="20"/>
              </w:rPr>
            </w:pPr>
            <w:r>
              <w:rPr>
                <w:rFonts w:ascii="Arial" w:hAnsi="Arial"/>
                <w:sz w:val="20"/>
              </w:rPr>
              <w:t>45</w:t>
            </w:r>
          </w:p>
        </w:tc>
      </w:tr>
      <w:tr w:rsidR="00C46552" w14:paraId="7C08C49F" w14:textId="77777777">
        <w:tc>
          <w:tcPr>
            <w:tcW w:w="4961" w:type="dxa"/>
            <w:tcBorders>
              <w:top w:val="nil"/>
              <w:left w:val="single" w:sz="4" w:space="0" w:color="auto"/>
              <w:bottom w:val="nil"/>
              <w:right w:val="nil"/>
            </w:tcBorders>
            <w:vAlign w:val="center"/>
          </w:tcPr>
          <w:p w14:paraId="643E3209" w14:textId="77777777" w:rsidR="00C46552" w:rsidRDefault="00C46552">
            <w:pPr>
              <w:keepNext/>
              <w:keepLines/>
              <w:rPr>
                <w:rFonts w:ascii="Arial" w:hAnsi="Arial"/>
                <w:sz w:val="20"/>
              </w:rPr>
            </w:pPr>
            <w:r>
              <w:rPr>
                <w:rFonts w:ascii="Arial" w:hAnsi="Arial"/>
                <w:snapToGrid w:val="0"/>
                <w:sz w:val="20"/>
              </w:rPr>
              <w:t>LNB - Tangentially Fired</w:t>
            </w:r>
          </w:p>
        </w:tc>
        <w:tc>
          <w:tcPr>
            <w:tcW w:w="2261" w:type="dxa"/>
            <w:tcBorders>
              <w:top w:val="nil"/>
              <w:left w:val="single" w:sz="4" w:space="0" w:color="auto"/>
              <w:bottom w:val="nil"/>
              <w:right w:val="single" w:sz="4" w:space="0" w:color="auto"/>
            </w:tcBorders>
            <w:vAlign w:val="center"/>
          </w:tcPr>
          <w:p w14:paraId="41127469" w14:textId="77777777" w:rsidR="00C46552" w:rsidRDefault="00C46552">
            <w:pPr>
              <w:keepNext/>
              <w:keepLines/>
              <w:jc w:val="center"/>
              <w:rPr>
                <w:rFonts w:ascii="Arial" w:hAnsi="Arial"/>
                <w:sz w:val="20"/>
              </w:rPr>
            </w:pPr>
            <w:r>
              <w:rPr>
                <w:rFonts w:ascii="Arial" w:hAnsi="Arial"/>
                <w:sz w:val="20"/>
              </w:rPr>
              <w:t>35</w:t>
            </w:r>
          </w:p>
        </w:tc>
      </w:tr>
      <w:tr w:rsidR="00C46552" w14:paraId="02AE3A65" w14:textId="77777777">
        <w:tc>
          <w:tcPr>
            <w:tcW w:w="4961" w:type="dxa"/>
            <w:tcBorders>
              <w:top w:val="nil"/>
              <w:left w:val="single" w:sz="4" w:space="0" w:color="auto"/>
              <w:bottom w:val="nil"/>
              <w:right w:val="nil"/>
            </w:tcBorders>
            <w:vAlign w:val="center"/>
          </w:tcPr>
          <w:p w14:paraId="776BF7DA" w14:textId="77777777" w:rsidR="00C46552" w:rsidRDefault="00C46552">
            <w:pPr>
              <w:keepNext/>
              <w:keepLines/>
              <w:rPr>
                <w:rFonts w:ascii="Arial" w:hAnsi="Arial"/>
                <w:sz w:val="20"/>
              </w:rPr>
            </w:pPr>
            <w:r>
              <w:rPr>
                <w:rFonts w:ascii="Arial" w:hAnsi="Arial"/>
                <w:snapToGrid w:val="0"/>
                <w:sz w:val="20"/>
              </w:rPr>
              <w:t>LNB - Oil</w:t>
            </w:r>
          </w:p>
        </w:tc>
        <w:tc>
          <w:tcPr>
            <w:tcW w:w="2261" w:type="dxa"/>
            <w:tcBorders>
              <w:top w:val="nil"/>
              <w:left w:val="single" w:sz="4" w:space="0" w:color="auto"/>
              <w:bottom w:val="nil"/>
              <w:right w:val="single" w:sz="4" w:space="0" w:color="auto"/>
            </w:tcBorders>
            <w:vAlign w:val="center"/>
          </w:tcPr>
          <w:p w14:paraId="04105C36" w14:textId="77777777" w:rsidR="00C46552" w:rsidRDefault="00C46552">
            <w:pPr>
              <w:keepNext/>
              <w:keepLines/>
              <w:jc w:val="center"/>
              <w:rPr>
                <w:rFonts w:ascii="Arial" w:hAnsi="Arial"/>
                <w:sz w:val="20"/>
              </w:rPr>
            </w:pPr>
            <w:r>
              <w:rPr>
                <w:rFonts w:ascii="Arial" w:hAnsi="Arial"/>
                <w:sz w:val="20"/>
              </w:rPr>
              <w:t>35</w:t>
            </w:r>
          </w:p>
        </w:tc>
      </w:tr>
      <w:tr w:rsidR="00C46552" w14:paraId="1884EEFF" w14:textId="77777777">
        <w:tc>
          <w:tcPr>
            <w:tcW w:w="4961" w:type="dxa"/>
            <w:tcBorders>
              <w:top w:val="nil"/>
              <w:left w:val="single" w:sz="4" w:space="0" w:color="auto"/>
              <w:bottom w:val="nil"/>
              <w:right w:val="nil"/>
            </w:tcBorders>
            <w:vAlign w:val="center"/>
          </w:tcPr>
          <w:p w14:paraId="7102DFB3" w14:textId="77777777" w:rsidR="00C46552" w:rsidRDefault="00C46552">
            <w:pPr>
              <w:pStyle w:val="CommentText"/>
              <w:keepNext/>
              <w:keepLines/>
              <w:rPr>
                <w:rFonts w:ascii="Arial" w:hAnsi="Arial"/>
                <w:snapToGrid w:val="0"/>
              </w:rPr>
            </w:pPr>
            <w:r>
              <w:rPr>
                <w:rFonts w:ascii="Arial" w:hAnsi="Arial"/>
                <w:snapToGrid w:val="0"/>
              </w:rPr>
              <w:t xml:space="preserve">LNB - Gas </w:t>
            </w:r>
          </w:p>
        </w:tc>
        <w:tc>
          <w:tcPr>
            <w:tcW w:w="2261" w:type="dxa"/>
            <w:tcBorders>
              <w:top w:val="nil"/>
              <w:left w:val="single" w:sz="4" w:space="0" w:color="auto"/>
              <w:bottom w:val="nil"/>
              <w:right w:val="single" w:sz="4" w:space="0" w:color="auto"/>
            </w:tcBorders>
            <w:vAlign w:val="center"/>
          </w:tcPr>
          <w:p w14:paraId="164CB9E9" w14:textId="77777777" w:rsidR="00C46552" w:rsidRDefault="00C46552">
            <w:pPr>
              <w:keepNext/>
              <w:keepLines/>
              <w:jc w:val="center"/>
              <w:rPr>
                <w:rFonts w:ascii="Arial" w:hAnsi="Arial"/>
                <w:sz w:val="20"/>
              </w:rPr>
            </w:pPr>
            <w:r>
              <w:rPr>
                <w:rFonts w:ascii="Arial" w:hAnsi="Arial"/>
                <w:sz w:val="20"/>
              </w:rPr>
              <w:t>50</w:t>
            </w:r>
          </w:p>
        </w:tc>
      </w:tr>
      <w:tr w:rsidR="00C46552" w14:paraId="57271EA2" w14:textId="77777777">
        <w:tc>
          <w:tcPr>
            <w:tcW w:w="4961" w:type="dxa"/>
            <w:tcBorders>
              <w:top w:val="nil"/>
              <w:left w:val="single" w:sz="4" w:space="0" w:color="auto"/>
              <w:bottom w:val="nil"/>
              <w:right w:val="nil"/>
            </w:tcBorders>
            <w:vAlign w:val="center"/>
          </w:tcPr>
          <w:p w14:paraId="3ED16DD3" w14:textId="77777777" w:rsidR="00C46552" w:rsidRDefault="00C46552">
            <w:pPr>
              <w:keepNext/>
              <w:keepLines/>
              <w:rPr>
                <w:rFonts w:ascii="Arial" w:hAnsi="Arial"/>
                <w:snapToGrid w:val="0"/>
                <w:sz w:val="20"/>
              </w:rPr>
            </w:pPr>
            <w:r>
              <w:rPr>
                <w:rFonts w:ascii="Arial" w:hAnsi="Arial"/>
                <w:snapToGrid w:val="0"/>
                <w:sz w:val="20"/>
              </w:rPr>
              <w:t>LNB with OFA - coal</w:t>
            </w:r>
          </w:p>
        </w:tc>
        <w:tc>
          <w:tcPr>
            <w:tcW w:w="2261" w:type="dxa"/>
            <w:tcBorders>
              <w:top w:val="nil"/>
              <w:left w:val="single" w:sz="4" w:space="0" w:color="auto"/>
              <w:bottom w:val="nil"/>
              <w:right w:val="single" w:sz="4" w:space="0" w:color="auto"/>
            </w:tcBorders>
            <w:vAlign w:val="center"/>
          </w:tcPr>
          <w:p w14:paraId="036F128B" w14:textId="77777777" w:rsidR="00C46552" w:rsidRDefault="00C46552">
            <w:pPr>
              <w:keepNext/>
              <w:keepLines/>
              <w:jc w:val="center"/>
              <w:rPr>
                <w:rFonts w:ascii="Arial" w:hAnsi="Arial"/>
                <w:sz w:val="20"/>
              </w:rPr>
            </w:pPr>
            <w:r>
              <w:rPr>
                <w:rFonts w:ascii="Arial" w:hAnsi="Arial"/>
                <w:sz w:val="20"/>
              </w:rPr>
              <w:t>50</w:t>
            </w:r>
          </w:p>
        </w:tc>
      </w:tr>
      <w:tr w:rsidR="00C46552" w14:paraId="39970FBB" w14:textId="77777777">
        <w:tc>
          <w:tcPr>
            <w:tcW w:w="4961" w:type="dxa"/>
            <w:tcBorders>
              <w:top w:val="nil"/>
              <w:left w:val="single" w:sz="4" w:space="0" w:color="auto"/>
              <w:bottom w:val="nil"/>
              <w:right w:val="nil"/>
            </w:tcBorders>
            <w:vAlign w:val="center"/>
          </w:tcPr>
          <w:p w14:paraId="12CF1947" w14:textId="77777777" w:rsidR="00C46552" w:rsidRDefault="00C46552">
            <w:pPr>
              <w:keepNext/>
              <w:keepLines/>
              <w:rPr>
                <w:rFonts w:ascii="Arial" w:hAnsi="Arial"/>
                <w:sz w:val="20"/>
              </w:rPr>
            </w:pPr>
            <w:r>
              <w:rPr>
                <w:rFonts w:ascii="Arial" w:hAnsi="Arial"/>
                <w:snapToGrid w:val="0"/>
                <w:sz w:val="20"/>
              </w:rPr>
              <w:t xml:space="preserve">Cyclone Combustion Modification (in power stations) </w:t>
            </w:r>
          </w:p>
        </w:tc>
        <w:tc>
          <w:tcPr>
            <w:tcW w:w="2261" w:type="dxa"/>
            <w:tcBorders>
              <w:top w:val="nil"/>
              <w:left w:val="single" w:sz="4" w:space="0" w:color="auto"/>
              <w:bottom w:val="nil"/>
              <w:right w:val="single" w:sz="4" w:space="0" w:color="auto"/>
            </w:tcBorders>
            <w:vAlign w:val="center"/>
          </w:tcPr>
          <w:p w14:paraId="2E0965E7" w14:textId="77777777" w:rsidR="00C46552" w:rsidRDefault="00C46552">
            <w:pPr>
              <w:keepNext/>
              <w:keepLines/>
              <w:jc w:val="center"/>
              <w:rPr>
                <w:rFonts w:ascii="Arial" w:hAnsi="Arial"/>
                <w:sz w:val="20"/>
              </w:rPr>
            </w:pPr>
            <w:r>
              <w:rPr>
                <w:rFonts w:ascii="Arial" w:hAnsi="Arial"/>
                <w:sz w:val="20"/>
              </w:rPr>
              <w:t>40</w:t>
            </w:r>
          </w:p>
        </w:tc>
      </w:tr>
      <w:tr w:rsidR="00C46552" w14:paraId="704DF3BD" w14:textId="77777777">
        <w:tc>
          <w:tcPr>
            <w:tcW w:w="4961" w:type="dxa"/>
            <w:tcBorders>
              <w:top w:val="nil"/>
              <w:left w:val="single" w:sz="4" w:space="0" w:color="auto"/>
              <w:bottom w:val="nil"/>
              <w:right w:val="nil"/>
            </w:tcBorders>
            <w:vAlign w:val="center"/>
          </w:tcPr>
          <w:p w14:paraId="73435757" w14:textId="77777777" w:rsidR="00C46552" w:rsidRDefault="00C46552">
            <w:pPr>
              <w:keepNext/>
              <w:keepLines/>
              <w:rPr>
                <w:rFonts w:ascii="Arial" w:hAnsi="Arial"/>
                <w:snapToGrid w:val="0"/>
                <w:sz w:val="20"/>
              </w:rPr>
            </w:pPr>
            <w:r>
              <w:rPr>
                <w:rFonts w:ascii="Arial" w:hAnsi="Arial"/>
                <w:snapToGrid w:val="0"/>
                <w:sz w:val="20"/>
              </w:rPr>
              <w:t>Flue Gas Recirculation (in industrial boilers)</w:t>
            </w:r>
          </w:p>
        </w:tc>
        <w:tc>
          <w:tcPr>
            <w:tcW w:w="2261" w:type="dxa"/>
            <w:tcBorders>
              <w:top w:val="nil"/>
              <w:left w:val="single" w:sz="4" w:space="0" w:color="auto"/>
              <w:bottom w:val="nil"/>
              <w:right w:val="single" w:sz="4" w:space="0" w:color="auto"/>
            </w:tcBorders>
            <w:vAlign w:val="center"/>
          </w:tcPr>
          <w:p w14:paraId="797A9FB6" w14:textId="77777777" w:rsidR="00C46552" w:rsidRDefault="00C46552">
            <w:pPr>
              <w:keepNext/>
              <w:keepLines/>
              <w:jc w:val="center"/>
              <w:rPr>
                <w:rFonts w:ascii="Arial" w:hAnsi="Arial"/>
                <w:sz w:val="20"/>
              </w:rPr>
            </w:pPr>
            <w:r>
              <w:rPr>
                <w:rFonts w:ascii="Arial" w:hAnsi="Arial"/>
                <w:sz w:val="20"/>
              </w:rPr>
              <w:t>40</w:t>
            </w:r>
          </w:p>
        </w:tc>
      </w:tr>
      <w:tr w:rsidR="00C46552" w14:paraId="3E0089A4" w14:textId="77777777">
        <w:tc>
          <w:tcPr>
            <w:tcW w:w="4961" w:type="dxa"/>
            <w:tcBorders>
              <w:top w:val="nil"/>
              <w:left w:val="single" w:sz="4" w:space="0" w:color="auto"/>
              <w:bottom w:val="nil"/>
              <w:right w:val="nil"/>
            </w:tcBorders>
            <w:vAlign w:val="center"/>
          </w:tcPr>
          <w:p w14:paraId="798C85C7" w14:textId="77777777" w:rsidR="00C46552" w:rsidRDefault="00C46552">
            <w:pPr>
              <w:keepNext/>
              <w:keepLines/>
              <w:rPr>
                <w:rFonts w:ascii="Arial" w:hAnsi="Arial"/>
                <w:sz w:val="20"/>
              </w:rPr>
            </w:pPr>
            <w:r>
              <w:rPr>
                <w:rFonts w:ascii="Arial" w:hAnsi="Arial"/>
                <w:snapToGrid w:val="0"/>
                <w:sz w:val="20"/>
              </w:rPr>
              <w:t xml:space="preserve">Ammonia Injection </w:t>
            </w:r>
          </w:p>
        </w:tc>
        <w:tc>
          <w:tcPr>
            <w:tcW w:w="2261" w:type="dxa"/>
            <w:tcBorders>
              <w:top w:val="nil"/>
              <w:left w:val="single" w:sz="4" w:space="0" w:color="auto"/>
              <w:bottom w:val="nil"/>
              <w:right w:val="single" w:sz="4" w:space="0" w:color="auto"/>
            </w:tcBorders>
            <w:vAlign w:val="center"/>
          </w:tcPr>
          <w:p w14:paraId="1EF527B2" w14:textId="77777777" w:rsidR="00C46552" w:rsidRDefault="00C46552">
            <w:pPr>
              <w:keepNext/>
              <w:keepLines/>
              <w:jc w:val="center"/>
              <w:rPr>
                <w:rFonts w:ascii="Arial" w:hAnsi="Arial"/>
                <w:sz w:val="20"/>
              </w:rPr>
            </w:pPr>
            <w:r>
              <w:rPr>
                <w:rFonts w:ascii="Arial" w:hAnsi="Arial"/>
                <w:sz w:val="20"/>
              </w:rPr>
              <w:t>60</w:t>
            </w:r>
          </w:p>
        </w:tc>
      </w:tr>
      <w:tr w:rsidR="00C46552" w14:paraId="1599CF40" w14:textId="77777777">
        <w:tc>
          <w:tcPr>
            <w:tcW w:w="4961" w:type="dxa"/>
            <w:tcBorders>
              <w:top w:val="nil"/>
              <w:left w:val="single" w:sz="4" w:space="0" w:color="auto"/>
              <w:bottom w:val="nil"/>
              <w:right w:val="nil"/>
            </w:tcBorders>
            <w:vAlign w:val="center"/>
          </w:tcPr>
          <w:p w14:paraId="35AD3856" w14:textId="77777777" w:rsidR="00C46552" w:rsidRDefault="00C46552">
            <w:pPr>
              <w:keepNext/>
              <w:keepLines/>
              <w:rPr>
                <w:rFonts w:ascii="Arial" w:hAnsi="Arial"/>
                <w:sz w:val="20"/>
              </w:rPr>
            </w:pPr>
            <w:r>
              <w:rPr>
                <w:rFonts w:ascii="Arial" w:hAnsi="Arial"/>
                <w:snapToGrid w:val="0"/>
                <w:sz w:val="20"/>
              </w:rPr>
              <w:t>Selective Catalytic Reduction (SCR) - Coal</w:t>
            </w:r>
          </w:p>
        </w:tc>
        <w:tc>
          <w:tcPr>
            <w:tcW w:w="2261" w:type="dxa"/>
            <w:tcBorders>
              <w:top w:val="nil"/>
              <w:left w:val="single" w:sz="4" w:space="0" w:color="auto"/>
              <w:bottom w:val="nil"/>
              <w:right w:val="single" w:sz="4" w:space="0" w:color="auto"/>
            </w:tcBorders>
            <w:vAlign w:val="center"/>
          </w:tcPr>
          <w:p w14:paraId="51571A53" w14:textId="77777777" w:rsidR="00C46552" w:rsidRDefault="00C46552">
            <w:pPr>
              <w:keepNext/>
              <w:keepLines/>
              <w:jc w:val="center"/>
              <w:rPr>
                <w:rFonts w:ascii="Arial" w:hAnsi="Arial"/>
                <w:sz w:val="20"/>
              </w:rPr>
            </w:pPr>
            <w:r>
              <w:rPr>
                <w:rFonts w:ascii="Arial" w:hAnsi="Arial"/>
                <w:sz w:val="20"/>
              </w:rPr>
              <w:t>80</w:t>
            </w:r>
          </w:p>
        </w:tc>
      </w:tr>
      <w:tr w:rsidR="00C46552" w14:paraId="0702DBAD" w14:textId="77777777">
        <w:tc>
          <w:tcPr>
            <w:tcW w:w="4961" w:type="dxa"/>
            <w:tcBorders>
              <w:top w:val="nil"/>
              <w:left w:val="single" w:sz="4" w:space="0" w:color="auto"/>
              <w:bottom w:val="nil"/>
              <w:right w:val="nil"/>
            </w:tcBorders>
            <w:vAlign w:val="center"/>
          </w:tcPr>
          <w:p w14:paraId="48B08FB5" w14:textId="77777777" w:rsidR="00C46552" w:rsidRDefault="00C46552">
            <w:pPr>
              <w:keepNext/>
              <w:keepLines/>
              <w:rPr>
                <w:rFonts w:ascii="Arial" w:hAnsi="Arial"/>
                <w:sz w:val="20"/>
              </w:rPr>
            </w:pPr>
            <w:r>
              <w:rPr>
                <w:rFonts w:ascii="Arial" w:hAnsi="Arial"/>
                <w:snapToGrid w:val="0"/>
                <w:sz w:val="20"/>
              </w:rPr>
              <w:t>SCR - Oil</w:t>
            </w:r>
          </w:p>
        </w:tc>
        <w:tc>
          <w:tcPr>
            <w:tcW w:w="2261" w:type="dxa"/>
            <w:tcBorders>
              <w:top w:val="nil"/>
              <w:left w:val="single" w:sz="4" w:space="0" w:color="auto"/>
              <w:bottom w:val="nil"/>
              <w:right w:val="single" w:sz="4" w:space="0" w:color="auto"/>
            </w:tcBorders>
            <w:vAlign w:val="center"/>
          </w:tcPr>
          <w:p w14:paraId="3885FB34" w14:textId="77777777" w:rsidR="00C46552" w:rsidRDefault="00C46552">
            <w:pPr>
              <w:keepNext/>
              <w:keepLines/>
              <w:jc w:val="center"/>
              <w:rPr>
                <w:rFonts w:ascii="Arial" w:hAnsi="Arial"/>
                <w:sz w:val="20"/>
              </w:rPr>
            </w:pPr>
            <w:r>
              <w:rPr>
                <w:rFonts w:ascii="Arial" w:hAnsi="Arial"/>
                <w:sz w:val="20"/>
              </w:rPr>
              <w:t>80</w:t>
            </w:r>
          </w:p>
        </w:tc>
      </w:tr>
      <w:tr w:rsidR="00C46552" w14:paraId="535FABBF" w14:textId="77777777">
        <w:tc>
          <w:tcPr>
            <w:tcW w:w="4961" w:type="dxa"/>
            <w:tcBorders>
              <w:top w:val="nil"/>
              <w:left w:val="single" w:sz="4" w:space="0" w:color="auto"/>
              <w:bottom w:val="nil"/>
              <w:right w:val="nil"/>
            </w:tcBorders>
            <w:vAlign w:val="center"/>
          </w:tcPr>
          <w:p w14:paraId="13B230E6" w14:textId="77777777" w:rsidR="00C46552" w:rsidRDefault="00C46552">
            <w:pPr>
              <w:keepNext/>
              <w:keepLines/>
              <w:rPr>
                <w:rFonts w:ascii="Arial" w:hAnsi="Arial"/>
                <w:sz w:val="20"/>
              </w:rPr>
            </w:pPr>
            <w:r>
              <w:rPr>
                <w:rFonts w:ascii="Arial" w:hAnsi="Arial"/>
                <w:sz w:val="20"/>
              </w:rPr>
              <w:t>SCR - Gas</w:t>
            </w:r>
          </w:p>
        </w:tc>
        <w:tc>
          <w:tcPr>
            <w:tcW w:w="2261" w:type="dxa"/>
            <w:tcBorders>
              <w:top w:val="nil"/>
              <w:left w:val="single" w:sz="4" w:space="0" w:color="auto"/>
              <w:bottom w:val="nil"/>
              <w:right w:val="single" w:sz="4" w:space="0" w:color="auto"/>
            </w:tcBorders>
            <w:vAlign w:val="center"/>
          </w:tcPr>
          <w:p w14:paraId="360AB21C" w14:textId="77777777" w:rsidR="00C46552" w:rsidRDefault="00C46552">
            <w:pPr>
              <w:keepNext/>
              <w:keepLines/>
              <w:jc w:val="center"/>
              <w:rPr>
                <w:rFonts w:ascii="Arial" w:hAnsi="Arial"/>
                <w:sz w:val="20"/>
              </w:rPr>
            </w:pPr>
            <w:r>
              <w:rPr>
                <w:rFonts w:ascii="Arial" w:hAnsi="Arial"/>
                <w:sz w:val="20"/>
              </w:rPr>
              <w:t>80</w:t>
            </w:r>
          </w:p>
        </w:tc>
      </w:tr>
      <w:tr w:rsidR="00C46552" w14:paraId="21E035E2" w14:textId="77777777">
        <w:tc>
          <w:tcPr>
            <w:tcW w:w="4961" w:type="dxa"/>
            <w:tcBorders>
              <w:top w:val="nil"/>
              <w:left w:val="single" w:sz="4" w:space="0" w:color="auto"/>
              <w:bottom w:val="nil"/>
              <w:right w:val="nil"/>
            </w:tcBorders>
            <w:vAlign w:val="center"/>
          </w:tcPr>
          <w:p w14:paraId="184C947B" w14:textId="77777777" w:rsidR="00C46552" w:rsidRDefault="00C46552">
            <w:pPr>
              <w:keepNext/>
              <w:keepLines/>
              <w:rPr>
                <w:rFonts w:ascii="Arial" w:hAnsi="Arial"/>
                <w:sz w:val="20"/>
              </w:rPr>
            </w:pPr>
            <w:r>
              <w:rPr>
                <w:rFonts w:ascii="Arial" w:hAnsi="Arial"/>
                <w:snapToGrid w:val="0"/>
                <w:sz w:val="20"/>
              </w:rPr>
              <w:t>Water Injection - Gas Turbine Simple Cycle</w:t>
            </w:r>
          </w:p>
        </w:tc>
        <w:tc>
          <w:tcPr>
            <w:tcW w:w="2261" w:type="dxa"/>
            <w:tcBorders>
              <w:top w:val="nil"/>
              <w:left w:val="single" w:sz="4" w:space="0" w:color="auto"/>
              <w:bottom w:val="nil"/>
              <w:right w:val="single" w:sz="4" w:space="0" w:color="auto"/>
            </w:tcBorders>
            <w:vAlign w:val="center"/>
          </w:tcPr>
          <w:p w14:paraId="4CE90135" w14:textId="77777777" w:rsidR="00C46552" w:rsidRDefault="00C46552">
            <w:pPr>
              <w:keepNext/>
              <w:keepLines/>
              <w:jc w:val="center"/>
              <w:rPr>
                <w:rFonts w:ascii="Arial" w:hAnsi="Arial"/>
                <w:sz w:val="20"/>
              </w:rPr>
            </w:pPr>
            <w:r>
              <w:rPr>
                <w:rFonts w:ascii="Arial" w:hAnsi="Arial"/>
                <w:sz w:val="20"/>
              </w:rPr>
              <w:t>70</w:t>
            </w:r>
          </w:p>
        </w:tc>
      </w:tr>
      <w:tr w:rsidR="00C46552" w14:paraId="29826961" w14:textId="77777777">
        <w:trPr>
          <w:trHeight w:val="219"/>
        </w:trPr>
        <w:tc>
          <w:tcPr>
            <w:tcW w:w="4961" w:type="dxa"/>
            <w:tcBorders>
              <w:top w:val="nil"/>
              <w:left w:val="single" w:sz="4" w:space="0" w:color="auto"/>
              <w:bottom w:val="nil"/>
              <w:right w:val="nil"/>
            </w:tcBorders>
            <w:vAlign w:val="center"/>
          </w:tcPr>
          <w:p w14:paraId="317FDA99" w14:textId="77777777" w:rsidR="00C46552" w:rsidRDefault="00C46552">
            <w:pPr>
              <w:keepNext/>
              <w:keepLines/>
              <w:rPr>
                <w:rFonts w:ascii="Arial" w:hAnsi="Arial"/>
                <w:sz w:val="20"/>
              </w:rPr>
            </w:pPr>
            <w:r>
              <w:rPr>
                <w:rFonts w:ascii="Arial" w:hAnsi="Arial"/>
                <w:snapToGrid w:val="0"/>
                <w:sz w:val="20"/>
              </w:rPr>
              <w:t>SCR - Gas Turbine</w:t>
            </w:r>
          </w:p>
        </w:tc>
        <w:tc>
          <w:tcPr>
            <w:tcW w:w="2261" w:type="dxa"/>
            <w:tcBorders>
              <w:top w:val="nil"/>
              <w:left w:val="single" w:sz="4" w:space="0" w:color="auto"/>
              <w:bottom w:val="nil"/>
              <w:right w:val="single" w:sz="4" w:space="0" w:color="auto"/>
            </w:tcBorders>
            <w:vAlign w:val="center"/>
          </w:tcPr>
          <w:p w14:paraId="10F1DB9A" w14:textId="77777777" w:rsidR="00C46552" w:rsidRDefault="00C46552">
            <w:pPr>
              <w:keepNext/>
              <w:keepLines/>
              <w:jc w:val="center"/>
              <w:rPr>
                <w:rFonts w:ascii="Arial" w:hAnsi="Arial"/>
                <w:sz w:val="20"/>
              </w:rPr>
            </w:pPr>
            <w:r>
              <w:rPr>
                <w:rFonts w:ascii="Arial" w:hAnsi="Arial"/>
                <w:sz w:val="20"/>
              </w:rPr>
              <w:t>80</w:t>
            </w:r>
          </w:p>
        </w:tc>
      </w:tr>
      <w:tr w:rsidR="00C46552" w14:paraId="06AC8F03" w14:textId="77777777">
        <w:trPr>
          <w:trHeight w:val="123"/>
        </w:trPr>
        <w:tc>
          <w:tcPr>
            <w:tcW w:w="4961" w:type="dxa"/>
            <w:tcBorders>
              <w:top w:val="nil"/>
              <w:left w:val="single" w:sz="4" w:space="0" w:color="auto"/>
              <w:bottom w:val="single" w:sz="4" w:space="0" w:color="auto"/>
              <w:right w:val="nil"/>
            </w:tcBorders>
            <w:vAlign w:val="center"/>
          </w:tcPr>
          <w:p w14:paraId="0B117E31" w14:textId="77777777" w:rsidR="00C46552" w:rsidRDefault="00C46552">
            <w:pPr>
              <w:keepNext/>
              <w:keepLines/>
              <w:rPr>
                <w:rFonts w:ascii="Arial" w:hAnsi="Arial"/>
                <w:snapToGrid w:val="0"/>
                <w:sz w:val="20"/>
              </w:rPr>
            </w:pPr>
          </w:p>
        </w:tc>
        <w:tc>
          <w:tcPr>
            <w:tcW w:w="2261" w:type="dxa"/>
            <w:tcBorders>
              <w:top w:val="nil"/>
              <w:left w:val="single" w:sz="4" w:space="0" w:color="auto"/>
              <w:bottom w:val="single" w:sz="4" w:space="0" w:color="auto"/>
              <w:right w:val="single" w:sz="4" w:space="0" w:color="auto"/>
            </w:tcBorders>
            <w:vAlign w:val="center"/>
          </w:tcPr>
          <w:p w14:paraId="3922CA02" w14:textId="77777777" w:rsidR="00C46552" w:rsidRDefault="00C46552">
            <w:pPr>
              <w:keepNext/>
              <w:keepLines/>
              <w:jc w:val="center"/>
              <w:rPr>
                <w:rFonts w:ascii="Arial" w:hAnsi="Arial"/>
                <w:sz w:val="20"/>
              </w:rPr>
            </w:pPr>
          </w:p>
        </w:tc>
      </w:tr>
    </w:tbl>
    <w:p w14:paraId="24F7293A" w14:textId="77777777" w:rsidR="00C46552" w:rsidRDefault="00C46552">
      <w:pPr>
        <w:keepNext/>
        <w:keepLines/>
      </w:pPr>
      <w:r>
        <w:t xml:space="preserve">    </w:t>
      </w:r>
      <w:r>
        <w:tab/>
      </w:r>
      <w:r>
        <w:tab/>
        <w:t>Source: Radian, 1990</w:t>
      </w:r>
      <w:r>
        <w:rPr>
          <w:rStyle w:val="FootnoteReference"/>
        </w:rPr>
        <w:footnoteReference w:id="18"/>
      </w:r>
    </w:p>
    <w:bookmarkEnd w:id="86"/>
    <w:p w14:paraId="38F56652" w14:textId="77777777" w:rsidR="00C46552" w:rsidRDefault="00C46552">
      <w:pPr>
        <w:rPr>
          <w:color w:val="000000"/>
        </w:rPr>
      </w:pPr>
    </w:p>
    <w:p w14:paraId="39631FDF" w14:textId="329F7BB4" w:rsidR="00ED6760" w:rsidRDefault="00BD241E" w:rsidP="00BD241E">
      <w:pPr>
        <w:tabs>
          <w:tab w:val="num" w:pos="720"/>
        </w:tabs>
      </w:pPr>
      <w:r>
        <w:tab/>
      </w:r>
      <w:r w:rsidR="0018549E">
        <w:t>The p</w:t>
      </w:r>
      <w:r w:rsidR="00C46552">
        <w:t>articulate matter (PM</w:t>
      </w:r>
      <w:r w:rsidR="00C46552">
        <w:rPr>
          <w:vertAlign w:val="subscript"/>
        </w:rPr>
        <w:t>10</w:t>
      </w:r>
      <w:r w:rsidR="00C46552">
        <w:t xml:space="preserve"> and </w:t>
      </w:r>
      <w:r w:rsidR="00065B5E">
        <w:t>PM</w:t>
      </w:r>
      <w:r w:rsidR="00065B5E" w:rsidRPr="00ED6760">
        <w:rPr>
          <w:vertAlign w:val="subscript"/>
        </w:rPr>
        <w:t>2.5</w:t>
      </w:r>
      <w:r w:rsidR="00C46552">
        <w:t>) emission factors (controlled and uncontrolled) for fuel combustion in power station boilers are given in</w:t>
      </w:r>
      <w:r w:rsidR="001C2B61">
        <w:t xml:space="preserve"> the </w:t>
      </w:r>
      <w:r w:rsidR="001C2B61" w:rsidRPr="00AD3770">
        <w:rPr>
          <w:i/>
        </w:rPr>
        <w:t>EMEP/EEA Guide</w:t>
      </w:r>
      <w:r w:rsidR="002E5800">
        <w:rPr>
          <w:i/>
        </w:rPr>
        <w:t>book</w:t>
      </w:r>
      <w:r w:rsidR="001C2B61">
        <w:t>.</w:t>
      </w:r>
      <w:r w:rsidR="00C46552">
        <w:t xml:space="preserve"> PM emissions from power stations can be controlled by a variety of technologies, including Multiple Cyclone, Scrubber, Electrostatic Precipitator (ESP) and Baghouse (fabric filtration in "baghouses") systems. As for NO</w:t>
      </w:r>
      <w:r w:rsidR="00C46552">
        <w:rPr>
          <w:vertAlign w:val="subscript"/>
        </w:rPr>
        <w:t>x</w:t>
      </w:r>
      <w:r w:rsidR="00C46552">
        <w:t xml:space="preserve">, </w:t>
      </w:r>
      <w:r w:rsidR="00C46552">
        <w:rPr>
          <w:color w:val="000000"/>
        </w:rPr>
        <w:t xml:space="preserve">there are separate worksheets (1.4.2 and 1.4.5) in the Workbook for entering the PM emission control rates and emission control calculators are provided below the main table. </w:t>
      </w:r>
      <w:r w:rsidR="00C46552">
        <w:t>As before, the outputs of the emission control calculators are then automatically carried forward into the main table and used to calculate the controlled emissions.</w:t>
      </w:r>
      <w:r>
        <w:t xml:space="preserve"> </w:t>
      </w:r>
      <w:r w:rsidR="00BB0548">
        <w:t>Emission factors for BC and OC are derived from Bond et al. (2004)</w:t>
      </w:r>
      <w:r w:rsidR="0062164C">
        <w:rPr>
          <w:rStyle w:val="FootnoteReference"/>
        </w:rPr>
        <w:footnoteReference w:id="19"/>
      </w:r>
      <w:r w:rsidR="00BB0548">
        <w:t xml:space="preserve">. </w:t>
      </w:r>
      <w:r w:rsidR="00ED6760">
        <w:rPr>
          <w:color w:val="000000"/>
        </w:rPr>
        <w:t>There are no significant emission controls for CO, NMVOC and NH</w:t>
      </w:r>
      <w:r w:rsidR="00ED6760">
        <w:rPr>
          <w:color w:val="000000"/>
          <w:vertAlign w:val="subscript"/>
        </w:rPr>
        <w:t xml:space="preserve">3 </w:t>
      </w:r>
      <w:r w:rsidR="00ED6760">
        <w:rPr>
          <w:color w:val="000000"/>
        </w:rPr>
        <w:t>in this sector</w:t>
      </w:r>
      <w:r w:rsidR="00ED6760">
        <w:t>.</w:t>
      </w:r>
    </w:p>
    <w:p w14:paraId="2ACA7DD0" w14:textId="77777777" w:rsidR="006930D7" w:rsidRDefault="006930D7" w:rsidP="00ED6760"/>
    <w:p w14:paraId="35495933" w14:textId="64495340" w:rsidR="006930D7" w:rsidRDefault="006930D7" w:rsidP="00BD241E">
      <w:pPr>
        <w:ind w:firstLine="720"/>
      </w:pPr>
      <w:r>
        <w:t>The relevant activity rates are annual fuel consumption per sector and national energy balance data at the required level of detail</w:t>
      </w:r>
      <w:r w:rsidR="0004184C">
        <w:t>, as well as net calorific values</w:t>
      </w:r>
      <w:r>
        <w:t xml:space="preserve">.  </w:t>
      </w:r>
    </w:p>
    <w:p w14:paraId="59EFBBB0" w14:textId="77777777" w:rsidR="00ED6760" w:rsidRDefault="00ED6760">
      <w:pPr>
        <w:tabs>
          <w:tab w:val="num" w:pos="720"/>
        </w:tabs>
        <w:rPr>
          <w:color w:val="000000"/>
        </w:rPr>
      </w:pPr>
    </w:p>
    <w:p w14:paraId="5D0037B0" w14:textId="77777777" w:rsidR="00ED6760" w:rsidRDefault="00C46552" w:rsidP="00BD241E">
      <w:pPr>
        <w:ind w:firstLine="576"/>
        <w:rPr>
          <w:color w:val="000000"/>
        </w:rPr>
      </w:pPr>
      <w:r>
        <w:rPr>
          <w:color w:val="000000"/>
        </w:rPr>
        <w:t>For Large Point Sources in this sector, SO</w:t>
      </w:r>
      <w:r>
        <w:rPr>
          <w:color w:val="000000"/>
          <w:vertAlign w:val="subscript"/>
        </w:rPr>
        <w:t>2</w:t>
      </w:r>
      <w:r>
        <w:rPr>
          <w:color w:val="000000"/>
        </w:rPr>
        <w:t>, NO</w:t>
      </w:r>
      <w:r>
        <w:rPr>
          <w:color w:val="000000"/>
          <w:vertAlign w:val="subscript"/>
        </w:rPr>
        <w:t>x</w:t>
      </w:r>
      <w:r>
        <w:rPr>
          <w:color w:val="000000"/>
        </w:rPr>
        <w:t xml:space="preserve"> and PM emission control efficiencies (or controlled emission factors) for each utility will be required unless stack emissions are </w:t>
      </w:r>
      <w:r w:rsidR="003058E3">
        <w:rPr>
          <w:color w:val="000000"/>
        </w:rPr>
        <w:t xml:space="preserve">normally </w:t>
      </w:r>
      <w:r>
        <w:rPr>
          <w:color w:val="000000"/>
        </w:rPr>
        <w:t xml:space="preserve">measured directly.  </w:t>
      </w:r>
    </w:p>
    <w:p w14:paraId="6C65323A" w14:textId="77777777" w:rsidR="00ED6760" w:rsidRDefault="00ED6760">
      <w:pPr>
        <w:rPr>
          <w:color w:val="000000"/>
        </w:rPr>
      </w:pPr>
    </w:p>
    <w:p w14:paraId="0144CC5E" w14:textId="77777777" w:rsidR="00C46552" w:rsidRDefault="00C46552"/>
    <w:p w14:paraId="4760D7D6" w14:textId="77777777" w:rsidR="00C46552" w:rsidRDefault="00C46552" w:rsidP="00BE3408">
      <w:pPr>
        <w:pStyle w:val="Heading2"/>
      </w:pPr>
      <w:bookmarkStart w:id="87" w:name="_Toc10122685"/>
      <w:r>
        <w:t>Sector 2: Fuel Combustion in Manufacturing and Construction</w:t>
      </w:r>
      <w:bookmarkEnd w:id="87"/>
    </w:p>
    <w:p w14:paraId="69451497" w14:textId="77777777" w:rsidR="00C46552" w:rsidRDefault="00C46552"/>
    <w:p w14:paraId="1A33E715" w14:textId="77777777" w:rsidR="00C46552" w:rsidRDefault="00C46552" w:rsidP="00597D1A">
      <w:pPr>
        <w:pStyle w:val="Heading3"/>
        <w:numPr>
          <w:ilvl w:val="2"/>
          <w:numId w:val="17"/>
        </w:numPr>
      </w:pPr>
      <w:bookmarkStart w:id="88" w:name="_Toc10122686"/>
      <w:r>
        <w:t>Introduction</w:t>
      </w:r>
      <w:bookmarkEnd w:id="88"/>
    </w:p>
    <w:p w14:paraId="5434DEA1" w14:textId="77777777" w:rsidR="00C46552" w:rsidRDefault="00C46552"/>
    <w:p w14:paraId="0B4DA3B4" w14:textId="77777777" w:rsidR="00C53F88" w:rsidRDefault="00C46552">
      <w:r>
        <w:t xml:space="preserve">For most countries, the major fuel-consuming activities in this sub-sector are iron </w:t>
      </w:r>
      <w:r w:rsidR="00AF5185">
        <w:t>and steel manufacture (excludes</w:t>
      </w:r>
      <w:r>
        <w:t xml:space="preserve"> </w:t>
      </w:r>
      <w:r w:rsidR="00AF5185">
        <w:t>coal and</w:t>
      </w:r>
      <w:r>
        <w:t xml:space="preserve"> coke </w:t>
      </w:r>
      <w:r w:rsidR="00AD15B2">
        <w:t>consumed</w:t>
      </w:r>
      <w:r w:rsidR="00AF5185">
        <w:t xml:space="preserve"> in the furnaces as these are primarily used as reducing agent</w:t>
      </w:r>
      <w:r w:rsidR="00AD15B2">
        <w:t>s</w:t>
      </w:r>
      <w:r>
        <w:t>), non-ferrous metal smelting, non-metallic minerals (including cement</w:t>
      </w:r>
      <w:r w:rsidR="00A16C66">
        <w:t xml:space="preserve"> production</w:t>
      </w:r>
      <w:r>
        <w:t xml:space="preserve"> </w:t>
      </w:r>
      <w:r w:rsidR="00A16C66">
        <w:t xml:space="preserve">but excluding </w:t>
      </w:r>
      <w:r>
        <w:t xml:space="preserve">brick manufacture), the </w:t>
      </w:r>
      <w:r>
        <w:lastRenderedPageBreak/>
        <w:t>manufacture of chemicals</w:t>
      </w:r>
      <w:r w:rsidR="007F4B25">
        <w:t xml:space="preserve"> and petrochemicals</w:t>
      </w:r>
      <w:r>
        <w:t xml:space="preserve">, the pulp and paper industry, </w:t>
      </w:r>
      <w:r w:rsidR="007F4B25">
        <w:t>mining</w:t>
      </w:r>
      <w:r w:rsidR="004C6B7B">
        <w:t xml:space="preserve"> (excluding </w:t>
      </w:r>
      <w:r w:rsidR="00733F5D">
        <w:t>coal mining</w:t>
      </w:r>
      <w:r w:rsidR="004C6B7B">
        <w:t>)</w:t>
      </w:r>
      <w:r w:rsidR="007F4B25">
        <w:t xml:space="preserve"> and quarrying, </w:t>
      </w:r>
      <w:r>
        <w:t xml:space="preserve">, the </w:t>
      </w:r>
      <w:r w:rsidR="00A16C66">
        <w:t>construction</w:t>
      </w:r>
      <w:r>
        <w:t xml:space="preserve"> industr</w:t>
      </w:r>
      <w:r w:rsidR="00A16C66">
        <w:t>y and brick manufacture (not included under non-metallic minerals)</w:t>
      </w:r>
      <w:r>
        <w:t>. The combined totals for all remaining unspecified industries should be included under the “Non-specified</w:t>
      </w:r>
      <w:r w:rsidR="00733F5D">
        <w:t xml:space="preserve"> industry</w:t>
      </w:r>
      <w:r>
        <w:t xml:space="preserve">” category in the Workbook. </w:t>
      </w:r>
      <w:r w:rsidR="007F4B25">
        <w:t>A separate ca</w:t>
      </w:r>
      <w:r>
        <w:t xml:space="preserve">tegory </w:t>
      </w:r>
      <w:r w:rsidR="007F4B25">
        <w:t>is</w:t>
      </w:r>
      <w:r>
        <w:t xml:space="preserve"> used for fuel consumed for autoproduction of electricity within manufacturing industry. </w:t>
      </w:r>
    </w:p>
    <w:p w14:paraId="3C8DE25E" w14:textId="77777777" w:rsidR="00C46552" w:rsidRDefault="00C46552">
      <w:r>
        <w:t xml:space="preserve">  </w:t>
      </w:r>
    </w:p>
    <w:p w14:paraId="2A320FE9" w14:textId="77777777" w:rsidR="00AB3E31" w:rsidRDefault="00AB3E31"/>
    <w:p w14:paraId="5D99165D" w14:textId="77777777" w:rsidR="00C53F88" w:rsidRDefault="00C53F88" w:rsidP="00C53F88">
      <w:pPr>
        <w:pStyle w:val="Heading3"/>
        <w:numPr>
          <w:ilvl w:val="2"/>
          <w:numId w:val="17"/>
        </w:numPr>
      </w:pPr>
      <w:bookmarkStart w:id="89" w:name="_Toc10122687"/>
      <w:r>
        <w:t>Procedures and default data used in this manual</w:t>
      </w:r>
      <w:bookmarkEnd w:id="89"/>
    </w:p>
    <w:p w14:paraId="54FBDAE1" w14:textId="77777777" w:rsidR="00C46552" w:rsidRDefault="00C46552"/>
    <w:p w14:paraId="5D08D58F" w14:textId="313A747D" w:rsidR="006930D7" w:rsidRDefault="00C46552" w:rsidP="006930D7">
      <w:r>
        <w:t xml:space="preserve">Emissions of pollutant gases are calculated in the same way as described above for the energy industries using emission factors and the rates of fuel combustion. The </w:t>
      </w:r>
      <w:r>
        <w:rPr>
          <w:color w:val="000000"/>
        </w:rPr>
        <w:t>(uncontrolled) default emission factors given in the workbook were d</w:t>
      </w:r>
      <w:r>
        <w:rPr>
          <w:snapToGrid w:val="0"/>
          <w:color w:val="000000"/>
        </w:rPr>
        <w:t xml:space="preserve">erived from </w:t>
      </w:r>
      <w:r w:rsidR="009540F7">
        <w:rPr>
          <w:snapToGrid w:val="0"/>
          <w:color w:val="000000"/>
        </w:rPr>
        <w:t xml:space="preserve">the </w:t>
      </w:r>
      <w:r w:rsidR="009540F7" w:rsidRPr="00AD3770">
        <w:rPr>
          <w:i/>
          <w:snapToGrid w:val="0"/>
          <w:color w:val="000000"/>
        </w:rPr>
        <w:t>EMEP/EEA Guide</w:t>
      </w:r>
      <w:r w:rsidR="002E5800">
        <w:rPr>
          <w:i/>
          <w:snapToGrid w:val="0"/>
          <w:color w:val="000000"/>
        </w:rPr>
        <w:t>book</w:t>
      </w:r>
      <w:r w:rsidR="009540F7">
        <w:rPr>
          <w:snapToGrid w:val="0"/>
          <w:color w:val="000000"/>
        </w:rPr>
        <w:t xml:space="preserve"> </w:t>
      </w:r>
      <w:r>
        <w:t xml:space="preserve">for </w:t>
      </w:r>
      <w:r w:rsidR="009540F7">
        <w:t xml:space="preserve">CO, </w:t>
      </w:r>
      <w:r>
        <w:t>NO</w:t>
      </w:r>
      <w:r>
        <w:rPr>
          <w:vertAlign w:val="subscript"/>
        </w:rPr>
        <w:t xml:space="preserve">X, </w:t>
      </w:r>
      <w:r w:rsidR="009540F7">
        <w:rPr>
          <w:color w:val="000000"/>
        </w:rPr>
        <w:t>NMVOC and PM,  f</w:t>
      </w:r>
      <w:r w:rsidR="00ED6760">
        <w:rPr>
          <w:color w:val="000000"/>
        </w:rPr>
        <w:t>rom the</w:t>
      </w:r>
      <w:r w:rsidR="00ED6760">
        <w:rPr>
          <w:i/>
          <w:color w:val="000000"/>
        </w:rPr>
        <w:t xml:space="preserve"> IPCC guidelines</w:t>
      </w:r>
      <w:r w:rsidR="00ED6760">
        <w:rPr>
          <w:color w:val="000000"/>
        </w:rPr>
        <w:t xml:space="preserve"> for CO</w:t>
      </w:r>
      <w:r w:rsidR="009540F7" w:rsidRPr="004B40A2">
        <w:rPr>
          <w:color w:val="000000"/>
          <w:vertAlign w:val="subscript"/>
        </w:rPr>
        <w:t>2</w:t>
      </w:r>
      <w:r w:rsidR="00ED6760">
        <w:rPr>
          <w:color w:val="000000"/>
        </w:rPr>
        <w:t xml:space="preserve"> and </w:t>
      </w:r>
      <w:r w:rsidR="009540F7">
        <w:rPr>
          <w:color w:val="000000"/>
        </w:rPr>
        <w:t>CH</w:t>
      </w:r>
      <w:r w:rsidR="009540F7" w:rsidRPr="00AD3770">
        <w:rPr>
          <w:color w:val="000000"/>
          <w:vertAlign w:val="subscript"/>
        </w:rPr>
        <w:t>4</w:t>
      </w:r>
      <w:r w:rsidR="009540F7">
        <w:rPr>
          <w:color w:val="000000"/>
        </w:rPr>
        <w:t xml:space="preserve">, </w:t>
      </w:r>
      <w:r w:rsidR="00ED6760">
        <w:rPr>
          <w:color w:val="000000"/>
        </w:rPr>
        <w:t xml:space="preserve"> </w:t>
      </w:r>
      <w:r w:rsidR="00A21350" w:rsidRPr="00A21350">
        <w:rPr>
          <w:color w:val="000000"/>
        </w:rPr>
        <w:t>from Bond et al. (2004)</w:t>
      </w:r>
      <w:r>
        <w:rPr>
          <w:color w:val="000000"/>
        </w:rPr>
        <w:t xml:space="preserve"> </w:t>
      </w:r>
      <w:r w:rsidR="00A21350" w:rsidRPr="00A21350">
        <w:rPr>
          <w:color w:val="000000"/>
        </w:rPr>
        <w:t>for BC and OC</w:t>
      </w:r>
      <w:r w:rsidR="00A21350">
        <w:rPr>
          <w:color w:val="000000"/>
        </w:rPr>
        <w:t>,</w:t>
      </w:r>
      <w:r>
        <w:rPr>
          <w:color w:val="000000"/>
        </w:rPr>
        <w:t xml:space="preserve"> </w:t>
      </w:r>
      <w:r w:rsidR="009540F7">
        <w:rPr>
          <w:color w:val="000000"/>
        </w:rPr>
        <w:t xml:space="preserve">and </w:t>
      </w:r>
      <w:r>
        <w:rPr>
          <w:color w:val="000000"/>
        </w:rPr>
        <w:t>from Battye et al.</w:t>
      </w:r>
      <w:r>
        <w:rPr>
          <w:rStyle w:val="FootnoteReference"/>
          <w:color w:val="000000"/>
        </w:rPr>
        <w:footnoteReference w:id="20"/>
      </w:r>
      <w:r>
        <w:rPr>
          <w:color w:val="000000"/>
        </w:rPr>
        <w:t xml:space="preserve"> for NH</w:t>
      </w:r>
      <w:r>
        <w:rPr>
          <w:color w:val="000000"/>
          <w:vertAlign w:val="subscript"/>
        </w:rPr>
        <w:t>3</w:t>
      </w:r>
      <w:r w:rsidR="0018549E">
        <w:rPr>
          <w:snapToGrid w:val="0"/>
          <w:color w:val="000000"/>
        </w:rPr>
        <w:t xml:space="preserve">. </w:t>
      </w:r>
      <w:r w:rsidR="00704FBF">
        <w:t>C</w:t>
      </w:r>
      <w:r>
        <w:t>ontrols</w:t>
      </w:r>
      <w:r w:rsidR="00ED6760">
        <w:t xml:space="preserve"> for NO</w:t>
      </w:r>
      <w:r w:rsidR="00ED6760" w:rsidRPr="00ED6760">
        <w:rPr>
          <w:vertAlign w:val="subscript"/>
        </w:rPr>
        <w:t>x</w:t>
      </w:r>
      <w:r w:rsidR="00ED6760">
        <w:t xml:space="preserve"> and PM</w:t>
      </w:r>
      <w:r>
        <w:t xml:space="preserve"> can be accounted for</w:t>
      </w:r>
      <w:r w:rsidR="00ED6760">
        <w:t>,</w:t>
      </w:r>
      <w:r>
        <w:t xml:space="preserve"> </w:t>
      </w:r>
      <w:r w:rsidR="00ED6760">
        <w:t>as for the Energy Industries, in the emission control worksheets</w:t>
      </w:r>
      <w:r>
        <w:t>.</w:t>
      </w:r>
      <w:r w:rsidR="00704FBF">
        <w:t xml:space="preserve"> In general it is expected that control technologies are less frequently applied than in the Energy Industries.</w:t>
      </w:r>
      <w:r w:rsidR="00ED6760">
        <w:t xml:space="preserve"> </w:t>
      </w:r>
      <w:r w:rsidR="006930D7">
        <w:t>The relevant activity rates are annual fuel consumption per sector and national energy balance data at the required level of detail</w:t>
      </w:r>
      <w:r w:rsidR="0004184C">
        <w:t>, as well as net calorific values</w:t>
      </w:r>
      <w:r w:rsidR="006930D7">
        <w:t xml:space="preserve">.  </w:t>
      </w:r>
    </w:p>
    <w:p w14:paraId="36F5B766" w14:textId="77777777" w:rsidR="00C46552" w:rsidRDefault="00C46552">
      <w:pPr>
        <w:jc w:val="center"/>
      </w:pPr>
    </w:p>
    <w:p w14:paraId="0B89A5D7" w14:textId="77777777" w:rsidR="00C46552" w:rsidRDefault="00C46552">
      <w:pPr>
        <w:jc w:val="center"/>
      </w:pPr>
    </w:p>
    <w:p w14:paraId="3AABDE28" w14:textId="77777777" w:rsidR="00C46552" w:rsidRDefault="00C46552" w:rsidP="00BE3408">
      <w:pPr>
        <w:pStyle w:val="Heading2"/>
      </w:pPr>
      <w:bookmarkStart w:id="90" w:name="_Toc10122688"/>
      <w:r>
        <w:t>Sector 3: Transport</w:t>
      </w:r>
      <w:bookmarkEnd w:id="90"/>
      <w:r>
        <w:t xml:space="preserve"> </w:t>
      </w:r>
    </w:p>
    <w:p w14:paraId="6E766F15" w14:textId="77777777" w:rsidR="00C46552" w:rsidRDefault="00C46552">
      <w:pPr>
        <w:pStyle w:val="Date"/>
      </w:pPr>
    </w:p>
    <w:p w14:paraId="50906E91" w14:textId="77777777" w:rsidR="00C46552" w:rsidRDefault="00C46552" w:rsidP="00597D1A">
      <w:pPr>
        <w:pStyle w:val="Heading3"/>
        <w:numPr>
          <w:ilvl w:val="2"/>
          <w:numId w:val="17"/>
        </w:numPr>
      </w:pPr>
      <w:bookmarkStart w:id="91" w:name="_Toc10122689"/>
      <w:r>
        <w:t>Introduction</w:t>
      </w:r>
      <w:bookmarkEnd w:id="91"/>
    </w:p>
    <w:p w14:paraId="4FEE86EB" w14:textId="77777777" w:rsidR="00C46552" w:rsidRDefault="00C46552">
      <w:pPr>
        <w:pStyle w:val="Date"/>
      </w:pPr>
    </w:p>
    <w:p w14:paraId="0CBAC1D6" w14:textId="77777777" w:rsidR="001738D4" w:rsidRDefault="00C46552" w:rsidP="001738D4">
      <w:r>
        <w:t>Transport sector emissions include emissions from the combustion of fuel during transport activities</w:t>
      </w:r>
      <w:r w:rsidR="007F02D1" w:rsidRPr="007F02D1">
        <w:rPr>
          <w:szCs w:val="24"/>
        </w:rPr>
        <w:t xml:space="preserve">, </w:t>
      </w:r>
      <w:r w:rsidR="007F02D1" w:rsidRPr="007F02D1">
        <w:rPr>
          <w:snapToGrid w:val="0"/>
          <w:color w:val="000000"/>
          <w:szCs w:val="24"/>
        </w:rPr>
        <w:t>evaporative losses from vehicle</w:t>
      </w:r>
      <w:r w:rsidR="007F02D1">
        <w:rPr>
          <w:snapToGrid w:val="0"/>
          <w:color w:val="000000"/>
          <w:szCs w:val="24"/>
        </w:rPr>
        <w:t>s</w:t>
      </w:r>
      <w:r w:rsidR="007F02D1" w:rsidRPr="007F02D1">
        <w:rPr>
          <w:snapToGrid w:val="0"/>
          <w:color w:val="000000"/>
          <w:szCs w:val="24"/>
        </w:rPr>
        <w:t xml:space="preserve"> (except from loading of gasoline into the vehicle)</w:t>
      </w:r>
      <w:r>
        <w:t xml:space="preserve"> and, for road transport, </w:t>
      </w:r>
      <w:r w:rsidR="007F02D1">
        <w:t xml:space="preserve">tyre wear and </w:t>
      </w:r>
      <w:r>
        <w:t>road dust emissions. The activities included are road transport, civil aviation, railways, navigation and, within the category “Other Transportation”, pipeline transportation and ground activities in airports and harbours. Specifically excluded are off-road mobile activities</w:t>
      </w:r>
      <w:r w:rsidR="00114A02">
        <w:t xml:space="preserve"> because these are included</w:t>
      </w:r>
      <w:r>
        <w:t xml:space="preserve"> in </w:t>
      </w:r>
      <w:r w:rsidR="00114A02">
        <w:t xml:space="preserve">their respective sectors, </w:t>
      </w:r>
      <w:r>
        <w:t xml:space="preserve">“Manufacturing Industry and Construction” and in “Agriculture/Forestry/Fishing”. </w:t>
      </w:r>
      <w:r w:rsidR="00114A02">
        <w:t xml:space="preserve">However, estimation methods and emission factors are different from those of stationary sources. </w:t>
      </w:r>
      <w:r>
        <w:t>Emissions from road transport generally account for the bulk of emissions in this sub-sector. Fuel combustion emissions from mobile sources include SO</w:t>
      </w:r>
      <w:r>
        <w:rPr>
          <w:vertAlign w:val="subscript"/>
        </w:rPr>
        <w:t>2</w:t>
      </w:r>
      <w:r>
        <w:t>, NO</w:t>
      </w:r>
      <w:r>
        <w:rPr>
          <w:vertAlign w:val="subscript"/>
        </w:rPr>
        <w:t>X</w:t>
      </w:r>
      <w:r>
        <w:t>,</w:t>
      </w:r>
      <w:r w:rsidR="001738D4">
        <w:t xml:space="preserve"> CO, </w:t>
      </w:r>
      <w:r w:rsidR="00BB0548">
        <w:t>CO</w:t>
      </w:r>
      <w:r w:rsidR="00BB0548" w:rsidRPr="002722D9">
        <w:rPr>
          <w:vertAlign w:val="subscript"/>
        </w:rPr>
        <w:t>2</w:t>
      </w:r>
      <w:r w:rsidR="00BB0548">
        <w:t xml:space="preserve">, </w:t>
      </w:r>
      <w:r w:rsidR="001738D4">
        <w:t>NMVOC,</w:t>
      </w:r>
      <w:r>
        <w:t xml:space="preserve"> NH</w:t>
      </w:r>
      <w:r>
        <w:rPr>
          <w:vertAlign w:val="subscript"/>
        </w:rPr>
        <w:t>3</w:t>
      </w:r>
      <w:r>
        <w:t>, PM</w:t>
      </w:r>
      <w:r>
        <w:rPr>
          <w:vertAlign w:val="subscript"/>
        </w:rPr>
        <w:t>10</w:t>
      </w:r>
      <w:r>
        <w:t xml:space="preserve"> </w:t>
      </w:r>
      <w:r w:rsidR="00BB0548">
        <w:t>,</w:t>
      </w:r>
      <w:r>
        <w:t xml:space="preserve"> </w:t>
      </w:r>
      <w:r w:rsidR="00065B5E">
        <w:t>PM</w:t>
      </w:r>
      <w:r w:rsidR="00065B5E" w:rsidRPr="001738D4">
        <w:rPr>
          <w:vertAlign w:val="subscript"/>
        </w:rPr>
        <w:t>2.5</w:t>
      </w:r>
      <w:r w:rsidR="00BB0548">
        <w:t>, BC, OC, and CH</w:t>
      </w:r>
      <w:r w:rsidR="00BB0548" w:rsidRPr="002722D9">
        <w:rPr>
          <w:vertAlign w:val="subscript"/>
        </w:rPr>
        <w:t>4</w:t>
      </w:r>
      <w:r w:rsidR="00BB0548">
        <w:t xml:space="preserve">. </w:t>
      </w:r>
      <w:r>
        <w:t xml:space="preserve"> </w:t>
      </w:r>
      <w:r w:rsidR="001738D4">
        <w:t>There are also non-combustion-related emissions of NMVOC from vehicles as a result of fuel gasoline evaporation (excluding refueling emissions at service stations, which are covered under “Fugitive emissions” in sub-sector 1B). Diesel-powered vehicles produce minimal evaporative NMVOC emissions.</w:t>
      </w:r>
    </w:p>
    <w:p w14:paraId="73AAE7C3" w14:textId="77777777" w:rsidR="00C46552" w:rsidRDefault="00C46552"/>
    <w:p w14:paraId="7E8A0671" w14:textId="77777777" w:rsidR="00C46552" w:rsidRDefault="00C46552"/>
    <w:p w14:paraId="10261EC1" w14:textId="77777777" w:rsidR="00C46552" w:rsidRDefault="00C46552" w:rsidP="00597D1A">
      <w:pPr>
        <w:pStyle w:val="Heading3"/>
        <w:numPr>
          <w:ilvl w:val="2"/>
          <w:numId w:val="28"/>
        </w:numPr>
      </w:pPr>
      <w:bookmarkStart w:id="92" w:name="_Toc10122690"/>
      <w:r>
        <w:t>Procedures and default data used in this manual</w:t>
      </w:r>
      <w:bookmarkEnd w:id="92"/>
    </w:p>
    <w:p w14:paraId="217695C7" w14:textId="77777777" w:rsidR="00C46552" w:rsidRDefault="00C46552"/>
    <w:p w14:paraId="5D5CA797" w14:textId="77777777" w:rsidR="00C46552" w:rsidRDefault="00C46552">
      <w:r>
        <w:t xml:space="preserve">Two possible methods for inventorying emissions from the transport sector are offered in this Manual: a “Simple method” and a “Detailed method”. </w:t>
      </w:r>
    </w:p>
    <w:p w14:paraId="469643D1" w14:textId="77777777" w:rsidR="00C46552" w:rsidRDefault="00C46552"/>
    <w:p w14:paraId="0DB47B5A" w14:textId="77777777" w:rsidR="00C46552" w:rsidRDefault="00C46552" w:rsidP="00597D1A">
      <w:pPr>
        <w:pStyle w:val="Heading4"/>
        <w:numPr>
          <w:ilvl w:val="3"/>
          <w:numId w:val="28"/>
        </w:numPr>
        <w:jc w:val="left"/>
      </w:pPr>
      <w:r>
        <w:t>Simple method</w:t>
      </w:r>
    </w:p>
    <w:p w14:paraId="5FECD7AD" w14:textId="77777777" w:rsidR="00C46552" w:rsidRDefault="00C46552"/>
    <w:p w14:paraId="1C1AF997" w14:textId="339AA83E" w:rsidR="006930D7" w:rsidRDefault="00C46552" w:rsidP="006930D7">
      <w:r>
        <w:t>Emissions of all pollutants are estimated in a way similar to that described above for fuel combustion in the Energy Industries and in the Manufacturing Industries and Construction</w:t>
      </w:r>
      <w:r w:rsidR="007F45F8">
        <w:t xml:space="preserve"> (based on fuel combusted)</w:t>
      </w:r>
      <w:r>
        <w:t xml:space="preserve">. It is similar to the IPCC Tier 1 method except that a more detailed disaggregation of fuel types is used. An average emission factor for a particular fuel, taking into account average emission controls where relevant, is multiplied by the annual fuel combustion for the entire sub-sector (civil aviation, road transport, railways, </w:t>
      </w:r>
      <w:r>
        <w:lastRenderedPageBreak/>
        <w:t>navigation or pipeline transport). The simple method is recommended for estimating all SO</w:t>
      </w:r>
      <w:r>
        <w:rPr>
          <w:vertAlign w:val="subscript"/>
        </w:rPr>
        <w:t>2</w:t>
      </w:r>
      <w:r>
        <w:t xml:space="preserve"> transport emissions which depend only on the sulphur content of fuel. For the other pollutants, the simple method just gives a very approximate estimate of emissions and should only be used by countries lacking the data required for the preferred “Detailed method” described below.</w:t>
      </w:r>
      <w:r w:rsidR="00704FBF">
        <w:t xml:space="preserve"> The s</w:t>
      </w:r>
      <w:r w:rsidR="005E3674">
        <w:t>imple method is expected to overestimate emissions</w:t>
      </w:r>
      <w:r w:rsidR="00704FBF">
        <w:t xml:space="preserve"> in a country with a modern car fleet since it does not take into account implementation of catalytic converters and other technologies to reduce emissions from vehicles. </w:t>
      </w:r>
      <w:r>
        <w:t xml:space="preserve"> Default emission factors for the simple method are taken from</w:t>
      </w:r>
      <w:r w:rsidR="003B61C4">
        <w:t xml:space="preserve"> the</w:t>
      </w:r>
      <w:r>
        <w:t xml:space="preserve"> </w:t>
      </w:r>
      <w:r w:rsidR="003B61C4">
        <w:rPr>
          <w:i/>
        </w:rPr>
        <w:t>IPCC Guidelines</w:t>
      </w:r>
      <w:r w:rsidR="003B61C4">
        <w:t xml:space="preserve"> for CO</w:t>
      </w:r>
      <w:r w:rsidR="003B61C4" w:rsidRPr="00AD3770">
        <w:rPr>
          <w:vertAlign w:val="subscript"/>
        </w:rPr>
        <w:t>2</w:t>
      </w:r>
      <w:r w:rsidR="003B61C4">
        <w:t xml:space="preserve"> and CH</w:t>
      </w:r>
      <w:r w:rsidR="003B61C4" w:rsidRPr="00AD3770">
        <w:rPr>
          <w:vertAlign w:val="subscript"/>
        </w:rPr>
        <w:t>4</w:t>
      </w:r>
      <w:r w:rsidR="003B61C4">
        <w:t xml:space="preserve"> and from t</w:t>
      </w:r>
      <w:r>
        <w:t xml:space="preserve">he </w:t>
      </w:r>
      <w:r w:rsidR="00CE7CF9">
        <w:rPr>
          <w:i/>
        </w:rPr>
        <w:t>EMEP/</w:t>
      </w:r>
      <w:r w:rsidR="008736A1">
        <w:rPr>
          <w:i/>
        </w:rPr>
        <w:t>EEA</w:t>
      </w:r>
      <w:r w:rsidR="00CE7CF9">
        <w:rPr>
          <w:i/>
        </w:rPr>
        <w:t xml:space="preserve"> Guidebook</w:t>
      </w:r>
      <w:r w:rsidR="006613B4" w:rsidRPr="006613B4">
        <w:rPr>
          <w:i/>
        </w:rPr>
        <w:t xml:space="preserve"> </w:t>
      </w:r>
      <w:r w:rsidR="003B61C4">
        <w:t>for other species apart from OC which is derived from the BC emission factor using the BC/OC ratios reported in Bond et al. (2004)</w:t>
      </w:r>
      <w:r w:rsidR="003B61C4">
        <w:rPr>
          <w:rStyle w:val="FootnoteReference"/>
        </w:rPr>
        <w:footnoteReference w:id="21"/>
      </w:r>
      <w:r>
        <w:rPr>
          <w:i/>
        </w:rPr>
        <w:t>.</w:t>
      </w:r>
      <w:r w:rsidR="006930D7">
        <w:rPr>
          <w:i/>
        </w:rPr>
        <w:t xml:space="preserve"> </w:t>
      </w:r>
      <w:r w:rsidR="006930D7">
        <w:t>The relevant activity rates are annual fuel consumption per sector and national energy balance data at the required level of detail are reported by the IEA</w:t>
      </w:r>
      <w:r w:rsidR="006930D7">
        <w:rPr>
          <w:rStyle w:val="FootnoteReference"/>
          <w:color w:val="000000"/>
        </w:rPr>
        <w:footnoteReference w:id="22"/>
      </w:r>
      <w:r w:rsidR="006930D7">
        <w:t xml:space="preserve">.  </w:t>
      </w:r>
    </w:p>
    <w:p w14:paraId="51E5E55B" w14:textId="77777777" w:rsidR="00C46552" w:rsidRDefault="00C46552"/>
    <w:p w14:paraId="7B9CA32E" w14:textId="77777777" w:rsidR="00C46552" w:rsidRPr="00910158" w:rsidRDefault="00C46552" w:rsidP="00597D1A">
      <w:pPr>
        <w:pStyle w:val="Heading4"/>
        <w:numPr>
          <w:ilvl w:val="3"/>
          <w:numId w:val="28"/>
        </w:numPr>
        <w:jc w:val="left"/>
        <w:rPr>
          <w:iCs/>
        </w:rPr>
      </w:pPr>
      <w:r w:rsidRPr="00910158">
        <w:rPr>
          <w:iCs/>
        </w:rPr>
        <w:t>Detailed method (preferred)</w:t>
      </w:r>
    </w:p>
    <w:p w14:paraId="432D14B8" w14:textId="77777777" w:rsidR="00C46552" w:rsidRDefault="00C46552">
      <w:pPr>
        <w:pStyle w:val="Date"/>
      </w:pPr>
    </w:p>
    <w:p w14:paraId="3380BE2C" w14:textId="184F5287" w:rsidR="004E28EC" w:rsidRDefault="00C46552" w:rsidP="00BD241E">
      <w:r>
        <w:t>Road-transport emission factors for NO</w:t>
      </w:r>
      <w:r>
        <w:rPr>
          <w:vertAlign w:val="subscript"/>
        </w:rPr>
        <w:t>X</w:t>
      </w:r>
      <w:r w:rsidR="001738D4">
        <w:t>, CO, NMVOCs</w:t>
      </w:r>
      <w:r>
        <w:t xml:space="preserve"> and PM vary greatly depending on the vehicle type, age, operating characteristics, emission controls, and maintenance procedures as well on fuel type</w:t>
      </w:r>
      <w:r w:rsidR="00704FBF">
        <w:t xml:space="preserve"> and its quality</w:t>
      </w:r>
      <w:r w:rsidR="00C85650">
        <w:t xml:space="preserve"> and </w:t>
      </w:r>
      <w:r>
        <w:t>the “Simple method” does not adequately deal with all of these variables</w:t>
      </w:r>
      <w:r w:rsidR="00C85650">
        <w:t xml:space="preserve">. A </w:t>
      </w:r>
      <w:r>
        <w:t xml:space="preserve">“Detailed method” is </w:t>
      </w:r>
      <w:r w:rsidR="00C85650">
        <w:t xml:space="preserve">also offered in the workbook which addresses the differences relating to vehicle </w:t>
      </w:r>
      <w:r w:rsidR="00BD241E">
        <w:t>class</w:t>
      </w:r>
      <w:r w:rsidR="004B6AE2">
        <w:t>, and to some extent, control technology (e.g. for gasoline passenger cars)</w:t>
      </w:r>
      <w:r w:rsidR="00C85650">
        <w:t xml:space="preserve">. This method is </w:t>
      </w:r>
      <w:r>
        <w:t xml:space="preserve">recommended where </w:t>
      </w:r>
      <w:r w:rsidR="009D33C8">
        <w:t>some transport</w:t>
      </w:r>
      <w:r>
        <w:t xml:space="preserve"> </w:t>
      </w:r>
      <w:r w:rsidR="00C85650">
        <w:t xml:space="preserve">activity </w:t>
      </w:r>
      <w:r>
        <w:t>data</w:t>
      </w:r>
      <w:r w:rsidR="00C85650">
        <w:t xml:space="preserve"> (</w:t>
      </w:r>
      <w:r w:rsidR="009D33C8">
        <w:t xml:space="preserve">i.e. </w:t>
      </w:r>
      <w:r w:rsidR="00C85650">
        <w:t>numbers of each vehicle type is use, average annual distance travelled)</w:t>
      </w:r>
      <w:r>
        <w:t xml:space="preserve"> are available. </w:t>
      </w:r>
      <w:r w:rsidR="00BD241E">
        <w:t>The vehicle categories covered are: passenger cars, light duty vehicles, heavy duty vehicles, motorcycles &lt;50cc (2-stroke), motorcycles &gt;50cc (2-stroke), motorcycles &lt;50cc (4-stroke)</w:t>
      </w:r>
      <w:r w:rsidR="004B6AE2">
        <w:t xml:space="preserve"> and 3-wheelers. These categories</w:t>
      </w:r>
      <w:r w:rsidR="00BD241E">
        <w:t xml:space="preserve"> are further subdivided by fuel type</w:t>
      </w:r>
      <w:r w:rsidR="004B6AE2">
        <w:t xml:space="preserve"> </w:t>
      </w:r>
      <w:r w:rsidR="004E28EC">
        <w:t>and</w:t>
      </w:r>
      <w:r w:rsidR="00A679BC">
        <w:t xml:space="preserve"> level of emission</w:t>
      </w:r>
      <w:r w:rsidR="004E28EC">
        <w:t xml:space="preserve"> control technology (</w:t>
      </w:r>
      <w:r w:rsidR="00A679BC">
        <w:t>i.e. Euro standard).</w:t>
      </w:r>
      <w:r w:rsidR="004E28EC">
        <w:t xml:space="preserve"> </w:t>
      </w:r>
      <w:r w:rsidR="00BD241E">
        <w:t xml:space="preserve">The relevant activity rates are the number of vehicles in use and the average annual kilometres driven for each vehicle category. These activity data should be available from national statistical offices and, for some </w:t>
      </w:r>
      <w:r w:rsidR="00C75DFC">
        <w:t>vehicle categories</w:t>
      </w:r>
      <w:r w:rsidR="00BD241E">
        <w:t>, from</w:t>
      </w:r>
      <w:r w:rsidR="00C75DFC" w:rsidRPr="00C75DFC">
        <w:t xml:space="preserve"> </w:t>
      </w:r>
      <w:r w:rsidR="00C75DFC">
        <w:t xml:space="preserve">the </w:t>
      </w:r>
      <w:r w:rsidR="00C75DFC" w:rsidRPr="00C75DFC">
        <w:t>International Organization of Motor Vehicle Manufacturers</w:t>
      </w:r>
      <w:r w:rsidR="00C75DFC">
        <w:t xml:space="preserve"> (OICA)</w:t>
      </w:r>
      <w:r w:rsidR="00BD241E">
        <w:rPr>
          <w:rStyle w:val="FootnoteReference"/>
        </w:rPr>
        <w:footnoteReference w:id="23"/>
      </w:r>
      <w:r w:rsidR="00BD241E">
        <w:t xml:space="preserve">. </w:t>
      </w:r>
    </w:p>
    <w:p w14:paraId="6D0C63F7" w14:textId="77777777" w:rsidR="004E28EC" w:rsidRDefault="004E28EC" w:rsidP="00BD241E"/>
    <w:p w14:paraId="19EAF2FF" w14:textId="588C88BC" w:rsidR="001D5B7F" w:rsidRDefault="00624C21" w:rsidP="005871AD">
      <w:pPr>
        <w:ind w:firstLine="720"/>
        <w:rPr>
          <w:color w:val="000000"/>
        </w:rPr>
      </w:pPr>
      <w:r w:rsidRPr="00624C21">
        <w:rPr>
          <w:color w:val="000000"/>
        </w:rPr>
        <w:t xml:space="preserve">The default emission factors are mainly </w:t>
      </w:r>
      <w:r w:rsidR="00A679BC">
        <w:rPr>
          <w:color w:val="000000"/>
        </w:rPr>
        <w:t xml:space="preserve">Tier 2 values </w:t>
      </w:r>
      <w:r w:rsidRPr="00624C21">
        <w:rPr>
          <w:color w:val="000000"/>
        </w:rPr>
        <w:t>from</w:t>
      </w:r>
      <w:r w:rsidR="00A679BC">
        <w:rPr>
          <w:color w:val="000000"/>
        </w:rPr>
        <w:t xml:space="preserve"> the</w:t>
      </w:r>
      <w:r w:rsidRPr="00624C21">
        <w:rPr>
          <w:color w:val="000000"/>
        </w:rPr>
        <w:t xml:space="preserve"> </w:t>
      </w:r>
      <w:r w:rsidR="00A679BC">
        <w:rPr>
          <w:i/>
        </w:rPr>
        <w:t>EMEP/EEA Guidebook</w:t>
      </w:r>
      <w:r w:rsidR="00A679BC">
        <w:rPr>
          <w:color w:val="000000"/>
        </w:rPr>
        <w:t xml:space="preserve"> for the different Euro standards</w:t>
      </w:r>
      <w:r w:rsidRPr="00624C21">
        <w:rPr>
          <w:color w:val="000000"/>
        </w:rPr>
        <w:t xml:space="preserve"> </w:t>
      </w:r>
      <w:r w:rsidR="001D5B7F">
        <w:rPr>
          <w:color w:val="000000"/>
        </w:rPr>
        <w:t xml:space="preserve">although the </w:t>
      </w:r>
      <w:r w:rsidR="00A679BC" w:rsidRPr="00A679BC">
        <w:rPr>
          <w:color w:val="000000"/>
        </w:rPr>
        <w:t xml:space="preserve">Tier 1 maximum values </w:t>
      </w:r>
      <w:r w:rsidR="001D5B7F">
        <w:rPr>
          <w:color w:val="000000"/>
        </w:rPr>
        <w:t>are</w:t>
      </w:r>
      <w:r w:rsidR="00A679BC" w:rsidRPr="00A679BC">
        <w:rPr>
          <w:color w:val="000000"/>
        </w:rPr>
        <w:t xml:space="preserve"> suggested for uncontrolled vehicles. </w:t>
      </w:r>
      <w:r w:rsidR="001D5B7F">
        <w:rPr>
          <w:color w:val="000000"/>
        </w:rPr>
        <w:t>A</w:t>
      </w:r>
      <w:r w:rsidR="001D5B7F" w:rsidRPr="001D5B7F">
        <w:rPr>
          <w:color w:val="000000"/>
        </w:rPr>
        <w:t xml:space="preserve">s many </w:t>
      </w:r>
      <w:r w:rsidR="001D5B7F">
        <w:rPr>
          <w:color w:val="000000"/>
        </w:rPr>
        <w:t>non-OECD countries</w:t>
      </w:r>
      <w:r w:rsidR="001D5B7F" w:rsidRPr="001D5B7F">
        <w:rPr>
          <w:color w:val="000000"/>
        </w:rPr>
        <w:t xml:space="preserve"> lack vehicle activity data disaggregated by engine size or vehicle weight, a typical engine size of ‘medium’ (1.4 – 2.0 </w:t>
      </w:r>
      <w:r w:rsidR="001D5B7F">
        <w:rPr>
          <w:color w:val="000000"/>
        </w:rPr>
        <w:t>litres</w:t>
      </w:r>
      <w:r w:rsidR="001D5B7F" w:rsidRPr="001D5B7F">
        <w:rPr>
          <w:color w:val="000000"/>
        </w:rPr>
        <w:t>) was assumed for passenger cars, a typical weight of 7.5 – 16 t</w:t>
      </w:r>
      <w:r w:rsidR="001D5B7F">
        <w:rPr>
          <w:color w:val="000000"/>
        </w:rPr>
        <w:t>onnes</w:t>
      </w:r>
      <w:r w:rsidR="001D5B7F" w:rsidRPr="001D5B7F">
        <w:rPr>
          <w:color w:val="000000"/>
        </w:rPr>
        <w:t xml:space="preserve"> assumed for heavy duty vehicles (trucks), and engine capacities of &gt; 50 cm</w:t>
      </w:r>
      <w:r w:rsidR="001D5B7F" w:rsidRPr="00AD3770">
        <w:rPr>
          <w:color w:val="000000"/>
          <w:vertAlign w:val="superscript"/>
        </w:rPr>
        <w:t>3</w:t>
      </w:r>
      <w:r w:rsidR="001D5B7F" w:rsidRPr="001D5B7F">
        <w:rPr>
          <w:color w:val="000000"/>
        </w:rPr>
        <w:t xml:space="preserve"> assumed for 2-stroke and 250-750 cm</w:t>
      </w:r>
      <w:r w:rsidR="001D5B7F" w:rsidRPr="00AD3770">
        <w:rPr>
          <w:color w:val="000000"/>
          <w:vertAlign w:val="superscript"/>
        </w:rPr>
        <w:t>3</w:t>
      </w:r>
      <w:r w:rsidR="001D5B7F" w:rsidRPr="001D5B7F">
        <w:rPr>
          <w:color w:val="000000"/>
        </w:rPr>
        <w:t xml:space="preserve"> for 4-stroke motorcycles. Default EFs for 3-wheelers and retro-fit compressed natural gas (CNG) passenger cars were derived from ARAI (2008)</w:t>
      </w:r>
      <w:r w:rsidR="001D5B7F">
        <w:rPr>
          <w:rStyle w:val="FootnoteReference"/>
          <w:color w:val="000000"/>
        </w:rPr>
        <w:footnoteReference w:id="24"/>
      </w:r>
      <w:r w:rsidR="001D5B7F" w:rsidRPr="001D5B7F">
        <w:rPr>
          <w:color w:val="000000"/>
        </w:rPr>
        <w:t xml:space="preserve">. EFs for OC were derived from organic matter (OM):BC ratios </w:t>
      </w:r>
      <w:r w:rsidR="001D5B7F">
        <w:rPr>
          <w:color w:val="000000"/>
        </w:rPr>
        <w:t>in the</w:t>
      </w:r>
      <w:r w:rsidR="001D5B7F" w:rsidRPr="001D5B7F">
        <w:rPr>
          <w:color w:val="000000"/>
        </w:rPr>
        <w:t xml:space="preserve"> </w:t>
      </w:r>
      <w:r w:rsidR="001D5B7F">
        <w:rPr>
          <w:i/>
        </w:rPr>
        <w:t>EMEP/EEA Guidebook</w:t>
      </w:r>
      <w:r w:rsidR="001D5B7F">
        <w:rPr>
          <w:color w:val="000000"/>
        </w:rPr>
        <w:t xml:space="preserve"> </w:t>
      </w:r>
      <w:r w:rsidR="001D5B7F" w:rsidRPr="001D5B7F">
        <w:rPr>
          <w:color w:val="000000"/>
        </w:rPr>
        <w:t xml:space="preserve">assuming that OM = 1.4 x OC. </w:t>
      </w:r>
    </w:p>
    <w:p w14:paraId="511A8757" w14:textId="08709D6B" w:rsidR="00A679BC" w:rsidRDefault="00A679BC" w:rsidP="005871AD">
      <w:pPr>
        <w:ind w:firstLine="720"/>
        <w:rPr>
          <w:color w:val="000000"/>
        </w:rPr>
      </w:pPr>
    </w:p>
    <w:p w14:paraId="0FC0E56B" w14:textId="1AE02871" w:rsidR="005871AD" w:rsidRPr="005871AD" w:rsidRDefault="009E28FF" w:rsidP="005871AD">
      <w:pPr>
        <w:ind w:firstLine="720"/>
        <w:rPr>
          <w:color w:val="000000"/>
        </w:rPr>
      </w:pPr>
      <w:r w:rsidRPr="005871AD">
        <w:rPr>
          <w:color w:val="000000"/>
        </w:rPr>
        <w:t xml:space="preserve">Dust emissions from vehicles travelling on unpaved roads are an important source of </w:t>
      </w:r>
      <w:r>
        <w:rPr>
          <w:color w:val="000000"/>
        </w:rPr>
        <w:t>both PM</w:t>
      </w:r>
      <w:r w:rsidRPr="009E28FF">
        <w:rPr>
          <w:color w:val="000000"/>
          <w:vertAlign w:val="subscript"/>
        </w:rPr>
        <w:t>10</w:t>
      </w:r>
      <w:r>
        <w:rPr>
          <w:color w:val="000000"/>
        </w:rPr>
        <w:t xml:space="preserve"> and PM</w:t>
      </w:r>
      <w:r w:rsidRPr="009E28FF">
        <w:rPr>
          <w:color w:val="000000"/>
          <w:vertAlign w:val="subscript"/>
        </w:rPr>
        <w:t>2.5</w:t>
      </w:r>
      <w:r>
        <w:rPr>
          <w:color w:val="000000"/>
        </w:rPr>
        <w:t xml:space="preserve"> </w:t>
      </w:r>
      <w:r w:rsidRPr="005871AD">
        <w:rPr>
          <w:color w:val="000000"/>
        </w:rPr>
        <w:t>emissions in many developing countries and so these are also covered by this detailed method</w:t>
      </w:r>
      <w:r>
        <w:rPr>
          <w:color w:val="000000"/>
        </w:rPr>
        <w:t>.</w:t>
      </w:r>
      <w:r w:rsidRPr="009E28FF">
        <w:rPr>
          <w:color w:val="000000"/>
        </w:rPr>
        <w:t xml:space="preserve"> </w:t>
      </w:r>
      <w:r>
        <w:rPr>
          <w:color w:val="000000"/>
        </w:rPr>
        <w:t xml:space="preserve">In this method, </w:t>
      </w:r>
      <w:r w:rsidRPr="009E28FF">
        <w:rPr>
          <w:color w:val="000000"/>
        </w:rPr>
        <w:t xml:space="preserve">the percentage dry days (&lt; 0.25 mm precipitation) in a year </w:t>
      </w:r>
      <w:r>
        <w:rPr>
          <w:color w:val="000000"/>
        </w:rPr>
        <w:t xml:space="preserve">is required as an </w:t>
      </w:r>
      <w:r w:rsidRPr="009E28FF">
        <w:rPr>
          <w:color w:val="000000"/>
        </w:rPr>
        <w:t>additional input. The method is based on that proposed by Gillies et al. (2005) for unpaved rural roads in dry weather, assuming a silt content range of 4% - 7%. The PM</w:t>
      </w:r>
      <w:r w:rsidRPr="009E28FF">
        <w:rPr>
          <w:color w:val="000000"/>
          <w:vertAlign w:val="subscript"/>
        </w:rPr>
        <w:t>10</w:t>
      </w:r>
      <w:r w:rsidRPr="009E28FF">
        <w:rPr>
          <w:color w:val="000000"/>
        </w:rPr>
        <w:t xml:space="preserve"> EF = 3 x W x S g/km where S is the average speed in km/hr and W is the average vehicle weight in tonnes. </w:t>
      </w:r>
      <w:r>
        <w:rPr>
          <w:color w:val="000000"/>
        </w:rPr>
        <w:t>The default f</w:t>
      </w:r>
      <w:r w:rsidRPr="009E28FF">
        <w:rPr>
          <w:color w:val="000000"/>
        </w:rPr>
        <w:t xml:space="preserve">actors suggested in the </w:t>
      </w:r>
      <w:r>
        <w:rPr>
          <w:color w:val="000000"/>
        </w:rPr>
        <w:t>Workbook</w:t>
      </w:r>
      <w:r w:rsidRPr="009E28FF">
        <w:rPr>
          <w:color w:val="000000"/>
        </w:rPr>
        <w:t xml:space="preserve"> assume an average speed </w:t>
      </w:r>
      <w:r>
        <w:rPr>
          <w:color w:val="000000"/>
        </w:rPr>
        <w:t xml:space="preserve">of </w:t>
      </w:r>
      <w:r w:rsidRPr="009E28FF">
        <w:rPr>
          <w:color w:val="000000"/>
        </w:rPr>
        <w:t xml:space="preserve">30 km for all vehicles and average weights of 0.4 t for 2-wheelers, 1 t for 3-wheelers, 1.4 t for passenger cars, 2.5 t for light commercial vehicles and 5 t for heavy duty vehicles (trucks and buses). If the average weight and/or average speed for a vehicle class differ from these assumptions then the above formula </w:t>
      </w:r>
      <w:r w:rsidRPr="009E28FF">
        <w:rPr>
          <w:color w:val="000000"/>
        </w:rPr>
        <w:lastRenderedPageBreak/>
        <w:t>should be used to calculate revised factors. Emissions of PM</w:t>
      </w:r>
      <w:r w:rsidRPr="009E28FF">
        <w:rPr>
          <w:color w:val="000000"/>
          <w:vertAlign w:val="subscript"/>
        </w:rPr>
        <w:t>2.5</w:t>
      </w:r>
      <w:r w:rsidRPr="009E28FF">
        <w:rPr>
          <w:color w:val="000000"/>
        </w:rPr>
        <w:t xml:space="preserve"> are assume to be 10% of PM</w:t>
      </w:r>
      <w:r w:rsidRPr="009E28FF">
        <w:rPr>
          <w:color w:val="000000"/>
          <w:vertAlign w:val="subscript"/>
        </w:rPr>
        <w:t>10</w:t>
      </w:r>
      <w:r w:rsidRPr="009E28FF">
        <w:rPr>
          <w:color w:val="000000"/>
        </w:rPr>
        <w:t xml:space="preserve"> emissions from unpaved public roads as suggested by the US EPA (2006)</w:t>
      </w:r>
      <w:r>
        <w:rPr>
          <w:rStyle w:val="FootnoteReference"/>
          <w:color w:val="000000"/>
        </w:rPr>
        <w:footnoteReference w:id="25"/>
      </w:r>
      <w:r w:rsidRPr="009E28FF">
        <w:rPr>
          <w:color w:val="000000"/>
        </w:rPr>
        <w:t>.</w:t>
      </w:r>
      <w:r w:rsidR="00624C21" w:rsidRPr="00624C21">
        <w:rPr>
          <w:color w:val="000000"/>
        </w:rPr>
        <w:t xml:space="preserve"> </w:t>
      </w:r>
    </w:p>
    <w:p w14:paraId="762DFA28" w14:textId="77777777" w:rsidR="007F45F8" w:rsidRDefault="007F45F8"/>
    <w:p w14:paraId="5CE2CAE3" w14:textId="77777777" w:rsidR="007F45F8" w:rsidRDefault="00A842D8" w:rsidP="00E131FE">
      <w:pPr>
        <w:ind w:firstLine="720"/>
      </w:pPr>
      <w:r>
        <w:t xml:space="preserve">If sufficiently detailed activity data are available, existing road transport emissions estimation models such as COPERT </w:t>
      </w:r>
      <w:r w:rsidR="00624C21">
        <w:t>4</w:t>
      </w:r>
      <w:r>
        <w:rPr>
          <w:rStyle w:val="FootnoteReference"/>
        </w:rPr>
        <w:footnoteReference w:id="26"/>
      </w:r>
      <w:r w:rsidR="00046FAB">
        <w:t xml:space="preserve"> </w:t>
      </w:r>
      <w:r>
        <w:t xml:space="preserve"> (used in Europe) or MOBILE</w:t>
      </w:r>
      <w:r w:rsidR="00AC269D">
        <w:t>6</w:t>
      </w:r>
      <w:r w:rsidR="003C1B4A">
        <w:rPr>
          <w:rStyle w:val="FootnoteReference"/>
        </w:rPr>
        <w:footnoteReference w:id="27"/>
      </w:r>
      <w:r w:rsidR="00E131FE">
        <w:t xml:space="preserve"> (used in North America) sh</w:t>
      </w:r>
      <w:r>
        <w:t>ould be used as an alternative to the detailed method offered in this Manual/ Workbook</w:t>
      </w:r>
      <w:r w:rsidR="007F45F8">
        <w:t>. These</w:t>
      </w:r>
      <w:r w:rsidR="0069277C">
        <w:t xml:space="preserve"> models</w:t>
      </w:r>
      <w:r w:rsidR="007F45F8">
        <w:t xml:space="preserve"> require a detailed technology split of vehicles</w:t>
      </w:r>
      <w:r w:rsidR="00E131FE">
        <w:t xml:space="preserve"> (by engine size and emission control technology)</w:t>
      </w:r>
      <w:r w:rsidR="007F45F8">
        <w:t xml:space="preserve"> and data on driving patterns</w:t>
      </w:r>
      <w:r w:rsidR="00E131FE">
        <w:t>, temperature data etc</w:t>
      </w:r>
      <w:r w:rsidR="007F45F8">
        <w:t>.</w:t>
      </w:r>
      <w:r w:rsidR="00A942FD">
        <w:t xml:space="preserve"> </w:t>
      </w:r>
      <w:r w:rsidR="00945D61">
        <w:t>In using European default emission factors in developing countries it is important to bear in mind that actual emission levels are determined by fuel quality and vehicle maintenance. Therefore it is important to assess whether actual emissions can be higher than those generated using the default emission factors in a model.</w:t>
      </w:r>
      <w:r w:rsidR="00E131FE">
        <w:t xml:space="preserve"> </w:t>
      </w:r>
      <w:r w:rsidR="0069277C">
        <w:t xml:space="preserve">For example, the use of leaded gasoline </w:t>
      </w:r>
      <w:r w:rsidR="00CC36EA">
        <w:t>or</w:t>
      </w:r>
      <w:r w:rsidR="0069277C">
        <w:t xml:space="preserve"> adulterated fuels</w:t>
      </w:r>
      <w:r w:rsidR="00CC36EA">
        <w:t xml:space="preserve"> (a common practice in some developing countries)</w:t>
      </w:r>
      <w:r w:rsidR="0069277C">
        <w:t xml:space="preserve"> will </w:t>
      </w:r>
      <w:r w:rsidR="00CC36EA">
        <w:t xml:space="preserve">often </w:t>
      </w:r>
      <w:r w:rsidR="0069277C">
        <w:t>prevent the catalytic converter from working</w:t>
      </w:r>
      <w:r w:rsidR="00CC36EA">
        <w:t xml:space="preserve"> properly</w:t>
      </w:r>
      <w:r w:rsidR="0069277C">
        <w:t xml:space="preserve">. </w:t>
      </w:r>
      <w:r w:rsidR="00CC36EA">
        <w:t xml:space="preserve">Vehicles imported into some developing countries may also have their catalytic converters removed to improve fuel economy. Cars converted from gasoline to LPG will usually have their catalytic converters cut out. Lastly, imported, reconditioned vehicles (especially trucks) which initially meet certain emission standards may deteriorate rapidly due to the poor state of the roads and/or poor fuel quality. </w:t>
      </w:r>
      <w:r w:rsidR="00D87A0F">
        <w:t xml:space="preserve">In general, it may be </w:t>
      </w:r>
      <w:r w:rsidR="005300B1">
        <w:t xml:space="preserve">best to </w:t>
      </w:r>
      <w:r w:rsidR="00D87A0F">
        <w:t>assumed that reconditioned vehicles will have pre-control levels of emissions</w:t>
      </w:r>
      <w:r w:rsidR="005300B1">
        <w:t xml:space="preserve"> even if newly registered.</w:t>
      </w:r>
    </w:p>
    <w:p w14:paraId="79C44695" w14:textId="77777777" w:rsidR="00F425EB" w:rsidRDefault="00F425EB" w:rsidP="00AD3770">
      <w:pPr>
        <w:ind w:left="2880" w:firstLine="720"/>
      </w:pPr>
    </w:p>
    <w:p w14:paraId="1151E178" w14:textId="6CD1CAD7" w:rsidR="00C46552" w:rsidRDefault="00D87AB6" w:rsidP="00910158">
      <w:pPr>
        <w:ind w:firstLine="720"/>
      </w:pPr>
      <w:r>
        <w:t xml:space="preserve">For civil aviation, the detailed method offered in this Manual is based on the </w:t>
      </w:r>
      <w:r w:rsidR="00160126">
        <w:t xml:space="preserve">Tier 1 </w:t>
      </w:r>
      <w:r w:rsidRPr="00AD3770">
        <w:rPr>
          <w:i/>
        </w:rPr>
        <w:t>EMEP/</w:t>
      </w:r>
      <w:r w:rsidR="008736A1" w:rsidRPr="00AD3770">
        <w:rPr>
          <w:i/>
        </w:rPr>
        <w:t>EEA</w:t>
      </w:r>
      <w:r w:rsidR="006409DF" w:rsidRPr="00AD3770">
        <w:rPr>
          <w:i/>
        </w:rPr>
        <w:t xml:space="preserve"> Guidebook</w:t>
      </w:r>
      <w:r w:rsidR="00160126">
        <w:rPr>
          <w:i/>
        </w:rPr>
        <w:t xml:space="preserve"> </w:t>
      </w:r>
      <w:r w:rsidR="00160126">
        <w:t>(EMEP/EEA, 2013)</w:t>
      </w:r>
      <w:r w:rsidR="0025775D">
        <w:rPr>
          <w:rStyle w:val="FootnoteReference"/>
        </w:rPr>
        <w:footnoteReference w:id="28"/>
      </w:r>
      <w:r>
        <w:t xml:space="preserve"> method</w:t>
      </w:r>
      <w:r w:rsidR="00936EF6">
        <w:t xml:space="preserve"> for jet kerosene</w:t>
      </w:r>
      <w:r>
        <w:t xml:space="preserve">. </w:t>
      </w:r>
      <w:r w:rsidR="00936EF6">
        <w:t xml:space="preserve">Emissions can be estimated for two categories of aircraft, ‘Old Fleet’ represented by Boeing B737-100 and ‘Average Fleet’ represented by Boeing B737-400. </w:t>
      </w:r>
      <w:r>
        <w:t>It includes</w:t>
      </w:r>
      <w:r w:rsidR="00936EF6">
        <w:t xml:space="preserve"> both</w:t>
      </w:r>
      <w:r>
        <w:t xml:space="preserve"> landing and take-off (LTO) cycle</w:t>
      </w:r>
      <w:r>
        <w:rPr>
          <w:rStyle w:val="FootnoteReference"/>
        </w:rPr>
        <w:footnoteReference w:id="29"/>
      </w:r>
      <w:r>
        <w:t xml:space="preserve"> and cruise activity emissions for domestic aircraft</w:t>
      </w:r>
      <w:r w:rsidR="00936EF6">
        <w:t>. F</w:t>
      </w:r>
      <w:r>
        <w:t>or international aviation,</w:t>
      </w:r>
      <w:r w:rsidR="00936EF6">
        <w:t xml:space="preserve"> the aircraft categories are further subdivided into ‘Short distance’ (500 nautical miles) and ‘Long distance’ (3000 nautical miles).</w:t>
      </w:r>
      <w:r>
        <w:t xml:space="preserve"> </w:t>
      </w:r>
      <w:r w:rsidR="00936EF6">
        <w:t xml:space="preserve">Cruise emissions for international aircraft are not included as these mainly occur outside the country being inventoried.  For activity data, only those </w:t>
      </w:r>
      <w:r>
        <w:t>LTO</w:t>
      </w:r>
      <w:r w:rsidR="00936EF6">
        <w:t xml:space="preserve"> </w:t>
      </w:r>
      <w:r>
        <w:t xml:space="preserve">cycles occurring </w:t>
      </w:r>
      <w:r w:rsidR="00936EF6">
        <w:t xml:space="preserve">in the </w:t>
      </w:r>
      <w:r>
        <w:t>countr</w:t>
      </w:r>
      <w:r w:rsidR="00936EF6">
        <w:t>y</w:t>
      </w:r>
      <w:r w:rsidR="0025775D">
        <w:t xml:space="preserve"> being inventoried</w:t>
      </w:r>
      <w:r w:rsidR="00936EF6">
        <w:t xml:space="preserve"> are counted.</w:t>
      </w:r>
      <w:r>
        <w:t xml:space="preserve"> </w:t>
      </w:r>
      <w:r w:rsidR="00C46552">
        <w:t>This detailed approach is recommended for all pollutants emitted by civil aviation (including SO</w:t>
      </w:r>
      <w:r w:rsidR="00C46552">
        <w:rPr>
          <w:vertAlign w:val="subscript"/>
        </w:rPr>
        <w:t>2</w:t>
      </w:r>
      <w:r w:rsidR="00C46552">
        <w:t>)</w:t>
      </w:r>
      <w:r w:rsidR="00CC2C8C">
        <w:t xml:space="preserve"> where annual domestic LTO data are available</w:t>
      </w:r>
      <w:r w:rsidR="00C46552">
        <w:t xml:space="preserve">. </w:t>
      </w:r>
      <w:r w:rsidR="001E68A9">
        <w:t xml:space="preserve">Landing and take-off statistics </w:t>
      </w:r>
      <w:r w:rsidR="00571FEB">
        <w:t>will</w:t>
      </w:r>
      <w:r w:rsidR="005B6E4F">
        <w:t xml:space="preserve"> be available from </w:t>
      </w:r>
      <w:r w:rsidR="001E68A9">
        <w:t xml:space="preserve">individual </w:t>
      </w:r>
      <w:r w:rsidR="005B6E4F">
        <w:t>airport</w:t>
      </w:r>
      <w:r w:rsidR="001E68A9">
        <w:t>s, the official aviation authority or national reports</w:t>
      </w:r>
      <w:r w:rsidR="005B6E4F">
        <w:t>.</w:t>
      </w:r>
    </w:p>
    <w:p w14:paraId="0D4360FC" w14:textId="77777777" w:rsidR="00C46552" w:rsidRDefault="00C46552"/>
    <w:p w14:paraId="6CEC5359" w14:textId="7B7B06CF" w:rsidR="00C46552" w:rsidRDefault="00C46552">
      <w:r>
        <w:t xml:space="preserve"> </w:t>
      </w:r>
      <w:r>
        <w:tab/>
        <w:t>For railways, navigation</w:t>
      </w:r>
      <w:r w:rsidR="00DD7238">
        <w:t xml:space="preserve"> (shipping)</w:t>
      </w:r>
      <w:r>
        <w:t xml:space="preserve"> and pipeline transport, the simple method (Section </w:t>
      </w:r>
      <w:r w:rsidR="00D37E69">
        <w:t>3</w:t>
      </w:r>
      <w:r>
        <w:t>.4.2.1), utilizing bulk emission factors, is considered adequate for the purposes of this Manual.</w:t>
      </w:r>
      <w:r w:rsidR="00DD7238">
        <w:t xml:space="preserve"> Emissi</w:t>
      </w:r>
      <w:r w:rsidR="00DD16E6">
        <w:t xml:space="preserve">on methodologies for shipping are also given in the </w:t>
      </w:r>
      <w:r w:rsidR="00DD16E6" w:rsidRPr="00AD3770">
        <w:rPr>
          <w:i/>
        </w:rPr>
        <w:t>EMEP/</w:t>
      </w:r>
      <w:r w:rsidR="008736A1" w:rsidRPr="00AD3770">
        <w:rPr>
          <w:i/>
        </w:rPr>
        <w:t>EEA</w:t>
      </w:r>
      <w:r w:rsidR="00DD16E6" w:rsidRPr="00AD3770">
        <w:rPr>
          <w:i/>
        </w:rPr>
        <w:t xml:space="preserve"> </w:t>
      </w:r>
      <w:r w:rsidR="002E5800" w:rsidRPr="00AD3770">
        <w:rPr>
          <w:i/>
        </w:rPr>
        <w:t>G</w:t>
      </w:r>
      <w:r w:rsidR="00DD16E6" w:rsidRPr="00AD3770">
        <w:rPr>
          <w:i/>
        </w:rPr>
        <w:t>uidebook</w:t>
      </w:r>
      <w:r w:rsidR="00DD16E6">
        <w:t xml:space="preserve">. </w:t>
      </w:r>
      <w:r w:rsidR="007F45F8">
        <w:t>The COPERT model can also be used to estimate emissions from off-road transport, including off-road machinery</w:t>
      </w:r>
      <w:r w:rsidR="00977D53">
        <w:t>, although these would be reported under the relevant source sector rather than under transport</w:t>
      </w:r>
      <w:r w:rsidR="007F45F8">
        <w:t>.</w:t>
      </w:r>
    </w:p>
    <w:p w14:paraId="41467930" w14:textId="77777777" w:rsidR="00DD16E6" w:rsidRDefault="00DD16E6"/>
    <w:p w14:paraId="47A40A04" w14:textId="3330DA6E" w:rsidR="00DD16E6" w:rsidRDefault="00DD16E6" w:rsidP="00415AE6">
      <w:pPr>
        <w:ind w:firstLine="720"/>
      </w:pPr>
      <w:r>
        <w:t>National inventories normally exclude emissions from international shipping and aviation (from use of bunkers)</w:t>
      </w:r>
      <w:r w:rsidR="00B31053">
        <w:t xml:space="preserve"> from national totals</w:t>
      </w:r>
      <w:r>
        <w:t>.</w:t>
      </w:r>
      <w:r w:rsidR="00B31053">
        <w:t xml:space="preserve"> Emissions based on the bunker sales in the country are rather estimated and included as a memo item.</w:t>
      </w:r>
      <w:r>
        <w:t xml:space="preserve"> Nevertheless these emissions are of course important for air quality modelling. Often it can be more useful to use global datasets for the purpose rather than national inventories.</w:t>
      </w:r>
    </w:p>
    <w:p w14:paraId="7B2124A6" w14:textId="77777777" w:rsidR="00AD754F" w:rsidRDefault="00AD754F"/>
    <w:p w14:paraId="4187F568" w14:textId="77777777" w:rsidR="00AD754F" w:rsidRDefault="00AD754F"/>
    <w:p w14:paraId="17DE6F6D" w14:textId="77777777" w:rsidR="00C46552" w:rsidRDefault="00C46552" w:rsidP="00597D1A">
      <w:pPr>
        <w:pStyle w:val="Heading3"/>
        <w:numPr>
          <w:ilvl w:val="2"/>
          <w:numId w:val="28"/>
        </w:numPr>
      </w:pPr>
      <w:bookmarkStart w:id="93" w:name="_Toc10122691"/>
      <w:r>
        <w:t>Application of parameters for control equipment</w:t>
      </w:r>
      <w:bookmarkEnd w:id="93"/>
      <w:r>
        <w:t xml:space="preserve"> </w:t>
      </w:r>
    </w:p>
    <w:p w14:paraId="4B655781" w14:textId="77777777" w:rsidR="00C46552" w:rsidRPr="00B35FE9" w:rsidRDefault="00C46552">
      <w:pPr>
        <w:pStyle w:val="Heading3"/>
        <w:numPr>
          <w:ilvl w:val="0"/>
          <w:numId w:val="0"/>
        </w:numPr>
        <w:rPr>
          <w:rFonts w:ascii="Times New Roman" w:hAnsi="Times New Roman"/>
        </w:rPr>
      </w:pPr>
    </w:p>
    <w:p w14:paraId="09DABE77" w14:textId="27A4AB0F" w:rsidR="00DD16E6" w:rsidRDefault="00910158" w:rsidP="00AD754F">
      <w:pPr>
        <w:rPr>
          <w:color w:val="000000"/>
        </w:rPr>
      </w:pPr>
      <w:r>
        <w:t xml:space="preserve">For </w:t>
      </w:r>
      <w:r w:rsidR="002E5800">
        <w:t xml:space="preserve">the simple </w:t>
      </w:r>
      <w:r>
        <w:t>road transport</w:t>
      </w:r>
      <w:r w:rsidR="002E5800">
        <w:t xml:space="preserve"> method</w:t>
      </w:r>
      <w:r>
        <w:rPr>
          <w:color w:val="000000"/>
        </w:rPr>
        <w:t xml:space="preserve">, the default assumption is that use of emission controls is negligible. However, the number of catalytic controlled vehicles is increasing in non-OECD countries and application of </w:t>
      </w:r>
      <w:r>
        <w:rPr>
          <w:color w:val="000000"/>
        </w:rPr>
        <w:lastRenderedPageBreak/>
        <w:t>the pre-catalytic converter emission factors offered in the Workbook may produce an overestimate of emissions. On the other hand, even if cars are equipped with catalytic converters, it is important to determine their maintenance before choosing emission factors. Catalytic converters are destroyed if the fuel quality is not adequate (e.g. if it contains lead or is adulterated) causing catalytic converters to lose their efficiency over time if</w:t>
      </w:r>
      <w:r w:rsidR="00046FAB">
        <w:rPr>
          <w:color w:val="000000"/>
        </w:rPr>
        <w:t xml:space="preserve"> they are </w:t>
      </w:r>
      <w:r>
        <w:rPr>
          <w:color w:val="000000"/>
        </w:rPr>
        <w:t xml:space="preserve">not replaced. Also, as is often the case in </w:t>
      </w:r>
      <w:smartTag w:uri="urn:schemas-microsoft-com:office:smarttags" w:element="place">
        <w:r>
          <w:rPr>
            <w:color w:val="000000"/>
          </w:rPr>
          <w:t>Africa</w:t>
        </w:r>
      </w:smartTag>
      <w:r>
        <w:rPr>
          <w:color w:val="000000"/>
        </w:rPr>
        <w:t xml:space="preserve"> for example, catalytic converters from imported vehicles may be removed to improve fuel consumption. Therefore, the assumption that use of emission controls is negligible may still be adequate even if cars with catalytic converters are being imported</w:t>
      </w:r>
      <w:r w:rsidR="00607DB5">
        <w:rPr>
          <w:color w:val="000000"/>
        </w:rPr>
        <w:t>.</w:t>
      </w:r>
    </w:p>
    <w:p w14:paraId="27C9A377" w14:textId="77777777" w:rsidR="00DD16E6" w:rsidRDefault="00DD16E6" w:rsidP="00AD754F">
      <w:pPr>
        <w:rPr>
          <w:color w:val="000000"/>
        </w:rPr>
      </w:pPr>
    </w:p>
    <w:p w14:paraId="7D90C399" w14:textId="4DC35878" w:rsidR="00DD16E6" w:rsidRDefault="00945D61" w:rsidP="00B83E60">
      <w:pPr>
        <w:ind w:firstLine="720"/>
      </w:pPr>
      <w:r>
        <w:rPr>
          <w:color w:val="000000"/>
        </w:rPr>
        <w:t>Emissions from aviation are</w:t>
      </w:r>
      <w:r w:rsidR="00DD16E6">
        <w:rPr>
          <w:color w:val="000000"/>
        </w:rPr>
        <w:t xml:space="preserve"> reflected by the use of different aircraft and engine combinations representing different emission levels. </w:t>
      </w:r>
      <w:r w:rsidR="00C46552">
        <w:t xml:space="preserve">The default emission factors given in the Workbook for civil aviation (detailed method) represent an average level of </w:t>
      </w:r>
      <w:r w:rsidR="00DD16E6">
        <w:t>technolog</w:t>
      </w:r>
      <w:r w:rsidR="00910158">
        <w:t>y</w:t>
      </w:r>
      <w:r w:rsidR="00C46552">
        <w:t xml:space="preserve"> for </w:t>
      </w:r>
      <w:r w:rsidR="00910158">
        <w:t xml:space="preserve">each </w:t>
      </w:r>
      <w:r w:rsidR="002E5800">
        <w:t xml:space="preserve">class </w:t>
      </w:r>
      <w:r w:rsidR="00910158">
        <w:t>of aircraft listed</w:t>
      </w:r>
      <w:r w:rsidR="002E5800">
        <w:t xml:space="preserve"> (</w:t>
      </w:r>
      <w:r w:rsidR="00F447A5">
        <w:t>‘</w:t>
      </w:r>
      <w:r w:rsidR="002E5800">
        <w:t>Old fleet</w:t>
      </w:r>
      <w:r w:rsidR="00F447A5">
        <w:t>’</w:t>
      </w:r>
      <w:r w:rsidR="002E5800">
        <w:t xml:space="preserve"> or </w:t>
      </w:r>
      <w:r w:rsidR="00F447A5">
        <w:t>‘</w:t>
      </w:r>
      <w:r w:rsidR="002E5800">
        <w:t>Average fleet</w:t>
      </w:r>
      <w:r w:rsidR="00F447A5">
        <w:t>’</w:t>
      </w:r>
      <w:r w:rsidR="002E5800">
        <w:t>)</w:t>
      </w:r>
      <w:r w:rsidR="00910158">
        <w:t>.</w:t>
      </w:r>
    </w:p>
    <w:p w14:paraId="35ACCDB4" w14:textId="77777777" w:rsidR="00DD16E6" w:rsidRDefault="00DD16E6" w:rsidP="00AD754F"/>
    <w:p w14:paraId="415C3574" w14:textId="77777777" w:rsidR="00C46552" w:rsidRDefault="00C46552" w:rsidP="007B1401">
      <w:pPr>
        <w:ind w:firstLine="576"/>
      </w:pPr>
      <w:r>
        <w:t>It can be assumed that for other non-road transport (railways, navigation and pipeline transport), the use of emission controls is negligible.</w:t>
      </w:r>
      <w:r w:rsidR="00DD16E6">
        <w:t xml:space="preserve"> However, sulphur content of fuel can be regulated in certain areas.</w:t>
      </w:r>
    </w:p>
    <w:p w14:paraId="097B6C6D" w14:textId="77777777" w:rsidR="00C46552" w:rsidRDefault="00C46552"/>
    <w:p w14:paraId="5EFB376F" w14:textId="77777777" w:rsidR="00AD754F" w:rsidRDefault="00AD754F"/>
    <w:p w14:paraId="668A931C" w14:textId="7546AFCE" w:rsidR="00C46552" w:rsidRDefault="00C46552" w:rsidP="00BE3408">
      <w:pPr>
        <w:pStyle w:val="Heading2"/>
      </w:pPr>
      <w:bookmarkStart w:id="94" w:name="_Toc10122692"/>
      <w:r>
        <w:t>Sector 4: Combustion of fuel in “Other sectors”</w:t>
      </w:r>
      <w:r>
        <w:rPr>
          <w:i/>
        </w:rPr>
        <w:t xml:space="preserve"> </w:t>
      </w:r>
      <w:r>
        <w:t>(Residential, Commercial/</w:t>
      </w:r>
      <w:r w:rsidR="00B35FE9">
        <w:t xml:space="preserve"> </w:t>
      </w:r>
      <w:r>
        <w:t>Institutional, Agriculture, Forestry and Fishing)</w:t>
      </w:r>
      <w:bookmarkEnd w:id="94"/>
    </w:p>
    <w:p w14:paraId="6D3A87B0" w14:textId="77777777" w:rsidR="00C46552" w:rsidRDefault="00C46552"/>
    <w:p w14:paraId="79746811" w14:textId="77777777" w:rsidR="00C46552" w:rsidRDefault="00C46552" w:rsidP="00597D1A">
      <w:pPr>
        <w:pStyle w:val="Heading3"/>
        <w:numPr>
          <w:ilvl w:val="2"/>
          <w:numId w:val="28"/>
        </w:numPr>
      </w:pPr>
      <w:bookmarkStart w:id="95" w:name="_Toc10122693"/>
      <w:r>
        <w:t>Introduction</w:t>
      </w:r>
      <w:bookmarkEnd w:id="95"/>
    </w:p>
    <w:p w14:paraId="01C93B35" w14:textId="77777777" w:rsidR="00C46552" w:rsidRDefault="00C46552">
      <w:pPr>
        <w:pStyle w:val="Date"/>
      </w:pPr>
    </w:p>
    <w:p w14:paraId="1FF10A71" w14:textId="20D54663" w:rsidR="00C46552" w:rsidRDefault="00C46552">
      <w:pPr>
        <w:rPr>
          <w:snapToGrid w:val="0"/>
          <w:color w:val="000000"/>
        </w:rPr>
      </w:pPr>
      <w:r>
        <w:t xml:space="preserve">This sector includes emissions of </w:t>
      </w:r>
      <w:r w:rsidR="00F447A5">
        <w:t>CO</w:t>
      </w:r>
      <w:r w:rsidR="00F447A5" w:rsidRPr="00AD3770">
        <w:rPr>
          <w:vertAlign w:val="subscript"/>
        </w:rPr>
        <w:t>2</w:t>
      </w:r>
      <w:r w:rsidR="00F447A5">
        <w:t xml:space="preserve">, </w:t>
      </w:r>
      <w:r w:rsidR="000F384C">
        <w:t>CH</w:t>
      </w:r>
      <w:r w:rsidR="00F447A5" w:rsidRPr="00AD3770">
        <w:rPr>
          <w:vertAlign w:val="subscript"/>
        </w:rPr>
        <w:t>4</w:t>
      </w:r>
      <w:r w:rsidR="00F447A5">
        <w:t xml:space="preserve">, </w:t>
      </w:r>
      <w:r>
        <w:t>SO</w:t>
      </w:r>
      <w:r>
        <w:rPr>
          <w:vertAlign w:val="subscript"/>
        </w:rPr>
        <w:t>2</w:t>
      </w:r>
      <w:r>
        <w:t>, NO</w:t>
      </w:r>
      <w:r>
        <w:rPr>
          <w:vertAlign w:val="subscript"/>
        </w:rPr>
        <w:t>X</w:t>
      </w:r>
      <w:r>
        <w:t xml:space="preserve">, </w:t>
      </w:r>
      <w:r w:rsidR="001738D4">
        <w:t xml:space="preserve">CO, NMVOC, </w:t>
      </w:r>
      <w:r>
        <w:t>NH</w:t>
      </w:r>
      <w:r>
        <w:rPr>
          <w:vertAlign w:val="subscript"/>
        </w:rPr>
        <w:t>3</w:t>
      </w:r>
      <w:r>
        <w:t>, PM</w:t>
      </w:r>
      <w:r>
        <w:rPr>
          <w:vertAlign w:val="subscript"/>
        </w:rPr>
        <w:t>10</w:t>
      </w:r>
      <w:r>
        <w:t>,</w:t>
      </w:r>
      <w:r>
        <w:rPr>
          <w:vertAlign w:val="subscript"/>
        </w:rPr>
        <w:t xml:space="preserve"> </w:t>
      </w:r>
      <w:r w:rsidR="00065B5E">
        <w:t>PM</w:t>
      </w:r>
      <w:r w:rsidR="00065B5E" w:rsidRPr="001738D4">
        <w:rPr>
          <w:vertAlign w:val="subscript"/>
        </w:rPr>
        <w:t>2.5</w:t>
      </w:r>
      <w:r w:rsidR="00F447A5">
        <w:t>, BC and OC f</w:t>
      </w:r>
      <w:r>
        <w:t>rom fuel combustion in “Commercial and Institutional” buildings,</w:t>
      </w:r>
      <w:r>
        <w:rPr>
          <w:snapToGrid w:val="0"/>
          <w:color w:val="000000"/>
        </w:rPr>
        <w:t xml:space="preserve"> residential “Households” and in “Agriculture, Forestry and Fishing”. The sector includes mobile emissions from off-road activities in agriculture and forestry and from water-borne vessels engaged in domestic inland, coastal or deep-sea fishing. </w:t>
      </w:r>
    </w:p>
    <w:p w14:paraId="7D2A4EA4" w14:textId="77777777" w:rsidR="00C46552" w:rsidRDefault="00C46552">
      <w:pPr>
        <w:rPr>
          <w:snapToGrid w:val="0"/>
          <w:color w:val="000000"/>
        </w:rPr>
      </w:pPr>
    </w:p>
    <w:p w14:paraId="3EE95568" w14:textId="77777777" w:rsidR="00D37E69" w:rsidRDefault="00D37E69" w:rsidP="00D37E69">
      <w:pPr>
        <w:pStyle w:val="Heading3"/>
        <w:numPr>
          <w:ilvl w:val="2"/>
          <w:numId w:val="28"/>
        </w:numPr>
      </w:pPr>
      <w:bookmarkStart w:id="96" w:name="_Toc10122694"/>
      <w:r>
        <w:t>Procedures and default data used in this manual</w:t>
      </w:r>
      <w:bookmarkEnd w:id="96"/>
    </w:p>
    <w:p w14:paraId="187E520C" w14:textId="77777777" w:rsidR="00C46552" w:rsidRDefault="00C46552">
      <w:pPr>
        <w:rPr>
          <w:snapToGrid w:val="0"/>
          <w:color w:val="000000"/>
        </w:rPr>
      </w:pPr>
    </w:p>
    <w:p w14:paraId="411E52FA" w14:textId="282FF970" w:rsidR="008B4FC1" w:rsidRDefault="00C46552" w:rsidP="008B4FC1">
      <w:r>
        <w:t>A simple method is proposed in this Manual for the "Other sectors" using bulk emission factors for each type of fuel used in each sector</w:t>
      </w:r>
      <w:r w:rsidR="00AD3770">
        <w:t>.</w:t>
      </w:r>
      <w:r>
        <w:t xml:space="preserve"> The relevant activity rates are annual fuel consumption per sector (</w:t>
      </w:r>
      <w:r>
        <w:rPr>
          <w:i/>
        </w:rPr>
        <w:t xml:space="preserve">Residential, Commercial/institutional, Agricultural </w:t>
      </w:r>
      <w:r>
        <w:t>or</w:t>
      </w:r>
      <w:r>
        <w:rPr>
          <w:i/>
        </w:rPr>
        <w:t xml:space="preserve"> Forestry</w:t>
      </w:r>
      <w:r>
        <w:t xml:space="preserve">).  </w:t>
      </w:r>
      <w:r w:rsidR="008B4FC1">
        <w:t>National energy balance data are reported by the IEA</w:t>
      </w:r>
      <w:r w:rsidR="008B4FC1">
        <w:rPr>
          <w:rStyle w:val="FootnoteReference"/>
          <w:color w:val="000000"/>
        </w:rPr>
        <w:footnoteReference w:id="30"/>
      </w:r>
      <w:r w:rsidR="008B4FC1">
        <w:t xml:space="preserve"> although data for ‘primary solid biomass’</w:t>
      </w:r>
      <w:r w:rsidR="008B4FC1">
        <w:rPr>
          <w:rStyle w:val="FootnoteReference"/>
        </w:rPr>
        <w:footnoteReference w:id="31"/>
      </w:r>
      <w:r w:rsidR="008B4FC1">
        <w:t xml:space="preserve"> are not further sub-divided by type</w:t>
      </w:r>
      <w:r w:rsidR="008B4FC1" w:rsidRPr="00A82BD5">
        <w:t xml:space="preserve"> </w:t>
      </w:r>
      <w:r w:rsidR="008B4FC1">
        <w:t>in this database. Thus, IEA data for ‘Primary solid biomass’ should be entered into the Forum Workbook under the category ‘Unspecified primary solid biomass’.</w:t>
      </w:r>
      <w:r w:rsidR="00B203CE">
        <w:t xml:space="preserve">  </w:t>
      </w:r>
      <w:r w:rsidR="008B4FC1">
        <w:t>Other activity data sources for biomass fuel consumption are the United Nations Energy Statistics Yearbooks (for fuelwood, charcoal and bagasse) and FAOSTAT</w:t>
      </w:r>
      <w:r w:rsidR="008B4FC1">
        <w:rPr>
          <w:rStyle w:val="FootnoteReference"/>
        </w:rPr>
        <w:footnoteReference w:id="32"/>
      </w:r>
      <w:r w:rsidR="008B4FC1">
        <w:t xml:space="preserve"> (for wood fuel and wood charcoal).  For both these reference sources, data are in cubic metres (m</w:t>
      </w:r>
      <w:r w:rsidR="008B4FC1" w:rsidRPr="008B4FC1">
        <w:rPr>
          <w:vertAlign w:val="superscript"/>
        </w:rPr>
        <w:t>3</w:t>
      </w:r>
      <w:r w:rsidR="008B4FC1">
        <w:t>) which must be converted into mass units (for wood assume 1000 m</w:t>
      </w:r>
      <w:r w:rsidR="008B4FC1" w:rsidRPr="00B4077B">
        <w:rPr>
          <w:vertAlign w:val="superscript"/>
        </w:rPr>
        <w:t>3</w:t>
      </w:r>
      <w:r w:rsidR="008B4FC1">
        <w:rPr>
          <w:vertAlign w:val="superscript"/>
        </w:rPr>
        <w:t xml:space="preserve"> </w:t>
      </w:r>
      <w:r w:rsidR="008B4FC1" w:rsidRPr="00B4077B">
        <w:t xml:space="preserve">= 0.732 </w:t>
      </w:r>
      <w:r w:rsidR="008B4FC1">
        <w:t>kilo</w:t>
      </w:r>
      <w:r w:rsidR="008B4FC1" w:rsidRPr="00B4077B">
        <w:t>tonnes</w:t>
      </w:r>
      <w:r w:rsidR="008B4FC1">
        <w:t xml:space="preserve">) before being entered into the Workbook (sheet 1.1.1c). Also, for the UN Energy Statistics Yearbook and FAOSTAT database, assume that consumption equals production plus imports minus exports. </w:t>
      </w:r>
      <w:r w:rsidR="00B203CE">
        <w:t>Official and international data sources for biomass combustion may be unreliable and underestimate the real consumption and therefore it is important to identify additional data sources (e.g. dedicated studies).</w:t>
      </w:r>
    </w:p>
    <w:p w14:paraId="436218A3" w14:textId="77777777" w:rsidR="00F6673D" w:rsidRDefault="00F6673D"/>
    <w:p w14:paraId="2557FA8F" w14:textId="7B9C6E57" w:rsidR="00C46552" w:rsidRDefault="00CD6617" w:rsidP="00F6673D">
      <w:pPr>
        <w:ind w:firstLine="720"/>
      </w:pPr>
      <w:r>
        <w:rPr>
          <w:color w:val="000000"/>
        </w:rPr>
        <w:t xml:space="preserve">For </w:t>
      </w:r>
      <w:r>
        <w:t>SO</w:t>
      </w:r>
      <w:r>
        <w:rPr>
          <w:vertAlign w:val="subscript"/>
        </w:rPr>
        <w:t>2</w:t>
      </w:r>
      <w:r>
        <w:t xml:space="preserve">, emission factors are calculated from the average sulphur content, sulphur retention-in-ash and Net Calorific Value (NCV) of each type of fuel. For the </w:t>
      </w:r>
      <w:r w:rsidRPr="00AD3770">
        <w:rPr>
          <w:i/>
        </w:rPr>
        <w:t>Commercial</w:t>
      </w:r>
      <w:r w:rsidRPr="008E3726">
        <w:rPr>
          <w:i/>
        </w:rPr>
        <w:t>/institutional</w:t>
      </w:r>
      <w:r w:rsidRPr="00AD3770">
        <w:rPr>
          <w:i/>
        </w:rPr>
        <w:t xml:space="preserve"> </w:t>
      </w:r>
      <w:r>
        <w:t xml:space="preserve">and </w:t>
      </w:r>
      <w:r w:rsidRPr="00AD3770">
        <w:rPr>
          <w:i/>
        </w:rPr>
        <w:t>Agricultural or Forestry</w:t>
      </w:r>
      <w:r w:rsidRPr="00CD6617">
        <w:t xml:space="preserve"> </w:t>
      </w:r>
      <w:r>
        <w:t>sectors, t</w:t>
      </w:r>
      <w:r w:rsidR="00C46552">
        <w:t>he</w:t>
      </w:r>
      <w:r>
        <w:rPr>
          <w:color w:val="000000"/>
        </w:rPr>
        <w:t xml:space="preserve"> other</w:t>
      </w:r>
      <w:r w:rsidR="00C46552">
        <w:rPr>
          <w:color w:val="000000"/>
        </w:rPr>
        <w:t xml:space="preserve"> default emission factors given in the Workbook were </w:t>
      </w:r>
      <w:r w:rsidR="005740EE">
        <w:rPr>
          <w:color w:val="000000"/>
        </w:rPr>
        <w:t xml:space="preserve">mostly </w:t>
      </w:r>
      <w:r w:rsidR="00C46552">
        <w:rPr>
          <w:color w:val="000000"/>
        </w:rPr>
        <w:t>d</w:t>
      </w:r>
      <w:r w:rsidR="00C46552">
        <w:rPr>
          <w:snapToGrid w:val="0"/>
          <w:color w:val="000000"/>
        </w:rPr>
        <w:t>erived from</w:t>
      </w:r>
      <w:r>
        <w:rPr>
          <w:snapToGrid w:val="0"/>
          <w:color w:val="000000"/>
        </w:rPr>
        <w:t xml:space="preserve"> the</w:t>
      </w:r>
      <w:r w:rsidR="00C46552">
        <w:rPr>
          <w:snapToGrid w:val="0"/>
          <w:color w:val="000000"/>
        </w:rPr>
        <w:t xml:space="preserve"> </w:t>
      </w:r>
      <w:r w:rsidR="001738D4">
        <w:rPr>
          <w:i/>
          <w:color w:val="000000"/>
        </w:rPr>
        <w:t xml:space="preserve">IPCC </w:t>
      </w:r>
      <w:r w:rsidR="001738D4">
        <w:rPr>
          <w:i/>
          <w:color w:val="000000"/>
        </w:rPr>
        <w:lastRenderedPageBreak/>
        <w:t>Guidelines</w:t>
      </w:r>
      <w:r w:rsidR="001738D4">
        <w:rPr>
          <w:color w:val="000000"/>
        </w:rPr>
        <w:t xml:space="preserve"> for CO</w:t>
      </w:r>
      <w:r w:rsidRPr="00AD3770">
        <w:rPr>
          <w:color w:val="000000"/>
          <w:vertAlign w:val="subscript"/>
        </w:rPr>
        <w:t>2</w:t>
      </w:r>
      <w:r>
        <w:rPr>
          <w:color w:val="000000"/>
        </w:rPr>
        <w:t xml:space="preserve"> and CH</w:t>
      </w:r>
      <w:r w:rsidRPr="00AD3770">
        <w:rPr>
          <w:color w:val="000000"/>
          <w:vertAlign w:val="subscript"/>
        </w:rPr>
        <w:t>4</w:t>
      </w:r>
      <w:r>
        <w:rPr>
          <w:color w:val="000000"/>
        </w:rPr>
        <w:t>,</w:t>
      </w:r>
      <w:r w:rsidR="00C46552">
        <w:rPr>
          <w:vertAlign w:val="subscript"/>
        </w:rPr>
        <w:t xml:space="preserve"> </w:t>
      </w:r>
      <w:r w:rsidR="00C46552">
        <w:rPr>
          <w:color w:val="000000"/>
        </w:rPr>
        <w:t>Battye et al.</w:t>
      </w:r>
      <w:r w:rsidR="00C46552">
        <w:rPr>
          <w:rStyle w:val="FootnoteReference"/>
          <w:color w:val="000000"/>
        </w:rPr>
        <w:footnoteReference w:id="33"/>
      </w:r>
      <w:r w:rsidR="00C46552">
        <w:rPr>
          <w:color w:val="000000"/>
        </w:rPr>
        <w:t xml:space="preserve"> for NH</w:t>
      </w:r>
      <w:r w:rsidR="00C46552">
        <w:rPr>
          <w:color w:val="000000"/>
          <w:vertAlign w:val="subscript"/>
        </w:rPr>
        <w:t>3</w:t>
      </w:r>
      <w:r w:rsidR="00C46552">
        <w:rPr>
          <w:color w:val="000000"/>
        </w:rPr>
        <w:t xml:space="preserve"> </w:t>
      </w:r>
      <w:r>
        <w:rPr>
          <w:color w:val="000000"/>
        </w:rPr>
        <w:t>and from the</w:t>
      </w:r>
      <w:r w:rsidRPr="00CD6617">
        <w:t xml:space="preserve"> </w:t>
      </w:r>
      <w:r w:rsidRPr="00AD3770">
        <w:rPr>
          <w:i/>
          <w:color w:val="000000"/>
        </w:rPr>
        <w:t>EMEP/EEA Guidebook</w:t>
      </w:r>
      <w:r>
        <w:rPr>
          <w:color w:val="000000"/>
        </w:rPr>
        <w:t xml:space="preserve"> for other species.</w:t>
      </w:r>
      <w:r>
        <w:rPr>
          <w:i/>
          <w:color w:val="000000"/>
        </w:rPr>
        <w:t xml:space="preserve"> </w:t>
      </w:r>
      <w:r w:rsidR="00C46552">
        <w:t>The inclusion of factors for emission controls is unlikely to be applicable in this sector.</w:t>
      </w:r>
    </w:p>
    <w:p w14:paraId="3B341585" w14:textId="77777777" w:rsidR="00464E71" w:rsidRDefault="00464E71"/>
    <w:p w14:paraId="2FD7B0FD" w14:textId="076B15EE" w:rsidR="000079F3" w:rsidRDefault="00464E71">
      <w:pPr>
        <w:rPr>
          <w:color w:val="000000"/>
        </w:rPr>
      </w:pPr>
      <w:r>
        <w:tab/>
      </w:r>
      <w:r w:rsidR="005F240B">
        <w:t>Domestic sources such as cookstoves, although individually small, are numerous and have the potential to contribute significantly to air pollution, particularly in developing countries. Thus f</w:t>
      </w:r>
      <w:r w:rsidR="00CD6617">
        <w:t xml:space="preserve">or the </w:t>
      </w:r>
      <w:r w:rsidR="00CD6617" w:rsidRPr="00AD3770">
        <w:rPr>
          <w:i/>
        </w:rPr>
        <w:t>Residential</w:t>
      </w:r>
      <w:r w:rsidR="00CD6617">
        <w:t xml:space="preserve"> sector, </w:t>
      </w:r>
      <w:r w:rsidR="00417749">
        <w:t>where possible, default emission factors appropriate to non-OECD countries are offered in the Workbook (i.e. sourced from the literature rather than</w:t>
      </w:r>
      <w:r w:rsidR="005F240B">
        <w:t xml:space="preserve"> the</w:t>
      </w:r>
      <w:r w:rsidR="00417749">
        <w:t xml:space="preserve"> </w:t>
      </w:r>
      <w:r w:rsidR="00417749" w:rsidRPr="00AD3770">
        <w:rPr>
          <w:i/>
        </w:rPr>
        <w:t>EMEP/EEA Guidebook</w:t>
      </w:r>
      <w:r w:rsidR="00417749">
        <w:t xml:space="preserve"> or </w:t>
      </w:r>
      <w:r w:rsidR="00417749" w:rsidRPr="00AD3770">
        <w:rPr>
          <w:i/>
        </w:rPr>
        <w:t>IPCC Guidelines</w:t>
      </w:r>
      <w:r w:rsidR="00417749">
        <w:t xml:space="preserve">) as summarized in Table 3.4. </w:t>
      </w:r>
    </w:p>
    <w:p w14:paraId="00ADAEA9" w14:textId="77777777" w:rsidR="000079F3" w:rsidRDefault="000079F3" w:rsidP="008B4FC1">
      <w:pPr>
        <w:jc w:val="center"/>
        <w:rPr>
          <w:b/>
          <w:i/>
          <w:color w:val="000000"/>
        </w:rPr>
      </w:pPr>
    </w:p>
    <w:p w14:paraId="67AC7EA2" w14:textId="0445B0F2" w:rsidR="00417749" w:rsidRPr="00AD3770" w:rsidRDefault="008B4FC1" w:rsidP="00AD3770">
      <w:pPr>
        <w:jc w:val="center"/>
        <w:rPr>
          <w:b/>
          <w:i/>
          <w:color w:val="000000"/>
        </w:rPr>
      </w:pPr>
      <w:r w:rsidRPr="008B4FC1">
        <w:rPr>
          <w:b/>
          <w:i/>
          <w:color w:val="000000"/>
        </w:rPr>
        <w:t>Table 3.4</w:t>
      </w:r>
    </w:p>
    <w:p w14:paraId="5F830D0D" w14:textId="47E21163" w:rsidR="00417749" w:rsidRPr="00AD3770" w:rsidRDefault="00417749" w:rsidP="00AD3770">
      <w:pPr>
        <w:jc w:val="center"/>
        <w:rPr>
          <w:b/>
          <w:i/>
          <w:color w:val="000000"/>
        </w:rPr>
      </w:pPr>
      <w:r w:rsidRPr="00AD3770">
        <w:rPr>
          <w:b/>
          <w:i/>
          <w:color w:val="000000"/>
        </w:rPr>
        <w:t xml:space="preserve">Default emission factors offered in the </w:t>
      </w:r>
      <w:r w:rsidR="005F240B">
        <w:rPr>
          <w:b/>
          <w:i/>
          <w:color w:val="000000"/>
        </w:rPr>
        <w:t>Workbook</w:t>
      </w:r>
      <w:r w:rsidRPr="00AD3770">
        <w:rPr>
          <w:b/>
          <w:i/>
          <w:color w:val="000000"/>
        </w:rPr>
        <w:t xml:space="preserve"> for fuels commonly used in the residential sector.</w:t>
      </w:r>
    </w:p>
    <w:p w14:paraId="4198A3C2" w14:textId="77777777" w:rsidR="00417749" w:rsidRPr="00417749" w:rsidRDefault="00417749" w:rsidP="00417749">
      <w:pPr>
        <w:keepNext/>
        <w:keepLines/>
        <w:jc w:val="left"/>
        <w:rPr>
          <w:b/>
          <w:i/>
          <w:color w:val="000000"/>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333"/>
        <w:gridCol w:w="770"/>
        <w:gridCol w:w="771"/>
        <w:gridCol w:w="770"/>
        <w:gridCol w:w="771"/>
        <w:gridCol w:w="771"/>
        <w:gridCol w:w="770"/>
        <w:gridCol w:w="771"/>
        <w:gridCol w:w="770"/>
        <w:gridCol w:w="771"/>
        <w:gridCol w:w="771"/>
      </w:tblGrid>
      <w:tr w:rsidR="00417749" w:rsidRPr="00417749" w14:paraId="4D529921" w14:textId="77777777" w:rsidTr="00B35FE9">
        <w:trPr>
          <w:jc w:val="center"/>
        </w:trPr>
        <w:tc>
          <w:tcPr>
            <w:tcW w:w="1333" w:type="dxa"/>
            <w:tcBorders>
              <w:top w:val="single" w:sz="4" w:space="0" w:color="auto"/>
            </w:tcBorders>
          </w:tcPr>
          <w:p w14:paraId="17CF22DE" w14:textId="77777777" w:rsidR="00417749" w:rsidRPr="00417749" w:rsidRDefault="00417749" w:rsidP="00417749">
            <w:pPr>
              <w:spacing w:after="200" w:line="276" w:lineRule="auto"/>
              <w:jc w:val="left"/>
              <w:rPr>
                <w:color w:val="000000"/>
                <w:sz w:val="18"/>
                <w:szCs w:val="18"/>
              </w:rPr>
            </w:pPr>
          </w:p>
        </w:tc>
        <w:tc>
          <w:tcPr>
            <w:tcW w:w="7706" w:type="dxa"/>
            <w:gridSpan w:val="10"/>
            <w:tcBorders>
              <w:top w:val="single" w:sz="4" w:space="0" w:color="auto"/>
              <w:bottom w:val="single" w:sz="4" w:space="0" w:color="auto"/>
            </w:tcBorders>
            <w:vAlign w:val="center"/>
          </w:tcPr>
          <w:p w14:paraId="00796CE1"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Pollutant species</w:t>
            </w:r>
          </w:p>
        </w:tc>
      </w:tr>
      <w:tr w:rsidR="00417749" w:rsidRPr="00417749" w14:paraId="084FB1AA" w14:textId="77777777" w:rsidTr="00B35FE9">
        <w:trPr>
          <w:jc w:val="center"/>
        </w:trPr>
        <w:tc>
          <w:tcPr>
            <w:tcW w:w="1333" w:type="dxa"/>
            <w:tcBorders>
              <w:bottom w:val="single" w:sz="4" w:space="0" w:color="auto"/>
            </w:tcBorders>
          </w:tcPr>
          <w:p w14:paraId="74C952F7" w14:textId="77777777" w:rsidR="00417749" w:rsidRPr="00417749" w:rsidRDefault="00417749" w:rsidP="00417749">
            <w:pPr>
              <w:spacing w:after="200" w:line="276" w:lineRule="auto"/>
              <w:jc w:val="left"/>
              <w:rPr>
                <w:color w:val="000000"/>
                <w:sz w:val="18"/>
                <w:szCs w:val="18"/>
              </w:rPr>
            </w:pPr>
          </w:p>
          <w:p w14:paraId="6A80BA13" w14:textId="77777777" w:rsidR="00417749" w:rsidRPr="00417749" w:rsidRDefault="00417749" w:rsidP="00417749">
            <w:pPr>
              <w:spacing w:after="200" w:line="276" w:lineRule="auto"/>
              <w:jc w:val="left"/>
              <w:rPr>
                <w:color w:val="000000"/>
                <w:sz w:val="18"/>
                <w:szCs w:val="18"/>
              </w:rPr>
            </w:pPr>
          </w:p>
          <w:p w14:paraId="676F5DEA"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 xml:space="preserve">Fuel </w:t>
            </w:r>
          </w:p>
        </w:tc>
        <w:tc>
          <w:tcPr>
            <w:tcW w:w="770" w:type="dxa"/>
            <w:tcBorders>
              <w:top w:val="single" w:sz="4" w:space="0" w:color="auto"/>
              <w:bottom w:val="single" w:sz="4" w:space="0" w:color="auto"/>
            </w:tcBorders>
          </w:tcPr>
          <w:p w14:paraId="3672D33E"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CO</w:t>
            </w:r>
            <w:r w:rsidRPr="00417749">
              <w:rPr>
                <w:rFonts w:cs="Calibri"/>
                <w:color w:val="000000"/>
                <w:sz w:val="18"/>
                <w:szCs w:val="18"/>
                <w:vertAlign w:val="subscript"/>
              </w:rPr>
              <w:t>2</w:t>
            </w:r>
          </w:p>
          <w:p w14:paraId="6E1EC750"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t/TJ</w:t>
            </w:r>
          </w:p>
        </w:tc>
        <w:tc>
          <w:tcPr>
            <w:tcW w:w="771" w:type="dxa"/>
            <w:tcBorders>
              <w:top w:val="single" w:sz="4" w:space="0" w:color="auto"/>
              <w:bottom w:val="single" w:sz="4" w:space="0" w:color="auto"/>
            </w:tcBorders>
          </w:tcPr>
          <w:p w14:paraId="2DD14771"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CO</w:t>
            </w:r>
          </w:p>
          <w:p w14:paraId="50AE8BCC"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kg/TJ</w:t>
            </w:r>
          </w:p>
        </w:tc>
        <w:tc>
          <w:tcPr>
            <w:tcW w:w="770" w:type="dxa"/>
            <w:tcBorders>
              <w:top w:val="single" w:sz="4" w:space="0" w:color="auto"/>
              <w:bottom w:val="single" w:sz="4" w:space="0" w:color="auto"/>
            </w:tcBorders>
          </w:tcPr>
          <w:p w14:paraId="5335F177" w14:textId="77777777" w:rsidR="00417749" w:rsidRPr="00417749" w:rsidRDefault="00417749" w:rsidP="00417749">
            <w:pPr>
              <w:spacing w:after="200" w:line="276" w:lineRule="auto"/>
              <w:jc w:val="center"/>
              <w:rPr>
                <w:rFonts w:cs="Calibri"/>
                <w:color w:val="000000"/>
                <w:sz w:val="18"/>
                <w:szCs w:val="18"/>
                <w:vertAlign w:val="subscript"/>
              </w:rPr>
            </w:pPr>
            <w:r w:rsidRPr="00417749">
              <w:rPr>
                <w:rFonts w:cs="Calibri"/>
                <w:color w:val="000000"/>
                <w:sz w:val="18"/>
                <w:szCs w:val="18"/>
              </w:rPr>
              <w:t>CH</w:t>
            </w:r>
            <w:r w:rsidRPr="00417749">
              <w:rPr>
                <w:rFonts w:cs="Calibri"/>
                <w:color w:val="000000"/>
                <w:sz w:val="18"/>
                <w:szCs w:val="18"/>
                <w:vertAlign w:val="subscript"/>
              </w:rPr>
              <w:t>4</w:t>
            </w:r>
          </w:p>
          <w:p w14:paraId="577D52B2"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kg/TJ</w:t>
            </w:r>
          </w:p>
        </w:tc>
        <w:tc>
          <w:tcPr>
            <w:tcW w:w="771" w:type="dxa"/>
            <w:tcBorders>
              <w:top w:val="single" w:sz="4" w:space="0" w:color="auto"/>
              <w:bottom w:val="single" w:sz="4" w:space="0" w:color="auto"/>
            </w:tcBorders>
          </w:tcPr>
          <w:p w14:paraId="7DDA6927"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NMVOC</w:t>
            </w:r>
          </w:p>
          <w:p w14:paraId="3F00EBFD"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kg/TJ</w:t>
            </w:r>
          </w:p>
        </w:tc>
        <w:tc>
          <w:tcPr>
            <w:tcW w:w="771" w:type="dxa"/>
            <w:tcBorders>
              <w:top w:val="single" w:sz="4" w:space="0" w:color="auto"/>
              <w:bottom w:val="single" w:sz="4" w:space="0" w:color="auto"/>
            </w:tcBorders>
          </w:tcPr>
          <w:p w14:paraId="216A1544" w14:textId="77777777" w:rsidR="00417749" w:rsidRPr="00417749" w:rsidRDefault="00417749" w:rsidP="00417749">
            <w:pPr>
              <w:spacing w:after="200" w:line="276" w:lineRule="auto"/>
              <w:jc w:val="center"/>
              <w:rPr>
                <w:sz w:val="18"/>
                <w:szCs w:val="18"/>
              </w:rPr>
            </w:pPr>
            <w:r w:rsidRPr="00417749">
              <w:rPr>
                <w:rFonts w:cs="Calibri"/>
                <w:color w:val="000000"/>
                <w:sz w:val="18"/>
                <w:szCs w:val="18"/>
              </w:rPr>
              <w:t>NO</w:t>
            </w:r>
            <w:r w:rsidRPr="00417749">
              <w:rPr>
                <w:rFonts w:cs="Calibri"/>
                <w:color w:val="000000"/>
                <w:sz w:val="18"/>
                <w:szCs w:val="18"/>
                <w:vertAlign w:val="subscript"/>
              </w:rPr>
              <w:t>X</w:t>
            </w:r>
          </w:p>
          <w:p w14:paraId="7DBE88B2" w14:textId="77777777" w:rsidR="00417749" w:rsidRPr="00417749" w:rsidRDefault="00417749" w:rsidP="00417749">
            <w:pPr>
              <w:spacing w:after="200" w:line="276" w:lineRule="auto"/>
              <w:jc w:val="center"/>
              <w:rPr>
                <w:rFonts w:cs="Calibri"/>
                <w:color w:val="000000"/>
                <w:sz w:val="18"/>
                <w:szCs w:val="18"/>
              </w:rPr>
            </w:pPr>
            <w:r w:rsidRPr="00417749">
              <w:rPr>
                <w:sz w:val="18"/>
                <w:szCs w:val="18"/>
              </w:rPr>
              <w:t>(as NO</w:t>
            </w:r>
            <w:r w:rsidRPr="00417749">
              <w:rPr>
                <w:sz w:val="18"/>
                <w:szCs w:val="18"/>
                <w:vertAlign w:val="subscript"/>
              </w:rPr>
              <w:t>2</w:t>
            </w:r>
            <w:r w:rsidRPr="00417749">
              <w:rPr>
                <w:sz w:val="18"/>
                <w:szCs w:val="18"/>
              </w:rPr>
              <w:t>)</w:t>
            </w:r>
            <w:r w:rsidRPr="00417749">
              <w:rPr>
                <w:sz w:val="18"/>
                <w:szCs w:val="18"/>
                <w:vertAlign w:val="superscript"/>
              </w:rPr>
              <w:t xml:space="preserve"> </w:t>
            </w:r>
            <w:r w:rsidRPr="00417749">
              <w:rPr>
                <w:rFonts w:cs="Calibri"/>
                <w:color w:val="000000"/>
                <w:sz w:val="18"/>
                <w:szCs w:val="18"/>
              </w:rPr>
              <w:t>kg/TJ</w:t>
            </w:r>
          </w:p>
        </w:tc>
        <w:tc>
          <w:tcPr>
            <w:tcW w:w="770" w:type="dxa"/>
            <w:tcBorders>
              <w:top w:val="single" w:sz="4" w:space="0" w:color="auto"/>
              <w:bottom w:val="single" w:sz="4" w:space="0" w:color="auto"/>
            </w:tcBorders>
          </w:tcPr>
          <w:p w14:paraId="118F214F" w14:textId="77777777" w:rsidR="00417749" w:rsidRPr="00417749" w:rsidRDefault="00417749" w:rsidP="00417749">
            <w:pPr>
              <w:spacing w:after="200" w:line="276" w:lineRule="auto"/>
              <w:jc w:val="center"/>
              <w:rPr>
                <w:rFonts w:cs="Calibri"/>
                <w:color w:val="000000"/>
                <w:sz w:val="18"/>
                <w:szCs w:val="18"/>
                <w:vertAlign w:val="subscript"/>
              </w:rPr>
            </w:pPr>
            <w:r w:rsidRPr="00417749">
              <w:rPr>
                <w:rFonts w:cs="Calibri"/>
                <w:color w:val="000000"/>
                <w:sz w:val="18"/>
                <w:szCs w:val="18"/>
              </w:rPr>
              <w:t>NH</w:t>
            </w:r>
            <w:r w:rsidRPr="00417749">
              <w:rPr>
                <w:rFonts w:cs="Calibri"/>
                <w:color w:val="000000"/>
                <w:sz w:val="18"/>
                <w:szCs w:val="18"/>
                <w:vertAlign w:val="subscript"/>
              </w:rPr>
              <w:t>3</w:t>
            </w:r>
          </w:p>
          <w:p w14:paraId="3AFD84EE"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kg/t</w:t>
            </w:r>
          </w:p>
        </w:tc>
        <w:tc>
          <w:tcPr>
            <w:tcW w:w="771" w:type="dxa"/>
            <w:tcBorders>
              <w:top w:val="single" w:sz="4" w:space="0" w:color="auto"/>
              <w:bottom w:val="single" w:sz="4" w:space="0" w:color="auto"/>
            </w:tcBorders>
          </w:tcPr>
          <w:p w14:paraId="2AE15EE7" w14:textId="77777777" w:rsidR="00417749" w:rsidRPr="00417749" w:rsidRDefault="00417749" w:rsidP="00417749">
            <w:pPr>
              <w:spacing w:after="200" w:line="276" w:lineRule="auto"/>
              <w:jc w:val="center"/>
              <w:rPr>
                <w:rFonts w:cs="Calibri"/>
                <w:color w:val="000000"/>
                <w:sz w:val="18"/>
                <w:szCs w:val="18"/>
                <w:vertAlign w:val="subscript"/>
              </w:rPr>
            </w:pPr>
            <w:r w:rsidRPr="00417749">
              <w:rPr>
                <w:rFonts w:cs="Calibri"/>
                <w:color w:val="000000"/>
                <w:sz w:val="18"/>
                <w:szCs w:val="18"/>
              </w:rPr>
              <w:t>PM</w:t>
            </w:r>
            <w:r w:rsidRPr="00417749">
              <w:rPr>
                <w:rFonts w:cs="Calibri"/>
                <w:color w:val="000000"/>
                <w:sz w:val="18"/>
                <w:szCs w:val="18"/>
                <w:vertAlign w:val="subscript"/>
              </w:rPr>
              <w:t>10</w:t>
            </w:r>
          </w:p>
          <w:p w14:paraId="23027F7D"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kg/t</w:t>
            </w:r>
          </w:p>
        </w:tc>
        <w:tc>
          <w:tcPr>
            <w:tcW w:w="770" w:type="dxa"/>
            <w:tcBorders>
              <w:top w:val="single" w:sz="4" w:space="0" w:color="auto"/>
              <w:bottom w:val="single" w:sz="4" w:space="0" w:color="auto"/>
            </w:tcBorders>
          </w:tcPr>
          <w:p w14:paraId="31E1A166"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PM</w:t>
            </w:r>
            <w:r w:rsidRPr="00417749">
              <w:rPr>
                <w:rFonts w:cs="Calibri"/>
                <w:color w:val="000000"/>
                <w:sz w:val="18"/>
                <w:szCs w:val="18"/>
                <w:vertAlign w:val="subscript"/>
              </w:rPr>
              <w:t xml:space="preserve">2.5 </w:t>
            </w:r>
            <w:r w:rsidRPr="00417749">
              <w:rPr>
                <w:rFonts w:cs="Calibri"/>
                <w:color w:val="000000"/>
                <w:sz w:val="18"/>
                <w:szCs w:val="18"/>
              </w:rPr>
              <w:t>kg/t</w:t>
            </w:r>
          </w:p>
        </w:tc>
        <w:tc>
          <w:tcPr>
            <w:tcW w:w="771" w:type="dxa"/>
            <w:tcBorders>
              <w:top w:val="single" w:sz="4" w:space="0" w:color="auto"/>
              <w:bottom w:val="single" w:sz="4" w:space="0" w:color="auto"/>
            </w:tcBorders>
          </w:tcPr>
          <w:p w14:paraId="37F9885E" w14:textId="77777777" w:rsidR="00417749" w:rsidRPr="00417749" w:rsidRDefault="00417749" w:rsidP="00417749">
            <w:pPr>
              <w:spacing w:after="200" w:line="276" w:lineRule="auto"/>
              <w:jc w:val="center"/>
              <w:rPr>
                <w:sz w:val="18"/>
                <w:szCs w:val="18"/>
              </w:rPr>
            </w:pPr>
            <w:r w:rsidRPr="00417749">
              <w:rPr>
                <w:rFonts w:cs="Calibri"/>
                <w:color w:val="000000"/>
                <w:sz w:val="18"/>
                <w:szCs w:val="18"/>
              </w:rPr>
              <w:t>BC</w:t>
            </w:r>
          </w:p>
          <w:p w14:paraId="7AF14E78"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kg/t</w:t>
            </w:r>
          </w:p>
        </w:tc>
        <w:tc>
          <w:tcPr>
            <w:tcW w:w="771" w:type="dxa"/>
            <w:tcBorders>
              <w:top w:val="single" w:sz="4" w:space="0" w:color="auto"/>
              <w:bottom w:val="single" w:sz="4" w:space="0" w:color="auto"/>
            </w:tcBorders>
          </w:tcPr>
          <w:p w14:paraId="165C4702"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OC</w:t>
            </w:r>
          </w:p>
          <w:p w14:paraId="6D1CE37A" w14:textId="77777777" w:rsidR="00417749" w:rsidRPr="00417749" w:rsidRDefault="00417749" w:rsidP="00417749">
            <w:pPr>
              <w:spacing w:after="200" w:line="276" w:lineRule="auto"/>
              <w:jc w:val="center"/>
              <w:rPr>
                <w:rFonts w:cs="Calibri"/>
                <w:color w:val="000000"/>
                <w:sz w:val="18"/>
                <w:szCs w:val="18"/>
              </w:rPr>
            </w:pPr>
            <w:r w:rsidRPr="00417749">
              <w:rPr>
                <w:rFonts w:cs="Calibri"/>
                <w:color w:val="000000"/>
                <w:sz w:val="18"/>
                <w:szCs w:val="18"/>
              </w:rPr>
              <w:t>kg/t</w:t>
            </w:r>
          </w:p>
        </w:tc>
      </w:tr>
      <w:tr w:rsidR="00417749" w:rsidRPr="00417749" w14:paraId="506F46BE" w14:textId="77777777" w:rsidTr="00B35FE9">
        <w:trPr>
          <w:trHeight w:val="167"/>
          <w:jc w:val="center"/>
        </w:trPr>
        <w:tc>
          <w:tcPr>
            <w:tcW w:w="1333" w:type="dxa"/>
            <w:tcBorders>
              <w:top w:val="single" w:sz="4" w:space="0" w:color="auto"/>
            </w:tcBorders>
          </w:tcPr>
          <w:p w14:paraId="745F816C" w14:textId="77777777" w:rsidR="00417749" w:rsidRPr="00417749" w:rsidRDefault="00417749" w:rsidP="00417749">
            <w:pPr>
              <w:spacing w:after="200" w:line="276" w:lineRule="auto"/>
              <w:jc w:val="left"/>
              <w:rPr>
                <w:color w:val="000000"/>
                <w:sz w:val="18"/>
                <w:szCs w:val="18"/>
              </w:rPr>
            </w:pPr>
            <w:r w:rsidRPr="00417749">
              <w:rPr>
                <w:color w:val="000000"/>
                <w:sz w:val="18"/>
                <w:szCs w:val="18"/>
              </w:rPr>
              <w:t xml:space="preserve">Charcoal </w:t>
            </w:r>
          </w:p>
        </w:tc>
        <w:tc>
          <w:tcPr>
            <w:tcW w:w="770" w:type="dxa"/>
            <w:tcBorders>
              <w:top w:val="single" w:sz="4" w:space="0" w:color="auto"/>
            </w:tcBorders>
          </w:tcPr>
          <w:p w14:paraId="0EF5150F"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92.8</w:t>
            </w:r>
            <w:r w:rsidRPr="00417749">
              <w:rPr>
                <w:rFonts w:cs="Calibri"/>
                <w:color w:val="000000"/>
                <w:sz w:val="18"/>
                <w:szCs w:val="18"/>
                <w:vertAlign w:val="superscript"/>
              </w:rPr>
              <w:t>a</w:t>
            </w:r>
          </w:p>
        </w:tc>
        <w:tc>
          <w:tcPr>
            <w:tcW w:w="771" w:type="dxa"/>
            <w:tcBorders>
              <w:top w:val="single" w:sz="4" w:space="0" w:color="auto"/>
            </w:tcBorders>
          </w:tcPr>
          <w:p w14:paraId="6B3587A2"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4328</w:t>
            </w:r>
            <w:r w:rsidRPr="00417749">
              <w:rPr>
                <w:rFonts w:cs="Calibri"/>
                <w:color w:val="000000"/>
                <w:sz w:val="18"/>
                <w:szCs w:val="18"/>
                <w:vertAlign w:val="superscript"/>
              </w:rPr>
              <w:t>b</w:t>
            </w:r>
          </w:p>
        </w:tc>
        <w:tc>
          <w:tcPr>
            <w:tcW w:w="770" w:type="dxa"/>
            <w:tcBorders>
              <w:top w:val="single" w:sz="4" w:space="0" w:color="auto"/>
            </w:tcBorders>
          </w:tcPr>
          <w:p w14:paraId="7FA151FA"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222</w:t>
            </w:r>
            <w:r w:rsidRPr="00417749">
              <w:rPr>
                <w:rFonts w:cs="Calibri"/>
                <w:color w:val="000000"/>
                <w:sz w:val="18"/>
                <w:szCs w:val="18"/>
                <w:vertAlign w:val="superscript"/>
              </w:rPr>
              <w:t>d</w:t>
            </w:r>
          </w:p>
        </w:tc>
        <w:tc>
          <w:tcPr>
            <w:tcW w:w="771" w:type="dxa"/>
            <w:tcBorders>
              <w:top w:val="single" w:sz="4" w:space="0" w:color="auto"/>
            </w:tcBorders>
          </w:tcPr>
          <w:p w14:paraId="6AD2D509"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236</w:t>
            </w:r>
            <w:r w:rsidRPr="00417749">
              <w:rPr>
                <w:rFonts w:cs="Calibri"/>
                <w:color w:val="000000"/>
                <w:sz w:val="18"/>
                <w:szCs w:val="18"/>
                <w:vertAlign w:val="superscript"/>
              </w:rPr>
              <w:t>b</w:t>
            </w:r>
          </w:p>
        </w:tc>
        <w:tc>
          <w:tcPr>
            <w:tcW w:w="771" w:type="dxa"/>
            <w:tcBorders>
              <w:top w:val="single" w:sz="4" w:space="0" w:color="auto"/>
            </w:tcBorders>
          </w:tcPr>
          <w:p w14:paraId="3543A5CB"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70</w:t>
            </w:r>
            <w:r w:rsidRPr="00417749">
              <w:rPr>
                <w:rFonts w:cs="Calibri"/>
                <w:color w:val="000000"/>
                <w:sz w:val="18"/>
                <w:szCs w:val="18"/>
                <w:vertAlign w:val="superscript"/>
              </w:rPr>
              <w:t>b</w:t>
            </w:r>
          </w:p>
        </w:tc>
        <w:tc>
          <w:tcPr>
            <w:tcW w:w="770" w:type="dxa"/>
            <w:tcBorders>
              <w:top w:val="single" w:sz="4" w:space="0" w:color="auto"/>
            </w:tcBorders>
          </w:tcPr>
          <w:p w14:paraId="7F3C2965"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0.97</w:t>
            </w:r>
            <w:r w:rsidRPr="00417749">
              <w:rPr>
                <w:rFonts w:cs="Calibri"/>
                <w:color w:val="000000"/>
                <w:sz w:val="18"/>
                <w:szCs w:val="18"/>
                <w:vertAlign w:val="superscript"/>
              </w:rPr>
              <w:t>b</w:t>
            </w:r>
          </w:p>
        </w:tc>
        <w:tc>
          <w:tcPr>
            <w:tcW w:w="771" w:type="dxa"/>
            <w:tcBorders>
              <w:top w:val="single" w:sz="4" w:space="0" w:color="auto"/>
            </w:tcBorders>
          </w:tcPr>
          <w:p w14:paraId="420D00ED"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2.38</w:t>
            </w:r>
            <w:r w:rsidRPr="00417749">
              <w:rPr>
                <w:rFonts w:cs="Calibri"/>
                <w:color w:val="000000"/>
                <w:sz w:val="18"/>
                <w:szCs w:val="18"/>
                <w:vertAlign w:val="superscript"/>
              </w:rPr>
              <w:t>c</w:t>
            </w:r>
          </w:p>
        </w:tc>
        <w:tc>
          <w:tcPr>
            <w:tcW w:w="770" w:type="dxa"/>
            <w:tcBorders>
              <w:top w:val="single" w:sz="4" w:space="0" w:color="auto"/>
            </w:tcBorders>
          </w:tcPr>
          <w:p w14:paraId="07E95A0B"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2.38</w:t>
            </w:r>
            <w:r w:rsidRPr="00417749">
              <w:rPr>
                <w:rFonts w:cs="Calibri"/>
                <w:color w:val="000000"/>
                <w:sz w:val="18"/>
                <w:szCs w:val="18"/>
                <w:vertAlign w:val="superscript"/>
              </w:rPr>
              <w:t>c</w:t>
            </w:r>
          </w:p>
        </w:tc>
        <w:tc>
          <w:tcPr>
            <w:tcW w:w="771" w:type="dxa"/>
            <w:tcBorders>
              <w:top w:val="single" w:sz="4" w:space="0" w:color="auto"/>
            </w:tcBorders>
          </w:tcPr>
          <w:p w14:paraId="1E301896"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1.19</w:t>
            </w:r>
            <w:r w:rsidRPr="00417749">
              <w:rPr>
                <w:rFonts w:cs="Calibri"/>
                <w:color w:val="000000"/>
                <w:sz w:val="18"/>
                <w:szCs w:val="18"/>
                <w:vertAlign w:val="superscript"/>
              </w:rPr>
              <w:t>d</w:t>
            </w:r>
          </w:p>
        </w:tc>
        <w:tc>
          <w:tcPr>
            <w:tcW w:w="771" w:type="dxa"/>
            <w:tcBorders>
              <w:top w:val="single" w:sz="4" w:space="0" w:color="auto"/>
            </w:tcBorders>
          </w:tcPr>
          <w:p w14:paraId="362BFBFF"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0.85</w:t>
            </w:r>
            <w:r w:rsidRPr="00417749">
              <w:rPr>
                <w:rFonts w:cs="Calibri"/>
                <w:color w:val="000000"/>
                <w:sz w:val="18"/>
                <w:szCs w:val="18"/>
                <w:vertAlign w:val="superscript"/>
              </w:rPr>
              <w:t>d</w:t>
            </w:r>
          </w:p>
        </w:tc>
      </w:tr>
      <w:tr w:rsidR="00417749" w:rsidRPr="00417749" w14:paraId="2DCCC62D" w14:textId="77777777" w:rsidTr="00B35FE9">
        <w:trPr>
          <w:jc w:val="center"/>
        </w:trPr>
        <w:tc>
          <w:tcPr>
            <w:tcW w:w="1333" w:type="dxa"/>
          </w:tcPr>
          <w:p w14:paraId="57F9D072" w14:textId="77777777" w:rsidR="00417749" w:rsidRPr="00417749" w:rsidRDefault="00417749" w:rsidP="00417749">
            <w:pPr>
              <w:spacing w:after="200" w:line="276" w:lineRule="auto"/>
              <w:jc w:val="left"/>
              <w:rPr>
                <w:color w:val="000000"/>
                <w:sz w:val="18"/>
                <w:szCs w:val="18"/>
              </w:rPr>
            </w:pPr>
            <w:r w:rsidRPr="00417749">
              <w:rPr>
                <w:color w:val="000000"/>
                <w:sz w:val="18"/>
                <w:szCs w:val="18"/>
              </w:rPr>
              <w:t xml:space="preserve">Wood </w:t>
            </w:r>
          </w:p>
        </w:tc>
        <w:tc>
          <w:tcPr>
            <w:tcW w:w="770" w:type="dxa"/>
          </w:tcPr>
          <w:p w14:paraId="25BE950F"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101.7</w:t>
            </w:r>
            <w:r w:rsidRPr="00417749">
              <w:rPr>
                <w:rFonts w:cs="Calibri"/>
                <w:color w:val="000000"/>
                <w:sz w:val="18"/>
                <w:szCs w:val="18"/>
                <w:vertAlign w:val="superscript"/>
              </w:rPr>
              <w:t>a</w:t>
            </w:r>
          </w:p>
        </w:tc>
        <w:tc>
          <w:tcPr>
            <w:tcW w:w="771" w:type="dxa"/>
          </w:tcPr>
          <w:p w14:paraId="1B692CA7"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4260</w:t>
            </w:r>
            <w:r w:rsidRPr="00417749">
              <w:rPr>
                <w:rFonts w:cs="Calibri"/>
                <w:color w:val="000000"/>
                <w:sz w:val="18"/>
                <w:szCs w:val="18"/>
                <w:vertAlign w:val="superscript"/>
              </w:rPr>
              <w:t>e</w:t>
            </w:r>
          </w:p>
        </w:tc>
        <w:tc>
          <w:tcPr>
            <w:tcW w:w="770" w:type="dxa"/>
          </w:tcPr>
          <w:p w14:paraId="2CE2D218"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663</w:t>
            </w:r>
            <w:r w:rsidRPr="00417749">
              <w:rPr>
                <w:rFonts w:cs="Calibri"/>
                <w:color w:val="000000"/>
                <w:sz w:val="18"/>
                <w:szCs w:val="18"/>
                <w:vertAlign w:val="superscript"/>
              </w:rPr>
              <w:t>d</w:t>
            </w:r>
            <w:r w:rsidRPr="00417749">
              <w:rPr>
                <w:sz w:val="18"/>
                <w:szCs w:val="18"/>
              </w:rPr>
              <w:t xml:space="preserve"> </w:t>
            </w:r>
          </w:p>
        </w:tc>
        <w:tc>
          <w:tcPr>
            <w:tcW w:w="771" w:type="dxa"/>
          </w:tcPr>
          <w:p w14:paraId="14A2AAE1"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1763</w:t>
            </w:r>
            <w:r w:rsidRPr="00417749">
              <w:rPr>
                <w:rFonts w:cs="Calibri"/>
                <w:color w:val="000000"/>
                <w:sz w:val="18"/>
                <w:szCs w:val="18"/>
                <w:vertAlign w:val="superscript"/>
              </w:rPr>
              <w:t>b</w:t>
            </w:r>
          </w:p>
        </w:tc>
        <w:tc>
          <w:tcPr>
            <w:tcW w:w="771" w:type="dxa"/>
          </w:tcPr>
          <w:p w14:paraId="3F822A24"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73</w:t>
            </w:r>
            <w:r w:rsidRPr="00417749">
              <w:rPr>
                <w:rFonts w:cs="Calibri"/>
                <w:color w:val="000000"/>
                <w:sz w:val="18"/>
                <w:szCs w:val="18"/>
                <w:vertAlign w:val="superscript"/>
              </w:rPr>
              <w:t>e</w:t>
            </w:r>
          </w:p>
        </w:tc>
        <w:tc>
          <w:tcPr>
            <w:tcW w:w="770" w:type="dxa"/>
          </w:tcPr>
          <w:p w14:paraId="7F978DF3"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0.87</w:t>
            </w:r>
            <w:r w:rsidRPr="00417749">
              <w:rPr>
                <w:rFonts w:cs="Calibri"/>
                <w:color w:val="000000"/>
                <w:sz w:val="18"/>
                <w:szCs w:val="18"/>
                <w:vertAlign w:val="superscript"/>
              </w:rPr>
              <w:t>a</w:t>
            </w:r>
          </w:p>
        </w:tc>
        <w:tc>
          <w:tcPr>
            <w:tcW w:w="771" w:type="dxa"/>
          </w:tcPr>
          <w:p w14:paraId="742DB28A"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8.3</w:t>
            </w:r>
            <w:r w:rsidRPr="00417749">
              <w:rPr>
                <w:rFonts w:cs="Calibri"/>
                <w:color w:val="000000"/>
                <w:sz w:val="18"/>
                <w:szCs w:val="18"/>
                <w:vertAlign w:val="superscript"/>
              </w:rPr>
              <w:t>e</w:t>
            </w:r>
          </w:p>
        </w:tc>
        <w:tc>
          <w:tcPr>
            <w:tcW w:w="770" w:type="dxa"/>
          </w:tcPr>
          <w:p w14:paraId="18273D5D"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6.64</w:t>
            </w:r>
            <w:r w:rsidRPr="00417749">
              <w:rPr>
                <w:rFonts w:cs="Calibri"/>
                <w:color w:val="000000"/>
                <w:sz w:val="18"/>
                <w:szCs w:val="18"/>
                <w:vertAlign w:val="superscript"/>
              </w:rPr>
              <w:t>a</w:t>
            </w:r>
          </w:p>
        </w:tc>
        <w:tc>
          <w:tcPr>
            <w:tcW w:w="771" w:type="dxa"/>
          </w:tcPr>
          <w:p w14:paraId="3469DB8C"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0.83</w:t>
            </w:r>
            <w:r w:rsidRPr="00417749">
              <w:rPr>
                <w:rFonts w:cs="Calibri"/>
                <w:color w:val="000000"/>
                <w:sz w:val="18"/>
                <w:szCs w:val="18"/>
                <w:vertAlign w:val="superscript"/>
              </w:rPr>
              <w:t>a</w:t>
            </w:r>
          </w:p>
        </w:tc>
        <w:tc>
          <w:tcPr>
            <w:tcW w:w="771" w:type="dxa"/>
          </w:tcPr>
          <w:p w14:paraId="5C185DA1"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2.89</w:t>
            </w:r>
            <w:r w:rsidRPr="00417749">
              <w:rPr>
                <w:rFonts w:cs="Calibri"/>
                <w:color w:val="000000"/>
                <w:sz w:val="18"/>
                <w:szCs w:val="18"/>
                <w:vertAlign w:val="superscript"/>
              </w:rPr>
              <w:t>a</w:t>
            </w:r>
          </w:p>
        </w:tc>
      </w:tr>
      <w:tr w:rsidR="00417749" w:rsidRPr="00417749" w14:paraId="48F0C9C0" w14:textId="77777777" w:rsidTr="00B35FE9">
        <w:trPr>
          <w:jc w:val="center"/>
        </w:trPr>
        <w:tc>
          <w:tcPr>
            <w:tcW w:w="1333" w:type="dxa"/>
          </w:tcPr>
          <w:p w14:paraId="23DB7A46" w14:textId="77777777" w:rsidR="00417749" w:rsidRPr="00417749" w:rsidRDefault="00417749" w:rsidP="00417749">
            <w:pPr>
              <w:spacing w:after="200" w:line="276" w:lineRule="auto"/>
              <w:jc w:val="left"/>
              <w:rPr>
                <w:color w:val="000000"/>
                <w:sz w:val="18"/>
                <w:szCs w:val="18"/>
              </w:rPr>
            </w:pPr>
            <w:r w:rsidRPr="00417749">
              <w:rPr>
                <w:color w:val="000000"/>
                <w:sz w:val="18"/>
                <w:szCs w:val="18"/>
              </w:rPr>
              <w:t xml:space="preserve">Vegetal wastes </w:t>
            </w:r>
          </w:p>
        </w:tc>
        <w:tc>
          <w:tcPr>
            <w:tcW w:w="770" w:type="dxa"/>
          </w:tcPr>
          <w:p w14:paraId="35EEA5AC"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 xml:space="preserve">100.0 </w:t>
            </w:r>
            <w:r w:rsidRPr="00417749">
              <w:rPr>
                <w:rFonts w:cs="Calibri"/>
                <w:color w:val="000000"/>
                <w:sz w:val="18"/>
                <w:szCs w:val="18"/>
                <w:vertAlign w:val="superscript"/>
              </w:rPr>
              <w:t>f</w:t>
            </w:r>
          </w:p>
        </w:tc>
        <w:tc>
          <w:tcPr>
            <w:tcW w:w="771" w:type="dxa"/>
          </w:tcPr>
          <w:p w14:paraId="1F5693F3"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5730</w:t>
            </w:r>
            <w:r w:rsidRPr="00417749">
              <w:rPr>
                <w:rFonts w:cs="Calibri"/>
                <w:color w:val="000000"/>
                <w:sz w:val="18"/>
                <w:szCs w:val="18"/>
                <w:vertAlign w:val="superscript"/>
              </w:rPr>
              <w:t>e</w:t>
            </w:r>
          </w:p>
        </w:tc>
        <w:tc>
          <w:tcPr>
            <w:tcW w:w="770" w:type="dxa"/>
          </w:tcPr>
          <w:p w14:paraId="57768A4C"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300</w:t>
            </w:r>
            <w:r w:rsidRPr="00417749">
              <w:rPr>
                <w:rFonts w:cs="Calibri"/>
                <w:color w:val="000000"/>
                <w:sz w:val="18"/>
                <w:szCs w:val="18"/>
                <w:vertAlign w:val="superscript"/>
              </w:rPr>
              <w:t>f</w:t>
            </w:r>
          </w:p>
        </w:tc>
        <w:tc>
          <w:tcPr>
            <w:tcW w:w="771" w:type="dxa"/>
          </w:tcPr>
          <w:p w14:paraId="79A46836"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600</w:t>
            </w:r>
            <w:r w:rsidRPr="00417749">
              <w:rPr>
                <w:rFonts w:cs="Calibri"/>
                <w:color w:val="000000"/>
                <w:sz w:val="18"/>
                <w:szCs w:val="18"/>
                <w:vertAlign w:val="superscript"/>
              </w:rPr>
              <w:t>g</w:t>
            </w:r>
          </w:p>
        </w:tc>
        <w:tc>
          <w:tcPr>
            <w:tcW w:w="771" w:type="dxa"/>
          </w:tcPr>
          <w:p w14:paraId="333EE152"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47</w:t>
            </w:r>
            <w:r w:rsidRPr="00417749">
              <w:rPr>
                <w:rFonts w:cs="Calibri"/>
                <w:color w:val="000000"/>
                <w:sz w:val="18"/>
                <w:szCs w:val="18"/>
                <w:vertAlign w:val="superscript"/>
              </w:rPr>
              <w:t>e</w:t>
            </w:r>
          </w:p>
        </w:tc>
        <w:tc>
          <w:tcPr>
            <w:tcW w:w="770" w:type="dxa"/>
          </w:tcPr>
          <w:p w14:paraId="0E56CA74"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1.29</w:t>
            </w:r>
            <w:r w:rsidRPr="00417749">
              <w:rPr>
                <w:rFonts w:cs="Calibri"/>
                <w:color w:val="000000"/>
                <w:sz w:val="18"/>
                <w:szCs w:val="18"/>
                <w:vertAlign w:val="superscript"/>
              </w:rPr>
              <w:t>b</w:t>
            </w:r>
          </w:p>
        </w:tc>
        <w:tc>
          <w:tcPr>
            <w:tcW w:w="771" w:type="dxa"/>
          </w:tcPr>
          <w:p w14:paraId="32A17871"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8.05</w:t>
            </w:r>
            <w:r w:rsidRPr="00417749">
              <w:rPr>
                <w:rFonts w:cs="Calibri"/>
                <w:color w:val="000000"/>
                <w:sz w:val="18"/>
                <w:szCs w:val="18"/>
                <w:vertAlign w:val="superscript"/>
              </w:rPr>
              <w:t>e</w:t>
            </w:r>
          </w:p>
        </w:tc>
        <w:tc>
          <w:tcPr>
            <w:tcW w:w="770" w:type="dxa"/>
          </w:tcPr>
          <w:p w14:paraId="779658A5"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6.44</w:t>
            </w:r>
            <w:r w:rsidRPr="00417749">
              <w:rPr>
                <w:rFonts w:cs="Calibri"/>
                <w:color w:val="000000"/>
                <w:sz w:val="18"/>
                <w:szCs w:val="18"/>
                <w:vertAlign w:val="superscript"/>
              </w:rPr>
              <w:t>h</w:t>
            </w:r>
          </w:p>
        </w:tc>
        <w:tc>
          <w:tcPr>
            <w:tcW w:w="771" w:type="dxa"/>
          </w:tcPr>
          <w:p w14:paraId="5DD3AAB9"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1.0</w:t>
            </w:r>
            <w:r w:rsidRPr="00417749">
              <w:rPr>
                <w:rFonts w:cs="Calibri"/>
                <w:color w:val="000000"/>
                <w:sz w:val="18"/>
                <w:szCs w:val="18"/>
                <w:vertAlign w:val="superscript"/>
              </w:rPr>
              <w:t>i</w:t>
            </w:r>
          </w:p>
        </w:tc>
        <w:tc>
          <w:tcPr>
            <w:tcW w:w="771" w:type="dxa"/>
          </w:tcPr>
          <w:p w14:paraId="1C4973EB"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3.3</w:t>
            </w:r>
            <w:r w:rsidRPr="00417749">
              <w:rPr>
                <w:rFonts w:cs="Calibri"/>
                <w:color w:val="000000"/>
                <w:sz w:val="18"/>
                <w:szCs w:val="18"/>
                <w:vertAlign w:val="superscript"/>
              </w:rPr>
              <w:t>i</w:t>
            </w:r>
          </w:p>
        </w:tc>
      </w:tr>
      <w:tr w:rsidR="00417749" w:rsidRPr="00417749" w14:paraId="3E660C64" w14:textId="77777777" w:rsidTr="00B35FE9">
        <w:trPr>
          <w:jc w:val="center"/>
        </w:trPr>
        <w:tc>
          <w:tcPr>
            <w:tcW w:w="1333" w:type="dxa"/>
          </w:tcPr>
          <w:p w14:paraId="58789A3F" w14:textId="77777777" w:rsidR="00417749" w:rsidRPr="00417749" w:rsidRDefault="00417749" w:rsidP="00417749">
            <w:pPr>
              <w:spacing w:after="200" w:line="276" w:lineRule="auto"/>
              <w:jc w:val="left"/>
              <w:rPr>
                <w:color w:val="000000"/>
                <w:sz w:val="18"/>
                <w:szCs w:val="18"/>
              </w:rPr>
            </w:pPr>
            <w:r w:rsidRPr="00417749">
              <w:rPr>
                <w:color w:val="000000"/>
                <w:sz w:val="18"/>
                <w:szCs w:val="18"/>
              </w:rPr>
              <w:t xml:space="preserve">Animal wastes </w:t>
            </w:r>
          </w:p>
        </w:tc>
        <w:tc>
          <w:tcPr>
            <w:tcW w:w="770" w:type="dxa"/>
          </w:tcPr>
          <w:p w14:paraId="25C25860"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88.9</w:t>
            </w:r>
            <w:r w:rsidRPr="00417749">
              <w:rPr>
                <w:rFonts w:cs="Calibri"/>
                <w:color w:val="000000"/>
                <w:sz w:val="18"/>
                <w:szCs w:val="18"/>
                <w:vertAlign w:val="superscript"/>
              </w:rPr>
              <w:t xml:space="preserve"> j</w:t>
            </w:r>
          </w:p>
        </w:tc>
        <w:tc>
          <w:tcPr>
            <w:tcW w:w="771" w:type="dxa"/>
          </w:tcPr>
          <w:p w14:paraId="2BC52D86"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 xml:space="preserve">3392 </w:t>
            </w:r>
            <w:r w:rsidRPr="00417749">
              <w:rPr>
                <w:rFonts w:cs="Calibri"/>
                <w:color w:val="000000"/>
                <w:sz w:val="18"/>
                <w:szCs w:val="18"/>
                <w:vertAlign w:val="superscript"/>
              </w:rPr>
              <w:t>j</w:t>
            </w:r>
          </w:p>
        </w:tc>
        <w:tc>
          <w:tcPr>
            <w:tcW w:w="770" w:type="dxa"/>
          </w:tcPr>
          <w:p w14:paraId="46702E91"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383</w:t>
            </w:r>
            <w:r w:rsidRPr="00417749">
              <w:rPr>
                <w:rFonts w:cs="Calibri"/>
                <w:color w:val="000000"/>
                <w:sz w:val="18"/>
                <w:szCs w:val="18"/>
                <w:vertAlign w:val="superscript"/>
              </w:rPr>
              <w:t xml:space="preserve"> j</w:t>
            </w:r>
          </w:p>
        </w:tc>
        <w:tc>
          <w:tcPr>
            <w:tcW w:w="771" w:type="dxa"/>
          </w:tcPr>
          <w:p w14:paraId="58B7560D"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 xml:space="preserve">2057 </w:t>
            </w:r>
            <w:r w:rsidRPr="00417749">
              <w:rPr>
                <w:rFonts w:cs="Calibri"/>
                <w:color w:val="000000"/>
                <w:sz w:val="18"/>
                <w:szCs w:val="18"/>
                <w:vertAlign w:val="superscript"/>
              </w:rPr>
              <w:t>j</w:t>
            </w:r>
          </w:p>
        </w:tc>
        <w:tc>
          <w:tcPr>
            <w:tcW w:w="771" w:type="dxa"/>
          </w:tcPr>
          <w:p w14:paraId="0C6D27B6"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65.5</w:t>
            </w:r>
            <w:r w:rsidRPr="00417749">
              <w:rPr>
                <w:rFonts w:cs="Calibri"/>
                <w:color w:val="000000"/>
                <w:sz w:val="18"/>
                <w:szCs w:val="18"/>
                <w:vertAlign w:val="superscript"/>
              </w:rPr>
              <w:t>k</w:t>
            </w:r>
          </w:p>
        </w:tc>
        <w:tc>
          <w:tcPr>
            <w:tcW w:w="770" w:type="dxa"/>
          </w:tcPr>
          <w:p w14:paraId="529935AD"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4.75</w:t>
            </w:r>
            <w:r w:rsidRPr="00417749">
              <w:rPr>
                <w:rFonts w:cs="Calibri"/>
                <w:color w:val="000000"/>
                <w:sz w:val="18"/>
                <w:szCs w:val="18"/>
                <w:vertAlign w:val="superscript"/>
              </w:rPr>
              <w:t>a</w:t>
            </w:r>
          </w:p>
        </w:tc>
        <w:tc>
          <w:tcPr>
            <w:tcW w:w="771" w:type="dxa"/>
          </w:tcPr>
          <w:p w14:paraId="5AAD0F67"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3.0</w:t>
            </w:r>
            <w:r w:rsidRPr="00417749">
              <w:rPr>
                <w:rFonts w:cs="Calibri"/>
                <w:color w:val="000000"/>
                <w:sz w:val="18"/>
                <w:szCs w:val="18"/>
                <w:vertAlign w:val="superscript"/>
              </w:rPr>
              <w:t xml:space="preserve"> j</w:t>
            </w:r>
          </w:p>
        </w:tc>
        <w:tc>
          <w:tcPr>
            <w:tcW w:w="770" w:type="dxa"/>
          </w:tcPr>
          <w:p w14:paraId="3C34CF4A"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3.0</w:t>
            </w:r>
            <w:r w:rsidRPr="00417749">
              <w:rPr>
                <w:rFonts w:cs="Calibri"/>
                <w:color w:val="000000"/>
                <w:sz w:val="18"/>
                <w:szCs w:val="18"/>
                <w:vertAlign w:val="superscript"/>
              </w:rPr>
              <w:t xml:space="preserve"> j</w:t>
            </w:r>
          </w:p>
        </w:tc>
        <w:tc>
          <w:tcPr>
            <w:tcW w:w="771" w:type="dxa"/>
          </w:tcPr>
          <w:p w14:paraId="510120CD"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0.12</w:t>
            </w:r>
            <w:r w:rsidRPr="00417749">
              <w:rPr>
                <w:rFonts w:cs="Calibri"/>
                <w:color w:val="000000"/>
                <w:sz w:val="18"/>
                <w:szCs w:val="18"/>
                <w:vertAlign w:val="superscript"/>
              </w:rPr>
              <w:t xml:space="preserve"> j</w:t>
            </w:r>
          </w:p>
        </w:tc>
        <w:tc>
          <w:tcPr>
            <w:tcW w:w="771" w:type="dxa"/>
          </w:tcPr>
          <w:p w14:paraId="335426EC"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1.8</w:t>
            </w:r>
            <w:r w:rsidRPr="00417749">
              <w:rPr>
                <w:rFonts w:cs="Calibri"/>
                <w:color w:val="000000"/>
                <w:sz w:val="18"/>
                <w:szCs w:val="18"/>
                <w:vertAlign w:val="superscript"/>
              </w:rPr>
              <w:t xml:space="preserve"> j</w:t>
            </w:r>
          </w:p>
        </w:tc>
      </w:tr>
      <w:tr w:rsidR="00417749" w:rsidRPr="00417749" w14:paraId="6182BB2D" w14:textId="77777777" w:rsidTr="00B35FE9">
        <w:trPr>
          <w:jc w:val="center"/>
        </w:trPr>
        <w:tc>
          <w:tcPr>
            <w:tcW w:w="1333" w:type="dxa"/>
          </w:tcPr>
          <w:p w14:paraId="6BF63E4E" w14:textId="77777777" w:rsidR="00417749" w:rsidRPr="00417749" w:rsidRDefault="00417749" w:rsidP="00417749">
            <w:pPr>
              <w:spacing w:after="200" w:line="276" w:lineRule="auto"/>
              <w:jc w:val="left"/>
              <w:rPr>
                <w:color w:val="000000"/>
                <w:sz w:val="18"/>
                <w:szCs w:val="18"/>
              </w:rPr>
            </w:pPr>
            <w:r w:rsidRPr="00417749">
              <w:rPr>
                <w:color w:val="000000"/>
                <w:sz w:val="18"/>
                <w:szCs w:val="18"/>
              </w:rPr>
              <w:t xml:space="preserve">Coal </w:t>
            </w:r>
          </w:p>
        </w:tc>
        <w:tc>
          <w:tcPr>
            <w:tcW w:w="770" w:type="dxa"/>
          </w:tcPr>
          <w:p w14:paraId="60C11857"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94.6</w:t>
            </w:r>
            <w:r w:rsidRPr="00417749">
              <w:rPr>
                <w:rFonts w:cs="Calibri"/>
                <w:color w:val="000000"/>
                <w:sz w:val="18"/>
                <w:szCs w:val="18"/>
                <w:vertAlign w:val="superscript"/>
              </w:rPr>
              <w:t>f</w:t>
            </w:r>
          </w:p>
        </w:tc>
        <w:tc>
          <w:tcPr>
            <w:tcW w:w="771" w:type="dxa"/>
          </w:tcPr>
          <w:p w14:paraId="6ACFB1EC"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2610</w:t>
            </w:r>
            <w:r w:rsidRPr="00417749">
              <w:rPr>
                <w:rFonts w:cs="Calibri"/>
                <w:color w:val="000000"/>
                <w:sz w:val="18"/>
                <w:szCs w:val="18"/>
                <w:vertAlign w:val="superscript"/>
              </w:rPr>
              <w:t>e</w:t>
            </w:r>
          </w:p>
        </w:tc>
        <w:tc>
          <w:tcPr>
            <w:tcW w:w="770" w:type="dxa"/>
          </w:tcPr>
          <w:p w14:paraId="3CE98F4A"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300</w:t>
            </w:r>
            <w:r w:rsidRPr="00417749">
              <w:rPr>
                <w:rFonts w:cs="Calibri"/>
                <w:color w:val="000000"/>
                <w:sz w:val="18"/>
                <w:szCs w:val="18"/>
                <w:vertAlign w:val="superscript"/>
              </w:rPr>
              <w:t>f</w:t>
            </w:r>
          </w:p>
        </w:tc>
        <w:tc>
          <w:tcPr>
            <w:tcW w:w="771" w:type="dxa"/>
          </w:tcPr>
          <w:p w14:paraId="672ADABA"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484</w:t>
            </w:r>
            <w:r w:rsidRPr="00417749">
              <w:rPr>
                <w:rFonts w:cs="Calibri"/>
                <w:color w:val="000000"/>
                <w:sz w:val="18"/>
                <w:szCs w:val="18"/>
                <w:vertAlign w:val="superscript"/>
              </w:rPr>
              <w:t>g</w:t>
            </w:r>
          </w:p>
        </w:tc>
        <w:tc>
          <w:tcPr>
            <w:tcW w:w="771" w:type="dxa"/>
          </w:tcPr>
          <w:p w14:paraId="72161165"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34</w:t>
            </w:r>
            <w:r w:rsidRPr="00417749">
              <w:rPr>
                <w:rFonts w:cs="Calibri"/>
                <w:color w:val="000000"/>
                <w:sz w:val="18"/>
                <w:szCs w:val="18"/>
                <w:vertAlign w:val="superscript"/>
              </w:rPr>
              <w:t>e</w:t>
            </w:r>
          </w:p>
        </w:tc>
        <w:tc>
          <w:tcPr>
            <w:tcW w:w="770" w:type="dxa"/>
          </w:tcPr>
          <w:p w14:paraId="53A64B3F"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1.17</w:t>
            </w:r>
            <w:r w:rsidRPr="00417749">
              <w:rPr>
                <w:rFonts w:cs="Calibri"/>
                <w:color w:val="000000"/>
                <w:sz w:val="18"/>
                <w:szCs w:val="18"/>
                <w:vertAlign w:val="superscript"/>
              </w:rPr>
              <w:t>l</w:t>
            </w:r>
          </w:p>
        </w:tc>
        <w:tc>
          <w:tcPr>
            <w:tcW w:w="771" w:type="dxa"/>
          </w:tcPr>
          <w:p w14:paraId="2DA19DF5"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14.8</w:t>
            </w:r>
            <w:r w:rsidRPr="00417749">
              <w:rPr>
                <w:rFonts w:cs="Calibri"/>
                <w:color w:val="000000"/>
                <w:sz w:val="18"/>
                <w:szCs w:val="18"/>
                <w:vertAlign w:val="superscript"/>
              </w:rPr>
              <w:t>m</w:t>
            </w:r>
          </w:p>
        </w:tc>
        <w:tc>
          <w:tcPr>
            <w:tcW w:w="770" w:type="dxa"/>
          </w:tcPr>
          <w:p w14:paraId="2C359353"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13.3</w:t>
            </w:r>
            <w:r w:rsidRPr="00417749">
              <w:rPr>
                <w:rFonts w:cs="Calibri"/>
                <w:color w:val="000000"/>
                <w:sz w:val="18"/>
                <w:szCs w:val="18"/>
                <w:vertAlign w:val="superscript"/>
              </w:rPr>
              <w:t>n</w:t>
            </w:r>
          </w:p>
        </w:tc>
        <w:tc>
          <w:tcPr>
            <w:tcW w:w="771" w:type="dxa"/>
          </w:tcPr>
          <w:p w14:paraId="1E61B065"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2.2</w:t>
            </w:r>
            <w:r w:rsidRPr="00417749">
              <w:rPr>
                <w:rFonts w:cs="Calibri"/>
                <w:color w:val="000000"/>
                <w:sz w:val="18"/>
                <w:szCs w:val="18"/>
                <w:vertAlign w:val="superscript"/>
              </w:rPr>
              <w:t>m</w:t>
            </w:r>
          </w:p>
        </w:tc>
        <w:tc>
          <w:tcPr>
            <w:tcW w:w="771" w:type="dxa"/>
          </w:tcPr>
          <w:p w14:paraId="24B8D2FB"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5.93</w:t>
            </w:r>
            <w:r w:rsidRPr="00417749">
              <w:rPr>
                <w:rFonts w:cs="Calibri"/>
                <w:color w:val="000000"/>
                <w:sz w:val="18"/>
                <w:szCs w:val="18"/>
                <w:vertAlign w:val="superscript"/>
              </w:rPr>
              <w:t>m</w:t>
            </w:r>
          </w:p>
        </w:tc>
      </w:tr>
      <w:tr w:rsidR="00417749" w:rsidRPr="00417749" w14:paraId="6B189122" w14:textId="77777777" w:rsidTr="00B35FE9">
        <w:trPr>
          <w:jc w:val="center"/>
        </w:trPr>
        <w:tc>
          <w:tcPr>
            <w:tcW w:w="1333" w:type="dxa"/>
          </w:tcPr>
          <w:p w14:paraId="6F539EF0" w14:textId="77777777" w:rsidR="00417749" w:rsidRPr="00417749" w:rsidRDefault="00417749" w:rsidP="00417749">
            <w:pPr>
              <w:spacing w:after="200" w:line="276" w:lineRule="auto"/>
              <w:jc w:val="left"/>
              <w:rPr>
                <w:color w:val="000000"/>
                <w:sz w:val="18"/>
                <w:szCs w:val="18"/>
              </w:rPr>
            </w:pPr>
            <w:r w:rsidRPr="00417749">
              <w:rPr>
                <w:color w:val="000000"/>
                <w:sz w:val="18"/>
                <w:szCs w:val="18"/>
              </w:rPr>
              <w:t xml:space="preserve">Natural gas </w:t>
            </w:r>
          </w:p>
        </w:tc>
        <w:tc>
          <w:tcPr>
            <w:tcW w:w="770" w:type="dxa"/>
          </w:tcPr>
          <w:p w14:paraId="7605451C"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56.1</w:t>
            </w:r>
            <w:r w:rsidRPr="00417749">
              <w:rPr>
                <w:rFonts w:cs="Calibri"/>
                <w:color w:val="000000"/>
                <w:sz w:val="18"/>
                <w:szCs w:val="18"/>
                <w:vertAlign w:val="superscript"/>
              </w:rPr>
              <w:t>f</w:t>
            </w:r>
          </w:p>
        </w:tc>
        <w:tc>
          <w:tcPr>
            <w:tcW w:w="771" w:type="dxa"/>
          </w:tcPr>
          <w:p w14:paraId="433940FA"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26</w:t>
            </w:r>
            <w:r w:rsidRPr="00417749">
              <w:rPr>
                <w:rFonts w:cs="Calibri"/>
                <w:color w:val="000000"/>
                <w:sz w:val="18"/>
                <w:szCs w:val="18"/>
                <w:vertAlign w:val="superscript"/>
              </w:rPr>
              <w:t>g</w:t>
            </w:r>
          </w:p>
        </w:tc>
        <w:tc>
          <w:tcPr>
            <w:tcW w:w="770" w:type="dxa"/>
          </w:tcPr>
          <w:p w14:paraId="067E8FC4"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5</w:t>
            </w:r>
            <w:r w:rsidRPr="00417749">
              <w:rPr>
                <w:rFonts w:cs="Calibri"/>
                <w:color w:val="000000"/>
                <w:sz w:val="18"/>
                <w:szCs w:val="18"/>
                <w:vertAlign w:val="superscript"/>
              </w:rPr>
              <w:t>f</w:t>
            </w:r>
          </w:p>
        </w:tc>
        <w:tc>
          <w:tcPr>
            <w:tcW w:w="771" w:type="dxa"/>
          </w:tcPr>
          <w:p w14:paraId="405DF69E"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1.9</w:t>
            </w:r>
            <w:r w:rsidRPr="00417749">
              <w:rPr>
                <w:rFonts w:cs="Calibri"/>
                <w:color w:val="000000"/>
                <w:sz w:val="18"/>
                <w:szCs w:val="18"/>
                <w:vertAlign w:val="superscript"/>
              </w:rPr>
              <w:t>g</w:t>
            </w:r>
          </w:p>
        </w:tc>
        <w:tc>
          <w:tcPr>
            <w:tcW w:w="771" w:type="dxa"/>
          </w:tcPr>
          <w:p w14:paraId="6FCAEFE0"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5</w:t>
            </w:r>
            <w:r w:rsidRPr="00417749">
              <w:rPr>
                <w:rFonts w:cs="Calibri"/>
                <w:color w:val="000000"/>
                <w:sz w:val="18"/>
                <w:szCs w:val="18"/>
                <w:vertAlign w:val="superscript"/>
              </w:rPr>
              <w:t>g</w:t>
            </w:r>
          </w:p>
        </w:tc>
        <w:tc>
          <w:tcPr>
            <w:tcW w:w="770" w:type="dxa"/>
          </w:tcPr>
          <w:p w14:paraId="57615477"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0.01</w:t>
            </w:r>
            <w:r w:rsidRPr="00417749">
              <w:rPr>
                <w:rFonts w:cs="Calibri"/>
                <w:sz w:val="18"/>
                <w:szCs w:val="18"/>
                <w:vertAlign w:val="superscript"/>
              </w:rPr>
              <w:t>o</w:t>
            </w:r>
          </w:p>
        </w:tc>
        <w:tc>
          <w:tcPr>
            <w:tcW w:w="771" w:type="dxa"/>
          </w:tcPr>
          <w:p w14:paraId="4BF24F3E"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0.061</w:t>
            </w:r>
            <w:r w:rsidRPr="00417749">
              <w:rPr>
                <w:rFonts w:cs="Calibri"/>
                <w:color w:val="000000"/>
                <w:sz w:val="18"/>
                <w:szCs w:val="18"/>
                <w:vertAlign w:val="superscript"/>
              </w:rPr>
              <w:t>g</w:t>
            </w:r>
          </w:p>
        </w:tc>
        <w:tc>
          <w:tcPr>
            <w:tcW w:w="770" w:type="dxa"/>
          </w:tcPr>
          <w:p w14:paraId="29D6DA96"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0.061</w:t>
            </w:r>
            <w:r w:rsidRPr="00417749">
              <w:rPr>
                <w:rFonts w:cs="Calibri"/>
                <w:color w:val="000000"/>
                <w:sz w:val="18"/>
                <w:szCs w:val="18"/>
                <w:vertAlign w:val="superscript"/>
              </w:rPr>
              <w:t>g</w:t>
            </w:r>
          </w:p>
        </w:tc>
        <w:tc>
          <w:tcPr>
            <w:tcW w:w="771" w:type="dxa"/>
          </w:tcPr>
          <w:p w14:paraId="328C76E6"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0.0033</w:t>
            </w:r>
            <w:r w:rsidRPr="00417749">
              <w:rPr>
                <w:rFonts w:cs="Calibri"/>
                <w:color w:val="000000"/>
                <w:sz w:val="18"/>
                <w:szCs w:val="18"/>
                <w:vertAlign w:val="superscript"/>
              </w:rPr>
              <w:t>g</w:t>
            </w:r>
          </w:p>
        </w:tc>
        <w:tc>
          <w:tcPr>
            <w:tcW w:w="771" w:type="dxa"/>
          </w:tcPr>
          <w:p w14:paraId="51BA1731" w14:textId="77777777" w:rsidR="00417749" w:rsidRPr="00417749" w:rsidRDefault="00417749" w:rsidP="00417749">
            <w:pPr>
              <w:spacing w:after="200" w:line="276" w:lineRule="auto"/>
              <w:jc w:val="left"/>
              <w:rPr>
                <w:rFonts w:cs="Calibri"/>
                <w:color w:val="000000"/>
                <w:sz w:val="18"/>
                <w:szCs w:val="18"/>
              </w:rPr>
            </w:pPr>
            <w:r w:rsidRPr="00417749">
              <w:rPr>
                <w:rFonts w:cs="Calibri"/>
                <w:color w:val="000000"/>
                <w:sz w:val="18"/>
                <w:szCs w:val="18"/>
              </w:rPr>
              <w:t>0.027</w:t>
            </w:r>
            <w:r w:rsidRPr="00417749">
              <w:rPr>
                <w:rFonts w:cs="Calibri"/>
                <w:color w:val="000000"/>
                <w:sz w:val="18"/>
                <w:szCs w:val="18"/>
                <w:vertAlign w:val="superscript"/>
              </w:rPr>
              <w:t>p</w:t>
            </w:r>
          </w:p>
        </w:tc>
      </w:tr>
      <w:tr w:rsidR="00417749" w:rsidRPr="00417749" w14:paraId="7A1C6F9E" w14:textId="77777777" w:rsidTr="00B35FE9">
        <w:trPr>
          <w:trHeight w:val="191"/>
          <w:jc w:val="center"/>
        </w:trPr>
        <w:tc>
          <w:tcPr>
            <w:tcW w:w="1333" w:type="dxa"/>
          </w:tcPr>
          <w:p w14:paraId="2884B97E" w14:textId="77777777" w:rsidR="00417749" w:rsidRPr="00417749" w:rsidRDefault="00417749" w:rsidP="00417749">
            <w:pPr>
              <w:spacing w:after="200" w:line="276" w:lineRule="auto"/>
              <w:jc w:val="left"/>
              <w:rPr>
                <w:color w:val="000000"/>
                <w:sz w:val="18"/>
                <w:szCs w:val="18"/>
              </w:rPr>
            </w:pPr>
            <w:r w:rsidRPr="00417749">
              <w:rPr>
                <w:color w:val="000000"/>
                <w:sz w:val="18"/>
                <w:szCs w:val="18"/>
              </w:rPr>
              <w:t xml:space="preserve">LPG </w:t>
            </w:r>
          </w:p>
        </w:tc>
        <w:tc>
          <w:tcPr>
            <w:tcW w:w="770" w:type="dxa"/>
          </w:tcPr>
          <w:p w14:paraId="06CCDF3C"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63.1</w:t>
            </w:r>
            <w:r w:rsidRPr="00417749">
              <w:rPr>
                <w:rFonts w:cs="Calibri"/>
                <w:color w:val="000000"/>
                <w:sz w:val="18"/>
                <w:szCs w:val="18"/>
                <w:vertAlign w:val="superscript"/>
              </w:rPr>
              <w:t>f</w:t>
            </w:r>
          </w:p>
        </w:tc>
        <w:tc>
          <w:tcPr>
            <w:tcW w:w="771" w:type="dxa"/>
          </w:tcPr>
          <w:p w14:paraId="7C9CA6B5"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26</w:t>
            </w:r>
            <w:r w:rsidRPr="00417749">
              <w:rPr>
                <w:rFonts w:cs="Calibri"/>
                <w:color w:val="000000"/>
                <w:sz w:val="18"/>
                <w:szCs w:val="18"/>
                <w:vertAlign w:val="superscript"/>
              </w:rPr>
              <w:t>g</w:t>
            </w:r>
          </w:p>
        </w:tc>
        <w:tc>
          <w:tcPr>
            <w:tcW w:w="770" w:type="dxa"/>
          </w:tcPr>
          <w:p w14:paraId="20B46A83"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5</w:t>
            </w:r>
            <w:r w:rsidRPr="00417749">
              <w:rPr>
                <w:rFonts w:cs="Calibri"/>
                <w:color w:val="000000"/>
                <w:sz w:val="18"/>
                <w:szCs w:val="18"/>
                <w:vertAlign w:val="superscript"/>
              </w:rPr>
              <w:t>f</w:t>
            </w:r>
          </w:p>
        </w:tc>
        <w:tc>
          <w:tcPr>
            <w:tcW w:w="771" w:type="dxa"/>
          </w:tcPr>
          <w:p w14:paraId="4466E7B3"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1.9</w:t>
            </w:r>
            <w:r w:rsidRPr="00417749">
              <w:rPr>
                <w:rFonts w:cs="Calibri"/>
                <w:color w:val="000000"/>
                <w:sz w:val="18"/>
                <w:szCs w:val="18"/>
                <w:vertAlign w:val="superscript"/>
              </w:rPr>
              <w:t>g</w:t>
            </w:r>
          </w:p>
        </w:tc>
        <w:tc>
          <w:tcPr>
            <w:tcW w:w="771" w:type="dxa"/>
          </w:tcPr>
          <w:p w14:paraId="3AD39C23"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51</w:t>
            </w:r>
            <w:r w:rsidRPr="00417749">
              <w:rPr>
                <w:rFonts w:cs="Calibri"/>
                <w:color w:val="000000"/>
                <w:sz w:val="18"/>
                <w:szCs w:val="18"/>
                <w:vertAlign w:val="superscript"/>
              </w:rPr>
              <w:t>g</w:t>
            </w:r>
          </w:p>
        </w:tc>
        <w:tc>
          <w:tcPr>
            <w:tcW w:w="770" w:type="dxa"/>
          </w:tcPr>
          <w:p w14:paraId="6319C9F2"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0.01</w:t>
            </w:r>
            <w:r w:rsidRPr="00417749">
              <w:rPr>
                <w:rFonts w:cs="Calibri"/>
                <w:color w:val="000000"/>
                <w:sz w:val="18"/>
                <w:szCs w:val="18"/>
                <w:vertAlign w:val="superscript"/>
              </w:rPr>
              <w:t>q</w:t>
            </w:r>
          </w:p>
        </w:tc>
        <w:tc>
          <w:tcPr>
            <w:tcW w:w="771" w:type="dxa"/>
          </w:tcPr>
          <w:p w14:paraId="6F6543F2"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0.32</w:t>
            </w:r>
            <w:r w:rsidRPr="00417749">
              <w:rPr>
                <w:rFonts w:cs="Calibri"/>
                <w:color w:val="000000"/>
                <w:sz w:val="18"/>
                <w:szCs w:val="18"/>
                <w:vertAlign w:val="superscript"/>
              </w:rPr>
              <w:t>j</w:t>
            </w:r>
          </w:p>
        </w:tc>
        <w:tc>
          <w:tcPr>
            <w:tcW w:w="770" w:type="dxa"/>
          </w:tcPr>
          <w:p w14:paraId="1AEC7E7F"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0.31</w:t>
            </w:r>
            <w:r w:rsidRPr="00417749">
              <w:rPr>
                <w:rFonts w:cs="Calibri"/>
                <w:color w:val="000000"/>
                <w:sz w:val="18"/>
                <w:szCs w:val="18"/>
                <w:vertAlign w:val="superscript"/>
              </w:rPr>
              <w:t>n</w:t>
            </w:r>
          </w:p>
        </w:tc>
        <w:tc>
          <w:tcPr>
            <w:tcW w:w="771" w:type="dxa"/>
          </w:tcPr>
          <w:p w14:paraId="7DBD910B"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0.01</w:t>
            </w:r>
            <w:r w:rsidRPr="00417749">
              <w:rPr>
                <w:rFonts w:cs="Calibri"/>
                <w:color w:val="000000"/>
                <w:sz w:val="18"/>
                <w:szCs w:val="18"/>
                <w:vertAlign w:val="superscript"/>
              </w:rPr>
              <w:t>j</w:t>
            </w:r>
          </w:p>
        </w:tc>
        <w:tc>
          <w:tcPr>
            <w:tcW w:w="771" w:type="dxa"/>
          </w:tcPr>
          <w:p w14:paraId="6C725B10" w14:textId="77777777" w:rsidR="00417749" w:rsidRPr="00417749" w:rsidRDefault="00417749" w:rsidP="00417749">
            <w:pPr>
              <w:spacing w:after="200" w:line="276" w:lineRule="auto"/>
              <w:jc w:val="left"/>
              <w:rPr>
                <w:color w:val="000000"/>
                <w:sz w:val="18"/>
                <w:szCs w:val="18"/>
              </w:rPr>
            </w:pPr>
            <w:r w:rsidRPr="00417749">
              <w:rPr>
                <w:color w:val="000000"/>
                <w:sz w:val="18"/>
                <w:szCs w:val="18"/>
              </w:rPr>
              <w:t>0.06</w:t>
            </w:r>
            <w:r w:rsidRPr="00417749">
              <w:rPr>
                <w:color w:val="000000"/>
                <w:sz w:val="18"/>
                <w:szCs w:val="18"/>
                <w:vertAlign w:val="superscript"/>
              </w:rPr>
              <w:t>j</w:t>
            </w:r>
          </w:p>
        </w:tc>
      </w:tr>
      <w:tr w:rsidR="00417749" w:rsidRPr="00417749" w14:paraId="08175DDE" w14:textId="77777777" w:rsidTr="00B35FE9">
        <w:trPr>
          <w:jc w:val="center"/>
        </w:trPr>
        <w:tc>
          <w:tcPr>
            <w:tcW w:w="1333" w:type="dxa"/>
            <w:tcBorders>
              <w:bottom w:val="single" w:sz="4" w:space="0" w:color="auto"/>
            </w:tcBorders>
          </w:tcPr>
          <w:p w14:paraId="2FF2F583" w14:textId="77777777" w:rsidR="00417749" w:rsidRPr="00417749" w:rsidRDefault="00417749" w:rsidP="00417749">
            <w:pPr>
              <w:spacing w:after="200" w:line="276" w:lineRule="auto"/>
              <w:jc w:val="left"/>
              <w:rPr>
                <w:color w:val="000000"/>
                <w:sz w:val="18"/>
                <w:szCs w:val="18"/>
              </w:rPr>
            </w:pPr>
            <w:r w:rsidRPr="00417749">
              <w:rPr>
                <w:color w:val="000000"/>
                <w:sz w:val="18"/>
                <w:szCs w:val="18"/>
              </w:rPr>
              <w:t>Kerosene</w:t>
            </w:r>
          </w:p>
        </w:tc>
        <w:tc>
          <w:tcPr>
            <w:tcW w:w="770" w:type="dxa"/>
            <w:tcBorders>
              <w:bottom w:val="single" w:sz="4" w:space="0" w:color="auto"/>
            </w:tcBorders>
          </w:tcPr>
          <w:p w14:paraId="16C178D6"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71.9</w:t>
            </w:r>
            <w:r w:rsidRPr="00417749">
              <w:rPr>
                <w:rFonts w:cs="Calibri"/>
                <w:color w:val="000000"/>
                <w:sz w:val="18"/>
                <w:szCs w:val="18"/>
                <w:vertAlign w:val="superscript"/>
              </w:rPr>
              <w:t>f</w:t>
            </w:r>
          </w:p>
        </w:tc>
        <w:tc>
          <w:tcPr>
            <w:tcW w:w="771" w:type="dxa"/>
            <w:tcBorders>
              <w:bottom w:val="single" w:sz="4" w:space="0" w:color="auto"/>
            </w:tcBorders>
          </w:tcPr>
          <w:p w14:paraId="17455FD8"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57</w:t>
            </w:r>
            <w:r w:rsidRPr="00417749">
              <w:rPr>
                <w:rFonts w:cs="Calibri"/>
                <w:color w:val="000000"/>
                <w:sz w:val="18"/>
                <w:szCs w:val="18"/>
                <w:vertAlign w:val="superscript"/>
              </w:rPr>
              <w:t>g</w:t>
            </w:r>
          </w:p>
        </w:tc>
        <w:tc>
          <w:tcPr>
            <w:tcW w:w="770" w:type="dxa"/>
            <w:tcBorders>
              <w:bottom w:val="single" w:sz="4" w:space="0" w:color="auto"/>
            </w:tcBorders>
          </w:tcPr>
          <w:p w14:paraId="5B7A9A7D"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10</w:t>
            </w:r>
            <w:r w:rsidRPr="00417749">
              <w:rPr>
                <w:rFonts w:cs="Calibri"/>
                <w:color w:val="000000"/>
                <w:sz w:val="18"/>
                <w:szCs w:val="18"/>
                <w:vertAlign w:val="superscript"/>
              </w:rPr>
              <w:t>f</w:t>
            </w:r>
          </w:p>
        </w:tc>
        <w:tc>
          <w:tcPr>
            <w:tcW w:w="771" w:type="dxa"/>
            <w:tcBorders>
              <w:bottom w:val="single" w:sz="4" w:space="0" w:color="auto"/>
            </w:tcBorders>
          </w:tcPr>
          <w:p w14:paraId="09859005"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0.69</w:t>
            </w:r>
            <w:r w:rsidRPr="00417749">
              <w:rPr>
                <w:rFonts w:cs="Calibri"/>
                <w:color w:val="000000"/>
                <w:sz w:val="18"/>
                <w:szCs w:val="18"/>
                <w:vertAlign w:val="superscript"/>
              </w:rPr>
              <w:t>g</w:t>
            </w:r>
          </w:p>
        </w:tc>
        <w:tc>
          <w:tcPr>
            <w:tcW w:w="771" w:type="dxa"/>
            <w:tcBorders>
              <w:bottom w:val="single" w:sz="4" w:space="0" w:color="auto"/>
            </w:tcBorders>
          </w:tcPr>
          <w:p w14:paraId="63F2C4CA"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25</w:t>
            </w:r>
            <w:r w:rsidRPr="00417749">
              <w:rPr>
                <w:rFonts w:cs="Calibri"/>
                <w:color w:val="000000"/>
                <w:sz w:val="18"/>
                <w:szCs w:val="18"/>
                <w:vertAlign w:val="superscript"/>
              </w:rPr>
              <w:t>e</w:t>
            </w:r>
          </w:p>
        </w:tc>
        <w:tc>
          <w:tcPr>
            <w:tcW w:w="770" w:type="dxa"/>
            <w:tcBorders>
              <w:bottom w:val="single" w:sz="4" w:space="0" w:color="auto"/>
            </w:tcBorders>
          </w:tcPr>
          <w:p w14:paraId="73746354"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0.005</w:t>
            </w:r>
            <w:r w:rsidRPr="00417749">
              <w:rPr>
                <w:rFonts w:cs="Calibri"/>
                <w:color w:val="000000"/>
                <w:sz w:val="18"/>
                <w:szCs w:val="18"/>
                <w:vertAlign w:val="superscript"/>
              </w:rPr>
              <w:t>l</w:t>
            </w:r>
          </w:p>
        </w:tc>
        <w:tc>
          <w:tcPr>
            <w:tcW w:w="771" w:type="dxa"/>
            <w:tcBorders>
              <w:bottom w:val="single" w:sz="4" w:space="0" w:color="auto"/>
            </w:tcBorders>
          </w:tcPr>
          <w:p w14:paraId="53138793"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0.134</w:t>
            </w:r>
            <w:r w:rsidRPr="00417749">
              <w:rPr>
                <w:rFonts w:cs="Calibri"/>
                <w:color w:val="000000"/>
                <w:sz w:val="18"/>
                <w:szCs w:val="18"/>
                <w:vertAlign w:val="superscript"/>
              </w:rPr>
              <w:t>e</w:t>
            </w:r>
          </w:p>
        </w:tc>
        <w:tc>
          <w:tcPr>
            <w:tcW w:w="770" w:type="dxa"/>
            <w:tcBorders>
              <w:bottom w:val="single" w:sz="4" w:space="0" w:color="auto"/>
            </w:tcBorders>
          </w:tcPr>
          <w:p w14:paraId="2F44E832"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0.081</w:t>
            </w:r>
            <w:r w:rsidRPr="00417749">
              <w:rPr>
                <w:rFonts w:cs="Calibri"/>
                <w:color w:val="000000"/>
                <w:sz w:val="18"/>
                <w:szCs w:val="18"/>
                <w:vertAlign w:val="superscript"/>
              </w:rPr>
              <w:t>g</w:t>
            </w:r>
          </w:p>
        </w:tc>
        <w:tc>
          <w:tcPr>
            <w:tcW w:w="771" w:type="dxa"/>
            <w:tcBorders>
              <w:bottom w:val="single" w:sz="4" w:space="0" w:color="auto"/>
            </w:tcBorders>
          </w:tcPr>
          <w:p w14:paraId="018C9F2F" w14:textId="77777777" w:rsidR="00417749" w:rsidRPr="00417749" w:rsidRDefault="00417749" w:rsidP="00417749">
            <w:pPr>
              <w:spacing w:after="200" w:line="276" w:lineRule="auto"/>
              <w:jc w:val="left"/>
              <w:rPr>
                <w:color w:val="000000"/>
                <w:sz w:val="18"/>
                <w:szCs w:val="18"/>
              </w:rPr>
            </w:pPr>
            <w:r w:rsidRPr="00417749">
              <w:rPr>
                <w:rFonts w:cs="Calibri"/>
                <w:color w:val="000000"/>
                <w:sz w:val="18"/>
                <w:szCs w:val="18"/>
              </w:rPr>
              <w:t>0.017</w:t>
            </w:r>
            <w:r w:rsidRPr="00417749">
              <w:rPr>
                <w:rFonts w:cs="Calibri"/>
                <w:color w:val="000000"/>
                <w:sz w:val="18"/>
                <w:szCs w:val="18"/>
                <w:vertAlign w:val="superscript"/>
              </w:rPr>
              <w:t>r</w:t>
            </w:r>
          </w:p>
        </w:tc>
        <w:tc>
          <w:tcPr>
            <w:tcW w:w="771" w:type="dxa"/>
            <w:tcBorders>
              <w:bottom w:val="single" w:sz="4" w:space="0" w:color="auto"/>
            </w:tcBorders>
          </w:tcPr>
          <w:p w14:paraId="0AC37976" w14:textId="77777777" w:rsidR="00417749" w:rsidRPr="00417749" w:rsidRDefault="00417749" w:rsidP="00417749">
            <w:pPr>
              <w:spacing w:after="200" w:line="276" w:lineRule="auto"/>
              <w:jc w:val="left"/>
              <w:rPr>
                <w:color w:val="000000"/>
                <w:sz w:val="18"/>
                <w:szCs w:val="18"/>
              </w:rPr>
            </w:pPr>
            <w:r w:rsidRPr="00417749">
              <w:rPr>
                <w:color w:val="000000"/>
                <w:sz w:val="18"/>
                <w:szCs w:val="18"/>
              </w:rPr>
              <w:t>0.013</w:t>
            </w:r>
            <w:r w:rsidRPr="00417749">
              <w:rPr>
                <w:color w:val="000000"/>
                <w:sz w:val="18"/>
                <w:szCs w:val="18"/>
                <w:vertAlign w:val="superscript"/>
              </w:rPr>
              <w:t>s</w:t>
            </w:r>
          </w:p>
        </w:tc>
      </w:tr>
    </w:tbl>
    <w:p w14:paraId="0378BCE5" w14:textId="77777777" w:rsidR="00417749" w:rsidRPr="00417749" w:rsidRDefault="00417749" w:rsidP="00417749">
      <w:pPr>
        <w:spacing w:line="276" w:lineRule="auto"/>
        <w:jc w:val="left"/>
        <w:rPr>
          <w:rFonts w:ascii="Calibri" w:eastAsia="Calibri" w:hAnsi="Calibri"/>
          <w:color w:val="000000"/>
          <w:sz w:val="10"/>
          <w:szCs w:val="10"/>
          <w:vertAlign w:val="superscript"/>
        </w:rPr>
      </w:pPr>
    </w:p>
    <w:p w14:paraId="49F3519A" w14:textId="77777777" w:rsidR="00417749" w:rsidRPr="00417749" w:rsidRDefault="00417749" w:rsidP="00417749">
      <w:pPr>
        <w:spacing w:after="200" w:line="276" w:lineRule="auto"/>
        <w:jc w:val="left"/>
        <w:rPr>
          <w:rFonts w:ascii="Calibri" w:eastAsia="Calibri" w:hAnsi="Calibri"/>
          <w:color w:val="000000"/>
          <w:sz w:val="18"/>
          <w:szCs w:val="18"/>
        </w:rPr>
      </w:pPr>
      <w:r w:rsidRPr="00417749">
        <w:rPr>
          <w:rFonts w:ascii="Calibri" w:eastAsia="Calibri" w:hAnsi="Calibri"/>
          <w:color w:val="000000"/>
          <w:sz w:val="18"/>
          <w:szCs w:val="18"/>
          <w:vertAlign w:val="superscript"/>
        </w:rPr>
        <w:t>a</w:t>
      </w:r>
      <w:r w:rsidRPr="00417749">
        <w:rPr>
          <w:rFonts w:ascii="Calibri" w:eastAsia="Calibri" w:hAnsi="Calibri"/>
          <w:color w:val="000000"/>
          <w:sz w:val="18"/>
          <w:szCs w:val="18"/>
        </w:rPr>
        <w:t xml:space="preserve">Derived from Akagi et al (2011); </w:t>
      </w:r>
      <w:r w:rsidRPr="00417749">
        <w:rPr>
          <w:rFonts w:ascii="Calibri" w:eastAsia="Calibri" w:hAnsi="Calibri"/>
          <w:color w:val="000000"/>
          <w:sz w:val="18"/>
          <w:szCs w:val="18"/>
          <w:vertAlign w:val="superscript"/>
        </w:rPr>
        <w:t>b</w:t>
      </w:r>
      <w:r w:rsidRPr="00417749">
        <w:rPr>
          <w:rFonts w:ascii="Calibri" w:eastAsia="Calibri" w:hAnsi="Calibri"/>
          <w:color w:val="000000"/>
          <w:sz w:val="18"/>
          <w:szCs w:val="18"/>
        </w:rPr>
        <w:t xml:space="preserve">Derived from Bertschi et al (2003); </w:t>
      </w:r>
      <w:r w:rsidRPr="00417749">
        <w:rPr>
          <w:rFonts w:ascii="Calibri" w:eastAsia="Calibri" w:hAnsi="Calibri"/>
          <w:color w:val="000000"/>
          <w:sz w:val="18"/>
          <w:szCs w:val="18"/>
          <w:vertAlign w:val="superscript"/>
        </w:rPr>
        <w:t>c</w:t>
      </w:r>
      <w:r w:rsidRPr="00417749">
        <w:rPr>
          <w:rFonts w:ascii="Calibri" w:eastAsia="Calibri" w:hAnsi="Calibri"/>
          <w:color w:val="000000"/>
          <w:sz w:val="18"/>
          <w:szCs w:val="18"/>
        </w:rPr>
        <w:t xml:space="preserve">Smith et al (2000); </w:t>
      </w:r>
      <w:r w:rsidRPr="00417749">
        <w:rPr>
          <w:rFonts w:ascii="Calibri" w:eastAsia="Calibri" w:hAnsi="Calibri"/>
          <w:color w:val="000000"/>
          <w:sz w:val="18"/>
          <w:szCs w:val="18"/>
          <w:vertAlign w:val="superscript"/>
        </w:rPr>
        <w:t>d</w:t>
      </w:r>
      <w:r w:rsidRPr="00417749">
        <w:rPr>
          <w:rFonts w:ascii="Calibri" w:eastAsia="Calibri" w:hAnsi="Calibri"/>
          <w:color w:val="000000"/>
          <w:sz w:val="18"/>
          <w:szCs w:val="18"/>
        </w:rPr>
        <w:t xml:space="preserve">Assume 50% of PM is BC and 50% organic matter (assuming OC=OM/1.4) Bond et al. (2004); </w:t>
      </w:r>
      <w:r w:rsidRPr="00417749">
        <w:rPr>
          <w:rFonts w:ascii="Calibri" w:eastAsia="Calibri" w:hAnsi="Calibri"/>
          <w:color w:val="000000"/>
          <w:sz w:val="18"/>
          <w:szCs w:val="18"/>
          <w:vertAlign w:val="superscript"/>
        </w:rPr>
        <w:t>e</w:t>
      </w:r>
      <w:r w:rsidRPr="00417749">
        <w:rPr>
          <w:rFonts w:ascii="Calibri" w:eastAsia="Calibri" w:hAnsi="Calibri"/>
          <w:color w:val="000000"/>
          <w:sz w:val="18"/>
          <w:szCs w:val="18"/>
        </w:rPr>
        <w:t xml:space="preserve">Zhang et al (2000) for household stoves in China (For  vegetal wastes, average EF for wheat and maize residues); </w:t>
      </w:r>
      <w:r w:rsidRPr="00417749">
        <w:rPr>
          <w:rFonts w:ascii="Calibri" w:eastAsia="Calibri" w:hAnsi="Calibri"/>
          <w:color w:val="000000"/>
          <w:sz w:val="18"/>
          <w:szCs w:val="18"/>
          <w:vertAlign w:val="superscript"/>
        </w:rPr>
        <w:t>f</w:t>
      </w:r>
      <w:r w:rsidRPr="00417749">
        <w:rPr>
          <w:rFonts w:ascii="Calibri" w:eastAsia="Calibri" w:hAnsi="Calibri"/>
          <w:color w:val="000000"/>
          <w:sz w:val="18"/>
          <w:szCs w:val="18"/>
        </w:rPr>
        <w:t xml:space="preserve">IPCC (2006) Tier 1 default; </w:t>
      </w:r>
      <w:r w:rsidRPr="00417749">
        <w:rPr>
          <w:rFonts w:ascii="Calibri" w:eastAsia="Calibri" w:hAnsi="Calibri"/>
          <w:color w:val="000000"/>
          <w:sz w:val="18"/>
          <w:szCs w:val="18"/>
          <w:vertAlign w:val="superscript"/>
        </w:rPr>
        <w:t>g</w:t>
      </w:r>
      <w:r w:rsidRPr="00417749">
        <w:rPr>
          <w:rFonts w:ascii="Calibri" w:eastAsia="Calibri" w:hAnsi="Calibri"/>
          <w:color w:val="000000"/>
          <w:sz w:val="18"/>
          <w:szCs w:val="18"/>
        </w:rPr>
        <w:t xml:space="preserve">EMEP/EEA (2016) Tier 1 EFs; </w:t>
      </w:r>
      <w:r w:rsidRPr="00417749">
        <w:rPr>
          <w:rFonts w:ascii="Calibri" w:eastAsia="Calibri" w:hAnsi="Calibri"/>
          <w:color w:val="000000"/>
          <w:sz w:val="18"/>
          <w:szCs w:val="18"/>
          <w:vertAlign w:val="superscript"/>
        </w:rPr>
        <w:t>h</w:t>
      </w:r>
      <w:r w:rsidRPr="00417749">
        <w:rPr>
          <w:rFonts w:ascii="Calibri" w:eastAsia="Calibri" w:hAnsi="Calibri"/>
          <w:color w:val="000000"/>
          <w:sz w:val="18"/>
          <w:szCs w:val="18"/>
        </w:rPr>
        <w:t>Assumes PM</w:t>
      </w:r>
      <w:r w:rsidRPr="00417749">
        <w:rPr>
          <w:rFonts w:ascii="Calibri" w:eastAsia="Calibri" w:hAnsi="Calibri"/>
          <w:color w:val="000000"/>
          <w:sz w:val="18"/>
          <w:szCs w:val="18"/>
          <w:vertAlign w:val="subscript"/>
        </w:rPr>
        <w:t>2.5</w:t>
      </w:r>
      <w:r w:rsidRPr="00417749">
        <w:rPr>
          <w:rFonts w:ascii="Calibri" w:eastAsia="Calibri" w:hAnsi="Calibri"/>
          <w:color w:val="000000"/>
          <w:sz w:val="18"/>
          <w:szCs w:val="18"/>
        </w:rPr>
        <w:t xml:space="preserve"> = 80% of PM</w:t>
      </w:r>
      <w:r w:rsidRPr="00417749">
        <w:rPr>
          <w:rFonts w:ascii="Calibri" w:eastAsia="Calibri" w:hAnsi="Calibri"/>
          <w:color w:val="000000"/>
          <w:sz w:val="18"/>
          <w:szCs w:val="18"/>
          <w:vertAlign w:val="subscript"/>
        </w:rPr>
        <w:t>10</w:t>
      </w:r>
      <w:r w:rsidRPr="00417749">
        <w:rPr>
          <w:rFonts w:ascii="Calibri" w:eastAsia="Calibri" w:hAnsi="Calibri"/>
          <w:color w:val="000000"/>
          <w:sz w:val="18"/>
          <w:szCs w:val="18"/>
        </w:rPr>
        <w:t xml:space="preserve"> as reported for wood and crop waste by Reddy and Venkataraman (2002a); </w:t>
      </w:r>
      <w:r w:rsidRPr="00417749">
        <w:rPr>
          <w:rFonts w:ascii="Calibri" w:eastAsia="Calibri" w:hAnsi="Calibri"/>
          <w:color w:val="000000"/>
          <w:sz w:val="18"/>
          <w:szCs w:val="18"/>
          <w:vertAlign w:val="superscript"/>
        </w:rPr>
        <w:t>i</w:t>
      </w:r>
      <w:r w:rsidRPr="00417749">
        <w:rPr>
          <w:rFonts w:ascii="Calibri" w:eastAsia="Calibri" w:hAnsi="Calibri"/>
          <w:color w:val="000000"/>
          <w:sz w:val="18"/>
          <w:szCs w:val="18"/>
        </w:rPr>
        <w:t xml:space="preserve">Bond et al (2004); </w:t>
      </w:r>
      <w:r w:rsidRPr="00417749">
        <w:rPr>
          <w:rFonts w:ascii="Calibri" w:eastAsia="Calibri" w:hAnsi="Calibri"/>
          <w:color w:val="000000"/>
          <w:sz w:val="18"/>
          <w:szCs w:val="18"/>
          <w:vertAlign w:val="superscript"/>
        </w:rPr>
        <w:t>j</w:t>
      </w:r>
      <w:r w:rsidRPr="00417749">
        <w:rPr>
          <w:rFonts w:ascii="Calibri" w:eastAsia="Calibri" w:hAnsi="Calibri"/>
          <w:color w:val="000000"/>
          <w:sz w:val="18"/>
          <w:szCs w:val="18"/>
        </w:rPr>
        <w:t xml:space="preserve">Derived from Venkataraman et al (2010) (for OC assumed = OM/1.4); </w:t>
      </w:r>
      <w:r w:rsidRPr="00417749">
        <w:rPr>
          <w:rFonts w:ascii="Calibri" w:eastAsia="Calibri" w:hAnsi="Calibri"/>
          <w:color w:val="000000"/>
          <w:sz w:val="18"/>
          <w:szCs w:val="18"/>
          <w:vertAlign w:val="superscript"/>
        </w:rPr>
        <w:t>k</w:t>
      </w:r>
      <w:r w:rsidRPr="00417749">
        <w:rPr>
          <w:rFonts w:ascii="Calibri" w:eastAsia="Calibri" w:hAnsi="Calibri"/>
          <w:color w:val="000000"/>
          <w:sz w:val="18"/>
          <w:szCs w:val="18"/>
        </w:rPr>
        <w:t xml:space="preserve">Derived from Keene et al (2006); </w:t>
      </w:r>
      <w:r w:rsidRPr="00417749">
        <w:rPr>
          <w:rFonts w:ascii="Calibri" w:eastAsia="Calibri" w:hAnsi="Calibri"/>
          <w:color w:val="000000"/>
          <w:sz w:val="18"/>
          <w:szCs w:val="18"/>
          <w:vertAlign w:val="superscript"/>
        </w:rPr>
        <w:t>l</w:t>
      </w:r>
      <w:r w:rsidRPr="00417749">
        <w:rPr>
          <w:rFonts w:ascii="Calibri" w:eastAsia="Calibri" w:hAnsi="Calibri"/>
          <w:color w:val="000000"/>
          <w:sz w:val="18"/>
          <w:szCs w:val="18"/>
        </w:rPr>
        <w:t xml:space="preserve">Li et al  (2016) - value of 1.17 is for bituminous chunk coal in traditional stove (use 0.10 for advanced stove, for anthracite chunk use 0.20 (trad) and 0.08 (adv); </w:t>
      </w:r>
      <w:r w:rsidRPr="00417749">
        <w:rPr>
          <w:rFonts w:ascii="Calibri" w:eastAsia="Calibri" w:hAnsi="Calibri"/>
          <w:color w:val="000000"/>
          <w:sz w:val="18"/>
          <w:szCs w:val="18"/>
          <w:vertAlign w:val="superscript"/>
        </w:rPr>
        <w:t>m</w:t>
      </w:r>
      <w:r w:rsidRPr="00417749">
        <w:rPr>
          <w:rFonts w:ascii="Calibri" w:eastAsia="Calibri" w:hAnsi="Calibri"/>
          <w:color w:val="000000"/>
          <w:sz w:val="18"/>
          <w:szCs w:val="18"/>
        </w:rPr>
        <w:t xml:space="preserve">Zhi et al (2008); </w:t>
      </w:r>
      <w:r w:rsidRPr="00417749">
        <w:rPr>
          <w:rFonts w:ascii="Calibri" w:eastAsia="Calibri" w:hAnsi="Calibri" w:cs="Calibri"/>
          <w:color w:val="000000"/>
          <w:sz w:val="16"/>
          <w:szCs w:val="16"/>
          <w:vertAlign w:val="superscript"/>
        </w:rPr>
        <w:t>n</w:t>
      </w:r>
      <w:r w:rsidRPr="00417749">
        <w:rPr>
          <w:rFonts w:ascii="Calibri" w:eastAsia="Calibri" w:hAnsi="Calibri"/>
          <w:color w:val="000000"/>
          <w:sz w:val="18"/>
          <w:szCs w:val="18"/>
        </w:rPr>
        <w:t>Assume a PM</w:t>
      </w:r>
      <w:r w:rsidRPr="00417749">
        <w:rPr>
          <w:rFonts w:ascii="Calibri" w:eastAsia="Calibri" w:hAnsi="Calibri"/>
          <w:color w:val="000000"/>
          <w:sz w:val="18"/>
          <w:szCs w:val="18"/>
          <w:vertAlign w:val="subscript"/>
        </w:rPr>
        <w:t>2.5</w:t>
      </w:r>
      <w:r w:rsidRPr="00417749">
        <w:rPr>
          <w:rFonts w:ascii="Calibri" w:eastAsia="Calibri" w:hAnsi="Calibri"/>
          <w:color w:val="000000"/>
          <w:sz w:val="18"/>
          <w:szCs w:val="18"/>
        </w:rPr>
        <w:t>/PM</w:t>
      </w:r>
      <w:r w:rsidRPr="00417749">
        <w:rPr>
          <w:rFonts w:ascii="Calibri" w:eastAsia="Calibri" w:hAnsi="Calibri"/>
          <w:color w:val="000000"/>
          <w:sz w:val="18"/>
          <w:szCs w:val="18"/>
          <w:vertAlign w:val="subscript"/>
        </w:rPr>
        <w:t>10</w:t>
      </w:r>
      <w:r w:rsidRPr="00417749">
        <w:rPr>
          <w:rFonts w:ascii="Calibri" w:eastAsia="Calibri" w:hAnsi="Calibri"/>
          <w:color w:val="000000"/>
          <w:sz w:val="18"/>
          <w:szCs w:val="18"/>
        </w:rPr>
        <w:t xml:space="preserve"> ratio of 0.9 for coal and 0.964 for kerosene and LPG (Reddy and Venkataraman, 2002b); </w:t>
      </w:r>
      <w:r w:rsidRPr="00417749">
        <w:rPr>
          <w:rFonts w:ascii="Calibri" w:eastAsia="Calibri" w:hAnsi="Calibri"/>
          <w:color w:val="000000"/>
          <w:sz w:val="18"/>
          <w:szCs w:val="18"/>
          <w:vertAlign w:val="superscript"/>
        </w:rPr>
        <w:t>o</w:t>
      </w:r>
      <w:r w:rsidRPr="00417749">
        <w:rPr>
          <w:rFonts w:ascii="Calibri" w:eastAsia="Calibri" w:hAnsi="Calibri"/>
          <w:color w:val="000000"/>
          <w:sz w:val="18"/>
          <w:szCs w:val="18"/>
        </w:rPr>
        <w:t xml:space="preserve">Battye et al (1994); </w:t>
      </w:r>
      <w:r w:rsidRPr="00417749">
        <w:rPr>
          <w:rFonts w:ascii="Calibri" w:eastAsia="Calibri" w:hAnsi="Calibri"/>
          <w:color w:val="000000"/>
          <w:sz w:val="18"/>
          <w:szCs w:val="18"/>
          <w:vertAlign w:val="superscript"/>
        </w:rPr>
        <w:t>p</w:t>
      </w:r>
      <w:r w:rsidRPr="00417749">
        <w:rPr>
          <w:rFonts w:ascii="Calibri" w:eastAsia="Calibri" w:hAnsi="Calibri"/>
          <w:color w:val="000000"/>
          <w:sz w:val="18"/>
          <w:szCs w:val="18"/>
        </w:rPr>
        <w:t xml:space="preserve">Assume OC fraction is 8.33 x BC (Bond et al 2004); </w:t>
      </w:r>
      <w:r w:rsidRPr="00417749">
        <w:rPr>
          <w:rFonts w:ascii="Calibri" w:eastAsia="Calibri" w:hAnsi="Calibri"/>
          <w:color w:val="000000"/>
          <w:sz w:val="18"/>
          <w:szCs w:val="18"/>
          <w:vertAlign w:val="superscript"/>
        </w:rPr>
        <w:t>q</w:t>
      </w:r>
      <w:r w:rsidRPr="00417749">
        <w:rPr>
          <w:rFonts w:ascii="Calibri" w:eastAsia="Calibri" w:hAnsi="Calibri"/>
          <w:color w:val="000000"/>
          <w:sz w:val="18"/>
          <w:szCs w:val="18"/>
        </w:rPr>
        <w:t xml:space="preserve">Assume as for natural gas; </w:t>
      </w:r>
      <w:r w:rsidRPr="00417749">
        <w:rPr>
          <w:rFonts w:ascii="Calibri" w:eastAsia="Calibri" w:hAnsi="Calibri"/>
          <w:color w:val="000000"/>
          <w:sz w:val="18"/>
          <w:szCs w:val="18"/>
          <w:vertAlign w:val="superscript"/>
        </w:rPr>
        <w:t>r</w:t>
      </w:r>
      <w:r w:rsidRPr="00417749">
        <w:rPr>
          <w:rFonts w:ascii="Calibri" w:eastAsia="Calibri" w:hAnsi="Calibri"/>
          <w:color w:val="000000"/>
          <w:sz w:val="18"/>
          <w:szCs w:val="18"/>
        </w:rPr>
        <w:t xml:space="preserve">Assume 13% of PM10 - Bond et al (2004); </w:t>
      </w:r>
      <w:r w:rsidRPr="00417749">
        <w:rPr>
          <w:rFonts w:ascii="Calibri" w:eastAsia="Calibri" w:hAnsi="Calibri"/>
          <w:color w:val="000000"/>
          <w:sz w:val="18"/>
          <w:szCs w:val="18"/>
          <w:vertAlign w:val="superscript"/>
        </w:rPr>
        <w:t>s</w:t>
      </w:r>
      <w:r w:rsidRPr="00417749">
        <w:rPr>
          <w:rFonts w:ascii="Calibri" w:eastAsia="Calibri" w:hAnsi="Calibri"/>
          <w:color w:val="000000"/>
          <w:sz w:val="18"/>
          <w:szCs w:val="18"/>
        </w:rPr>
        <w:t>Assume OC = BC/3.5 (Bond et al., 2004).</w:t>
      </w:r>
    </w:p>
    <w:p w14:paraId="22122738" w14:textId="1EDEAF1E" w:rsidR="004A3AB2" w:rsidRDefault="008B4FC1" w:rsidP="008B4FC1">
      <w:pPr>
        <w:jc w:val="center"/>
        <w:rPr>
          <w:b/>
          <w:i/>
          <w:color w:val="000000"/>
        </w:rPr>
      </w:pPr>
      <w:r w:rsidRPr="008B4FC1">
        <w:rPr>
          <w:b/>
          <w:i/>
          <w:color w:val="000000"/>
        </w:rPr>
        <w:tab/>
      </w:r>
    </w:p>
    <w:p w14:paraId="097A53CA" w14:textId="77777777" w:rsidR="00C46552" w:rsidRDefault="00C46552" w:rsidP="00BE3408">
      <w:pPr>
        <w:pStyle w:val="Heading2"/>
      </w:pPr>
      <w:bookmarkStart w:id="97" w:name="_Toc10122695"/>
      <w:r>
        <w:t>Sector 5: Fugitive emissions from fuels</w:t>
      </w:r>
      <w:bookmarkEnd w:id="97"/>
      <w:r>
        <w:t xml:space="preserve"> </w:t>
      </w:r>
    </w:p>
    <w:p w14:paraId="34ED2D32" w14:textId="77777777" w:rsidR="00C46552" w:rsidRDefault="00C46552">
      <w:pPr>
        <w:pStyle w:val="Date"/>
      </w:pPr>
    </w:p>
    <w:p w14:paraId="09EBB594" w14:textId="77777777" w:rsidR="00C46552" w:rsidRDefault="00C46552" w:rsidP="00597D1A">
      <w:pPr>
        <w:pStyle w:val="Heading3"/>
        <w:numPr>
          <w:ilvl w:val="2"/>
          <w:numId w:val="28"/>
        </w:numPr>
      </w:pPr>
      <w:bookmarkStart w:id="98" w:name="_Toc10122696"/>
      <w:r>
        <w:t>Introduction</w:t>
      </w:r>
      <w:bookmarkEnd w:id="98"/>
    </w:p>
    <w:p w14:paraId="32A19D26" w14:textId="77777777" w:rsidR="00C46552" w:rsidRDefault="00C46552"/>
    <w:p w14:paraId="7D167EFC" w14:textId="15027113" w:rsidR="00065ED3" w:rsidRDefault="001738D4">
      <w:r>
        <w:t xml:space="preserve">This sub-sector covers all non-combustion activities related to the extraction, processing, storage, distribution and use of fossil fuels. During all of the stages from the extraction of fossil fuels through to their final use, the escape or release of gaseous fuels or volatile components of liquid fuels may occur. </w:t>
      </w:r>
      <w:r>
        <w:rPr>
          <w:snapToGrid w:val="0"/>
        </w:rPr>
        <w:t>Fugitive emissions from refining, transport and distribution of oil products are a major component of national</w:t>
      </w:r>
      <w:r w:rsidR="00065ED3">
        <w:rPr>
          <w:snapToGrid w:val="0"/>
        </w:rPr>
        <w:t xml:space="preserve"> CH</w:t>
      </w:r>
      <w:r w:rsidR="00065ED3" w:rsidRPr="00065ED3">
        <w:rPr>
          <w:snapToGrid w:val="0"/>
          <w:vertAlign w:val="subscript"/>
        </w:rPr>
        <w:t>4</w:t>
      </w:r>
      <w:r w:rsidR="00065ED3">
        <w:rPr>
          <w:snapToGrid w:val="0"/>
        </w:rPr>
        <w:t xml:space="preserve"> and</w:t>
      </w:r>
      <w:r>
        <w:rPr>
          <w:snapToGrid w:val="0"/>
        </w:rPr>
        <w:t xml:space="preserve"> NMVOC emissions in many countries. This sub-sector </w:t>
      </w:r>
      <w:r>
        <w:t xml:space="preserve">includes fugitive emissions of </w:t>
      </w:r>
      <w:r w:rsidR="00065ED3">
        <w:t>CH</w:t>
      </w:r>
      <w:r w:rsidR="00065ED3" w:rsidRPr="00065ED3">
        <w:rPr>
          <w:vertAlign w:val="subscript"/>
        </w:rPr>
        <w:t>4</w:t>
      </w:r>
      <w:r w:rsidR="008E3726">
        <w:t>, CO</w:t>
      </w:r>
      <w:r w:rsidR="008E3726" w:rsidRPr="00AD3770">
        <w:rPr>
          <w:vertAlign w:val="subscript"/>
        </w:rPr>
        <w:t>2</w:t>
      </w:r>
      <w:r w:rsidR="008E3726">
        <w:t xml:space="preserve"> </w:t>
      </w:r>
      <w:r w:rsidR="00065ED3">
        <w:t xml:space="preserve">and </w:t>
      </w:r>
      <w:r>
        <w:t xml:space="preserve">NMVOC from </w:t>
      </w:r>
      <w:r>
        <w:lastRenderedPageBreak/>
        <w:t>crude oil exploration, production and transport, oil refining, the distribution and handling of gasoline (including emissions from service stations) and the production and distribution of natural gas (including venting).</w:t>
      </w:r>
      <w:r w:rsidR="008E3726" w:rsidRPr="008E3726">
        <w:rPr>
          <w:rFonts w:asciiTheme="minorHAnsi" w:eastAsiaTheme="minorHAnsi" w:hAnsiTheme="minorHAnsi" w:cstheme="minorBidi"/>
          <w:color w:val="000000" w:themeColor="text1"/>
          <w:sz w:val="22"/>
          <w:szCs w:val="22"/>
        </w:rPr>
        <w:t xml:space="preserve"> </w:t>
      </w:r>
      <w:r w:rsidR="008E3726" w:rsidRPr="008E3726">
        <w:t>It also includes CH</w:t>
      </w:r>
      <w:r w:rsidR="008E3726" w:rsidRPr="008E3726">
        <w:rPr>
          <w:vertAlign w:val="subscript"/>
        </w:rPr>
        <w:t>4</w:t>
      </w:r>
      <w:r w:rsidR="008E3726" w:rsidRPr="008E3726">
        <w:t xml:space="preserve"> emissions from underground and surface coal mining, during both mining and post-mining activities.  In addition to NMVOC, CH</w:t>
      </w:r>
      <w:r w:rsidR="008E3726" w:rsidRPr="008E3726">
        <w:rPr>
          <w:vertAlign w:val="subscript"/>
        </w:rPr>
        <w:t>4</w:t>
      </w:r>
      <w:r w:rsidR="008E3726" w:rsidRPr="008E3726">
        <w:t xml:space="preserve"> and CO</w:t>
      </w:r>
      <w:r w:rsidR="008E3726" w:rsidRPr="008E3726">
        <w:rPr>
          <w:vertAlign w:val="subscript"/>
        </w:rPr>
        <w:t>2</w:t>
      </w:r>
      <w:r w:rsidR="008E3726" w:rsidRPr="008E3726">
        <w:t>, this subsector also includes fugitive emissions SO</w:t>
      </w:r>
      <w:r w:rsidR="008E3726" w:rsidRPr="008E3726">
        <w:rPr>
          <w:vertAlign w:val="subscript"/>
        </w:rPr>
        <w:t>2</w:t>
      </w:r>
      <w:r w:rsidR="008E3726" w:rsidRPr="008E3726">
        <w:t>, NO</w:t>
      </w:r>
      <w:r w:rsidR="008E3726" w:rsidRPr="008E3726">
        <w:rPr>
          <w:vertAlign w:val="subscript"/>
        </w:rPr>
        <w:t>X</w:t>
      </w:r>
      <w:r w:rsidR="008E3726" w:rsidRPr="008E3726">
        <w:t xml:space="preserve"> and CO from oil refining, emissions of BC and OC from flaring during oil and gas extraction, and emissions of SO</w:t>
      </w:r>
      <w:r w:rsidR="008E3726" w:rsidRPr="008E3726">
        <w:rPr>
          <w:vertAlign w:val="subscript"/>
        </w:rPr>
        <w:t>2</w:t>
      </w:r>
      <w:r w:rsidR="008E3726" w:rsidRPr="008E3726">
        <w:t>, NO</w:t>
      </w:r>
      <w:r w:rsidR="008E3726" w:rsidRPr="008E3726">
        <w:rPr>
          <w:vertAlign w:val="subscript"/>
        </w:rPr>
        <w:t>X</w:t>
      </w:r>
      <w:r w:rsidR="008E3726" w:rsidRPr="008E3726">
        <w:t>, CO, NH</w:t>
      </w:r>
      <w:r w:rsidR="008E3726" w:rsidRPr="008E3726">
        <w:rPr>
          <w:vertAlign w:val="subscript"/>
        </w:rPr>
        <w:t>3</w:t>
      </w:r>
      <w:r w:rsidR="008E3726" w:rsidRPr="008E3726">
        <w:t>, PM</w:t>
      </w:r>
      <w:r w:rsidR="008E3726" w:rsidRPr="008E3726">
        <w:rPr>
          <w:vertAlign w:val="subscript"/>
        </w:rPr>
        <w:t>10</w:t>
      </w:r>
      <w:r w:rsidR="008E3726" w:rsidRPr="008E3726">
        <w:t>, PM</w:t>
      </w:r>
      <w:r w:rsidR="008E3726" w:rsidRPr="008E3726">
        <w:rPr>
          <w:vertAlign w:val="subscript"/>
        </w:rPr>
        <w:t>2.5</w:t>
      </w:r>
      <w:r w:rsidR="008E3726" w:rsidRPr="008E3726">
        <w:t xml:space="preserve">, BC and OC from the production of coke. </w:t>
      </w:r>
      <w:r w:rsidR="008E3726">
        <w:t xml:space="preserve"> </w:t>
      </w:r>
    </w:p>
    <w:p w14:paraId="631294FD" w14:textId="77777777" w:rsidR="00065ED3" w:rsidRDefault="00065ED3"/>
    <w:p w14:paraId="5AEA8919" w14:textId="77777777" w:rsidR="001738D4" w:rsidRDefault="001738D4">
      <w:pPr>
        <w:rPr>
          <w:snapToGrid w:val="0"/>
        </w:rPr>
      </w:pPr>
      <w:r>
        <w:rPr>
          <w:snapToGrid w:val="0"/>
        </w:rPr>
        <w:t>Excluded from consideration under fugitive emissions are the use of oil and gas or derived-fuel products to provide energy for internal (own) use in fuel extraction and processing, and</w:t>
      </w:r>
      <w:r>
        <w:t xml:space="preserve"> evaporative emissions from vehicles. These two emissions sources</w:t>
      </w:r>
      <w:r w:rsidR="005B6E4F">
        <w:t xml:space="preserve"> are dealt with under Sector 1</w:t>
      </w:r>
      <w:r>
        <w:t xml:space="preserve"> (Fuel Combustion Activities).</w:t>
      </w:r>
      <w:r>
        <w:rPr>
          <w:snapToGrid w:val="0"/>
        </w:rPr>
        <w:t xml:space="preserve"> </w:t>
      </w:r>
    </w:p>
    <w:p w14:paraId="729A6017" w14:textId="20110968" w:rsidR="00C46552" w:rsidRPr="00AD3770" w:rsidRDefault="00C46552">
      <w:pPr>
        <w:rPr>
          <w:b/>
        </w:rPr>
      </w:pPr>
    </w:p>
    <w:p w14:paraId="276554A8" w14:textId="77777777" w:rsidR="007B1401" w:rsidRDefault="007B1401" w:rsidP="007B1401">
      <w:pPr>
        <w:pStyle w:val="Heading3"/>
        <w:numPr>
          <w:ilvl w:val="2"/>
          <w:numId w:val="28"/>
        </w:numPr>
      </w:pPr>
      <w:bookmarkStart w:id="99" w:name="_Toc10122697"/>
      <w:r>
        <w:t>Procedures suggested in this Manual</w:t>
      </w:r>
      <w:bookmarkEnd w:id="99"/>
    </w:p>
    <w:p w14:paraId="756D8612" w14:textId="77777777" w:rsidR="00C46552" w:rsidRDefault="00C46552"/>
    <w:p w14:paraId="0B8ACD84" w14:textId="198340F5" w:rsidR="005A0575" w:rsidRDefault="00AE1025" w:rsidP="00292FD7">
      <w:r w:rsidRPr="00AE1025">
        <w:t xml:space="preserve">The methods are based on a combination of the Tier 1 </w:t>
      </w:r>
      <w:r w:rsidRPr="00AD3770">
        <w:rPr>
          <w:i/>
        </w:rPr>
        <w:t>IPCC Guidelines</w:t>
      </w:r>
      <w:r w:rsidRPr="00AE1025">
        <w:t xml:space="preserve"> and </w:t>
      </w:r>
      <w:r w:rsidRPr="00AD3770">
        <w:rPr>
          <w:i/>
        </w:rPr>
        <w:t>EMEP/EEA Guidebook</w:t>
      </w:r>
      <w:r w:rsidRPr="00AE1025">
        <w:t xml:space="preserve"> approaches with most of the default EFs coming from these two sources. However, fugitive NMVOC emissions from the handling and distribution of gasoline are estimated using the EMEP/EEA Guidebook Tier 2 method that takes into account annual average Reid Vapour Pressure (RVP) and annual average ambient temperature. Accounting for the effect of ambient temperature on NMVOC emissions is particularly important for countries located in the tropics.  Also, the default EFs for BC (1.6 kg/103 m3) and OC (1.6 kg/103 m3) emissions during flaring are those typical of non-OECD countries provided by Klimont et al. (2017). </w:t>
      </w:r>
      <w:r w:rsidR="005A0575">
        <w:t xml:space="preserve">For coke ovens, two sets of EFs based on Tier 1 </w:t>
      </w:r>
      <w:r w:rsidR="00292FD7">
        <w:rPr>
          <w:i/>
        </w:rPr>
        <w:t>EME</w:t>
      </w:r>
      <w:r w:rsidR="005A0575" w:rsidRPr="00184A2D">
        <w:rPr>
          <w:i/>
        </w:rPr>
        <w:t>P/EEA Guidelines</w:t>
      </w:r>
      <w:r w:rsidR="005A0575">
        <w:t xml:space="preserve"> are provided fo</w:t>
      </w:r>
      <w:r w:rsidR="00292FD7">
        <w:t>r SO</w:t>
      </w:r>
      <w:r w:rsidR="005A0575" w:rsidRPr="00AD3770">
        <w:rPr>
          <w:vertAlign w:val="subscript"/>
        </w:rPr>
        <w:t>2</w:t>
      </w:r>
      <w:r w:rsidR="00292FD7">
        <w:t>, NO</w:t>
      </w:r>
      <w:r w:rsidR="00292FD7" w:rsidRPr="00AD3770">
        <w:rPr>
          <w:vertAlign w:val="subscript"/>
        </w:rPr>
        <w:t>X</w:t>
      </w:r>
      <w:r w:rsidR="005A0575">
        <w:t>, CO, NMVOC,</w:t>
      </w:r>
      <w:r w:rsidR="00292FD7">
        <w:t xml:space="preserve"> and </w:t>
      </w:r>
      <w:r w:rsidR="005A0575">
        <w:t>NH</w:t>
      </w:r>
      <w:r w:rsidR="00292FD7" w:rsidRPr="00AD3770">
        <w:rPr>
          <w:vertAlign w:val="subscript"/>
        </w:rPr>
        <w:t>3</w:t>
      </w:r>
      <w:r w:rsidR="009F3F42">
        <w:rPr>
          <w:vertAlign w:val="subscript"/>
        </w:rPr>
        <w:t xml:space="preserve">; </w:t>
      </w:r>
      <w:r w:rsidR="005A0575">
        <w:t>those for ‘Uncontrolled’ traditional ovens assume</w:t>
      </w:r>
      <w:r w:rsidR="00292FD7">
        <w:t>d</w:t>
      </w:r>
      <w:r w:rsidR="005A0575">
        <w:t xml:space="preserve"> to equal the upper end of the range provided, and </w:t>
      </w:r>
      <w:r w:rsidR="00292FD7">
        <w:t>those</w:t>
      </w:r>
      <w:r w:rsidR="005A0575">
        <w:t xml:space="preserve"> for ‘Controlled’ ovens equal to the default </w:t>
      </w:r>
      <w:r w:rsidR="009F3F42">
        <w:t>(</w:t>
      </w:r>
      <w:r w:rsidR="005A0575">
        <w:t>geometric mean</w:t>
      </w:r>
      <w:r w:rsidR="009F3F42">
        <w:t>)</w:t>
      </w:r>
      <w:r w:rsidR="005A0575">
        <w:t xml:space="preserve"> value. </w:t>
      </w:r>
      <w:r w:rsidR="009F3F42">
        <w:t xml:space="preserve">Similarly, two sets of EFs derived from Bond et al. (2004) are provided for </w:t>
      </w:r>
      <w:r w:rsidR="00292FD7">
        <w:t>PM</w:t>
      </w:r>
      <w:r w:rsidR="00292FD7" w:rsidRPr="00B27A6F">
        <w:rPr>
          <w:vertAlign w:val="subscript"/>
        </w:rPr>
        <w:t>10</w:t>
      </w:r>
      <w:r w:rsidR="00292FD7">
        <w:t>, PM</w:t>
      </w:r>
      <w:r w:rsidR="00292FD7" w:rsidRPr="00B27A6F">
        <w:rPr>
          <w:vertAlign w:val="subscript"/>
        </w:rPr>
        <w:t>2.5</w:t>
      </w:r>
      <w:r w:rsidR="00292FD7">
        <w:t>,</w:t>
      </w:r>
      <w:r w:rsidR="009F3F42">
        <w:t xml:space="preserve"> BC and OC with their values for ‘Uncaptured’ emissions being assumed to apply to ‘Uncontrolled’ coke ovens.</w:t>
      </w:r>
    </w:p>
    <w:p w14:paraId="32B81F2A" w14:textId="77777777" w:rsidR="009F3F42" w:rsidRDefault="009F3F42" w:rsidP="00292FD7"/>
    <w:p w14:paraId="05BD66F7" w14:textId="6C555A23" w:rsidR="00C46552" w:rsidRDefault="00CD7F07">
      <w:pPr>
        <w:rPr>
          <w:color w:val="0000FF"/>
        </w:rPr>
      </w:pPr>
      <w:r>
        <w:t>For activity data, production rates for crude oil</w:t>
      </w:r>
      <w:r w:rsidR="007C16D8">
        <w:t xml:space="preserve"> (tonnes)</w:t>
      </w:r>
      <w:r>
        <w:t xml:space="preserve">, </w:t>
      </w:r>
      <w:r w:rsidR="007C16D8">
        <w:t xml:space="preserve">natural </w:t>
      </w:r>
      <w:r>
        <w:t>gas</w:t>
      </w:r>
      <w:r w:rsidR="007C16D8">
        <w:t xml:space="preserve"> (TJ), gasoline (tonnes)</w:t>
      </w:r>
      <w:r>
        <w:t xml:space="preserve"> and coke</w:t>
      </w:r>
      <w:r w:rsidR="007C16D8">
        <w:t xml:space="preserve"> (tonnes c</w:t>
      </w:r>
      <w:r>
        <w:t>oke oven coke and lignite coke)</w:t>
      </w:r>
      <w:r w:rsidR="007C16D8">
        <w:t xml:space="preserve"> and consumption rates for gasoline (tonnes)</w:t>
      </w:r>
      <w:r>
        <w:t xml:space="preserve"> are reported in the IEA statistics.</w:t>
      </w:r>
      <w:r>
        <w:rPr>
          <w:rStyle w:val="FootnoteReference"/>
        </w:rPr>
        <w:footnoteReference w:id="34"/>
      </w:r>
      <w:r>
        <w:t xml:space="preserve"> Other</w:t>
      </w:r>
      <w:r w:rsidR="00A167F7">
        <w:t xml:space="preserve"> activity</w:t>
      </w:r>
      <w:r>
        <w:t xml:space="preserve"> data will </w:t>
      </w:r>
      <w:r w:rsidR="00A167F7">
        <w:t xml:space="preserve">usually </w:t>
      </w:r>
      <w:r>
        <w:t xml:space="preserve">be obtained from </w:t>
      </w:r>
      <w:r w:rsidR="007C16D8">
        <w:t xml:space="preserve">the facilities themselves or from </w:t>
      </w:r>
      <w:r>
        <w:t xml:space="preserve">national statistical </w:t>
      </w:r>
      <w:r w:rsidR="00A167F7">
        <w:t>offices in each country.</w:t>
      </w:r>
    </w:p>
    <w:p w14:paraId="4E23C01C" w14:textId="77777777" w:rsidR="00C46552" w:rsidRDefault="00B16EB0" w:rsidP="00F75E5F">
      <w:pPr>
        <w:rPr>
          <w:b/>
          <w:i/>
        </w:rPr>
      </w:pPr>
      <w:r>
        <w:rPr>
          <w:b/>
          <w:i/>
        </w:rPr>
        <w:br w:type="page"/>
      </w:r>
    </w:p>
    <w:p w14:paraId="4C8DDCB8" w14:textId="77777777" w:rsidR="00C46552" w:rsidRDefault="00C46552">
      <w:pPr>
        <w:pStyle w:val="Heading1"/>
        <w:numPr>
          <w:ilvl w:val="0"/>
          <w:numId w:val="17"/>
        </w:numPr>
      </w:pPr>
      <w:bookmarkStart w:id="100" w:name="_Toc10122698"/>
      <w:r>
        <w:lastRenderedPageBreak/>
        <w:t>Industrial Process (non-combustion) emissions</w:t>
      </w:r>
      <w:r w:rsidR="00B11F8A">
        <w:t xml:space="preserve"> (Sector 6)</w:t>
      </w:r>
      <w:bookmarkEnd w:id="100"/>
      <w:r>
        <w:t xml:space="preserve">  </w:t>
      </w:r>
    </w:p>
    <w:p w14:paraId="795963EB" w14:textId="77777777" w:rsidR="00C46552" w:rsidRDefault="00C46552"/>
    <w:p w14:paraId="755B2FD8" w14:textId="77777777" w:rsidR="00C46552" w:rsidRDefault="00C46552" w:rsidP="00BE3408">
      <w:pPr>
        <w:pStyle w:val="Heading2"/>
      </w:pPr>
      <w:bookmarkStart w:id="101" w:name="_Toc10122699"/>
      <w:r>
        <w:t>Introduction</w:t>
      </w:r>
      <w:bookmarkEnd w:id="101"/>
    </w:p>
    <w:p w14:paraId="46476CE0" w14:textId="77777777" w:rsidR="00C46552" w:rsidRDefault="00C46552"/>
    <w:p w14:paraId="3D28AD82" w14:textId="77777777" w:rsidR="00C46552" w:rsidRPr="001E02EB" w:rsidRDefault="00C46552">
      <w:pPr>
        <w:rPr>
          <w:b/>
        </w:rPr>
      </w:pPr>
      <w:r>
        <w:t>A number of air pollutants not associated with fuel combustion are emitted during a variety of industrial processes. An example is SO</w:t>
      </w:r>
      <w:r>
        <w:rPr>
          <w:vertAlign w:val="subscript"/>
        </w:rPr>
        <w:t>2</w:t>
      </w:r>
      <w:r>
        <w:t xml:space="preserve"> emissions from copper smelting where the sulphur comes from the copper ore and not the fuel used to smelt it. </w:t>
      </w:r>
      <w:r w:rsidR="001E02EB" w:rsidRPr="001E02EB">
        <w:rPr>
          <w:b/>
        </w:rPr>
        <w:t>It is important</w:t>
      </w:r>
      <w:r w:rsidR="001E02EB">
        <w:t xml:space="preserve"> </w:t>
      </w:r>
      <w:r w:rsidR="001E02EB">
        <w:rPr>
          <w:b/>
        </w:rPr>
        <w:t>not to include</w:t>
      </w:r>
      <w:r w:rsidR="001E02EB">
        <w:t xml:space="preserve"> </w:t>
      </w:r>
      <w:r w:rsidR="001E02EB" w:rsidRPr="001E02EB">
        <w:rPr>
          <w:b/>
        </w:rPr>
        <w:t>emissions due to fuel combust</w:t>
      </w:r>
      <w:r w:rsidR="001E02EB">
        <w:rPr>
          <w:b/>
        </w:rPr>
        <w:t>ion</w:t>
      </w:r>
      <w:r w:rsidR="001E02EB" w:rsidRPr="001E02EB">
        <w:rPr>
          <w:b/>
        </w:rPr>
        <w:t xml:space="preserve"> here</w:t>
      </w:r>
      <w:r w:rsidR="001E02EB">
        <w:rPr>
          <w:b/>
        </w:rPr>
        <w:t>.</w:t>
      </w:r>
      <w:r w:rsidR="001E02EB">
        <w:t xml:space="preserve"> </w:t>
      </w:r>
      <w:r w:rsidR="001E02EB" w:rsidRPr="001E02EB">
        <w:rPr>
          <w:b/>
        </w:rPr>
        <w:t xml:space="preserve">This would be ‘double counting’ as fuel combustion emissions are already accounted for under </w:t>
      </w:r>
      <w:r w:rsidR="001E02EB" w:rsidRPr="001E02EB">
        <w:rPr>
          <w:b/>
          <w:i/>
        </w:rPr>
        <w:t>‘Combustion in Manufacturing Industries and Construction’</w:t>
      </w:r>
      <w:r w:rsidR="001E02EB" w:rsidRPr="001E02EB">
        <w:rPr>
          <w:b/>
        </w:rPr>
        <w:t xml:space="preserve"> above.</w:t>
      </w:r>
    </w:p>
    <w:p w14:paraId="5C952FCA" w14:textId="77777777" w:rsidR="00C46552" w:rsidRDefault="00C46552">
      <w:pPr>
        <w:ind w:firstLine="720"/>
      </w:pPr>
    </w:p>
    <w:p w14:paraId="625730DF" w14:textId="77777777" w:rsidR="00C46552" w:rsidRDefault="00C46552" w:rsidP="00CC1A86">
      <w:r>
        <w:t>The industrial process emission categories covered in this Manual are:</w:t>
      </w:r>
    </w:p>
    <w:p w14:paraId="45FAC8B5" w14:textId="77777777" w:rsidR="00C46552" w:rsidRDefault="00C46552">
      <w:pPr>
        <w:ind w:firstLine="720"/>
      </w:pPr>
    </w:p>
    <w:p w14:paraId="40F29E99" w14:textId="6F08ACDF" w:rsidR="00C46552" w:rsidRDefault="00C46552" w:rsidP="00CC1A86">
      <w:pPr>
        <w:numPr>
          <w:ilvl w:val="0"/>
          <w:numId w:val="4"/>
        </w:numPr>
        <w:tabs>
          <w:tab w:val="clear" w:pos="360"/>
          <w:tab w:val="num" w:pos="720"/>
        </w:tabs>
        <w:ind w:left="720"/>
      </w:pPr>
      <w:r w:rsidRPr="00CC1A86">
        <w:rPr>
          <w:i/>
        </w:rPr>
        <w:t>Mineral Products</w:t>
      </w:r>
      <w:r w:rsidR="00F5724C">
        <w:t xml:space="preserve"> (Portland cement production, Lime production, Asphalt roofing </w:t>
      </w:r>
      <w:r w:rsidR="00F5724C">
        <w:tab/>
        <w:t>production, Asphalt for road paving)</w:t>
      </w:r>
      <w:r w:rsidR="00CC1A86">
        <w:t>,</w:t>
      </w:r>
    </w:p>
    <w:p w14:paraId="36BB1B11" w14:textId="324A8C9A" w:rsidR="00C46552" w:rsidRDefault="00C46552" w:rsidP="00CC1A86">
      <w:pPr>
        <w:pStyle w:val="ListParagraph"/>
        <w:numPr>
          <w:ilvl w:val="0"/>
          <w:numId w:val="4"/>
        </w:numPr>
        <w:tabs>
          <w:tab w:val="clear" w:pos="360"/>
          <w:tab w:val="num" w:pos="720"/>
        </w:tabs>
        <w:ind w:left="720"/>
      </w:pPr>
      <w:r w:rsidRPr="00CC1A86">
        <w:rPr>
          <w:i/>
        </w:rPr>
        <w:t>The Chemical Industry</w:t>
      </w:r>
      <w:r w:rsidR="00F5724C">
        <w:t xml:space="preserve"> (Ammonia, Nitric acid, Adipic acid, Carbon black, Urea, </w:t>
      </w:r>
      <w:r w:rsidR="00F5724C">
        <w:tab/>
      </w:r>
      <w:r w:rsidR="00F5724C">
        <w:tab/>
      </w:r>
      <w:r w:rsidR="00F5724C">
        <w:tab/>
        <w:t>Ammonium nitrate, Ammonium phosphate, Sulphuric acid, Titanium dioxide)</w:t>
      </w:r>
      <w:r w:rsidR="00CC1A86">
        <w:t>,</w:t>
      </w:r>
    </w:p>
    <w:p w14:paraId="3B913893" w14:textId="266A6E1B" w:rsidR="00CC1A86" w:rsidRPr="00CC1A86" w:rsidRDefault="00C46552" w:rsidP="00CC1A86">
      <w:pPr>
        <w:pStyle w:val="ListParagraph"/>
        <w:numPr>
          <w:ilvl w:val="0"/>
          <w:numId w:val="44"/>
        </w:numPr>
        <w:rPr>
          <w:i/>
        </w:rPr>
      </w:pPr>
      <w:r w:rsidRPr="00CC1A86">
        <w:rPr>
          <w:i/>
        </w:rPr>
        <w:t>Metals Production</w:t>
      </w:r>
      <w:r w:rsidR="00F5724C">
        <w:t xml:space="preserve"> (Pig iron production, Aluminium production, Copper smelting (primary)               </w:t>
      </w:r>
      <w:r w:rsidR="00F5724C">
        <w:tab/>
        <w:t xml:space="preserve">as blister and other unrefined, Copper smelting (secondary), Lead smelting </w:t>
      </w:r>
      <w:r w:rsidR="00F5724C">
        <w:tab/>
      </w:r>
      <w:r w:rsidR="00F5724C">
        <w:tab/>
        <w:t xml:space="preserve">(primary), Lead smelting (secondary), Zinc smelting (primary), Zinc smelting </w:t>
      </w:r>
      <w:r w:rsidR="00CC1A86">
        <w:tab/>
      </w:r>
      <w:r w:rsidR="00CC1A86">
        <w:tab/>
      </w:r>
      <w:r w:rsidR="00F5724C">
        <w:t>(secondary)</w:t>
      </w:r>
      <w:r w:rsidR="00CC1A86">
        <w:t>,</w:t>
      </w:r>
    </w:p>
    <w:p w14:paraId="75849B75" w14:textId="79F205A9" w:rsidR="00C46552" w:rsidRDefault="00C46552" w:rsidP="00CC1A86">
      <w:pPr>
        <w:pStyle w:val="ListParagraph"/>
        <w:numPr>
          <w:ilvl w:val="0"/>
          <w:numId w:val="43"/>
        </w:numPr>
        <w:jc w:val="left"/>
      </w:pPr>
      <w:r w:rsidRPr="00CC1A86">
        <w:rPr>
          <w:i/>
        </w:rPr>
        <w:t>Pulp and Paper Industries</w:t>
      </w:r>
      <w:r w:rsidR="00F5724C">
        <w:t xml:space="preserve"> (Kraft pulping + Alkaline soda pulping, Acid sulphite pulping, </w:t>
      </w:r>
      <w:r w:rsidR="00F5724C">
        <w:tab/>
        <w:t>Neutral sulphite semi-chemical)</w:t>
      </w:r>
      <w:r w:rsidR="00CC1A86">
        <w:t>,</w:t>
      </w:r>
    </w:p>
    <w:p w14:paraId="7B4CBD07" w14:textId="260FD702" w:rsidR="00FB6007" w:rsidRDefault="00FB6007" w:rsidP="00CC1A86">
      <w:pPr>
        <w:numPr>
          <w:ilvl w:val="0"/>
          <w:numId w:val="4"/>
        </w:numPr>
        <w:tabs>
          <w:tab w:val="clear" w:pos="360"/>
          <w:tab w:val="num" w:pos="720"/>
        </w:tabs>
        <w:ind w:left="720"/>
        <w:jc w:val="left"/>
      </w:pPr>
      <w:r>
        <w:t>Alcoholic Beverages Production</w:t>
      </w:r>
      <w:r w:rsidR="00F5724C">
        <w:t xml:space="preserve"> (Beer, Red wine, White wine, Wine (unspecified), Malt </w:t>
      </w:r>
      <w:r w:rsidR="00CC1A86">
        <w:tab/>
      </w:r>
      <w:r w:rsidR="00F5724C">
        <w:t>whiskey, Grain whiskey, Brandy, Spirits (unspecified))</w:t>
      </w:r>
      <w:r w:rsidR="00CC1A86">
        <w:t>,</w:t>
      </w:r>
      <w:r>
        <w:t xml:space="preserve"> </w:t>
      </w:r>
    </w:p>
    <w:p w14:paraId="2999687A" w14:textId="44BD2FF2" w:rsidR="00CC1A86" w:rsidRDefault="00FB6007" w:rsidP="00CC1A86">
      <w:pPr>
        <w:numPr>
          <w:ilvl w:val="0"/>
          <w:numId w:val="4"/>
        </w:numPr>
        <w:tabs>
          <w:tab w:val="clear" w:pos="360"/>
          <w:tab w:val="num" w:pos="720"/>
        </w:tabs>
        <w:ind w:left="720"/>
      </w:pPr>
      <w:r w:rsidRPr="00CC1A86">
        <w:rPr>
          <w:i/>
        </w:rPr>
        <w:t>Food Production</w:t>
      </w:r>
      <w:r w:rsidR="00F5724C">
        <w:t xml:space="preserve"> (</w:t>
      </w:r>
      <w:r w:rsidR="00CC1A86">
        <w:t xml:space="preserve">Sugar (raw), Margarines and solid cooking fats, Cakes, biscuits and </w:t>
      </w:r>
      <w:r w:rsidR="00CC1A86">
        <w:tab/>
        <w:t>breakfast cereals, Other bread, Animal feed, Coffee roasting)</w:t>
      </w:r>
      <w:r>
        <w:t xml:space="preserve"> and</w:t>
      </w:r>
    </w:p>
    <w:p w14:paraId="7F8D29DA" w14:textId="69EC3684" w:rsidR="00BF732C" w:rsidRPr="00CC1A86" w:rsidRDefault="00BF732C" w:rsidP="00CC1A86">
      <w:pPr>
        <w:numPr>
          <w:ilvl w:val="0"/>
          <w:numId w:val="4"/>
        </w:numPr>
        <w:tabs>
          <w:tab w:val="clear" w:pos="360"/>
          <w:tab w:val="num" w:pos="720"/>
        </w:tabs>
        <w:ind w:left="720"/>
        <w:rPr>
          <w:i/>
        </w:rPr>
      </w:pPr>
      <w:r w:rsidRPr="00CC1A86">
        <w:rPr>
          <w:i/>
        </w:rPr>
        <w:t>Fugitive emissions of PM from major construction activities</w:t>
      </w:r>
      <w:r w:rsidR="00CC1A86">
        <w:rPr>
          <w:i/>
        </w:rPr>
        <w:t>.</w:t>
      </w:r>
    </w:p>
    <w:p w14:paraId="658B9BB6" w14:textId="77777777" w:rsidR="00C46552" w:rsidRDefault="00C46552"/>
    <w:p w14:paraId="37E17759" w14:textId="77777777" w:rsidR="00C46552" w:rsidRDefault="00C46552">
      <w:pPr>
        <w:ind w:firstLine="720"/>
      </w:pPr>
    </w:p>
    <w:p w14:paraId="5FAC7031" w14:textId="77777777" w:rsidR="00C46552" w:rsidRDefault="00C46552" w:rsidP="00BE3408">
      <w:pPr>
        <w:pStyle w:val="Heading2"/>
      </w:pPr>
      <w:bookmarkStart w:id="102" w:name="_Toc10122700"/>
      <w:r>
        <w:t>Procedures and default data used in this manual</w:t>
      </w:r>
      <w:bookmarkEnd w:id="102"/>
    </w:p>
    <w:p w14:paraId="7558DFFD" w14:textId="77777777" w:rsidR="00C46552" w:rsidRDefault="00C46552"/>
    <w:p w14:paraId="6D95E518" w14:textId="76683E6B" w:rsidR="00C46552" w:rsidRDefault="00446C0C">
      <w:r>
        <w:t xml:space="preserve">The methods used are mainly from the </w:t>
      </w:r>
      <w:r w:rsidRPr="004B40A2">
        <w:rPr>
          <w:i/>
        </w:rPr>
        <w:t>EMEP/EEA Guidebook</w:t>
      </w:r>
      <w:r>
        <w:t xml:space="preserve">. </w:t>
      </w:r>
      <w:r w:rsidR="006832DA">
        <w:t>If activity data are not available from national statistical offices</w:t>
      </w:r>
      <w:r w:rsidR="0096379F">
        <w:t xml:space="preserve"> or other official sources</w:t>
      </w:r>
      <w:r w:rsidR="006832DA">
        <w:t xml:space="preserve">, internationally compiled data can be obtained from the </w:t>
      </w:r>
      <w:r w:rsidR="006E053A">
        <w:t>USGS</w:t>
      </w:r>
      <w:r w:rsidR="006832DA">
        <w:t xml:space="preserve"> Minerals Yearbook</w:t>
      </w:r>
      <w:r w:rsidR="006E053A">
        <w:t>s</w:t>
      </w:r>
      <w:r w:rsidR="006832DA">
        <w:rPr>
          <w:rStyle w:val="FootnoteReference"/>
        </w:rPr>
        <w:footnoteReference w:id="35"/>
      </w:r>
      <w:r w:rsidR="006E053A">
        <w:t>, the Steel Statistical Yearbook</w:t>
      </w:r>
      <w:r w:rsidR="006E053A">
        <w:rPr>
          <w:rStyle w:val="FootnoteReference"/>
        </w:rPr>
        <w:footnoteReference w:id="36"/>
      </w:r>
      <w:r w:rsidR="006E053A">
        <w:t xml:space="preserve"> (for pig iron production), </w:t>
      </w:r>
      <w:r w:rsidR="006832DA">
        <w:t xml:space="preserve">the </w:t>
      </w:r>
      <w:r w:rsidR="006832DA">
        <w:rPr>
          <w:color w:val="000000"/>
        </w:rPr>
        <w:t xml:space="preserve">United Nations Industrial Commodity Statistics </w:t>
      </w:r>
      <w:r>
        <w:rPr>
          <w:color w:val="000000"/>
        </w:rPr>
        <w:t>Database</w:t>
      </w:r>
      <w:r w:rsidR="006832DA">
        <w:rPr>
          <w:rStyle w:val="FootnoteReference"/>
          <w:color w:val="000000"/>
        </w:rPr>
        <w:footnoteReference w:id="37"/>
      </w:r>
      <w:r w:rsidR="006832DA">
        <w:rPr>
          <w:color w:val="000000"/>
        </w:rPr>
        <w:t xml:space="preserve"> </w:t>
      </w:r>
      <w:r w:rsidR="006E053A">
        <w:rPr>
          <w:color w:val="000000"/>
        </w:rPr>
        <w:t xml:space="preserve">and, for pulp/paper industries, the </w:t>
      </w:r>
      <w:r w:rsidR="006E053A" w:rsidRPr="006E053A">
        <w:rPr>
          <w:color w:val="000000"/>
        </w:rPr>
        <w:t>FAOSTAT database</w:t>
      </w:r>
      <w:r w:rsidR="006E053A">
        <w:rPr>
          <w:rStyle w:val="FootnoteReference"/>
          <w:color w:val="000000"/>
        </w:rPr>
        <w:footnoteReference w:id="38"/>
      </w:r>
      <w:r w:rsidR="006E053A">
        <w:rPr>
          <w:color w:val="000000"/>
        </w:rPr>
        <w:t xml:space="preserve">. </w:t>
      </w:r>
      <w:r w:rsidR="00001732">
        <w:rPr>
          <w:color w:val="000000"/>
        </w:rPr>
        <w:t>Trade or branch organisations may also be able to provide data.</w:t>
      </w:r>
    </w:p>
    <w:p w14:paraId="2A82B10C" w14:textId="77777777" w:rsidR="00C46552" w:rsidRDefault="00C46552">
      <w:pPr>
        <w:ind w:left="360"/>
      </w:pPr>
    </w:p>
    <w:p w14:paraId="72CEDF6A" w14:textId="77777777" w:rsidR="00C46552" w:rsidRDefault="00C46552">
      <w:pPr>
        <w:ind w:left="360"/>
      </w:pPr>
    </w:p>
    <w:p w14:paraId="055DDF58" w14:textId="77777777" w:rsidR="00C46552" w:rsidRDefault="00C46552" w:rsidP="00BE3408">
      <w:pPr>
        <w:pStyle w:val="Heading2"/>
      </w:pPr>
      <w:bookmarkStart w:id="103" w:name="_Toc10122701"/>
      <w:r>
        <w:t>Application of parameters for control equipment</w:t>
      </w:r>
      <w:bookmarkEnd w:id="103"/>
      <w:r>
        <w:t xml:space="preserve"> </w:t>
      </w:r>
    </w:p>
    <w:p w14:paraId="7D4DF3EE" w14:textId="77777777" w:rsidR="00C46552" w:rsidRDefault="00C46552">
      <w:pPr>
        <w:rPr>
          <w:b/>
        </w:rPr>
      </w:pPr>
    </w:p>
    <w:p w14:paraId="3293DDCF" w14:textId="77777777" w:rsidR="00C46552" w:rsidRDefault="00C46552">
      <w:r>
        <w:t>Some provision for reflecting the use of control equipment is provided in the workbook in the form of alternative emission factors for commonly used control technologies.</w:t>
      </w:r>
      <w:r w:rsidR="00A21518">
        <w:t xml:space="preserve"> </w:t>
      </w:r>
      <w:r>
        <w:t xml:space="preserve"> Also, some of the footnotes to the Excel worksheets suggest alternative emission factors where emission controls are used.</w:t>
      </w:r>
      <w:r w:rsidR="0096379F">
        <w:t xml:space="preserve"> The default is to assume no emission control.</w:t>
      </w:r>
    </w:p>
    <w:p w14:paraId="6DB11AD9" w14:textId="77777777" w:rsidR="007C549C" w:rsidRDefault="007C549C"/>
    <w:p w14:paraId="6FE14A57" w14:textId="77777777" w:rsidR="00C46552" w:rsidRDefault="00C46552">
      <w:pPr>
        <w:pStyle w:val="TOC4"/>
      </w:pPr>
    </w:p>
    <w:p w14:paraId="30EDE464" w14:textId="77777777" w:rsidR="00C46552" w:rsidRDefault="00C46552" w:rsidP="00BE3408">
      <w:pPr>
        <w:pStyle w:val="Heading2"/>
      </w:pPr>
      <w:bookmarkStart w:id="104" w:name="_Toc10122702"/>
      <w:r>
        <w:lastRenderedPageBreak/>
        <w:t>Sources of emission factor data</w:t>
      </w:r>
      <w:bookmarkEnd w:id="104"/>
    </w:p>
    <w:p w14:paraId="315FA2AD" w14:textId="77777777" w:rsidR="00C46552" w:rsidRDefault="00C46552"/>
    <w:p w14:paraId="3CF0923A" w14:textId="133E2553" w:rsidR="00C46552" w:rsidRDefault="00446C0C">
      <w:r>
        <w:t xml:space="preserve">The default emission factors are mainly Tier 2 factors from the </w:t>
      </w:r>
      <w:r w:rsidRPr="00345D3B">
        <w:rPr>
          <w:i/>
        </w:rPr>
        <w:t>EMEP/EEA Guidebook</w:t>
      </w:r>
      <w:r>
        <w:t xml:space="preserve">; references for the other source documents are provided in the Workbook. </w:t>
      </w:r>
      <w:r w:rsidR="00C46552">
        <w:t>In some cases, local emission factors can be derived from emissions and production data that have been measured for particular plants in the country for which emissions estimates are prepared, or from national or provincial emissions factor reference sources.</w:t>
      </w:r>
    </w:p>
    <w:p w14:paraId="74268A91" w14:textId="77777777" w:rsidR="00C46552" w:rsidRPr="00AB140B" w:rsidRDefault="00C46552" w:rsidP="00C57964">
      <w:pPr>
        <w:rPr>
          <w:b/>
          <w:sz w:val="4"/>
          <w:szCs w:val="4"/>
        </w:rPr>
      </w:pPr>
      <w:r>
        <w:br w:type="column"/>
      </w:r>
    </w:p>
    <w:p w14:paraId="059ED22B" w14:textId="77777777" w:rsidR="006D5536" w:rsidRDefault="006D5536" w:rsidP="00C57964">
      <w:pPr>
        <w:pStyle w:val="Heading1"/>
        <w:numPr>
          <w:ilvl w:val="0"/>
          <w:numId w:val="17"/>
        </w:numPr>
      </w:pPr>
      <w:bookmarkStart w:id="105" w:name="_Toc10122703"/>
      <w:r>
        <w:t>Emissions from solvent and other product use</w:t>
      </w:r>
      <w:r w:rsidR="000066AA">
        <w:t xml:space="preserve"> (Sector 7)</w:t>
      </w:r>
      <w:bookmarkEnd w:id="105"/>
    </w:p>
    <w:p w14:paraId="38F167E8" w14:textId="77777777" w:rsidR="006D5536" w:rsidRDefault="006D5536" w:rsidP="006D5536"/>
    <w:p w14:paraId="202BF02C" w14:textId="77777777" w:rsidR="000E666A" w:rsidRDefault="000E666A" w:rsidP="00BE3408">
      <w:pPr>
        <w:pStyle w:val="Heading2"/>
      </w:pPr>
      <w:bookmarkStart w:id="106" w:name="_Toc484189432"/>
      <w:bookmarkStart w:id="107" w:name="_Toc10122704"/>
      <w:r>
        <w:t>Introduction</w:t>
      </w:r>
      <w:bookmarkEnd w:id="106"/>
      <w:bookmarkEnd w:id="107"/>
    </w:p>
    <w:p w14:paraId="50A98700" w14:textId="77777777" w:rsidR="000E666A" w:rsidRDefault="000E666A" w:rsidP="000E666A"/>
    <w:p w14:paraId="12ACDBA0" w14:textId="77777777" w:rsidR="00B11F8A" w:rsidRDefault="000E666A" w:rsidP="000E666A">
      <w:pPr>
        <w:ind w:firstLine="720"/>
      </w:pPr>
      <w:r>
        <w:t xml:space="preserve">In some countries, the use of solvents and other products containing light hydrocarbon compounds can be a major source of emissions to the atmosphere of non-methane volatile organic compounds (NMVOCs).  </w:t>
      </w:r>
      <w:r w:rsidR="00B11F8A">
        <w:t>T</w:t>
      </w:r>
      <w:r>
        <w:t xml:space="preserve">he general approach to estimating emissions is to </w:t>
      </w:r>
      <w:r w:rsidR="00DA6159">
        <w:t>find out</w:t>
      </w:r>
      <w:r>
        <w:t xml:space="preserve"> the extent of the</w:t>
      </w:r>
      <w:r w:rsidR="00DA6159">
        <w:t xml:space="preserve"> relevant</w:t>
      </w:r>
      <w:r>
        <w:t xml:space="preserve"> activity</w:t>
      </w:r>
      <w:r w:rsidR="00DA6159">
        <w:t xml:space="preserve"> - </w:t>
      </w:r>
      <w:r>
        <w:t>for example, the tonnage of solvent-based paint used in a particular application</w:t>
      </w:r>
      <w:r w:rsidR="00DA6159">
        <w:t xml:space="preserve"> - a</w:t>
      </w:r>
      <w:r>
        <w:t xml:space="preserve">nd multiply </w:t>
      </w:r>
      <w:r w:rsidR="00B11F8A">
        <w:t>this</w:t>
      </w:r>
      <w:r>
        <w:t xml:space="preserve"> by an emission factor (for example, kg of NMVOCs per tonne of paint used)</w:t>
      </w:r>
      <w:r w:rsidR="00B11F8A">
        <w:t>.</w:t>
      </w:r>
      <w:r w:rsidR="0050025C">
        <w:t xml:space="preserve"> Emissions from solvent use may alternatively be estimated using mass balances. This is more accurate, but also more data intensive as it requires information about detailed consumption of pure solvents, solvent containing products and their solvent content.</w:t>
      </w:r>
    </w:p>
    <w:p w14:paraId="0C724DB0" w14:textId="77777777" w:rsidR="000E666A" w:rsidRDefault="000E666A" w:rsidP="000E666A">
      <w:pPr>
        <w:ind w:firstLine="720"/>
      </w:pPr>
      <w:r>
        <w:t xml:space="preserve"> </w:t>
      </w:r>
    </w:p>
    <w:p w14:paraId="181B1422" w14:textId="77777777" w:rsidR="000E666A" w:rsidRDefault="000E666A" w:rsidP="000E666A">
      <w:pPr>
        <w:ind w:firstLine="720"/>
      </w:pPr>
      <w:r>
        <w:t>The major solvent and other product use categories covered in this manual are:</w:t>
      </w:r>
    </w:p>
    <w:p w14:paraId="61E022DB" w14:textId="77777777" w:rsidR="000E666A" w:rsidRDefault="000E666A" w:rsidP="000E666A">
      <w:pPr>
        <w:ind w:firstLine="720"/>
      </w:pPr>
    </w:p>
    <w:p w14:paraId="6EA628D6" w14:textId="0B136ECC" w:rsidR="000E666A" w:rsidRDefault="000E666A" w:rsidP="004B40A2">
      <w:pPr>
        <w:ind w:left="360"/>
        <w:jc w:val="left"/>
      </w:pPr>
      <w:r w:rsidRPr="004B40A2">
        <w:rPr>
          <w:i/>
        </w:rPr>
        <w:t>Paint application (solvent based)</w:t>
      </w:r>
      <w:r w:rsidR="006F27A0">
        <w:t xml:space="preserve"> (Industrial, Decorative)</w:t>
      </w:r>
    </w:p>
    <w:p w14:paraId="77798E8D" w14:textId="77777777" w:rsidR="000E666A" w:rsidRPr="004B40A2" w:rsidRDefault="000E666A" w:rsidP="004B40A2">
      <w:pPr>
        <w:ind w:left="360"/>
        <w:jc w:val="left"/>
        <w:rPr>
          <w:i/>
        </w:rPr>
      </w:pPr>
      <w:r w:rsidRPr="004B40A2">
        <w:rPr>
          <w:i/>
        </w:rPr>
        <w:t>Paint application (water based),</w:t>
      </w:r>
    </w:p>
    <w:p w14:paraId="0D5EBE52" w14:textId="62EA1EE1" w:rsidR="000E666A" w:rsidRPr="004B40A2" w:rsidRDefault="000E666A" w:rsidP="004B40A2">
      <w:pPr>
        <w:ind w:left="360"/>
        <w:jc w:val="left"/>
        <w:rPr>
          <w:i/>
        </w:rPr>
      </w:pPr>
      <w:r w:rsidRPr="004B40A2">
        <w:rPr>
          <w:i/>
        </w:rPr>
        <w:t>Metal degreasing</w:t>
      </w:r>
      <w:r w:rsidR="006F27A0" w:rsidRPr="004B40A2">
        <w:rPr>
          <w:i/>
        </w:rPr>
        <w:t xml:space="preserve"> (open-top degreaser)</w:t>
      </w:r>
      <w:r w:rsidRPr="004B40A2">
        <w:rPr>
          <w:i/>
        </w:rPr>
        <w:t>,</w:t>
      </w:r>
    </w:p>
    <w:p w14:paraId="06B81673" w14:textId="77777777" w:rsidR="000E666A" w:rsidRPr="004B40A2" w:rsidRDefault="000E666A" w:rsidP="004B40A2">
      <w:pPr>
        <w:ind w:left="360"/>
        <w:jc w:val="left"/>
        <w:rPr>
          <w:i/>
        </w:rPr>
      </w:pPr>
      <w:r w:rsidRPr="004B40A2">
        <w:rPr>
          <w:i/>
        </w:rPr>
        <w:t>Dry cleaning of fabrics,</w:t>
      </w:r>
    </w:p>
    <w:p w14:paraId="5F41F844" w14:textId="1E5F01D4" w:rsidR="000E666A" w:rsidRDefault="000E666A" w:rsidP="004B40A2">
      <w:pPr>
        <w:numPr>
          <w:ilvl w:val="0"/>
          <w:numId w:val="4"/>
        </w:numPr>
        <w:tabs>
          <w:tab w:val="clear" w:pos="360"/>
          <w:tab w:val="num" w:pos="720"/>
        </w:tabs>
        <w:ind w:left="720"/>
        <w:jc w:val="left"/>
      </w:pPr>
      <w:r w:rsidRPr="004B40A2">
        <w:rPr>
          <w:i/>
        </w:rPr>
        <w:t>Chemical products manufacture</w:t>
      </w:r>
      <w:r w:rsidR="006F27A0">
        <w:t xml:space="preserve"> (Polyester processing, Polyvinylchloride, Polyurethane, Polystyrene foam, Rubber processing, Paints, inks and glues)</w:t>
      </w:r>
      <w:r>
        <w:t>, and</w:t>
      </w:r>
    </w:p>
    <w:p w14:paraId="00DE3547" w14:textId="3CA59C3F" w:rsidR="000E666A" w:rsidRDefault="000E666A" w:rsidP="004B40A2">
      <w:pPr>
        <w:ind w:left="360"/>
        <w:jc w:val="left"/>
      </w:pPr>
      <w:r w:rsidRPr="004B40A2">
        <w:rPr>
          <w:i/>
        </w:rPr>
        <w:t>Other use of solvents</w:t>
      </w:r>
      <w:r w:rsidR="006F27A0">
        <w:t xml:space="preserve"> (Mineral wool enduction, Glass wool enduction, Printing industry [Heat set offset, Publication gravure, Packaging (small flexography)], Fat, edible and non-edible oil (solvent extraction), Application of glue and adhesives)</w:t>
      </w:r>
      <w:r>
        <w:t>.</w:t>
      </w:r>
    </w:p>
    <w:p w14:paraId="67AE9FD6" w14:textId="77777777" w:rsidR="000E666A" w:rsidRDefault="000E666A" w:rsidP="000E666A"/>
    <w:p w14:paraId="3136B3AE" w14:textId="77777777" w:rsidR="000E666A" w:rsidRDefault="000E666A" w:rsidP="000E666A">
      <w:pPr>
        <w:ind w:firstLine="720"/>
      </w:pPr>
    </w:p>
    <w:p w14:paraId="1A97DE79" w14:textId="77777777" w:rsidR="00D345A3" w:rsidRDefault="00D345A3" w:rsidP="00BE3408">
      <w:pPr>
        <w:pStyle w:val="Heading2"/>
      </w:pPr>
      <w:bookmarkStart w:id="108" w:name="_Toc484189434"/>
      <w:bookmarkStart w:id="109" w:name="_Toc10122705"/>
      <w:r>
        <w:t>Procedure and default data suggested in this manual</w:t>
      </w:r>
      <w:bookmarkEnd w:id="108"/>
      <w:bookmarkEnd w:id="109"/>
    </w:p>
    <w:p w14:paraId="4F3E8DA4" w14:textId="77777777" w:rsidR="000E666A" w:rsidRDefault="000E666A" w:rsidP="000E666A"/>
    <w:p w14:paraId="2DCCA392" w14:textId="5699ECA7" w:rsidR="00D345A3" w:rsidRDefault="00D345A3" w:rsidP="004B40A2">
      <w:r>
        <w:t>References for the source documents of the default emission factors are provided in the Workbook. The annual output or use is estimated (in tonnes of commodity, being sure to use consistent commodity specifications) for each of the categories and sub-categories.</w:t>
      </w:r>
      <w:r w:rsidR="00D01289">
        <w:t xml:space="preserve"> Activity data may be obtained from national statistical office</w:t>
      </w:r>
      <w:r w:rsidR="000612E0">
        <w:t xml:space="preserve"> (or other official sources)</w:t>
      </w:r>
      <w:r w:rsidR="00D01289">
        <w:t>, industrial sources or, for commodity production data, the UN Industrial Commodity Statistics.</w:t>
      </w:r>
      <w:r w:rsidRPr="00D345A3">
        <w:t xml:space="preserve"> </w:t>
      </w:r>
      <w:r>
        <w:t>The estimates of annual output are multiplied by the user-selected (or default) emission factors to yield estimates of total annual NMVOC emissions by process/sub-process.</w:t>
      </w:r>
    </w:p>
    <w:p w14:paraId="1EABED76" w14:textId="77777777" w:rsidR="00835E3E" w:rsidRDefault="00835E3E" w:rsidP="000E666A">
      <w:pPr>
        <w:jc w:val="center"/>
      </w:pPr>
    </w:p>
    <w:p w14:paraId="44C17E0A" w14:textId="77777777" w:rsidR="00835E3E" w:rsidRDefault="00835E3E" w:rsidP="00835E3E"/>
    <w:p w14:paraId="4E0D2BFC" w14:textId="77777777" w:rsidR="00835E3E" w:rsidRDefault="00835E3E" w:rsidP="00BE3408">
      <w:pPr>
        <w:pStyle w:val="Heading2"/>
      </w:pPr>
      <w:bookmarkStart w:id="110" w:name="_Toc484189435"/>
      <w:bookmarkStart w:id="111" w:name="_Toc10122706"/>
      <w:r>
        <w:t>Application of parameters for control equipment</w:t>
      </w:r>
      <w:bookmarkEnd w:id="110"/>
      <w:bookmarkEnd w:id="111"/>
    </w:p>
    <w:p w14:paraId="6A5D4107" w14:textId="77777777" w:rsidR="00835E3E" w:rsidRDefault="00835E3E" w:rsidP="00835E3E">
      <w:pPr>
        <w:rPr>
          <w:b/>
        </w:rPr>
      </w:pPr>
    </w:p>
    <w:p w14:paraId="1694AB9F" w14:textId="77777777" w:rsidR="00AB140B" w:rsidRPr="00AB140B" w:rsidRDefault="00835E3E" w:rsidP="00AB140B">
      <w:pPr>
        <w:rPr>
          <w:szCs w:val="24"/>
        </w:rPr>
      </w:pPr>
      <w:r w:rsidRPr="00AB140B">
        <w:rPr>
          <w:szCs w:val="24"/>
        </w:rPr>
        <w:t>As with industrial process emissions, no explicit provision for reflecting the use of control equipment is provided in the procedure suggested here, but the use of control equipment can be implicitly included in the calculation by using (lower) non-default emission factors that are consistent with the use of emission controls. For example, use of solvents in dry cleaning installations where controls are used may, based on USEPA data, result in an 80 percent reduction in emissions (from 1000 to 200 kg/tonne of solvent use).</w:t>
      </w:r>
      <w:r w:rsidR="00347F28" w:rsidRPr="00AB140B">
        <w:rPr>
          <w:szCs w:val="24"/>
        </w:rPr>
        <w:t xml:space="preserve"> It should also be taken into account that there can be large regional and country differences in solvent content </w:t>
      </w:r>
      <w:r w:rsidR="00AB140B" w:rsidRPr="00AB140B">
        <w:rPr>
          <w:szCs w:val="24"/>
        </w:rPr>
        <w:t xml:space="preserve">and solvent composition due to regulations, so use of standard emission factors can be misleading. </w:t>
      </w:r>
    </w:p>
    <w:p w14:paraId="6088B2D3" w14:textId="607C02D7" w:rsidR="00FD04BF" w:rsidRDefault="00FD04BF" w:rsidP="00AB140B">
      <w:pPr>
        <w:rPr>
          <w:szCs w:val="24"/>
        </w:rPr>
      </w:pPr>
    </w:p>
    <w:p w14:paraId="1085EBCB" w14:textId="1DA3D9CD" w:rsidR="00B35FE9" w:rsidRDefault="00B35FE9" w:rsidP="00AB140B">
      <w:pPr>
        <w:rPr>
          <w:szCs w:val="24"/>
        </w:rPr>
      </w:pPr>
    </w:p>
    <w:p w14:paraId="31E752B5" w14:textId="198DC3A8" w:rsidR="00B35FE9" w:rsidRDefault="00B35FE9" w:rsidP="00AB140B">
      <w:pPr>
        <w:rPr>
          <w:szCs w:val="24"/>
        </w:rPr>
      </w:pPr>
    </w:p>
    <w:p w14:paraId="6E97C48B" w14:textId="77777777" w:rsidR="00B35FE9" w:rsidRPr="00AB140B" w:rsidRDefault="00B35FE9" w:rsidP="00AB140B">
      <w:pPr>
        <w:rPr>
          <w:szCs w:val="24"/>
        </w:rPr>
      </w:pPr>
    </w:p>
    <w:p w14:paraId="77412E1A" w14:textId="77777777" w:rsidR="002462FB" w:rsidRDefault="002462FB" w:rsidP="000E666A">
      <w:pPr>
        <w:jc w:val="center"/>
      </w:pPr>
    </w:p>
    <w:p w14:paraId="4DAEAAB5" w14:textId="77777777" w:rsidR="00C46552" w:rsidRDefault="00C46552" w:rsidP="00C57964">
      <w:pPr>
        <w:pStyle w:val="Heading1"/>
        <w:numPr>
          <w:ilvl w:val="0"/>
          <w:numId w:val="17"/>
        </w:numPr>
      </w:pPr>
      <w:bookmarkStart w:id="112" w:name="_Toc10122707"/>
      <w:r>
        <w:lastRenderedPageBreak/>
        <w:t>Emissions from Agriculture</w:t>
      </w:r>
      <w:r w:rsidR="000066AA">
        <w:t xml:space="preserve"> (Sector 8)</w:t>
      </w:r>
      <w:bookmarkEnd w:id="112"/>
      <w:r>
        <w:t xml:space="preserve"> </w:t>
      </w:r>
    </w:p>
    <w:p w14:paraId="40D7CEED" w14:textId="77777777" w:rsidR="00C46552" w:rsidRDefault="00C46552"/>
    <w:p w14:paraId="322A2687" w14:textId="77777777" w:rsidR="00C46552" w:rsidRDefault="00C46552" w:rsidP="00BE3408">
      <w:pPr>
        <w:pStyle w:val="Heading2"/>
      </w:pPr>
      <w:bookmarkStart w:id="113" w:name="_Toc10122708"/>
      <w:r>
        <w:t>Introduction</w:t>
      </w:r>
      <w:bookmarkEnd w:id="113"/>
    </w:p>
    <w:p w14:paraId="1614C703" w14:textId="77777777" w:rsidR="00C46552" w:rsidRPr="00E01530" w:rsidRDefault="00C46552">
      <w:pPr>
        <w:rPr>
          <w:sz w:val="12"/>
          <w:szCs w:val="12"/>
        </w:rPr>
      </w:pPr>
    </w:p>
    <w:p w14:paraId="362379E2" w14:textId="3E7DB2E8" w:rsidR="00C46552" w:rsidRDefault="00C46552">
      <w:r>
        <w:t>Several types of agricultural activit</w:t>
      </w:r>
      <w:r w:rsidR="000E4E21">
        <w:t>y</w:t>
      </w:r>
      <w:r>
        <w:t xml:space="preserve"> emit air pollutants including</w:t>
      </w:r>
      <w:r w:rsidR="00585F1D">
        <w:t>:</w:t>
      </w:r>
      <w:r>
        <w:t xml:space="preserve"> livestock </w:t>
      </w:r>
      <w:r w:rsidR="007515AC">
        <w:t>enteric fermentation (a source methane (CH</w:t>
      </w:r>
      <w:r w:rsidR="007515AC" w:rsidRPr="002722D9">
        <w:rPr>
          <w:vertAlign w:val="subscript"/>
        </w:rPr>
        <w:t>4</w:t>
      </w:r>
      <w:r w:rsidR="007515AC">
        <w:t>) emissions)</w:t>
      </w:r>
      <w:r w:rsidR="00585F1D">
        <w:t>, livestock</w:t>
      </w:r>
      <w:r w:rsidR="007515AC">
        <w:t xml:space="preserve"> </w:t>
      </w:r>
      <w:r>
        <w:t>manure</w:t>
      </w:r>
      <w:r w:rsidR="007515AC">
        <w:t xml:space="preserve"> management</w:t>
      </w:r>
      <w:r>
        <w:t xml:space="preserve"> (a source of ammonia (NH</w:t>
      </w:r>
      <w:r>
        <w:rPr>
          <w:vertAlign w:val="subscript"/>
        </w:rPr>
        <w:t>3</w:t>
      </w:r>
      <w:r>
        <w:t xml:space="preserve">) </w:t>
      </w:r>
      <w:r w:rsidR="004735E1">
        <w:t>and CH</w:t>
      </w:r>
      <w:r w:rsidR="004735E1" w:rsidRPr="002722D9">
        <w:rPr>
          <w:vertAlign w:val="subscript"/>
        </w:rPr>
        <w:t>4</w:t>
      </w:r>
      <w:r w:rsidR="004735E1">
        <w:t xml:space="preserve"> </w:t>
      </w:r>
      <w:r>
        <w:t>emissions)</w:t>
      </w:r>
      <w:r w:rsidR="00585F1D">
        <w:t xml:space="preserve"> and animal housing (PM</w:t>
      </w:r>
      <w:r w:rsidR="00585F1D" w:rsidRPr="004B40A2">
        <w:rPr>
          <w:vertAlign w:val="subscript"/>
        </w:rPr>
        <w:t>10</w:t>
      </w:r>
      <w:r w:rsidR="00585F1D">
        <w:t xml:space="preserve"> and PM</w:t>
      </w:r>
      <w:r w:rsidR="00585F1D" w:rsidRPr="004B40A2">
        <w:rPr>
          <w:vertAlign w:val="subscript"/>
        </w:rPr>
        <w:t>2.5</w:t>
      </w:r>
      <w:r w:rsidR="00585F1D">
        <w:t>),</w:t>
      </w:r>
      <w:r>
        <w:t xml:space="preserve"> application of </w:t>
      </w:r>
      <w:r w:rsidR="00585F1D">
        <w:t xml:space="preserve">nitrogen-containing </w:t>
      </w:r>
      <w:r>
        <w:t>fertilizers (a source of both NO</w:t>
      </w:r>
      <w:r>
        <w:rPr>
          <w:vertAlign w:val="subscript"/>
        </w:rPr>
        <w:t>x</w:t>
      </w:r>
      <w:r>
        <w:t xml:space="preserve"> and NH</w:t>
      </w:r>
      <w:r>
        <w:rPr>
          <w:vertAlign w:val="subscript"/>
        </w:rPr>
        <w:t>3</w:t>
      </w:r>
      <w:r>
        <w:t xml:space="preserve">), </w:t>
      </w:r>
      <w:r w:rsidR="004B40A2">
        <w:t>s</w:t>
      </w:r>
      <w:r w:rsidR="00BF61A5">
        <w:t xml:space="preserve">avanna burning </w:t>
      </w:r>
      <w:r>
        <w:t xml:space="preserve">and burning of agricultural </w:t>
      </w:r>
      <w:r w:rsidR="00C16BD1">
        <w:t xml:space="preserve">crop </w:t>
      </w:r>
      <w:r>
        <w:t xml:space="preserve">residues </w:t>
      </w:r>
      <w:r w:rsidR="00BF61A5">
        <w:t xml:space="preserve">both of which </w:t>
      </w:r>
      <w:r>
        <w:t>emits a range of air pollutants (NO</w:t>
      </w:r>
      <w:r>
        <w:rPr>
          <w:vertAlign w:val="subscript"/>
        </w:rPr>
        <w:t>x</w:t>
      </w:r>
      <w:r>
        <w:t>, SO</w:t>
      </w:r>
      <w:r>
        <w:rPr>
          <w:vertAlign w:val="subscript"/>
        </w:rPr>
        <w:t>x</w:t>
      </w:r>
      <w:r>
        <w:t>, NH</w:t>
      </w:r>
      <w:r>
        <w:rPr>
          <w:vertAlign w:val="subscript"/>
        </w:rPr>
        <w:t>3</w:t>
      </w:r>
      <w:r>
        <w:t xml:space="preserve">, </w:t>
      </w:r>
      <w:r w:rsidR="000B508F">
        <w:t xml:space="preserve">CO, </w:t>
      </w:r>
      <w:r w:rsidR="00C16BD1" w:rsidRPr="00C16BD1">
        <w:t>CH</w:t>
      </w:r>
      <w:r w:rsidR="00C16BD1" w:rsidRPr="002722D9">
        <w:rPr>
          <w:vertAlign w:val="subscript"/>
        </w:rPr>
        <w:t>4</w:t>
      </w:r>
      <w:r w:rsidR="00C16BD1">
        <w:t xml:space="preserve">, </w:t>
      </w:r>
      <w:r w:rsidR="000B508F">
        <w:t xml:space="preserve">NMVOC </w:t>
      </w:r>
      <w:r>
        <w:t>and particulate matter)</w:t>
      </w:r>
      <w:r w:rsidR="00746110">
        <w:t>, and rice cultivation (CH</w:t>
      </w:r>
      <w:r w:rsidR="00746110" w:rsidRPr="00746110">
        <w:rPr>
          <w:vertAlign w:val="subscript"/>
        </w:rPr>
        <w:t>4</w:t>
      </w:r>
      <w:r w:rsidR="00746110">
        <w:t xml:space="preserve"> emissions)</w:t>
      </w:r>
      <w:r>
        <w:t xml:space="preserve">.   </w:t>
      </w:r>
    </w:p>
    <w:p w14:paraId="0A07AAFF" w14:textId="77777777" w:rsidR="00C46552" w:rsidRPr="00E01530" w:rsidRDefault="00C46552">
      <w:pPr>
        <w:rPr>
          <w:sz w:val="12"/>
          <w:szCs w:val="12"/>
        </w:rPr>
      </w:pPr>
    </w:p>
    <w:p w14:paraId="6337AE95" w14:textId="59DF8138" w:rsidR="00C46552" w:rsidRPr="00E01530" w:rsidRDefault="00C46552">
      <w:pPr>
        <w:ind w:firstLine="720"/>
        <w:rPr>
          <w:b/>
          <w:sz w:val="4"/>
          <w:szCs w:val="4"/>
        </w:rPr>
      </w:pPr>
      <w:r>
        <w:t>In general, agricultural emissions are calculated by multiplying an activity rate by an emission factor.  Activity data such as the numbers of livestock present, the amount of fertilizer applied</w:t>
      </w:r>
      <w:r w:rsidR="00A312B1">
        <w:t>,</w:t>
      </w:r>
      <w:r>
        <w:t xml:space="preserve"> annual crop production (for crop residue burning)</w:t>
      </w:r>
      <w:r w:rsidR="00A312B1">
        <w:t xml:space="preserve"> and area of savannah burnt</w:t>
      </w:r>
      <w:r>
        <w:t xml:space="preserve"> are available on the internet from the FAOSTAT database</w:t>
      </w:r>
      <w:r>
        <w:rPr>
          <w:rStyle w:val="FootnoteReference"/>
        </w:rPr>
        <w:footnoteReference w:id="39"/>
      </w:r>
      <w:r>
        <w:t xml:space="preserve">. </w:t>
      </w:r>
    </w:p>
    <w:p w14:paraId="6A3181F0" w14:textId="1AAD9AA7" w:rsidR="00C46552" w:rsidRDefault="00C46552">
      <w:pPr>
        <w:ind w:firstLine="720"/>
        <w:rPr>
          <w:b/>
        </w:rPr>
      </w:pPr>
    </w:p>
    <w:p w14:paraId="0852BF0A" w14:textId="77777777" w:rsidR="00C46552" w:rsidRDefault="00C46552" w:rsidP="00BE3408">
      <w:pPr>
        <w:pStyle w:val="Heading2"/>
      </w:pPr>
      <w:bookmarkStart w:id="114" w:name="_Toc10122709"/>
      <w:r>
        <w:t>Procedures suggested for use in this Manual</w:t>
      </w:r>
      <w:bookmarkEnd w:id="114"/>
    </w:p>
    <w:p w14:paraId="697796DB" w14:textId="77777777" w:rsidR="00C46552" w:rsidRPr="00E01530" w:rsidRDefault="00C46552">
      <w:pPr>
        <w:rPr>
          <w:sz w:val="12"/>
          <w:szCs w:val="12"/>
        </w:rPr>
      </w:pPr>
    </w:p>
    <w:p w14:paraId="2BE3408D" w14:textId="77777777" w:rsidR="00C46552" w:rsidRDefault="00C46552">
      <w:pPr>
        <w:pStyle w:val="Heading3"/>
        <w:numPr>
          <w:ilvl w:val="2"/>
          <w:numId w:val="18"/>
        </w:numPr>
      </w:pPr>
      <w:bookmarkStart w:id="115" w:name="_Toc10122710"/>
      <w:r>
        <w:t>Sources of emissions covered</w:t>
      </w:r>
      <w:bookmarkEnd w:id="115"/>
    </w:p>
    <w:p w14:paraId="483037C4" w14:textId="77777777" w:rsidR="00C46552" w:rsidRPr="00E01530" w:rsidRDefault="00C46552">
      <w:pPr>
        <w:rPr>
          <w:sz w:val="12"/>
          <w:szCs w:val="12"/>
        </w:rPr>
      </w:pPr>
    </w:p>
    <w:p w14:paraId="7CD82C2C" w14:textId="522EEFD1" w:rsidR="000F58CE" w:rsidRPr="007F5500" w:rsidRDefault="00C46552" w:rsidP="007F5500">
      <w:pPr>
        <w:numPr>
          <w:ilvl w:val="0"/>
          <w:numId w:val="5"/>
        </w:numPr>
        <w:spacing w:before="120"/>
        <w:rPr>
          <w:b/>
        </w:rPr>
      </w:pPr>
      <w:r w:rsidRPr="007F5500">
        <w:rPr>
          <w:b/>
        </w:rPr>
        <w:t>Manure management</w:t>
      </w:r>
      <w:r>
        <w:t xml:space="preserve">: This source covers emissions of ammonia </w:t>
      </w:r>
      <w:r w:rsidR="00746110" w:rsidRPr="00746110">
        <w:t>(NH</w:t>
      </w:r>
      <w:r w:rsidR="00746110" w:rsidRPr="007F5500">
        <w:rPr>
          <w:vertAlign w:val="subscript"/>
        </w:rPr>
        <w:t>3</w:t>
      </w:r>
      <w:r w:rsidR="00746110" w:rsidRPr="00746110">
        <w:t>)</w:t>
      </w:r>
      <w:r w:rsidR="00B60230">
        <w:t>, nitric oxide (NO, expressed as NO</w:t>
      </w:r>
      <w:r w:rsidR="00B60230" w:rsidRPr="004B40A2">
        <w:rPr>
          <w:vertAlign w:val="subscript"/>
        </w:rPr>
        <w:t>2</w:t>
      </w:r>
      <w:r w:rsidR="00B60230">
        <w:t>)</w:t>
      </w:r>
      <w:r w:rsidR="00746110" w:rsidRPr="00746110">
        <w:t xml:space="preserve"> and methane (CH</w:t>
      </w:r>
      <w:r w:rsidR="00746110" w:rsidRPr="007F5500">
        <w:rPr>
          <w:vertAlign w:val="subscript"/>
        </w:rPr>
        <w:t>4</w:t>
      </w:r>
      <w:r w:rsidR="00746110" w:rsidRPr="00746110">
        <w:t xml:space="preserve">) </w:t>
      </w:r>
      <w:r>
        <w:t>from the storage and dispo</w:t>
      </w:r>
      <w:r w:rsidR="00344047">
        <w:t>sal of livestock manures from 1</w:t>
      </w:r>
      <w:r w:rsidR="00585F1D">
        <w:t>1</w:t>
      </w:r>
      <w:r>
        <w:t xml:space="preserve"> categories of livestock</w:t>
      </w:r>
      <w:r w:rsidR="004C2F20">
        <w:t xml:space="preserve"> (Dairy cattle, Other cattle, Buffalo, Pigs, Sheep, Goats, Horses, Mules and asses, Poultry, Fur animals and Camels)</w:t>
      </w:r>
      <w:r>
        <w:t xml:space="preserve">. </w:t>
      </w:r>
      <w:r w:rsidR="00746110">
        <w:t>E</w:t>
      </w:r>
      <w:r>
        <w:t>missions are a func</w:t>
      </w:r>
      <w:r w:rsidR="00746110">
        <w:t xml:space="preserve">tion of the number of </w:t>
      </w:r>
      <w:r w:rsidR="00585F1D">
        <w:t xml:space="preserve">animals </w:t>
      </w:r>
      <w:r>
        <w:t>and</w:t>
      </w:r>
      <w:r w:rsidR="00746110">
        <w:t>, for NH</w:t>
      </w:r>
      <w:r w:rsidR="00746110" w:rsidRPr="007F5500">
        <w:rPr>
          <w:vertAlign w:val="subscript"/>
        </w:rPr>
        <w:t>3</w:t>
      </w:r>
      <w:r w:rsidR="00746110">
        <w:t xml:space="preserve"> emissions, </w:t>
      </w:r>
      <w:r>
        <w:t>the way in which manures are handled.</w:t>
      </w:r>
    </w:p>
    <w:p w14:paraId="0C238940" w14:textId="2ACD007E" w:rsidR="00746110" w:rsidRPr="00645DA5" w:rsidRDefault="00746110" w:rsidP="00645DA5">
      <w:pPr>
        <w:numPr>
          <w:ilvl w:val="0"/>
          <w:numId w:val="5"/>
        </w:numPr>
        <w:spacing w:before="120"/>
      </w:pPr>
      <w:r w:rsidRPr="00645DA5">
        <w:rPr>
          <w:b/>
        </w:rPr>
        <w:t xml:space="preserve">Enteric fermentation: </w:t>
      </w:r>
      <w:r w:rsidR="00645DA5" w:rsidRPr="00645DA5">
        <w:t>Methane is produced in herbivores as a by-product of enteric fermentation, a digestive process by which</w:t>
      </w:r>
      <w:r w:rsidR="00645DA5">
        <w:t xml:space="preserve"> </w:t>
      </w:r>
      <w:r w:rsidR="00645DA5" w:rsidRPr="00645DA5">
        <w:t>carbohydrates are broken down by micro-organisms into simple molecules for absorption into the bloodstream.</w:t>
      </w:r>
      <w:r w:rsidR="00645DA5">
        <w:t xml:space="preserve"> </w:t>
      </w:r>
      <w:r w:rsidR="00645DA5" w:rsidRPr="00645DA5">
        <w:t>Ruminant livestock (e.g., cattle, sheep</w:t>
      </w:r>
      <w:r w:rsidR="00645DA5">
        <w:t>, goats, buffalo, camels</w:t>
      </w:r>
      <w:r w:rsidR="00645DA5" w:rsidRPr="00645DA5">
        <w:t>) are major sources of</w:t>
      </w:r>
      <w:r w:rsidR="00645DA5">
        <w:t xml:space="preserve"> </w:t>
      </w:r>
      <w:r w:rsidR="00645DA5" w:rsidRPr="00645DA5">
        <w:t>CH</w:t>
      </w:r>
      <w:r w:rsidR="00645DA5" w:rsidRPr="00645DA5">
        <w:rPr>
          <w:vertAlign w:val="subscript"/>
        </w:rPr>
        <w:t>4</w:t>
      </w:r>
      <w:r w:rsidR="00645DA5">
        <w:t xml:space="preserve"> </w:t>
      </w:r>
      <w:r w:rsidR="00645DA5" w:rsidRPr="00645DA5">
        <w:t xml:space="preserve">with moderate amounts produced from non-ruminant livestock </w:t>
      </w:r>
      <w:r w:rsidR="007F5500">
        <w:t>such as</w:t>
      </w:r>
      <w:r w:rsidR="00645DA5" w:rsidRPr="00645DA5">
        <w:t xml:space="preserve"> pigs, horses</w:t>
      </w:r>
      <w:r w:rsidR="007F5500">
        <w:t>, mules and asses</w:t>
      </w:r>
      <w:r w:rsidR="00645DA5" w:rsidRPr="00645DA5">
        <w:t>.</w:t>
      </w:r>
      <w:r w:rsidR="007F5500">
        <w:t xml:space="preserve"> </w:t>
      </w:r>
    </w:p>
    <w:p w14:paraId="4A551A11" w14:textId="77777777" w:rsidR="000F58CE" w:rsidRPr="000F58CE" w:rsidRDefault="000F58CE" w:rsidP="000F58CE">
      <w:pPr>
        <w:numPr>
          <w:ilvl w:val="0"/>
          <w:numId w:val="5"/>
        </w:numPr>
        <w:spacing w:before="120"/>
        <w:rPr>
          <w:rFonts w:ascii="TimesNewRomanPSMT" w:hAnsi="TimesNewRomanPSMT" w:cs="TimesNewRomanPSMT"/>
          <w:sz w:val="20"/>
          <w:lang w:val="en-US"/>
        </w:rPr>
      </w:pPr>
      <w:r>
        <w:rPr>
          <w:b/>
        </w:rPr>
        <w:t>Particle emissions from animal husbandry</w:t>
      </w:r>
      <w:r w:rsidRPr="000F58CE">
        <w:t>:</w:t>
      </w:r>
      <w:r>
        <w:t xml:space="preserve"> </w:t>
      </w:r>
      <w:r w:rsidRPr="000F58CE">
        <w:t>This source covers emissions</w:t>
      </w:r>
      <w:r>
        <w:t xml:space="preserve"> of primary PM</w:t>
      </w:r>
      <w:r w:rsidRPr="000F58CE">
        <w:rPr>
          <w:vertAlign w:val="subscript"/>
        </w:rPr>
        <w:t>10</w:t>
      </w:r>
      <w:r>
        <w:t xml:space="preserve"> and PM</w:t>
      </w:r>
      <w:r w:rsidRPr="000F58CE">
        <w:rPr>
          <w:vertAlign w:val="subscript"/>
        </w:rPr>
        <w:t>2.5</w:t>
      </w:r>
      <w:r>
        <w:t xml:space="preserve"> from ventilated animal housing systems. It do</w:t>
      </w:r>
      <w:r w:rsidR="00884DA8">
        <w:t>e</w:t>
      </w:r>
      <w:r>
        <w:t xml:space="preserve">s not cover PM emissions from free-range animals because of the lack of </w:t>
      </w:r>
      <w:r w:rsidR="00884DA8">
        <w:t xml:space="preserve">published </w:t>
      </w:r>
      <w:r>
        <w:t>emission factors.</w:t>
      </w:r>
      <w:r>
        <w:rPr>
          <w:b/>
        </w:rPr>
        <w:t xml:space="preserve"> </w:t>
      </w:r>
      <w:r>
        <w:rPr>
          <w:rFonts w:ascii="TimesNewRomanPSMT" w:hAnsi="TimesNewRomanPSMT" w:cs="TimesNewRomanPSMT"/>
          <w:szCs w:val="24"/>
          <w:lang w:val="en-US"/>
        </w:rPr>
        <w:t xml:space="preserve">There are several PM emission sources within livestock buildings; the feed itself and the feeding process, bedding materials), animal skin, fleece or plumage of housed animals and their </w:t>
      </w:r>
      <w:r w:rsidR="00884DA8">
        <w:rPr>
          <w:rFonts w:ascii="TimesNewRomanPSMT" w:hAnsi="TimesNewRomanPSMT" w:cs="TimesNewRomanPSMT"/>
          <w:szCs w:val="24"/>
          <w:lang w:val="en-US"/>
        </w:rPr>
        <w:t>dung and droppings,</w:t>
      </w:r>
      <w:r>
        <w:rPr>
          <w:rFonts w:ascii="TimesNewRomanPSMT" w:hAnsi="TimesNewRomanPSMT" w:cs="TimesNewRomanPSMT"/>
          <w:szCs w:val="24"/>
          <w:lang w:val="en-US"/>
        </w:rPr>
        <w:t xml:space="preserve"> and  re-suspension of dust already settled (re-entrainment) by animal activities.</w:t>
      </w:r>
      <w:r w:rsidR="00A36738">
        <w:rPr>
          <w:rFonts w:ascii="TimesNewRomanPSMT" w:hAnsi="TimesNewRomanPSMT" w:cs="TimesNewRomanPSMT"/>
          <w:szCs w:val="24"/>
          <w:lang w:val="en-US"/>
        </w:rPr>
        <w:t xml:space="preserve"> </w:t>
      </w:r>
    </w:p>
    <w:p w14:paraId="3DD5D265" w14:textId="77777777" w:rsidR="00C46552" w:rsidRDefault="00C46552" w:rsidP="00046FAB">
      <w:pPr>
        <w:numPr>
          <w:ilvl w:val="0"/>
          <w:numId w:val="8"/>
        </w:numPr>
        <w:tabs>
          <w:tab w:val="clear" w:pos="360"/>
        </w:tabs>
        <w:spacing w:before="120"/>
      </w:pPr>
      <w:r>
        <w:rPr>
          <w:b/>
        </w:rPr>
        <w:t>Emissions from fertilizer application</w:t>
      </w:r>
      <w:r>
        <w:t>: Some of the nitrogen contained in various types of fertilizer is typically released to the atmosphere as both NH</w:t>
      </w:r>
      <w:r>
        <w:rPr>
          <w:vertAlign w:val="subscript"/>
        </w:rPr>
        <w:t>3</w:t>
      </w:r>
      <w:r>
        <w:t xml:space="preserve"> and NO. Ammonia emissions from this source depend, among other factors, on the type and amount of fertilizer </w:t>
      </w:r>
      <w:r w:rsidR="00FD04BF">
        <w:t>applied</w:t>
      </w:r>
      <w:r>
        <w:t xml:space="preserve"> the method and timing of application, the types of soils to which each fertilizer is applied, and climatic factors.  The method described below for ammonia includes individual consideration of eight different types of fertilizer, with default emission factors for three different soil/climate combinations. Nitric oxide (NO) emissions are calculated more simply as a fraction of the total fertilizer-N applied. </w:t>
      </w:r>
    </w:p>
    <w:p w14:paraId="4EF54CD3" w14:textId="11A4FA03" w:rsidR="00C2555D" w:rsidRDefault="00C2555D" w:rsidP="00046FAB">
      <w:pPr>
        <w:numPr>
          <w:ilvl w:val="0"/>
          <w:numId w:val="8"/>
        </w:numPr>
        <w:tabs>
          <w:tab w:val="clear" w:pos="360"/>
        </w:tabs>
        <w:spacing w:before="120"/>
      </w:pPr>
      <w:r>
        <w:rPr>
          <w:b/>
        </w:rPr>
        <w:t>Emissions from savanna burning</w:t>
      </w:r>
      <w:r>
        <w:t xml:space="preserve">: </w:t>
      </w:r>
      <w:r>
        <w:rPr>
          <w:snapToGrid w:val="0"/>
        </w:rPr>
        <w:t xml:space="preserve">Savannas are intentionally burned during the dry season, primarily for agricultural purposes such as ridding the grassland of weeds and pests, promoting nutrient cycling, and encouraging the growth of new grasses for animal grazing. </w:t>
      </w:r>
      <w:r>
        <w:t>Burning of savannas takes place every one to four years on average and is a potential source of combustion-related emissions of CO, NO</w:t>
      </w:r>
      <w:r>
        <w:rPr>
          <w:vertAlign w:val="subscript"/>
        </w:rPr>
        <w:t>x</w:t>
      </w:r>
      <w:r>
        <w:t xml:space="preserve">, </w:t>
      </w:r>
      <w:r w:rsidR="00585F1D">
        <w:t>CH</w:t>
      </w:r>
      <w:r w:rsidR="00585F1D" w:rsidRPr="004B40A2">
        <w:rPr>
          <w:vertAlign w:val="subscript"/>
        </w:rPr>
        <w:t>4</w:t>
      </w:r>
      <w:r w:rsidR="00585F1D">
        <w:t xml:space="preserve">, </w:t>
      </w:r>
      <w:r>
        <w:t>NMVOCs, particulate matter</w:t>
      </w:r>
      <w:r w:rsidR="00585F1D">
        <w:t xml:space="preserve"> (including BC and OC)</w:t>
      </w:r>
      <w:r>
        <w:t>, SO</w:t>
      </w:r>
      <w:r>
        <w:rPr>
          <w:vertAlign w:val="subscript"/>
        </w:rPr>
        <w:t>2</w:t>
      </w:r>
      <w:r>
        <w:t>, and NH</w:t>
      </w:r>
      <w:r>
        <w:rPr>
          <w:vertAlign w:val="subscript"/>
        </w:rPr>
        <w:t>3</w:t>
      </w:r>
      <w:r>
        <w:t xml:space="preserve">.  Estimation of these emissions </w:t>
      </w:r>
      <w:r>
        <w:lastRenderedPageBreak/>
        <w:t xml:space="preserve">involves consideration of the area burned, </w:t>
      </w:r>
      <w:r w:rsidR="00344047">
        <w:t xml:space="preserve">the biomass fuel load, </w:t>
      </w:r>
      <w:r>
        <w:t xml:space="preserve">the </w:t>
      </w:r>
      <w:r w:rsidR="00344047">
        <w:t>fraction</w:t>
      </w:r>
      <w:r>
        <w:t xml:space="preserve"> of biomass burned, and emission factors for each pollutant.</w:t>
      </w:r>
    </w:p>
    <w:p w14:paraId="33911637" w14:textId="3840CF9C" w:rsidR="00C46552" w:rsidRDefault="00C46552">
      <w:pPr>
        <w:numPr>
          <w:ilvl w:val="0"/>
          <w:numId w:val="5"/>
        </w:numPr>
        <w:spacing w:before="120"/>
      </w:pPr>
      <w:r>
        <w:rPr>
          <w:b/>
        </w:rPr>
        <w:t>Emissions from burning of agricultural residues</w:t>
      </w:r>
      <w:r>
        <w:t xml:space="preserve">: Disposal of agricultural residues by </w:t>
      </w:r>
      <w:r w:rsidR="00FD04BF">
        <w:t xml:space="preserve">on-field </w:t>
      </w:r>
      <w:r>
        <w:t xml:space="preserve">burning can result in releases of </w:t>
      </w:r>
      <w:r w:rsidR="000B508F">
        <w:t>CO, NO</w:t>
      </w:r>
      <w:r w:rsidR="000B508F">
        <w:rPr>
          <w:vertAlign w:val="subscript"/>
        </w:rPr>
        <w:t>x</w:t>
      </w:r>
      <w:r w:rsidR="000B508F">
        <w:t xml:space="preserve">, </w:t>
      </w:r>
      <w:r w:rsidR="00C16BD1">
        <w:t>CH</w:t>
      </w:r>
      <w:r w:rsidR="00C16BD1" w:rsidRPr="002722D9">
        <w:rPr>
          <w:vertAlign w:val="subscript"/>
        </w:rPr>
        <w:t>4</w:t>
      </w:r>
      <w:r w:rsidR="00C16BD1">
        <w:t xml:space="preserve">, </w:t>
      </w:r>
      <w:r w:rsidR="000B508F">
        <w:t>NMVOCs, particulate matter</w:t>
      </w:r>
      <w:r w:rsidR="00585F1D">
        <w:t xml:space="preserve"> (including BC and OC)</w:t>
      </w:r>
      <w:r w:rsidR="000B508F">
        <w:t>, SO</w:t>
      </w:r>
      <w:r w:rsidR="000B508F">
        <w:rPr>
          <w:vertAlign w:val="subscript"/>
        </w:rPr>
        <w:t>2</w:t>
      </w:r>
      <w:r w:rsidR="000B508F">
        <w:t>, and NH</w:t>
      </w:r>
      <w:r w:rsidR="000B508F">
        <w:rPr>
          <w:vertAlign w:val="subscript"/>
        </w:rPr>
        <w:t>3</w:t>
      </w:r>
      <w:r>
        <w:t xml:space="preserve">. Estimation of these emissions requires estimation of crop production, the amount of residue produced per unit crop production, the amount of residue burned, and emission factors.  </w:t>
      </w:r>
    </w:p>
    <w:p w14:paraId="600E1478" w14:textId="77777777" w:rsidR="00645DA5" w:rsidRDefault="00645DA5" w:rsidP="00645DA5">
      <w:pPr>
        <w:numPr>
          <w:ilvl w:val="0"/>
          <w:numId w:val="5"/>
        </w:numPr>
        <w:spacing w:before="120"/>
      </w:pPr>
      <w:r w:rsidRPr="00645DA5">
        <w:rPr>
          <w:b/>
        </w:rPr>
        <w:t>Methane emissions from rice cultivation</w:t>
      </w:r>
      <w:r w:rsidRPr="00645DA5">
        <w:t>:</w:t>
      </w:r>
      <w:r>
        <w:t xml:space="preserve"> Anaerobic decomposition of organic material in flooded rice fields (paddy fields) produces methane (CH</w:t>
      </w:r>
      <w:r w:rsidRPr="00645DA5">
        <w:rPr>
          <w:vertAlign w:val="subscript"/>
        </w:rPr>
        <w:t>4</w:t>
      </w:r>
      <w:r>
        <w:t xml:space="preserve">), which escapes to the atmosphere primarily by transport through the rice plants. </w:t>
      </w:r>
      <w:r w:rsidRPr="00645DA5">
        <w:t>Paddy fields are a major source of atmospheric methane</w:t>
      </w:r>
      <w:r>
        <w:t xml:space="preserve">. Estimations of the </w:t>
      </w:r>
      <w:r w:rsidR="007D4C2D">
        <w:t xml:space="preserve">annual </w:t>
      </w:r>
      <w:r>
        <w:t>amount of CH</w:t>
      </w:r>
      <w:r w:rsidRPr="00645DA5">
        <w:rPr>
          <w:vertAlign w:val="subscript"/>
        </w:rPr>
        <w:t>4</w:t>
      </w:r>
      <w:r>
        <w:t xml:space="preserve"> emitted from a given area of rice is a function of the number and duration of crops grown, water regimes before and during the cultivation period, and </w:t>
      </w:r>
      <w:r w:rsidR="007D4C2D">
        <w:t xml:space="preserve">incorporation of </w:t>
      </w:r>
      <w:r>
        <w:t>organic soil amendments.</w:t>
      </w:r>
    </w:p>
    <w:p w14:paraId="17342D4B" w14:textId="77777777" w:rsidR="00C46552" w:rsidRPr="00E01530" w:rsidRDefault="00C46552">
      <w:pPr>
        <w:rPr>
          <w:sz w:val="4"/>
          <w:szCs w:val="4"/>
        </w:rPr>
      </w:pPr>
    </w:p>
    <w:p w14:paraId="47BA46B9" w14:textId="77777777" w:rsidR="00C46552" w:rsidRDefault="00C46552"/>
    <w:p w14:paraId="5038150D" w14:textId="77777777" w:rsidR="00C46552" w:rsidRDefault="00C46552">
      <w:pPr>
        <w:pStyle w:val="Heading3"/>
        <w:numPr>
          <w:ilvl w:val="2"/>
          <w:numId w:val="18"/>
        </w:numPr>
      </w:pPr>
      <w:bookmarkStart w:id="116" w:name="_Toc10122711"/>
      <w:r>
        <w:t xml:space="preserve">Procedure for estimating emissions of ammonia </w:t>
      </w:r>
      <w:r w:rsidR="007D4C2D">
        <w:t xml:space="preserve">and methane </w:t>
      </w:r>
      <w:r>
        <w:t>from livestock manure management</w:t>
      </w:r>
      <w:r w:rsidR="009B76AE">
        <w:t xml:space="preserve"> and methane emissions from enteric fermentation</w:t>
      </w:r>
      <w:bookmarkEnd w:id="116"/>
    </w:p>
    <w:p w14:paraId="128C7881" w14:textId="77777777" w:rsidR="00C46552" w:rsidRDefault="00C46552"/>
    <w:p w14:paraId="4318A062" w14:textId="0C587A85" w:rsidR="009118E3" w:rsidRPr="009118E3" w:rsidRDefault="00C46552" w:rsidP="004C2F20">
      <w:pPr>
        <w:pStyle w:val="BodyTextIndent2"/>
        <w:ind w:firstLine="0"/>
      </w:pPr>
      <w:r>
        <w:t xml:space="preserve">Emissions of </w:t>
      </w:r>
      <w:r w:rsidR="007D4C2D">
        <w:t>NH</w:t>
      </w:r>
      <w:r w:rsidR="007D4C2D" w:rsidRPr="007D4C2D">
        <w:rPr>
          <w:vertAlign w:val="subscript"/>
        </w:rPr>
        <w:t>3</w:t>
      </w:r>
      <w:r w:rsidR="00B60230">
        <w:t>, NO</w:t>
      </w:r>
      <w:r w:rsidR="00B60230" w:rsidRPr="004B40A2">
        <w:rPr>
          <w:vertAlign w:val="subscript"/>
        </w:rPr>
        <w:t>X</w:t>
      </w:r>
      <w:r w:rsidR="00B60230">
        <w:t xml:space="preserve"> </w:t>
      </w:r>
      <w:r w:rsidR="007D4C2D">
        <w:t>and CH</w:t>
      </w:r>
      <w:r w:rsidR="007D4C2D" w:rsidRPr="007D4C2D">
        <w:rPr>
          <w:vertAlign w:val="subscript"/>
        </w:rPr>
        <w:t>4</w:t>
      </w:r>
      <w:r>
        <w:t xml:space="preserve"> from livestock manure management </w:t>
      </w:r>
      <w:r w:rsidR="009B76AE">
        <w:t xml:space="preserve">and </w:t>
      </w:r>
      <w:r w:rsidR="009B76AE" w:rsidRPr="009B76AE">
        <w:t>CH</w:t>
      </w:r>
      <w:r w:rsidR="009B76AE" w:rsidRPr="009B76AE">
        <w:rPr>
          <w:vertAlign w:val="subscript"/>
        </w:rPr>
        <w:t>4</w:t>
      </w:r>
      <w:r w:rsidR="009B76AE" w:rsidRPr="009B76AE">
        <w:t xml:space="preserve"> from </w:t>
      </w:r>
      <w:r w:rsidR="009B76AE">
        <w:t xml:space="preserve">enteric fermentation </w:t>
      </w:r>
      <w:r w:rsidR="00131F4C">
        <w:t>depend on</w:t>
      </w:r>
      <w:r>
        <w:t xml:space="preserve"> </w:t>
      </w:r>
      <w:r w:rsidR="00D5084D">
        <w:t xml:space="preserve">the average number of </w:t>
      </w:r>
      <w:r w:rsidR="00BF5F11">
        <w:t xml:space="preserve">each type of </w:t>
      </w:r>
      <w:r w:rsidR="00D5084D">
        <w:t>livestock in the inventory year</w:t>
      </w:r>
      <w:r w:rsidR="00E76454">
        <w:t xml:space="preserve"> (</w:t>
      </w:r>
      <w:r w:rsidR="00B60230">
        <w:t xml:space="preserve">e.g. as </w:t>
      </w:r>
      <w:r w:rsidR="00E76454">
        <w:t>given by FAOSTAT</w:t>
      </w:r>
      <w:r w:rsidR="00E76454">
        <w:rPr>
          <w:rStyle w:val="FootnoteReference"/>
        </w:rPr>
        <w:footnoteReference w:id="40"/>
      </w:r>
      <w:r w:rsidR="00E76454">
        <w:t>)</w:t>
      </w:r>
      <w:r w:rsidR="00D5084D">
        <w:t xml:space="preserve"> and </w:t>
      </w:r>
      <w:r>
        <w:t>a set of emission factors</w:t>
      </w:r>
      <w:r w:rsidR="009B76AE">
        <w:t>.</w:t>
      </w:r>
      <w:r w:rsidR="004C2F20">
        <w:t xml:space="preserve"> </w:t>
      </w:r>
      <w:r w:rsidR="009118E3" w:rsidRPr="009118E3">
        <w:t xml:space="preserve">The </w:t>
      </w:r>
      <w:r w:rsidR="004C2F20">
        <w:t>emission factors</w:t>
      </w:r>
      <w:r w:rsidR="004C2F20" w:rsidRPr="009118E3">
        <w:t xml:space="preserve"> </w:t>
      </w:r>
      <w:r w:rsidR="009118E3" w:rsidRPr="009118E3">
        <w:t>for NH</w:t>
      </w:r>
      <w:r w:rsidR="009118E3" w:rsidRPr="004B40A2">
        <w:rPr>
          <w:vertAlign w:val="subscript"/>
        </w:rPr>
        <w:t>3</w:t>
      </w:r>
      <w:r w:rsidR="009118E3" w:rsidRPr="009118E3">
        <w:t xml:space="preserve"> from manure vary by management system and the Tier 1 EMEP/EEA (2016) defaults offered in the workbook for cattle and pigs are for solid systems (with alternatives for slurry systems given in footnotes)</w:t>
      </w:r>
      <w:r w:rsidR="004C2F20">
        <w:t xml:space="preserve">. Also, the </w:t>
      </w:r>
      <w:r w:rsidR="004C2F20" w:rsidRPr="004C2F20">
        <w:t xml:space="preserve">default </w:t>
      </w:r>
      <w:r w:rsidR="004C2F20" w:rsidRPr="009118E3">
        <w:t>NH</w:t>
      </w:r>
      <w:r w:rsidR="004C2F20" w:rsidRPr="004249A5">
        <w:rPr>
          <w:vertAlign w:val="subscript"/>
        </w:rPr>
        <w:t>3</w:t>
      </w:r>
      <w:r w:rsidR="004C2F20">
        <w:rPr>
          <w:vertAlign w:val="subscript"/>
        </w:rPr>
        <w:t xml:space="preserve"> </w:t>
      </w:r>
      <w:r w:rsidR="004C2F20">
        <w:t xml:space="preserve">emission factor </w:t>
      </w:r>
      <w:r w:rsidR="004C2F20" w:rsidRPr="004C2F20">
        <w:t xml:space="preserve">is for laying hens (with alternatives for chicken broilers, turkeys, ducks and geese given in </w:t>
      </w:r>
      <w:r w:rsidR="004C2F20">
        <w:t xml:space="preserve">the Workbook </w:t>
      </w:r>
      <w:r w:rsidR="004C2F20" w:rsidRPr="004C2F20">
        <w:t xml:space="preserve">footnotes). </w:t>
      </w:r>
      <w:r w:rsidR="004C2F20">
        <w:t>Table 6-1 presents the types of livestock included and the suggested default emission factors.</w:t>
      </w:r>
    </w:p>
    <w:p w14:paraId="06C98523" w14:textId="77777777" w:rsidR="009A1338" w:rsidRDefault="009A1338" w:rsidP="00960DB4">
      <w:pPr>
        <w:pStyle w:val="BodyTextIndent2"/>
        <w:ind w:firstLine="0"/>
      </w:pPr>
    </w:p>
    <w:p w14:paraId="7C054BA7" w14:textId="77777777" w:rsidR="009A1338" w:rsidRDefault="009A1338" w:rsidP="00960DB4">
      <w:pPr>
        <w:pStyle w:val="BodyTextIndent2"/>
        <w:ind w:firstLine="0"/>
      </w:pPr>
      <w:r>
        <w:t xml:space="preserve">For </w:t>
      </w:r>
      <w:r w:rsidRPr="009A1338">
        <w:t>CH</w:t>
      </w:r>
      <w:r w:rsidRPr="009A1338">
        <w:rPr>
          <w:vertAlign w:val="subscript"/>
        </w:rPr>
        <w:t>4</w:t>
      </w:r>
      <w:r w:rsidR="009B76AE">
        <w:rPr>
          <w:vertAlign w:val="subscript"/>
        </w:rPr>
        <w:t xml:space="preserve"> </w:t>
      </w:r>
      <w:r w:rsidR="009B76AE" w:rsidRPr="009B76AE">
        <w:t>emissions from manure man</w:t>
      </w:r>
      <w:r w:rsidR="009B76AE">
        <w:t>a</w:t>
      </w:r>
      <w:r w:rsidR="009B76AE" w:rsidRPr="009B76AE">
        <w:t>gement</w:t>
      </w:r>
      <w:r>
        <w:t xml:space="preserve">, the </w:t>
      </w:r>
      <w:r w:rsidRPr="009A1338">
        <w:t>default</w:t>
      </w:r>
      <w:r>
        <w:t xml:space="preserve"> emission factors (</w:t>
      </w:r>
      <w:r w:rsidRPr="009A1338">
        <w:t>IPPC</w:t>
      </w:r>
      <w:r>
        <w:t xml:space="preserve">, </w:t>
      </w:r>
      <w:r w:rsidRPr="009A1338">
        <w:t>2006)</w:t>
      </w:r>
      <w:r>
        <w:rPr>
          <w:rStyle w:val="FootnoteReference"/>
        </w:rPr>
        <w:footnoteReference w:id="41"/>
      </w:r>
      <w:r w:rsidRPr="009A1338">
        <w:t xml:space="preserve"> </w:t>
      </w:r>
      <w:r>
        <w:t>offered in the Workbook are</w:t>
      </w:r>
      <w:r w:rsidRPr="009A1338">
        <w:t xml:space="preserve"> for</w:t>
      </w:r>
      <w:r>
        <w:t xml:space="preserve"> the</w:t>
      </w:r>
      <w:r w:rsidRPr="009A1338">
        <w:t xml:space="preserve"> Indian subcontinent assuming 26</w:t>
      </w:r>
      <w:r w:rsidR="001E0E68">
        <w:t xml:space="preserve"> </w:t>
      </w:r>
      <w:r w:rsidRPr="009A1338">
        <w:rPr>
          <w:vertAlign w:val="superscript"/>
        </w:rPr>
        <w:t>o</w:t>
      </w:r>
      <w:r w:rsidRPr="009A1338">
        <w:t>C annual average temp</w:t>
      </w:r>
      <w:r>
        <w:t>erature</w:t>
      </w:r>
      <w:r w:rsidRPr="009A1338">
        <w:t>.</w:t>
      </w:r>
      <w:r>
        <w:t xml:space="preserve"> </w:t>
      </w:r>
      <w:r w:rsidRPr="009A1338">
        <w:t xml:space="preserve">For other </w:t>
      </w:r>
      <w:r>
        <w:t xml:space="preserve">temperatures, other </w:t>
      </w:r>
      <w:r w:rsidRPr="009A1338">
        <w:t xml:space="preserve">Asian countries </w:t>
      </w:r>
      <w:r>
        <w:t xml:space="preserve">or </w:t>
      </w:r>
      <w:r w:rsidRPr="009A1338">
        <w:t>other regions, the user should consult</w:t>
      </w:r>
      <w:r>
        <w:t xml:space="preserve"> the tables </w:t>
      </w:r>
      <w:r w:rsidR="004B09D2">
        <w:t xml:space="preserve">(taken from </w:t>
      </w:r>
      <w:r w:rsidR="004B09D2" w:rsidRPr="009A1338">
        <w:t xml:space="preserve">IPCC </w:t>
      </w:r>
      <w:r w:rsidR="004B09D2">
        <w:t>(</w:t>
      </w:r>
      <w:r w:rsidR="004B09D2" w:rsidRPr="009A1338">
        <w:t>2006</w:t>
      </w:r>
      <w:r w:rsidR="004B09D2">
        <w:t xml:space="preserve">), </w:t>
      </w:r>
      <w:r w:rsidR="004B09D2" w:rsidRPr="009A1338">
        <w:t xml:space="preserve">Vol 4, Tables 10.14 and 10.15) </w:t>
      </w:r>
      <w:r>
        <w:t>provided at the bottom of the relevant worksheet</w:t>
      </w:r>
      <w:r w:rsidR="004B09D2">
        <w:t xml:space="preserve"> (Sheet 4.1)</w:t>
      </w:r>
      <w:r>
        <w:t xml:space="preserve"> in the Workbook </w:t>
      </w:r>
      <w:r w:rsidR="004B09D2">
        <w:t>accompanying this manual.</w:t>
      </w:r>
      <w:r w:rsidRPr="009A1338">
        <w:t xml:space="preserve"> </w:t>
      </w:r>
    </w:p>
    <w:p w14:paraId="723451DB" w14:textId="77777777" w:rsidR="009A1338" w:rsidRDefault="009A1338" w:rsidP="00960DB4">
      <w:pPr>
        <w:pStyle w:val="BodyTextIndent2"/>
        <w:ind w:firstLine="0"/>
      </w:pPr>
    </w:p>
    <w:p w14:paraId="5C353911" w14:textId="7D9F624C" w:rsidR="008165FB" w:rsidRDefault="00CC7196" w:rsidP="00602F1F">
      <w:r>
        <w:t>The method used f</w:t>
      </w:r>
      <w:r w:rsidR="00602F1F" w:rsidRPr="00602F1F">
        <w:t xml:space="preserve">or </w:t>
      </w:r>
      <w:r>
        <w:t xml:space="preserve">estimating </w:t>
      </w:r>
      <w:r w:rsidR="00602F1F" w:rsidRPr="00602F1F">
        <w:t>CH</w:t>
      </w:r>
      <w:r w:rsidR="00602F1F" w:rsidRPr="00602F1F">
        <w:rPr>
          <w:vertAlign w:val="subscript"/>
        </w:rPr>
        <w:t>4</w:t>
      </w:r>
      <w:r w:rsidR="00602F1F" w:rsidRPr="00602F1F">
        <w:t xml:space="preserve"> emissions from </w:t>
      </w:r>
      <w:r w:rsidR="00602F1F">
        <w:t>enteric fermentation</w:t>
      </w:r>
      <w:r>
        <w:t xml:space="preserve"> is based on t</w:t>
      </w:r>
      <w:r w:rsidRPr="00602F1F">
        <w:t xml:space="preserve">he </w:t>
      </w:r>
      <w:r>
        <w:t>Tier 1 IPCC (2006) method. D</w:t>
      </w:r>
      <w:r w:rsidR="00602F1F" w:rsidRPr="00602F1F">
        <w:t>efault emission factor</w:t>
      </w:r>
      <w:r w:rsidR="00602F1F">
        <w:t xml:space="preserve">s </w:t>
      </w:r>
      <w:r w:rsidR="00602F1F" w:rsidRPr="00602F1F">
        <w:t xml:space="preserve">offered in the Workbook </w:t>
      </w:r>
      <w:r w:rsidR="00602F1F">
        <w:t xml:space="preserve">for cattle </w:t>
      </w:r>
      <w:r w:rsidR="00602F1F" w:rsidRPr="00602F1F">
        <w:t>are for the Indian subcontinent</w:t>
      </w:r>
      <w:r>
        <w:t>, e</w:t>
      </w:r>
      <w:r w:rsidR="00A2305A">
        <w:t xml:space="preserve">mission factors appropriate for </w:t>
      </w:r>
      <w:r>
        <w:t xml:space="preserve">cattle in </w:t>
      </w:r>
      <w:r w:rsidR="00A2305A">
        <w:t xml:space="preserve">other regions </w:t>
      </w:r>
      <w:r>
        <w:t xml:space="preserve">are given in a </w:t>
      </w:r>
      <w:r w:rsidR="00A2305A">
        <w:t xml:space="preserve">table </w:t>
      </w:r>
      <w:r w:rsidR="00E55B96">
        <w:t>(</w:t>
      </w:r>
      <w:r>
        <w:t xml:space="preserve">taken from IPCC, 2006) </w:t>
      </w:r>
      <w:r w:rsidR="00A2305A">
        <w:t>shown at the bottom of Sheet 4.1 in the Workbook.</w:t>
      </w:r>
      <w:r>
        <w:t xml:space="preserve"> </w:t>
      </w:r>
      <w:r w:rsidR="001E0E68">
        <w:t>The d</w:t>
      </w:r>
      <w:r>
        <w:t xml:space="preserve">efault emission factors for </w:t>
      </w:r>
      <w:r w:rsidR="008165FB">
        <w:t>sheep and pigs are for developing countries, those appropriate for developed countries are given in a footnote</w:t>
      </w:r>
      <w:r w:rsidR="00EA369E">
        <w:t xml:space="preserve"> in the Workbook</w:t>
      </w:r>
      <w:r w:rsidR="008165FB">
        <w:t>.</w:t>
      </w:r>
    </w:p>
    <w:p w14:paraId="00DB1A6B" w14:textId="77777777" w:rsidR="00602F1F" w:rsidRPr="00602F1F" w:rsidRDefault="00CC7196" w:rsidP="00602F1F">
      <w:r>
        <w:t xml:space="preserve"> </w:t>
      </w:r>
    </w:p>
    <w:p w14:paraId="6BEAF9F4" w14:textId="77777777" w:rsidR="006A5136" w:rsidRPr="006A5136" w:rsidRDefault="002C422D" w:rsidP="006A5136">
      <w:pPr>
        <w:jc w:val="left"/>
        <w:rPr>
          <w:rFonts w:ascii="Arial" w:hAnsi="Arial" w:cs="Arial"/>
          <w:szCs w:val="24"/>
          <w:lang w:val="en-US"/>
        </w:rPr>
      </w:pPr>
      <w:r>
        <w:rPr>
          <w:rFonts w:ascii="Arial" w:hAnsi="Arial" w:cs="Arial"/>
          <w:szCs w:val="24"/>
          <w:lang w:val="en-US"/>
        </w:rPr>
        <w:t xml:space="preserve">    </w:t>
      </w:r>
    </w:p>
    <w:p w14:paraId="3083F270" w14:textId="77777777" w:rsidR="00131F4C" w:rsidRDefault="00131F4C">
      <w:pPr>
        <w:pStyle w:val="Heading3"/>
        <w:numPr>
          <w:ilvl w:val="2"/>
          <w:numId w:val="18"/>
        </w:numPr>
      </w:pPr>
      <w:bookmarkStart w:id="117" w:name="_Toc10122712"/>
      <w:r>
        <w:t>Procedure for estimating emissions of particulate matter from indoor animal husbandry</w:t>
      </w:r>
      <w:bookmarkEnd w:id="117"/>
    </w:p>
    <w:p w14:paraId="50F8906C" w14:textId="77777777" w:rsidR="00131F4C" w:rsidRDefault="00131F4C" w:rsidP="00131F4C"/>
    <w:p w14:paraId="6AC961FD" w14:textId="42CDA66E" w:rsidR="00960DB4" w:rsidRDefault="00CA22F5" w:rsidP="00CA22F5">
      <w:pPr>
        <w:autoSpaceDE w:val="0"/>
        <w:autoSpaceDN w:val="0"/>
        <w:adjustRightInd w:val="0"/>
        <w:rPr>
          <w:rFonts w:ascii="TimesNewRomanPSMT" w:hAnsi="TimesNewRomanPSMT" w:cs="TimesNewRomanPSMT"/>
          <w:szCs w:val="24"/>
          <w:lang w:val="en-US"/>
        </w:rPr>
      </w:pPr>
      <w:r>
        <w:t>Emissions of particulate matter from livestock housing are calculated from an estimate of the number of each type of animal reared, the time spent within the housing system and a set of emission factors. T</w:t>
      </w:r>
      <w:r w:rsidR="00EA369E">
        <w:t>ier 1</w:t>
      </w:r>
      <w:r>
        <w:t xml:space="preserve"> emissions factors </w:t>
      </w:r>
      <w:r w:rsidR="00EA369E">
        <w:t>from EMEP/EEA (2016) for PM</w:t>
      </w:r>
      <w:r w:rsidR="00EA369E" w:rsidRPr="004B40A2">
        <w:rPr>
          <w:vertAlign w:val="subscript"/>
        </w:rPr>
        <w:t>10</w:t>
      </w:r>
      <w:r w:rsidR="00EA369E">
        <w:t xml:space="preserve"> and PM</w:t>
      </w:r>
      <w:r w:rsidR="00EA369E" w:rsidRPr="004B40A2">
        <w:rPr>
          <w:vertAlign w:val="subscript"/>
        </w:rPr>
        <w:t>2.5</w:t>
      </w:r>
      <w:r w:rsidR="00EA369E">
        <w:t xml:space="preserve"> emissions are given in the Workbook. For time spent in animal housing,  EMEP/EEA (2016) default values are offered</w:t>
      </w:r>
      <w:r w:rsidR="008A1430">
        <w:t xml:space="preserve"> if local data are unavailable: 49% for cattle and horses, 38% for buffalo, and 100% for pigs and poultry.</w:t>
      </w:r>
      <w:r w:rsidR="00EA369E">
        <w:t xml:space="preserve"> </w:t>
      </w:r>
      <w:r>
        <w:t xml:space="preserve">  </w:t>
      </w:r>
    </w:p>
    <w:p w14:paraId="4AC1102F" w14:textId="77777777" w:rsidR="00960DB4" w:rsidRDefault="00960DB4" w:rsidP="00CA22F5">
      <w:pPr>
        <w:autoSpaceDE w:val="0"/>
        <w:autoSpaceDN w:val="0"/>
        <w:adjustRightInd w:val="0"/>
        <w:rPr>
          <w:rFonts w:ascii="TimesNewRomanPSMT" w:hAnsi="TimesNewRomanPSMT" w:cs="TimesNewRomanPSMT"/>
          <w:szCs w:val="24"/>
          <w:lang w:val="en-US"/>
        </w:rPr>
      </w:pPr>
    </w:p>
    <w:p w14:paraId="79641FC1" w14:textId="77777777" w:rsidR="002F364B" w:rsidRDefault="002F364B" w:rsidP="000079F3"/>
    <w:p w14:paraId="11233769" w14:textId="4725071D" w:rsidR="00C46552" w:rsidRDefault="00C46552">
      <w:pPr>
        <w:pStyle w:val="Heading3"/>
        <w:numPr>
          <w:ilvl w:val="2"/>
          <w:numId w:val="18"/>
        </w:numPr>
      </w:pPr>
      <w:bookmarkStart w:id="118" w:name="_Toc10122713"/>
      <w:r>
        <w:t>Procedure for estimating emissions of ammonia</w:t>
      </w:r>
      <w:r w:rsidR="0017183C">
        <w:t xml:space="preserve"> and nitric oxide</w:t>
      </w:r>
      <w:r>
        <w:t xml:space="preserve"> from fertilizer use</w:t>
      </w:r>
      <w:bookmarkEnd w:id="118"/>
    </w:p>
    <w:p w14:paraId="0F117A35" w14:textId="77777777" w:rsidR="00C46552" w:rsidRDefault="00C46552"/>
    <w:p w14:paraId="3FDEB2E2" w14:textId="7EE65E88" w:rsidR="00C46552" w:rsidRDefault="00C46552">
      <w:pPr>
        <w:ind w:firstLine="720"/>
      </w:pPr>
      <w:r>
        <w:lastRenderedPageBreak/>
        <w:t xml:space="preserve">Emissions of ammonia </w:t>
      </w:r>
      <w:r w:rsidR="008A1430">
        <w:t>(</w:t>
      </w:r>
      <w:r w:rsidR="008A1430" w:rsidRPr="008A1430">
        <w:t>NH</w:t>
      </w:r>
      <w:r w:rsidR="008A1430" w:rsidRPr="00246C4C">
        <w:rPr>
          <w:vertAlign w:val="subscript"/>
        </w:rPr>
        <w:t>3</w:t>
      </w:r>
      <w:r w:rsidR="008A1430">
        <w:t>)</w:t>
      </w:r>
      <w:r w:rsidR="008A1430" w:rsidRPr="008A1430">
        <w:t xml:space="preserve"> </w:t>
      </w:r>
      <w:r w:rsidR="00246C4C">
        <w:t xml:space="preserve">and nitric oxide (NO) </w:t>
      </w:r>
      <w:r w:rsidRPr="008A1430">
        <w:t>f</w:t>
      </w:r>
      <w:r>
        <w:t xml:space="preserve">rom fertilizer use are a function of the tonnes of nitrogen fertilizer </w:t>
      </w:r>
      <w:r w:rsidR="00246C4C">
        <w:t xml:space="preserve">applied </w:t>
      </w:r>
      <w:r>
        <w:t>by type of fertilizer</w:t>
      </w:r>
      <w:r w:rsidR="00E76454">
        <w:t xml:space="preserve"> (activity data in FAOSTAT</w:t>
      </w:r>
      <w:r w:rsidR="00E76454">
        <w:rPr>
          <w:rStyle w:val="FootnoteReference"/>
        </w:rPr>
        <w:footnoteReference w:id="42"/>
      </w:r>
      <w:r w:rsidR="00E76454">
        <w:t>)</w:t>
      </w:r>
      <w:r w:rsidR="00BF5F11">
        <w:t xml:space="preserve"> </w:t>
      </w:r>
      <w:r>
        <w:t xml:space="preserve">and </w:t>
      </w:r>
      <w:r w:rsidR="00246C4C">
        <w:t xml:space="preserve">the </w:t>
      </w:r>
      <w:r>
        <w:t>emission</w:t>
      </w:r>
      <w:r w:rsidR="00246C4C">
        <w:t xml:space="preserve"> factors</w:t>
      </w:r>
      <w:r w:rsidR="00E76454">
        <w:t xml:space="preserve">. </w:t>
      </w:r>
      <w:r w:rsidR="00246C4C">
        <w:t xml:space="preserve">For NO, the Tier 1 EMEP/EEA (2016) </w:t>
      </w:r>
      <w:r w:rsidR="00030EE4" w:rsidRPr="00030EE4">
        <w:t xml:space="preserve">emission factors </w:t>
      </w:r>
      <w:r w:rsidR="00246C4C">
        <w:t xml:space="preserve">are offered in the Workbook </w:t>
      </w:r>
      <w:r w:rsidR="0017183C">
        <w:t xml:space="preserve">with emissions subsequently </w:t>
      </w:r>
      <w:r w:rsidR="0017183C" w:rsidRPr="0017183C">
        <w:t>converted to the equivalent weight of NOx (as NO</w:t>
      </w:r>
      <w:r w:rsidR="0017183C" w:rsidRPr="004B40A2">
        <w:rPr>
          <w:vertAlign w:val="subscript"/>
        </w:rPr>
        <w:t>2</w:t>
      </w:r>
      <w:r w:rsidR="0017183C" w:rsidRPr="0017183C">
        <w:t xml:space="preserve">). </w:t>
      </w:r>
      <w:r w:rsidR="0017183C">
        <w:t>F</w:t>
      </w:r>
      <w:r w:rsidR="00246C4C">
        <w:t>or NH</w:t>
      </w:r>
      <w:r w:rsidR="00246C4C" w:rsidRPr="00246C4C">
        <w:rPr>
          <w:vertAlign w:val="subscript"/>
        </w:rPr>
        <w:t>3</w:t>
      </w:r>
      <w:r w:rsidR="00246C4C">
        <w:t xml:space="preserve">, </w:t>
      </w:r>
      <w:r w:rsidR="0017183C">
        <w:t xml:space="preserve">the </w:t>
      </w:r>
      <w:r w:rsidR="00246C4C">
        <w:t xml:space="preserve">Tier 2 </w:t>
      </w:r>
      <w:r w:rsidR="00246C4C" w:rsidRPr="00246C4C">
        <w:t>EMEP/EEA (2016)</w:t>
      </w:r>
      <w:r w:rsidR="00246C4C">
        <w:t xml:space="preserve"> </w:t>
      </w:r>
      <w:r w:rsidR="0017183C">
        <w:t xml:space="preserve">emission </w:t>
      </w:r>
      <w:r w:rsidR="00246C4C">
        <w:t xml:space="preserve">factors appropriate for temperate countries (annual ambient average temperature 15-25 </w:t>
      </w:r>
      <w:r w:rsidR="00246C4C" w:rsidRPr="00957E4E">
        <w:t>ºC</w:t>
      </w:r>
      <w:r w:rsidR="00246C4C">
        <w:t xml:space="preserve">) are </w:t>
      </w:r>
      <w:r w:rsidR="0017183C">
        <w:t xml:space="preserve">offered </w:t>
      </w:r>
      <w:r w:rsidR="00246C4C">
        <w:t xml:space="preserve">in the Workbook. </w:t>
      </w:r>
      <w:r w:rsidR="00246C4C" w:rsidRPr="00246C4C">
        <w:t>For cool</w:t>
      </w:r>
      <w:r w:rsidR="00246C4C">
        <w:t>er</w:t>
      </w:r>
      <w:r w:rsidR="00246C4C" w:rsidRPr="00246C4C">
        <w:t xml:space="preserve"> (&lt; 15 </w:t>
      </w:r>
      <w:r w:rsidR="00246C4C" w:rsidRPr="00246C4C">
        <w:rPr>
          <w:vertAlign w:val="superscript"/>
        </w:rPr>
        <w:t>o</w:t>
      </w:r>
      <w:r w:rsidR="00246C4C" w:rsidRPr="00246C4C">
        <w:t>C) or warm</w:t>
      </w:r>
      <w:r w:rsidR="00246C4C">
        <w:t>er</w:t>
      </w:r>
      <w:r w:rsidR="00246C4C" w:rsidRPr="00246C4C">
        <w:t xml:space="preserve"> (&gt;25 </w:t>
      </w:r>
      <w:r w:rsidR="00246C4C" w:rsidRPr="00246C4C">
        <w:rPr>
          <w:vertAlign w:val="superscript"/>
        </w:rPr>
        <w:t>o</w:t>
      </w:r>
      <w:r w:rsidR="00246C4C" w:rsidRPr="00246C4C">
        <w:t>C) countries</w:t>
      </w:r>
      <w:r w:rsidR="00246C4C">
        <w:t xml:space="preserve">, </w:t>
      </w:r>
      <w:r w:rsidR="00EA15F7">
        <w:t xml:space="preserve">the user is referred to </w:t>
      </w:r>
      <w:r w:rsidR="00246C4C">
        <w:t>alter</w:t>
      </w:r>
      <w:r w:rsidR="00246C4C" w:rsidRPr="00246C4C">
        <w:t>n</w:t>
      </w:r>
      <w:r w:rsidR="00246C4C">
        <w:t>a</w:t>
      </w:r>
      <w:r w:rsidR="00246C4C" w:rsidRPr="00246C4C">
        <w:t xml:space="preserve">tive values given in </w:t>
      </w:r>
      <w:r w:rsidR="00EA15F7" w:rsidRPr="00246C4C">
        <w:t>EMEP/EEA (2016)</w:t>
      </w:r>
      <w:r w:rsidR="00030EE4">
        <w:rPr>
          <w:rStyle w:val="FootnoteReference"/>
        </w:rPr>
        <w:footnoteReference w:id="43"/>
      </w:r>
      <w:r w:rsidR="00EA15F7">
        <w:t xml:space="preserve"> (</w:t>
      </w:r>
      <w:r w:rsidR="00EA15F7" w:rsidRPr="00246C4C">
        <w:t>Section 3.D Crop production and agricultural soils, Table 3.3</w:t>
      </w:r>
      <w:r w:rsidR="00EA15F7">
        <w:t>)</w:t>
      </w:r>
      <w:r w:rsidR="00EA15F7" w:rsidRPr="00246C4C">
        <w:t>.</w:t>
      </w:r>
      <w:r w:rsidR="00030EE4">
        <w:t xml:space="preserve"> </w:t>
      </w:r>
      <w:r w:rsidR="00246C4C" w:rsidRPr="00246C4C">
        <w:t xml:space="preserve"> </w:t>
      </w:r>
      <w:r w:rsidR="00EA15F7">
        <w:t>T</w:t>
      </w:r>
      <w:r w:rsidR="00957E4E">
        <w:t>o account for the increased rate of volatilization that occur</w:t>
      </w:r>
      <w:r w:rsidR="00EA15F7">
        <w:t>s</w:t>
      </w:r>
      <w:r w:rsidR="00957E4E">
        <w:t xml:space="preserve"> when </w:t>
      </w:r>
      <w:r w:rsidR="00EA15F7">
        <w:t xml:space="preserve">ammonium sulphate and combined ammonium phosphates </w:t>
      </w:r>
      <w:r w:rsidR="00957E4E">
        <w:t>are used on calcareous soils</w:t>
      </w:r>
      <w:r w:rsidR="00EA15F7">
        <w:t xml:space="preserve">, </w:t>
      </w:r>
      <w:r w:rsidR="00EA15F7" w:rsidRPr="008A1430">
        <w:t>NH</w:t>
      </w:r>
      <w:r w:rsidR="00EA15F7" w:rsidRPr="00246C4C">
        <w:rPr>
          <w:vertAlign w:val="subscript"/>
        </w:rPr>
        <w:t>3</w:t>
      </w:r>
      <w:r w:rsidR="00EA15F7">
        <w:t xml:space="preserve"> emission factors </w:t>
      </w:r>
      <w:r w:rsidR="00030EE4">
        <w:t xml:space="preserve">for these two fertilizers </w:t>
      </w:r>
      <w:r w:rsidR="00EA15F7">
        <w:t xml:space="preserve">are also offered for soils </w:t>
      </w:r>
      <w:r w:rsidR="00030EE4">
        <w:t>having</w:t>
      </w:r>
      <w:r w:rsidR="00EA15F7">
        <w:t xml:space="preserve"> pH </w:t>
      </w:r>
      <w:r w:rsidR="00030EE4">
        <w:t xml:space="preserve">greater than </w:t>
      </w:r>
      <w:r w:rsidR="00EA15F7">
        <w:t>7.0</w:t>
      </w:r>
      <w:r w:rsidR="00030EE4">
        <w:t>.</w:t>
      </w:r>
      <w:r w:rsidR="001350A8">
        <w:t xml:space="preserve"> Information on the extent and distribution of calcareous soils can be obtained from agricultural institutes in the relevant country. </w:t>
      </w:r>
    </w:p>
    <w:p w14:paraId="268A515B" w14:textId="4F6D4ED1" w:rsidR="005750A0" w:rsidRDefault="00C46552">
      <w:pPr>
        <w:pStyle w:val="Footer"/>
      </w:pPr>
      <w:r>
        <w:t xml:space="preserve"> </w:t>
      </w:r>
    </w:p>
    <w:p w14:paraId="235FD6F1" w14:textId="77777777" w:rsidR="005750A0" w:rsidRDefault="00C46552" w:rsidP="002847DC">
      <w:pPr>
        <w:pStyle w:val="Heading3"/>
        <w:numPr>
          <w:ilvl w:val="2"/>
          <w:numId w:val="18"/>
        </w:numPr>
      </w:pPr>
      <w:r>
        <w:t xml:space="preserve"> </w:t>
      </w:r>
      <w:bookmarkStart w:id="119" w:name="_Toc484189444"/>
      <w:bookmarkStart w:id="120" w:name="_Toc10122714"/>
      <w:r w:rsidR="005750A0">
        <w:t>Procedure for estimating emissions from burning of savannas</w:t>
      </w:r>
      <w:bookmarkEnd w:id="119"/>
      <w:bookmarkEnd w:id="120"/>
    </w:p>
    <w:p w14:paraId="2EC5AEF3" w14:textId="77777777" w:rsidR="005750A0" w:rsidRDefault="005750A0" w:rsidP="005750A0"/>
    <w:p w14:paraId="70D55A1F" w14:textId="4494C6BD" w:rsidR="005750A0" w:rsidRDefault="005750A0" w:rsidP="005750A0">
      <w:pPr>
        <w:ind w:firstLine="720"/>
      </w:pPr>
      <w:r>
        <w:t xml:space="preserve">The IPCC </w:t>
      </w:r>
      <w:r w:rsidRPr="005750A0">
        <w:t>Guidelines</w:t>
      </w:r>
      <w:r w:rsidR="002962D0">
        <w:t xml:space="preserve"> (1996)</w:t>
      </w:r>
      <w:r>
        <w:rPr>
          <w:rStyle w:val="FootnoteReference"/>
        </w:rPr>
        <w:footnoteReference w:id="44"/>
      </w:r>
      <w:r>
        <w:t xml:space="preserve"> describe emissions from prescribed burning of savannas as follows:</w:t>
      </w:r>
    </w:p>
    <w:p w14:paraId="43EF39CB" w14:textId="77777777" w:rsidR="005750A0" w:rsidRPr="00DF3BBE" w:rsidRDefault="005750A0" w:rsidP="005750A0">
      <w:pPr>
        <w:rPr>
          <w:sz w:val="10"/>
          <w:szCs w:val="10"/>
        </w:rPr>
      </w:pPr>
    </w:p>
    <w:p w14:paraId="4B88F531" w14:textId="1F1C0C31" w:rsidR="005750A0" w:rsidRDefault="0017183C" w:rsidP="005750A0">
      <w:pPr>
        <w:ind w:left="720"/>
      </w:pPr>
      <w:r>
        <w:t>“</w:t>
      </w:r>
      <w:r w:rsidR="005750A0">
        <w:t xml:space="preserve">Savannas are tropical and subtropical formations with continuous grass coverage.  The growth of savannas is controlled by alternating wet and dry seasons: most of the growth occurs during the wet season. Man-made and/or natural fires frequently occur during the dry season, resulting in nutrient recycling and regrowth. Large scale burning takes place primarily in the humid savannas because the arid savannas lack sufficient grass cover to sustain fire. Savannas are burned every one to four years on average, with the highest frequency in the humid savannas of </w:t>
      </w:r>
      <w:smartTag w:uri="urn:schemas-microsoft-com:office:smarttags" w:element="place">
        <w:r w:rsidR="005750A0">
          <w:t>Africa</w:t>
        </w:r>
      </w:smartTag>
      <w:r w:rsidR="005750A0">
        <w:t xml:space="preserve">. </w:t>
      </w:r>
      <w:r>
        <w:t>“</w:t>
      </w:r>
    </w:p>
    <w:p w14:paraId="0A5B5D54" w14:textId="77777777" w:rsidR="0017183C" w:rsidRDefault="0017183C" w:rsidP="005750A0">
      <w:pPr>
        <w:ind w:left="720"/>
      </w:pPr>
    </w:p>
    <w:p w14:paraId="60332779" w14:textId="77777777" w:rsidR="005750A0" w:rsidRDefault="00073314" w:rsidP="00073314">
      <w:r>
        <w:t>E</w:t>
      </w:r>
      <w:r w:rsidR="005750A0">
        <w:t xml:space="preserve">stimation of emissions from savanna burning </w:t>
      </w:r>
      <w:r>
        <w:t xml:space="preserve">in this manual </w:t>
      </w:r>
      <w:r w:rsidR="005750A0">
        <w:t>includes the following steps:</w:t>
      </w:r>
    </w:p>
    <w:p w14:paraId="257E4285" w14:textId="77777777" w:rsidR="005750A0" w:rsidRPr="00DF3BBE" w:rsidRDefault="005750A0" w:rsidP="00073314">
      <w:pPr>
        <w:ind w:firstLine="720"/>
        <w:rPr>
          <w:sz w:val="10"/>
          <w:szCs w:val="10"/>
        </w:rPr>
      </w:pPr>
    </w:p>
    <w:p w14:paraId="77CAC1ED" w14:textId="31A77055" w:rsidR="005750A0" w:rsidRDefault="005750A0" w:rsidP="00073314">
      <w:pPr>
        <w:numPr>
          <w:ilvl w:val="0"/>
          <w:numId w:val="6"/>
        </w:numPr>
      </w:pPr>
      <w:r>
        <w:t>Estimation of the amount of biomass burned</w:t>
      </w:r>
      <w:r w:rsidR="005B17B2">
        <w:t xml:space="preserve"> (dry weight)</w:t>
      </w:r>
      <w:r>
        <w:t xml:space="preserve"> based on the area of savanna burned</w:t>
      </w:r>
      <w:r w:rsidR="00C22F98">
        <w:t xml:space="preserve"> in </w:t>
      </w:r>
      <w:r w:rsidR="0017183C">
        <w:t>kilohectares (kha)</w:t>
      </w:r>
      <w:r w:rsidR="008D2964">
        <w:t xml:space="preserve"> during the inventory year</w:t>
      </w:r>
      <w:r>
        <w:t xml:space="preserve">, the </w:t>
      </w:r>
      <w:r w:rsidR="009E7D0A">
        <w:t>fuel load biomass</w:t>
      </w:r>
      <w:r w:rsidR="00916D3B">
        <w:t xml:space="preserve"> (not the same as total above ground biomass)</w:t>
      </w:r>
      <w:r>
        <w:t>, and the fraction of this biomass that is actually burnt.</w:t>
      </w:r>
    </w:p>
    <w:p w14:paraId="387EAA98" w14:textId="340C0E8A" w:rsidR="005750A0" w:rsidRDefault="005750A0" w:rsidP="00073314">
      <w:pPr>
        <w:numPr>
          <w:ilvl w:val="0"/>
          <w:numId w:val="6"/>
        </w:numPr>
      </w:pPr>
      <w:r>
        <w:t>Estimation of emissions of CO, NOx, SO</w:t>
      </w:r>
      <w:r>
        <w:rPr>
          <w:vertAlign w:val="subscript"/>
        </w:rPr>
        <w:t>2</w:t>
      </w:r>
      <w:r>
        <w:t>, NMVOCs, particulate matter (PM</w:t>
      </w:r>
      <w:r w:rsidRPr="008D2964">
        <w:rPr>
          <w:vertAlign w:val="subscript"/>
        </w:rPr>
        <w:t>10</w:t>
      </w:r>
      <w:r w:rsidR="008C352C">
        <w:t>,</w:t>
      </w:r>
      <w:r>
        <w:t xml:space="preserve"> PM</w:t>
      </w:r>
      <w:r w:rsidRPr="008D2964">
        <w:rPr>
          <w:vertAlign w:val="subscript"/>
        </w:rPr>
        <w:t>2.5</w:t>
      </w:r>
      <w:r w:rsidR="008C352C">
        <w:t>, BC and OC), NH</w:t>
      </w:r>
      <w:r w:rsidR="008C352C">
        <w:rPr>
          <w:vertAlign w:val="subscript"/>
        </w:rPr>
        <w:t xml:space="preserve">3 </w:t>
      </w:r>
      <w:r>
        <w:t xml:space="preserve">and </w:t>
      </w:r>
      <w:r w:rsidR="008C352C">
        <w:t>CH</w:t>
      </w:r>
      <w:r w:rsidR="008C352C" w:rsidRPr="004B40A2">
        <w:rPr>
          <w:vertAlign w:val="subscript"/>
        </w:rPr>
        <w:t>4</w:t>
      </w:r>
      <w:r w:rsidR="008C352C">
        <w:t xml:space="preserve"> </w:t>
      </w:r>
      <w:r>
        <w:t>by multiplying the amount of biomass burned by emission factors for each pollutant.</w:t>
      </w:r>
    </w:p>
    <w:p w14:paraId="6E6348AE" w14:textId="77777777" w:rsidR="005750A0" w:rsidRPr="00DF3BBE" w:rsidRDefault="005750A0" w:rsidP="005750A0">
      <w:pPr>
        <w:rPr>
          <w:sz w:val="10"/>
          <w:szCs w:val="10"/>
        </w:rPr>
      </w:pPr>
    </w:p>
    <w:p w14:paraId="71E835A4" w14:textId="6F1BDAE9" w:rsidR="005750A0" w:rsidRDefault="005750A0" w:rsidP="00073314">
      <w:r>
        <w:t xml:space="preserve">Default factors </w:t>
      </w:r>
      <w:r w:rsidR="008C352C">
        <w:t xml:space="preserve">[and reference source] </w:t>
      </w:r>
      <w:r>
        <w:t>included</w:t>
      </w:r>
      <w:r w:rsidR="00073314">
        <w:t xml:space="preserve"> in the W</w:t>
      </w:r>
      <w:r>
        <w:t>orkbook for use in the</w:t>
      </w:r>
      <w:r w:rsidR="00073314">
        <w:t>se</w:t>
      </w:r>
      <w:r>
        <w:t xml:space="preserve"> calculations are as follows:</w:t>
      </w:r>
    </w:p>
    <w:p w14:paraId="745ECD49" w14:textId="3729CDE4" w:rsidR="005750A0" w:rsidRDefault="00916D3B" w:rsidP="004C0EBA">
      <w:pPr>
        <w:numPr>
          <w:ilvl w:val="0"/>
          <w:numId w:val="7"/>
        </w:numPr>
        <w:tabs>
          <w:tab w:val="clear" w:pos="360"/>
          <w:tab w:val="num" w:pos="1080"/>
        </w:tabs>
        <w:ind w:left="1080"/>
        <w:jc w:val="left"/>
      </w:pPr>
      <w:r>
        <w:t>Fuel load</w:t>
      </w:r>
      <w:r w:rsidR="005750A0">
        <w:t xml:space="preserve"> biomass before burning (as dry tonnes/hectare): 4.9</w:t>
      </w:r>
      <w:r w:rsidR="008C352C">
        <w:t xml:space="preserve"> [IPCC, </w:t>
      </w:r>
      <w:r w:rsidR="002962D0">
        <w:t>1996]</w:t>
      </w:r>
    </w:p>
    <w:p w14:paraId="3C0AD44C" w14:textId="5578A847" w:rsidR="008A54D3" w:rsidRDefault="005750A0" w:rsidP="004B40A2">
      <w:pPr>
        <w:numPr>
          <w:ilvl w:val="0"/>
          <w:numId w:val="7"/>
        </w:numPr>
        <w:tabs>
          <w:tab w:val="clear" w:pos="360"/>
          <w:tab w:val="num" w:pos="1080"/>
        </w:tabs>
        <w:ind w:left="1080"/>
        <w:jc w:val="left"/>
      </w:pPr>
      <w:r>
        <w:t>Fraction of biomass actually burnt: 0.85</w:t>
      </w:r>
      <w:r w:rsidR="002962D0">
        <w:t xml:space="preserve"> [IPCC, 1996]</w:t>
      </w:r>
    </w:p>
    <w:p w14:paraId="4D1AC8C9" w14:textId="6179B674" w:rsidR="008D2964" w:rsidRPr="002962D0" w:rsidRDefault="008D2964" w:rsidP="004B40A2">
      <w:pPr>
        <w:numPr>
          <w:ilvl w:val="0"/>
          <w:numId w:val="7"/>
        </w:numPr>
        <w:tabs>
          <w:tab w:val="clear" w:pos="360"/>
          <w:tab w:val="num" w:pos="1080"/>
        </w:tabs>
        <w:ind w:left="1080"/>
        <w:jc w:val="left"/>
      </w:pPr>
      <w:r>
        <w:t>CO emission factor (kg/tonne biomass burned): 68</w:t>
      </w:r>
      <w:r w:rsidR="002962D0">
        <w:t xml:space="preserve"> [Sinha</w:t>
      </w:r>
      <w:r w:rsidR="002962D0" w:rsidRPr="002962D0">
        <w:t xml:space="preserve"> et al.</w:t>
      </w:r>
      <w:r w:rsidR="002962D0">
        <w:t xml:space="preserve">, </w:t>
      </w:r>
      <w:r w:rsidR="002962D0" w:rsidRPr="002962D0">
        <w:t>2003</w:t>
      </w:r>
      <w:r w:rsidR="002962D0">
        <w:t>]</w:t>
      </w:r>
      <w:r w:rsidR="002962D0">
        <w:rPr>
          <w:rStyle w:val="FootnoteReference"/>
        </w:rPr>
        <w:footnoteReference w:id="45"/>
      </w:r>
    </w:p>
    <w:p w14:paraId="17959912" w14:textId="7E067429" w:rsidR="008D2964" w:rsidRDefault="008D2964" w:rsidP="004C0EBA">
      <w:pPr>
        <w:numPr>
          <w:ilvl w:val="0"/>
          <w:numId w:val="7"/>
        </w:numPr>
        <w:tabs>
          <w:tab w:val="clear" w:pos="360"/>
          <w:tab w:val="num" w:pos="1080"/>
        </w:tabs>
        <w:ind w:left="1080"/>
        <w:jc w:val="left"/>
      </w:pPr>
      <w:r>
        <w:t>NO</w:t>
      </w:r>
      <w:r w:rsidRPr="008D2964">
        <w:rPr>
          <w:vertAlign w:val="subscript"/>
        </w:rPr>
        <w:t>x</w:t>
      </w:r>
      <w:r>
        <w:t xml:space="preserve"> emission facto</w:t>
      </w:r>
      <w:r w:rsidR="00E54EA9">
        <w:t>r</w:t>
      </w:r>
      <w:r w:rsidR="00E54EA9" w:rsidRPr="00916D3B">
        <w:rPr>
          <w:vertAlign w:val="superscript"/>
        </w:rPr>
        <w:t xml:space="preserve"> </w:t>
      </w:r>
      <w:r w:rsidR="00E54EA9">
        <w:t>(kg (as NO</w:t>
      </w:r>
      <w:r w:rsidR="00E54EA9" w:rsidRPr="00E54EA9">
        <w:rPr>
          <w:vertAlign w:val="subscript"/>
        </w:rPr>
        <w:t>2</w:t>
      </w:r>
      <w:r w:rsidR="00E54EA9">
        <w:t>)/tonne biomass burned): 5.1</w:t>
      </w:r>
      <w:r w:rsidR="002962D0">
        <w:t xml:space="preserve"> [Sinha</w:t>
      </w:r>
      <w:r w:rsidR="002962D0" w:rsidRPr="002962D0">
        <w:t xml:space="preserve"> et al.</w:t>
      </w:r>
      <w:r w:rsidR="002962D0">
        <w:t xml:space="preserve">, </w:t>
      </w:r>
      <w:r w:rsidR="002962D0" w:rsidRPr="002962D0">
        <w:t>2003</w:t>
      </w:r>
      <w:r w:rsidR="002962D0">
        <w:t>]</w:t>
      </w:r>
    </w:p>
    <w:p w14:paraId="611DF70B" w14:textId="60F04729" w:rsidR="008D2964" w:rsidRDefault="008D2964" w:rsidP="004C0EBA">
      <w:pPr>
        <w:numPr>
          <w:ilvl w:val="0"/>
          <w:numId w:val="7"/>
        </w:numPr>
        <w:tabs>
          <w:tab w:val="clear" w:pos="360"/>
          <w:tab w:val="num" w:pos="1080"/>
        </w:tabs>
        <w:ind w:left="1080"/>
        <w:jc w:val="left"/>
      </w:pPr>
      <w:r>
        <w:t>SO</w:t>
      </w:r>
      <w:r>
        <w:rPr>
          <w:vertAlign w:val="subscript"/>
        </w:rPr>
        <w:t>2</w:t>
      </w:r>
      <w:r>
        <w:t xml:space="preserve"> emission factor (kg/tonne biomass burned): 0.43</w:t>
      </w:r>
      <w:r w:rsidR="002962D0">
        <w:t xml:space="preserve"> [Sinha</w:t>
      </w:r>
      <w:r w:rsidR="002962D0" w:rsidRPr="002962D0">
        <w:t xml:space="preserve"> et al.</w:t>
      </w:r>
      <w:r w:rsidR="002962D0">
        <w:t xml:space="preserve">, </w:t>
      </w:r>
      <w:r w:rsidR="002962D0" w:rsidRPr="002962D0">
        <w:t>2003</w:t>
      </w:r>
      <w:r w:rsidR="002962D0">
        <w:t>]</w:t>
      </w:r>
    </w:p>
    <w:p w14:paraId="559B40FA" w14:textId="193003EB" w:rsidR="005750A0" w:rsidRDefault="005750A0" w:rsidP="004C0EBA">
      <w:pPr>
        <w:numPr>
          <w:ilvl w:val="0"/>
          <w:numId w:val="7"/>
        </w:numPr>
        <w:tabs>
          <w:tab w:val="clear" w:pos="360"/>
          <w:tab w:val="num" w:pos="1080"/>
        </w:tabs>
        <w:ind w:left="1080"/>
        <w:jc w:val="left"/>
      </w:pPr>
      <w:r>
        <w:t>NMVOC emission factor (kg/tonne biomass burned): 3.</w:t>
      </w:r>
      <w:r w:rsidR="00916D3B">
        <w:t>4</w:t>
      </w:r>
      <w:r w:rsidR="002962D0">
        <w:t xml:space="preserve"> [Sinha</w:t>
      </w:r>
      <w:r w:rsidR="002962D0" w:rsidRPr="002962D0">
        <w:t xml:space="preserve"> et al.</w:t>
      </w:r>
      <w:r w:rsidR="002962D0">
        <w:t xml:space="preserve">, </w:t>
      </w:r>
      <w:r w:rsidR="002962D0" w:rsidRPr="002962D0">
        <w:t>2003</w:t>
      </w:r>
      <w:r w:rsidR="002962D0">
        <w:t>]</w:t>
      </w:r>
    </w:p>
    <w:p w14:paraId="4018AACF" w14:textId="56B42CF6" w:rsidR="005750A0" w:rsidRDefault="008D2964" w:rsidP="004C0EBA">
      <w:pPr>
        <w:numPr>
          <w:ilvl w:val="0"/>
          <w:numId w:val="7"/>
        </w:numPr>
        <w:tabs>
          <w:tab w:val="clear" w:pos="360"/>
          <w:tab w:val="num" w:pos="1080"/>
        </w:tabs>
        <w:ind w:left="1080"/>
        <w:jc w:val="left"/>
      </w:pPr>
      <w:r>
        <w:t>PM</w:t>
      </w:r>
      <w:r w:rsidRPr="008D2964">
        <w:rPr>
          <w:vertAlign w:val="subscript"/>
        </w:rPr>
        <w:t>10</w:t>
      </w:r>
      <w:r>
        <w:t xml:space="preserve"> </w:t>
      </w:r>
      <w:r w:rsidR="005750A0">
        <w:t>emission factor (kg/tonne biomass burned): 10</w:t>
      </w:r>
      <w:r w:rsidR="002962D0">
        <w:t xml:space="preserve"> [Sinha</w:t>
      </w:r>
      <w:r w:rsidR="002962D0" w:rsidRPr="002962D0">
        <w:t xml:space="preserve"> et al.</w:t>
      </w:r>
      <w:r w:rsidR="002962D0">
        <w:t xml:space="preserve">, </w:t>
      </w:r>
      <w:r w:rsidR="002962D0" w:rsidRPr="002962D0">
        <w:t>2003</w:t>
      </w:r>
      <w:r w:rsidR="002962D0">
        <w:t>]</w:t>
      </w:r>
    </w:p>
    <w:p w14:paraId="0A29B881" w14:textId="248FE41A" w:rsidR="008C352C" w:rsidRDefault="008C352C" w:rsidP="008C352C">
      <w:pPr>
        <w:numPr>
          <w:ilvl w:val="0"/>
          <w:numId w:val="7"/>
        </w:numPr>
        <w:tabs>
          <w:tab w:val="clear" w:pos="360"/>
          <w:tab w:val="num" w:pos="1080"/>
        </w:tabs>
        <w:ind w:left="1080"/>
        <w:jc w:val="left"/>
      </w:pPr>
      <w:r>
        <w:t>PM</w:t>
      </w:r>
      <w:r>
        <w:rPr>
          <w:vertAlign w:val="subscript"/>
        </w:rPr>
        <w:t>2.5</w:t>
      </w:r>
      <w:r>
        <w:t xml:space="preserve"> emission factor (kg/tonne biomass burned): 5.4</w:t>
      </w:r>
      <w:r w:rsidR="002962D0">
        <w:t xml:space="preserve"> [Andreae and Merlet, 2001]</w:t>
      </w:r>
      <w:r w:rsidR="002962D0">
        <w:rPr>
          <w:rStyle w:val="FootnoteReference"/>
        </w:rPr>
        <w:footnoteReference w:id="46"/>
      </w:r>
      <w:r w:rsidR="002962D0">
        <w:t xml:space="preserve"> </w:t>
      </w:r>
    </w:p>
    <w:p w14:paraId="246373B6" w14:textId="15632AD5" w:rsidR="008C352C" w:rsidRDefault="008C352C" w:rsidP="008C352C">
      <w:pPr>
        <w:numPr>
          <w:ilvl w:val="0"/>
          <w:numId w:val="7"/>
        </w:numPr>
        <w:tabs>
          <w:tab w:val="clear" w:pos="360"/>
          <w:tab w:val="num" w:pos="1080"/>
        </w:tabs>
        <w:ind w:left="1080"/>
        <w:jc w:val="left"/>
      </w:pPr>
      <w:r>
        <w:t>BC emission factor (kg/tonne biomass burned): 0.39</w:t>
      </w:r>
      <w:r w:rsidR="002962D0">
        <w:t xml:space="preserve"> [Sinha</w:t>
      </w:r>
      <w:r w:rsidR="002962D0" w:rsidRPr="002962D0">
        <w:t xml:space="preserve"> et al.</w:t>
      </w:r>
      <w:r w:rsidR="002962D0">
        <w:t xml:space="preserve">, </w:t>
      </w:r>
      <w:r w:rsidR="002962D0" w:rsidRPr="002962D0">
        <w:t>2003</w:t>
      </w:r>
      <w:r w:rsidR="002962D0">
        <w:t>]</w:t>
      </w:r>
    </w:p>
    <w:p w14:paraId="75657AEB" w14:textId="2F83B975" w:rsidR="008C352C" w:rsidRDefault="008C352C" w:rsidP="008C352C">
      <w:pPr>
        <w:numPr>
          <w:ilvl w:val="0"/>
          <w:numId w:val="7"/>
        </w:numPr>
        <w:tabs>
          <w:tab w:val="clear" w:pos="360"/>
          <w:tab w:val="num" w:pos="1080"/>
        </w:tabs>
        <w:ind w:left="1080"/>
        <w:jc w:val="left"/>
      </w:pPr>
      <w:r>
        <w:t>OC emission factor (kg/tonne biomass burned): 2.3</w:t>
      </w:r>
      <w:r w:rsidR="002962D0">
        <w:t xml:space="preserve"> [Sinha</w:t>
      </w:r>
      <w:r w:rsidR="002962D0" w:rsidRPr="002962D0">
        <w:t xml:space="preserve"> et al.</w:t>
      </w:r>
      <w:r w:rsidR="002962D0">
        <w:t xml:space="preserve">, </w:t>
      </w:r>
      <w:r w:rsidR="002962D0" w:rsidRPr="002962D0">
        <w:t>2003</w:t>
      </w:r>
      <w:r w:rsidR="002962D0">
        <w:t>]</w:t>
      </w:r>
    </w:p>
    <w:p w14:paraId="0D5DA7EF" w14:textId="04116B71" w:rsidR="005750A0" w:rsidRDefault="005750A0" w:rsidP="004C0EBA">
      <w:pPr>
        <w:numPr>
          <w:ilvl w:val="0"/>
          <w:numId w:val="7"/>
        </w:numPr>
        <w:tabs>
          <w:tab w:val="clear" w:pos="360"/>
          <w:tab w:val="num" w:pos="1080"/>
        </w:tabs>
        <w:ind w:left="1080"/>
        <w:jc w:val="left"/>
      </w:pPr>
      <w:r>
        <w:t>NH</w:t>
      </w:r>
      <w:r>
        <w:rPr>
          <w:vertAlign w:val="subscript"/>
        </w:rPr>
        <w:t>3</w:t>
      </w:r>
      <w:r>
        <w:t xml:space="preserve"> emission factor</w:t>
      </w:r>
      <w:r w:rsidRPr="00916D3B">
        <w:rPr>
          <w:vertAlign w:val="superscript"/>
        </w:rPr>
        <w:t xml:space="preserve"> </w:t>
      </w:r>
      <w:r>
        <w:t xml:space="preserve">(kg/tonne biomass burned): </w:t>
      </w:r>
      <w:r w:rsidR="008D2964">
        <w:t>0.26</w:t>
      </w:r>
      <w:r w:rsidR="002962D0">
        <w:t xml:space="preserve"> [Sinha</w:t>
      </w:r>
      <w:r w:rsidR="002962D0" w:rsidRPr="002962D0">
        <w:t xml:space="preserve"> et al.</w:t>
      </w:r>
      <w:r w:rsidR="002962D0">
        <w:t xml:space="preserve">, </w:t>
      </w:r>
      <w:r w:rsidR="002962D0" w:rsidRPr="002962D0">
        <w:t>2003</w:t>
      </w:r>
      <w:r w:rsidR="002962D0">
        <w:t>]</w:t>
      </w:r>
    </w:p>
    <w:p w14:paraId="7490885B" w14:textId="74E68B67" w:rsidR="008C352C" w:rsidRDefault="008C352C" w:rsidP="004C0EBA">
      <w:pPr>
        <w:numPr>
          <w:ilvl w:val="0"/>
          <w:numId w:val="7"/>
        </w:numPr>
        <w:tabs>
          <w:tab w:val="clear" w:pos="360"/>
          <w:tab w:val="num" w:pos="1080"/>
        </w:tabs>
        <w:ind w:left="1080"/>
        <w:jc w:val="left"/>
      </w:pPr>
      <w:r>
        <w:t>CH</w:t>
      </w:r>
      <w:r w:rsidRPr="004B40A2">
        <w:rPr>
          <w:vertAlign w:val="subscript"/>
        </w:rPr>
        <w:t>4</w:t>
      </w:r>
      <w:r>
        <w:t xml:space="preserve"> emission factor</w:t>
      </w:r>
      <w:r w:rsidRPr="00916D3B">
        <w:rPr>
          <w:vertAlign w:val="superscript"/>
        </w:rPr>
        <w:t xml:space="preserve"> </w:t>
      </w:r>
      <w:r>
        <w:t>(kg/tonne biomass burned): 1.7</w:t>
      </w:r>
      <w:r w:rsidR="008A54D3">
        <w:t xml:space="preserve"> [Sinha</w:t>
      </w:r>
      <w:r w:rsidR="008A54D3" w:rsidRPr="002962D0">
        <w:t xml:space="preserve"> et al.</w:t>
      </w:r>
      <w:r w:rsidR="008A54D3">
        <w:t xml:space="preserve">, </w:t>
      </w:r>
      <w:r w:rsidR="008A54D3" w:rsidRPr="002962D0">
        <w:t>2003</w:t>
      </w:r>
      <w:r w:rsidR="008A54D3">
        <w:t>]</w:t>
      </w:r>
    </w:p>
    <w:p w14:paraId="5D004268" w14:textId="77777777" w:rsidR="005750A0" w:rsidRPr="00DF3BBE" w:rsidRDefault="005750A0" w:rsidP="005750A0">
      <w:pPr>
        <w:ind w:firstLine="720"/>
        <w:rPr>
          <w:sz w:val="16"/>
          <w:szCs w:val="16"/>
        </w:rPr>
      </w:pPr>
    </w:p>
    <w:p w14:paraId="6E006DAA" w14:textId="6D664965" w:rsidR="004B2513" w:rsidRDefault="00066407" w:rsidP="005750A0">
      <w:pPr>
        <w:ind w:firstLine="720"/>
      </w:pPr>
      <w:r w:rsidRPr="00066407">
        <w:lastRenderedPageBreak/>
        <w:t>The default source of activity data (burned area of savannah + woody savannah) is the FAOSTAT online database</w:t>
      </w:r>
      <w:r>
        <w:rPr>
          <w:rStyle w:val="FootnoteReference"/>
        </w:rPr>
        <w:footnoteReference w:id="47"/>
      </w:r>
      <w:r w:rsidR="005750A0">
        <w:t xml:space="preserve">. </w:t>
      </w:r>
    </w:p>
    <w:p w14:paraId="217C0374" w14:textId="77777777" w:rsidR="008B3937" w:rsidRDefault="008B3937" w:rsidP="005750A0">
      <w:pPr>
        <w:ind w:firstLine="720"/>
      </w:pPr>
    </w:p>
    <w:p w14:paraId="4D9502B3" w14:textId="77777777" w:rsidR="006C5989" w:rsidRDefault="006C5989">
      <w:pPr>
        <w:pStyle w:val="Footer"/>
        <w:rPr>
          <w:sz w:val="20"/>
        </w:rPr>
      </w:pPr>
    </w:p>
    <w:p w14:paraId="68957001" w14:textId="77777777" w:rsidR="00C46552" w:rsidRDefault="00C46552">
      <w:pPr>
        <w:pStyle w:val="Heading3"/>
        <w:numPr>
          <w:ilvl w:val="2"/>
          <w:numId w:val="18"/>
        </w:numPr>
      </w:pPr>
      <w:bookmarkStart w:id="121" w:name="_Toc10122715"/>
      <w:r>
        <w:t>Procedure for estimating emissions from burning of agricultural wastes</w:t>
      </w:r>
      <w:bookmarkEnd w:id="121"/>
    </w:p>
    <w:p w14:paraId="47F6D48B" w14:textId="77777777" w:rsidR="00C46552" w:rsidRDefault="00C46552">
      <w:r>
        <w:t xml:space="preserve"> </w:t>
      </w:r>
    </w:p>
    <w:p w14:paraId="6344ADD6" w14:textId="0CDFF524" w:rsidR="00C46552" w:rsidRDefault="00C46552">
      <w:r>
        <w:t xml:space="preserve">The procedure is adapted from the </w:t>
      </w:r>
      <w:r w:rsidR="008A54D3" w:rsidRPr="004B40A2">
        <w:rPr>
          <w:i/>
        </w:rPr>
        <w:t>EMEP/EEA Guidelines</w:t>
      </w:r>
      <w:r w:rsidR="008A54D3">
        <w:t xml:space="preserve"> </w:t>
      </w:r>
      <w:r>
        <w:t>methodology and includes the following:</w:t>
      </w:r>
    </w:p>
    <w:p w14:paraId="43F5D730" w14:textId="7FB8F7D9" w:rsidR="008A54D3" w:rsidRDefault="008A54D3" w:rsidP="008A54D3">
      <w:pPr>
        <w:numPr>
          <w:ilvl w:val="0"/>
          <w:numId w:val="6"/>
        </w:numPr>
        <w:spacing w:before="120"/>
        <w:ind w:left="357" w:hanging="357"/>
      </w:pPr>
      <w:r>
        <w:t>Enter the amount (kilotonnes per year) of each crop produced (rice, wheat, millet, soya, maize, potatoes,</w:t>
      </w:r>
      <w:r w:rsidRPr="0027221B">
        <w:t xml:space="preserve"> </w:t>
      </w:r>
      <w:r>
        <w:t>jute, cotton, groundnut, sugarcane, rapeseed and mustard),</w:t>
      </w:r>
    </w:p>
    <w:p w14:paraId="5CCDE6AC" w14:textId="0011E301" w:rsidR="00C46552" w:rsidRDefault="00931457" w:rsidP="00424066">
      <w:pPr>
        <w:numPr>
          <w:ilvl w:val="0"/>
          <w:numId w:val="6"/>
        </w:numPr>
        <w:spacing w:before="120"/>
        <w:ind w:left="357" w:hanging="357"/>
      </w:pPr>
      <w:r>
        <w:t xml:space="preserve">For each crop, calculate </w:t>
      </w:r>
      <w:r w:rsidR="00C46552">
        <w:t>of the amount of crop residue biomass burned</w:t>
      </w:r>
      <w:r>
        <w:t xml:space="preserve"> (kt dry matter)</w:t>
      </w:r>
      <w:r w:rsidR="00C46552">
        <w:t xml:space="preserve"> based on </w:t>
      </w:r>
      <w:r>
        <w:t xml:space="preserve">the above crop production together with </w:t>
      </w:r>
      <w:r w:rsidR="00C46552">
        <w:t>the residue to crop ratio, the dry matter in each type of residue, the fraction of each crop burned in the field, and the fraction of burned material that is oxidized during combustion.</w:t>
      </w:r>
    </w:p>
    <w:p w14:paraId="4BDC17C2" w14:textId="6E7A8B49" w:rsidR="00931457" w:rsidRDefault="00931457" w:rsidP="00424066">
      <w:pPr>
        <w:numPr>
          <w:ilvl w:val="0"/>
          <w:numId w:val="6"/>
        </w:numPr>
        <w:spacing w:before="120"/>
        <w:ind w:left="357" w:hanging="357"/>
      </w:pPr>
      <w:r>
        <w:t xml:space="preserve">For Maize, Rice, Sugarcane and Wheat, </w:t>
      </w:r>
      <w:r w:rsidR="009718D5">
        <w:t>the dry matter biomass burned (tonnes) can be obtained directly from the FAOSTAT database</w:t>
      </w:r>
      <w:r w:rsidR="009718D5">
        <w:rPr>
          <w:rStyle w:val="FootnoteReference"/>
        </w:rPr>
        <w:footnoteReference w:id="48"/>
      </w:r>
      <w:r w:rsidR="009718D5">
        <w:t>.</w:t>
      </w:r>
    </w:p>
    <w:p w14:paraId="4B68883C" w14:textId="625DAADD" w:rsidR="00C46552" w:rsidRDefault="00C46552" w:rsidP="00424066">
      <w:pPr>
        <w:numPr>
          <w:ilvl w:val="0"/>
          <w:numId w:val="6"/>
        </w:numPr>
        <w:spacing w:before="120"/>
        <w:ind w:left="357" w:hanging="357"/>
      </w:pPr>
      <w:r>
        <w:t xml:space="preserve">Estimation of emissions of </w:t>
      </w:r>
      <w:r w:rsidR="008A54D3" w:rsidRPr="008A54D3">
        <w:t>SO</w:t>
      </w:r>
      <w:r w:rsidR="008A54D3" w:rsidRPr="008A54D3">
        <w:rPr>
          <w:vertAlign w:val="subscript"/>
        </w:rPr>
        <w:t>2</w:t>
      </w:r>
      <w:r w:rsidR="008A54D3" w:rsidRPr="008A54D3">
        <w:t>, NO</w:t>
      </w:r>
      <w:r w:rsidR="008A54D3" w:rsidRPr="008A54D3">
        <w:rPr>
          <w:vertAlign w:val="subscript"/>
        </w:rPr>
        <w:t>X</w:t>
      </w:r>
      <w:r w:rsidR="008A54D3" w:rsidRPr="008A54D3">
        <w:t>, CO, NMVOCs, CH</w:t>
      </w:r>
      <w:r w:rsidR="008A54D3" w:rsidRPr="008A54D3">
        <w:rPr>
          <w:vertAlign w:val="subscript"/>
        </w:rPr>
        <w:t>4</w:t>
      </w:r>
      <w:r w:rsidR="008A54D3" w:rsidRPr="008A54D3">
        <w:t>, NH</w:t>
      </w:r>
      <w:r w:rsidR="008A54D3" w:rsidRPr="008A54D3">
        <w:rPr>
          <w:vertAlign w:val="subscript"/>
        </w:rPr>
        <w:t>3</w:t>
      </w:r>
      <w:r w:rsidR="008A54D3" w:rsidRPr="008A54D3">
        <w:t>, PM</w:t>
      </w:r>
      <w:r w:rsidR="008A54D3" w:rsidRPr="008A54D3">
        <w:rPr>
          <w:vertAlign w:val="subscript"/>
        </w:rPr>
        <w:t>10</w:t>
      </w:r>
      <w:r w:rsidR="008A54D3" w:rsidRPr="008A54D3">
        <w:t>, PM</w:t>
      </w:r>
      <w:r w:rsidR="008A54D3" w:rsidRPr="008A54D3">
        <w:rPr>
          <w:vertAlign w:val="subscript"/>
        </w:rPr>
        <w:t>2.5</w:t>
      </w:r>
      <w:r w:rsidR="008A54D3" w:rsidRPr="008A54D3">
        <w:t>, BC and OC</w:t>
      </w:r>
      <w:r w:rsidR="008A54D3">
        <w:t xml:space="preserve"> </w:t>
      </w:r>
      <w:r>
        <w:t xml:space="preserve">by multiplying the amount of </w:t>
      </w:r>
      <w:r w:rsidR="008A54D3">
        <w:t xml:space="preserve">crop </w:t>
      </w:r>
      <w:r>
        <w:t>residue burned by the emission factors for each pollutant.</w:t>
      </w:r>
    </w:p>
    <w:p w14:paraId="043F4961" w14:textId="77777777" w:rsidR="00C46552" w:rsidRDefault="00C46552"/>
    <w:p w14:paraId="0AEED114" w14:textId="5544865F" w:rsidR="00C46552" w:rsidRDefault="00931457">
      <w:pPr>
        <w:ind w:firstLine="720"/>
      </w:pPr>
      <w:r w:rsidRPr="00931457">
        <w:t xml:space="preserve">In </w:t>
      </w:r>
      <w:r>
        <w:t>the Workbook</w:t>
      </w:r>
      <w:r w:rsidRPr="00931457">
        <w:t>, Tier 1 default values from EMEP/EEA (2016) are provided for dry matter fraction</w:t>
      </w:r>
      <w:r>
        <w:t>s</w:t>
      </w:r>
      <w:r w:rsidRPr="00931457">
        <w:t>, fraction</w:t>
      </w:r>
      <w:r>
        <w:t>s</w:t>
      </w:r>
      <w:r w:rsidRPr="00931457">
        <w:t xml:space="preserve"> oxidised </w:t>
      </w:r>
      <w:r>
        <w:t xml:space="preserve">and most of the </w:t>
      </w:r>
      <w:r w:rsidRPr="00931457">
        <w:t>residue-to-crop ratio</w:t>
      </w:r>
      <w:r>
        <w:t>s</w:t>
      </w:r>
      <w:r w:rsidRPr="00931457">
        <w:t xml:space="preserve">. EMEP/EEA (2016) Tier 2 default </w:t>
      </w:r>
      <w:r>
        <w:t>emission factors</w:t>
      </w:r>
      <w:r w:rsidRPr="00931457">
        <w:t xml:space="preserve"> are </w:t>
      </w:r>
      <w:r>
        <w:t>offered</w:t>
      </w:r>
      <w:r w:rsidRPr="00931457">
        <w:t xml:space="preserve"> for most pollutants apart from CH</w:t>
      </w:r>
      <w:r w:rsidRPr="004B40A2">
        <w:rPr>
          <w:vertAlign w:val="subscript"/>
        </w:rPr>
        <w:t>4</w:t>
      </w:r>
      <w:r w:rsidRPr="00931457">
        <w:t xml:space="preserve"> and OC which came from Andreae and Merlet (2001), and SO</w:t>
      </w:r>
      <w:r w:rsidRPr="004B40A2">
        <w:rPr>
          <w:vertAlign w:val="subscript"/>
        </w:rPr>
        <w:t>2</w:t>
      </w:r>
      <w:r w:rsidRPr="00931457">
        <w:t xml:space="preserve"> from Reddy and Venkataraman (2002). Also, crop-specific default residue-to-crop ratios, appropriate for LMICs, were sourced from TFAC (1991) and Tyagi (1989). The default source of activity data </w:t>
      </w:r>
      <w:r w:rsidR="009718D5">
        <w:t xml:space="preserve">(crop production) </w:t>
      </w:r>
      <w:r w:rsidRPr="00931457">
        <w:t>is the FAOSTAT database</w:t>
      </w:r>
      <w:r w:rsidR="00E76454">
        <w:rPr>
          <w:rStyle w:val="FootnoteReference"/>
        </w:rPr>
        <w:footnoteReference w:id="49"/>
      </w:r>
      <w:r w:rsidR="00E76454">
        <w:t>.</w:t>
      </w:r>
    </w:p>
    <w:p w14:paraId="06D7A0A5" w14:textId="77777777" w:rsidR="009D1E41" w:rsidRDefault="009D1E41" w:rsidP="00C200B3">
      <w:pPr>
        <w:jc w:val="center"/>
        <w:rPr>
          <w:b/>
          <w:i/>
        </w:rPr>
      </w:pPr>
    </w:p>
    <w:p w14:paraId="1E6AF78E" w14:textId="7DF0575C" w:rsidR="004B09D2" w:rsidRPr="006D7A24" w:rsidRDefault="004B09D2" w:rsidP="004B09D2"/>
    <w:p w14:paraId="08A7B504" w14:textId="77777777" w:rsidR="004B09D2" w:rsidRDefault="004B09D2" w:rsidP="004B09D2">
      <w:pPr>
        <w:pStyle w:val="Heading3"/>
        <w:numPr>
          <w:ilvl w:val="2"/>
          <w:numId w:val="18"/>
        </w:numPr>
      </w:pPr>
      <w:bookmarkStart w:id="122" w:name="_Toc10122716"/>
      <w:r>
        <w:t>Procedure for estimating emissions of methane from rice cultivation</w:t>
      </w:r>
      <w:bookmarkEnd w:id="122"/>
    </w:p>
    <w:p w14:paraId="24D8174C" w14:textId="77777777" w:rsidR="004B09D2" w:rsidRPr="004B09D2" w:rsidRDefault="004B09D2" w:rsidP="004B09D2"/>
    <w:p w14:paraId="110284F8" w14:textId="151F4CC4" w:rsidR="004B09D2" w:rsidRDefault="004B09D2" w:rsidP="00424066">
      <w:pPr>
        <w:spacing w:before="120"/>
      </w:pPr>
      <w:r w:rsidRPr="004B09D2">
        <w:t xml:space="preserve">The procedure is </w:t>
      </w:r>
      <w:r w:rsidR="00C22F98">
        <w:t>based on</w:t>
      </w:r>
      <w:r w:rsidRPr="004B09D2">
        <w:t xml:space="preserve"> </w:t>
      </w:r>
      <w:r w:rsidR="00C22F98">
        <w:t xml:space="preserve">Tier 1 </w:t>
      </w:r>
      <w:r w:rsidRPr="004B09D2">
        <w:t>IPCC</w:t>
      </w:r>
      <w:r w:rsidR="00FF3F24">
        <w:t xml:space="preserve"> (2006)</w:t>
      </w:r>
      <w:r w:rsidRPr="004B09D2">
        <w:t xml:space="preserve"> methodology and includes the following steps:</w:t>
      </w:r>
    </w:p>
    <w:p w14:paraId="28B3E713" w14:textId="77777777" w:rsidR="009A62E3" w:rsidRDefault="009A62E3" w:rsidP="00D25CCB">
      <w:pPr>
        <w:numPr>
          <w:ilvl w:val="0"/>
          <w:numId w:val="6"/>
        </w:numPr>
        <w:spacing w:before="120"/>
        <w:ind w:left="357" w:hanging="357"/>
      </w:pPr>
      <w:r>
        <w:t xml:space="preserve">Estimate the annual area of rice fields harvested (ha/yr) subdivided according to 3 types of rice ecosystem: </w:t>
      </w:r>
      <w:r w:rsidRPr="00A168E1">
        <w:rPr>
          <w:i/>
        </w:rPr>
        <w:t>Irrigated</w:t>
      </w:r>
      <w:r>
        <w:t xml:space="preserve"> (fields are flooded for a significant period of time and water regime is fully controlled), </w:t>
      </w:r>
      <w:r w:rsidRPr="00A168E1">
        <w:rPr>
          <w:i/>
        </w:rPr>
        <w:t>Rainfed and deep water</w:t>
      </w:r>
      <w:r>
        <w:t xml:space="preserve"> (fields are flooded for a significant period of time and water regime depends solely on precipitation) or </w:t>
      </w:r>
      <w:r w:rsidRPr="00A168E1">
        <w:rPr>
          <w:i/>
        </w:rPr>
        <w:t>Upland</w:t>
      </w:r>
      <w:r w:rsidR="00424066" w:rsidRPr="00A168E1">
        <w:rPr>
          <w:vertAlign w:val="superscript"/>
        </w:rPr>
        <w:footnoteReference w:id="50"/>
      </w:r>
      <w:r>
        <w:t xml:space="preserve"> (fields are never flooded for a significant period of time). </w:t>
      </w:r>
    </w:p>
    <w:p w14:paraId="18B49A99" w14:textId="49DAC8CE" w:rsidR="009A62E3" w:rsidRDefault="009A62E3" w:rsidP="00D25CCB">
      <w:pPr>
        <w:numPr>
          <w:ilvl w:val="0"/>
          <w:numId w:val="6"/>
        </w:numPr>
        <w:spacing w:before="120"/>
        <w:ind w:left="357" w:hanging="357"/>
      </w:pPr>
      <w:r>
        <w:t xml:space="preserve">Further subdivide </w:t>
      </w:r>
      <w:r w:rsidR="0021177F">
        <w:t xml:space="preserve">the </w:t>
      </w:r>
      <w:r w:rsidRPr="00A168E1">
        <w:rPr>
          <w:i/>
        </w:rPr>
        <w:t>Irrigated</w:t>
      </w:r>
      <w:r>
        <w:t xml:space="preserve"> area of rice production </w:t>
      </w:r>
      <w:r w:rsidR="0021177F">
        <w:t>into two types of</w:t>
      </w:r>
      <w:r>
        <w:t xml:space="preserve"> water regime during cultivation: </w:t>
      </w:r>
      <w:r w:rsidR="0021177F">
        <w:t xml:space="preserve">either </w:t>
      </w:r>
      <w:r w:rsidRPr="00A168E1">
        <w:rPr>
          <w:i/>
        </w:rPr>
        <w:t>Continuously flooded</w:t>
      </w:r>
      <w:r>
        <w:t xml:space="preserve"> (fields have standing water throughout the rice growing season and may only dry out for harvest (end-season drainage) or </w:t>
      </w:r>
      <w:r w:rsidRPr="00A168E1">
        <w:rPr>
          <w:i/>
        </w:rPr>
        <w:t>Intermittently aerated</w:t>
      </w:r>
      <w:r>
        <w:t xml:space="preserve"> (fields have at least one aeration period of more than 3 days during the cropping season.)</w:t>
      </w:r>
    </w:p>
    <w:p w14:paraId="639B9920" w14:textId="77777777" w:rsidR="006845F5" w:rsidRDefault="006845F5" w:rsidP="00D25CCB">
      <w:pPr>
        <w:numPr>
          <w:ilvl w:val="0"/>
          <w:numId w:val="6"/>
        </w:numPr>
        <w:spacing w:before="120"/>
        <w:ind w:left="357" w:hanging="357"/>
      </w:pPr>
      <w:r>
        <w:t xml:space="preserve">For each of the above categories, estimate the number of days within the inventory year that rice is cultivated for. </w:t>
      </w:r>
    </w:p>
    <w:p w14:paraId="634E4DA5" w14:textId="479F217A" w:rsidR="006845F5" w:rsidRPr="00A50D33" w:rsidRDefault="006845F5" w:rsidP="00A50D33">
      <w:pPr>
        <w:numPr>
          <w:ilvl w:val="0"/>
          <w:numId w:val="6"/>
        </w:numPr>
        <w:spacing w:before="120"/>
      </w:pPr>
      <w:r>
        <w:t>As a starting point, a</w:t>
      </w:r>
      <w:r w:rsidR="009A62E3">
        <w:t xml:space="preserve"> </w:t>
      </w:r>
      <w:r w:rsidR="009A62E3" w:rsidRPr="00A168E1">
        <w:rPr>
          <w:i/>
        </w:rPr>
        <w:t xml:space="preserve">baseline </w:t>
      </w:r>
      <w:r w:rsidR="00FF3F24" w:rsidRPr="00A168E1">
        <w:rPr>
          <w:i/>
        </w:rPr>
        <w:t xml:space="preserve">default </w:t>
      </w:r>
      <w:r w:rsidR="009A62E3" w:rsidRPr="00A168E1">
        <w:rPr>
          <w:i/>
        </w:rPr>
        <w:t>emission factor</w:t>
      </w:r>
      <w:r w:rsidR="00FF3F24">
        <w:t xml:space="preserve"> of</w:t>
      </w:r>
      <w:r w:rsidR="009A62E3">
        <w:t xml:space="preserve"> </w:t>
      </w:r>
      <w:r w:rsidR="00FF3F24">
        <w:t>1.30 kg CH</w:t>
      </w:r>
      <w:r w:rsidR="00FF3F24" w:rsidRPr="00D25CCB">
        <w:rPr>
          <w:vertAlign w:val="subscript"/>
        </w:rPr>
        <w:t>4</w:t>
      </w:r>
      <w:r w:rsidR="00FF3F24">
        <w:t xml:space="preserve"> ha</w:t>
      </w:r>
      <w:r w:rsidR="00FF3F24" w:rsidRPr="00D25CCB">
        <w:rPr>
          <w:vertAlign w:val="superscript"/>
        </w:rPr>
        <w:t>-1</w:t>
      </w:r>
      <w:r w:rsidR="00FF3F24">
        <w:t xml:space="preserve"> day</w:t>
      </w:r>
      <w:r w:rsidR="00FF3F24" w:rsidRPr="00D25CCB">
        <w:rPr>
          <w:vertAlign w:val="superscript"/>
        </w:rPr>
        <w:t>-1</w:t>
      </w:r>
      <w:r w:rsidRPr="00D25CCB">
        <w:t xml:space="preserve"> </w:t>
      </w:r>
      <w:r w:rsidR="00A168E1">
        <w:t xml:space="preserve">(from IPCC, 2006) </w:t>
      </w:r>
      <w:r w:rsidR="00A50D33" w:rsidRPr="00A50D33">
        <w:t xml:space="preserve"> for situations where: a) the paddy fields are not flooded during the 180 days prior to cultivation, b) they are continuously flooded during the cultivation period and c) there is no use of organic amendments.</w:t>
      </w:r>
    </w:p>
    <w:p w14:paraId="4E0597CB" w14:textId="77777777" w:rsidR="00D25CCB" w:rsidRDefault="00FF3F24" w:rsidP="00D25CCB">
      <w:pPr>
        <w:numPr>
          <w:ilvl w:val="0"/>
          <w:numId w:val="6"/>
        </w:numPr>
        <w:spacing w:before="120"/>
        <w:ind w:left="357" w:hanging="357"/>
      </w:pPr>
      <w:r>
        <w:t xml:space="preserve">Scaling factors are then </w:t>
      </w:r>
      <w:r w:rsidR="00BD602B">
        <w:t>used</w:t>
      </w:r>
      <w:r>
        <w:t xml:space="preserve"> to adjust this baseline emission factor to account for</w:t>
      </w:r>
      <w:r w:rsidR="00BD602B">
        <w:t>:</w:t>
      </w:r>
      <w:r>
        <w:t xml:space="preserve"> </w:t>
      </w:r>
      <w:r w:rsidR="00BD602B">
        <w:tab/>
      </w:r>
    </w:p>
    <w:p w14:paraId="479D3351" w14:textId="77777777" w:rsidR="00BD602B" w:rsidRDefault="00D25CCB" w:rsidP="00D25CCB">
      <w:pPr>
        <w:spacing w:before="120"/>
      </w:pPr>
      <w:r>
        <w:lastRenderedPageBreak/>
        <w:tab/>
      </w:r>
      <w:r>
        <w:tab/>
      </w:r>
      <w:r w:rsidR="00BD602B">
        <w:t xml:space="preserve">(a) </w:t>
      </w:r>
      <w:r w:rsidR="00FF3F24">
        <w:t xml:space="preserve">differences in </w:t>
      </w:r>
      <w:r w:rsidR="00FF3F24" w:rsidRPr="00A168E1">
        <w:rPr>
          <w:i/>
        </w:rPr>
        <w:t>water regime during the cultivation period</w:t>
      </w:r>
      <w:r w:rsidR="00BD602B">
        <w:t xml:space="preserve"> for </w:t>
      </w:r>
      <w:r w:rsidR="00BD602B" w:rsidRPr="00D25CCB">
        <w:t>irrigated</w:t>
      </w:r>
      <w:r w:rsidR="00BD602B">
        <w:t xml:space="preserve"> fields </w:t>
      </w:r>
      <w:r w:rsidR="00BD602B">
        <w:tab/>
      </w:r>
      <w:r w:rsidR="00BD602B">
        <w:tab/>
      </w:r>
      <w:r>
        <w:tab/>
      </w:r>
      <w:r>
        <w:tab/>
      </w:r>
      <w:r w:rsidR="00BD602B">
        <w:t xml:space="preserve">(i.e. </w:t>
      </w:r>
      <w:r w:rsidR="00BD602B" w:rsidRPr="00D25CCB">
        <w:t>continuously flooded</w:t>
      </w:r>
      <w:r w:rsidR="00BD602B">
        <w:t xml:space="preserve"> versus </w:t>
      </w:r>
      <w:r w:rsidR="00BD602B" w:rsidRPr="00D25CCB">
        <w:t>intermittently aerated</w:t>
      </w:r>
      <w:r w:rsidR="00BD602B">
        <w:t xml:space="preserve">) </w:t>
      </w:r>
    </w:p>
    <w:p w14:paraId="74C68BD4" w14:textId="77777777" w:rsidR="00BD602B" w:rsidRDefault="00BD602B" w:rsidP="00D25CCB">
      <w:pPr>
        <w:spacing w:before="120"/>
      </w:pPr>
      <w:r>
        <w:tab/>
      </w:r>
      <w:r>
        <w:tab/>
        <w:t xml:space="preserve">(b) differences in </w:t>
      </w:r>
      <w:r w:rsidRPr="00A168E1">
        <w:rPr>
          <w:i/>
        </w:rPr>
        <w:t>water regime before the cultivation period</w:t>
      </w:r>
      <w:r>
        <w:t xml:space="preserve"> (an aggregated default </w:t>
      </w:r>
      <w:r>
        <w:tab/>
      </w:r>
      <w:r>
        <w:tab/>
      </w:r>
      <w:r w:rsidR="00D25CCB">
        <w:tab/>
      </w:r>
      <w:r>
        <w:t>value is given in case this information is lacking), and</w:t>
      </w:r>
    </w:p>
    <w:p w14:paraId="7FEF494F" w14:textId="77777777" w:rsidR="009A62E3" w:rsidRDefault="00BD602B" w:rsidP="00D25CCB">
      <w:pPr>
        <w:spacing w:before="120"/>
      </w:pPr>
      <w:r>
        <w:tab/>
      </w:r>
      <w:r>
        <w:tab/>
        <w:t xml:space="preserve">(c) </w:t>
      </w:r>
      <w:r w:rsidR="00FF3F24">
        <w:t xml:space="preserve">the type </w:t>
      </w:r>
      <w:r>
        <w:t xml:space="preserve">(e.g. </w:t>
      </w:r>
      <w:r w:rsidRPr="00FF3F24">
        <w:t>straw</w:t>
      </w:r>
      <w:r>
        <w:t>,</w:t>
      </w:r>
      <w:r w:rsidRPr="00FF3F24">
        <w:t xml:space="preserve"> compost, farmyard </w:t>
      </w:r>
      <w:r>
        <w:tab/>
      </w:r>
      <w:r w:rsidRPr="00FF3F24">
        <w:t>manure</w:t>
      </w:r>
      <w:r>
        <w:t xml:space="preserve">, </w:t>
      </w:r>
      <w:r w:rsidRPr="00FF3F24">
        <w:t>green manure</w:t>
      </w:r>
      <w:r>
        <w:t xml:space="preserve">) </w:t>
      </w:r>
      <w:r w:rsidR="00FF3F24">
        <w:t xml:space="preserve">and amount of </w:t>
      </w:r>
      <w:r>
        <w:tab/>
      </w:r>
      <w:r>
        <w:tab/>
      </w:r>
      <w:r w:rsidR="00D25CCB">
        <w:tab/>
      </w:r>
      <w:r w:rsidR="00FF3F24">
        <w:t xml:space="preserve">any </w:t>
      </w:r>
      <w:r w:rsidR="00FF3F24" w:rsidRPr="00A168E1">
        <w:rPr>
          <w:i/>
        </w:rPr>
        <w:t xml:space="preserve">organic amendments </w:t>
      </w:r>
      <w:r w:rsidR="00FF3F24">
        <w:t xml:space="preserve"> incorporated into the soil.</w:t>
      </w:r>
      <w:r w:rsidRPr="00BD602B">
        <w:t xml:space="preserve"> </w:t>
      </w:r>
      <w:r>
        <w:t>D</w:t>
      </w:r>
      <w:r w:rsidRPr="00BD602B">
        <w:t xml:space="preserve">efault factors are 1.0 </w:t>
      </w:r>
      <w:r w:rsidR="00D25CCB">
        <w:tab/>
      </w:r>
      <w:r w:rsidR="00D25CCB">
        <w:tab/>
      </w:r>
      <w:r w:rsidR="00D25CCB">
        <w:tab/>
      </w:r>
      <w:r w:rsidRPr="00BD602B">
        <w:t>for</w:t>
      </w:r>
      <w:r w:rsidR="00D25CCB">
        <w:t xml:space="preserve"> </w:t>
      </w:r>
      <w:r>
        <w:t>s</w:t>
      </w:r>
      <w:r w:rsidRPr="00BD602B">
        <w:t xml:space="preserve">traw incorporated </w:t>
      </w:r>
      <w:r w:rsidR="00A168E1">
        <w:t xml:space="preserve">within </w:t>
      </w:r>
      <w:r w:rsidRPr="00BD602B">
        <w:t>30 days</w:t>
      </w:r>
      <w:r w:rsidR="00A168E1">
        <w:t xml:space="preserve"> of</w:t>
      </w:r>
      <w:r w:rsidRPr="00BD602B">
        <w:t xml:space="preserve"> cultivation or 0.29</w:t>
      </w:r>
      <w:r w:rsidR="00A168E1">
        <w:t xml:space="preserve"> </w:t>
      </w:r>
      <w:r w:rsidRPr="00BD602B">
        <w:t>for</w:t>
      </w:r>
      <w:r w:rsidR="00A168E1">
        <w:t xml:space="preserve"> </w:t>
      </w:r>
      <w:r w:rsidRPr="00BD602B">
        <w:t>Straw</w:t>
      </w:r>
      <w:r w:rsidR="00D25CCB">
        <w:t xml:space="preserve"> </w:t>
      </w:r>
      <w:r w:rsidR="00A168E1">
        <w:tab/>
      </w:r>
      <w:r w:rsidR="00A168E1">
        <w:tab/>
      </w:r>
      <w:r w:rsidR="00A168E1">
        <w:tab/>
      </w:r>
      <w:r w:rsidR="00A168E1">
        <w:tab/>
      </w:r>
      <w:r w:rsidRPr="00BD602B">
        <w:t xml:space="preserve">incorporated </w:t>
      </w:r>
      <w:r w:rsidR="00A168E1">
        <w:t xml:space="preserve">more than </w:t>
      </w:r>
      <w:r w:rsidRPr="00BD602B">
        <w:t xml:space="preserve">30 days before cultivation. </w:t>
      </w:r>
      <w:r>
        <w:t>(</w:t>
      </w:r>
      <w:r w:rsidR="006845F5">
        <w:t>Or u</w:t>
      </w:r>
      <w:r w:rsidRPr="00BD602B">
        <w:t>se 0.05</w:t>
      </w:r>
      <w:r w:rsidR="00A168E1">
        <w:t xml:space="preserve"> </w:t>
      </w:r>
      <w:r w:rsidRPr="00BD602B">
        <w:t xml:space="preserve">for </w:t>
      </w:r>
      <w:r w:rsidR="00A168E1">
        <w:tab/>
      </w:r>
      <w:r w:rsidR="00A168E1">
        <w:tab/>
      </w:r>
      <w:r w:rsidR="00A168E1">
        <w:tab/>
      </w:r>
      <w:r w:rsidR="00A168E1">
        <w:tab/>
      </w:r>
      <w:r w:rsidRPr="00BD602B">
        <w:t>compost; 0.14 for</w:t>
      </w:r>
      <w:r w:rsidR="00D25CCB">
        <w:t xml:space="preserve"> f</w:t>
      </w:r>
      <w:r w:rsidRPr="00BD602B">
        <w:t>armyard</w:t>
      </w:r>
      <w:r w:rsidR="006845F5">
        <w:t xml:space="preserve"> </w:t>
      </w:r>
      <w:r w:rsidRPr="00BD602B">
        <w:t>manure</w:t>
      </w:r>
      <w:r w:rsidR="006845F5">
        <w:t xml:space="preserve"> and</w:t>
      </w:r>
      <w:r w:rsidRPr="00BD602B">
        <w:t xml:space="preserve"> 0.5 for green manure</w:t>
      </w:r>
      <w:r>
        <w:t>)</w:t>
      </w:r>
      <w:r w:rsidRPr="00BD602B">
        <w:t>.</w:t>
      </w:r>
    </w:p>
    <w:p w14:paraId="19DC614D" w14:textId="77777777" w:rsidR="006845F5" w:rsidRDefault="006845F5" w:rsidP="00D25CCB">
      <w:pPr>
        <w:numPr>
          <w:ilvl w:val="0"/>
          <w:numId w:val="6"/>
        </w:numPr>
        <w:spacing w:before="120"/>
        <w:ind w:left="357" w:hanging="357"/>
      </w:pPr>
      <w:r>
        <w:t xml:space="preserve">Methane emissions are then calculated as: </w:t>
      </w:r>
      <w:r w:rsidRPr="00D25CCB">
        <w:t>annual area harvested</w:t>
      </w:r>
      <w:r>
        <w:t xml:space="preserve"> </w:t>
      </w:r>
      <w:r w:rsidR="00424066">
        <w:t>(h</w:t>
      </w:r>
      <w:r w:rsidR="00A168E1">
        <w:t>ectares</w:t>
      </w:r>
      <w:r w:rsidR="00424066">
        <w:t xml:space="preserve">) </w:t>
      </w:r>
      <w:r>
        <w:t xml:space="preserve">x </w:t>
      </w:r>
      <w:r w:rsidRPr="00D25CCB">
        <w:t>cultivation period</w:t>
      </w:r>
      <w:r>
        <w:t xml:space="preserve"> </w:t>
      </w:r>
      <w:r w:rsidR="00424066">
        <w:t xml:space="preserve">(days) </w:t>
      </w:r>
      <w:r>
        <w:t xml:space="preserve">x </w:t>
      </w:r>
      <w:r w:rsidRPr="00D25CCB">
        <w:t>baseline emission factor</w:t>
      </w:r>
      <w:r>
        <w:t xml:space="preserve"> </w:t>
      </w:r>
      <w:r w:rsidR="00424066">
        <w:t>(</w:t>
      </w:r>
      <w:r w:rsidR="00424066" w:rsidRPr="00424066">
        <w:t>kg CH</w:t>
      </w:r>
      <w:r w:rsidR="00424066" w:rsidRPr="00D25CCB">
        <w:rPr>
          <w:vertAlign w:val="subscript"/>
        </w:rPr>
        <w:t>4</w:t>
      </w:r>
      <w:r w:rsidR="00424066" w:rsidRPr="00424066">
        <w:t xml:space="preserve"> ha</w:t>
      </w:r>
      <w:r w:rsidR="00424066" w:rsidRPr="00D25CCB">
        <w:rPr>
          <w:vertAlign w:val="superscript"/>
        </w:rPr>
        <w:t>-1</w:t>
      </w:r>
      <w:r w:rsidR="00424066" w:rsidRPr="00424066">
        <w:t xml:space="preserve"> day</w:t>
      </w:r>
      <w:r w:rsidR="00424066" w:rsidRPr="00D25CCB">
        <w:rPr>
          <w:vertAlign w:val="superscript"/>
        </w:rPr>
        <w:t>-1</w:t>
      </w:r>
      <w:r w:rsidR="00424066">
        <w:t xml:space="preserve">) </w:t>
      </w:r>
      <w:r>
        <w:t xml:space="preserve">x </w:t>
      </w:r>
      <w:r w:rsidRPr="00D25CCB">
        <w:t>scaling factors</w:t>
      </w:r>
      <w:r>
        <w:t xml:space="preserve"> (for water regimes and organic amendments) summed across rice ecosystem types. </w:t>
      </w:r>
    </w:p>
    <w:p w14:paraId="368D755B" w14:textId="77777777" w:rsidR="004B09D2" w:rsidRDefault="009A62E3" w:rsidP="009A62E3">
      <w:r>
        <w:tab/>
      </w:r>
      <w:r>
        <w:tab/>
      </w:r>
      <w:r>
        <w:tab/>
      </w:r>
      <w:r>
        <w:tab/>
      </w:r>
      <w:r>
        <w:tab/>
      </w:r>
      <w:r>
        <w:tab/>
      </w:r>
      <w:r>
        <w:tab/>
      </w:r>
      <w:r>
        <w:tab/>
      </w:r>
    </w:p>
    <w:p w14:paraId="6BDBE83E" w14:textId="77777777" w:rsidR="00C46552" w:rsidRDefault="00C46552" w:rsidP="00BE3408">
      <w:pPr>
        <w:pStyle w:val="Heading2"/>
      </w:pPr>
      <w:bookmarkStart w:id="123" w:name="_Toc10122717"/>
      <w:r>
        <w:t>Sources of emission factors in literature and their limitations</w:t>
      </w:r>
      <w:bookmarkEnd w:id="123"/>
      <w:r>
        <w:t xml:space="preserve"> </w:t>
      </w:r>
    </w:p>
    <w:p w14:paraId="6E697799" w14:textId="77777777" w:rsidR="00C46552" w:rsidRDefault="00C46552">
      <w:pPr>
        <w:ind w:firstLine="720"/>
        <w:jc w:val="left"/>
        <w:rPr>
          <w:color w:val="0000FF"/>
        </w:rPr>
      </w:pPr>
    </w:p>
    <w:p w14:paraId="5F1E2A22" w14:textId="77777777" w:rsidR="00FC5EA9" w:rsidRDefault="005D13E7" w:rsidP="00046FAB">
      <w:r>
        <w:t>T</w:t>
      </w:r>
      <w:r w:rsidR="00063E00">
        <w:t>he default emission factors offered in the Workbook</w:t>
      </w:r>
      <w:r>
        <w:t xml:space="preserve"> for agricultural sources</w:t>
      </w:r>
      <w:r w:rsidR="00063E00">
        <w:t xml:space="preserve"> are </w:t>
      </w:r>
      <w:r>
        <w:t xml:space="preserve">mostly from European sources </w:t>
      </w:r>
      <w:r w:rsidR="00D25CCB">
        <w:t xml:space="preserve">and the IPCC </w:t>
      </w:r>
      <w:r>
        <w:t>and their uncertainty, especially for non-OECD</w:t>
      </w:r>
      <w:r w:rsidR="00D25CCB">
        <w:t xml:space="preserve"> countries</w:t>
      </w:r>
      <w:r>
        <w:t xml:space="preserve">, should be considered to be very high. </w:t>
      </w:r>
      <w:r w:rsidR="00C46552">
        <w:t>In some</w:t>
      </w:r>
      <w:r w:rsidR="004C4638">
        <w:t xml:space="preserve"> </w:t>
      </w:r>
      <w:r>
        <w:t>developing countries</w:t>
      </w:r>
      <w:r w:rsidDel="005D13E7">
        <w:t xml:space="preserve"> </w:t>
      </w:r>
      <w:r w:rsidR="00C46552">
        <w:t>however, it may be possible to derive suitable factors from agricultural research stations and/or rural colleges and universities.</w:t>
      </w:r>
    </w:p>
    <w:p w14:paraId="23433671" w14:textId="77777777" w:rsidR="00C46552" w:rsidRDefault="00C46552">
      <w:r>
        <w:br w:type="column"/>
      </w:r>
    </w:p>
    <w:p w14:paraId="648C4997" w14:textId="77777777" w:rsidR="00C46552" w:rsidRDefault="00C46552" w:rsidP="0008425A">
      <w:pPr>
        <w:pStyle w:val="Heading1"/>
        <w:numPr>
          <w:ilvl w:val="0"/>
          <w:numId w:val="17"/>
        </w:numPr>
      </w:pPr>
      <w:bookmarkStart w:id="124" w:name="_Toc472263031"/>
      <w:bookmarkStart w:id="125" w:name="_Toc10122718"/>
      <w:r>
        <w:t xml:space="preserve">Emissions from Vegetation Fires and Forestry </w:t>
      </w:r>
      <w:bookmarkEnd w:id="124"/>
      <w:r w:rsidR="000066AA">
        <w:t>(Sector 9)</w:t>
      </w:r>
      <w:bookmarkEnd w:id="125"/>
    </w:p>
    <w:p w14:paraId="74F01D10" w14:textId="77777777" w:rsidR="00C46552" w:rsidRDefault="00C46552"/>
    <w:p w14:paraId="3A97EEA4" w14:textId="77777777" w:rsidR="00C46552" w:rsidRDefault="00C46552" w:rsidP="00BE3408">
      <w:pPr>
        <w:pStyle w:val="Heading2"/>
      </w:pPr>
      <w:bookmarkStart w:id="126" w:name="_Toc472263032"/>
      <w:bookmarkStart w:id="127" w:name="_Toc10122719"/>
      <w:r>
        <w:t>Introduction</w:t>
      </w:r>
      <w:bookmarkEnd w:id="126"/>
      <w:bookmarkEnd w:id="127"/>
    </w:p>
    <w:p w14:paraId="71AADEEB" w14:textId="77777777" w:rsidR="00C46552" w:rsidRDefault="00C46552"/>
    <w:p w14:paraId="4336D94D" w14:textId="77777777" w:rsidR="00EB7DFB" w:rsidRDefault="00EB7DFB" w:rsidP="00EB7DFB">
      <w:r>
        <w:t xml:space="preserve">This Chapter covers emissions of </w:t>
      </w:r>
      <w:r w:rsidRPr="00FD04BF">
        <w:t>SO</w:t>
      </w:r>
      <w:r w:rsidRPr="00FD04BF">
        <w:rPr>
          <w:vertAlign w:val="subscript"/>
        </w:rPr>
        <w:t xml:space="preserve">2, </w:t>
      </w:r>
      <w:r w:rsidRPr="00FD04BF">
        <w:t>NO</w:t>
      </w:r>
      <w:r>
        <w:rPr>
          <w:vertAlign w:val="subscript"/>
        </w:rPr>
        <w:t>X</w:t>
      </w:r>
      <w:r w:rsidRPr="00FD04BF">
        <w:t xml:space="preserve">, CO, </w:t>
      </w:r>
      <w:r w:rsidR="00BD59F6">
        <w:t>CH</w:t>
      </w:r>
      <w:r w:rsidR="00BD59F6" w:rsidRPr="00BD59F6">
        <w:rPr>
          <w:vertAlign w:val="subscript"/>
        </w:rPr>
        <w:t>4</w:t>
      </w:r>
      <w:r w:rsidR="00BD59F6">
        <w:t xml:space="preserve">, </w:t>
      </w:r>
      <w:r w:rsidRPr="00FD04BF">
        <w:t>NMVOCs</w:t>
      </w:r>
      <w:r>
        <w:t>, NH</w:t>
      </w:r>
      <w:r w:rsidRPr="00B74ACF">
        <w:rPr>
          <w:vertAlign w:val="subscript"/>
        </w:rPr>
        <w:t>3</w:t>
      </w:r>
      <w:r w:rsidRPr="00FD04BF">
        <w:t xml:space="preserve"> and </w:t>
      </w:r>
      <w:r w:rsidR="002A2D99">
        <w:t>PM</w:t>
      </w:r>
      <w:r w:rsidR="00BD59F6">
        <w:t xml:space="preserve"> (including BC and OC)</w:t>
      </w:r>
      <w:r>
        <w:rPr>
          <w:b/>
        </w:rPr>
        <w:t xml:space="preserve"> </w:t>
      </w:r>
      <w:r>
        <w:t xml:space="preserve">released during on-site vegetation fires resulting from changes in land use, forestry management practices or by accident. This category includes burning that takes place during conversion of forests, woodlands, or grasslands to agricultural or other uses, prescribed burns for fire management or forest stand maintenance, and other vegetation fires (apart from savanna burning) started either accidentally by man or naturally by lightning. Although ‘natural’ forest fires may be started by lightning, on a global scale, almost all are human initiated. However, savanna burning is not included here as this is regarded as an agricultural activity and so covered under the Agriculture sector described in Chapter </w:t>
      </w:r>
      <w:r w:rsidR="002847DC">
        <w:t>5</w:t>
      </w:r>
      <w:r>
        <w:t xml:space="preserve"> above. </w:t>
      </w:r>
    </w:p>
    <w:p w14:paraId="2A3B4999" w14:textId="77777777" w:rsidR="00EB7DFB" w:rsidRDefault="00EB7DFB" w:rsidP="00EB7DFB">
      <w:pPr>
        <w:ind w:firstLine="720"/>
      </w:pPr>
    </w:p>
    <w:p w14:paraId="3F833844" w14:textId="77777777" w:rsidR="00EB7DFB" w:rsidRDefault="00EB7DFB" w:rsidP="00063E00">
      <w:pPr>
        <w:spacing w:before="120"/>
        <w:ind w:firstLine="576"/>
      </w:pPr>
      <w:r w:rsidRPr="00B74ACF">
        <w:t>Many tree species, particularly conifers, are important sources of specific types of NMVOC</w:t>
      </w:r>
      <w:r>
        <w:t xml:space="preserve"> and </w:t>
      </w:r>
      <w:r w:rsidRPr="00B74ACF">
        <w:t xml:space="preserve">living trees in managed forests </w:t>
      </w:r>
      <w:r>
        <w:t>often produce</w:t>
      </w:r>
      <w:r w:rsidRPr="00B74ACF">
        <w:t xml:space="preserve"> </w:t>
      </w:r>
      <w:r>
        <w:t xml:space="preserve">significant </w:t>
      </w:r>
      <w:r w:rsidRPr="00B74ACF">
        <w:t>emissions</w:t>
      </w:r>
      <w:r>
        <w:t>. However, because these NMVOC emissions are usually estimated by modellers, in the same way as for natural forests, they are not usually included in the inventory process, but treated a</w:t>
      </w:r>
      <w:r w:rsidR="00DB480B">
        <w:t>s natural emissions (see ANNEX 1</w:t>
      </w:r>
      <w:r>
        <w:t>).</w:t>
      </w:r>
    </w:p>
    <w:p w14:paraId="28125FB2" w14:textId="77777777" w:rsidR="00C46552" w:rsidRDefault="00C46552" w:rsidP="00B74ACF">
      <w:pPr>
        <w:spacing w:before="120"/>
      </w:pPr>
    </w:p>
    <w:p w14:paraId="63EE0515" w14:textId="77777777" w:rsidR="00C46552" w:rsidRDefault="00C46552" w:rsidP="00BE3408">
      <w:pPr>
        <w:pStyle w:val="Heading2"/>
      </w:pPr>
      <w:bookmarkStart w:id="128" w:name="_Toc472263034"/>
      <w:bookmarkStart w:id="129" w:name="_Toc10122720"/>
      <w:r>
        <w:t>Procedures for estimating emissions</w:t>
      </w:r>
      <w:bookmarkEnd w:id="128"/>
      <w:r>
        <w:t xml:space="preserve"> from vegetation fires</w:t>
      </w:r>
      <w:bookmarkEnd w:id="129"/>
      <w:r>
        <w:t xml:space="preserve"> </w:t>
      </w:r>
    </w:p>
    <w:p w14:paraId="3D45D32A" w14:textId="77777777" w:rsidR="00C46552" w:rsidRDefault="00C46552">
      <w:pPr>
        <w:keepNext/>
        <w:keepLines/>
      </w:pPr>
    </w:p>
    <w:p w14:paraId="1DAAA0D5" w14:textId="114265A2" w:rsidR="00BC5366" w:rsidRDefault="00C46552" w:rsidP="004B40A2">
      <w:r>
        <w:t>The procedure for estimating annual emissions</w:t>
      </w:r>
      <w:r w:rsidR="00597D1A">
        <w:t xml:space="preserve"> </w:t>
      </w:r>
      <w:r>
        <w:t>from the burning of forests and grasslands includes the following steps:</w:t>
      </w:r>
    </w:p>
    <w:p w14:paraId="5CC70617" w14:textId="3B4CA517" w:rsidR="00BC5366" w:rsidRDefault="00BC5366" w:rsidP="00BC5366">
      <w:pPr>
        <w:numPr>
          <w:ilvl w:val="0"/>
          <w:numId w:val="6"/>
        </w:numPr>
        <w:spacing w:before="120"/>
      </w:pPr>
      <w:r>
        <w:t xml:space="preserve">Enter </w:t>
      </w:r>
      <w:r w:rsidR="00C46552">
        <w:t>the annual land area burnt in thousand</w:t>
      </w:r>
      <w:r w:rsidR="002A2D99">
        <w:t>s of</w:t>
      </w:r>
      <w:r w:rsidR="00C46552">
        <w:t xml:space="preserve"> hectares</w:t>
      </w:r>
      <w:r>
        <w:t xml:space="preserve"> (kha</w:t>
      </w:r>
      <w:r w:rsidR="00C46552">
        <w:t>)</w:t>
      </w:r>
      <w:r w:rsidR="004D7AF3">
        <w:t xml:space="preserve"> for each vegetation category. </w:t>
      </w:r>
      <w:r>
        <w:t xml:space="preserve"> </w:t>
      </w:r>
      <w:r w:rsidR="004D7AF3">
        <w:t>These data</w:t>
      </w:r>
      <w:r>
        <w:t xml:space="preserve"> can be obtained from the </w:t>
      </w:r>
      <w:r w:rsidRPr="00BC5366">
        <w:t xml:space="preserve">FAOSTAT online database </w:t>
      </w:r>
      <w:r>
        <w:t xml:space="preserve">as the element ‘Burned Area’ </w:t>
      </w:r>
      <w:r w:rsidRPr="00BC5366">
        <w:t>under</w:t>
      </w:r>
      <w:r>
        <w:t xml:space="preserve"> the category</w:t>
      </w:r>
      <w:r w:rsidRPr="00BC5366">
        <w:t xml:space="preserve"> ‘Burning – Biomass’</w:t>
      </w:r>
      <w:r w:rsidR="00905C6D">
        <w:rPr>
          <w:rStyle w:val="FootnoteReference"/>
        </w:rPr>
        <w:footnoteReference w:id="51"/>
      </w:r>
      <w:r w:rsidR="004857DF">
        <w:t xml:space="preserve"> </w:t>
      </w:r>
    </w:p>
    <w:p w14:paraId="7D0B553D" w14:textId="35D683F1" w:rsidR="002A2D99" w:rsidRDefault="00BC5366" w:rsidP="00BC5366">
      <w:pPr>
        <w:numPr>
          <w:ilvl w:val="0"/>
          <w:numId w:val="6"/>
        </w:numPr>
        <w:spacing w:before="120"/>
      </w:pPr>
      <w:r>
        <w:t xml:space="preserve">The amount of biomass </w:t>
      </w:r>
      <w:r w:rsidR="004D7AF3">
        <w:t xml:space="preserve">actually </w:t>
      </w:r>
      <w:r>
        <w:t>burned</w:t>
      </w:r>
      <w:r w:rsidR="004D7AF3">
        <w:t xml:space="preserve"> (Biomass consumption)</w:t>
      </w:r>
      <w:r>
        <w:t xml:space="preserve"> in each applicable vegetation type </w:t>
      </w:r>
      <w:r w:rsidR="004D7AF3">
        <w:t xml:space="preserve">is then estimated by multiplying the area burned by the biomass consumption rate (tonnes biomass burnt per hectare) after entering either </w:t>
      </w:r>
      <w:r w:rsidR="00C46552">
        <w:t xml:space="preserve"> locally-estimated or </w:t>
      </w:r>
      <w:r w:rsidR="00DB360B">
        <w:t>IPCC</w:t>
      </w:r>
      <w:r>
        <w:t xml:space="preserve"> </w:t>
      </w:r>
      <w:r w:rsidR="00C46552">
        <w:t>default values</w:t>
      </w:r>
      <w:r w:rsidR="004857DF">
        <w:rPr>
          <w:rStyle w:val="FootnoteReference"/>
        </w:rPr>
        <w:footnoteReference w:id="52"/>
      </w:r>
      <w:r w:rsidR="00C46552">
        <w:t xml:space="preserve">.  </w:t>
      </w:r>
    </w:p>
    <w:p w14:paraId="36D211F4" w14:textId="39CC68AE" w:rsidR="002A2D99" w:rsidRDefault="002A2D99" w:rsidP="002A2D99">
      <w:pPr>
        <w:numPr>
          <w:ilvl w:val="0"/>
          <w:numId w:val="6"/>
        </w:numPr>
        <w:spacing w:before="120"/>
      </w:pPr>
      <w:r>
        <w:t>E</w:t>
      </w:r>
      <w:r w:rsidR="004D7AF3">
        <w:t xml:space="preserve">missions </w:t>
      </w:r>
      <w:r>
        <w:t>of SO</w:t>
      </w:r>
      <w:r>
        <w:rPr>
          <w:vertAlign w:val="subscript"/>
        </w:rPr>
        <w:t>2</w:t>
      </w:r>
      <w:r>
        <w:t xml:space="preserve">, NOx, CO, </w:t>
      </w:r>
      <w:r w:rsidR="00BD59F6">
        <w:t>CH</w:t>
      </w:r>
      <w:r w:rsidR="00BD59F6" w:rsidRPr="00BD59F6">
        <w:rPr>
          <w:vertAlign w:val="subscript"/>
        </w:rPr>
        <w:t>4</w:t>
      </w:r>
      <w:r w:rsidR="00BD59F6">
        <w:t xml:space="preserve">, </w:t>
      </w:r>
      <w:r>
        <w:t>NMVOC</w:t>
      </w:r>
      <w:r w:rsidR="00BD59F6">
        <w:t xml:space="preserve">, </w:t>
      </w:r>
      <w:r>
        <w:t>PM</w:t>
      </w:r>
      <w:r w:rsidRPr="002A2D99">
        <w:rPr>
          <w:vertAlign w:val="subscript"/>
        </w:rPr>
        <w:t>10</w:t>
      </w:r>
      <w:r>
        <w:t>, PM</w:t>
      </w:r>
      <w:r w:rsidRPr="002A2D99">
        <w:rPr>
          <w:vertAlign w:val="subscript"/>
        </w:rPr>
        <w:t>2.5</w:t>
      </w:r>
      <w:r w:rsidR="00BD59F6">
        <w:t xml:space="preserve">, BC, OC </w:t>
      </w:r>
      <w:r>
        <w:t>and NH</w:t>
      </w:r>
      <w:r w:rsidRPr="002A2D99">
        <w:rPr>
          <w:vertAlign w:val="subscript"/>
        </w:rPr>
        <w:t>3</w:t>
      </w:r>
      <w:r>
        <w:t xml:space="preserve"> are </w:t>
      </w:r>
      <w:r w:rsidR="004D7AF3">
        <w:t xml:space="preserve">calculated  by multiplying the biomass consumption by </w:t>
      </w:r>
      <w:r>
        <w:t xml:space="preserve"> emission factors expressed as kg pollutant per tonne biomass burnt. </w:t>
      </w:r>
    </w:p>
    <w:p w14:paraId="34077CCE" w14:textId="77777777" w:rsidR="002A2D99" w:rsidRDefault="002A2D99" w:rsidP="002A2D99">
      <w:bookmarkStart w:id="130" w:name="_Toc472263037"/>
    </w:p>
    <w:p w14:paraId="1E4BC966" w14:textId="77777777" w:rsidR="002A2D99" w:rsidRDefault="002A2D99" w:rsidP="002A2D99">
      <w:pPr>
        <w:pStyle w:val="BodyTextIndent2"/>
      </w:pPr>
      <w:r>
        <w:t xml:space="preserve"> </w:t>
      </w:r>
    </w:p>
    <w:p w14:paraId="5C7A0A5F" w14:textId="77777777" w:rsidR="002A2D99" w:rsidRDefault="002A2D99" w:rsidP="002A2D99">
      <w:pPr>
        <w:pStyle w:val="Heading2"/>
      </w:pPr>
      <w:r>
        <w:t xml:space="preserve"> </w:t>
      </w:r>
      <w:bookmarkStart w:id="131" w:name="_Toc10122721"/>
      <w:r>
        <w:t>Sources of emission factor data</w:t>
      </w:r>
      <w:bookmarkEnd w:id="131"/>
    </w:p>
    <w:p w14:paraId="50ECC0D1" w14:textId="77777777" w:rsidR="002A2D99" w:rsidRDefault="002A2D99" w:rsidP="002A2D99"/>
    <w:bookmarkEnd w:id="130"/>
    <w:p w14:paraId="25ADF7C1" w14:textId="33C3BF91" w:rsidR="002A2D99" w:rsidRDefault="00DB360B" w:rsidP="002A2D99">
      <w:pPr>
        <w:spacing w:before="120"/>
      </w:pPr>
      <w:r>
        <w:t>T</w:t>
      </w:r>
      <w:r w:rsidR="002A2D99">
        <w:t>he emission factors for vegetation fires offered in the workbook are from Andreae and Merlet (2001)</w:t>
      </w:r>
      <w:r w:rsidR="002A2D99">
        <w:rPr>
          <w:rStyle w:val="FootnoteReference"/>
        </w:rPr>
        <w:footnoteReference w:id="53"/>
      </w:r>
      <w:r w:rsidR="00BC5366">
        <w:t xml:space="preserve"> for all pollutant species</w:t>
      </w:r>
      <w:r w:rsidR="002A2D99">
        <w:t>.</w:t>
      </w:r>
    </w:p>
    <w:p w14:paraId="1E067B2F" w14:textId="77777777" w:rsidR="002A2D99" w:rsidRDefault="002A2D99" w:rsidP="002A2D99">
      <w:pPr>
        <w:spacing w:before="120"/>
      </w:pPr>
    </w:p>
    <w:p w14:paraId="6C4B3F5A" w14:textId="77777777" w:rsidR="00C46552" w:rsidRPr="00F844F7" w:rsidRDefault="00C46552">
      <w:pPr>
        <w:rPr>
          <w:sz w:val="2"/>
          <w:szCs w:val="2"/>
        </w:rPr>
      </w:pPr>
      <w:bookmarkStart w:id="132" w:name="_Toc472263038"/>
      <w:r>
        <w:br w:type="page"/>
      </w:r>
    </w:p>
    <w:p w14:paraId="1DCA436D" w14:textId="4E50FD55" w:rsidR="00C46552" w:rsidRDefault="00C46552">
      <w:pPr>
        <w:pStyle w:val="Heading1"/>
        <w:numPr>
          <w:ilvl w:val="0"/>
          <w:numId w:val="17"/>
        </w:numPr>
      </w:pPr>
      <w:bookmarkStart w:id="133" w:name="_Toc10122722"/>
      <w:bookmarkStart w:id="134" w:name="_Toc472263039"/>
      <w:bookmarkEnd w:id="132"/>
      <w:r>
        <w:lastRenderedPageBreak/>
        <w:t>Emissions from the treatment and disposal of Waste</w:t>
      </w:r>
      <w:r w:rsidR="000066AA">
        <w:t xml:space="preserve"> (Sector 10)</w:t>
      </w:r>
      <w:bookmarkEnd w:id="133"/>
      <w:r>
        <w:t xml:space="preserve"> </w:t>
      </w:r>
      <w:bookmarkEnd w:id="134"/>
    </w:p>
    <w:p w14:paraId="73897D71" w14:textId="77777777" w:rsidR="00C46552" w:rsidRDefault="00C46552"/>
    <w:p w14:paraId="7C9E57E0" w14:textId="77777777" w:rsidR="00C46552" w:rsidRDefault="00C46552" w:rsidP="00BE3408">
      <w:pPr>
        <w:pStyle w:val="Heading2"/>
      </w:pPr>
      <w:bookmarkStart w:id="135" w:name="_Toc10122723"/>
      <w:bookmarkStart w:id="136" w:name="_Toc472263040"/>
      <w:r>
        <w:t>Introduction</w:t>
      </w:r>
      <w:bookmarkEnd w:id="135"/>
    </w:p>
    <w:p w14:paraId="619E2814" w14:textId="77777777" w:rsidR="00C46552" w:rsidRDefault="00C46552"/>
    <w:p w14:paraId="0B748347" w14:textId="6089B384" w:rsidR="00C46552" w:rsidRDefault="00C46552">
      <w:r>
        <w:t xml:space="preserve">Methods for treating and disposing of wastes include incineration/burning, </w:t>
      </w:r>
      <w:r w:rsidR="001E406F">
        <w:t>disposal</w:t>
      </w:r>
      <w:r>
        <w:t xml:space="preserve"> of wastes in landfills, and aerobic and/or anaerobic treatment of municipal sewage. The incineration and other burning of municipal solid wastes (MSW) and other industrial and commercial wastes constitutes a source of combustion-related emissions of SO</w:t>
      </w:r>
      <w:r>
        <w:rPr>
          <w:vertAlign w:val="subscript"/>
        </w:rPr>
        <w:t>2</w:t>
      </w:r>
      <w:r>
        <w:t>, NO</w:t>
      </w:r>
      <w:r>
        <w:rPr>
          <w:vertAlign w:val="subscript"/>
        </w:rPr>
        <w:t>X</w:t>
      </w:r>
      <w:r>
        <w:t>,</w:t>
      </w:r>
      <w:r w:rsidR="005660DB">
        <w:t xml:space="preserve"> CO, </w:t>
      </w:r>
      <w:r w:rsidR="00787297">
        <w:t>CH</w:t>
      </w:r>
      <w:r w:rsidR="00787297" w:rsidRPr="00787297">
        <w:rPr>
          <w:vertAlign w:val="subscript"/>
        </w:rPr>
        <w:t>4</w:t>
      </w:r>
      <w:r w:rsidR="00787297">
        <w:t xml:space="preserve">, </w:t>
      </w:r>
      <w:r w:rsidR="005660DB">
        <w:t>NMVOC</w:t>
      </w:r>
      <w:r w:rsidR="00FC71DD">
        <w:t>,</w:t>
      </w:r>
      <w:r w:rsidR="00046FAB">
        <w:t xml:space="preserve"> </w:t>
      </w:r>
      <w:r>
        <w:t>NH</w:t>
      </w:r>
      <w:r>
        <w:rPr>
          <w:vertAlign w:val="subscript"/>
        </w:rPr>
        <w:t>3</w:t>
      </w:r>
      <w:r>
        <w:t xml:space="preserve"> and particulate matter. </w:t>
      </w:r>
      <w:bookmarkEnd w:id="136"/>
      <w:r w:rsidR="00880E95" w:rsidRPr="00880E95">
        <w:t>Anaerobic decomposition of organic material within solid waste disposal sites (SWDS), commonly called ‘landfill’ sites, can be a major source of CH</w:t>
      </w:r>
      <w:r w:rsidR="00880E95" w:rsidRPr="004B40A2">
        <w:rPr>
          <w:vertAlign w:val="subscript"/>
        </w:rPr>
        <w:t>4</w:t>
      </w:r>
      <w:r w:rsidR="00880E95" w:rsidRPr="00880E95">
        <w:t xml:space="preserve"> emissions</w:t>
      </w:r>
      <w:r w:rsidR="00880E95">
        <w:t xml:space="preserve">. </w:t>
      </w:r>
      <w:r w:rsidR="00880E95" w:rsidRPr="00880E95">
        <w:t>‘Methane from domestic water’ covers CH</w:t>
      </w:r>
      <w:r w:rsidR="00880E95" w:rsidRPr="004B40A2">
        <w:rPr>
          <w:vertAlign w:val="subscript"/>
        </w:rPr>
        <w:t>4</w:t>
      </w:r>
      <w:r w:rsidR="00880E95" w:rsidRPr="00880E95">
        <w:t xml:space="preserve"> emissions from the treatment and discharge of domestic wastewater (sewage). </w:t>
      </w:r>
      <w:r w:rsidR="00C8591D">
        <w:t xml:space="preserve"> </w:t>
      </w:r>
      <w:r w:rsidR="001D551E">
        <w:t xml:space="preserve"> </w:t>
      </w:r>
      <w:r w:rsidR="00842238">
        <w:t>Also</w:t>
      </w:r>
      <w:r>
        <w:t xml:space="preserve">, the storage of human excreta in latrines (simple dry toilets built outside the house) is </w:t>
      </w:r>
      <w:r w:rsidR="00C8591D">
        <w:t xml:space="preserve">often </w:t>
      </w:r>
      <w:r>
        <w:t>a significant source of NH</w:t>
      </w:r>
      <w:r>
        <w:rPr>
          <w:vertAlign w:val="subscript"/>
        </w:rPr>
        <w:t>3</w:t>
      </w:r>
      <w:r>
        <w:t xml:space="preserve"> emissions. </w:t>
      </w:r>
    </w:p>
    <w:p w14:paraId="0FDCDF83" w14:textId="77777777" w:rsidR="00FC5EA9" w:rsidRDefault="00FC5EA9"/>
    <w:p w14:paraId="27775838" w14:textId="77777777" w:rsidR="00C46552" w:rsidRDefault="00C46552" w:rsidP="00BE3408">
      <w:pPr>
        <w:pStyle w:val="Heading2"/>
      </w:pPr>
      <w:bookmarkStart w:id="137" w:name="_Toc472263042"/>
      <w:bookmarkStart w:id="138" w:name="_Toc10122724"/>
      <w:r>
        <w:t>Procedure selected for use in this Manual</w:t>
      </w:r>
      <w:bookmarkEnd w:id="137"/>
      <w:bookmarkEnd w:id="138"/>
    </w:p>
    <w:p w14:paraId="28801597" w14:textId="77777777" w:rsidR="00787297" w:rsidRDefault="00787297" w:rsidP="00787297"/>
    <w:p w14:paraId="54C91300" w14:textId="77777777" w:rsidR="00787297" w:rsidRDefault="00787297" w:rsidP="00787297">
      <w:pPr>
        <w:pStyle w:val="Heading3"/>
        <w:numPr>
          <w:ilvl w:val="2"/>
          <w:numId w:val="18"/>
        </w:numPr>
      </w:pPr>
      <w:bookmarkStart w:id="139" w:name="_Toc10122725"/>
      <w:r>
        <w:t>Procedure for estimating emissions from combustion of solid wastes</w:t>
      </w:r>
      <w:bookmarkEnd w:id="139"/>
    </w:p>
    <w:p w14:paraId="40EADC57" w14:textId="77777777" w:rsidR="00787297" w:rsidRPr="00787297" w:rsidRDefault="00787297" w:rsidP="00787297"/>
    <w:p w14:paraId="0D13BA51" w14:textId="77777777" w:rsidR="00C46552" w:rsidRDefault="00C46552">
      <w:r>
        <w:t xml:space="preserve"> The suggested procedure for estimation of annual emissions from the combustion of wastes includes the following steps:</w:t>
      </w:r>
    </w:p>
    <w:p w14:paraId="48DF7E8E" w14:textId="2B2610B5" w:rsidR="00D84CBD" w:rsidRDefault="00D84CBD">
      <w:pPr>
        <w:numPr>
          <w:ilvl w:val="0"/>
          <w:numId w:val="6"/>
        </w:numPr>
        <w:spacing w:before="120"/>
      </w:pPr>
      <w:r>
        <w:t>Estimate</w:t>
      </w:r>
      <w:r w:rsidR="002F7353">
        <w:t xml:space="preserve"> total amount of Municipal Solid Waste (MSW) generated by multiplying the population whose waste is collected (i.e. the urban population) by a per capita MSW generation rate (country specific values are given </w:t>
      </w:r>
      <w:r w:rsidR="004E2A32">
        <w:t>by the World Bank</w:t>
      </w:r>
      <w:r w:rsidR="003732C1">
        <w:rPr>
          <w:rStyle w:val="FootnoteReference"/>
        </w:rPr>
        <w:footnoteReference w:id="54"/>
      </w:r>
      <w:r w:rsidR="002F7353">
        <w:t xml:space="preserve">). </w:t>
      </w:r>
    </w:p>
    <w:p w14:paraId="4106F237" w14:textId="4BC6937C" w:rsidR="00D84CBD" w:rsidRDefault="002F7353">
      <w:pPr>
        <w:numPr>
          <w:ilvl w:val="0"/>
          <w:numId w:val="6"/>
        </w:numPr>
        <w:spacing w:before="120"/>
      </w:pPr>
      <w:r>
        <w:t>E</w:t>
      </w:r>
      <w:r w:rsidR="00D84CBD">
        <w:t>stimate</w:t>
      </w:r>
      <w:r>
        <w:t xml:space="preserve"> the fraction of</w:t>
      </w:r>
      <w:r w:rsidR="00D84CBD">
        <w:t xml:space="preserve"> total</w:t>
      </w:r>
      <w:r>
        <w:t xml:space="preserve"> MSW</w:t>
      </w:r>
      <w:r w:rsidR="00D84CBD">
        <w:t xml:space="preserve"> which is</w:t>
      </w:r>
      <w:r>
        <w:t xml:space="preserve"> </w:t>
      </w:r>
      <w:r w:rsidR="00BB31ED">
        <w:t xml:space="preserve">disposed of by burning in </w:t>
      </w:r>
      <w:r>
        <w:t>incinerat</w:t>
      </w:r>
      <w:r w:rsidR="00BB31ED">
        <w:t>ors</w:t>
      </w:r>
      <w:r w:rsidR="00787297">
        <w:t>.</w:t>
      </w:r>
      <w:r>
        <w:t xml:space="preserve"> </w:t>
      </w:r>
      <w:r w:rsidR="00787297">
        <w:t>(S</w:t>
      </w:r>
      <w:r w:rsidR="00D84CBD">
        <w:t xml:space="preserve">ome country-specific data </w:t>
      </w:r>
      <w:r>
        <w:t xml:space="preserve">are included in </w:t>
      </w:r>
      <w:r w:rsidR="00D84CBD">
        <w:t>Annex 2A.1 of the 2006 IPCC guidelines</w:t>
      </w:r>
      <w:r w:rsidR="004E2A32">
        <w:rPr>
          <w:rStyle w:val="FootnoteReference"/>
        </w:rPr>
        <w:footnoteReference w:id="55"/>
      </w:r>
      <w:r w:rsidR="00D84CBD">
        <w:t>.</w:t>
      </w:r>
      <w:r w:rsidR="00787297">
        <w:t>)</w:t>
      </w:r>
    </w:p>
    <w:p w14:paraId="4286FFA6" w14:textId="5082414B" w:rsidR="00D84CBD" w:rsidRDefault="00BB31ED" w:rsidP="00D84CBD">
      <w:pPr>
        <w:numPr>
          <w:ilvl w:val="0"/>
          <w:numId w:val="6"/>
        </w:numPr>
        <w:spacing w:before="120"/>
      </w:pPr>
      <w:r>
        <w:t xml:space="preserve">Estimate the fraction of total MSW which is disposed of by open-burning in back-yards, roads or open (unmanaged) dumps. </w:t>
      </w:r>
      <w:r w:rsidR="00E243A9">
        <w:t>[</w:t>
      </w:r>
      <w:r w:rsidR="00D84CBD">
        <w:t xml:space="preserve">Unless better information is available, </w:t>
      </w:r>
      <w:r w:rsidR="008F3026">
        <w:t xml:space="preserve">in poorer developing countries, it can be </w:t>
      </w:r>
      <w:r w:rsidR="00D84CBD">
        <w:t>assume</w:t>
      </w:r>
      <w:r w:rsidR="008F3026">
        <w:t xml:space="preserve">d that </w:t>
      </w:r>
      <w:r w:rsidR="00E243A9">
        <w:t>all MSW generated is available to be open-burnt in one way or another, approximately 60% of which is</w:t>
      </w:r>
      <w:r w:rsidR="00D84CBD">
        <w:t xml:space="preserve"> </w:t>
      </w:r>
      <w:r w:rsidR="00E243A9">
        <w:t xml:space="preserve">actually </w:t>
      </w:r>
      <w:r w:rsidR="00D84CBD">
        <w:t>burn</w:t>
      </w:r>
      <w:r w:rsidR="00E243A9">
        <w:t>t</w:t>
      </w:r>
      <w:r w:rsidR="00D84CBD">
        <w:t xml:space="preserve"> in the open</w:t>
      </w:r>
      <w:r w:rsidR="00E243A9">
        <w:t xml:space="preserve"> </w:t>
      </w:r>
      <w:r w:rsidR="002A1767">
        <w:t>(</w:t>
      </w:r>
      <w:r w:rsidR="00E243A9">
        <w:t>Wiedinmyer</w:t>
      </w:r>
      <w:r w:rsidR="002A1767">
        <w:t>, Yokelson and Gullett, 2014</w:t>
      </w:r>
      <w:r w:rsidR="002A1767">
        <w:rPr>
          <w:rStyle w:val="FootnoteReference"/>
        </w:rPr>
        <w:footnoteReference w:id="56"/>
      </w:r>
      <w:r w:rsidR="002A1767">
        <w:t>)</w:t>
      </w:r>
      <w:r w:rsidR="00E243A9">
        <w:t>]</w:t>
      </w:r>
      <w:r w:rsidR="00D84CBD">
        <w:t xml:space="preserve"> </w:t>
      </w:r>
    </w:p>
    <w:p w14:paraId="500A4AB6" w14:textId="77777777" w:rsidR="00D84CBD" w:rsidRDefault="00D84CBD">
      <w:pPr>
        <w:numPr>
          <w:ilvl w:val="0"/>
          <w:numId w:val="6"/>
        </w:numPr>
        <w:spacing w:before="120"/>
      </w:pPr>
      <w:r>
        <w:t xml:space="preserve">Estimate the amount of commercial/industrial solid waste incinerated in kilotonnes (kt) by type of combustion method employed. </w:t>
      </w:r>
    </w:p>
    <w:p w14:paraId="14AD3ED3" w14:textId="68862298" w:rsidR="00787297" w:rsidRPr="00880E95" w:rsidRDefault="00787297" w:rsidP="00880E95">
      <w:pPr>
        <w:numPr>
          <w:ilvl w:val="0"/>
          <w:numId w:val="6"/>
        </w:numPr>
        <w:spacing w:before="240"/>
      </w:pPr>
      <w:r>
        <w:t>Estimation of emissions of SO</w:t>
      </w:r>
      <w:r>
        <w:rPr>
          <w:vertAlign w:val="subscript"/>
        </w:rPr>
        <w:t>2</w:t>
      </w:r>
      <w:r>
        <w:t>, NO</w:t>
      </w:r>
      <w:r>
        <w:rPr>
          <w:vertAlign w:val="subscript"/>
        </w:rPr>
        <w:t>X</w:t>
      </w:r>
      <w:r>
        <w:t>, CO, CH</w:t>
      </w:r>
      <w:r w:rsidRPr="00787297">
        <w:rPr>
          <w:vertAlign w:val="subscript"/>
        </w:rPr>
        <w:t>4</w:t>
      </w:r>
      <w:r>
        <w:t>, NMVOCs, PM</w:t>
      </w:r>
      <w:r>
        <w:rPr>
          <w:vertAlign w:val="subscript"/>
        </w:rPr>
        <w:t>10</w:t>
      </w:r>
      <w:r>
        <w:t>, PM</w:t>
      </w:r>
      <w:r w:rsidRPr="009E03D7">
        <w:rPr>
          <w:vertAlign w:val="subscript"/>
        </w:rPr>
        <w:t>2.5</w:t>
      </w:r>
      <w:r w:rsidRPr="00787297">
        <w:t>, BC, OC</w:t>
      </w:r>
      <w:r>
        <w:rPr>
          <w:vertAlign w:val="subscript"/>
        </w:rPr>
        <w:t xml:space="preserve"> </w:t>
      </w:r>
      <w:r>
        <w:t xml:space="preserve"> and NH</w:t>
      </w:r>
      <w:r>
        <w:rPr>
          <w:vertAlign w:val="subscript"/>
        </w:rPr>
        <w:t xml:space="preserve">3 </w:t>
      </w:r>
      <w:r>
        <w:t xml:space="preserve">by multiplying the amount of waste burned for each waste incinerator type by emission factors (locally-derived or default values) for each pollutant. </w:t>
      </w:r>
      <w:r w:rsidR="00880E95">
        <w:t>For MSW, t</w:t>
      </w:r>
      <w:r w:rsidR="00880E95" w:rsidRPr="00880E95">
        <w:t>he default EFs are mainly from Akagi et al. (2011) for open burning and EMEP/EEA (2016) for incinerators (Tier 1 for modern and Tier 2 for uncontrolled plant).</w:t>
      </w:r>
      <w:r w:rsidR="00880E95">
        <w:t xml:space="preserve"> </w:t>
      </w:r>
      <w:r w:rsidR="00880E95" w:rsidRPr="00880E95">
        <w:t xml:space="preserve">For industrial/commercial waste, </w:t>
      </w:r>
      <w:r w:rsidR="00880E95">
        <w:t>default emission factors</w:t>
      </w:r>
      <w:r w:rsidR="00880E95" w:rsidRPr="00880E95">
        <w:t xml:space="preserve"> are mainly EMEP/EEA Tier 1 defaults for modern plant and US EPA (1995) defaults for uncontrolled plant.</w:t>
      </w:r>
    </w:p>
    <w:p w14:paraId="554FE371" w14:textId="77777777" w:rsidR="00C46552" w:rsidRDefault="00C46552"/>
    <w:p w14:paraId="65B5BDCE" w14:textId="50AB019F" w:rsidR="00787297" w:rsidRDefault="00787297" w:rsidP="00787297"/>
    <w:p w14:paraId="4B6A0D99" w14:textId="77777777" w:rsidR="00B35FE9" w:rsidRDefault="00B35FE9" w:rsidP="00787297"/>
    <w:p w14:paraId="083F8771" w14:textId="77777777" w:rsidR="00787297" w:rsidRDefault="00787297" w:rsidP="00787297">
      <w:pPr>
        <w:pStyle w:val="Heading3"/>
        <w:numPr>
          <w:ilvl w:val="2"/>
          <w:numId w:val="18"/>
        </w:numPr>
      </w:pPr>
      <w:bookmarkStart w:id="140" w:name="_Toc10122726"/>
      <w:r>
        <w:lastRenderedPageBreak/>
        <w:t>Procedure for estimating methane emissions from municipal solid waste (MSW) in landfill</w:t>
      </w:r>
      <w:bookmarkEnd w:id="140"/>
    </w:p>
    <w:p w14:paraId="083BBA58" w14:textId="77777777" w:rsidR="00787297" w:rsidRDefault="00787297" w:rsidP="00787297"/>
    <w:p w14:paraId="76686F99" w14:textId="77777777" w:rsidR="003B57D0" w:rsidRDefault="003B57D0" w:rsidP="00787297">
      <w:r>
        <w:t>The approach used in this manual is based on the IPCC Tier 1 method. The following steps are required:</w:t>
      </w:r>
    </w:p>
    <w:p w14:paraId="1F8E322D" w14:textId="77777777" w:rsidR="00E74BAC" w:rsidRDefault="00F667E4" w:rsidP="00113A4F">
      <w:pPr>
        <w:numPr>
          <w:ilvl w:val="0"/>
          <w:numId w:val="6"/>
        </w:numPr>
        <w:spacing w:before="120"/>
        <w:ind w:left="357" w:hanging="357"/>
      </w:pPr>
      <w:r>
        <w:t>Estimate the population whose waste is collected (i.e. the urban population</w:t>
      </w:r>
      <w:r w:rsidR="00113A4F">
        <w:t xml:space="preserve"> in developing countries</w:t>
      </w:r>
      <w:r>
        <w:t>)</w:t>
      </w:r>
      <w:r w:rsidR="00E74BAC">
        <w:t>.</w:t>
      </w:r>
    </w:p>
    <w:p w14:paraId="2D27A9E9" w14:textId="78CF9C26" w:rsidR="00E74BAC" w:rsidRDefault="00E74BAC" w:rsidP="00880E95">
      <w:pPr>
        <w:numPr>
          <w:ilvl w:val="0"/>
          <w:numId w:val="6"/>
        </w:numPr>
        <w:spacing w:before="120"/>
      </w:pPr>
      <w:r>
        <w:t>Estimate the</w:t>
      </w:r>
      <w:r w:rsidR="00F667E4">
        <w:t xml:space="preserve"> per capita </w:t>
      </w:r>
      <w:r>
        <w:t>Municipal Solid Waste (</w:t>
      </w:r>
      <w:r w:rsidR="00F667E4">
        <w:t>MSW</w:t>
      </w:r>
      <w:r>
        <w:t>)</w:t>
      </w:r>
      <w:r w:rsidR="00F667E4">
        <w:t xml:space="preserve"> generation rate (</w:t>
      </w:r>
      <w:r w:rsidR="00880E95" w:rsidRPr="00880E95">
        <w:t>country specific values are given by the World Bank</w:t>
      </w:r>
      <w:r w:rsidR="00880E95">
        <w:t xml:space="preserve"> as described above for MSW combustion</w:t>
      </w:r>
      <w:r w:rsidR="00F667E4">
        <w:t>).</w:t>
      </w:r>
    </w:p>
    <w:p w14:paraId="65AE2702" w14:textId="77777777" w:rsidR="00F667E4" w:rsidRDefault="00E74BAC" w:rsidP="00113A4F">
      <w:pPr>
        <w:numPr>
          <w:ilvl w:val="0"/>
          <w:numId w:val="6"/>
        </w:numPr>
        <w:spacing w:before="120"/>
        <w:ind w:left="357" w:hanging="357"/>
      </w:pPr>
      <w:r>
        <w:t xml:space="preserve">Total amount of MSW generated is </w:t>
      </w:r>
      <w:r w:rsidR="00113A4F">
        <w:t xml:space="preserve">then </w:t>
      </w:r>
      <w:r>
        <w:t>calculated as the (urban) population multiplied by the chosen per capita MSW generation rate.</w:t>
      </w:r>
    </w:p>
    <w:p w14:paraId="651B6FFC" w14:textId="77777777" w:rsidR="003B57D0" w:rsidRDefault="003B57D0" w:rsidP="00113A4F">
      <w:pPr>
        <w:pStyle w:val="ListParagraph"/>
        <w:numPr>
          <w:ilvl w:val="0"/>
          <w:numId w:val="6"/>
        </w:numPr>
        <w:spacing w:before="120"/>
        <w:ind w:left="357" w:hanging="357"/>
        <w:contextualSpacing w:val="0"/>
      </w:pPr>
      <w:r>
        <w:t>E</w:t>
      </w:r>
      <w:r w:rsidR="00E74BAC">
        <w:t>nter a value for t</w:t>
      </w:r>
      <w:r>
        <w:t xml:space="preserve">he fraction of total MSW disposed of </w:t>
      </w:r>
      <w:r w:rsidR="00F93755">
        <w:t>with</w:t>
      </w:r>
      <w:r>
        <w:t xml:space="preserve">in solid waste disposal sites (SWDS) i.e. </w:t>
      </w:r>
      <w:r w:rsidR="00F93755">
        <w:t xml:space="preserve">to </w:t>
      </w:r>
      <w:r>
        <w:t>landfill (</w:t>
      </w:r>
      <w:r w:rsidR="00E74BAC">
        <w:t>country-</w:t>
      </w:r>
      <w:r w:rsidRPr="003B57D0">
        <w:t xml:space="preserve">specific values </w:t>
      </w:r>
      <w:r>
        <w:t>also</w:t>
      </w:r>
      <w:r w:rsidRPr="003B57D0">
        <w:t xml:space="preserve"> given in Annex 2A.1 of the 2006 IPCC guidelines</w:t>
      </w:r>
      <w:r>
        <w:t>).</w:t>
      </w:r>
    </w:p>
    <w:p w14:paraId="68A404D7" w14:textId="26972CB7" w:rsidR="003B57D0" w:rsidRPr="00E91AFF" w:rsidRDefault="00E74BAC" w:rsidP="00E91AFF">
      <w:pPr>
        <w:pStyle w:val="ListParagraph"/>
        <w:numPr>
          <w:ilvl w:val="0"/>
          <w:numId w:val="6"/>
        </w:numPr>
        <w:spacing w:before="120"/>
        <w:contextualSpacing w:val="0"/>
      </w:pPr>
      <w:r>
        <w:t xml:space="preserve">Enter </w:t>
      </w:r>
      <w:r w:rsidR="00113A4F">
        <w:t xml:space="preserve">default or country-specific </w:t>
      </w:r>
      <w:r>
        <w:t xml:space="preserve">values for </w:t>
      </w:r>
      <w:r w:rsidR="00CD096D" w:rsidRPr="004B40A2">
        <w:rPr>
          <w:b/>
        </w:rPr>
        <w:t>MCF</w:t>
      </w:r>
      <w:r w:rsidR="00CD096D">
        <w:t xml:space="preserve"> (</w:t>
      </w:r>
      <w:r>
        <w:t xml:space="preserve">methane correction factor) </w:t>
      </w:r>
      <w:r w:rsidR="00CD096D">
        <w:t xml:space="preserve">- </w:t>
      </w:r>
      <w:r>
        <w:t>which accounts for the eff</w:t>
      </w:r>
      <w:r w:rsidR="00CD096D">
        <w:t>ect of SWDS management practice;</w:t>
      </w:r>
      <w:r>
        <w:t xml:space="preserve"> </w:t>
      </w:r>
      <w:r w:rsidR="00CD096D" w:rsidRPr="00113A4F">
        <w:rPr>
          <w:b/>
        </w:rPr>
        <w:t>DOC</w:t>
      </w:r>
      <w:r w:rsidR="00CD096D">
        <w:t xml:space="preserve"> (</w:t>
      </w:r>
      <w:r>
        <w:t>degradable organi</w:t>
      </w:r>
      <w:r w:rsidR="00CD096D">
        <w:t>c carbon</w:t>
      </w:r>
      <w:r>
        <w:t>)</w:t>
      </w:r>
      <w:r w:rsidR="00CD096D">
        <w:t xml:space="preserve"> – the fraction</w:t>
      </w:r>
      <w:r>
        <w:t xml:space="preserve"> </w:t>
      </w:r>
      <w:r w:rsidR="00CD096D">
        <w:t>of organic carbon that is degradable;</w:t>
      </w:r>
      <w:r>
        <w:t xml:space="preserve"> </w:t>
      </w:r>
      <w:r w:rsidR="00CD096D" w:rsidRPr="00113A4F">
        <w:rPr>
          <w:b/>
        </w:rPr>
        <w:t>DOC</w:t>
      </w:r>
      <w:r w:rsidR="00CD096D" w:rsidRPr="00113A4F">
        <w:rPr>
          <w:b/>
          <w:vertAlign w:val="subscript"/>
        </w:rPr>
        <w:t>F</w:t>
      </w:r>
      <w:r w:rsidR="00CD096D">
        <w:t xml:space="preserve"> – the </w:t>
      </w:r>
      <w:r>
        <w:t xml:space="preserve">fraction </w:t>
      </w:r>
      <w:r w:rsidR="00CD096D">
        <w:t xml:space="preserve">of </w:t>
      </w:r>
      <w:r>
        <w:t>DOC</w:t>
      </w:r>
      <w:r w:rsidR="00CD096D">
        <w:t xml:space="preserve"> that decomposes under anaerobic conditions; </w:t>
      </w:r>
      <w:r w:rsidR="00CD096D" w:rsidRPr="00113A4F">
        <w:rPr>
          <w:b/>
        </w:rPr>
        <w:t>F</w:t>
      </w:r>
      <w:r w:rsidR="00CD096D">
        <w:t xml:space="preserve"> (fraction of methane in generated landfill gas); </w:t>
      </w:r>
      <w:r w:rsidR="00CD096D" w:rsidRPr="00113A4F">
        <w:rPr>
          <w:b/>
        </w:rPr>
        <w:t>R</w:t>
      </w:r>
      <w:r w:rsidR="00CD096D">
        <w:t xml:space="preserve"> (recovered CH</w:t>
      </w:r>
      <w:r w:rsidR="00CD096D" w:rsidRPr="00113A4F">
        <w:rPr>
          <w:vertAlign w:val="subscript"/>
        </w:rPr>
        <w:t>4</w:t>
      </w:r>
      <w:r w:rsidR="00CD096D">
        <w:t xml:space="preserve">) </w:t>
      </w:r>
      <w:r w:rsidR="00113A4F">
        <w:t xml:space="preserve">- </w:t>
      </w:r>
      <w:r w:rsidR="00CD096D">
        <w:t>the proportion of methane</w:t>
      </w:r>
      <w:r w:rsidR="00113A4F">
        <w:t xml:space="preserve"> generated in the SWDS that is recovered and combusted in a flare or energy device;</w:t>
      </w:r>
      <w:r w:rsidR="00CD096D">
        <w:t xml:space="preserve"> </w:t>
      </w:r>
      <w:r w:rsidR="00113A4F">
        <w:t xml:space="preserve">and </w:t>
      </w:r>
      <w:r w:rsidR="00113A4F" w:rsidRPr="00113A4F">
        <w:rPr>
          <w:b/>
        </w:rPr>
        <w:t>OX</w:t>
      </w:r>
      <w:r w:rsidR="00113A4F">
        <w:t xml:space="preserve"> (oxidation factor) – which reflects the amount of CH</w:t>
      </w:r>
      <w:r w:rsidR="00113A4F" w:rsidRPr="00113A4F">
        <w:rPr>
          <w:vertAlign w:val="subscript"/>
        </w:rPr>
        <w:t>4</w:t>
      </w:r>
      <w:r w:rsidR="00113A4F">
        <w:t xml:space="preserve"> from the SWDS that is oxidised in the soil or other material covering the waste.</w:t>
      </w:r>
      <w:r>
        <w:t xml:space="preserve"> </w:t>
      </w:r>
      <w:r w:rsidR="00E91AFF" w:rsidRPr="00E91AFF">
        <w:t>Range</w:t>
      </w:r>
      <w:r w:rsidR="00E91AFF">
        <w:t>s of values are offered in the W</w:t>
      </w:r>
      <w:r w:rsidR="00E91AFF" w:rsidRPr="00E91AFF">
        <w:t>orkbook for the default fraction MSW disposed to SWDS and for the DOC fraction with footnotes directing users to the relevant IPCC (2006) tables to find country- or region-specific values.</w:t>
      </w:r>
    </w:p>
    <w:p w14:paraId="775A9454" w14:textId="77777777" w:rsidR="00787297" w:rsidRDefault="00787297" w:rsidP="00787297"/>
    <w:p w14:paraId="68F94DC1" w14:textId="77777777" w:rsidR="009008E0" w:rsidRDefault="009008E0" w:rsidP="00787297"/>
    <w:p w14:paraId="3F28CD0A" w14:textId="77777777" w:rsidR="00787297" w:rsidRDefault="00787297" w:rsidP="00CB2FB9">
      <w:pPr>
        <w:pStyle w:val="Heading3"/>
        <w:numPr>
          <w:ilvl w:val="2"/>
          <w:numId w:val="18"/>
        </w:numPr>
      </w:pPr>
      <w:bookmarkStart w:id="141" w:name="_Toc10122727"/>
      <w:r>
        <w:t xml:space="preserve">Procedure for estimating </w:t>
      </w:r>
      <w:r w:rsidR="00CB2FB9" w:rsidRPr="00CB2FB9">
        <w:t xml:space="preserve">methane </w:t>
      </w:r>
      <w:r>
        <w:t xml:space="preserve">emissions </w:t>
      </w:r>
      <w:r w:rsidR="00790A3C">
        <w:t>from domestic waste</w:t>
      </w:r>
      <w:r w:rsidR="00CB2FB9">
        <w:t>water treatment and disposal</w:t>
      </w:r>
      <w:bookmarkEnd w:id="141"/>
    </w:p>
    <w:p w14:paraId="1B4ED000" w14:textId="77777777" w:rsidR="00113A4F" w:rsidRDefault="00113A4F" w:rsidP="00113A4F"/>
    <w:p w14:paraId="398E61E6" w14:textId="77777777" w:rsidR="00787297" w:rsidRDefault="00113A4F" w:rsidP="00113A4F">
      <w:r>
        <w:t>The approach used in this manual is based on the IPCC Tier 1 method. The following steps are required:</w:t>
      </w:r>
    </w:p>
    <w:p w14:paraId="264E7C7D" w14:textId="77777777" w:rsidR="00113A4F" w:rsidRDefault="00113A4F" w:rsidP="00113A4F"/>
    <w:p w14:paraId="2C0A8946" w14:textId="77777777" w:rsidR="00113A4F" w:rsidRDefault="00790A3C" w:rsidP="00790A3C">
      <w:pPr>
        <w:pStyle w:val="ListParagraph"/>
        <w:numPr>
          <w:ilvl w:val="0"/>
          <w:numId w:val="41"/>
        </w:numPr>
      </w:pPr>
      <w:r>
        <w:t xml:space="preserve">Enter </w:t>
      </w:r>
      <w:r w:rsidRPr="00790A3C">
        <w:t xml:space="preserve">the </w:t>
      </w:r>
      <w:r>
        <w:t xml:space="preserve">total </w:t>
      </w:r>
      <w:r w:rsidRPr="00790A3C">
        <w:t>population</w:t>
      </w:r>
      <w:r>
        <w:t xml:space="preserve"> of the geographic area being inventoried.</w:t>
      </w:r>
    </w:p>
    <w:p w14:paraId="2B410F4F" w14:textId="77777777" w:rsidR="00790A3C" w:rsidRDefault="00790A3C" w:rsidP="00790A3C">
      <w:pPr>
        <w:pStyle w:val="ListParagraph"/>
        <w:numPr>
          <w:ilvl w:val="0"/>
          <w:numId w:val="41"/>
        </w:numPr>
      </w:pPr>
      <w:r>
        <w:t>Enter regional- or country-specific default value for BOD (</w:t>
      </w:r>
      <w:r w:rsidRPr="00790A3C">
        <w:t>Biochemical Oxygen Demand</w:t>
      </w:r>
      <w:r>
        <w:t xml:space="preserve">) which </w:t>
      </w:r>
      <w:r w:rsidR="00B702FC">
        <w:t>is a measure of</w:t>
      </w:r>
      <w:r>
        <w:t xml:space="preserve"> the degradable organic component of the wastewater </w:t>
      </w:r>
      <w:r w:rsidR="00B702FC">
        <w:t>(</w:t>
      </w:r>
      <w:r>
        <w:t>expressed as kg BOD/capita/yr</w:t>
      </w:r>
      <w:r w:rsidR="00B702FC">
        <w:t>)</w:t>
      </w:r>
    </w:p>
    <w:p w14:paraId="79F50B1C" w14:textId="77777777" w:rsidR="00B702FC" w:rsidRDefault="00B702FC" w:rsidP="00790A3C">
      <w:pPr>
        <w:pStyle w:val="ListParagraph"/>
        <w:numPr>
          <w:ilvl w:val="0"/>
          <w:numId w:val="41"/>
        </w:numPr>
      </w:pPr>
      <w:r>
        <w:t>Income group allocation - estimate the fractions (between 0-1) of the total population that can be classified as either ‘Rural’, ‘Urban high income’ or ‘Urban low income’ (total for all 3 must = 1.0).</w:t>
      </w:r>
    </w:p>
    <w:p w14:paraId="48B820F7" w14:textId="77777777" w:rsidR="00B702FC" w:rsidRDefault="00B702FC" w:rsidP="00790A3C">
      <w:pPr>
        <w:pStyle w:val="ListParagraph"/>
        <w:numPr>
          <w:ilvl w:val="0"/>
          <w:numId w:val="41"/>
        </w:numPr>
      </w:pPr>
      <w:r>
        <w:t>For each of the three income groups, estimate the fraction of population that uses each type of treatment system (</w:t>
      </w:r>
      <w:r w:rsidRPr="00B702FC">
        <w:rPr>
          <w:i/>
        </w:rPr>
        <w:t>Latrine</w:t>
      </w:r>
      <w:r>
        <w:t xml:space="preserve">, </w:t>
      </w:r>
      <w:r w:rsidRPr="00B702FC">
        <w:rPr>
          <w:i/>
        </w:rPr>
        <w:t>Septic tank</w:t>
      </w:r>
      <w:r>
        <w:t xml:space="preserve">, </w:t>
      </w:r>
      <w:r w:rsidRPr="00B702FC">
        <w:rPr>
          <w:i/>
        </w:rPr>
        <w:t>Anaerobic reactor</w:t>
      </w:r>
      <w:r>
        <w:t xml:space="preserve"> </w:t>
      </w:r>
      <w:r w:rsidRPr="00B702FC">
        <w:rPr>
          <w:i/>
        </w:rPr>
        <w:t>or deep lagoon</w:t>
      </w:r>
      <w:r>
        <w:t xml:space="preserve">, </w:t>
      </w:r>
      <w:r w:rsidRPr="00B702FC">
        <w:rPr>
          <w:i/>
        </w:rPr>
        <w:t>Aerobic treatment plant</w:t>
      </w:r>
      <w:r>
        <w:t xml:space="preserve"> or </w:t>
      </w:r>
      <w:r w:rsidRPr="00B702FC">
        <w:rPr>
          <w:i/>
        </w:rPr>
        <w:t>Untreated</w:t>
      </w:r>
      <w:r>
        <w:t xml:space="preserve"> (discharge to sea, river or lake)</w:t>
      </w:r>
      <w:r w:rsidR="00925A06">
        <w:t>.</w:t>
      </w:r>
    </w:p>
    <w:p w14:paraId="5AD57DDE" w14:textId="77777777" w:rsidR="00925A06" w:rsidRDefault="00925A06" w:rsidP="00790A3C">
      <w:pPr>
        <w:pStyle w:val="ListParagraph"/>
        <w:numPr>
          <w:ilvl w:val="0"/>
          <w:numId w:val="41"/>
        </w:numPr>
      </w:pPr>
      <w:r>
        <w:t>Enter default values (or country-specific values if known) for the maximum methane producing capacity (</w:t>
      </w:r>
      <w:r w:rsidRPr="00925A06">
        <w:rPr>
          <w:b/>
        </w:rPr>
        <w:t>B</w:t>
      </w:r>
      <w:r w:rsidRPr="00925A06">
        <w:rPr>
          <w:b/>
          <w:vertAlign w:val="subscript"/>
        </w:rPr>
        <w:t>0</w:t>
      </w:r>
      <w:r>
        <w:t>) and the methane correction factor (</w:t>
      </w:r>
      <w:r w:rsidRPr="00925A06">
        <w:rPr>
          <w:b/>
        </w:rPr>
        <w:t>MCF</w:t>
      </w:r>
      <w:r>
        <w:t>) for each type of treatment system.</w:t>
      </w:r>
    </w:p>
    <w:p w14:paraId="4B4A9B31" w14:textId="77777777" w:rsidR="00925A06" w:rsidRDefault="00925A06" w:rsidP="00790A3C">
      <w:pPr>
        <w:pStyle w:val="ListParagraph"/>
        <w:numPr>
          <w:ilvl w:val="0"/>
          <w:numId w:val="41"/>
        </w:numPr>
      </w:pPr>
      <w:r>
        <w:t>Subtract the amount of methane</w:t>
      </w:r>
      <w:r w:rsidR="00C93358">
        <w:t xml:space="preserve"> (</w:t>
      </w:r>
      <w:r w:rsidR="00C93358" w:rsidRPr="00C93358">
        <w:rPr>
          <w:b/>
        </w:rPr>
        <w:t>R</w:t>
      </w:r>
      <w:r w:rsidR="00C93358">
        <w:t>)</w:t>
      </w:r>
      <w:r>
        <w:t xml:space="preserve"> that is </w:t>
      </w:r>
      <w:r w:rsidR="00C93358">
        <w:t xml:space="preserve">either </w:t>
      </w:r>
      <w:r>
        <w:t>recovered for energy use</w:t>
      </w:r>
      <w:r w:rsidR="00C93358" w:rsidRPr="00C93358">
        <w:t xml:space="preserve"> </w:t>
      </w:r>
      <w:r w:rsidR="00C93358">
        <w:t>or flared</w:t>
      </w:r>
      <w:r>
        <w:t>.</w:t>
      </w:r>
    </w:p>
    <w:p w14:paraId="08309613" w14:textId="77777777" w:rsidR="002319FE" w:rsidRDefault="002319FE" w:rsidP="00787297"/>
    <w:p w14:paraId="73E8EE5E" w14:textId="77777777" w:rsidR="00787297" w:rsidRDefault="00787297" w:rsidP="00787297">
      <w:pPr>
        <w:pStyle w:val="Heading3"/>
        <w:numPr>
          <w:ilvl w:val="2"/>
          <w:numId w:val="18"/>
        </w:numPr>
      </w:pPr>
      <w:bookmarkStart w:id="142" w:name="_Toc10122728"/>
      <w:r>
        <w:t>Procedure for estimating ammonia emissions from latrines</w:t>
      </w:r>
      <w:bookmarkEnd w:id="142"/>
    </w:p>
    <w:p w14:paraId="4A0D78CB" w14:textId="77777777" w:rsidR="004C39F3" w:rsidRDefault="004C39F3" w:rsidP="004C39F3"/>
    <w:p w14:paraId="01DFEC46" w14:textId="1B69C143" w:rsidR="00C46552" w:rsidRDefault="00C46552" w:rsidP="004C39F3">
      <w:pPr>
        <w:pStyle w:val="Date"/>
      </w:pPr>
      <w:r>
        <w:tab/>
        <w:t>The suggested procedure for the estimation of annual emissions of ammonia from latrines is based on the EMEP/</w:t>
      </w:r>
      <w:r w:rsidR="00E91AFF">
        <w:t>EEA (2016)</w:t>
      </w:r>
      <w:r>
        <w:t xml:space="preserve"> methodology. The number of people using latrines is estimated and multiplied by an emission factor for ammonia. The default emission factor value of 1.6 kg NH</w:t>
      </w:r>
      <w:r>
        <w:rPr>
          <w:vertAlign w:val="subscript"/>
        </w:rPr>
        <w:t>3</w:t>
      </w:r>
      <w:r>
        <w:t xml:space="preserve"> per year per person using latrines is based on an assumption that during storage of excreta in latrines for one year, about 30 percent of the nitrogen is emitted as ammonia.</w:t>
      </w:r>
      <w:r w:rsidR="00C200B3">
        <w:t xml:space="preserve"> </w:t>
      </w:r>
      <w:r w:rsidR="00C8761D">
        <w:t xml:space="preserve">In </w:t>
      </w:r>
      <w:r w:rsidR="00E91AFF">
        <w:t xml:space="preserve">certain </w:t>
      </w:r>
      <w:r w:rsidR="00C8761D">
        <w:t>developing countries, a significant proportion of the rural populations may simply defecate and urinate outside in the open</w:t>
      </w:r>
      <w:r w:rsidR="00D42DBC">
        <w:t xml:space="preserve"> fields or bush</w:t>
      </w:r>
      <w:r w:rsidR="00C8761D">
        <w:t xml:space="preserve">. Bouwman et. al. (1997) present typical ‘meadow’ ammonia-N annual losses of 15 percent for cattle, buffalo, camels and horses in developing country regions (compared with 28- 36 percent for animal housing). In the absence of a specific emission factor, it may be assumed that the ammonia-N loss rate for human </w:t>
      </w:r>
      <w:r w:rsidR="00E91AFF">
        <w:t>open</w:t>
      </w:r>
      <w:r w:rsidR="00C8761D">
        <w:t xml:space="preserve"> defecation/urination is also reduced </w:t>
      </w:r>
      <w:r w:rsidR="00C8761D">
        <w:lastRenderedPageBreak/>
        <w:t>by approximately half and that the appropriate default emission factor is therefore 0.8</w:t>
      </w:r>
      <w:r w:rsidR="00C8761D" w:rsidRPr="00C8761D">
        <w:t xml:space="preserve"> </w:t>
      </w:r>
      <w:r w:rsidR="00C8761D">
        <w:t>kg NH</w:t>
      </w:r>
      <w:r w:rsidR="00C8761D">
        <w:rPr>
          <w:vertAlign w:val="subscript"/>
        </w:rPr>
        <w:t>3</w:t>
      </w:r>
      <w:r w:rsidR="00C8761D">
        <w:t xml:space="preserve"> per year per person.</w:t>
      </w:r>
    </w:p>
    <w:p w14:paraId="75B93E43" w14:textId="77777777" w:rsidR="0022046A" w:rsidRDefault="0022046A"/>
    <w:p w14:paraId="5E9690C4" w14:textId="77777777" w:rsidR="00C46552" w:rsidRDefault="00C46552" w:rsidP="00BE3408">
      <w:pPr>
        <w:pStyle w:val="Heading2"/>
      </w:pPr>
      <w:bookmarkStart w:id="143" w:name="_Toc10122729"/>
      <w:bookmarkStart w:id="144" w:name="_Toc472263043"/>
      <w:r>
        <w:t>Application of parameters for control equipment</w:t>
      </w:r>
      <w:bookmarkEnd w:id="143"/>
      <w:r>
        <w:t xml:space="preserve"> </w:t>
      </w:r>
      <w:bookmarkEnd w:id="144"/>
    </w:p>
    <w:p w14:paraId="513C95EE" w14:textId="77777777" w:rsidR="00C46552" w:rsidRDefault="00C46552">
      <w:pPr>
        <w:keepNext/>
        <w:keepLines/>
        <w:rPr>
          <w:b/>
        </w:rPr>
      </w:pPr>
    </w:p>
    <w:p w14:paraId="1C50A66D" w14:textId="4322E9FB" w:rsidR="00C46552" w:rsidRDefault="00C93358" w:rsidP="004B40A2">
      <w:pPr>
        <w:ind w:firstLine="576"/>
      </w:pPr>
      <w:r w:rsidRPr="00C93358">
        <w:rPr>
          <w:color w:val="000000" w:themeColor="text1"/>
        </w:rPr>
        <w:t>For waste incinerators,</w:t>
      </w:r>
      <w:r w:rsidR="00E91AFF">
        <w:rPr>
          <w:color w:val="000000" w:themeColor="text1"/>
        </w:rPr>
        <w:t xml:space="preserve"> switching activity (waste burnt) </w:t>
      </w:r>
      <w:r w:rsidR="000D3AFA">
        <w:rPr>
          <w:color w:val="000000" w:themeColor="text1"/>
        </w:rPr>
        <w:t xml:space="preserve">in spreadsheet </w:t>
      </w:r>
      <w:r w:rsidR="00E91AFF">
        <w:rPr>
          <w:color w:val="000000" w:themeColor="text1"/>
        </w:rPr>
        <w:t xml:space="preserve">from uncontrolled to modern plant will </w:t>
      </w:r>
      <w:r w:rsidR="000D3AFA">
        <w:rPr>
          <w:color w:val="000000" w:themeColor="text1"/>
        </w:rPr>
        <w:t>achieve reduced emissions</w:t>
      </w:r>
      <w:r w:rsidR="00C46552" w:rsidRPr="00C93358">
        <w:rPr>
          <w:color w:val="000000" w:themeColor="text1"/>
        </w:rPr>
        <w:t>.</w:t>
      </w:r>
      <w:r w:rsidR="008A49D6" w:rsidRPr="00C93358">
        <w:rPr>
          <w:color w:val="000000" w:themeColor="text1"/>
        </w:rPr>
        <w:t xml:space="preserve"> </w:t>
      </w:r>
      <w:r w:rsidR="00C46552" w:rsidRPr="00C93358">
        <w:rPr>
          <w:color w:val="000000" w:themeColor="text1"/>
        </w:rPr>
        <w:t xml:space="preserve">Switching from dry latrines to other kinds of toilet (e.g. water closets) will reduce </w:t>
      </w:r>
      <w:r w:rsidR="00C46552">
        <w:t xml:space="preserve">ammonia emissions and this will be reflected in a lower estimate of the population using latrines. </w:t>
      </w:r>
      <w:r>
        <w:t>For methane emissions from MSWD (landfill) and from wastewater treatment, the amount of methane recovered for energy use or flared is explicitly accounted for.</w:t>
      </w:r>
    </w:p>
    <w:p w14:paraId="5D0D6AB4" w14:textId="77777777" w:rsidR="00C46552" w:rsidRDefault="00C46552">
      <w:pPr>
        <w:ind w:left="720"/>
      </w:pPr>
    </w:p>
    <w:p w14:paraId="72BD7509" w14:textId="77777777" w:rsidR="00C46552" w:rsidRDefault="00DB480B" w:rsidP="00DB480B">
      <w:pPr>
        <w:ind w:firstLine="720"/>
      </w:pPr>
      <w:r>
        <w:br w:type="page"/>
      </w:r>
      <w:r w:rsidR="00C46552">
        <w:lastRenderedPageBreak/>
        <w:t xml:space="preserve"> </w:t>
      </w:r>
    </w:p>
    <w:p w14:paraId="693FBED2" w14:textId="77777777" w:rsidR="00C46552" w:rsidRDefault="00C46552">
      <w:pPr>
        <w:pStyle w:val="Heading1"/>
        <w:numPr>
          <w:ilvl w:val="0"/>
          <w:numId w:val="17"/>
        </w:numPr>
      </w:pPr>
      <w:bookmarkStart w:id="145" w:name="_Toc10122730"/>
      <w:r>
        <w:t>Emissions from Large Point Sources</w:t>
      </w:r>
      <w:bookmarkEnd w:id="145"/>
      <w:r>
        <w:t xml:space="preserve">  </w:t>
      </w:r>
    </w:p>
    <w:p w14:paraId="4D887580" w14:textId="77777777" w:rsidR="00C46552" w:rsidRDefault="00C46552"/>
    <w:p w14:paraId="071088F8" w14:textId="77777777" w:rsidR="00C46552" w:rsidRDefault="00C46552" w:rsidP="00BE3408">
      <w:pPr>
        <w:pStyle w:val="Heading2"/>
      </w:pPr>
      <w:r>
        <w:t xml:space="preserve"> </w:t>
      </w:r>
      <w:bookmarkStart w:id="146" w:name="_Toc10122731"/>
      <w:r>
        <w:t>Introduction</w:t>
      </w:r>
      <w:bookmarkEnd w:id="146"/>
    </w:p>
    <w:p w14:paraId="206340ED" w14:textId="77777777" w:rsidR="00C46552" w:rsidRDefault="00C46552">
      <w:pPr>
        <w:rPr>
          <w:b/>
        </w:rPr>
      </w:pPr>
    </w:p>
    <w:p w14:paraId="1ABE8BBB" w14:textId="77777777" w:rsidR="00C46552" w:rsidRDefault="00C46552">
      <w:r>
        <w:t xml:space="preserve">In modelling of air pollutant transport, so-called "large point sources" (LPS) of emissions have special significance. Typical examples of LPS include power plants, large metal smelters, district heating plants, and large industrial boilers.  The significance of LPS derives both from their "size" (the mass and volume of emissions they produce over time relative to other individual emissions sources) and from the conditions under which they emit pollutants. For example, large point sources typically release stack gases through a tall smoke or exhaust stack. Because their emissions enter the atmosphere at a greater altitude than emissions from (for example) area sources, the characteristics of LPS emissions with regard to atmospheric transport and atmospheric chemistry can be different than those of emissions from other sources. In addition, the exhaust temperatures and other physical conditions of emissions from LPS are usually considerably different than for area sources. Finally, emissions control solutions are often available (and cost-effective) for large point sources that are not as applicable to other emissions sources. As a consequence, most transboundary air pollution models include separate accounting for emissions from large point sources. </w:t>
      </w:r>
    </w:p>
    <w:p w14:paraId="1B03514A" w14:textId="77777777" w:rsidR="00C46552" w:rsidRDefault="00C46552"/>
    <w:p w14:paraId="69523AE1" w14:textId="77777777" w:rsidR="00C46552" w:rsidRDefault="00C46552">
      <w:r>
        <w:rPr>
          <w:snapToGrid w:val="0"/>
        </w:rPr>
        <w:tab/>
        <w:t>In general, a LPS is any emission source, at a fixed location, for which individual data are collected. In practice, the definition is usually narrower and more specific in order to limit the number of LPS. For example, i</w:t>
      </w:r>
      <w:r>
        <w:t>n the RAINS-</w:t>
      </w:r>
      <w:r w:rsidR="00AF21A3">
        <w:t>ASIA</w:t>
      </w:r>
      <w:r>
        <w:t xml:space="preserve"> model, 355 LPS were identified at 332 unique locations.  In the RAINS-</w:t>
      </w:r>
      <w:r w:rsidR="00AF21A3">
        <w:t>ASIA</w:t>
      </w:r>
      <w:r>
        <w:t xml:space="preserve"> program a LPS was defined as an emitting complex with:</w:t>
      </w:r>
    </w:p>
    <w:p w14:paraId="12A9B005" w14:textId="77777777" w:rsidR="00C46552" w:rsidRDefault="00C46552"/>
    <w:p w14:paraId="12D260F9" w14:textId="77777777" w:rsidR="00C46552" w:rsidRDefault="00C46552" w:rsidP="004C0EBA">
      <w:pPr>
        <w:numPr>
          <w:ilvl w:val="0"/>
          <w:numId w:val="12"/>
        </w:numPr>
        <w:tabs>
          <w:tab w:val="clear" w:pos="360"/>
        </w:tabs>
        <w:spacing w:before="120"/>
        <w:ind w:firstLine="490"/>
        <w:rPr>
          <w:snapToGrid w:val="0"/>
        </w:rPr>
      </w:pPr>
      <w:r>
        <w:rPr>
          <w:snapToGrid w:val="0"/>
        </w:rPr>
        <w:t xml:space="preserve">total electric output capacity </w:t>
      </w:r>
      <w:r>
        <w:rPr>
          <w:snapToGrid w:val="0"/>
          <w:u w:val="single"/>
        </w:rPr>
        <w:t>&gt;</w:t>
      </w:r>
      <w:r>
        <w:rPr>
          <w:snapToGrid w:val="0"/>
        </w:rPr>
        <w:t xml:space="preserve"> 300 MW</w:t>
      </w:r>
      <w:r>
        <w:rPr>
          <w:snapToGrid w:val="0"/>
          <w:vertAlign w:val="subscript"/>
        </w:rPr>
        <w:t>e</w:t>
      </w:r>
      <w:r>
        <w:rPr>
          <w:snapToGrid w:val="0"/>
        </w:rPr>
        <w:t xml:space="preserve"> [electric power plants], or </w:t>
      </w:r>
    </w:p>
    <w:p w14:paraId="2BDEE9EE" w14:textId="77777777" w:rsidR="00C46552" w:rsidRDefault="00C46552" w:rsidP="004C0EBA">
      <w:pPr>
        <w:numPr>
          <w:ilvl w:val="0"/>
          <w:numId w:val="13"/>
        </w:numPr>
        <w:spacing w:before="120"/>
        <w:ind w:firstLine="490"/>
        <w:rPr>
          <w:snapToGrid w:val="0"/>
        </w:rPr>
      </w:pPr>
      <w:r>
        <w:rPr>
          <w:snapToGrid w:val="0"/>
        </w:rPr>
        <w:t xml:space="preserve">total thermal input capacity </w:t>
      </w:r>
      <w:r>
        <w:rPr>
          <w:snapToGrid w:val="0"/>
          <w:u w:val="single"/>
        </w:rPr>
        <w:t>&gt;</w:t>
      </w:r>
      <w:r>
        <w:rPr>
          <w:snapToGrid w:val="0"/>
        </w:rPr>
        <w:t xml:space="preserve"> 900 MW</w:t>
      </w:r>
      <w:r>
        <w:rPr>
          <w:snapToGrid w:val="0"/>
          <w:vertAlign w:val="subscript"/>
        </w:rPr>
        <w:t>th</w:t>
      </w:r>
      <w:r>
        <w:rPr>
          <w:snapToGrid w:val="0"/>
        </w:rPr>
        <w:t xml:space="preserve"> [industrial plants], or </w:t>
      </w:r>
    </w:p>
    <w:p w14:paraId="21C10F27" w14:textId="77777777" w:rsidR="00C46552" w:rsidRDefault="00C46552" w:rsidP="004C0EBA">
      <w:pPr>
        <w:numPr>
          <w:ilvl w:val="0"/>
          <w:numId w:val="14"/>
        </w:numPr>
        <w:spacing w:before="120"/>
        <w:ind w:firstLine="490"/>
        <w:rPr>
          <w:snapToGrid w:val="0"/>
        </w:rPr>
      </w:pPr>
      <w:r>
        <w:rPr>
          <w:snapToGrid w:val="0"/>
        </w:rPr>
        <w:t>annual SO</w:t>
      </w:r>
      <w:r>
        <w:rPr>
          <w:snapToGrid w:val="0"/>
          <w:vertAlign w:val="subscript"/>
        </w:rPr>
        <w:t>2</w:t>
      </w:r>
      <w:r>
        <w:rPr>
          <w:snapToGrid w:val="0"/>
        </w:rPr>
        <w:t xml:space="preserve"> emissions greater than 20,000 metric tons. </w:t>
      </w:r>
    </w:p>
    <w:p w14:paraId="066F0DC8" w14:textId="77777777" w:rsidR="00C46552" w:rsidRDefault="00C46552">
      <w:pPr>
        <w:ind w:firstLine="491"/>
        <w:rPr>
          <w:snapToGrid w:val="0"/>
        </w:rPr>
      </w:pPr>
    </w:p>
    <w:p w14:paraId="6D70777D" w14:textId="77777777" w:rsidR="00C46552" w:rsidRDefault="00C46552">
      <w:pPr>
        <w:rPr>
          <w:snapToGrid w:val="0"/>
        </w:rPr>
      </w:pPr>
      <w:r>
        <w:rPr>
          <w:snapToGrid w:val="0"/>
        </w:rPr>
        <w:t xml:space="preserve">This LPS definition was chosen only to limit the number of existing LPS modelled to about 355. The data collected for the LPS database are detailed and comprehensive, and a complete description is given in Bertok, </w:t>
      </w:r>
      <w:r>
        <w:rPr>
          <w:i/>
          <w:snapToGrid w:val="0"/>
        </w:rPr>
        <w:t>et al.</w:t>
      </w:r>
      <w:r>
        <w:rPr>
          <w:snapToGrid w:val="0"/>
        </w:rPr>
        <w:t xml:space="preserve"> </w:t>
      </w:r>
      <w:r>
        <w:rPr>
          <w:rStyle w:val="FootnoteReference"/>
          <w:snapToGrid w:val="0"/>
        </w:rPr>
        <w:footnoteReference w:id="57"/>
      </w:r>
      <w:r>
        <w:rPr>
          <w:snapToGrid w:val="0"/>
        </w:rPr>
        <w:t>.</w:t>
      </w:r>
    </w:p>
    <w:p w14:paraId="0EA4DB58" w14:textId="77777777" w:rsidR="00C46552" w:rsidRDefault="00C46552">
      <w:pPr>
        <w:rPr>
          <w:snapToGrid w:val="0"/>
        </w:rPr>
      </w:pPr>
    </w:p>
    <w:p w14:paraId="657F65DB" w14:textId="77777777" w:rsidR="00C46552" w:rsidRDefault="00C46552">
      <w:pPr>
        <w:rPr>
          <w:snapToGrid w:val="0"/>
        </w:rPr>
      </w:pPr>
      <w:r>
        <w:rPr>
          <w:snapToGrid w:val="0"/>
        </w:rPr>
        <w:tab/>
        <w:t xml:space="preserve">In the </w:t>
      </w:r>
      <w:r w:rsidR="009C3F42">
        <w:rPr>
          <w:snapToGrid w:val="0"/>
        </w:rPr>
        <w:t>CORINAIR</w:t>
      </w:r>
      <w:r>
        <w:rPr>
          <w:snapToGrid w:val="0"/>
        </w:rPr>
        <w:t xml:space="preserve">90 methodology (used in the </w:t>
      </w:r>
      <w:r>
        <w:rPr>
          <w:i/>
          <w:snapToGrid w:val="0"/>
        </w:rPr>
        <w:t>EMEP/</w:t>
      </w:r>
      <w:r w:rsidR="009C3F42">
        <w:rPr>
          <w:i/>
          <w:snapToGrid w:val="0"/>
        </w:rPr>
        <w:t>CORINAIR</w:t>
      </w:r>
      <w:r>
        <w:rPr>
          <w:i/>
          <w:snapToGrid w:val="0"/>
        </w:rPr>
        <w:t xml:space="preserve"> Guidebook</w:t>
      </w:r>
      <w:r>
        <w:rPr>
          <w:snapToGrid w:val="0"/>
        </w:rPr>
        <w:t xml:space="preserve">), the sources to be provided as point sources are: </w:t>
      </w:r>
    </w:p>
    <w:p w14:paraId="637366D0" w14:textId="77777777" w:rsidR="00C46552" w:rsidRDefault="00C46552">
      <w:pPr>
        <w:ind w:left="1134"/>
        <w:rPr>
          <w:snapToGrid w:val="0"/>
        </w:rPr>
      </w:pPr>
    </w:p>
    <w:p w14:paraId="5D3C14C0" w14:textId="77777777" w:rsidR="00C46552" w:rsidRDefault="00C46552" w:rsidP="004C0EBA">
      <w:pPr>
        <w:numPr>
          <w:ilvl w:val="0"/>
          <w:numId w:val="15"/>
        </w:numPr>
        <w:tabs>
          <w:tab w:val="clear" w:pos="360"/>
          <w:tab w:val="num" w:pos="1560"/>
        </w:tabs>
        <w:spacing w:before="120"/>
        <w:ind w:left="1138"/>
        <w:rPr>
          <w:snapToGrid w:val="0"/>
        </w:rPr>
      </w:pPr>
      <w:r>
        <w:rPr>
          <w:snapToGrid w:val="0"/>
        </w:rPr>
        <w:t xml:space="preserve">Power plants with thermal input capacity &gt;=300 MW </w:t>
      </w:r>
    </w:p>
    <w:p w14:paraId="64F4E5C3" w14:textId="77777777" w:rsidR="00C46552" w:rsidRDefault="00C46552" w:rsidP="004C0EBA">
      <w:pPr>
        <w:numPr>
          <w:ilvl w:val="0"/>
          <w:numId w:val="15"/>
        </w:numPr>
        <w:tabs>
          <w:tab w:val="clear" w:pos="360"/>
          <w:tab w:val="num" w:pos="1560"/>
        </w:tabs>
        <w:spacing w:before="120"/>
        <w:ind w:left="1138"/>
        <w:rPr>
          <w:snapToGrid w:val="0"/>
        </w:rPr>
      </w:pPr>
      <w:r>
        <w:rPr>
          <w:snapToGrid w:val="0"/>
        </w:rPr>
        <w:t>Refineries</w:t>
      </w:r>
    </w:p>
    <w:p w14:paraId="221F45C7" w14:textId="77777777" w:rsidR="00C46552" w:rsidRDefault="00C46552" w:rsidP="004C0EBA">
      <w:pPr>
        <w:numPr>
          <w:ilvl w:val="0"/>
          <w:numId w:val="15"/>
        </w:numPr>
        <w:tabs>
          <w:tab w:val="clear" w:pos="360"/>
          <w:tab w:val="num" w:pos="1560"/>
        </w:tabs>
        <w:spacing w:before="120"/>
        <w:ind w:left="1138"/>
        <w:rPr>
          <w:snapToGrid w:val="0"/>
        </w:rPr>
      </w:pPr>
      <w:r>
        <w:rPr>
          <w:snapToGrid w:val="0"/>
        </w:rPr>
        <w:t>Sulphuric acid plants</w:t>
      </w:r>
    </w:p>
    <w:p w14:paraId="24C4B843" w14:textId="77777777" w:rsidR="00C46552" w:rsidRDefault="00C46552" w:rsidP="004C0EBA">
      <w:pPr>
        <w:numPr>
          <w:ilvl w:val="0"/>
          <w:numId w:val="15"/>
        </w:numPr>
        <w:tabs>
          <w:tab w:val="clear" w:pos="360"/>
          <w:tab w:val="num" w:pos="1560"/>
        </w:tabs>
        <w:spacing w:before="120"/>
        <w:ind w:left="1138"/>
        <w:rPr>
          <w:snapToGrid w:val="0"/>
        </w:rPr>
      </w:pPr>
      <w:r>
        <w:rPr>
          <w:snapToGrid w:val="0"/>
        </w:rPr>
        <w:t>Nitric acid plants</w:t>
      </w:r>
    </w:p>
    <w:p w14:paraId="29DDBB6E" w14:textId="77777777" w:rsidR="00C46552" w:rsidRDefault="00C46552" w:rsidP="004C0EBA">
      <w:pPr>
        <w:numPr>
          <w:ilvl w:val="0"/>
          <w:numId w:val="15"/>
        </w:numPr>
        <w:tabs>
          <w:tab w:val="clear" w:pos="360"/>
          <w:tab w:val="num" w:pos="1560"/>
        </w:tabs>
        <w:spacing w:before="120"/>
        <w:ind w:left="1138"/>
        <w:rPr>
          <w:snapToGrid w:val="0"/>
        </w:rPr>
      </w:pPr>
      <w:r>
        <w:rPr>
          <w:snapToGrid w:val="0"/>
        </w:rPr>
        <w:t xml:space="preserve">Integrated iron/steel works with production capacity &gt;3 Mt/yr </w:t>
      </w:r>
    </w:p>
    <w:p w14:paraId="3A6C43AD" w14:textId="77777777" w:rsidR="00C46552" w:rsidRDefault="00C46552" w:rsidP="004C0EBA">
      <w:pPr>
        <w:numPr>
          <w:ilvl w:val="0"/>
          <w:numId w:val="15"/>
        </w:numPr>
        <w:tabs>
          <w:tab w:val="clear" w:pos="360"/>
          <w:tab w:val="num" w:pos="1560"/>
        </w:tabs>
        <w:spacing w:before="120"/>
        <w:ind w:left="1138"/>
        <w:rPr>
          <w:snapToGrid w:val="0"/>
        </w:rPr>
      </w:pPr>
      <w:r>
        <w:rPr>
          <w:snapToGrid w:val="0"/>
        </w:rPr>
        <w:t xml:space="preserve">Paper pulp plants with production capacity &gt; 100 kt/yr </w:t>
      </w:r>
    </w:p>
    <w:p w14:paraId="666D2015" w14:textId="77777777" w:rsidR="00C46552" w:rsidRDefault="00C46552" w:rsidP="004C0EBA">
      <w:pPr>
        <w:numPr>
          <w:ilvl w:val="0"/>
          <w:numId w:val="15"/>
        </w:numPr>
        <w:tabs>
          <w:tab w:val="clear" w:pos="360"/>
          <w:tab w:val="num" w:pos="1560"/>
          <w:tab w:val="num" w:pos="2220"/>
          <w:tab w:val="num" w:pos="3420"/>
        </w:tabs>
        <w:spacing w:before="120"/>
        <w:ind w:left="1138"/>
        <w:rPr>
          <w:snapToGrid w:val="0"/>
        </w:rPr>
      </w:pPr>
      <w:r>
        <w:rPr>
          <w:snapToGrid w:val="0"/>
        </w:rPr>
        <w:t xml:space="preserve">Airports with &gt;100000 LTO cycles/yr </w:t>
      </w:r>
    </w:p>
    <w:p w14:paraId="0374B67A" w14:textId="77777777" w:rsidR="00C46552" w:rsidRDefault="00C46552" w:rsidP="004C0EBA">
      <w:pPr>
        <w:numPr>
          <w:ilvl w:val="0"/>
          <w:numId w:val="15"/>
        </w:numPr>
        <w:tabs>
          <w:tab w:val="clear" w:pos="360"/>
          <w:tab w:val="num" w:pos="1560"/>
          <w:tab w:val="num" w:pos="2220"/>
          <w:tab w:val="num" w:pos="3420"/>
        </w:tabs>
        <w:spacing w:before="120"/>
        <w:ind w:left="1138"/>
        <w:rPr>
          <w:snapToGrid w:val="0"/>
        </w:rPr>
      </w:pPr>
      <w:r>
        <w:rPr>
          <w:snapToGrid w:val="0"/>
        </w:rPr>
        <w:t>Other plants emitting &gt;=1000 t/yr SO</w:t>
      </w:r>
      <w:r>
        <w:rPr>
          <w:snapToGrid w:val="0"/>
          <w:vertAlign w:val="subscript"/>
        </w:rPr>
        <w:t>2,</w:t>
      </w:r>
      <w:r>
        <w:rPr>
          <w:snapToGrid w:val="0"/>
        </w:rPr>
        <w:t xml:space="preserve"> NO</w:t>
      </w:r>
      <w:r>
        <w:rPr>
          <w:snapToGrid w:val="0"/>
          <w:vertAlign w:val="subscript"/>
        </w:rPr>
        <w:t xml:space="preserve">x </w:t>
      </w:r>
    </w:p>
    <w:p w14:paraId="2F890890" w14:textId="77777777" w:rsidR="00C46552" w:rsidRDefault="00C46552">
      <w:pPr>
        <w:pStyle w:val="Date"/>
      </w:pPr>
    </w:p>
    <w:p w14:paraId="371A5687" w14:textId="77777777" w:rsidR="00C46552" w:rsidRDefault="00C46552">
      <w:pPr>
        <w:rPr>
          <w:i/>
        </w:rPr>
      </w:pPr>
      <w:r>
        <w:lastRenderedPageBreak/>
        <w:tab/>
        <w:t xml:space="preserve">It is suggested, as a starting point for inventory preparation, that the above </w:t>
      </w:r>
      <w:r w:rsidR="009C3F42">
        <w:t>CORINAIR</w:t>
      </w:r>
      <w:r>
        <w:t xml:space="preserve">90 criteria be adopted for this Manual with the exception that all power plants rated over 25 MW should be included where sufficiently detailed data are available.   </w:t>
      </w:r>
      <w:r>
        <w:rPr>
          <w:b/>
          <w:i/>
        </w:rPr>
        <w:t>It is recognized, however, that the most useful and workable definition of "large" may vary substantially from country to country. Therefore it is recommended that each team preparing a country inventory should review the above criteria, and modify them as is most appropriate to their country’s situation.  As long as the criteria for large point sources in a given country are clearly specified, consistently applied, and presented clearly to users of the emissions inventory, the use of different definitions of LPS for different countries should not pose a major problem.</w:t>
      </w:r>
      <w:r>
        <w:rPr>
          <w:i/>
        </w:rPr>
        <w:t xml:space="preserve"> </w:t>
      </w:r>
    </w:p>
    <w:p w14:paraId="08764732" w14:textId="77777777" w:rsidR="00C46552" w:rsidRDefault="00C46552">
      <w:pPr>
        <w:rPr>
          <w:b/>
        </w:rPr>
      </w:pPr>
    </w:p>
    <w:p w14:paraId="3C960DF3" w14:textId="77777777" w:rsidR="00C46552" w:rsidRDefault="00C46552">
      <w:pPr>
        <w:rPr>
          <w:b/>
        </w:rPr>
      </w:pPr>
    </w:p>
    <w:p w14:paraId="63A1F360" w14:textId="77777777" w:rsidR="00C46552" w:rsidRDefault="00C46552" w:rsidP="00BE3408">
      <w:pPr>
        <w:pStyle w:val="Heading2"/>
      </w:pPr>
      <w:r>
        <w:t xml:space="preserve"> </w:t>
      </w:r>
      <w:bookmarkStart w:id="147" w:name="_Toc10122732"/>
      <w:r>
        <w:t>Location and emissions data to be compiled for large point sources (LPS)</w:t>
      </w:r>
      <w:bookmarkEnd w:id="147"/>
    </w:p>
    <w:p w14:paraId="57028A62" w14:textId="77777777" w:rsidR="00C46552" w:rsidRDefault="00C46552"/>
    <w:p w14:paraId="1783A9A5" w14:textId="77777777" w:rsidR="00C46552" w:rsidRDefault="00C46552">
      <w:r>
        <w:t>In the Workbook, LPS are inventoried in two main groups, “Fuel Combustion” emission sources and “Process (non-combustion) and Fugitive” emission sources. For LPS “Fuel Combustion” emissions the following plant-specific data are required:</w:t>
      </w:r>
    </w:p>
    <w:p w14:paraId="310FE2D4" w14:textId="77777777" w:rsidR="00C46552" w:rsidRDefault="00C46552"/>
    <w:p w14:paraId="497DA838" w14:textId="77777777" w:rsidR="00C46552" w:rsidRDefault="00C46552" w:rsidP="004C0EBA">
      <w:pPr>
        <w:numPr>
          <w:ilvl w:val="0"/>
          <w:numId w:val="16"/>
        </w:numPr>
        <w:tabs>
          <w:tab w:val="clear" w:pos="360"/>
          <w:tab w:val="num" w:pos="1200"/>
        </w:tabs>
        <w:spacing w:before="120"/>
        <w:ind w:left="1195"/>
      </w:pPr>
      <w:r>
        <w:rPr>
          <w:i/>
        </w:rPr>
        <w:t>Sectoral information</w:t>
      </w:r>
      <w:r>
        <w:t xml:space="preserve"> (sector, sub-sector, sub-sub sector etc.)</w:t>
      </w:r>
    </w:p>
    <w:p w14:paraId="74AB57F0" w14:textId="77777777" w:rsidR="00C46552" w:rsidRDefault="00C46552" w:rsidP="004C0EBA">
      <w:pPr>
        <w:numPr>
          <w:ilvl w:val="0"/>
          <w:numId w:val="16"/>
        </w:numPr>
        <w:tabs>
          <w:tab w:val="clear" w:pos="360"/>
          <w:tab w:val="num" w:pos="1200"/>
        </w:tabs>
        <w:spacing w:before="120"/>
        <w:ind w:left="1195"/>
      </w:pPr>
      <w:r>
        <w:rPr>
          <w:i/>
        </w:rPr>
        <w:t>Locational information</w:t>
      </w:r>
      <w:r>
        <w:t xml:space="preserve"> (province, and latitude, longitude and/or 1</w:t>
      </w:r>
      <w:r>
        <w:rPr>
          <w:vertAlign w:val="superscript"/>
        </w:rPr>
        <w:t>o</w:t>
      </w:r>
      <w:r>
        <w:t xml:space="preserve"> x 1</w:t>
      </w:r>
      <w:r>
        <w:rPr>
          <w:vertAlign w:val="superscript"/>
        </w:rPr>
        <w:t>o</w:t>
      </w:r>
      <w:r>
        <w:t xml:space="preserve"> grid code)</w:t>
      </w:r>
    </w:p>
    <w:p w14:paraId="6C598C18" w14:textId="77777777" w:rsidR="00C46552" w:rsidRDefault="00C46552" w:rsidP="004C0EBA">
      <w:pPr>
        <w:numPr>
          <w:ilvl w:val="0"/>
          <w:numId w:val="16"/>
        </w:numPr>
        <w:tabs>
          <w:tab w:val="clear" w:pos="360"/>
          <w:tab w:val="num" w:pos="1200"/>
        </w:tabs>
        <w:spacing w:before="120"/>
        <w:ind w:left="1195"/>
      </w:pPr>
      <w:r>
        <w:rPr>
          <w:i/>
        </w:rPr>
        <w:t>Stack details</w:t>
      </w:r>
      <w:r>
        <w:t xml:space="preserve"> (stack height and emitted stack gas volume)</w:t>
      </w:r>
    </w:p>
    <w:p w14:paraId="426062F0" w14:textId="77777777" w:rsidR="00C46552" w:rsidRDefault="00C46552" w:rsidP="004C0EBA">
      <w:pPr>
        <w:numPr>
          <w:ilvl w:val="0"/>
          <w:numId w:val="16"/>
        </w:numPr>
        <w:tabs>
          <w:tab w:val="clear" w:pos="360"/>
          <w:tab w:val="num" w:pos="1200"/>
        </w:tabs>
        <w:spacing w:before="120"/>
        <w:ind w:left="1195"/>
      </w:pPr>
      <w:r>
        <w:rPr>
          <w:i/>
        </w:rPr>
        <w:t>Fuel details</w:t>
      </w:r>
      <w:r>
        <w:t xml:space="preserve"> (type, annual consumption, Net Calorific Value (NCV), sulphur content and sulphur retention in ash [SO</w:t>
      </w:r>
      <w:r>
        <w:rPr>
          <w:vertAlign w:val="subscript"/>
        </w:rPr>
        <w:t>2</w:t>
      </w:r>
      <w:r>
        <w:t>]</w:t>
      </w:r>
      <w:r>
        <w:rPr>
          <w:vertAlign w:val="subscript"/>
        </w:rPr>
        <w:t xml:space="preserve"> </w:t>
      </w:r>
      <w:r>
        <w:t>and ash content [for particulate matter])</w:t>
      </w:r>
    </w:p>
    <w:p w14:paraId="06C07286" w14:textId="77777777" w:rsidR="00C46552" w:rsidRDefault="00C46552" w:rsidP="004C0EBA">
      <w:pPr>
        <w:numPr>
          <w:ilvl w:val="0"/>
          <w:numId w:val="16"/>
        </w:numPr>
        <w:tabs>
          <w:tab w:val="clear" w:pos="360"/>
          <w:tab w:val="num" w:pos="1200"/>
        </w:tabs>
        <w:spacing w:before="120"/>
        <w:ind w:left="1195"/>
      </w:pPr>
      <w:r>
        <w:rPr>
          <w:i/>
        </w:rPr>
        <w:t>Emission controls</w:t>
      </w:r>
      <w:r>
        <w:t xml:space="preserve"> (type and efficiency for each pollutant) </w:t>
      </w:r>
    </w:p>
    <w:p w14:paraId="1FF63049" w14:textId="77777777" w:rsidR="00C46552" w:rsidRDefault="00C46552" w:rsidP="004C0EBA">
      <w:pPr>
        <w:numPr>
          <w:ilvl w:val="0"/>
          <w:numId w:val="16"/>
        </w:numPr>
        <w:tabs>
          <w:tab w:val="clear" w:pos="360"/>
          <w:tab w:val="num" w:pos="1200"/>
        </w:tabs>
        <w:spacing w:before="120"/>
        <w:ind w:left="1195"/>
      </w:pPr>
      <w:r>
        <w:rPr>
          <w:i/>
        </w:rPr>
        <w:t>Measured pollutant emissions</w:t>
      </w:r>
      <w:r>
        <w:t xml:space="preserve"> (where available)</w:t>
      </w:r>
    </w:p>
    <w:p w14:paraId="42A71D70" w14:textId="77777777" w:rsidR="00C46552" w:rsidRDefault="00C46552">
      <w:pPr>
        <w:pStyle w:val="Date"/>
      </w:pPr>
    </w:p>
    <w:p w14:paraId="20211F04" w14:textId="77777777" w:rsidR="00C46552" w:rsidRDefault="00C46552">
      <w:r>
        <w:tab/>
        <w:t xml:space="preserve">For “Process (non-combustion) and Fugitive” emissions, data requirements are similar except that the relevant process activity rates are required instead of fuel details. Where either the measured emissions or plant-specific emission factors are unavailable, default emission factors are used.  Emission factors should be nationally-determined if possible; otherwise factors given in the Workbook accompanying this Manual for area emissions can be used.    </w:t>
      </w:r>
    </w:p>
    <w:p w14:paraId="31AFA150" w14:textId="77777777" w:rsidR="00C46552" w:rsidRDefault="00C46552"/>
    <w:p w14:paraId="39CC5121" w14:textId="77777777" w:rsidR="00C46552" w:rsidRDefault="00C46552">
      <w:r>
        <w:tab/>
        <w:t xml:space="preserve">Data on exhaust stack height are important as high-elevation pollutant emissions result in different transport processes compared with pollutants emitted at or near ground level. Transboundary atmospheric pollution modellers may, therefore, choose to treat pollutants emitted above a given height (&gt; 100 metres, for example) differently in their models, and the LPS emissions that fall into this category must be identifiable. </w:t>
      </w:r>
    </w:p>
    <w:p w14:paraId="6E513B5F" w14:textId="77777777" w:rsidR="00C46552" w:rsidRDefault="00C46552"/>
    <w:p w14:paraId="3D5FAA4A" w14:textId="77777777" w:rsidR="00C46552" w:rsidRDefault="00C46552">
      <w:r>
        <w:tab/>
        <w:t>In order to avoid double-counting of LPS emissions, emissions from large point sources are subtracted from the total emissions calculated for the relevant sector as area emissions to give revised (non-LPS) area emissions estimates. This is done automatically in the summary worksheet (8) of the Workbook that accompanies this manual.</w:t>
      </w:r>
    </w:p>
    <w:p w14:paraId="1A14BF9D" w14:textId="77777777" w:rsidR="00C46552" w:rsidRDefault="00C46552">
      <w:pPr>
        <w:pStyle w:val="Heading3"/>
        <w:numPr>
          <w:ilvl w:val="0"/>
          <w:numId w:val="0"/>
        </w:numPr>
      </w:pPr>
      <w:r>
        <w:t xml:space="preserve"> </w:t>
      </w:r>
    </w:p>
    <w:p w14:paraId="29079EA3" w14:textId="77777777" w:rsidR="00C753C7" w:rsidRDefault="00C753C7" w:rsidP="00BE3408">
      <w:pPr>
        <w:pStyle w:val="Heading2"/>
      </w:pPr>
      <w:bookmarkStart w:id="148" w:name="_Toc484189476"/>
      <w:r>
        <w:t xml:space="preserve"> </w:t>
      </w:r>
      <w:bookmarkStart w:id="149" w:name="_Toc10122733"/>
      <w:r w:rsidR="006234C1">
        <w:t>T</w:t>
      </w:r>
      <w:r>
        <w:t>emporal aspects of model</w:t>
      </w:r>
      <w:r w:rsidR="00BD4FA1">
        <w:t>l</w:t>
      </w:r>
      <w:r>
        <w:t>ing large point sources</w:t>
      </w:r>
      <w:bookmarkEnd w:id="148"/>
      <w:bookmarkEnd w:id="149"/>
      <w:r>
        <w:t xml:space="preserve">  </w:t>
      </w:r>
    </w:p>
    <w:p w14:paraId="245D9A53" w14:textId="77777777" w:rsidR="00C753C7" w:rsidRDefault="00C753C7" w:rsidP="00C753C7">
      <w:r>
        <w:tab/>
      </w:r>
    </w:p>
    <w:p w14:paraId="35F62417" w14:textId="77777777" w:rsidR="00C753C7" w:rsidRDefault="00C753C7" w:rsidP="00C753C7">
      <w:r>
        <w:t xml:space="preserve">There may be considerable temporal variation in power station emissions as a result of diurnal, weekday/weekend and seasonal fluctuations in demand. It would be helpful if monthly temporal profiles can be recorded in the workbook for each LPS as these will provide important information for future transport and atmospheric chemistry modelling activities. These temporal profiles will reflect, for example, increases in demand for electricity in cold months (for heating) and/or in hot months (for air-conditioning and other cooling equipment). For each LPS power station, the temporal disaggregation of annual emissions can be determined from the temporal change in production of electrical power or the temporal change in fuel consumption. </w:t>
      </w:r>
      <w:r>
        <w:lastRenderedPageBreak/>
        <w:t xml:space="preserve">Ideally, plant-specific temporal profiles should be obtained, but an alternative method is to use a default temporal profile appropriate for power generation in the particular country or province concerned.  </w:t>
      </w:r>
    </w:p>
    <w:p w14:paraId="3ED35A33" w14:textId="77777777" w:rsidR="00C753C7" w:rsidRDefault="00C753C7" w:rsidP="00C753C7"/>
    <w:p w14:paraId="4D383A2E" w14:textId="77777777" w:rsidR="00C753C7" w:rsidRDefault="00C753C7" w:rsidP="00C753C7">
      <w:r>
        <w:tab/>
        <w:t>Oil refineries, metal smelters, and many manufacturing industries often operate more or less continuously throughout the year. They may, however, be subject to periodic shut-downs (for example, due to breakdown or planned maintenance). Information on such outages can be obtained directly from the individual plant.</w:t>
      </w:r>
    </w:p>
    <w:p w14:paraId="011CE6E2" w14:textId="77777777" w:rsidR="00C46552" w:rsidRDefault="00C46552">
      <w:r>
        <w:br w:type="page"/>
      </w:r>
    </w:p>
    <w:p w14:paraId="4CD21C5B" w14:textId="77777777" w:rsidR="00C46552" w:rsidRDefault="00C46552">
      <w:pPr>
        <w:pStyle w:val="Heading1"/>
        <w:numPr>
          <w:ilvl w:val="0"/>
          <w:numId w:val="17"/>
        </w:numPr>
      </w:pPr>
      <w:bookmarkStart w:id="150" w:name="_Toc10122734"/>
      <w:r>
        <w:lastRenderedPageBreak/>
        <w:t>Guide to use of Excel Workbook for emissions compilation</w:t>
      </w:r>
      <w:bookmarkEnd w:id="150"/>
      <w:r>
        <w:t xml:space="preserve"> </w:t>
      </w:r>
    </w:p>
    <w:p w14:paraId="3396A800" w14:textId="77777777" w:rsidR="00C46552" w:rsidRDefault="00C46552"/>
    <w:p w14:paraId="35B7DE3E" w14:textId="77777777" w:rsidR="00C46552" w:rsidRDefault="00C46552" w:rsidP="00BE3408">
      <w:pPr>
        <w:pStyle w:val="Heading2"/>
      </w:pPr>
      <w:bookmarkStart w:id="151" w:name="_Toc10122735"/>
      <w:r>
        <w:t>Introduction</w:t>
      </w:r>
      <w:bookmarkEnd w:id="151"/>
    </w:p>
    <w:p w14:paraId="69D5CCFC" w14:textId="77777777" w:rsidR="00C46552" w:rsidRDefault="00C46552"/>
    <w:p w14:paraId="4A25BEEE" w14:textId="1EEA4EED" w:rsidR="00C46552" w:rsidRDefault="00C46552">
      <w:r>
        <w:t>In order to provide a standardized structure for use in compiling inventories of air pollutants</w:t>
      </w:r>
      <w:r w:rsidR="004C4638">
        <w:t>,</w:t>
      </w:r>
      <w:r>
        <w:t xml:space="preserve"> an Excel workbook template is provided.  This workbook, entitled </w:t>
      </w:r>
      <w:r w:rsidR="00DB480B">
        <w:rPr>
          <w:b/>
        </w:rPr>
        <w:t>F</w:t>
      </w:r>
      <w:r w:rsidR="00A26612">
        <w:rPr>
          <w:b/>
        </w:rPr>
        <w:t>ORUM</w:t>
      </w:r>
      <w:r>
        <w:rPr>
          <w:b/>
        </w:rPr>
        <w:t xml:space="preserve"> Workbook</w:t>
      </w:r>
      <w:r w:rsidR="00C93358">
        <w:rPr>
          <w:b/>
        </w:rPr>
        <w:t xml:space="preserve"> Version </w:t>
      </w:r>
      <w:r w:rsidR="005C328E">
        <w:rPr>
          <w:b/>
        </w:rPr>
        <w:t>7.</w:t>
      </w:r>
      <w:r w:rsidR="00690909">
        <w:rPr>
          <w:b/>
        </w:rPr>
        <w:t>5.0</w:t>
      </w:r>
      <w:r>
        <w:t xml:space="preserve">, is intended to provide a structure for input activity data and emission factors, areas for calculation of intermediate and final emissions, areas for tabular reporting of results, and areas for annotations of data sets, as well as tools for moving from place to place within the workbook and for accomplishing inventory preparation functions.   The workbook is designed to be flexible enough to accommodate the range of emissions situations and modelling requirements that exist across the countries of the region.   Also, because it is a workbook template rather than a dedicated piece of software, </w:t>
      </w:r>
      <w:r w:rsidR="009008E0" w:rsidRPr="009008E0">
        <w:t>the workbook</w:t>
      </w:r>
      <w:r>
        <w:t xml:space="preserve"> can be modified (albeit carefully) by users in order to conform to data availability and modelling needs (for example) in each individual country. However, to edit areas other than data input cells (e.g. if the user needs to add another row) the worksheet will have to be ‘unprotected’ using a password (“RAPIDC”) After inserting a row, any green calculation areas will then have to be filled with the appropriate calculation formulae, usually by dragging down the fill handle of the cell immediately above. The sheet should then be protected again after the editing session. </w:t>
      </w:r>
      <w:r>
        <w:rPr>
          <w:b/>
          <w:i/>
        </w:rPr>
        <w:t>Only experienced Excel spreadsheet users should attempt to unprotect and modify worksheets.</w:t>
      </w:r>
      <w:r>
        <w:t xml:space="preserve"> Backup copies should be made of the Workbook, both initially and regularly during inventory construction, in case any major and irretrievable errors occur during such editing sessions.  The remainder of this Chapter provides an overview of the structure and main elements of the workbook. </w:t>
      </w:r>
    </w:p>
    <w:p w14:paraId="251A9312" w14:textId="77777777" w:rsidR="00C46552" w:rsidRDefault="00C46552"/>
    <w:p w14:paraId="0788CE84" w14:textId="77777777" w:rsidR="00C46552" w:rsidRDefault="00C46552" w:rsidP="00BE3408">
      <w:pPr>
        <w:pStyle w:val="Heading2"/>
      </w:pPr>
      <w:r>
        <w:t xml:space="preserve"> </w:t>
      </w:r>
      <w:bookmarkStart w:id="152" w:name="_Toc10122736"/>
      <w:r>
        <w:t>General structure of the workbook</w:t>
      </w:r>
      <w:bookmarkEnd w:id="152"/>
    </w:p>
    <w:p w14:paraId="2667618A" w14:textId="77777777" w:rsidR="00C46552" w:rsidRDefault="00C46552"/>
    <w:p w14:paraId="6715BED3" w14:textId="77777777" w:rsidR="00C46552" w:rsidRDefault="00C46552">
      <w:pPr>
        <w:pStyle w:val="Heading3"/>
        <w:numPr>
          <w:ilvl w:val="2"/>
          <w:numId w:val="19"/>
        </w:numPr>
      </w:pPr>
      <w:bookmarkStart w:id="153" w:name="_Toc472502560"/>
      <w:r>
        <w:t xml:space="preserve"> </w:t>
      </w:r>
      <w:bookmarkStart w:id="154" w:name="_Toc10122737"/>
      <w:r>
        <w:t>Division into worksheets</w:t>
      </w:r>
      <w:bookmarkEnd w:id="153"/>
      <w:bookmarkEnd w:id="154"/>
    </w:p>
    <w:p w14:paraId="4846A0BC" w14:textId="77777777" w:rsidR="00C46552" w:rsidRDefault="00C46552"/>
    <w:p w14:paraId="58911E58" w14:textId="105BC646" w:rsidR="00C46552" w:rsidRDefault="00C46552">
      <w:r>
        <w:t xml:space="preserve">The </w:t>
      </w:r>
      <w:r w:rsidR="005C328E">
        <w:t>W</w:t>
      </w:r>
      <w:r>
        <w:t xml:space="preserve">orkbook consists of worksheets grouped by emission source sectors, sub-sectors or categories. The user can move from one part of the workbook to another with the aid of a series of menus. The first worksheet, the “Main Menu”, allows the user to select and go to one of the other </w:t>
      </w:r>
      <w:r w:rsidR="00DB480B">
        <w:t>nine</w:t>
      </w:r>
      <w:r>
        <w:t xml:space="preserve"> menus (</w:t>
      </w:r>
      <w:smartTag w:uri="urn:schemas-microsoft-com:office:smarttags" w:element="address">
        <w:smartTag w:uri="urn:schemas-microsoft-com:office:smarttags" w:element="Street">
          <w:r>
            <w:t>Box</w:t>
          </w:r>
        </w:smartTag>
        <w:r>
          <w:t xml:space="preserve"> </w:t>
        </w:r>
        <w:r w:rsidR="00A26612">
          <w:t>10</w:t>
        </w:r>
        <w:r>
          <w:t>-1</w:t>
        </w:r>
      </w:smartTag>
      <w:r>
        <w:t xml:space="preserve">) by clicking on the relevant “GO” button. Having selected the desired second level menu, the user can then click on the “GO” button for the worksheet of interest. This menu also includes the “GO” button to move to the </w:t>
      </w:r>
      <w:r w:rsidR="00C53F25">
        <w:t>emissions summary sheet (Sheet 9</w:t>
      </w:r>
      <w:r>
        <w:t>) that calculates and displays total annual emissions of all pollutants by major source sector. Also on this sheet, just above the main menu, are yellow cells for entering “Inventory year”, “Region”, “Country” and</w:t>
      </w:r>
      <w:r w:rsidR="00C53F25">
        <w:t>, if required, “Province”. Menus 1 to 10</w:t>
      </w:r>
      <w:r>
        <w:t xml:space="preserve">, shown in </w:t>
      </w:r>
      <w:smartTag w:uri="urn:schemas-microsoft-com:office:smarttags" w:element="Street">
        <w:smartTag w:uri="urn:schemas-microsoft-com:office:smarttags" w:element="address">
          <w:r>
            <w:t xml:space="preserve">Boxes </w:t>
          </w:r>
          <w:r w:rsidR="00A26612">
            <w:t>10</w:t>
          </w:r>
          <w:r>
            <w:t xml:space="preserve">-2 to </w:t>
          </w:r>
          <w:r w:rsidR="00A26612">
            <w:t>10</w:t>
          </w:r>
          <w:r w:rsidR="00C53F25">
            <w:t>-</w:t>
          </w:r>
        </w:smartTag>
      </w:smartTag>
      <w:r w:rsidR="00C53F25">
        <w:t>11</w:t>
      </w:r>
      <w:r>
        <w:t xml:space="preserve">, reveal the structure of the workbook in addition to allowing the user to navigate the different areas of the workbook. Each individual worksheet also has a “BACK TO MENU” button or, </w:t>
      </w:r>
      <w:r w:rsidR="00C53F25">
        <w:t>in the case of Menus 1 to 10</w:t>
      </w:r>
      <w:r>
        <w:t xml:space="preserve">, a “BACK TO MAIN MENU” button. It is also possible to move between sheets using the sheet tabs at the bottom of the workbook window by </w:t>
      </w:r>
      <w:r w:rsidR="00AF1E14">
        <w:t>right clicking</w:t>
      </w:r>
      <w:r>
        <w:t xml:space="preserve"> the tab scrolling buttons to the left of the tabs and clicking on the desired sheet tab</w:t>
      </w:r>
      <w:r w:rsidR="00127470">
        <w:t xml:space="preserve"> in the pop-up window</w:t>
      </w:r>
      <w:r>
        <w:t>.</w:t>
      </w:r>
    </w:p>
    <w:p w14:paraId="5245EBD6" w14:textId="77777777" w:rsidR="00C46552" w:rsidRDefault="00C46552"/>
    <w:p w14:paraId="5F7550B9" w14:textId="77777777" w:rsidR="00C46552" w:rsidRDefault="00C46552">
      <w:pPr>
        <w:jc w:val="center"/>
      </w:pPr>
      <w:r>
        <w:br w:type="page"/>
      </w:r>
      <w:smartTag w:uri="urn:schemas-microsoft-com:office:smarttags" w:element="address">
        <w:smartTag w:uri="urn:schemas-microsoft-com:office:smarttags" w:element="Street">
          <w:r>
            <w:rPr>
              <w:b/>
              <w:i/>
            </w:rPr>
            <w:lastRenderedPageBreak/>
            <w:t>Box</w:t>
          </w:r>
        </w:smartTag>
        <w:r>
          <w:rPr>
            <w:b/>
            <w:i/>
          </w:rPr>
          <w:t xml:space="preserve"> </w:t>
        </w:r>
        <w:r w:rsidR="007C7FDA" w:rsidRPr="007C7FDA">
          <w:rPr>
            <w:b/>
            <w:i/>
          </w:rPr>
          <w:t>1</w:t>
        </w:r>
        <w:r w:rsidR="00A26612">
          <w:rPr>
            <w:b/>
            <w:i/>
          </w:rPr>
          <w:t>0</w:t>
        </w:r>
        <w:r>
          <w:rPr>
            <w:b/>
            <w:i/>
          </w:rPr>
          <w:t>-1</w:t>
        </w:r>
      </w:smartTag>
      <w:r>
        <w:rPr>
          <w:b/>
          <w:i/>
        </w:rPr>
        <w:t>: Main menu worksheet</w:t>
      </w:r>
    </w:p>
    <w:p w14:paraId="32A6BD32" w14:textId="77777777" w:rsidR="00C46552" w:rsidRDefault="00C46552"/>
    <w:p w14:paraId="41B507E6" w14:textId="77777777" w:rsidR="00C46552" w:rsidRPr="009553A9" w:rsidRDefault="00161564">
      <w:r>
        <w:rPr>
          <w:noProof/>
          <w:lang w:eastAsia="en-GB"/>
        </w:rPr>
        <w:drawing>
          <wp:inline distT="0" distB="0" distL="0" distR="0" wp14:anchorId="6C24D3F1" wp14:editId="5BE3ACC6">
            <wp:extent cx="5722620" cy="4747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22620" cy="4747260"/>
                    </a:xfrm>
                    <a:prstGeom prst="rect">
                      <a:avLst/>
                    </a:prstGeom>
                    <a:noFill/>
                    <a:ln>
                      <a:noFill/>
                    </a:ln>
                  </pic:spPr>
                </pic:pic>
              </a:graphicData>
            </a:graphic>
          </wp:inline>
        </w:drawing>
      </w:r>
    </w:p>
    <w:p w14:paraId="58FCC923" w14:textId="77777777" w:rsidR="00C46552" w:rsidRDefault="00C46552">
      <w:pPr>
        <w:jc w:val="center"/>
        <w:rPr>
          <w:b/>
          <w:i/>
        </w:rPr>
      </w:pPr>
    </w:p>
    <w:p w14:paraId="74BD2199" w14:textId="77777777" w:rsidR="00C46552" w:rsidRDefault="00C46552">
      <w:pPr>
        <w:keepNext/>
        <w:keepLines/>
        <w:jc w:val="center"/>
        <w:rPr>
          <w:b/>
          <w:i/>
        </w:rPr>
      </w:pPr>
      <w:r>
        <w:rPr>
          <w:b/>
          <w:i/>
        </w:rPr>
        <w:t xml:space="preserve"> </w:t>
      </w:r>
    </w:p>
    <w:p w14:paraId="16BEDB47" w14:textId="77777777" w:rsidR="00C46552" w:rsidRDefault="00C46552">
      <w:pPr>
        <w:pStyle w:val="BodyText3"/>
      </w:pPr>
      <w:r>
        <w:br w:type="page"/>
      </w:r>
      <w:smartTag w:uri="urn:schemas-microsoft-com:office:smarttags" w:element="address">
        <w:smartTag w:uri="urn:schemas-microsoft-com:office:smarttags" w:element="Street">
          <w:r>
            <w:lastRenderedPageBreak/>
            <w:t>Box</w:t>
          </w:r>
        </w:smartTag>
        <w:r>
          <w:t xml:space="preserve"> </w:t>
        </w:r>
        <w:r w:rsidR="007C7FDA" w:rsidRPr="007C7FDA">
          <w:t>1</w:t>
        </w:r>
        <w:r w:rsidR="00A26612">
          <w:t>0</w:t>
        </w:r>
        <w:r>
          <w:t>-2</w:t>
        </w:r>
      </w:smartTag>
      <w:r>
        <w:t>: Menu 1 - Energy  (Fuel combustion activities).</w:t>
      </w:r>
    </w:p>
    <w:p w14:paraId="32EEED77" w14:textId="77777777" w:rsidR="00C53F25" w:rsidRDefault="00C53F25">
      <w:pPr>
        <w:pStyle w:val="BodyText3"/>
      </w:pPr>
    </w:p>
    <w:p w14:paraId="1318AA53" w14:textId="77777777" w:rsidR="00C46552" w:rsidRPr="00CA6A4B" w:rsidRDefault="00690909">
      <w:pPr>
        <w:pStyle w:val="BodyText3"/>
      </w:pPr>
      <w:r w:rsidRPr="00690909">
        <w:rPr>
          <w:noProof/>
          <w:lang w:eastAsia="en-GB"/>
        </w:rPr>
        <w:drawing>
          <wp:inline distT="0" distB="0" distL="0" distR="0" wp14:anchorId="48681B3E" wp14:editId="5CEA0844">
            <wp:extent cx="4403057" cy="8432800"/>
            <wp:effectExtent l="19050" t="19050" r="17145" b="254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03057" cy="8432800"/>
                    </a:xfrm>
                    <a:prstGeom prst="rect">
                      <a:avLst/>
                    </a:prstGeom>
                    <a:noFill/>
                    <a:ln>
                      <a:solidFill>
                        <a:schemeClr val="tx1"/>
                      </a:solidFill>
                    </a:ln>
                  </pic:spPr>
                </pic:pic>
              </a:graphicData>
            </a:graphic>
          </wp:inline>
        </w:drawing>
      </w:r>
    </w:p>
    <w:p w14:paraId="344AFF8E" w14:textId="77777777" w:rsidR="00C46552" w:rsidRDefault="00C46552">
      <w:pPr>
        <w:jc w:val="center"/>
        <w:rPr>
          <w:b/>
          <w:i/>
        </w:rPr>
      </w:pPr>
      <w:r>
        <w:rPr>
          <w:b/>
          <w:i/>
        </w:rPr>
        <w:br w:type="page"/>
      </w:r>
      <w:smartTag w:uri="urn:schemas-microsoft-com:office:smarttags" w:element="address">
        <w:smartTag w:uri="urn:schemas-microsoft-com:office:smarttags" w:element="Street">
          <w:r>
            <w:rPr>
              <w:b/>
              <w:i/>
            </w:rPr>
            <w:lastRenderedPageBreak/>
            <w:t>Box</w:t>
          </w:r>
        </w:smartTag>
        <w:r>
          <w:rPr>
            <w:b/>
            <w:i/>
          </w:rPr>
          <w:t xml:space="preserve"> </w:t>
        </w:r>
        <w:r w:rsidR="007C7FDA" w:rsidRPr="007C7FDA">
          <w:rPr>
            <w:b/>
            <w:i/>
          </w:rPr>
          <w:t>1</w:t>
        </w:r>
        <w:r w:rsidR="00A26612">
          <w:rPr>
            <w:b/>
            <w:i/>
          </w:rPr>
          <w:t>0</w:t>
        </w:r>
        <w:r>
          <w:rPr>
            <w:b/>
            <w:i/>
          </w:rPr>
          <w:t>-3</w:t>
        </w:r>
      </w:smartTag>
      <w:r>
        <w:rPr>
          <w:b/>
          <w:i/>
        </w:rPr>
        <w:t>: Menu 2 – Fugitive emissions for fuels.</w:t>
      </w:r>
    </w:p>
    <w:p w14:paraId="3C3AB66A" w14:textId="77777777" w:rsidR="002E0A72" w:rsidRDefault="002E0A72">
      <w:pPr>
        <w:jc w:val="center"/>
        <w:rPr>
          <w:b/>
          <w:i/>
        </w:rPr>
      </w:pPr>
    </w:p>
    <w:p w14:paraId="3374D374" w14:textId="77777777" w:rsidR="00C46552" w:rsidRPr="00397646" w:rsidRDefault="00690909">
      <w:pPr>
        <w:jc w:val="center"/>
        <w:rPr>
          <w:b/>
          <w:i/>
        </w:rPr>
      </w:pPr>
      <w:r w:rsidRPr="00690909">
        <w:rPr>
          <w:noProof/>
          <w:lang w:eastAsia="en-GB"/>
        </w:rPr>
        <w:drawing>
          <wp:inline distT="0" distB="0" distL="0" distR="0" wp14:anchorId="194C0461" wp14:editId="1450B164">
            <wp:extent cx="6016625" cy="2092642"/>
            <wp:effectExtent l="0" t="0" r="3175" b="317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16625" cy="2092642"/>
                    </a:xfrm>
                    <a:prstGeom prst="rect">
                      <a:avLst/>
                    </a:prstGeom>
                    <a:noFill/>
                    <a:ln>
                      <a:noFill/>
                    </a:ln>
                  </pic:spPr>
                </pic:pic>
              </a:graphicData>
            </a:graphic>
          </wp:inline>
        </w:drawing>
      </w:r>
    </w:p>
    <w:p w14:paraId="23E0E5E7" w14:textId="77777777" w:rsidR="00C46552" w:rsidRDefault="00C46552">
      <w:pPr>
        <w:jc w:val="center"/>
        <w:rPr>
          <w:b/>
          <w:i/>
        </w:rPr>
      </w:pPr>
    </w:p>
    <w:p w14:paraId="05E0A3D1" w14:textId="77777777" w:rsidR="00C46552" w:rsidRDefault="00C46552"/>
    <w:p w14:paraId="15F934B0" w14:textId="77777777" w:rsidR="00C46552" w:rsidRDefault="002E0A72" w:rsidP="002E0A72">
      <w:pPr>
        <w:jc w:val="center"/>
      </w:pPr>
      <w:smartTag w:uri="urn:schemas-microsoft-com:office:smarttags" w:element="address">
        <w:smartTag w:uri="urn:schemas-microsoft-com:office:smarttags" w:element="Street">
          <w:r>
            <w:rPr>
              <w:b/>
              <w:i/>
            </w:rPr>
            <w:t>Box</w:t>
          </w:r>
        </w:smartTag>
        <w:r>
          <w:rPr>
            <w:b/>
            <w:i/>
          </w:rPr>
          <w:t xml:space="preserve"> </w:t>
        </w:r>
        <w:r w:rsidRPr="007C7FDA">
          <w:rPr>
            <w:b/>
            <w:i/>
          </w:rPr>
          <w:t>1</w:t>
        </w:r>
        <w:r w:rsidR="00A26612">
          <w:rPr>
            <w:b/>
            <w:i/>
          </w:rPr>
          <w:t>0</w:t>
        </w:r>
        <w:r>
          <w:rPr>
            <w:b/>
            <w:i/>
          </w:rPr>
          <w:t>-4</w:t>
        </w:r>
      </w:smartTag>
      <w:r>
        <w:rPr>
          <w:b/>
          <w:i/>
        </w:rPr>
        <w:t>: Menu 3 - Fuel combustion activities: Transport (Detailed method).</w:t>
      </w:r>
    </w:p>
    <w:p w14:paraId="1466FA6A" w14:textId="77777777" w:rsidR="002E0A72" w:rsidRDefault="002E0A72">
      <w:pPr>
        <w:jc w:val="center"/>
      </w:pPr>
    </w:p>
    <w:p w14:paraId="4DA16A02" w14:textId="77777777" w:rsidR="00C46552" w:rsidRPr="00C4137A" w:rsidRDefault="00161564">
      <w:pPr>
        <w:jc w:val="center"/>
        <w:rPr>
          <w:b/>
          <w:i/>
          <w:lang w:val="en-US"/>
        </w:rPr>
      </w:pPr>
      <w:r>
        <w:rPr>
          <w:noProof/>
          <w:lang w:eastAsia="en-GB"/>
        </w:rPr>
        <w:drawing>
          <wp:inline distT="0" distB="0" distL="0" distR="0" wp14:anchorId="76B20CFC" wp14:editId="27A92093">
            <wp:extent cx="589026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90260" cy="1485900"/>
                    </a:xfrm>
                    <a:prstGeom prst="rect">
                      <a:avLst/>
                    </a:prstGeom>
                    <a:noFill/>
                    <a:ln>
                      <a:noFill/>
                    </a:ln>
                  </pic:spPr>
                </pic:pic>
              </a:graphicData>
            </a:graphic>
          </wp:inline>
        </w:drawing>
      </w:r>
    </w:p>
    <w:p w14:paraId="446C9CBA" w14:textId="77777777" w:rsidR="00C46552" w:rsidRDefault="00736E3D">
      <w:pPr>
        <w:jc w:val="center"/>
        <w:rPr>
          <w:b/>
          <w:i/>
        </w:rPr>
      </w:pPr>
      <w:r>
        <w:rPr>
          <w:b/>
          <w:i/>
        </w:rPr>
        <w:t xml:space="preserve"> </w:t>
      </w:r>
    </w:p>
    <w:p w14:paraId="15C568C9" w14:textId="77777777" w:rsidR="00736E3D" w:rsidRDefault="00736E3D">
      <w:pPr>
        <w:jc w:val="center"/>
        <w:rPr>
          <w:b/>
          <w:i/>
        </w:rPr>
      </w:pPr>
    </w:p>
    <w:p w14:paraId="515198FF" w14:textId="77777777" w:rsidR="00C46552" w:rsidRPr="00397646" w:rsidRDefault="00C46552">
      <w:pPr>
        <w:jc w:val="center"/>
        <w:rPr>
          <w:b/>
          <w:i/>
        </w:rPr>
      </w:pPr>
      <w:smartTag w:uri="urn:schemas-microsoft-com:office:smarttags" w:element="address">
        <w:smartTag w:uri="urn:schemas-microsoft-com:office:smarttags" w:element="Street">
          <w:r>
            <w:rPr>
              <w:b/>
              <w:i/>
            </w:rPr>
            <w:t>Box</w:t>
          </w:r>
        </w:smartTag>
        <w:r>
          <w:rPr>
            <w:b/>
            <w:i/>
          </w:rPr>
          <w:t xml:space="preserve"> </w:t>
        </w:r>
        <w:r w:rsidR="007C7FDA" w:rsidRPr="007C7FDA">
          <w:rPr>
            <w:b/>
            <w:i/>
          </w:rPr>
          <w:t>1</w:t>
        </w:r>
        <w:r w:rsidR="00A26612">
          <w:rPr>
            <w:b/>
            <w:i/>
          </w:rPr>
          <w:t>0</w:t>
        </w:r>
        <w:r>
          <w:rPr>
            <w:b/>
            <w:i/>
          </w:rPr>
          <w:t>-5</w:t>
        </w:r>
      </w:smartTag>
      <w:r>
        <w:rPr>
          <w:b/>
          <w:i/>
        </w:rPr>
        <w:t>: Menu 4 - Industrial processes (non-combustion) emissions.</w:t>
      </w:r>
      <w:r w:rsidR="00397646" w:rsidRPr="00397646">
        <w:rPr>
          <w:b/>
          <w:i/>
        </w:rPr>
        <w:t xml:space="preserve"> </w:t>
      </w:r>
      <w:r w:rsidR="00161564">
        <w:rPr>
          <w:noProof/>
          <w:lang w:eastAsia="en-GB"/>
        </w:rPr>
        <w:drawing>
          <wp:inline distT="0" distB="0" distL="0" distR="0" wp14:anchorId="1E537927" wp14:editId="035B872B">
            <wp:extent cx="5852160" cy="2712720"/>
            <wp:effectExtent l="19050" t="19050" r="1524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52160" cy="2712720"/>
                    </a:xfrm>
                    <a:prstGeom prst="rect">
                      <a:avLst/>
                    </a:prstGeom>
                    <a:noFill/>
                    <a:ln w="6350" cmpd="sng">
                      <a:solidFill>
                        <a:srgbClr val="000000"/>
                      </a:solidFill>
                      <a:miter lim="800000"/>
                      <a:headEnd/>
                      <a:tailEnd/>
                    </a:ln>
                    <a:effectLst/>
                  </pic:spPr>
                </pic:pic>
              </a:graphicData>
            </a:graphic>
          </wp:inline>
        </w:drawing>
      </w:r>
    </w:p>
    <w:p w14:paraId="42674E65" w14:textId="77777777" w:rsidR="00397646" w:rsidRDefault="00397646">
      <w:pPr>
        <w:jc w:val="center"/>
        <w:rPr>
          <w:b/>
          <w:i/>
        </w:rPr>
      </w:pPr>
    </w:p>
    <w:p w14:paraId="103757C7" w14:textId="77777777" w:rsidR="009553A9" w:rsidRDefault="009553A9">
      <w:pPr>
        <w:jc w:val="center"/>
        <w:rPr>
          <w:b/>
          <w:i/>
        </w:rPr>
      </w:pPr>
    </w:p>
    <w:p w14:paraId="362F3407" w14:textId="77777777" w:rsidR="009553A9" w:rsidRDefault="009553A9">
      <w:pPr>
        <w:jc w:val="center"/>
        <w:rPr>
          <w:b/>
          <w:i/>
        </w:rPr>
      </w:pPr>
    </w:p>
    <w:p w14:paraId="4BEBB600" w14:textId="77777777" w:rsidR="009553A9" w:rsidRDefault="009553A9">
      <w:pPr>
        <w:jc w:val="center"/>
        <w:rPr>
          <w:b/>
          <w:i/>
        </w:rPr>
      </w:pPr>
    </w:p>
    <w:p w14:paraId="2CB20674" w14:textId="77777777" w:rsidR="009553A9" w:rsidRDefault="009553A9">
      <w:pPr>
        <w:jc w:val="center"/>
        <w:rPr>
          <w:b/>
          <w:i/>
        </w:rPr>
      </w:pPr>
    </w:p>
    <w:p w14:paraId="44AE4B8F" w14:textId="77777777" w:rsidR="006211EE" w:rsidRDefault="00C46552">
      <w:pPr>
        <w:jc w:val="center"/>
        <w:rPr>
          <w:b/>
          <w:i/>
        </w:rPr>
      </w:pPr>
      <w:smartTag w:uri="urn:schemas-microsoft-com:office:smarttags" w:element="address">
        <w:smartTag w:uri="urn:schemas-microsoft-com:office:smarttags" w:element="Street">
          <w:r>
            <w:rPr>
              <w:b/>
              <w:i/>
            </w:rPr>
            <w:t>Box</w:t>
          </w:r>
        </w:smartTag>
        <w:r>
          <w:rPr>
            <w:b/>
            <w:i/>
          </w:rPr>
          <w:t xml:space="preserve"> </w:t>
        </w:r>
        <w:r w:rsidR="007C7FDA" w:rsidRPr="007C7FDA">
          <w:rPr>
            <w:b/>
            <w:i/>
          </w:rPr>
          <w:t>1</w:t>
        </w:r>
        <w:r w:rsidR="00A26612">
          <w:rPr>
            <w:b/>
            <w:i/>
          </w:rPr>
          <w:t>0</w:t>
        </w:r>
        <w:r>
          <w:rPr>
            <w:b/>
            <w:i/>
          </w:rPr>
          <w:t>-6</w:t>
        </w:r>
      </w:smartTag>
      <w:r>
        <w:rPr>
          <w:b/>
          <w:i/>
        </w:rPr>
        <w:t xml:space="preserve">: Menu 5 – </w:t>
      </w:r>
      <w:r w:rsidR="006211EE">
        <w:rPr>
          <w:b/>
          <w:i/>
        </w:rPr>
        <w:t>Solvent and Other Product Use</w:t>
      </w:r>
    </w:p>
    <w:p w14:paraId="6D95885C" w14:textId="77777777" w:rsidR="006211EE" w:rsidRPr="00690909" w:rsidRDefault="006211EE">
      <w:pPr>
        <w:jc w:val="center"/>
        <w:rPr>
          <w:b/>
          <w:i/>
          <w:sz w:val="12"/>
          <w:szCs w:val="12"/>
        </w:rPr>
      </w:pPr>
    </w:p>
    <w:p w14:paraId="1C9D2257" w14:textId="77777777" w:rsidR="006211EE" w:rsidRPr="00397646" w:rsidRDefault="00161564">
      <w:pPr>
        <w:jc w:val="center"/>
        <w:rPr>
          <w:b/>
          <w:i/>
        </w:rPr>
      </w:pPr>
      <w:r>
        <w:rPr>
          <w:noProof/>
          <w:lang w:eastAsia="en-GB"/>
        </w:rPr>
        <w:lastRenderedPageBreak/>
        <w:drawing>
          <wp:inline distT="0" distB="0" distL="0" distR="0" wp14:anchorId="695D205C" wp14:editId="34AF5BEA">
            <wp:extent cx="5875020" cy="982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75020" cy="982980"/>
                    </a:xfrm>
                    <a:prstGeom prst="rect">
                      <a:avLst/>
                    </a:prstGeom>
                    <a:noFill/>
                    <a:ln>
                      <a:noFill/>
                    </a:ln>
                  </pic:spPr>
                </pic:pic>
              </a:graphicData>
            </a:graphic>
          </wp:inline>
        </w:drawing>
      </w:r>
    </w:p>
    <w:p w14:paraId="533B3341" w14:textId="77777777" w:rsidR="006211EE" w:rsidRDefault="006211EE">
      <w:pPr>
        <w:jc w:val="center"/>
        <w:rPr>
          <w:b/>
          <w:i/>
        </w:rPr>
      </w:pPr>
    </w:p>
    <w:p w14:paraId="212A21AD" w14:textId="77777777" w:rsidR="006211EE" w:rsidRDefault="006211EE">
      <w:pPr>
        <w:jc w:val="center"/>
        <w:rPr>
          <w:b/>
          <w:i/>
        </w:rPr>
      </w:pPr>
    </w:p>
    <w:p w14:paraId="685AB440" w14:textId="77777777" w:rsidR="00C46552" w:rsidRDefault="006211EE">
      <w:pPr>
        <w:jc w:val="center"/>
        <w:rPr>
          <w:b/>
          <w:i/>
        </w:rPr>
      </w:pPr>
      <w:smartTag w:uri="urn:schemas-microsoft-com:office:smarttags" w:element="address">
        <w:smartTag w:uri="urn:schemas-microsoft-com:office:smarttags" w:element="Street">
          <w:r>
            <w:rPr>
              <w:b/>
              <w:i/>
            </w:rPr>
            <w:t>Box</w:t>
          </w:r>
        </w:smartTag>
        <w:r>
          <w:rPr>
            <w:b/>
            <w:i/>
          </w:rPr>
          <w:t xml:space="preserve"> </w:t>
        </w:r>
        <w:r w:rsidRPr="007C7FDA">
          <w:rPr>
            <w:b/>
            <w:i/>
          </w:rPr>
          <w:t>1</w:t>
        </w:r>
        <w:r w:rsidR="00A26612">
          <w:rPr>
            <w:b/>
            <w:i/>
          </w:rPr>
          <w:t>0</w:t>
        </w:r>
        <w:r>
          <w:rPr>
            <w:b/>
            <w:i/>
          </w:rPr>
          <w:t>-7</w:t>
        </w:r>
      </w:smartTag>
      <w:r>
        <w:rPr>
          <w:b/>
          <w:i/>
        </w:rPr>
        <w:t xml:space="preserve">:  Menu </w:t>
      </w:r>
      <w:r w:rsidR="00431D0E">
        <w:rPr>
          <w:b/>
          <w:i/>
        </w:rPr>
        <w:t xml:space="preserve">6 </w:t>
      </w:r>
      <w:r>
        <w:rPr>
          <w:b/>
          <w:i/>
        </w:rPr>
        <w:t xml:space="preserve"> -  </w:t>
      </w:r>
      <w:r w:rsidR="00C46552">
        <w:rPr>
          <w:b/>
          <w:i/>
        </w:rPr>
        <w:t xml:space="preserve">Agriculture </w:t>
      </w:r>
    </w:p>
    <w:p w14:paraId="7AC1E33F" w14:textId="77777777" w:rsidR="00E61C2C" w:rsidRPr="00690909" w:rsidRDefault="00E61C2C">
      <w:pPr>
        <w:jc w:val="center"/>
        <w:rPr>
          <w:b/>
          <w:i/>
          <w:sz w:val="12"/>
          <w:szCs w:val="12"/>
        </w:rPr>
      </w:pPr>
    </w:p>
    <w:p w14:paraId="7B37EC95" w14:textId="77777777" w:rsidR="00C46552" w:rsidRPr="00746E0D" w:rsidRDefault="00690909">
      <w:pPr>
        <w:jc w:val="center"/>
        <w:rPr>
          <w:b/>
          <w:i/>
          <w:lang w:val="en-US"/>
        </w:rPr>
      </w:pPr>
      <w:r w:rsidRPr="00690909">
        <w:rPr>
          <w:noProof/>
          <w:lang w:eastAsia="en-GB"/>
        </w:rPr>
        <w:drawing>
          <wp:inline distT="0" distB="0" distL="0" distR="0" wp14:anchorId="4665E877" wp14:editId="4E93E982">
            <wp:extent cx="6016625" cy="2537624"/>
            <wp:effectExtent l="0" t="0" r="3175"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6625" cy="2537624"/>
                    </a:xfrm>
                    <a:prstGeom prst="rect">
                      <a:avLst/>
                    </a:prstGeom>
                    <a:noFill/>
                    <a:ln>
                      <a:noFill/>
                    </a:ln>
                  </pic:spPr>
                </pic:pic>
              </a:graphicData>
            </a:graphic>
          </wp:inline>
        </w:drawing>
      </w:r>
    </w:p>
    <w:p w14:paraId="2B7C0458" w14:textId="77777777" w:rsidR="00C46552" w:rsidRDefault="00C46552">
      <w:pPr>
        <w:jc w:val="center"/>
        <w:rPr>
          <w:b/>
          <w:i/>
        </w:rPr>
      </w:pPr>
    </w:p>
    <w:p w14:paraId="4FBF7351" w14:textId="77777777" w:rsidR="00C46552" w:rsidRDefault="00C46552">
      <w:pPr>
        <w:rPr>
          <w:b/>
          <w:i/>
        </w:rPr>
      </w:pPr>
    </w:p>
    <w:p w14:paraId="7EB7D1F9" w14:textId="77777777" w:rsidR="00C46552" w:rsidRDefault="00C46552">
      <w:pPr>
        <w:jc w:val="center"/>
        <w:rPr>
          <w:b/>
          <w:i/>
        </w:rPr>
      </w:pPr>
      <w:smartTag w:uri="urn:schemas-microsoft-com:office:smarttags" w:element="address">
        <w:smartTag w:uri="urn:schemas-microsoft-com:office:smarttags" w:element="Street">
          <w:r>
            <w:rPr>
              <w:b/>
              <w:i/>
            </w:rPr>
            <w:t>Box</w:t>
          </w:r>
        </w:smartTag>
        <w:r>
          <w:rPr>
            <w:b/>
            <w:i/>
          </w:rPr>
          <w:t xml:space="preserve"> </w:t>
        </w:r>
        <w:r w:rsidR="007C7FDA" w:rsidRPr="007C7FDA">
          <w:rPr>
            <w:b/>
            <w:i/>
          </w:rPr>
          <w:t>1</w:t>
        </w:r>
        <w:r w:rsidR="00A26612">
          <w:rPr>
            <w:b/>
            <w:i/>
          </w:rPr>
          <w:t>0</w:t>
        </w:r>
        <w:r>
          <w:rPr>
            <w:b/>
            <w:i/>
          </w:rPr>
          <w:t>-</w:t>
        </w:r>
        <w:r w:rsidR="006211EE">
          <w:rPr>
            <w:b/>
            <w:i/>
          </w:rPr>
          <w:t>8</w:t>
        </w:r>
      </w:smartTag>
      <w:r>
        <w:rPr>
          <w:b/>
          <w:i/>
        </w:rPr>
        <w:t xml:space="preserve">: Menu </w:t>
      </w:r>
      <w:r w:rsidR="00431D0E">
        <w:rPr>
          <w:b/>
          <w:i/>
        </w:rPr>
        <w:t>7</w:t>
      </w:r>
      <w:r>
        <w:rPr>
          <w:b/>
          <w:i/>
        </w:rPr>
        <w:t xml:space="preserve"> – Vegetation fires and forestry </w:t>
      </w:r>
    </w:p>
    <w:p w14:paraId="6CFF3EB5" w14:textId="77777777" w:rsidR="00C46552" w:rsidRPr="00690909" w:rsidRDefault="00C46552">
      <w:pPr>
        <w:jc w:val="center"/>
        <w:rPr>
          <w:b/>
          <w:i/>
          <w:sz w:val="12"/>
          <w:szCs w:val="12"/>
        </w:rPr>
      </w:pPr>
    </w:p>
    <w:p w14:paraId="17158C55" w14:textId="77777777" w:rsidR="009553A9" w:rsidRPr="009553A9" w:rsidRDefault="00161564">
      <w:pPr>
        <w:jc w:val="center"/>
        <w:rPr>
          <w:b/>
          <w:i/>
        </w:rPr>
      </w:pPr>
      <w:r>
        <w:rPr>
          <w:noProof/>
          <w:lang w:eastAsia="en-GB"/>
        </w:rPr>
        <w:drawing>
          <wp:inline distT="0" distB="0" distL="0" distR="0" wp14:anchorId="1B71F69F" wp14:editId="7E0EF5CB">
            <wp:extent cx="5760720" cy="1066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1066800"/>
                    </a:xfrm>
                    <a:prstGeom prst="rect">
                      <a:avLst/>
                    </a:prstGeom>
                    <a:noFill/>
                    <a:ln>
                      <a:noFill/>
                    </a:ln>
                  </pic:spPr>
                </pic:pic>
              </a:graphicData>
            </a:graphic>
          </wp:inline>
        </w:drawing>
      </w:r>
    </w:p>
    <w:p w14:paraId="30B565FB" w14:textId="77777777" w:rsidR="00C46552" w:rsidRDefault="00C46552">
      <w:pPr>
        <w:jc w:val="center"/>
        <w:rPr>
          <w:b/>
          <w:i/>
        </w:rPr>
      </w:pPr>
    </w:p>
    <w:p w14:paraId="3A162480" w14:textId="77777777" w:rsidR="00C46552" w:rsidRDefault="00C46552">
      <w:pPr>
        <w:jc w:val="center"/>
        <w:rPr>
          <w:b/>
          <w:i/>
        </w:rPr>
      </w:pPr>
    </w:p>
    <w:p w14:paraId="7E8325ED" w14:textId="77777777" w:rsidR="00C46552" w:rsidRDefault="00C46552">
      <w:pPr>
        <w:jc w:val="center"/>
        <w:rPr>
          <w:b/>
          <w:i/>
        </w:rPr>
      </w:pPr>
      <w:smartTag w:uri="urn:schemas-microsoft-com:office:smarttags" w:element="address">
        <w:smartTag w:uri="urn:schemas-microsoft-com:office:smarttags" w:element="Street">
          <w:r>
            <w:rPr>
              <w:b/>
              <w:i/>
            </w:rPr>
            <w:t>Box</w:t>
          </w:r>
        </w:smartTag>
        <w:r>
          <w:rPr>
            <w:b/>
            <w:i/>
          </w:rPr>
          <w:t xml:space="preserve"> </w:t>
        </w:r>
        <w:r w:rsidR="00A26612">
          <w:rPr>
            <w:b/>
            <w:i/>
          </w:rPr>
          <w:t>10</w:t>
        </w:r>
        <w:r w:rsidR="0035687B">
          <w:rPr>
            <w:b/>
            <w:i/>
          </w:rPr>
          <w:t>-9</w:t>
        </w:r>
      </w:smartTag>
      <w:r>
        <w:rPr>
          <w:b/>
          <w:i/>
        </w:rPr>
        <w:t xml:space="preserve">: Menu </w:t>
      </w:r>
      <w:r w:rsidR="00431D0E">
        <w:rPr>
          <w:b/>
          <w:i/>
        </w:rPr>
        <w:t>8</w:t>
      </w:r>
      <w:r>
        <w:rPr>
          <w:b/>
          <w:i/>
        </w:rPr>
        <w:t xml:space="preserve"> – Waste</w:t>
      </w:r>
    </w:p>
    <w:p w14:paraId="0852F6BA" w14:textId="77777777" w:rsidR="00690909" w:rsidRPr="00690909" w:rsidRDefault="00690909">
      <w:pPr>
        <w:jc w:val="center"/>
        <w:rPr>
          <w:b/>
          <w:i/>
          <w:sz w:val="12"/>
          <w:szCs w:val="12"/>
        </w:rPr>
      </w:pPr>
    </w:p>
    <w:p w14:paraId="71CFFA56" w14:textId="77777777" w:rsidR="00C46552" w:rsidRPr="00746E0D" w:rsidRDefault="00690909">
      <w:pPr>
        <w:jc w:val="center"/>
        <w:rPr>
          <w:b/>
          <w:i/>
        </w:rPr>
      </w:pPr>
      <w:r w:rsidRPr="00690909">
        <w:rPr>
          <w:noProof/>
          <w:lang w:eastAsia="en-GB"/>
        </w:rPr>
        <w:drawing>
          <wp:inline distT="0" distB="0" distL="0" distR="0" wp14:anchorId="1EF86A41" wp14:editId="3B10FCAE">
            <wp:extent cx="6016625" cy="1924346"/>
            <wp:effectExtent l="0" t="0" r="317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16625" cy="1924346"/>
                    </a:xfrm>
                    <a:prstGeom prst="rect">
                      <a:avLst/>
                    </a:prstGeom>
                    <a:noFill/>
                    <a:ln>
                      <a:noFill/>
                    </a:ln>
                  </pic:spPr>
                </pic:pic>
              </a:graphicData>
            </a:graphic>
          </wp:inline>
        </w:drawing>
      </w:r>
    </w:p>
    <w:p w14:paraId="52C39AFE" w14:textId="77777777" w:rsidR="00BC0420" w:rsidRDefault="00BC0420">
      <w:pPr>
        <w:jc w:val="center"/>
        <w:rPr>
          <w:b/>
          <w:i/>
        </w:rPr>
      </w:pPr>
    </w:p>
    <w:p w14:paraId="351DF5E4" w14:textId="77777777" w:rsidR="00BC0420" w:rsidRDefault="00BC0420">
      <w:pPr>
        <w:jc w:val="center"/>
        <w:rPr>
          <w:b/>
          <w:i/>
        </w:rPr>
      </w:pPr>
    </w:p>
    <w:p w14:paraId="596EE9B8" w14:textId="77777777" w:rsidR="00C46552" w:rsidRDefault="00C46552">
      <w:pPr>
        <w:jc w:val="center"/>
        <w:rPr>
          <w:b/>
          <w:i/>
        </w:rPr>
      </w:pPr>
      <w:r>
        <w:rPr>
          <w:b/>
          <w:i/>
        </w:rPr>
        <w:t xml:space="preserve">Box </w:t>
      </w:r>
      <w:r w:rsidR="007C7FDA" w:rsidRPr="007C7FDA">
        <w:rPr>
          <w:b/>
          <w:i/>
        </w:rPr>
        <w:t>1</w:t>
      </w:r>
      <w:r w:rsidR="00A26612">
        <w:rPr>
          <w:b/>
          <w:i/>
        </w:rPr>
        <w:t>0</w:t>
      </w:r>
      <w:r>
        <w:rPr>
          <w:b/>
          <w:i/>
        </w:rPr>
        <w:t>-1</w:t>
      </w:r>
      <w:r w:rsidR="0035687B">
        <w:rPr>
          <w:b/>
          <w:i/>
        </w:rPr>
        <w:t>1</w:t>
      </w:r>
      <w:r>
        <w:rPr>
          <w:b/>
          <w:i/>
        </w:rPr>
        <w:t xml:space="preserve">: Menu </w:t>
      </w:r>
      <w:r w:rsidR="00823F7E">
        <w:rPr>
          <w:b/>
          <w:i/>
        </w:rPr>
        <w:t>9</w:t>
      </w:r>
      <w:r>
        <w:rPr>
          <w:b/>
          <w:i/>
        </w:rPr>
        <w:t xml:space="preserve"> – Large Point Sources</w:t>
      </w:r>
    </w:p>
    <w:p w14:paraId="0F091309" w14:textId="77777777" w:rsidR="00C46552" w:rsidRPr="00690909" w:rsidRDefault="00C46552">
      <w:pPr>
        <w:jc w:val="center"/>
        <w:rPr>
          <w:b/>
          <w:i/>
          <w:sz w:val="12"/>
          <w:szCs w:val="12"/>
        </w:rPr>
      </w:pPr>
    </w:p>
    <w:p w14:paraId="6A2BF5EA" w14:textId="77777777" w:rsidR="00C46552" w:rsidRPr="00397646" w:rsidRDefault="00161564">
      <w:pPr>
        <w:jc w:val="center"/>
        <w:rPr>
          <w:b/>
          <w:i/>
        </w:rPr>
      </w:pPr>
      <w:r>
        <w:rPr>
          <w:noProof/>
          <w:lang w:eastAsia="en-GB"/>
        </w:rPr>
        <w:lastRenderedPageBreak/>
        <w:drawing>
          <wp:inline distT="0" distB="0" distL="0" distR="0" wp14:anchorId="15BA7A7A" wp14:editId="2DF956F0">
            <wp:extent cx="5760720" cy="3771900"/>
            <wp:effectExtent l="19050" t="19050" r="11430"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60720" cy="3771900"/>
                    </a:xfrm>
                    <a:prstGeom prst="rect">
                      <a:avLst/>
                    </a:prstGeom>
                    <a:noFill/>
                    <a:ln w="6350" cmpd="sng">
                      <a:solidFill>
                        <a:srgbClr val="000000"/>
                      </a:solidFill>
                      <a:miter lim="800000"/>
                      <a:headEnd/>
                      <a:tailEnd/>
                    </a:ln>
                    <a:effectLst/>
                  </pic:spPr>
                </pic:pic>
              </a:graphicData>
            </a:graphic>
          </wp:inline>
        </w:drawing>
      </w:r>
    </w:p>
    <w:p w14:paraId="3386144F" w14:textId="77777777" w:rsidR="00C46552" w:rsidRDefault="00C46552">
      <w:pPr>
        <w:jc w:val="center"/>
        <w:rPr>
          <w:b/>
          <w:i/>
        </w:rPr>
      </w:pPr>
    </w:p>
    <w:p w14:paraId="39C5EFAB" w14:textId="77777777" w:rsidR="00C46552" w:rsidRDefault="00C46552"/>
    <w:p w14:paraId="79884C35" w14:textId="77777777" w:rsidR="00736E3D" w:rsidRDefault="00736E3D"/>
    <w:p w14:paraId="7CE08C54" w14:textId="77777777" w:rsidR="00C46552" w:rsidRDefault="00C46552">
      <w:pPr>
        <w:pStyle w:val="Heading3"/>
        <w:numPr>
          <w:ilvl w:val="2"/>
          <w:numId w:val="20"/>
        </w:numPr>
      </w:pPr>
      <w:bookmarkStart w:id="155" w:name="_Toc472502561"/>
      <w:r>
        <w:t xml:space="preserve"> </w:t>
      </w:r>
      <w:bookmarkStart w:id="156" w:name="_Toc10122738"/>
      <w:r>
        <w:t>General data input areas</w:t>
      </w:r>
      <w:bookmarkEnd w:id="155"/>
      <w:bookmarkEnd w:id="156"/>
      <w:r>
        <w:t xml:space="preserve"> </w:t>
      </w:r>
    </w:p>
    <w:p w14:paraId="4D74751D" w14:textId="77777777" w:rsidR="00C46552" w:rsidRDefault="00C46552"/>
    <w:p w14:paraId="07BDCA75" w14:textId="77777777" w:rsidR="002C422D" w:rsidRDefault="00C46552" w:rsidP="002C422D">
      <w:r>
        <w:t xml:space="preserve">Each sheet contains white cells for users to input data.  Country-specific annual activity rate data are always required: for example, fuel consumption (by fuel type), production rates (of manufactured products), product consumption rates, number of farm animals, crop production for crop residue burning, and so on. </w:t>
      </w:r>
      <w:r w:rsidR="002C422D" w:rsidRPr="002C422D">
        <w:rPr>
          <w:b/>
        </w:rPr>
        <w:t>CAUTION</w:t>
      </w:r>
      <w:r w:rsidR="002C422D">
        <w:t xml:space="preserve">: If you enter data into the wrong cell(s), </w:t>
      </w:r>
      <w:r w:rsidR="002C422D" w:rsidRPr="002C422D">
        <w:rPr>
          <w:b/>
        </w:rPr>
        <w:t>do not use 'cut and paste' within the worksheets</w:t>
      </w:r>
      <w:r w:rsidR="002C422D">
        <w:t xml:space="preserve"> to shift data into correct cells as you will destroy the cell references for the linked green calculation cells. So if you enter data into the wrong cell(s), you may 'copy and paste' into the correct cell(s) and then go back and delete the wrong data entries,</w:t>
      </w:r>
    </w:p>
    <w:p w14:paraId="170C93B8" w14:textId="77777777" w:rsidR="002C422D" w:rsidRDefault="002C422D" w:rsidP="002C422D">
      <w:r>
        <w:t>or simply type data into the correct cells and then delete the wrong data entries.</w:t>
      </w:r>
    </w:p>
    <w:p w14:paraId="588BA992" w14:textId="77777777" w:rsidR="00C46552" w:rsidRDefault="00C46552"/>
    <w:p w14:paraId="00F53AEE" w14:textId="77777777" w:rsidR="00C46552" w:rsidRDefault="00C46552">
      <w:pPr>
        <w:ind w:firstLine="720"/>
        <w:rPr>
          <w:color w:val="0000FF"/>
        </w:rPr>
      </w:pPr>
      <w:r>
        <w:t xml:space="preserve">For fuel consumption, activity data can be entered in a choice of three units; terajoules per year (TJ/yr) in Sheet 1.1.1a, kilotonnes oil equivalent per year (ktoe/yr) in Sheet 1.1.1b or  kilotonnes per year (kt/yr) in Sheet 1.1.1c depending on the form in which source data are presented. If data for a particular type of fuel and source sector are erroneously entered into more than one of these three sheets, the workbook will only recognise one entry, the </w:t>
      </w:r>
      <w:r>
        <w:rPr>
          <w:color w:val="000000"/>
        </w:rPr>
        <w:t>hierarchy for multiple entries being TJ&gt;ktoe&gt;kt</w:t>
      </w:r>
      <w:r>
        <w:rPr>
          <w:color w:val="0000FF"/>
        </w:rPr>
        <w:t xml:space="preserve">. </w:t>
      </w:r>
      <w:r>
        <w:rPr>
          <w:color w:val="000000"/>
        </w:rPr>
        <w:t xml:space="preserve">For example, if someone mistakenly entered fuel consumption as both ktoe and kt then only the entry for ktoe would be carried forward to Sheet 1.1.1 for use in subsequent calculations. </w:t>
      </w:r>
      <w:r>
        <w:rPr>
          <w:b/>
          <w:i/>
          <w:color w:val="000000"/>
        </w:rPr>
        <w:t>The user must check that they are entering fuel consumption data in the correct sheet for the units in which the data are expressed</w:t>
      </w:r>
      <w:r>
        <w:rPr>
          <w:color w:val="000000"/>
        </w:rPr>
        <w:t>.</w:t>
      </w:r>
    </w:p>
    <w:p w14:paraId="5AE27DB9" w14:textId="77777777" w:rsidR="00C46552" w:rsidRDefault="00C46552">
      <w:pPr>
        <w:rPr>
          <w:color w:val="0000FF"/>
        </w:rPr>
      </w:pPr>
    </w:p>
    <w:p w14:paraId="3DFE0411" w14:textId="77777777" w:rsidR="00C46552" w:rsidRDefault="00C46552">
      <w:pPr>
        <w:ind w:firstLine="720"/>
      </w:pPr>
      <w:r>
        <w:t xml:space="preserve">Reference sources for the activity data should be entered into the table at the bottom of the worksheet. For other types of data (such as sulphur content and Net Calorific Values (NCVs) of fuels, emission factors), default values or ranges are generally offered in the worksheets. The default values are mostly from </w:t>
      </w:r>
      <w:smartTag w:uri="urn:schemas-microsoft-com:office:smarttags" w:element="place">
        <w:smartTag w:uri="urn:schemas-microsoft-com:office:smarttags" w:element="country-region">
          <w:r>
            <w:t>U.S.</w:t>
          </w:r>
        </w:smartTag>
      </w:smartTag>
      <w:r>
        <w:t xml:space="preserve"> or European sources although some are more specific to </w:t>
      </w:r>
      <w:r w:rsidR="00A26612">
        <w:t>non-OECD regions</w:t>
      </w:r>
      <w:r>
        <w:t xml:space="preserve"> (e.g.</w:t>
      </w:r>
      <w:r w:rsidR="00AF21A3">
        <w:t xml:space="preserve"> </w:t>
      </w:r>
      <w:r w:rsidR="009008E0">
        <w:t>S</w:t>
      </w:r>
      <w:r w:rsidR="00A26612">
        <w:t xml:space="preserve">outh African </w:t>
      </w:r>
      <w:r w:rsidR="00AF21A3">
        <w:t>emission factors for savanna burning</w:t>
      </w:r>
      <w:r w:rsidR="00BC0420">
        <w:t>, domestic biomass fuel combustion</w:t>
      </w:r>
      <w:r>
        <w:t>). Default data and factors are included so that users lacking country- or regionally-specific data or factors can still produce an emissions inventory without having to wait for the data/factors to become available.</w:t>
      </w:r>
      <w:r w:rsidR="00BC0420">
        <w:t xml:space="preserve"> Internationally available sources of activity data are also suggested, where possible, in case more reliable nationally sourced data are not readily available. </w:t>
      </w:r>
    </w:p>
    <w:p w14:paraId="54EEC7A8" w14:textId="77777777" w:rsidR="00C46552" w:rsidRDefault="00C46552">
      <w:pPr>
        <w:ind w:firstLine="720"/>
      </w:pPr>
    </w:p>
    <w:p w14:paraId="676E5CCF" w14:textId="77777777" w:rsidR="00C46552" w:rsidRDefault="00C46552">
      <w:pPr>
        <w:ind w:firstLine="720"/>
      </w:pPr>
      <w:r>
        <w:lastRenderedPageBreak/>
        <w:t xml:space="preserve">The emission factor columns in the worksheets are split into two parts so that users can enter (into the left-hand cells) either their own value or the default value (offered in the right-hand cell). </w:t>
      </w:r>
      <w:r>
        <w:rPr>
          <w:b/>
          <w:i/>
        </w:rPr>
        <w:t>The user must enter the default values into the left-hand cells if more appropriate local factors are not available</w:t>
      </w:r>
      <w:r>
        <w:rPr>
          <w:i/>
        </w:rPr>
        <w:t xml:space="preserve">. </w:t>
      </w:r>
      <w:r>
        <w:rPr>
          <w:b/>
          <w:i/>
        </w:rPr>
        <w:t>If the user does not enter an emission factor into the left-hand column, subsequent calculations for that source cannot proceed</w:t>
      </w:r>
      <w:r>
        <w:rPr>
          <w:i/>
        </w:rPr>
        <w:t>.</w:t>
      </w:r>
      <w:r>
        <w:t xml:space="preserve"> Where an emission factor other than the default is entered, the reference source and any other relevant details should be entered into the table at the bottom of the worksheet.</w:t>
      </w:r>
      <w:r>
        <w:tab/>
      </w:r>
    </w:p>
    <w:p w14:paraId="0FEB56CE" w14:textId="77777777" w:rsidR="00C46552" w:rsidRDefault="00C46552"/>
    <w:p w14:paraId="526DDC00" w14:textId="77777777" w:rsidR="00736E3D" w:rsidRDefault="00736E3D"/>
    <w:p w14:paraId="5B9DCA8F" w14:textId="77777777" w:rsidR="00C46552" w:rsidRDefault="00C46552">
      <w:pPr>
        <w:pStyle w:val="Heading3"/>
        <w:numPr>
          <w:ilvl w:val="2"/>
          <w:numId w:val="20"/>
        </w:numPr>
      </w:pPr>
      <w:bookmarkStart w:id="157" w:name="_Toc472502562"/>
      <w:r>
        <w:t xml:space="preserve"> </w:t>
      </w:r>
      <w:bookmarkStart w:id="158" w:name="_Toc10122739"/>
      <w:r>
        <w:t>General data output/report areas</w:t>
      </w:r>
      <w:bookmarkEnd w:id="157"/>
      <w:bookmarkEnd w:id="158"/>
      <w:r>
        <w:t xml:space="preserve"> </w:t>
      </w:r>
    </w:p>
    <w:p w14:paraId="4F70B2A1" w14:textId="77777777" w:rsidR="00C46552" w:rsidRDefault="00C46552"/>
    <w:p w14:paraId="3181ACCC" w14:textId="77777777" w:rsidR="00C46552" w:rsidRDefault="00C46552">
      <w:r>
        <w:t xml:space="preserve">Calculations are carried out automatically by the workbook with results appearing in the green coloured columns/cells. Users are not required to (and indeed should not attempt to) enter data into green areas. These areas are protected and will require a password (“RAPIDC”) to unprotect them. </w:t>
      </w:r>
      <w:r>
        <w:rPr>
          <w:b/>
          <w:i/>
        </w:rPr>
        <w:t>Only experienced Excel spreadsheet users should attempt to unprotect and modify the worksheets</w:t>
      </w:r>
      <w:r>
        <w:t>.  Areas or individual cells within worksheet columns that are not required for specific sources, either as input or output areas, are coloured light grey.</w:t>
      </w:r>
    </w:p>
    <w:p w14:paraId="56CECD93" w14:textId="77777777" w:rsidR="00C46552" w:rsidRDefault="00C46552">
      <w:pPr>
        <w:pStyle w:val="Date"/>
      </w:pPr>
    </w:p>
    <w:p w14:paraId="56B15479" w14:textId="77777777" w:rsidR="00736E3D" w:rsidRPr="00736E3D" w:rsidRDefault="00736E3D" w:rsidP="00736E3D"/>
    <w:p w14:paraId="6C027827" w14:textId="2E79F055" w:rsidR="00C46552" w:rsidRDefault="00C46552" w:rsidP="001263B5">
      <w:pPr>
        <w:pStyle w:val="Heading3"/>
        <w:numPr>
          <w:ilvl w:val="2"/>
          <w:numId w:val="20"/>
        </w:numPr>
      </w:pPr>
      <w:r>
        <w:t xml:space="preserve"> </w:t>
      </w:r>
      <w:bookmarkStart w:id="159" w:name="_Toc10122740"/>
      <w:r>
        <w:t xml:space="preserve">Summary </w:t>
      </w:r>
      <w:r w:rsidR="00836FF5">
        <w:t xml:space="preserve">results </w:t>
      </w:r>
      <w:r>
        <w:t>worksheet</w:t>
      </w:r>
      <w:r w:rsidR="00836FF5">
        <w:t xml:space="preserve"> and graphs</w:t>
      </w:r>
      <w:bookmarkEnd w:id="159"/>
    </w:p>
    <w:p w14:paraId="35C853F9" w14:textId="77777777" w:rsidR="00C46552" w:rsidRDefault="00C46552"/>
    <w:p w14:paraId="614A4F32" w14:textId="15E6A655" w:rsidR="00C46552" w:rsidRDefault="00C46552">
      <w:r>
        <w:t>The emissions summary sheet (</w:t>
      </w:r>
      <w:r w:rsidR="00836FF5" w:rsidRPr="004B40A2">
        <w:rPr>
          <w:b/>
        </w:rPr>
        <w:t xml:space="preserve">Summary </w:t>
      </w:r>
      <w:r w:rsidRPr="004B40A2">
        <w:rPr>
          <w:b/>
        </w:rPr>
        <w:t xml:space="preserve">Sheet </w:t>
      </w:r>
      <w:r w:rsidR="00BC0420" w:rsidRPr="004B40A2">
        <w:rPr>
          <w:b/>
        </w:rPr>
        <w:t>9</w:t>
      </w:r>
      <w:r>
        <w:t xml:space="preserve">) draws together (automatically) total annual emissions of all pollutants (in kilotonnes pollutant per year) by major source sector from the previous worksheets. It consists of three sections: total emissions, large point source (LPS) emissions and area emissions (calculated as total minus LPS emissions). The box below (Box </w:t>
      </w:r>
      <w:r w:rsidR="00BC0420">
        <w:t>1</w:t>
      </w:r>
      <w:r w:rsidR="00A26612">
        <w:t>0</w:t>
      </w:r>
      <w:r>
        <w:t>-10) shows only the total emissions section of the summary worksheet</w:t>
      </w:r>
      <w:r w:rsidR="00836FF5">
        <w:t>.</w:t>
      </w:r>
    </w:p>
    <w:p w14:paraId="5F0A54F0" w14:textId="23B3D9EF" w:rsidR="00836FF5" w:rsidRDefault="00836FF5"/>
    <w:p w14:paraId="45BC7BD8" w14:textId="3FEBC93A" w:rsidR="00836FF5" w:rsidRDefault="00836FF5">
      <w:r>
        <w:tab/>
        <w:t xml:space="preserve">Results from the summary sheet are also aggregated into 17 sub-sectors in a </w:t>
      </w:r>
      <w:r w:rsidRPr="004B40A2">
        <w:rPr>
          <w:b/>
        </w:rPr>
        <w:t>Summary</w:t>
      </w:r>
      <w:r>
        <w:t xml:space="preserve"> </w:t>
      </w:r>
      <w:r>
        <w:rPr>
          <w:b/>
        </w:rPr>
        <w:t>t</w:t>
      </w:r>
      <w:r w:rsidRPr="004B40A2">
        <w:rPr>
          <w:b/>
        </w:rPr>
        <w:t>able for graphs</w:t>
      </w:r>
      <w:r>
        <w:t xml:space="preserve"> which then links to subsequent worksheets showing various graphs of all emissions by sector and of individual pollutant species by sector. </w:t>
      </w:r>
    </w:p>
    <w:p w14:paraId="7ACD25E6" w14:textId="77777777" w:rsidR="00C46552" w:rsidRDefault="00C46552"/>
    <w:p w14:paraId="2B33E89C" w14:textId="77777777" w:rsidR="00736E3D" w:rsidRDefault="00736E3D"/>
    <w:p w14:paraId="016F6C7C" w14:textId="77777777" w:rsidR="00736E3D" w:rsidRDefault="00736E3D"/>
    <w:p w14:paraId="2AA19349" w14:textId="77777777" w:rsidR="00736E3D" w:rsidRDefault="00736E3D"/>
    <w:p w14:paraId="139C20E1" w14:textId="77777777" w:rsidR="00736E3D" w:rsidRDefault="00736E3D"/>
    <w:p w14:paraId="67A6100B" w14:textId="77777777" w:rsidR="00736E3D" w:rsidRDefault="00736E3D"/>
    <w:p w14:paraId="68C2764F" w14:textId="77777777" w:rsidR="00A26612" w:rsidRDefault="00A26612"/>
    <w:p w14:paraId="0741A40C" w14:textId="77777777" w:rsidR="00A26612" w:rsidRDefault="00A26612"/>
    <w:p w14:paraId="7C3F10AF" w14:textId="77777777" w:rsidR="00A26612" w:rsidRDefault="00A26612"/>
    <w:p w14:paraId="1A700FD9" w14:textId="77777777" w:rsidR="00A26612" w:rsidRDefault="00A26612"/>
    <w:p w14:paraId="581CBE7D" w14:textId="77777777" w:rsidR="00A26612" w:rsidRDefault="00A26612"/>
    <w:p w14:paraId="61C4A643" w14:textId="77777777" w:rsidR="00A26612" w:rsidRDefault="00A26612"/>
    <w:p w14:paraId="502B44E9" w14:textId="77777777" w:rsidR="00A26612" w:rsidRDefault="00A26612"/>
    <w:p w14:paraId="26FF800E" w14:textId="77777777" w:rsidR="00736E3D" w:rsidRDefault="00736E3D"/>
    <w:p w14:paraId="32E051A8" w14:textId="77777777" w:rsidR="00736E3D" w:rsidRDefault="00736E3D"/>
    <w:p w14:paraId="62A97930" w14:textId="3791116D" w:rsidR="00C4137A" w:rsidRDefault="00C4137A"/>
    <w:p w14:paraId="53564E20" w14:textId="555667A2" w:rsidR="00B35FE9" w:rsidRDefault="00B35FE9"/>
    <w:p w14:paraId="6ED29787" w14:textId="1C159897" w:rsidR="00B35FE9" w:rsidRDefault="00B35FE9"/>
    <w:p w14:paraId="038B873D" w14:textId="45F55D3A" w:rsidR="00B35FE9" w:rsidRDefault="00B35FE9"/>
    <w:p w14:paraId="7106660A" w14:textId="6E6DB343" w:rsidR="00B35FE9" w:rsidRDefault="00B35FE9"/>
    <w:p w14:paraId="01830E2D" w14:textId="23838F78" w:rsidR="00B35FE9" w:rsidRDefault="00B35FE9"/>
    <w:p w14:paraId="0923C5AA" w14:textId="73F7624F" w:rsidR="00B35FE9" w:rsidRDefault="00B35FE9"/>
    <w:p w14:paraId="74836EA7" w14:textId="77777777" w:rsidR="00B35FE9" w:rsidRDefault="00B35FE9"/>
    <w:p w14:paraId="1A9B1A81" w14:textId="77777777" w:rsidR="00C4137A" w:rsidRDefault="00C4137A"/>
    <w:p w14:paraId="4B548833" w14:textId="77777777" w:rsidR="00736E3D" w:rsidRDefault="00736E3D"/>
    <w:p w14:paraId="04F9F55B" w14:textId="77777777" w:rsidR="00C46552" w:rsidRDefault="00C46552">
      <w:pPr>
        <w:pStyle w:val="BodyText3"/>
        <w:keepNext w:val="0"/>
        <w:keepLines w:val="0"/>
      </w:pPr>
      <w:smartTag w:uri="urn:schemas-microsoft-com:office:smarttags" w:element="address">
        <w:smartTag w:uri="urn:schemas-microsoft-com:office:smarttags" w:element="Street">
          <w:r>
            <w:lastRenderedPageBreak/>
            <w:t>Box</w:t>
          </w:r>
        </w:smartTag>
        <w:r>
          <w:t xml:space="preserve"> </w:t>
        </w:r>
        <w:r w:rsidR="007C7FDA" w:rsidRPr="007C7FDA">
          <w:t>1</w:t>
        </w:r>
        <w:r w:rsidR="00A26612">
          <w:t>0</w:t>
        </w:r>
        <w:r>
          <w:t>-10</w:t>
        </w:r>
      </w:smartTag>
      <w:r>
        <w:t xml:space="preserve">: Summary worksheet (Sheet </w:t>
      </w:r>
      <w:r w:rsidR="00BC0420">
        <w:t>9</w:t>
      </w:r>
      <w:r>
        <w:t>)</w:t>
      </w:r>
    </w:p>
    <w:p w14:paraId="04465BF6" w14:textId="77777777" w:rsidR="00C46552" w:rsidRDefault="00C46552">
      <w:pPr>
        <w:jc w:val="center"/>
        <w:rPr>
          <w:b/>
          <w:i/>
        </w:rPr>
      </w:pPr>
    </w:p>
    <w:p w14:paraId="1A428CD0" w14:textId="77777777" w:rsidR="00591B0F" w:rsidRPr="002C422D" w:rsidRDefault="00591B0F">
      <w:pPr>
        <w:jc w:val="center"/>
      </w:pPr>
    </w:p>
    <w:p w14:paraId="3471753D" w14:textId="2810E164" w:rsidR="002F2AA0" w:rsidRDefault="009008E0" w:rsidP="00B35FE9">
      <w:pPr>
        <w:pStyle w:val="Heading1"/>
        <w:numPr>
          <w:ilvl w:val="0"/>
          <w:numId w:val="0"/>
        </w:numPr>
        <w:jc w:val="left"/>
      </w:pPr>
      <w:bookmarkStart w:id="160" w:name="_Toc10122741"/>
      <w:r w:rsidRPr="009008E0">
        <w:rPr>
          <w:noProof/>
          <w:lang w:eastAsia="en-GB"/>
        </w:rPr>
        <w:drawing>
          <wp:inline distT="0" distB="0" distL="0" distR="0" wp14:anchorId="51890D01" wp14:editId="11C4B4B6">
            <wp:extent cx="6316073" cy="5063067"/>
            <wp:effectExtent l="0" t="0" r="889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12742" cy="5060397"/>
                    </a:xfrm>
                    <a:prstGeom prst="rect">
                      <a:avLst/>
                    </a:prstGeom>
                    <a:noFill/>
                    <a:ln>
                      <a:noFill/>
                    </a:ln>
                  </pic:spPr>
                </pic:pic>
              </a:graphicData>
            </a:graphic>
          </wp:inline>
        </w:drawing>
      </w:r>
      <w:r w:rsidRPr="009008E0">
        <w:t xml:space="preserve"> </w:t>
      </w:r>
      <w:r w:rsidR="002F2AA0">
        <w:br w:type="page"/>
      </w:r>
      <w:r w:rsidR="002F2AA0">
        <w:lastRenderedPageBreak/>
        <w:t>References</w:t>
      </w:r>
      <w:bookmarkEnd w:id="160"/>
    </w:p>
    <w:p w14:paraId="2AA38C0D" w14:textId="77777777" w:rsidR="00B35FE9" w:rsidRPr="00B35FE9" w:rsidRDefault="00B35FE9" w:rsidP="00B35FE9"/>
    <w:tbl>
      <w:tblPr>
        <w:tblW w:w="10467" w:type="dxa"/>
        <w:jc w:val="center"/>
        <w:tblLook w:val="0000" w:firstRow="0" w:lastRow="0" w:firstColumn="0" w:lastColumn="0" w:noHBand="0" w:noVBand="0"/>
      </w:tblPr>
      <w:tblGrid>
        <w:gridCol w:w="10467"/>
      </w:tblGrid>
      <w:tr w:rsidR="002D2891" w:rsidRPr="002F2AA0" w14:paraId="0B70F470" w14:textId="77777777" w:rsidTr="004C546F">
        <w:trPr>
          <w:trHeight w:val="735"/>
          <w:jc w:val="center"/>
        </w:trPr>
        <w:tc>
          <w:tcPr>
            <w:tcW w:w="10467" w:type="dxa"/>
            <w:tcBorders>
              <w:top w:val="nil"/>
              <w:left w:val="nil"/>
              <w:bottom w:val="nil"/>
              <w:right w:val="nil"/>
            </w:tcBorders>
            <w:shd w:val="clear" w:color="auto" w:fill="FFFFFF"/>
            <w:vAlign w:val="bottom"/>
          </w:tcPr>
          <w:p w14:paraId="3A8FB391" w14:textId="77777777" w:rsidR="002D2891" w:rsidRDefault="002D2891" w:rsidP="002D2891">
            <w:pPr>
              <w:ind w:left="601" w:hanging="601"/>
              <w:jc w:val="left"/>
              <w:rPr>
                <w:szCs w:val="24"/>
                <w:lang w:val="en-US"/>
              </w:rPr>
            </w:pPr>
            <w:r w:rsidRPr="002D2891">
              <w:rPr>
                <w:szCs w:val="24"/>
                <w:lang w:val="en-US"/>
              </w:rPr>
              <w:t>Akagi, S.K., Yokelson, R.J., Wiedinmyer, C., Alvarado, M.J., Reid, J.S., Karl, T.</w:t>
            </w:r>
            <w:r>
              <w:rPr>
                <w:szCs w:val="24"/>
                <w:lang w:val="en-US"/>
              </w:rPr>
              <w:t>, Crounse, J.D., Wennberg, P.O.</w:t>
            </w:r>
            <w:r w:rsidRPr="002D2891">
              <w:rPr>
                <w:szCs w:val="24"/>
                <w:lang w:val="en-US"/>
              </w:rPr>
              <w:t xml:space="preserve"> </w:t>
            </w:r>
            <w:r>
              <w:rPr>
                <w:szCs w:val="24"/>
                <w:lang w:val="en-US"/>
              </w:rPr>
              <w:t>(</w:t>
            </w:r>
            <w:r w:rsidRPr="002D2891">
              <w:rPr>
                <w:szCs w:val="24"/>
                <w:lang w:val="en-US"/>
              </w:rPr>
              <w:t>2011</w:t>
            </w:r>
            <w:r>
              <w:rPr>
                <w:szCs w:val="24"/>
                <w:lang w:val="en-US"/>
              </w:rPr>
              <w:t>)</w:t>
            </w:r>
            <w:r w:rsidRPr="002D2891">
              <w:rPr>
                <w:szCs w:val="24"/>
                <w:lang w:val="en-US"/>
              </w:rPr>
              <w:t xml:space="preserve"> Emission factors for open and domestic biomass burning for use in atmospheric models, </w:t>
            </w:r>
            <w:r w:rsidRPr="002D2891">
              <w:rPr>
                <w:i/>
                <w:szCs w:val="24"/>
                <w:lang w:val="en-US"/>
              </w:rPr>
              <w:t>Atmos. Chem. Phys</w:t>
            </w:r>
            <w:r w:rsidRPr="002D2891">
              <w:rPr>
                <w:szCs w:val="24"/>
                <w:lang w:val="en-US"/>
              </w:rPr>
              <w:t>. 11, 4039-4072. doi:10.5194/acp-11-4039-2011.</w:t>
            </w:r>
          </w:p>
          <w:p w14:paraId="2C1DB9E3" w14:textId="516F6C04" w:rsidR="00B35FE9" w:rsidRPr="002F2AA0" w:rsidRDefault="00B35FE9" w:rsidP="002D2891">
            <w:pPr>
              <w:ind w:left="601" w:hanging="601"/>
              <w:jc w:val="left"/>
              <w:rPr>
                <w:szCs w:val="24"/>
                <w:lang w:val="en-US"/>
              </w:rPr>
            </w:pPr>
          </w:p>
        </w:tc>
      </w:tr>
      <w:tr w:rsidR="002F2AA0" w:rsidRPr="002F2AA0" w14:paraId="284E44B7" w14:textId="77777777" w:rsidTr="004C546F">
        <w:trPr>
          <w:trHeight w:val="735"/>
          <w:jc w:val="center"/>
        </w:trPr>
        <w:tc>
          <w:tcPr>
            <w:tcW w:w="10467" w:type="dxa"/>
            <w:tcBorders>
              <w:top w:val="nil"/>
              <w:left w:val="nil"/>
              <w:bottom w:val="nil"/>
              <w:right w:val="nil"/>
            </w:tcBorders>
            <w:shd w:val="clear" w:color="auto" w:fill="FFFFFF"/>
            <w:vAlign w:val="bottom"/>
          </w:tcPr>
          <w:p w14:paraId="6AD85D0D" w14:textId="77777777" w:rsidR="002F2AA0" w:rsidRDefault="002F2AA0" w:rsidP="00F26956">
            <w:pPr>
              <w:ind w:left="601" w:hanging="601"/>
              <w:jc w:val="left"/>
              <w:rPr>
                <w:szCs w:val="24"/>
                <w:lang w:val="en-US"/>
              </w:rPr>
            </w:pPr>
            <w:r w:rsidRPr="002F2AA0">
              <w:rPr>
                <w:szCs w:val="24"/>
                <w:lang w:val="en-US"/>
              </w:rPr>
              <w:t xml:space="preserve">Andreae, M.O. and Merlet, P. (2001) Emission of trace gases and aerosols from biomass burning. </w:t>
            </w:r>
            <w:r w:rsidRPr="002F2AA0">
              <w:rPr>
                <w:i/>
                <w:iCs/>
                <w:szCs w:val="24"/>
                <w:lang w:val="en-US"/>
              </w:rPr>
              <w:t>Global Biogeochemical Cycles</w:t>
            </w:r>
            <w:r w:rsidRPr="002F2AA0">
              <w:rPr>
                <w:szCs w:val="24"/>
                <w:lang w:val="en-US"/>
              </w:rPr>
              <w:t xml:space="preserve">, </w:t>
            </w:r>
            <w:r w:rsidRPr="002F2AA0">
              <w:rPr>
                <w:b/>
                <w:bCs/>
                <w:szCs w:val="24"/>
                <w:lang w:val="en-US"/>
              </w:rPr>
              <w:t>15</w:t>
            </w:r>
            <w:r w:rsidRPr="002F2AA0">
              <w:rPr>
                <w:szCs w:val="24"/>
                <w:lang w:val="en-US"/>
              </w:rPr>
              <w:t>:955-966.</w:t>
            </w:r>
          </w:p>
          <w:p w14:paraId="0976A96C" w14:textId="77777777" w:rsidR="00F26956" w:rsidRPr="002F2AA0" w:rsidRDefault="00F26956" w:rsidP="00F26956">
            <w:pPr>
              <w:ind w:left="601" w:hanging="601"/>
              <w:jc w:val="left"/>
              <w:rPr>
                <w:szCs w:val="24"/>
                <w:lang w:val="en-US"/>
              </w:rPr>
            </w:pPr>
          </w:p>
        </w:tc>
      </w:tr>
      <w:tr w:rsidR="00C75DFC" w:rsidRPr="002F2AA0" w14:paraId="420FEF4E" w14:textId="77777777" w:rsidTr="004C546F">
        <w:trPr>
          <w:trHeight w:val="949"/>
          <w:jc w:val="center"/>
        </w:trPr>
        <w:tc>
          <w:tcPr>
            <w:tcW w:w="10467" w:type="dxa"/>
            <w:tcBorders>
              <w:top w:val="nil"/>
              <w:left w:val="nil"/>
              <w:bottom w:val="nil"/>
              <w:right w:val="nil"/>
            </w:tcBorders>
            <w:shd w:val="clear" w:color="auto" w:fill="FFFFFF"/>
            <w:vAlign w:val="bottom"/>
          </w:tcPr>
          <w:p w14:paraId="2DDA1C54" w14:textId="6BAB5C17" w:rsidR="00C75DFC" w:rsidRDefault="00C75DFC" w:rsidP="00F26956">
            <w:pPr>
              <w:ind w:left="601" w:hanging="601"/>
              <w:jc w:val="left"/>
              <w:rPr>
                <w:szCs w:val="24"/>
                <w:lang w:val="en-US"/>
              </w:rPr>
            </w:pPr>
            <w:r w:rsidRPr="00C75DFC">
              <w:rPr>
                <w:szCs w:val="24"/>
                <w:lang w:val="en-US"/>
              </w:rPr>
              <w:t xml:space="preserve">ARAI </w:t>
            </w:r>
            <w:r>
              <w:rPr>
                <w:szCs w:val="24"/>
                <w:lang w:val="en-US"/>
              </w:rPr>
              <w:t>(</w:t>
            </w:r>
            <w:r w:rsidRPr="00C75DFC">
              <w:rPr>
                <w:szCs w:val="24"/>
                <w:lang w:val="en-US"/>
              </w:rPr>
              <w:t>2008</w:t>
            </w:r>
            <w:r>
              <w:rPr>
                <w:szCs w:val="24"/>
                <w:lang w:val="en-US"/>
              </w:rPr>
              <w:t>)</w:t>
            </w:r>
            <w:r w:rsidRPr="00C75DFC">
              <w:rPr>
                <w:szCs w:val="24"/>
                <w:lang w:val="en-US"/>
              </w:rPr>
              <w:t xml:space="preserve"> Emission Factor development for Indian Vehicles, The Automotive Research Association of India, Pune, India, Revision-4 March 10 2008. https://www.yumpu.com/en/document/read/34585811/emission-factor-development-for-indian-vehicles-central-pollution [Accessed May 2019].</w:t>
            </w:r>
          </w:p>
          <w:p w14:paraId="1D5E347A" w14:textId="69C7B791" w:rsidR="00C75DFC" w:rsidRPr="002F2AA0" w:rsidRDefault="00C75DFC" w:rsidP="00F26956">
            <w:pPr>
              <w:ind w:left="601" w:hanging="601"/>
              <w:jc w:val="left"/>
              <w:rPr>
                <w:szCs w:val="24"/>
                <w:lang w:val="en-US"/>
              </w:rPr>
            </w:pPr>
          </w:p>
        </w:tc>
      </w:tr>
      <w:tr w:rsidR="002F2AA0" w:rsidRPr="002F2AA0" w14:paraId="440BE2D7" w14:textId="77777777" w:rsidTr="004C546F">
        <w:trPr>
          <w:trHeight w:val="949"/>
          <w:jc w:val="center"/>
        </w:trPr>
        <w:tc>
          <w:tcPr>
            <w:tcW w:w="10467" w:type="dxa"/>
            <w:tcBorders>
              <w:top w:val="nil"/>
              <w:left w:val="nil"/>
              <w:bottom w:val="nil"/>
              <w:right w:val="nil"/>
            </w:tcBorders>
            <w:shd w:val="clear" w:color="auto" w:fill="FFFFFF"/>
            <w:vAlign w:val="bottom"/>
          </w:tcPr>
          <w:p w14:paraId="5FB56D86" w14:textId="77777777" w:rsidR="002F2AA0" w:rsidRDefault="002F2AA0" w:rsidP="00F26956">
            <w:pPr>
              <w:ind w:left="601" w:hanging="601"/>
              <w:jc w:val="left"/>
              <w:rPr>
                <w:szCs w:val="24"/>
                <w:lang w:val="en-US"/>
              </w:rPr>
            </w:pPr>
            <w:r w:rsidRPr="002F2AA0">
              <w:rPr>
                <w:szCs w:val="24"/>
                <w:lang w:val="en-US"/>
              </w:rPr>
              <w:t xml:space="preserve">Battye, R., Battye W., Overcash C. and Fudge S. (1994) </w:t>
            </w:r>
            <w:r w:rsidRPr="002F2AA0">
              <w:rPr>
                <w:i/>
                <w:iCs/>
                <w:szCs w:val="24"/>
                <w:lang w:val="en-US"/>
              </w:rPr>
              <w:t>Development and Selection of Ammonia Emission Factors – Final Report</w:t>
            </w:r>
            <w:r w:rsidRPr="002F2AA0">
              <w:rPr>
                <w:szCs w:val="24"/>
                <w:lang w:val="en-US"/>
              </w:rPr>
              <w:t xml:space="preserve">. Prepared for the </w:t>
            </w:r>
            <w:smartTag w:uri="urn:schemas-microsoft-com:office:smarttags" w:element="country-region">
              <w:r w:rsidRPr="002F2AA0">
                <w:rPr>
                  <w:szCs w:val="24"/>
                  <w:lang w:val="en-US"/>
                </w:rPr>
                <w:t>U.S.</w:t>
              </w:r>
            </w:smartTag>
            <w:r w:rsidRPr="002F2AA0">
              <w:rPr>
                <w:szCs w:val="24"/>
                <w:lang w:val="en-US"/>
              </w:rPr>
              <w:t xml:space="preserve"> Environmental Protection Agency - Office of Research and Development, </w:t>
            </w:r>
            <w:smartTag w:uri="urn:schemas-microsoft-com:office:smarttags" w:element="place">
              <w:smartTag w:uri="urn:schemas-microsoft-com:office:smarttags" w:element="City">
                <w:r w:rsidRPr="002F2AA0">
                  <w:rPr>
                    <w:szCs w:val="24"/>
                    <w:lang w:val="en-US"/>
                  </w:rPr>
                  <w:t>Washington</w:t>
                </w:r>
              </w:smartTag>
              <w:r w:rsidRPr="002F2AA0">
                <w:rPr>
                  <w:szCs w:val="24"/>
                  <w:lang w:val="en-US"/>
                </w:rPr>
                <w:t xml:space="preserve">, </w:t>
              </w:r>
              <w:smartTag w:uri="urn:schemas-microsoft-com:office:smarttags" w:element="State">
                <w:r w:rsidRPr="002F2AA0">
                  <w:rPr>
                    <w:szCs w:val="24"/>
                    <w:lang w:val="en-US"/>
                  </w:rPr>
                  <w:t>D.C.</w:t>
                </w:r>
              </w:smartTag>
              <w:r w:rsidRPr="002F2AA0">
                <w:rPr>
                  <w:szCs w:val="24"/>
                  <w:lang w:val="en-US"/>
                </w:rPr>
                <w:t xml:space="preserve"> </w:t>
              </w:r>
              <w:smartTag w:uri="urn:schemas-microsoft-com:office:smarttags" w:element="PostalCode">
                <w:r w:rsidRPr="002F2AA0">
                  <w:rPr>
                    <w:szCs w:val="24"/>
                    <w:lang w:val="en-US"/>
                  </w:rPr>
                  <w:t>20460</w:t>
                </w:r>
              </w:smartTag>
            </w:smartTag>
          </w:p>
          <w:p w14:paraId="4E378C3D" w14:textId="77777777" w:rsidR="00F26956" w:rsidRPr="002F2AA0" w:rsidRDefault="00F26956" w:rsidP="00F26956">
            <w:pPr>
              <w:ind w:left="601" w:hanging="601"/>
              <w:jc w:val="left"/>
              <w:rPr>
                <w:szCs w:val="24"/>
                <w:lang w:val="en-US"/>
              </w:rPr>
            </w:pPr>
          </w:p>
        </w:tc>
      </w:tr>
      <w:tr w:rsidR="00273002" w:rsidRPr="002F2AA0" w14:paraId="7D8985F8" w14:textId="77777777" w:rsidTr="00DC7701">
        <w:trPr>
          <w:trHeight w:val="661"/>
          <w:jc w:val="center"/>
        </w:trPr>
        <w:tc>
          <w:tcPr>
            <w:tcW w:w="10467" w:type="dxa"/>
            <w:tcBorders>
              <w:top w:val="nil"/>
              <w:left w:val="nil"/>
              <w:bottom w:val="nil"/>
              <w:right w:val="nil"/>
            </w:tcBorders>
            <w:shd w:val="clear" w:color="auto" w:fill="FFFFFF"/>
          </w:tcPr>
          <w:p w14:paraId="170A346A" w14:textId="77777777" w:rsidR="00273002" w:rsidRPr="002F2AA0" w:rsidRDefault="00273002" w:rsidP="00F26956">
            <w:pPr>
              <w:ind w:left="601" w:hanging="601"/>
              <w:jc w:val="left"/>
              <w:rPr>
                <w:szCs w:val="24"/>
                <w:lang w:val="en-US"/>
              </w:rPr>
            </w:pPr>
            <w:r>
              <w:rPr>
                <w:snapToGrid w:val="0"/>
              </w:rPr>
              <w:t xml:space="preserve">Bertok, I., J. Cofala, Z. Klimont, W. Schöpp, M. Amann, (1993) </w:t>
            </w:r>
            <w:r>
              <w:rPr>
                <w:i/>
                <w:snapToGrid w:val="0"/>
              </w:rPr>
              <w:t>Structure of the RAINS 7.0 Energy and Emissions Database,</w:t>
            </w:r>
            <w:r>
              <w:rPr>
                <w:snapToGrid w:val="0"/>
              </w:rPr>
              <w:t xml:space="preserve"> IIASA Working Paper, WP-93-67.</w:t>
            </w:r>
          </w:p>
        </w:tc>
      </w:tr>
      <w:tr w:rsidR="002F2AA0" w:rsidRPr="002F2AA0" w14:paraId="1B955DB5" w14:textId="77777777" w:rsidTr="004C546F">
        <w:trPr>
          <w:trHeight w:val="1080"/>
          <w:jc w:val="center"/>
        </w:trPr>
        <w:tc>
          <w:tcPr>
            <w:tcW w:w="10467" w:type="dxa"/>
            <w:tcBorders>
              <w:top w:val="nil"/>
              <w:left w:val="nil"/>
              <w:bottom w:val="nil"/>
              <w:right w:val="nil"/>
            </w:tcBorders>
            <w:shd w:val="clear" w:color="auto" w:fill="FFFFFF"/>
          </w:tcPr>
          <w:p w14:paraId="1FE57587" w14:textId="6BCD2468" w:rsidR="002F2AA0" w:rsidRDefault="002F2AA0" w:rsidP="00F26956">
            <w:pPr>
              <w:ind w:left="601" w:hanging="601"/>
              <w:jc w:val="left"/>
              <w:rPr>
                <w:szCs w:val="24"/>
                <w:lang w:val="en-US"/>
              </w:rPr>
            </w:pPr>
            <w:r w:rsidRPr="002F2AA0">
              <w:rPr>
                <w:szCs w:val="24"/>
                <w:lang w:val="en-US"/>
              </w:rPr>
              <w:t>Bertschi, I.T., Yokelson, R.J., Ward, D.E., Christian, T.J. a</w:t>
            </w:r>
            <w:r w:rsidR="00C75DFC">
              <w:rPr>
                <w:szCs w:val="24"/>
                <w:lang w:val="en-US"/>
              </w:rPr>
              <w:t>nd Hao, W.M. (2003) Trace gas e</w:t>
            </w:r>
            <w:r w:rsidRPr="002F2AA0">
              <w:rPr>
                <w:szCs w:val="24"/>
                <w:lang w:val="en-US"/>
              </w:rPr>
              <w:t>mi</w:t>
            </w:r>
            <w:r w:rsidR="00C75DFC">
              <w:rPr>
                <w:szCs w:val="24"/>
                <w:lang w:val="en-US"/>
              </w:rPr>
              <w:t>s</w:t>
            </w:r>
            <w:r w:rsidRPr="002F2AA0">
              <w:rPr>
                <w:szCs w:val="24"/>
                <w:lang w:val="en-US"/>
              </w:rPr>
              <w:t xml:space="preserve">sions from the production and use of domestic biofuels in Zambia measured by open-path Fourier transform infrared spectroscopy. </w:t>
            </w:r>
            <w:r w:rsidRPr="00C75DFC">
              <w:rPr>
                <w:i/>
                <w:szCs w:val="24"/>
                <w:lang w:val="en-US"/>
              </w:rPr>
              <w:t>Journal of Geophysical Research-Atmospheres</w:t>
            </w:r>
            <w:r w:rsidRPr="002F2AA0">
              <w:rPr>
                <w:szCs w:val="24"/>
                <w:lang w:val="en-US"/>
              </w:rPr>
              <w:t>, 108(D13), Art. No. 8469.</w:t>
            </w:r>
          </w:p>
          <w:p w14:paraId="40DA8E64" w14:textId="77777777" w:rsidR="00F26956" w:rsidRPr="002F2AA0" w:rsidRDefault="00F26956" w:rsidP="00F26956">
            <w:pPr>
              <w:ind w:left="601" w:hanging="601"/>
              <w:jc w:val="left"/>
              <w:rPr>
                <w:szCs w:val="24"/>
                <w:lang w:val="en-US"/>
              </w:rPr>
            </w:pPr>
          </w:p>
        </w:tc>
      </w:tr>
      <w:tr w:rsidR="002D2891" w:rsidRPr="002F2AA0" w14:paraId="351890AD" w14:textId="77777777" w:rsidTr="004C546F">
        <w:trPr>
          <w:trHeight w:val="675"/>
          <w:jc w:val="center"/>
        </w:trPr>
        <w:tc>
          <w:tcPr>
            <w:tcW w:w="10467" w:type="dxa"/>
            <w:tcBorders>
              <w:top w:val="nil"/>
              <w:left w:val="nil"/>
              <w:bottom w:val="nil"/>
              <w:right w:val="nil"/>
            </w:tcBorders>
            <w:shd w:val="clear" w:color="auto" w:fill="FFFFFF"/>
            <w:vAlign w:val="bottom"/>
          </w:tcPr>
          <w:p w14:paraId="7093912E" w14:textId="770DBADF" w:rsidR="002D2891" w:rsidRDefault="002D2891" w:rsidP="002D2891">
            <w:pPr>
              <w:ind w:left="601" w:hanging="601"/>
              <w:jc w:val="left"/>
              <w:rPr>
                <w:szCs w:val="24"/>
                <w:lang w:val="en-US"/>
              </w:rPr>
            </w:pPr>
            <w:r w:rsidRPr="002D2891">
              <w:rPr>
                <w:szCs w:val="24"/>
                <w:lang w:val="en-US"/>
              </w:rPr>
              <w:t xml:space="preserve">Bond, T.C., Streets, D.G., Yarber, K.F., Nelson, S.M., Woo, J.H., Klimont, Z. </w:t>
            </w:r>
            <w:r>
              <w:rPr>
                <w:szCs w:val="24"/>
                <w:lang w:val="en-US"/>
              </w:rPr>
              <w:t>(</w:t>
            </w:r>
            <w:r w:rsidRPr="002D2891">
              <w:rPr>
                <w:szCs w:val="24"/>
                <w:lang w:val="en-US"/>
              </w:rPr>
              <w:t>2004</w:t>
            </w:r>
            <w:r>
              <w:rPr>
                <w:szCs w:val="24"/>
                <w:lang w:val="en-US"/>
              </w:rPr>
              <w:t>)</w:t>
            </w:r>
            <w:r w:rsidRPr="002D2891">
              <w:rPr>
                <w:szCs w:val="24"/>
                <w:lang w:val="en-US"/>
              </w:rPr>
              <w:t xml:space="preserve"> A technology-based global inventory of black and organic carbon emissions from combustion. </w:t>
            </w:r>
            <w:r w:rsidRPr="002D2891">
              <w:rPr>
                <w:i/>
                <w:szCs w:val="24"/>
                <w:lang w:val="en-US"/>
              </w:rPr>
              <w:t>Journal of Geophysical Research-Atmospheres</w:t>
            </w:r>
            <w:r w:rsidRPr="002D2891">
              <w:rPr>
                <w:szCs w:val="24"/>
                <w:lang w:val="en-US"/>
              </w:rPr>
              <w:t xml:space="preserve"> 109, D14203. </w:t>
            </w:r>
            <w:hyperlink r:id="rId35" w:history="1">
              <w:r w:rsidR="00B35FE9" w:rsidRPr="00845CCA">
                <w:rPr>
                  <w:rStyle w:val="Hyperlink"/>
                  <w:szCs w:val="24"/>
                  <w:lang w:val="en-US"/>
                </w:rPr>
                <w:t>https://doi.org/10.1029/2003JD003697</w:t>
              </w:r>
            </w:hyperlink>
          </w:p>
          <w:p w14:paraId="4B3E6E41" w14:textId="5444DB07" w:rsidR="00B35FE9" w:rsidRPr="002F2AA0" w:rsidRDefault="00B35FE9" w:rsidP="002D2891">
            <w:pPr>
              <w:ind w:left="601" w:hanging="601"/>
              <w:jc w:val="left"/>
              <w:rPr>
                <w:szCs w:val="24"/>
                <w:lang w:val="en-US"/>
              </w:rPr>
            </w:pPr>
          </w:p>
        </w:tc>
      </w:tr>
      <w:tr w:rsidR="002F2AA0" w:rsidRPr="002F2AA0" w14:paraId="4B82794E" w14:textId="77777777" w:rsidTr="004C546F">
        <w:trPr>
          <w:trHeight w:val="675"/>
          <w:jc w:val="center"/>
        </w:trPr>
        <w:tc>
          <w:tcPr>
            <w:tcW w:w="10467" w:type="dxa"/>
            <w:tcBorders>
              <w:top w:val="nil"/>
              <w:left w:val="nil"/>
              <w:bottom w:val="nil"/>
              <w:right w:val="nil"/>
            </w:tcBorders>
            <w:shd w:val="clear" w:color="auto" w:fill="FFFFFF"/>
            <w:vAlign w:val="bottom"/>
          </w:tcPr>
          <w:p w14:paraId="4C38B841" w14:textId="77777777" w:rsidR="002F2AA0" w:rsidRDefault="002F2AA0" w:rsidP="00F26956">
            <w:pPr>
              <w:ind w:left="601" w:hanging="601"/>
              <w:jc w:val="left"/>
              <w:rPr>
                <w:szCs w:val="24"/>
                <w:lang w:val="en-US"/>
              </w:rPr>
            </w:pPr>
            <w:r w:rsidRPr="002F2AA0">
              <w:rPr>
                <w:szCs w:val="24"/>
                <w:lang w:val="en-US"/>
              </w:rPr>
              <w:t xml:space="preserve">Bouwman, A.F., Lee, D.S., Asman, W.A.H., Dentener, F.J., Van Der Hoek, K.W. and Olivier, J.G.J. (1997) A global high-resolution emission inventory for ammonia. </w:t>
            </w:r>
            <w:r w:rsidRPr="002F2AA0">
              <w:rPr>
                <w:i/>
                <w:iCs/>
                <w:szCs w:val="24"/>
                <w:lang w:val="en-US"/>
              </w:rPr>
              <w:t>Global Biogeochemical Cycles</w:t>
            </w:r>
            <w:r w:rsidRPr="002F2AA0">
              <w:rPr>
                <w:szCs w:val="24"/>
                <w:lang w:val="en-US"/>
              </w:rPr>
              <w:t xml:space="preserve">, </w:t>
            </w:r>
            <w:r w:rsidRPr="002F2AA0">
              <w:rPr>
                <w:b/>
                <w:bCs/>
                <w:szCs w:val="24"/>
                <w:lang w:val="en-US"/>
              </w:rPr>
              <w:t>11:</w:t>
            </w:r>
            <w:r w:rsidRPr="002F2AA0">
              <w:rPr>
                <w:szCs w:val="24"/>
                <w:lang w:val="en-US"/>
              </w:rPr>
              <w:t>561-587.</w:t>
            </w:r>
          </w:p>
          <w:p w14:paraId="370164BD" w14:textId="77777777" w:rsidR="00F26956" w:rsidRPr="002F2AA0" w:rsidRDefault="00F26956" w:rsidP="00F26956">
            <w:pPr>
              <w:ind w:left="601" w:hanging="601"/>
              <w:jc w:val="left"/>
              <w:rPr>
                <w:szCs w:val="24"/>
                <w:lang w:val="en-US"/>
              </w:rPr>
            </w:pPr>
          </w:p>
        </w:tc>
      </w:tr>
      <w:tr w:rsidR="002524D1" w:rsidRPr="002F2AA0" w14:paraId="70FFAAA2" w14:textId="77777777" w:rsidTr="004C546F">
        <w:trPr>
          <w:trHeight w:val="743"/>
          <w:jc w:val="center"/>
        </w:trPr>
        <w:tc>
          <w:tcPr>
            <w:tcW w:w="10467" w:type="dxa"/>
            <w:tcBorders>
              <w:top w:val="nil"/>
              <w:left w:val="nil"/>
              <w:bottom w:val="nil"/>
              <w:right w:val="nil"/>
            </w:tcBorders>
            <w:shd w:val="clear" w:color="auto" w:fill="FFFFFF"/>
            <w:vAlign w:val="bottom"/>
          </w:tcPr>
          <w:p w14:paraId="67748C96" w14:textId="12F50492" w:rsidR="002524D1" w:rsidRPr="002524D1" w:rsidRDefault="002524D1" w:rsidP="002524D1">
            <w:pPr>
              <w:pStyle w:val="FootnoteText"/>
              <w:ind w:left="683" w:hanging="683"/>
              <w:rPr>
                <w:sz w:val="24"/>
                <w:szCs w:val="24"/>
              </w:rPr>
            </w:pPr>
            <w:r>
              <w:rPr>
                <w:sz w:val="24"/>
                <w:szCs w:val="24"/>
              </w:rPr>
              <w:t>European Environment Agency (20</w:t>
            </w:r>
            <w:r w:rsidR="008A226E">
              <w:rPr>
                <w:sz w:val="24"/>
                <w:szCs w:val="24"/>
              </w:rPr>
              <w:t>11</w:t>
            </w:r>
            <w:r>
              <w:rPr>
                <w:sz w:val="24"/>
                <w:szCs w:val="24"/>
              </w:rPr>
              <w:t xml:space="preserve">) </w:t>
            </w:r>
            <w:r w:rsidRPr="002524D1">
              <w:rPr>
                <w:sz w:val="24"/>
                <w:szCs w:val="24"/>
              </w:rPr>
              <w:t xml:space="preserve">COPERT </w:t>
            </w:r>
            <w:r w:rsidR="008A226E">
              <w:rPr>
                <w:sz w:val="24"/>
                <w:szCs w:val="24"/>
              </w:rPr>
              <w:t>4</w:t>
            </w:r>
            <w:r w:rsidRPr="002524D1">
              <w:rPr>
                <w:sz w:val="24"/>
                <w:szCs w:val="24"/>
              </w:rPr>
              <w:t xml:space="preserve"> Computer programme to calculate emission</w:t>
            </w:r>
            <w:r>
              <w:rPr>
                <w:sz w:val="24"/>
                <w:szCs w:val="24"/>
              </w:rPr>
              <w:t>s</w:t>
            </w:r>
            <w:r w:rsidRPr="002524D1">
              <w:rPr>
                <w:sz w:val="24"/>
                <w:szCs w:val="24"/>
              </w:rPr>
              <w:t xml:space="preserve"> from road transport (</w:t>
            </w:r>
            <w:r w:rsidR="008A226E" w:rsidRPr="008A226E">
              <w:rPr>
                <w:sz w:val="24"/>
                <w:szCs w:val="24"/>
              </w:rPr>
              <w:t>http://www.eea.europa.eu/publications/copert-4-2014-estimating-emissions</w:t>
            </w:r>
            <w:r w:rsidR="008A226E" w:rsidRPr="008A226E" w:rsidDel="008A226E">
              <w:rPr>
                <w:sz w:val="24"/>
                <w:szCs w:val="24"/>
              </w:rPr>
              <w:t xml:space="preserve"> </w:t>
            </w:r>
            <w:r w:rsidRPr="002524D1">
              <w:rPr>
                <w:sz w:val="24"/>
                <w:szCs w:val="24"/>
              </w:rPr>
              <w:t>).</w:t>
            </w:r>
          </w:p>
          <w:p w14:paraId="7D423BDE" w14:textId="77777777" w:rsidR="002524D1" w:rsidRPr="002524D1" w:rsidRDefault="002524D1" w:rsidP="00F26956">
            <w:pPr>
              <w:ind w:left="601" w:hanging="601"/>
              <w:jc w:val="left"/>
              <w:rPr>
                <w:szCs w:val="24"/>
              </w:rPr>
            </w:pPr>
          </w:p>
        </w:tc>
      </w:tr>
      <w:tr w:rsidR="002F2AA0" w:rsidRPr="008A4453" w14:paraId="1AAE2448" w14:textId="77777777" w:rsidTr="004C546F">
        <w:trPr>
          <w:trHeight w:val="998"/>
          <w:jc w:val="center"/>
        </w:trPr>
        <w:tc>
          <w:tcPr>
            <w:tcW w:w="10467" w:type="dxa"/>
            <w:tcBorders>
              <w:top w:val="nil"/>
              <w:left w:val="nil"/>
              <w:bottom w:val="nil"/>
              <w:right w:val="nil"/>
            </w:tcBorders>
            <w:shd w:val="clear" w:color="auto" w:fill="FFFFFF"/>
            <w:vAlign w:val="bottom"/>
          </w:tcPr>
          <w:p w14:paraId="3241510C" w14:textId="77777777" w:rsidR="00C75DFC" w:rsidRDefault="008A226E" w:rsidP="008A226E">
            <w:pPr>
              <w:ind w:left="601" w:hanging="601"/>
              <w:jc w:val="left"/>
              <w:rPr>
                <w:szCs w:val="24"/>
                <w:lang w:val="en-US"/>
              </w:rPr>
            </w:pPr>
            <w:r w:rsidRPr="008A226E">
              <w:rPr>
                <w:szCs w:val="24"/>
                <w:lang w:val="en-US"/>
              </w:rPr>
              <w:t xml:space="preserve">EMEP/EEA </w:t>
            </w:r>
            <w:r w:rsidR="00C75DFC">
              <w:rPr>
                <w:szCs w:val="24"/>
                <w:lang w:val="en-US"/>
              </w:rPr>
              <w:t>(</w:t>
            </w:r>
            <w:r w:rsidRPr="008A226E">
              <w:rPr>
                <w:szCs w:val="24"/>
                <w:lang w:val="en-US"/>
              </w:rPr>
              <w:t>2016</w:t>
            </w:r>
            <w:r w:rsidR="00C75DFC">
              <w:rPr>
                <w:szCs w:val="24"/>
                <w:lang w:val="en-US"/>
              </w:rPr>
              <w:t>)</w:t>
            </w:r>
            <w:r w:rsidRPr="008A226E">
              <w:rPr>
                <w:szCs w:val="24"/>
                <w:lang w:val="en-US"/>
              </w:rPr>
              <w:t xml:space="preserve"> Air pollutant emission inventory guidebook 2016.  EEA Technical report No 21/2016. Updated July 2018, European Environment Agency </w:t>
            </w:r>
          </w:p>
          <w:p w14:paraId="45EB7ED7" w14:textId="74E76F0C" w:rsidR="00F26956" w:rsidRDefault="00C75DFC" w:rsidP="008A226E">
            <w:pPr>
              <w:ind w:left="601" w:hanging="601"/>
              <w:jc w:val="left"/>
              <w:rPr>
                <w:szCs w:val="24"/>
                <w:lang w:val="en-US"/>
              </w:rPr>
            </w:pPr>
            <w:r>
              <w:rPr>
                <w:szCs w:val="24"/>
                <w:lang w:val="en-US"/>
              </w:rPr>
              <w:tab/>
            </w:r>
            <w:hyperlink r:id="rId36" w:history="1">
              <w:r w:rsidR="004C546F" w:rsidRPr="00845CCA">
                <w:rPr>
                  <w:rStyle w:val="Hyperlink"/>
                  <w:szCs w:val="24"/>
                  <w:lang w:val="en-US"/>
                </w:rPr>
                <w:t>https://www.eea.europa.eu/publications/emep-eea-guidebook-2016</w:t>
              </w:r>
            </w:hyperlink>
          </w:p>
          <w:p w14:paraId="1D568161" w14:textId="6253DA53" w:rsidR="004C546F" w:rsidRPr="008A4453" w:rsidRDefault="004C546F" w:rsidP="008A226E">
            <w:pPr>
              <w:ind w:left="601" w:hanging="601"/>
              <w:jc w:val="left"/>
              <w:rPr>
                <w:szCs w:val="24"/>
                <w:lang w:val="nb-NO"/>
              </w:rPr>
            </w:pPr>
          </w:p>
        </w:tc>
      </w:tr>
      <w:tr w:rsidR="002F2AA0" w:rsidRPr="002F2AA0" w14:paraId="55C68D21" w14:textId="77777777" w:rsidTr="004C546F">
        <w:trPr>
          <w:trHeight w:val="585"/>
          <w:jc w:val="center"/>
        </w:trPr>
        <w:tc>
          <w:tcPr>
            <w:tcW w:w="10467" w:type="dxa"/>
            <w:tcBorders>
              <w:top w:val="nil"/>
              <w:left w:val="nil"/>
              <w:bottom w:val="nil"/>
              <w:right w:val="nil"/>
            </w:tcBorders>
            <w:shd w:val="clear" w:color="auto" w:fill="FFFFFF"/>
            <w:vAlign w:val="bottom"/>
          </w:tcPr>
          <w:p w14:paraId="479FAAAE" w14:textId="10801B90" w:rsidR="00F26956" w:rsidRDefault="00F47D45" w:rsidP="00F26956">
            <w:pPr>
              <w:ind w:left="601" w:hanging="601"/>
              <w:jc w:val="left"/>
            </w:pPr>
            <w:r w:rsidRPr="00FF44D2">
              <w:rPr>
                <w:lang w:val="it-IT"/>
              </w:rPr>
              <w:t>FAOSTAT</w:t>
            </w:r>
            <w:r>
              <w:rPr>
                <w:lang w:val="it-IT"/>
              </w:rPr>
              <w:t xml:space="preserve"> </w:t>
            </w:r>
            <w:r w:rsidR="004C546F">
              <w:rPr>
                <w:lang w:val="it-IT"/>
              </w:rPr>
              <w:t xml:space="preserve">Database. </w:t>
            </w:r>
            <w:r>
              <w:rPr>
                <w:lang w:val="it-IT"/>
              </w:rPr>
              <w:t xml:space="preserve">Food and Agricultural Organisation of the United Nations. </w:t>
            </w:r>
            <w:r w:rsidR="004C546F" w:rsidRPr="004C546F">
              <w:rPr>
                <w:lang w:val="it-IT"/>
              </w:rPr>
              <w:t>http://www.fao.org/faostat/en/#data</w:t>
            </w:r>
          </w:p>
          <w:p w14:paraId="7687E0C3" w14:textId="70715A3C" w:rsidR="004C546F" w:rsidRPr="00B37E07" w:rsidRDefault="004C546F" w:rsidP="00F26956">
            <w:pPr>
              <w:ind w:left="601" w:hanging="601"/>
              <w:jc w:val="left"/>
              <w:rPr>
                <w:lang w:val="it-IT"/>
              </w:rPr>
            </w:pPr>
          </w:p>
        </w:tc>
      </w:tr>
      <w:tr w:rsidR="002D2891" w:rsidRPr="002F2AA0" w14:paraId="34DB01B7" w14:textId="77777777" w:rsidTr="004C546F">
        <w:trPr>
          <w:trHeight w:val="300"/>
          <w:jc w:val="center"/>
        </w:trPr>
        <w:tc>
          <w:tcPr>
            <w:tcW w:w="10467" w:type="dxa"/>
            <w:tcBorders>
              <w:top w:val="nil"/>
              <w:left w:val="nil"/>
              <w:bottom w:val="nil"/>
              <w:right w:val="nil"/>
            </w:tcBorders>
            <w:shd w:val="clear" w:color="auto" w:fill="FFFFFF"/>
            <w:vAlign w:val="bottom"/>
          </w:tcPr>
          <w:p w14:paraId="11EBD746" w14:textId="59B7D365" w:rsidR="002D2891" w:rsidRDefault="002D2891" w:rsidP="004C546F">
            <w:pPr>
              <w:ind w:left="601" w:hanging="601"/>
              <w:jc w:val="left"/>
              <w:rPr>
                <w:szCs w:val="24"/>
                <w:lang w:val="en-US"/>
              </w:rPr>
            </w:pPr>
            <w:r w:rsidRPr="002D2891">
              <w:rPr>
                <w:szCs w:val="24"/>
                <w:lang w:val="en-US"/>
              </w:rPr>
              <w:t xml:space="preserve">Gillies, J.A., Etyemezian, V., Kuhns, H., Nikolic, D., Gillette, D.A. </w:t>
            </w:r>
            <w:r>
              <w:rPr>
                <w:szCs w:val="24"/>
                <w:lang w:val="en-US"/>
              </w:rPr>
              <w:t>(</w:t>
            </w:r>
            <w:r w:rsidRPr="002D2891">
              <w:rPr>
                <w:szCs w:val="24"/>
                <w:lang w:val="en-US"/>
              </w:rPr>
              <w:t>2005</w:t>
            </w:r>
            <w:r>
              <w:rPr>
                <w:szCs w:val="24"/>
                <w:lang w:val="en-US"/>
              </w:rPr>
              <w:t>)</w:t>
            </w:r>
            <w:r w:rsidRPr="002D2891">
              <w:rPr>
                <w:szCs w:val="24"/>
                <w:lang w:val="en-US"/>
              </w:rPr>
              <w:t xml:space="preserve"> Effect of vehicle characteristics on unpaved road dust emissions. </w:t>
            </w:r>
            <w:r w:rsidRPr="002D2891">
              <w:rPr>
                <w:i/>
                <w:szCs w:val="24"/>
                <w:lang w:val="en-US"/>
              </w:rPr>
              <w:t>Atmospheric Environment</w:t>
            </w:r>
            <w:r w:rsidRPr="002D2891">
              <w:rPr>
                <w:szCs w:val="24"/>
                <w:lang w:val="en-US"/>
              </w:rPr>
              <w:t xml:space="preserve"> 39:2341-2347.</w:t>
            </w:r>
          </w:p>
          <w:p w14:paraId="539C7901" w14:textId="2A54CA91" w:rsidR="002D2891" w:rsidRDefault="002D2891" w:rsidP="004C546F">
            <w:pPr>
              <w:ind w:left="601" w:hanging="601"/>
              <w:jc w:val="left"/>
              <w:rPr>
                <w:szCs w:val="24"/>
                <w:lang w:val="en-US"/>
              </w:rPr>
            </w:pPr>
          </w:p>
        </w:tc>
      </w:tr>
      <w:tr w:rsidR="002F2AA0" w:rsidRPr="002F2AA0" w14:paraId="77922A10" w14:textId="77777777" w:rsidTr="004C546F">
        <w:trPr>
          <w:trHeight w:val="300"/>
          <w:jc w:val="center"/>
        </w:trPr>
        <w:tc>
          <w:tcPr>
            <w:tcW w:w="10467" w:type="dxa"/>
            <w:tcBorders>
              <w:top w:val="nil"/>
              <w:left w:val="nil"/>
              <w:bottom w:val="nil"/>
              <w:right w:val="nil"/>
            </w:tcBorders>
            <w:shd w:val="clear" w:color="auto" w:fill="FFFFFF"/>
            <w:vAlign w:val="bottom"/>
          </w:tcPr>
          <w:p w14:paraId="203DCAB6" w14:textId="4D653430" w:rsidR="00F26956" w:rsidRDefault="004C546F" w:rsidP="004C546F">
            <w:pPr>
              <w:ind w:left="601" w:hanging="601"/>
              <w:jc w:val="left"/>
              <w:rPr>
                <w:szCs w:val="24"/>
                <w:lang w:val="en-US"/>
              </w:rPr>
            </w:pPr>
            <w:r>
              <w:rPr>
                <w:szCs w:val="24"/>
                <w:lang w:val="en-US"/>
              </w:rPr>
              <w:t xml:space="preserve">IEA. </w:t>
            </w:r>
            <w:r w:rsidRPr="004C546F">
              <w:rPr>
                <w:szCs w:val="24"/>
                <w:lang w:val="en-US"/>
              </w:rPr>
              <w:t xml:space="preserve">World Energy Balances, International Energy Agency,   </w:t>
            </w:r>
            <w:hyperlink r:id="rId37" w:history="1">
              <w:r w:rsidR="00C75DFC" w:rsidRPr="00845CCA">
                <w:rPr>
                  <w:rStyle w:val="Hyperlink"/>
                  <w:szCs w:val="24"/>
                  <w:lang w:val="en-US"/>
                </w:rPr>
                <w:t>https://www.iea.org/statistics/?country=WORLD&amp;year=2016&amp;category=Energy%20supply&amp;indicator=TPESbySource&amp;mode=chart&amp;dataTable=BALANCES</w:t>
              </w:r>
            </w:hyperlink>
          </w:p>
          <w:p w14:paraId="2004EA03" w14:textId="1E4A3772" w:rsidR="00C75DFC" w:rsidRPr="002F2AA0" w:rsidRDefault="00C75DFC" w:rsidP="004C546F">
            <w:pPr>
              <w:ind w:left="601" w:hanging="601"/>
              <w:jc w:val="left"/>
              <w:rPr>
                <w:szCs w:val="24"/>
                <w:lang w:val="en-US"/>
              </w:rPr>
            </w:pPr>
          </w:p>
        </w:tc>
      </w:tr>
      <w:tr w:rsidR="002F2AA0" w:rsidRPr="002F2AA0" w14:paraId="5938523A" w14:textId="77777777" w:rsidTr="004C546F">
        <w:trPr>
          <w:trHeight w:val="638"/>
          <w:jc w:val="center"/>
        </w:trPr>
        <w:tc>
          <w:tcPr>
            <w:tcW w:w="10467" w:type="dxa"/>
            <w:tcBorders>
              <w:top w:val="nil"/>
              <w:left w:val="nil"/>
              <w:bottom w:val="nil"/>
              <w:right w:val="nil"/>
            </w:tcBorders>
            <w:shd w:val="clear" w:color="auto" w:fill="auto"/>
            <w:vAlign w:val="bottom"/>
          </w:tcPr>
          <w:p w14:paraId="5638B9AF" w14:textId="78B9198D" w:rsidR="00C75DFC" w:rsidRPr="002F2AA0" w:rsidRDefault="00B10729" w:rsidP="00B35FE9">
            <w:pPr>
              <w:ind w:left="601" w:hanging="601"/>
              <w:jc w:val="left"/>
              <w:rPr>
                <w:color w:val="000000"/>
                <w:szCs w:val="24"/>
                <w:lang w:val="en-US"/>
              </w:rPr>
            </w:pPr>
            <w:r>
              <w:rPr>
                <w:color w:val="000000"/>
                <w:szCs w:val="24"/>
                <w:lang w:val="en-US"/>
              </w:rPr>
              <w:t>IISI (</w:t>
            </w:r>
            <w:r w:rsidR="004C546F" w:rsidRPr="004C546F">
              <w:rPr>
                <w:color w:val="000000"/>
                <w:szCs w:val="24"/>
                <w:lang w:val="en-US"/>
              </w:rPr>
              <w:t xml:space="preserve">International Iron and Steel Institute), Steel Statistical Yearbooks  </w:t>
            </w:r>
            <w:hyperlink r:id="rId38" w:history="1">
              <w:r w:rsidR="00C75DFC" w:rsidRPr="00845CCA">
                <w:rPr>
                  <w:rStyle w:val="Hyperlink"/>
                  <w:szCs w:val="24"/>
                  <w:lang w:val="en-US"/>
                </w:rPr>
                <w:t>https://www.worldsteel.org/steel-by-topic/statistics/steel-statistical-yearbook.html</w:t>
              </w:r>
            </w:hyperlink>
          </w:p>
        </w:tc>
      </w:tr>
      <w:tr w:rsidR="002F2AA0" w:rsidRPr="004B057D" w14:paraId="6444803B" w14:textId="77777777" w:rsidTr="004C546F">
        <w:trPr>
          <w:trHeight w:val="1309"/>
          <w:jc w:val="center"/>
        </w:trPr>
        <w:tc>
          <w:tcPr>
            <w:tcW w:w="10467" w:type="dxa"/>
            <w:tcBorders>
              <w:top w:val="nil"/>
              <w:left w:val="nil"/>
              <w:bottom w:val="nil"/>
              <w:right w:val="nil"/>
            </w:tcBorders>
            <w:shd w:val="clear" w:color="auto" w:fill="FFFFFF"/>
            <w:vAlign w:val="bottom"/>
          </w:tcPr>
          <w:p w14:paraId="60B76B3C" w14:textId="4E8022F7" w:rsidR="00273002" w:rsidRDefault="002F2AA0" w:rsidP="00273002">
            <w:pPr>
              <w:pStyle w:val="FootnoteText"/>
              <w:ind w:left="683" w:hanging="683"/>
              <w:rPr>
                <w:snapToGrid w:val="0"/>
                <w:sz w:val="24"/>
                <w:szCs w:val="24"/>
              </w:rPr>
            </w:pPr>
            <w:r w:rsidRPr="00273002">
              <w:rPr>
                <w:sz w:val="24"/>
                <w:szCs w:val="24"/>
                <w:lang w:val="en-US"/>
              </w:rPr>
              <w:lastRenderedPageBreak/>
              <w:t>IPCC (Intergovernmental  Panel  on  Climate  Change)</w:t>
            </w:r>
            <w:r w:rsidR="00B10729">
              <w:rPr>
                <w:sz w:val="24"/>
                <w:szCs w:val="24"/>
                <w:lang w:val="en-US"/>
              </w:rPr>
              <w:t>.</w:t>
            </w:r>
            <w:r w:rsidRPr="00273002">
              <w:rPr>
                <w:sz w:val="24"/>
                <w:szCs w:val="24"/>
                <w:lang w:val="en-US"/>
              </w:rPr>
              <w:t xml:space="preserve">  (1996), </w:t>
            </w:r>
            <w:r w:rsidR="00273002" w:rsidRPr="00273002">
              <w:rPr>
                <w:i/>
                <w:sz w:val="24"/>
                <w:szCs w:val="24"/>
              </w:rPr>
              <w:t xml:space="preserve">Revised 1996 IPCC Guidelines for National Greenhouse Gas Inventories </w:t>
            </w:r>
            <w:r w:rsidR="00273002" w:rsidRPr="00273002">
              <w:rPr>
                <w:sz w:val="24"/>
                <w:szCs w:val="24"/>
              </w:rPr>
              <w:t>(Available via Internet</w:t>
            </w:r>
            <w:r w:rsidR="00273002" w:rsidRPr="00273002">
              <w:rPr>
                <w:sz w:val="24"/>
                <w:szCs w:val="24"/>
                <w:u w:val="single"/>
              </w:rPr>
              <w:t>:</w:t>
            </w:r>
            <w:r w:rsidR="00273002" w:rsidRPr="00273002">
              <w:rPr>
                <w:snapToGrid w:val="0"/>
                <w:sz w:val="24"/>
                <w:szCs w:val="24"/>
              </w:rPr>
              <w:t xml:space="preserve"> </w:t>
            </w:r>
            <w:hyperlink r:id="rId39" w:history="1">
              <w:r w:rsidR="00B37E07" w:rsidRPr="00B37E07">
                <w:rPr>
                  <w:rStyle w:val="Hyperlink"/>
                  <w:snapToGrid w:val="0"/>
                  <w:sz w:val="24"/>
                  <w:szCs w:val="24"/>
                </w:rPr>
                <w:t>http://www.ipcc-nggip.iges.or.jp/public/gl/invs1.htm</w:t>
              </w:r>
            </w:hyperlink>
            <w:r w:rsidR="00273002" w:rsidRPr="00B37E07">
              <w:rPr>
                <w:snapToGrid w:val="0"/>
                <w:sz w:val="24"/>
                <w:szCs w:val="24"/>
              </w:rPr>
              <w:t>).</w:t>
            </w:r>
          </w:p>
          <w:p w14:paraId="7799D9C6" w14:textId="26B13388" w:rsidR="00F26956" w:rsidRPr="004B057D" w:rsidRDefault="002F2AA0" w:rsidP="00C75DFC">
            <w:pPr>
              <w:jc w:val="left"/>
              <w:rPr>
                <w:szCs w:val="24"/>
                <w:lang w:val="en-US"/>
              </w:rPr>
            </w:pPr>
            <w:r w:rsidRPr="00273002">
              <w:rPr>
                <w:szCs w:val="24"/>
                <w:lang w:val="en-US"/>
              </w:rPr>
              <w:t xml:space="preserve"> </w:t>
            </w:r>
          </w:p>
        </w:tc>
      </w:tr>
      <w:tr w:rsidR="006B2E6E" w:rsidRPr="002F2AA0" w14:paraId="1E1EF8B9" w14:textId="77777777" w:rsidTr="004C546F">
        <w:trPr>
          <w:trHeight w:val="735"/>
          <w:jc w:val="center"/>
        </w:trPr>
        <w:tc>
          <w:tcPr>
            <w:tcW w:w="10467" w:type="dxa"/>
            <w:tcBorders>
              <w:top w:val="nil"/>
              <w:left w:val="nil"/>
              <w:bottom w:val="nil"/>
              <w:right w:val="nil"/>
            </w:tcBorders>
            <w:shd w:val="clear" w:color="auto" w:fill="FFFFFF"/>
          </w:tcPr>
          <w:p w14:paraId="32F848A7" w14:textId="77777777" w:rsidR="006B2E6E" w:rsidRPr="00273002" w:rsidRDefault="006B2E6E" w:rsidP="00B37E07">
            <w:pPr>
              <w:autoSpaceDE w:val="0"/>
              <w:autoSpaceDN w:val="0"/>
              <w:adjustRightInd w:val="0"/>
              <w:ind w:left="683" w:hanging="709"/>
              <w:jc w:val="left"/>
            </w:pPr>
            <w:r w:rsidRPr="00273002">
              <w:rPr>
                <w:lang w:val="en-US"/>
              </w:rPr>
              <w:t>IPCC (Intergovernmental  Panel  on  Climate  Change)  (</w:t>
            </w:r>
            <w:r>
              <w:rPr>
                <w:lang w:val="en-US"/>
              </w:rPr>
              <w:t>2006</w:t>
            </w:r>
            <w:r w:rsidRPr="00273002">
              <w:rPr>
                <w:lang w:val="en-US"/>
              </w:rPr>
              <w:t xml:space="preserve">), </w:t>
            </w:r>
            <w:r w:rsidR="00F3552E" w:rsidRPr="00F3552E">
              <w:rPr>
                <w:i/>
                <w:lang w:val="en-US"/>
              </w:rPr>
              <w:t>2006</w:t>
            </w:r>
            <w:r w:rsidR="00CD5DED" w:rsidRPr="00F3552E">
              <w:rPr>
                <w:rFonts w:ascii="TimesNewRomanPSMT" w:hAnsi="TimesNewRomanPSMT" w:cs="TimesNewRomanPSMT"/>
                <w:i/>
                <w:lang w:val="en-US"/>
              </w:rPr>
              <w:t xml:space="preserve"> IPCC Guidelines for National Greenhouse Gas Inventories</w:t>
            </w:r>
            <w:r w:rsidR="00CD5DED">
              <w:t xml:space="preserve"> </w:t>
            </w:r>
            <w:hyperlink r:id="rId40" w:history="1">
              <w:r w:rsidR="00B37E07" w:rsidRPr="00B37E07">
                <w:rPr>
                  <w:rStyle w:val="Hyperlink"/>
                </w:rPr>
                <w:t>http://www.ipcc-nggip.iges.or.jp/public/2006gl/index.htm</w:t>
              </w:r>
            </w:hyperlink>
          </w:p>
          <w:p w14:paraId="7A07F3C0" w14:textId="77777777" w:rsidR="006B2E6E" w:rsidRPr="006B2E6E" w:rsidRDefault="006B2E6E" w:rsidP="00F26956">
            <w:pPr>
              <w:ind w:left="601" w:hanging="601"/>
              <w:jc w:val="left"/>
              <w:rPr>
                <w:szCs w:val="24"/>
              </w:rPr>
            </w:pPr>
          </w:p>
        </w:tc>
      </w:tr>
      <w:tr w:rsidR="002F2AA0" w:rsidRPr="002F2AA0" w14:paraId="5C3EBC44" w14:textId="77777777" w:rsidTr="004C546F">
        <w:trPr>
          <w:trHeight w:val="638"/>
          <w:jc w:val="center"/>
        </w:trPr>
        <w:tc>
          <w:tcPr>
            <w:tcW w:w="10467" w:type="dxa"/>
            <w:tcBorders>
              <w:top w:val="nil"/>
              <w:left w:val="nil"/>
              <w:bottom w:val="nil"/>
              <w:right w:val="nil"/>
            </w:tcBorders>
            <w:shd w:val="clear" w:color="auto" w:fill="FFFFFF"/>
            <w:vAlign w:val="bottom"/>
          </w:tcPr>
          <w:p w14:paraId="7A5D0C0C" w14:textId="77777777" w:rsidR="002F2AA0" w:rsidRDefault="002F2AA0" w:rsidP="00F26956">
            <w:pPr>
              <w:ind w:left="601" w:hanging="601"/>
              <w:jc w:val="left"/>
              <w:rPr>
                <w:szCs w:val="24"/>
                <w:lang w:val="en-US"/>
              </w:rPr>
            </w:pPr>
            <w:r w:rsidRPr="002F2AA0">
              <w:rPr>
                <w:szCs w:val="24"/>
                <w:lang w:val="en-US"/>
              </w:rPr>
              <w:t xml:space="preserve">Kato, N. &amp; Akimoto, H. (1992), Anthropogenic emissions of SO2 and NOx in </w:t>
            </w:r>
            <w:smartTag w:uri="urn:schemas-microsoft-com:office:smarttags" w:element="place">
              <w:r w:rsidRPr="002F2AA0">
                <w:rPr>
                  <w:szCs w:val="24"/>
                  <w:lang w:val="en-US"/>
                </w:rPr>
                <w:t>Asia</w:t>
              </w:r>
            </w:smartTag>
            <w:r w:rsidRPr="002F2AA0">
              <w:rPr>
                <w:szCs w:val="24"/>
                <w:lang w:val="en-US"/>
              </w:rPr>
              <w:t xml:space="preserve">: Emission Inventories, </w:t>
            </w:r>
            <w:r w:rsidRPr="002F2AA0">
              <w:rPr>
                <w:i/>
                <w:iCs/>
                <w:szCs w:val="24"/>
                <w:lang w:val="en-US"/>
              </w:rPr>
              <w:t xml:space="preserve">Atmospheric Environment </w:t>
            </w:r>
            <w:r w:rsidRPr="002F2AA0">
              <w:rPr>
                <w:szCs w:val="24"/>
                <w:lang w:val="en-US"/>
              </w:rPr>
              <w:t xml:space="preserve">26A:2997-3017. </w:t>
            </w:r>
          </w:p>
          <w:p w14:paraId="5EA432D3" w14:textId="77777777" w:rsidR="00F26956" w:rsidRPr="002F2AA0" w:rsidRDefault="00F26956" w:rsidP="00F26956">
            <w:pPr>
              <w:ind w:left="601" w:hanging="601"/>
              <w:jc w:val="left"/>
              <w:rPr>
                <w:szCs w:val="24"/>
                <w:lang w:val="en-US"/>
              </w:rPr>
            </w:pPr>
          </w:p>
        </w:tc>
      </w:tr>
      <w:tr w:rsidR="00C75DFC" w:rsidRPr="002F2AA0" w14:paraId="04419514" w14:textId="77777777" w:rsidTr="004C546F">
        <w:trPr>
          <w:trHeight w:val="960"/>
          <w:jc w:val="center"/>
        </w:trPr>
        <w:tc>
          <w:tcPr>
            <w:tcW w:w="10467" w:type="dxa"/>
            <w:tcBorders>
              <w:top w:val="nil"/>
              <w:left w:val="nil"/>
              <w:bottom w:val="nil"/>
              <w:right w:val="nil"/>
            </w:tcBorders>
            <w:shd w:val="clear" w:color="auto" w:fill="auto"/>
            <w:vAlign w:val="bottom"/>
          </w:tcPr>
          <w:p w14:paraId="6F48D597" w14:textId="74F8F233" w:rsidR="00C75DFC" w:rsidRDefault="00C75DFC" w:rsidP="00C75DFC">
            <w:pPr>
              <w:jc w:val="left"/>
              <w:rPr>
                <w:szCs w:val="24"/>
                <w:lang w:val="en-US"/>
              </w:rPr>
            </w:pPr>
            <w:r w:rsidRPr="00C75DFC">
              <w:rPr>
                <w:szCs w:val="24"/>
                <w:lang w:val="en-US"/>
              </w:rPr>
              <w:t xml:space="preserve">OICA (2019) Vehicles in use by country and type 2005-2015. International Organization of Motor </w:t>
            </w:r>
            <w:r w:rsidR="00B35FE9">
              <w:rPr>
                <w:szCs w:val="24"/>
                <w:lang w:val="en-US"/>
              </w:rPr>
              <w:tab/>
            </w:r>
            <w:r w:rsidRPr="00C75DFC">
              <w:rPr>
                <w:szCs w:val="24"/>
                <w:lang w:val="en-US"/>
              </w:rPr>
              <w:t xml:space="preserve">Vehicle Manufacturers </w:t>
            </w:r>
            <w:hyperlink r:id="rId41" w:history="1">
              <w:r w:rsidRPr="00845CCA">
                <w:rPr>
                  <w:rStyle w:val="Hyperlink"/>
                  <w:szCs w:val="24"/>
                  <w:lang w:val="en-US"/>
                </w:rPr>
                <w:t>http://www.oica.net/category/vehicles-in-use/</w:t>
              </w:r>
            </w:hyperlink>
          </w:p>
          <w:p w14:paraId="3A30FC08" w14:textId="7CBCBA6D" w:rsidR="00C75DFC" w:rsidRPr="002F2AA0" w:rsidRDefault="00C75DFC" w:rsidP="00C75DFC">
            <w:pPr>
              <w:jc w:val="left"/>
              <w:rPr>
                <w:szCs w:val="24"/>
                <w:lang w:val="en-US"/>
              </w:rPr>
            </w:pPr>
          </w:p>
        </w:tc>
      </w:tr>
      <w:tr w:rsidR="00F26956" w:rsidRPr="002F2AA0" w14:paraId="7B87FFE4" w14:textId="77777777" w:rsidTr="004C546F">
        <w:trPr>
          <w:trHeight w:val="638"/>
          <w:jc w:val="center"/>
        </w:trPr>
        <w:tc>
          <w:tcPr>
            <w:tcW w:w="10467" w:type="dxa"/>
            <w:tcBorders>
              <w:top w:val="nil"/>
              <w:left w:val="nil"/>
              <w:bottom w:val="nil"/>
              <w:right w:val="nil"/>
            </w:tcBorders>
            <w:shd w:val="clear" w:color="auto" w:fill="FFFFFF"/>
            <w:vAlign w:val="bottom"/>
          </w:tcPr>
          <w:p w14:paraId="0FE998A9" w14:textId="77777777" w:rsidR="00F26956" w:rsidRPr="00F26956" w:rsidRDefault="00F26956" w:rsidP="00F26956">
            <w:pPr>
              <w:pStyle w:val="FootnoteText"/>
              <w:ind w:left="683" w:hanging="683"/>
              <w:rPr>
                <w:snapToGrid w:val="0"/>
                <w:sz w:val="24"/>
                <w:szCs w:val="24"/>
              </w:rPr>
            </w:pPr>
            <w:r w:rsidRPr="00F26956">
              <w:rPr>
                <w:snapToGrid w:val="0"/>
                <w:sz w:val="24"/>
                <w:szCs w:val="24"/>
              </w:rPr>
              <w:t xml:space="preserve">Radian Corporation (1990) </w:t>
            </w:r>
            <w:r w:rsidRPr="00F26956">
              <w:rPr>
                <w:i/>
                <w:snapToGrid w:val="0"/>
                <w:sz w:val="24"/>
                <w:szCs w:val="24"/>
              </w:rPr>
              <w:t>Emissions and Cost Estimates for Globally Significant Anthropogenic Combustion Sources of NO</w:t>
            </w:r>
            <w:r w:rsidRPr="00F26956">
              <w:rPr>
                <w:i/>
                <w:snapToGrid w:val="0"/>
                <w:sz w:val="24"/>
                <w:szCs w:val="24"/>
                <w:vertAlign w:val="subscript"/>
              </w:rPr>
              <w:t>x</w:t>
            </w:r>
            <w:r w:rsidR="00273002">
              <w:rPr>
                <w:i/>
                <w:snapToGrid w:val="0"/>
                <w:sz w:val="24"/>
                <w:szCs w:val="24"/>
                <w:vertAlign w:val="subscript"/>
              </w:rPr>
              <w:t>,</w:t>
            </w:r>
            <w:r w:rsidRPr="00F26956">
              <w:rPr>
                <w:i/>
                <w:snapToGrid w:val="0"/>
                <w:sz w:val="24"/>
                <w:szCs w:val="24"/>
              </w:rPr>
              <w:t xml:space="preserve"> N</w:t>
            </w:r>
            <w:r w:rsidRPr="00F26956">
              <w:rPr>
                <w:i/>
                <w:snapToGrid w:val="0"/>
                <w:sz w:val="24"/>
                <w:szCs w:val="24"/>
                <w:vertAlign w:val="subscript"/>
              </w:rPr>
              <w:t>2</w:t>
            </w:r>
            <w:r w:rsidRPr="00F26956">
              <w:rPr>
                <w:i/>
                <w:snapToGrid w:val="0"/>
                <w:sz w:val="24"/>
                <w:szCs w:val="24"/>
              </w:rPr>
              <w:t>O, CH</w:t>
            </w:r>
            <w:r w:rsidRPr="00F26956">
              <w:rPr>
                <w:i/>
                <w:snapToGrid w:val="0"/>
                <w:sz w:val="24"/>
                <w:szCs w:val="24"/>
                <w:vertAlign w:val="subscript"/>
              </w:rPr>
              <w:t>4</w:t>
            </w:r>
            <w:r w:rsidR="00273002">
              <w:rPr>
                <w:i/>
                <w:snapToGrid w:val="0"/>
                <w:sz w:val="24"/>
                <w:szCs w:val="24"/>
              </w:rPr>
              <w:t>, CO</w:t>
            </w:r>
            <w:r w:rsidRPr="00F26956">
              <w:rPr>
                <w:i/>
                <w:snapToGrid w:val="0"/>
                <w:sz w:val="24"/>
                <w:szCs w:val="24"/>
              </w:rPr>
              <w:t xml:space="preserve"> and CO</w:t>
            </w:r>
            <w:r w:rsidRPr="00F26956">
              <w:rPr>
                <w:i/>
                <w:snapToGrid w:val="0"/>
                <w:sz w:val="24"/>
                <w:szCs w:val="24"/>
                <w:vertAlign w:val="subscript"/>
              </w:rPr>
              <w:t>2</w:t>
            </w:r>
            <w:r w:rsidRPr="00F26956">
              <w:rPr>
                <w:snapToGrid w:val="0"/>
                <w:sz w:val="24"/>
                <w:szCs w:val="24"/>
              </w:rPr>
              <w:t xml:space="preserve">.  Prepared for the Office of Research and Development, </w:t>
            </w:r>
            <w:smartTag w:uri="urn:schemas-microsoft-com:office:smarttags" w:element="country-region">
              <w:r w:rsidRPr="00F26956">
                <w:rPr>
                  <w:snapToGrid w:val="0"/>
                  <w:sz w:val="24"/>
                  <w:szCs w:val="24"/>
                </w:rPr>
                <w:t>US</w:t>
              </w:r>
            </w:smartTag>
            <w:r w:rsidRPr="00F26956">
              <w:rPr>
                <w:snapToGrid w:val="0"/>
                <w:sz w:val="24"/>
                <w:szCs w:val="24"/>
              </w:rPr>
              <w:t xml:space="preserve"> Environmental </w:t>
            </w:r>
            <w:smartTag w:uri="urn:schemas-microsoft-com:office:smarttags" w:element="City">
              <w:r w:rsidRPr="00F26956">
                <w:rPr>
                  <w:snapToGrid w:val="0"/>
                  <w:sz w:val="24"/>
                  <w:szCs w:val="24"/>
                </w:rPr>
                <w:t>Protection Agency</w:t>
              </w:r>
            </w:smartTag>
            <w:r w:rsidRPr="00F26956">
              <w:rPr>
                <w:snapToGrid w:val="0"/>
                <w:sz w:val="24"/>
                <w:szCs w:val="24"/>
              </w:rPr>
              <w:t xml:space="preserve">, </w:t>
            </w:r>
            <w:smartTag w:uri="urn:schemas-microsoft-com:office:smarttags" w:element="State">
              <w:r w:rsidRPr="00F26956">
                <w:rPr>
                  <w:snapToGrid w:val="0"/>
                  <w:sz w:val="24"/>
                  <w:szCs w:val="24"/>
                </w:rPr>
                <w:t>Washington</w:t>
              </w:r>
            </w:smartTag>
            <w:r w:rsidRPr="00F26956">
              <w:rPr>
                <w:snapToGrid w:val="0"/>
                <w:sz w:val="24"/>
                <w:szCs w:val="24"/>
              </w:rPr>
              <w:t xml:space="preserve">, D.C., </w:t>
            </w:r>
            <w:smartTag w:uri="urn:schemas-microsoft-com:office:smarttags" w:element="country-region">
              <w:smartTag w:uri="urn:schemas-microsoft-com:office:smarttags" w:element="place">
                <w:r w:rsidRPr="00F26956">
                  <w:rPr>
                    <w:snapToGrid w:val="0"/>
                    <w:sz w:val="24"/>
                    <w:szCs w:val="24"/>
                  </w:rPr>
                  <w:t>USA</w:t>
                </w:r>
              </w:smartTag>
            </w:smartTag>
          </w:p>
          <w:p w14:paraId="0F925307" w14:textId="77777777" w:rsidR="00F26956" w:rsidRPr="00F26956" w:rsidRDefault="00F26956" w:rsidP="00F26956">
            <w:pPr>
              <w:ind w:left="601" w:hanging="601"/>
              <w:jc w:val="left"/>
              <w:rPr>
                <w:szCs w:val="24"/>
              </w:rPr>
            </w:pPr>
          </w:p>
        </w:tc>
      </w:tr>
      <w:tr w:rsidR="002F2AA0" w:rsidRPr="002F2AA0" w14:paraId="586D69C2" w14:textId="77777777" w:rsidTr="004C546F">
        <w:trPr>
          <w:trHeight w:val="638"/>
          <w:jc w:val="center"/>
        </w:trPr>
        <w:tc>
          <w:tcPr>
            <w:tcW w:w="10467" w:type="dxa"/>
            <w:tcBorders>
              <w:top w:val="nil"/>
              <w:left w:val="nil"/>
              <w:bottom w:val="nil"/>
              <w:right w:val="nil"/>
            </w:tcBorders>
            <w:shd w:val="clear" w:color="auto" w:fill="FFFFFF"/>
            <w:vAlign w:val="bottom"/>
          </w:tcPr>
          <w:p w14:paraId="2B70D18E" w14:textId="77777777" w:rsidR="002F2AA0" w:rsidRDefault="002F2AA0" w:rsidP="00F26956">
            <w:pPr>
              <w:ind w:left="601" w:hanging="601"/>
              <w:jc w:val="left"/>
              <w:rPr>
                <w:szCs w:val="24"/>
                <w:lang w:val="en-US"/>
              </w:rPr>
            </w:pPr>
            <w:r w:rsidRPr="002F2AA0">
              <w:rPr>
                <w:szCs w:val="24"/>
                <w:lang w:val="en-US"/>
              </w:rPr>
              <w:t xml:space="preserve">Reddy, M.S. and Venkattaraman, C. (2002a) Inventory of aerosol and sulphur dioxide emissions from </w:t>
            </w:r>
            <w:smartTag w:uri="urn:schemas-microsoft-com:office:smarttags" w:element="country-region">
              <w:smartTag w:uri="urn:schemas-microsoft-com:office:smarttags" w:element="place">
                <w:r w:rsidRPr="002F2AA0">
                  <w:rPr>
                    <w:szCs w:val="24"/>
                    <w:lang w:val="en-US"/>
                  </w:rPr>
                  <w:t>India</w:t>
                </w:r>
              </w:smartTag>
            </w:smartTag>
            <w:r w:rsidRPr="002F2AA0">
              <w:rPr>
                <w:szCs w:val="24"/>
                <w:lang w:val="en-US"/>
              </w:rPr>
              <w:t xml:space="preserve">. Part I - Fossil fuel combustion. </w:t>
            </w:r>
            <w:r w:rsidRPr="002F2AA0">
              <w:rPr>
                <w:i/>
                <w:iCs/>
                <w:szCs w:val="24"/>
                <w:lang w:val="en-US"/>
              </w:rPr>
              <w:t>Atmospheric Environment</w:t>
            </w:r>
            <w:r w:rsidRPr="002F2AA0">
              <w:rPr>
                <w:szCs w:val="24"/>
                <w:lang w:val="en-US"/>
              </w:rPr>
              <w:t xml:space="preserve"> 36:677-697.</w:t>
            </w:r>
          </w:p>
          <w:p w14:paraId="2223F4A7" w14:textId="77777777" w:rsidR="00F26956" w:rsidRPr="002F2AA0" w:rsidRDefault="00F26956" w:rsidP="00F26956">
            <w:pPr>
              <w:ind w:left="601" w:hanging="601"/>
              <w:jc w:val="left"/>
              <w:rPr>
                <w:szCs w:val="24"/>
                <w:lang w:val="en-US"/>
              </w:rPr>
            </w:pPr>
          </w:p>
        </w:tc>
      </w:tr>
      <w:tr w:rsidR="002F2AA0" w:rsidRPr="002F2AA0" w14:paraId="559089C0" w14:textId="77777777" w:rsidTr="004C546F">
        <w:trPr>
          <w:trHeight w:val="638"/>
          <w:jc w:val="center"/>
        </w:trPr>
        <w:tc>
          <w:tcPr>
            <w:tcW w:w="10467" w:type="dxa"/>
            <w:tcBorders>
              <w:top w:val="nil"/>
              <w:left w:val="nil"/>
              <w:bottom w:val="nil"/>
              <w:right w:val="nil"/>
            </w:tcBorders>
            <w:shd w:val="clear" w:color="auto" w:fill="FFFFFF"/>
            <w:vAlign w:val="bottom"/>
          </w:tcPr>
          <w:p w14:paraId="787F0F11" w14:textId="77777777" w:rsidR="002F2AA0" w:rsidRDefault="002F2AA0" w:rsidP="00F26956">
            <w:pPr>
              <w:ind w:left="601" w:hanging="601"/>
              <w:jc w:val="left"/>
              <w:rPr>
                <w:szCs w:val="24"/>
                <w:lang w:val="en-US"/>
              </w:rPr>
            </w:pPr>
            <w:r w:rsidRPr="002F2AA0">
              <w:rPr>
                <w:szCs w:val="24"/>
                <w:lang w:val="en-US"/>
              </w:rPr>
              <w:t xml:space="preserve">Reddy, M.S. and Venkattaraman, C. (2002b) Inventory of aerosol and sulphur dioxide emissions from </w:t>
            </w:r>
            <w:smartTag w:uri="urn:schemas-microsoft-com:office:smarttags" w:element="country-region">
              <w:smartTag w:uri="urn:schemas-microsoft-com:office:smarttags" w:element="place">
                <w:r w:rsidRPr="002F2AA0">
                  <w:rPr>
                    <w:szCs w:val="24"/>
                    <w:lang w:val="en-US"/>
                  </w:rPr>
                  <w:t>India</w:t>
                </w:r>
              </w:smartTag>
            </w:smartTag>
            <w:r w:rsidRPr="002F2AA0">
              <w:rPr>
                <w:szCs w:val="24"/>
                <w:lang w:val="en-US"/>
              </w:rPr>
              <w:t xml:space="preserve">. Part II - biomass combustion. </w:t>
            </w:r>
            <w:r w:rsidRPr="002F2AA0">
              <w:rPr>
                <w:i/>
                <w:iCs/>
                <w:szCs w:val="24"/>
                <w:lang w:val="en-US"/>
              </w:rPr>
              <w:t>Atmospheric Environment</w:t>
            </w:r>
            <w:r w:rsidRPr="002F2AA0">
              <w:rPr>
                <w:szCs w:val="24"/>
                <w:lang w:val="en-US"/>
              </w:rPr>
              <w:t xml:space="preserve"> 36:699-712.</w:t>
            </w:r>
          </w:p>
          <w:p w14:paraId="3D71E5FA" w14:textId="77777777" w:rsidR="00F26956" w:rsidRPr="002F2AA0" w:rsidRDefault="00F26956" w:rsidP="00F26956">
            <w:pPr>
              <w:ind w:left="601" w:hanging="601"/>
              <w:jc w:val="left"/>
              <w:rPr>
                <w:szCs w:val="24"/>
                <w:lang w:val="en-US"/>
              </w:rPr>
            </w:pPr>
          </w:p>
        </w:tc>
      </w:tr>
      <w:tr w:rsidR="002F2AA0" w:rsidRPr="002F2AA0" w14:paraId="7D44D9DF" w14:textId="77777777" w:rsidTr="004C546F">
        <w:trPr>
          <w:trHeight w:val="638"/>
          <w:jc w:val="center"/>
        </w:trPr>
        <w:tc>
          <w:tcPr>
            <w:tcW w:w="10467" w:type="dxa"/>
            <w:tcBorders>
              <w:top w:val="nil"/>
              <w:left w:val="nil"/>
              <w:bottom w:val="nil"/>
              <w:right w:val="nil"/>
            </w:tcBorders>
            <w:shd w:val="clear" w:color="auto" w:fill="FFFFFF"/>
          </w:tcPr>
          <w:p w14:paraId="65D7126E" w14:textId="77777777" w:rsidR="002F2AA0" w:rsidRDefault="002F2AA0" w:rsidP="00F26956">
            <w:pPr>
              <w:ind w:left="601" w:hanging="601"/>
              <w:jc w:val="left"/>
              <w:rPr>
                <w:szCs w:val="24"/>
                <w:lang w:val="en-US"/>
              </w:rPr>
            </w:pPr>
            <w:r w:rsidRPr="002F2AA0">
              <w:rPr>
                <w:szCs w:val="24"/>
                <w:lang w:val="en-US"/>
              </w:rPr>
              <w:t xml:space="preserve">Sinha, P. et al. (2003) Emissions of trace gases and particles from savanna fires in southern </w:t>
            </w:r>
            <w:smartTag w:uri="urn:schemas-microsoft-com:office:smarttags" w:element="place">
              <w:r w:rsidRPr="002F2AA0">
                <w:rPr>
                  <w:szCs w:val="24"/>
                  <w:lang w:val="en-US"/>
                </w:rPr>
                <w:t>Africa</w:t>
              </w:r>
            </w:smartTag>
            <w:r w:rsidRPr="002F2AA0">
              <w:rPr>
                <w:szCs w:val="24"/>
                <w:lang w:val="en-US"/>
              </w:rPr>
              <w:t xml:space="preserve">. </w:t>
            </w:r>
            <w:r w:rsidRPr="002F2AA0">
              <w:rPr>
                <w:i/>
                <w:iCs/>
                <w:szCs w:val="24"/>
                <w:lang w:val="en-US"/>
              </w:rPr>
              <w:t>Journal of Geophysical Research</w:t>
            </w:r>
            <w:r w:rsidRPr="002F2AA0">
              <w:rPr>
                <w:szCs w:val="24"/>
                <w:lang w:val="en-US"/>
              </w:rPr>
              <w:t xml:space="preserve"> 108(D13), 8487, doi:10.1029/2002JD002325, 2003.</w:t>
            </w:r>
          </w:p>
          <w:p w14:paraId="06EAEAF8" w14:textId="77777777" w:rsidR="00F26956" w:rsidRPr="002F2AA0" w:rsidRDefault="00F26956" w:rsidP="00F26956">
            <w:pPr>
              <w:ind w:left="601" w:hanging="601"/>
              <w:jc w:val="left"/>
              <w:rPr>
                <w:szCs w:val="24"/>
                <w:lang w:val="en-US"/>
              </w:rPr>
            </w:pPr>
          </w:p>
        </w:tc>
      </w:tr>
      <w:tr w:rsidR="002F2AA0" w:rsidRPr="002F2AA0" w14:paraId="39E399C9" w14:textId="77777777" w:rsidTr="004C546F">
        <w:trPr>
          <w:trHeight w:val="638"/>
          <w:jc w:val="center"/>
        </w:trPr>
        <w:tc>
          <w:tcPr>
            <w:tcW w:w="10467" w:type="dxa"/>
            <w:tcBorders>
              <w:top w:val="nil"/>
              <w:left w:val="nil"/>
              <w:bottom w:val="nil"/>
              <w:right w:val="nil"/>
            </w:tcBorders>
            <w:shd w:val="clear" w:color="auto" w:fill="FFFFFF"/>
          </w:tcPr>
          <w:p w14:paraId="55673F8A" w14:textId="77777777" w:rsidR="002F2AA0" w:rsidRDefault="002F2AA0" w:rsidP="00F26956">
            <w:pPr>
              <w:ind w:left="601" w:hanging="601"/>
              <w:jc w:val="left"/>
              <w:rPr>
                <w:szCs w:val="24"/>
                <w:lang w:val="en-US"/>
              </w:rPr>
            </w:pPr>
            <w:r w:rsidRPr="002F2AA0">
              <w:rPr>
                <w:szCs w:val="24"/>
                <w:lang w:val="en-US"/>
              </w:rPr>
              <w:t xml:space="preserve">Smith, Kirk R. et al, (2000) Greenhouse Gases from Small-Scale Combustion Devices in Developing Countries: Phase IIA  Household Stoves in India. </w:t>
            </w:r>
            <w:smartTag w:uri="urn:schemas-microsoft-com:office:smarttags" w:element="country-region">
              <w:smartTag w:uri="urn:schemas-microsoft-com:office:smarttags" w:element="place">
                <w:r w:rsidRPr="002F2AA0">
                  <w:rPr>
                    <w:szCs w:val="24"/>
                    <w:lang w:val="en-US"/>
                  </w:rPr>
                  <w:t>U.S.</w:t>
                </w:r>
              </w:smartTag>
            </w:smartTag>
            <w:r w:rsidRPr="002F2AA0">
              <w:rPr>
                <w:szCs w:val="24"/>
                <w:lang w:val="en-US"/>
              </w:rPr>
              <w:t xml:space="preserve"> EPA EPA/600/R-00/052</w:t>
            </w:r>
          </w:p>
          <w:p w14:paraId="74FD70F7" w14:textId="77777777" w:rsidR="00F26956" w:rsidRPr="002F2AA0" w:rsidRDefault="00F26956" w:rsidP="00F26956">
            <w:pPr>
              <w:ind w:left="601" w:hanging="601"/>
              <w:jc w:val="left"/>
              <w:rPr>
                <w:szCs w:val="24"/>
                <w:lang w:val="en-US"/>
              </w:rPr>
            </w:pPr>
          </w:p>
        </w:tc>
      </w:tr>
      <w:tr w:rsidR="002F2AA0" w:rsidRPr="002F2AA0" w14:paraId="3BB2F46F" w14:textId="77777777" w:rsidTr="004C546F">
        <w:trPr>
          <w:trHeight w:val="638"/>
          <w:jc w:val="center"/>
        </w:trPr>
        <w:tc>
          <w:tcPr>
            <w:tcW w:w="10467" w:type="dxa"/>
            <w:tcBorders>
              <w:top w:val="nil"/>
              <w:left w:val="nil"/>
              <w:bottom w:val="nil"/>
              <w:right w:val="nil"/>
            </w:tcBorders>
            <w:shd w:val="clear" w:color="auto" w:fill="FFFFFF"/>
            <w:vAlign w:val="bottom"/>
          </w:tcPr>
          <w:p w14:paraId="6B8F76C7" w14:textId="77777777" w:rsidR="002F2AA0" w:rsidRDefault="002F2AA0" w:rsidP="00F26956">
            <w:pPr>
              <w:ind w:left="601" w:hanging="601"/>
              <w:jc w:val="left"/>
              <w:rPr>
                <w:szCs w:val="24"/>
                <w:lang w:val="en-US"/>
              </w:rPr>
            </w:pPr>
            <w:r w:rsidRPr="002F2AA0">
              <w:rPr>
                <w:szCs w:val="24"/>
                <w:lang w:val="en-US"/>
              </w:rPr>
              <w:t xml:space="preserve">Spiro, P.A., Jacob, D.J. and Logan, J.A. (1992), Global inventory of sulphur emissions with 1° x 1° resolution, </w:t>
            </w:r>
            <w:r w:rsidRPr="002F2AA0">
              <w:rPr>
                <w:i/>
                <w:iCs/>
                <w:szCs w:val="24"/>
                <w:lang w:val="en-US"/>
              </w:rPr>
              <w:t>Journal of Geophysical Research</w:t>
            </w:r>
            <w:r w:rsidRPr="002F2AA0">
              <w:rPr>
                <w:szCs w:val="24"/>
                <w:lang w:val="en-US"/>
              </w:rPr>
              <w:t xml:space="preserve"> 97:6023-6036.</w:t>
            </w:r>
          </w:p>
          <w:p w14:paraId="79CCAA6C" w14:textId="77777777" w:rsidR="00F26956" w:rsidRPr="002F2AA0" w:rsidRDefault="00F26956" w:rsidP="00F26956">
            <w:pPr>
              <w:ind w:left="601" w:hanging="601"/>
              <w:jc w:val="left"/>
              <w:rPr>
                <w:szCs w:val="24"/>
                <w:lang w:val="en-US"/>
              </w:rPr>
            </w:pPr>
          </w:p>
        </w:tc>
      </w:tr>
      <w:tr w:rsidR="002F2AA0" w:rsidRPr="002F2AA0" w14:paraId="06EA64F6" w14:textId="77777777" w:rsidTr="004C546F">
        <w:trPr>
          <w:trHeight w:val="615"/>
          <w:jc w:val="center"/>
        </w:trPr>
        <w:tc>
          <w:tcPr>
            <w:tcW w:w="10467" w:type="dxa"/>
            <w:tcBorders>
              <w:top w:val="nil"/>
              <w:left w:val="nil"/>
              <w:bottom w:val="nil"/>
              <w:right w:val="nil"/>
            </w:tcBorders>
            <w:shd w:val="clear" w:color="auto" w:fill="FFFFFF"/>
            <w:vAlign w:val="bottom"/>
          </w:tcPr>
          <w:p w14:paraId="55A750D2" w14:textId="316797BD" w:rsidR="002F2AA0" w:rsidRPr="00B37E07" w:rsidRDefault="002F2AA0" w:rsidP="00F26956">
            <w:pPr>
              <w:ind w:left="601" w:hanging="601"/>
              <w:jc w:val="left"/>
              <w:rPr>
                <w:szCs w:val="24"/>
                <w:lang w:val="de-DE"/>
              </w:rPr>
            </w:pPr>
            <w:r w:rsidRPr="002F2AA0">
              <w:rPr>
                <w:szCs w:val="24"/>
                <w:lang w:val="en-US"/>
              </w:rPr>
              <w:t>US EPA (1995)</w:t>
            </w:r>
            <w:r w:rsidR="00EC12BC">
              <w:rPr>
                <w:szCs w:val="24"/>
                <w:lang w:val="en-US"/>
              </w:rPr>
              <w:t xml:space="preserve"> </w:t>
            </w:r>
            <w:r w:rsidRPr="002F2AA0">
              <w:rPr>
                <w:i/>
                <w:iCs/>
                <w:szCs w:val="24"/>
                <w:lang w:val="en-US"/>
              </w:rPr>
              <w:t>Compilation of air pollution emission factors</w:t>
            </w:r>
            <w:r w:rsidRPr="002F2AA0">
              <w:rPr>
                <w:szCs w:val="24"/>
                <w:lang w:val="en-US"/>
              </w:rPr>
              <w:t xml:space="preserve">, 5th edition. EPA  AP-42, U.S. Environmental Protection Agency, Research Triangle Park, NC. </w:t>
            </w:r>
            <w:r w:rsidR="00C75DFC" w:rsidRPr="00C75DFC">
              <w:rPr>
                <w:szCs w:val="24"/>
                <w:lang w:val="de-DE"/>
              </w:rPr>
              <w:t>https://www.epa.gov/air-emissions-factors-and-quantification/ap-42-compilation-air-emissions-factors</w:t>
            </w:r>
          </w:p>
          <w:p w14:paraId="0ED47071" w14:textId="77777777" w:rsidR="00F26956" w:rsidRPr="002F2AA0" w:rsidRDefault="00F26956" w:rsidP="00F26956">
            <w:pPr>
              <w:ind w:left="601" w:hanging="601"/>
              <w:jc w:val="left"/>
              <w:rPr>
                <w:szCs w:val="24"/>
                <w:lang w:val="de-DE"/>
              </w:rPr>
            </w:pPr>
          </w:p>
        </w:tc>
      </w:tr>
      <w:tr w:rsidR="009E28FF" w:rsidRPr="002F2AA0" w14:paraId="247A3A15" w14:textId="77777777" w:rsidTr="004C546F">
        <w:trPr>
          <w:trHeight w:val="276"/>
          <w:jc w:val="center"/>
        </w:trPr>
        <w:tc>
          <w:tcPr>
            <w:tcW w:w="10467" w:type="dxa"/>
            <w:tcBorders>
              <w:top w:val="nil"/>
              <w:left w:val="nil"/>
              <w:bottom w:val="nil"/>
              <w:right w:val="nil"/>
            </w:tcBorders>
            <w:shd w:val="clear" w:color="auto" w:fill="FFFFFF"/>
            <w:vAlign w:val="bottom"/>
          </w:tcPr>
          <w:p w14:paraId="2730FA93" w14:textId="77777777" w:rsidR="009E28FF" w:rsidRDefault="009E28FF" w:rsidP="009E28FF">
            <w:pPr>
              <w:ind w:left="601" w:hanging="601"/>
              <w:jc w:val="left"/>
              <w:rPr>
                <w:szCs w:val="24"/>
                <w:lang w:val="en-US"/>
              </w:rPr>
            </w:pPr>
            <w:r w:rsidRPr="009E28FF">
              <w:rPr>
                <w:szCs w:val="24"/>
                <w:lang w:val="en-US"/>
              </w:rPr>
              <w:t xml:space="preserve">US EPA </w:t>
            </w:r>
            <w:r>
              <w:rPr>
                <w:szCs w:val="24"/>
                <w:lang w:val="en-US"/>
              </w:rPr>
              <w:t>(</w:t>
            </w:r>
            <w:r w:rsidRPr="009E28FF">
              <w:rPr>
                <w:szCs w:val="24"/>
                <w:lang w:val="en-US"/>
              </w:rPr>
              <w:t>2006</w:t>
            </w:r>
            <w:r>
              <w:rPr>
                <w:szCs w:val="24"/>
                <w:lang w:val="en-US"/>
              </w:rPr>
              <w:t>)</w:t>
            </w:r>
            <w:r w:rsidRPr="009E28FF">
              <w:rPr>
                <w:szCs w:val="24"/>
                <w:lang w:val="en-US"/>
              </w:rPr>
              <w:t xml:space="preserve"> </w:t>
            </w:r>
            <w:r w:rsidRPr="009E28FF">
              <w:rPr>
                <w:i/>
                <w:szCs w:val="24"/>
                <w:lang w:val="en-US"/>
              </w:rPr>
              <w:t>Compilation of air pollution emission factors, 5th edition</w:t>
            </w:r>
            <w:r w:rsidRPr="009E28FF">
              <w:rPr>
                <w:szCs w:val="24"/>
                <w:lang w:val="en-US"/>
              </w:rPr>
              <w:t xml:space="preserve">. Chapter 13.2.2 Unpaved roads - Final section (Revised Nov 2006) EPA AP-42, U.S. Environmental Protection Agency, Research Triangle Park, NC. https://www3.epa.gov/ttn/chief/ap42/ch13/final/c13s0202.pdf </w:t>
            </w:r>
          </w:p>
          <w:p w14:paraId="429D3800" w14:textId="3EF063C9" w:rsidR="00884578" w:rsidRPr="002F2AA0" w:rsidRDefault="00884578" w:rsidP="009E28FF">
            <w:pPr>
              <w:ind w:left="601" w:hanging="601"/>
              <w:jc w:val="left"/>
              <w:rPr>
                <w:szCs w:val="24"/>
                <w:lang w:val="en-US"/>
              </w:rPr>
            </w:pPr>
          </w:p>
        </w:tc>
      </w:tr>
      <w:tr w:rsidR="002F2AA0" w:rsidRPr="002F2AA0" w14:paraId="0DD4621F" w14:textId="77777777" w:rsidTr="004C546F">
        <w:trPr>
          <w:trHeight w:val="276"/>
          <w:jc w:val="center"/>
        </w:trPr>
        <w:tc>
          <w:tcPr>
            <w:tcW w:w="10467" w:type="dxa"/>
            <w:vMerge w:val="restart"/>
            <w:tcBorders>
              <w:top w:val="nil"/>
              <w:left w:val="nil"/>
              <w:bottom w:val="nil"/>
              <w:right w:val="nil"/>
            </w:tcBorders>
            <w:shd w:val="clear" w:color="auto" w:fill="FFFFFF"/>
            <w:vAlign w:val="bottom"/>
          </w:tcPr>
          <w:p w14:paraId="692FF6E6" w14:textId="1A5E2221" w:rsidR="00F26956" w:rsidRDefault="002F2AA0" w:rsidP="00F26956">
            <w:pPr>
              <w:ind w:left="601" w:hanging="601"/>
              <w:jc w:val="left"/>
            </w:pPr>
            <w:r w:rsidRPr="002F2AA0">
              <w:rPr>
                <w:szCs w:val="24"/>
                <w:lang w:val="en-US"/>
              </w:rPr>
              <w:t>USGS</w:t>
            </w:r>
            <w:r w:rsidR="004D75CA">
              <w:rPr>
                <w:szCs w:val="24"/>
                <w:lang w:val="en-US"/>
              </w:rPr>
              <w:t xml:space="preserve"> (2010</w:t>
            </w:r>
            <w:r w:rsidR="00E70EA9">
              <w:rPr>
                <w:szCs w:val="24"/>
                <w:lang w:val="en-US"/>
              </w:rPr>
              <w:t>)</w:t>
            </w:r>
            <w:r w:rsidRPr="002F2AA0">
              <w:rPr>
                <w:szCs w:val="24"/>
                <w:lang w:val="en-US"/>
              </w:rPr>
              <w:t xml:space="preserve"> (United States Geological Survey) Minerals Yearbook.  </w:t>
            </w:r>
            <w:r w:rsidR="00C75DFC" w:rsidRPr="00C75DFC">
              <w:rPr>
                <w:szCs w:val="24"/>
                <w:lang w:val="en-US"/>
              </w:rPr>
              <w:t>(Volume III: Area reports: international)   https://www.usgs.gov/centers/nmic/international-minerals-statistics-and-information</w:t>
            </w:r>
          </w:p>
          <w:p w14:paraId="701FC4F8" w14:textId="77777777" w:rsidR="00E70EA9" w:rsidRPr="002F2AA0" w:rsidRDefault="00E70EA9" w:rsidP="00F26956">
            <w:pPr>
              <w:ind w:left="601" w:hanging="601"/>
              <w:jc w:val="left"/>
              <w:rPr>
                <w:szCs w:val="24"/>
                <w:lang w:val="en-US"/>
              </w:rPr>
            </w:pPr>
          </w:p>
        </w:tc>
      </w:tr>
      <w:tr w:rsidR="002F2AA0" w:rsidRPr="002F2AA0" w14:paraId="49F18AB6" w14:textId="77777777" w:rsidTr="004C546F">
        <w:trPr>
          <w:trHeight w:val="276"/>
          <w:jc w:val="center"/>
        </w:trPr>
        <w:tc>
          <w:tcPr>
            <w:tcW w:w="10467" w:type="dxa"/>
            <w:vMerge/>
            <w:tcBorders>
              <w:top w:val="nil"/>
              <w:left w:val="nil"/>
              <w:bottom w:val="nil"/>
              <w:right w:val="nil"/>
            </w:tcBorders>
            <w:shd w:val="clear" w:color="auto" w:fill="auto"/>
            <w:vAlign w:val="center"/>
          </w:tcPr>
          <w:p w14:paraId="27C4F4D6" w14:textId="77777777" w:rsidR="002F2AA0" w:rsidRPr="002F2AA0" w:rsidRDefault="002F2AA0" w:rsidP="00F26956">
            <w:pPr>
              <w:ind w:left="601" w:hanging="601"/>
              <w:jc w:val="left"/>
              <w:rPr>
                <w:szCs w:val="24"/>
                <w:lang w:val="en-US"/>
              </w:rPr>
            </w:pPr>
          </w:p>
        </w:tc>
      </w:tr>
      <w:tr w:rsidR="002F2AA0" w:rsidRPr="002F2AA0" w14:paraId="7D801454" w14:textId="77777777" w:rsidTr="004C546F">
        <w:trPr>
          <w:trHeight w:val="300"/>
          <w:jc w:val="center"/>
        </w:trPr>
        <w:tc>
          <w:tcPr>
            <w:tcW w:w="10467" w:type="dxa"/>
            <w:tcBorders>
              <w:top w:val="nil"/>
              <w:left w:val="nil"/>
              <w:bottom w:val="nil"/>
              <w:right w:val="nil"/>
            </w:tcBorders>
            <w:shd w:val="clear" w:color="auto" w:fill="FFFFFF"/>
            <w:noWrap/>
            <w:vAlign w:val="bottom"/>
          </w:tcPr>
          <w:p w14:paraId="52634135" w14:textId="62FCD5C7" w:rsidR="002F2AA0" w:rsidRDefault="00F47D45" w:rsidP="00F26956">
            <w:pPr>
              <w:ind w:left="601" w:hanging="601"/>
              <w:jc w:val="left"/>
              <w:rPr>
                <w:szCs w:val="24"/>
                <w:lang w:val="en-US"/>
              </w:rPr>
            </w:pPr>
            <w:r>
              <w:rPr>
                <w:szCs w:val="24"/>
                <w:lang w:val="en-US"/>
              </w:rPr>
              <w:t xml:space="preserve">United Nations </w:t>
            </w:r>
            <w:r w:rsidR="002F2AA0" w:rsidRPr="002F2AA0">
              <w:rPr>
                <w:szCs w:val="24"/>
                <w:lang w:val="en-US"/>
              </w:rPr>
              <w:t xml:space="preserve">Industrial Commodity Statistics </w:t>
            </w:r>
            <w:r w:rsidR="00C75DFC">
              <w:rPr>
                <w:szCs w:val="24"/>
                <w:lang w:val="en-US"/>
              </w:rPr>
              <w:t>Database.</w:t>
            </w:r>
            <w:r w:rsidR="002F2AA0" w:rsidRPr="002F2AA0">
              <w:rPr>
                <w:szCs w:val="24"/>
                <w:lang w:val="en-US"/>
              </w:rPr>
              <w:t xml:space="preserve"> </w:t>
            </w:r>
            <w:r w:rsidR="00C75DFC" w:rsidRPr="00C75DFC">
              <w:rPr>
                <w:szCs w:val="24"/>
                <w:lang w:val="en-US"/>
              </w:rPr>
              <w:t>http://data.un.org/Explorer.aspx?d=ICS</w:t>
            </w:r>
          </w:p>
          <w:p w14:paraId="44C966F8" w14:textId="77777777" w:rsidR="00F26956" w:rsidRPr="002F2AA0" w:rsidRDefault="00F26956" w:rsidP="00F26956">
            <w:pPr>
              <w:ind w:left="601" w:hanging="601"/>
              <w:jc w:val="left"/>
              <w:rPr>
                <w:szCs w:val="24"/>
                <w:lang w:val="en-US"/>
              </w:rPr>
            </w:pPr>
          </w:p>
        </w:tc>
      </w:tr>
      <w:tr w:rsidR="004B40A2" w:rsidRPr="002F2AA0" w14:paraId="66036B26" w14:textId="77777777" w:rsidTr="004C546F">
        <w:trPr>
          <w:trHeight w:val="300"/>
          <w:jc w:val="center"/>
        </w:trPr>
        <w:tc>
          <w:tcPr>
            <w:tcW w:w="10467" w:type="dxa"/>
            <w:tcBorders>
              <w:top w:val="nil"/>
              <w:left w:val="nil"/>
              <w:bottom w:val="nil"/>
              <w:right w:val="nil"/>
            </w:tcBorders>
            <w:shd w:val="clear" w:color="auto" w:fill="FFFFFF"/>
            <w:noWrap/>
            <w:vAlign w:val="bottom"/>
          </w:tcPr>
          <w:p w14:paraId="42738D60" w14:textId="5032B89F" w:rsidR="004B40A2" w:rsidRDefault="004B40A2" w:rsidP="00F26956">
            <w:pPr>
              <w:ind w:left="601" w:hanging="601"/>
              <w:jc w:val="left"/>
              <w:rPr>
                <w:szCs w:val="24"/>
                <w:lang w:val="en-US"/>
              </w:rPr>
            </w:pPr>
            <w:r w:rsidRPr="004B40A2">
              <w:rPr>
                <w:szCs w:val="24"/>
                <w:lang w:val="en-US"/>
              </w:rPr>
              <w:t xml:space="preserve">Wiedinmyer, C., Yokelson, R. J., &amp; Gullett, B. K. (2014). Global emissions of trace gases, particulate matter, and hazardous air pollutants from open burning of domestic waste. </w:t>
            </w:r>
            <w:r w:rsidRPr="004B40A2">
              <w:rPr>
                <w:i/>
                <w:szCs w:val="24"/>
                <w:lang w:val="en-US"/>
              </w:rPr>
              <w:t>Environmental Science</w:t>
            </w:r>
            <w:r w:rsidRPr="004B40A2">
              <w:rPr>
                <w:szCs w:val="24"/>
                <w:lang w:val="en-US"/>
              </w:rPr>
              <w:t xml:space="preserve"> </w:t>
            </w:r>
            <w:r w:rsidRPr="004B40A2">
              <w:rPr>
                <w:i/>
                <w:szCs w:val="24"/>
                <w:lang w:val="en-US"/>
              </w:rPr>
              <w:t>and Technology</w:t>
            </w:r>
            <w:r w:rsidRPr="004B40A2">
              <w:rPr>
                <w:szCs w:val="24"/>
                <w:lang w:val="en-US"/>
              </w:rPr>
              <w:t>, 48(16), 9523–9530. https://doi.org/10.1021/es502250z</w:t>
            </w:r>
          </w:p>
        </w:tc>
      </w:tr>
      <w:tr w:rsidR="002F2AA0" w:rsidRPr="002F2AA0" w14:paraId="6B21DB68" w14:textId="77777777" w:rsidTr="004C546F">
        <w:trPr>
          <w:trHeight w:val="300"/>
          <w:jc w:val="center"/>
        </w:trPr>
        <w:tc>
          <w:tcPr>
            <w:tcW w:w="10467" w:type="dxa"/>
            <w:tcBorders>
              <w:top w:val="nil"/>
              <w:left w:val="nil"/>
              <w:bottom w:val="nil"/>
              <w:right w:val="nil"/>
            </w:tcBorders>
            <w:shd w:val="clear" w:color="auto" w:fill="FFFFFF"/>
            <w:noWrap/>
            <w:vAlign w:val="bottom"/>
          </w:tcPr>
          <w:p w14:paraId="41BE512D" w14:textId="77777777" w:rsidR="00EC12BC" w:rsidRDefault="00EC12BC" w:rsidP="00F26956">
            <w:pPr>
              <w:ind w:left="601" w:hanging="601"/>
              <w:jc w:val="left"/>
              <w:rPr>
                <w:szCs w:val="24"/>
                <w:lang w:val="en-US"/>
              </w:rPr>
            </w:pPr>
          </w:p>
          <w:p w14:paraId="3D3D1380" w14:textId="1420A5B3" w:rsidR="00EC12BC" w:rsidRPr="00EC12BC" w:rsidRDefault="00EC12BC" w:rsidP="00F26956">
            <w:pPr>
              <w:ind w:left="601" w:hanging="601"/>
              <w:jc w:val="left"/>
              <w:rPr>
                <w:szCs w:val="24"/>
                <w:lang w:val="en-US"/>
              </w:rPr>
            </w:pPr>
            <w:r w:rsidRPr="00EC12BC">
              <w:rPr>
                <w:szCs w:val="24"/>
                <w:lang w:val="en-US"/>
              </w:rPr>
              <w:t>Zhang,</w:t>
            </w:r>
            <w:r w:rsidR="00C75DFC">
              <w:rPr>
                <w:szCs w:val="24"/>
                <w:lang w:val="en-US"/>
              </w:rPr>
              <w:t xml:space="preserve"> </w:t>
            </w:r>
            <w:r w:rsidRPr="00EC12BC">
              <w:rPr>
                <w:szCs w:val="24"/>
                <w:lang w:val="en-US"/>
              </w:rPr>
              <w:t>J.; Smith,</w:t>
            </w:r>
            <w:r w:rsidR="00C75DFC">
              <w:rPr>
                <w:szCs w:val="24"/>
                <w:lang w:val="en-US"/>
              </w:rPr>
              <w:t xml:space="preserve"> </w:t>
            </w:r>
            <w:r w:rsidRPr="00EC12BC">
              <w:rPr>
                <w:szCs w:val="24"/>
                <w:lang w:val="en-US"/>
              </w:rPr>
              <w:t>K.R.; Ma,</w:t>
            </w:r>
            <w:r w:rsidR="00C75DFC">
              <w:rPr>
                <w:szCs w:val="24"/>
                <w:lang w:val="en-US"/>
              </w:rPr>
              <w:t xml:space="preserve"> </w:t>
            </w:r>
            <w:r w:rsidRPr="00EC12BC">
              <w:rPr>
                <w:szCs w:val="24"/>
                <w:lang w:val="en-US"/>
              </w:rPr>
              <w:t>Y.; Ye,</w:t>
            </w:r>
            <w:r w:rsidR="00C75DFC">
              <w:rPr>
                <w:szCs w:val="24"/>
                <w:lang w:val="en-US"/>
              </w:rPr>
              <w:t xml:space="preserve"> </w:t>
            </w:r>
            <w:r w:rsidRPr="00EC12BC">
              <w:rPr>
                <w:szCs w:val="24"/>
                <w:lang w:val="en-US"/>
              </w:rPr>
              <w:t>S.; Jiang,</w:t>
            </w:r>
            <w:r w:rsidR="00C75DFC">
              <w:rPr>
                <w:szCs w:val="24"/>
                <w:lang w:val="en-US"/>
              </w:rPr>
              <w:t xml:space="preserve"> </w:t>
            </w:r>
            <w:r w:rsidRPr="00EC12BC">
              <w:rPr>
                <w:szCs w:val="24"/>
                <w:lang w:val="en-US"/>
              </w:rPr>
              <w:t>F.; Qi,</w:t>
            </w:r>
            <w:r w:rsidR="00C75DFC">
              <w:rPr>
                <w:szCs w:val="24"/>
                <w:lang w:val="en-US"/>
              </w:rPr>
              <w:t xml:space="preserve"> </w:t>
            </w:r>
            <w:r w:rsidRPr="00EC12BC">
              <w:rPr>
                <w:szCs w:val="24"/>
                <w:lang w:val="en-US"/>
              </w:rPr>
              <w:t>W.; Liu,</w:t>
            </w:r>
            <w:r w:rsidR="00C75DFC">
              <w:rPr>
                <w:szCs w:val="24"/>
                <w:lang w:val="en-US"/>
              </w:rPr>
              <w:t xml:space="preserve"> </w:t>
            </w:r>
            <w:r w:rsidRPr="00EC12BC">
              <w:rPr>
                <w:szCs w:val="24"/>
                <w:lang w:val="en-US"/>
              </w:rPr>
              <w:t>P.; Khalil,</w:t>
            </w:r>
            <w:r w:rsidR="00C75DFC">
              <w:rPr>
                <w:szCs w:val="24"/>
                <w:lang w:val="en-US"/>
              </w:rPr>
              <w:t xml:space="preserve"> </w:t>
            </w:r>
            <w:r w:rsidRPr="00EC12BC">
              <w:rPr>
                <w:szCs w:val="24"/>
                <w:lang w:val="en-US"/>
              </w:rPr>
              <w:t>M.A.K.; Rasmussen,</w:t>
            </w:r>
            <w:r w:rsidR="00C75DFC">
              <w:rPr>
                <w:szCs w:val="24"/>
                <w:lang w:val="en-US"/>
              </w:rPr>
              <w:t xml:space="preserve"> </w:t>
            </w:r>
            <w:r w:rsidRPr="00EC12BC">
              <w:rPr>
                <w:szCs w:val="24"/>
                <w:lang w:val="en-US"/>
              </w:rPr>
              <w:t>R.A.; Thorneloe,</w:t>
            </w:r>
            <w:r w:rsidR="00C75DFC">
              <w:rPr>
                <w:szCs w:val="24"/>
                <w:lang w:val="en-US"/>
              </w:rPr>
              <w:t xml:space="preserve"> </w:t>
            </w:r>
            <w:r w:rsidRPr="00EC12BC">
              <w:rPr>
                <w:szCs w:val="24"/>
                <w:lang w:val="en-US"/>
              </w:rPr>
              <w:t xml:space="preserve">S.A. (2000) </w:t>
            </w:r>
            <w:r w:rsidRPr="00EC12BC">
              <w:rPr>
                <w:szCs w:val="24"/>
              </w:rPr>
              <w:t xml:space="preserve">Greenhouse gases and other airborne pollutants from household stoves in China: a database for emission factors </w:t>
            </w:r>
            <w:r w:rsidRPr="00EC12BC">
              <w:rPr>
                <w:i/>
                <w:szCs w:val="24"/>
                <w:lang w:val="en-US"/>
              </w:rPr>
              <w:t>Atmospheric Environment</w:t>
            </w:r>
            <w:r w:rsidRPr="00EC12BC">
              <w:rPr>
                <w:szCs w:val="24"/>
                <w:lang w:val="en-US"/>
              </w:rPr>
              <w:t xml:space="preserve">, </w:t>
            </w:r>
            <w:r w:rsidRPr="00EC12BC">
              <w:rPr>
                <w:b/>
                <w:szCs w:val="24"/>
                <w:lang w:val="en-US"/>
              </w:rPr>
              <w:t>34</w:t>
            </w:r>
            <w:r w:rsidRPr="00EC12BC">
              <w:rPr>
                <w:szCs w:val="24"/>
                <w:lang w:val="en-US"/>
              </w:rPr>
              <w:t xml:space="preserve"> 4537-4549.</w:t>
            </w:r>
          </w:p>
        </w:tc>
      </w:tr>
    </w:tbl>
    <w:p w14:paraId="0CEB10AE" w14:textId="77777777" w:rsidR="00591B0F" w:rsidRPr="002F2AA0" w:rsidRDefault="00591B0F" w:rsidP="002F2AA0">
      <w:pPr>
        <w:pStyle w:val="Heading1"/>
        <w:numPr>
          <w:ilvl w:val="0"/>
          <w:numId w:val="0"/>
        </w:numPr>
        <w:jc w:val="center"/>
        <w:rPr>
          <w:sz w:val="32"/>
        </w:rPr>
      </w:pPr>
      <w:r>
        <w:br w:type="page"/>
      </w:r>
      <w:bookmarkStart w:id="161" w:name="_Toc10122742"/>
      <w:r w:rsidRPr="002F2AA0">
        <w:rPr>
          <w:sz w:val="32"/>
        </w:rPr>
        <w:lastRenderedPageBreak/>
        <w:t xml:space="preserve">Annex </w:t>
      </w:r>
      <w:bookmarkStart w:id="162" w:name="_Toc130035227"/>
      <w:r w:rsidR="00024613" w:rsidRPr="002F2AA0">
        <w:rPr>
          <w:sz w:val="32"/>
        </w:rPr>
        <w:t>1:  E</w:t>
      </w:r>
      <w:r w:rsidRPr="002F2AA0">
        <w:rPr>
          <w:sz w:val="32"/>
        </w:rPr>
        <w:t>missions from Natural Sources</w:t>
      </w:r>
      <w:bookmarkEnd w:id="161"/>
      <w:bookmarkEnd w:id="162"/>
    </w:p>
    <w:p w14:paraId="30EBAC44" w14:textId="77777777" w:rsidR="00591B0F" w:rsidRDefault="00591B0F" w:rsidP="00A26612"/>
    <w:p w14:paraId="5C3C8A5D" w14:textId="77777777" w:rsidR="00A26612" w:rsidRPr="00A26612" w:rsidRDefault="00A26612" w:rsidP="00A26612"/>
    <w:p w14:paraId="1994ED93" w14:textId="77777777" w:rsidR="00591B0F" w:rsidRPr="00A07CE8" w:rsidRDefault="000402B0" w:rsidP="00591B0F">
      <w:pPr>
        <w:pStyle w:val="Heading3"/>
        <w:numPr>
          <w:ilvl w:val="0"/>
          <w:numId w:val="0"/>
        </w:numPr>
        <w:rPr>
          <w:i w:val="0"/>
          <w:color w:val="000000"/>
          <w:sz w:val="26"/>
          <w:szCs w:val="28"/>
        </w:rPr>
      </w:pPr>
      <w:bookmarkStart w:id="163" w:name="_Toc130035228"/>
      <w:bookmarkStart w:id="164" w:name="_Toc10122743"/>
      <w:r>
        <w:rPr>
          <w:i w:val="0"/>
          <w:color w:val="000000"/>
          <w:sz w:val="26"/>
          <w:szCs w:val="28"/>
        </w:rPr>
        <w:t>A</w:t>
      </w:r>
      <w:r w:rsidR="00591B0F" w:rsidRPr="00A07CE8">
        <w:rPr>
          <w:i w:val="0"/>
          <w:color w:val="000000"/>
          <w:sz w:val="26"/>
          <w:szCs w:val="28"/>
        </w:rPr>
        <w:t>1</w:t>
      </w:r>
      <w:r>
        <w:rPr>
          <w:i w:val="0"/>
          <w:color w:val="000000"/>
          <w:sz w:val="26"/>
          <w:szCs w:val="28"/>
        </w:rPr>
        <w:t>.1</w:t>
      </w:r>
      <w:r w:rsidR="00591B0F" w:rsidRPr="00A07CE8">
        <w:rPr>
          <w:i w:val="0"/>
          <w:color w:val="000000"/>
          <w:sz w:val="26"/>
          <w:szCs w:val="28"/>
        </w:rPr>
        <w:t xml:space="preserve"> </w:t>
      </w:r>
      <w:r w:rsidR="00591B0F" w:rsidRPr="00A07CE8">
        <w:rPr>
          <w:i w:val="0"/>
          <w:color w:val="000000"/>
          <w:sz w:val="26"/>
        </w:rPr>
        <w:t>Introduction</w:t>
      </w:r>
      <w:bookmarkEnd w:id="163"/>
      <w:bookmarkEnd w:id="164"/>
    </w:p>
    <w:p w14:paraId="016AE770" w14:textId="77777777" w:rsidR="00591B0F" w:rsidRDefault="00591B0F" w:rsidP="00591B0F"/>
    <w:p w14:paraId="7D3D6EA7" w14:textId="77777777" w:rsidR="00591B0F" w:rsidRPr="00946164" w:rsidRDefault="00591B0F" w:rsidP="00591B0F">
      <w:r>
        <w:t xml:space="preserve">Although natural emissions should be taken into account by air pollutant atmospheric transport modellers, they are not generally included in national emissions inventories. This is partly because policy interventions can only realistically reduce anthropogenic (mad-made) emissions and partly because natural emissions are often more accurately estimated on a regional basis by modellers rather than on a national or provincial basis by inventory compilers.  However, this appendix is provided in order to inform users of this Manual about the different sources of natural emissions and, for some of these, how an inventory compiler might go about estimating emissions from them. </w:t>
      </w:r>
    </w:p>
    <w:p w14:paraId="38CAFB00" w14:textId="77777777" w:rsidR="00591B0F" w:rsidRDefault="00591B0F" w:rsidP="00591B0F"/>
    <w:p w14:paraId="5E0BF774" w14:textId="77777777" w:rsidR="00591B0F" w:rsidRDefault="00591B0F" w:rsidP="00591B0F">
      <w:r>
        <w:t>Natural sources include:</w:t>
      </w:r>
    </w:p>
    <w:p w14:paraId="0C210FC9" w14:textId="77777777" w:rsidR="00591B0F" w:rsidRDefault="00591B0F" w:rsidP="00591B0F">
      <w:pPr>
        <w:numPr>
          <w:ilvl w:val="0"/>
          <w:numId w:val="11"/>
        </w:numPr>
        <w:spacing w:before="120"/>
      </w:pPr>
      <w:r>
        <w:rPr>
          <w:b/>
        </w:rPr>
        <w:t>Emissions of sulphur oxides from subaerial volcanoes</w:t>
      </w:r>
      <w:r>
        <w:t>. Volcanic activities release gases from the minerals being heated to form magma. The most important emissions are of SO</w:t>
      </w:r>
      <w:r>
        <w:rPr>
          <w:vertAlign w:val="subscript"/>
        </w:rPr>
        <w:t xml:space="preserve">2 </w:t>
      </w:r>
      <w:r w:rsidRPr="00DE0A4E">
        <w:rPr>
          <w:szCs w:val="24"/>
        </w:rPr>
        <w:t>and PM.</w:t>
      </w:r>
      <w:r>
        <w:t xml:space="preserve">  </w:t>
      </w:r>
    </w:p>
    <w:p w14:paraId="6B67420C" w14:textId="77777777" w:rsidR="00591B0F" w:rsidRPr="00097322" w:rsidRDefault="00591B0F" w:rsidP="00591B0F">
      <w:pPr>
        <w:numPr>
          <w:ilvl w:val="0"/>
          <w:numId w:val="11"/>
        </w:numPr>
        <w:spacing w:before="120"/>
        <w:jc w:val="left"/>
      </w:pPr>
      <w:r>
        <w:rPr>
          <w:b/>
        </w:rPr>
        <w:t>Emissions of NMVOCs from natural vegetation</w:t>
      </w:r>
      <w:r>
        <w:t>.   This sub-category of emissions is similar to that for emissions from managed forests, but is intended to cover emissions from land and vegetation types that are not managed by humans.</w:t>
      </w:r>
    </w:p>
    <w:p w14:paraId="735DB0C1" w14:textId="77777777" w:rsidR="00591B0F" w:rsidRDefault="00591B0F" w:rsidP="00591B0F">
      <w:pPr>
        <w:numPr>
          <w:ilvl w:val="0"/>
          <w:numId w:val="11"/>
        </w:numPr>
        <w:spacing w:before="120"/>
      </w:pPr>
      <w:r>
        <w:rPr>
          <w:b/>
        </w:rPr>
        <w:t>Biogenic emissions of NH</w:t>
      </w:r>
      <w:r>
        <w:rPr>
          <w:b/>
          <w:vertAlign w:val="subscript"/>
        </w:rPr>
        <w:t>3</w:t>
      </w:r>
      <w:r>
        <w:rPr>
          <w:b/>
        </w:rPr>
        <w:t xml:space="preserve"> from natural vegetation</w:t>
      </w:r>
      <w:r>
        <w:t xml:space="preserve">. In addition to NMVOCs, natural vegetation releases significant amounts of ammonia from its leaves.  </w:t>
      </w:r>
    </w:p>
    <w:p w14:paraId="6C52D99E" w14:textId="77777777" w:rsidR="00591B0F" w:rsidRDefault="00591B0F" w:rsidP="00591B0F">
      <w:pPr>
        <w:numPr>
          <w:ilvl w:val="0"/>
          <w:numId w:val="11"/>
        </w:numPr>
        <w:spacing w:before="120"/>
        <w:jc w:val="left"/>
      </w:pPr>
      <w:r>
        <w:rPr>
          <w:b/>
        </w:rPr>
        <w:t>Emissions of NO</w:t>
      </w:r>
      <w:r>
        <w:rPr>
          <w:b/>
          <w:vertAlign w:val="subscript"/>
        </w:rPr>
        <w:t>x</w:t>
      </w:r>
      <w:r>
        <w:rPr>
          <w:b/>
        </w:rPr>
        <w:t xml:space="preserve"> from soils. </w:t>
      </w:r>
      <w:r>
        <w:t>Biogenic emissions of NO</w:t>
      </w:r>
      <w:r>
        <w:rPr>
          <w:vertAlign w:val="subscript"/>
        </w:rPr>
        <w:t>x</w:t>
      </w:r>
      <w:r>
        <w:t xml:space="preserve"> from all non-agricultural soils including soils under both managed and non-managed forests and natural grasslands.</w:t>
      </w:r>
    </w:p>
    <w:p w14:paraId="417365D4" w14:textId="77777777" w:rsidR="00591B0F" w:rsidRDefault="00591B0F" w:rsidP="00591B0F">
      <w:pPr>
        <w:numPr>
          <w:ilvl w:val="0"/>
          <w:numId w:val="11"/>
        </w:numPr>
        <w:spacing w:before="120"/>
      </w:pPr>
      <w:r>
        <w:rPr>
          <w:b/>
        </w:rPr>
        <w:t>Emissions of NH</w:t>
      </w:r>
      <w:r>
        <w:rPr>
          <w:b/>
          <w:vertAlign w:val="subscript"/>
        </w:rPr>
        <w:t>3</w:t>
      </w:r>
      <w:r>
        <w:rPr>
          <w:b/>
        </w:rPr>
        <w:t xml:space="preserve"> from human breath and perspiration</w:t>
      </w:r>
      <w:r>
        <w:t>. Human breath and perspiration is also a source of ammonia.</w:t>
      </w:r>
    </w:p>
    <w:p w14:paraId="0316515B" w14:textId="77777777" w:rsidR="00591B0F" w:rsidRDefault="00591B0F" w:rsidP="00591B0F">
      <w:pPr>
        <w:numPr>
          <w:ilvl w:val="0"/>
          <w:numId w:val="11"/>
        </w:numPr>
        <w:spacing w:before="120"/>
      </w:pPr>
      <w:r>
        <w:rPr>
          <w:b/>
        </w:rPr>
        <w:t>Entrainment in the atmosphere of dust particles from disturbed soils and natural areas</w:t>
      </w:r>
      <w:r>
        <w:t>.  Dust, and in particular, alkaline dust, lifted into the atmosphere by prevailing winds, is important to atmospheric chemistry.</w:t>
      </w:r>
    </w:p>
    <w:p w14:paraId="0A3BD3A6" w14:textId="77777777" w:rsidR="00591B0F" w:rsidRDefault="00591B0F" w:rsidP="00591B0F"/>
    <w:p w14:paraId="343334A4" w14:textId="77777777" w:rsidR="00591B0F" w:rsidRDefault="00591B0F" w:rsidP="00591B0F">
      <w:pPr>
        <w:ind w:firstLine="720"/>
      </w:pPr>
      <w:r>
        <w:t>With the exception of emissions from soils and volcanoes, preparing estimates of emissions from the above sources follows the typical pattern of estimating the extent of the emission-producing source, then applying emission factors.  Estimation of emissions from many of these sources is, however, made more difficult by either a lack of reliable data, by a lack of reliable and/or local emission factors or both.  These uncertainties can only be addressed by targeted research, but the estimation procedures outlined below should help to indicate whether specific sources of emissions are likely to be significant in a given country.</w:t>
      </w:r>
    </w:p>
    <w:p w14:paraId="2B773DEE" w14:textId="77777777" w:rsidR="00591B0F" w:rsidRDefault="00591B0F" w:rsidP="00591B0F"/>
    <w:p w14:paraId="188F8D32" w14:textId="77777777" w:rsidR="00591B0F" w:rsidRDefault="00591B0F" w:rsidP="00591B0F">
      <w:pPr>
        <w:ind w:firstLine="709"/>
      </w:pPr>
      <w:r>
        <w:t xml:space="preserve"> </w:t>
      </w:r>
    </w:p>
    <w:p w14:paraId="56287C0F" w14:textId="77777777" w:rsidR="00591B0F" w:rsidRPr="00AC24DA" w:rsidRDefault="000402B0" w:rsidP="00591B0F">
      <w:pPr>
        <w:pStyle w:val="Heading3"/>
        <w:numPr>
          <w:ilvl w:val="0"/>
          <w:numId w:val="0"/>
        </w:numPr>
        <w:rPr>
          <w:i w:val="0"/>
          <w:color w:val="000000"/>
          <w:sz w:val="26"/>
          <w:szCs w:val="26"/>
        </w:rPr>
      </w:pPr>
      <w:bookmarkStart w:id="165" w:name="_Toc130035229"/>
      <w:bookmarkStart w:id="166" w:name="_Toc10122744"/>
      <w:r>
        <w:rPr>
          <w:i w:val="0"/>
          <w:sz w:val="26"/>
          <w:szCs w:val="26"/>
        </w:rPr>
        <w:t>A1.</w:t>
      </w:r>
      <w:r w:rsidR="00591B0F" w:rsidRPr="00AC24DA">
        <w:rPr>
          <w:i w:val="0"/>
          <w:sz w:val="26"/>
          <w:szCs w:val="26"/>
        </w:rPr>
        <w:t xml:space="preserve">2  </w:t>
      </w:r>
      <w:r w:rsidR="00591B0F" w:rsidRPr="00AC24DA">
        <w:rPr>
          <w:i w:val="0"/>
          <w:color w:val="000000"/>
          <w:sz w:val="26"/>
          <w:szCs w:val="26"/>
        </w:rPr>
        <w:t>Natural emissions of SO</w:t>
      </w:r>
      <w:r w:rsidR="00591B0F" w:rsidRPr="00AC24DA">
        <w:rPr>
          <w:i w:val="0"/>
          <w:color w:val="000000"/>
          <w:sz w:val="26"/>
          <w:szCs w:val="26"/>
          <w:vertAlign w:val="subscript"/>
        </w:rPr>
        <w:t>2</w:t>
      </w:r>
      <w:r w:rsidR="00591B0F" w:rsidRPr="00AC24DA">
        <w:rPr>
          <w:i w:val="0"/>
          <w:color w:val="000000"/>
          <w:sz w:val="26"/>
          <w:szCs w:val="26"/>
        </w:rPr>
        <w:t xml:space="preserve"> from subaerial volcanoes</w:t>
      </w:r>
      <w:bookmarkEnd w:id="165"/>
      <w:bookmarkEnd w:id="166"/>
      <w:r w:rsidR="00591B0F" w:rsidRPr="00AC24DA">
        <w:rPr>
          <w:i w:val="0"/>
          <w:color w:val="000000"/>
          <w:sz w:val="26"/>
          <w:szCs w:val="26"/>
        </w:rPr>
        <w:t xml:space="preserve"> </w:t>
      </w:r>
    </w:p>
    <w:p w14:paraId="6A2C392E" w14:textId="77777777" w:rsidR="00591B0F" w:rsidRDefault="00591B0F" w:rsidP="00591B0F">
      <w:pPr>
        <w:rPr>
          <w:color w:val="000000"/>
        </w:rPr>
      </w:pPr>
    </w:p>
    <w:p w14:paraId="3D9A8742" w14:textId="77777777" w:rsidR="00591B0F" w:rsidRDefault="00591B0F" w:rsidP="00591B0F">
      <w:pPr>
        <w:rPr>
          <w:color w:val="000000"/>
        </w:rPr>
      </w:pPr>
      <w:r>
        <w:rPr>
          <w:color w:val="000000"/>
        </w:rPr>
        <w:t>For emissions of SO</w:t>
      </w:r>
      <w:r>
        <w:rPr>
          <w:color w:val="000000"/>
          <w:vertAlign w:val="subscript"/>
        </w:rPr>
        <w:t>2</w:t>
      </w:r>
      <w:r>
        <w:rPr>
          <w:color w:val="000000"/>
        </w:rPr>
        <w:t xml:space="preserve"> from volcanoes the name, longitude, latitude, altitude of gas release (in meters), and type (continuous or sporadic erupting) of each emitting volcano can be specified, along with estimates, based on geological research, of the average annual flux of SO</w:t>
      </w:r>
      <w:r>
        <w:rPr>
          <w:color w:val="000000"/>
          <w:vertAlign w:val="subscript"/>
        </w:rPr>
        <w:t xml:space="preserve">2 </w:t>
      </w:r>
      <w:r>
        <w:rPr>
          <w:color w:val="000000"/>
        </w:rPr>
        <w:t xml:space="preserve"> and PM emissions per volcano specified (in tonnes per year).  </w:t>
      </w:r>
    </w:p>
    <w:p w14:paraId="6C43B7E1" w14:textId="77777777" w:rsidR="00591B0F" w:rsidRDefault="00591B0F" w:rsidP="00591B0F"/>
    <w:p w14:paraId="7CF228D2" w14:textId="77777777" w:rsidR="00591B0F" w:rsidRDefault="00591B0F" w:rsidP="00591B0F"/>
    <w:p w14:paraId="71150AAE" w14:textId="77777777" w:rsidR="00591B0F" w:rsidRPr="00AC24DA" w:rsidRDefault="000402B0" w:rsidP="00591B0F">
      <w:pPr>
        <w:pStyle w:val="Heading3"/>
        <w:numPr>
          <w:ilvl w:val="0"/>
          <w:numId w:val="0"/>
        </w:numPr>
        <w:rPr>
          <w:i w:val="0"/>
          <w:sz w:val="26"/>
          <w:szCs w:val="26"/>
        </w:rPr>
      </w:pPr>
      <w:bookmarkStart w:id="167" w:name="_Toc130035230"/>
      <w:bookmarkStart w:id="168" w:name="_Toc10122745"/>
      <w:r>
        <w:rPr>
          <w:i w:val="0"/>
          <w:sz w:val="26"/>
          <w:szCs w:val="26"/>
        </w:rPr>
        <w:t>A1.</w:t>
      </w:r>
      <w:r w:rsidR="00591B0F" w:rsidRPr="00AC24DA">
        <w:rPr>
          <w:i w:val="0"/>
          <w:sz w:val="26"/>
          <w:szCs w:val="26"/>
        </w:rPr>
        <w:t>3  Biogenic emissions of NMVOCs from vegetation</w:t>
      </w:r>
      <w:bookmarkEnd w:id="167"/>
      <w:bookmarkEnd w:id="168"/>
    </w:p>
    <w:p w14:paraId="4F47A1EE" w14:textId="77777777" w:rsidR="00591B0F" w:rsidRDefault="00591B0F" w:rsidP="00591B0F"/>
    <w:p w14:paraId="0A1C16E2" w14:textId="5C24441B" w:rsidR="00C157E5" w:rsidRDefault="00C157E5" w:rsidP="00C157E5">
      <w:r w:rsidRPr="00EB7DFB">
        <w:t>Trees and other vegetation</w:t>
      </w:r>
      <w:r>
        <w:t xml:space="preserve">, whether completely natural or </w:t>
      </w:r>
      <w:r w:rsidRPr="00EB7DFB">
        <w:t xml:space="preserve">in managed forests </w:t>
      </w:r>
      <w:r>
        <w:t>or</w:t>
      </w:r>
      <w:r w:rsidRPr="00EB7DFB">
        <w:t xml:space="preserve"> other </w:t>
      </w:r>
      <w:r>
        <w:t xml:space="preserve">managed </w:t>
      </w:r>
      <w:r w:rsidRPr="00EB7DFB">
        <w:t>land types</w:t>
      </w:r>
      <w:r>
        <w:t>,</w:t>
      </w:r>
      <w:r w:rsidRPr="00EB7DFB">
        <w:t xml:space="preserve"> emit specific classes of NMVOCs. </w:t>
      </w:r>
      <w:r>
        <w:t>In some inventories, t</w:t>
      </w:r>
      <w:r w:rsidRPr="00EB7DFB">
        <w:t xml:space="preserve">rees in managed forests are treated separately from </w:t>
      </w:r>
      <w:r w:rsidRPr="00EB7DFB">
        <w:lastRenderedPageBreak/>
        <w:t xml:space="preserve">trees and other plants on natural lands because </w:t>
      </w:r>
      <w:r>
        <w:t>they</w:t>
      </w:r>
      <w:r w:rsidRPr="00EB7DFB">
        <w:t xml:space="preserve"> are under human care</w:t>
      </w:r>
      <w:r>
        <w:t xml:space="preserve"> and so considered anthropogenic. However, in line with the EMEP/</w:t>
      </w:r>
      <w:r w:rsidR="00A50D33">
        <w:t>EEA</w:t>
      </w:r>
      <w:r>
        <w:t xml:space="preserve"> approach, biogenic NMVOC emissions from living trees in managed forests are considered to be ‘natural’ for the purposes of the </w:t>
      </w:r>
      <w:r w:rsidR="00566FAD">
        <w:t>Forum</w:t>
      </w:r>
      <w:r>
        <w:t xml:space="preserve"> Manual and are therefore, not to be formally inventoried</w:t>
      </w:r>
    </w:p>
    <w:p w14:paraId="72A69365" w14:textId="77777777" w:rsidR="00C157E5" w:rsidRPr="00EB7DFB" w:rsidRDefault="00C157E5" w:rsidP="00C157E5"/>
    <w:p w14:paraId="7B718BD7" w14:textId="77777777" w:rsidR="00C157E5" w:rsidRDefault="00C157E5" w:rsidP="00C157E5">
      <w:pPr>
        <w:pStyle w:val="BodyTextIndent2"/>
      </w:pPr>
      <w:r w:rsidRPr="00EB7DFB">
        <w:t xml:space="preserve">Estimates of NMVOC emissions from </w:t>
      </w:r>
      <w:r>
        <w:t>vegetation</w:t>
      </w:r>
      <w:r w:rsidRPr="00EB7DFB">
        <w:t xml:space="preserve"> </w:t>
      </w:r>
      <w:r>
        <w:t>can be</w:t>
      </w:r>
      <w:r w:rsidRPr="00EB7DFB">
        <w:t xml:space="preserve"> calculated as the land area (in km</w:t>
      </w:r>
      <w:r w:rsidRPr="00EB7DFB">
        <w:rPr>
          <w:vertAlign w:val="superscript"/>
        </w:rPr>
        <w:t>2</w:t>
      </w:r>
      <w:r w:rsidRPr="00EB7DFB">
        <w:t xml:space="preserve">) covered by each </w:t>
      </w:r>
      <w:r>
        <w:t xml:space="preserve">type of forest/vegetation </w:t>
      </w:r>
      <w:r w:rsidRPr="00EB7DFB">
        <w:t>multiplied by an emission factor that provides an estimate of the average NMVOC emissions (in tonnes per square kilometre</w:t>
      </w:r>
      <w:r>
        <w:t xml:space="preserve"> per year</w:t>
      </w:r>
      <w:r w:rsidRPr="00EB7DFB">
        <w:t xml:space="preserve">) </w:t>
      </w:r>
    </w:p>
    <w:p w14:paraId="4E0EA493" w14:textId="77777777" w:rsidR="00591B0F" w:rsidRDefault="00591B0F" w:rsidP="00591B0F"/>
    <w:p w14:paraId="22CC83C8" w14:textId="77777777" w:rsidR="00591B0F" w:rsidRPr="00097322" w:rsidRDefault="00591B0F" w:rsidP="00591B0F"/>
    <w:p w14:paraId="1AE8441C" w14:textId="77777777" w:rsidR="00591B0F" w:rsidRPr="00AC24DA" w:rsidRDefault="000402B0" w:rsidP="00591B0F">
      <w:pPr>
        <w:pStyle w:val="Heading3"/>
        <w:numPr>
          <w:ilvl w:val="0"/>
          <w:numId w:val="0"/>
        </w:numPr>
        <w:rPr>
          <w:i w:val="0"/>
          <w:sz w:val="26"/>
          <w:szCs w:val="26"/>
        </w:rPr>
      </w:pPr>
      <w:bookmarkStart w:id="169" w:name="_Toc130035231"/>
      <w:bookmarkStart w:id="170" w:name="_Toc10122746"/>
      <w:r>
        <w:rPr>
          <w:i w:val="0"/>
          <w:sz w:val="26"/>
          <w:szCs w:val="26"/>
        </w:rPr>
        <w:t>A1.</w:t>
      </w:r>
      <w:r w:rsidR="00591B0F" w:rsidRPr="00AC24DA">
        <w:rPr>
          <w:i w:val="0"/>
          <w:sz w:val="26"/>
          <w:szCs w:val="26"/>
        </w:rPr>
        <w:t>4 Biogenic emissions of NH</w:t>
      </w:r>
      <w:r w:rsidR="00591B0F" w:rsidRPr="00AC24DA">
        <w:rPr>
          <w:i w:val="0"/>
          <w:sz w:val="26"/>
          <w:szCs w:val="26"/>
          <w:vertAlign w:val="subscript"/>
        </w:rPr>
        <w:t>3</w:t>
      </w:r>
      <w:r w:rsidR="00591B0F" w:rsidRPr="00AC24DA">
        <w:rPr>
          <w:i w:val="0"/>
          <w:sz w:val="26"/>
          <w:szCs w:val="26"/>
        </w:rPr>
        <w:t xml:space="preserve"> from natural vegetation</w:t>
      </w:r>
      <w:bookmarkEnd w:id="169"/>
      <w:bookmarkEnd w:id="170"/>
    </w:p>
    <w:p w14:paraId="5B899F57" w14:textId="77777777" w:rsidR="00591B0F" w:rsidRDefault="00591B0F" w:rsidP="00591B0F"/>
    <w:p w14:paraId="49B2BD26" w14:textId="77777777" w:rsidR="00591B0F" w:rsidRDefault="00591B0F" w:rsidP="00591B0F">
      <w:r>
        <w:t>Natural vegetation is a source of ammonia emissions although the magnitude of these emissions is poorly understood. The (very approximate) default emission factors shown in Table A</w:t>
      </w:r>
      <w:r w:rsidR="000402B0">
        <w:t>1</w:t>
      </w:r>
      <w:r>
        <w:t>-1 are estimates of soil NH</w:t>
      </w:r>
      <w:r>
        <w:rPr>
          <w:vertAlign w:val="subscript"/>
        </w:rPr>
        <w:t>3</w:t>
      </w:r>
      <w:r>
        <w:t xml:space="preserve"> flux minus canopy absorption and are derived from Bouwman et al. (1997)</w:t>
      </w:r>
      <w:r>
        <w:rPr>
          <w:rStyle w:val="FootnoteReference"/>
        </w:rPr>
        <w:footnoteReference w:id="58"/>
      </w:r>
      <w:r>
        <w:t>. Emissions of NH</w:t>
      </w:r>
      <w:r>
        <w:rPr>
          <w:vertAlign w:val="subscript"/>
        </w:rPr>
        <w:t>3</w:t>
      </w:r>
      <w:r>
        <w:t xml:space="preserve"> from natural vegetation are calculated as the land area (in km</w:t>
      </w:r>
      <w:r>
        <w:rPr>
          <w:vertAlign w:val="superscript"/>
        </w:rPr>
        <w:t>2</w:t>
      </w:r>
      <w:r>
        <w:t xml:space="preserve">) covered by the relevant vegetation type multiplied by the emission factors.  </w:t>
      </w:r>
    </w:p>
    <w:p w14:paraId="690F2DE6" w14:textId="77777777" w:rsidR="00591B0F" w:rsidRDefault="00591B0F" w:rsidP="00591B0F"/>
    <w:p w14:paraId="0660BB42" w14:textId="77777777" w:rsidR="00591B0F" w:rsidRDefault="00591B0F" w:rsidP="00591B0F">
      <w:pPr>
        <w:pStyle w:val="BodyText3"/>
      </w:pPr>
    </w:p>
    <w:p w14:paraId="47FC7944" w14:textId="77777777" w:rsidR="00591B0F" w:rsidRDefault="00591B0F" w:rsidP="00591B0F">
      <w:pPr>
        <w:pStyle w:val="BodyText3"/>
      </w:pPr>
      <w:r>
        <w:t>Table A</w:t>
      </w:r>
      <w:r w:rsidR="000402B0">
        <w:t>1</w:t>
      </w:r>
      <w:r>
        <w:t>-1: Vegetation-type categories and default emission factors for use in estimation of ammonia emissions from natural vegetation</w:t>
      </w:r>
    </w:p>
    <w:p w14:paraId="3BC4F893" w14:textId="77777777" w:rsidR="00591B0F" w:rsidRDefault="00591B0F" w:rsidP="00591B0F">
      <w:pPr>
        <w:keepNext/>
        <w:keepLine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9"/>
        <w:gridCol w:w="2880"/>
      </w:tblGrid>
      <w:tr w:rsidR="00591B0F" w14:paraId="056B9EDE" w14:textId="77777777">
        <w:trPr>
          <w:cantSplit/>
          <w:trHeight w:val="591"/>
          <w:jc w:val="center"/>
        </w:trPr>
        <w:tc>
          <w:tcPr>
            <w:tcW w:w="4469" w:type="dxa"/>
            <w:tcBorders>
              <w:bottom w:val="single" w:sz="4" w:space="0" w:color="auto"/>
            </w:tcBorders>
            <w:vAlign w:val="center"/>
          </w:tcPr>
          <w:p w14:paraId="0E80F533" w14:textId="77777777" w:rsidR="00591B0F" w:rsidRDefault="00591B0F" w:rsidP="00591B0F">
            <w:pPr>
              <w:keepNext/>
              <w:keepLines/>
              <w:rPr>
                <w:rFonts w:ascii="Arial" w:hAnsi="Arial"/>
                <w:b/>
                <w:sz w:val="20"/>
              </w:rPr>
            </w:pPr>
            <w:r>
              <w:rPr>
                <w:rFonts w:ascii="Arial" w:hAnsi="Arial"/>
                <w:b/>
                <w:sz w:val="20"/>
              </w:rPr>
              <w:t>Vegetation type category</w:t>
            </w:r>
          </w:p>
        </w:tc>
        <w:tc>
          <w:tcPr>
            <w:tcW w:w="2880" w:type="dxa"/>
            <w:tcBorders>
              <w:bottom w:val="single" w:sz="4" w:space="0" w:color="auto"/>
            </w:tcBorders>
            <w:vAlign w:val="center"/>
          </w:tcPr>
          <w:p w14:paraId="044B582F" w14:textId="77777777" w:rsidR="00591B0F" w:rsidRDefault="00591B0F" w:rsidP="00591B0F">
            <w:pPr>
              <w:keepNext/>
              <w:keepLines/>
              <w:jc w:val="center"/>
              <w:rPr>
                <w:rFonts w:ascii="Arial" w:hAnsi="Arial"/>
                <w:b/>
                <w:sz w:val="20"/>
              </w:rPr>
            </w:pPr>
            <w:r>
              <w:rPr>
                <w:rFonts w:ascii="Arial" w:hAnsi="Arial"/>
                <w:b/>
                <w:sz w:val="20"/>
              </w:rPr>
              <w:t>NH</w:t>
            </w:r>
            <w:r>
              <w:rPr>
                <w:rFonts w:ascii="Arial" w:hAnsi="Arial"/>
                <w:b/>
                <w:sz w:val="20"/>
                <w:vertAlign w:val="subscript"/>
              </w:rPr>
              <w:t>3</w:t>
            </w:r>
            <w:r>
              <w:rPr>
                <w:rFonts w:ascii="Arial" w:hAnsi="Arial"/>
                <w:b/>
                <w:sz w:val="20"/>
              </w:rPr>
              <w:t xml:space="preserve"> emission factor</w:t>
            </w:r>
            <w:r>
              <w:rPr>
                <w:rFonts w:ascii="Arial" w:hAnsi="Arial"/>
                <w:b/>
                <w:sz w:val="20"/>
              </w:rPr>
              <w:tab/>
            </w:r>
          </w:p>
          <w:p w14:paraId="5982AE75" w14:textId="77777777" w:rsidR="00591B0F" w:rsidRDefault="00591B0F" w:rsidP="00591B0F">
            <w:pPr>
              <w:keepNext/>
              <w:keepLines/>
              <w:jc w:val="center"/>
              <w:rPr>
                <w:rFonts w:ascii="Arial" w:hAnsi="Arial"/>
                <w:sz w:val="20"/>
                <w:u w:val="single"/>
              </w:rPr>
            </w:pPr>
            <w:r>
              <w:rPr>
                <w:rFonts w:ascii="Arial" w:hAnsi="Arial"/>
                <w:b/>
                <w:sz w:val="20"/>
              </w:rPr>
              <w:t>(tonnes/km</w:t>
            </w:r>
            <w:r>
              <w:rPr>
                <w:rFonts w:ascii="Arial" w:hAnsi="Arial"/>
                <w:b/>
                <w:sz w:val="20"/>
                <w:vertAlign w:val="superscript"/>
              </w:rPr>
              <w:t>2</w:t>
            </w:r>
            <w:r>
              <w:rPr>
                <w:rFonts w:ascii="Arial" w:hAnsi="Arial"/>
                <w:b/>
                <w:sz w:val="20"/>
              </w:rPr>
              <w:t>/yr)</w:t>
            </w:r>
          </w:p>
        </w:tc>
      </w:tr>
      <w:tr w:rsidR="00591B0F" w14:paraId="4FC336F5" w14:textId="77777777">
        <w:trPr>
          <w:trHeight w:val="275"/>
          <w:jc w:val="center"/>
        </w:trPr>
        <w:tc>
          <w:tcPr>
            <w:tcW w:w="4469" w:type="dxa"/>
            <w:tcBorders>
              <w:top w:val="single" w:sz="4" w:space="0" w:color="auto"/>
              <w:left w:val="single" w:sz="4" w:space="0" w:color="auto"/>
              <w:bottom w:val="nil"/>
              <w:right w:val="single" w:sz="4" w:space="0" w:color="auto"/>
            </w:tcBorders>
            <w:vAlign w:val="bottom"/>
          </w:tcPr>
          <w:p w14:paraId="0CBA4E65" w14:textId="77777777" w:rsidR="00591B0F" w:rsidRDefault="00591B0F" w:rsidP="00591B0F">
            <w:pPr>
              <w:keepNext/>
              <w:keepLines/>
              <w:rPr>
                <w:snapToGrid w:val="0"/>
                <w:color w:val="000000"/>
              </w:rPr>
            </w:pPr>
            <w:r>
              <w:rPr>
                <w:rFonts w:ascii="Arial" w:hAnsi="Arial"/>
                <w:sz w:val="20"/>
              </w:rPr>
              <w:t>Closed tropical forest</w:t>
            </w:r>
          </w:p>
        </w:tc>
        <w:tc>
          <w:tcPr>
            <w:tcW w:w="2880" w:type="dxa"/>
            <w:tcBorders>
              <w:top w:val="single" w:sz="4" w:space="0" w:color="auto"/>
              <w:left w:val="single" w:sz="4" w:space="0" w:color="auto"/>
              <w:bottom w:val="nil"/>
              <w:right w:val="single" w:sz="4" w:space="0" w:color="auto"/>
            </w:tcBorders>
            <w:vAlign w:val="bottom"/>
          </w:tcPr>
          <w:p w14:paraId="625E1E74" w14:textId="77777777" w:rsidR="00591B0F" w:rsidRDefault="00591B0F" w:rsidP="00591B0F">
            <w:pPr>
              <w:jc w:val="center"/>
              <w:rPr>
                <w:rFonts w:ascii="Arial" w:eastAsia="Arial Unicode MS" w:hAnsi="Arial"/>
                <w:sz w:val="20"/>
              </w:rPr>
            </w:pPr>
            <w:r>
              <w:rPr>
                <w:rFonts w:ascii="Arial" w:hAnsi="Arial"/>
                <w:sz w:val="20"/>
              </w:rPr>
              <w:t xml:space="preserve">0.036 </w:t>
            </w:r>
          </w:p>
        </w:tc>
      </w:tr>
      <w:tr w:rsidR="00591B0F" w14:paraId="38E1B647" w14:textId="77777777">
        <w:trPr>
          <w:trHeight w:val="270"/>
          <w:jc w:val="center"/>
        </w:trPr>
        <w:tc>
          <w:tcPr>
            <w:tcW w:w="4469" w:type="dxa"/>
            <w:tcBorders>
              <w:top w:val="nil"/>
              <w:left w:val="single" w:sz="4" w:space="0" w:color="auto"/>
              <w:bottom w:val="nil"/>
              <w:right w:val="single" w:sz="4" w:space="0" w:color="auto"/>
            </w:tcBorders>
            <w:vAlign w:val="bottom"/>
          </w:tcPr>
          <w:p w14:paraId="0F2047A6" w14:textId="77777777" w:rsidR="00591B0F" w:rsidRDefault="00591B0F" w:rsidP="00591B0F">
            <w:pPr>
              <w:keepNext/>
              <w:keepLines/>
              <w:rPr>
                <w:snapToGrid w:val="0"/>
                <w:color w:val="000000"/>
              </w:rPr>
            </w:pPr>
            <w:r>
              <w:rPr>
                <w:rFonts w:ascii="Arial" w:hAnsi="Arial"/>
                <w:sz w:val="20"/>
              </w:rPr>
              <w:t>Open tropical forest</w:t>
            </w:r>
          </w:p>
        </w:tc>
        <w:tc>
          <w:tcPr>
            <w:tcW w:w="2880" w:type="dxa"/>
            <w:tcBorders>
              <w:top w:val="nil"/>
              <w:left w:val="single" w:sz="4" w:space="0" w:color="auto"/>
              <w:bottom w:val="nil"/>
              <w:right w:val="single" w:sz="4" w:space="0" w:color="auto"/>
            </w:tcBorders>
            <w:vAlign w:val="bottom"/>
          </w:tcPr>
          <w:p w14:paraId="64695B55" w14:textId="77777777" w:rsidR="00591B0F" w:rsidRDefault="00591B0F" w:rsidP="00591B0F">
            <w:pPr>
              <w:jc w:val="center"/>
              <w:rPr>
                <w:rFonts w:ascii="Arial" w:eastAsia="Arial Unicode MS" w:hAnsi="Arial"/>
                <w:sz w:val="20"/>
              </w:rPr>
            </w:pPr>
            <w:r>
              <w:rPr>
                <w:rFonts w:ascii="Arial" w:hAnsi="Arial"/>
                <w:sz w:val="20"/>
              </w:rPr>
              <w:t xml:space="preserve">0.049 </w:t>
            </w:r>
          </w:p>
        </w:tc>
      </w:tr>
      <w:tr w:rsidR="00591B0F" w14:paraId="4B967501" w14:textId="77777777">
        <w:trPr>
          <w:trHeight w:val="263"/>
          <w:jc w:val="center"/>
        </w:trPr>
        <w:tc>
          <w:tcPr>
            <w:tcW w:w="4469" w:type="dxa"/>
            <w:tcBorders>
              <w:top w:val="nil"/>
              <w:left w:val="single" w:sz="4" w:space="0" w:color="auto"/>
              <w:bottom w:val="nil"/>
              <w:right w:val="single" w:sz="4" w:space="0" w:color="auto"/>
            </w:tcBorders>
            <w:vAlign w:val="bottom"/>
          </w:tcPr>
          <w:p w14:paraId="461A98EF" w14:textId="77777777" w:rsidR="00591B0F" w:rsidRDefault="00591B0F" w:rsidP="00591B0F">
            <w:pPr>
              <w:keepNext/>
              <w:keepLines/>
            </w:pPr>
            <w:r>
              <w:rPr>
                <w:rFonts w:ascii="Arial" w:hAnsi="Arial"/>
                <w:sz w:val="20"/>
              </w:rPr>
              <w:t>Tropical savanna</w:t>
            </w:r>
          </w:p>
        </w:tc>
        <w:tc>
          <w:tcPr>
            <w:tcW w:w="2880" w:type="dxa"/>
            <w:tcBorders>
              <w:top w:val="nil"/>
              <w:left w:val="single" w:sz="4" w:space="0" w:color="auto"/>
              <w:bottom w:val="nil"/>
              <w:right w:val="single" w:sz="4" w:space="0" w:color="auto"/>
            </w:tcBorders>
            <w:vAlign w:val="bottom"/>
          </w:tcPr>
          <w:p w14:paraId="0569EC2F" w14:textId="77777777" w:rsidR="00591B0F" w:rsidRDefault="00591B0F" w:rsidP="00591B0F">
            <w:pPr>
              <w:jc w:val="center"/>
              <w:rPr>
                <w:rFonts w:ascii="Arial" w:eastAsia="Arial Unicode MS" w:hAnsi="Arial"/>
                <w:sz w:val="20"/>
              </w:rPr>
            </w:pPr>
            <w:r>
              <w:rPr>
                <w:rFonts w:ascii="Arial" w:hAnsi="Arial"/>
                <w:sz w:val="20"/>
              </w:rPr>
              <w:t>0.061</w:t>
            </w:r>
          </w:p>
        </w:tc>
      </w:tr>
      <w:tr w:rsidR="00591B0F" w14:paraId="0A03995A" w14:textId="77777777">
        <w:trPr>
          <w:jc w:val="center"/>
        </w:trPr>
        <w:tc>
          <w:tcPr>
            <w:tcW w:w="4469" w:type="dxa"/>
            <w:tcBorders>
              <w:top w:val="nil"/>
              <w:left w:val="single" w:sz="4" w:space="0" w:color="auto"/>
              <w:bottom w:val="nil"/>
              <w:right w:val="single" w:sz="4" w:space="0" w:color="auto"/>
            </w:tcBorders>
          </w:tcPr>
          <w:p w14:paraId="66138E76" w14:textId="77777777" w:rsidR="00591B0F" w:rsidRDefault="00591B0F" w:rsidP="00591B0F">
            <w:pPr>
              <w:keepNext/>
              <w:keepLines/>
            </w:pPr>
            <w:r>
              <w:rPr>
                <w:rFonts w:ascii="Arial" w:hAnsi="Arial"/>
                <w:sz w:val="20"/>
              </w:rPr>
              <w:t>Temperate forest</w:t>
            </w:r>
          </w:p>
        </w:tc>
        <w:tc>
          <w:tcPr>
            <w:tcW w:w="2880" w:type="dxa"/>
            <w:tcBorders>
              <w:top w:val="nil"/>
              <w:left w:val="single" w:sz="4" w:space="0" w:color="auto"/>
              <w:bottom w:val="nil"/>
              <w:right w:val="single" w:sz="4" w:space="0" w:color="auto"/>
            </w:tcBorders>
            <w:vAlign w:val="bottom"/>
          </w:tcPr>
          <w:p w14:paraId="174D42AD" w14:textId="77777777" w:rsidR="00591B0F" w:rsidRDefault="00591B0F" w:rsidP="00591B0F">
            <w:pPr>
              <w:jc w:val="center"/>
              <w:rPr>
                <w:rFonts w:ascii="Arial" w:eastAsia="Arial Unicode MS" w:hAnsi="Arial"/>
                <w:sz w:val="20"/>
              </w:rPr>
            </w:pPr>
            <w:r>
              <w:rPr>
                <w:rFonts w:ascii="Arial" w:hAnsi="Arial"/>
                <w:sz w:val="20"/>
              </w:rPr>
              <w:t xml:space="preserve">0.012 </w:t>
            </w:r>
          </w:p>
        </w:tc>
      </w:tr>
      <w:tr w:rsidR="00591B0F" w14:paraId="44590496" w14:textId="77777777">
        <w:trPr>
          <w:jc w:val="center"/>
        </w:trPr>
        <w:tc>
          <w:tcPr>
            <w:tcW w:w="4469" w:type="dxa"/>
            <w:tcBorders>
              <w:top w:val="nil"/>
              <w:left w:val="single" w:sz="4" w:space="0" w:color="auto"/>
              <w:bottom w:val="nil"/>
              <w:right w:val="single" w:sz="4" w:space="0" w:color="auto"/>
            </w:tcBorders>
          </w:tcPr>
          <w:p w14:paraId="471ED581" w14:textId="77777777" w:rsidR="00591B0F" w:rsidRDefault="00591B0F" w:rsidP="00591B0F">
            <w:pPr>
              <w:keepNext/>
              <w:keepLines/>
            </w:pPr>
            <w:r>
              <w:rPr>
                <w:rFonts w:ascii="Arial" w:hAnsi="Arial"/>
                <w:sz w:val="20"/>
              </w:rPr>
              <w:t>Grasslands</w:t>
            </w:r>
          </w:p>
        </w:tc>
        <w:tc>
          <w:tcPr>
            <w:tcW w:w="2880" w:type="dxa"/>
            <w:tcBorders>
              <w:top w:val="nil"/>
              <w:left w:val="single" w:sz="4" w:space="0" w:color="auto"/>
              <w:bottom w:val="nil"/>
              <w:right w:val="single" w:sz="4" w:space="0" w:color="auto"/>
            </w:tcBorders>
            <w:vAlign w:val="bottom"/>
          </w:tcPr>
          <w:p w14:paraId="04F19E78" w14:textId="77777777" w:rsidR="00591B0F" w:rsidRDefault="00591B0F" w:rsidP="00591B0F">
            <w:pPr>
              <w:jc w:val="center"/>
              <w:rPr>
                <w:rFonts w:ascii="Arial" w:eastAsia="Arial Unicode MS" w:hAnsi="Arial"/>
                <w:sz w:val="20"/>
              </w:rPr>
            </w:pPr>
            <w:r>
              <w:rPr>
                <w:rFonts w:ascii="Arial" w:hAnsi="Arial"/>
                <w:sz w:val="20"/>
              </w:rPr>
              <w:t xml:space="preserve">0.036 </w:t>
            </w:r>
          </w:p>
        </w:tc>
      </w:tr>
      <w:tr w:rsidR="00591B0F" w14:paraId="24A1C858" w14:textId="77777777">
        <w:trPr>
          <w:jc w:val="center"/>
        </w:trPr>
        <w:tc>
          <w:tcPr>
            <w:tcW w:w="4469" w:type="dxa"/>
            <w:tcBorders>
              <w:top w:val="nil"/>
              <w:left w:val="single" w:sz="4" w:space="0" w:color="auto"/>
              <w:bottom w:val="nil"/>
              <w:right w:val="single" w:sz="4" w:space="0" w:color="auto"/>
            </w:tcBorders>
          </w:tcPr>
          <w:p w14:paraId="2611C1AA" w14:textId="77777777" w:rsidR="00591B0F" w:rsidRDefault="00591B0F" w:rsidP="00591B0F">
            <w:pPr>
              <w:keepNext/>
              <w:keepLines/>
            </w:pPr>
            <w:r>
              <w:rPr>
                <w:rFonts w:ascii="Arial" w:hAnsi="Arial"/>
                <w:sz w:val="20"/>
              </w:rPr>
              <w:t>Shrub lands</w:t>
            </w:r>
          </w:p>
        </w:tc>
        <w:tc>
          <w:tcPr>
            <w:tcW w:w="2880" w:type="dxa"/>
            <w:tcBorders>
              <w:top w:val="nil"/>
              <w:left w:val="single" w:sz="4" w:space="0" w:color="auto"/>
              <w:bottom w:val="nil"/>
              <w:right w:val="single" w:sz="4" w:space="0" w:color="auto"/>
            </w:tcBorders>
            <w:vAlign w:val="bottom"/>
          </w:tcPr>
          <w:p w14:paraId="123F6210" w14:textId="77777777" w:rsidR="00591B0F" w:rsidRDefault="00591B0F" w:rsidP="00591B0F">
            <w:pPr>
              <w:jc w:val="center"/>
              <w:rPr>
                <w:rFonts w:ascii="Arial" w:eastAsia="Arial Unicode MS" w:hAnsi="Arial"/>
                <w:sz w:val="20"/>
              </w:rPr>
            </w:pPr>
            <w:r>
              <w:rPr>
                <w:rFonts w:ascii="Arial" w:hAnsi="Arial"/>
                <w:sz w:val="20"/>
              </w:rPr>
              <w:t xml:space="preserve">0.049 </w:t>
            </w:r>
          </w:p>
        </w:tc>
      </w:tr>
      <w:tr w:rsidR="00591B0F" w14:paraId="3E29952C" w14:textId="77777777">
        <w:trPr>
          <w:trHeight w:val="191"/>
          <w:jc w:val="center"/>
        </w:trPr>
        <w:tc>
          <w:tcPr>
            <w:tcW w:w="4469" w:type="dxa"/>
            <w:tcBorders>
              <w:top w:val="nil"/>
              <w:left w:val="single" w:sz="4" w:space="0" w:color="auto"/>
              <w:bottom w:val="single" w:sz="4" w:space="0" w:color="auto"/>
              <w:right w:val="single" w:sz="4" w:space="0" w:color="auto"/>
            </w:tcBorders>
          </w:tcPr>
          <w:p w14:paraId="6D8FAB36" w14:textId="77777777" w:rsidR="00591B0F" w:rsidRDefault="00591B0F" w:rsidP="00591B0F">
            <w:pPr>
              <w:keepNext/>
              <w:keepLines/>
              <w:rPr>
                <w:snapToGrid w:val="0"/>
                <w:color w:val="000000"/>
              </w:rPr>
            </w:pPr>
            <w:r>
              <w:rPr>
                <w:rFonts w:ascii="Arial" w:hAnsi="Arial"/>
                <w:sz w:val="20"/>
              </w:rPr>
              <w:t>Deserts</w:t>
            </w:r>
          </w:p>
        </w:tc>
        <w:tc>
          <w:tcPr>
            <w:tcW w:w="2880" w:type="dxa"/>
            <w:tcBorders>
              <w:top w:val="nil"/>
              <w:left w:val="single" w:sz="4" w:space="0" w:color="auto"/>
              <w:bottom w:val="single" w:sz="4" w:space="0" w:color="auto"/>
              <w:right w:val="single" w:sz="4" w:space="0" w:color="auto"/>
            </w:tcBorders>
          </w:tcPr>
          <w:p w14:paraId="3BA82F41" w14:textId="77777777" w:rsidR="00591B0F" w:rsidRDefault="00591B0F" w:rsidP="00591B0F">
            <w:pPr>
              <w:jc w:val="center"/>
              <w:rPr>
                <w:rFonts w:ascii="Arial" w:eastAsia="Arial Unicode MS" w:hAnsi="Arial"/>
                <w:sz w:val="20"/>
              </w:rPr>
            </w:pPr>
            <w:r>
              <w:rPr>
                <w:rFonts w:ascii="Arial" w:hAnsi="Arial"/>
                <w:sz w:val="20"/>
              </w:rPr>
              <w:t xml:space="preserve">0.012 </w:t>
            </w:r>
          </w:p>
        </w:tc>
      </w:tr>
    </w:tbl>
    <w:p w14:paraId="5C4C9A8A" w14:textId="77777777" w:rsidR="00591B0F" w:rsidRDefault="00591B0F" w:rsidP="00591B0F"/>
    <w:p w14:paraId="01D18D02" w14:textId="77777777" w:rsidR="00591B0F" w:rsidRDefault="00591B0F" w:rsidP="00591B0F">
      <w:pPr>
        <w:ind w:firstLine="720"/>
      </w:pPr>
    </w:p>
    <w:p w14:paraId="5F1B3647" w14:textId="77777777" w:rsidR="00591B0F" w:rsidRDefault="00591B0F" w:rsidP="00591B0F">
      <w:pPr>
        <w:ind w:firstLine="720"/>
      </w:pPr>
    </w:p>
    <w:p w14:paraId="31FE369C" w14:textId="1220F301" w:rsidR="00591B0F" w:rsidRPr="006F2E24" w:rsidRDefault="000402B0" w:rsidP="00591B0F">
      <w:pPr>
        <w:pStyle w:val="Heading3"/>
        <w:numPr>
          <w:ilvl w:val="0"/>
          <w:numId w:val="0"/>
        </w:numPr>
        <w:rPr>
          <w:i w:val="0"/>
          <w:sz w:val="26"/>
          <w:szCs w:val="26"/>
        </w:rPr>
      </w:pPr>
      <w:bookmarkStart w:id="171" w:name="_Toc130035232"/>
      <w:bookmarkStart w:id="172" w:name="_Toc10122747"/>
      <w:r>
        <w:rPr>
          <w:i w:val="0"/>
          <w:sz w:val="26"/>
          <w:szCs w:val="26"/>
        </w:rPr>
        <w:t>A1.</w:t>
      </w:r>
      <w:r w:rsidR="00591B0F" w:rsidRPr="006F2E24">
        <w:rPr>
          <w:i w:val="0"/>
          <w:sz w:val="26"/>
          <w:szCs w:val="26"/>
        </w:rPr>
        <w:t>5 Emissions of NO</w:t>
      </w:r>
      <w:r w:rsidR="00591B0F" w:rsidRPr="006F2E24">
        <w:rPr>
          <w:i w:val="0"/>
          <w:sz w:val="26"/>
          <w:szCs w:val="26"/>
          <w:vertAlign w:val="subscript"/>
        </w:rPr>
        <w:t>x</w:t>
      </w:r>
      <w:r w:rsidR="00591B0F" w:rsidRPr="006F2E24">
        <w:rPr>
          <w:i w:val="0"/>
          <w:sz w:val="26"/>
          <w:szCs w:val="26"/>
        </w:rPr>
        <w:t xml:space="preserve"> from non-agricultural soils</w:t>
      </w:r>
      <w:bookmarkEnd w:id="171"/>
      <w:r w:rsidR="00762C00">
        <w:rPr>
          <w:i w:val="0"/>
          <w:sz w:val="26"/>
          <w:szCs w:val="26"/>
        </w:rPr>
        <w:t xml:space="preserve"> (Forests and grasslands)</w:t>
      </w:r>
      <w:bookmarkEnd w:id="172"/>
    </w:p>
    <w:p w14:paraId="0081CFF9" w14:textId="77777777" w:rsidR="00591B0F" w:rsidRDefault="00591B0F" w:rsidP="00591B0F"/>
    <w:p w14:paraId="0F143A02" w14:textId="634A3150" w:rsidR="00591B0F" w:rsidRDefault="00591B0F" w:rsidP="00591B0F">
      <w:pPr>
        <w:rPr>
          <w:i/>
        </w:rPr>
      </w:pPr>
      <w:r>
        <w:t xml:space="preserve">Although this source is not covered in the IPCC </w:t>
      </w:r>
      <w:r w:rsidR="00A50D33">
        <w:t xml:space="preserve">(2006) </w:t>
      </w:r>
      <w:r>
        <w:t>Guidelines, two methods are offered in the EMEP/</w:t>
      </w:r>
      <w:r w:rsidR="00A50D33">
        <w:t>EEA (2016)</w:t>
      </w:r>
      <w:r>
        <w:t xml:space="preserve"> Guidebook. In the simple method, a background emission rate of 0.1 ng NO-N m</w:t>
      </w:r>
      <w:r>
        <w:rPr>
          <w:vertAlign w:val="superscript"/>
        </w:rPr>
        <w:t>-2</w:t>
      </w:r>
      <w:r>
        <w:t xml:space="preserve"> s</w:t>
      </w:r>
      <w:r>
        <w:rPr>
          <w:vertAlign w:val="superscript"/>
        </w:rPr>
        <w:t>-1</w:t>
      </w:r>
      <w:r>
        <w:t xml:space="preserve"> is assumed in addition to 0.3% of applied N (returned to the atmosphere as NO) from animal manure and atmospheric deposition</w:t>
      </w:r>
      <w:r w:rsidR="00762C00">
        <w:t xml:space="preserve"> for non-agricultural areas </w:t>
      </w:r>
      <w:r>
        <w:t>. This method is only appropriate where N-deposition estimates are available. The detailed methodology is based on the Biogenic Emissions Inventory System (BEIS</w:t>
      </w:r>
      <w:r w:rsidR="00762C00">
        <w:t>-2</w:t>
      </w:r>
      <w:r>
        <w:t>) and employs soil temperature data and experimentally-derived constants for each land use category. Both methods require land use coverage data. There is a high degree of uncertainty in the magnitude of emission factors and other parameters required to calculate NO emissions from soils.</w:t>
      </w:r>
      <w:r>
        <w:rPr>
          <w:i/>
        </w:rPr>
        <w:t xml:space="preserve"> </w:t>
      </w:r>
    </w:p>
    <w:p w14:paraId="16021B33" w14:textId="77777777" w:rsidR="00591B0F" w:rsidRDefault="00591B0F" w:rsidP="00591B0F">
      <w:pPr>
        <w:pStyle w:val="Footer"/>
        <w:tabs>
          <w:tab w:val="clear" w:pos="4320"/>
          <w:tab w:val="clear" w:pos="8640"/>
        </w:tabs>
      </w:pPr>
    </w:p>
    <w:p w14:paraId="69DA228B" w14:textId="77777777" w:rsidR="00591B0F" w:rsidRPr="00453609" w:rsidRDefault="00591B0F" w:rsidP="00591B0F">
      <w:pPr>
        <w:pStyle w:val="Footer"/>
        <w:tabs>
          <w:tab w:val="clear" w:pos="4320"/>
          <w:tab w:val="clear" w:pos="8640"/>
        </w:tabs>
        <w:rPr>
          <w:sz w:val="12"/>
          <w:szCs w:val="12"/>
        </w:rPr>
      </w:pPr>
    </w:p>
    <w:p w14:paraId="768673D1" w14:textId="77777777" w:rsidR="00591B0F" w:rsidRDefault="00591B0F" w:rsidP="00591B0F">
      <w:pPr>
        <w:ind w:left="720"/>
      </w:pPr>
    </w:p>
    <w:p w14:paraId="1F161BC1" w14:textId="77777777" w:rsidR="00591B0F" w:rsidRPr="00453609" w:rsidRDefault="00591B0F" w:rsidP="00591B0F">
      <w:pPr>
        <w:ind w:left="720"/>
        <w:rPr>
          <w:sz w:val="12"/>
          <w:szCs w:val="12"/>
        </w:rPr>
      </w:pPr>
    </w:p>
    <w:p w14:paraId="2E337449" w14:textId="77777777" w:rsidR="00591B0F" w:rsidRPr="00DA2D99" w:rsidRDefault="000402B0" w:rsidP="00591B0F">
      <w:pPr>
        <w:pStyle w:val="Heading3"/>
        <w:numPr>
          <w:ilvl w:val="0"/>
          <w:numId w:val="0"/>
        </w:numPr>
        <w:rPr>
          <w:i w:val="0"/>
          <w:sz w:val="26"/>
          <w:szCs w:val="26"/>
        </w:rPr>
      </w:pPr>
      <w:bookmarkStart w:id="173" w:name="_Toc130035234"/>
      <w:bookmarkStart w:id="174" w:name="_Toc10122748"/>
      <w:r>
        <w:rPr>
          <w:i w:val="0"/>
          <w:sz w:val="26"/>
          <w:szCs w:val="26"/>
        </w:rPr>
        <w:lastRenderedPageBreak/>
        <w:t>A1.</w:t>
      </w:r>
      <w:r w:rsidR="00591B0F" w:rsidRPr="00DA2D99">
        <w:rPr>
          <w:i w:val="0"/>
          <w:sz w:val="26"/>
          <w:szCs w:val="26"/>
        </w:rPr>
        <w:t>7 Wind-blown dust from desert and disturbed areas</w:t>
      </w:r>
      <w:bookmarkEnd w:id="173"/>
      <w:bookmarkEnd w:id="174"/>
    </w:p>
    <w:p w14:paraId="0700DEB4" w14:textId="77777777" w:rsidR="00591B0F" w:rsidRPr="00A07CE8" w:rsidRDefault="00591B0F" w:rsidP="00591B0F">
      <w:pPr>
        <w:pStyle w:val="Heading3"/>
        <w:numPr>
          <w:ilvl w:val="0"/>
          <w:numId w:val="0"/>
        </w:numPr>
        <w:ind w:left="284"/>
        <w:rPr>
          <w:iCs/>
        </w:rPr>
      </w:pPr>
    </w:p>
    <w:p w14:paraId="476C4C1F" w14:textId="77777777" w:rsidR="00591B0F" w:rsidRPr="00A07CE8" w:rsidRDefault="00591B0F" w:rsidP="00591B0F">
      <w:pPr>
        <w:pStyle w:val="Heading3"/>
        <w:numPr>
          <w:ilvl w:val="0"/>
          <w:numId w:val="0"/>
        </w:numPr>
        <w:ind w:left="284"/>
        <w:rPr>
          <w:iCs/>
        </w:rPr>
      </w:pPr>
      <w:bookmarkStart w:id="175" w:name="_Toc130035235"/>
      <w:bookmarkStart w:id="176" w:name="_Toc10122749"/>
      <w:r w:rsidRPr="00A07CE8">
        <w:rPr>
          <w:iCs/>
        </w:rPr>
        <w:t>A</w:t>
      </w:r>
      <w:r w:rsidR="000402B0">
        <w:rPr>
          <w:iCs/>
        </w:rPr>
        <w:t>1.</w:t>
      </w:r>
      <w:r w:rsidRPr="00A07CE8">
        <w:rPr>
          <w:iCs/>
        </w:rPr>
        <w:t>7.1 Mechanism of action of wind-blown dust in buffering</w:t>
      </w:r>
      <w:bookmarkEnd w:id="175"/>
      <w:bookmarkEnd w:id="176"/>
      <w:r w:rsidRPr="00A07CE8">
        <w:rPr>
          <w:iCs/>
        </w:rPr>
        <w:t xml:space="preserve"> </w:t>
      </w:r>
    </w:p>
    <w:p w14:paraId="20B12BF6" w14:textId="77777777" w:rsidR="00591B0F" w:rsidRDefault="00591B0F" w:rsidP="00591B0F">
      <w:pPr>
        <w:keepNext/>
        <w:keepLines/>
      </w:pPr>
    </w:p>
    <w:p w14:paraId="47F04905" w14:textId="77777777" w:rsidR="00591B0F" w:rsidRDefault="00591B0F" w:rsidP="00591B0F">
      <w:r>
        <w:t xml:space="preserve">Soil dust is </w:t>
      </w:r>
      <w:r w:rsidR="004C4638">
        <w:t xml:space="preserve">often </w:t>
      </w:r>
      <w:r>
        <w:t xml:space="preserve">an important component of the atmosphere and, because of the presence of carbonates and other alkaline minerals, can contribute significantly to the buffering of acidic deposition, either through chemical reaction in the atmosphere or due to neutralization within the ecosystems where soil dust is deposited.  Soils of different size fractions are uplifted by wind and transported by large-scale atmospheric circulation. The processes involved in deposition of wind-blown dust are gravitational sedimentation, turbulent mixing and wet deposition by rain.  Removal efficiencies for each process are dependent on the particle size. </w:t>
      </w:r>
    </w:p>
    <w:p w14:paraId="682E17AF" w14:textId="77777777" w:rsidR="00591B0F" w:rsidRDefault="00591B0F" w:rsidP="00591B0F"/>
    <w:p w14:paraId="4B4F90BB" w14:textId="77777777" w:rsidR="00591B0F" w:rsidRDefault="00591B0F" w:rsidP="00591B0F">
      <w:pPr>
        <w:ind w:firstLine="720"/>
      </w:pPr>
      <w:r>
        <w:t>Acidic emissions are buffered, either in the atmosphere or at the point of deposition, by alkaline materials collectively described as "Base Cation Deposition".  For example, Larssen and Carmichael</w:t>
      </w:r>
      <w:r>
        <w:rPr>
          <w:rStyle w:val="FootnoteReference"/>
        </w:rPr>
        <w:footnoteReference w:id="59"/>
      </w:r>
      <w:r>
        <w:t xml:space="preserve"> have shown that high concentrations of alkaline dust are an important feature of the atmosphere in large parts of </w:t>
      </w:r>
      <w:smartTag w:uri="urn:schemas-microsoft-com:office:smarttags" w:element="country-region">
        <w:smartTag w:uri="urn:schemas-microsoft-com:office:smarttags" w:element="place">
          <w:r>
            <w:t>China</w:t>
          </w:r>
        </w:smartTag>
      </w:smartTag>
      <w:r>
        <w:t xml:space="preserve">, and that base cation deposition must be taken into account when discussing the possible effects of acidic deposition on soils and vegetation.  There are two main sources of base cation deposition: the uplift and transportation of soil dust in the atmosphere and particulates emitted from anthropogenic sources.  The relative importance of industrial sources will depend on the extent of dust control technology used. </w:t>
      </w:r>
    </w:p>
    <w:p w14:paraId="46702EF3" w14:textId="77777777" w:rsidR="00591B0F" w:rsidRDefault="00591B0F" w:rsidP="00591B0F">
      <w:pPr>
        <w:ind w:firstLine="720"/>
      </w:pPr>
    </w:p>
    <w:p w14:paraId="58C5F206" w14:textId="6AECB000" w:rsidR="00591B0F" w:rsidRPr="00DE0A4E" w:rsidRDefault="00591B0F" w:rsidP="00591B0F">
      <w:pPr>
        <w:ind w:firstLine="720"/>
      </w:pPr>
      <w:r>
        <w:t>Base cation emission and deposition related to wind-blown dust are not currently accounted for by international inventory-building methodologies such as those described by EMEP/</w:t>
      </w:r>
      <w:r w:rsidR="00762C00">
        <w:t>EEA</w:t>
      </w:r>
      <w:r>
        <w:t xml:space="preserve"> or IPCC. However,</w:t>
      </w:r>
      <w:r>
        <w:rPr>
          <w:color w:val="000000"/>
        </w:rPr>
        <w:t xml:space="preserve"> r</w:t>
      </w:r>
      <w:r w:rsidRPr="00DE0A4E">
        <w:rPr>
          <w:color w:val="000000"/>
        </w:rPr>
        <w:t>egional emission models often incorporate modelled base cation deposition estimates for the region when calculating the net acidifying effects of the acidic deposition rates it calculates from the input data (i.e. the emissions of SO</w:t>
      </w:r>
      <w:r w:rsidRPr="00DE0A4E">
        <w:rPr>
          <w:color w:val="000000"/>
          <w:vertAlign w:val="subscript"/>
        </w:rPr>
        <w:t>2</w:t>
      </w:r>
      <w:r w:rsidRPr="00DE0A4E">
        <w:rPr>
          <w:color w:val="000000"/>
        </w:rPr>
        <w:t>, NO</w:t>
      </w:r>
      <w:r w:rsidRPr="00DE0A4E">
        <w:rPr>
          <w:color w:val="000000"/>
          <w:vertAlign w:val="subscript"/>
        </w:rPr>
        <w:t>X</w:t>
      </w:r>
      <w:r w:rsidRPr="00DE0A4E">
        <w:rPr>
          <w:color w:val="000000"/>
        </w:rPr>
        <w:t xml:space="preserve"> and NH</w:t>
      </w:r>
      <w:r w:rsidRPr="00DE0A4E">
        <w:rPr>
          <w:color w:val="000000"/>
          <w:vertAlign w:val="subscript"/>
        </w:rPr>
        <w:t>3</w:t>
      </w:r>
      <w:r w:rsidRPr="00DE0A4E">
        <w:rPr>
          <w:color w:val="000000"/>
        </w:rPr>
        <w:t xml:space="preserve"> inventoried in the Workbook accompanying this Manual).</w:t>
      </w:r>
    </w:p>
    <w:p w14:paraId="3CE2B08A" w14:textId="77777777" w:rsidR="00591B0F" w:rsidRDefault="00591B0F" w:rsidP="00591B0F">
      <w:pPr>
        <w:pStyle w:val="Date"/>
      </w:pPr>
    </w:p>
    <w:p w14:paraId="5F9B683C" w14:textId="77777777" w:rsidR="00591B0F" w:rsidRPr="00453609" w:rsidRDefault="00591B0F" w:rsidP="00591B0F">
      <w:pPr>
        <w:pStyle w:val="Heading3"/>
        <w:numPr>
          <w:ilvl w:val="0"/>
          <w:numId w:val="0"/>
        </w:numPr>
        <w:ind w:left="142"/>
        <w:rPr>
          <w:sz w:val="12"/>
          <w:szCs w:val="12"/>
        </w:rPr>
      </w:pPr>
    </w:p>
    <w:p w14:paraId="67FAB849" w14:textId="77777777" w:rsidR="00591B0F" w:rsidRDefault="000402B0" w:rsidP="00591B0F">
      <w:pPr>
        <w:pStyle w:val="Heading3"/>
        <w:numPr>
          <w:ilvl w:val="0"/>
          <w:numId w:val="0"/>
        </w:numPr>
        <w:ind w:firstLine="284"/>
      </w:pPr>
      <w:bookmarkStart w:id="177" w:name="_Toc130035236"/>
      <w:bookmarkStart w:id="178" w:name="_Toc10122750"/>
      <w:r>
        <w:t>A1.</w:t>
      </w:r>
      <w:r w:rsidR="00591B0F">
        <w:t>7.2 Models of soil dust uplift</w:t>
      </w:r>
      <w:bookmarkEnd w:id="177"/>
      <w:bookmarkEnd w:id="178"/>
      <w:r w:rsidR="00591B0F">
        <w:t xml:space="preserve">  </w:t>
      </w:r>
    </w:p>
    <w:p w14:paraId="187CB757" w14:textId="77777777" w:rsidR="00591B0F" w:rsidRDefault="00591B0F" w:rsidP="00591B0F">
      <w:pPr>
        <w:keepNext/>
        <w:keepLines/>
      </w:pPr>
    </w:p>
    <w:p w14:paraId="039250E3" w14:textId="77777777" w:rsidR="00591B0F" w:rsidRDefault="00591B0F" w:rsidP="00591B0F">
      <w:pPr>
        <w:keepNext/>
        <w:keepLines/>
      </w:pPr>
      <w:r>
        <w:t xml:space="preserve">To calculate the source strength of the mineral aerosol produced by soil dust in the atmosphere, the proportion of the mass fraction that is available for dust uplift must be determined for each size class. Clay particles of less than 0.5 </w:t>
      </w:r>
      <w:r>
        <w:sym w:font="Symbol" w:char="F06D"/>
      </w:r>
      <w:r>
        <w:t xml:space="preserve">m are not uplifted due to cohesive forces whereas clay particles of between 0.5 –1.0 </w:t>
      </w:r>
      <w:r>
        <w:sym w:font="Symbol" w:char="F06D"/>
      </w:r>
      <w:r>
        <w:t xml:space="preserve">m are uplifted. Other particle sizes are divided into silt (small and large) and sand.  The upper estimate of sand available for uplift has been estimated to be 50 </w:t>
      </w:r>
      <w:r>
        <w:sym w:font="Symbol" w:char="F06D"/>
      </w:r>
      <w:r>
        <w:t>m. Table A</w:t>
      </w:r>
      <w:r w:rsidR="000402B0">
        <w:t>1</w:t>
      </w:r>
      <w:r>
        <w:t>-2 (source: Tegen and Fung</w:t>
      </w:r>
      <w:r>
        <w:rPr>
          <w:rStyle w:val="FootnoteReference"/>
        </w:rPr>
        <w:footnoteReference w:id="60"/>
      </w:r>
      <w:r>
        <w:t>) shows the particle sizes available for uplift and the mass available for uplift. Assumptions need also to be made as to the size distributions within the different particle sizes.</w:t>
      </w:r>
    </w:p>
    <w:p w14:paraId="1F35C47F" w14:textId="77777777" w:rsidR="00591B0F" w:rsidRDefault="00591B0F" w:rsidP="00591B0F">
      <w:pPr>
        <w:pStyle w:val="Date"/>
      </w:pPr>
    </w:p>
    <w:p w14:paraId="6CC0002B" w14:textId="77777777" w:rsidR="00591B0F" w:rsidRDefault="00591B0F" w:rsidP="00591B0F">
      <w:pPr>
        <w:jc w:val="center"/>
        <w:rPr>
          <w:b/>
          <w:i/>
        </w:rPr>
      </w:pPr>
      <w:r>
        <w:rPr>
          <w:b/>
          <w:i/>
        </w:rPr>
        <w:t>Table A</w:t>
      </w:r>
      <w:r w:rsidR="000402B0">
        <w:rPr>
          <w:b/>
          <w:i/>
        </w:rPr>
        <w:t>1</w:t>
      </w:r>
      <w:r>
        <w:rPr>
          <w:b/>
          <w:i/>
        </w:rPr>
        <w:t>-2 Assumptions for modelling for different dust particle size classes</w:t>
      </w:r>
    </w:p>
    <w:p w14:paraId="1CD36F21" w14:textId="77777777" w:rsidR="00591B0F" w:rsidRDefault="00591B0F" w:rsidP="00591B0F">
      <w:pPr>
        <w:pStyle w:val="Dat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591B0F" w14:paraId="79E98BDC" w14:textId="77777777">
        <w:trPr>
          <w:trHeight w:val="383"/>
          <w:jc w:val="center"/>
        </w:trPr>
        <w:tc>
          <w:tcPr>
            <w:tcW w:w="2130" w:type="dxa"/>
            <w:tcBorders>
              <w:bottom w:val="single" w:sz="4" w:space="0" w:color="auto"/>
            </w:tcBorders>
            <w:vAlign w:val="center"/>
          </w:tcPr>
          <w:p w14:paraId="765B020D" w14:textId="77777777" w:rsidR="00591B0F" w:rsidRDefault="00591B0F" w:rsidP="00591B0F">
            <w:pPr>
              <w:rPr>
                <w:rFonts w:ascii="Arial" w:hAnsi="Arial"/>
                <w:b/>
                <w:sz w:val="20"/>
              </w:rPr>
            </w:pPr>
            <w:r>
              <w:rPr>
                <w:rFonts w:ascii="Arial" w:hAnsi="Arial"/>
                <w:b/>
                <w:sz w:val="20"/>
              </w:rPr>
              <w:t>Type</w:t>
            </w:r>
          </w:p>
        </w:tc>
        <w:tc>
          <w:tcPr>
            <w:tcW w:w="2130" w:type="dxa"/>
            <w:tcBorders>
              <w:bottom w:val="single" w:sz="4" w:space="0" w:color="auto"/>
            </w:tcBorders>
            <w:vAlign w:val="center"/>
          </w:tcPr>
          <w:p w14:paraId="1C6AAE5A" w14:textId="77777777" w:rsidR="00591B0F" w:rsidRDefault="00591B0F" w:rsidP="00591B0F">
            <w:pPr>
              <w:jc w:val="center"/>
              <w:rPr>
                <w:rFonts w:ascii="Arial" w:hAnsi="Arial"/>
                <w:b/>
                <w:sz w:val="20"/>
              </w:rPr>
            </w:pPr>
            <w:r>
              <w:rPr>
                <w:rFonts w:ascii="Arial" w:hAnsi="Arial"/>
                <w:b/>
                <w:sz w:val="20"/>
              </w:rPr>
              <w:t>Size range (</w:t>
            </w:r>
            <w:r>
              <w:rPr>
                <w:rFonts w:ascii="Arial" w:hAnsi="Arial"/>
                <w:b/>
                <w:sz w:val="20"/>
              </w:rPr>
              <w:sym w:font="Symbol" w:char="F06D"/>
            </w:r>
            <w:r>
              <w:rPr>
                <w:rFonts w:ascii="Arial" w:hAnsi="Arial"/>
                <w:b/>
                <w:sz w:val="20"/>
              </w:rPr>
              <w:t>m)</w:t>
            </w:r>
          </w:p>
        </w:tc>
        <w:tc>
          <w:tcPr>
            <w:tcW w:w="2130" w:type="dxa"/>
            <w:tcBorders>
              <w:bottom w:val="single" w:sz="4" w:space="0" w:color="auto"/>
            </w:tcBorders>
            <w:vAlign w:val="center"/>
          </w:tcPr>
          <w:p w14:paraId="43AF6F76" w14:textId="77777777" w:rsidR="00591B0F" w:rsidRDefault="00591B0F" w:rsidP="00591B0F">
            <w:pPr>
              <w:jc w:val="center"/>
              <w:rPr>
                <w:rFonts w:ascii="Arial" w:hAnsi="Arial"/>
                <w:b/>
                <w:sz w:val="20"/>
              </w:rPr>
            </w:pPr>
            <w:r>
              <w:rPr>
                <w:rFonts w:ascii="Arial" w:hAnsi="Arial"/>
                <w:b/>
                <w:sz w:val="20"/>
              </w:rPr>
              <w:sym w:font="Symbol" w:char="F061"/>
            </w:r>
          </w:p>
        </w:tc>
        <w:tc>
          <w:tcPr>
            <w:tcW w:w="2130" w:type="dxa"/>
            <w:tcBorders>
              <w:bottom w:val="single" w:sz="4" w:space="0" w:color="auto"/>
            </w:tcBorders>
            <w:vAlign w:val="center"/>
          </w:tcPr>
          <w:p w14:paraId="3C53E79F" w14:textId="77777777" w:rsidR="00591B0F" w:rsidRDefault="00591B0F" w:rsidP="00591B0F">
            <w:pPr>
              <w:rPr>
                <w:rFonts w:ascii="Arial" w:hAnsi="Arial"/>
                <w:b/>
                <w:sz w:val="20"/>
              </w:rPr>
            </w:pPr>
            <w:r>
              <w:rPr>
                <w:rFonts w:ascii="Arial" w:hAnsi="Arial"/>
                <w:b/>
                <w:sz w:val="20"/>
              </w:rPr>
              <w:t>Density (g cm</w:t>
            </w:r>
            <w:r>
              <w:rPr>
                <w:rFonts w:ascii="Arial" w:hAnsi="Arial"/>
                <w:b/>
                <w:sz w:val="20"/>
                <w:vertAlign w:val="superscript"/>
              </w:rPr>
              <w:t>-3</w:t>
            </w:r>
            <w:r>
              <w:rPr>
                <w:rFonts w:ascii="Arial" w:hAnsi="Arial"/>
                <w:b/>
                <w:sz w:val="20"/>
              </w:rPr>
              <w:t>)</w:t>
            </w:r>
          </w:p>
        </w:tc>
      </w:tr>
      <w:tr w:rsidR="00591B0F" w14:paraId="0572E57C" w14:textId="77777777">
        <w:trPr>
          <w:trHeight w:val="273"/>
          <w:jc w:val="center"/>
        </w:trPr>
        <w:tc>
          <w:tcPr>
            <w:tcW w:w="2130" w:type="dxa"/>
            <w:tcBorders>
              <w:top w:val="single" w:sz="4" w:space="0" w:color="auto"/>
              <w:left w:val="single" w:sz="4" w:space="0" w:color="auto"/>
              <w:bottom w:val="nil"/>
              <w:right w:val="single" w:sz="4" w:space="0" w:color="auto"/>
            </w:tcBorders>
            <w:vAlign w:val="bottom"/>
          </w:tcPr>
          <w:p w14:paraId="0FA7739B" w14:textId="77777777" w:rsidR="00591B0F" w:rsidRDefault="00591B0F" w:rsidP="00591B0F">
            <w:pPr>
              <w:rPr>
                <w:rFonts w:ascii="Arial" w:hAnsi="Arial"/>
                <w:sz w:val="20"/>
              </w:rPr>
            </w:pPr>
            <w:r>
              <w:rPr>
                <w:rFonts w:ascii="Arial" w:hAnsi="Arial"/>
                <w:sz w:val="20"/>
              </w:rPr>
              <w:t>Clay</w:t>
            </w:r>
          </w:p>
        </w:tc>
        <w:tc>
          <w:tcPr>
            <w:tcW w:w="2130" w:type="dxa"/>
            <w:tcBorders>
              <w:top w:val="single" w:sz="4" w:space="0" w:color="auto"/>
              <w:left w:val="single" w:sz="4" w:space="0" w:color="auto"/>
              <w:bottom w:val="nil"/>
              <w:right w:val="single" w:sz="4" w:space="0" w:color="auto"/>
            </w:tcBorders>
            <w:vAlign w:val="bottom"/>
          </w:tcPr>
          <w:p w14:paraId="260ABE61" w14:textId="77777777" w:rsidR="00591B0F" w:rsidRDefault="00591B0F" w:rsidP="00591B0F">
            <w:pPr>
              <w:jc w:val="center"/>
              <w:rPr>
                <w:rFonts w:ascii="Arial" w:hAnsi="Arial"/>
                <w:sz w:val="20"/>
              </w:rPr>
            </w:pPr>
            <w:r>
              <w:rPr>
                <w:rFonts w:ascii="Arial" w:hAnsi="Arial"/>
                <w:sz w:val="20"/>
              </w:rPr>
              <w:t>0.5-1</w:t>
            </w:r>
          </w:p>
        </w:tc>
        <w:tc>
          <w:tcPr>
            <w:tcW w:w="2130" w:type="dxa"/>
            <w:tcBorders>
              <w:top w:val="single" w:sz="4" w:space="0" w:color="auto"/>
              <w:left w:val="single" w:sz="4" w:space="0" w:color="auto"/>
              <w:bottom w:val="nil"/>
              <w:right w:val="single" w:sz="4" w:space="0" w:color="auto"/>
            </w:tcBorders>
            <w:vAlign w:val="bottom"/>
          </w:tcPr>
          <w:p w14:paraId="05364424" w14:textId="77777777" w:rsidR="00591B0F" w:rsidRDefault="00591B0F" w:rsidP="00591B0F">
            <w:pPr>
              <w:jc w:val="center"/>
              <w:rPr>
                <w:rFonts w:ascii="Arial" w:hAnsi="Arial"/>
                <w:sz w:val="20"/>
              </w:rPr>
            </w:pPr>
            <w:r>
              <w:rPr>
                <w:rFonts w:ascii="Arial" w:hAnsi="Arial"/>
                <w:sz w:val="20"/>
              </w:rPr>
              <w:t>1/50 -1/6</w:t>
            </w:r>
          </w:p>
        </w:tc>
        <w:tc>
          <w:tcPr>
            <w:tcW w:w="2130" w:type="dxa"/>
            <w:tcBorders>
              <w:top w:val="single" w:sz="4" w:space="0" w:color="auto"/>
              <w:left w:val="single" w:sz="4" w:space="0" w:color="auto"/>
              <w:bottom w:val="nil"/>
              <w:right w:val="single" w:sz="4" w:space="0" w:color="auto"/>
            </w:tcBorders>
            <w:vAlign w:val="bottom"/>
          </w:tcPr>
          <w:p w14:paraId="0DE0D5B3" w14:textId="77777777" w:rsidR="00591B0F" w:rsidRDefault="00591B0F" w:rsidP="00591B0F">
            <w:pPr>
              <w:jc w:val="center"/>
              <w:rPr>
                <w:rFonts w:ascii="Arial" w:hAnsi="Arial"/>
                <w:sz w:val="20"/>
              </w:rPr>
            </w:pPr>
            <w:r>
              <w:rPr>
                <w:rFonts w:ascii="Arial" w:hAnsi="Arial"/>
                <w:sz w:val="20"/>
              </w:rPr>
              <w:t>2.5</w:t>
            </w:r>
          </w:p>
        </w:tc>
      </w:tr>
      <w:tr w:rsidR="00591B0F" w14:paraId="42A3F4F5" w14:textId="77777777">
        <w:trPr>
          <w:jc w:val="center"/>
        </w:trPr>
        <w:tc>
          <w:tcPr>
            <w:tcW w:w="2130" w:type="dxa"/>
            <w:tcBorders>
              <w:top w:val="nil"/>
              <w:left w:val="single" w:sz="4" w:space="0" w:color="auto"/>
              <w:bottom w:val="nil"/>
              <w:right w:val="single" w:sz="4" w:space="0" w:color="auto"/>
            </w:tcBorders>
          </w:tcPr>
          <w:p w14:paraId="23DA7507" w14:textId="77777777" w:rsidR="00591B0F" w:rsidRDefault="00591B0F" w:rsidP="00591B0F">
            <w:pPr>
              <w:rPr>
                <w:rFonts w:ascii="Arial" w:hAnsi="Arial"/>
                <w:sz w:val="20"/>
              </w:rPr>
            </w:pPr>
            <w:r>
              <w:rPr>
                <w:rFonts w:ascii="Arial" w:hAnsi="Arial"/>
                <w:sz w:val="20"/>
              </w:rPr>
              <w:t>Silt, small</w:t>
            </w:r>
          </w:p>
        </w:tc>
        <w:tc>
          <w:tcPr>
            <w:tcW w:w="2130" w:type="dxa"/>
            <w:tcBorders>
              <w:top w:val="nil"/>
              <w:left w:val="single" w:sz="4" w:space="0" w:color="auto"/>
              <w:bottom w:val="nil"/>
              <w:right w:val="single" w:sz="4" w:space="0" w:color="auto"/>
            </w:tcBorders>
          </w:tcPr>
          <w:p w14:paraId="0EC8631D" w14:textId="77777777" w:rsidR="00591B0F" w:rsidRDefault="00591B0F" w:rsidP="00591B0F">
            <w:pPr>
              <w:jc w:val="center"/>
              <w:rPr>
                <w:rFonts w:ascii="Arial" w:hAnsi="Arial"/>
                <w:sz w:val="20"/>
              </w:rPr>
            </w:pPr>
            <w:r>
              <w:rPr>
                <w:rFonts w:ascii="Arial" w:hAnsi="Arial"/>
                <w:sz w:val="20"/>
              </w:rPr>
              <w:t>1-10</w:t>
            </w:r>
          </w:p>
        </w:tc>
        <w:tc>
          <w:tcPr>
            <w:tcW w:w="2130" w:type="dxa"/>
            <w:tcBorders>
              <w:top w:val="nil"/>
              <w:left w:val="single" w:sz="4" w:space="0" w:color="auto"/>
              <w:bottom w:val="nil"/>
              <w:right w:val="single" w:sz="4" w:space="0" w:color="auto"/>
            </w:tcBorders>
          </w:tcPr>
          <w:p w14:paraId="388F13A5" w14:textId="77777777" w:rsidR="00591B0F" w:rsidRDefault="00591B0F" w:rsidP="00591B0F">
            <w:pPr>
              <w:jc w:val="center"/>
              <w:rPr>
                <w:rFonts w:ascii="Arial" w:hAnsi="Arial"/>
                <w:sz w:val="20"/>
              </w:rPr>
            </w:pPr>
            <w:r>
              <w:rPr>
                <w:rFonts w:ascii="Arial" w:hAnsi="Arial"/>
                <w:sz w:val="20"/>
              </w:rPr>
              <w:t>1</w:t>
            </w:r>
          </w:p>
        </w:tc>
        <w:tc>
          <w:tcPr>
            <w:tcW w:w="2130" w:type="dxa"/>
            <w:tcBorders>
              <w:top w:val="nil"/>
              <w:left w:val="single" w:sz="4" w:space="0" w:color="auto"/>
              <w:bottom w:val="nil"/>
              <w:right w:val="single" w:sz="4" w:space="0" w:color="auto"/>
            </w:tcBorders>
          </w:tcPr>
          <w:p w14:paraId="63F17F0D" w14:textId="77777777" w:rsidR="00591B0F" w:rsidRDefault="00591B0F" w:rsidP="00591B0F">
            <w:pPr>
              <w:jc w:val="center"/>
              <w:rPr>
                <w:rFonts w:ascii="Arial" w:hAnsi="Arial"/>
                <w:sz w:val="20"/>
              </w:rPr>
            </w:pPr>
            <w:r>
              <w:rPr>
                <w:rFonts w:ascii="Arial" w:hAnsi="Arial"/>
                <w:sz w:val="20"/>
              </w:rPr>
              <w:t>2.65</w:t>
            </w:r>
          </w:p>
        </w:tc>
      </w:tr>
      <w:tr w:rsidR="00591B0F" w14:paraId="33B14E95" w14:textId="77777777">
        <w:trPr>
          <w:jc w:val="center"/>
        </w:trPr>
        <w:tc>
          <w:tcPr>
            <w:tcW w:w="2130" w:type="dxa"/>
            <w:tcBorders>
              <w:top w:val="nil"/>
              <w:left w:val="single" w:sz="4" w:space="0" w:color="auto"/>
              <w:bottom w:val="nil"/>
              <w:right w:val="single" w:sz="4" w:space="0" w:color="auto"/>
            </w:tcBorders>
          </w:tcPr>
          <w:p w14:paraId="26F92FAD" w14:textId="77777777" w:rsidR="00591B0F" w:rsidRDefault="00591B0F" w:rsidP="00591B0F">
            <w:pPr>
              <w:rPr>
                <w:rFonts w:ascii="Arial" w:hAnsi="Arial"/>
                <w:sz w:val="20"/>
              </w:rPr>
            </w:pPr>
            <w:r>
              <w:rPr>
                <w:rFonts w:ascii="Arial" w:hAnsi="Arial"/>
                <w:sz w:val="20"/>
              </w:rPr>
              <w:t>Silt, large</w:t>
            </w:r>
          </w:p>
        </w:tc>
        <w:tc>
          <w:tcPr>
            <w:tcW w:w="2130" w:type="dxa"/>
            <w:tcBorders>
              <w:top w:val="nil"/>
              <w:left w:val="single" w:sz="4" w:space="0" w:color="auto"/>
              <w:bottom w:val="nil"/>
              <w:right w:val="single" w:sz="4" w:space="0" w:color="auto"/>
            </w:tcBorders>
          </w:tcPr>
          <w:p w14:paraId="40A6BD10" w14:textId="77777777" w:rsidR="00591B0F" w:rsidRDefault="00591B0F" w:rsidP="00591B0F">
            <w:pPr>
              <w:jc w:val="center"/>
              <w:rPr>
                <w:rFonts w:ascii="Arial" w:hAnsi="Arial"/>
                <w:sz w:val="20"/>
              </w:rPr>
            </w:pPr>
            <w:r>
              <w:rPr>
                <w:rFonts w:ascii="Arial" w:hAnsi="Arial"/>
                <w:sz w:val="20"/>
              </w:rPr>
              <w:t>10-25</w:t>
            </w:r>
          </w:p>
        </w:tc>
        <w:tc>
          <w:tcPr>
            <w:tcW w:w="2130" w:type="dxa"/>
            <w:tcBorders>
              <w:top w:val="nil"/>
              <w:left w:val="single" w:sz="4" w:space="0" w:color="auto"/>
              <w:bottom w:val="nil"/>
              <w:right w:val="single" w:sz="4" w:space="0" w:color="auto"/>
            </w:tcBorders>
          </w:tcPr>
          <w:p w14:paraId="57AFF803" w14:textId="77777777" w:rsidR="00591B0F" w:rsidRDefault="00591B0F" w:rsidP="00591B0F">
            <w:pPr>
              <w:jc w:val="center"/>
              <w:rPr>
                <w:rFonts w:ascii="Arial" w:hAnsi="Arial"/>
                <w:sz w:val="20"/>
              </w:rPr>
            </w:pPr>
            <w:r>
              <w:rPr>
                <w:rFonts w:ascii="Arial" w:hAnsi="Arial"/>
                <w:sz w:val="20"/>
              </w:rPr>
              <w:t>1</w:t>
            </w:r>
          </w:p>
        </w:tc>
        <w:tc>
          <w:tcPr>
            <w:tcW w:w="2130" w:type="dxa"/>
            <w:tcBorders>
              <w:top w:val="nil"/>
              <w:left w:val="single" w:sz="4" w:space="0" w:color="auto"/>
              <w:bottom w:val="nil"/>
              <w:right w:val="single" w:sz="4" w:space="0" w:color="auto"/>
            </w:tcBorders>
          </w:tcPr>
          <w:p w14:paraId="14CA65D5" w14:textId="77777777" w:rsidR="00591B0F" w:rsidRDefault="00591B0F" w:rsidP="00591B0F">
            <w:pPr>
              <w:jc w:val="center"/>
              <w:rPr>
                <w:rFonts w:ascii="Arial" w:hAnsi="Arial"/>
                <w:sz w:val="20"/>
              </w:rPr>
            </w:pPr>
            <w:r>
              <w:rPr>
                <w:rFonts w:ascii="Arial" w:hAnsi="Arial"/>
                <w:sz w:val="20"/>
              </w:rPr>
              <w:t>2.65</w:t>
            </w:r>
          </w:p>
        </w:tc>
      </w:tr>
      <w:tr w:rsidR="00591B0F" w14:paraId="02374558" w14:textId="77777777">
        <w:trPr>
          <w:trHeight w:val="292"/>
          <w:jc w:val="center"/>
        </w:trPr>
        <w:tc>
          <w:tcPr>
            <w:tcW w:w="2130" w:type="dxa"/>
            <w:tcBorders>
              <w:top w:val="nil"/>
              <w:left w:val="single" w:sz="4" w:space="0" w:color="auto"/>
              <w:bottom w:val="single" w:sz="4" w:space="0" w:color="auto"/>
              <w:right w:val="single" w:sz="4" w:space="0" w:color="auto"/>
            </w:tcBorders>
          </w:tcPr>
          <w:p w14:paraId="3420786E" w14:textId="77777777" w:rsidR="00591B0F" w:rsidRDefault="00591B0F" w:rsidP="00591B0F">
            <w:pPr>
              <w:rPr>
                <w:rFonts w:ascii="Arial" w:hAnsi="Arial"/>
                <w:sz w:val="20"/>
              </w:rPr>
            </w:pPr>
            <w:r>
              <w:rPr>
                <w:rFonts w:ascii="Arial" w:hAnsi="Arial"/>
                <w:sz w:val="20"/>
              </w:rPr>
              <w:t>Sand</w:t>
            </w:r>
          </w:p>
        </w:tc>
        <w:tc>
          <w:tcPr>
            <w:tcW w:w="2130" w:type="dxa"/>
            <w:tcBorders>
              <w:top w:val="nil"/>
              <w:left w:val="single" w:sz="4" w:space="0" w:color="auto"/>
              <w:bottom w:val="single" w:sz="4" w:space="0" w:color="auto"/>
              <w:right w:val="single" w:sz="4" w:space="0" w:color="auto"/>
            </w:tcBorders>
          </w:tcPr>
          <w:p w14:paraId="5CB8E6AE" w14:textId="77777777" w:rsidR="00591B0F" w:rsidRDefault="00591B0F" w:rsidP="00591B0F">
            <w:pPr>
              <w:jc w:val="center"/>
              <w:rPr>
                <w:rFonts w:ascii="Arial" w:hAnsi="Arial"/>
                <w:sz w:val="20"/>
              </w:rPr>
            </w:pPr>
            <w:r>
              <w:rPr>
                <w:rFonts w:ascii="Arial" w:hAnsi="Arial"/>
                <w:sz w:val="20"/>
              </w:rPr>
              <w:t>25-50</w:t>
            </w:r>
          </w:p>
        </w:tc>
        <w:tc>
          <w:tcPr>
            <w:tcW w:w="2130" w:type="dxa"/>
            <w:tcBorders>
              <w:top w:val="nil"/>
              <w:left w:val="single" w:sz="4" w:space="0" w:color="auto"/>
              <w:bottom w:val="single" w:sz="4" w:space="0" w:color="auto"/>
              <w:right w:val="single" w:sz="4" w:space="0" w:color="auto"/>
            </w:tcBorders>
          </w:tcPr>
          <w:p w14:paraId="3C768F6E" w14:textId="77777777" w:rsidR="00591B0F" w:rsidRDefault="00591B0F" w:rsidP="00591B0F">
            <w:pPr>
              <w:jc w:val="center"/>
              <w:rPr>
                <w:rFonts w:ascii="Arial" w:hAnsi="Arial"/>
                <w:sz w:val="20"/>
              </w:rPr>
            </w:pPr>
            <w:r>
              <w:rPr>
                <w:rFonts w:ascii="Arial" w:hAnsi="Arial"/>
                <w:sz w:val="20"/>
              </w:rPr>
              <w:t>1/50-1/6</w:t>
            </w:r>
          </w:p>
        </w:tc>
        <w:tc>
          <w:tcPr>
            <w:tcW w:w="2130" w:type="dxa"/>
            <w:tcBorders>
              <w:top w:val="nil"/>
              <w:left w:val="single" w:sz="4" w:space="0" w:color="auto"/>
              <w:bottom w:val="single" w:sz="4" w:space="0" w:color="auto"/>
              <w:right w:val="single" w:sz="4" w:space="0" w:color="auto"/>
            </w:tcBorders>
          </w:tcPr>
          <w:p w14:paraId="2B695038" w14:textId="77777777" w:rsidR="00591B0F" w:rsidRDefault="00591B0F" w:rsidP="00591B0F">
            <w:pPr>
              <w:jc w:val="center"/>
              <w:rPr>
                <w:rFonts w:ascii="Arial" w:hAnsi="Arial"/>
                <w:sz w:val="20"/>
              </w:rPr>
            </w:pPr>
            <w:r>
              <w:rPr>
                <w:rFonts w:ascii="Arial" w:hAnsi="Arial"/>
                <w:sz w:val="20"/>
              </w:rPr>
              <w:t>2.65</w:t>
            </w:r>
          </w:p>
        </w:tc>
      </w:tr>
    </w:tbl>
    <w:p w14:paraId="1D6C0202" w14:textId="77777777" w:rsidR="00591B0F" w:rsidRDefault="00591B0F" w:rsidP="00591B0F">
      <w:pPr>
        <w:jc w:val="center"/>
        <w:rPr>
          <w:rFonts w:ascii="Arial" w:hAnsi="Arial"/>
          <w:sz w:val="20"/>
        </w:rPr>
      </w:pPr>
      <w:r>
        <w:rPr>
          <w:rFonts w:ascii="Arial" w:hAnsi="Arial"/>
          <w:sz w:val="20"/>
        </w:rPr>
        <w:sym w:font="Symbol" w:char="F061"/>
      </w:r>
      <w:r>
        <w:rPr>
          <w:rFonts w:ascii="Arial" w:hAnsi="Arial"/>
          <w:sz w:val="20"/>
        </w:rPr>
        <w:t xml:space="preserve"> = ratio of the mass available for uplift and the total mass of the respective size class.</w:t>
      </w:r>
    </w:p>
    <w:p w14:paraId="5395D3AE" w14:textId="77777777" w:rsidR="00591B0F" w:rsidRDefault="00591B0F" w:rsidP="00591B0F">
      <w:r>
        <w:tab/>
      </w:r>
      <w:r>
        <w:tab/>
      </w:r>
      <w:r>
        <w:tab/>
      </w:r>
      <w:r>
        <w:tab/>
      </w:r>
      <w:r>
        <w:tab/>
      </w:r>
      <w:r>
        <w:tab/>
      </w:r>
    </w:p>
    <w:p w14:paraId="35E69998" w14:textId="77777777" w:rsidR="00591B0F" w:rsidRDefault="00591B0F" w:rsidP="00591B0F"/>
    <w:p w14:paraId="6A9F3ED2" w14:textId="043B53A7" w:rsidR="00591B0F" w:rsidRDefault="00591B0F" w:rsidP="00591B0F">
      <w:pPr>
        <w:ind w:firstLine="720"/>
      </w:pPr>
      <w:r>
        <w:t xml:space="preserve">In lightly managed areas, the crucial factors for the determination of the source strength of mineral aerosols are surface wind speed, soil water content and vegetation cover. In managed areas, disturbance of the </w:t>
      </w:r>
      <w:r>
        <w:lastRenderedPageBreak/>
        <w:t>soil by land-use practices alter the source strength.  Wind erosion occurs only in dry soils. Tegen and Fung assumed that uplift occurs only when the matric potential is higher than 10</w:t>
      </w:r>
      <w:r>
        <w:rPr>
          <w:vertAlign w:val="superscript"/>
        </w:rPr>
        <w:t>4</w:t>
      </w:r>
      <w:r>
        <w:t xml:space="preserve"> J kg</w:t>
      </w:r>
      <w:r>
        <w:rPr>
          <w:vertAlign w:val="superscript"/>
        </w:rPr>
        <w:t>-1</w:t>
      </w:r>
      <w:r>
        <w:t>.  The soil matric potential is determined by soil texture and soil moisture. Various methods are available to estimate soil moisture contents, and there are typical curves relating the soil matric potential to soil water potential for clay, silt, and sand. Uplift of dust only occurs when the vegetation cover is sparse and therefore a vegetation map is needed to identify source regions. Tegen and Fung assumed that uplift occurs in grassland, shrubland and desert regions. Emission factors have been estimated by Gillette</w:t>
      </w:r>
      <w:r>
        <w:rPr>
          <w:rStyle w:val="FootnoteReference"/>
        </w:rPr>
        <w:footnoteReference w:id="61"/>
      </w:r>
      <w:r>
        <w:t xml:space="preserve"> and others. Gillette estimated the uplift of dust to be:</w:t>
      </w:r>
    </w:p>
    <w:p w14:paraId="7304D959" w14:textId="77777777" w:rsidR="00762C00" w:rsidRDefault="00762C00" w:rsidP="00591B0F">
      <w:pPr>
        <w:ind w:firstLine="720"/>
      </w:pPr>
    </w:p>
    <w:p w14:paraId="7A39FFFD" w14:textId="77777777" w:rsidR="00591B0F" w:rsidRPr="00CD7F07" w:rsidRDefault="00591B0F" w:rsidP="00591B0F">
      <w:pPr>
        <w:jc w:val="center"/>
        <w:rPr>
          <w:lang w:val="nl-NL"/>
        </w:rPr>
      </w:pPr>
      <w:r w:rsidRPr="00CD7F07">
        <w:rPr>
          <w:lang w:val="nl-NL"/>
        </w:rPr>
        <w:t>Qa = C(u-u</w:t>
      </w:r>
      <w:r w:rsidRPr="00CD7F07">
        <w:rPr>
          <w:vertAlign w:val="subscript"/>
          <w:lang w:val="nl-NL"/>
        </w:rPr>
        <w:t>tr</w:t>
      </w:r>
      <w:r w:rsidRPr="00CD7F07">
        <w:rPr>
          <w:lang w:val="nl-NL"/>
        </w:rPr>
        <w:t>)u</w:t>
      </w:r>
      <w:r w:rsidRPr="00CD7F07">
        <w:rPr>
          <w:vertAlign w:val="superscript"/>
          <w:lang w:val="nl-NL"/>
        </w:rPr>
        <w:t>2</w:t>
      </w:r>
    </w:p>
    <w:p w14:paraId="1E1E76DC" w14:textId="77777777" w:rsidR="00591B0F" w:rsidRPr="00CD7F07" w:rsidRDefault="00591B0F" w:rsidP="00591B0F">
      <w:pPr>
        <w:rPr>
          <w:lang w:val="nl-NL"/>
        </w:rPr>
      </w:pPr>
      <w:r w:rsidRPr="00CD7F07">
        <w:rPr>
          <w:lang w:val="nl-NL"/>
        </w:rPr>
        <w:t xml:space="preserve">Where: </w:t>
      </w:r>
    </w:p>
    <w:p w14:paraId="11C2A9C5" w14:textId="77777777" w:rsidR="00591B0F" w:rsidRDefault="00591B0F" w:rsidP="00591B0F">
      <w:pPr>
        <w:spacing w:before="120"/>
      </w:pPr>
      <w:r>
        <w:rPr>
          <w:b/>
        </w:rPr>
        <w:t>Qa</w:t>
      </w:r>
      <w:r>
        <w:t xml:space="preserve"> is the dust flux from the surface</w:t>
      </w:r>
    </w:p>
    <w:p w14:paraId="73F7A7DB" w14:textId="77777777" w:rsidR="00591B0F" w:rsidRDefault="00591B0F" w:rsidP="00591B0F">
      <w:pPr>
        <w:spacing w:before="120"/>
        <w:rPr>
          <w:b/>
        </w:rPr>
      </w:pPr>
      <w:r>
        <w:rPr>
          <w:b/>
        </w:rPr>
        <w:t xml:space="preserve">C </w:t>
      </w:r>
      <w:r>
        <w:t xml:space="preserve">is a dimensional constant to be determined </w:t>
      </w:r>
      <w:r>
        <w:rPr>
          <w:i/>
        </w:rPr>
        <w:t>a posteriori</w:t>
      </w:r>
      <w:r>
        <w:t xml:space="preserve"> in this model</w:t>
      </w:r>
    </w:p>
    <w:p w14:paraId="7EEF6CB9" w14:textId="77777777" w:rsidR="00591B0F" w:rsidRDefault="00591B0F" w:rsidP="00591B0F">
      <w:pPr>
        <w:spacing w:before="120"/>
      </w:pPr>
      <w:r>
        <w:rPr>
          <w:b/>
        </w:rPr>
        <w:t>u</w:t>
      </w:r>
      <w:r>
        <w:t xml:space="preserve"> is the wind speed, and</w:t>
      </w:r>
    </w:p>
    <w:p w14:paraId="422AF243" w14:textId="77777777" w:rsidR="00591B0F" w:rsidRDefault="00591B0F" w:rsidP="00591B0F">
      <w:pPr>
        <w:spacing w:before="120"/>
      </w:pPr>
      <w:r>
        <w:rPr>
          <w:b/>
        </w:rPr>
        <w:t>u</w:t>
      </w:r>
      <w:r>
        <w:rPr>
          <w:b/>
          <w:vertAlign w:val="subscript"/>
        </w:rPr>
        <w:t>tr</w:t>
      </w:r>
      <w:r>
        <w:t xml:space="preserve"> is  the threshold wind velocity (Tegen and Fung used 6.5 m s</w:t>
      </w:r>
      <w:r>
        <w:rPr>
          <w:vertAlign w:val="superscript"/>
        </w:rPr>
        <w:t>-1</w:t>
      </w:r>
      <w:r>
        <w:t xml:space="preserve"> at 10 m height)</w:t>
      </w:r>
    </w:p>
    <w:p w14:paraId="049CD454" w14:textId="77777777" w:rsidR="00591B0F" w:rsidRDefault="00591B0F" w:rsidP="00591B0F"/>
    <w:p w14:paraId="0F8A41C8" w14:textId="77777777" w:rsidR="00591B0F" w:rsidRDefault="00591B0F" w:rsidP="00591B0F">
      <w:pPr>
        <w:ind w:firstLine="720"/>
      </w:pPr>
      <w:r>
        <w:t xml:space="preserve">As the dust uplift is highly dependent on the surface wind speed, it is essential to use wind data with high resolution in time and space.  For example, the European Centre for Medium Range Weather Forecasting (ECMWF) data could be used. Once uplifted the transport of the dust in the atmosphere would be determined by the use of an appropriate atmospheric transfer model. </w:t>
      </w:r>
    </w:p>
    <w:p w14:paraId="460A5006" w14:textId="77777777" w:rsidR="00591B0F" w:rsidRDefault="00591B0F" w:rsidP="00591B0F"/>
    <w:p w14:paraId="14ACE321" w14:textId="77777777" w:rsidR="00591B0F" w:rsidRDefault="00591B0F" w:rsidP="00591B0F">
      <w:pPr>
        <w:ind w:firstLine="720"/>
      </w:pPr>
      <w:r>
        <w:t xml:space="preserve">Areas where soils are disturbed by management practices also need to be included so that all relevant source regions are covered in calculations of dust uplift.  Dust flux from disturbed sources may be stronger than dust flux from natural sources, as freshly exposed earth can contain more fine material for uplift than "old surfaces" where the fine material has already blown away. Also, in cultivated areas the soil is often disrupted by agricultural practices, in which case a lower threshold wind velocity is sufficient to start dust uplift into the atmosphere. Only those disturbed soils in dry areas (mainly in north and north-eastern </w:t>
      </w:r>
      <w:smartTag w:uri="urn:schemas-microsoft-com:office:smarttags" w:element="country-region">
        <w:r>
          <w:t>China</w:t>
        </w:r>
      </w:smartTag>
      <w:r>
        <w:t xml:space="preserve"> and in </w:t>
      </w:r>
      <w:smartTag w:uri="urn:schemas-microsoft-com:office:smarttags" w:element="country-region">
        <w:r>
          <w:t>Mongolia</w:t>
        </w:r>
      </w:smartTag>
      <w:r>
        <w:t xml:space="preserve">) were considered by Tegen and Fung to contribute to the dust emission (that is, no significant dust emission was estimated in southern </w:t>
      </w:r>
      <w:smartTag w:uri="urn:schemas-microsoft-com:office:smarttags" w:element="country-region">
        <w:r>
          <w:t>China</w:t>
        </w:r>
      </w:smartTag>
      <w:r>
        <w:t xml:space="preserve">, </w:t>
      </w:r>
      <w:smartTag w:uri="urn:schemas-microsoft-com:office:smarttags" w:element="country-region">
        <w:r>
          <w:t>Korea</w:t>
        </w:r>
      </w:smartTag>
      <w:r>
        <w:t xml:space="preserve"> or in </w:t>
      </w:r>
      <w:smartTag w:uri="urn:schemas-microsoft-com:office:smarttags" w:element="country-region">
        <w:smartTag w:uri="urn:schemas-microsoft-com:office:smarttags" w:element="place">
          <w:r>
            <w:t>Japan</w:t>
          </w:r>
        </w:smartTag>
      </w:smartTag>
      <w:r>
        <w:t xml:space="preserve">). </w:t>
      </w:r>
    </w:p>
    <w:p w14:paraId="47922083" w14:textId="77777777" w:rsidR="00591B0F" w:rsidRDefault="00591B0F" w:rsidP="00591B0F"/>
    <w:p w14:paraId="4BF60BEB" w14:textId="77777777" w:rsidR="00591B0F" w:rsidRDefault="00591B0F" w:rsidP="00591B0F">
      <w:pPr>
        <w:ind w:firstLine="720"/>
      </w:pPr>
      <w:r>
        <w:t>Some work concerning the modelling of emissions, transfer and deposition has been carried out at global scale by Tegen and Fung</w:t>
      </w:r>
      <w:r>
        <w:rPr>
          <w:rStyle w:val="FootnoteReference"/>
        </w:rPr>
        <w:footnoteReference w:id="62"/>
      </w:r>
      <w:r>
        <w:rPr>
          <w:vertAlign w:val="subscript"/>
        </w:rPr>
        <w:t>’</w:t>
      </w:r>
      <w:r>
        <w:rPr>
          <w:rStyle w:val="FootnoteReference"/>
        </w:rPr>
        <w:footnoteReference w:id="63"/>
      </w:r>
      <w:r>
        <w:t xml:space="preserve"> and in </w:t>
      </w:r>
      <w:smartTag w:uri="urn:schemas-microsoft-com:office:smarttags" w:element="place">
        <w:r>
          <w:t>Asia</w:t>
        </w:r>
      </w:smartTag>
      <w:r>
        <w:t xml:space="preserve"> by Chang et al</w:t>
      </w:r>
      <w:r>
        <w:rPr>
          <w:rStyle w:val="FootnoteReference"/>
        </w:rPr>
        <w:footnoteReference w:id="64"/>
      </w:r>
      <w:r>
        <w:t>.  Ideally the chemical composition of the soil dust would be determined at the source regions and the neutralizing capacity of the soil dust could then be estimated. Gomes and Gillette</w:t>
      </w:r>
      <w:r>
        <w:rPr>
          <w:rStyle w:val="FootnoteReference"/>
        </w:rPr>
        <w:footnoteReference w:id="65"/>
      </w:r>
      <w:r>
        <w:t xml:space="preserve"> estimated the percent calcium (associated with carbonate) to be 5 to 10 percent.</w:t>
      </w:r>
    </w:p>
    <w:p w14:paraId="1B6E44B1" w14:textId="77777777" w:rsidR="00CA730C" w:rsidRPr="00CA730C" w:rsidRDefault="00CA730C" w:rsidP="00CA730C"/>
    <w:p w14:paraId="704DFCD6" w14:textId="77777777" w:rsidR="00591B0F" w:rsidRPr="00591B0F" w:rsidRDefault="00591B0F" w:rsidP="00591B0F"/>
    <w:p w14:paraId="7AE982F8" w14:textId="457E42E9" w:rsidR="00E32F7D" w:rsidRPr="00024613" w:rsidRDefault="00E32F7D" w:rsidP="00E32F7D">
      <w:pPr>
        <w:pStyle w:val="Heading1"/>
        <w:numPr>
          <w:ilvl w:val="0"/>
          <w:numId w:val="0"/>
        </w:numPr>
        <w:jc w:val="center"/>
        <w:rPr>
          <w:sz w:val="32"/>
          <w:szCs w:val="32"/>
        </w:rPr>
      </w:pPr>
      <w:r>
        <w:br w:type="page"/>
      </w:r>
      <w:bookmarkStart w:id="179" w:name="_Toc10122751"/>
      <w:bookmarkStart w:id="180" w:name="_Toc484189490"/>
      <w:r w:rsidRPr="00024613">
        <w:rPr>
          <w:sz w:val="32"/>
          <w:szCs w:val="32"/>
        </w:rPr>
        <w:lastRenderedPageBreak/>
        <w:t xml:space="preserve">Annex </w:t>
      </w:r>
      <w:r w:rsidR="00DC7701">
        <w:rPr>
          <w:sz w:val="32"/>
          <w:szCs w:val="32"/>
        </w:rPr>
        <w:t>2</w:t>
      </w:r>
      <w:r w:rsidR="00024613">
        <w:rPr>
          <w:sz w:val="32"/>
          <w:szCs w:val="32"/>
        </w:rPr>
        <w:t>:</w:t>
      </w:r>
      <w:r w:rsidR="00024613" w:rsidRPr="00024613">
        <w:rPr>
          <w:sz w:val="32"/>
          <w:szCs w:val="32"/>
        </w:rPr>
        <w:t xml:space="preserve"> </w:t>
      </w:r>
      <w:r w:rsidRPr="00024613">
        <w:rPr>
          <w:sz w:val="32"/>
          <w:szCs w:val="32"/>
        </w:rPr>
        <w:t>Speciation of pollutant emissions</w:t>
      </w:r>
      <w:bookmarkEnd w:id="179"/>
      <w:r w:rsidRPr="00024613">
        <w:rPr>
          <w:sz w:val="32"/>
          <w:szCs w:val="32"/>
        </w:rPr>
        <w:t xml:space="preserve"> </w:t>
      </w:r>
    </w:p>
    <w:p w14:paraId="6B524D37" w14:textId="77777777" w:rsidR="00E32F7D" w:rsidRDefault="00E32F7D" w:rsidP="00E32F7D"/>
    <w:p w14:paraId="4F693130" w14:textId="77777777" w:rsidR="00E32F7D" w:rsidRDefault="00E32F7D" w:rsidP="00E32F7D"/>
    <w:p w14:paraId="1190E22C" w14:textId="6F64C016" w:rsidR="00E32F7D" w:rsidRPr="00A2140A" w:rsidRDefault="00A2140A" w:rsidP="00A2140A">
      <w:pPr>
        <w:pStyle w:val="Heading3"/>
        <w:numPr>
          <w:ilvl w:val="0"/>
          <w:numId w:val="0"/>
        </w:numPr>
        <w:rPr>
          <w:i w:val="0"/>
          <w:color w:val="000000"/>
          <w:sz w:val="26"/>
        </w:rPr>
      </w:pPr>
      <w:bookmarkStart w:id="181" w:name="_Toc484189491"/>
      <w:bookmarkStart w:id="182" w:name="_Toc10122752"/>
      <w:bookmarkEnd w:id="180"/>
      <w:r>
        <w:rPr>
          <w:i w:val="0"/>
          <w:color w:val="000000"/>
          <w:sz w:val="26"/>
        </w:rPr>
        <w:t>A</w:t>
      </w:r>
      <w:r w:rsidR="00DC7701">
        <w:rPr>
          <w:i w:val="0"/>
          <w:color w:val="000000"/>
          <w:sz w:val="26"/>
        </w:rPr>
        <w:t>2</w:t>
      </w:r>
      <w:r>
        <w:rPr>
          <w:i w:val="0"/>
          <w:color w:val="000000"/>
          <w:sz w:val="26"/>
        </w:rPr>
        <w:t xml:space="preserve">.1 </w:t>
      </w:r>
      <w:r w:rsidR="00E32F7D" w:rsidRPr="00A2140A">
        <w:rPr>
          <w:i w:val="0"/>
          <w:color w:val="000000"/>
          <w:sz w:val="26"/>
        </w:rPr>
        <w:t>Introduction</w:t>
      </w:r>
      <w:bookmarkEnd w:id="181"/>
      <w:bookmarkEnd w:id="182"/>
    </w:p>
    <w:p w14:paraId="7E415C64" w14:textId="77777777" w:rsidR="00E32F7D" w:rsidRDefault="00E32F7D" w:rsidP="00E32F7D"/>
    <w:p w14:paraId="2C826130" w14:textId="77777777" w:rsidR="00E32F7D" w:rsidRDefault="00E32F7D" w:rsidP="00E32F7D">
      <w:pPr>
        <w:ind w:firstLine="576"/>
      </w:pPr>
      <w:r>
        <w:t>Several of the pollutants that play a role in transboundary air pollution are not, in fact, single chemical species, but are categories of emissions that include two or more individual chemical compounds.  "SO</w:t>
      </w:r>
      <w:r>
        <w:rPr>
          <w:vertAlign w:val="subscript"/>
        </w:rPr>
        <w:t>x</w:t>
      </w:r>
      <w:r>
        <w:t>", for exam</w:t>
      </w:r>
      <w:r w:rsidR="00837721">
        <w:t>ple, includes the oxides of sulph</w:t>
      </w:r>
      <w:r>
        <w:t>ur SO</w:t>
      </w:r>
      <w:r>
        <w:rPr>
          <w:vertAlign w:val="subscript"/>
        </w:rPr>
        <w:t>2</w:t>
      </w:r>
      <w:r>
        <w:t xml:space="preserve"> and SO</w:t>
      </w:r>
      <w:r>
        <w:rPr>
          <w:vertAlign w:val="subscript"/>
        </w:rPr>
        <w:t>3</w:t>
      </w:r>
      <w:r>
        <w:t>, and oxides of nitrogen (NO</w:t>
      </w:r>
      <w:r>
        <w:rPr>
          <w:vertAlign w:val="subscript"/>
        </w:rPr>
        <w:t>x</w:t>
      </w:r>
      <w:r>
        <w:t>) include NO</w:t>
      </w:r>
      <w:r w:rsidR="00837721">
        <w:t xml:space="preserve"> and</w:t>
      </w:r>
      <w:r>
        <w:t xml:space="preserve"> NO</w:t>
      </w:r>
      <w:r>
        <w:rPr>
          <w:vertAlign w:val="subscript"/>
        </w:rPr>
        <w:t>2</w:t>
      </w:r>
      <w:r>
        <w:t>.   The category of pollutants where distinctions between individual species have the most impact on transboundary air pollution mode</w:t>
      </w:r>
      <w:r w:rsidR="00837721">
        <w:t>l</w:t>
      </w:r>
      <w:r>
        <w:t>ling however, is that of volatile organic compounds (VOCs, also sometimes referred to as "hydrocarbons" and by other names).  There are thousands of individual chemical species that can be classified as VOCs.  For the purposes of transboundary air pollution mode</w:t>
      </w:r>
      <w:r w:rsidR="00837721">
        <w:t>l</w:t>
      </w:r>
      <w:r>
        <w:t>ling, it is often necessary to "speciate" emissions—particularly VOC emissions—into so-called "reactivity groups" for use in the model</w:t>
      </w:r>
      <w:r w:rsidR="00837721">
        <w:t>l</w:t>
      </w:r>
      <w:r>
        <w:t>ing of atmospheric chemistry processes.  The speciation of VOCs is, however, typically highly model dependent, as different atmospheric chemistry models require different reactivity groupings.  As a consequence, no specific method of speciation is formally recommended in this manual, but a description of possible procedures and data resources for accomplishing the "speciation" of VOC emissions estimates are presented in this Annex.</w:t>
      </w:r>
    </w:p>
    <w:p w14:paraId="20D747D4" w14:textId="77777777" w:rsidR="00E32F7D" w:rsidRDefault="00E32F7D" w:rsidP="00E32F7D">
      <w:pPr>
        <w:ind w:firstLine="576"/>
      </w:pPr>
    </w:p>
    <w:p w14:paraId="7DEB5E3D" w14:textId="50396CDF" w:rsidR="00E32F7D" w:rsidRPr="00A2140A" w:rsidRDefault="00DC7701" w:rsidP="00A2140A">
      <w:pPr>
        <w:pStyle w:val="Heading3"/>
        <w:numPr>
          <w:ilvl w:val="0"/>
          <w:numId w:val="0"/>
        </w:numPr>
        <w:rPr>
          <w:i w:val="0"/>
          <w:color w:val="000000"/>
          <w:sz w:val="26"/>
        </w:rPr>
      </w:pPr>
      <w:bookmarkStart w:id="183" w:name="_Toc484189492"/>
      <w:bookmarkStart w:id="184" w:name="_Toc10122753"/>
      <w:r>
        <w:rPr>
          <w:i w:val="0"/>
          <w:color w:val="000000"/>
          <w:sz w:val="26"/>
        </w:rPr>
        <w:t>A2</w:t>
      </w:r>
      <w:r w:rsidR="00A2140A">
        <w:rPr>
          <w:i w:val="0"/>
          <w:color w:val="000000"/>
          <w:sz w:val="26"/>
        </w:rPr>
        <w:t xml:space="preserve">.2 </w:t>
      </w:r>
      <w:r w:rsidR="004C4638">
        <w:rPr>
          <w:i w:val="0"/>
          <w:color w:val="000000"/>
          <w:sz w:val="26"/>
        </w:rPr>
        <w:t>The need for s</w:t>
      </w:r>
      <w:r w:rsidR="00E32F7D" w:rsidRPr="00A2140A">
        <w:rPr>
          <w:i w:val="0"/>
          <w:color w:val="000000"/>
          <w:sz w:val="26"/>
        </w:rPr>
        <w:t>peciation of VOC</w:t>
      </w:r>
      <w:bookmarkEnd w:id="183"/>
      <w:bookmarkEnd w:id="184"/>
    </w:p>
    <w:p w14:paraId="498B3C47" w14:textId="77777777" w:rsidR="00E32F7D" w:rsidRDefault="00E32F7D" w:rsidP="00E32F7D">
      <w:pPr>
        <w:pStyle w:val="Heading3"/>
        <w:numPr>
          <w:ilvl w:val="0"/>
          <w:numId w:val="0"/>
        </w:numPr>
      </w:pPr>
    </w:p>
    <w:p w14:paraId="7D943BD7" w14:textId="54F1A433" w:rsidR="00E32F7D" w:rsidRDefault="00E32F7D" w:rsidP="00E32F7D">
      <w:r>
        <w:tab/>
        <w:t>Ground level ozone is a secondary pollutant that results</w:t>
      </w:r>
      <w:r w:rsidR="00AA7A38">
        <w:t xml:space="preserve"> primarily</w:t>
      </w:r>
      <w:r>
        <w:t xml:space="preserve"> from photochemical interactions between volatile organic compounds (VOCs)</w:t>
      </w:r>
      <w:r w:rsidR="00262B1D">
        <w:t>, carbon monoxide (CO)</w:t>
      </w:r>
      <w:r>
        <w:t xml:space="preserve"> and nitrogen oxides (NO</w:t>
      </w:r>
      <w:r>
        <w:rPr>
          <w:vertAlign w:val="subscript"/>
        </w:rPr>
        <w:t>x</w:t>
      </w:r>
      <w:r>
        <w:t xml:space="preserve">).  In addition to the total mass of precursor pollutants, the formation of ground level ozone is affected by the reactivities of the organic pollutants. Because different VOC species have different reactivities with respect to ozone-forming processes, ground level ozone models require assumptions about the mixture of reactive organic gases emitted and initially present. </w:t>
      </w:r>
    </w:p>
    <w:p w14:paraId="3AC8B552" w14:textId="77777777" w:rsidR="00E32F7D" w:rsidRDefault="00E32F7D" w:rsidP="00E32F7D"/>
    <w:p w14:paraId="40E0DB56" w14:textId="53C654A7" w:rsidR="00E32F7D" w:rsidRPr="00A2140A" w:rsidRDefault="00A2140A" w:rsidP="00A2140A">
      <w:pPr>
        <w:pStyle w:val="Heading3"/>
        <w:numPr>
          <w:ilvl w:val="0"/>
          <w:numId w:val="0"/>
        </w:numPr>
        <w:rPr>
          <w:i w:val="0"/>
          <w:color w:val="000000"/>
          <w:sz w:val="26"/>
        </w:rPr>
      </w:pPr>
      <w:bookmarkStart w:id="185" w:name="_Toc484189493"/>
      <w:bookmarkStart w:id="186" w:name="_Toc10122754"/>
      <w:r>
        <w:rPr>
          <w:i w:val="0"/>
          <w:color w:val="000000"/>
          <w:sz w:val="26"/>
        </w:rPr>
        <w:t>A</w:t>
      </w:r>
      <w:r w:rsidR="00DC7701">
        <w:rPr>
          <w:i w:val="0"/>
          <w:color w:val="000000"/>
          <w:sz w:val="26"/>
        </w:rPr>
        <w:t>2</w:t>
      </w:r>
      <w:r>
        <w:rPr>
          <w:i w:val="0"/>
          <w:color w:val="000000"/>
          <w:sz w:val="26"/>
        </w:rPr>
        <w:t xml:space="preserve">.3 </w:t>
      </w:r>
      <w:r w:rsidR="00E32F7D" w:rsidRPr="00A2140A">
        <w:rPr>
          <w:i w:val="0"/>
          <w:color w:val="000000"/>
          <w:sz w:val="26"/>
        </w:rPr>
        <w:t>Approaches used for NMVOC speciation</w:t>
      </w:r>
      <w:bookmarkEnd w:id="185"/>
      <w:bookmarkEnd w:id="186"/>
      <w:r w:rsidR="00E32F7D" w:rsidRPr="00A2140A">
        <w:rPr>
          <w:i w:val="0"/>
          <w:color w:val="000000"/>
          <w:sz w:val="26"/>
        </w:rPr>
        <w:t xml:space="preserve">  </w:t>
      </w:r>
    </w:p>
    <w:p w14:paraId="0D4B5633" w14:textId="77777777" w:rsidR="00E32F7D" w:rsidRDefault="00E32F7D" w:rsidP="00E32F7D"/>
    <w:p w14:paraId="1E36A1D8" w14:textId="2034BEAA" w:rsidR="00E32F7D" w:rsidRDefault="00E32F7D" w:rsidP="00E32F7D">
      <w:pPr>
        <w:rPr>
          <w:snapToGrid w:val="0"/>
          <w:color w:val="000000"/>
        </w:rPr>
      </w:pPr>
      <w:r>
        <w:tab/>
        <w:t>Some mode</w:t>
      </w:r>
      <w:r w:rsidR="00A2140A">
        <w:t>l</w:t>
      </w:r>
      <w:r>
        <w:t>lers prefer to classify NMVOCs according to chemical groups such as alkanes, alkenes, aromatics, alcohols and so on. For anthropogenic NMVOC emissions, other mode</w:t>
      </w:r>
      <w:r w:rsidR="00A2140A">
        <w:t>l</w:t>
      </w:r>
      <w:r>
        <w:t>lers prefer a classification system based their reactivity with the hydroxyl radical using, for example, the concept of photochemical ozone creating potential (POCP).  The POCP value for a given hydrocarbon is a measure of its ability to form ozone relative to ethylene for an identical atmospheric emission. In order to cope with the vast number of emitted hydrocarbons and the wide spectrum of POCP values, species with similar reactivities can be grouped for comparing emission distributions (Leggett, 1996)</w:t>
      </w:r>
      <w:r>
        <w:rPr>
          <w:rStyle w:val="FootnoteReference"/>
        </w:rPr>
        <w:footnoteReference w:id="66"/>
      </w:r>
      <w:r>
        <w:t>. The EMEP ozone model uses a simplified mixture with seven "representative compounds" chosen to represent the normal range of ozone creating potential for most organic pollutants. The EMEP representative compounds are:</w:t>
      </w:r>
      <w:r>
        <w:rPr>
          <w:snapToGrid w:val="0"/>
          <w:color w:val="000000"/>
        </w:rPr>
        <w:t xml:space="preserve"> ethane, ethanol,</w:t>
      </w:r>
      <w:r>
        <w:rPr>
          <w:i/>
          <w:snapToGrid w:val="0"/>
          <w:color w:val="000000"/>
        </w:rPr>
        <w:t xml:space="preserve"> n</w:t>
      </w:r>
      <w:r>
        <w:rPr>
          <w:snapToGrid w:val="0"/>
          <w:color w:val="000000"/>
        </w:rPr>
        <w:t>-butane,</w:t>
      </w:r>
      <w:r>
        <w:rPr>
          <w:i/>
          <w:snapToGrid w:val="0"/>
          <w:color w:val="000000"/>
        </w:rPr>
        <w:t xml:space="preserve"> o</w:t>
      </w:r>
      <w:r>
        <w:rPr>
          <w:snapToGrid w:val="0"/>
          <w:color w:val="000000"/>
        </w:rPr>
        <w:t>-xylene, propene, ethene and “unreactive”.</w:t>
      </w:r>
    </w:p>
    <w:p w14:paraId="30EBA19A" w14:textId="77777777" w:rsidR="00E32F7D" w:rsidRDefault="00E32F7D" w:rsidP="00E32F7D">
      <w:pPr>
        <w:rPr>
          <w:snapToGrid w:val="0"/>
          <w:color w:val="000000"/>
        </w:rPr>
      </w:pPr>
    </w:p>
    <w:p w14:paraId="5AA36B62" w14:textId="77777777" w:rsidR="00E32F7D" w:rsidRDefault="00E32F7D" w:rsidP="00E32F7D">
      <w:r>
        <w:rPr>
          <w:snapToGrid w:val="0"/>
          <w:color w:val="000000"/>
        </w:rPr>
        <w:tab/>
        <w:t>Natural NMVOC emissions mainly consist of compounds in the isoprene and terpene groups, and emissions from natural sources are thus generally reported as “isoprenes”, “terpenes” and “other reactive NMVOC”.</w:t>
      </w:r>
    </w:p>
    <w:p w14:paraId="4A5B71A8" w14:textId="77777777" w:rsidR="00E32F7D" w:rsidRDefault="00E32F7D" w:rsidP="00E32F7D"/>
    <w:p w14:paraId="312418D1" w14:textId="77777777" w:rsidR="00E32F7D" w:rsidRDefault="00E32F7D" w:rsidP="00E32F7D">
      <w:pPr>
        <w:ind w:firstLine="720"/>
      </w:pPr>
    </w:p>
    <w:p w14:paraId="50D8DB26" w14:textId="2EBF7674" w:rsidR="00E32F7D" w:rsidRPr="00A2140A" w:rsidRDefault="00A2140A" w:rsidP="00A2140A">
      <w:pPr>
        <w:pStyle w:val="Heading3"/>
        <w:numPr>
          <w:ilvl w:val="0"/>
          <w:numId w:val="0"/>
        </w:numPr>
        <w:rPr>
          <w:i w:val="0"/>
          <w:color w:val="000000"/>
          <w:sz w:val="26"/>
        </w:rPr>
      </w:pPr>
      <w:bookmarkStart w:id="187" w:name="_Toc484189495"/>
      <w:bookmarkStart w:id="188" w:name="_Toc10122755"/>
      <w:r>
        <w:rPr>
          <w:i w:val="0"/>
          <w:color w:val="000000"/>
          <w:sz w:val="26"/>
        </w:rPr>
        <w:t>A</w:t>
      </w:r>
      <w:r w:rsidR="00DC7701">
        <w:rPr>
          <w:i w:val="0"/>
          <w:color w:val="000000"/>
          <w:sz w:val="26"/>
        </w:rPr>
        <w:t>2</w:t>
      </w:r>
      <w:r>
        <w:rPr>
          <w:i w:val="0"/>
          <w:color w:val="000000"/>
          <w:sz w:val="26"/>
        </w:rPr>
        <w:t xml:space="preserve">.4 </w:t>
      </w:r>
      <w:r w:rsidR="00E32F7D" w:rsidRPr="00A2140A">
        <w:rPr>
          <w:i w:val="0"/>
          <w:color w:val="000000"/>
          <w:sz w:val="26"/>
        </w:rPr>
        <w:t>Sources of speciation factors in the literature</w:t>
      </w:r>
      <w:bookmarkEnd w:id="187"/>
      <w:bookmarkEnd w:id="188"/>
    </w:p>
    <w:p w14:paraId="2A5C16C0" w14:textId="77777777" w:rsidR="00E32F7D" w:rsidRDefault="00E32F7D" w:rsidP="00E32F7D"/>
    <w:p w14:paraId="29E18457" w14:textId="77777777" w:rsidR="00E32F7D" w:rsidRDefault="00E32F7D" w:rsidP="00E32F7D">
      <w:pPr>
        <w:ind w:firstLine="720"/>
      </w:pPr>
      <w:r>
        <w:lastRenderedPageBreak/>
        <w:t xml:space="preserve">Speciation profiles (percentage composition) for NMVOC emissions are available in the </w:t>
      </w:r>
      <w:r>
        <w:rPr>
          <w:i/>
        </w:rPr>
        <w:t>EMEP/</w:t>
      </w:r>
      <w:r w:rsidR="00986698">
        <w:rPr>
          <w:i/>
        </w:rPr>
        <w:t>EEA</w:t>
      </w:r>
      <w:r>
        <w:rPr>
          <w:i/>
        </w:rPr>
        <w:t xml:space="preserve"> Guidebook.  </w:t>
      </w:r>
      <w:r>
        <w:t>Depending on the original reference source, these profiles may comprise individual NMVOC compounds or groups of compounds</w:t>
      </w:r>
      <w:r>
        <w:rPr>
          <w:i/>
        </w:rPr>
        <w:t>.</w:t>
      </w:r>
    </w:p>
    <w:p w14:paraId="4B9EC71C" w14:textId="77777777" w:rsidR="00E32F7D" w:rsidRDefault="00E32F7D" w:rsidP="00E32F7D"/>
    <w:p w14:paraId="25495E48" w14:textId="77777777" w:rsidR="00E32F7D" w:rsidRDefault="00E32F7D" w:rsidP="00E32F7D"/>
    <w:p w14:paraId="0AB2B338" w14:textId="0997B9E6" w:rsidR="00E32F7D" w:rsidRPr="00A2140A" w:rsidRDefault="00A2140A" w:rsidP="00A2140A">
      <w:pPr>
        <w:pStyle w:val="Heading3"/>
        <w:numPr>
          <w:ilvl w:val="0"/>
          <w:numId w:val="0"/>
        </w:numPr>
        <w:rPr>
          <w:i w:val="0"/>
          <w:color w:val="000000"/>
          <w:sz w:val="26"/>
        </w:rPr>
      </w:pPr>
      <w:bookmarkStart w:id="189" w:name="_Toc484189496"/>
      <w:bookmarkStart w:id="190" w:name="_Toc10122756"/>
      <w:r>
        <w:rPr>
          <w:i w:val="0"/>
          <w:color w:val="000000"/>
          <w:sz w:val="26"/>
        </w:rPr>
        <w:t>A</w:t>
      </w:r>
      <w:r w:rsidR="00DC7701">
        <w:rPr>
          <w:i w:val="0"/>
          <w:color w:val="000000"/>
          <w:sz w:val="26"/>
        </w:rPr>
        <w:t>2</w:t>
      </w:r>
      <w:r>
        <w:rPr>
          <w:i w:val="0"/>
          <w:color w:val="000000"/>
          <w:sz w:val="26"/>
        </w:rPr>
        <w:t xml:space="preserve">.5 </w:t>
      </w:r>
      <w:r w:rsidR="00E32F7D" w:rsidRPr="00A2140A">
        <w:rPr>
          <w:i w:val="0"/>
          <w:color w:val="000000"/>
          <w:sz w:val="26"/>
        </w:rPr>
        <w:t>Speciation models</w:t>
      </w:r>
      <w:bookmarkEnd w:id="189"/>
      <w:bookmarkEnd w:id="190"/>
      <w:r w:rsidR="00E32F7D" w:rsidRPr="00A2140A">
        <w:rPr>
          <w:i w:val="0"/>
          <w:color w:val="000000"/>
          <w:sz w:val="26"/>
        </w:rPr>
        <w:t xml:space="preserve"> </w:t>
      </w:r>
    </w:p>
    <w:p w14:paraId="049234A1" w14:textId="77777777" w:rsidR="00E32F7D" w:rsidRDefault="00E32F7D" w:rsidP="00E32F7D">
      <w:pPr>
        <w:rPr>
          <w:i/>
        </w:rPr>
      </w:pPr>
      <w:r>
        <w:tab/>
      </w:r>
      <w:r>
        <w:rPr>
          <w:i/>
        </w:rPr>
        <w:t xml:space="preserve"> </w:t>
      </w:r>
    </w:p>
    <w:p w14:paraId="633B9AB0" w14:textId="0341C778" w:rsidR="00262B1D" w:rsidRDefault="00E32F7D" w:rsidP="00262B1D">
      <w:r>
        <w:t>A convenient model for the speciation of VOC/NMVOC emissions is</w:t>
      </w:r>
      <w:r w:rsidR="00262B1D">
        <w:t xml:space="preserve"> called</w:t>
      </w:r>
      <w:r>
        <w:t xml:space="preserve"> </w:t>
      </w:r>
      <w:r w:rsidR="00262B1D">
        <w:t>‘</w:t>
      </w:r>
      <w:r>
        <w:t>SPECIATE</w:t>
      </w:r>
      <w:r w:rsidR="00262B1D">
        <w:t>’ and</w:t>
      </w:r>
      <w:r>
        <w:t xml:space="preserve"> </w:t>
      </w:r>
      <w:r w:rsidR="00262B1D">
        <w:t>is available from the USEPA</w:t>
      </w:r>
      <w:r w:rsidR="00262B1D">
        <w:rPr>
          <w:rStyle w:val="FootnoteReference"/>
        </w:rPr>
        <w:footnoteReference w:id="67"/>
      </w:r>
      <w:r w:rsidR="00262B1D">
        <w:t xml:space="preserve">. SPECIATE is </w:t>
      </w:r>
      <w:r>
        <w:t xml:space="preserve">a software system for speciating organic compounds </w:t>
      </w:r>
      <w:r w:rsidR="00262B1D">
        <w:t xml:space="preserve">and particulate matter </w:t>
      </w:r>
      <w:r>
        <w:t>that was developed</w:t>
      </w:r>
      <w:r w:rsidR="00262B1D">
        <w:t xml:space="preserve"> to:</w:t>
      </w:r>
    </w:p>
    <w:p w14:paraId="3B1F7D3D" w14:textId="77777777" w:rsidR="00262B1D" w:rsidRDefault="00262B1D"/>
    <w:p w14:paraId="55A8F2A7" w14:textId="2D967757" w:rsidR="00262B1D" w:rsidRDefault="00262B1D" w:rsidP="004B40A2">
      <w:pPr>
        <w:pStyle w:val="ListParagraph"/>
        <w:numPr>
          <w:ilvl w:val="0"/>
          <w:numId w:val="45"/>
        </w:numPr>
      </w:pPr>
      <w:r>
        <w:t>create speciated emissions inventories for regional haze, PM, greenhouse gas (GHG), and photochemical air quality modelling;</w:t>
      </w:r>
    </w:p>
    <w:p w14:paraId="4801A3B7" w14:textId="77777777" w:rsidR="00262B1D" w:rsidRDefault="00262B1D" w:rsidP="004B40A2">
      <w:pPr>
        <w:pStyle w:val="ListParagraph"/>
        <w:numPr>
          <w:ilvl w:val="0"/>
          <w:numId w:val="45"/>
        </w:numPr>
      </w:pPr>
      <w:r>
        <w:t>estimate hazardous air pollutant (HAP) and toxic air pollutant (TAP) emissions from PM and organic gas primary emissions;</w:t>
      </w:r>
    </w:p>
    <w:p w14:paraId="506138BE" w14:textId="77777777" w:rsidR="00262B1D" w:rsidRDefault="00262B1D" w:rsidP="004B40A2">
      <w:pPr>
        <w:pStyle w:val="ListParagraph"/>
        <w:numPr>
          <w:ilvl w:val="0"/>
          <w:numId w:val="45"/>
        </w:numPr>
      </w:pPr>
      <w:r>
        <w:t>provide input to the Chemical Mass Balance (CMB) receptor model; and,</w:t>
      </w:r>
    </w:p>
    <w:p w14:paraId="77F9AA53" w14:textId="2061F3CE" w:rsidR="00E32F7D" w:rsidRDefault="00262B1D" w:rsidP="004B40A2">
      <w:pPr>
        <w:pStyle w:val="ListParagraph"/>
        <w:numPr>
          <w:ilvl w:val="0"/>
          <w:numId w:val="45"/>
        </w:numPr>
      </w:pPr>
      <w:r>
        <w:t>verify profiles derived from ambient measurements by multivariate receptor models (e.g., factor analysis and positive matrix factorization).</w:t>
      </w:r>
      <w:r w:rsidR="00E32F7D">
        <w:t xml:space="preserve"> </w:t>
      </w:r>
    </w:p>
    <w:p w14:paraId="400827F1" w14:textId="77777777" w:rsidR="00E32F7D" w:rsidRDefault="00E32F7D" w:rsidP="001263B5">
      <w:r>
        <w:tab/>
        <w:t xml:space="preserve"> </w:t>
      </w:r>
    </w:p>
    <w:p w14:paraId="0FFA5B63" w14:textId="77777777" w:rsidR="00E81DFC" w:rsidRPr="00757B4C" w:rsidRDefault="00E81DFC" w:rsidP="004B40A2">
      <w:pPr>
        <w:keepNext/>
        <w:tabs>
          <w:tab w:val="left" w:pos="1843"/>
        </w:tabs>
        <w:spacing w:before="240"/>
        <w:jc w:val="center"/>
        <w:outlineLvl w:val="0"/>
        <w:rPr>
          <w:lang w:val="en-US"/>
        </w:rPr>
      </w:pPr>
    </w:p>
    <w:sectPr w:rsidR="00E81DFC" w:rsidRPr="00757B4C" w:rsidSect="004B40A2">
      <w:footerReference w:type="default" r:id="rId42"/>
      <w:endnotePr>
        <w:numFmt w:val="decimal"/>
      </w:endnotePr>
      <w:type w:val="continuous"/>
      <w:pgSz w:w="11907" w:h="16840" w:code="9"/>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2BC63" w14:textId="77777777" w:rsidR="008A2EE4" w:rsidRDefault="008A2EE4">
      <w:r>
        <w:separator/>
      </w:r>
    </w:p>
  </w:endnote>
  <w:endnote w:type="continuationSeparator" w:id="0">
    <w:p w14:paraId="751C7D0C" w14:textId="77777777" w:rsidR="008A2EE4" w:rsidRDefault="008A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tars">
    <w:charset w:val="02"/>
    <w:family w:val="auto"/>
    <w:pitch w:val="variable"/>
    <w:sig w:usb0="00000000" w:usb1="10000000" w:usb2="00000000" w:usb3="00000000" w:csb0="80000000" w:csb1="00000000"/>
  </w:font>
  <w:font w:name="Futura Hv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D54C" w14:textId="77777777" w:rsidR="00020FA1" w:rsidRDefault="00020F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2889AF75" w14:textId="77777777" w:rsidR="00020FA1" w:rsidRDefault="00020F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8118" w14:textId="320A52B3" w:rsidR="00020FA1" w:rsidRDefault="00020F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4F90">
      <w:rPr>
        <w:rStyle w:val="PageNumber"/>
        <w:noProof/>
      </w:rPr>
      <w:t>ii</w:t>
    </w:r>
    <w:r>
      <w:rPr>
        <w:rStyle w:val="PageNumber"/>
      </w:rPr>
      <w:fldChar w:fldCharType="end"/>
    </w:r>
  </w:p>
  <w:p w14:paraId="6AA81DA7" w14:textId="77777777" w:rsidR="00020FA1" w:rsidRDefault="00020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32FA" w14:textId="6961765E" w:rsidR="00020FA1" w:rsidRDefault="00020FA1">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B74F90">
      <w:rPr>
        <w:rStyle w:val="PageNumber"/>
        <w:noProof/>
      </w:rPr>
      <w:t>6</w:t>
    </w:r>
    <w:r>
      <w:rPr>
        <w:rStyle w:val="PageNumber"/>
      </w:rPr>
      <w:fldChar w:fldCharType="end"/>
    </w:r>
  </w:p>
  <w:p w14:paraId="1F6552A6" w14:textId="77777777" w:rsidR="00020FA1" w:rsidRDefault="00020F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D9189" w14:textId="77777777" w:rsidR="008A2EE4" w:rsidRDefault="008A2EE4">
      <w:r>
        <w:separator/>
      </w:r>
    </w:p>
  </w:footnote>
  <w:footnote w:type="continuationSeparator" w:id="0">
    <w:p w14:paraId="420D70B2" w14:textId="77777777" w:rsidR="008A2EE4" w:rsidRDefault="008A2EE4">
      <w:r>
        <w:continuationSeparator/>
      </w:r>
    </w:p>
  </w:footnote>
  <w:footnote w:id="1">
    <w:p w14:paraId="5F185C9F" w14:textId="77777777" w:rsidR="00020FA1" w:rsidRDefault="00020FA1" w:rsidP="00D84BBA">
      <w:pPr>
        <w:pStyle w:val="HTMLPreformatted"/>
        <w:rPr>
          <w:rFonts w:ascii="Times New Roman" w:hAnsi="Times New Roman" w:cs="Times New Roman"/>
          <w:sz w:val="24"/>
          <w:szCs w:val="24"/>
        </w:rPr>
      </w:pPr>
      <w:r w:rsidRPr="00D84BBA">
        <w:rPr>
          <w:rStyle w:val="FootnoteReference"/>
          <w:rFonts w:ascii="Times New Roman" w:hAnsi="Times New Roman" w:cs="Times New Roman"/>
          <w:sz w:val="24"/>
          <w:szCs w:val="24"/>
        </w:rPr>
        <w:footnoteRef/>
      </w:r>
      <w:r w:rsidRPr="00D84BBA">
        <w:rPr>
          <w:rFonts w:ascii="Times New Roman" w:hAnsi="Times New Roman" w:cs="Times New Roman"/>
          <w:sz w:val="24"/>
          <w:szCs w:val="24"/>
        </w:rPr>
        <w:t xml:space="preserve"> For comments, suggested improvements, details of locally determined emission factors </w:t>
      </w:r>
      <w:r>
        <w:rPr>
          <w:rFonts w:ascii="Times New Roman" w:hAnsi="Times New Roman" w:cs="Times New Roman"/>
          <w:sz w:val="24"/>
          <w:szCs w:val="24"/>
        </w:rPr>
        <w:t>etc.</w:t>
      </w:r>
      <w:r w:rsidRPr="00D84BBA">
        <w:rPr>
          <w:rFonts w:ascii="Times New Roman" w:hAnsi="Times New Roman" w:cs="Times New Roman"/>
          <w:sz w:val="24"/>
          <w:szCs w:val="24"/>
        </w:rPr>
        <w:t xml:space="preserve"> please contact</w:t>
      </w:r>
      <w:r>
        <w:rPr>
          <w:rFonts w:ascii="Times New Roman" w:hAnsi="Times New Roman" w:cs="Times New Roman"/>
          <w:sz w:val="24"/>
          <w:szCs w:val="24"/>
        </w:rPr>
        <w:t>:</w:t>
      </w:r>
    </w:p>
    <w:p w14:paraId="44A632A0" w14:textId="77777777" w:rsidR="00020FA1" w:rsidRDefault="00020FA1" w:rsidP="00D84BBA">
      <w:pPr>
        <w:pStyle w:val="HTMLPreformatted"/>
        <w:rPr>
          <w:rFonts w:ascii="Times New Roman" w:hAnsi="Times New Roman" w:cs="Times New Roman"/>
          <w:sz w:val="24"/>
          <w:szCs w:val="24"/>
        </w:rPr>
      </w:pPr>
    </w:p>
    <w:p w14:paraId="36F10F6C" w14:textId="77777777" w:rsidR="00020FA1" w:rsidRPr="00D84BBA" w:rsidRDefault="00020FA1" w:rsidP="00D84BBA">
      <w:pPr>
        <w:pStyle w:val="HTMLPreformatted"/>
        <w:rPr>
          <w:rFonts w:ascii="Times New Roman" w:hAnsi="Times New Roman" w:cs="Times New Roman"/>
          <w:sz w:val="24"/>
          <w:szCs w:val="24"/>
        </w:rPr>
      </w:pPr>
      <w:r w:rsidRPr="00D84BBA">
        <w:rPr>
          <w:rFonts w:ascii="Times New Roman" w:hAnsi="Times New Roman" w:cs="Times New Roman"/>
          <w:sz w:val="24"/>
          <w:szCs w:val="24"/>
        </w:rPr>
        <w:t xml:space="preserve">Harry Vallack  </w:t>
      </w:r>
    </w:p>
    <w:p w14:paraId="58E98045" w14:textId="77777777" w:rsidR="00020FA1" w:rsidRDefault="00020FA1" w:rsidP="00D84BBA">
      <w:pPr>
        <w:pStyle w:val="HTMLPreformatted"/>
        <w:rPr>
          <w:rFonts w:ascii="Times New Roman" w:hAnsi="Times New Roman" w:cs="Times New Roman"/>
          <w:sz w:val="24"/>
          <w:szCs w:val="24"/>
        </w:rPr>
      </w:pPr>
      <w:r w:rsidRPr="00D84BBA">
        <w:rPr>
          <w:rFonts w:ascii="Times New Roman" w:hAnsi="Times New Roman" w:cs="Times New Roman"/>
          <w:sz w:val="24"/>
          <w:szCs w:val="24"/>
        </w:rPr>
        <w:t>Stockholm Environment Institute</w:t>
      </w:r>
    </w:p>
    <w:p w14:paraId="10EAAF56" w14:textId="59919624" w:rsidR="00020FA1" w:rsidRPr="00D84BBA" w:rsidRDefault="00020FA1" w:rsidP="00D84BBA">
      <w:pPr>
        <w:pStyle w:val="HTMLPreformatted"/>
        <w:rPr>
          <w:rFonts w:ascii="Times New Roman" w:hAnsi="Times New Roman" w:cs="Times New Roman"/>
          <w:sz w:val="24"/>
          <w:szCs w:val="24"/>
        </w:rPr>
      </w:pPr>
      <w:r>
        <w:rPr>
          <w:rFonts w:ascii="Times New Roman" w:hAnsi="Times New Roman" w:cs="Times New Roman"/>
          <w:sz w:val="24"/>
          <w:szCs w:val="24"/>
        </w:rPr>
        <w:t xml:space="preserve">Department of Environment and Geography </w:t>
      </w:r>
    </w:p>
    <w:p w14:paraId="165528AC" w14:textId="77777777" w:rsidR="00020FA1" w:rsidRPr="00D84BBA" w:rsidRDefault="00020FA1" w:rsidP="00D84BBA">
      <w:pPr>
        <w:pStyle w:val="HTMLPreformatted"/>
        <w:rPr>
          <w:rFonts w:ascii="Times New Roman" w:hAnsi="Times New Roman" w:cs="Times New Roman"/>
          <w:sz w:val="24"/>
          <w:szCs w:val="24"/>
        </w:rPr>
      </w:pPr>
      <w:r w:rsidRPr="00D84BBA">
        <w:rPr>
          <w:rFonts w:ascii="Times New Roman" w:hAnsi="Times New Roman" w:cs="Times New Roman"/>
          <w:sz w:val="24"/>
          <w:szCs w:val="24"/>
        </w:rPr>
        <w:t>University of York</w:t>
      </w:r>
    </w:p>
    <w:p w14:paraId="5C060B53" w14:textId="77777777" w:rsidR="00020FA1" w:rsidRPr="00D84BBA" w:rsidRDefault="00020FA1" w:rsidP="00D84BBA">
      <w:pPr>
        <w:pStyle w:val="HTMLPreformatted"/>
        <w:rPr>
          <w:rFonts w:ascii="Times New Roman" w:hAnsi="Times New Roman" w:cs="Times New Roman"/>
          <w:sz w:val="24"/>
          <w:szCs w:val="24"/>
        </w:rPr>
      </w:pPr>
      <w:r w:rsidRPr="00D84BBA">
        <w:rPr>
          <w:rFonts w:ascii="Times New Roman" w:hAnsi="Times New Roman" w:cs="Times New Roman"/>
          <w:sz w:val="24"/>
          <w:szCs w:val="24"/>
        </w:rPr>
        <w:t>Heslington</w:t>
      </w:r>
    </w:p>
    <w:p w14:paraId="6EED5BDF" w14:textId="77777777" w:rsidR="00020FA1" w:rsidRPr="00D84BBA" w:rsidRDefault="00020FA1" w:rsidP="00D84BBA">
      <w:pPr>
        <w:pStyle w:val="HTMLPreformatted"/>
        <w:rPr>
          <w:rFonts w:ascii="Times New Roman" w:hAnsi="Times New Roman" w:cs="Times New Roman"/>
          <w:sz w:val="24"/>
          <w:szCs w:val="24"/>
        </w:rPr>
      </w:pPr>
      <w:smartTag w:uri="urn:schemas-microsoft-com:office:smarttags" w:element="City">
        <w:smartTag w:uri="urn:schemas-microsoft-com:office:smarttags" w:element="place">
          <w:r w:rsidRPr="00D84BBA">
            <w:rPr>
              <w:rFonts w:ascii="Times New Roman" w:hAnsi="Times New Roman" w:cs="Times New Roman"/>
              <w:sz w:val="24"/>
              <w:szCs w:val="24"/>
            </w:rPr>
            <w:t>YORK</w:t>
          </w:r>
        </w:smartTag>
      </w:smartTag>
      <w:r w:rsidRPr="00D84BBA">
        <w:rPr>
          <w:rFonts w:ascii="Times New Roman" w:hAnsi="Times New Roman" w:cs="Times New Roman"/>
          <w:sz w:val="24"/>
          <w:szCs w:val="24"/>
        </w:rPr>
        <w:t xml:space="preserve"> YO10 5DD, </w:t>
      </w:r>
    </w:p>
    <w:p w14:paraId="22EA695B" w14:textId="77777777" w:rsidR="00020FA1" w:rsidRPr="00D84BBA" w:rsidRDefault="00020FA1" w:rsidP="00D84BBA">
      <w:pPr>
        <w:pStyle w:val="HTMLPreformatted"/>
        <w:rPr>
          <w:rFonts w:ascii="Times New Roman" w:hAnsi="Times New Roman" w:cs="Times New Roman"/>
          <w:sz w:val="24"/>
          <w:szCs w:val="24"/>
        </w:rPr>
      </w:pPr>
      <w:smartTag w:uri="urn:schemas-microsoft-com:office:smarttags" w:element="country-region">
        <w:smartTag w:uri="urn:schemas-microsoft-com:office:smarttags" w:element="place">
          <w:r w:rsidRPr="00D84BBA">
            <w:rPr>
              <w:rFonts w:ascii="Times New Roman" w:hAnsi="Times New Roman" w:cs="Times New Roman"/>
              <w:sz w:val="24"/>
              <w:szCs w:val="24"/>
            </w:rPr>
            <w:t>UK</w:t>
          </w:r>
        </w:smartTag>
      </w:smartTag>
    </w:p>
    <w:p w14:paraId="15D89EE7" w14:textId="77777777" w:rsidR="00020FA1" w:rsidRPr="00D84BBA" w:rsidRDefault="00020FA1" w:rsidP="00D84BBA">
      <w:pPr>
        <w:pStyle w:val="HTMLPreformatted"/>
        <w:rPr>
          <w:rFonts w:ascii="Times New Roman" w:hAnsi="Times New Roman" w:cs="Times New Roman"/>
          <w:sz w:val="24"/>
          <w:szCs w:val="24"/>
        </w:rPr>
      </w:pPr>
    </w:p>
    <w:p w14:paraId="7A0BECD4" w14:textId="77777777" w:rsidR="00020FA1" w:rsidRPr="00D84BBA" w:rsidRDefault="00020FA1" w:rsidP="00D84BBA">
      <w:pPr>
        <w:pStyle w:val="HTMLPreformatted"/>
        <w:rPr>
          <w:rFonts w:ascii="Times New Roman" w:hAnsi="Times New Roman" w:cs="Times New Roman"/>
          <w:sz w:val="24"/>
          <w:szCs w:val="24"/>
        </w:rPr>
      </w:pPr>
      <w:r>
        <w:rPr>
          <w:rFonts w:ascii="Times New Roman" w:hAnsi="Times New Roman" w:cs="Times New Roman"/>
          <w:sz w:val="24"/>
          <w:szCs w:val="24"/>
        </w:rPr>
        <w:t>Fax +44 (0) 1904 32</w:t>
      </w:r>
      <w:r w:rsidRPr="00D84BBA">
        <w:rPr>
          <w:rFonts w:ascii="Times New Roman" w:hAnsi="Times New Roman" w:cs="Times New Roman"/>
          <w:sz w:val="24"/>
          <w:szCs w:val="24"/>
        </w:rPr>
        <w:t>2898</w:t>
      </w:r>
    </w:p>
    <w:p w14:paraId="36898CFC" w14:textId="77777777" w:rsidR="00020FA1" w:rsidRPr="00D84BBA" w:rsidRDefault="00020FA1" w:rsidP="00D84BBA">
      <w:pPr>
        <w:pStyle w:val="HTMLPreformatted"/>
        <w:rPr>
          <w:rFonts w:ascii="Times New Roman" w:hAnsi="Times New Roman" w:cs="Times New Roman"/>
          <w:sz w:val="24"/>
          <w:szCs w:val="24"/>
        </w:rPr>
      </w:pPr>
      <w:r w:rsidRPr="00D84BBA">
        <w:rPr>
          <w:rFonts w:ascii="Times New Roman" w:hAnsi="Times New Roman" w:cs="Times New Roman"/>
          <w:sz w:val="24"/>
          <w:szCs w:val="24"/>
        </w:rPr>
        <w:t xml:space="preserve">E-mail </w:t>
      </w:r>
      <w:hyperlink r:id="rId1" w:history="1">
        <w:r w:rsidRPr="006B5F42">
          <w:rPr>
            <w:rStyle w:val="Hyperlink"/>
            <w:rFonts w:ascii="Times New Roman" w:hAnsi="Times New Roman" w:cs="Times New Roman"/>
            <w:sz w:val="24"/>
            <w:szCs w:val="24"/>
          </w:rPr>
          <w:t>harry.vallack@york.ac.uk</w:t>
        </w:r>
      </w:hyperlink>
    </w:p>
    <w:p w14:paraId="55F25EB6" w14:textId="77777777" w:rsidR="00020FA1" w:rsidRPr="006F2CFF" w:rsidRDefault="00020FA1" w:rsidP="00D84BBA">
      <w:pPr>
        <w:pStyle w:val="HTMLPreformatted"/>
        <w:rPr>
          <w:rFonts w:ascii="Times New Roman" w:hAnsi="Times New Roman" w:cs="Times New Roman"/>
        </w:rPr>
      </w:pPr>
    </w:p>
    <w:p w14:paraId="4E284AAD" w14:textId="77777777" w:rsidR="00020FA1" w:rsidRDefault="00020FA1">
      <w:pPr>
        <w:pStyle w:val="FootnoteText"/>
      </w:pPr>
    </w:p>
  </w:footnote>
  <w:footnote w:id="2">
    <w:p w14:paraId="7AC5B186" w14:textId="77777777" w:rsidR="00020FA1" w:rsidRDefault="00020FA1" w:rsidP="00CC7F6D">
      <w:pPr>
        <w:pStyle w:val="FootnoteText"/>
      </w:pPr>
      <w:r>
        <w:rPr>
          <w:rStyle w:val="FootnoteReference"/>
        </w:rPr>
        <w:footnoteRef/>
      </w:r>
      <w:r>
        <w:t xml:space="preserve"> As defined by the international Energy Agency (IEA) in their Statistics and Balances databases. Presented in the order in which they are listed in the energy worksheets of the Forum Manual.</w:t>
      </w:r>
    </w:p>
  </w:footnote>
  <w:footnote w:id="3">
    <w:p w14:paraId="0D386A5A" w14:textId="1375B76D" w:rsidR="00020FA1" w:rsidRDefault="00020FA1">
      <w:pPr>
        <w:pStyle w:val="FootnoteText"/>
      </w:pPr>
      <w:r>
        <w:rPr>
          <w:rStyle w:val="FootnoteReference"/>
        </w:rPr>
        <w:footnoteRef/>
      </w:r>
      <w:r>
        <w:t xml:space="preserve"> </w:t>
      </w:r>
      <w:r w:rsidRPr="009840BE">
        <w:t xml:space="preserve"> EMEP/EEA, 2016. Air pollutant emission inventory guidebook 2016.  EEA Technical report No 21/2016. Updated July 2018, European Environment Agency https://www.eea.europa.eu/publications/emep-eea-guidebook-2016</w:t>
      </w:r>
      <w:r w:rsidRPr="009840BE">
        <w:tab/>
      </w:r>
    </w:p>
  </w:footnote>
  <w:footnote w:id="4">
    <w:p w14:paraId="4854BE29" w14:textId="56000B5C" w:rsidR="00020FA1" w:rsidRDefault="00020FA1" w:rsidP="009C3F42">
      <w:pPr>
        <w:pStyle w:val="FootnoteText"/>
      </w:pPr>
      <w:r>
        <w:rPr>
          <w:rStyle w:val="FootnoteReference"/>
        </w:rPr>
        <w:footnoteRef/>
      </w:r>
      <w:r>
        <w:t xml:space="preserve"> </w:t>
      </w:r>
      <w:r w:rsidRPr="009840BE">
        <w:t xml:space="preserve"> </w:t>
      </w:r>
      <w:r w:rsidRPr="009840BE">
        <w:rPr>
          <w:snapToGrid w:val="0"/>
        </w:rPr>
        <w:t>IPCC, 2006. Intergovernmental  Panel  on  Climate  Change (IPCC)  Guidelines for National Greenhouse Gas Inventories.  https://www.ipcc-nggip.iges.or.jp/public/2006gl/index.html</w:t>
      </w:r>
    </w:p>
    <w:p w14:paraId="760FFEF6" w14:textId="77777777" w:rsidR="00020FA1" w:rsidRDefault="00020FA1">
      <w:pPr>
        <w:pStyle w:val="FootnoteText"/>
      </w:pPr>
    </w:p>
  </w:footnote>
  <w:footnote w:id="5">
    <w:p w14:paraId="5EB51BED" w14:textId="7BA1572A" w:rsidR="00020FA1" w:rsidRPr="001C57AD" w:rsidRDefault="00020FA1">
      <w:pPr>
        <w:pStyle w:val="FootnoteText"/>
      </w:pPr>
      <w:r>
        <w:rPr>
          <w:rStyle w:val="FootnoteReference"/>
        </w:rPr>
        <w:footnoteRef/>
      </w:r>
      <w:r>
        <w:t xml:space="preserve"> These were finalised and accepted by IPCC in 2006 and are available at the website of the IPCC National Greenhouse Gas Inventories Programme (</w:t>
      </w:r>
      <w:hyperlink r:id="rId2" w:history="1">
        <w:r w:rsidRPr="000F38A2">
          <w:rPr>
            <w:rStyle w:val="Hyperlink"/>
            <w:color w:val="000000" w:themeColor="text1"/>
          </w:rPr>
          <w:t>https://www.ipcc-nggip.iges.or.jp/public/2006gl/index.html</w:t>
        </w:r>
      </w:hyperlink>
      <w:r>
        <w:t xml:space="preserve">). </w:t>
      </w:r>
    </w:p>
  </w:footnote>
  <w:footnote w:id="6">
    <w:p w14:paraId="64FD36FA" w14:textId="77777777" w:rsidR="00020FA1" w:rsidRPr="00170174" w:rsidRDefault="00020FA1">
      <w:pPr>
        <w:pStyle w:val="FootnoteText"/>
        <w:rPr>
          <w:lang w:val="en-US"/>
        </w:rPr>
      </w:pPr>
      <w:r>
        <w:rPr>
          <w:rStyle w:val="FootnoteReference"/>
        </w:rPr>
        <w:footnoteRef/>
      </w:r>
      <w:r>
        <w:t xml:space="preserve"> Natural emissions are excluded from both inventories. Natural emissions are needed for modelling purposes, but are normally not included in national reporting. </w:t>
      </w:r>
    </w:p>
  </w:footnote>
  <w:footnote w:id="7">
    <w:p w14:paraId="7AB572A8" w14:textId="77777777" w:rsidR="00020FA1" w:rsidRDefault="00020FA1">
      <w:pPr>
        <w:pStyle w:val="FootnoteText"/>
        <w:rPr>
          <w:b/>
        </w:rPr>
      </w:pPr>
      <w:r>
        <w:rPr>
          <w:rStyle w:val="FootnoteReference"/>
        </w:rPr>
        <w:footnoteRef/>
      </w:r>
      <w:r>
        <w:t xml:space="preserve"> Battye, R., Battye W., Overcash C. and Fudge S. (1994), </w:t>
      </w:r>
      <w:r>
        <w:rPr>
          <w:i/>
        </w:rPr>
        <w:t>Development and Selection of Ammonia Emission Factors – Final Report.</w:t>
      </w:r>
      <w:r>
        <w:t xml:space="preserve"> Prepared for the U.S. Environmental Protection Agency - Office of Research and Development, Washington, D.C. 20460.</w:t>
      </w:r>
    </w:p>
  </w:footnote>
  <w:footnote w:id="8">
    <w:p w14:paraId="7E4B4A3A" w14:textId="77777777" w:rsidR="00020FA1" w:rsidRPr="00BD2439" w:rsidRDefault="00020FA1">
      <w:pPr>
        <w:pStyle w:val="FootnoteText"/>
      </w:pPr>
      <w:r>
        <w:rPr>
          <w:rStyle w:val="FootnoteReference"/>
        </w:rPr>
        <w:footnoteRef/>
      </w:r>
      <w:r>
        <w:t xml:space="preserve"> However, when estimates are based on emission monitoring in industrial plants it can sometimes be difficult to distinguish between energy related and process emissions. In this situation all emissions can be included in one category and it is important not to double count emissions.</w:t>
      </w:r>
    </w:p>
  </w:footnote>
  <w:footnote w:id="9">
    <w:p w14:paraId="1F28D450" w14:textId="54BB8F02" w:rsidR="00020FA1" w:rsidRPr="00C83288" w:rsidRDefault="00020FA1">
      <w:pPr>
        <w:pStyle w:val="FootnoteText"/>
        <w:rPr>
          <w:lang w:val="fr-FR"/>
        </w:rPr>
      </w:pPr>
      <w:r>
        <w:rPr>
          <w:rStyle w:val="FootnoteReference"/>
        </w:rPr>
        <w:footnoteRef/>
      </w:r>
      <w:r>
        <w:t xml:space="preserve"> USEPA (1995) </w:t>
      </w:r>
      <w:r>
        <w:rPr>
          <w:i/>
        </w:rPr>
        <w:t>Compilation of Air Pollution Emission Factors. Vol. 1: Stationary Point and Area Sources, 5th Edition, AP-42</w:t>
      </w:r>
      <w:r>
        <w:t xml:space="preserve">; US Environmental Protection Agency, Research Triangle Park, North Carolina, USA. </w:t>
      </w:r>
      <w:r w:rsidRPr="00C83288">
        <w:rPr>
          <w:lang w:val="fr-FR"/>
        </w:rPr>
        <w:t>(Available via Internet:</w:t>
      </w:r>
      <w:hyperlink w:history="1"/>
      <w:r w:rsidRPr="0017631F">
        <w:t xml:space="preserve"> </w:t>
      </w:r>
      <w:hyperlink r:id="rId3" w:history="1">
        <w:r>
          <w:rPr>
            <w:rStyle w:val="Hyperlink"/>
          </w:rPr>
          <w:t>https://www.epa.gov/air-emissions-factors-and-quantification/ap-42-compilation-air-emissions-factors</w:t>
        </w:r>
      </w:hyperlink>
      <w:r>
        <w:t>)</w:t>
      </w:r>
    </w:p>
  </w:footnote>
  <w:footnote w:id="10">
    <w:p w14:paraId="3F2DF3DD" w14:textId="77777777" w:rsidR="00020FA1" w:rsidRPr="00685E55" w:rsidRDefault="00020FA1">
      <w:pPr>
        <w:pStyle w:val="FootnoteText"/>
      </w:pPr>
      <w:r>
        <w:rPr>
          <w:rStyle w:val="FootnoteReference"/>
        </w:rPr>
        <w:footnoteRef/>
      </w:r>
      <w:r>
        <w:t xml:space="preserve"> For fuel definitions see Section on “Units and Conversions”</w:t>
      </w:r>
    </w:p>
  </w:footnote>
  <w:footnote w:id="11">
    <w:p w14:paraId="60F12F03" w14:textId="4E7F8F3D" w:rsidR="00020FA1" w:rsidRPr="00B06477" w:rsidRDefault="00020FA1">
      <w:pPr>
        <w:pStyle w:val="FootnoteText"/>
      </w:pPr>
      <w:r>
        <w:rPr>
          <w:rStyle w:val="FootnoteReference"/>
        </w:rPr>
        <w:footnoteRef/>
      </w:r>
      <w:r>
        <w:t xml:space="preserve"> </w:t>
      </w:r>
      <w:r>
        <w:rPr>
          <w:i/>
        </w:rPr>
        <w:t>World Energy Balances,</w:t>
      </w:r>
      <w:r>
        <w:t xml:space="preserve"> International Energy Agency (IEA),  </w:t>
      </w:r>
      <w:r w:rsidDel="00547FBC">
        <w:t xml:space="preserve"> </w:t>
      </w:r>
      <w:hyperlink r:id="rId4" w:history="1">
        <w:r>
          <w:rPr>
            <w:rStyle w:val="Hyperlink"/>
          </w:rPr>
          <w:t>https://www.iea.org/statistics/?country=WORLD&amp;year=2016&amp;category=Energy%20supply&amp;indicator=TPESbySource&amp;mode=chart&amp;dataTable=BALANCES</w:t>
        </w:r>
      </w:hyperlink>
    </w:p>
  </w:footnote>
  <w:footnote w:id="12">
    <w:p w14:paraId="1FA57C1B" w14:textId="77777777" w:rsidR="00020FA1" w:rsidRDefault="00020FA1" w:rsidP="00B06477">
      <w:pPr>
        <w:pStyle w:val="FootnoteText"/>
      </w:pPr>
      <w:r>
        <w:rPr>
          <w:rStyle w:val="FootnoteReference"/>
        </w:rPr>
        <w:footnoteRef/>
      </w:r>
      <w:r>
        <w:t xml:space="preserve"> Spiro, P.A., Jacob, D.J. and Logan, J.A., (1992) Global inventory of sulphur emissions with 1° x 1° resolution. </w:t>
      </w:r>
      <w:r>
        <w:rPr>
          <w:i/>
        </w:rPr>
        <w:t xml:space="preserve">Journal of Geophysical Research </w:t>
      </w:r>
      <w:r>
        <w:rPr>
          <w:b/>
        </w:rPr>
        <w:t>97</w:t>
      </w:r>
      <w:r>
        <w:t>:6023-6036.</w:t>
      </w:r>
    </w:p>
  </w:footnote>
  <w:footnote w:id="13">
    <w:p w14:paraId="5FFDD1F7" w14:textId="438CFAB8" w:rsidR="00020FA1" w:rsidRDefault="00020FA1">
      <w:pPr>
        <w:pStyle w:val="FootnoteText"/>
      </w:pPr>
      <w:r>
        <w:rPr>
          <w:rStyle w:val="FootnoteReference"/>
        </w:rPr>
        <w:footnoteRef/>
      </w:r>
      <w:r>
        <w:t xml:space="preserve"> </w:t>
      </w:r>
      <w:r w:rsidRPr="00547FBC">
        <w:t>Smith, Kirk R. et al, (2000) Greenhouse Gases from Small-Scale Combustion Devices in Developing Countries: Phase IIA  Household Stoves in India. U.S. EPA EPA/600/R-00/052</w:t>
      </w:r>
    </w:p>
  </w:footnote>
  <w:footnote w:id="14">
    <w:p w14:paraId="2A96CE82" w14:textId="77777777" w:rsidR="00020FA1" w:rsidRDefault="00020FA1" w:rsidP="00B06477">
      <w:pPr>
        <w:pStyle w:val="FootnoteText"/>
      </w:pPr>
      <w:r>
        <w:rPr>
          <w:rStyle w:val="FootnoteReference"/>
        </w:rPr>
        <w:footnoteRef/>
      </w:r>
      <w:r>
        <w:t xml:space="preserve"> </w:t>
      </w:r>
      <w:r>
        <w:rPr>
          <w:color w:val="000000"/>
        </w:rPr>
        <w:t>Kato, N. &amp; Akimoto, H., (1992) Anthropogenic emissions of SO</w:t>
      </w:r>
      <w:r>
        <w:rPr>
          <w:color w:val="000000"/>
          <w:vertAlign w:val="subscript"/>
        </w:rPr>
        <w:t>2</w:t>
      </w:r>
      <w:r>
        <w:rPr>
          <w:color w:val="000000"/>
        </w:rPr>
        <w:t xml:space="preserve"> and NO</w:t>
      </w:r>
      <w:r>
        <w:rPr>
          <w:color w:val="000000"/>
          <w:vertAlign w:val="subscript"/>
        </w:rPr>
        <w:t>x</w:t>
      </w:r>
      <w:r>
        <w:rPr>
          <w:color w:val="000000"/>
        </w:rPr>
        <w:t xml:space="preserve"> in </w:t>
      </w:r>
      <w:smartTag w:uri="urn:schemas-microsoft-com:office:smarttags" w:element="place">
        <w:r>
          <w:rPr>
            <w:color w:val="000000"/>
          </w:rPr>
          <w:t>Asia</w:t>
        </w:r>
      </w:smartTag>
      <w:r>
        <w:rPr>
          <w:color w:val="000000"/>
        </w:rPr>
        <w:t xml:space="preserve">: Emission Inventories. </w:t>
      </w:r>
      <w:r>
        <w:rPr>
          <w:i/>
          <w:color w:val="000000"/>
        </w:rPr>
        <w:t>Atmospheric Environment</w:t>
      </w:r>
      <w:r>
        <w:rPr>
          <w:color w:val="000000"/>
        </w:rPr>
        <w:t xml:space="preserve"> </w:t>
      </w:r>
      <w:r>
        <w:rPr>
          <w:b/>
          <w:color w:val="000000"/>
        </w:rPr>
        <w:t>26A</w:t>
      </w:r>
      <w:r>
        <w:rPr>
          <w:color w:val="000000"/>
        </w:rPr>
        <w:t>:2997-3017</w:t>
      </w:r>
      <w:r>
        <w:rPr>
          <w:color w:val="000000"/>
          <w:sz w:val="22"/>
        </w:rPr>
        <w:t>.</w:t>
      </w:r>
    </w:p>
  </w:footnote>
  <w:footnote w:id="15">
    <w:p w14:paraId="767D1BA1" w14:textId="2A4FF149" w:rsidR="00020FA1" w:rsidRDefault="00020FA1">
      <w:pPr>
        <w:pStyle w:val="FootnoteText"/>
      </w:pPr>
      <w:r>
        <w:rPr>
          <w:rStyle w:val="FootnoteReference"/>
        </w:rPr>
        <w:footnoteRef/>
      </w:r>
      <w:r>
        <w:t xml:space="preserve"> </w:t>
      </w:r>
      <w:r>
        <w:rPr>
          <w:i/>
        </w:rPr>
        <w:t>World Energy Balances,</w:t>
      </w:r>
      <w:r>
        <w:t xml:space="preserve"> International Energy Agency (IEA), </w:t>
      </w:r>
      <w:r w:rsidDel="00547FBC">
        <w:t xml:space="preserve"> </w:t>
      </w:r>
      <w:hyperlink r:id="rId5" w:history="1">
        <w:r>
          <w:rPr>
            <w:rStyle w:val="Hyperlink"/>
          </w:rPr>
          <w:t>https://www.iea.org/statistics/?country=WORLD&amp;year=2016&amp;category=Energy%20supply&amp;indicator=TPESbySource&amp;mode=chart&amp;dataTable=BALANCES</w:t>
        </w:r>
      </w:hyperlink>
      <w:r>
        <w:t xml:space="preserve">. </w:t>
      </w:r>
    </w:p>
  </w:footnote>
  <w:footnote w:id="16">
    <w:p w14:paraId="6097AD1F" w14:textId="6B779CFA" w:rsidR="00020FA1" w:rsidRDefault="00020FA1">
      <w:pPr>
        <w:pStyle w:val="FootnoteText"/>
      </w:pPr>
      <w:r>
        <w:rPr>
          <w:rStyle w:val="FootnoteReference"/>
        </w:rPr>
        <w:footnoteRef/>
      </w:r>
      <w:r>
        <w:t xml:space="preserve"> </w:t>
      </w:r>
      <w:r w:rsidRPr="001C2B61">
        <w:t>Bertschi, I.T., Yokelson, R.J., Ward, D.E., Christian, T.J. a</w:t>
      </w:r>
      <w:r>
        <w:t>nd Hao, W.M. (2003) Trace gas e</w:t>
      </w:r>
      <w:r w:rsidRPr="001C2B61">
        <w:t>mis</w:t>
      </w:r>
      <w:r>
        <w:t>s</w:t>
      </w:r>
      <w:r w:rsidRPr="001C2B61">
        <w:t>ions from the production and use of domestic biofuels in Zambia measured by open-path Fourier transform infrared spectroscopy. Journal of Geophysical Research-Atmospheres, 108(D13), Art. No. 8469.</w:t>
      </w:r>
    </w:p>
  </w:footnote>
  <w:footnote w:id="17">
    <w:p w14:paraId="13DED12A" w14:textId="77777777" w:rsidR="00020FA1" w:rsidRDefault="00020FA1">
      <w:pPr>
        <w:pStyle w:val="FootnoteText"/>
      </w:pPr>
      <w:r>
        <w:rPr>
          <w:rStyle w:val="FootnoteReference"/>
        </w:rPr>
        <w:footnoteRef/>
      </w:r>
      <w:r>
        <w:t xml:space="preserve"> Autoproducers undertaking the generation of electricity and/or heat, wholly or partly for their own use, as a secondary activity (not as their main business). They may be privately or publicly owned. </w:t>
      </w:r>
    </w:p>
  </w:footnote>
  <w:footnote w:id="18">
    <w:p w14:paraId="660B0090" w14:textId="77777777" w:rsidR="00020FA1" w:rsidRDefault="00020FA1">
      <w:pPr>
        <w:pStyle w:val="FootnoteText"/>
        <w:rPr>
          <w:snapToGrid w:val="0"/>
        </w:rPr>
      </w:pPr>
      <w:r>
        <w:rPr>
          <w:rStyle w:val="FootnoteReference"/>
        </w:rPr>
        <w:footnoteRef/>
      </w:r>
      <w:r>
        <w:t xml:space="preserve"> </w:t>
      </w:r>
      <w:r>
        <w:rPr>
          <w:snapToGrid w:val="0"/>
        </w:rPr>
        <w:t xml:space="preserve">Radian Corporation (1990) </w:t>
      </w:r>
      <w:r>
        <w:rPr>
          <w:i/>
          <w:snapToGrid w:val="0"/>
        </w:rPr>
        <w:t>Emissions and Cost Estimates for Globally Significant Anthropogenic Combustion Sources of NO</w:t>
      </w:r>
      <w:r w:rsidRPr="0099785C">
        <w:rPr>
          <w:i/>
          <w:snapToGrid w:val="0"/>
          <w:vertAlign w:val="subscript"/>
        </w:rPr>
        <w:t>x</w:t>
      </w:r>
      <w:r>
        <w:rPr>
          <w:i/>
          <w:snapToGrid w:val="0"/>
        </w:rPr>
        <w:t xml:space="preserve"> , N</w:t>
      </w:r>
      <w:r w:rsidRPr="0099785C">
        <w:rPr>
          <w:i/>
          <w:snapToGrid w:val="0"/>
          <w:vertAlign w:val="subscript"/>
        </w:rPr>
        <w:t>2</w:t>
      </w:r>
      <w:r>
        <w:rPr>
          <w:i/>
          <w:snapToGrid w:val="0"/>
        </w:rPr>
        <w:t>O, CH</w:t>
      </w:r>
      <w:r w:rsidRPr="0099785C">
        <w:rPr>
          <w:i/>
          <w:snapToGrid w:val="0"/>
          <w:vertAlign w:val="subscript"/>
        </w:rPr>
        <w:t>4</w:t>
      </w:r>
      <w:r>
        <w:rPr>
          <w:i/>
          <w:snapToGrid w:val="0"/>
        </w:rPr>
        <w:t xml:space="preserve"> , CO, and CO</w:t>
      </w:r>
      <w:r w:rsidRPr="0099785C">
        <w:rPr>
          <w:i/>
          <w:snapToGrid w:val="0"/>
          <w:vertAlign w:val="subscript"/>
        </w:rPr>
        <w:t>2</w:t>
      </w:r>
      <w:r>
        <w:rPr>
          <w:snapToGrid w:val="0"/>
        </w:rPr>
        <w:t xml:space="preserve">.  Prepared for the Office of Research and Development, </w:t>
      </w:r>
      <w:smartTag w:uri="urn:schemas-microsoft-com:office:smarttags" w:element="country-region">
        <w:r>
          <w:rPr>
            <w:snapToGrid w:val="0"/>
          </w:rPr>
          <w:t>US</w:t>
        </w:r>
      </w:smartTag>
      <w:r>
        <w:rPr>
          <w:snapToGrid w:val="0"/>
        </w:rPr>
        <w:t xml:space="preserve"> Environmental </w:t>
      </w:r>
      <w:smartTag w:uri="urn:schemas-microsoft-com:office:smarttags" w:element="City">
        <w:r>
          <w:rPr>
            <w:snapToGrid w:val="0"/>
          </w:rPr>
          <w:t>Protection Agency</w:t>
        </w:r>
      </w:smartTag>
      <w:r>
        <w:rPr>
          <w:snapToGrid w:val="0"/>
        </w:rPr>
        <w:t xml:space="preserve">, </w:t>
      </w:r>
      <w:smartTag w:uri="urn:schemas-microsoft-com:office:smarttags" w:element="State">
        <w:r>
          <w:rPr>
            <w:snapToGrid w:val="0"/>
          </w:rPr>
          <w:t>Washington</w:t>
        </w:r>
      </w:smartTag>
      <w:r>
        <w:rPr>
          <w:snapToGrid w:val="0"/>
        </w:rPr>
        <w:t xml:space="preserve">, D.C., </w:t>
      </w:r>
      <w:smartTag w:uri="urn:schemas-microsoft-com:office:smarttags" w:element="country-region">
        <w:smartTag w:uri="urn:schemas-microsoft-com:office:smarttags" w:element="place">
          <w:r>
            <w:rPr>
              <w:snapToGrid w:val="0"/>
            </w:rPr>
            <w:t>USA</w:t>
          </w:r>
        </w:smartTag>
      </w:smartTag>
    </w:p>
    <w:p w14:paraId="4F218484" w14:textId="77777777" w:rsidR="00020FA1" w:rsidRDefault="00020FA1">
      <w:pPr>
        <w:pStyle w:val="FootnoteText"/>
      </w:pPr>
    </w:p>
  </w:footnote>
  <w:footnote w:id="19">
    <w:p w14:paraId="53E5A933" w14:textId="77777777" w:rsidR="00020FA1" w:rsidRDefault="00020FA1">
      <w:pPr>
        <w:pStyle w:val="FootnoteText"/>
      </w:pPr>
      <w:r>
        <w:rPr>
          <w:rStyle w:val="FootnoteReference"/>
        </w:rPr>
        <w:footnoteRef/>
      </w:r>
      <w:r>
        <w:t xml:space="preserve"> </w:t>
      </w:r>
      <w:r w:rsidRPr="0062164C">
        <w:t>Bond TC, Streets DG, Yarber KF, Nelson SM, Woo JH &amp; Klimont Z (2004) A technology-based global inventory of black and organic carbon emissions from combustion. Journal of Geophysical Research-Atmospheres 109, D14203.</w:t>
      </w:r>
    </w:p>
  </w:footnote>
  <w:footnote w:id="20">
    <w:p w14:paraId="2735E515" w14:textId="77777777" w:rsidR="00020FA1" w:rsidRDefault="00020FA1">
      <w:pPr>
        <w:pStyle w:val="FootnoteText"/>
      </w:pPr>
      <w:r>
        <w:rPr>
          <w:rStyle w:val="FootnoteReference"/>
        </w:rPr>
        <w:footnoteRef/>
      </w:r>
      <w:r>
        <w:t xml:space="preserve"> Battye, R., Battye W., Overcash C. and Fudge S. (1994) </w:t>
      </w:r>
      <w:r>
        <w:rPr>
          <w:i/>
        </w:rPr>
        <w:t>Development and Selection of Ammonia Emission Factors – Final Report</w:t>
      </w:r>
      <w:r>
        <w:t xml:space="preserve">. Prepared for the </w:t>
      </w:r>
      <w:smartTag w:uri="urn:schemas-microsoft-com:office:smarttags" w:element="country-region">
        <w:r>
          <w:t>U.S.</w:t>
        </w:r>
      </w:smartTag>
      <w:r>
        <w:t xml:space="preserve"> Environmental Protection Agency - Office of Research and Development,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p>
  </w:footnote>
  <w:footnote w:id="21">
    <w:p w14:paraId="078A3339" w14:textId="1751CA5A" w:rsidR="00020FA1" w:rsidRDefault="00020FA1">
      <w:pPr>
        <w:pStyle w:val="FootnoteText"/>
      </w:pPr>
      <w:r>
        <w:rPr>
          <w:rStyle w:val="FootnoteReference"/>
        </w:rPr>
        <w:footnoteRef/>
      </w:r>
      <w:r>
        <w:t xml:space="preserve"> </w:t>
      </w:r>
      <w:r w:rsidRPr="003B61C4">
        <w:t>Bond TC, Streets DG, Yarber KF, Nelson SM, Woo JH &amp; Klimont Z (2004) A technology-based global inventory of black and organic carbon emissions from combustion. Journal of Geophysical Research-Atmospheres 109, D14203.</w:t>
      </w:r>
    </w:p>
  </w:footnote>
  <w:footnote w:id="22">
    <w:p w14:paraId="3D5B4694" w14:textId="46FED0F8" w:rsidR="00020FA1" w:rsidRDefault="00020FA1" w:rsidP="006930D7">
      <w:pPr>
        <w:pStyle w:val="FootnoteText"/>
      </w:pPr>
      <w:r>
        <w:rPr>
          <w:rStyle w:val="FootnoteReference"/>
        </w:rPr>
        <w:footnoteRef/>
      </w:r>
      <w:r>
        <w:t xml:space="preserve"> </w:t>
      </w:r>
      <w:r>
        <w:rPr>
          <w:i/>
        </w:rPr>
        <w:t xml:space="preserve">Energy balances of non-OECD countries, </w:t>
      </w:r>
      <w:r w:rsidRPr="00AD3770">
        <w:t>International Energy Agency (</w:t>
      </w:r>
      <w:r w:rsidRPr="001D5B7F">
        <w:t>IEA</w:t>
      </w:r>
      <w:r>
        <w:t xml:space="preserve">),  </w:t>
      </w:r>
      <w:hyperlink r:id="rId6" w:history="1">
        <w:r w:rsidRPr="001D5B7F">
          <w:rPr>
            <w:rStyle w:val="Hyperlink"/>
          </w:rPr>
          <w:t>https://www.iea.org/statistics/?country=WORLD&amp;year=2016&amp;category=Energy%20supply&amp;indicator=TPESbySource&amp;mode=chart&amp;dataTable=BALANCES</w:t>
        </w:r>
      </w:hyperlink>
      <w:hyperlink r:id="rId7" w:history="1"/>
    </w:p>
  </w:footnote>
  <w:footnote w:id="23">
    <w:p w14:paraId="71AF6AF6" w14:textId="4FCA334A" w:rsidR="00020FA1" w:rsidRPr="00036560" w:rsidRDefault="00020FA1" w:rsidP="00BD241E">
      <w:pPr>
        <w:pStyle w:val="FootnoteText"/>
      </w:pPr>
      <w:r>
        <w:rPr>
          <w:rStyle w:val="FootnoteReference"/>
        </w:rPr>
        <w:footnoteRef/>
      </w:r>
      <w:r>
        <w:t xml:space="preserve">   </w:t>
      </w:r>
      <w:r w:rsidRPr="00C75DFC">
        <w:t xml:space="preserve">OICA </w:t>
      </w:r>
      <w:r>
        <w:t>(</w:t>
      </w:r>
      <w:r w:rsidRPr="00C75DFC">
        <w:t>2019</w:t>
      </w:r>
      <w:r>
        <w:t>)</w:t>
      </w:r>
      <w:r w:rsidRPr="00C75DFC">
        <w:t xml:space="preserve"> Vehicles in use by country and type 2005-2015. International Organization of Motor Vehicle Manufacturers</w:t>
      </w:r>
      <w:r>
        <w:t xml:space="preserve"> </w:t>
      </w:r>
      <w:r w:rsidRPr="00C75DFC">
        <w:t>http://www.oica.net/category/vehicles-in-use/</w:t>
      </w:r>
    </w:p>
  </w:footnote>
  <w:footnote w:id="24">
    <w:p w14:paraId="5775B14F" w14:textId="5152FD3D" w:rsidR="00020FA1" w:rsidRDefault="00020FA1">
      <w:pPr>
        <w:pStyle w:val="FootnoteText"/>
      </w:pPr>
      <w:r>
        <w:rPr>
          <w:rStyle w:val="FootnoteReference"/>
        </w:rPr>
        <w:footnoteRef/>
      </w:r>
      <w:r>
        <w:t xml:space="preserve">  </w:t>
      </w:r>
      <w:r w:rsidRPr="001D5B7F">
        <w:t>ARAI (2008) Emission Factor development for Indian Vehicles, The Automotive Research Association of India,</w:t>
      </w:r>
    </w:p>
    <w:p w14:paraId="5186EA43" w14:textId="60CDF627" w:rsidR="00020FA1" w:rsidRDefault="00020FA1" w:rsidP="00AD3770">
      <w:pPr>
        <w:pStyle w:val="FootnoteText"/>
        <w:ind w:left="284"/>
      </w:pPr>
      <w:r w:rsidRPr="001D5B7F">
        <w:t>Pune, India, Revision-4 March 10 2008 [http://www.cpcb.nic.in/Emission_Factors_Vehicles.pdf]</w:t>
      </w:r>
    </w:p>
  </w:footnote>
  <w:footnote w:id="25">
    <w:p w14:paraId="1C2C1678" w14:textId="192F0C52" w:rsidR="00020FA1" w:rsidRDefault="00020FA1">
      <w:pPr>
        <w:pStyle w:val="FootnoteText"/>
      </w:pPr>
      <w:r>
        <w:rPr>
          <w:rStyle w:val="FootnoteReference"/>
        </w:rPr>
        <w:footnoteRef/>
      </w:r>
      <w:r>
        <w:t xml:space="preserve"> </w:t>
      </w:r>
      <w:r w:rsidRPr="009E28FF">
        <w:t xml:space="preserve">US EPA, 2006. Compilation of air pollution emission factors, 5th edition. Chapter 13.2.2 Unpaved roads - Final section (Revised </w:t>
      </w:r>
      <w:r>
        <w:tab/>
      </w:r>
      <w:r w:rsidRPr="009E28FF">
        <w:t>Nov 2006) EPA  AP-42, U.S. Environmental Protection Agency, Research Triangle Park, NC.</w:t>
      </w:r>
    </w:p>
    <w:p w14:paraId="247C40C8" w14:textId="356075BF" w:rsidR="00020FA1" w:rsidRDefault="00020FA1">
      <w:pPr>
        <w:pStyle w:val="FootnoteText"/>
      </w:pPr>
      <w:r w:rsidRPr="009E28FF">
        <w:t xml:space="preserve"> </w:t>
      </w:r>
      <w:r>
        <w:tab/>
      </w:r>
      <w:r w:rsidRPr="009E28FF">
        <w:t xml:space="preserve">https://www3.epa.gov/ttn/chief/ap42/ch13/final/c13s0202.pdf </w:t>
      </w:r>
    </w:p>
  </w:footnote>
  <w:footnote w:id="26">
    <w:p w14:paraId="00E822EA" w14:textId="611E7192" w:rsidR="00020FA1" w:rsidRPr="00A842D8" w:rsidRDefault="00020FA1" w:rsidP="003C1B4A">
      <w:pPr>
        <w:pStyle w:val="FootnoteText"/>
        <w:ind w:left="284" w:hanging="284"/>
      </w:pPr>
      <w:r>
        <w:rPr>
          <w:rStyle w:val="FootnoteReference"/>
        </w:rPr>
        <w:footnoteRef/>
      </w:r>
      <w:r w:rsidRPr="002524D1">
        <w:t>European Environment Agency (20</w:t>
      </w:r>
      <w:r>
        <w:t>11</w:t>
      </w:r>
      <w:r w:rsidRPr="002524D1">
        <w:t>)</w:t>
      </w:r>
      <w:r>
        <w:t xml:space="preserve"> COPERT 4 Estimating emissions from road transport.  </w:t>
      </w:r>
      <w:r>
        <w:tab/>
      </w:r>
      <w:r w:rsidRPr="00A21350">
        <w:t>http://www.eea.europa.eu/publications/copert-4-2014-estimating-emissions</w:t>
      </w:r>
    </w:p>
  </w:footnote>
  <w:footnote w:id="27">
    <w:p w14:paraId="649018B6" w14:textId="56FEE600" w:rsidR="00020FA1" w:rsidRDefault="00020FA1">
      <w:pPr>
        <w:pStyle w:val="FootnoteText"/>
      </w:pPr>
      <w:r>
        <w:rPr>
          <w:rStyle w:val="FootnoteReference"/>
        </w:rPr>
        <w:footnoteRef/>
      </w:r>
      <w:r>
        <w:t xml:space="preserve"> MOBILE6 Vehicle Emission Modeling Software, USEPA (</w:t>
      </w:r>
      <w:hyperlink r:id="rId8" w:history="1">
        <w:r w:rsidRPr="003C1B4A">
          <w:rPr>
            <w:rStyle w:val="Hyperlink"/>
          </w:rPr>
          <w:t>http://www.epa.gov/otaq/m6.htm</w:t>
        </w:r>
      </w:hyperlink>
      <w:r>
        <w:t>)</w:t>
      </w:r>
    </w:p>
  </w:footnote>
  <w:footnote w:id="28">
    <w:p w14:paraId="38CA4035" w14:textId="0F4AB6E8" w:rsidR="00020FA1" w:rsidRDefault="00020FA1" w:rsidP="0025775D">
      <w:pPr>
        <w:pStyle w:val="FootnoteText"/>
      </w:pPr>
      <w:r>
        <w:rPr>
          <w:rStyle w:val="FootnoteReference"/>
        </w:rPr>
        <w:footnoteRef/>
      </w:r>
      <w:r>
        <w:t xml:space="preserve"> </w:t>
      </w:r>
      <w:r w:rsidRPr="0025775D">
        <w:t>EMEP/EEA (2013) Air pollutant emission inventory guidebook.  EEA Technical report No 12/2013. European Environment</w:t>
      </w:r>
      <w:r>
        <w:t>.</w:t>
      </w:r>
      <w:r w:rsidRPr="0025775D">
        <w:t xml:space="preserve"> </w:t>
      </w:r>
      <w:r>
        <w:tab/>
      </w:r>
      <w:r w:rsidRPr="0025775D">
        <w:t>Agency https://www.eea.europa.eu/publications/emep-eea-guidebook-2013</w:t>
      </w:r>
      <w:r w:rsidRPr="0025775D">
        <w:tab/>
      </w:r>
    </w:p>
  </w:footnote>
  <w:footnote w:id="29">
    <w:p w14:paraId="0710F6AF" w14:textId="77777777" w:rsidR="00020FA1" w:rsidRDefault="00020FA1" w:rsidP="00D87AB6">
      <w:pPr>
        <w:pStyle w:val="FootnoteText"/>
        <w:ind w:left="284" w:hanging="284"/>
      </w:pPr>
      <w:r>
        <w:rPr>
          <w:rStyle w:val="FootnoteReference"/>
        </w:rPr>
        <w:footnoteRef/>
      </w:r>
      <w:r>
        <w:t xml:space="preserve">  Landing/Take-off (LTO) cycle. Consists of one take-off and one landing and includes engines running idle, taxi- in and out, and climbing and descending under 914 metres (3000 feet).</w:t>
      </w:r>
    </w:p>
  </w:footnote>
  <w:footnote w:id="30">
    <w:p w14:paraId="30D43A1E" w14:textId="77777777" w:rsidR="00020FA1" w:rsidRDefault="00020FA1" w:rsidP="008B4FC1">
      <w:pPr>
        <w:pStyle w:val="FootnoteText"/>
      </w:pPr>
      <w:r>
        <w:rPr>
          <w:rStyle w:val="FootnoteReference"/>
        </w:rPr>
        <w:footnoteRef/>
      </w:r>
      <w:r>
        <w:t xml:space="preserve"> </w:t>
      </w:r>
      <w:r>
        <w:rPr>
          <w:i/>
        </w:rPr>
        <w:t xml:space="preserve">Energy balances of non-OECD countries, </w:t>
      </w:r>
      <w:r>
        <w:t xml:space="preserve">IEA,  </w:t>
      </w:r>
      <w:hyperlink r:id="rId9" w:history="1">
        <w:r w:rsidRPr="00A053F3">
          <w:rPr>
            <w:rStyle w:val="Hyperlink"/>
          </w:rPr>
          <w:t>http://www.iea.org/stats/index.asp</w:t>
        </w:r>
      </w:hyperlink>
      <w:r>
        <w:t>.</w:t>
      </w:r>
    </w:p>
  </w:footnote>
  <w:footnote w:id="31">
    <w:p w14:paraId="58C6609F" w14:textId="77777777" w:rsidR="00020FA1" w:rsidRDefault="00020FA1" w:rsidP="008B4FC1">
      <w:pPr>
        <w:pStyle w:val="FootnoteText"/>
      </w:pPr>
      <w:r>
        <w:rPr>
          <w:rStyle w:val="FootnoteReference"/>
        </w:rPr>
        <w:footnoteRef/>
      </w:r>
      <w:r>
        <w:t xml:space="preserve"> Included in the IEA category ‘Primary solid biomass’ are wood, vegetal waste (including wood waste and crops used for energy production), animal materials/wastes, "black liquor" (an alkaline spent liquor from the digesters in the production of sulphate or soda pulp during the manufacture of paper) and other solid biomass.</w:t>
      </w:r>
    </w:p>
  </w:footnote>
  <w:footnote w:id="32">
    <w:p w14:paraId="4D7597CA" w14:textId="051E3C1C" w:rsidR="00020FA1" w:rsidRPr="008F6ACE" w:rsidRDefault="00020FA1" w:rsidP="008B4FC1">
      <w:pPr>
        <w:pStyle w:val="FootnoteText"/>
      </w:pPr>
      <w:r>
        <w:rPr>
          <w:rStyle w:val="FootnoteReference"/>
        </w:rPr>
        <w:footnoteRef/>
      </w:r>
      <w:r>
        <w:t xml:space="preserve"> FAOSTAT </w:t>
      </w:r>
      <w:r w:rsidRPr="00F447A5">
        <w:rPr>
          <w:rStyle w:val="Hyperlink"/>
        </w:rPr>
        <w:t>http://www.fao.org/faostat/en/#data/FO</w:t>
      </w:r>
    </w:p>
  </w:footnote>
  <w:footnote w:id="33">
    <w:p w14:paraId="2DF9ADEB" w14:textId="77777777" w:rsidR="00020FA1" w:rsidRDefault="00020FA1">
      <w:pPr>
        <w:pStyle w:val="FootnoteText"/>
      </w:pPr>
      <w:r>
        <w:rPr>
          <w:rStyle w:val="FootnoteReference"/>
        </w:rPr>
        <w:footnoteRef/>
      </w:r>
      <w:r>
        <w:t xml:space="preserve"> Battye, R., Battye W., Overcash C. and Fudge S. (1994), </w:t>
      </w:r>
      <w:r>
        <w:rPr>
          <w:i/>
        </w:rPr>
        <w:t>Development and Selection of Ammonia Emission Factors – Final Report</w:t>
      </w:r>
      <w:r>
        <w:t xml:space="preserve">. Prepared for the </w:t>
      </w:r>
      <w:smartTag w:uri="urn:schemas-microsoft-com:office:smarttags" w:element="country-region">
        <w:r>
          <w:t>U.S.</w:t>
        </w:r>
      </w:smartTag>
      <w:r>
        <w:t xml:space="preserve"> Environmental Protection Agency - Office of Research and Development,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20460</w:t>
          </w:r>
        </w:smartTag>
      </w:smartTag>
    </w:p>
  </w:footnote>
  <w:footnote w:id="34">
    <w:p w14:paraId="3DBF8BF5" w14:textId="77777777" w:rsidR="00020FA1" w:rsidRDefault="00020FA1">
      <w:pPr>
        <w:pStyle w:val="FootnoteText"/>
      </w:pPr>
      <w:r>
        <w:rPr>
          <w:rStyle w:val="FootnoteReference"/>
        </w:rPr>
        <w:footnoteRef/>
      </w:r>
      <w:r>
        <w:t xml:space="preserve"> </w:t>
      </w:r>
      <w:r>
        <w:rPr>
          <w:i/>
        </w:rPr>
        <w:t xml:space="preserve">Energy statistics of non-OECD countries, </w:t>
      </w:r>
      <w:r>
        <w:t xml:space="preserve">IEA,  </w:t>
      </w:r>
      <w:hyperlink r:id="rId10" w:history="1">
        <w:r w:rsidRPr="00D560B8">
          <w:rPr>
            <w:rStyle w:val="Hyperlink"/>
          </w:rPr>
          <w:t>http://www.iea.org/w/bookshop/add.aspx?id=564</w:t>
        </w:r>
      </w:hyperlink>
    </w:p>
  </w:footnote>
  <w:footnote w:id="35">
    <w:p w14:paraId="7869007B" w14:textId="79A1ED77" w:rsidR="00020FA1" w:rsidRPr="006832DA" w:rsidRDefault="00020FA1" w:rsidP="00D2387D">
      <w:pPr>
        <w:pStyle w:val="FootnoteText"/>
        <w:ind w:left="567" w:hanging="567"/>
      </w:pPr>
      <w:r>
        <w:rPr>
          <w:rStyle w:val="FootnoteReference"/>
        </w:rPr>
        <w:footnoteRef/>
      </w:r>
      <w:r>
        <w:t xml:space="preserve"> United States Geological Survey (USGS) Minerals Yearbook (Volume III: Area reports: international)  </w:t>
      </w:r>
      <w:r w:rsidRPr="00446C0C">
        <w:t xml:space="preserve"> </w:t>
      </w:r>
      <w:hyperlink r:id="rId11" w:history="1">
        <w:r>
          <w:rPr>
            <w:rStyle w:val="Hyperlink"/>
          </w:rPr>
          <w:t>https://www.usgs.gov/centers/nmic/international-minerals-statistics-and-information</w:t>
        </w:r>
      </w:hyperlink>
    </w:p>
  </w:footnote>
  <w:footnote w:id="36">
    <w:p w14:paraId="6F445DA6" w14:textId="67C72961" w:rsidR="00020FA1" w:rsidRPr="00AF17E4" w:rsidRDefault="00020FA1" w:rsidP="00D2387D">
      <w:pPr>
        <w:pStyle w:val="FootnoteText"/>
        <w:ind w:left="567" w:hanging="567"/>
        <w:jc w:val="left"/>
      </w:pPr>
      <w:r>
        <w:rPr>
          <w:rStyle w:val="FootnoteReference"/>
        </w:rPr>
        <w:footnoteRef/>
      </w:r>
      <w:r>
        <w:t xml:space="preserve"> International Iron and Steel Institute (IISI), Steel Statistical Yearbooks </w:t>
      </w:r>
      <w:r w:rsidRPr="00446C0C">
        <w:t xml:space="preserve"> </w:t>
      </w:r>
      <w:hyperlink r:id="rId12" w:history="1">
        <w:r>
          <w:rPr>
            <w:rStyle w:val="Hyperlink"/>
          </w:rPr>
          <w:t>https://www.worldsteel.org/steel-by-topic/statistics/steel-statistical-yearbook.html</w:t>
        </w:r>
      </w:hyperlink>
    </w:p>
  </w:footnote>
  <w:footnote w:id="37">
    <w:p w14:paraId="2CC9A9F5" w14:textId="6FF1272E" w:rsidR="00020FA1" w:rsidRDefault="00020FA1" w:rsidP="006832DA">
      <w:pPr>
        <w:pStyle w:val="FootnoteText"/>
      </w:pPr>
      <w:r>
        <w:rPr>
          <w:rStyle w:val="FootnoteReference"/>
        </w:rPr>
        <w:footnoteRef/>
      </w:r>
      <w:r>
        <w:t xml:space="preserve"> </w:t>
      </w:r>
      <w:r w:rsidRPr="00AD3770">
        <w:t xml:space="preserve">United Nations UN Industrial Commodity Statistics Database </w:t>
      </w:r>
      <w:hyperlink r:id="rId13" w:history="1">
        <w:r w:rsidRPr="00AD3770">
          <w:t>http://data.un.org/Explorer.aspx?d=ICS</w:t>
        </w:r>
      </w:hyperlink>
      <w:r w:rsidRPr="00AD3770">
        <w:t xml:space="preserve"> </w:t>
      </w:r>
    </w:p>
  </w:footnote>
  <w:footnote w:id="38">
    <w:p w14:paraId="4F89F132" w14:textId="1310ABBA" w:rsidR="00020FA1" w:rsidRPr="00C83288" w:rsidRDefault="00020FA1">
      <w:pPr>
        <w:pStyle w:val="FootnoteText"/>
        <w:rPr>
          <w:lang w:val="sv-SE"/>
        </w:rPr>
      </w:pPr>
      <w:r>
        <w:rPr>
          <w:rStyle w:val="FootnoteReference"/>
        </w:rPr>
        <w:footnoteRef/>
      </w:r>
      <w:r w:rsidRPr="00C83288">
        <w:rPr>
          <w:lang w:val="sv-SE"/>
        </w:rPr>
        <w:t xml:space="preserve"> FAOSTAT </w:t>
      </w:r>
      <w:hyperlink r:id="rId14" w:anchor="data/FO" w:history="1">
        <w:r>
          <w:rPr>
            <w:rStyle w:val="Hyperlink"/>
          </w:rPr>
          <w:t>http://www.fao.org/faostat/en/#data/FO</w:t>
        </w:r>
      </w:hyperlink>
    </w:p>
  </w:footnote>
  <w:footnote w:id="39">
    <w:p w14:paraId="79F6F928" w14:textId="790E95BC" w:rsidR="00020FA1" w:rsidRPr="005E3E05" w:rsidRDefault="00020FA1">
      <w:pPr>
        <w:pStyle w:val="FootnoteText"/>
        <w:rPr>
          <w:lang w:val="sv-SE"/>
        </w:rPr>
      </w:pPr>
      <w:r>
        <w:rPr>
          <w:rStyle w:val="FootnoteReference"/>
        </w:rPr>
        <w:footnoteRef/>
      </w:r>
      <w:r w:rsidRPr="00C83288">
        <w:rPr>
          <w:lang w:val="sv-SE"/>
        </w:rPr>
        <w:t xml:space="preserve"> FAOSTAT</w:t>
      </w:r>
      <w:r>
        <w:rPr>
          <w:lang w:val="sv-SE"/>
        </w:rPr>
        <w:t>:</w:t>
      </w:r>
      <w:r w:rsidRPr="00C83288">
        <w:rPr>
          <w:lang w:val="sv-SE"/>
        </w:rPr>
        <w:t xml:space="preserve"> </w:t>
      </w:r>
      <w:r>
        <w:rPr>
          <w:lang w:val="sv-SE"/>
        </w:rPr>
        <w:t xml:space="preserve">Livestock numbers:- </w:t>
      </w:r>
      <w:r w:rsidRPr="007515AC">
        <w:rPr>
          <w:lang w:val="sv-SE"/>
        </w:rPr>
        <w:t>http://faostat3.fao.org/download/Q/QA/E</w:t>
      </w:r>
      <w:r>
        <w:rPr>
          <w:lang w:val="sv-SE"/>
        </w:rPr>
        <w:t xml:space="preserve">; </w:t>
      </w:r>
      <w:r>
        <w:rPr>
          <w:lang w:val="sv-SE"/>
        </w:rPr>
        <w:tab/>
        <w:t xml:space="preserve">N-fertilizer application:- </w:t>
      </w:r>
      <w:hyperlink r:id="rId15" w:anchor="data/RFB" w:history="1">
        <w:r>
          <w:rPr>
            <w:rStyle w:val="Hyperlink"/>
          </w:rPr>
          <w:t>http://www.fao.org/faostat/en/#data/RFB</w:t>
        </w:r>
      </w:hyperlink>
      <w:r>
        <w:t xml:space="preserve">; Savanna burning :- </w:t>
      </w:r>
      <w:hyperlink r:id="rId16" w:anchor="data/GH" w:history="1">
        <w:r>
          <w:rPr>
            <w:rStyle w:val="Hyperlink"/>
          </w:rPr>
          <w:t>http://www.fao.org/faostat/en/#data/GH</w:t>
        </w:r>
      </w:hyperlink>
      <w:r>
        <w:t xml:space="preserve">; Crop production:- </w:t>
      </w:r>
      <w:r w:rsidRPr="00A312B1">
        <w:t>http://www.fao.org/faostat/en/#data/QC</w:t>
      </w:r>
      <w:r>
        <w:t>.</w:t>
      </w:r>
    </w:p>
  </w:footnote>
  <w:footnote w:id="40">
    <w:p w14:paraId="12C16640" w14:textId="051E1ED6" w:rsidR="00020FA1" w:rsidRPr="00C83288" w:rsidRDefault="00020FA1">
      <w:pPr>
        <w:pStyle w:val="FootnoteText"/>
        <w:rPr>
          <w:lang w:val="sv-SE"/>
        </w:rPr>
      </w:pPr>
      <w:r>
        <w:rPr>
          <w:rStyle w:val="FootnoteReference"/>
        </w:rPr>
        <w:footnoteRef/>
      </w:r>
      <w:hyperlink w:history="1"/>
      <w:r w:rsidRPr="00C16BD1">
        <w:t xml:space="preserve"> </w:t>
      </w:r>
      <w:r w:rsidRPr="00B60230">
        <w:rPr>
          <w:lang w:val="sv-SE"/>
        </w:rPr>
        <w:t xml:space="preserve"> </w:t>
      </w:r>
      <w:r w:rsidRPr="007515AC">
        <w:rPr>
          <w:lang w:val="sv-SE"/>
        </w:rPr>
        <w:t>http://faostat3.fao.org/download/Q/QA/E</w:t>
      </w:r>
    </w:p>
  </w:footnote>
  <w:footnote w:id="41">
    <w:p w14:paraId="5DEEA308" w14:textId="3D608CCC" w:rsidR="00020FA1" w:rsidRDefault="00020FA1">
      <w:pPr>
        <w:pStyle w:val="FootnoteText"/>
      </w:pPr>
      <w:r>
        <w:rPr>
          <w:rStyle w:val="FootnoteReference"/>
        </w:rPr>
        <w:footnoteRef/>
      </w:r>
      <w:r>
        <w:t xml:space="preserve"> IPCC (2006) </w:t>
      </w:r>
      <w:r w:rsidRPr="009A1338">
        <w:t>http</w:t>
      </w:r>
      <w:r>
        <w:t>s</w:t>
      </w:r>
      <w:r w:rsidRPr="009A1338">
        <w:t xml:space="preserve">://www.ipcc-nggip.iges.or.jp/public/2006gl/pdf/4_Volume4/V4_10_Ch10_Livestock.pdf  </w:t>
      </w:r>
    </w:p>
  </w:footnote>
  <w:footnote w:id="42">
    <w:p w14:paraId="4FF3F643" w14:textId="78ACEE10" w:rsidR="00020FA1" w:rsidRPr="00C83288" w:rsidRDefault="00020FA1" w:rsidP="00E76454">
      <w:pPr>
        <w:pStyle w:val="FootnoteText"/>
      </w:pPr>
      <w:r>
        <w:rPr>
          <w:rStyle w:val="FootnoteReference"/>
        </w:rPr>
        <w:footnoteRef/>
      </w:r>
      <w:r w:rsidRPr="00C83288">
        <w:t xml:space="preserve"> FAOSTAT </w:t>
      </w:r>
      <w:hyperlink r:id="rId17" w:anchor="data/RFB" w:history="1">
        <w:r>
          <w:rPr>
            <w:rStyle w:val="Hyperlink"/>
          </w:rPr>
          <w:t>http://www.fao.org/faostat/en/#data/RFB</w:t>
        </w:r>
      </w:hyperlink>
    </w:p>
  </w:footnote>
  <w:footnote w:id="43">
    <w:p w14:paraId="3A6F4A70" w14:textId="27ECD757" w:rsidR="00020FA1" w:rsidRDefault="00020FA1">
      <w:pPr>
        <w:pStyle w:val="FootnoteText"/>
      </w:pPr>
      <w:r>
        <w:rPr>
          <w:rStyle w:val="FootnoteReference"/>
        </w:rPr>
        <w:footnoteRef/>
      </w:r>
      <w:hyperlink r:id="rId18" w:history="1">
        <w:r>
          <w:rPr>
            <w:rStyle w:val="Hyperlink"/>
          </w:rPr>
          <w:t>https://www.eea.europa.eu/publications/emep-eea-guidebook-2016/part-b-sectoral-guidance-chapters/4-agriculture/3-d-crop-production-and/view</w:t>
        </w:r>
      </w:hyperlink>
    </w:p>
  </w:footnote>
  <w:footnote w:id="44">
    <w:p w14:paraId="5D3B3CB5" w14:textId="273AD698" w:rsidR="00020FA1" w:rsidRDefault="00020FA1" w:rsidP="005750A0">
      <w:pPr>
        <w:pStyle w:val="FootnoteText"/>
      </w:pPr>
      <w:r>
        <w:rPr>
          <w:rStyle w:val="FootnoteReference"/>
        </w:rPr>
        <w:footnoteRef/>
      </w:r>
      <w:r>
        <w:t xml:space="preserve">Intergovernmental Panel on Climate Change (IPCC), </w:t>
      </w:r>
      <w:r>
        <w:rPr>
          <w:i/>
        </w:rPr>
        <w:t xml:space="preserve">Revised 1996 IPCC Guidelines for National Greenhouse Gas Inventories: Workbook  </w:t>
      </w:r>
      <w:r>
        <w:t>(Available via Internet</w:t>
      </w:r>
      <w:r>
        <w:rPr>
          <w:u w:val="single"/>
        </w:rPr>
        <w:t>:</w:t>
      </w:r>
      <w:r>
        <w:rPr>
          <w:snapToGrid w:val="0"/>
        </w:rPr>
        <w:t xml:space="preserve"> </w:t>
      </w:r>
      <w:hyperlink r:id="rId19" w:history="1">
        <w:r w:rsidRPr="00F844F7">
          <w:rPr>
            <w:rStyle w:val="Hyperlink"/>
            <w:snapToGrid w:val="0"/>
          </w:rPr>
          <w:t>http://www.ipcc-nggip.iges.or.jp/public/gl/invs1.htm</w:t>
        </w:r>
      </w:hyperlink>
      <w:r>
        <w:rPr>
          <w:snapToGrid w:val="0"/>
        </w:rPr>
        <w:t>).</w:t>
      </w:r>
    </w:p>
  </w:footnote>
  <w:footnote w:id="45">
    <w:p w14:paraId="434FD24B" w14:textId="238C50D6" w:rsidR="00020FA1" w:rsidRDefault="00020FA1">
      <w:pPr>
        <w:pStyle w:val="FootnoteText"/>
      </w:pPr>
      <w:r>
        <w:rPr>
          <w:rStyle w:val="FootnoteReference"/>
        </w:rPr>
        <w:footnoteRef/>
      </w:r>
      <w:r>
        <w:t xml:space="preserve"> </w:t>
      </w:r>
      <w:r w:rsidRPr="002962D0">
        <w:t xml:space="preserve">Sinha, P., Hobbs, P.V., Yokelson, R.J., Bertschi, I.T., Blake, D.R., Simpson, I.J., et al., 2003. Emissions of trace gases and particles from savanna fires in southern Africa. </w:t>
      </w:r>
      <w:r w:rsidRPr="00AD3770">
        <w:rPr>
          <w:i/>
        </w:rPr>
        <w:t>Journal of Geophysical Research</w:t>
      </w:r>
      <w:r w:rsidRPr="002962D0">
        <w:t xml:space="preserve"> 108(D13), 8487, doi:10.1029/2002JD002325, 2003.</w:t>
      </w:r>
    </w:p>
  </w:footnote>
  <w:footnote w:id="46">
    <w:p w14:paraId="3F2E7DEE" w14:textId="4CC58435" w:rsidR="00020FA1" w:rsidRDefault="00020FA1">
      <w:pPr>
        <w:pStyle w:val="FootnoteText"/>
      </w:pPr>
      <w:r>
        <w:rPr>
          <w:rStyle w:val="FootnoteReference"/>
        </w:rPr>
        <w:footnoteRef/>
      </w:r>
      <w:r>
        <w:t xml:space="preserve"> </w:t>
      </w:r>
      <w:r w:rsidRPr="002962D0">
        <w:t xml:space="preserve">Andreae, M.O., Merlet, P., 2001. Emission of trace gases and aerosols from biomass burning. </w:t>
      </w:r>
      <w:r w:rsidRPr="00AD3770">
        <w:rPr>
          <w:i/>
        </w:rPr>
        <w:t>Global Biogeochemical Cycles</w:t>
      </w:r>
      <w:r w:rsidRPr="002962D0">
        <w:t xml:space="preserve"> 15, 955-966.</w:t>
      </w:r>
    </w:p>
  </w:footnote>
  <w:footnote w:id="47">
    <w:p w14:paraId="42DA416D" w14:textId="7AF4FE81" w:rsidR="00020FA1" w:rsidRDefault="00020FA1">
      <w:pPr>
        <w:pStyle w:val="FootnoteText"/>
      </w:pPr>
      <w:r>
        <w:rPr>
          <w:rStyle w:val="FootnoteReference"/>
        </w:rPr>
        <w:footnoteRef/>
      </w:r>
      <w:r>
        <w:t xml:space="preserve"> FAOSTAT Area savannah burned </w:t>
      </w:r>
      <w:hyperlink r:id="rId20" w:anchor="data/GH" w:history="1">
        <w:r>
          <w:rPr>
            <w:rStyle w:val="Hyperlink"/>
          </w:rPr>
          <w:t>http://www.fao.org/faostat/en/#data/GH</w:t>
        </w:r>
      </w:hyperlink>
    </w:p>
  </w:footnote>
  <w:footnote w:id="48">
    <w:p w14:paraId="6E3E55B8" w14:textId="202404D6" w:rsidR="00020FA1" w:rsidRDefault="00020FA1">
      <w:pPr>
        <w:pStyle w:val="FootnoteText"/>
      </w:pPr>
      <w:r>
        <w:rPr>
          <w:rStyle w:val="FootnoteReference"/>
        </w:rPr>
        <w:footnoteRef/>
      </w:r>
      <w:r>
        <w:t xml:space="preserve"> FAOSTAT Crop residue dry matter biomass burned </w:t>
      </w:r>
      <w:hyperlink r:id="rId21" w:anchor="data/GI" w:history="1">
        <w:r>
          <w:rPr>
            <w:rStyle w:val="Hyperlink"/>
          </w:rPr>
          <w:t>http://www.fao.org/faostat/en/#data/GI</w:t>
        </w:r>
      </w:hyperlink>
    </w:p>
  </w:footnote>
  <w:footnote w:id="49">
    <w:p w14:paraId="5E386E50" w14:textId="364F89E6" w:rsidR="00020FA1" w:rsidRPr="005E3E05" w:rsidRDefault="00020FA1">
      <w:pPr>
        <w:pStyle w:val="FootnoteText"/>
        <w:rPr>
          <w:lang w:val="sv-SE"/>
        </w:rPr>
      </w:pPr>
      <w:r>
        <w:rPr>
          <w:rStyle w:val="FootnoteReference"/>
        </w:rPr>
        <w:footnoteRef/>
      </w:r>
      <w:r w:rsidRPr="00C90FAF">
        <w:rPr>
          <w:lang w:val="it-IT"/>
        </w:rPr>
        <w:t xml:space="preserve"> FAOSTAT</w:t>
      </w:r>
      <w:r>
        <w:rPr>
          <w:lang w:val="it-IT"/>
        </w:rPr>
        <w:t xml:space="preserve"> Crop production quantity (tonnes)</w:t>
      </w:r>
      <w:r w:rsidRPr="00C90FAF">
        <w:rPr>
          <w:lang w:val="it-IT"/>
        </w:rPr>
        <w:t xml:space="preserve"> </w:t>
      </w:r>
      <w:r w:rsidRPr="00A312B1">
        <w:t>http://www.fao.org/faostat/en/#data/QC</w:t>
      </w:r>
      <w:r>
        <w:t xml:space="preserve"> </w:t>
      </w:r>
      <w:hyperlink r:id="rId22" w:history="1"/>
    </w:p>
  </w:footnote>
  <w:footnote w:id="50">
    <w:p w14:paraId="35ECED6C" w14:textId="77777777" w:rsidR="00020FA1" w:rsidRDefault="00020FA1">
      <w:pPr>
        <w:pStyle w:val="FootnoteText"/>
      </w:pPr>
      <w:r>
        <w:rPr>
          <w:rStyle w:val="FootnoteReference"/>
        </w:rPr>
        <w:footnoteRef/>
      </w:r>
      <w:r>
        <w:t xml:space="preserve"> Note that for </w:t>
      </w:r>
      <w:r>
        <w:rPr>
          <w:i/>
        </w:rPr>
        <w:t>U</w:t>
      </w:r>
      <w:r w:rsidRPr="00424066">
        <w:rPr>
          <w:i/>
        </w:rPr>
        <w:t>pland</w:t>
      </w:r>
      <w:r>
        <w:t xml:space="preserve"> rice cultivation, </w:t>
      </w:r>
      <w:r w:rsidRPr="00424066">
        <w:t>CH</w:t>
      </w:r>
      <w:r w:rsidRPr="00424066">
        <w:rPr>
          <w:vertAlign w:val="subscript"/>
        </w:rPr>
        <w:t>4</w:t>
      </w:r>
      <w:r w:rsidRPr="00424066">
        <w:t xml:space="preserve"> emis</w:t>
      </w:r>
      <w:r>
        <w:t>s</w:t>
      </w:r>
      <w:r w:rsidRPr="00424066">
        <w:t>ion</w:t>
      </w:r>
      <w:r>
        <w:t>s are zero even with organic am</w:t>
      </w:r>
      <w:r w:rsidRPr="00424066">
        <w:t>e</w:t>
      </w:r>
      <w:r>
        <w:t>n</w:t>
      </w:r>
      <w:r w:rsidRPr="00424066">
        <w:t>dments.</w:t>
      </w:r>
      <w:r>
        <w:t xml:space="preserve"> This category is only included to enable the user to check that the total area under rice cultivation has been estimated correctly.  </w:t>
      </w:r>
    </w:p>
  </w:footnote>
  <w:footnote w:id="51">
    <w:p w14:paraId="5D5D1376" w14:textId="32F44C20" w:rsidR="00020FA1" w:rsidRPr="00905C6D" w:rsidRDefault="00020FA1" w:rsidP="00905C6D">
      <w:pPr>
        <w:pStyle w:val="FootnoteText"/>
        <w:jc w:val="left"/>
      </w:pPr>
      <w:r>
        <w:rPr>
          <w:rStyle w:val="FootnoteReference"/>
        </w:rPr>
        <w:footnoteRef/>
      </w:r>
      <w:r>
        <w:t xml:space="preserve"> FAOSTAT </w:t>
      </w:r>
      <w:r w:rsidRPr="00BC5366">
        <w:t xml:space="preserve">http://www.fao.org/faostat/en/#data/GI </w:t>
      </w:r>
    </w:p>
  </w:footnote>
  <w:footnote w:id="52">
    <w:p w14:paraId="56C07DCB" w14:textId="77777777" w:rsidR="00020FA1" w:rsidRPr="008A4453" w:rsidRDefault="00020FA1">
      <w:pPr>
        <w:pStyle w:val="FootnoteText"/>
        <w:rPr>
          <w:lang w:val="it-IT"/>
        </w:rPr>
      </w:pPr>
      <w:r>
        <w:rPr>
          <w:rStyle w:val="FootnoteReference"/>
        </w:rPr>
        <w:footnoteRef/>
      </w:r>
      <w:r w:rsidRPr="008A4453">
        <w:rPr>
          <w:lang w:val="it-IT"/>
        </w:rPr>
        <w:t xml:space="preserve">  IPCC (2006) </w:t>
      </w:r>
      <w:hyperlink r:id="rId23" w:history="1">
        <w:r w:rsidRPr="000421B7">
          <w:rPr>
            <w:rStyle w:val="Hyperlink"/>
            <w:lang w:val="it-IT"/>
          </w:rPr>
          <w:t>http://www.ipcc-nggip.iges.or.jp/public/2006gl/pdf/4_Volume4/V4_02_Ch2_Generic.pdf</w:t>
        </w:r>
      </w:hyperlink>
    </w:p>
  </w:footnote>
  <w:footnote w:id="53">
    <w:p w14:paraId="31A6AC1D" w14:textId="77777777" w:rsidR="00020FA1" w:rsidRPr="008808C7" w:rsidRDefault="00020FA1" w:rsidP="002A2D99">
      <w:pPr>
        <w:pStyle w:val="FootnoteText"/>
      </w:pPr>
      <w:r>
        <w:rPr>
          <w:rStyle w:val="FootnoteReference"/>
        </w:rPr>
        <w:footnoteRef/>
      </w:r>
      <w:r>
        <w:t xml:space="preserve"> </w:t>
      </w:r>
      <w:r w:rsidRPr="008808C7">
        <w:t xml:space="preserve">Andreae, M.O. and Merlet, P. (2001) Emission of trace gases and aerosols from biomass burning. </w:t>
      </w:r>
      <w:r w:rsidRPr="008808C7">
        <w:rPr>
          <w:i/>
        </w:rPr>
        <w:t>Global Biogeochemical Cycles</w:t>
      </w:r>
      <w:r w:rsidRPr="008808C7">
        <w:t xml:space="preserve">, </w:t>
      </w:r>
      <w:r w:rsidRPr="008808C7">
        <w:rPr>
          <w:b/>
        </w:rPr>
        <w:t>15</w:t>
      </w:r>
      <w:r w:rsidRPr="008808C7">
        <w:t>:955-966.</w:t>
      </w:r>
    </w:p>
  </w:footnote>
  <w:footnote w:id="54">
    <w:p w14:paraId="224AF9FF" w14:textId="20CA08E9" w:rsidR="00020FA1" w:rsidRDefault="00020FA1">
      <w:pPr>
        <w:pStyle w:val="FootnoteText"/>
      </w:pPr>
      <w:r>
        <w:rPr>
          <w:rStyle w:val="FootnoteReference"/>
        </w:rPr>
        <w:footnoteRef/>
      </w:r>
      <w:r>
        <w:t xml:space="preserve"> </w:t>
      </w:r>
      <w:r w:rsidRPr="003732C1">
        <w:t>Hoornweg, D, Bhada-Tata, P., 2012. What a waste: A global review of solid waste management. Annex J – MSW generation by country.</w:t>
      </w:r>
      <w:r>
        <w:t xml:space="preserve"> </w:t>
      </w:r>
      <w:r w:rsidRPr="003732C1">
        <w:t>http://documents.worldbank.org/curated/en/302341468126264791/pdf/68135-REVISED-What-a-Waste-2012-Final-updated.pdf</w:t>
      </w:r>
    </w:p>
  </w:footnote>
  <w:footnote w:id="55">
    <w:p w14:paraId="04464A93" w14:textId="071A803C" w:rsidR="00020FA1" w:rsidRDefault="00020FA1" w:rsidP="004E2A32">
      <w:pPr>
        <w:pStyle w:val="FootnoteText"/>
      </w:pPr>
      <w:r>
        <w:rPr>
          <w:rStyle w:val="FootnoteReference"/>
        </w:rPr>
        <w:footnoteRef/>
      </w:r>
      <w:r>
        <w:t xml:space="preserve"> Draft IPCC Guidelines Annex 2A.1</w:t>
      </w:r>
    </w:p>
    <w:p w14:paraId="17A78E7F" w14:textId="77777777" w:rsidR="00020FA1" w:rsidRPr="002F7353" w:rsidRDefault="008A2EE4" w:rsidP="004E2A32">
      <w:pPr>
        <w:pStyle w:val="FootnoteText"/>
      </w:pPr>
      <w:hyperlink r:id="rId24" w:history="1">
        <w:r w:rsidR="00020FA1" w:rsidRPr="007A63BA">
          <w:rPr>
            <w:rStyle w:val="Hyperlink"/>
          </w:rPr>
          <w:t>http://www.ipcc-nggip.iges.or.jp/public/2006gl/pdf/5_Volume5/V5_2_Ch2_Waste_Data.pdf</w:t>
        </w:r>
      </w:hyperlink>
    </w:p>
  </w:footnote>
  <w:footnote w:id="56">
    <w:p w14:paraId="33F96FDF" w14:textId="4B322CD6" w:rsidR="00020FA1" w:rsidRDefault="00020FA1">
      <w:pPr>
        <w:pStyle w:val="FootnoteText"/>
      </w:pPr>
      <w:r>
        <w:rPr>
          <w:rStyle w:val="FootnoteReference"/>
        </w:rPr>
        <w:footnoteRef/>
      </w:r>
      <w:r>
        <w:t xml:space="preserve"> </w:t>
      </w:r>
      <w:r w:rsidRPr="002A1767">
        <w:t>Wiedinmyer, C., Yokelson, R. J., &amp; Gullett, B. K. (2014). Global emissions of trace gases, particulate matter, and hazardous air pollutants from open burning of domestic wast</w:t>
      </w:r>
      <w:r>
        <w:t>e</w:t>
      </w:r>
      <w:r w:rsidRPr="002A1767">
        <w:t xml:space="preserve">. </w:t>
      </w:r>
      <w:r w:rsidRPr="00AD3770">
        <w:rPr>
          <w:i/>
        </w:rPr>
        <w:t>Environmental Science and Technology</w:t>
      </w:r>
      <w:r w:rsidRPr="002A1767">
        <w:t>, 48(16), 9523–9530. https://doi.org/10.1021/es502250z</w:t>
      </w:r>
    </w:p>
  </w:footnote>
  <w:footnote w:id="57">
    <w:p w14:paraId="51352FCC" w14:textId="77777777" w:rsidR="00020FA1" w:rsidRDefault="00020FA1">
      <w:pPr>
        <w:pStyle w:val="FootnoteText"/>
      </w:pPr>
      <w:r>
        <w:rPr>
          <w:rStyle w:val="FootnoteReference"/>
        </w:rPr>
        <w:footnoteRef/>
      </w:r>
      <w:r>
        <w:t xml:space="preserve"> </w:t>
      </w:r>
      <w:r>
        <w:rPr>
          <w:snapToGrid w:val="0"/>
        </w:rPr>
        <w:t xml:space="preserve">Bertok, I., J. Cofala, Z. Klimont, W. Schöpp, M. Amann, (1993) </w:t>
      </w:r>
      <w:r>
        <w:rPr>
          <w:i/>
          <w:snapToGrid w:val="0"/>
        </w:rPr>
        <w:t>Structure of the RAINS 7.0 Energy and Emissions Database,</w:t>
      </w:r>
      <w:r>
        <w:rPr>
          <w:snapToGrid w:val="0"/>
        </w:rPr>
        <w:t xml:space="preserve"> IIASA Working Paper, WP-93-67.</w:t>
      </w:r>
    </w:p>
  </w:footnote>
  <w:footnote w:id="58">
    <w:p w14:paraId="00777F41" w14:textId="77777777" w:rsidR="00020FA1" w:rsidRDefault="00020FA1" w:rsidP="00591B0F">
      <w:pPr>
        <w:pStyle w:val="FootnoteText"/>
      </w:pPr>
      <w:r>
        <w:rPr>
          <w:rStyle w:val="FootnoteReference"/>
        </w:rPr>
        <w:footnoteRef/>
      </w:r>
      <w:r>
        <w:t xml:space="preserve"> Bouwman, A.F., Lee, D.S., Asman, W.A.H., Dentener, F.J., Van Der Hoek, K.W. and Olivier, J.G.J. (1997) A global high-resolution emission inventory for ammonia. </w:t>
      </w:r>
      <w:r>
        <w:rPr>
          <w:i/>
        </w:rPr>
        <w:t>Global Biogeochemical Cycles</w:t>
      </w:r>
      <w:r>
        <w:t xml:space="preserve">, </w:t>
      </w:r>
      <w:r>
        <w:rPr>
          <w:b/>
        </w:rPr>
        <w:t>11</w:t>
      </w:r>
      <w:r>
        <w:t>:561-587</w:t>
      </w:r>
    </w:p>
  </w:footnote>
  <w:footnote w:id="59">
    <w:p w14:paraId="434D8941" w14:textId="77777777" w:rsidR="00020FA1" w:rsidRPr="0050119C" w:rsidRDefault="00020FA1" w:rsidP="00591B0F">
      <w:pPr>
        <w:pStyle w:val="FootnoteText"/>
        <w:rPr>
          <w:i/>
        </w:rPr>
      </w:pPr>
      <w:r>
        <w:rPr>
          <w:rStyle w:val="FootnoteReference"/>
        </w:rPr>
        <w:footnoteRef/>
      </w:r>
      <w:r>
        <w:t xml:space="preserve"> Larssen, T and G.R. Carmichael (2000) Acid rain and acidification in </w:t>
      </w:r>
      <w:smartTag w:uri="urn:schemas-microsoft-com:office:smarttags" w:element="country-region">
        <w:smartTag w:uri="urn:schemas-microsoft-com:office:smarttags" w:element="place">
          <w:r>
            <w:t>China</w:t>
          </w:r>
        </w:smartTag>
      </w:smartTag>
      <w:r>
        <w:t>: The importance of base cation deposition.</w:t>
      </w:r>
      <w:r>
        <w:rPr>
          <w:b/>
        </w:rPr>
        <w:t xml:space="preserve">  </w:t>
      </w:r>
      <w:r w:rsidRPr="0050119C">
        <w:rPr>
          <w:i/>
        </w:rPr>
        <w:t>Environmental Pollution</w:t>
      </w:r>
      <w:r w:rsidRPr="0050119C">
        <w:t xml:space="preserve">, </w:t>
      </w:r>
      <w:r w:rsidRPr="0050119C">
        <w:rPr>
          <w:b/>
        </w:rPr>
        <w:t>110</w:t>
      </w:r>
      <w:r w:rsidRPr="0050119C">
        <w:t>:89-102</w:t>
      </w:r>
      <w:r>
        <w:t>.</w:t>
      </w:r>
    </w:p>
  </w:footnote>
  <w:footnote w:id="60">
    <w:p w14:paraId="10976CCA" w14:textId="77777777" w:rsidR="00020FA1" w:rsidRDefault="00020FA1" w:rsidP="00591B0F">
      <w:pPr>
        <w:pStyle w:val="FootnoteText"/>
      </w:pPr>
      <w:r>
        <w:rPr>
          <w:rStyle w:val="FootnoteReference"/>
        </w:rPr>
        <w:footnoteRef/>
      </w:r>
      <w:r>
        <w:t xml:space="preserve"> Tegen, </w:t>
      </w:r>
      <w:smartTag w:uri="urn:schemas-microsoft-com:office:smarttags" w:element="place">
        <w:r>
          <w:t>I.</w:t>
        </w:r>
      </w:smartTag>
      <w:r>
        <w:t xml:space="preserve"> and I. Fung (1994) </w:t>
      </w:r>
      <w:r>
        <w:rPr>
          <w:u w:val="single"/>
        </w:rPr>
        <w:t>"</w:t>
      </w:r>
      <w:r>
        <w:t xml:space="preserve">Modelling of mineral dust in the atmosphere: Sources, transport, and optical thickness".  </w:t>
      </w:r>
      <w:r>
        <w:rPr>
          <w:i/>
        </w:rPr>
        <w:t>Journal of Geophysical Research</w:t>
      </w:r>
      <w:r>
        <w:t xml:space="preserve">,  </w:t>
      </w:r>
      <w:r>
        <w:rPr>
          <w:b/>
        </w:rPr>
        <w:t>99:</w:t>
      </w:r>
      <w:r>
        <w:t>22 897 – 22 914.</w:t>
      </w:r>
    </w:p>
  </w:footnote>
  <w:footnote w:id="61">
    <w:p w14:paraId="1C35439F" w14:textId="77777777" w:rsidR="00020FA1" w:rsidRDefault="00020FA1" w:rsidP="00591B0F">
      <w:pPr>
        <w:pStyle w:val="FootnoteText"/>
      </w:pPr>
      <w:r>
        <w:rPr>
          <w:rStyle w:val="FootnoteReference"/>
        </w:rPr>
        <w:footnoteRef/>
      </w:r>
      <w:r>
        <w:t xml:space="preserve"> Gillette, D. (1978) "A wind tunnel simulation of the erosion of soil: Effect of soil texture, sandblasting, wind speed, and soil consolidation on dust production",</w:t>
      </w:r>
      <w:r>
        <w:rPr>
          <w:i/>
        </w:rPr>
        <w:t xml:space="preserve"> Atmospheric Environment,</w:t>
      </w:r>
      <w:r>
        <w:t xml:space="preserve"> </w:t>
      </w:r>
      <w:r>
        <w:rPr>
          <w:b/>
        </w:rPr>
        <w:t>12:</w:t>
      </w:r>
      <w:r>
        <w:t>1735 – 1743.</w:t>
      </w:r>
    </w:p>
  </w:footnote>
  <w:footnote w:id="62">
    <w:p w14:paraId="426FF41E" w14:textId="77777777" w:rsidR="00020FA1" w:rsidRDefault="00020FA1" w:rsidP="00591B0F">
      <w:pPr>
        <w:pStyle w:val="FootnoteText"/>
      </w:pPr>
      <w:r>
        <w:rPr>
          <w:rStyle w:val="FootnoteReference"/>
        </w:rPr>
        <w:footnoteRef/>
      </w:r>
      <w:r>
        <w:t xml:space="preserve"> Tegen, </w:t>
      </w:r>
      <w:smartTag w:uri="urn:schemas-microsoft-com:office:smarttags" w:element="place">
        <w:r>
          <w:t>I.</w:t>
        </w:r>
      </w:smartTag>
      <w:r>
        <w:t xml:space="preserve"> and I. Fung (1994) "Modeling of mineral dust in the atmosphere: Sources, transport, and optical thickness". </w:t>
      </w:r>
      <w:r>
        <w:rPr>
          <w:i/>
        </w:rPr>
        <w:t>Journal of Geophysical Research</w:t>
      </w:r>
      <w:r>
        <w:t xml:space="preserve">,  </w:t>
      </w:r>
      <w:r>
        <w:rPr>
          <w:b/>
        </w:rPr>
        <w:t>99:</w:t>
      </w:r>
      <w:r>
        <w:t xml:space="preserve"> 22 897 – 22 914.</w:t>
      </w:r>
    </w:p>
  </w:footnote>
  <w:footnote w:id="63">
    <w:p w14:paraId="5BF4F611" w14:textId="77777777" w:rsidR="00020FA1" w:rsidRDefault="00020FA1" w:rsidP="00591B0F">
      <w:pPr>
        <w:pStyle w:val="FootnoteText"/>
      </w:pPr>
      <w:r>
        <w:rPr>
          <w:rStyle w:val="FootnoteReference"/>
        </w:rPr>
        <w:footnoteRef/>
      </w:r>
      <w:r>
        <w:t xml:space="preserve"> Tegen, I. and I. Fung (1995) "Contribution to the atmospheric mineral aerosol load from land surface</w:t>
      </w:r>
      <w:r>
        <w:rPr>
          <w:u w:val="single"/>
        </w:rPr>
        <w:t xml:space="preserve"> </w:t>
      </w:r>
      <w:r>
        <w:t xml:space="preserve">modification".  </w:t>
      </w:r>
      <w:r>
        <w:rPr>
          <w:i/>
        </w:rPr>
        <w:t>Journal of Geophysical Research</w:t>
      </w:r>
      <w:r>
        <w:t xml:space="preserve">, </w:t>
      </w:r>
      <w:r>
        <w:rPr>
          <w:b/>
        </w:rPr>
        <w:t>100</w:t>
      </w:r>
      <w:r>
        <w:t>:18 707 – 18 726.</w:t>
      </w:r>
    </w:p>
  </w:footnote>
  <w:footnote w:id="64">
    <w:p w14:paraId="5F90DBD7" w14:textId="77777777" w:rsidR="00020FA1" w:rsidRDefault="00020FA1" w:rsidP="00591B0F">
      <w:pPr>
        <w:pStyle w:val="FootnoteText"/>
      </w:pPr>
      <w:r>
        <w:rPr>
          <w:rStyle w:val="FootnoteReference"/>
        </w:rPr>
        <w:footnoteRef/>
      </w:r>
      <w:r>
        <w:t xml:space="preserve"> Chang, Y.–S., Arndt, R.L. and Carmichael, G.R. (1996) "Mineral base-cation deposition in Asia".   </w:t>
      </w:r>
      <w:r>
        <w:rPr>
          <w:i/>
        </w:rPr>
        <w:t>Atmospheric Environment,</w:t>
      </w:r>
      <w:r>
        <w:t xml:space="preserve">  </w:t>
      </w:r>
      <w:r>
        <w:rPr>
          <w:b/>
        </w:rPr>
        <w:t>30</w:t>
      </w:r>
      <w:r>
        <w:t>:2417 – 2427.</w:t>
      </w:r>
    </w:p>
  </w:footnote>
  <w:footnote w:id="65">
    <w:p w14:paraId="534EB600" w14:textId="77777777" w:rsidR="00020FA1" w:rsidRDefault="00020FA1" w:rsidP="00591B0F">
      <w:pPr>
        <w:pStyle w:val="FootnoteText"/>
      </w:pPr>
      <w:r>
        <w:rPr>
          <w:rStyle w:val="FootnoteReference"/>
        </w:rPr>
        <w:footnoteRef/>
      </w:r>
      <w:r>
        <w:t xml:space="preserve"> Gomes, L. and Gillette, D.A. (1993) A comparison of characteristics of aerosol from dust storms in central </w:t>
      </w:r>
      <w:smartTag w:uri="urn:schemas-microsoft-com:office:smarttags" w:element="place">
        <w:r>
          <w:t>Asia</w:t>
        </w:r>
      </w:smartTag>
      <w:r>
        <w:t xml:space="preserve"> with soil-derived dust from other regions. </w:t>
      </w:r>
      <w:r>
        <w:rPr>
          <w:i/>
        </w:rPr>
        <w:t xml:space="preserve">Atmospheric Environment, </w:t>
      </w:r>
      <w:r>
        <w:rPr>
          <w:b/>
        </w:rPr>
        <w:t>27A</w:t>
      </w:r>
      <w:r>
        <w:t>:2539 – 2544.</w:t>
      </w:r>
    </w:p>
  </w:footnote>
  <w:footnote w:id="66">
    <w:p w14:paraId="541378F4" w14:textId="77777777" w:rsidR="00020FA1" w:rsidRDefault="00020FA1" w:rsidP="00E32F7D">
      <w:pPr>
        <w:pStyle w:val="FootnoteText"/>
      </w:pPr>
      <w:r>
        <w:rPr>
          <w:rStyle w:val="FootnoteReference"/>
        </w:rPr>
        <w:footnoteRef/>
      </w:r>
      <w:r>
        <w:t xml:space="preserve"> Leggett, S. (1996), "Forecast Distribution of Species and their Atmospheric Reactivities for the </w:t>
      </w:r>
      <w:smartTag w:uri="urn:schemas-microsoft-com:office:smarttags" w:element="country-region">
        <w:smartTag w:uri="urn:schemas-microsoft-com:office:smarttags" w:element="place">
          <w:r>
            <w:t>U.K.</w:t>
          </w:r>
        </w:smartTag>
      </w:smartTag>
      <w:r>
        <w:t xml:space="preserve"> VOC Emission Inventory". </w:t>
      </w:r>
      <w:r>
        <w:rPr>
          <w:u w:val="single"/>
        </w:rPr>
        <w:t>Atmospheric Environment</w:t>
      </w:r>
      <w:r>
        <w:t xml:space="preserve"> Vol. 30. No.2. pp 215-226.</w:t>
      </w:r>
    </w:p>
  </w:footnote>
  <w:footnote w:id="67">
    <w:p w14:paraId="6AC1AF86" w14:textId="76A45676" w:rsidR="00020FA1" w:rsidRPr="00837721" w:rsidRDefault="00020FA1" w:rsidP="00262B1D">
      <w:pPr>
        <w:pStyle w:val="FootnoteText"/>
      </w:pPr>
      <w:r>
        <w:rPr>
          <w:rStyle w:val="FootnoteReference"/>
        </w:rPr>
        <w:footnoteRef/>
      </w:r>
      <w:r>
        <w:t xml:space="preserve"> </w:t>
      </w:r>
      <w:r w:rsidRPr="00262B1D">
        <w:t xml:space="preserve"> https://www.epa.gov/air-emissions-modeling/speciate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9144A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C2A74F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7278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A62615"/>
    <w:multiLevelType w:val="hybridMultilevel"/>
    <w:tmpl w:val="7D22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F5B42"/>
    <w:multiLevelType w:val="multilevel"/>
    <w:tmpl w:val="A43E63C6"/>
    <w:lvl w:ilvl="0">
      <w:start w:val="1"/>
      <w:numFmt w:val="decimal"/>
      <w:lvlText w:val="%1."/>
      <w:lvlJc w:val="left"/>
      <w:pPr>
        <w:tabs>
          <w:tab w:val="num" w:pos="932"/>
        </w:tabs>
        <w:ind w:left="932" w:hanging="648"/>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0BA503D"/>
    <w:multiLevelType w:val="singleLevel"/>
    <w:tmpl w:val="B00AF230"/>
    <w:lvl w:ilvl="0">
      <w:start w:val="1"/>
      <w:numFmt w:val="bullet"/>
      <w:pStyle w:val="SubHead1"/>
      <w:lvlText w:val=""/>
      <w:lvlJc w:val="left"/>
      <w:pPr>
        <w:tabs>
          <w:tab w:val="num" w:pos="360"/>
        </w:tabs>
        <w:ind w:left="360" w:hanging="360"/>
      </w:pPr>
      <w:rPr>
        <w:rFonts w:ascii="Symbol" w:hAnsi="Symbol" w:hint="default"/>
      </w:rPr>
    </w:lvl>
  </w:abstractNum>
  <w:abstractNum w:abstractNumId="6" w15:restartNumberingAfterBreak="0">
    <w:nsid w:val="10D30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905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2A16426"/>
    <w:multiLevelType w:val="hybridMultilevel"/>
    <w:tmpl w:val="98C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2C7F96"/>
    <w:multiLevelType w:val="hybridMultilevel"/>
    <w:tmpl w:val="A838E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938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DB51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2C404D2"/>
    <w:multiLevelType w:val="hybridMultilevel"/>
    <w:tmpl w:val="FECC8BF2"/>
    <w:lvl w:ilvl="0" w:tplc="9BFEFF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C50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1334CC"/>
    <w:multiLevelType w:val="multilevel"/>
    <w:tmpl w:val="7174F59C"/>
    <w:lvl w:ilvl="0">
      <w:start w:val="1"/>
      <w:numFmt w:val="decimal"/>
      <w:pStyle w:val="Heading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C1E31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420C2F"/>
    <w:multiLevelType w:val="hybridMultilevel"/>
    <w:tmpl w:val="2376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30C49"/>
    <w:multiLevelType w:val="hybridMultilevel"/>
    <w:tmpl w:val="EB40B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406988"/>
    <w:multiLevelType w:val="singleLevel"/>
    <w:tmpl w:val="32B0199A"/>
    <w:lvl w:ilvl="0">
      <w:start w:val="1"/>
      <w:numFmt w:val="bullet"/>
      <w:pStyle w:val="Bullet1"/>
      <w:lvlText w:val=""/>
      <w:lvlJc w:val="left"/>
      <w:pPr>
        <w:tabs>
          <w:tab w:val="num" w:pos="360"/>
        </w:tabs>
        <w:ind w:left="360" w:hanging="360"/>
      </w:pPr>
      <w:rPr>
        <w:rFonts w:ascii="Lucida Stars" w:hAnsi="Lucida Stars" w:hint="default"/>
        <w:sz w:val="16"/>
      </w:rPr>
    </w:lvl>
  </w:abstractNum>
  <w:abstractNum w:abstractNumId="19" w15:restartNumberingAfterBreak="0">
    <w:nsid w:val="37CC52A8"/>
    <w:multiLevelType w:val="hybridMultilevel"/>
    <w:tmpl w:val="9CC83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7F0F24"/>
    <w:multiLevelType w:val="multilevel"/>
    <w:tmpl w:val="159A1078"/>
    <w:lvl w:ilvl="0">
      <w:start w:val="3"/>
      <w:numFmt w:val="decimal"/>
      <w:lvlText w:val="%1."/>
      <w:lvlJc w:val="left"/>
      <w:pPr>
        <w:tabs>
          <w:tab w:val="num" w:pos="648"/>
        </w:tabs>
        <w:ind w:left="648" w:hanging="648"/>
      </w:pPr>
      <w:rPr>
        <w:rFonts w:hint="default"/>
      </w:rPr>
    </w:lvl>
    <w:lvl w:ilvl="1">
      <w:start w:val="2"/>
      <w:numFmt w:val="decimal"/>
      <w:lvlText w:val="%1.%2"/>
      <w:lvlJc w:val="left"/>
      <w:pPr>
        <w:tabs>
          <w:tab w:val="num" w:pos="576"/>
        </w:tabs>
        <w:ind w:left="576" w:hanging="576"/>
      </w:pPr>
      <w:rPr>
        <w:rFonts w:hint="default"/>
      </w:rPr>
    </w:lvl>
    <w:lvl w:ilvl="2">
      <w:start w:val="2"/>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7D4C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0B936C3"/>
    <w:multiLevelType w:val="hybridMultilevel"/>
    <w:tmpl w:val="319C8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E06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5E392C"/>
    <w:multiLevelType w:val="multilevel"/>
    <w:tmpl w:val="72EEA3FE"/>
    <w:lvl w:ilvl="0">
      <w:start w:val="2"/>
      <w:numFmt w:val="decimal"/>
      <w:lvlText w:val="%1"/>
      <w:lvlJc w:val="left"/>
      <w:pPr>
        <w:tabs>
          <w:tab w:val="num" w:pos="432"/>
        </w:tabs>
        <w:ind w:left="432" w:hanging="432"/>
      </w:pPr>
      <w:rPr>
        <w:rFonts w:hint="default"/>
      </w:rPr>
    </w:lvl>
    <w:lvl w:ilvl="1">
      <w:start w:val="8"/>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96C49F5"/>
    <w:multiLevelType w:val="multilevel"/>
    <w:tmpl w:val="54BC1F80"/>
    <w:lvl w:ilvl="0">
      <w:start w:val="2"/>
      <w:numFmt w:val="decimal"/>
      <w:lvlText w:val="%1"/>
      <w:lvlJc w:val="left"/>
      <w:pPr>
        <w:tabs>
          <w:tab w:val="num" w:pos="432"/>
        </w:tabs>
        <w:ind w:left="432" w:hanging="432"/>
      </w:pPr>
      <w:rPr>
        <w:rFonts w:hint="default"/>
      </w:rPr>
    </w:lvl>
    <w:lvl w:ilvl="1">
      <w:start w:val="7"/>
      <w:numFmt w:val="decimal"/>
      <w:lvlRestart w:val="0"/>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9FA11E2"/>
    <w:multiLevelType w:val="hybridMultilevel"/>
    <w:tmpl w:val="6728D13A"/>
    <w:lvl w:ilvl="0" w:tplc="87D448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4E7D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2D18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B402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656A26"/>
    <w:multiLevelType w:val="singleLevel"/>
    <w:tmpl w:val="B7E07B8C"/>
    <w:lvl w:ilvl="0">
      <w:start w:val="1"/>
      <w:numFmt w:val="bullet"/>
      <w:pStyle w:val="SlideHeadings"/>
      <w:lvlText w:val=""/>
      <w:lvlJc w:val="left"/>
      <w:pPr>
        <w:tabs>
          <w:tab w:val="num" w:pos="360"/>
        </w:tabs>
        <w:ind w:left="360" w:hanging="360"/>
      </w:pPr>
      <w:rPr>
        <w:rFonts w:ascii="Symbol" w:hAnsi="Symbol" w:hint="default"/>
      </w:rPr>
    </w:lvl>
  </w:abstractNum>
  <w:abstractNum w:abstractNumId="31" w15:restartNumberingAfterBreak="0">
    <w:nsid w:val="75730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C6C06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D1F666D"/>
    <w:multiLevelType w:val="hybridMultilevel"/>
    <w:tmpl w:val="217AAD30"/>
    <w:lvl w:ilvl="0" w:tplc="0E485D12">
      <w:start w:val="1"/>
      <w:numFmt w:val="bullet"/>
      <w:lvlText w:val=""/>
      <w:lvlJc w:val="left"/>
      <w:pPr>
        <w:tabs>
          <w:tab w:val="num" w:pos="720"/>
        </w:tabs>
        <w:ind w:left="720" w:hanging="360"/>
      </w:pPr>
      <w:rPr>
        <w:rFonts w:ascii="Symbol" w:hAnsi="Symbol" w:hint="default"/>
      </w:rPr>
    </w:lvl>
    <w:lvl w:ilvl="1" w:tplc="EEEA482E" w:tentative="1">
      <w:start w:val="1"/>
      <w:numFmt w:val="bullet"/>
      <w:lvlText w:val="o"/>
      <w:lvlJc w:val="left"/>
      <w:pPr>
        <w:tabs>
          <w:tab w:val="num" w:pos="1440"/>
        </w:tabs>
        <w:ind w:left="1440" w:hanging="360"/>
      </w:pPr>
      <w:rPr>
        <w:rFonts w:ascii="Courier New" w:hAnsi="Courier New" w:cs="Courier New" w:hint="default"/>
      </w:rPr>
    </w:lvl>
    <w:lvl w:ilvl="2" w:tplc="995A927E" w:tentative="1">
      <w:start w:val="1"/>
      <w:numFmt w:val="bullet"/>
      <w:lvlText w:val=""/>
      <w:lvlJc w:val="left"/>
      <w:pPr>
        <w:tabs>
          <w:tab w:val="num" w:pos="2160"/>
        </w:tabs>
        <w:ind w:left="2160" w:hanging="360"/>
      </w:pPr>
      <w:rPr>
        <w:rFonts w:ascii="Wingdings" w:hAnsi="Wingdings" w:hint="default"/>
      </w:rPr>
    </w:lvl>
    <w:lvl w:ilvl="3" w:tplc="881632C4" w:tentative="1">
      <w:start w:val="1"/>
      <w:numFmt w:val="bullet"/>
      <w:lvlText w:val=""/>
      <w:lvlJc w:val="left"/>
      <w:pPr>
        <w:tabs>
          <w:tab w:val="num" w:pos="2880"/>
        </w:tabs>
        <w:ind w:left="2880" w:hanging="360"/>
      </w:pPr>
      <w:rPr>
        <w:rFonts w:ascii="Symbol" w:hAnsi="Symbol" w:hint="default"/>
      </w:rPr>
    </w:lvl>
    <w:lvl w:ilvl="4" w:tplc="FB3CE3DE" w:tentative="1">
      <w:start w:val="1"/>
      <w:numFmt w:val="bullet"/>
      <w:lvlText w:val="o"/>
      <w:lvlJc w:val="left"/>
      <w:pPr>
        <w:tabs>
          <w:tab w:val="num" w:pos="3600"/>
        </w:tabs>
        <w:ind w:left="3600" w:hanging="360"/>
      </w:pPr>
      <w:rPr>
        <w:rFonts w:ascii="Courier New" w:hAnsi="Courier New" w:cs="Courier New" w:hint="default"/>
      </w:rPr>
    </w:lvl>
    <w:lvl w:ilvl="5" w:tplc="596E4E02" w:tentative="1">
      <w:start w:val="1"/>
      <w:numFmt w:val="bullet"/>
      <w:lvlText w:val=""/>
      <w:lvlJc w:val="left"/>
      <w:pPr>
        <w:tabs>
          <w:tab w:val="num" w:pos="4320"/>
        </w:tabs>
        <w:ind w:left="4320" w:hanging="360"/>
      </w:pPr>
      <w:rPr>
        <w:rFonts w:ascii="Wingdings" w:hAnsi="Wingdings" w:hint="default"/>
      </w:rPr>
    </w:lvl>
    <w:lvl w:ilvl="6" w:tplc="18C22020" w:tentative="1">
      <w:start w:val="1"/>
      <w:numFmt w:val="bullet"/>
      <w:lvlText w:val=""/>
      <w:lvlJc w:val="left"/>
      <w:pPr>
        <w:tabs>
          <w:tab w:val="num" w:pos="5040"/>
        </w:tabs>
        <w:ind w:left="5040" w:hanging="360"/>
      </w:pPr>
      <w:rPr>
        <w:rFonts w:ascii="Symbol" w:hAnsi="Symbol" w:hint="default"/>
      </w:rPr>
    </w:lvl>
    <w:lvl w:ilvl="7" w:tplc="D812D92C" w:tentative="1">
      <w:start w:val="1"/>
      <w:numFmt w:val="bullet"/>
      <w:lvlText w:val="o"/>
      <w:lvlJc w:val="left"/>
      <w:pPr>
        <w:tabs>
          <w:tab w:val="num" w:pos="5760"/>
        </w:tabs>
        <w:ind w:left="5760" w:hanging="360"/>
      </w:pPr>
      <w:rPr>
        <w:rFonts w:ascii="Courier New" w:hAnsi="Courier New" w:cs="Courier New" w:hint="default"/>
      </w:rPr>
    </w:lvl>
    <w:lvl w:ilvl="8" w:tplc="03367B58"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5"/>
  </w:num>
  <w:num w:numId="3">
    <w:abstractNumId w:val="11"/>
  </w:num>
  <w:num w:numId="4">
    <w:abstractNumId w:val="28"/>
  </w:num>
  <w:num w:numId="5">
    <w:abstractNumId w:val="13"/>
  </w:num>
  <w:num w:numId="6">
    <w:abstractNumId w:val="21"/>
  </w:num>
  <w:num w:numId="7">
    <w:abstractNumId w:val="6"/>
  </w:num>
  <w:num w:numId="8">
    <w:abstractNumId w:val="31"/>
  </w:num>
  <w:num w:numId="9">
    <w:abstractNumId w:val="30"/>
  </w:num>
  <w:num w:numId="10">
    <w:abstractNumId w:val="5"/>
  </w:num>
  <w:num w:numId="11">
    <w:abstractNumId w:val="7"/>
  </w:num>
  <w:num w:numId="12">
    <w:abstractNumId w:val="29"/>
  </w:num>
  <w:num w:numId="13">
    <w:abstractNumId w:val="10"/>
  </w:num>
  <w:num w:numId="14">
    <w:abstractNumId w:val="2"/>
  </w:num>
  <w:num w:numId="15">
    <w:abstractNumId w:val="23"/>
  </w:num>
  <w:num w:numId="16">
    <w:abstractNumId w:val="27"/>
  </w:num>
  <w:num w:numId="17">
    <w:abstractNumId w:val="4"/>
  </w:num>
  <w:num w:numId="18">
    <w:abstractNumId w:val="4"/>
  </w:num>
  <w:num w:numId="19">
    <w:abstractNumId w:val="4"/>
  </w:num>
  <w:num w:numId="20">
    <w:abstractNumId w:val="4"/>
  </w:num>
  <w:num w:numId="21">
    <w:abstractNumId w:val="1"/>
  </w:num>
  <w:num w:numId="22">
    <w:abstractNumId w:val="0"/>
  </w:num>
  <w:num w:numId="23">
    <w:abstractNumId w:val="18"/>
  </w:num>
  <w:num w:numId="24">
    <w:abstractNumId w:val="33"/>
  </w:num>
  <w:num w:numId="25">
    <w:abstractNumId w:val="25"/>
  </w:num>
  <w:num w:numId="26">
    <w:abstractNumId w:val="24"/>
  </w:num>
  <w:num w:numId="27">
    <w:abstractNumId w:val="14"/>
  </w:num>
  <w:num w:numId="28">
    <w:abstractNumId w:val="4"/>
  </w:num>
  <w:num w:numId="29">
    <w:abstractNumId w:val="4"/>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Restart w:val="0"/>
        <w:pStyle w:val="Heading2"/>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0">
    <w:abstractNumId w:val="20"/>
  </w:num>
  <w:num w:numId="31">
    <w:abstractNumId w:val="26"/>
  </w:num>
  <w:num w:numId="32">
    <w:abstractNumId w:val="12"/>
  </w:num>
  <w:num w:numId="33">
    <w:abstractNumId w:val="4"/>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Restart w:val="0"/>
        <w:pStyle w:val="Heading2"/>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4">
    <w:abstractNumId w:val="4"/>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Restart w:val="0"/>
        <w:pStyle w:val="Heading2"/>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5">
    <w:abstractNumId w:val="4"/>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Restart w:val="0"/>
        <w:pStyle w:val="Heading2"/>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6">
    <w:abstractNumId w:val="9"/>
  </w:num>
  <w:num w:numId="37">
    <w:abstractNumId w:val="2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17"/>
  </w:num>
  <w:num w:numId="43">
    <w:abstractNumId w:val="3"/>
  </w:num>
  <w:num w:numId="44">
    <w:abstractNumId w:val="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en-US" w:vendorID="8" w:dllVersion="513" w:checkStyle="1"/>
  <w:activeWritingStyle w:appName="MSWord" w:lang="en-GB" w:vendorID="8" w:dllVersion="513" w:checkStyle="1"/>
  <w:activeWritingStyle w:appName="MSWord" w:lang="nb-NO" w:vendorID="666"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TAP_Inventory_Manual_DR7.doc"/>
    <w:docVar w:name="IPSpeechSession$" w:val="TRUE"/>
    <w:docVar w:name="lCorrectEnd" w:val="4621"/>
    <w:docVar w:name="lCorrectStart" w:val="4617"/>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E185C"/>
    <w:rsid w:val="00000228"/>
    <w:rsid w:val="00001732"/>
    <w:rsid w:val="0000627E"/>
    <w:rsid w:val="000066AA"/>
    <w:rsid w:val="000079F3"/>
    <w:rsid w:val="00013DDA"/>
    <w:rsid w:val="000169FB"/>
    <w:rsid w:val="00016FC1"/>
    <w:rsid w:val="00020FA1"/>
    <w:rsid w:val="000218DF"/>
    <w:rsid w:val="00023078"/>
    <w:rsid w:val="00023985"/>
    <w:rsid w:val="00024613"/>
    <w:rsid w:val="00027C59"/>
    <w:rsid w:val="00030EE4"/>
    <w:rsid w:val="00033EAA"/>
    <w:rsid w:val="00036560"/>
    <w:rsid w:val="000402B0"/>
    <w:rsid w:val="00040CB7"/>
    <w:rsid w:val="000412B2"/>
    <w:rsid w:val="0004184C"/>
    <w:rsid w:val="000421B7"/>
    <w:rsid w:val="000429DF"/>
    <w:rsid w:val="000450D5"/>
    <w:rsid w:val="00046FAB"/>
    <w:rsid w:val="00051FD1"/>
    <w:rsid w:val="00056B5C"/>
    <w:rsid w:val="00061180"/>
    <w:rsid w:val="000612E0"/>
    <w:rsid w:val="0006198F"/>
    <w:rsid w:val="00063E00"/>
    <w:rsid w:val="000646CD"/>
    <w:rsid w:val="00064CA0"/>
    <w:rsid w:val="00065B5E"/>
    <w:rsid w:val="00065ED3"/>
    <w:rsid w:val="00066407"/>
    <w:rsid w:val="00072702"/>
    <w:rsid w:val="00073314"/>
    <w:rsid w:val="00074B70"/>
    <w:rsid w:val="000753E5"/>
    <w:rsid w:val="00075546"/>
    <w:rsid w:val="00080330"/>
    <w:rsid w:val="0008425A"/>
    <w:rsid w:val="00090539"/>
    <w:rsid w:val="0009501E"/>
    <w:rsid w:val="00096EC8"/>
    <w:rsid w:val="00097322"/>
    <w:rsid w:val="000A1CE1"/>
    <w:rsid w:val="000A2DC1"/>
    <w:rsid w:val="000A7EB6"/>
    <w:rsid w:val="000B508F"/>
    <w:rsid w:val="000C476D"/>
    <w:rsid w:val="000C5C08"/>
    <w:rsid w:val="000D1446"/>
    <w:rsid w:val="000D14DF"/>
    <w:rsid w:val="000D29E8"/>
    <w:rsid w:val="000D3AFA"/>
    <w:rsid w:val="000E0142"/>
    <w:rsid w:val="000E0A0C"/>
    <w:rsid w:val="000E0DF3"/>
    <w:rsid w:val="000E14E5"/>
    <w:rsid w:val="000E3FD0"/>
    <w:rsid w:val="000E4E21"/>
    <w:rsid w:val="000E666A"/>
    <w:rsid w:val="000F16BF"/>
    <w:rsid w:val="000F1804"/>
    <w:rsid w:val="000F1D81"/>
    <w:rsid w:val="000F3136"/>
    <w:rsid w:val="000F384C"/>
    <w:rsid w:val="000F58CE"/>
    <w:rsid w:val="000F6DF8"/>
    <w:rsid w:val="000F73B3"/>
    <w:rsid w:val="00101BE4"/>
    <w:rsid w:val="00102F09"/>
    <w:rsid w:val="0010490A"/>
    <w:rsid w:val="00105808"/>
    <w:rsid w:val="0010733D"/>
    <w:rsid w:val="00113A4F"/>
    <w:rsid w:val="00114A02"/>
    <w:rsid w:val="001158DA"/>
    <w:rsid w:val="001263B5"/>
    <w:rsid w:val="00127470"/>
    <w:rsid w:val="001301AD"/>
    <w:rsid w:val="0013103A"/>
    <w:rsid w:val="001311E7"/>
    <w:rsid w:val="00131F4C"/>
    <w:rsid w:val="00134066"/>
    <w:rsid w:val="001350A8"/>
    <w:rsid w:val="001408DF"/>
    <w:rsid w:val="00146E1C"/>
    <w:rsid w:val="001521B0"/>
    <w:rsid w:val="001539EB"/>
    <w:rsid w:val="00155C56"/>
    <w:rsid w:val="00160126"/>
    <w:rsid w:val="0016015B"/>
    <w:rsid w:val="00161564"/>
    <w:rsid w:val="00170174"/>
    <w:rsid w:val="0017183C"/>
    <w:rsid w:val="00172FF1"/>
    <w:rsid w:val="00173685"/>
    <w:rsid w:val="001738D4"/>
    <w:rsid w:val="00173F98"/>
    <w:rsid w:val="0017631F"/>
    <w:rsid w:val="00184A4F"/>
    <w:rsid w:val="0018549E"/>
    <w:rsid w:val="00187289"/>
    <w:rsid w:val="0018772C"/>
    <w:rsid w:val="001907ED"/>
    <w:rsid w:val="00191FAD"/>
    <w:rsid w:val="001A08DC"/>
    <w:rsid w:val="001A09F1"/>
    <w:rsid w:val="001B2FDB"/>
    <w:rsid w:val="001B5BE5"/>
    <w:rsid w:val="001B676C"/>
    <w:rsid w:val="001C2B61"/>
    <w:rsid w:val="001C57AD"/>
    <w:rsid w:val="001C64A4"/>
    <w:rsid w:val="001D551E"/>
    <w:rsid w:val="001D5B7F"/>
    <w:rsid w:val="001D6DA3"/>
    <w:rsid w:val="001E02EB"/>
    <w:rsid w:val="001E0802"/>
    <w:rsid w:val="001E0E68"/>
    <w:rsid w:val="001E178C"/>
    <w:rsid w:val="001E2CAA"/>
    <w:rsid w:val="001E406F"/>
    <w:rsid w:val="001E68A9"/>
    <w:rsid w:val="001E7F5D"/>
    <w:rsid w:val="001F0C5D"/>
    <w:rsid w:val="001F13A4"/>
    <w:rsid w:val="001F1C5D"/>
    <w:rsid w:val="001F4276"/>
    <w:rsid w:val="0020033D"/>
    <w:rsid w:val="0021177F"/>
    <w:rsid w:val="00212D95"/>
    <w:rsid w:val="002152D5"/>
    <w:rsid w:val="0021666C"/>
    <w:rsid w:val="00220375"/>
    <w:rsid w:val="0022046A"/>
    <w:rsid w:val="00225535"/>
    <w:rsid w:val="002271CD"/>
    <w:rsid w:val="002319FE"/>
    <w:rsid w:val="00240EF8"/>
    <w:rsid w:val="00243D6F"/>
    <w:rsid w:val="0024467F"/>
    <w:rsid w:val="002462FB"/>
    <w:rsid w:val="00246C4C"/>
    <w:rsid w:val="002524D1"/>
    <w:rsid w:val="002551A6"/>
    <w:rsid w:val="0025775D"/>
    <w:rsid w:val="00257A77"/>
    <w:rsid w:val="002604EC"/>
    <w:rsid w:val="00260E07"/>
    <w:rsid w:val="002611FF"/>
    <w:rsid w:val="002612AB"/>
    <w:rsid w:val="00262B1D"/>
    <w:rsid w:val="0026560E"/>
    <w:rsid w:val="0026797A"/>
    <w:rsid w:val="0027120F"/>
    <w:rsid w:val="002715B8"/>
    <w:rsid w:val="0027221B"/>
    <w:rsid w:val="002722D9"/>
    <w:rsid w:val="00273002"/>
    <w:rsid w:val="00273F68"/>
    <w:rsid w:val="00276760"/>
    <w:rsid w:val="0028367B"/>
    <w:rsid w:val="002847DC"/>
    <w:rsid w:val="00286A0D"/>
    <w:rsid w:val="00286CCC"/>
    <w:rsid w:val="00292FD7"/>
    <w:rsid w:val="0029338D"/>
    <w:rsid w:val="002962D0"/>
    <w:rsid w:val="002966F4"/>
    <w:rsid w:val="00296D0A"/>
    <w:rsid w:val="002A1138"/>
    <w:rsid w:val="002A1767"/>
    <w:rsid w:val="002A2D99"/>
    <w:rsid w:val="002A507C"/>
    <w:rsid w:val="002B5784"/>
    <w:rsid w:val="002B5BE8"/>
    <w:rsid w:val="002B7ED8"/>
    <w:rsid w:val="002C2175"/>
    <w:rsid w:val="002C422D"/>
    <w:rsid w:val="002C6C2E"/>
    <w:rsid w:val="002D2644"/>
    <w:rsid w:val="002D2891"/>
    <w:rsid w:val="002D7C1F"/>
    <w:rsid w:val="002E0A72"/>
    <w:rsid w:val="002E3B66"/>
    <w:rsid w:val="002E49BD"/>
    <w:rsid w:val="002E5800"/>
    <w:rsid w:val="002F2AA0"/>
    <w:rsid w:val="002F3408"/>
    <w:rsid w:val="002F364B"/>
    <w:rsid w:val="002F3CEF"/>
    <w:rsid w:val="002F3E3C"/>
    <w:rsid w:val="002F640C"/>
    <w:rsid w:val="002F68FB"/>
    <w:rsid w:val="002F6FCC"/>
    <w:rsid w:val="002F7353"/>
    <w:rsid w:val="003012BF"/>
    <w:rsid w:val="003058E3"/>
    <w:rsid w:val="00312AB1"/>
    <w:rsid w:val="00314C80"/>
    <w:rsid w:val="003177E5"/>
    <w:rsid w:val="00320F8D"/>
    <w:rsid w:val="00321338"/>
    <w:rsid w:val="0033630C"/>
    <w:rsid w:val="00343E26"/>
    <w:rsid w:val="00344047"/>
    <w:rsid w:val="00347F28"/>
    <w:rsid w:val="00350DF3"/>
    <w:rsid w:val="00350F54"/>
    <w:rsid w:val="0035373E"/>
    <w:rsid w:val="003544B0"/>
    <w:rsid w:val="00354D80"/>
    <w:rsid w:val="0035687B"/>
    <w:rsid w:val="00363CD2"/>
    <w:rsid w:val="00366308"/>
    <w:rsid w:val="0036756E"/>
    <w:rsid w:val="00372602"/>
    <w:rsid w:val="003728A0"/>
    <w:rsid w:val="003732C1"/>
    <w:rsid w:val="00377334"/>
    <w:rsid w:val="003851C6"/>
    <w:rsid w:val="003957A5"/>
    <w:rsid w:val="00397646"/>
    <w:rsid w:val="00397A02"/>
    <w:rsid w:val="003A0606"/>
    <w:rsid w:val="003A12A6"/>
    <w:rsid w:val="003A3280"/>
    <w:rsid w:val="003A4613"/>
    <w:rsid w:val="003A6411"/>
    <w:rsid w:val="003A6677"/>
    <w:rsid w:val="003A77EC"/>
    <w:rsid w:val="003A7E75"/>
    <w:rsid w:val="003B17B9"/>
    <w:rsid w:val="003B57D0"/>
    <w:rsid w:val="003B61C4"/>
    <w:rsid w:val="003B68C0"/>
    <w:rsid w:val="003C194C"/>
    <w:rsid w:val="003C1B4A"/>
    <w:rsid w:val="003C59A5"/>
    <w:rsid w:val="003C7674"/>
    <w:rsid w:val="003D1CFA"/>
    <w:rsid w:val="003D5845"/>
    <w:rsid w:val="003E4DF8"/>
    <w:rsid w:val="003E7B99"/>
    <w:rsid w:val="003F6043"/>
    <w:rsid w:val="003F6503"/>
    <w:rsid w:val="0040143E"/>
    <w:rsid w:val="00403CFD"/>
    <w:rsid w:val="004074DC"/>
    <w:rsid w:val="00412AF9"/>
    <w:rsid w:val="004132DD"/>
    <w:rsid w:val="00415AE6"/>
    <w:rsid w:val="00416CFA"/>
    <w:rsid w:val="00417749"/>
    <w:rsid w:val="00420FDF"/>
    <w:rsid w:val="00424066"/>
    <w:rsid w:val="0042763A"/>
    <w:rsid w:val="00431D0E"/>
    <w:rsid w:val="00436DF7"/>
    <w:rsid w:val="00437E9E"/>
    <w:rsid w:val="00437F8F"/>
    <w:rsid w:val="004437FC"/>
    <w:rsid w:val="00444193"/>
    <w:rsid w:val="00446396"/>
    <w:rsid w:val="00446C0C"/>
    <w:rsid w:val="00450CC0"/>
    <w:rsid w:val="004548BE"/>
    <w:rsid w:val="004560EF"/>
    <w:rsid w:val="00461F80"/>
    <w:rsid w:val="00464670"/>
    <w:rsid w:val="00464E71"/>
    <w:rsid w:val="0046538B"/>
    <w:rsid w:val="00471CCB"/>
    <w:rsid w:val="004724D9"/>
    <w:rsid w:val="004735E1"/>
    <w:rsid w:val="004742DE"/>
    <w:rsid w:val="00474643"/>
    <w:rsid w:val="0047520A"/>
    <w:rsid w:val="00480A9F"/>
    <w:rsid w:val="004857DF"/>
    <w:rsid w:val="00490F08"/>
    <w:rsid w:val="00491A69"/>
    <w:rsid w:val="0049333E"/>
    <w:rsid w:val="004963EF"/>
    <w:rsid w:val="004A28CC"/>
    <w:rsid w:val="004A3AB2"/>
    <w:rsid w:val="004A42F0"/>
    <w:rsid w:val="004A510F"/>
    <w:rsid w:val="004B057D"/>
    <w:rsid w:val="004B09D2"/>
    <w:rsid w:val="004B2513"/>
    <w:rsid w:val="004B2A6A"/>
    <w:rsid w:val="004B40A2"/>
    <w:rsid w:val="004B5A0D"/>
    <w:rsid w:val="004B6AE2"/>
    <w:rsid w:val="004C0EBA"/>
    <w:rsid w:val="004C2F20"/>
    <w:rsid w:val="004C39F3"/>
    <w:rsid w:val="004C4638"/>
    <w:rsid w:val="004C546F"/>
    <w:rsid w:val="004C6B7B"/>
    <w:rsid w:val="004D5AB2"/>
    <w:rsid w:val="004D75CA"/>
    <w:rsid w:val="004D7AF3"/>
    <w:rsid w:val="004E28EC"/>
    <w:rsid w:val="004E2A32"/>
    <w:rsid w:val="004F2072"/>
    <w:rsid w:val="004F2A5F"/>
    <w:rsid w:val="004F582E"/>
    <w:rsid w:val="0050025C"/>
    <w:rsid w:val="00500ED8"/>
    <w:rsid w:val="0050119C"/>
    <w:rsid w:val="00504F4C"/>
    <w:rsid w:val="0051708C"/>
    <w:rsid w:val="00517D24"/>
    <w:rsid w:val="005226C1"/>
    <w:rsid w:val="00523139"/>
    <w:rsid w:val="00523C2A"/>
    <w:rsid w:val="0052590E"/>
    <w:rsid w:val="00526323"/>
    <w:rsid w:val="00526907"/>
    <w:rsid w:val="005273B2"/>
    <w:rsid w:val="005300B1"/>
    <w:rsid w:val="00530812"/>
    <w:rsid w:val="00534706"/>
    <w:rsid w:val="00535B4C"/>
    <w:rsid w:val="00545886"/>
    <w:rsid w:val="00547FBC"/>
    <w:rsid w:val="00553357"/>
    <w:rsid w:val="00560D5F"/>
    <w:rsid w:val="005622AC"/>
    <w:rsid w:val="005643B8"/>
    <w:rsid w:val="005660DB"/>
    <w:rsid w:val="0056633F"/>
    <w:rsid w:val="00566FAD"/>
    <w:rsid w:val="00567614"/>
    <w:rsid w:val="00571FEB"/>
    <w:rsid w:val="00572391"/>
    <w:rsid w:val="00572D7C"/>
    <w:rsid w:val="005740EE"/>
    <w:rsid w:val="005750A0"/>
    <w:rsid w:val="0057755F"/>
    <w:rsid w:val="00577ED5"/>
    <w:rsid w:val="005845D5"/>
    <w:rsid w:val="00585F1D"/>
    <w:rsid w:val="00586FD6"/>
    <w:rsid w:val="00587068"/>
    <w:rsid w:val="005871AD"/>
    <w:rsid w:val="00591B0F"/>
    <w:rsid w:val="00594052"/>
    <w:rsid w:val="00596367"/>
    <w:rsid w:val="00597D1A"/>
    <w:rsid w:val="005A0575"/>
    <w:rsid w:val="005A2778"/>
    <w:rsid w:val="005A2C9E"/>
    <w:rsid w:val="005A71A6"/>
    <w:rsid w:val="005A7A27"/>
    <w:rsid w:val="005B05E6"/>
    <w:rsid w:val="005B17B2"/>
    <w:rsid w:val="005B41E8"/>
    <w:rsid w:val="005B6E4F"/>
    <w:rsid w:val="005C1845"/>
    <w:rsid w:val="005C2655"/>
    <w:rsid w:val="005C328E"/>
    <w:rsid w:val="005C6429"/>
    <w:rsid w:val="005D0163"/>
    <w:rsid w:val="005D13E7"/>
    <w:rsid w:val="005D483D"/>
    <w:rsid w:val="005D575A"/>
    <w:rsid w:val="005E14AE"/>
    <w:rsid w:val="005E2E16"/>
    <w:rsid w:val="005E3674"/>
    <w:rsid w:val="005E3E05"/>
    <w:rsid w:val="005E6A56"/>
    <w:rsid w:val="005E708F"/>
    <w:rsid w:val="005E73C0"/>
    <w:rsid w:val="005F0CE0"/>
    <w:rsid w:val="005F240B"/>
    <w:rsid w:val="00602F1F"/>
    <w:rsid w:val="00607DB5"/>
    <w:rsid w:val="00613BCA"/>
    <w:rsid w:val="006140CF"/>
    <w:rsid w:val="006211EE"/>
    <w:rsid w:val="0062164C"/>
    <w:rsid w:val="006234C1"/>
    <w:rsid w:val="00624C21"/>
    <w:rsid w:val="0063243F"/>
    <w:rsid w:val="00634BDF"/>
    <w:rsid w:val="006409DF"/>
    <w:rsid w:val="00642146"/>
    <w:rsid w:val="0064234D"/>
    <w:rsid w:val="00643BCF"/>
    <w:rsid w:val="00644DC2"/>
    <w:rsid w:val="00645DA5"/>
    <w:rsid w:val="0065036C"/>
    <w:rsid w:val="00652846"/>
    <w:rsid w:val="0065303B"/>
    <w:rsid w:val="00653B28"/>
    <w:rsid w:val="00656921"/>
    <w:rsid w:val="006613B4"/>
    <w:rsid w:val="0066389F"/>
    <w:rsid w:val="006646A8"/>
    <w:rsid w:val="006660FA"/>
    <w:rsid w:val="006662A6"/>
    <w:rsid w:val="00671471"/>
    <w:rsid w:val="00677C59"/>
    <w:rsid w:val="006800A4"/>
    <w:rsid w:val="00682A23"/>
    <w:rsid w:val="006832DA"/>
    <w:rsid w:val="006845F5"/>
    <w:rsid w:val="00685BD8"/>
    <w:rsid w:val="00685E55"/>
    <w:rsid w:val="00685E82"/>
    <w:rsid w:val="00686539"/>
    <w:rsid w:val="00690909"/>
    <w:rsid w:val="0069277C"/>
    <w:rsid w:val="006930D7"/>
    <w:rsid w:val="00694A02"/>
    <w:rsid w:val="006A08CF"/>
    <w:rsid w:val="006A28AF"/>
    <w:rsid w:val="006A50AE"/>
    <w:rsid w:val="006A5136"/>
    <w:rsid w:val="006B1070"/>
    <w:rsid w:val="006B1C78"/>
    <w:rsid w:val="006B2399"/>
    <w:rsid w:val="006B2E6E"/>
    <w:rsid w:val="006B515F"/>
    <w:rsid w:val="006B5661"/>
    <w:rsid w:val="006B61DE"/>
    <w:rsid w:val="006C1B59"/>
    <w:rsid w:val="006C46DE"/>
    <w:rsid w:val="006C5989"/>
    <w:rsid w:val="006C71C7"/>
    <w:rsid w:val="006D330C"/>
    <w:rsid w:val="006D3D45"/>
    <w:rsid w:val="006D5536"/>
    <w:rsid w:val="006D622D"/>
    <w:rsid w:val="006D64C7"/>
    <w:rsid w:val="006D67E2"/>
    <w:rsid w:val="006D7A24"/>
    <w:rsid w:val="006E035A"/>
    <w:rsid w:val="006E053A"/>
    <w:rsid w:val="006E2316"/>
    <w:rsid w:val="006E29DE"/>
    <w:rsid w:val="006E4B6F"/>
    <w:rsid w:val="006F19D3"/>
    <w:rsid w:val="006F1A3B"/>
    <w:rsid w:val="006F27A0"/>
    <w:rsid w:val="006F2B5C"/>
    <w:rsid w:val="006F323B"/>
    <w:rsid w:val="006F5AF0"/>
    <w:rsid w:val="007040E7"/>
    <w:rsid w:val="00704FBF"/>
    <w:rsid w:val="00711452"/>
    <w:rsid w:val="00713CA7"/>
    <w:rsid w:val="00714DF0"/>
    <w:rsid w:val="007229AB"/>
    <w:rsid w:val="00724ADD"/>
    <w:rsid w:val="0073139B"/>
    <w:rsid w:val="00733F5D"/>
    <w:rsid w:val="00736E3D"/>
    <w:rsid w:val="00737B95"/>
    <w:rsid w:val="00740004"/>
    <w:rsid w:val="00741671"/>
    <w:rsid w:val="00746110"/>
    <w:rsid w:val="00746E0D"/>
    <w:rsid w:val="0074735C"/>
    <w:rsid w:val="00747BAF"/>
    <w:rsid w:val="007500FB"/>
    <w:rsid w:val="007507A7"/>
    <w:rsid w:val="007515AC"/>
    <w:rsid w:val="0075388C"/>
    <w:rsid w:val="007545D7"/>
    <w:rsid w:val="00756B9A"/>
    <w:rsid w:val="0075778B"/>
    <w:rsid w:val="00757B4C"/>
    <w:rsid w:val="007617E0"/>
    <w:rsid w:val="00761F49"/>
    <w:rsid w:val="00762C00"/>
    <w:rsid w:val="0076786E"/>
    <w:rsid w:val="00773FC5"/>
    <w:rsid w:val="00780235"/>
    <w:rsid w:val="00784387"/>
    <w:rsid w:val="00784BBC"/>
    <w:rsid w:val="00784D7A"/>
    <w:rsid w:val="00785429"/>
    <w:rsid w:val="00786550"/>
    <w:rsid w:val="00787297"/>
    <w:rsid w:val="007907B4"/>
    <w:rsid w:val="00790A3C"/>
    <w:rsid w:val="00791D84"/>
    <w:rsid w:val="007934CA"/>
    <w:rsid w:val="00794215"/>
    <w:rsid w:val="00796540"/>
    <w:rsid w:val="007A3569"/>
    <w:rsid w:val="007A63BA"/>
    <w:rsid w:val="007A73D1"/>
    <w:rsid w:val="007B1401"/>
    <w:rsid w:val="007B190A"/>
    <w:rsid w:val="007B50D9"/>
    <w:rsid w:val="007B60F5"/>
    <w:rsid w:val="007B776F"/>
    <w:rsid w:val="007B7DE1"/>
    <w:rsid w:val="007C0C01"/>
    <w:rsid w:val="007C16D8"/>
    <w:rsid w:val="007C1869"/>
    <w:rsid w:val="007C370C"/>
    <w:rsid w:val="007C549C"/>
    <w:rsid w:val="007C7FDA"/>
    <w:rsid w:val="007D124C"/>
    <w:rsid w:val="007D15DA"/>
    <w:rsid w:val="007D3606"/>
    <w:rsid w:val="007D4C2D"/>
    <w:rsid w:val="007D79CC"/>
    <w:rsid w:val="007E11D1"/>
    <w:rsid w:val="007E2675"/>
    <w:rsid w:val="007E2908"/>
    <w:rsid w:val="007E6216"/>
    <w:rsid w:val="007F00A2"/>
    <w:rsid w:val="007F02D1"/>
    <w:rsid w:val="007F098C"/>
    <w:rsid w:val="007F0D7B"/>
    <w:rsid w:val="007F45F8"/>
    <w:rsid w:val="007F4B25"/>
    <w:rsid w:val="007F5500"/>
    <w:rsid w:val="007F715B"/>
    <w:rsid w:val="007F7425"/>
    <w:rsid w:val="00803F87"/>
    <w:rsid w:val="00804353"/>
    <w:rsid w:val="008059FF"/>
    <w:rsid w:val="008165FB"/>
    <w:rsid w:val="0081676D"/>
    <w:rsid w:val="00823C3E"/>
    <w:rsid w:val="00823F7E"/>
    <w:rsid w:val="00824595"/>
    <w:rsid w:val="0082742B"/>
    <w:rsid w:val="008277B6"/>
    <w:rsid w:val="00830C5B"/>
    <w:rsid w:val="00835E3E"/>
    <w:rsid w:val="00836FF5"/>
    <w:rsid w:val="00837721"/>
    <w:rsid w:val="00842238"/>
    <w:rsid w:val="008422B1"/>
    <w:rsid w:val="00842DA7"/>
    <w:rsid w:val="0084727C"/>
    <w:rsid w:val="008472CC"/>
    <w:rsid w:val="00856490"/>
    <w:rsid w:val="00860836"/>
    <w:rsid w:val="00862C8C"/>
    <w:rsid w:val="00863FF5"/>
    <w:rsid w:val="00871965"/>
    <w:rsid w:val="008736A1"/>
    <w:rsid w:val="00875DB4"/>
    <w:rsid w:val="00876B3B"/>
    <w:rsid w:val="008808C7"/>
    <w:rsid w:val="00880E95"/>
    <w:rsid w:val="008813F3"/>
    <w:rsid w:val="008816E0"/>
    <w:rsid w:val="00884578"/>
    <w:rsid w:val="00884DA8"/>
    <w:rsid w:val="00885294"/>
    <w:rsid w:val="00887B78"/>
    <w:rsid w:val="00892E3B"/>
    <w:rsid w:val="00897FF0"/>
    <w:rsid w:val="008A1430"/>
    <w:rsid w:val="008A226E"/>
    <w:rsid w:val="008A2AFC"/>
    <w:rsid w:val="008A2EE4"/>
    <w:rsid w:val="008A4453"/>
    <w:rsid w:val="008A49D6"/>
    <w:rsid w:val="008A54D3"/>
    <w:rsid w:val="008B06E5"/>
    <w:rsid w:val="008B19FA"/>
    <w:rsid w:val="008B2E4C"/>
    <w:rsid w:val="008B3937"/>
    <w:rsid w:val="008B4FC1"/>
    <w:rsid w:val="008B6048"/>
    <w:rsid w:val="008C0892"/>
    <w:rsid w:val="008C352C"/>
    <w:rsid w:val="008C3792"/>
    <w:rsid w:val="008C7238"/>
    <w:rsid w:val="008D0C8D"/>
    <w:rsid w:val="008D0CF9"/>
    <w:rsid w:val="008D22A5"/>
    <w:rsid w:val="008D2964"/>
    <w:rsid w:val="008D2B10"/>
    <w:rsid w:val="008D335F"/>
    <w:rsid w:val="008D757D"/>
    <w:rsid w:val="008E3726"/>
    <w:rsid w:val="008E38A9"/>
    <w:rsid w:val="008E5C11"/>
    <w:rsid w:val="008F2E7D"/>
    <w:rsid w:val="008F3026"/>
    <w:rsid w:val="008F667B"/>
    <w:rsid w:val="008F681E"/>
    <w:rsid w:val="008F6ACE"/>
    <w:rsid w:val="009008E0"/>
    <w:rsid w:val="00900AC2"/>
    <w:rsid w:val="00905C6D"/>
    <w:rsid w:val="00905DB6"/>
    <w:rsid w:val="00910144"/>
    <w:rsid w:val="00910158"/>
    <w:rsid w:val="009118E3"/>
    <w:rsid w:val="009130BD"/>
    <w:rsid w:val="009133BF"/>
    <w:rsid w:val="00913F7F"/>
    <w:rsid w:val="00916D3B"/>
    <w:rsid w:val="00925525"/>
    <w:rsid w:val="00925A06"/>
    <w:rsid w:val="00925AE0"/>
    <w:rsid w:val="00926EED"/>
    <w:rsid w:val="00930330"/>
    <w:rsid w:val="009313BE"/>
    <w:rsid w:val="00931457"/>
    <w:rsid w:val="0093335B"/>
    <w:rsid w:val="009357CF"/>
    <w:rsid w:val="00935C70"/>
    <w:rsid w:val="00936EF6"/>
    <w:rsid w:val="00937717"/>
    <w:rsid w:val="00945D61"/>
    <w:rsid w:val="00946539"/>
    <w:rsid w:val="00950987"/>
    <w:rsid w:val="00950C7A"/>
    <w:rsid w:val="009540F7"/>
    <w:rsid w:val="009553A9"/>
    <w:rsid w:val="00957E4E"/>
    <w:rsid w:val="00960D16"/>
    <w:rsid w:val="00960DB4"/>
    <w:rsid w:val="0096379F"/>
    <w:rsid w:val="00965414"/>
    <w:rsid w:val="009718D5"/>
    <w:rsid w:val="00972098"/>
    <w:rsid w:val="00977D53"/>
    <w:rsid w:val="00982E82"/>
    <w:rsid w:val="009840BE"/>
    <w:rsid w:val="00984FC2"/>
    <w:rsid w:val="00986698"/>
    <w:rsid w:val="009926FD"/>
    <w:rsid w:val="00996585"/>
    <w:rsid w:val="0099785C"/>
    <w:rsid w:val="009A1338"/>
    <w:rsid w:val="009A4144"/>
    <w:rsid w:val="009A62E3"/>
    <w:rsid w:val="009B2F77"/>
    <w:rsid w:val="009B4837"/>
    <w:rsid w:val="009B496C"/>
    <w:rsid w:val="009B5965"/>
    <w:rsid w:val="009B76AE"/>
    <w:rsid w:val="009C3F42"/>
    <w:rsid w:val="009C4949"/>
    <w:rsid w:val="009C4F4B"/>
    <w:rsid w:val="009C640A"/>
    <w:rsid w:val="009D14BE"/>
    <w:rsid w:val="009D1E41"/>
    <w:rsid w:val="009D281E"/>
    <w:rsid w:val="009D33C8"/>
    <w:rsid w:val="009D3965"/>
    <w:rsid w:val="009D5C65"/>
    <w:rsid w:val="009E03D7"/>
    <w:rsid w:val="009E250D"/>
    <w:rsid w:val="009E28FF"/>
    <w:rsid w:val="009E5633"/>
    <w:rsid w:val="009E57A4"/>
    <w:rsid w:val="009E7D0A"/>
    <w:rsid w:val="009F3BDE"/>
    <w:rsid w:val="009F3F42"/>
    <w:rsid w:val="009F4442"/>
    <w:rsid w:val="009F4C32"/>
    <w:rsid w:val="009F55D0"/>
    <w:rsid w:val="00A0268E"/>
    <w:rsid w:val="00A0274A"/>
    <w:rsid w:val="00A02F2E"/>
    <w:rsid w:val="00A053F3"/>
    <w:rsid w:val="00A05E7E"/>
    <w:rsid w:val="00A05E94"/>
    <w:rsid w:val="00A06293"/>
    <w:rsid w:val="00A128CE"/>
    <w:rsid w:val="00A167F7"/>
    <w:rsid w:val="00A168E1"/>
    <w:rsid w:val="00A16C66"/>
    <w:rsid w:val="00A21350"/>
    <w:rsid w:val="00A2140A"/>
    <w:rsid w:val="00A21518"/>
    <w:rsid w:val="00A2216F"/>
    <w:rsid w:val="00A2305A"/>
    <w:rsid w:val="00A23C58"/>
    <w:rsid w:val="00A243F1"/>
    <w:rsid w:val="00A26612"/>
    <w:rsid w:val="00A26DD2"/>
    <w:rsid w:val="00A308B2"/>
    <w:rsid w:val="00A312B1"/>
    <w:rsid w:val="00A35411"/>
    <w:rsid w:val="00A36439"/>
    <w:rsid w:val="00A36738"/>
    <w:rsid w:val="00A4119C"/>
    <w:rsid w:val="00A438F3"/>
    <w:rsid w:val="00A50D33"/>
    <w:rsid w:val="00A518A2"/>
    <w:rsid w:val="00A5558A"/>
    <w:rsid w:val="00A610E7"/>
    <w:rsid w:val="00A62699"/>
    <w:rsid w:val="00A644DF"/>
    <w:rsid w:val="00A679BC"/>
    <w:rsid w:val="00A76D3D"/>
    <w:rsid w:val="00A82BD5"/>
    <w:rsid w:val="00A842D8"/>
    <w:rsid w:val="00A85C68"/>
    <w:rsid w:val="00A861F0"/>
    <w:rsid w:val="00A91CFC"/>
    <w:rsid w:val="00A93B0B"/>
    <w:rsid w:val="00A942FD"/>
    <w:rsid w:val="00A97F28"/>
    <w:rsid w:val="00AA2E20"/>
    <w:rsid w:val="00AA38CD"/>
    <w:rsid w:val="00AA4272"/>
    <w:rsid w:val="00AA61B9"/>
    <w:rsid w:val="00AA7A38"/>
    <w:rsid w:val="00AB140B"/>
    <w:rsid w:val="00AB254D"/>
    <w:rsid w:val="00AB3E31"/>
    <w:rsid w:val="00AB78CA"/>
    <w:rsid w:val="00AC269D"/>
    <w:rsid w:val="00AC4187"/>
    <w:rsid w:val="00AC4F36"/>
    <w:rsid w:val="00AC531F"/>
    <w:rsid w:val="00AD15B2"/>
    <w:rsid w:val="00AD1F34"/>
    <w:rsid w:val="00AD2813"/>
    <w:rsid w:val="00AD3770"/>
    <w:rsid w:val="00AD754F"/>
    <w:rsid w:val="00AE1025"/>
    <w:rsid w:val="00AE185C"/>
    <w:rsid w:val="00AE1E24"/>
    <w:rsid w:val="00AF1583"/>
    <w:rsid w:val="00AF17E4"/>
    <w:rsid w:val="00AF1E14"/>
    <w:rsid w:val="00AF21A3"/>
    <w:rsid w:val="00AF427B"/>
    <w:rsid w:val="00AF5185"/>
    <w:rsid w:val="00AF5D17"/>
    <w:rsid w:val="00AF7B5B"/>
    <w:rsid w:val="00B00444"/>
    <w:rsid w:val="00B006BF"/>
    <w:rsid w:val="00B008F0"/>
    <w:rsid w:val="00B03EEB"/>
    <w:rsid w:val="00B03F23"/>
    <w:rsid w:val="00B06477"/>
    <w:rsid w:val="00B10729"/>
    <w:rsid w:val="00B11F8A"/>
    <w:rsid w:val="00B14D9B"/>
    <w:rsid w:val="00B16EB0"/>
    <w:rsid w:val="00B203CE"/>
    <w:rsid w:val="00B20830"/>
    <w:rsid w:val="00B259C7"/>
    <w:rsid w:val="00B264A9"/>
    <w:rsid w:val="00B26A78"/>
    <w:rsid w:val="00B271EB"/>
    <w:rsid w:val="00B31053"/>
    <w:rsid w:val="00B34356"/>
    <w:rsid w:val="00B35F13"/>
    <w:rsid w:val="00B35FE9"/>
    <w:rsid w:val="00B37E07"/>
    <w:rsid w:val="00B4077B"/>
    <w:rsid w:val="00B41EE1"/>
    <w:rsid w:val="00B43417"/>
    <w:rsid w:val="00B457C0"/>
    <w:rsid w:val="00B50130"/>
    <w:rsid w:val="00B51F23"/>
    <w:rsid w:val="00B531A7"/>
    <w:rsid w:val="00B551DB"/>
    <w:rsid w:val="00B55BCD"/>
    <w:rsid w:val="00B60230"/>
    <w:rsid w:val="00B657BE"/>
    <w:rsid w:val="00B702FC"/>
    <w:rsid w:val="00B720AE"/>
    <w:rsid w:val="00B7483B"/>
    <w:rsid w:val="00B74ACF"/>
    <w:rsid w:val="00B74F90"/>
    <w:rsid w:val="00B75DAD"/>
    <w:rsid w:val="00B8197D"/>
    <w:rsid w:val="00B83E60"/>
    <w:rsid w:val="00B90079"/>
    <w:rsid w:val="00B926BE"/>
    <w:rsid w:val="00BA0F1A"/>
    <w:rsid w:val="00BA2B69"/>
    <w:rsid w:val="00BA4587"/>
    <w:rsid w:val="00BA4944"/>
    <w:rsid w:val="00BA6222"/>
    <w:rsid w:val="00BB00A1"/>
    <w:rsid w:val="00BB0548"/>
    <w:rsid w:val="00BB0C6F"/>
    <w:rsid w:val="00BB31ED"/>
    <w:rsid w:val="00BB38C4"/>
    <w:rsid w:val="00BB637E"/>
    <w:rsid w:val="00BB6650"/>
    <w:rsid w:val="00BC0420"/>
    <w:rsid w:val="00BC2F17"/>
    <w:rsid w:val="00BC5366"/>
    <w:rsid w:val="00BD07C2"/>
    <w:rsid w:val="00BD1FE2"/>
    <w:rsid w:val="00BD241E"/>
    <w:rsid w:val="00BD2439"/>
    <w:rsid w:val="00BD4FA1"/>
    <w:rsid w:val="00BD59F6"/>
    <w:rsid w:val="00BD602B"/>
    <w:rsid w:val="00BE1332"/>
    <w:rsid w:val="00BE2343"/>
    <w:rsid w:val="00BE3408"/>
    <w:rsid w:val="00BF2B40"/>
    <w:rsid w:val="00BF5F11"/>
    <w:rsid w:val="00BF61A5"/>
    <w:rsid w:val="00BF732C"/>
    <w:rsid w:val="00BF74A2"/>
    <w:rsid w:val="00C00466"/>
    <w:rsid w:val="00C009A8"/>
    <w:rsid w:val="00C0318A"/>
    <w:rsid w:val="00C03C67"/>
    <w:rsid w:val="00C10E07"/>
    <w:rsid w:val="00C11764"/>
    <w:rsid w:val="00C14D8F"/>
    <w:rsid w:val="00C157E5"/>
    <w:rsid w:val="00C16BD1"/>
    <w:rsid w:val="00C200B3"/>
    <w:rsid w:val="00C22F98"/>
    <w:rsid w:val="00C252B1"/>
    <w:rsid w:val="00C2555D"/>
    <w:rsid w:val="00C27BC2"/>
    <w:rsid w:val="00C33465"/>
    <w:rsid w:val="00C3376E"/>
    <w:rsid w:val="00C34C07"/>
    <w:rsid w:val="00C35348"/>
    <w:rsid w:val="00C37567"/>
    <w:rsid w:val="00C410BA"/>
    <w:rsid w:val="00C41309"/>
    <w:rsid w:val="00C4137A"/>
    <w:rsid w:val="00C46347"/>
    <w:rsid w:val="00C46552"/>
    <w:rsid w:val="00C46A85"/>
    <w:rsid w:val="00C46E3B"/>
    <w:rsid w:val="00C53F25"/>
    <w:rsid w:val="00C53F88"/>
    <w:rsid w:val="00C53FFE"/>
    <w:rsid w:val="00C54978"/>
    <w:rsid w:val="00C54AEB"/>
    <w:rsid w:val="00C57964"/>
    <w:rsid w:val="00C65631"/>
    <w:rsid w:val="00C65B9F"/>
    <w:rsid w:val="00C66699"/>
    <w:rsid w:val="00C725A6"/>
    <w:rsid w:val="00C726AA"/>
    <w:rsid w:val="00C74E69"/>
    <w:rsid w:val="00C753C7"/>
    <w:rsid w:val="00C75DFC"/>
    <w:rsid w:val="00C83288"/>
    <w:rsid w:val="00C85650"/>
    <w:rsid w:val="00C8591D"/>
    <w:rsid w:val="00C86C0C"/>
    <w:rsid w:val="00C8761D"/>
    <w:rsid w:val="00C90FAF"/>
    <w:rsid w:val="00C90FC6"/>
    <w:rsid w:val="00C91775"/>
    <w:rsid w:val="00C92500"/>
    <w:rsid w:val="00C931F3"/>
    <w:rsid w:val="00C93358"/>
    <w:rsid w:val="00C94DFD"/>
    <w:rsid w:val="00C95D66"/>
    <w:rsid w:val="00CA1E0B"/>
    <w:rsid w:val="00CA22F5"/>
    <w:rsid w:val="00CA2DF8"/>
    <w:rsid w:val="00CA34D9"/>
    <w:rsid w:val="00CA6A4B"/>
    <w:rsid w:val="00CA730C"/>
    <w:rsid w:val="00CB2FB9"/>
    <w:rsid w:val="00CB3841"/>
    <w:rsid w:val="00CC0691"/>
    <w:rsid w:val="00CC1A86"/>
    <w:rsid w:val="00CC2C8C"/>
    <w:rsid w:val="00CC36EA"/>
    <w:rsid w:val="00CC7196"/>
    <w:rsid w:val="00CC7F6D"/>
    <w:rsid w:val="00CD096D"/>
    <w:rsid w:val="00CD5DED"/>
    <w:rsid w:val="00CD6617"/>
    <w:rsid w:val="00CD6C40"/>
    <w:rsid w:val="00CD6D88"/>
    <w:rsid w:val="00CD75C1"/>
    <w:rsid w:val="00CD7F07"/>
    <w:rsid w:val="00CE2EA9"/>
    <w:rsid w:val="00CE3836"/>
    <w:rsid w:val="00CE3EC7"/>
    <w:rsid w:val="00CE480D"/>
    <w:rsid w:val="00CE78E4"/>
    <w:rsid w:val="00CE7CF9"/>
    <w:rsid w:val="00CF11A8"/>
    <w:rsid w:val="00CF1C2F"/>
    <w:rsid w:val="00CF39E8"/>
    <w:rsid w:val="00CF4D28"/>
    <w:rsid w:val="00CF6AFC"/>
    <w:rsid w:val="00D00C43"/>
    <w:rsid w:val="00D01289"/>
    <w:rsid w:val="00D15E04"/>
    <w:rsid w:val="00D2132C"/>
    <w:rsid w:val="00D2387D"/>
    <w:rsid w:val="00D2594E"/>
    <w:rsid w:val="00D25CCB"/>
    <w:rsid w:val="00D345A3"/>
    <w:rsid w:val="00D3590F"/>
    <w:rsid w:val="00D37E69"/>
    <w:rsid w:val="00D4045E"/>
    <w:rsid w:val="00D42DBC"/>
    <w:rsid w:val="00D47972"/>
    <w:rsid w:val="00D5084D"/>
    <w:rsid w:val="00D512F7"/>
    <w:rsid w:val="00D52E84"/>
    <w:rsid w:val="00D560B8"/>
    <w:rsid w:val="00D561B1"/>
    <w:rsid w:val="00D57539"/>
    <w:rsid w:val="00D64FF7"/>
    <w:rsid w:val="00D65BD1"/>
    <w:rsid w:val="00D7164E"/>
    <w:rsid w:val="00D71951"/>
    <w:rsid w:val="00D74266"/>
    <w:rsid w:val="00D7510F"/>
    <w:rsid w:val="00D84BBA"/>
    <w:rsid w:val="00D84CBD"/>
    <w:rsid w:val="00D852DA"/>
    <w:rsid w:val="00D87A0F"/>
    <w:rsid w:val="00D87AB6"/>
    <w:rsid w:val="00D9408C"/>
    <w:rsid w:val="00DA1EEF"/>
    <w:rsid w:val="00DA6159"/>
    <w:rsid w:val="00DB0AA0"/>
    <w:rsid w:val="00DB360B"/>
    <w:rsid w:val="00DB480B"/>
    <w:rsid w:val="00DB6B0B"/>
    <w:rsid w:val="00DC3B69"/>
    <w:rsid w:val="00DC7701"/>
    <w:rsid w:val="00DD06BC"/>
    <w:rsid w:val="00DD16E6"/>
    <w:rsid w:val="00DD2B6F"/>
    <w:rsid w:val="00DD7238"/>
    <w:rsid w:val="00DE0F79"/>
    <w:rsid w:val="00DE3850"/>
    <w:rsid w:val="00DE4911"/>
    <w:rsid w:val="00DE4D7F"/>
    <w:rsid w:val="00DE6032"/>
    <w:rsid w:val="00DE729E"/>
    <w:rsid w:val="00DF076F"/>
    <w:rsid w:val="00DF15F6"/>
    <w:rsid w:val="00DF25E7"/>
    <w:rsid w:val="00DF3618"/>
    <w:rsid w:val="00DF3BBE"/>
    <w:rsid w:val="00E009B1"/>
    <w:rsid w:val="00E01530"/>
    <w:rsid w:val="00E131FE"/>
    <w:rsid w:val="00E14417"/>
    <w:rsid w:val="00E202F9"/>
    <w:rsid w:val="00E20ADC"/>
    <w:rsid w:val="00E243A9"/>
    <w:rsid w:val="00E2681D"/>
    <w:rsid w:val="00E30CE0"/>
    <w:rsid w:val="00E32F7D"/>
    <w:rsid w:val="00E343EB"/>
    <w:rsid w:val="00E43B0B"/>
    <w:rsid w:val="00E44BA1"/>
    <w:rsid w:val="00E53139"/>
    <w:rsid w:val="00E54EA9"/>
    <w:rsid w:val="00E55B96"/>
    <w:rsid w:val="00E57290"/>
    <w:rsid w:val="00E57549"/>
    <w:rsid w:val="00E6058D"/>
    <w:rsid w:val="00E6092A"/>
    <w:rsid w:val="00E60C3C"/>
    <w:rsid w:val="00E60DE0"/>
    <w:rsid w:val="00E61C2C"/>
    <w:rsid w:val="00E65C04"/>
    <w:rsid w:val="00E677E8"/>
    <w:rsid w:val="00E6797C"/>
    <w:rsid w:val="00E70758"/>
    <w:rsid w:val="00E70EA9"/>
    <w:rsid w:val="00E74BAC"/>
    <w:rsid w:val="00E75B23"/>
    <w:rsid w:val="00E76454"/>
    <w:rsid w:val="00E81083"/>
    <w:rsid w:val="00E81DDC"/>
    <w:rsid w:val="00E81DFC"/>
    <w:rsid w:val="00E82EFA"/>
    <w:rsid w:val="00E83D76"/>
    <w:rsid w:val="00E85CEA"/>
    <w:rsid w:val="00E91AFF"/>
    <w:rsid w:val="00EA15F7"/>
    <w:rsid w:val="00EA3167"/>
    <w:rsid w:val="00EA369E"/>
    <w:rsid w:val="00EA46F6"/>
    <w:rsid w:val="00EA6049"/>
    <w:rsid w:val="00EA6CBE"/>
    <w:rsid w:val="00EA7574"/>
    <w:rsid w:val="00EA7BF0"/>
    <w:rsid w:val="00EB09E4"/>
    <w:rsid w:val="00EB0DCD"/>
    <w:rsid w:val="00EB393F"/>
    <w:rsid w:val="00EB7291"/>
    <w:rsid w:val="00EB7DFB"/>
    <w:rsid w:val="00EC12BC"/>
    <w:rsid w:val="00EC291D"/>
    <w:rsid w:val="00EC47AA"/>
    <w:rsid w:val="00EC5C08"/>
    <w:rsid w:val="00ED5013"/>
    <w:rsid w:val="00ED647C"/>
    <w:rsid w:val="00ED65D7"/>
    <w:rsid w:val="00ED6760"/>
    <w:rsid w:val="00EE3B09"/>
    <w:rsid w:val="00EE79DF"/>
    <w:rsid w:val="00EF2563"/>
    <w:rsid w:val="00F0248C"/>
    <w:rsid w:val="00F03202"/>
    <w:rsid w:val="00F1185B"/>
    <w:rsid w:val="00F13F2A"/>
    <w:rsid w:val="00F143FD"/>
    <w:rsid w:val="00F15302"/>
    <w:rsid w:val="00F26956"/>
    <w:rsid w:val="00F3084E"/>
    <w:rsid w:val="00F33037"/>
    <w:rsid w:val="00F3437F"/>
    <w:rsid w:val="00F34BC0"/>
    <w:rsid w:val="00F3552E"/>
    <w:rsid w:val="00F41FC2"/>
    <w:rsid w:val="00F425EB"/>
    <w:rsid w:val="00F42796"/>
    <w:rsid w:val="00F42CFD"/>
    <w:rsid w:val="00F447A5"/>
    <w:rsid w:val="00F47D45"/>
    <w:rsid w:val="00F51002"/>
    <w:rsid w:val="00F53877"/>
    <w:rsid w:val="00F5724C"/>
    <w:rsid w:val="00F576DA"/>
    <w:rsid w:val="00F61712"/>
    <w:rsid w:val="00F6673D"/>
    <w:rsid w:val="00F667E4"/>
    <w:rsid w:val="00F66C46"/>
    <w:rsid w:val="00F70992"/>
    <w:rsid w:val="00F718D0"/>
    <w:rsid w:val="00F7457F"/>
    <w:rsid w:val="00F75E5F"/>
    <w:rsid w:val="00F76F3B"/>
    <w:rsid w:val="00F7728A"/>
    <w:rsid w:val="00F830C0"/>
    <w:rsid w:val="00F8347E"/>
    <w:rsid w:val="00F844F7"/>
    <w:rsid w:val="00F8752F"/>
    <w:rsid w:val="00F93755"/>
    <w:rsid w:val="00F93A1E"/>
    <w:rsid w:val="00F94088"/>
    <w:rsid w:val="00FA56FC"/>
    <w:rsid w:val="00FA62A7"/>
    <w:rsid w:val="00FA69A1"/>
    <w:rsid w:val="00FA69FB"/>
    <w:rsid w:val="00FB5095"/>
    <w:rsid w:val="00FB6007"/>
    <w:rsid w:val="00FC0AB5"/>
    <w:rsid w:val="00FC3CF5"/>
    <w:rsid w:val="00FC5314"/>
    <w:rsid w:val="00FC5EA9"/>
    <w:rsid w:val="00FC71DD"/>
    <w:rsid w:val="00FC7B2D"/>
    <w:rsid w:val="00FD04BF"/>
    <w:rsid w:val="00FD4058"/>
    <w:rsid w:val="00FD5641"/>
    <w:rsid w:val="00FE00F6"/>
    <w:rsid w:val="00FE3C62"/>
    <w:rsid w:val="00FE58CF"/>
    <w:rsid w:val="00FE77AD"/>
    <w:rsid w:val="00FF1DB3"/>
    <w:rsid w:val="00FF3F24"/>
    <w:rsid w:val="00FF418B"/>
    <w:rsid w:val="00FF44D2"/>
    <w:rsid w:val="00FF4C4C"/>
    <w:rsid w:val="00FF4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D617109"/>
  <w15:docId w15:val="{96781208-3E22-4E94-A820-43836E39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7E4"/>
    <w:pPr>
      <w:jc w:val="both"/>
    </w:pPr>
    <w:rPr>
      <w:sz w:val="24"/>
      <w:lang w:eastAsia="en-US"/>
    </w:rPr>
  </w:style>
  <w:style w:type="paragraph" w:styleId="Heading1">
    <w:name w:val="heading 1"/>
    <w:basedOn w:val="Normal"/>
    <w:next w:val="Normal"/>
    <w:qFormat/>
    <w:rsid w:val="00737B95"/>
    <w:pPr>
      <w:keepNext/>
      <w:numPr>
        <w:numId w:val="27"/>
      </w:numPr>
      <w:spacing w:before="240"/>
      <w:outlineLvl w:val="0"/>
    </w:pPr>
    <w:rPr>
      <w:rFonts w:ascii="Futura Hv BT" w:hAnsi="Futura Hv BT"/>
      <w:sz w:val="30"/>
    </w:rPr>
  </w:style>
  <w:style w:type="paragraph" w:styleId="Heading2">
    <w:name w:val="heading 2"/>
    <w:basedOn w:val="Normal"/>
    <w:next w:val="Normal"/>
    <w:link w:val="Heading2Char"/>
    <w:autoRedefine/>
    <w:qFormat/>
    <w:rsid w:val="00BE3408"/>
    <w:pPr>
      <w:keepNext/>
      <w:numPr>
        <w:ilvl w:val="1"/>
        <w:numId w:val="29"/>
      </w:numPr>
      <w:outlineLvl w:val="1"/>
    </w:pPr>
    <w:rPr>
      <w:rFonts w:ascii="Futura Hv BT" w:hAnsi="Futura Hv BT"/>
      <w:sz w:val="26"/>
    </w:rPr>
  </w:style>
  <w:style w:type="paragraph" w:styleId="Heading3">
    <w:name w:val="heading 3"/>
    <w:basedOn w:val="Normal"/>
    <w:next w:val="Normal"/>
    <w:link w:val="Heading3Char"/>
    <w:qFormat/>
    <w:rsid w:val="00737B95"/>
    <w:pPr>
      <w:keepNext/>
      <w:numPr>
        <w:ilvl w:val="2"/>
        <w:numId w:val="30"/>
      </w:numPr>
      <w:jc w:val="left"/>
      <w:outlineLvl w:val="2"/>
    </w:pPr>
    <w:rPr>
      <w:rFonts w:ascii="Futura Hv BT" w:hAnsi="Futura Hv BT"/>
      <w:i/>
    </w:rPr>
  </w:style>
  <w:style w:type="paragraph" w:styleId="Heading4">
    <w:name w:val="heading 4"/>
    <w:basedOn w:val="Normal"/>
    <w:next w:val="Normal"/>
    <w:qFormat/>
    <w:rsid w:val="00737B95"/>
    <w:pPr>
      <w:keepNext/>
      <w:numPr>
        <w:ilvl w:val="3"/>
        <w:numId w:val="27"/>
      </w:numPr>
      <w:spacing w:before="120" w:after="60"/>
      <w:outlineLvl w:val="3"/>
    </w:pPr>
    <w:rPr>
      <w:rFonts w:ascii="Futura Hv BT" w:hAnsi="Futura Hv BT"/>
      <w:i/>
    </w:rPr>
  </w:style>
  <w:style w:type="paragraph" w:styleId="Heading5">
    <w:name w:val="heading 5"/>
    <w:basedOn w:val="Normal"/>
    <w:next w:val="Normal"/>
    <w:qFormat/>
    <w:rsid w:val="00737B95"/>
    <w:pPr>
      <w:numPr>
        <w:ilvl w:val="4"/>
        <w:numId w:val="27"/>
      </w:numPr>
      <w:spacing w:before="240" w:after="60"/>
      <w:outlineLvl w:val="4"/>
    </w:pPr>
    <w:rPr>
      <w:sz w:val="22"/>
    </w:rPr>
  </w:style>
  <w:style w:type="paragraph" w:styleId="Heading6">
    <w:name w:val="heading 6"/>
    <w:basedOn w:val="Normal"/>
    <w:next w:val="Normal"/>
    <w:qFormat/>
    <w:rsid w:val="00737B95"/>
    <w:pPr>
      <w:numPr>
        <w:ilvl w:val="5"/>
        <w:numId w:val="27"/>
      </w:numPr>
      <w:spacing w:before="240" w:after="60"/>
      <w:outlineLvl w:val="5"/>
    </w:pPr>
    <w:rPr>
      <w:i/>
      <w:sz w:val="22"/>
    </w:rPr>
  </w:style>
  <w:style w:type="paragraph" w:styleId="Heading7">
    <w:name w:val="heading 7"/>
    <w:basedOn w:val="Normal"/>
    <w:next w:val="Normal"/>
    <w:qFormat/>
    <w:rsid w:val="00737B95"/>
    <w:pPr>
      <w:numPr>
        <w:ilvl w:val="6"/>
        <w:numId w:val="27"/>
      </w:numPr>
      <w:spacing w:before="240" w:after="60"/>
      <w:outlineLvl w:val="6"/>
    </w:pPr>
    <w:rPr>
      <w:rFonts w:ascii="Arial" w:hAnsi="Arial"/>
      <w:sz w:val="20"/>
    </w:rPr>
  </w:style>
  <w:style w:type="paragraph" w:styleId="Heading8">
    <w:name w:val="heading 8"/>
    <w:basedOn w:val="Normal"/>
    <w:next w:val="Normal"/>
    <w:qFormat/>
    <w:rsid w:val="00737B95"/>
    <w:pPr>
      <w:numPr>
        <w:ilvl w:val="7"/>
        <w:numId w:val="27"/>
      </w:numPr>
      <w:spacing w:before="240" w:after="60"/>
      <w:outlineLvl w:val="7"/>
    </w:pPr>
    <w:rPr>
      <w:rFonts w:ascii="Arial" w:hAnsi="Arial"/>
      <w:i/>
      <w:sz w:val="20"/>
    </w:rPr>
  </w:style>
  <w:style w:type="paragraph" w:styleId="Heading9">
    <w:name w:val="heading 9"/>
    <w:basedOn w:val="Normal"/>
    <w:next w:val="Normal"/>
    <w:qFormat/>
    <w:rsid w:val="00737B95"/>
    <w:pPr>
      <w:numPr>
        <w:ilvl w:val="8"/>
        <w:numId w:val="2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7B95"/>
    <w:pPr>
      <w:jc w:val="center"/>
    </w:pPr>
    <w:rPr>
      <w:b/>
      <w:smallCaps/>
      <w:sz w:val="44"/>
      <w:u w:val="single"/>
    </w:rPr>
  </w:style>
  <w:style w:type="paragraph" w:styleId="Footer">
    <w:name w:val="footer"/>
    <w:basedOn w:val="Normal"/>
    <w:rsid w:val="00737B95"/>
    <w:pPr>
      <w:tabs>
        <w:tab w:val="center" w:pos="4320"/>
        <w:tab w:val="right" w:pos="8640"/>
      </w:tabs>
    </w:pPr>
  </w:style>
  <w:style w:type="character" w:styleId="PageNumber">
    <w:name w:val="page number"/>
    <w:basedOn w:val="DefaultParagraphFont"/>
    <w:rsid w:val="00737B95"/>
  </w:style>
  <w:style w:type="paragraph" w:styleId="BodyText2">
    <w:name w:val="Body Text 2"/>
    <w:basedOn w:val="Normal"/>
    <w:rsid w:val="00737B95"/>
    <w:rPr>
      <w:b/>
    </w:rPr>
  </w:style>
  <w:style w:type="character" w:styleId="CommentReference">
    <w:name w:val="annotation reference"/>
    <w:basedOn w:val="DefaultParagraphFont"/>
    <w:semiHidden/>
    <w:rsid w:val="00737B95"/>
    <w:rPr>
      <w:sz w:val="16"/>
    </w:rPr>
  </w:style>
  <w:style w:type="paragraph" w:styleId="CommentText">
    <w:name w:val="annotation text"/>
    <w:basedOn w:val="Normal"/>
    <w:link w:val="CommentTextChar"/>
    <w:rsid w:val="00737B95"/>
    <w:rPr>
      <w:sz w:val="20"/>
    </w:rPr>
  </w:style>
  <w:style w:type="paragraph" w:styleId="List">
    <w:name w:val="List"/>
    <w:basedOn w:val="Normal"/>
    <w:rsid w:val="00737B95"/>
    <w:pPr>
      <w:ind w:left="283" w:hanging="283"/>
    </w:pPr>
  </w:style>
  <w:style w:type="paragraph" w:styleId="Title">
    <w:name w:val="Title"/>
    <w:basedOn w:val="Normal"/>
    <w:qFormat/>
    <w:rsid w:val="00737B95"/>
    <w:pPr>
      <w:spacing w:before="240" w:after="60"/>
      <w:jc w:val="center"/>
      <w:outlineLvl w:val="0"/>
    </w:pPr>
    <w:rPr>
      <w:rFonts w:ascii="Arial" w:hAnsi="Arial"/>
      <w:b/>
      <w:kern w:val="28"/>
      <w:sz w:val="32"/>
    </w:rPr>
  </w:style>
  <w:style w:type="paragraph" w:styleId="Subtitle">
    <w:name w:val="Subtitle"/>
    <w:basedOn w:val="Normal"/>
    <w:qFormat/>
    <w:rsid w:val="00737B95"/>
    <w:pPr>
      <w:spacing w:after="60"/>
      <w:jc w:val="center"/>
      <w:outlineLvl w:val="1"/>
    </w:pPr>
    <w:rPr>
      <w:rFonts w:ascii="Arial" w:hAnsi="Arial"/>
    </w:rPr>
  </w:style>
  <w:style w:type="paragraph" w:styleId="FootnoteText">
    <w:name w:val="footnote text"/>
    <w:basedOn w:val="Normal"/>
    <w:link w:val="FootnoteTextChar"/>
    <w:semiHidden/>
    <w:rsid w:val="00737B95"/>
    <w:rPr>
      <w:sz w:val="20"/>
    </w:rPr>
  </w:style>
  <w:style w:type="character" w:styleId="FootnoteReference">
    <w:name w:val="footnote reference"/>
    <w:basedOn w:val="DefaultParagraphFont"/>
    <w:semiHidden/>
    <w:rsid w:val="00737B95"/>
    <w:rPr>
      <w:vertAlign w:val="superscript"/>
    </w:rPr>
  </w:style>
  <w:style w:type="paragraph" w:styleId="BodyTextIndent2">
    <w:name w:val="Body Text Indent 2"/>
    <w:basedOn w:val="Normal"/>
    <w:rsid w:val="00737B95"/>
    <w:pPr>
      <w:ind w:firstLine="720"/>
    </w:pPr>
  </w:style>
  <w:style w:type="paragraph" w:styleId="EndnoteText">
    <w:name w:val="endnote text"/>
    <w:basedOn w:val="Normal"/>
    <w:semiHidden/>
    <w:rsid w:val="00737B95"/>
    <w:rPr>
      <w:sz w:val="20"/>
    </w:rPr>
  </w:style>
  <w:style w:type="character" w:styleId="EndnoteReference">
    <w:name w:val="endnote reference"/>
    <w:basedOn w:val="DefaultParagraphFont"/>
    <w:semiHidden/>
    <w:rsid w:val="00737B95"/>
    <w:rPr>
      <w:vertAlign w:val="superscript"/>
    </w:rPr>
  </w:style>
  <w:style w:type="character" w:styleId="Hyperlink">
    <w:name w:val="Hyperlink"/>
    <w:basedOn w:val="DefaultParagraphFont"/>
    <w:uiPriority w:val="99"/>
    <w:rsid w:val="00737B95"/>
    <w:rPr>
      <w:color w:val="0000FF"/>
      <w:u w:val="single"/>
    </w:rPr>
  </w:style>
  <w:style w:type="paragraph" w:customStyle="1" w:styleId="Tablefigureheading">
    <w:name w:val="Table_figure_heading"/>
    <w:basedOn w:val="Normal"/>
    <w:rsid w:val="00737B95"/>
    <w:pPr>
      <w:keepNext/>
    </w:pPr>
    <w:rPr>
      <w:b/>
      <w:i/>
    </w:rPr>
  </w:style>
  <w:style w:type="paragraph" w:customStyle="1" w:styleId="SlideHeadings">
    <w:name w:val="Slide Headings"/>
    <w:basedOn w:val="Normal"/>
    <w:autoRedefine/>
    <w:rsid w:val="00737B95"/>
    <w:pPr>
      <w:numPr>
        <w:numId w:val="9"/>
      </w:numPr>
    </w:pPr>
    <w:rPr>
      <w:rFonts w:ascii="Arial" w:hAnsi="Arial"/>
      <w:b/>
      <w:sz w:val="28"/>
      <w14:shadow w14:blurRad="50800" w14:dist="38100" w14:dir="2700000" w14:sx="100000" w14:sy="100000" w14:kx="0" w14:ky="0" w14:algn="tl">
        <w14:srgbClr w14:val="000000">
          <w14:alpha w14:val="60000"/>
        </w14:srgbClr>
      </w14:shadow>
    </w:rPr>
  </w:style>
  <w:style w:type="paragraph" w:customStyle="1" w:styleId="SubHead1">
    <w:name w:val="Sub Head 1"/>
    <w:basedOn w:val="Normal"/>
    <w:rsid w:val="00737B95"/>
    <w:pPr>
      <w:numPr>
        <w:numId w:val="10"/>
      </w:numPr>
    </w:pPr>
    <w:rPr>
      <w:rFonts w:ascii="Arial" w:hAnsi="Arial"/>
      <w:b/>
    </w:rPr>
  </w:style>
  <w:style w:type="paragraph" w:styleId="BodyTextIndent">
    <w:name w:val="Body Text Indent"/>
    <w:basedOn w:val="Normal"/>
    <w:rsid w:val="00737B95"/>
    <w:pPr>
      <w:ind w:firstLine="720"/>
    </w:pPr>
  </w:style>
  <w:style w:type="paragraph" w:styleId="TOC1">
    <w:name w:val="toc 1"/>
    <w:basedOn w:val="Normal"/>
    <w:next w:val="Normal"/>
    <w:autoRedefine/>
    <w:uiPriority w:val="39"/>
    <w:rsid w:val="00737B95"/>
    <w:pPr>
      <w:spacing w:before="120" w:after="120"/>
      <w:ind w:left="720" w:right="578" w:hanging="720"/>
      <w:jc w:val="left"/>
    </w:pPr>
    <w:rPr>
      <w:b/>
      <w:caps/>
      <w:noProof/>
    </w:rPr>
  </w:style>
  <w:style w:type="paragraph" w:styleId="TOC2">
    <w:name w:val="toc 2"/>
    <w:basedOn w:val="Normal"/>
    <w:next w:val="Normal"/>
    <w:autoRedefine/>
    <w:uiPriority w:val="39"/>
    <w:rsid w:val="00737B95"/>
    <w:pPr>
      <w:tabs>
        <w:tab w:val="left" w:pos="960"/>
        <w:tab w:val="right" w:leader="dot" w:pos="9350"/>
      </w:tabs>
      <w:ind w:left="965" w:right="576" w:hanging="720"/>
    </w:pPr>
    <w:rPr>
      <w:smallCaps/>
      <w:noProof/>
    </w:rPr>
  </w:style>
  <w:style w:type="paragraph" w:styleId="TOC3">
    <w:name w:val="toc 3"/>
    <w:basedOn w:val="Normal"/>
    <w:next w:val="Normal"/>
    <w:autoRedefine/>
    <w:uiPriority w:val="39"/>
    <w:rsid w:val="00737B95"/>
    <w:pPr>
      <w:ind w:left="1195" w:right="576" w:hanging="720"/>
    </w:pPr>
    <w:rPr>
      <w:i/>
    </w:rPr>
  </w:style>
  <w:style w:type="paragraph" w:styleId="TOC4">
    <w:name w:val="toc 4"/>
    <w:basedOn w:val="Normal"/>
    <w:next w:val="Normal"/>
    <w:autoRedefine/>
    <w:semiHidden/>
    <w:rsid w:val="00737B95"/>
    <w:pPr>
      <w:ind w:left="720"/>
    </w:pPr>
    <w:rPr>
      <w:sz w:val="18"/>
    </w:rPr>
  </w:style>
  <w:style w:type="paragraph" w:styleId="TOC5">
    <w:name w:val="toc 5"/>
    <w:basedOn w:val="Normal"/>
    <w:next w:val="Normal"/>
    <w:autoRedefine/>
    <w:semiHidden/>
    <w:rsid w:val="00737B95"/>
    <w:pPr>
      <w:ind w:left="960"/>
    </w:pPr>
    <w:rPr>
      <w:sz w:val="18"/>
    </w:rPr>
  </w:style>
  <w:style w:type="paragraph" w:styleId="TOC6">
    <w:name w:val="toc 6"/>
    <w:basedOn w:val="Normal"/>
    <w:next w:val="Normal"/>
    <w:autoRedefine/>
    <w:semiHidden/>
    <w:rsid w:val="00737B95"/>
    <w:pPr>
      <w:ind w:left="1200"/>
    </w:pPr>
    <w:rPr>
      <w:sz w:val="18"/>
    </w:rPr>
  </w:style>
  <w:style w:type="paragraph" w:styleId="TOC7">
    <w:name w:val="toc 7"/>
    <w:basedOn w:val="Normal"/>
    <w:next w:val="Normal"/>
    <w:autoRedefine/>
    <w:semiHidden/>
    <w:rsid w:val="00737B95"/>
    <w:pPr>
      <w:ind w:left="1440"/>
    </w:pPr>
    <w:rPr>
      <w:sz w:val="18"/>
    </w:rPr>
  </w:style>
  <w:style w:type="paragraph" w:styleId="TOC8">
    <w:name w:val="toc 8"/>
    <w:basedOn w:val="Normal"/>
    <w:next w:val="Normal"/>
    <w:autoRedefine/>
    <w:semiHidden/>
    <w:rsid w:val="00737B95"/>
    <w:pPr>
      <w:ind w:left="1680"/>
    </w:pPr>
    <w:rPr>
      <w:sz w:val="18"/>
    </w:rPr>
  </w:style>
  <w:style w:type="paragraph" w:styleId="TOC9">
    <w:name w:val="toc 9"/>
    <w:basedOn w:val="Normal"/>
    <w:next w:val="Normal"/>
    <w:autoRedefine/>
    <w:semiHidden/>
    <w:rsid w:val="00737B95"/>
    <w:pPr>
      <w:ind w:left="1920"/>
    </w:pPr>
    <w:rPr>
      <w:sz w:val="18"/>
    </w:rPr>
  </w:style>
  <w:style w:type="paragraph" w:styleId="BodyText3">
    <w:name w:val="Body Text 3"/>
    <w:basedOn w:val="Normal"/>
    <w:rsid w:val="00737B95"/>
    <w:pPr>
      <w:keepNext/>
      <w:keepLines/>
      <w:jc w:val="center"/>
    </w:pPr>
    <w:rPr>
      <w:b/>
      <w:i/>
    </w:rPr>
  </w:style>
  <w:style w:type="paragraph" w:styleId="DocumentMap">
    <w:name w:val="Document Map"/>
    <w:basedOn w:val="Normal"/>
    <w:semiHidden/>
    <w:rsid w:val="00737B95"/>
    <w:pPr>
      <w:shd w:val="clear" w:color="auto" w:fill="000080"/>
    </w:pPr>
    <w:rPr>
      <w:rFonts w:ascii="Tahoma" w:hAnsi="Tahoma"/>
    </w:rPr>
  </w:style>
  <w:style w:type="character" w:styleId="FollowedHyperlink">
    <w:name w:val="FollowedHyperlink"/>
    <w:basedOn w:val="DefaultParagraphFont"/>
    <w:rsid w:val="00737B95"/>
    <w:rPr>
      <w:color w:val="800080"/>
      <w:u w:val="single"/>
    </w:rPr>
  </w:style>
  <w:style w:type="character" w:customStyle="1" w:styleId="TableText">
    <w:name w:val="Table Text"/>
    <w:basedOn w:val="DefaultParagraphFont"/>
    <w:rsid w:val="00737B95"/>
    <w:rPr>
      <w:rFonts w:ascii="Arial" w:hAnsi="Arial"/>
      <w:noProof w:val="0"/>
      <w:sz w:val="20"/>
      <w:lang w:val="en-US"/>
    </w:rPr>
  </w:style>
  <w:style w:type="paragraph" w:styleId="BodyTextIndent3">
    <w:name w:val="Body Text Indent 3"/>
    <w:basedOn w:val="Normal"/>
    <w:rsid w:val="00737B95"/>
    <w:pPr>
      <w:ind w:firstLine="450"/>
    </w:pPr>
  </w:style>
  <w:style w:type="paragraph" w:styleId="PlainText">
    <w:name w:val="Plain Text"/>
    <w:basedOn w:val="Normal"/>
    <w:rsid w:val="00737B95"/>
    <w:rPr>
      <w:rFonts w:ascii="Courier New" w:hAnsi="Courier New"/>
      <w:sz w:val="20"/>
      <w:lang w:eastAsia="ja-JP"/>
    </w:rPr>
  </w:style>
  <w:style w:type="paragraph" w:customStyle="1" w:styleId="Appendixtitle">
    <w:name w:val="Appendix_title"/>
    <w:basedOn w:val="Normal"/>
    <w:rsid w:val="00737B95"/>
    <w:rPr>
      <w:rFonts w:ascii="Futura Hv BT" w:hAnsi="Futura Hv BT"/>
      <w:sz w:val="28"/>
      <w:u w:val="single"/>
    </w:rPr>
  </w:style>
  <w:style w:type="paragraph" w:styleId="Header">
    <w:name w:val="header"/>
    <w:basedOn w:val="Normal"/>
    <w:rsid w:val="00737B95"/>
    <w:pPr>
      <w:tabs>
        <w:tab w:val="center" w:pos="4320"/>
        <w:tab w:val="right" w:pos="8640"/>
      </w:tabs>
    </w:pPr>
  </w:style>
  <w:style w:type="paragraph" w:styleId="Closing">
    <w:name w:val="Closing"/>
    <w:basedOn w:val="Normal"/>
    <w:rsid w:val="00737B95"/>
    <w:pPr>
      <w:ind w:left="4252"/>
    </w:pPr>
  </w:style>
  <w:style w:type="paragraph" w:customStyle="1" w:styleId="AnnexHd1">
    <w:name w:val="Annex_Hd_1"/>
    <w:basedOn w:val="Heading1"/>
    <w:rsid w:val="00737B95"/>
  </w:style>
  <w:style w:type="paragraph" w:customStyle="1" w:styleId="Annexhd2">
    <w:name w:val="Annex_hd_2"/>
    <w:basedOn w:val="Heading2"/>
    <w:rsid w:val="00737B95"/>
    <w:pPr>
      <w:numPr>
        <w:ilvl w:val="0"/>
        <w:numId w:val="0"/>
      </w:numPr>
    </w:pPr>
  </w:style>
  <w:style w:type="paragraph" w:styleId="Date">
    <w:name w:val="Date"/>
    <w:basedOn w:val="Normal"/>
    <w:next w:val="Normal"/>
    <w:rsid w:val="00737B95"/>
  </w:style>
  <w:style w:type="paragraph" w:styleId="ListBullet">
    <w:name w:val="List Bullet"/>
    <w:basedOn w:val="Normal"/>
    <w:autoRedefine/>
    <w:rsid w:val="00737B95"/>
    <w:pPr>
      <w:numPr>
        <w:numId w:val="21"/>
      </w:numPr>
    </w:pPr>
  </w:style>
  <w:style w:type="paragraph" w:styleId="ListBullet2">
    <w:name w:val="List Bullet 2"/>
    <w:basedOn w:val="Normal"/>
    <w:autoRedefine/>
    <w:rsid w:val="00737B95"/>
    <w:pPr>
      <w:numPr>
        <w:numId w:val="22"/>
      </w:numPr>
    </w:pPr>
  </w:style>
  <w:style w:type="paragraph" w:styleId="Caption">
    <w:name w:val="caption"/>
    <w:basedOn w:val="Normal"/>
    <w:next w:val="Normal"/>
    <w:qFormat/>
    <w:rsid w:val="00737B95"/>
    <w:pPr>
      <w:spacing w:before="120" w:after="120"/>
    </w:pPr>
    <w:rPr>
      <w:b/>
      <w:bCs/>
      <w:sz w:val="20"/>
    </w:rPr>
  </w:style>
  <w:style w:type="paragraph" w:styleId="Signature">
    <w:name w:val="Signature"/>
    <w:basedOn w:val="Normal"/>
    <w:rsid w:val="00737B95"/>
    <w:pPr>
      <w:ind w:left="4252"/>
    </w:pPr>
  </w:style>
  <w:style w:type="paragraph" w:customStyle="1" w:styleId="SignatureJobTitle">
    <w:name w:val="Signature Job Title"/>
    <w:basedOn w:val="Signature"/>
    <w:rsid w:val="00737B95"/>
  </w:style>
  <w:style w:type="paragraph" w:customStyle="1" w:styleId="SignatureCompany">
    <w:name w:val="Signature Company"/>
    <w:basedOn w:val="Signature"/>
    <w:rsid w:val="00737B95"/>
  </w:style>
  <w:style w:type="paragraph" w:customStyle="1" w:styleId="Body">
    <w:name w:val="Body"/>
    <w:basedOn w:val="Normal"/>
    <w:rsid w:val="00737B95"/>
    <w:pPr>
      <w:suppressAutoHyphens/>
      <w:spacing w:after="120"/>
      <w:jc w:val="left"/>
    </w:pPr>
    <w:rPr>
      <w:lang w:val="en-US"/>
    </w:rPr>
  </w:style>
  <w:style w:type="paragraph" w:styleId="NormalWeb">
    <w:name w:val="Normal (Web)"/>
    <w:basedOn w:val="Normal"/>
    <w:rsid w:val="00737B95"/>
    <w:pPr>
      <w:spacing w:before="100" w:beforeAutospacing="1" w:after="100" w:afterAutospacing="1"/>
      <w:jc w:val="left"/>
    </w:pPr>
    <w:rPr>
      <w:rFonts w:ascii="Arial Unicode MS" w:eastAsia="Arial Unicode MS" w:hAnsi="Arial Unicode MS" w:cs="Arial Unicode MS"/>
      <w:szCs w:val="24"/>
      <w:lang w:val="en-US"/>
    </w:rPr>
  </w:style>
  <w:style w:type="paragraph" w:customStyle="1" w:styleId="Bullet1">
    <w:name w:val="Bullet 1"/>
    <w:basedOn w:val="Body"/>
    <w:rsid w:val="00737B95"/>
    <w:pPr>
      <w:numPr>
        <w:numId w:val="23"/>
      </w:numPr>
      <w:tabs>
        <w:tab w:val="clear" w:pos="360"/>
        <w:tab w:val="left" w:pos="720"/>
      </w:tabs>
      <w:suppressAutoHyphens w:val="0"/>
      <w:ind w:left="720"/>
    </w:pPr>
  </w:style>
  <w:style w:type="table" w:styleId="TableGrid">
    <w:name w:val="Table Grid"/>
    <w:basedOn w:val="TableNormal"/>
    <w:rsid w:val="00643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IBodyTextNoIndent">
    <w:name w:val="SEI Body Text (No Indent)"/>
    <w:basedOn w:val="Normal"/>
    <w:rsid w:val="00824595"/>
    <w:pPr>
      <w:spacing w:after="142" w:line="290" w:lineRule="exact"/>
    </w:pPr>
    <w:rPr>
      <w:sz w:val="22"/>
    </w:rPr>
  </w:style>
  <w:style w:type="paragraph" w:styleId="BalloonText">
    <w:name w:val="Balloon Text"/>
    <w:basedOn w:val="Normal"/>
    <w:semiHidden/>
    <w:rsid w:val="00FF44D2"/>
    <w:rPr>
      <w:rFonts w:ascii="Tahoma" w:hAnsi="Tahoma" w:cs="Tahoma"/>
      <w:sz w:val="16"/>
      <w:szCs w:val="16"/>
    </w:rPr>
  </w:style>
  <w:style w:type="paragraph" w:customStyle="1" w:styleId="Boxtxt2006GL">
    <w:name w:val="Boxtxt 2006GL"/>
    <w:basedOn w:val="Normal"/>
    <w:rsid w:val="00E75B23"/>
    <w:pPr>
      <w:keepNext/>
      <w:keepLines/>
      <w:pBdr>
        <w:top w:val="single" w:sz="12" w:space="5" w:color="auto"/>
        <w:left w:val="single" w:sz="12" w:space="5" w:color="auto"/>
        <w:bottom w:val="single" w:sz="12" w:space="5" w:color="auto"/>
        <w:right w:val="single" w:sz="12" w:space="5" w:color="auto"/>
      </w:pBdr>
      <w:spacing w:after="120"/>
      <w:ind w:left="561" w:right="561"/>
    </w:pPr>
    <w:rPr>
      <w:sz w:val="20"/>
      <w:lang w:eastAsia="zh-CN"/>
    </w:rPr>
  </w:style>
  <w:style w:type="paragraph" w:customStyle="1" w:styleId="BoxTitle2006GLs">
    <w:name w:val="BoxTitle 2006GLs"/>
    <w:basedOn w:val="Boxtxt2006GL"/>
    <w:rsid w:val="00E75B23"/>
    <w:pPr>
      <w:jc w:val="center"/>
      <w:outlineLvl w:val="0"/>
    </w:pPr>
    <w:rPr>
      <w:b/>
      <w:smallCaps/>
      <w:sz w:val="18"/>
      <w:szCs w:val="18"/>
    </w:rPr>
  </w:style>
  <w:style w:type="paragraph" w:customStyle="1" w:styleId="Footnote2006GL">
    <w:name w:val="Footnote 2006GL"/>
    <w:basedOn w:val="Normal"/>
    <w:link w:val="Footnote2006GLChar"/>
    <w:rsid w:val="00E75B23"/>
    <w:pPr>
      <w:tabs>
        <w:tab w:val="left" w:pos="142"/>
      </w:tabs>
      <w:spacing w:after="120"/>
      <w:ind w:left="159" w:hanging="159"/>
    </w:pPr>
    <w:rPr>
      <w:sz w:val="18"/>
      <w:szCs w:val="18"/>
      <w:lang w:eastAsia="zh-CN"/>
    </w:rPr>
  </w:style>
  <w:style w:type="character" w:customStyle="1" w:styleId="Footnote2006GLChar">
    <w:name w:val="Footnote 2006GL Char"/>
    <w:basedOn w:val="DefaultParagraphFont"/>
    <w:link w:val="Footnote2006GL"/>
    <w:rsid w:val="00E75B23"/>
    <w:rPr>
      <w:sz w:val="18"/>
      <w:szCs w:val="18"/>
      <w:lang w:val="en-GB" w:eastAsia="zh-CN" w:bidi="ar-SA"/>
    </w:rPr>
  </w:style>
  <w:style w:type="paragraph" w:customStyle="1" w:styleId="Tabletext2006GL">
    <w:name w:val="Table text 2006GL"/>
    <w:basedOn w:val="Normal"/>
    <w:rsid w:val="00E75B23"/>
    <w:pPr>
      <w:keepNext/>
      <w:spacing w:before="60" w:after="60"/>
      <w:ind w:left="57" w:right="57"/>
      <w:jc w:val="left"/>
    </w:pPr>
    <w:rPr>
      <w:sz w:val="18"/>
      <w:szCs w:val="18"/>
      <w:lang w:eastAsia="zh-CN"/>
    </w:rPr>
  </w:style>
  <w:style w:type="paragraph" w:styleId="CommentSubject">
    <w:name w:val="annotation subject"/>
    <w:basedOn w:val="CommentText"/>
    <w:next w:val="CommentText"/>
    <w:semiHidden/>
    <w:rsid w:val="00871965"/>
    <w:rPr>
      <w:b/>
      <w:bCs/>
    </w:rPr>
  </w:style>
  <w:style w:type="paragraph" w:customStyle="1" w:styleId="BodyText2006GL">
    <w:name w:val="Body Text 2006GL"/>
    <w:basedOn w:val="Normal"/>
    <w:rsid w:val="00490F08"/>
    <w:pPr>
      <w:spacing w:after="120"/>
    </w:pPr>
    <w:rPr>
      <w:sz w:val="20"/>
      <w:lang w:eastAsia="zh-CN"/>
    </w:rPr>
  </w:style>
  <w:style w:type="character" w:customStyle="1" w:styleId="title1">
    <w:name w:val="title1"/>
    <w:basedOn w:val="DefaultParagraphFont"/>
    <w:rsid w:val="00CA1E0B"/>
    <w:rPr>
      <w:rFonts w:ascii="Verdana" w:hAnsi="Verdana" w:hint="default"/>
      <w:b/>
      <w:bCs/>
      <w:strike w:val="0"/>
      <w:dstrike w:val="0"/>
      <w:color w:val="336699"/>
      <w:sz w:val="18"/>
      <w:szCs w:val="18"/>
      <w:u w:val="none"/>
      <w:effect w:val="none"/>
    </w:rPr>
  </w:style>
  <w:style w:type="paragraph" w:styleId="HTMLPreformatted">
    <w:name w:val="HTML Preformatted"/>
    <w:basedOn w:val="Normal"/>
    <w:rsid w:val="00D84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rPr>
  </w:style>
  <w:style w:type="character" w:customStyle="1" w:styleId="Heading3Char">
    <w:name w:val="Heading 3 Char"/>
    <w:basedOn w:val="DefaultParagraphFont"/>
    <w:link w:val="Heading3"/>
    <w:rsid w:val="00E82EFA"/>
    <w:rPr>
      <w:rFonts w:ascii="Futura Hv BT" w:hAnsi="Futura Hv BT"/>
      <w:i/>
      <w:sz w:val="24"/>
      <w:lang w:eastAsia="en-US"/>
    </w:rPr>
  </w:style>
  <w:style w:type="paragraph" w:styleId="ListParagraph">
    <w:name w:val="List Paragraph"/>
    <w:basedOn w:val="Normal"/>
    <w:uiPriority w:val="34"/>
    <w:qFormat/>
    <w:rsid w:val="00F94088"/>
    <w:pPr>
      <w:ind w:left="720"/>
      <w:contextualSpacing/>
    </w:pPr>
  </w:style>
  <w:style w:type="character" w:customStyle="1" w:styleId="Heading2Char">
    <w:name w:val="Heading 2 Char"/>
    <w:basedOn w:val="DefaultParagraphFont"/>
    <w:link w:val="Heading2"/>
    <w:rsid w:val="0076786E"/>
    <w:rPr>
      <w:rFonts w:ascii="Futura Hv BT" w:hAnsi="Futura Hv BT"/>
      <w:sz w:val="26"/>
      <w:lang w:eastAsia="en-US"/>
    </w:rPr>
  </w:style>
  <w:style w:type="character" w:customStyle="1" w:styleId="FootnoteTextChar">
    <w:name w:val="Footnote Text Char"/>
    <w:basedOn w:val="DefaultParagraphFont"/>
    <w:link w:val="FootnoteText"/>
    <w:semiHidden/>
    <w:rsid w:val="00F667E4"/>
    <w:rPr>
      <w:lang w:eastAsia="en-US"/>
    </w:rPr>
  </w:style>
  <w:style w:type="character" w:customStyle="1" w:styleId="CommentTextChar">
    <w:name w:val="Comment Text Char"/>
    <w:basedOn w:val="DefaultParagraphFont"/>
    <w:link w:val="CommentText"/>
    <w:rsid w:val="006660FA"/>
    <w:rPr>
      <w:lang w:eastAsia="en-US"/>
    </w:rPr>
  </w:style>
  <w:style w:type="paragraph" w:styleId="Revision">
    <w:name w:val="Revision"/>
    <w:hidden/>
    <w:uiPriority w:val="99"/>
    <w:semiHidden/>
    <w:rsid w:val="001D5B7F"/>
    <w:rPr>
      <w:sz w:val="24"/>
      <w:lang w:eastAsia="en-US"/>
    </w:rPr>
  </w:style>
  <w:style w:type="table" w:customStyle="1" w:styleId="TableGrid1">
    <w:name w:val="Table Grid1"/>
    <w:basedOn w:val="TableNormal"/>
    <w:next w:val="TableGrid"/>
    <w:uiPriority w:val="59"/>
    <w:rsid w:val="004177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8378">
      <w:bodyDiv w:val="1"/>
      <w:marLeft w:val="0"/>
      <w:marRight w:val="0"/>
      <w:marTop w:val="0"/>
      <w:marBottom w:val="0"/>
      <w:divBdr>
        <w:top w:val="none" w:sz="0" w:space="0" w:color="auto"/>
        <w:left w:val="none" w:sz="0" w:space="0" w:color="auto"/>
        <w:bottom w:val="none" w:sz="0" w:space="0" w:color="auto"/>
        <w:right w:val="none" w:sz="0" w:space="0" w:color="auto"/>
      </w:divBdr>
    </w:div>
    <w:div w:id="22168896">
      <w:bodyDiv w:val="1"/>
      <w:marLeft w:val="0"/>
      <w:marRight w:val="0"/>
      <w:marTop w:val="0"/>
      <w:marBottom w:val="0"/>
      <w:divBdr>
        <w:top w:val="none" w:sz="0" w:space="0" w:color="auto"/>
        <w:left w:val="none" w:sz="0" w:space="0" w:color="auto"/>
        <w:bottom w:val="none" w:sz="0" w:space="0" w:color="auto"/>
        <w:right w:val="none" w:sz="0" w:space="0" w:color="auto"/>
      </w:divBdr>
    </w:div>
    <w:div w:id="25376875">
      <w:bodyDiv w:val="1"/>
      <w:marLeft w:val="0"/>
      <w:marRight w:val="0"/>
      <w:marTop w:val="0"/>
      <w:marBottom w:val="0"/>
      <w:divBdr>
        <w:top w:val="none" w:sz="0" w:space="0" w:color="auto"/>
        <w:left w:val="none" w:sz="0" w:space="0" w:color="auto"/>
        <w:bottom w:val="none" w:sz="0" w:space="0" w:color="auto"/>
        <w:right w:val="none" w:sz="0" w:space="0" w:color="auto"/>
      </w:divBdr>
    </w:div>
    <w:div w:id="76755949">
      <w:bodyDiv w:val="1"/>
      <w:marLeft w:val="0"/>
      <w:marRight w:val="0"/>
      <w:marTop w:val="0"/>
      <w:marBottom w:val="0"/>
      <w:divBdr>
        <w:top w:val="none" w:sz="0" w:space="0" w:color="auto"/>
        <w:left w:val="none" w:sz="0" w:space="0" w:color="auto"/>
        <w:bottom w:val="none" w:sz="0" w:space="0" w:color="auto"/>
        <w:right w:val="none" w:sz="0" w:space="0" w:color="auto"/>
      </w:divBdr>
    </w:div>
    <w:div w:id="92361003">
      <w:bodyDiv w:val="1"/>
      <w:marLeft w:val="0"/>
      <w:marRight w:val="0"/>
      <w:marTop w:val="0"/>
      <w:marBottom w:val="0"/>
      <w:divBdr>
        <w:top w:val="none" w:sz="0" w:space="0" w:color="auto"/>
        <w:left w:val="none" w:sz="0" w:space="0" w:color="auto"/>
        <w:bottom w:val="none" w:sz="0" w:space="0" w:color="auto"/>
        <w:right w:val="none" w:sz="0" w:space="0" w:color="auto"/>
      </w:divBdr>
    </w:div>
    <w:div w:id="127937225">
      <w:bodyDiv w:val="1"/>
      <w:marLeft w:val="0"/>
      <w:marRight w:val="0"/>
      <w:marTop w:val="0"/>
      <w:marBottom w:val="0"/>
      <w:divBdr>
        <w:top w:val="none" w:sz="0" w:space="0" w:color="auto"/>
        <w:left w:val="none" w:sz="0" w:space="0" w:color="auto"/>
        <w:bottom w:val="none" w:sz="0" w:space="0" w:color="auto"/>
        <w:right w:val="none" w:sz="0" w:space="0" w:color="auto"/>
      </w:divBdr>
    </w:div>
    <w:div w:id="177735876">
      <w:bodyDiv w:val="1"/>
      <w:marLeft w:val="0"/>
      <w:marRight w:val="0"/>
      <w:marTop w:val="0"/>
      <w:marBottom w:val="0"/>
      <w:divBdr>
        <w:top w:val="none" w:sz="0" w:space="0" w:color="auto"/>
        <w:left w:val="none" w:sz="0" w:space="0" w:color="auto"/>
        <w:bottom w:val="none" w:sz="0" w:space="0" w:color="auto"/>
        <w:right w:val="none" w:sz="0" w:space="0" w:color="auto"/>
      </w:divBdr>
    </w:div>
    <w:div w:id="234631545">
      <w:bodyDiv w:val="1"/>
      <w:marLeft w:val="0"/>
      <w:marRight w:val="0"/>
      <w:marTop w:val="0"/>
      <w:marBottom w:val="0"/>
      <w:divBdr>
        <w:top w:val="none" w:sz="0" w:space="0" w:color="auto"/>
        <w:left w:val="none" w:sz="0" w:space="0" w:color="auto"/>
        <w:bottom w:val="none" w:sz="0" w:space="0" w:color="auto"/>
        <w:right w:val="none" w:sz="0" w:space="0" w:color="auto"/>
      </w:divBdr>
    </w:div>
    <w:div w:id="239826825">
      <w:bodyDiv w:val="1"/>
      <w:marLeft w:val="0"/>
      <w:marRight w:val="0"/>
      <w:marTop w:val="0"/>
      <w:marBottom w:val="0"/>
      <w:divBdr>
        <w:top w:val="none" w:sz="0" w:space="0" w:color="auto"/>
        <w:left w:val="none" w:sz="0" w:space="0" w:color="auto"/>
        <w:bottom w:val="none" w:sz="0" w:space="0" w:color="auto"/>
        <w:right w:val="none" w:sz="0" w:space="0" w:color="auto"/>
      </w:divBdr>
    </w:div>
    <w:div w:id="247809634">
      <w:bodyDiv w:val="1"/>
      <w:marLeft w:val="0"/>
      <w:marRight w:val="0"/>
      <w:marTop w:val="0"/>
      <w:marBottom w:val="0"/>
      <w:divBdr>
        <w:top w:val="none" w:sz="0" w:space="0" w:color="auto"/>
        <w:left w:val="none" w:sz="0" w:space="0" w:color="auto"/>
        <w:bottom w:val="none" w:sz="0" w:space="0" w:color="auto"/>
        <w:right w:val="none" w:sz="0" w:space="0" w:color="auto"/>
      </w:divBdr>
    </w:div>
    <w:div w:id="265774160">
      <w:bodyDiv w:val="1"/>
      <w:marLeft w:val="0"/>
      <w:marRight w:val="0"/>
      <w:marTop w:val="0"/>
      <w:marBottom w:val="0"/>
      <w:divBdr>
        <w:top w:val="none" w:sz="0" w:space="0" w:color="auto"/>
        <w:left w:val="none" w:sz="0" w:space="0" w:color="auto"/>
        <w:bottom w:val="none" w:sz="0" w:space="0" w:color="auto"/>
        <w:right w:val="none" w:sz="0" w:space="0" w:color="auto"/>
      </w:divBdr>
    </w:div>
    <w:div w:id="288975831">
      <w:bodyDiv w:val="1"/>
      <w:marLeft w:val="0"/>
      <w:marRight w:val="0"/>
      <w:marTop w:val="0"/>
      <w:marBottom w:val="0"/>
      <w:divBdr>
        <w:top w:val="none" w:sz="0" w:space="0" w:color="auto"/>
        <w:left w:val="none" w:sz="0" w:space="0" w:color="auto"/>
        <w:bottom w:val="none" w:sz="0" w:space="0" w:color="auto"/>
        <w:right w:val="none" w:sz="0" w:space="0" w:color="auto"/>
      </w:divBdr>
    </w:div>
    <w:div w:id="312412024">
      <w:bodyDiv w:val="1"/>
      <w:marLeft w:val="0"/>
      <w:marRight w:val="0"/>
      <w:marTop w:val="0"/>
      <w:marBottom w:val="0"/>
      <w:divBdr>
        <w:top w:val="none" w:sz="0" w:space="0" w:color="auto"/>
        <w:left w:val="none" w:sz="0" w:space="0" w:color="auto"/>
        <w:bottom w:val="none" w:sz="0" w:space="0" w:color="auto"/>
        <w:right w:val="none" w:sz="0" w:space="0" w:color="auto"/>
      </w:divBdr>
    </w:div>
    <w:div w:id="329143709">
      <w:bodyDiv w:val="1"/>
      <w:marLeft w:val="0"/>
      <w:marRight w:val="0"/>
      <w:marTop w:val="0"/>
      <w:marBottom w:val="0"/>
      <w:divBdr>
        <w:top w:val="none" w:sz="0" w:space="0" w:color="auto"/>
        <w:left w:val="none" w:sz="0" w:space="0" w:color="auto"/>
        <w:bottom w:val="none" w:sz="0" w:space="0" w:color="auto"/>
        <w:right w:val="none" w:sz="0" w:space="0" w:color="auto"/>
      </w:divBdr>
    </w:div>
    <w:div w:id="397870654">
      <w:bodyDiv w:val="1"/>
      <w:marLeft w:val="0"/>
      <w:marRight w:val="0"/>
      <w:marTop w:val="0"/>
      <w:marBottom w:val="0"/>
      <w:divBdr>
        <w:top w:val="none" w:sz="0" w:space="0" w:color="auto"/>
        <w:left w:val="none" w:sz="0" w:space="0" w:color="auto"/>
        <w:bottom w:val="none" w:sz="0" w:space="0" w:color="auto"/>
        <w:right w:val="none" w:sz="0" w:space="0" w:color="auto"/>
      </w:divBdr>
    </w:div>
    <w:div w:id="424884216">
      <w:bodyDiv w:val="1"/>
      <w:marLeft w:val="0"/>
      <w:marRight w:val="0"/>
      <w:marTop w:val="0"/>
      <w:marBottom w:val="0"/>
      <w:divBdr>
        <w:top w:val="none" w:sz="0" w:space="0" w:color="auto"/>
        <w:left w:val="none" w:sz="0" w:space="0" w:color="auto"/>
        <w:bottom w:val="none" w:sz="0" w:space="0" w:color="auto"/>
        <w:right w:val="none" w:sz="0" w:space="0" w:color="auto"/>
      </w:divBdr>
    </w:div>
    <w:div w:id="505629412">
      <w:bodyDiv w:val="1"/>
      <w:marLeft w:val="0"/>
      <w:marRight w:val="0"/>
      <w:marTop w:val="0"/>
      <w:marBottom w:val="0"/>
      <w:divBdr>
        <w:top w:val="none" w:sz="0" w:space="0" w:color="auto"/>
        <w:left w:val="none" w:sz="0" w:space="0" w:color="auto"/>
        <w:bottom w:val="none" w:sz="0" w:space="0" w:color="auto"/>
        <w:right w:val="none" w:sz="0" w:space="0" w:color="auto"/>
      </w:divBdr>
    </w:div>
    <w:div w:id="534774723">
      <w:bodyDiv w:val="1"/>
      <w:marLeft w:val="0"/>
      <w:marRight w:val="0"/>
      <w:marTop w:val="0"/>
      <w:marBottom w:val="0"/>
      <w:divBdr>
        <w:top w:val="none" w:sz="0" w:space="0" w:color="auto"/>
        <w:left w:val="none" w:sz="0" w:space="0" w:color="auto"/>
        <w:bottom w:val="none" w:sz="0" w:space="0" w:color="auto"/>
        <w:right w:val="none" w:sz="0" w:space="0" w:color="auto"/>
      </w:divBdr>
    </w:div>
    <w:div w:id="550002529">
      <w:bodyDiv w:val="1"/>
      <w:marLeft w:val="0"/>
      <w:marRight w:val="0"/>
      <w:marTop w:val="0"/>
      <w:marBottom w:val="0"/>
      <w:divBdr>
        <w:top w:val="none" w:sz="0" w:space="0" w:color="auto"/>
        <w:left w:val="none" w:sz="0" w:space="0" w:color="auto"/>
        <w:bottom w:val="none" w:sz="0" w:space="0" w:color="auto"/>
        <w:right w:val="none" w:sz="0" w:space="0" w:color="auto"/>
      </w:divBdr>
    </w:div>
    <w:div w:id="561714253">
      <w:bodyDiv w:val="1"/>
      <w:marLeft w:val="0"/>
      <w:marRight w:val="0"/>
      <w:marTop w:val="0"/>
      <w:marBottom w:val="0"/>
      <w:divBdr>
        <w:top w:val="none" w:sz="0" w:space="0" w:color="auto"/>
        <w:left w:val="none" w:sz="0" w:space="0" w:color="auto"/>
        <w:bottom w:val="none" w:sz="0" w:space="0" w:color="auto"/>
        <w:right w:val="none" w:sz="0" w:space="0" w:color="auto"/>
      </w:divBdr>
    </w:div>
    <w:div w:id="618070782">
      <w:bodyDiv w:val="1"/>
      <w:marLeft w:val="0"/>
      <w:marRight w:val="0"/>
      <w:marTop w:val="0"/>
      <w:marBottom w:val="0"/>
      <w:divBdr>
        <w:top w:val="none" w:sz="0" w:space="0" w:color="auto"/>
        <w:left w:val="none" w:sz="0" w:space="0" w:color="auto"/>
        <w:bottom w:val="none" w:sz="0" w:space="0" w:color="auto"/>
        <w:right w:val="none" w:sz="0" w:space="0" w:color="auto"/>
      </w:divBdr>
    </w:div>
    <w:div w:id="633366814">
      <w:bodyDiv w:val="1"/>
      <w:marLeft w:val="0"/>
      <w:marRight w:val="0"/>
      <w:marTop w:val="0"/>
      <w:marBottom w:val="0"/>
      <w:divBdr>
        <w:top w:val="none" w:sz="0" w:space="0" w:color="auto"/>
        <w:left w:val="none" w:sz="0" w:space="0" w:color="auto"/>
        <w:bottom w:val="none" w:sz="0" w:space="0" w:color="auto"/>
        <w:right w:val="none" w:sz="0" w:space="0" w:color="auto"/>
      </w:divBdr>
    </w:div>
    <w:div w:id="635765698">
      <w:bodyDiv w:val="1"/>
      <w:marLeft w:val="0"/>
      <w:marRight w:val="0"/>
      <w:marTop w:val="0"/>
      <w:marBottom w:val="0"/>
      <w:divBdr>
        <w:top w:val="none" w:sz="0" w:space="0" w:color="auto"/>
        <w:left w:val="none" w:sz="0" w:space="0" w:color="auto"/>
        <w:bottom w:val="none" w:sz="0" w:space="0" w:color="auto"/>
        <w:right w:val="none" w:sz="0" w:space="0" w:color="auto"/>
      </w:divBdr>
    </w:div>
    <w:div w:id="639190759">
      <w:bodyDiv w:val="1"/>
      <w:marLeft w:val="0"/>
      <w:marRight w:val="0"/>
      <w:marTop w:val="0"/>
      <w:marBottom w:val="0"/>
      <w:divBdr>
        <w:top w:val="none" w:sz="0" w:space="0" w:color="auto"/>
        <w:left w:val="none" w:sz="0" w:space="0" w:color="auto"/>
        <w:bottom w:val="none" w:sz="0" w:space="0" w:color="auto"/>
        <w:right w:val="none" w:sz="0" w:space="0" w:color="auto"/>
      </w:divBdr>
    </w:div>
    <w:div w:id="648478795">
      <w:bodyDiv w:val="1"/>
      <w:marLeft w:val="0"/>
      <w:marRight w:val="0"/>
      <w:marTop w:val="0"/>
      <w:marBottom w:val="0"/>
      <w:divBdr>
        <w:top w:val="none" w:sz="0" w:space="0" w:color="auto"/>
        <w:left w:val="none" w:sz="0" w:space="0" w:color="auto"/>
        <w:bottom w:val="none" w:sz="0" w:space="0" w:color="auto"/>
        <w:right w:val="none" w:sz="0" w:space="0" w:color="auto"/>
      </w:divBdr>
      <w:divsChild>
        <w:div w:id="737479728">
          <w:marLeft w:val="150"/>
          <w:marRight w:val="150"/>
          <w:marTop w:val="0"/>
          <w:marBottom w:val="0"/>
          <w:divBdr>
            <w:top w:val="none" w:sz="0" w:space="0" w:color="auto"/>
            <w:left w:val="none" w:sz="0" w:space="0" w:color="auto"/>
            <w:bottom w:val="none" w:sz="0" w:space="0" w:color="auto"/>
            <w:right w:val="none" w:sz="0" w:space="0" w:color="auto"/>
          </w:divBdr>
        </w:div>
      </w:divsChild>
    </w:div>
    <w:div w:id="663164594">
      <w:bodyDiv w:val="1"/>
      <w:marLeft w:val="0"/>
      <w:marRight w:val="0"/>
      <w:marTop w:val="0"/>
      <w:marBottom w:val="0"/>
      <w:divBdr>
        <w:top w:val="none" w:sz="0" w:space="0" w:color="auto"/>
        <w:left w:val="none" w:sz="0" w:space="0" w:color="auto"/>
        <w:bottom w:val="none" w:sz="0" w:space="0" w:color="auto"/>
        <w:right w:val="none" w:sz="0" w:space="0" w:color="auto"/>
      </w:divBdr>
    </w:div>
    <w:div w:id="686250145">
      <w:bodyDiv w:val="1"/>
      <w:marLeft w:val="0"/>
      <w:marRight w:val="0"/>
      <w:marTop w:val="0"/>
      <w:marBottom w:val="0"/>
      <w:divBdr>
        <w:top w:val="none" w:sz="0" w:space="0" w:color="auto"/>
        <w:left w:val="none" w:sz="0" w:space="0" w:color="auto"/>
        <w:bottom w:val="none" w:sz="0" w:space="0" w:color="auto"/>
        <w:right w:val="none" w:sz="0" w:space="0" w:color="auto"/>
      </w:divBdr>
    </w:div>
    <w:div w:id="687947043">
      <w:bodyDiv w:val="1"/>
      <w:marLeft w:val="0"/>
      <w:marRight w:val="0"/>
      <w:marTop w:val="0"/>
      <w:marBottom w:val="0"/>
      <w:divBdr>
        <w:top w:val="none" w:sz="0" w:space="0" w:color="auto"/>
        <w:left w:val="none" w:sz="0" w:space="0" w:color="auto"/>
        <w:bottom w:val="none" w:sz="0" w:space="0" w:color="auto"/>
        <w:right w:val="none" w:sz="0" w:space="0" w:color="auto"/>
      </w:divBdr>
    </w:div>
    <w:div w:id="692420588">
      <w:bodyDiv w:val="1"/>
      <w:marLeft w:val="0"/>
      <w:marRight w:val="0"/>
      <w:marTop w:val="0"/>
      <w:marBottom w:val="0"/>
      <w:divBdr>
        <w:top w:val="none" w:sz="0" w:space="0" w:color="auto"/>
        <w:left w:val="none" w:sz="0" w:space="0" w:color="auto"/>
        <w:bottom w:val="none" w:sz="0" w:space="0" w:color="auto"/>
        <w:right w:val="none" w:sz="0" w:space="0" w:color="auto"/>
      </w:divBdr>
    </w:div>
    <w:div w:id="808665401">
      <w:bodyDiv w:val="1"/>
      <w:marLeft w:val="0"/>
      <w:marRight w:val="0"/>
      <w:marTop w:val="0"/>
      <w:marBottom w:val="0"/>
      <w:divBdr>
        <w:top w:val="none" w:sz="0" w:space="0" w:color="auto"/>
        <w:left w:val="none" w:sz="0" w:space="0" w:color="auto"/>
        <w:bottom w:val="none" w:sz="0" w:space="0" w:color="auto"/>
        <w:right w:val="none" w:sz="0" w:space="0" w:color="auto"/>
      </w:divBdr>
    </w:div>
    <w:div w:id="809517208">
      <w:bodyDiv w:val="1"/>
      <w:marLeft w:val="0"/>
      <w:marRight w:val="0"/>
      <w:marTop w:val="0"/>
      <w:marBottom w:val="0"/>
      <w:divBdr>
        <w:top w:val="none" w:sz="0" w:space="0" w:color="auto"/>
        <w:left w:val="none" w:sz="0" w:space="0" w:color="auto"/>
        <w:bottom w:val="none" w:sz="0" w:space="0" w:color="auto"/>
        <w:right w:val="none" w:sz="0" w:space="0" w:color="auto"/>
      </w:divBdr>
    </w:div>
    <w:div w:id="848759200">
      <w:bodyDiv w:val="1"/>
      <w:marLeft w:val="0"/>
      <w:marRight w:val="0"/>
      <w:marTop w:val="0"/>
      <w:marBottom w:val="0"/>
      <w:divBdr>
        <w:top w:val="none" w:sz="0" w:space="0" w:color="auto"/>
        <w:left w:val="none" w:sz="0" w:space="0" w:color="auto"/>
        <w:bottom w:val="none" w:sz="0" w:space="0" w:color="auto"/>
        <w:right w:val="none" w:sz="0" w:space="0" w:color="auto"/>
      </w:divBdr>
    </w:div>
    <w:div w:id="868908300">
      <w:bodyDiv w:val="1"/>
      <w:marLeft w:val="0"/>
      <w:marRight w:val="0"/>
      <w:marTop w:val="0"/>
      <w:marBottom w:val="0"/>
      <w:divBdr>
        <w:top w:val="none" w:sz="0" w:space="0" w:color="auto"/>
        <w:left w:val="none" w:sz="0" w:space="0" w:color="auto"/>
        <w:bottom w:val="none" w:sz="0" w:space="0" w:color="auto"/>
        <w:right w:val="none" w:sz="0" w:space="0" w:color="auto"/>
      </w:divBdr>
    </w:div>
    <w:div w:id="883173516">
      <w:bodyDiv w:val="1"/>
      <w:marLeft w:val="0"/>
      <w:marRight w:val="0"/>
      <w:marTop w:val="0"/>
      <w:marBottom w:val="0"/>
      <w:divBdr>
        <w:top w:val="none" w:sz="0" w:space="0" w:color="auto"/>
        <w:left w:val="none" w:sz="0" w:space="0" w:color="auto"/>
        <w:bottom w:val="none" w:sz="0" w:space="0" w:color="auto"/>
        <w:right w:val="none" w:sz="0" w:space="0" w:color="auto"/>
      </w:divBdr>
    </w:div>
    <w:div w:id="917514652">
      <w:bodyDiv w:val="1"/>
      <w:marLeft w:val="0"/>
      <w:marRight w:val="0"/>
      <w:marTop w:val="0"/>
      <w:marBottom w:val="0"/>
      <w:divBdr>
        <w:top w:val="none" w:sz="0" w:space="0" w:color="auto"/>
        <w:left w:val="none" w:sz="0" w:space="0" w:color="auto"/>
        <w:bottom w:val="none" w:sz="0" w:space="0" w:color="auto"/>
        <w:right w:val="none" w:sz="0" w:space="0" w:color="auto"/>
      </w:divBdr>
      <w:divsChild>
        <w:div w:id="938680417">
          <w:marLeft w:val="150"/>
          <w:marRight w:val="150"/>
          <w:marTop w:val="0"/>
          <w:marBottom w:val="0"/>
          <w:divBdr>
            <w:top w:val="none" w:sz="0" w:space="0" w:color="auto"/>
            <w:left w:val="none" w:sz="0" w:space="0" w:color="auto"/>
            <w:bottom w:val="none" w:sz="0" w:space="0" w:color="auto"/>
            <w:right w:val="none" w:sz="0" w:space="0" w:color="auto"/>
          </w:divBdr>
        </w:div>
      </w:divsChild>
    </w:div>
    <w:div w:id="927006912">
      <w:bodyDiv w:val="1"/>
      <w:marLeft w:val="0"/>
      <w:marRight w:val="0"/>
      <w:marTop w:val="0"/>
      <w:marBottom w:val="0"/>
      <w:divBdr>
        <w:top w:val="none" w:sz="0" w:space="0" w:color="auto"/>
        <w:left w:val="none" w:sz="0" w:space="0" w:color="auto"/>
        <w:bottom w:val="none" w:sz="0" w:space="0" w:color="auto"/>
        <w:right w:val="none" w:sz="0" w:space="0" w:color="auto"/>
      </w:divBdr>
    </w:div>
    <w:div w:id="989746656">
      <w:bodyDiv w:val="1"/>
      <w:marLeft w:val="0"/>
      <w:marRight w:val="0"/>
      <w:marTop w:val="0"/>
      <w:marBottom w:val="0"/>
      <w:divBdr>
        <w:top w:val="none" w:sz="0" w:space="0" w:color="auto"/>
        <w:left w:val="none" w:sz="0" w:space="0" w:color="auto"/>
        <w:bottom w:val="none" w:sz="0" w:space="0" w:color="auto"/>
        <w:right w:val="none" w:sz="0" w:space="0" w:color="auto"/>
      </w:divBdr>
    </w:div>
    <w:div w:id="1036351926">
      <w:bodyDiv w:val="1"/>
      <w:marLeft w:val="0"/>
      <w:marRight w:val="0"/>
      <w:marTop w:val="0"/>
      <w:marBottom w:val="0"/>
      <w:divBdr>
        <w:top w:val="none" w:sz="0" w:space="0" w:color="auto"/>
        <w:left w:val="none" w:sz="0" w:space="0" w:color="auto"/>
        <w:bottom w:val="none" w:sz="0" w:space="0" w:color="auto"/>
        <w:right w:val="none" w:sz="0" w:space="0" w:color="auto"/>
      </w:divBdr>
    </w:div>
    <w:div w:id="1075711491">
      <w:bodyDiv w:val="1"/>
      <w:marLeft w:val="0"/>
      <w:marRight w:val="0"/>
      <w:marTop w:val="0"/>
      <w:marBottom w:val="0"/>
      <w:divBdr>
        <w:top w:val="none" w:sz="0" w:space="0" w:color="auto"/>
        <w:left w:val="none" w:sz="0" w:space="0" w:color="auto"/>
        <w:bottom w:val="none" w:sz="0" w:space="0" w:color="auto"/>
        <w:right w:val="none" w:sz="0" w:space="0" w:color="auto"/>
      </w:divBdr>
    </w:div>
    <w:div w:id="1147820331">
      <w:bodyDiv w:val="1"/>
      <w:marLeft w:val="0"/>
      <w:marRight w:val="0"/>
      <w:marTop w:val="0"/>
      <w:marBottom w:val="0"/>
      <w:divBdr>
        <w:top w:val="none" w:sz="0" w:space="0" w:color="auto"/>
        <w:left w:val="none" w:sz="0" w:space="0" w:color="auto"/>
        <w:bottom w:val="none" w:sz="0" w:space="0" w:color="auto"/>
        <w:right w:val="none" w:sz="0" w:space="0" w:color="auto"/>
      </w:divBdr>
    </w:div>
    <w:div w:id="1245994171">
      <w:bodyDiv w:val="1"/>
      <w:marLeft w:val="0"/>
      <w:marRight w:val="0"/>
      <w:marTop w:val="0"/>
      <w:marBottom w:val="0"/>
      <w:divBdr>
        <w:top w:val="none" w:sz="0" w:space="0" w:color="auto"/>
        <w:left w:val="none" w:sz="0" w:space="0" w:color="auto"/>
        <w:bottom w:val="none" w:sz="0" w:space="0" w:color="auto"/>
        <w:right w:val="none" w:sz="0" w:space="0" w:color="auto"/>
      </w:divBdr>
    </w:div>
    <w:div w:id="1277369813">
      <w:bodyDiv w:val="1"/>
      <w:marLeft w:val="0"/>
      <w:marRight w:val="0"/>
      <w:marTop w:val="0"/>
      <w:marBottom w:val="0"/>
      <w:divBdr>
        <w:top w:val="none" w:sz="0" w:space="0" w:color="auto"/>
        <w:left w:val="none" w:sz="0" w:space="0" w:color="auto"/>
        <w:bottom w:val="none" w:sz="0" w:space="0" w:color="auto"/>
        <w:right w:val="none" w:sz="0" w:space="0" w:color="auto"/>
      </w:divBdr>
    </w:div>
    <w:div w:id="1303150113">
      <w:bodyDiv w:val="1"/>
      <w:marLeft w:val="0"/>
      <w:marRight w:val="0"/>
      <w:marTop w:val="0"/>
      <w:marBottom w:val="0"/>
      <w:divBdr>
        <w:top w:val="none" w:sz="0" w:space="0" w:color="auto"/>
        <w:left w:val="none" w:sz="0" w:space="0" w:color="auto"/>
        <w:bottom w:val="none" w:sz="0" w:space="0" w:color="auto"/>
        <w:right w:val="none" w:sz="0" w:space="0" w:color="auto"/>
      </w:divBdr>
    </w:div>
    <w:div w:id="1338188645">
      <w:bodyDiv w:val="1"/>
      <w:marLeft w:val="0"/>
      <w:marRight w:val="0"/>
      <w:marTop w:val="0"/>
      <w:marBottom w:val="0"/>
      <w:divBdr>
        <w:top w:val="none" w:sz="0" w:space="0" w:color="auto"/>
        <w:left w:val="none" w:sz="0" w:space="0" w:color="auto"/>
        <w:bottom w:val="none" w:sz="0" w:space="0" w:color="auto"/>
        <w:right w:val="none" w:sz="0" w:space="0" w:color="auto"/>
      </w:divBdr>
    </w:div>
    <w:div w:id="1338728731">
      <w:bodyDiv w:val="1"/>
      <w:marLeft w:val="0"/>
      <w:marRight w:val="0"/>
      <w:marTop w:val="0"/>
      <w:marBottom w:val="0"/>
      <w:divBdr>
        <w:top w:val="none" w:sz="0" w:space="0" w:color="auto"/>
        <w:left w:val="none" w:sz="0" w:space="0" w:color="auto"/>
        <w:bottom w:val="none" w:sz="0" w:space="0" w:color="auto"/>
        <w:right w:val="none" w:sz="0" w:space="0" w:color="auto"/>
      </w:divBdr>
    </w:div>
    <w:div w:id="1354383816">
      <w:bodyDiv w:val="1"/>
      <w:marLeft w:val="0"/>
      <w:marRight w:val="0"/>
      <w:marTop w:val="0"/>
      <w:marBottom w:val="0"/>
      <w:divBdr>
        <w:top w:val="none" w:sz="0" w:space="0" w:color="auto"/>
        <w:left w:val="none" w:sz="0" w:space="0" w:color="auto"/>
        <w:bottom w:val="none" w:sz="0" w:space="0" w:color="auto"/>
        <w:right w:val="none" w:sz="0" w:space="0" w:color="auto"/>
      </w:divBdr>
    </w:div>
    <w:div w:id="1365979036">
      <w:bodyDiv w:val="1"/>
      <w:marLeft w:val="0"/>
      <w:marRight w:val="0"/>
      <w:marTop w:val="0"/>
      <w:marBottom w:val="0"/>
      <w:divBdr>
        <w:top w:val="none" w:sz="0" w:space="0" w:color="auto"/>
        <w:left w:val="none" w:sz="0" w:space="0" w:color="auto"/>
        <w:bottom w:val="none" w:sz="0" w:space="0" w:color="auto"/>
        <w:right w:val="none" w:sz="0" w:space="0" w:color="auto"/>
      </w:divBdr>
    </w:div>
    <w:div w:id="1369377517">
      <w:bodyDiv w:val="1"/>
      <w:marLeft w:val="0"/>
      <w:marRight w:val="0"/>
      <w:marTop w:val="0"/>
      <w:marBottom w:val="0"/>
      <w:divBdr>
        <w:top w:val="none" w:sz="0" w:space="0" w:color="auto"/>
        <w:left w:val="none" w:sz="0" w:space="0" w:color="auto"/>
        <w:bottom w:val="none" w:sz="0" w:space="0" w:color="auto"/>
        <w:right w:val="none" w:sz="0" w:space="0" w:color="auto"/>
      </w:divBdr>
    </w:div>
    <w:div w:id="1432510390">
      <w:bodyDiv w:val="1"/>
      <w:marLeft w:val="0"/>
      <w:marRight w:val="0"/>
      <w:marTop w:val="0"/>
      <w:marBottom w:val="0"/>
      <w:divBdr>
        <w:top w:val="none" w:sz="0" w:space="0" w:color="auto"/>
        <w:left w:val="none" w:sz="0" w:space="0" w:color="auto"/>
        <w:bottom w:val="none" w:sz="0" w:space="0" w:color="auto"/>
        <w:right w:val="none" w:sz="0" w:space="0" w:color="auto"/>
      </w:divBdr>
    </w:div>
    <w:div w:id="1439062447">
      <w:bodyDiv w:val="1"/>
      <w:marLeft w:val="0"/>
      <w:marRight w:val="0"/>
      <w:marTop w:val="0"/>
      <w:marBottom w:val="0"/>
      <w:divBdr>
        <w:top w:val="none" w:sz="0" w:space="0" w:color="auto"/>
        <w:left w:val="none" w:sz="0" w:space="0" w:color="auto"/>
        <w:bottom w:val="none" w:sz="0" w:space="0" w:color="auto"/>
        <w:right w:val="none" w:sz="0" w:space="0" w:color="auto"/>
      </w:divBdr>
    </w:div>
    <w:div w:id="1459104467">
      <w:bodyDiv w:val="1"/>
      <w:marLeft w:val="0"/>
      <w:marRight w:val="0"/>
      <w:marTop w:val="0"/>
      <w:marBottom w:val="0"/>
      <w:divBdr>
        <w:top w:val="none" w:sz="0" w:space="0" w:color="auto"/>
        <w:left w:val="none" w:sz="0" w:space="0" w:color="auto"/>
        <w:bottom w:val="none" w:sz="0" w:space="0" w:color="auto"/>
        <w:right w:val="none" w:sz="0" w:space="0" w:color="auto"/>
      </w:divBdr>
    </w:div>
    <w:div w:id="1463385913">
      <w:bodyDiv w:val="1"/>
      <w:marLeft w:val="0"/>
      <w:marRight w:val="0"/>
      <w:marTop w:val="0"/>
      <w:marBottom w:val="0"/>
      <w:divBdr>
        <w:top w:val="none" w:sz="0" w:space="0" w:color="auto"/>
        <w:left w:val="none" w:sz="0" w:space="0" w:color="auto"/>
        <w:bottom w:val="none" w:sz="0" w:space="0" w:color="auto"/>
        <w:right w:val="none" w:sz="0" w:space="0" w:color="auto"/>
      </w:divBdr>
    </w:div>
    <w:div w:id="1542479301">
      <w:bodyDiv w:val="1"/>
      <w:marLeft w:val="0"/>
      <w:marRight w:val="0"/>
      <w:marTop w:val="0"/>
      <w:marBottom w:val="0"/>
      <w:divBdr>
        <w:top w:val="none" w:sz="0" w:space="0" w:color="auto"/>
        <w:left w:val="none" w:sz="0" w:space="0" w:color="auto"/>
        <w:bottom w:val="none" w:sz="0" w:space="0" w:color="auto"/>
        <w:right w:val="none" w:sz="0" w:space="0" w:color="auto"/>
      </w:divBdr>
    </w:div>
    <w:div w:id="1556698522">
      <w:bodyDiv w:val="1"/>
      <w:marLeft w:val="0"/>
      <w:marRight w:val="0"/>
      <w:marTop w:val="0"/>
      <w:marBottom w:val="0"/>
      <w:divBdr>
        <w:top w:val="none" w:sz="0" w:space="0" w:color="auto"/>
        <w:left w:val="none" w:sz="0" w:space="0" w:color="auto"/>
        <w:bottom w:val="none" w:sz="0" w:space="0" w:color="auto"/>
        <w:right w:val="none" w:sz="0" w:space="0" w:color="auto"/>
      </w:divBdr>
    </w:div>
    <w:div w:id="1672635118">
      <w:bodyDiv w:val="1"/>
      <w:marLeft w:val="0"/>
      <w:marRight w:val="0"/>
      <w:marTop w:val="0"/>
      <w:marBottom w:val="0"/>
      <w:divBdr>
        <w:top w:val="none" w:sz="0" w:space="0" w:color="auto"/>
        <w:left w:val="none" w:sz="0" w:space="0" w:color="auto"/>
        <w:bottom w:val="none" w:sz="0" w:space="0" w:color="auto"/>
        <w:right w:val="none" w:sz="0" w:space="0" w:color="auto"/>
      </w:divBdr>
    </w:div>
    <w:div w:id="1673600700">
      <w:bodyDiv w:val="1"/>
      <w:marLeft w:val="0"/>
      <w:marRight w:val="0"/>
      <w:marTop w:val="0"/>
      <w:marBottom w:val="0"/>
      <w:divBdr>
        <w:top w:val="none" w:sz="0" w:space="0" w:color="auto"/>
        <w:left w:val="none" w:sz="0" w:space="0" w:color="auto"/>
        <w:bottom w:val="none" w:sz="0" w:space="0" w:color="auto"/>
        <w:right w:val="none" w:sz="0" w:space="0" w:color="auto"/>
      </w:divBdr>
    </w:div>
    <w:div w:id="1710494416">
      <w:bodyDiv w:val="1"/>
      <w:marLeft w:val="0"/>
      <w:marRight w:val="0"/>
      <w:marTop w:val="0"/>
      <w:marBottom w:val="0"/>
      <w:divBdr>
        <w:top w:val="none" w:sz="0" w:space="0" w:color="auto"/>
        <w:left w:val="none" w:sz="0" w:space="0" w:color="auto"/>
        <w:bottom w:val="none" w:sz="0" w:space="0" w:color="auto"/>
        <w:right w:val="none" w:sz="0" w:space="0" w:color="auto"/>
      </w:divBdr>
    </w:div>
    <w:div w:id="1724212549">
      <w:bodyDiv w:val="1"/>
      <w:marLeft w:val="0"/>
      <w:marRight w:val="0"/>
      <w:marTop w:val="0"/>
      <w:marBottom w:val="0"/>
      <w:divBdr>
        <w:top w:val="none" w:sz="0" w:space="0" w:color="auto"/>
        <w:left w:val="none" w:sz="0" w:space="0" w:color="auto"/>
        <w:bottom w:val="none" w:sz="0" w:space="0" w:color="auto"/>
        <w:right w:val="none" w:sz="0" w:space="0" w:color="auto"/>
      </w:divBdr>
    </w:div>
    <w:div w:id="1743794950">
      <w:bodyDiv w:val="1"/>
      <w:marLeft w:val="0"/>
      <w:marRight w:val="0"/>
      <w:marTop w:val="0"/>
      <w:marBottom w:val="0"/>
      <w:divBdr>
        <w:top w:val="none" w:sz="0" w:space="0" w:color="auto"/>
        <w:left w:val="none" w:sz="0" w:space="0" w:color="auto"/>
        <w:bottom w:val="none" w:sz="0" w:space="0" w:color="auto"/>
        <w:right w:val="none" w:sz="0" w:space="0" w:color="auto"/>
      </w:divBdr>
    </w:div>
    <w:div w:id="1749496727">
      <w:bodyDiv w:val="1"/>
      <w:marLeft w:val="0"/>
      <w:marRight w:val="0"/>
      <w:marTop w:val="0"/>
      <w:marBottom w:val="0"/>
      <w:divBdr>
        <w:top w:val="none" w:sz="0" w:space="0" w:color="auto"/>
        <w:left w:val="none" w:sz="0" w:space="0" w:color="auto"/>
        <w:bottom w:val="none" w:sz="0" w:space="0" w:color="auto"/>
        <w:right w:val="none" w:sz="0" w:space="0" w:color="auto"/>
      </w:divBdr>
    </w:div>
    <w:div w:id="1788230415">
      <w:bodyDiv w:val="1"/>
      <w:marLeft w:val="0"/>
      <w:marRight w:val="0"/>
      <w:marTop w:val="0"/>
      <w:marBottom w:val="0"/>
      <w:divBdr>
        <w:top w:val="none" w:sz="0" w:space="0" w:color="auto"/>
        <w:left w:val="none" w:sz="0" w:space="0" w:color="auto"/>
        <w:bottom w:val="none" w:sz="0" w:space="0" w:color="auto"/>
        <w:right w:val="none" w:sz="0" w:space="0" w:color="auto"/>
      </w:divBdr>
    </w:div>
    <w:div w:id="1841966083">
      <w:bodyDiv w:val="1"/>
      <w:marLeft w:val="0"/>
      <w:marRight w:val="0"/>
      <w:marTop w:val="0"/>
      <w:marBottom w:val="0"/>
      <w:divBdr>
        <w:top w:val="none" w:sz="0" w:space="0" w:color="auto"/>
        <w:left w:val="none" w:sz="0" w:space="0" w:color="auto"/>
        <w:bottom w:val="none" w:sz="0" w:space="0" w:color="auto"/>
        <w:right w:val="none" w:sz="0" w:space="0" w:color="auto"/>
      </w:divBdr>
    </w:div>
    <w:div w:id="2002079307">
      <w:bodyDiv w:val="1"/>
      <w:marLeft w:val="0"/>
      <w:marRight w:val="0"/>
      <w:marTop w:val="0"/>
      <w:marBottom w:val="0"/>
      <w:divBdr>
        <w:top w:val="none" w:sz="0" w:space="0" w:color="auto"/>
        <w:left w:val="none" w:sz="0" w:space="0" w:color="auto"/>
        <w:bottom w:val="none" w:sz="0" w:space="0" w:color="auto"/>
        <w:right w:val="none" w:sz="0" w:space="0" w:color="auto"/>
      </w:divBdr>
    </w:div>
    <w:div w:id="2014380034">
      <w:bodyDiv w:val="1"/>
      <w:marLeft w:val="0"/>
      <w:marRight w:val="0"/>
      <w:marTop w:val="0"/>
      <w:marBottom w:val="0"/>
      <w:divBdr>
        <w:top w:val="none" w:sz="0" w:space="0" w:color="auto"/>
        <w:left w:val="none" w:sz="0" w:space="0" w:color="auto"/>
        <w:bottom w:val="none" w:sz="0" w:space="0" w:color="auto"/>
        <w:right w:val="none" w:sz="0" w:space="0" w:color="auto"/>
      </w:divBdr>
    </w:div>
    <w:div w:id="2031487843">
      <w:bodyDiv w:val="1"/>
      <w:marLeft w:val="0"/>
      <w:marRight w:val="0"/>
      <w:marTop w:val="0"/>
      <w:marBottom w:val="0"/>
      <w:divBdr>
        <w:top w:val="none" w:sz="0" w:space="0" w:color="auto"/>
        <w:left w:val="none" w:sz="0" w:space="0" w:color="auto"/>
        <w:bottom w:val="none" w:sz="0" w:space="0" w:color="auto"/>
        <w:right w:val="none" w:sz="0" w:space="0" w:color="auto"/>
      </w:divBdr>
    </w:div>
    <w:div w:id="2087456044">
      <w:bodyDiv w:val="1"/>
      <w:marLeft w:val="0"/>
      <w:marRight w:val="0"/>
      <w:marTop w:val="0"/>
      <w:marBottom w:val="0"/>
      <w:divBdr>
        <w:top w:val="none" w:sz="0" w:space="0" w:color="auto"/>
        <w:left w:val="none" w:sz="0" w:space="0" w:color="auto"/>
        <w:bottom w:val="none" w:sz="0" w:space="0" w:color="auto"/>
        <w:right w:val="none" w:sz="0" w:space="0" w:color="auto"/>
      </w:divBdr>
    </w:div>
    <w:div w:id="2095007896">
      <w:bodyDiv w:val="1"/>
      <w:marLeft w:val="0"/>
      <w:marRight w:val="0"/>
      <w:marTop w:val="0"/>
      <w:marBottom w:val="0"/>
      <w:divBdr>
        <w:top w:val="none" w:sz="0" w:space="0" w:color="auto"/>
        <w:left w:val="none" w:sz="0" w:space="0" w:color="auto"/>
        <w:bottom w:val="none" w:sz="0" w:space="0" w:color="auto"/>
        <w:right w:val="none" w:sz="0" w:space="0" w:color="auto"/>
      </w:divBdr>
    </w:div>
    <w:div w:id="21184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ies.jrc.cec.eu.int/" TargetMode="External"/><Relationship Id="rId26" Type="http://schemas.openxmlformats.org/officeDocument/2006/relationships/image" Target="media/image11.emf"/><Relationship Id="rId39" Type="http://schemas.openxmlformats.org/officeDocument/2006/relationships/hyperlink" Target="http://www.ipcc-nggip.iges.or.jp/public/gl/invs1.htm" TargetMode="External"/><Relationship Id="rId3" Type="http://schemas.openxmlformats.org/officeDocument/2006/relationships/styles" Target="styles.xml"/><Relationship Id="rId21" Type="http://schemas.openxmlformats.org/officeDocument/2006/relationships/hyperlink" Target="http://www.mep.tno.nl/homepage_eng_mep.html" TargetMode="External"/><Relationship Id="rId34" Type="http://schemas.openxmlformats.org/officeDocument/2006/relationships/image" Target="media/image19.emf"/><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sei.org/projects-and-tools/tools/gap-global-air-pollution-forum-emission-manual/" TargetMode="External"/><Relationship Id="rId25" Type="http://schemas.openxmlformats.org/officeDocument/2006/relationships/image" Target="media/image10.emf"/><Relationship Id="rId33" Type="http://schemas.openxmlformats.org/officeDocument/2006/relationships/image" Target="media/image18.wmf"/><Relationship Id="rId38" Type="http://schemas.openxmlformats.org/officeDocument/2006/relationships/hyperlink" Target="https://www.worldsteel.org/steel-by-topic/statistics/steel-statistical-yearbook.html"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rivm.nl/en" TargetMode="External"/><Relationship Id="rId29" Type="http://schemas.openxmlformats.org/officeDocument/2006/relationships/image" Target="media/image14.wmf"/><Relationship Id="rId41" Type="http://schemas.openxmlformats.org/officeDocument/2006/relationships/hyperlink" Target="http://www.oica.net/category/vehicles-in-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7.emf"/><Relationship Id="rId37" Type="http://schemas.openxmlformats.org/officeDocument/2006/relationships/hyperlink" Target="https://www.iea.org/statistics/?country=WORLD&amp;year=2016&amp;category=Energy%20supply&amp;indicator=TPESbySource&amp;mode=chart&amp;dataTable=BALANCES" TargetMode="External"/><Relationship Id="rId40" Type="http://schemas.openxmlformats.org/officeDocument/2006/relationships/hyperlink" Target="http://www.ipcc-nggip.iges.or.jp/public/2006gl/index.ht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image" Target="media/image13.wmf"/><Relationship Id="rId36" Type="http://schemas.openxmlformats.org/officeDocument/2006/relationships/hyperlink" Target="https://www.eea.europa.eu/publications/emep-eea-guidebook-2016" TargetMode="External"/><Relationship Id="rId10" Type="http://schemas.openxmlformats.org/officeDocument/2006/relationships/image" Target="media/image3.png"/><Relationship Id="rId19" Type="http://schemas.openxmlformats.org/officeDocument/2006/relationships/hyperlink" Target="http://www.mpch-mainz.mpg.de/mpg/english/" TargetMode="External"/><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image" Target="media/image12.wmf"/><Relationship Id="rId30" Type="http://schemas.openxmlformats.org/officeDocument/2006/relationships/image" Target="media/image15.emf"/><Relationship Id="rId35" Type="http://schemas.openxmlformats.org/officeDocument/2006/relationships/hyperlink" Target="https://doi.org/10.1029/2003JD003697"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pa.gov/otaq/m6.htm" TargetMode="External"/><Relationship Id="rId13" Type="http://schemas.openxmlformats.org/officeDocument/2006/relationships/hyperlink" Target="http://data.un.org/Explorer.aspx?d=ICS" TargetMode="External"/><Relationship Id="rId18" Type="http://schemas.openxmlformats.org/officeDocument/2006/relationships/hyperlink" Target="https://www.eea.europa.eu/publications/emep-eea-guidebook-2016/part-b-sectoral-guidance-chapters/4-agriculture/3-d-crop-production-and/view" TargetMode="External"/><Relationship Id="rId3" Type="http://schemas.openxmlformats.org/officeDocument/2006/relationships/hyperlink" Target="https://www.epa.gov/air-emissions-factors-and-quantification/ap-42-compilation-air-emissions-factors" TargetMode="External"/><Relationship Id="rId21" Type="http://schemas.openxmlformats.org/officeDocument/2006/relationships/hyperlink" Target="http://www.fao.org/faostat/en/" TargetMode="External"/><Relationship Id="rId7" Type="http://schemas.openxmlformats.org/officeDocument/2006/relationships/hyperlink" Target="http://www.iea.org/stats/index.asp" TargetMode="External"/><Relationship Id="rId12" Type="http://schemas.openxmlformats.org/officeDocument/2006/relationships/hyperlink" Target="https://www.worldsteel.org/steel-by-topic/statistics/steel-statistical-yearbook.html" TargetMode="External"/><Relationship Id="rId17" Type="http://schemas.openxmlformats.org/officeDocument/2006/relationships/hyperlink" Target="http://www.fao.org/faostat/en/" TargetMode="External"/><Relationship Id="rId2" Type="http://schemas.openxmlformats.org/officeDocument/2006/relationships/hyperlink" Target="https://www.ipcc-nggip.iges.or.jp/public/2006gl/index.html" TargetMode="External"/><Relationship Id="rId16" Type="http://schemas.openxmlformats.org/officeDocument/2006/relationships/hyperlink" Target="http://www.fao.org/faostat/en/" TargetMode="External"/><Relationship Id="rId20" Type="http://schemas.openxmlformats.org/officeDocument/2006/relationships/hyperlink" Target="http://www.fao.org/faostat/en/" TargetMode="External"/><Relationship Id="rId1" Type="http://schemas.openxmlformats.org/officeDocument/2006/relationships/hyperlink" Target="mailto:harry.vallack@york.ac.uk" TargetMode="External"/><Relationship Id="rId6" Type="http://schemas.openxmlformats.org/officeDocument/2006/relationships/hyperlink" Target="https://www.iea.org/statistics/?country=WORLD&amp;year=2016&amp;category=Energy%20supply&amp;indicator=TPESbySource&amp;mode=chart&amp;dataTable=BALANCES" TargetMode="External"/><Relationship Id="rId11" Type="http://schemas.openxmlformats.org/officeDocument/2006/relationships/hyperlink" Target="https://www.usgs.gov/centers/nmic/international-minerals-statistics-and-information" TargetMode="External"/><Relationship Id="rId24" Type="http://schemas.openxmlformats.org/officeDocument/2006/relationships/hyperlink" Target="http://www.ipcc-nggip.iges.or.jp/public/2006gl/pdf/5_Volume5/V5_2_Ch2_Waste_Data.pdf" TargetMode="External"/><Relationship Id="rId5" Type="http://schemas.openxmlformats.org/officeDocument/2006/relationships/hyperlink" Target="https://www.iea.org/statistics/?country=WORLD&amp;year=2016&amp;category=Energy%20supply&amp;indicator=TPESbySource&amp;mode=chart&amp;dataTable=BALANCES" TargetMode="External"/><Relationship Id="rId15" Type="http://schemas.openxmlformats.org/officeDocument/2006/relationships/hyperlink" Target="http://www.fao.org/faostat/en/" TargetMode="External"/><Relationship Id="rId23" Type="http://schemas.openxmlformats.org/officeDocument/2006/relationships/hyperlink" Target="http://www.ipcc-nggip.iges.or.jp/public/2006gl/pdf/4_Volume4/V4_02_Ch2_Generic.pdf" TargetMode="External"/><Relationship Id="rId10" Type="http://schemas.openxmlformats.org/officeDocument/2006/relationships/hyperlink" Target="http://www.iea.org/w/bookshop/add.aspx?id=564" TargetMode="External"/><Relationship Id="rId19" Type="http://schemas.openxmlformats.org/officeDocument/2006/relationships/hyperlink" Target="http://www.ipcc-nggip.iges.or.jp/public/gl/invs1.htm" TargetMode="External"/><Relationship Id="rId4" Type="http://schemas.openxmlformats.org/officeDocument/2006/relationships/hyperlink" Target="https://www.iea.org/statistics/?country=WORLD&amp;year=2016&amp;category=Energy%20supply&amp;indicator=TPESbySource&amp;mode=chart&amp;dataTable=BALANCES" TargetMode="External"/><Relationship Id="rId9" Type="http://schemas.openxmlformats.org/officeDocument/2006/relationships/hyperlink" Target="http://www.iea.org/stats/index.asp" TargetMode="External"/><Relationship Id="rId14" Type="http://schemas.openxmlformats.org/officeDocument/2006/relationships/hyperlink" Target="http://www.fao.org/faostat/en/" TargetMode="External"/><Relationship Id="rId22" Type="http://schemas.openxmlformats.org/officeDocument/2006/relationships/hyperlink" Target="http://faostat3.fao.org/home/index.html%23DOWNLOAD_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C8E63-1DFB-471B-8D59-F17DE01A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27247</Words>
  <Characters>155311</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Male Inventory Preparation Manual V1.5</vt:lpstr>
    </vt:vector>
  </TitlesOfParts>
  <Company>SEI-Y</Company>
  <LinksUpToDate>false</LinksUpToDate>
  <CharactersWithSpaces>182194</CharactersWithSpaces>
  <SharedDoc>false</SharedDoc>
  <HLinks>
    <vt:vector size="390" baseType="variant">
      <vt:variant>
        <vt:i4>1769561</vt:i4>
      </vt:variant>
      <vt:variant>
        <vt:i4>501</vt:i4>
      </vt:variant>
      <vt:variant>
        <vt:i4>0</vt:i4>
      </vt:variant>
      <vt:variant>
        <vt:i4>5</vt:i4>
      </vt:variant>
      <vt:variant>
        <vt:lpwstr>http://www.mpch-mainz.mpg.de/mpg/english/</vt:lpwstr>
      </vt:variant>
      <vt:variant>
        <vt:lpwstr/>
      </vt:variant>
      <vt:variant>
        <vt:i4>3276861</vt:i4>
      </vt:variant>
      <vt:variant>
        <vt:i4>498</vt:i4>
      </vt:variant>
      <vt:variant>
        <vt:i4>0</vt:i4>
      </vt:variant>
      <vt:variant>
        <vt:i4>5</vt:i4>
      </vt:variant>
      <vt:variant>
        <vt:lpwstr>http://ies.jrc.cec.eu.int/</vt:lpwstr>
      </vt:variant>
      <vt:variant>
        <vt:lpwstr/>
      </vt:variant>
      <vt:variant>
        <vt:i4>7864436</vt:i4>
      </vt:variant>
      <vt:variant>
        <vt:i4>495</vt:i4>
      </vt:variant>
      <vt:variant>
        <vt:i4>0</vt:i4>
      </vt:variant>
      <vt:variant>
        <vt:i4>5</vt:i4>
      </vt:variant>
      <vt:variant>
        <vt:lpwstr>http://www.mep.tno.nl/homepage_eng_mep.html</vt:lpwstr>
      </vt:variant>
      <vt:variant>
        <vt:lpwstr/>
      </vt:variant>
      <vt:variant>
        <vt:i4>524309</vt:i4>
      </vt:variant>
      <vt:variant>
        <vt:i4>492</vt:i4>
      </vt:variant>
      <vt:variant>
        <vt:i4>0</vt:i4>
      </vt:variant>
      <vt:variant>
        <vt:i4>5</vt:i4>
      </vt:variant>
      <vt:variant>
        <vt:lpwstr>http://www.rivm.nl/en</vt:lpwstr>
      </vt:variant>
      <vt:variant>
        <vt:lpwstr/>
      </vt:variant>
      <vt:variant>
        <vt:i4>4063334</vt:i4>
      </vt:variant>
      <vt:variant>
        <vt:i4>489</vt:i4>
      </vt:variant>
      <vt:variant>
        <vt:i4>0</vt:i4>
      </vt:variant>
      <vt:variant>
        <vt:i4>5</vt:i4>
      </vt:variant>
      <vt:variant>
        <vt:lpwstr>http://geiacenter.org/</vt:lpwstr>
      </vt:variant>
      <vt:variant>
        <vt:lpwstr/>
      </vt:variant>
      <vt:variant>
        <vt:i4>2621545</vt:i4>
      </vt:variant>
      <vt:variant>
        <vt:i4>486</vt:i4>
      </vt:variant>
      <vt:variant>
        <vt:i4>0</vt:i4>
      </vt:variant>
      <vt:variant>
        <vt:i4>5</vt:i4>
      </vt:variant>
      <vt:variant>
        <vt:lpwstr>http://www.ipcc-nggip.iges.or.jp/EFDB/main.php</vt:lpwstr>
      </vt:variant>
      <vt:variant>
        <vt:lpwstr/>
      </vt:variant>
      <vt:variant>
        <vt:i4>2228340</vt:i4>
      </vt:variant>
      <vt:variant>
        <vt:i4>483</vt:i4>
      </vt:variant>
      <vt:variant>
        <vt:i4>0</vt:i4>
      </vt:variant>
      <vt:variant>
        <vt:i4>5</vt:i4>
      </vt:variant>
      <vt:variant>
        <vt:lpwstr>http://www.ipcc-nggip.iges.or.jp/public/public.htm</vt:lpwstr>
      </vt:variant>
      <vt:variant>
        <vt:lpwstr/>
      </vt:variant>
      <vt:variant>
        <vt:i4>1704026</vt:i4>
      </vt:variant>
      <vt:variant>
        <vt:i4>480</vt:i4>
      </vt:variant>
      <vt:variant>
        <vt:i4>0</vt:i4>
      </vt:variant>
      <vt:variant>
        <vt:i4>5</vt:i4>
      </vt:variant>
      <vt:variant>
        <vt:lpwstr>http://www.ipcc-nggip.iges.or.jp/public/gl/invs1.htm</vt:lpwstr>
      </vt:variant>
      <vt:variant>
        <vt:lpwstr/>
      </vt:variant>
      <vt:variant>
        <vt:i4>2949155</vt:i4>
      </vt:variant>
      <vt:variant>
        <vt:i4>477</vt:i4>
      </vt:variant>
      <vt:variant>
        <vt:i4>0</vt:i4>
      </vt:variant>
      <vt:variant>
        <vt:i4>5</vt:i4>
      </vt:variant>
      <vt:variant>
        <vt:lpwstr>http://www.narsto.com/</vt:lpwstr>
      </vt:variant>
      <vt:variant>
        <vt:lpwstr/>
      </vt:variant>
      <vt:variant>
        <vt:i4>5636190</vt:i4>
      </vt:variant>
      <vt:variant>
        <vt:i4>474</vt:i4>
      </vt:variant>
      <vt:variant>
        <vt:i4>0</vt:i4>
      </vt:variant>
      <vt:variant>
        <vt:i4>5</vt:i4>
      </vt:variant>
      <vt:variant>
        <vt:lpwstr>http://www.epa.gov/ttn/chief/eiip/index.html</vt:lpwstr>
      </vt:variant>
      <vt:variant>
        <vt:lpwstr/>
      </vt:variant>
      <vt:variant>
        <vt:i4>5767236</vt:i4>
      </vt:variant>
      <vt:variant>
        <vt:i4>471</vt:i4>
      </vt:variant>
      <vt:variant>
        <vt:i4>0</vt:i4>
      </vt:variant>
      <vt:variant>
        <vt:i4>5</vt:i4>
      </vt:variant>
      <vt:variant>
        <vt:lpwstr>http://www.epa.gov/otaq/ap42.htm</vt:lpwstr>
      </vt:variant>
      <vt:variant>
        <vt:lpwstr/>
      </vt:variant>
      <vt:variant>
        <vt:i4>4325380</vt:i4>
      </vt:variant>
      <vt:variant>
        <vt:i4>468</vt:i4>
      </vt:variant>
      <vt:variant>
        <vt:i4>0</vt:i4>
      </vt:variant>
      <vt:variant>
        <vt:i4>5</vt:i4>
      </vt:variant>
      <vt:variant>
        <vt:lpwstr>http://www.epa.gov/ttn/chief/ap42/ index.html</vt:lpwstr>
      </vt:variant>
      <vt:variant>
        <vt:lpwstr/>
      </vt:variant>
      <vt:variant>
        <vt:i4>4718616</vt:i4>
      </vt:variant>
      <vt:variant>
        <vt:i4>465</vt:i4>
      </vt:variant>
      <vt:variant>
        <vt:i4>0</vt:i4>
      </vt:variant>
      <vt:variant>
        <vt:i4>5</vt:i4>
      </vt:variant>
      <vt:variant>
        <vt:lpwstr>http://www.epa.gov/ttn/chief/</vt:lpwstr>
      </vt:variant>
      <vt:variant>
        <vt:lpwstr/>
      </vt:variant>
      <vt:variant>
        <vt:i4>2424947</vt:i4>
      </vt:variant>
      <vt:variant>
        <vt:i4>462</vt:i4>
      </vt:variant>
      <vt:variant>
        <vt:i4>0</vt:i4>
      </vt:variant>
      <vt:variant>
        <vt:i4>5</vt:i4>
      </vt:variant>
      <vt:variant>
        <vt:lpwstr>http://www.eea.eu.int/</vt:lpwstr>
      </vt:variant>
      <vt:variant>
        <vt:lpwstr/>
      </vt:variant>
      <vt:variant>
        <vt:i4>2490487</vt:i4>
      </vt:variant>
      <vt:variant>
        <vt:i4>459</vt:i4>
      </vt:variant>
      <vt:variant>
        <vt:i4>0</vt:i4>
      </vt:variant>
      <vt:variant>
        <vt:i4>5</vt:i4>
      </vt:variant>
      <vt:variant>
        <vt:lpwstr>http://www.eper.cec.eu.int/</vt:lpwstr>
      </vt:variant>
      <vt:variant>
        <vt:lpwstr/>
      </vt:variant>
      <vt:variant>
        <vt:i4>4456528</vt:i4>
      </vt:variant>
      <vt:variant>
        <vt:i4>456</vt:i4>
      </vt:variant>
      <vt:variant>
        <vt:i4>0</vt:i4>
      </vt:variant>
      <vt:variant>
        <vt:i4>5</vt:i4>
      </vt:variant>
      <vt:variant>
        <vt:lpwstr>http://www.emep.int/</vt:lpwstr>
      </vt:variant>
      <vt:variant>
        <vt:lpwstr/>
      </vt:variant>
      <vt:variant>
        <vt:i4>6291583</vt:i4>
      </vt:variant>
      <vt:variant>
        <vt:i4>453</vt:i4>
      </vt:variant>
      <vt:variant>
        <vt:i4>0</vt:i4>
      </vt:variant>
      <vt:variant>
        <vt:i4>5</vt:i4>
      </vt:variant>
      <vt:variant>
        <vt:lpwstr>http://minerals.usgs.gov/minerals/pubs/country/africa.html</vt:lpwstr>
      </vt:variant>
      <vt:variant>
        <vt:lpwstr/>
      </vt:variant>
      <vt:variant>
        <vt:i4>983045</vt:i4>
      </vt:variant>
      <vt:variant>
        <vt:i4>450</vt:i4>
      </vt:variant>
      <vt:variant>
        <vt:i4>0</vt:i4>
      </vt:variant>
      <vt:variant>
        <vt:i4>5</vt:i4>
      </vt:variant>
      <vt:variant>
        <vt:lpwstr>http://www.epa.gov/ttn/chief/ap42/index.html</vt:lpwstr>
      </vt:variant>
      <vt:variant>
        <vt:lpwstr/>
      </vt:variant>
      <vt:variant>
        <vt:i4>2556018</vt:i4>
      </vt:variant>
      <vt:variant>
        <vt:i4>447</vt:i4>
      </vt:variant>
      <vt:variant>
        <vt:i4>0</vt:i4>
      </vt:variant>
      <vt:variant>
        <vt:i4>5</vt:i4>
      </vt:variant>
      <vt:variant>
        <vt:lpwstr>http://unstats.un.org/unsd/cr/registry/regcst.asp?Cl=17</vt:lpwstr>
      </vt:variant>
      <vt:variant>
        <vt:lpwstr/>
      </vt:variant>
      <vt:variant>
        <vt:i4>3276848</vt:i4>
      </vt:variant>
      <vt:variant>
        <vt:i4>444</vt:i4>
      </vt:variant>
      <vt:variant>
        <vt:i4>0</vt:i4>
      </vt:variant>
      <vt:variant>
        <vt:i4>5</vt:i4>
      </vt:variant>
      <vt:variant>
        <vt:lpwstr>http://www.irfnet.org/</vt:lpwstr>
      </vt:variant>
      <vt:variant>
        <vt:lpwstr/>
      </vt:variant>
      <vt:variant>
        <vt:i4>4653134</vt:i4>
      </vt:variant>
      <vt:variant>
        <vt:i4>441</vt:i4>
      </vt:variant>
      <vt:variant>
        <vt:i4>0</vt:i4>
      </vt:variant>
      <vt:variant>
        <vt:i4>5</vt:i4>
      </vt:variant>
      <vt:variant>
        <vt:lpwstr>http://www.ipcc-nggip.iges.or.jp/public/2006gl/index.htm</vt:lpwstr>
      </vt:variant>
      <vt:variant>
        <vt:lpwstr/>
      </vt:variant>
      <vt:variant>
        <vt:i4>1704026</vt:i4>
      </vt:variant>
      <vt:variant>
        <vt:i4>438</vt:i4>
      </vt:variant>
      <vt:variant>
        <vt:i4>0</vt:i4>
      </vt:variant>
      <vt:variant>
        <vt:i4>5</vt:i4>
      </vt:variant>
      <vt:variant>
        <vt:lpwstr>http://www.ipcc-nggip.iges.or.jp/public/gl/invs1.htm</vt:lpwstr>
      </vt:variant>
      <vt:variant>
        <vt:lpwstr/>
      </vt:variant>
      <vt:variant>
        <vt:i4>4784215</vt:i4>
      </vt:variant>
      <vt:variant>
        <vt:i4>435</vt:i4>
      </vt:variant>
      <vt:variant>
        <vt:i4>0</vt:i4>
      </vt:variant>
      <vt:variant>
        <vt:i4>5</vt:i4>
      </vt:variant>
      <vt:variant>
        <vt:lpwstr>http://www.worldsteel.org/pictures/publicationfiles/SSY 2006.pdf</vt:lpwstr>
      </vt:variant>
      <vt:variant>
        <vt:lpwstr/>
      </vt:variant>
      <vt:variant>
        <vt:i4>6488110</vt:i4>
      </vt:variant>
      <vt:variant>
        <vt:i4>432</vt:i4>
      </vt:variant>
      <vt:variant>
        <vt:i4>0</vt:i4>
      </vt:variant>
      <vt:variant>
        <vt:i4>5</vt:i4>
      </vt:variant>
      <vt:variant>
        <vt:lpwstr>http://www.iea.org/stat.htm</vt:lpwstr>
      </vt:variant>
      <vt:variant>
        <vt:lpwstr/>
      </vt:variant>
      <vt:variant>
        <vt:i4>6226011</vt:i4>
      </vt:variant>
      <vt:variant>
        <vt:i4>429</vt:i4>
      </vt:variant>
      <vt:variant>
        <vt:i4>0</vt:i4>
      </vt:variant>
      <vt:variant>
        <vt:i4>5</vt:i4>
      </vt:variant>
      <vt:variant>
        <vt:lpwstr>http://faostat.fao.org/site/566/default.aspx</vt:lpwstr>
      </vt:variant>
      <vt:variant>
        <vt:lpwstr/>
      </vt:variant>
      <vt:variant>
        <vt:i4>327754</vt:i4>
      </vt:variant>
      <vt:variant>
        <vt:i4>426</vt:i4>
      </vt:variant>
      <vt:variant>
        <vt:i4>0</vt:i4>
      </vt:variant>
      <vt:variant>
        <vt:i4>5</vt:i4>
      </vt:variant>
      <vt:variant>
        <vt:lpwstr>http://www.fao.org/DOCREP/005/Y7581E/y7581e00.htm</vt:lpwstr>
      </vt:variant>
      <vt:variant>
        <vt:lpwstr/>
      </vt:variant>
      <vt:variant>
        <vt:i4>7274557</vt:i4>
      </vt:variant>
      <vt:variant>
        <vt:i4>423</vt:i4>
      </vt:variant>
      <vt:variant>
        <vt:i4>0</vt:i4>
      </vt:variant>
      <vt:variant>
        <vt:i4>5</vt:i4>
      </vt:variant>
      <vt:variant>
        <vt:lpwstr>http://reports.eea.eu.int/EMEPCORINAIR4/en</vt:lpwstr>
      </vt:variant>
      <vt:variant>
        <vt:lpwstr/>
      </vt:variant>
      <vt:variant>
        <vt:i4>3538989</vt:i4>
      </vt:variant>
      <vt:variant>
        <vt:i4>420</vt:i4>
      </vt:variant>
      <vt:variant>
        <vt:i4>0</vt:i4>
      </vt:variant>
      <vt:variant>
        <vt:i4>5</vt:i4>
      </vt:variant>
      <vt:variant>
        <vt:lpwstr>http://lat.eng.auth.gr/copert/</vt:lpwstr>
      </vt:variant>
      <vt:variant>
        <vt:lpwstr/>
      </vt:variant>
      <vt:variant>
        <vt:i4>8061047</vt:i4>
      </vt:variant>
      <vt:variant>
        <vt:i4>417</vt:i4>
      </vt:variant>
      <vt:variant>
        <vt:i4>0</vt:i4>
      </vt:variant>
      <vt:variant>
        <vt:i4>5</vt:i4>
      </vt:variant>
      <vt:variant>
        <vt:lpwstr>http://blueskies.sprl.umich.edu/geia/emits/volcano.html</vt:lpwstr>
      </vt:variant>
      <vt:variant>
        <vt:lpwstr/>
      </vt:variant>
      <vt:variant>
        <vt:i4>7864436</vt:i4>
      </vt:variant>
      <vt:variant>
        <vt:i4>414</vt:i4>
      </vt:variant>
      <vt:variant>
        <vt:i4>0</vt:i4>
      </vt:variant>
      <vt:variant>
        <vt:i4>5</vt:i4>
      </vt:variant>
      <vt:variant>
        <vt:lpwstr>http://www.mep.tno.nl/homepage_eng_mep.html</vt:lpwstr>
      </vt:variant>
      <vt:variant>
        <vt:lpwstr/>
      </vt:variant>
      <vt:variant>
        <vt:i4>524309</vt:i4>
      </vt:variant>
      <vt:variant>
        <vt:i4>411</vt:i4>
      </vt:variant>
      <vt:variant>
        <vt:i4>0</vt:i4>
      </vt:variant>
      <vt:variant>
        <vt:i4>5</vt:i4>
      </vt:variant>
      <vt:variant>
        <vt:lpwstr>http://www.rivm.nl/en</vt:lpwstr>
      </vt:variant>
      <vt:variant>
        <vt:lpwstr/>
      </vt:variant>
      <vt:variant>
        <vt:i4>1769561</vt:i4>
      </vt:variant>
      <vt:variant>
        <vt:i4>408</vt:i4>
      </vt:variant>
      <vt:variant>
        <vt:i4>0</vt:i4>
      </vt:variant>
      <vt:variant>
        <vt:i4>5</vt:i4>
      </vt:variant>
      <vt:variant>
        <vt:lpwstr>http://www.mpch-mainz.mpg.de/mpg/english/</vt:lpwstr>
      </vt:variant>
      <vt:variant>
        <vt:lpwstr/>
      </vt:variant>
      <vt:variant>
        <vt:i4>3276861</vt:i4>
      </vt:variant>
      <vt:variant>
        <vt:i4>405</vt:i4>
      </vt:variant>
      <vt:variant>
        <vt:i4>0</vt:i4>
      </vt:variant>
      <vt:variant>
        <vt:i4>5</vt:i4>
      </vt:variant>
      <vt:variant>
        <vt:lpwstr>http://ies.jrc.cec.eu.int/</vt:lpwstr>
      </vt:variant>
      <vt:variant>
        <vt:lpwstr/>
      </vt:variant>
      <vt:variant>
        <vt:i4>7274557</vt:i4>
      </vt:variant>
      <vt:variant>
        <vt:i4>93</vt:i4>
      </vt:variant>
      <vt:variant>
        <vt:i4>0</vt:i4>
      </vt:variant>
      <vt:variant>
        <vt:i4>5</vt:i4>
      </vt:variant>
      <vt:variant>
        <vt:lpwstr>http://reports.eea.eu.int/EMEPCORINAIR4/en</vt:lpwstr>
      </vt:variant>
      <vt:variant>
        <vt:lpwstr/>
      </vt:variant>
      <vt:variant>
        <vt:i4>3670068</vt:i4>
      </vt:variant>
      <vt:variant>
        <vt:i4>90</vt:i4>
      </vt:variant>
      <vt:variant>
        <vt:i4>0</vt:i4>
      </vt:variant>
      <vt:variant>
        <vt:i4>5</vt:i4>
      </vt:variant>
      <vt:variant>
        <vt:lpwstr>http://faostat.fao.org/faostat/form?collection=Population.LTS&amp;Domain=Population&amp;servlet=1&amp;hasbulk=0&amp;version=ext&amp;language=EN</vt:lpwstr>
      </vt:variant>
      <vt:variant>
        <vt:lpwstr/>
      </vt:variant>
      <vt:variant>
        <vt:i4>6553698</vt:i4>
      </vt:variant>
      <vt:variant>
        <vt:i4>87</vt:i4>
      </vt:variant>
      <vt:variant>
        <vt:i4>0</vt:i4>
      </vt:variant>
      <vt:variant>
        <vt:i4>5</vt:i4>
      </vt:variant>
      <vt:variant>
        <vt:lpwstr>http://www.epa.gov/asmdnerl/biogen.html</vt:lpwstr>
      </vt:variant>
      <vt:variant>
        <vt:lpwstr/>
      </vt:variant>
      <vt:variant>
        <vt:i4>4915254</vt:i4>
      </vt:variant>
      <vt:variant>
        <vt:i4>84</vt:i4>
      </vt:variant>
      <vt:variant>
        <vt:i4>0</vt:i4>
      </vt:variant>
      <vt:variant>
        <vt:i4>5</vt:i4>
      </vt:variant>
      <vt:variant>
        <vt:lpwstr>http://www.ipcc-nggip.iges.or.jp/public/2006gl/pdf/5_Volume5/V5_2_Ch2_Waste_Data.pdf</vt:lpwstr>
      </vt:variant>
      <vt:variant>
        <vt:lpwstr/>
      </vt:variant>
      <vt:variant>
        <vt:i4>1179668</vt:i4>
      </vt:variant>
      <vt:variant>
        <vt:i4>81</vt:i4>
      </vt:variant>
      <vt:variant>
        <vt:i4>0</vt:i4>
      </vt:variant>
      <vt:variant>
        <vt:i4>5</vt:i4>
      </vt:variant>
      <vt:variant>
        <vt:lpwstr>http://www.ipcc-nggip.iges.or.jp/public/2006gl/pdf/4_Volume4/V4_02_Ch2_Generic.pdf</vt:lpwstr>
      </vt:variant>
      <vt:variant>
        <vt:lpwstr/>
      </vt:variant>
      <vt:variant>
        <vt:i4>327754</vt:i4>
      </vt:variant>
      <vt:variant>
        <vt:i4>78</vt:i4>
      </vt:variant>
      <vt:variant>
        <vt:i4>0</vt:i4>
      </vt:variant>
      <vt:variant>
        <vt:i4>5</vt:i4>
      </vt:variant>
      <vt:variant>
        <vt:lpwstr>http://www.fao.org/DOCREP/005/Y7581E/y7581e00.htm</vt:lpwstr>
      </vt:variant>
      <vt:variant>
        <vt:lpwstr/>
      </vt:variant>
      <vt:variant>
        <vt:i4>6226010</vt:i4>
      </vt:variant>
      <vt:variant>
        <vt:i4>75</vt:i4>
      </vt:variant>
      <vt:variant>
        <vt:i4>0</vt:i4>
      </vt:variant>
      <vt:variant>
        <vt:i4>5</vt:i4>
      </vt:variant>
      <vt:variant>
        <vt:lpwstr>http://faostat.fao.org/site/567/default.aspx</vt:lpwstr>
      </vt:variant>
      <vt:variant>
        <vt:lpwstr/>
      </vt:variant>
      <vt:variant>
        <vt:i4>1704026</vt:i4>
      </vt:variant>
      <vt:variant>
        <vt:i4>72</vt:i4>
      </vt:variant>
      <vt:variant>
        <vt:i4>0</vt:i4>
      </vt:variant>
      <vt:variant>
        <vt:i4>5</vt:i4>
      </vt:variant>
      <vt:variant>
        <vt:lpwstr>http://www.ipcc-nggip.iges.or.jp/public/gl/invs1.htm</vt:lpwstr>
      </vt:variant>
      <vt:variant>
        <vt:lpwstr/>
      </vt:variant>
      <vt:variant>
        <vt:i4>6094931</vt:i4>
      </vt:variant>
      <vt:variant>
        <vt:i4>69</vt:i4>
      </vt:variant>
      <vt:variant>
        <vt:i4>0</vt:i4>
      </vt:variant>
      <vt:variant>
        <vt:i4>5</vt:i4>
      </vt:variant>
      <vt:variant>
        <vt:lpwstr>http://faostat.fao.org/site/348/default.aspx</vt:lpwstr>
      </vt:variant>
      <vt:variant>
        <vt:lpwstr/>
      </vt:variant>
      <vt:variant>
        <vt:i4>2621488</vt:i4>
      </vt:variant>
      <vt:variant>
        <vt:i4>66</vt:i4>
      </vt:variant>
      <vt:variant>
        <vt:i4>0</vt:i4>
      </vt:variant>
      <vt:variant>
        <vt:i4>5</vt:i4>
      </vt:variant>
      <vt:variant>
        <vt:lpwstr>http://reports.eea.europa.eu/EMEPCORINAIR4/en/B1100vs1.pdf</vt:lpwstr>
      </vt:variant>
      <vt:variant>
        <vt:lpwstr/>
      </vt:variant>
      <vt:variant>
        <vt:i4>6226005</vt:i4>
      </vt:variant>
      <vt:variant>
        <vt:i4>63</vt:i4>
      </vt:variant>
      <vt:variant>
        <vt:i4>0</vt:i4>
      </vt:variant>
      <vt:variant>
        <vt:i4>5</vt:i4>
      </vt:variant>
      <vt:variant>
        <vt:lpwstr>http://faostat.fao.org/site/568/default.aspx</vt:lpwstr>
      </vt:variant>
      <vt:variant>
        <vt:lpwstr/>
      </vt:variant>
      <vt:variant>
        <vt:i4>5963867</vt:i4>
      </vt:variant>
      <vt:variant>
        <vt:i4>60</vt:i4>
      </vt:variant>
      <vt:variant>
        <vt:i4>0</vt:i4>
      </vt:variant>
      <vt:variant>
        <vt:i4>5</vt:i4>
      </vt:variant>
      <vt:variant>
        <vt:lpwstr>http://faostat.fao.org/site/526/default.aspx</vt:lpwstr>
      </vt:variant>
      <vt:variant>
        <vt:lpwstr/>
      </vt:variant>
      <vt:variant>
        <vt:i4>5308506</vt:i4>
      </vt:variant>
      <vt:variant>
        <vt:i4>57</vt:i4>
      </vt:variant>
      <vt:variant>
        <vt:i4>0</vt:i4>
      </vt:variant>
      <vt:variant>
        <vt:i4>5</vt:i4>
      </vt:variant>
      <vt:variant>
        <vt:lpwstr>http://faostat.fao.org/site/381/default.aspx</vt:lpwstr>
      </vt:variant>
      <vt:variant>
        <vt:lpwstr/>
      </vt:variant>
      <vt:variant>
        <vt:i4>4784215</vt:i4>
      </vt:variant>
      <vt:variant>
        <vt:i4>54</vt:i4>
      </vt:variant>
      <vt:variant>
        <vt:i4>0</vt:i4>
      </vt:variant>
      <vt:variant>
        <vt:i4>5</vt:i4>
      </vt:variant>
      <vt:variant>
        <vt:lpwstr>http://www.worldsteel.org/pictures/publicationfiles/SSY 2006.pdf</vt:lpwstr>
      </vt:variant>
      <vt:variant>
        <vt:lpwstr/>
      </vt:variant>
      <vt:variant>
        <vt:i4>2490427</vt:i4>
      </vt:variant>
      <vt:variant>
        <vt:i4>51</vt:i4>
      </vt:variant>
      <vt:variant>
        <vt:i4>0</vt:i4>
      </vt:variant>
      <vt:variant>
        <vt:i4>5</vt:i4>
      </vt:variant>
      <vt:variant>
        <vt:lpwstr>http://minerals.usgs.gov/minerals/pubs/country/</vt:lpwstr>
      </vt:variant>
      <vt:variant>
        <vt:lpwstr/>
      </vt:variant>
      <vt:variant>
        <vt:i4>6029389</vt:i4>
      </vt:variant>
      <vt:variant>
        <vt:i4>48</vt:i4>
      </vt:variant>
      <vt:variant>
        <vt:i4>0</vt:i4>
      </vt:variant>
      <vt:variant>
        <vt:i4>5</vt:i4>
      </vt:variant>
      <vt:variant>
        <vt:lpwstr>http://www.iea.org/bookshop/b.aspx?subject=statistics</vt:lpwstr>
      </vt:variant>
      <vt:variant>
        <vt:lpwstr/>
      </vt:variant>
      <vt:variant>
        <vt:i4>5308506</vt:i4>
      </vt:variant>
      <vt:variant>
        <vt:i4>45</vt:i4>
      </vt:variant>
      <vt:variant>
        <vt:i4>0</vt:i4>
      </vt:variant>
      <vt:variant>
        <vt:i4>5</vt:i4>
      </vt:variant>
      <vt:variant>
        <vt:lpwstr>http://faostat.fao.org/site/381/default.aspx</vt:lpwstr>
      </vt:variant>
      <vt:variant>
        <vt:lpwstr/>
      </vt:variant>
      <vt:variant>
        <vt:i4>6029389</vt:i4>
      </vt:variant>
      <vt:variant>
        <vt:i4>42</vt:i4>
      </vt:variant>
      <vt:variant>
        <vt:i4>0</vt:i4>
      </vt:variant>
      <vt:variant>
        <vt:i4>5</vt:i4>
      </vt:variant>
      <vt:variant>
        <vt:lpwstr>http://www.iea.org/bookshop/b.aspx?subject=statistics</vt:lpwstr>
      </vt:variant>
      <vt:variant>
        <vt:lpwstr/>
      </vt:variant>
      <vt:variant>
        <vt:i4>2883708</vt:i4>
      </vt:variant>
      <vt:variant>
        <vt:i4>39</vt:i4>
      </vt:variant>
      <vt:variant>
        <vt:i4>0</vt:i4>
      </vt:variant>
      <vt:variant>
        <vt:i4>5</vt:i4>
      </vt:variant>
      <vt:variant>
        <vt:lpwstr>http://www.epa.gov/otaq/m6.htm</vt:lpwstr>
      </vt:variant>
      <vt:variant>
        <vt:lpwstr/>
      </vt:variant>
      <vt:variant>
        <vt:i4>3538989</vt:i4>
      </vt:variant>
      <vt:variant>
        <vt:i4>36</vt:i4>
      </vt:variant>
      <vt:variant>
        <vt:i4>0</vt:i4>
      </vt:variant>
      <vt:variant>
        <vt:i4>5</vt:i4>
      </vt:variant>
      <vt:variant>
        <vt:lpwstr>http://lat.eng.auth.gr/copert/</vt:lpwstr>
      </vt:variant>
      <vt:variant>
        <vt:lpwstr/>
      </vt:variant>
      <vt:variant>
        <vt:i4>3276848</vt:i4>
      </vt:variant>
      <vt:variant>
        <vt:i4>33</vt:i4>
      </vt:variant>
      <vt:variant>
        <vt:i4>0</vt:i4>
      </vt:variant>
      <vt:variant>
        <vt:i4>5</vt:i4>
      </vt:variant>
      <vt:variant>
        <vt:lpwstr>http://www.irfnet.org/</vt:lpwstr>
      </vt:variant>
      <vt:variant>
        <vt:lpwstr/>
      </vt:variant>
      <vt:variant>
        <vt:i4>6029389</vt:i4>
      </vt:variant>
      <vt:variant>
        <vt:i4>30</vt:i4>
      </vt:variant>
      <vt:variant>
        <vt:i4>0</vt:i4>
      </vt:variant>
      <vt:variant>
        <vt:i4>5</vt:i4>
      </vt:variant>
      <vt:variant>
        <vt:lpwstr>http://www.iea.org/bookshop/b.aspx?subject=statistics</vt:lpwstr>
      </vt:variant>
      <vt:variant>
        <vt:lpwstr/>
      </vt:variant>
      <vt:variant>
        <vt:i4>6029389</vt:i4>
      </vt:variant>
      <vt:variant>
        <vt:i4>27</vt:i4>
      </vt:variant>
      <vt:variant>
        <vt:i4>0</vt:i4>
      </vt:variant>
      <vt:variant>
        <vt:i4>5</vt:i4>
      </vt:variant>
      <vt:variant>
        <vt:lpwstr>http://www.iea.org/bookshop/b.aspx?subject=statistics</vt:lpwstr>
      </vt:variant>
      <vt:variant>
        <vt:lpwstr/>
      </vt:variant>
      <vt:variant>
        <vt:i4>6029389</vt:i4>
      </vt:variant>
      <vt:variant>
        <vt:i4>24</vt:i4>
      </vt:variant>
      <vt:variant>
        <vt:i4>0</vt:i4>
      </vt:variant>
      <vt:variant>
        <vt:i4>5</vt:i4>
      </vt:variant>
      <vt:variant>
        <vt:lpwstr>http://www.iea.org/bookshop/b.aspx?subject=statistics</vt:lpwstr>
      </vt:variant>
      <vt:variant>
        <vt:lpwstr/>
      </vt:variant>
      <vt:variant>
        <vt:i4>6029389</vt:i4>
      </vt:variant>
      <vt:variant>
        <vt:i4>21</vt:i4>
      </vt:variant>
      <vt:variant>
        <vt:i4>0</vt:i4>
      </vt:variant>
      <vt:variant>
        <vt:i4>5</vt:i4>
      </vt:variant>
      <vt:variant>
        <vt:lpwstr>http://www.iea.org/bookshop/b.aspx?subject=statistics</vt:lpwstr>
      </vt:variant>
      <vt:variant>
        <vt:lpwstr/>
      </vt:variant>
      <vt:variant>
        <vt:i4>1704026</vt:i4>
      </vt:variant>
      <vt:variant>
        <vt:i4>18</vt:i4>
      </vt:variant>
      <vt:variant>
        <vt:i4>0</vt:i4>
      </vt:variant>
      <vt:variant>
        <vt:i4>5</vt:i4>
      </vt:variant>
      <vt:variant>
        <vt:lpwstr>http://www.ipcc-nggip.iges.or.jp/public/gl/invs1.htm</vt:lpwstr>
      </vt:variant>
      <vt:variant>
        <vt:lpwstr/>
      </vt:variant>
      <vt:variant>
        <vt:i4>7274557</vt:i4>
      </vt:variant>
      <vt:variant>
        <vt:i4>15</vt:i4>
      </vt:variant>
      <vt:variant>
        <vt:i4>0</vt:i4>
      </vt:variant>
      <vt:variant>
        <vt:i4>5</vt:i4>
      </vt:variant>
      <vt:variant>
        <vt:lpwstr>http://reports.eea.eu.int/EMEPCORINAIR4/en</vt:lpwstr>
      </vt:variant>
      <vt:variant>
        <vt:lpwstr/>
      </vt:variant>
      <vt:variant>
        <vt:i4>983045</vt:i4>
      </vt:variant>
      <vt:variant>
        <vt:i4>12</vt:i4>
      </vt:variant>
      <vt:variant>
        <vt:i4>0</vt:i4>
      </vt:variant>
      <vt:variant>
        <vt:i4>5</vt:i4>
      </vt:variant>
      <vt:variant>
        <vt:lpwstr>http://www.epa.gov/ttn/chief/ap42/index.html</vt:lpwstr>
      </vt:variant>
      <vt:variant>
        <vt:lpwstr/>
      </vt:variant>
      <vt:variant>
        <vt:i4>2556018</vt:i4>
      </vt:variant>
      <vt:variant>
        <vt:i4>9</vt:i4>
      </vt:variant>
      <vt:variant>
        <vt:i4>0</vt:i4>
      </vt:variant>
      <vt:variant>
        <vt:i4>5</vt:i4>
      </vt:variant>
      <vt:variant>
        <vt:lpwstr>http://unstats.un.org/unsd/cr/registry/regcst.asp?Cl=17</vt:lpwstr>
      </vt:variant>
      <vt:variant>
        <vt:lpwstr/>
      </vt:variant>
      <vt:variant>
        <vt:i4>5374047</vt:i4>
      </vt:variant>
      <vt:variant>
        <vt:i4>6</vt:i4>
      </vt:variant>
      <vt:variant>
        <vt:i4>0</vt:i4>
      </vt:variant>
      <vt:variant>
        <vt:i4>5</vt:i4>
      </vt:variant>
      <vt:variant>
        <vt:lpwstr>http://www.ipcc-nggip.iges.or.jp/public/ gl/invs1.htm</vt:lpwstr>
      </vt:variant>
      <vt:variant>
        <vt:lpwstr/>
      </vt:variant>
      <vt:variant>
        <vt:i4>7274557</vt:i4>
      </vt:variant>
      <vt:variant>
        <vt:i4>3</vt:i4>
      </vt:variant>
      <vt:variant>
        <vt:i4>0</vt:i4>
      </vt:variant>
      <vt:variant>
        <vt:i4>5</vt:i4>
      </vt:variant>
      <vt:variant>
        <vt:lpwstr>http://reports.eea.eu.int/EMEPCORINAIR4/en</vt:lpwstr>
      </vt:variant>
      <vt:variant>
        <vt:lpwstr/>
      </vt:variant>
      <vt:variant>
        <vt:i4>1835071</vt:i4>
      </vt:variant>
      <vt:variant>
        <vt:i4>0</vt:i4>
      </vt:variant>
      <vt:variant>
        <vt:i4>0</vt:i4>
      </vt:variant>
      <vt:variant>
        <vt:i4>5</vt:i4>
      </vt:variant>
      <vt:variant>
        <vt:lpwstr>mailto:hwv1@york.ac.uk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Male Inventory Preparation Manual V1.5</dc:title>
  <dc:creator>Vallack, H. W.</dc:creator>
  <dc:description>Since v1.4
1) Corrected PM definitions on page x
2) Table 3.1 Page 22 Corrected natural gas TJ/kt from 8.95 to 50.81
Since v1.5
Page 48, Table 6-5, SO2 and NMVOC EFs switched back to right way round for crop residue burning
Page 2
Revised emepcorinair hyperlink</dc:description>
  <cp:lastModifiedBy>Harry Vallack</cp:lastModifiedBy>
  <cp:revision>2</cp:revision>
  <cp:lastPrinted>2011-03-01T16:04:00Z</cp:lastPrinted>
  <dcterms:created xsi:type="dcterms:W3CDTF">2019-06-11T14:17:00Z</dcterms:created>
  <dcterms:modified xsi:type="dcterms:W3CDTF">2019-06-11T14:17:00Z</dcterms:modified>
</cp:coreProperties>
</file>